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2117E3">
      <w:pPr>
        <w:spacing w:line="240" w:lineRule="atLeast"/>
        <w:jc w:val="center"/>
        <w:rPr>
          <w:rFonts w:hint="eastAsia" w:ascii="宋体" w:hAnsi="宋体" w:eastAsia="仿宋"/>
          <w:b/>
          <w:bCs/>
          <w:sz w:val="44"/>
          <w:szCs w:val="44"/>
          <w:lang w:eastAsia="zh-CN"/>
        </w:rPr>
      </w:pPr>
      <w:r>
        <w:rPr>
          <w:rFonts w:hint="eastAsia" w:ascii="仿宋" w:hAnsi="仿宋" w:eastAsia="仿宋" w:cs="仿宋"/>
          <w:b/>
          <w:bCs/>
          <w:sz w:val="30"/>
          <w:szCs w:val="30"/>
        </w:rPr>
        <w:t>项目编号：</w:t>
      </w:r>
      <w:r>
        <w:rPr>
          <w:rFonts w:hint="eastAsia" w:ascii="仿宋" w:hAnsi="仿宋" w:eastAsia="仿宋" w:cs="仿宋"/>
          <w:b/>
          <w:bCs/>
          <w:sz w:val="30"/>
          <w:szCs w:val="30"/>
          <w:lang w:val="en-US" w:eastAsia="zh-CN"/>
        </w:rPr>
        <w:t xml:space="preserve">KSJJKFQZFCG(CS)2025-05-1               </w:t>
      </w:r>
      <w:r>
        <w:rPr>
          <w:rFonts w:hint="eastAsia" w:ascii="仿宋" w:hAnsi="仿宋" w:eastAsia="仿宋" w:cs="仿宋"/>
          <w:b/>
          <w:sz w:val="30"/>
          <w:szCs w:val="30"/>
        </w:rPr>
        <w:t>【采购】</w:t>
      </w:r>
      <w:r>
        <w:rPr>
          <w:rFonts w:hint="eastAsia" w:ascii="仿宋" w:hAnsi="仿宋" w:eastAsia="仿宋" w:cs="仿宋"/>
          <w:b/>
          <w:bCs/>
          <w:sz w:val="30"/>
          <w:szCs w:val="30"/>
          <w:lang w:val="en-US" w:eastAsia="zh-CN"/>
        </w:rPr>
        <w:t xml:space="preserve">                </w:t>
      </w:r>
      <w:r>
        <w:rPr>
          <w:rFonts w:hint="eastAsia" w:ascii="仿宋" w:hAnsi="仿宋" w:eastAsia="仿宋" w:cs="仿宋"/>
          <w:b/>
          <w:sz w:val="30"/>
          <w:szCs w:val="30"/>
        </w:rPr>
        <w:t xml:space="preserve">              </w:t>
      </w:r>
      <w:r>
        <w:rPr>
          <w:rFonts w:hint="eastAsia" w:ascii="仿宋" w:hAnsi="仿宋" w:eastAsia="仿宋" w:cs="仿宋"/>
          <w:b/>
          <w:sz w:val="30"/>
          <w:szCs w:val="30"/>
          <w:lang w:val="en-US" w:eastAsia="zh-CN"/>
        </w:rPr>
        <w:t xml:space="preserve">  </w:t>
      </w:r>
      <w:r>
        <w:rPr>
          <w:rFonts w:hint="eastAsia" w:ascii="仿宋" w:hAnsi="仿宋" w:eastAsia="仿宋" w:cs="仿宋"/>
          <w:b/>
          <w:sz w:val="30"/>
          <w:szCs w:val="30"/>
        </w:rPr>
        <w:t xml:space="preserve">                                                      </w:t>
      </w:r>
      <w:r>
        <w:rPr>
          <w:rFonts w:hint="eastAsia" w:ascii="宋体" w:hAnsi="宋体" w:eastAsia="仿宋"/>
          <w:b/>
          <w:bCs/>
          <w:sz w:val="36"/>
          <w:szCs w:val="36"/>
          <w:lang w:eastAsia="zh-CN"/>
        </w:rPr>
        <w:t>启迪冰雪项目三通一平土方清运采购项目二次</w:t>
      </w:r>
    </w:p>
    <w:p w14:paraId="0FC91114">
      <w:pPr>
        <w:autoSpaceDE w:val="0"/>
        <w:autoSpaceDN w:val="0"/>
        <w:jc w:val="center"/>
        <w:rPr>
          <w:rFonts w:ascii="仿宋" w:hAnsi="仿宋" w:eastAsia="仿宋" w:cs="仿宋"/>
          <w:b/>
          <w:bCs/>
          <w:sz w:val="30"/>
          <w:szCs w:val="30"/>
          <w:lang w:val="zh-CN"/>
        </w:rPr>
      </w:pPr>
      <w:r>
        <w:rPr>
          <w:rFonts w:hint="eastAsia" w:ascii="仿宋" w:hAnsi="仿宋" w:eastAsia="仿宋" w:cs="仿宋"/>
          <w:b/>
          <w:bCs/>
          <w:sz w:val="30"/>
          <w:szCs w:val="30"/>
          <w:lang w:val="zh-CN"/>
        </w:rPr>
        <w:t>（综合评分</w:t>
      </w:r>
      <w:r>
        <w:rPr>
          <w:rFonts w:hint="eastAsia" w:ascii="仿宋" w:hAnsi="仿宋" w:eastAsia="仿宋" w:cs="仿宋"/>
          <w:b/>
          <w:bCs/>
          <w:kern w:val="0"/>
          <w:sz w:val="30"/>
          <w:szCs w:val="30"/>
        </w:rPr>
        <w:t>法</w:t>
      </w:r>
      <w:r>
        <w:rPr>
          <w:rFonts w:hint="eastAsia" w:ascii="仿宋" w:hAnsi="仿宋" w:eastAsia="仿宋" w:cs="仿宋"/>
          <w:b/>
          <w:bCs/>
          <w:sz w:val="30"/>
          <w:szCs w:val="30"/>
          <w:lang w:val="zh-CN"/>
        </w:rPr>
        <w:t>）</w:t>
      </w:r>
    </w:p>
    <w:p w14:paraId="2BB03A4E">
      <w:pPr>
        <w:widowControl/>
        <w:autoSpaceDE w:val="0"/>
        <w:autoSpaceDN w:val="0"/>
        <w:ind w:right="-26"/>
        <w:textAlignment w:val="bottom"/>
        <w:rPr>
          <w:rFonts w:ascii="仿宋" w:hAnsi="仿宋" w:eastAsia="仿宋" w:cs="仿宋"/>
          <w:b/>
          <w:sz w:val="96"/>
          <w:szCs w:val="96"/>
        </w:rPr>
      </w:pPr>
      <w:r>
        <w:rPr>
          <w:rFonts w:ascii="仿宋" w:hAnsi="仿宋" w:eastAsia="仿宋" w:cs="仿宋"/>
        </w:rPr>
        <mc:AlternateContent>
          <mc:Choice Requires="wps">
            <w:drawing>
              <wp:anchor distT="0" distB="0" distL="114300" distR="114300" simplePos="0" relativeHeight="251669504" behindDoc="0" locked="0" layoutInCell="1" allowOverlap="1">
                <wp:simplePos x="0" y="0"/>
                <wp:positionH relativeFrom="column">
                  <wp:posOffset>-309880</wp:posOffset>
                </wp:positionH>
                <wp:positionV relativeFrom="paragraph">
                  <wp:posOffset>12700</wp:posOffset>
                </wp:positionV>
                <wp:extent cx="6391275" cy="9525"/>
                <wp:effectExtent l="0" t="25400" r="9525" b="41275"/>
                <wp:wrapNone/>
                <wp:docPr id="2" name="直接连接符 2"/>
                <wp:cNvGraphicFramePr/>
                <a:graphic xmlns:a="http://schemas.openxmlformats.org/drawingml/2006/main">
                  <a:graphicData uri="http://schemas.microsoft.com/office/word/2010/wordprocessingShape">
                    <wps:wsp>
                      <wps:cNvCnPr/>
                      <wps:spPr>
                        <a:xfrm>
                          <a:off x="0" y="0"/>
                          <a:ext cx="6391275" cy="9525"/>
                        </a:xfrm>
                        <a:prstGeom prst="line">
                          <a:avLst/>
                        </a:prstGeom>
                        <a:ln w="50800" cap="flat" cmpd="tri">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24.4pt;margin-top:1pt;height:0.75pt;width:503.25pt;z-index:251669504;mso-width-relative:page;mso-height-relative:page;" filled="f" stroked="t" coordsize="21600,21600" o:gfxdata="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NFJtcAAAAHAQAADwAAAAAAAAABACAAAAAiAAAAZHJzL2Rvd25yZXYu&#10;eG1sUEsBAhQAFAAAAAgAh07iQL+J9jr8AQAA9gMAAA4AAAAAAAAAAQAgAAAAJgEAAGRycy9lMm9E&#10;b2MueG1sUEsFBgAAAAAGAAYAWQEAAJQFAAAAAA==&#10;">
                <v:fill on="f" focussize="0,0"/>
                <v:stroke weight="4pt" color="#000000" linestyle="thickBetweenThin" joinstyle="round"/>
                <v:imagedata o:title=""/>
                <o:lock v:ext="edit" aspectratio="f"/>
              </v:line>
            </w:pict>
          </mc:Fallback>
        </mc:AlternateContent>
      </w:r>
    </w:p>
    <w:p w14:paraId="0226D586">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磋</w:t>
      </w:r>
    </w:p>
    <w:p w14:paraId="1C0785A1">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商</w:t>
      </w:r>
    </w:p>
    <w:p w14:paraId="6BAF5AF2">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文</w:t>
      </w:r>
    </w:p>
    <w:p w14:paraId="5DF13F53">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件</w:t>
      </w:r>
    </w:p>
    <w:p w14:paraId="43B607B8">
      <w:pPr>
        <w:widowControl/>
        <w:autoSpaceDE w:val="0"/>
        <w:autoSpaceDN w:val="0"/>
        <w:ind w:right="-26"/>
        <w:textAlignment w:val="bottom"/>
        <w:rPr>
          <w:rFonts w:ascii="仿宋" w:hAnsi="仿宋" w:eastAsia="仿宋" w:cs="仿宋"/>
          <w:b/>
          <w:sz w:val="32"/>
        </w:rPr>
      </w:pPr>
    </w:p>
    <w:p w14:paraId="2DE42BBA">
      <w:pPr>
        <w:widowControl/>
        <w:autoSpaceDE w:val="0"/>
        <w:autoSpaceDN w:val="0"/>
        <w:ind w:right="-26"/>
        <w:textAlignment w:val="bottom"/>
        <w:rPr>
          <w:rFonts w:ascii="仿宋" w:hAnsi="仿宋" w:eastAsia="仿宋" w:cs="仿宋"/>
          <w:b/>
          <w:sz w:val="32"/>
        </w:rPr>
      </w:pPr>
    </w:p>
    <w:p w14:paraId="569CFFFB">
      <w:pPr>
        <w:pStyle w:val="5"/>
      </w:pPr>
    </w:p>
    <w:p w14:paraId="4C32A224"/>
    <w:p w14:paraId="23EA51BF">
      <w:pPr>
        <w:pStyle w:val="5"/>
      </w:pPr>
    </w:p>
    <w:p w14:paraId="0DE0BB07"/>
    <w:p w14:paraId="5E40C3D4">
      <w:pPr>
        <w:pStyle w:val="5"/>
      </w:pPr>
    </w:p>
    <w:p w14:paraId="232240BE">
      <w:pPr>
        <w:widowControl/>
        <w:autoSpaceDE w:val="0"/>
        <w:autoSpaceDN w:val="0"/>
        <w:ind w:right="-26"/>
        <w:textAlignment w:val="bottom"/>
        <w:rPr>
          <w:rFonts w:hint="eastAsia" w:ascii="仿宋" w:hAnsi="仿宋" w:eastAsia="仿宋" w:cs="仿宋"/>
          <w:b/>
          <w:sz w:val="32"/>
          <w:lang w:eastAsia="zh-CN"/>
        </w:rPr>
      </w:pPr>
      <w:r>
        <w:rPr>
          <w:rFonts w:hint="eastAsia" w:ascii="仿宋" w:hAnsi="仿宋" w:eastAsia="仿宋" w:cs="仿宋"/>
          <w:b/>
          <w:sz w:val="32"/>
        </w:rPr>
        <w:t>采 购 人</w:t>
      </w:r>
      <w:r>
        <w:rPr>
          <w:rFonts w:hint="eastAsia" w:ascii="仿宋" w:hAnsi="仿宋" w:eastAsia="仿宋" w:cs="仿宋"/>
          <w:b/>
          <w:sz w:val="32"/>
          <w:lang w:val="en-US" w:eastAsia="zh-CN"/>
        </w:rPr>
        <w:t>:</w:t>
      </w:r>
      <w:r>
        <w:rPr>
          <w:rFonts w:hint="eastAsia" w:ascii="仿宋" w:hAnsi="仿宋" w:eastAsia="仿宋" w:cs="仿宋"/>
          <w:b/>
          <w:sz w:val="32"/>
          <w:lang w:eastAsia="zh-CN"/>
        </w:rPr>
        <w:t xml:space="preserve">喀什经济开发区城东金融贸易发展服务中心 </w:t>
      </w:r>
    </w:p>
    <w:p w14:paraId="18D6210C">
      <w:pPr>
        <w:widowControl/>
        <w:autoSpaceDE w:val="0"/>
        <w:autoSpaceDN w:val="0"/>
        <w:ind w:right="-26"/>
        <w:textAlignment w:val="bottom"/>
        <w:rPr>
          <w:rFonts w:ascii="仿宋" w:hAnsi="仿宋" w:eastAsia="仿宋" w:cs="仿宋"/>
          <w:b/>
          <w:sz w:val="32"/>
        </w:rPr>
      </w:pPr>
    </w:p>
    <w:p w14:paraId="7D85752F">
      <w:pPr>
        <w:widowControl/>
        <w:autoSpaceDE w:val="0"/>
        <w:autoSpaceDN w:val="0"/>
        <w:ind w:right="-26"/>
        <w:textAlignment w:val="bottom"/>
        <w:rPr>
          <w:rFonts w:hint="eastAsia" w:ascii="仿宋" w:hAnsi="仿宋" w:eastAsia="仿宋" w:cs="仿宋"/>
          <w:sz w:val="84"/>
          <w:szCs w:val="84"/>
          <w:lang w:eastAsia="zh-CN"/>
        </w:rPr>
      </w:pPr>
      <w:r>
        <w:rPr>
          <w:rFonts w:hint="eastAsia" w:ascii="仿宋" w:hAnsi="仿宋" w:eastAsia="仿宋" w:cs="仿宋"/>
          <w:b/>
          <w:sz w:val="32"/>
        </w:rPr>
        <w:t>代理机构：</w:t>
      </w:r>
      <w:r>
        <w:rPr>
          <w:rFonts w:hint="eastAsia" w:ascii="仿宋" w:hAnsi="仿宋" w:eastAsia="仿宋" w:cs="仿宋"/>
          <w:b/>
          <w:sz w:val="32"/>
          <w:lang w:eastAsia="zh-CN"/>
        </w:rPr>
        <w:t>智诚达项目管理咨询有限公司</w:t>
      </w:r>
    </w:p>
    <w:p w14:paraId="26D86054">
      <w:pPr>
        <w:pStyle w:val="25"/>
        <w:rPr>
          <w:rFonts w:ascii="仿宋" w:hAnsi="仿宋" w:eastAsia="仿宋" w:cs="仿宋"/>
          <w:b/>
          <w:sz w:val="52"/>
          <w:szCs w:val="52"/>
        </w:rPr>
        <w:sectPr>
          <w:headerReference r:id="rId3" w:type="default"/>
          <w:footerReference r:id="rId4" w:type="default"/>
          <w:pgSz w:w="11906" w:h="16838"/>
          <w:pgMar w:top="1440" w:right="1797" w:bottom="1440" w:left="1797" w:header="851" w:footer="992" w:gutter="0"/>
          <w:pgNumType w:start="1"/>
          <w:cols w:space="720" w:num="1"/>
          <w:docGrid w:type="linesAndChars" w:linePitch="312" w:charSpace="0"/>
        </w:sectPr>
      </w:pPr>
    </w:p>
    <w:p w14:paraId="5971B21D">
      <w:pPr>
        <w:pStyle w:val="25"/>
        <w:rPr>
          <w:rFonts w:ascii="仿宋" w:hAnsi="仿宋" w:eastAsia="仿宋" w:cs="仿宋"/>
          <w:b/>
          <w:sz w:val="52"/>
          <w:szCs w:val="52"/>
        </w:rPr>
        <w:sectPr>
          <w:footerReference r:id="rId5" w:type="default"/>
          <w:pgSz w:w="11906" w:h="16838"/>
          <w:pgMar w:top="1440" w:right="1797" w:bottom="1440" w:left="1797" w:header="851" w:footer="992" w:gutter="0"/>
          <w:pgNumType w:start="2"/>
          <w:cols w:space="720" w:num="1"/>
          <w:docGrid w:type="linesAndChars" w:linePitch="312" w:charSpace="0"/>
        </w:sectPr>
      </w:pPr>
    </w:p>
    <w:p w14:paraId="5F141831">
      <w:pPr>
        <w:pStyle w:val="25"/>
        <w:rPr>
          <w:rFonts w:ascii="仿宋" w:hAnsi="仿宋" w:eastAsia="仿宋" w:cs="仿宋"/>
          <w:b/>
          <w:sz w:val="52"/>
          <w:szCs w:val="52"/>
        </w:rPr>
      </w:pPr>
    </w:p>
    <w:p w14:paraId="464463C5">
      <w:pPr>
        <w:jc w:val="center"/>
        <w:rPr>
          <w:rFonts w:hint="eastAsia" w:eastAsia="宋体"/>
          <w:lang w:eastAsia="zh-CN"/>
        </w:rPr>
      </w:pPr>
      <w:r>
        <w:rPr>
          <w:rFonts w:hint="eastAsia" w:hAnsi="宋体" w:cs="宋体"/>
          <w:b/>
          <w:bCs/>
          <w:sz w:val="44"/>
          <w:szCs w:val="44"/>
        </w:rPr>
        <w:t xml:space="preserve"> </w:t>
      </w:r>
      <w:r>
        <w:rPr>
          <w:rFonts w:hint="eastAsia" w:hAnsi="宋体" w:cs="宋体"/>
          <w:b/>
          <w:bCs/>
          <w:sz w:val="36"/>
          <w:szCs w:val="36"/>
          <w:lang w:eastAsia="zh-CN"/>
        </w:rPr>
        <w:t>启迪冰雪项目三通一平土方清运采购项目二次</w:t>
      </w:r>
    </w:p>
    <w:p w14:paraId="1352BEDF">
      <w:pPr>
        <w:pStyle w:val="25"/>
      </w:pPr>
    </w:p>
    <w:p w14:paraId="7DB00385">
      <w:pPr>
        <w:pStyle w:val="25"/>
      </w:pPr>
    </w:p>
    <w:p w14:paraId="71AF235A">
      <w:pPr>
        <w:spacing w:line="240" w:lineRule="atLeast"/>
        <w:ind w:left="1079" w:leftChars="257" w:hanging="540"/>
        <w:jc w:val="center"/>
        <w:rPr>
          <w:rFonts w:ascii="仿宋" w:hAnsi="仿宋" w:eastAsia="仿宋" w:cs="仿宋"/>
          <w:b/>
          <w:sz w:val="36"/>
          <w:szCs w:val="36"/>
        </w:rPr>
      </w:pPr>
      <w:r>
        <w:rPr>
          <w:rFonts w:hint="eastAsia" w:ascii="仿宋" w:hAnsi="仿宋" w:eastAsia="仿宋" w:cs="仿宋"/>
          <w:b/>
          <w:sz w:val="36"/>
          <w:szCs w:val="36"/>
        </w:rPr>
        <w:t>磋商文件</w:t>
      </w:r>
    </w:p>
    <w:p w14:paraId="7BF39FED">
      <w:pPr>
        <w:spacing w:line="240" w:lineRule="atLeast"/>
        <w:ind w:firstLine="1500" w:firstLineChars="500"/>
        <w:rPr>
          <w:rFonts w:ascii="仿宋" w:hAnsi="仿宋" w:eastAsia="仿宋" w:cs="仿宋"/>
          <w:b/>
          <w:sz w:val="30"/>
          <w:szCs w:val="30"/>
        </w:rPr>
      </w:pPr>
    </w:p>
    <w:p w14:paraId="1F69FF4E">
      <w:pPr>
        <w:spacing w:line="240" w:lineRule="atLeast"/>
        <w:jc w:val="center"/>
        <w:rPr>
          <w:rFonts w:hint="default" w:ascii="仿宋" w:hAnsi="仿宋" w:eastAsia="仿宋" w:cs="仿宋"/>
          <w:b/>
          <w:color w:val="auto"/>
          <w:sz w:val="32"/>
          <w:szCs w:val="32"/>
          <w:lang w:val="en-US"/>
        </w:rPr>
      </w:pPr>
      <w:r>
        <w:rPr>
          <w:rFonts w:hint="eastAsia" w:ascii="仿宋" w:hAnsi="仿宋" w:eastAsia="仿宋" w:cs="仿宋"/>
          <w:b/>
          <w:color w:val="auto"/>
          <w:sz w:val="32"/>
          <w:szCs w:val="32"/>
        </w:rPr>
        <w:t>项目编号：</w:t>
      </w:r>
      <w:r>
        <w:rPr>
          <w:rFonts w:hint="eastAsia" w:ascii="仿宋" w:hAnsi="仿宋" w:eastAsia="仿宋" w:cs="仿宋"/>
          <w:b/>
          <w:bCs/>
          <w:color w:val="auto"/>
          <w:sz w:val="30"/>
          <w:szCs w:val="30"/>
          <w:lang w:val="en-US" w:eastAsia="zh-CN"/>
        </w:rPr>
        <w:t>KSJJKFQZFCG(CS)2025-05-1</w:t>
      </w:r>
    </w:p>
    <w:p w14:paraId="6F81E2D4">
      <w:pPr>
        <w:spacing w:line="240" w:lineRule="atLeast"/>
        <w:ind w:left="1079" w:leftChars="257" w:hanging="540"/>
        <w:rPr>
          <w:rFonts w:ascii="仿宋" w:hAnsi="仿宋" w:eastAsia="仿宋" w:cs="仿宋"/>
          <w:b/>
          <w:sz w:val="32"/>
          <w:szCs w:val="32"/>
        </w:rPr>
      </w:pPr>
    </w:p>
    <w:p w14:paraId="6925E0DD">
      <w:pPr>
        <w:spacing w:line="240" w:lineRule="atLeast"/>
        <w:ind w:firstLine="3840" w:firstLineChars="1200"/>
        <w:jc w:val="left"/>
        <w:rPr>
          <w:rFonts w:ascii="仿宋" w:hAnsi="仿宋" w:eastAsia="仿宋" w:cs="仿宋"/>
          <w:b/>
          <w:sz w:val="32"/>
          <w:szCs w:val="32"/>
        </w:rPr>
      </w:pPr>
      <w:r>
        <w:rPr>
          <w:rFonts w:hint="eastAsia" w:ascii="仿宋" w:hAnsi="仿宋" w:eastAsia="仿宋" w:cs="仿宋"/>
          <w:b/>
          <w:sz w:val="32"/>
          <w:szCs w:val="32"/>
        </w:rPr>
        <w:t>第一册</w:t>
      </w:r>
    </w:p>
    <w:p w14:paraId="2D5D8042">
      <w:pPr>
        <w:spacing w:line="240" w:lineRule="atLeast"/>
        <w:ind w:left="1079" w:leftChars="257" w:hanging="540"/>
        <w:jc w:val="center"/>
        <w:rPr>
          <w:rFonts w:ascii="仿宋" w:hAnsi="仿宋" w:eastAsia="仿宋" w:cs="仿宋"/>
          <w:b/>
          <w:sz w:val="52"/>
        </w:rPr>
      </w:pPr>
    </w:p>
    <w:p w14:paraId="04235297">
      <w:pPr>
        <w:pStyle w:val="25"/>
        <w:rPr>
          <w:rFonts w:ascii="仿宋" w:hAnsi="仿宋" w:eastAsia="仿宋" w:cs="仿宋"/>
        </w:rPr>
      </w:pPr>
    </w:p>
    <w:p w14:paraId="19291D84">
      <w:pPr>
        <w:pStyle w:val="25"/>
        <w:rPr>
          <w:rFonts w:ascii="仿宋" w:hAnsi="仿宋" w:eastAsia="仿宋" w:cs="仿宋"/>
        </w:rPr>
      </w:pPr>
    </w:p>
    <w:p w14:paraId="057F5924">
      <w:pPr>
        <w:pStyle w:val="25"/>
        <w:rPr>
          <w:rFonts w:ascii="仿宋" w:hAnsi="仿宋" w:eastAsia="仿宋" w:cs="仿宋"/>
        </w:rPr>
      </w:pPr>
    </w:p>
    <w:p w14:paraId="79A967D0">
      <w:pPr>
        <w:pStyle w:val="25"/>
        <w:rPr>
          <w:rFonts w:ascii="仿宋" w:hAnsi="仿宋" w:eastAsia="仿宋" w:cs="仿宋"/>
        </w:rPr>
      </w:pPr>
    </w:p>
    <w:p w14:paraId="25D8BD28">
      <w:pPr>
        <w:pStyle w:val="25"/>
        <w:rPr>
          <w:rFonts w:ascii="仿宋" w:hAnsi="仿宋" w:eastAsia="仿宋" w:cs="仿宋"/>
        </w:rPr>
      </w:pPr>
    </w:p>
    <w:p w14:paraId="29B317CB">
      <w:pPr>
        <w:pStyle w:val="25"/>
        <w:rPr>
          <w:rFonts w:ascii="仿宋" w:hAnsi="仿宋" w:eastAsia="仿宋" w:cs="仿宋"/>
        </w:rPr>
      </w:pPr>
    </w:p>
    <w:p w14:paraId="52ECBB18">
      <w:pPr>
        <w:pStyle w:val="13"/>
        <w:rPr>
          <w:rFonts w:ascii="仿宋" w:hAnsi="仿宋" w:eastAsia="仿宋" w:cs="仿宋"/>
        </w:rPr>
      </w:pPr>
    </w:p>
    <w:p w14:paraId="5E61EA18">
      <w:pPr>
        <w:pStyle w:val="32"/>
        <w:ind w:firstLine="240"/>
        <w:rPr>
          <w:rFonts w:ascii="仿宋" w:hAnsi="仿宋" w:eastAsia="仿宋" w:cs="仿宋"/>
        </w:rPr>
      </w:pPr>
    </w:p>
    <w:p w14:paraId="20BB3760"/>
    <w:p w14:paraId="402D65BE">
      <w:pPr>
        <w:spacing w:line="360" w:lineRule="auto"/>
        <w:rPr>
          <w:rFonts w:ascii="仿宋" w:hAnsi="仿宋" w:eastAsia="仿宋" w:cs="仿宋"/>
          <w:b/>
          <w:bCs/>
          <w:color w:val="auto"/>
          <w:sz w:val="30"/>
          <w:szCs w:val="30"/>
          <w:u w:val="single"/>
        </w:rPr>
      </w:pPr>
      <w:r>
        <w:rPr>
          <w:rFonts w:hint="eastAsia" w:ascii="仿宋" w:hAnsi="仿宋" w:eastAsia="仿宋" w:cs="仿宋"/>
          <w:b/>
          <w:bCs/>
          <w:sz w:val="30"/>
          <w:szCs w:val="30"/>
        </w:rPr>
        <w:t>采    购   人：</w:t>
      </w:r>
      <w:r>
        <w:rPr>
          <w:rFonts w:hint="eastAsia" w:ascii="仿宋" w:hAnsi="仿宋" w:eastAsia="仿宋" w:cs="仿宋"/>
          <w:b/>
          <w:bCs/>
          <w:sz w:val="30"/>
          <w:szCs w:val="30"/>
          <w:u w:val="single"/>
          <w:lang w:eastAsia="zh-CN"/>
        </w:rPr>
        <w:t>喀什经济</w:t>
      </w:r>
      <w:r>
        <w:rPr>
          <w:rFonts w:hint="eastAsia" w:ascii="仿宋" w:hAnsi="仿宋" w:eastAsia="仿宋" w:cs="仿宋"/>
          <w:b/>
          <w:bCs/>
          <w:color w:val="auto"/>
          <w:sz w:val="30"/>
          <w:szCs w:val="30"/>
          <w:u w:val="single"/>
          <w:lang w:eastAsia="zh-CN"/>
        </w:rPr>
        <w:t xml:space="preserve">开发区城东金融贸易发展服务中心 </w:t>
      </w:r>
      <w:r>
        <w:rPr>
          <w:rFonts w:hint="eastAsia" w:ascii="仿宋" w:hAnsi="仿宋" w:eastAsia="仿宋" w:cs="仿宋"/>
          <w:b/>
          <w:bCs/>
          <w:color w:val="auto"/>
          <w:sz w:val="30"/>
          <w:szCs w:val="30"/>
          <w:u w:val="single"/>
        </w:rPr>
        <w:t xml:space="preserve">                 </w:t>
      </w:r>
    </w:p>
    <w:p w14:paraId="07DE1817">
      <w:pPr>
        <w:pStyle w:val="15"/>
        <w:spacing w:before="75" w:beforeAutospacing="0" w:after="75" w:afterAutospacing="0" w:line="420" w:lineRule="exact"/>
        <w:rPr>
          <w:rFonts w:ascii="仿宋" w:hAnsi="仿宋" w:eastAsia="仿宋" w:cs="仿宋"/>
          <w:b/>
          <w:bCs/>
          <w:color w:val="auto"/>
          <w:kern w:val="2"/>
          <w:sz w:val="30"/>
          <w:szCs w:val="30"/>
          <w:u w:val="single"/>
        </w:rPr>
      </w:pPr>
      <w:r>
        <w:rPr>
          <w:rFonts w:hint="eastAsia" w:ascii="仿宋" w:hAnsi="仿宋" w:eastAsia="仿宋" w:cs="仿宋"/>
          <w:b/>
          <w:bCs/>
          <w:color w:val="auto"/>
          <w:kern w:val="2"/>
          <w:sz w:val="30"/>
          <w:szCs w:val="30"/>
        </w:rPr>
        <w:t>联    系   人：</w:t>
      </w:r>
      <w:r>
        <w:rPr>
          <w:rFonts w:hint="eastAsia" w:ascii="仿宋" w:hAnsi="仿宋" w:eastAsia="仿宋" w:cs="仿宋"/>
          <w:b/>
          <w:bCs/>
          <w:color w:val="auto"/>
          <w:kern w:val="2"/>
          <w:sz w:val="30"/>
          <w:szCs w:val="30"/>
          <w:u w:val="single"/>
        </w:rPr>
        <w:t xml:space="preserve">        </w:t>
      </w:r>
      <w:r>
        <w:rPr>
          <w:rFonts w:hint="eastAsia" w:ascii="仿宋" w:hAnsi="仿宋" w:eastAsia="仿宋" w:cs="仿宋"/>
          <w:b/>
          <w:bCs/>
          <w:color w:val="auto"/>
          <w:kern w:val="2"/>
          <w:sz w:val="30"/>
          <w:szCs w:val="30"/>
          <w:u w:val="single"/>
          <w:lang w:val="en-US" w:eastAsia="zh-CN"/>
        </w:rPr>
        <w:t xml:space="preserve">       </w:t>
      </w:r>
      <w:r>
        <w:rPr>
          <w:rFonts w:hint="eastAsia" w:ascii="仿宋" w:hAnsi="仿宋" w:eastAsia="仿宋" w:cs="仿宋"/>
          <w:b/>
          <w:bCs/>
          <w:color w:val="auto"/>
          <w:kern w:val="2"/>
          <w:sz w:val="30"/>
          <w:szCs w:val="30"/>
          <w:u w:val="single"/>
          <w:lang w:eastAsia="zh-CN"/>
        </w:rPr>
        <w:t>袁鹤林</w:t>
      </w:r>
      <w:r>
        <w:rPr>
          <w:rFonts w:hint="eastAsia" w:ascii="仿宋" w:hAnsi="仿宋" w:eastAsia="仿宋" w:cs="仿宋"/>
          <w:b/>
          <w:bCs/>
          <w:color w:val="auto"/>
          <w:kern w:val="2"/>
          <w:sz w:val="30"/>
          <w:szCs w:val="30"/>
          <w:u w:val="single"/>
        </w:rPr>
        <w:t xml:space="preserve">                                 </w:t>
      </w:r>
    </w:p>
    <w:p w14:paraId="61949057">
      <w:pPr>
        <w:pStyle w:val="15"/>
        <w:spacing w:before="75" w:beforeAutospacing="0" w:after="75" w:afterAutospacing="0" w:line="420" w:lineRule="exact"/>
        <w:rPr>
          <w:rFonts w:ascii="仿宋" w:hAnsi="仿宋" w:eastAsia="仿宋" w:cs="仿宋"/>
          <w:b/>
          <w:bCs/>
          <w:color w:val="auto"/>
          <w:kern w:val="2"/>
          <w:sz w:val="30"/>
          <w:szCs w:val="30"/>
          <w:u w:val="single"/>
        </w:rPr>
      </w:pPr>
      <w:r>
        <w:rPr>
          <w:rFonts w:hint="eastAsia" w:ascii="仿宋" w:hAnsi="仿宋" w:eastAsia="仿宋" w:cs="仿宋"/>
          <w:b/>
          <w:bCs/>
          <w:color w:val="auto"/>
          <w:kern w:val="2"/>
          <w:sz w:val="30"/>
          <w:szCs w:val="30"/>
        </w:rPr>
        <w:t>联  系  电 话：</w:t>
      </w:r>
      <w:r>
        <w:rPr>
          <w:rFonts w:hint="eastAsia" w:ascii="仿宋" w:hAnsi="仿宋" w:eastAsia="仿宋" w:cs="仿宋"/>
          <w:b/>
          <w:bCs/>
          <w:color w:val="auto"/>
          <w:kern w:val="2"/>
          <w:sz w:val="30"/>
          <w:szCs w:val="30"/>
          <w:u w:val="single"/>
        </w:rPr>
        <w:t xml:space="preserve">            18699849396                        </w:t>
      </w:r>
    </w:p>
    <w:p w14:paraId="0ED5B47F">
      <w:pPr>
        <w:pStyle w:val="15"/>
        <w:spacing w:before="75" w:beforeAutospacing="0" w:after="75" w:afterAutospacing="0" w:line="420" w:lineRule="exact"/>
        <w:rPr>
          <w:rFonts w:ascii="仿宋" w:hAnsi="仿宋" w:eastAsia="仿宋" w:cs="仿宋"/>
          <w:b/>
          <w:bCs/>
          <w:sz w:val="30"/>
          <w:szCs w:val="30"/>
          <w:u w:val="single"/>
        </w:rPr>
      </w:pPr>
      <w:r>
        <w:rPr>
          <w:rFonts w:hint="eastAsia" w:ascii="仿宋" w:hAnsi="仿宋" w:eastAsia="仿宋" w:cs="仿宋"/>
          <w:b/>
          <w:bCs/>
          <w:color w:val="auto"/>
          <w:sz w:val="30"/>
          <w:szCs w:val="30"/>
        </w:rPr>
        <w:t>采 购代理机构：</w:t>
      </w:r>
      <w:r>
        <w:rPr>
          <w:rFonts w:hint="eastAsia" w:ascii="仿宋" w:hAnsi="仿宋" w:eastAsia="仿宋" w:cs="仿宋"/>
          <w:b/>
          <w:bCs/>
          <w:color w:val="auto"/>
          <w:sz w:val="30"/>
          <w:szCs w:val="30"/>
          <w:u w:val="single"/>
        </w:rPr>
        <w:t xml:space="preserve">    </w:t>
      </w:r>
      <w:r>
        <w:rPr>
          <w:rFonts w:hint="eastAsia" w:ascii="仿宋" w:hAnsi="仿宋" w:eastAsia="仿宋" w:cs="仿宋"/>
          <w:b/>
          <w:bCs/>
          <w:color w:val="auto"/>
          <w:sz w:val="30"/>
          <w:szCs w:val="30"/>
          <w:u w:val="single"/>
          <w:lang w:val="en-US" w:eastAsia="zh-CN"/>
        </w:rPr>
        <w:t xml:space="preserve"> </w:t>
      </w:r>
      <w:r>
        <w:rPr>
          <w:rFonts w:hint="eastAsia" w:ascii="仿宋" w:hAnsi="仿宋" w:eastAsia="仿宋" w:cs="仿宋"/>
          <w:b/>
          <w:bCs/>
          <w:color w:val="auto"/>
          <w:sz w:val="30"/>
          <w:szCs w:val="30"/>
          <w:u w:val="single"/>
          <w:lang w:eastAsia="zh-CN"/>
        </w:rPr>
        <w:t>智诚达项目管理咨询有限公司</w:t>
      </w:r>
      <w:r>
        <w:rPr>
          <w:rFonts w:hint="eastAsia" w:ascii="仿宋" w:hAnsi="仿宋" w:eastAsia="仿宋" w:cs="仿宋"/>
          <w:b/>
          <w:bCs/>
          <w:sz w:val="30"/>
          <w:szCs w:val="30"/>
          <w:u w:val="single"/>
        </w:rPr>
        <w:t xml:space="preserve">           </w:t>
      </w:r>
    </w:p>
    <w:p w14:paraId="460D0DFE">
      <w:pPr>
        <w:spacing w:line="500" w:lineRule="exact"/>
        <w:ind w:left="2096" w:hanging="2088" w:hangingChars="696"/>
        <w:rPr>
          <w:rFonts w:ascii="仿宋" w:hAnsi="仿宋" w:eastAsia="仿宋" w:cs="仿宋"/>
          <w:b/>
          <w:bCs/>
          <w:sz w:val="30"/>
          <w:szCs w:val="30"/>
          <w:u w:val="single"/>
        </w:rPr>
      </w:pPr>
      <w:r>
        <w:rPr>
          <w:rFonts w:hint="eastAsia" w:ascii="仿宋" w:hAnsi="仿宋" w:eastAsia="仿宋" w:cs="仿宋"/>
          <w:b/>
          <w:bCs/>
          <w:sz w:val="30"/>
          <w:szCs w:val="30"/>
        </w:rPr>
        <w:t>代 理机构地址：</w:t>
      </w:r>
      <w:r>
        <w:rPr>
          <w:rFonts w:hint="eastAsia" w:ascii="仿宋" w:hAnsi="仿宋" w:eastAsia="仿宋" w:cs="仿宋"/>
          <w:b/>
          <w:bCs/>
          <w:sz w:val="30"/>
          <w:szCs w:val="30"/>
          <w:u w:val="single"/>
          <w:lang w:eastAsia="zh-CN"/>
        </w:rPr>
        <w:t>新疆喀什地区喀什市新疆喀什地区喀什经济开发区川渝大厦10层1001号</w:t>
      </w:r>
      <w:r>
        <w:rPr>
          <w:rFonts w:hint="eastAsia" w:ascii="仿宋" w:hAnsi="仿宋" w:eastAsia="仿宋" w:cs="仿宋"/>
          <w:b/>
          <w:bCs/>
          <w:sz w:val="30"/>
          <w:szCs w:val="30"/>
          <w:u w:val="single"/>
        </w:rPr>
        <w:t xml:space="preserve">                       </w:t>
      </w:r>
    </w:p>
    <w:p w14:paraId="486EDAD0">
      <w:pPr>
        <w:spacing w:line="500" w:lineRule="exact"/>
        <w:rPr>
          <w:rFonts w:ascii="仿宋" w:hAnsi="仿宋" w:eastAsia="仿宋" w:cs="仿宋"/>
          <w:b/>
          <w:bCs/>
          <w:sz w:val="30"/>
          <w:szCs w:val="30"/>
          <w:u w:val="single"/>
        </w:rPr>
      </w:pPr>
      <w:r>
        <w:rPr>
          <w:rFonts w:hint="eastAsia" w:ascii="仿宋" w:hAnsi="仿宋" w:eastAsia="仿宋" w:cs="仿宋"/>
          <w:b/>
          <w:bCs/>
          <w:sz w:val="30"/>
          <w:szCs w:val="30"/>
        </w:rPr>
        <w:t xml:space="preserve">联   系   人： </w:t>
      </w:r>
      <w:r>
        <w:rPr>
          <w:rFonts w:hint="eastAsia" w:ascii="仿宋" w:hAnsi="仿宋" w:eastAsia="仿宋" w:cs="仿宋"/>
          <w:b/>
          <w:bCs/>
          <w:sz w:val="30"/>
          <w:szCs w:val="30"/>
          <w:u w:val="single"/>
        </w:rPr>
        <w:t xml:space="preserve">              </w:t>
      </w:r>
      <w:r>
        <w:rPr>
          <w:rFonts w:hint="eastAsia" w:ascii="仿宋" w:hAnsi="仿宋" w:eastAsia="仿宋" w:cs="仿宋"/>
          <w:b/>
          <w:bCs/>
          <w:sz w:val="30"/>
          <w:szCs w:val="30"/>
          <w:u w:val="single"/>
          <w:lang w:val="en-US" w:eastAsia="zh-CN"/>
        </w:rPr>
        <w:t>乔成江</w:t>
      </w:r>
      <w:r>
        <w:rPr>
          <w:rFonts w:hint="eastAsia" w:ascii="仿宋" w:hAnsi="仿宋" w:eastAsia="仿宋" w:cs="仿宋"/>
          <w:b/>
          <w:bCs/>
          <w:sz w:val="30"/>
          <w:szCs w:val="30"/>
          <w:u w:val="single"/>
        </w:rPr>
        <w:t xml:space="preserve">                                        </w:t>
      </w:r>
    </w:p>
    <w:p w14:paraId="4C861DDC">
      <w:pPr>
        <w:spacing w:line="500" w:lineRule="exact"/>
        <w:rPr>
          <w:rFonts w:ascii="仿宋" w:hAnsi="仿宋" w:eastAsia="仿宋" w:cs="仿宋"/>
          <w:b/>
          <w:bCs/>
          <w:sz w:val="30"/>
          <w:szCs w:val="30"/>
          <w:u w:val="single"/>
        </w:rPr>
      </w:pPr>
      <w:r>
        <w:rPr>
          <w:rFonts w:hint="eastAsia" w:ascii="仿宋" w:hAnsi="仿宋" w:eastAsia="仿宋" w:cs="仿宋"/>
          <w:b/>
          <w:bCs/>
          <w:sz w:val="30"/>
          <w:szCs w:val="30"/>
        </w:rPr>
        <w:t>联  系 电 话：</w:t>
      </w:r>
      <w:r>
        <w:rPr>
          <w:rFonts w:hint="eastAsia" w:ascii="仿宋" w:hAnsi="仿宋" w:eastAsia="仿宋" w:cs="仿宋"/>
          <w:b/>
          <w:bCs/>
          <w:sz w:val="30"/>
          <w:szCs w:val="30"/>
          <w:u w:val="single"/>
        </w:rPr>
        <w:t xml:space="preserve">             </w:t>
      </w:r>
      <w:r>
        <w:rPr>
          <w:rFonts w:hint="eastAsia" w:ascii="仿宋" w:hAnsi="仿宋" w:eastAsia="仿宋" w:cs="仿宋"/>
          <w:b/>
          <w:bCs/>
          <w:sz w:val="30"/>
          <w:szCs w:val="30"/>
          <w:u w:val="single"/>
          <w:lang w:val="en-US" w:eastAsia="zh-CN"/>
        </w:rPr>
        <w:t>15770101983</w:t>
      </w:r>
      <w:r>
        <w:rPr>
          <w:rFonts w:hint="eastAsia" w:ascii="仿宋" w:hAnsi="仿宋" w:eastAsia="仿宋" w:cs="仿宋"/>
          <w:b/>
          <w:bCs/>
          <w:sz w:val="30"/>
          <w:szCs w:val="30"/>
          <w:u w:val="single"/>
        </w:rPr>
        <w:t xml:space="preserve">                                    </w:t>
      </w:r>
    </w:p>
    <w:p w14:paraId="7D3D1BF7">
      <w:pPr>
        <w:spacing w:line="600" w:lineRule="exact"/>
      </w:pPr>
      <w:r>
        <w:rPr>
          <w:rFonts w:hint="eastAsia" w:ascii="仿宋" w:hAnsi="仿宋" w:eastAsia="仿宋" w:cs="仿宋"/>
          <w:b/>
          <w:bCs/>
          <w:sz w:val="30"/>
          <w:szCs w:val="30"/>
        </w:rPr>
        <w:t>发  出 日 期：</w:t>
      </w:r>
      <w:r>
        <w:rPr>
          <w:rFonts w:hint="eastAsia" w:ascii="仿宋" w:hAnsi="仿宋" w:eastAsia="仿宋" w:cs="仿宋"/>
          <w:b/>
          <w:bCs/>
          <w:sz w:val="30"/>
          <w:szCs w:val="30"/>
          <w:u w:val="single"/>
        </w:rPr>
        <w:t xml:space="preserve">             202</w:t>
      </w:r>
      <w:r>
        <w:rPr>
          <w:rFonts w:hint="eastAsia" w:ascii="仿宋" w:hAnsi="仿宋" w:eastAsia="仿宋" w:cs="仿宋"/>
          <w:b/>
          <w:bCs/>
          <w:sz w:val="30"/>
          <w:szCs w:val="30"/>
          <w:u w:val="single"/>
          <w:lang w:val="en-US" w:eastAsia="zh-CN"/>
        </w:rPr>
        <w:t>5</w:t>
      </w:r>
      <w:r>
        <w:rPr>
          <w:rFonts w:hint="eastAsia" w:ascii="仿宋" w:hAnsi="仿宋" w:eastAsia="仿宋" w:cs="仿宋"/>
          <w:b/>
          <w:bCs/>
          <w:sz w:val="30"/>
          <w:szCs w:val="30"/>
          <w:u w:val="single"/>
        </w:rPr>
        <w:t>年</w:t>
      </w:r>
      <w:r>
        <w:rPr>
          <w:rFonts w:hint="eastAsia" w:ascii="仿宋" w:hAnsi="仿宋" w:eastAsia="仿宋" w:cs="仿宋"/>
          <w:b/>
          <w:bCs/>
          <w:sz w:val="30"/>
          <w:szCs w:val="30"/>
          <w:u w:val="single"/>
          <w:lang w:val="en-US" w:eastAsia="zh-CN"/>
        </w:rPr>
        <w:t>03</w:t>
      </w:r>
      <w:r>
        <w:rPr>
          <w:rFonts w:hint="eastAsia" w:ascii="仿宋" w:hAnsi="仿宋" w:eastAsia="仿宋" w:cs="仿宋"/>
          <w:b/>
          <w:bCs/>
          <w:sz w:val="30"/>
          <w:szCs w:val="30"/>
          <w:u w:val="single"/>
        </w:rPr>
        <w:t xml:space="preserve">月                   </w:t>
      </w:r>
    </w:p>
    <w:p w14:paraId="3E5CE7D7">
      <w:pPr>
        <w:spacing w:line="240" w:lineRule="atLeast"/>
        <w:jc w:val="center"/>
        <w:rPr>
          <w:rFonts w:ascii="仿宋" w:hAnsi="仿宋" w:eastAsia="仿宋" w:cs="仿宋"/>
          <w:b/>
          <w:sz w:val="30"/>
          <w:szCs w:val="30"/>
        </w:rPr>
      </w:pPr>
    </w:p>
    <w:p w14:paraId="51F22A80">
      <w:pPr>
        <w:spacing w:line="240" w:lineRule="atLeast"/>
        <w:jc w:val="center"/>
        <w:rPr>
          <w:rFonts w:ascii="仿宋" w:hAnsi="仿宋" w:eastAsia="仿宋" w:cs="仿宋"/>
          <w:b/>
          <w:sz w:val="30"/>
          <w:szCs w:val="30"/>
        </w:rPr>
      </w:pPr>
      <w:r>
        <w:rPr>
          <w:rFonts w:hint="eastAsia" w:ascii="仿宋" w:hAnsi="仿宋" w:eastAsia="仿宋" w:cs="仿宋"/>
          <w:b/>
          <w:sz w:val="30"/>
          <w:szCs w:val="30"/>
        </w:rPr>
        <w:t>目录</w:t>
      </w:r>
    </w:p>
    <w:p w14:paraId="723E8DB4">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TOC \o "1-3" \h \z \u </w:instrText>
      </w:r>
      <w:r>
        <w:rPr>
          <w:rFonts w:hint="eastAsia" w:ascii="仿宋" w:hAnsi="仿宋" w:eastAsia="仿宋" w:cs="仿宋"/>
          <w:kern w:val="0"/>
          <w:szCs w:val="21"/>
        </w:rPr>
        <w:fldChar w:fldCharType="separate"/>
      </w: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_Toc6833 </w:instrText>
      </w:r>
      <w:r>
        <w:rPr>
          <w:rFonts w:hint="eastAsia" w:ascii="仿宋" w:hAnsi="仿宋" w:eastAsia="仿宋" w:cs="仿宋"/>
          <w:kern w:val="0"/>
          <w:szCs w:val="21"/>
        </w:rPr>
        <w:fldChar w:fldCharType="separate"/>
      </w:r>
      <w:r>
        <w:rPr>
          <w:rFonts w:hint="default" w:ascii="仿宋" w:hAnsi="仿宋" w:eastAsia="仿宋" w:cs="仿宋"/>
          <w:lang w:val="en-US"/>
        </w:rPr>
        <w:t xml:space="preserve">第1章 </w:t>
      </w:r>
      <w:r>
        <w:rPr>
          <w:rFonts w:hint="eastAsia" w:ascii="仿宋" w:hAnsi="仿宋" w:eastAsia="仿宋" w:cs="仿宋"/>
        </w:rPr>
        <w:t xml:space="preserve">  供应商须知</w:t>
      </w:r>
      <w:r>
        <w:tab/>
      </w:r>
      <w:r>
        <w:fldChar w:fldCharType="begin"/>
      </w:r>
      <w:r>
        <w:instrText xml:space="preserve"> PAGEREF _Toc6833 \h </w:instrText>
      </w:r>
      <w:r>
        <w:fldChar w:fldCharType="separate"/>
      </w:r>
      <w:r>
        <w:t>6</w:t>
      </w:r>
      <w:r>
        <w:fldChar w:fldCharType="end"/>
      </w:r>
      <w:r>
        <w:rPr>
          <w:rFonts w:hint="eastAsia" w:ascii="仿宋" w:hAnsi="仿宋" w:eastAsia="仿宋" w:cs="仿宋"/>
          <w:kern w:val="0"/>
          <w:szCs w:val="21"/>
        </w:rPr>
        <w:fldChar w:fldCharType="end"/>
      </w:r>
    </w:p>
    <w:p w14:paraId="728E7952">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_Toc18483 </w:instrText>
      </w:r>
      <w:r>
        <w:rPr>
          <w:rFonts w:hint="eastAsia" w:ascii="仿宋" w:hAnsi="仿宋" w:eastAsia="仿宋" w:cs="仿宋"/>
          <w:kern w:val="0"/>
          <w:szCs w:val="21"/>
        </w:rPr>
        <w:fldChar w:fldCharType="separate"/>
      </w:r>
      <w:r>
        <w:rPr>
          <w:rFonts w:hint="eastAsia" w:ascii="仿宋" w:hAnsi="仿宋" w:eastAsia="仿宋" w:cs="仿宋"/>
        </w:rPr>
        <w:t>一   总 则</w:t>
      </w:r>
      <w:r>
        <w:tab/>
      </w:r>
      <w:r>
        <w:fldChar w:fldCharType="begin"/>
      </w:r>
      <w:r>
        <w:instrText xml:space="preserve"> PAGEREF _Toc18483 \h </w:instrText>
      </w:r>
      <w:r>
        <w:fldChar w:fldCharType="separate"/>
      </w:r>
      <w:r>
        <w:t>6</w:t>
      </w:r>
      <w:r>
        <w:fldChar w:fldCharType="end"/>
      </w:r>
      <w:r>
        <w:rPr>
          <w:rFonts w:hint="eastAsia" w:ascii="仿宋" w:hAnsi="仿宋" w:eastAsia="仿宋" w:cs="仿宋"/>
          <w:kern w:val="0"/>
          <w:szCs w:val="21"/>
        </w:rPr>
        <w:fldChar w:fldCharType="end"/>
      </w:r>
    </w:p>
    <w:p w14:paraId="6D278568">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_Toc27487 </w:instrText>
      </w:r>
      <w:r>
        <w:rPr>
          <w:rFonts w:hint="eastAsia" w:ascii="仿宋" w:hAnsi="仿宋" w:eastAsia="仿宋" w:cs="仿宋"/>
          <w:kern w:val="0"/>
          <w:szCs w:val="21"/>
        </w:rPr>
        <w:fldChar w:fldCharType="separate"/>
      </w:r>
      <w:r>
        <w:rPr>
          <w:rFonts w:hint="eastAsia" w:ascii="仿宋" w:hAnsi="仿宋" w:eastAsia="仿宋" w:cs="仿宋"/>
        </w:rPr>
        <w:t>1.采购人、采购代理机构及供应商</w:t>
      </w:r>
      <w:r>
        <w:tab/>
      </w:r>
      <w:r>
        <w:fldChar w:fldCharType="begin"/>
      </w:r>
      <w:r>
        <w:instrText xml:space="preserve"> PAGEREF _Toc27487 \h </w:instrText>
      </w:r>
      <w:r>
        <w:fldChar w:fldCharType="separate"/>
      </w:r>
      <w:r>
        <w:t>6</w:t>
      </w:r>
      <w:r>
        <w:fldChar w:fldCharType="end"/>
      </w:r>
      <w:r>
        <w:rPr>
          <w:rFonts w:hint="eastAsia" w:ascii="仿宋" w:hAnsi="仿宋" w:eastAsia="仿宋" w:cs="仿宋"/>
          <w:kern w:val="0"/>
          <w:szCs w:val="21"/>
        </w:rPr>
        <w:fldChar w:fldCharType="end"/>
      </w:r>
    </w:p>
    <w:p w14:paraId="19FEB522">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_Toc12786 </w:instrText>
      </w:r>
      <w:r>
        <w:rPr>
          <w:rFonts w:hint="eastAsia" w:ascii="仿宋" w:hAnsi="仿宋" w:eastAsia="仿宋" w:cs="仿宋"/>
          <w:kern w:val="0"/>
          <w:szCs w:val="21"/>
        </w:rPr>
        <w:fldChar w:fldCharType="separate"/>
      </w:r>
      <w:r>
        <w:rPr>
          <w:rFonts w:hint="eastAsia" w:ascii="仿宋" w:hAnsi="仿宋" w:eastAsia="仿宋" w:cs="仿宋"/>
        </w:rPr>
        <w:t>2.资金来源</w:t>
      </w:r>
      <w:r>
        <w:tab/>
      </w:r>
      <w:r>
        <w:fldChar w:fldCharType="begin"/>
      </w:r>
      <w:r>
        <w:instrText xml:space="preserve"> PAGEREF _Toc12786 \h </w:instrText>
      </w:r>
      <w:r>
        <w:fldChar w:fldCharType="separate"/>
      </w:r>
      <w:r>
        <w:t>7</w:t>
      </w:r>
      <w:r>
        <w:fldChar w:fldCharType="end"/>
      </w:r>
      <w:r>
        <w:rPr>
          <w:rFonts w:hint="eastAsia" w:ascii="仿宋" w:hAnsi="仿宋" w:eastAsia="仿宋" w:cs="仿宋"/>
          <w:kern w:val="0"/>
          <w:szCs w:val="21"/>
        </w:rPr>
        <w:fldChar w:fldCharType="end"/>
      </w:r>
    </w:p>
    <w:p w14:paraId="281B9D26">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_Toc29797 </w:instrText>
      </w:r>
      <w:r>
        <w:rPr>
          <w:rFonts w:hint="eastAsia" w:ascii="仿宋" w:hAnsi="仿宋" w:eastAsia="仿宋" w:cs="仿宋"/>
          <w:kern w:val="0"/>
          <w:szCs w:val="21"/>
        </w:rPr>
        <w:fldChar w:fldCharType="separate"/>
      </w:r>
      <w:r>
        <w:rPr>
          <w:rFonts w:hint="eastAsia" w:ascii="仿宋" w:hAnsi="仿宋" w:eastAsia="仿宋" w:cs="仿宋"/>
        </w:rPr>
        <w:t>3.投标费用</w:t>
      </w:r>
      <w:r>
        <w:tab/>
      </w:r>
      <w:r>
        <w:fldChar w:fldCharType="begin"/>
      </w:r>
      <w:r>
        <w:instrText xml:space="preserve"> PAGEREF _Toc29797 \h </w:instrText>
      </w:r>
      <w:r>
        <w:fldChar w:fldCharType="separate"/>
      </w:r>
      <w:r>
        <w:t>7</w:t>
      </w:r>
      <w:r>
        <w:fldChar w:fldCharType="end"/>
      </w:r>
      <w:r>
        <w:rPr>
          <w:rFonts w:hint="eastAsia" w:ascii="仿宋" w:hAnsi="仿宋" w:eastAsia="仿宋" w:cs="仿宋"/>
          <w:kern w:val="0"/>
          <w:szCs w:val="21"/>
        </w:rPr>
        <w:fldChar w:fldCharType="end"/>
      </w:r>
    </w:p>
    <w:p w14:paraId="05BDBA1F">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_Toc14138 </w:instrText>
      </w:r>
      <w:r>
        <w:rPr>
          <w:rFonts w:hint="eastAsia" w:ascii="仿宋" w:hAnsi="仿宋" w:eastAsia="仿宋" w:cs="仿宋"/>
          <w:kern w:val="0"/>
          <w:szCs w:val="21"/>
        </w:rPr>
        <w:fldChar w:fldCharType="separate"/>
      </w:r>
      <w:r>
        <w:rPr>
          <w:rFonts w:hint="eastAsia" w:ascii="仿宋" w:hAnsi="仿宋" w:eastAsia="仿宋" w:cs="仿宋"/>
        </w:rPr>
        <w:t>4.适用法律</w:t>
      </w:r>
      <w:r>
        <w:tab/>
      </w:r>
      <w:r>
        <w:fldChar w:fldCharType="begin"/>
      </w:r>
      <w:r>
        <w:instrText xml:space="preserve"> PAGEREF _Toc14138 \h </w:instrText>
      </w:r>
      <w:r>
        <w:fldChar w:fldCharType="separate"/>
      </w:r>
      <w:r>
        <w:t>7</w:t>
      </w:r>
      <w:r>
        <w:fldChar w:fldCharType="end"/>
      </w:r>
      <w:r>
        <w:rPr>
          <w:rFonts w:hint="eastAsia" w:ascii="仿宋" w:hAnsi="仿宋" w:eastAsia="仿宋" w:cs="仿宋"/>
          <w:kern w:val="0"/>
          <w:szCs w:val="21"/>
        </w:rPr>
        <w:fldChar w:fldCharType="end"/>
      </w:r>
    </w:p>
    <w:p w14:paraId="06B779F5">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_Toc10785 </w:instrText>
      </w:r>
      <w:r>
        <w:rPr>
          <w:rFonts w:hint="eastAsia" w:ascii="仿宋" w:hAnsi="仿宋" w:eastAsia="仿宋" w:cs="仿宋"/>
          <w:kern w:val="0"/>
          <w:szCs w:val="21"/>
        </w:rPr>
        <w:fldChar w:fldCharType="separate"/>
      </w:r>
      <w:r>
        <w:rPr>
          <w:rFonts w:hint="eastAsia" w:ascii="仿宋" w:hAnsi="仿宋" w:eastAsia="仿宋" w:cs="仿宋"/>
        </w:rPr>
        <w:t>二   磋商文件</w:t>
      </w:r>
      <w:r>
        <w:tab/>
      </w:r>
      <w:r>
        <w:fldChar w:fldCharType="begin"/>
      </w:r>
      <w:r>
        <w:instrText xml:space="preserve"> PAGEREF _Toc10785 \h </w:instrText>
      </w:r>
      <w:r>
        <w:fldChar w:fldCharType="separate"/>
      </w:r>
      <w:r>
        <w:t>7</w:t>
      </w:r>
      <w:r>
        <w:fldChar w:fldCharType="end"/>
      </w:r>
      <w:r>
        <w:rPr>
          <w:rFonts w:hint="eastAsia" w:ascii="仿宋" w:hAnsi="仿宋" w:eastAsia="仿宋" w:cs="仿宋"/>
          <w:kern w:val="0"/>
          <w:szCs w:val="21"/>
        </w:rPr>
        <w:fldChar w:fldCharType="end"/>
      </w:r>
    </w:p>
    <w:p w14:paraId="69ED3093">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_Toc20839 </w:instrText>
      </w:r>
      <w:r>
        <w:rPr>
          <w:rFonts w:hint="eastAsia" w:ascii="仿宋" w:hAnsi="仿宋" w:eastAsia="仿宋" w:cs="仿宋"/>
          <w:kern w:val="0"/>
          <w:szCs w:val="21"/>
        </w:rPr>
        <w:fldChar w:fldCharType="separate"/>
      </w:r>
      <w:r>
        <w:rPr>
          <w:rFonts w:hint="eastAsia" w:ascii="仿宋" w:hAnsi="仿宋" w:eastAsia="仿宋" w:cs="仿宋"/>
        </w:rPr>
        <w:t>5.磋商文件构成</w:t>
      </w:r>
      <w:r>
        <w:tab/>
      </w:r>
      <w:r>
        <w:fldChar w:fldCharType="begin"/>
      </w:r>
      <w:r>
        <w:instrText xml:space="preserve"> PAGEREF _Toc20839 \h </w:instrText>
      </w:r>
      <w:r>
        <w:fldChar w:fldCharType="separate"/>
      </w:r>
      <w:r>
        <w:t>7</w:t>
      </w:r>
      <w:r>
        <w:fldChar w:fldCharType="end"/>
      </w:r>
      <w:r>
        <w:rPr>
          <w:rFonts w:hint="eastAsia" w:ascii="仿宋" w:hAnsi="仿宋" w:eastAsia="仿宋" w:cs="仿宋"/>
          <w:kern w:val="0"/>
          <w:szCs w:val="21"/>
        </w:rPr>
        <w:fldChar w:fldCharType="end"/>
      </w:r>
    </w:p>
    <w:p w14:paraId="375B2A42">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_Toc1298 </w:instrText>
      </w:r>
      <w:r>
        <w:rPr>
          <w:rFonts w:hint="eastAsia" w:ascii="仿宋" w:hAnsi="仿宋" w:eastAsia="仿宋" w:cs="仿宋"/>
          <w:kern w:val="0"/>
          <w:szCs w:val="21"/>
        </w:rPr>
        <w:fldChar w:fldCharType="separate"/>
      </w:r>
      <w:r>
        <w:rPr>
          <w:rFonts w:hint="eastAsia" w:ascii="仿宋" w:hAnsi="仿宋" w:eastAsia="仿宋" w:cs="仿宋"/>
        </w:rPr>
        <w:t>6.磋商文件的澄清与修改</w:t>
      </w:r>
      <w:r>
        <w:tab/>
      </w:r>
      <w:r>
        <w:fldChar w:fldCharType="begin"/>
      </w:r>
      <w:r>
        <w:instrText xml:space="preserve"> PAGEREF _Toc1298 \h </w:instrText>
      </w:r>
      <w:r>
        <w:fldChar w:fldCharType="separate"/>
      </w:r>
      <w:r>
        <w:t>8</w:t>
      </w:r>
      <w:r>
        <w:fldChar w:fldCharType="end"/>
      </w:r>
      <w:r>
        <w:rPr>
          <w:rFonts w:hint="eastAsia" w:ascii="仿宋" w:hAnsi="仿宋" w:eastAsia="仿宋" w:cs="仿宋"/>
          <w:kern w:val="0"/>
          <w:szCs w:val="21"/>
        </w:rPr>
        <w:fldChar w:fldCharType="end"/>
      </w:r>
    </w:p>
    <w:p w14:paraId="7D7DAFE5">
      <w:pPr>
        <w:pStyle w:val="28"/>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_Toc12617 </w:instrText>
      </w:r>
      <w:r>
        <w:rPr>
          <w:rFonts w:hint="eastAsia" w:ascii="仿宋" w:hAnsi="仿宋" w:eastAsia="仿宋" w:cs="仿宋"/>
          <w:kern w:val="0"/>
          <w:szCs w:val="21"/>
        </w:rPr>
        <w:fldChar w:fldCharType="separate"/>
      </w:r>
      <w:r>
        <w:rPr>
          <w:rFonts w:hint="eastAsia" w:ascii="仿宋" w:hAnsi="仿宋" w:eastAsia="仿宋" w:cs="仿宋"/>
          <w:bCs/>
        </w:rPr>
        <w:t>7.投标截止时间的顺延</w:t>
      </w:r>
      <w:r>
        <w:tab/>
      </w:r>
      <w:r>
        <w:fldChar w:fldCharType="begin"/>
      </w:r>
      <w:r>
        <w:instrText xml:space="preserve"> PAGEREF _Toc12617 \h </w:instrText>
      </w:r>
      <w:r>
        <w:fldChar w:fldCharType="separate"/>
      </w:r>
      <w:r>
        <w:t>8</w:t>
      </w:r>
      <w:r>
        <w:fldChar w:fldCharType="end"/>
      </w:r>
      <w:r>
        <w:rPr>
          <w:rFonts w:hint="eastAsia" w:ascii="仿宋" w:hAnsi="仿宋" w:eastAsia="仿宋" w:cs="仿宋"/>
          <w:kern w:val="0"/>
          <w:szCs w:val="21"/>
        </w:rPr>
        <w:fldChar w:fldCharType="end"/>
      </w:r>
    </w:p>
    <w:p w14:paraId="7F20A90B">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_Toc19434 </w:instrText>
      </w:r>
      <w:r>
        <w:rPr>
          <w:rFonts w:hint="eastAsia" w:ascii="仿宋" w:hAnsi="仿宋" w:eastAsia="仿宋" w:cs="仿宋"/>
          <w:kern w:val="0"/>
          <w:szCs w:val="21"/>
        </w:rPr>
        <w:fldChar w:fldCharType="separate"/>
      </w:r>
      <w:r>
        <w:rPr>
          <w:rFonts w:hint="eastAsia" w:ascii="仿宋" w:hAnsi="仿宋" w:eastAsia="仿宋" w:cs="仿宋"/>
        </w:rPr>
        <w:t>三   磋商文件的编制</w:t>
      </w:r>
      <w:r>
        <w:tab/>
      </w:r>
      <w:r>
        <w:fldChar w:fldCharType="begin"/>
      </w:r>
      <w:r>
        <w:instrText xml:space="preserve"> PAGEREF _Toc19434 \h </w:instrText>
      </w:r>
      <w:r>
        <w:fldChar w:fldCharType="separate"/>
      </w:r>
      <w:r>
        <w:t>8</w:t>
      </w:r>
      <w:r>
        <w:fldChar w:fldCharType="end"/>
      </w:r>
      <w:r>
        <w:rPr>
          <w:rFonts w:hint="eastAsia" w:ascii="仿宋" w:hAnsi="仿宋" w:eastAsia="仿宋" w:cs="仿宋"/>
          <w:kern w:val="0"/>
          <w:szCs w:val="21"/>
        </w:rPr>
        <w:fldChar w:fldCharType="end"/>
      </w:r>
    </w:p>
    <w:p w14:paraId="5EA7296F">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_Toc32612 </w:instrText>
      </w:r>
      <w:r>
        <w:rPr>
          <w:rFonts w:hint="eastAsia" w:ascii="仿宋" w:hAnsi="仿宋" w:eastAsia="仿宋" w:cs="仿宋"/>
          <w:kern w:val="0"/>
          <w:szCs w:val="21"/>
        </w:rPr>
        <w:fldChar w:fldCharType="separate"/>
      </w:r>
      <w:r>
        <w:rPr>
          <w:rFonts w:hint="eastAsia" w:ascii="仿宋" w:hAnsi="仿宋" w:eastAsia="仿宋" w:cs="仿宋"/>
        </w:rPr>
        <w:t>8.投标范围及磋商文件成交标准和计量单位的使用</w:t>
      </w:r>
      <w:r>
        <w:tab/>
      </w:r>
      <w:r>
        <w:fldChar w:fldCharType="begin"/>
      </w:r>
      <w:r>
        <w:instrText xml:space="preserve"> PAGEREF _Toc32612 \h </w:instrText>
      </w:r>
      <w:r>
        <w:fldChar w:fldCharType="separate"/>
      </w:r>
      <w:r>
        <w:t>8</w:t>
      </w:r>
      <w:r>
        <w:fldChar w:fldCharType="end"/>
      </w:r>
      <w:r>
        <w:rPr>
          <w:rFonts w:hint="eastAsia" w:ascii="仿宋" w:hAnsi="仿宋" w:eastAsia="仿宋" w:cs="仿宋"/>
          <w:kern w:val="0"/>
          <w:szCs w:val="21"/>
        </w:rPr>
        <w:fldChar w:fldCharType="end"/>
      </w:r>
    </w:p>
    <w:p w14:paraId="20CFA6EA">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_Toc30547 </w:instrText>
      </w:r>
      <w:r>
        <w:rPr>
          <w:rFonts w:hint="eastAsia" w:ascii="仿宋" w:hAnsi="仿宋" w:eastAsia="仿宋" w:cs="仿宋"/>
          <w:kern w:val="0"/>
          <w:szCs w:val="21"/>
        </w:rPr>
        <w:fldChar w:fldCharType="separate"/>
      </w:r>
      <w:r>
        <w:rPr>
          <w:rFonts w:hint="eastAsia" w:ascii="仿宋" w:hAnsi="仿宋" w:eastAsia="仿宋" w:cs="仿宋"/>
        </w:rPr>
        <w:t>9.磋商文件构成</w:t>
      </w:r>
      <w:r>
        <w:tab/>
      </w:r>
      <w:r>
        <w:fldChar w:fldCharType="begin"/>
      </w:r>
      <w:r>
        <w:instrText xml:space="preserve"> PAGEREF _Toc30547 \h </w:instrText>
      </w:r>
      <w:r>
        <w:fldChar w:fldCharType="separate"/>
      </w:r>
      <w:r>
        <w:t>8</w:t>
      </w:r>
      <w:r>
        <w:fldChar w:fldCharType="end"/>
      </w:r>
      <w:r>
        <w:rPr>
          <w:rFonts w:hint="eastAsia" w:ascii="仿宋" w:hAnsi="仿宋" w:eastAsia="仿宋" w:cs="仿宋"/>
          <w:kern w:val="0"/>
          <w:szCs w:val="21"/>
        </w:rPr>
        <w:fldChar w:fldCharType="end"/>
      </w:r>
    </w:p>
    <w:p w14:paraId="4353210F">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_Toc17188 </w:instrText>
      </w:r>
      <w:r>
        <w:rPr>
          <w:rFonts w:hint="eastAsia" w:ascii="仿宋" w:hAnsi="仿宋" w:eastAsia="仿宋" w:cs="仿宋"/>
          <w:kern w:val="0"/>
          <w:szCs w:val="21"/>
        </w:rPr>
        <w:fldChar w:fldCharType="separate"/>
      </w:r>
      <w:r>
        <w:rPr>
          <w:rFonts w:hint="eastAsia" w:ascii="仿宋" w:hAnsi="仿宋" w:eastAsia="仿宋" w:cs="仿宋"/>
        </w:rPr>
        <w:t>10.证明投标标的的合格性和符合磋商文件规定的技术文件</w:t>
      </w:r>
      <w:r>
        <w:tab/>
      </w:r>
      <w:r>
        <w:fldChar w:fldCharType="begin"/>
      </w:r>
      <w:r>
        <w:instrText xml:space="preserve"> PAGEREF _Toc17188 \h </w:instrText>
      </w:r>
      <w:r>
        <w:fldChar w:fldCharType="separate"/>
      </w:r>
      <w:r>
        <w:t>8</w:t>
      </w:r>
      <w:r>
        <w:fldChar w:fldCharType="end"/>
      </w:r>
      <w:r>
        <w:rPr>
          <w:rFonts w:hint="eastAsia" w:ascii="仿宋" w:hAnsi="仿宋" w:eastAsia="仿宋" w:cs="仿宋"/>
          <w:kern w:val="0"/>
          <w:szCs w:val="21"/>
        </w:rPr>
        <w:fldChar w:fldCharType="end"/>
      </w:r>
    </w:p>
    <w:p w14:paraId="39D3F106">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_Toc17604 </w:instrText>
      </w:r>
      <w:r>
        <w:rPr>
          <w:rFonts w:hint="eastAsia" w:ascii="仿宋" w:hAnsi="仿宋" w:eastAsia="仿宋" w:cs="仿宋"/>
          <w:kern w:val="0"/>
          <w:szCs w:val="21"/>
        </w:rPr>
        <w:fldChar w:fldCharType="separate"/>
      </w:r>
      <w:r>
        <w:rPr>
          <w:rFonts w:hint="eastAsia" w:ascii="仿宋" w:hAnsi="仿宋" w:eastAsia="仿宋" w:cs="仿宋"/>
        </w:rPr>
        <w:t>11.磋商报价</w:t>
      </w:r>
      <w:r>
        <w:tab/>
      </w:r>
      <w:r>
        <w:fldChar w:fldCharType="begin"/>
      </w:r>
      <w:r>
        <w:instrText xml:space="preserve"> PAGEREF _Toc17604 \h </w:instrText>
      </w:r>
      <w:r>
        <w:fldChar w:fldCharType="separate"/>
      </w:r>
      <w:r>
        <w:t>9</w:t>
      </w:r>
      <w:r>
        <w:fldChar w:fldCharType="end"/>
      </w:r>
      <w:r>
        <w:rPr>
          <w:rFonts w:hint="eastAsia" w:ascii="仿宋" w:hAnsi="仿宋" w:eastAsia="仿宋" w:cs="仿宋"/>
          <w:kern w:val="0"/>
          <w:szCs w:val="21"/>
        </w:rPr>
        <w:fldChar w:fldCharType="end"/>
      </w:r>
    </w:p>
    <w:p w14:paraId="6451A1D4">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_Toc20700 </w:instrText>
      </w:r>
      <w:r>
        <w:rPr>
          <w:rFonts w:hint="eastAsia" w:ascii="仿宋" w:hAnsi="仿宋" w:eastAsia="仿宋" w:cs="仿宋"/>
          <w:kern w:val="0"/>
          <w:szCs w:val="21"/>
        </w:rPr>
        <w:fldChar w:fldCharType="separate"/>
      </w:r>
      <w:r>
        <w:rPr>
          <w:rFonts w:hint="eastAsia" w:ascii="仿宋" w:hAnsi="仿宋" w:eastAsia="仿宋" w:cs="仿宋"/>
        </w:rPr>
        <w:t>12.投标保证金</w:t>
      </w:r>
      <w:r>
        <w:tab/>
      </w:r>
      <w:r>
        <w:fldChar w:fldCharType="begin"/>
      </w:r>
      <w:r>
        <w:instrText xml:space="preserve"> PAGEREF _Toc20700 \h </w:instrText>
      </w:r>
      <w:r>
        <w:fldChar w:fldCharType="separate"/>
      </w:r>
      <w:r>
        <w:t>9</w:t>
      </w:r>
      <w:r>
        <w:fldChar w:fldCharType="end"/>
      </w:r>
      <w:r>
        <w:rPr>
          <w:rFonts w:hint="eastAsia" w:ascii="仿宋" w:hAnsi="仿宋" w:eastAsia="仿宋" w:cs="仿宋"/>
          <w:kern w:val="0"/>
          <w:szCs w:val="21"/>
        </w:rPr>
        <w:fldChar w:fldCharType="end"/>
      </w:r>
    </w:p>
    <w:p w14:paraId="7DF613BB">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_Toc31001 </w:instrText>
      </w:r>
      <w:r>
        <w:rPr>
          <w:rFonts w:hint="eastAsia" w:ascii="仿宋" w:hAnsi="仿宋" w:eastAsia="仿宋" w:cs="仿宋"/>
          <w:kern w:val="0"/>
          <w:szCs w:val="21"/>
        </w:rPr>
        <w:fldChar w:fldCharType="separate"/>
      </w:r>
      <w:r>
        <w:rPr>
          <w:rFonts w:hint="eastAsia" w:ascii="仿宋" w:hAnsi="仿宋" w:eastAsia="仿宋" w:cs="仿宋"/>
        </w:rPr>
        <w:t>13.磋商有效期</w:t>
      </w:r>
      <w:r>
        <w:tab/>
      </w:r>
      <w:r>
        <w:fldChar w:fldCharType="begin"/>
      </w:r>
      <w:r>
        <w:instrText xml:space="preserve"> PAGEREF _Toc31001 \h </w:instrText>
      </w:r>
      <w:r>
        <w:fldChar w:fldCharType="separate"/>
      </w:r>
      <w:r>
        <w:t>10</w:t>
      </w:r>
      <w:r>
        <w:fldChar w:fldCharType="end"/>
      </w:r>
      <w:r>
        <w:rPr>
          <w:rFonts w:hint="eastAsia" w:ascii="仿宋" w:hAnsi="仿宋" w:eastAsia="仿宋" w:cs="仿宋"/>
          <w:kern w:val="0"/>
          <w:szCs w:val="21"/>
        </w:rPr>
        <w:fldChar w:fldCharType="end"/>
      </w:r>
    </w:p>
    <w:p w14:paraId="5FE44A5C">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_Toc23686 </w:instrText>
      </w:r>
      <w:r>
        <w:rPr>
          <w:rFonts w:hint="eastAsia" w:ascii="仿宋" w:hAnsi="仿宋" w:eastAsia="仿宋" w:cs="仿宋"/>
          <w:kern w:val="0"/>
          <w:szCs w:val="21"/>
        </w:rPr>
        <w:fldChar w:fldCharType="separate"/>
      </w:r>
      <w:r>
        <w:rPr>
          <w:rFonts w:hint="eastAsia" w:ascii="仿宋" w:hAnsi="仿宋" w:eastAsia="仿宋" w:cs="仿宋"/>
        </w:rPr>
        <w:t>14.响应文件的签署及规定</w:t>
      </w:r>
      <w:r>
        <w:tab/>
      </w:r>
      <w:r>
        <w:fldChar w:fldCharType="begin"/>
      </w:r>
      <w:r>
        <w:instrText xml:space="preserve"> PAGEREF _Toc23686 \h </w:instrText>
      </w:r>
      <w:r>
        <w:fldChar w:fldCharType="separate"/>
      </w:r>
      <w:r>
        <w:t>10</w:t>
      </w:r>
      <w:r>
        <w:fldChar w:fldCharType="end"/>
      </w:r>
      <w:r>
        <w:rPr>
          <w:rFonts w:hint="eastAsia" w:ascii="仿宋" w:hAnsi="仿宋" w:eastAsia="仿宋" w:cs="仿宋"/>
          <w:kern w:val="0"/>
          <w:szCs w:val="21"/>
        </w:rPr>
        <w:fldChar w:fldCharType="end"/>
      </w:r>
    </w:p>
    <w:p w14:paraId="4937D393">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_Toc6344 </w:instrText>
      </w:r>
      <w:r>
        <w:rPr>
          <w:rFonts w:hint="eastAsia" w:ascii="仿宋" w:hAnsi="仿宋" w:eastAsia="仿宋" w:cs="仿宋"/>
          <w:kern w:val="0"/>
          <w:szCs w:val="21"/>
        </w:rPr>
        <w:fldChar w:fldCharType="separate"/>
      </w:r>
      <w:r>
        <w:rPr>
          <w:rFonts w:hint="eastAsia" w:ascii="仿宋" w:hAnsi="仿宋" w:eastAsia="仿宋" w:cs="仿宋"/>
        </w:rPr>
        <w:t>四   响应文件的递交</w:t>
      </w:r>
      <w:r>
        <w:tab/>
      </w:r>
      <w:r>
        <w:fldChar w:fldCharType="begin"/>
      </w:r>
      <w:r>
        <w:instrText xml:space="preserve"> PAGEREF _Toc6344 \h </w:instrText>
      </w:r>
      <w:r>
        <w:fldChar w:fldCharType="separate"/>
      </w:r>
      <w:r>
        <w:t>10</w:t>
      </w:r>
      <w:r>
        <w:fldChar w:fldCharType="end"/>
      </w:r>
      <w:r>
        <w:rPr>
          <w:rFonts w:hint="eastAsia" w:ascii="仿宋" w:hAnsi="仿宋" w:eastAsia="仿宋" w:cs="仿宋"/>
          <w:kern w:val="0"/>
          <w:szCs w:val="21"/>
        </w:rPr>
        <w:fldChar w:fldCharType="end"/>
      </w:r>
    </w:p>
    <w:p w14:paraId="57DC0E51">
      <w:pPr>
        <w:pStyle w:val="28"/>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_Toc32658 </w:instrText>
      </w:r>
      <w:r>
        <w:rPr>
          <w:rFonts w:hint="eastAsia" w:ascii="仿宋" w:hAnsi="仿宋" w:eastAsia="仿宋" w:cs="仿宋"/>
          <w:kern w:val="0"/>
          <w:szCs w:val="21"/>
        </w:rPr>
        <w:fldChar w:fldCharType="separate"/>
      </w:r>
      <w:r>
        <w:rPr>
          <w:rFonts w:hint="eastAsia" w:ascii="仿宋" w:hAnsi="仿宋" w:eastAsia="仿宋" w:cs="仿宋"/>
          <w:bCs/>
        </w:rPr>
        <w:t>15  响应文件的密封和标记</w:t>
      </w:r>
      <w:r>
        <w:tab/>
      </w:r>
      <w:r>
        <w:fldChar w:fldCharType="begin"/>
      </w:r>
      <w:r>
        <w:instrText xml:space="preserve"> PAGEREF _Toc32658 \h </w:instrText>
      </w:r>
      <w:r>
        <w:fldChar w:fldCharType="separate"/>
      </w:r>
      <w:r>
        <w:t>10</w:t>
      </w:r>
      <w:r>
        <w:fldChar w:fldCharType="end"/>
      </w:r>
      <w:r>
        <w:rPr>
          <w:rFonts w:hint="eastAsia" w:ascii="仿宋" w:hAnsi="仿宋" w:eastAsia="仿宋" w:cs="仿宋"/>
          <w:kern w:val="0"/>
          <w:szCs w:val="21"/>
        </w:rPr>
        <w:fldChar w:fldCharType="end"/>
      </w:r>
    </w:p>
    <w:p w14:paraId="3309D18F">
      <w:pPr>
        <w:pStyle w:val="28"/>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_Toc19183 </w:instrText>
      </w:r>
      <w:r>
        <w:rPr>
          <w:rFonts w:hint="eastAsia" w:ascii="仿宋" w:hAnsi="仿宋" w:eastAsia="仿宋" w:cs="仿宋"/>
          <w:kern w:val="0"/>
          <w:szCs w:val="21"/>
        </w:rPr>
        <w:fldChar w:fldCharType="separate"/>
      </w:r>
      <w:r>
        <w:rPr>
          <w:rFonts w:hint="eastAsia" w:ascii="仿宋" w:hAnsi="仿宋" w:eastAsia="仿宋" w:cs="仿宋"/>
          <w:bCs/>
        </w:rPr>
        <w:t>16.磋商截止</w:t>
      </w:r>
      <w:r>
        <w:tab/>
      </w:r>
      <w:r>
        <w:fldChar w:fldCharType="begin"/>
      </w:r>
      <w:r>
        <w:instrText xml:space="preserve"> PAGEREF _Toc19183 \h </w:instrText>
      </w:r>
      <w:r>
        <w:fldChar w:fldCharType="separate"/>
      </w:r>
      <w:r>
        <w:t>11</w:t>
      </w:r>
      <w:r>
        <w:fldChar w:fldCharType="end"/>
      </w:r>
      <w:r>
        <w:rPr>
          <w:rFonts w:hint="eastAsia" w:ascii="仿宋" w:hAnsi="仿宋" w:eastAsia="仿宋" w:cs="仿宋"/>
          <w:kern w:val="0"/>
          <w:szCs w:val="21"/>
        </w:rPr>
        <w:fldChar w:fldCharType="end"/>
      </w:r>
    </w:p>
    <w:p w14:paraId="3EDEA8D2">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_Toc12890 </w:instrText>
      </w:r>
      <w:r>
        <w:rPr>
          <w:rFonts w:hint="eastAsia" w:ascii="仿宋" w:hAnsi="仿宋" w:eastAsia="仿宋" w:cs="仿宋"/>
          <w:kern w:val="0"/>
          <w:szCs w:val="21"/>
        </w:rPr>
        <w:fldChar w:fldCharType="separate"/>
      </w:r>
      <w:r>
        <w:rPr>
          <w:rFonts w:hint="eastAsia" w:ascii="仿宋" w:hAnsi="仿宋" w:eastAsia="仿宋" w:cs="仿宋"/>
        </w:rPr>
        <w:t>17.响应文件的接收、修改与撤回</w:t>
      </w:r>
      <w:r>
        <w:tab/>
      </w:r>
      <w:r>
        <w:fldChar w:fldCharType="begin"/>
      </w:r>
      <w:r>
        <w:instrText xml:space="preserve"> PAGEREF _Toc12890 \h </w:instrText>
      </w:r>
      <w:r>
        <w:fldChar w:fldCharType="separate"/>
      </w:r>
      <w:r>
        <w:t>11</w:t>
      </w:r>
      <w:r>
        <w:fldChar w:fldCharType="end"/>
      </w:r>
      <w:r>
        <w:rPr>
          <w:rFonts w:hint="eastAsia" w:ascii="仿宋" w:hAnsi="仿宋" w:eastAsia="仿宋" w:cs="仿宋"/>
          <w:kern w:val="0"/>
          <w:szCs w:val="21"/>
        </w:rPr>
        <w:fldChar w:fldCharType="end"/>
      </w:r>
    </w:p>
    <w:p w14:paraId="09DD488D">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_Toc1415 </w:instrText>
      </w:r>
      <w:r>
        <w:rPr>
          <w:rFonts w:hint="eastAsia" w:ascii="仿宋" w:hAnsi="仿宋" w:eastAsia="仿宋" w:cs="仿宋"/>
          <w:kern w:val="0"/>
          <w:szCs w:val="21"/>
        </w:rPr>
        <w:fldChar w:fldCharType="separate"/>
      </w:r>
      <w:r>
        <w:rPr>
          <w:rFonts w:hint="eastAsia" w:ascii="仿宋" w:hAnsi="仿宋" w:eastAsia="仿宋" w:cs="仿宋"/>
        </w:rPr>
        <w:t>五   开标及评标</w:t>
      </w:r>
      <w:r>
        <w:tab/>
      </w:r>
      <w:r>
        <w:fldChar w:fldCharType="begin"/>
      </w:r>
      <w:r>
        <w:instrText xml:space="preserve"> PAGEREF _Toc1415 \h </w:instrText>
      </w:r>
      <w:r>
        <w:fldChar w:fldCharType="separate"/>
      </w:r>
      <w:r>
        <w:t>11</w:t>
      </w:r>
      <w:r>
        <w:fldChar w:fldCharType="end"/>
      </w:r>
      <w:r>
        <w:rPr>
          <w:rFonts w:hint="eastAsia" w:ascii="仿宋" w:hAnsi="仿宋" w:eastAsia="仿宋" w:cs="仿宋"/>
          <w:kern w:val="0"/>
          <w:szCs w:val="21"/>
        </w:rPr>
        <w:fldChar w:fldCharType="end"/>
      </w:r>
    </w:p>
    <w:p w14:paraId="6465603C">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_Toc32231 </w:instrText>
      </w:r>
      <w:r>
        <w:rPr>
          <w:rFonts w:hint="eastAsia" w:ascii="仿宋" w:hAnsi="仿宋" w:eastAsia="仿宋" w:cs="仿宋"/>
          <w:kern w:val="0"/>
          <w:szCs w:val="21"/>
        </w:rPr>
        <w:fldChar w:fldCharType="separate"/>
      </w:r>
      <w:r>
        <w:rPr>
          <w:rFonts w:ascii="仿宋" w:hAnsi="仿宋" w:eastAsia="仿宋" w:cs="仿宋"/>
        </w:rPr>
        <w:t xml:space="preserve">18. </w:t>
      </w:r>
      <w:r>
        <w:rPr>
          <w:rFonts w:hint="eastAsia" w:ascii="仿宋" w:hAnsi="仿宋" w:eastAsia="仿宋" w:cs="仿宋"/>
        </w:rPr>
        <w:t>开标</w:t>
      </w:r>
      <w:r>
        <w:tab/>
      </w:r>
      <w:r>
        <w:fldChar w:fldCharType="begin"/>
      </w:r>
      <w:r>
        <w:instrText xml:space="preserve"> PAGEREF _Toc32231 \h </w:instrText>
      </w:r>
      <w:r>
        <w:fldChar w:fldCharType="separate"/>
      </w:r>
      <w:r>
        <w:t>11</w:t>
      </w:r>
      <w:r>
        <w:fldChar w:fldCharType="end"/>
      </w:r>
      <w:r>
        <w:rPr>
          <w:rFonts w:hint="eastAsia" w:ascii="仿宋" w:hAnsi="仿宋" w:eastAsia="仿宋" w:cs="仿宋"/>
          <w:kern w:val="0"/>
          <w:szCs w:val="21"/>
        </w:rPr>
        <w:fldChar w:fldCharType="end"/>
      </w:r>
    </w:p>
    <w:p w14:paraId="26AD0C43">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_Toc21634 </w:instrText>
      </w:r>
      <w:r>
        <w:rPr>
          <w:rFonts w:hint="eastAsia" w:ascii="仿宋" w:hAnsi="仿宋" w:eastAsia="仿宋" w:cs="仿宋"/>
          <w:kern w:val="0"/>
          <w:szCs w:val="21"/>
        </w:rPr>
        <w:fldChar w:fldCharType="separate"/>
      </w:r>
      <w:r>
        <w:rPr>
          <w:rFonts w:hint="eastAsia" w:ascii="仿宋" w:hAnsi="仿宋" w:eastAsia="仿宋" w:cs="仿宋"/>
        </w:rPr>
        <w:t>19. 资格审查及组建评标委员会</w:t>
      </w:r>
      <w:r>
        <w:tab/>
      </w:r>
      <w:r>
        <w:fldChar w:fldCharType="begin"/>
      </w:r>
      <w:r>
        <w:instrText xml:space="preserve"> PAGEREF _Toc21634 \h </w:instrText>
      </w:r>
      <w:r>
        <w:fldChar w:fldCharType="separate"/>
      </w:r>
      <w:r>
        <w:t>12</w:t>
      </w:r>
      <w:r>
        <w:fldChar w:fldCharType="end"/>
      </w:r>
      <w:r>
        <w:rPr>
          <w:rFonts w:hint="eastAsia" w:ascii="仿宋" w:hAnsi="仿宋" w:eastAsia="仿宋" w:cs="仿宋"/>
          <w:kern w:val="0"/>
          <w:szCs w:val="21"/>
        </w:rPr>
        <w:fldChar w:fldCharType="end"/>
      </w:r>
    </w:p>
    <w:p w14:paraId="23415D69">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_Toc4397 </w:instrText>
      </w:r>
      <w:r>
        <w:rPr>
          <w:rFonts w:hint="eastAsia" w:ascii="仿宋" w:hAnsi="仿宋" w:eastAsia="仿宋" w:cs="仿宋"/>
          <w:kern w:val="0"/>
          <w:szCs w:val="21"/>
        </w:rPr>
        <w:fldChar w:fldCharType="separate"/>
      </w:r>
      <w:r>
        <w:rPr>
          <w:rFonts w:hint="eastAsia" w:ascii="仿宋" w:hAnsi="仿宋" w:eastAsia="仿宋" w:cs="仿宋"/>
        </w:rPr>
        <w:t>20.响应文件符合性审查与澄清</w:t>
      </w:r>
      <w:r>
        <w:tab/>
      </w:r>
      <w:r>
        <w:fldChar w:fldCharType="begin"/>
      </w:r>
      <w:r>
        <w:instrText xml:space="preserve"> PAGEREF _Toc4397 \h </w:instrText>
      </w:r>
      <w:r>
        <w:fldChar w:fldCharType="separate"/>
      </w:r>
      <w:r>
        <w:t>13</w:t>
      </w:r>
      <w:r>
        <w:fldChar w:fldCharType="end"/>
      </w:r>
      <w:r>
        <w:rPr>
          <w:rFonts w:hint="eastAsia" w:ascii="仿宋" w:hAnsi="仿宋" w:eastAsia="仿宋" w:cs="仿宋"/>
          <w:kern w:val="0"/>
          <w:szCs w:val="21"/>
        </w:rPr>
        <w:fldChar w:fldCharType="end"/>
      </w:r>
    </w:p>
    <w:p w14:paraId="01E7A1C3">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_Toc23208 </w:instrText>
      </w:r>
      <w:r>
        <w:rPr>
          <w:rFonts w:hint="eastAsia" w:ascii="仿宋" w:hAnsi="仿宋" w:eastAsia="仿宋" w:cs="仿宋"/>
          <w:kern w:val="0"/>
          <w:szCs w:val="21"/>
        </w:rPr>
        <w:fldChar w:fldCharType="separate"/>
      </w:r>
      <w:r>
        <w:rPr>
          <w:rFonts w:hint="eastAsia" w:ascii="仿宋" w:hAnsi="仿宋" w:eastAsia="仿宋" w:cs="仿宋"/>
        </w:rPr>
        <w:t>21.投标偏离</w:t>
      </w:r>
      <w:r>
        <w:tab/>
      </w:r>
      <w:r>
        <w:fldChar w:fldCharType="begin"/>
      </w:r>
      <w:r>
        <w:instrText xml:space="preserve"> PAGEREF _Toc23208 \h </w:instrText>
      </w:r>
      <w:r>
        <w:fldChar w:fldCharType="separate"/>
      </w:r>
      <w:r>
        <w:t>14</w:t>
      </w:r>
      <w:r>
        <w:fldChar w:fldCharType="end"/>
      </w:r>
      <w:r>
        <w:rPr>
          <w:rFonts w:hint="eastAsia" w:ascii="仿宋" w:hAnsi="仿宋" w:eastAsia="仿宋" w:cs="仿宋"/>
          <w:kern w:val="0"/>
          <w:szCs w:val="21"/>
        </w:rPr>
        <w:fldChar w:fldCharType="end"/>
      </w:r>
    </w:p>
    <w:p w14:paraId="40C3F628">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_Toc31984 </w:instrText>
      </w:r>
      <w:r>
        <w:rPr>
          <w:rFonts w:hint="eastAsia" w:ascii="仿宋" w:hAnsi="仿宋" w:eastAsia="仿宋" w:cs="仿宋"/>
          <w:kern w:val="0"/>
          <w:szCs w:val="21"/>
        </w:rPr>
        <w:fldChar w:fldCharType="separate"/>
      </w:r>
      <w:r>
        <w:rPr>
          <w:rFonts w:hint="eastAsia" w:ascii="仿宋" w:hAnsi="仿宋" w:eastAsia="仿宋" w:cs="仿宋"/>
        </w:rPr>
        <w:t>22.投标无效</w:t>
      </w:r>
      <w:r>
        <w:tab/>
      </w:r>
      <w:r>
        <w:fldChar w:fldCharType="begin"/>
      </w:r>
      <w:r>
        <w:instrText xml:space="preserve"> PAGEREF _Toc31984 \h </w:instrText>
      </w:r>
      <w:r>
        <w:fldChar w:fldCharType="separate"/>
      </w:r>
      <w:r>
        <w:t>14</w:t>
      </w:r>
      <w:r>
        <w:fldChar w:fldCharType="end"/>
      </w:r>
      <w:r>
        <w:rPr>
          <w:rFonts w:hint="eastAsia" w:ascii="仿宋" w:hAnsi="仿宋" w:eastAsia="仿宋" w:cs="仿宋"/>
          <w:kern w:val="0"/>
          <w:szCs w:val="21"/>
        </w:rPr>
        <w:fldChar w:fldCharType="end"/>
      </w:r>
    </w:p>
    <w:p w14:paraId="442040C0">
      <w:pPr>
        <w:pStyle w:val="28"/>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_Toc25184 </w:instrText>
      </w:r>
      <w:r>
        <w:rPr>
          <w:rFonts w:hint="eastAsia" w:ascii="仿宋" w:hAnsi="仿宋" w:eastAsia="仿宋" w:cs="仿宋"/>
          <w:kern w:val="0"/>
          <w:szCs w:val="21"/>
        </w:rPr>
        <w:fldChar w:fldCharType="separate"/>
      </w:r>
      <w:r>
        <w:rPr>
          <w:rFonts w:hint="eastAsia" w:ascii="仿宋" w:hAnsi="仿宋" w:eastAsia="仿宋" w:cs="仿宋"/>
          <w:kern w:val="0"/>
          <w:szCs w:val="20"/>
        </w:rPr>
        <w:t>23.比较与评价</w:t>
      </w:r>
      <w:r>
        <w:tab/>
      </w:r>
      <w:r>
        <w:fldChar w:fldCharType="begin"/>
      </w:r>
      <w:r>
        <w:instrText xml:space="preserve"> PAGEREF _Toc25184 \h </w:instrText>
      </w:r>
      <w:r>
        <w:fldChar w:fldCharType="separate"/>
      </w:r>
      <w:r>
        <w:t>15</w:t>
      </w:r>
      <w:r>
        <w:fldChar w:fldCharType="end"/>
      </w:r>
      <w:r>
        <w:rPr>
          <w:rFonts w:hint="eastAsia" w:ascii="仿宋" w:hAnsi="仿宋" w:eastAsia="仿宋" w:cs="仿宋"/>
          <w:kern w:val="0"/>
          <w:szCs w:val="21"/>
        </w:rPr>
        <w:fldChar w:fldCharType="end"/>
      </w:r>
    </w:p>
    <w:p w14:paraId="6EDFEE99">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_Toc13284 </w:instrText>
      </w:r>
      <w:r>
        <w:rPr>
          <w:rFonts w:hint="eastAsia" w:ascii="仿宋" w:hAnsi="仿宋" w:eastAsia="仿宋" w:cs="仿宋"/>
          <w:kern w:val="0"/>
          <w:szCs w:val="21"/>
        </w:rPr>
        <w:fldChar w:fldCharType="separate"/>
      </w:r>
      <w:r>
        <w:rPr>
          <w:rFonts w:hint="eastAsia" w:ascii="仿宋" w:hAnsi="仿宋" w:eastAsia="仿宋" w:cs="仿宋"/>
        </w:rPr>
        <w:t>24.废标</w:t>
      </w:r>
      <w:r>
        <w:tab/>
      </w:r>
      <w:r>
        <w:fldChar w:fldCharType="begin"/>
      </w:r>
      <w:r>
        <w:instrText xml:space="preserve"> PAGEREF _Toc13284 \h </w:instrText>
      </w:r>
      <w:r>
        <w:fldChar w:fldCharType="separate"/>
      </w:r>
      <w:r>
        <w:t>15</w:t>
      </w:r>
      <w:r>
        <w:fldChar w:fldCharType="end"/>
      </w:r>
      <w:r>
        <w:rPr>
          <w:rFonts w:hint="eastAsia" w:ascii="仿宋" w:hAnsi="仿宋" w:eastAsia="仿宋" w:cs="仿宋"/>
          <w:kern w:val="0"/>
          <w:szCs w:val="21"/>
        </w:rPr>
        <w:fldChar w:fldCharType="end"/>
      </w:r>
    </w:p>
    <w:p w14:paraId="5CD50447">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_Toc17874 </w:instrText>
      </w:r>
      <w:r>
        <w:rPr>
          <w:rFonts w:hint="eastAsia" w:ascii="仿宋" w:hAnsi="仿宋" w:eastAsia="仿宋" w:cs="仿宋"/>
          <w:kern w:val="0"/>
          <w:szCs w:val="21"/>
        </w:rPr>
        <w:fldChar w:fldCharType="separate"/>
      </w:r>
      <w:r>
        <w:rPr>
          <w:rFonts w:hint="eastAsia" w:ascii="仿宋" w:hAnsi="仿宋" w:eastAsia="仿宋" w:cs="仿宋"/>
        </w:rPr>
        <w:t>25.保密原则</w:t>
      </w:r>
      <w:r>
        <w:tab/>
      </w:r>
      <w:r>
        <w:fldChar w:fldCharType="begin"/>
      </w:r>
      <w:r>
        <w:instrText xml:space="preserve"> PAGEREF _Toc17874 \h </w:instrText>
      </w:r>
      <w:r>
        <w:fldChar w:fldCharType="separate"/>
      </w:r>
      <w:r>
        <w:t>16</w:t>
      </w:r>
      <w:r>
        <w:fldChar w:fldCharType="end"/>
      </w:r>
      <w:r>
        <w:rPr>
          <w:rFonts w:hint="eastAsia" w:ascii="仿宋" w:hAnsi="仿宋" w:eastAsia="仿宋" w:cs="仿宋"/>
          <w:kern w:val="0"/>
          <w:szCs w:val="21"/>
        </w:rPr>
        <w:fldChar w:fldCharType="end"/>
      </w:r>
    </w:p>
    <w:p w14:paraId="2F303D1C">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_Toc6348 </w:instrText>
      </w:r>
      <w:r>
        <w:rPr>
          <w:rFonts w:hint="eastAsia" w:ascii="仿宋" w:hAnsi="仿宋" w:eastAsia="仿宋" w:cs="仿宋"/>
          <w:kern w:val="0"/>
          <w:szCs w:val="21"/>
        </w:rPr>
        <w:fldChar w:fldCharType="separate"/>
      </w:r>
      <w:r>
        <w:rPr>
          <w:rFonts w:hint="eastAsia" w:ascii="仿宋" w:hAnsi="仿宋" w:eastAsia="仿宋" w:cs="仿宋"/>
        </w:rPr>
        <w:t>六   确定成交</w:t>
      </w:r>
      <w:r>
        <w:tab/>
      </w:r>
      <w:r>
        <w:fldChar w:fldCharType="begin"/>
      </w:r>
      <w:r>
        <w:instrText xml:space="preserve"> PAGEREF _Toc6348 \h </w:instrText>
      </w:r>
      <w:r>
        <w:fldChar w:fldCharType="separate"/>
      </w:r>
      <w:r>
        <w:t>16</w:t>
      </w:r>
      <w:r>
        <w:fldChar w:fldCharType="end"/>
      </w:r>
      <w:r>
        <w:rPr>
          <w:rFonts w:hint="eastAsia" w:ascii="仿宋" w:hAnsi="仿宋" w:eastAsia="仿宋" w:cs="仿宋"/>
          <w:kern w:val="0"/>
          <w:szCs w:val="21"/>
        </w:rPr>
        <w:fldChar w:fldCharType="end"/>
      </w:r>
    </w:p>
    <w:p w14:paraId="615641B5">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_Toc28928 </w:instrText>
      </w:r>
      <w:r>
        <w:rPr>
          <w:rFonts w:hint="eastAsia" w:ascii="仿宋" w:hAnsi="仿宋" w:eastAsia="仿宋" w:cs="仿宋"/>
          <w:kern w:val="0"/>
          <w:szCs w:val="21"/>
        </w:rPr>
        <w:fldChar w:fldCharType="separate"/>
      </w:r>
      <w:r>
        <w:rPr>
          <w:rFonts w:hint="eastAsia" w:ascii="仿宋" w:hAnsi="仿宋" w:eastAsia="仿宋" w:cs="仿宋"/>
        </w:rPr>
        <w:t>26.成交候选人的确定原则及标准</w:t>
      </w:r>
      <w:r>
        <w:tab/>
      </w:r>
      <w:r>
        <w:fldChar w:fldCharType="begin"/>
      </w:r>
      <w:r>
        <w:instrText xml:space="preserve"> PAGEREF _Toc28928 \h </w:instrText>
      </w:r>
      <w:r>
        <w:fldChar w:fldCharType="separate"/>
      </w:r>
      <w:r>
        <w:t>16</w:t>
      </w:r>
      <w:r>
        <w:fldChar w:fldCharType="end"/>
      </w:r>
      <w:r>
        <w:rPr>
          <w:rFonts w:hint="eastAsia" w:ascii="仿宋" w:hAnsi="仿宋" w:eastAsia="仿宋" w:cs="仿宋"/>
          <w:kern w:val="0"/>
          <w:szCs w:val="21"/>
        </w:rPr>
        <w:fldChar w:fldCharType="end"/>
      </w:r>
    </w:p>
    <w:p w14:paraId="77403C99">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_Toc29354 </w:instrText>
      </w:r>
      <w:r>
        <w:rPr>
          <w:rFonts w:hint="eastAsia" w:ascii="仿宋" w:hAnsi="仿宋" w:eastAsia="仿宋" w:cs="仿宋"/>
          <w:kern w:val="0"/>
          <w:szCs w:val="21"/>
        </w:rPr>
        <w:fldChar w:fldCharType="separate"/>
      </w:r>
      <w:r>
        <w:rPr>
          <w:rFonts w:hint="eastAsia" w:ascii="仿宋" w:hAnsi="仿宋" w:eastAsia="仿宋" w:cs="仿宋"/>
        </w:rPr>
        <w:t>27.确定成交候选人和成交人</w:t>
      </w:r>
      <w:r>
        <w:tab/>
      </w:r>
      <w:r>
        <w:fldChar w:fldCharType="begin"/>
      </w:r>
      <w:r>
        <w:instrText xml:space="preserve"> PAGEREF _Toc29354 \h </w:instrText>
      </w:r>
      <w:r>
        <w:fldChar w:fldCharType="separate"/>
      </w:r>
      <w:r>
        <w:t>16</w:t>
      </w:r>
      <w:r>
        <w:fldChar w:fldCharType="end"/>
      </w:r>
      <w:r>
        <w:rPr>
          <w:rFonts w:hint="eastAsia" w:ascii="仿宋" w:hAnsi="仿宋" w:eastAsia="仿宋" w:cs="仿宋"/>
          <w:kern w:val="0"/>
          <w:szCs w:val="21"/>
        </w:rPr>
        <w:fldChar w:fldCharType="end"/>
      </w:r>
    </w:p>
    <w:p w14:paraId="4E2FDE47">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_Toc5580 </w:instrText>
      </w:r>
      <w:r>
        <w:rPr>
          <w:rFonts w:hint="eastAsia" w:ascii="仿宋" w:hAnsi="仿宋" w:eastAsia="仿宋" w:cs="仿宋"/>
          <w:kern w:val="0"/>
          <w:szCs w:val="21"/>
        </w:rPr>
        <w:fldChar w:fldCharType="separate"/>
      </w:r>
      <w:r>
        <w:rPr>
          <w:rFonts w:hint="eastAsia" w:ascii="仿宋" w:hAnsi="仿宋" w:eastAsia="仿宋" w:cs="仿宋"/>
        </w:rPr>
        <w:t>28.采购任务取消</w:t>
      </w:r>
      <w:r>
        <w:tab/>
      </w:r>
      <w:r>
        <w:fldChar w:fldCharType="begin"/>
      </w:r>
      <w:r>
        <w:instrText xml:space="preserve"> PAGEREF _Toc5580 \h </w:instrText>
      </w:r>
      <w:r>
        <w:fldChar w:fldCharType="separate"/>
      </w:r>
      <w:r>
        <w:t>16</w:t>
      </w:r>
      <w:r>
        <w:fldChar w:fldCharType="end"/>
      </w:r>
      <w:r>
        <w:rPr>
          <w:rFonts w:hint="eastAsia" w:ascii="仿宋" w:hAnsi="仿宋" w:eastAsia="仿宋" w:cs="仿宋"/>
          <w:kern w:val="0"/>
          <w:szCs w:val="21"/>
        </w:rPr>
        <w:fldChar w:fldCharType="end"/>
      </w:r>
    </w:p>
    <w:p w14:paraId="6F9F49B4">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_Toc7989 </w:instrText>
      </w:r>
      <w:r>
        <w:rPr>
          <w:rFonts w:hint="eastAsia" w:ascii="仿宋" w:hAnsi="仿宋" w:eastAsia="仿宋" w:cs="仿宋"/>
          <w:kern w:val="0"/>
          <w:szCs w:val="21"/>
        </w:rPr>
        <w:fldChar w:fldCharType="separate"/>
      </w:r>
      <w:r>
        <w:rPr>
          <w:rFonts w:hint="eastAsia" w:ascii="仿宋" w:hAnsi="仿宋" w:eastAsia="仿宋" w:cs="仿宋"/>
        </w:rPr>
        <w:t>29.成交通知书和结果通知书</w:t>
      </w:r>
      <w:r>
        <w:tab/>
      </w:r>
      <w:r>
        <w:fldChar w:fldCharType="begin"/>
      </w:r>
      <w:r>
        <w:instrText xml:space="preserve"> PAGEREF _Toc7989 \h </w:instrText>
      </w:r>
      <w:r>
        <w:fldChar w:fldCharType="separate"/>
      </w:r>
      <w:r>
        <w:t>16</w:t>
      </w:r>
      <w:r>
        <w:fldChar w:fldCharType="end"/>
      </w:r>
      <w:r>
        <w:rPr>
          <w:rFonts w:hint="eastAsia" w:ascii="仿宋" w:hAnsi="仿宋" w:eastAsia="仿宋" w:cs="仿宋"/>
          <w:kern w:val="0"/>
          <w:szCs w:val="21"/>
        </w:rPr>
        <w:fldChar w:fldCharType="end"/>
      </w:r>
    </w:p>
    <w:p w14:paraId="7EBD8CB9">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_Toc10499 </w:instrText>
      </w:r>
      <w:r>
        <w:rPr>
          <w:rFonts w:hint="eastAsia" w:ascii="仿宋" w:hAnsi="仿宋" w:eastAsia="仿宋" w:cs="仿宋"/>
          <w:kern w:val="0"/>
          <w:szCs w:val="21"/>
        </w:rPr>
        <w:fldChar w:fldCharType="separate"/>
      </w:r>
      <w:r>
        <w:rPr>
          <w:rFonts w:hint="eastAsia" w:ascii="仿宋" w:hAnsi="仿宋" w:eastAsia="仿宋" w:cs="仿宋"/>
        </w:rPr>
        <w:t>30.签订合同</w:t>
      </w:r>
      <w:r>
        <w:tab/>
      </w:r>
      <w:r>
        <w:fldChar w:fldCharType="begin"/>
      </w:r>
      <w:r>
        <w:instrText xml:space="preserve"> PAGEREF _Toc10499 \h </w:instrText>
      </w:r>
      <w:r>
        <w:fldChar w:fldCharType="separate"/>
      </w:r>
      <w:r>
        <w:t>16</w:t>
      </w:r>
      <w:r>
        <w:fldChar w:fldCharType="end"/>
      </w:r>
      <w:r>
        <w:rPr>
          <w:rFonts w:hint="eastAsia" w:ascii="仿宋" w:hAnsi="仿宋" w:eastAsia="仿宋" w:cs="仿宋"/>
          <w:kern w:val="0"/>
          <w:szCs w:val="21"/>
        </w:rPr>
        <w:fldChar w:fldCharType="end"/>
      </w:r>
    </w:p>
    <w:p w14:paraId="7DEE832F">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_Toc24109 </w:instrText>
      </w:r>
      <w:r>
        <w:rPr>
          <w:rFonts w:hint="eastAsia" w:ascii="仿宋" w:hAnsi="仿宋" w:eastAsia="仿宋" w:cs="仿宋"/>
          <w:kern w:val="0"/>
          <w:szCs w:val="21"/>
        </w:rPr>
        <w:fldChar w:fldCharType="separate"/>
      </w:r>
      <w:r>
        <w:rPr>
          <w:rFonts w:hint="eastAsia" w:ascii="仿宋" w:hAnsi="仿宋" w:eastAsia="仿宋" w:cs="仿宋"/>
        </w:rPr>
        <w:t>31.履约保证金</w:t>
      </w:r>
      <w:r>
        <w:tab/>
      </w:r>
      <w:r>
        <w:fldChar w:fldCharType="begin"/>
      </w:r>
      <w:r>
        <w:instrText xml:space="preserve"> PAGEREF _Toc24109 \h </w:instrText>
      </w:r>
      <w:r>
        <w:fldChar w:fldCharType="separate"/>
      </w:r>
      <w:r>
        <w:t>17</w:t>
      </w:r>
      <w:r>
        <w:fldChar w:fldCharType="end"/>
      </w:r>
      <w:r>
        <w:rPr>
          <w:rFonts w:hint="eastAsia" w:ascii="仿宋" w:hAnsi="仿宋" w:eastAsia="仿宋" w:cs="仿宋"/>
          <w:kern w:val="0"/>
          <w:szCs w:val="21"/>
        </w:rPr>
        <w:fldChar w:fldCharType="end"/>
      </w:r>
    </w:p>
    <w:p w14:paraId="4AB68587">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_Toc14562 </w:instrText>
      </w:r>
      <w:r>
        <w:rPr>
          <w:rFonts w:hint="eastAsia" w:ascii="仿宋" w:hAnsi="仿宋" w:eastAsia="仿宋" w:cs="仿宋"/>
          <w:kern w:val="0"/>
          <w:szCs w:val="21"/>
        </w:rPr>
        <w:fldChar w:fldCharType="separate"/>
      </w:r>
      <w:r>
        <w:rPr>
          <w:rFonts w:hint="eastAsia" w:ascii="仿宋" w:hAnsi="仿宋" w:eastAsia="仿宋" w:cs="仿宋"/>
        </w:rPr>
        <w:t>32.成交服务费</w:t>
      </w:r>
      <w:r>
        <w:tab/>
      </w:r>
      <w:r>
        <w:fldChar w:fldCharType="begin"/>
      </w:r>
      <w:r>
        <w:instrText xml:space="preserve"> PAGEREF _Toc14562 \h </w:instrText>
      </w:r>
      <w:r>
        <w:fldChar w:fldCharType="separate"/>
      </w:r>
      <w:r>
        <w:t>17</w:t>
      </w:r>
      <w:r>
        <w:fldChar w:fldCharType="end"/>
      </w:r>
      <w:r>
        <w:rPr>
          <w:rFonts w:hint="eastAsia" w:ascii="仿宋" w:hAnsi="仿宋" w:eastAsia="仿宋" w:cs="仿宋"/>
          <w:kern w:val="0"/>
          <w:szCs w:val="21"/>
        </w:rPr>
        <w:fldChar w:fldCharType="end"/>
      </w:r>
    </w:p>
    <w:p w14:paraId="59B79E59">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_Toc9300 </w:instrText>
      </w:r>
      <w:r>
        <w:rPr>
          <w:rFonts w:hint="eastAsia" w:ascii="仿宋" w:hAnsi="仿宋" w:eastAsia="仿宋" w:cs="仿宋"/>
          <w:kern w:val="0"/>
          <w:szCs w:val="21"/>
        </w:rPr>
        <w:fldChar w:fldCharType="separate"/>
      </w:r>
      <w:r>
        <w:rPr>
          <w:rFonts w:hint="eastAsia" w:ascii="仿宋" w:hAnsi="仿宋" w:eastAsia="仿宋" w:cs="仿宋"/>
        </w:rPr>
        <w:t>33.政府采购信用担保</w:t>
      </w:r>
      <w:r>
        <w:tab/>
      </w:r>
      <w:r>
        <w:fldChar w:fldCharType="begin"/>
      </w:r>
      <w:r>
        <w:instrText xml:space="preserve"> PAGEREF _Toc9300 \h </w:instrText>
      </w:r>
      <w:r>
        <w:fldChar w:fldCharType="separate"/>
      </w:r>
      <w:r>
        <w:t>17</w:t>
      </w:r>
      <w:r>
        <w:fldChar w:fldCharType="end"/>
      </w:r>
      <w:r>
        <w:rPr>
          <w:rFonts w:hint="eastAsia" w:ascii="仿宋" w:hAnsi="仿宋" w:eastAsia="仿宋" w:cs="仿宋"/>
          <w:kern w:val="0"/>
          <w:szCs w:val="21"/>
        </w:rPr>
        <w:fldChar w:fldCharType="end"/>
      </w:r>
    </w:p>
    <w:p w14:paraId="2BD081C3">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_Toc28857 </w:instrText>
      </w:r>
      <w:r>
        <w:rPr>
          <w:rFonts w:hint="eastAsia" w:ascii="仿宋" w:hAnsi="仿宋" w:eastAsia="仿宋" w:cs="仿宋"/>
          <w:kern w:val="0"/>
          <w:szCs w:val="21"/>
        </w:rPr>
        <w:fldChar w:fldCharType="separate"/>
      </w:r>
      <w:r>
        <w:rPr>
          <w:rFonts w:hint="eastAsia" w:ascii="仿宋" w:hAnsi="仿宋" w:eastAsia="仿宋" w:cs="仿宋"/>
        </w:rPr>
        <w:t>34.廉洁自律规定</w:t>
      </w:r>
      <w:r>
        <w:tab/>
      </w:r>
      <w:r>
        <w:fldChar w:fldCharType="begin"/>
      </w:r>
      <w:r>
        <w:instrText xml:space="preserve"> PAGEREF _Toc28857 \h </w:instrText>
      </w:r>
      <w:r>
        <w:fldChar w:fldCharType="separate"/>
      </w:r>
      <w:r>
        <w:t>17</w:t>
      </w:r>
      <w:r>
        <w:fldChar w:fldCharType="end"/>
      </w:r>
      <w:r>
        <w:rPr>
          <w:rFonts w:hint="eastAsia" w:ascii="仿宋" w:hAnsi="仿宋" w:eastAsia="仿宋" w:cs="仿宋"/>
          <w:kern w:val="0"/>
          <w:szCs w:val="21"/>
        </w:rPr>
        <w:fldChar w:fldCharType="end"/>
      </w:r>
    </w:p>
    <w:p w14:paraId="7A0B9784">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_Toc6922 </w:instrText>
      </w:r>
      <w:r>
        <w:rPr>
          <w:rFonts w:hint="eastAsia" w:ascii="仿宋" w:hAnsi="仿宋" w:eastAsia="仿宋" w:cs="仿宋"/>
          <w:kern w:val="0"/>
          <w:szCs w:val="21"/>
        </w:rPr>
        <w:fldChar w:fldCharType="separate"/>
      </w:r>
      <w:r>
        <w:rPr>
          <w:rFonts w:hint="eastAsia" w:ascii="仿宋" w:hAnsi="仿宋" w:eastAsia="仿宋" w:cs="仿宋"/>
        </w:rPr>
        <w:t>35.人员回避</w:t>
      </w:r>
      <w:r>
        <w:tab/>
      </w:r>
      <w:r>
        <w:fldChar w:fldCharType="begin"/>
      </w:r>
      <w:r>
        <w:instrText xml:space="preserve"> PAGEREF _Toc6922 \h </w:instrText>
      </w:r>
      <w:r>
        <w:fldChar w:fldCharType="separate"/>
      </w:r>
      <w:r>
        <w:t>17</w:t>
      </w:r>
      <w:r>
        <w:fldChar w:fldCharType="end"/>
      </w:r>
      <w:r>
        <w:rPr>
          <w:rFonts w:hint="eastAsia" w:ascii="仿宋" w:hAnsi="仿宋" w:eastAsia="仿宋" w:cs="仿宋"/>
          <w:kern w:val="0"/>
          <w:szCs w:val="21"/>
        </w:rPr>
        <w:fldChar w:fldCharType="end"/>
      </w:r>
    </w:p>
    <w:p w14:paraId="6BD72583">
      <w:pPr>
        <w:pStyle w:val="17"/>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_Toc31371 </w:instrText>
      </w:r>
      <w:r>
        <w:rPr>
          <w:rFonts w:hint="eastAsia" w:ascii="仿宋" w:hAnsi="仿宋" w:eastAsia="仿宋" w:cs="仿宋"/>
          <w:kern w:val="0"/>
          <w:szCs w:val="21"/>
        </w:rPr>
        <w:fldChar w:fldCharType="separate"/>
      </w:r>
      <w:r>
        <w:rPr>
          <w:rFonts w:hint="eastAsia" w:ascii="仿宋" w:hAnsi="仿宋" w:eastAsia="仿宋" w:cs="仿宋"/>
        </w:rPr>
        <w:t>36.质疑与接收</w:t>
      </w:r>
      <w:r>
        <w:tab/>
      </w:r>
      <w:r>
        <w:fldChar w:fldCharType="begin"/>
      </w:r>
      <w:r>
        <w:instrText xml:space="preserve"> PAGEREF _Toc31371 \h </w:instrText>
      </w:r>
      <w:r>
        <w:fldChar w:fldCharType="separate"/>
      </w:r>
      <w:r>
        <w:t>17</w:t>
      </w:r>
      <w:r>
        <w:fldChar w:fldCharType="end"/>
      </w:r>
      <w:r>
        <w:rPr>
          <w:rFonts w:hint="eastAsia" w:ascii="仿宋" w:hAnsi="仿宋" w:eastAsia="仿宋" w:cs="仿宋"/>
          <w:kern w:val="0"/>
          <w:szCs w:val="21"/>
        </w:rPr>
        <w:fldChar w:fldCharType="end"/>
      </w:r>
    </w:p>
    <w:p w14:paraId="45273056">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_Toc23002 </w:instrText>
      </w:r>
      <w:r>
        <w:rPr>
          <w:rFonts w:hint="eastAsia" w:ascii="仿宋" w:hAnsi="仿宋" w:eastAsia="仿宋" w:cs="仿宋"/>
          <w:kern w:val="0"/>
          <w:szCs w:val="21"/>
        </w:rPr>
        <w:fldChar w:fldCharType="separate"/>
      </w:r>
      <w:r>
        <w:rPr>
          <w:rFonts w:hint="eastAsia" w:ascii="仿宋" w:hAnsi="仿宋" w:eastAsia="仿宋" w:cs="仿宋"/>
          <w:szCs w:val="24"/>
        </w:rPr>
        <w:t>附件1：履约保证金保函（格式）</w:t>
      </w:r>
      <w:r>
        <w:tab/>
      </w:r>
      <w:r>
        <w:fldChar w:fldCharType="begin"/>
      </w:r>
      <w:r>
        <w:instrText xml:space="preserve"> PAGEREF _Toc23002 \h </w:instrText>
      </w:r>
      <w:r>
        <w:fldChar w:fldCharType="separate"/>
      </w:r>
      <w:r>
        <w:t>20</w:t>
      </w:r>
      <w:r>
        <w:fldChar w:fldCharType="end"/>
      </w:r>
      <w:r>
        <w:rPr>
          <w:rFonts w:hint="eastAsia" w:ascii="仿宋" w:hAnsi="仿宋" w:eastAsia="仿宋" w:cs="仿宋"/>
          <w:kern w:val="0"/>
          <w:szCs w:val="21"/>
        </w:rPr>
        <w:fldChar w:fldCharType="end"/>
      </w:r>
    </w:p>
    <w:p w14:paraId="6058ED32">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_Toc14055 </w:instrText>
      </w:r>
      <w:r>
        <w:rPr>
          <w:rFonts w:hint="eastAsia" w:ascii="仿宋" w:hAnsi="仿宋" w:eastAsia="仿宋" w:cs="仿宋"/>
          <w:kern w:val="0"/>
          <w:szCs w:val="21"/>
        </w:rPr>
        <w:fldChar w:fldCharType="separate"/>
      </w:r>
      <w:r>
        <w:rPr>
          <w:rFonts w:hint="eastAsia" w:ascii="仿宋" w:hAnsi="仿宋" w:eastAsia="仿宋" w:cs="仿宋"/>
          <w:szCs w:val="24"/>
        </w:rPr>
        <w:t>附件2：履约担保函格式</w:t>
      </w:r>
      <w:r>
        <w:tab/>
      </w:r>
      <w:r>
        <w:fldChar w:fldCharType="begin"/>
      </w:r>
      <w:r>
        <w:instrText xml:space="preserve"> PAGEREF _Toc14055 \h </w:instrText>
      </w:r>
      <w:r>
        <w:fldChar w:fldCharType="separate"/>
      </w:r>
      <w:r>
        <w:t>21</w:t>
      </w:r>
      <w:r>
        <w:fldChar w:fldCharType="end"/>
      </w:r>
      <w:r>
        <w:rPr>
          <w:rFonts w:hint="eastAsia" w:ascii="仿宋" w:hAnsi="仿宋" w:eastAsia="仿宋" w:cs="仿宋"/>
          <w:kern w:val="0"/>
          <w:szCs w:val="21"/>
        </w:rPr>
        <w:fldChar w:fldCharType="end"/>
      </w:r>
    </w:p>
    <w:p w14:paraId="7E1FAB67">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_Toc4485 </w:instrText>
      </w:r>
      <w:r>
        <w:rPr>
          <w:rFonts w:hint="eastAsia" w:ascii="仿宋" w:hAnsi="仿宋" w:eastAsia="仿宋" w:cs="仿宋"/>
          <w:kern w:val="0"/>
          <w:szCs w:val="21"/>
        </w:rPr>
        <w:fldChar w:fldCharType="separate"/>
      </w:r>
      <w:r>
        <w:rPr>
          <w:rFonts w:hint="eastAsia" w:ascii="仿宋" w:hAnsi="仿宋" w:eastAsia="仿宋" w:cs="仿宋"/>
          <w:szCs w:val="24"/>
        </w:rPr>
        <w:t>（采用政府采购信用担保形式时使用）</w:t>
      </w:r>
      <w:r>
        <w:tab/>
      </w:r>
      <w:r>
        <w:fldChar w:fldCharType="begin"/>
      </w:r>
      <w:r>
        <w:instrText xml:space="preserve"> PAGEREF _Toc4485 \h </w:instrText>
      </w:r>
      <w:r>
        <w:fldChar w:fldCharType="separate"/>
      </w:r>
      <w:r>
        <w:t>21</w:t>
      </w:r>
      <w:r>
        <w:fldChar w:fldCharType="end"/>
      </w:r>
      <w:r>
        <w:rPr>
          <w:rFonts w:hint="eastAsia" w:ascii="仿宋" w:hAnsi="仿宋" w:eastAsia="仿宋" w:cs="仿宋"/>
          <w:kern w:val="0"/>
          <w:szCs w:val="21"/>
        </w:rPr>
        <w:fldChar w:fldCharType="end"/>
      </w:r>
    </w:p>
    <w:p w14:paraId="039F1863">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_Toc17482 </w:instrText>
      </w:r>
      <w:r>
        <w:rPr>
          <w:rFonts w:hint="eastAsia" w:ascii="仿宋" w:hAnsi="仿宋" w:eastAsia="仿宋" w:cs="仿宋"/>
          <w:kern w:val="0"/>
          <w:szCs w:val="21"/>
        </w:rPr>
        <w:fldChar w:fldCharType="separate"/>
      </w:r>
      <w:r>
        <w:rPr>
          <w:rFonts w:hint="default" w:ascii="仿宋" w:hAnsi="仿宋" w:eastAsia="仿宋" w:cs="仿宋"/>
          <w:lang w:val="en-US"/>
        </w:rPr>
        <w:t xml:space="preserve">第2章 </w:t>
      </w:r>
      <w:r>
        <w:rPr>
          <w:rFonts w:hint="eastAsia" w:ascii="仿宋" w:hAnsi="仿宋" w:eastAsia="仿宋" w:cs="仿宋"/>
        </w:rPr>
        <w:t>响应文件格式</w:t>
      </w:r>
      <w:r>
        <w:tab/>
      </w:r>
      <w:r>
        <w:fldChar w:fldCharType="begin"/>
      </w:r>
      <w:r>
        <w:instrText xml:space="preserve"> PAGEREF _Toc17482 \h </w:instrText>
      </w:r>
      <w:r>
        <w:fldChar w:fldCharType="separate"/>
      </w:r>
      <w:r>
        <w:t>23</w:t>
      </w:r>
      <w:r>
        <w:fldChar w:fldCharType="end"/>
      </w:r>
      <w:r>
        <w:rPr>
          <w:rFonts w:hint="eastAsia" w:ascii="仿宋" w:hAnsi="仿宋" w:eastAsia="仿宋" w:cs="仿宋"/>
          <w:kern w:val="0"/>
          <w:szCs w:val="21"/>
        </w:rPr>
        <w:fldChar w:fldCharType="end"/>
      </w:r>
    </w:p>
    <w:p w14:paraId="64AD5608">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_Toc23628 </w:instrText>
      </w:r>
      <w:r>
        <w:rPr>
          <w:rFonts w:hint="eastAsia" w:ascii="仿宋" w:hAnsi="仿宋" w:eastAsia="仿宋" w:cs="仿宋"/>
          <w:kern w:val="0"/>
          <w:szCs w:val="21"/>
        </w:rPr>
        <w:fldChar w:fldCharType="separate"/>
      </w:r>
      <w:r>
        <w:rPr>
          <w:rFonts w:hint="eastAsia" w:ascii="仿宋" w:hAnsi="仿宋" w:eastAsia="仿宋" w:cs="仿宋"/>
        </w:rPr>
        <w:t>第一部分 开标一览表及资格证明文件</w:t>
      </w:r>
      <w:r>
        <w:tab/>
      </w:r>
      <w:r>
        <w:fldChar w:fldCharType="begin"/>
      </w:r>
      <w:r>
        <w:instrText xml:space="preserve"> PAGEREF _Toc23628 \h </w:instrText>
      </w:r>
      <w:r>
        <w:fldChar w:fldCharType="separate"/>
      </w:r>
      <w:r>
        <w:t>23</w:t>
      </w:r>
      <w:r>
        <w:fldChar w:fldCharType="end"/>
      </w:r>
      <w:r>
        <w:rPr>
          <w:rFonts w:hint="eastAsia" w:ascii="仿宋" w:hAnsi="仿宋" w:eastAsia="仿宋" w:cs="仿宋"/>
          <w:kern w:val="0"/>
          <w:szCs w:val="21"/>
        </w:rPr>
        <w:fldChar w:fldCharType="end"/>
      </w:r>
    </w:p>
    <w:p w14:paraId="6A9C183A">
      <w:pPr>
        <w:pStyle w:val="28"/>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_Toc30981 </w:instrText>
      </w:r>
      <w:r>
        <w:rPr>
          <w:rFonts w:hint="eastAsia" w:ascii="仿宋" w:hAnsi="仿宋" w:eastAsia="仿宋" w:cs="仿宋"/>
          <w:kern w:val="0"/>
          <w:szCs w:val="21"/>
        </w:rPr>
        <w:fldChar w:fldCharType="separate"/>
      </w:r>
      <w:r>
        <w:rPr>
          <w:rFonts w:ascii="仿宋_GB2312" w:hAnsi="宋体" w:eastAsia="仿宋_GB2312"/>
        </w:rPr>
        <w:t>第</w:t>
      </w:r>
      <w:r>
        <w:rPr>
          <w:rFonts w:hint="eastAsia" w:ascii="仿宋_GB2312" w:hAnsi="宋体" w:eastAsia="仿宋_GB2312"/>
        </w:rPr>
        <w:t>二</w:t>
      </w:r>
      <w:r>
        <w:rPr>
          <w:rFonts w:ascii="仿宋_GB2312" w:hAnsi="宋体" w:eastAsia="仿宋_GB2312"/>
        </w:rPr>
        <w:t>部分</w:t>
      </w:r>
      <w:r>
        <w:rPr>
          <w:rFonts w:hint="eastAsia" w:ascii="仿宋_GB2312" w:hAnsi="宋体" w:eastAsia="仿宋_GB2312"/>
        </w:rPr>
        <w:t xml:space="preserve">  商务及</w:t>
      </w:r>
      <w:r>
        <w:rPr>
          <w:rFonts w:ascii="仿宋_GB2312" w:hAnsi="宋体" w:eastAsia="仿宋_GB2312"/>
        </w:rPr>
        <w:t>技术</w:t>
      </w:r>
      <w:r>
        <w:rPr>
          <w:rFonts w:hint="eastAsia" w:ascii="仿宋_GB2312" w:hAnsi="宋体" w:eastAsia="仿宋_GB2312"/>
        </w:rPr>
        <w:t>文件</w:t>
      </w:r>
      <w:r>
        <w:tab/>
      </w:r>
      <w:r>
        <w:fldChar w:fldCharType="begin"/>
      </w:r>
      <w:r>
        <w:instrText xml:space="preserve"> PAGEREF _Toc30981 \h </w:instrText>
      </w:r>
      <w:r>
        <w:fldChar w:fldCharType="separate"/>
      </w:r>
      <w:r>
        <w:t>30</w:t>
      </w:r>
      <w:r>
        <w:fldChar w:fldCharType="end"/>
      </w:r>
      <w:r>
        <w:rPr>
          <w:rFonts w:hint="eastAsia" w:ascii="仿宋" w:hAnsi="仿宋" w:eastAsia="仿宋" w:cs="仿宋"/>
          <w:kern w:val="0"/>
          <w:szCs w:val="21"/>
        </w:rPr>
        <w:fldChar w:fldCharType="end"/>
      </w:r>
    </w:p>
    <w:p w14:paraId="0403E996">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_Toc20193 </w:instrText>
      </w:r>
      <w:r>
        <w:rPr>
          <w:rFonts w:hint="eastAsia" w:ascii="仿宋" w:hAnsi="仿宋" w:eastAsia="仿宋" w:cs="仿宋"/>
          <w:kern w:val="0"/>
          <w:szCs w:val="21"/>
        </w:rPr>
        <w:fldChar w:fldCharType="separate"/>
      </w:r>
      <w:r>
        <w:rPr>
          <w:rFonts w:hint="eastAsia" w:ascii="仿宋" w:hAnsi="仿宋" w:eastAsia="仿宋" w:cs="仿宋"/>
          <w:szCs w:val="36"/>
        </w:rPr>
        <w:t>第三章</w:t>
      </w:r>
      <w:r>
        <w:rPr>
          <w:rFonts w:hint="eastAsia" w:ascii="仿宋" w:hAnsi="仿宋" w:eastAsia="仿宋" w:cs="仿宋"/>
          <w:szCs w:val="36"/>
          <w:lang w:val="en-US" w:eastAsia="zh-CN"/>
        </w:rPr>
        <w:t xml:space="preserve">  </w:t>
      </w:r>
      <w:r>
        <w:rPr>
          <w:rFonts w:hint="eastAsia" w:ascii="仿宋" w:hAnsi="仿宋" w:eastAsia="仿宋" w:cs="仿宋"/>
          <w:szCs w:val="36"/>
        </w:rPr>
        <w:t>公告</w:t>
      </w:r>
      <w:r>
        <w:tab/>
      </w:r>
      <w:r>
        <w:fldChar w:fldCharType="begin"/>
      </w:r>
      <w:r>
        <w:instrText xml:space="preserve"> PAGEREF _Toc20193 \h </w:instrText>
      </w:r>
      <w:r>
        <w:fldChar w:fldCharType="separate"/>
      </w:r>
      <w:r>
        <w:t>42</w:t>
      </w:r>
      <w:r>
        <w:fldChar w:fldCharType="end"/>
      </w:r>
      <w:r>
        <w:rPr>
          <w:rFonts w:hint="eastAsia" w:ascii="仿宋" w:hAnsi="仿宋" w:eastAsia="仿宋" w:cs="仿宋"/>
          <w:kern w:val="0"/>
          <w:szCs w:val="21"/>
        </w:rPr>
        <w:fldChar w:fldCharType="end"/>
      </w:r>
    </w:p>
    <w:p w14:paraId="02B20D06">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_Toc28903 </w:instrText>
      </w:r>
      <w:r>
        <w:rPr>
          <w:rFonts w:hint="eastAsia" w:ascii="仿宋" w:hAnsi="仿宋" w:eastAsia="仿宋" w:cs="仿宋"/>
          <w:kern w:val="0"/>
          <w:szCs w:val="21"/>
        </w:rPr>
        <w:fldChar w:fldCharType="separate"/>
      </w:r>
      <w:r>
        <w:rPr>
          <w:rFonts w:hint="eastAsia" w:ascii="仿宋" w:hAnsi="仿宋" w:eastAsia="仿宋" w:cs="仿宋"/>
        </w:rPr>
        <w:t>第四章  供应商须知资料表</w:t>
      </w:r>
      <w:r>
        <w:tab/>
      </w:r>
      <w:r>
        <w:fldChar w:fldCharType="begin"/>
      </w:r>
      <w:r>
        <w:instrText xml:space="preserve"> PAGEREF _Toc28903 \h </w:instrText>
      </w:r>
      <w:r>
        <w:fldChar w:fldCharType="separate"/>
      </w:r>
      <w:r>
        <w:t>44</w:t>
      </w:r>
      <w:r>
        <w:fldChar w:fldCharType="end"/>
      </w:r>
      <w:r>
        <w:rPr>
          <w:rFonts w:hint="eastAsia" w:ascii="仿宋" w:hAnsi="仿宋" w:eastAsia="仿宋" w:cs="仿宋"/>
          <w:kern w:val="0"/>
          <w:szCs w:val="21"/>
        </w:rPr>
        <w:fldChar w:fldCharType="end"/>
      </w:r>
    </w:p>
    <w:p w14:paraId="113602F3">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_Toc9698 </w:instrText>
      </w:r>
      <w:r>
        <w:rPr>
          <w:rFonts w:hint="eastAsia" w:ascii="仿宋" w:hAnsi="仿宋" w:eastAsia="仿宋" w:cs="仿宋"/>
          <w:kern w:val="0"/>
          <w:szCs w:val="21"/>
        </w:rPr>
        <w:fldChar w:fldCharType="separate"/>
      </w:r>
      <w:r>
        <w:rPr>
          <w:rFonts w:hint="eastAsia" w:ascii="仿宋" w:hAnsi="仿宋" w:eastAsia="仿宋" w:cs="仿宋"/>
        </w:rPr>
        <w:t>第五章</w:t>
      </w:r>
      <w:r>
        <w:rPr>
          <w:rFonts w:hint="eastAsia"/>
        </w:rPr>
        <w:t xml:space="preserve"> </w:t>
      </w:r>
      <w:r>
        <w:rPr>
          <w:rFonts w:hint="eastAsia"/>
          <w:lang w:val="en-US" w:eastAsia="zh-CN"/>
        </w:rPr>
        <w:t xml:space="preserve"> </w:t>
      </w:r>
      <w:r>
        <w:rPr>
          <w:rFonts w:hint="eastAsia" w:ascii="仿宋" w:hAnsi="仿宋" w:eastAsia="仿宋" w:cs="仿宋"/>
        </w:rPr>
        <w:t>服务需求一览表及参数规格</w:t>
      </w:r>
      <w:r>
        <w:tab/>
      </w:r>
      <w:r>
        <w:fldChar w:fldCharType="begin"/>
      </w:r>
      <w:r>
        <w:instrText xml:space="preserve"> PAGEREF _Toc9698 \h </w:instrText>
      </w:r>
      <w:r>
        <w:fldChar w:fldCharType="separate"/>
      </w:r>
      <w:r>
        <w:t>48</w:t>
      </w:r>
      <w:r>
        <w:fldChar w:fldCharType="end"/>
      </w:r>
      <w:r>
        <w:rPr>
          <w:rFonts w:hint="eastAsia" w:ascii="仿宋" w:hAnsi="仿宋" w:eastAsia="仿宋" w:cs="仿宋"/>
          <w:kern w:val="0"/>
          <w:szCs w:val="21"/>
        </w:rPr>
        <w:fldChar w:fldCharType="end"/>
      </w:r>
    </w:p>
    <w:p w14:paraId="2206C6BE">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_Toc21022 </w:instrText>
      </w:r>
      <w:r>
        <w:rPr>
          <w:rFonts w:hint="eastAsia" w:ascii="仿宋" w:hAnsi="仿宋" w:eastAsia="仿宋" w:cs="仿宋"/>
          <w:kern w:val="0"/>
          <w:szCs w:val="21"/>
        </w:rPr>
        <w:fldChar w:fldCharType="separate"/>
      </w:r>
      <w:r>
        <w:rPr>
          <w:rFonts w:hint="eastAsia" w:ascii="仿宋" w:hAnsi="仿宋" w:eastAsia="仿宋" w:cs="仿宋"/>
        </w:rPr>
        <w:t>第六章</w:t>
      </w:r>
      <w:r>
        <w:rPr>
          <w:rFonts w:hint="eastAsia" w:ascii="仿宋" w:hAnsi="仿宋" w:eastAsia="仿宋" w:cs="仿宋"/>
          <w:lang w:val="en-US" w:eastAsia="zh-CN"/>
        </w:rPr>
        <w:t xml:space="preserve">  </w:t>
      </w:r>
      <w:r>
        <w:rPr>
          <w:rFonts w:hint="eastAsia" w:ascii="仿宋" w:hAnsi="仿宋" w:eastAsia="仿宋" w:cs="仿宋"/>
        </w:rPr>
        <w:t>评标方法和标准</w:t>
      </w:r>
      <w:r>
        <w:tab/>
      </w:r>
      <w:r>
        <w:fldChar w:fldCharType="begin"/>
      </w:r>
      <w:r>
        <w:instrText xml:space="preserve"> PAGEREF _Toc21022 \h </w:instrText>
      </w:r>
      <w:r>
        <w:fldChar w:fldCharType="separate"/>
      </w:r>
      <w:r>
        <w:t>51</w:t>
      </w:r>
      <w:r>
        <w:fldChar w:fldCharType="end"/>
      </w:r>
      <w:r>
        <w:rPr>
          <w:rFonts w:hint="eastAsia" w:ascii="仿宋" w:hAnsi="仿宋" w:eastAsia="仿宋" w:cs="仿宋"/>
          <w:kern w:val="0"/>
          <w:szCs w:val="21"/>
        </w:rPr>
        <w:fldChar w:fldCharType="end"/>
      </w:r>
    </w:p>
    <w:p w14:paraId="5E367A2E">
      <w:pPr>
        <w:pStyle w:val="23"/>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_Toc7184 </w:instrText>
      </w:r>
      <w:r>
        <w:rPr>
          <w:rFonts w:hint="eastAsia" w:ascii="仿宋" w:hAnsi="仿宋" w:eastAsia="仿宋" w:cs="仿宋"/>
          <w:kern w:val="0"/>
          <w:szCs w:val="21"/>
        </w:rPr>
        <w:fldChar w:fldCharType="separate"/>
      </w:r>
      <w:r>
        <w:rPr>
          <w:rFonts w:hint="eastAsia" w:ascii="仿宋" w:hAnsi="仿宋" w:eastAsia="仿宋" w:cs="仿宋"/>
        </w:rPr>
        <w:t>第七章  政府采购合同</w:t>
      </w:r>
      <w:r>
        <w:tab/>
      </w:r>
      <w:r>
        <w:fldChar w:fldCharType="begin"/>
      </w:r>
      <w:r>
        <w:instrText xml:space="preserve"> PAGEREF _Toc7184 \h </w:instrText>
      </w:r>
      <w:r>
        <w:fldChar w:fldCharType="separate"/>
      </w:r>
      <w:r>
        <w:t>64</w:t>
      </w:r>
      <w:r>
        <w:fldChar w:fldCharType="end"/>
      </w:r>
      <w:r>
        <w:rPr>
          <w:rFonts w:hint="eastAsia" w:ascii="仿宋" w:hAnsi="仿宋" w:eastAsia="仿宋" w:cs="仿宋"/>
          <w:kern w:val="0"/>
          <w:szCs w:val="21"/>
        </w:rPr>
        <w:fldChar w:fldCharType="end"/>
      </w:r>
    </w:p>
    <w:p w14:paraId="6120A2B9">
      <w:pPr>
        <w:rPr>
          <w:rFonts w:hint="eastAsia" w:ascii="仿宋" w:hAnsi="仿宋" w:eastAsia="仿宋" w:cs="仿宋"/>
          <w:kern w:val="0"/>
          <w:szCs w:val="21"/>
        </w:rPr>
      </w:pPr>
    </w:p>
    <w:p w14:paraId="43E7F0E3">
      <w:pPr>
        <w:rPr>
          <w:rFonts w:hint="eastAsia" w:ascii="仿宋" w:hAnsi="仿宋" w:eastAsia="仿宋" w:cs="仿宋"/>
          <w:kern w:val="0"/>
          <w:szCs w:val="21"/>
        </w:rPr>
      </w:pPr>
    </w:p>
    <w:p w14:paraId="415400DA">
      <w:pPr>
        <w:rPr>
          <w:rFonts w:hint="eastAsia" w:ascii="仿宋" w:hAnsi="仿宋" w:eastAsia="仿宋" w:cs="仿宋"/>
          <w:kern w:val="0"/>
          <w:szCs w:val="21"/>
        </w:rPr>
      </w:pPr>
    </w:p>
    <w:p w14:paraId="633318EA">
      <w:pPr>
        <w:rPr>
          <w:rFonts w:hint="eastAsia" w:ascii="仿宋" w:hAnsi="仿宋" w:eastAsia="仿宋" w:cs="仿宋"/>
          <w:kern w:val="0"/>
          <w:szCs w:val="21"/>
        </w:rPr>
      </w:pPr>
    </w:p>
    <w:p w14:paraId="5625C0EA">
      <w:pPr>
        <w:rPr>
          <w:rFonts w:hint="eastAsia" w:ascii="仿宋" w:hAnsi="仿宋" w:eastAsia="仿宋" w:cs="仿宋"/>
          <w:kern w:val="0"/>
          <w:szCs w:val="21"/>
        </w:rPr>
      </w:pPr>
    </w:p>
    <w:p w14:paraId="3558221F">
      <w:pPr>
        <w:rPr>
          <w:rFonts w:hint="eastAsia" w:ascii="仿宋" w:hAnsi="仿宋" w:eastAsia="仿宋" w:cs="仿宋"/>
          <w:kern w:val="0"/>
          <w:szCs w:val="21"/>
        </w:rPr>
      </w:pPr>
    </w:p>
    <w:p w14:paraId="3E241D08">
      <w:pPr>
        <w:rPr>
          <w:rFonts w:hint="eastAsia" w:ascii="仿宋" w:hAnsi="仿宋" w:eastAsia="仿宋" w:cs="仿宋"/>
          <w:kern w:val="0"/>
          <w:szCs w:val="21"/>
        </w:rPr>
      </w:pPr>
    </w:p>
    <w:p w14:paraId="0D35B5E1">
      <w:pPr>
        <w:rPr>
          <w:rFonts w:hint="eastAsia" w:ascii="仿宋" w:hAnsi="仿宋" w:eastAsia="仿宋" w:cs="仿宋"/>
          <w:kern w:val="0"/>
          <w:szCs w:val="21"/>
        </w:rPr>
      </w:pPr>
    </w:p>
    <w:p w14:paraId="4C8774F4">
      <w:pPr>
        <w:rPr>
          <w:rFonts w:hint="eastAsia" w:ascii="仿宋" w:hAnsi="仿宋" w:eastAsia="仿宋" w:cs="仿宋"/>
          <w:kern w:val="0"/>
          <w:szCs w:val="21"/>
        </w:rPr>
      </w:pPr>
    </w:p>
    <w:p w14:paraId="01665225">
      <w:pPr>
        <w:rPr>
          <w:rFonts w:hint="eastAsia" w:ascii="仿宋" w:hAnsi="仿宋" w:eastAsia="仿宋" w:cs="仿宋"/>
          <w:kern w:val="0"/>
          <w:szCs w:val="21"/>
        </w:rPr>
      </w:pPr>
    </w:p>
    <w:p w14:paraId="345B038D">
      <w:pPr>
        <w:rPr>
          <w:rFonts w:hint="eastAsia" w:ascii="仿宋" w:hAnsi="仿宋" w:eastAsia="仿宋" w:cs="仿宋"/>
          <w:kern w:val="0"/>
          <w:szCs w:val="21"/>
        </w:rPr>
      </w:pPr>
    </w:p>
    <w:p w14:paraId="58077CDD">
      <w:pPr>
        <w:rPr>
          <w:rFonts w:hint="eastAsia" w:ascii="仿宋" w:hAnsi="仿宋" w:eastAsia="仿宋" w:cs="仿宋"/>
          <w:kern w:val="0"/>
          <w:szCs w:val="21"/>
        </w:rPr>
      </w:pPr>
    </w:p>
    <w:p w14:paraId="33BACDE6">
      <w:pPr>
        <w:rPr>
          <w:rFonts w:hint="eastAsia" w:ascii="仿宋" w:hAnsi="仿宋" w:eastAsia="仿宋" w:cs="仿宋"/>
          <w:kern w:val="0"/>
          <w:szCs w:val="21"/>
        </w:rPr>
      </w:pPr>
    </w:p>
    <w:p w14:paraId="743BBE51">
      <w:pPr>
        <w:rPr>
          <w:rFonts w:hint="eastAsia" w:ascii="仿宋" w:hAnsi="仿宋" w:eastAsia="仿宋" w:cs="仿宋"/>
          <w:kern w:val="0"/>
          <w:szCs w:val="21"/>
        </w:rPr>
      </w:pPr>
    </w:p>
    <w:p w14:paraId="1C5E92B9">
      <w:pPr>
        <w:rPr>
          <w:rFonts w:hint="eastAsia" w:ascii="仿宋" w:hAnsi="仿宋" w:eastAsia="仿宋" w:cs="仿宋"/>
          <w:kern w:val="0"/>
          <w:szCs w:val="21"/>
        </w:rPr>
      </w:pPr>
    </w:p>
    <w:p w14:paraId="511E3186">
      <w:pPr>
        <w:rPr>
          <w:rFonts w:hint="eastAsia" w:ascii="仿宋" w:hAnsi="仿宋" w:eastAsia="仿宋" w:cs="仿宋"/>
          <w:kern w:val="0"/>
          <w:szCs w:val="21"/>
        </w:rPr>
      </w:pPr>
    </w:p>
    <w:p w14:paraId="1CD6340C">
      <w:pPr>
        <w:rPr>
          <w:rFonts w:hint="eastAsia" w:ascii="仿宋" w:hAnsi="仿宋" w:eastAsia="仿宋" w:cs="仿宋"/>
          <w:kern w:val="0"/>
          <w:szCs w:val="21"/>
        </w:rPr>
      </w:pPr>
    </w:p>
    <w:p w14:paraId="13E2FDEC">
      <w:pPr>
        <w:rPr>
          <w:rFonts w:hint="eastAsia" w:ascii="仿宋" w:hAnsi="仿宋" w:eastAsia="仿宋" w:cs="仿宋"/>
          <w:kern w:val="0"/>
          <w:szCs w:val="21"/>
        </w:rPr>
      </w:pPr>
    </w:p>
    <w:p w14:paraId="43527DBA">
      <w:pPr>
        <w:rPr>
          <w:rFonts w:hint="eastAsia" w:ascii="仿宋" w:hAnsi="仿宋" w:eastAsia="仿宋" w:cs="仿宋"/>
          <w:kern w:val="0"/>
          <w:szCs w:val="21"/>
        </w:rPr>
      </w:pPr>
    </w:p>
    <w:p w14:paraId="642CE757">
      <w:pPr>
        <w:rPr>
          <w:rFonts w:hint="eastAsia" w:ascii="仿宋" w:hAnsi="仿宋" w:eastAsia="仿宋" w:cs="仿宋"/>
          <w:kern w:val="0"/>
          <w:szCs w:val="21"/>
        </w:rPr>
      </w:pPr>
    </w:p>
    <w:p w14:paraId="76204B49">
      <w:pPr>
        <w:rPr>
          <w:rFonts w:hint="eastAsia" w:ascii="仿宋" w:hAnsi="仿宋" w:eastAsia="仿宋" w:cs="仿宋"/>
          <w:kern w:val="0"/>
          <w:szCs w:val="21"/>
        </w:rPr>
      </w:pPr>
    </w:p>
    <w:p w14:paraId="61BB68E4">
      <w:pPr>
        <w:rPr>
          <w:rFonts w:hint="eastAsia" w:ascii="仿宋" w:hAnsi="仿宋" w:eastAsia="仿宋" w:cs="仿宋"/>
          <w:kern w:val="0"/>
          <w:szCs w:val="21"/>
        </w:rPr>
      </w:pPr>
    </w:p>
    <w:p w14:paraId="0745C914">
      <w:pPr>
        <w:rPr>
          <w:rFonts w:hint="eastAsia" w:ascii="仿宋" w:hAnsi="仿宋" w:eastAsia="仿宋" w:cs="仿宋"/>
          <w:kern w:val="0"/>
          <w:szCs w:val="21"/>
        </w:rPr>
      </w:pPr>
    </w:p>
    <w:p w14:paraId="28C7F9FB">
      <w:pPr>
        <w:rPr>
          <w:rFonts w:hint="eastAsia" w:ascii="仿宋" w:hAnsi="仿宋" w:eastAsia="仿宋" w:cs="仿宋"/>
          <w:kern w:val="0"/>
          <w:szCs w:val="21"/>
        </w:rPr>
      </w:pPr>
    </w:p>
    <w:p w14:paraId="5F9CDB0B">
      <w:pPr>
        <w:rPr>
          <w:rFonts w:hint="eastAsia" w:ascii="仿宋" w:hAnsi="仿宋" w:eastAsia="仿宋" w:cs="仿宋"/>
          <w:kern w:val="0"/>
          <w:szCs w:val="21"/>
        </w:rPr>
      </w:pPr>
    </w:p>
    <w:p w14:paraId="0254CC4E">
      <w:pPr>
        <w:rPr>
          <w:rFonts w:hint="eastAsia" w:ascii="仿宋" w:hAnsi="仿宋" w:eastAsia="仿宋" w:cs="仿宋"/>
          <w:kern w:val="0"/>
          <w:szCs w:val="21"/>
        </w:rPr>
      </w:pPr>
    </w:p>
    <w:p w14:paraId="3FE08CBA">
      <w:pPr>
        <w:rPr>
          <w:rFonts w:hint="eastAsia" w:ascii="仿宋" w:hAnsi="仿宋" w:eastAsia="仿宋" w:cs="仿宋"/>
          <w:kern w:val="0"/>
          <w:szCs w:val="21"/>
        </w:rPr>
      </w:pPr>
    </w:p>
    <w:p w14:paraId="39B1F187">
      <w:pPr>
        <w:rPr>
          <w:rFonts w:hint="eastAsia" w:ascii="仿宋" w:hAnsi="仿宋" w:eastAsia="仿宋" w:cs="仿宋"/>
          <w:kern w:val="0"/>
          <w:szCs w:val="21"/>
        </w:rPr>
      </w:pPr>
    </w:p>
    <w:p w14:paraId="497F60C2">
      <w:pPr>
        <w:rPr>
          <w:rFonts w:hint="eastAsia" w:ascii="仿宋" w:hAnsi="仿宋" w:eastAsia="仿宋" w:cs="仿宋"/>
          <w:kern w:val="0"/>
          <w:szCs w:val="21"/>
        </w:rPr>
      </w:pPr>
    </w:p>
    <w:p w14:paraId="0367274D">
      <w:pPr>
        <w:rPr>
          <w:rFonts w:hint="eastAsia" w:ascii="仿宋" w:hAnsi="仿宋" w:eastAsia="仿宋" w:cs="仿宋"/>
          <w:kern w:val="0"/>
          <w:szCs w:val="21"/>
        </w:rPr>
      </w:pPr>
    </w:p>
    <w:p w14:paraId="47F0B7A9">
      <w:pPr>
        <w:pStyle w:val="3"/>
        <w:numPr>
          <w:ilvl w:val="0"/>
          <w:numId w:val="0"/>
        </w:numPr>
        <w:bidi w:val="0"/>
        <w:ind w:left="1844" w:leftChars="0"/>
        <w:jc w:val="both"/>
        <w:rPr>
          <w:rFonts w:ascii="仿宋" w:hAnsi="仿宋" w:eastAsia="仿宋" w:cs="仿宋"/>
        </w:rPr>
      </w:pPr>
      <w:r>
        <w:rPr>
          <w:rFonts w:hint="eastAsia" w:ascii="仿宋" w:hAnsi="仿宋" w:eastAsia="仿宋" w:cs="仿宋"/>
          <w:kern w:val="0"/>
          <w:szCs w:val="21"/>
        </w:rPr>
        <w:fldChar w:fldCharType="end"/>
      </w:r>
      <w:bookmarkStart w:id="0" w:name="_Toc216582804"/>
      <w:bookmarkStart w:id="1" w:name="_Toc17230"/>
      <w:bookmarkStart w:id="2" w:name="_Toc22782"/>
      <w:bookmarkStart w:id="3" w:name="_Toc6833"/>
      <w:r>
        <w:rPr>
          <w:rFonts w:hint="eastAsia" w:ascii="仿宋" w:hAnsi="仿宋" w:eastAsia="仿宋" w:cs="仿宋"/>
        </w:rPr>
        <w:t xml:space="preserve"> </w:t>
      </w:r>
      <w:bookmarkStart w:id="4" w:name="_Toc515647756"/>
      <w:r>
        <w:rPr>
          <w:rFonts w:hint="eastAsia" w:ascii="仿宋" w:hAnsi="仿宋" w:eastAsia="仿宋" w:cs="仿宋"/>
          <w:lang w:val="en-US" w:eastAsia="zh-CN"/>
        </w:rPr>
        <w:t xml:space="preserve">       第1章 </w:t>
      </w:r>
      <w:r>
        <w:rPr>
          <w:rFonts w:hint="eastAsia" w:ascii="仿宋" w:hAnsi="仿宋" w:eastAsia="仿宋" w:cs="仿宋"/>
        </w:rPr>
        <w:t>供应商须知</w:t>
      </w:r>
      <w:bookmarkEnd w:id="0"/>
      <w:bookmarkEnd w:id="1"/>
      <w:bookmarkEnd w:id="2"/>
      <w:bookmarkEnd w:id="3"/>
      <w:bookmarkEnd w:id="4"/>
    </w:p>
    <w:p w14:paraId="706532B0">
      <w:pPr>
        <w:rPr>
          <w:rFonts w:ascii="仿宋" w:hAnsi="仿宋" w:eastAsia="仿宋" w:cs="仿宋"/>
        </w:rPr>
      </w:pPr>
    </w:p>
    <w:p w14:paraId="32BA528F">
      <w:pPr>
        <w:pStyle w:val="3"/>
        <w:spacing w:before="0" w:line="240" w:lineRule="atLeast"/>
        <w:ind w:left="1079" w:leftChars="257" w:hanging="540"/>
        <w:rPr>
          <w:rFonts w:ascii="仿宋" w:hAnsi="仿宋" w:eastAsia="仿宋" w:cs="仿宋"/>
          <w:sz w:val="28"/>
        </w:rPr>
      </w:pPr>
      <w:bookmarkStart w:id="5" w:name="_Toc520356143"/>
      <w:bookmarkStart w:id="6" w:name="_Toc216582805"/>
      <w:bookmarkStart w:id="7" w:name="_Toc515647757"/>
      <w:bookmarkStart w:id="8" w:name="_Toc21215"/>
      <w:bookmarkStart w:id="9" w:name="_Toc21015"/>
      <w:bookmarkStart w:id="10" w:name="_Toc18483"/>
      <w:r>
        <w:rPr>
          <w:rFonts w:hint="eastAsia" w:ascii="仿宋" w:hAnsi="仿宋" w:eastAsia="仿宋" w:cs="仿宋"/>
          <w:sz w:val="28"/>
        </w:rPr>
        <w:t xml:space="preserve">一   </w:t>
      </w:r>
      <w:bookmarkEnd w:id="5"/>
      <w:bookmarkEnd w:id="6"/>
      <w:bookmarkEnd w:id="7"/>
      <w:r>
        <w:rPr>
          <w:rFonts w:hint="eastAsia" w:ascii="仿宋" w:hAnsi="仿宋" w:eastAsia="仿宋" w:cs="仿宋"/>
          <w:sz w:val="28"/>
        </w:rPr>
        <w:t>总 则</w:t>
      </w:r>
      <w:bookmarkEnd w:id="8"/>
      <w:bookmarkEnd w:id="9"/>
      <w:bookmarkEnd w:id="10"/>
    </w:p>
    <w:p w14:paraId="45817703">
      <w:pPr>
        <w:pStyle w:val="5"/>
        <w:rPr>
          <w:rFonts w:ascii="仿宋" w:hAnsi="仿宋" w:eastAsia="仿宋" w:cs="仿宋"/>
        </w:rPr>
      </w:pPr>
    </w:p>
    <w:p w14:paraId="664CE4D9">
      <w:pPr>
        <w:pStyle w:val="4"/>
        <w:spacing w:before="0" w:after="0" w:line="240" w:lineRule="atLeast"/>
        <w:rPr>
          <w:rFonts w:ascii="仿宋" w:hAnsi="仿宋" w:eastAsia="仿宋" w:cs="仿宋"/>
          <w:u w:val="none"/>
        </w:rPr>
      </w:pPr>
      <w:bookmarkStart w:id="11" w:name="_Toc32623"/>
      <w:bookmarkStart w:id="12" w:name="_Toc520356144"/>
      <w:bookmarkStart w:id="13" w:name="_Toc515647758"/>
      <w:bookmarkStart w:id="14" w:name="_Toc32189"/>
      <w:bookmarkStart w:id="15" w:name="_Toc27487"/>
      <w:r>
        <w:rPr>
          <w:rFonts w:hint="eastAsia" w:ascii="仿宋" w:hAnsi="仿宋" w:eastAsia="仿宋" w:cs="仿宋"/>
          <w:u w:val="none"/>
        </w:rPr>
        <w:t>1.采购人、采购代理机构及</w:t>
      </w:r>
      <w:bookmarkEnd w:id="11"/>
      <w:bookmarkEnd w:id="12"/>
      <w:bookmarkEnd w:id="13"/>
      <w:bookmarkEnd w:id="14"/>
      <w:r>
        <w:rPr>
          <w:rFonts w:hint="eastAsia" w:ascii="仿宋" w:hAnsi="仿宋" w:eastAsia="仿宋" w:cs="仿宋"/>
          <w:u w:val="none"/>
        </w:rPr>
        <w:t>供应商</w:t>
      </w:r>
      <w:bookmarkEnd w:id="15"/>
    </w:p>
    <w:p w14:paraId="55DC7D2F">
      <w:pPr>
        <w:numPr>
          <w:ilvl w:val="1"/>
          <w:numId w:val="1"/>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 xml:space="preserve">    采购人：是指依法开展政府采购活动的国家机关、事业单位、团体组织。</w:t>
      </w:r>
    </w:p>
    <w:p w14:paraId="658291FD">
      <w:pPr>
        <w:tabs>
          <w:tab w:val="left" w:pos="0"/>
        </w:tabs>
        <w:spacing w:line="240" w:lineRule="atLeast"/>
        <w:ind w:left="900"/>
        <w:rPr>
          <w:rFonts w:ascii="仿宋" w:hAnsi="仿宋" w:eastAsia="仿宋" w:cs="仿宋"/>
          <w:sz w:val="24"/>
        </w:rPr>
      </w:pPr>
      <w:r>
        <w:rPr>
          <w:rFonts w:hint="eastAsia" w:ascii="仿宋" w:hAnsi="仿宋" w:eastAsia="仿宋" w:cs="仿宋"/>
          <w:sz w:val="24"/>
        </w:rPr>
        <w:t>本项目的采购人见</w:t>
      </w:r>
      <w:r>
        <w:rPr>
          <w:rFonts w:hint="eastAsia" w:ascii="仿宋" w:hAnsi="仿宋" w:eastAsia="仿宋" w:cs="仿宋"/>
          <w:sz w:val="24"/>
          <w:u w:val="single"/>
        </w:rPr>
        <w:t>供应商须知资料表</w:t>
      </w:r>
      <w:r>
        <w:rPr>
          <w:rFonts w:hint="eastAsia" w:ascii="仿宋" w:hAnsi="仿宋" w:eastAsia="仿宋" w:cs="仿宋"/>
          <w:sz w:val="24"/>
        </w:rPr>
        <w:t>。</w:t>
      </w:r>
    </w:p>
    <w:p w14:paraId="309BCFEF">
      <w:pPr>
        <w:numPr>
          <w:ilvl w:val="1"/>
          <w:numId w:val="1"/>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 xml:space="preserve">    采购代理机构：是指在集中采购机构或从事采购代理业务的社会中介机构。本项目的采购代理机构见</w:t>
      </w:r>
      <w:r>
        <w:rPr>
          <w:rFonts w:hint="eastAsia" w:ascii="仿宋" w:hAnsi="仿宋" w:eastAsia="仿宋" w:cs="仿宋"/>
          <w:sz w:val="24"/>
          <w:u w:val="single"/>
        </w:rPr>
        <w:t>供应商须知资料表</w:t>
      </w:r>
      <w:r>
        <w:rPr>
          <w:rFonts w:hint="eastAsia" w:ascii="仿宋" w:hAnsi="仿宋" w:eastAsia="仿宋" w:cs="仿宋"/>
          <w:sz w:val="24"/>
        </w:rPr>
        <w:t>。</w:t>
      </w:r>
    </w:p>
    <w:p w14:paraId="7992136F">
      <w:pPr>
        <w:numPr>
          <w:ilvl w:val="1"/>
          <w:numId w:val="1"/>
        </w:numPr>
        <w:spacing w:line="240" w:lineRule="atLeast"/>
        <w:ind w:hangingChars="375"/>
        <w:rPr>
          <w:rFonts w:ascii="仿宋" w:hAnsi="仿宋" w:eastAsia="仿宋" w:cs="仿宋"/>
          <w:sz w:val="24"/>
        </w:rPr>
      </w:pPr>
      <w:r>
        <w:rPr>
          <w:rFonts w:hint="eastAsia" w:ascii="仿宋" w:hAnsi="仿宋" w:eastAsia="仿宋" w:cs="仿宋"/>
          <w:sz w:val="24"/>
        </w:rPr>
        <w:t>供应商：是指向采购人提供货物、工程或者服务的法人、非法人组织或者自然人。本项目的供应商及其投标服务须满足以下条件：</w:t>
      </w:r>
    </w:p>
    <w:p w14:paraId="2AF68B76">
      <w:pPr>
        <w:spacing w:line="240" w:lineRule="atLeast"/>
        <w:ind w:left="850" w:hanging="849" w:hangingChars="354"/>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在中华人民共和国境内注册，能够独立承担民事责任，有生产或供应能力的本国供应商。</w:t>
      </w:r>
    </w:p>
    <w:p w14:paraId="3F51D868">
      <w:pPr>
        <w:spacing w:line="240" w:lineRule="atLeast"/>
        <w:ind w:left="900" w:hanging="900" w:hangingChars="375"/>
        <w:rPr>
          <w:rFonts w:ascii="仿宋" w:hAnsi="仿宋" w:eastAsia="仿宋" w:cs="仿宋"/>
          <w:sz w:val="24"/>
        </w:rPr>
      </w:pPr>
      <w:r>
        <w:rPr>
          <w:rFonts w:hint="eastAsia" w:ascii="仿宋" w:hAnsi="仿宋" w:eastAsia="仿宋" w:cs="仿宋"/>
          <w:sz w:val="24"/>
        </w:rPr>
        <w:t>1.3.2  具备《中华人民共和国政府采购法》第二十二条关于供应商条件的规定，遵守本项目采购人本级和上级财政部门政府采购的有关规定。</w:t>
      </w:r>
    </w:p>
    <w:p w14:paraId="738BC24D">
      <w:pPr>
        <w:spacing w:line="240" w:lineRule="atLeast"/>
        <w:ind w:left="900" w:hanging="900" w:hangingChars="375"/>
        <w:rPr>
          <w:rFonts w:ascii="仿宋" w:hAnsi="仿宋" w:eastAsia="仿宋" w:cs="仿宋"/>
          <w:sz w:val="24"/>
        </w:rPr>
      </w:pPr>
      <w:r>
        <w:rPr>
          <w:rFonts w:hint="eastAsia" w:ascii="仿宋" w:hAnsi="仿宋" w:eastAsia="仿宋" w:cs="仿宋"/>
          <w:sz w:val="24"/>
        </w:rPr>
        <w:t>1.3.3  以采购代理机构认可的方式获得了本项目的磋商文件。</w:t>
      </w:r>
    </w:p>
    <w:p w14:paraId="194BBF38">
      <w:pPr>
        <w:spacing w:line="240" w:lineRule="atLeast"/>
        <w:ind w:left="900" w:hanging="900" w:hangingChars="375"/>
        <w:rPr>
          <w:rFonts w:ascii="仿宋" w:hAnsi="仿宋" w:eastAsia="仿宋" w:cs="仿宋"/>
          <w:sz w:val="24"/>
        </w:rPr>
      </w:pPr>
      <w:r>
        <w:rPr>
          <w:rFonts w:hint="eastAsia" w:ascii="仿宋" w:hAnsi="仿宋" w:eastAsia="仿宋" w:cs="仿宋"/>
          <w:sz w:val="24"/>
        </w:rPr>
        <w:t>1.3.4  符合</w:t>
      </w:r>
      <w:r>
        <w:rPr>
          <w:rFonts w:hint="eastAsia" w:ascii="仿宋" w:hAnsi="仿宋" w:eastAsia="仿宋" w:cs="仿宋"/>
          <w:sz w:val="24"/>
          <w:u w:val="single"/>
        </w:rPr>
        <w:t>供应商须知资料表</w:t>
      </w:r>
      <w:r>
        <w:rPr>
          <w:rFonts w:hint="eastAsia" w:ascii="仿宋" w:hAnsi="仿宋" w:eastAsia="仿宋" w:cs="仿宋"/>
          <w:sz w:val="24"/>
        </w:rPr>
        <w:t>中规定的其他要求。</w:t>
      </w:r>
    </w:p>
    <w:p w14:paraId="581D0B1E">
      <w:pPr>
        <w:spacing w:line="240" w:lineRule="atLeast"/>
        <w:ind w:left="900" w:hanging="900" w:hangingChars="375"/>
        <w:rPr>
          <w:rFonts w:ascii="仿宋" w:hAnsi="仿宋" w:eastAsia="仿宋" w:cs="仿宋"/>
          <w:sz w:val="24"/>
        </w:rPr>
      </w:pPr>
      <w:r>
        <w:rPr>
          <w:rFonts w:hint="eastAsia" w:ascii="仿宋" w:hAnsi="仿宋" w:eastAsia="仿宋" w:cs="仿宋"/>
          <w:sz w:val="24"/>
        </w:rPr>
        <w:t>1.3.5  若</w:t>
      </w:r>
      <w:r>
        <w:rPr>
          <w:rFonts w:hint="eastAsia" w:ascii="仿宋" w:hAnsi="仿宋" w:eastAsia="仿宋" w:cs="仿宋"/>
          <w:sz w:val="24"/>
          <w:u w:val="single"/>
        </w:rPr>
        <w:t>供应商须知资料表</w:t>
      </w:r>
      <w:r>
        <w:rPr>
          <w:rFonts w:hint="eastAsia" w:ascii="仿宋" w:hAnsi="仿宋" w:eastAsia="仿宋" w:cs="仿宋"/>
          <w:sz w:val="24"/>
        </w:rPr>
        <w:t>中写明允许采购进口产品，供应商应保证所投产品可履行合法报通关手续进入中国关境内。</w:t>
      </w:r>
    </w:p>
    <w:p w14:paraId="0EFAABF4">
      <w:pPr>
        <w:spacing w:line="240" w:lineRule="atLeast"/>
        <w:ind w:left="898" w:leftChars="428"/>
        <w:rPr>
          <w:rFonts w:ascii="仿宋" w:hAnsi="仿宋" w:eastAsia="仿宋" w:cs="仿宋"/>
          <w:sz w:val="24"/>
        </w:rPr>
      </w:pPr>
      <w:r>
        <w:rPr>
          <w:rFonts w:hint="eastAsia" w:ascii="仿宋" w:hAnsi="仿宋" w:eastAsia="仿宋" w:cs="仿宋"/>
          <w:sz w:val="24"/>
        </w:rPr>
        <w:t>若</w:t>
      </w:r>
      <w:r>
        <w:rPr>
          <w:rFonts w:hint="eastAsia" w:ascii="仿宋" w:hAnsi="仿宋" w:eastAsia="仿宋" w:cs="仿宋"/>
          <w:sz w:val="24"/>
          <w:u w:val="single"/>
        </w:rPr>
        <w:t>供应商须知资料表</w:t>
      </w:r>
      <w:r>
        <w:rPr>
          <w:rFonts w:hint="eastAsia" w:ascii="仿宋" w:hAnsi="仿宋" w:eastAsia="仿宋" w:cs="仿宋"/>
          <w:sz w:val="24"/>
        </w:rPr>
        <w:t>中未写明允许采购进口产品，如供应商所投产品为进口产品，其投标将被认定为</w:t>
      </w:r>
      <w:r>
        <w:rPr>
          <w:rFonts w:hint="eastAsia" w:ascii="仿宋" w:hAnsi="仿宋" w:eastAsia="仿宋" w:cs="仿宋"/>
          <w:b/>
          <w:bCs/>
          <w:sz w:val="24"/>
        </w:rPr>
        <w:t>投标无效</w:t>
      </w:r>
      <w:r>
        <w:rPr>
          <w:rFonts w:hint="eastAsia" w:ascii="仿宋" w:hAnsi="仿宋" w:eastAsia="仿宋" w:cs="仿宋"/>
          <w:sz w:val="24"/>
        </w:rPr>
        <w:t>。</w:t>
      </w:r>
    </w:p>
    <w:p w14:paraId="06FE7397">
      <w:pPr>
        <w:spacing w:line="240" w:lineRule="atLeast"/>
        <w:ind w:left="960" w:hanging="960" w:hangingChars="400"/>
        <w:rPr>
          <w:rFonts w:ascii="仿宋" w:hAnsi="仿宋" w:eastAsia="仿宋" w:cs="仿宋"/>
          <w:sz w:val="24"/>
        </w:rPr>
      </w:pPr>
      <w:r>
        <w:rPr>
          <w:rFonts w:hint="eastAsia" w:ascii="仿宋" w:hAnsi="仿宋" w:eastAsia="仿宋" w:cs="仿宋"/>
          <w:sz w:val="24"/>
        </w:rPr>
        <w:t>1.3.6   若</w:t>
      </w:r>
      <w:r>
        <w:rPr>
          <w:rFonts w:hint="eastAsia" w:ascii="仿宋" w:hAnsi="仿宋" w:eastAsia="仿宋" w:cs="仿宋"/>
          <w:sz w:val="24"/>
          <w:u w:val="single"/>
        </w:rPr>
        <w:t>供应商须知资料表</w:t>
      </w:r>
      <w:r>
        <w:rPr>
          <w:rFonts w:hint="eastAsia" w:ascii="仿宋" w:hAnsi="仿宋" w:eastAsia="仿宋" w:cs="仿宋"/>
          <w:sz w:val="24"/>
        </w:rPr>
        <w:t>中写明专门面向中小企业采购的，如供应商为非中小企业且所投产品为非中小企业产品，其投标将被认定为</w:t>
      </w:r>
      <w:r>
        <w:rPr>
          <w:rFonts w:hint="eastAsia" w:ascii="仿宋" w:hAnsi="仿宋" w:eastAsia="仿宋" w:cs="仿宋"/>
          <w:b/>
          <w:bCs/>
          <w:sz w:val="24"/>
        </w:rPr>
        <w:t>投标无效</w:t>
      </w:r>
      <w:r>
        <w:rPr>
          <w:rFonts w:hint="eastAsia" w:ascii="仿宋" w:hAnsi="仿宋" w:eastAsia="仿宋" w:cs="仿宋"/>
          <w:sz w:val="24"/>
        </w:rPr>
        <w:t>。</w:t>
      </w:r>
    </w:p>
    <w:p w14:paraId="5377341E">
      <w:pPr>
        <w:spacing w:line="240" w:lineRule="atLeast"/>
        <w:ind w:left="900" w:hanging="900" w:hangingChars="375"/>
        <w:rPr>
          <w:rFonts w:ascii="仿宋" w:hAnsi="仿宋" w:eastAsia="仿宋" w:cs="仿宋"/>
          <w:sz w:val="24"/>
        </w:rPr>
      </w:pPr>
      <w:r>
        <w:rPr>
          <w:rFonts w:hint="eastAsia" w:ascii="仿宋" w:hAnsi="仿宋" w:eastAsia="仿宋" w:cs="仿宋"/>
          <w:sz w:val="24"/>
        </w:rPr>
        <w:t>1.4     如</w:t>
      </w:r>
      <w:r>
        <w:rPr>
          <w:rFonts w:hint="eastAsia" w:ascii="仿宋" w:hAnsi="仿宋" w:eastAsia="仿宋" w:cs="仿宋"/>
          <w:sz w:val="24"/>
          <w:u w:val="single"/>
        </w:rPr>
        <w:t>供应商须知资料表</w:t>
      </w:r>
      <w:r>
        <w:rPr>
          <w:rFonts w:hint="eastAsia" w:ascii="仿宋" w:hAnsi="仿宋" w:eastAsia="仿宋" w:cs="仿宋"/>
          <w:sz w:val="24"/>
        </w:rPr>
        <w:t>中允许联合体投标，对联合体规定如下：</w:t>
      </w:r>
    </w:p>
    <w:p w14:paraId="560EEF4E">
      <w:pPr>
        <w:spacing w:line="240" w:lineRule="atLeast"/>
        <w:ind w:left="900" w:hanging="900" w:hangingChars="375"/>
        <w:rPr>
          <w:rFonts w:ascii="仿宋" w:hAnsi="仿宋" w:eastAsia="仿宋" w:cs="仿宋"/>
          <w:sz w:val="24"/>
        </w:rPr>
      </w:pPr>
      <w:r>
        <w:rPr>
          <w:rFonts w:hint="eastAsia" w:ascii="仿宋" w:hAnsi="仿宋" w:eastAsia="仿宋" w:cs="仿宋"/>
          <w:sz w:val="24"/>
        </w:rPr>
        <w:t>1.4.1   供应商可以组成一个投标联合体，以一个供应商的身份投标。</w:t>
      </w:r>
    </w:p>
    <w:p w14:paraId="2BF2D94B">
      <w:pPr>
        <w:spacing w:line="240" w:lineRule="atLeast"/>
        <w:ind w:left="900" w:hanging="900" w:hangingChars="375"/>
        <w:rPr>
          <w:rFonts w:ascii="仿宋" w:hAnsi="仿宋" w:eastAsia="仿宋" w:cs="仿宋"/>
          <w:sz w:val="24"/>
        </w:rPr>
      </w:pPr>
      <w:r>
        <w:rPr>
          <w:rFonts w:hint="eastAsia" w:ascii="仿宋" w:hAnsi="仿宋" w:eastAsia="仿宋" w:cs="仿宋"/>
          <w:sz w:val="24"/>
        </w:rPr>
        <w:t>1.4.2   联合体各方均应符合《中华人民共和国政府采购法》第二十二条规定的条件。</w:t>
      </w:r>
    </w:p>
    <w:p w14:paraId="074AD95E">
      <w:pPr>
        <w:spacing w:line="240" w:lineRule="atLeast"/>
        <w:ind w:left="900" w:hanging="900" w:hangingChars="375"/>
        <w:rPr>
          <w:rFonts w:ascii="仿宋" w:hAnsi="仿宋" w:eastAsia="仿宋" w:cs="仿宋"/>
          <w:sz w:val="24"/>
        </w:rPr>
      </w:pPr>
      <w:r>
        <w:rPr>
          <w:rFonts w:hint="eastAsia" w:ascii="仿宋" w:hAnsi="仿宋" w:eastAsia="仿宋" w:cs="仿宋"/>
          <w:sz w:val="24"/>
        </w:rPr>
        <w:t>1.4.3  采购人根据采购项目对供应商的特殊要求，联合体中至少应当有一方符合相关规定。</w:t>
      </w:r>
    </w:p>
    <w:p w14:paraId="3532B735">
      <w:pPr>
        <w:spacing w:line="240" w:lineRule="atLeast"/>
        <w:ind w:left="900" w:hanging="900" w:hangingChars="375"/>
        <w:rPr>
          <w:rFonts w:ascii="仿宋" w:hAnsi="仿宋" w:eastAsia="仿宋" w:cs="仿宋"/>
          <w:sz w:val="24"/>
        </w:rPr>
      </w:pPr>
      <w:r>
        <w:rPr>
          <w:rFonts w:hint="eastAsia" w:ascii="仿宋" w:hAnsi="仿宋" w:eastAsia="仿宋" w:cs="仿宋"/>
          <w:sz w:val="24"/>
        </w:rPr>
        <w:t>1.4.4   联合体各方应签订共同投标协议，明确约定联合体各方承担的工作和相应的责任，并将共同投标协议连同作为磋商文件第一部分的内容提交。</w:t>
      </w:r>
    </w:p>
    <w:p w14:paraId="74FFC8F5">
      <w:pPr>
        <w:spacing w:line="240" w:lineRule="atLeast"/>
        <w:ind w:left="900" w:hanging="900" w:hangingChars="375"/>
        <w:rPr>
          <w:rFonts w:ascii="仿宋" w:hAnsi="仿宋" w:eastAsia="仿宋" w:cs="仿宋"/>
          <w:sz w:val="24"/>
        </w:rPr>
      </w:pPr>
      <w:r>
        <w:rPr>
          <w:rFonts w:hint="eastAsia" w:ascii="仿宋" w:hAnsi="仿宋" w:eastAsia="仿宋" w:cs="仿宋"/>
          <w:sz w:val="24"/>
        </w:rPr>
        <w:t>1.4.5   大中型企业、其他自然人、法人或者非法人组织与小型、微型企业组成联合体共同参加投标，共同投标协议中应写明小型、微型企业的协议合同金额占到共同投标协议投标总金额的比例。</w:t>
      </w:r>
    </w:p>
    <w:p w14:paraId="687D8A38">
      <w:pPr>
        <w:spacing w:line="240" w:lineRule="atLeast"/>
        <w:ind w:left="900" w:hanging="900" w:hangingChars="375"/>
        <w:rPr>
          <w:rFonts w:ascii="仿宋" w:hAnsi="仿宋" w:eastAsia="仿宋" w:cs="仿宋"/>
          <w:sz w:val="24"/>
        </w:rPr>
      </w:pPr>
      <w:r>
        <w:rPr>
          <w:rFonts w:hint="eastAsia" w:ascii="仿宋" w:hAnsi="仿宋" w:eastAsia="仿宋" w:cs="仿宋"/>
          <w:sz w:val="24"/>
        </w:rPr>
        <w:t>1.4.6   联合体中有同类资质的供应商按照联合体分工承担相同工作的，按照较低的资质等级确定联合体的资质等级。</w:t>
      </w:r>
    </w:p>
    <w:p w14:paraId="711D2F82">
      <w:pPr>
        <w:spacing w:line="240" w:lineRule="atLeast"/>
        <w:ind w:left="900" w:hanging="900" w:hangingChars="375"/>
        <w:rPr>
          <w:rFonts w:ascii="仿宋" w:hAnsi="仿宋" w:eastAsia="仿宋" w:cs="仿宋"/>
          <w:sz w:val="24"/>
        </w:rPr>
      </w:pPr>
      <w:r>
        <w:rPr>
          <w:rFonts w:hint="eastAsia" w:ascii="仿宋" w:hAnsi="仿宋" w:eastAsia="仿宋" w:cs="仿宋"/>
          <w:sz w:val="24"/>
        </w:rPr>
        <w:t>1.4.7   以联合体形式参加政府采购活动的，联合体各方不得再单独参加或者与其他供应商另外组成联合体参加本项目投标，否则相关投标将被认定为</w:t>
      </w:r>
      <w:r>
        <w:rPr>
          <w:rFonts w:hint="eastAsia" w:ascii="仿宋" w:hAnsi="仿宋" w:eastAsia="仿宋" w:cs="仿宋"/>
          <w:b/>
          <w:bCs/>
          <w:sz w:val="24"/>
        </w:rPr>
        <w:t>投标无效</w:t>
      </w:r>
      <w:r>
        <w:rPr>
          <w:rFonts w:hint="eastAsia" w:ascii="仿宋" w:hAnsi="仿宋" w:eastAsia="仿宋" w:cs="仿宋"/>
          <w:sz w:val="24"/>
        </w:rPr>
        <w:t>。</w:t>
      </w:r>
    </w:p>
    <w:p w14:paraId="609D9FED">
      <w:pPr>
        <w:spacing w:line="240" w:lineRule="atLeast"/>
        <w:ind w:left="900" w:hanging="900" w:hangingChars="375"/>
        <w:rPr>
          <w:rFonts w:ascii="仿宋" w:hAnsi="仿宋" w:eastAsia="仿宋" w:cs="仿宋"/>
          <w:sz w:val="24"/>
        </w:rPr>
      </w:pPr>
      <w:r>
        <w:rPr>
          <w:rFonts w:hint="eastAsia" w:ascii="仿宋" w:hAnsi="仿宋" w:eastAsia="仿宋" w:cs="仿宋"/>
          <w:sz w:val="24"/>
        </w:rPr>
        <w:t>1.4.8   对联合体投标的其他资格要求见</w:t>
      </w:r>
      <w:r>
        <w:rPr>
          <w:rFonts w:hint="eastAsia" w:ascii="仿宋" w:hAnsi="仿宋" w:eastAsia="仿宋" w:cs="仿宋"/>
          <w:sz w:val="24"/>
          <w:u w:val="single"/>
        </w:rPr>
        <w:t>供应商须知资料表</w:t>
      </w:r>
      <w:r>
        <w:rPr>
          <w:rFonts w:hint="eastAsia" w:ascii="仿宋" w:hAnsi="仿宋" w:eastAsia="仿宋" w:cs="仿宋"/>
          <w:sz w:val="24"/>
        </w:rPr>
        <w:t>。</w:t>
      </w:r>
    </w:p>
    <w:p w14:paraId="5A1CEF5D">
      <w:pPr>
        <w:spacing w:line="240" w:lineRule="atLeast"/>
        <w:ind w:left="900" w:hanging="900" w:hangingChars="375"/>
        <w:rPr>
          <w:rFonts w:ascii="仿宋" w:hAnsi="仿宋" w:eastAsia="仿宋" w:cs="仿宋"/>
          <w:sz w:val="24"/>
        </w:rPr>
      </w:pPr>
      <w:r>
        <w:rPr>
          <w:rFonts w:hint="eastAsia" w:ascii="仿宋" w:hAnsi="仿宋" w:eastAsia="仿宋" w:cs="仿宋"/>
          <w:sz w:val="24"/>
        </w:rPr>
        <w:t>1.5    单位负责人为同一人或者存在直接控股、管理关系的不同供应商，其相关投标将被认定为</w:t>
      </w:r>
      <w:r>
        <w:rPr>
          <w:rFonts w:hint="eastAsia" w:ascii="仿宋" w:hAnsi="仿宋" w:eastAsia="仿宋" w:cs="仿宋"/>
          <w:b/>
          <w:bCs/>
          <w:sz w:val="24"/>
        </w:rPr>
        <w:t>投标无效</w:t>
      </w:r>
      <w:r>
        <w:rPr>
          <w:rFonts w:hint="eastAsia" w:ascii="仿宋" w:hAnsi="仿宋" w:eastAsia="仿宋" w:cs="仿宋"/>
          <w:sz w:val="24"/>
        </w:rPr>
        <w:t>。</w:t>
      </w:r>
    </w:p>
    <w:p w14:paraId="7E85E2E3">
      <w:pPr>
        <w:spacing w:line="240" w:lineRule="atLeast"/>
        <w:ind w:left="900" w:hanging="900" w:hangingChars="375"/>
        <w:rPr>
          <w:rFonts w:ascii="仿宋" w:hAnsi="仿宋" w:eastAsia="仿宋" w:cs="仿宋"/>
          <w:sz w:val="24"/>
        </w:rPr>
      </w:pPr>
      <w:r>
        <w:rPr>
          <w:rFonts w:hint="eastAsia" w:ascii="仿宋" w:hAnsi="仿宋" w:eastAsia="仿宋" w:cs="仿宋"/>
          <w:sz w:val="24"/>
        </w:rPr>
        <w:t>1.6    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sz w:val="24"/>
        </w:rPr>
        <w:t>投标无效</w:t>
      </w:r>
      <w:r>
        <w:rPr>
          <w:rFonts w:hint="eastAsia" w:ascii="仿宋" w:hAnsi="仿宋" w:eastAsia="仿宋" w:cs="仿宋"/>
          <w:sz w:val="24"/>
        </w:rPr>
        <w:t>。</w:t>
      </w:r>
    </w:p>
    <w:p w14:paraId="64E48E0B">
      <w:pPr>
        <w:spacing w:line="240" w:lineRule="atLeast"/>
        <w:ind w:left="900" w:hanging="900" w:hangingChars="375"/>
        <w:rPr>
          <w:rFonts w:ascii="仿宋" w:hAnsi="仿宋" w:eastAsia="仿宋" w:cs="仿宋"/>
          <w:sz w:val="24"/>
        </w:rPr>
      </w:pPr>
      <w:r>
        <w:rPr>
          <w:rFonts w:hint="eastAsia" w:ascii="仿宋" w:hAnsi="仿宋" w:eastAsia="仿宋" w:cs="仿宋"/>
          <w:sz w:val="24"/>
        </w:rPr>
        <w:t>1.7</w:t>
      </w:r>
      <w:r>
        <w:rPr>
          <w:rFonts w:hint="eastAsia" w:ascii="仿宋" w:hAnsi="仿宋" w:eastAsia="仿宋" w:cs="仿宋"/>
          <w:sz w:val="24"/>
        </w:rPr>
        <w:tab/>
      </w:r>
      <w:r>
        <w:rPr>
          <w:rFonts w:hint="eastAsia" w:ascii="仿宋" w:hAnsi="仿宋" w:eastAsia="仿宋" w:cs="仿宋"/>
          <w:sz w:val="24"/>
        </w:rPr>
        <w:t>供应商在投标过程中不得向采购人提供、给予任何有价值的物品，影响其正常决策行为。一经发现，其将被认定为</w:t>
      </w:r>
      <w:r>
        <w:rPr>
          <w:rFonts w:hint="eastAsia" w:ascii="仿宋" w:hAnsi="仿宋" w:eastAsia="仿宋" w:cs="仿宋"/>
          <w:b/>
          <w:bCs/>
          <w:sz w:val="24"/>
        </w:rPr>
        <w:t>投标无效</w:t>
      </w:r>
      <w:r>
        <w:rPr>
          <w:rFonts w:hint="eastAsia" w:ascii="仿宋" w:hAnsi="仿宋" w:eastAsia="仿宋" w:cs="仿宋"/>
          <w:sz w:val="24"/>
        </w:rPr>
        <w:t>。</w:t>
      </w:r>
    </w:p>
    <w:p w14:paraId="45A9B4EA">
      <w:pPr>
        <w:pStyle w:val="4"/>
        <w:spacing w:before="0" w:after="0" w:line="240" w:lineRule="atLeast"/>
        <w:rPr>
          <w:rFonts w:ascii="仿宋" w:hAnsi="仿宋" w:eastAsia="仿宋" w:cs="仿宋"/>
          <w:u w:val="none"/>
        </w:rPr>
      </w:pPr>
      <w:bookmarkStart w:id="16" w:name="_Toc12786"/>
      <w:bookmarkStart w:id="17" w:name="_Toc12139"/>
      <w:bookmarkStart w:id="18" w:name="_Toc5286"/>
      <w:bookmarkStart w:id="19" w:name="_Toc515647759"/>
      <w:r>
        <w:rPr>
          <w:rFonts w:hint="eastAsia" w:ascii="仿宋" w:hAnsi="仿宋" w:eastAsia="仿宋" w:cs="仿宋"/>
          <w:u w:val="none"/>
        </w:rPr>
        <w:t>2.资金来源</w:t>
      </w:r>
      <w:bookmarkEnd w:id="16"/>
      <w:bookmarkEnd w:id="17"/>
      <w:bookmarkEnd w:id="18"/>
      <w:bookmarkEnd w:id="19"/>
    </w:p>
    <w:p w14:paraId="61081815">
      <w:pPr>
        <w:spacing w:line="240" w:lineRule="atLeast"/>
        <w:ind w:left="900" w:hanging="900" w:hangingChars="375"/>
        <w:rPr>
          <w:rFonts w:ascii="仿宋" w:hAnsi="仿宋" w:eastAsia="仿宋" w:cs="仿宋"/>
          <w:sz w:val="24"/>
        </w:rPr>
      </w:pPr>
      <w:r>
        <w:rPr>
          <w:rFonts w:hint="eastAsia" w:ascii="仿宋" w:hAnsi="仿宋" w:eastAsia="仿宋" w:cs="仿宋"/>
          <w:sz w:val="24"/>
        </w:rPr>
        <w:t>2.1</w:t>
      </w:r>
      <w:r>
        <w:rPr>
          <w:rFonts w:hint="eastAsia" w:ascii="仿宋" w:hAnsi="仿宋" w:eastAsia="仿宋" w:cs="仿宋"/>
          <w:sz w:val="24"/>
        </w:rPr>
        <w:tab/>
      </w:r>
      <w:r>
        <w:rPr>
          <w:rFonts w:hint="eastAsia" w:ascii="仿宋" w:hAnsi="仿宋" w:eastAsia="仿宋" w:cs="仿宋"/>
          <w:sz w:val="24"/>
        </w:rPr>
        <w:t>本项目的采购人已获得足以支付本次磋商后所签订的合同项下的资金（包括财政性资金和本项目采购中无法与财政性资金分割的非财政性资金）。</w:t>
      </w:r>
    </w:p>
    <w:p w14:paraId="725CB7A0">
      <w:pPr>
        <w:spacing w:line="240" w:lineRule="atLeast"/>
        <w:ind w:left="900" w:hanging="900" w:hangingChars="375"/>
        <w:rPr>
          <w:rFonts w:ascii="仿宋" w:hAnsi="仿宋" w:eastAsia="仿宋" w:cs="仿宋"/>
          <w:sz w:val="24"/>
        </w:rPr>
      </w:pPr>
      <w:r>
        <w:rPr>
          <w:rFonts w:hint="eastAsia" w:ascii="仿宋" w:hAnsi="仿宋" w:eastAsia="仿宋" w:cs="仿宋"/>
          <w:sz w:val="24"/>
        </w:rPr>
        <w:t>2.2     项目预算金额和分项或分包最高限价</w:t>
      </w:r>
      <w:r>
        <w:rPr>
          <w:rFonts w:hint="eastAsia" w:ascii="仿宋" w:hAnsi="仿宋" w:eastAsia="仿宋" w:cs="仿宋"/>
          <w:sz w:val="24"/>
          <w:u w:val="single"/>
        </w:rPr>
        <w:t>见供应商须知资料表</w:t>
      </w:r>
      <w:r>
        <w:rPr>
          <w:rFonts w:hint="eastAsia" w:ascii="仿宋" w:hAnsi="仿宋" w:eastAsia="仿宋" w:cs="仿宋"/>
          <w:sz w:val="24"/>
        </w:rPr>
        <w:t>。</w:t>
      </w:r>
    </w:p>
    <w:p w14:paraId="5D050F5C">
      <w:pPr>
        <w:spacing w:line="240" w:lineRule="atLeast"/>
        <w:ind w:left="900" w:hanging="900" w:hangingChars="375"/>
        <w:rPr>
          <w:rFonts w:ascii="仿宋" w:hAnsi="仿宋" w:eastAsia="仿宋" w:cs="仿宋"/>
          <w:sz w:val="24"/>
        </w:rPr>
      </w:pPr>
      <w:r>
        <w:rPr>
          <w:rFonts w:hint="eastAsia" w:ascii="仿宋" w:hAnsi="仿宋" w:eastAsia="仿宋" w:cs="仿宋"/>
          <w:sz w:val="24"/>
        </w:rPr>
        <w:t>2.3     供应商报价超过磋商文件规定的预算金额或者分项、分包最高限价的，其投标将被认定为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0851070E">
      <w:pPr>
        <w:pStyle w:val="4"/>
        <w:spacing w:before="0" w:after="0" w:line="240" w:lineRule="atLeast"/>
        <w:rPr>
          <w:rFonts w:ascii="仿宋" w:hAnsi="仿宋" w:eastAsia="仿宋" w:cs="仿宋"/>
          <w:u w:val="none"/>
        </w:rPr>
      </w:pPr>
      <w:bookmarkStart w:id="20" w:name="_Toc15936"/>
      <w:bookmarkStart w:id="21" w:name="_Toc29797"/>
      <w:bookmarkStart w:id="22" w:name="_Toc20526"/>
      <w:bookmarkStart w:id="23" w:name="_Toc520356145"/>
      <w:bookmarkStart w:id="24" w:name="_Toc515647760"/>
      <w:r>
        <w:rPr>
          <w:rFonts w:hint="eastAsia" w:ascii="仿宋" w:hAnsi="仿宋" w:eastAsia="仿宋" w:cs="仿宋"/>
          <w:u w:val="none"/>
        </w:rPr>
        <w:t>3.投标费用</w:t>
      </w:r>
      <w:bookmarkEnd w:id="20"/>
      <w:bookmarkEnd w:id="21"/>
      <w:bookmarkEnd w:id="22"/>
      <w:bookmarkEnd w:id="23"/>
      <w:bookmarkEnd w:id="24"/>
    </w:p>
    <w:p w14:paraId="05B9E2EE">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不论投标的结果如何，供应商应承担所有与准备和参加投标有关的费用。</w:t>
      </w:r>
    </w:p>
    <w:p w14:paraId="554FC3B3">
      <w:pPr>
        <w:pStyle w:val="4"/>
        <w:spacing w:before="0" w:after="0" w:line="240" w:lineRule="atLeast"/>
        <w:rPr>
          <w:rFonts w:ascii="仿宋" w:hAnsi="仿宋" w:eastAsia="仿宋" w:cs="仿宋"/>
          <w:u w:val="none"/>
        </w:rPr>
      </w:pPr>
      <w:bookmarkStart w:id="25" w:name="_Toc14138"/>
      <w:bookmarkStart w:id="26" w:name="_Toc515647761"/>
      <w:bookmarkStart w:id="27" w:name="_Toc6116"/>
      <w:bookmarkStart w:id="28" w:name="_Toc4463"/>
      <w:r>
        <w:rPr>
          <w:rFonts w:hint="eastAsia" w:ascii="仿宋" w:hAnsi="仿宋" w:eastAsia="仿宋" w:cs="仿宋"/>
          <w:u w:val="none"/>
        </w:rPr>
        <w:t>4.适用法律</w:t>
      </w:r>
      <w:bookmarkEnd w:id="25"/>
      <w:bookmarkEnd w:id="26"/>
      <w:bookmarkEnd w:id="27"/>
      <w:bookmarkEnd w:id="28"/>
    </w:p>
    <w:p w14:paraId="12048FDB">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本项目采购人、采购代理机构、供应商、评标委员会的相关行为均受《中华人民共和国政府采购法》、《中华人民共和国政府采购法实施条例》、《政府采购竞争性磋商采购方式管理暂行办法》及本项目本级和上级财政部门政府采购有关规定的约束，其权利受到上述法律法规的保护。</w:t>
      </w:r>
    </w:p>
    <w:p w14:paraId="43418E45">
      <w:pPr>
        <w:spacing w:line="240" w:lineRule="atLeast"/>
        <w:ind w:left="900" w:hanging="900" w:hangingChars="375"/>
        <w:rPr>
          <w:rFonts w:ascii="仿宋" w:hAnsi="仿宋" w:eastAsia="仿宋" w:cs="仿宋"/>
          <w:sz w:val="24"/>
        </w:rPr>
      </w:pPr>
    </w:p>
    <w:p w14:paraId="016BE91B">
      <w:pPr>
        <w:spacing w:line="240" w:lineRule="atLeast"/>
        <w:rPr>
          <w:rFonts w:ascii="仿宋" w:hAnsi="仿宋" w:eastAsia="仿宋" w:cs="仿宋"/>
          <w:sz w:val="24"/>
        </w:rPr>
      </w:pPr>
    </w:p>
    <w:p w14:paraId="3B404166">
      <w:pPr>
        <w:pStyle w:val="3"/>
        <w:spacing w:before="0" w:line="240" w:lineRule="atLeast"/>
        <w:ind w:left="1079" w:leftChars="257" w:hanging="540"/>
        <w:rPr>
          <w:rFonts w:ascii="仿宋" w:hAnsi="仿宋" w:eastAsia="仿宋" w:cs="仿宋"/>
          <w:sz w:val="28"/>
        </w:rPr>
      </w:pPr>
      <w:bookmarkStart w:id="29" w:name="_Toc216582806"/>
      <w:bookmarkStart w:id="30" w:name="_Toc520356146"/>
      <w:bookmarkStart w:id="31" w:name="_Toc4365"/>
      <w:bookmarkStart w:id="32" w:name="_Toc21566"/>
      <w:bookmarkStart w:id="33" w:name="_Toc515647762"/>
      <w:bookmarkStart w:id="34" w:name="_Toc10785"/>
      <w:r>
        <w:rPr>
          <w:rFonts w:hint="eastAsia" w:ascii="仿宋" w:hAnsi="仿宋" w:eastAsia="仿宋" w:cs="仿宋"/>
          <w:sz w:val="28"/>
        </w:rPr>
        <w:t xml:space="preserve">二   </w:t>
      </w:r>
      <w:bookmarkEnd w:id="29"/>
      <w:bookmarkEnd w:id="30"/>
      <w:bookmarkEnd w:id="31"/>
      <w:bookmarkEnd w:id="32"/>
      <w:bookmarkEnd w:id="33"/>
      <w:r>
        <w:rPr>
          <w:rFonts w:hint="eastAsia" w:ascii="仿宋" w:hAnsi="仿宋" w:eastAsia="仿宋" w:cs="仿宋"/>
          <w:sz w:val="28"/>
        </w:rPr>
        <w:t>磋商文件</w:t>
      </w:r>
      <w:bookmarkEnd w:id="34"/>
    </w:p>
    <w:p w14:paraId="42247706">
      <w:pPr>
        <w:pStyle w:val="5"/>
        <w:rPr>
          <w:rFonts w:ascii="仿宋" w:hAnsi="仿宋" w:eastAsia="仿宋" w:cs="仿宋"/>
        </w:rPr>
      </w:pPr>
    </w:p>
    <w:p w14:paraId="7412C06D">
      <w:pPr>
        <w:pStyle w:val="4"/>
        <w:spacing w:before="0" w:after="0" w:line="240" w:lineRule="atLeast"/>
        <w:rPr>
          <w:rFonts w:ascii="仿宋" w:hAnsi="仿宋" w:eastAsia="仿宋" w:cs="仿宋"/>
          <w:u w:val="none"/>
        </w:rPr>
      </w:pPr>
      <w:bookmarkStart w:id="35" w:name="_Toc25743"/>
      <w:bookmarkStart w:id="36" w:name="_Toc14084"/>
      <w:bookmarkStart w:id="37" w:name="_Toc515647763"/>
      <w:bookmarkStart w:id="38" w:name="_Toc520356147"/>
      <w:bookmarkStart w:id="39" w:name="_Toc20839"/>
      <w:r>
        <w:rPr>
          <w:rFonts w:hint="eastAsia" w:ascii="仿宋" w:hAnsi="仿宋" w:eastAsia="仿宋" w:cs="仿宋"/>
          <w:u w:val="none"/>
        </w:rPr>
        <w:t>5.磋商文件构成</w:t>
      </w:r>
      <w:bookmarkEnd w:id="35"/>
      <w:bookmarkEnd w:id="36"/>
      <w:bookmarkEnd w:id="37"/>
      <w:bookmarkEnd w:id="38"/>
      <w:bookmarkEnd w:id="39"/>
    </w:p>
    <w:p w14:paraId="0A0A17A6">
      <w:pPr>
        <w:spacing w:line="240" w:lineRule="atLeast"/>
        <w:ind w:left="900" w:hanging="900" w:hangingChars="375"/>
        <w:rPr>
          <w:rFonts w:ascii="仿宋" w:hAnsi="仿宋" w:eastAsia="仿宋" w:cs="仿宋"/>
          <w:sz w:val="24"/>
        </w:rPr>
      </w:pPr>
      <w:r>
        <w:rPr>
          <w:rFonts w:hint="eastAsia" w:ascii="仿宋" w:hAnsi="仿宋" w:eastAsia="仿宋" w:cs="仿宋"/>
          <w:sz w:val="24"/>
        </w:rPr>
        <w:t>5.1</w:t>
      </w:r>
      <w:r>
        <w:rPr>
          <w:rFonts w:hint="eastAsia" w:ascii="仿宋" w:hAnsi="仿宋" w:eastAsia="仿宋" w:cs="仿宋"/>
          <w:sz w:val="24"/>
        </w:rPr>
        <w:tab/>
      </w:r>
      <w:r>
        <w:rPr>
          <w:rFonts w:hint="eastAsia" w:ascii="仿宋" w:hAnsi="仿宋" w:eastAsia="仿宋" w:cs="仿宋"/>
          <w:sz w:val="24"/>
        </w:rPr>
        <w:t>磋商文件分为三册共7章，内容如下：</w:t>
      </w:r>
    </w:p>
    <w:p w14:paraId="6D9ECF95">
      <w:pPr>
        <w:spacing w:line="240" w:lineRule="atLeast"/>
        <w:ind w:left="1078" w:leftChars="428" w:hanging="180" w:hangingChars="75"/>
        <w:rPr>
          <w:rFonts w:ascii="仿宋" w:hAnsi="仿宋" w:eastAsia="仿宋" w:cs="仿宋"/>
          <w:sz w:val="24"/>
        </w:rPr>
      </w:pPr>
      <w:r>
        <w:rPr>
          <w:rFonts w:hint="eastAsia" w:ascii="仿宋" w:hAnsi="仿宋" w:eastAsia="仿宋" w:cs="仿宋"/>
          <w:sz w:val="24"/>
        </w:rPr>
        <w:t>第一册</w:t>
      </w:r>
    </w:p>
    <w:p w14:paraId="3AD783F9">
      <w:pPr>
        <w:numPr>
          <w:ilvl w:val="0"/>
          <w:numId w:val="2"/>
        </w:numPr>
        <w:tabs>
          <w:tab w:val="left" w:pos="0"/>
        </w:tabs>
        <w:spacing w:line="240" w:lineRule="atLeast"/>
        <w:ind w:hanging="829"/>
        <w:rPr>
          <w:rFonts w:ascii="仿宋" w:hAnsi="仿宋" w:eastAsia="仿宋" w:cs="仿宋"/>
          <w:sz w:val="24"/>
        </w:rPr>
      </w:pPr>
      <w:r>
        <w:rPr>
          <w:rFonts w:hint="eastAsia" w:ascii="仿宋" w:hAnsi="仿宋" w:eastAsia="仿宋" w:cs="仿宋"/>
          <w:sz w:val="24"/>
        </w:rPr>
        <w:t xml:space="preserve"> 供应商须知</w:t>
      </w:r>
    </w:p>
    <w:p w14:paraId="3C0A906E">
      <w:pPr>
        <w:numPr>
          <w:ilvl w:val="0"/>
          <w:numId w:val="2"/>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磋商文件格式</w:t>
      </w:r>
    </w:p>
    <w:p w14:paraId="1265CF25">
      <w:pPr>
        <w:spacing w:line="240" w:lineRule="atLeast"/>
        <w:ind w:left="1080" w:leftChars="429" w:hanging="180"/>
        <w:rPr>
          <w:rFonts w:ascii="仿宋" w:hAnsi="仿宋" w:eastAsia="仿宋" w:cs="仿宋"/>
          <w:sz w:val="24"/>
        </w:rPr>
      </w:pPr>
      <w:r>
        <w:rPr>
          <w:rFonts w:hint="eastAsia" w:ascii="仿宋" w:hAnsi="仿宋" w:eastAsia="仿宋" w:cs="仿宋"/>
          <w:sz w:val="24"/>
        </w:rPr>
        <w:t>第二册</w:t>
      </w:r>
    </w:p>
    <w:p w14:paraId="576BBCD0">
      <w:pPr>
        <w:numPr>
          <w:ilvl w:val="0"/>
          <w:numId w:val="2"/>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投标邀请</w:t>
      </w:r>
    </w:p>
    <w:p w14:paraId="36ED33CE">
      <w:pPr>
        <w:numPr>
          <w:ilvl w:val="0"/>
          <w:numId w:val="2"/>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供应商须知资料表</w:t>
      </w:r>
    </w:p>
    <w:p w14:paraId="0F6BE440">
      <w:pPr>
        <w:numPr>
          <w:ilvl w:val="0"/>
          <w:numId w:val="2"/>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需求一览表及技术规格</w:t>
      </w:r>
    </w:p>
    <w:p w14:paraId="1B2F1394">
      <w:pPr>
        <w:numPr>
          <w:ilvl w:val="0"/>
          <w:numId w:val="2"/>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评标方法和标准</w:t>
      </w:r>
    </w:p>
    <w:p w14:paraId="0A10B681">
      <w:pPr>
        <w:spacing w:line="240" w:lineRule="atLeast"/>
        <w:ind w:left="901"/>
        <w:rPr>
          <w:rFonts w:ascii="仿宋" w:hAnsi="仿宋" w:eastAsia="仿宋" w:cs="仿宋"/>
          <w:sz w:val="24"/>
        </w:rPr>
      </w:pPr>
      <w:r>
        <w:rPr>
          <w:rFonts w:hint="eastAsia" w:ascii="仿宋" w:hAnsi="仿宋" w:eastAsia="仿宋" w:cs="仿宋"/>
          <w:sz w:val="24"/>
        </w:rPr>
        <w:t>第三册</w:t>
      </w:r>
    </w:p>
    <w:p w14:paraId="705AF082">
      <w:pPr>
        <w:numPr>
          <w:ilvl w:val="0"/>
          <w:numId w:val="2"/>
        </w:numPr>
        <w:spacing w:line="240" w:lineRule="atLeast"/>
        <w:ind w:left="718" w:leftChars="342" w:firstLine="240" w:firstLineChars="100"/>
        <w:rPr>
          <w:rFonts w:ascii="仿宋" w:hAnsi="仿宋" w:eastAsia="仿宋" w:cs="仿宋"/>
          <w:sz w:val="24"/>
        </w:rPr>
      </w:pPr>
      <w:r>
        <w:rPr>
          <w:rFonts w:hint="eastAsia" w:ascii="仿宋" w:hAnsi="仿宋" w:eastAsia="仿宋" w:cs="仿宋"/>
          <w:sz w:val="24"/>
        </w:rPr>
        <w:t xml:space="preserve"> 政府采购合同格式</w:t>
      </w:r>
    </w:p>
    <w:p w14:paraId="0F54AD96">
      <w:pPr>
        <w:spacing w:line="240" w:lineRule="atLeast"/>
        <w:ind w:left="900" w:hanging="900" w:hangingChars="375"/>
        <w:rPr>
          <w:rFonts w:ascii="仿宋" w:hAnsi="仿宋" w:eastAsia="仿宋" w:cs="仿宋"/>
          <w:sz w:val="24"/>
        </w:rPr>
      </w:pPr>
      <w:r>
        <w:rPr>
          <w:rFonts w:hint="eastAsia" w:ascii="仿宋" w:hAnsi="仿宋" w:eastAsia="仿宋" w:cs="仿宋"/>
          <w:sz w:val="24"/>
        </w:rPr>
        <w:t>5.2</w:t>
      </w:r>
      <w:r>
        <w:rPr>
          <w:rFonts w:hint="eastAsia" w:ascii="仿宋" w:hAnsi="仿宋" w:eastAsia="仿宋" w:cs="仿宋"/>
          <w:sz w:val="24"/>
        </w:rPr>
        <w:tab/>
      </w:r>
      <w:r>
        <w:rPr>
          <w:rFonts w:hint="eastAsia" w:ascii="仿宋" w:hAnsi="仿宋" w:eastAsia="仿宋" w:cs="仿宋"/>
          <w:sz w:val="24"/>
        </w:rPr>
        <w:t>如本文件的前后内容不一致，以最后描述为准。</w:t>
      </w:r>
    </w:p>
    <w:p w14:paraId="327512F1">
      <w:pPr>
        <w:spacing w:line="240" w:lineRule="atLeast"/>
        <w:ind w:left="900" w:hanging="900" w:hangingChars="375"/>
        <w:rPr>
          <w:rFonts w:ascii="仿宋" w:hAnsi="仿宋" w:eastAsia="仿宋" w:cs="仿宋"/>
          <w:sz w:val="24"/>
        </w:rPr>
      </w:pPr>
      <w:r>
        <w:rPr>
          <w:rFonts w:hint="eastAsia" w:ascii="仿宋" w:hAnsi="仿宋" w:eastAsia="仿宋" w:cs="仿宋"/>
          <w:sz w:val="24"/>
        </w:rPr>
        <w:t>5.3    供应商应认真阅读磋商文件所有的事项、格式、条款和技术规范等。如供应商没有按照磋商文件要求提交全部资料，或者磋商文件没有对磋商文件在各方面都做出实质性响应，可能导致其投标将被认定为</w:t>
      </w:r>
      <w:r>
        <w:rPr>
          <w:rFonts w:hint="eastAsia" w:ascii="仿宋" w:hAnsi="仿宋" w:eastAsia="仿宋" w:cs="仿宋"/>
          <w:b/>
          <w:bCs/>
          <w:sz w:val="24"/>
        </w:rPr>
        <w:t>投标无效</w:t>
      </w:r>
      <w:r>
        <w:rPr>
          <w:rFonts w:hint="eastAsia" w:ascii="仿宋" w:hAnsi="仿宋" w:eastAsia="仿宋" w:cs="仿宋"/>
          <w:sz w:val="24"/>
        </w:rPr>
        <w:t>。</w:t>
      </w:r>
    </w:p>
    <w:p w14:paraId="4BB28494">
      <w:pPr>
        <w:pStyle w:val="4"/>
        <w:spacing w:before="0" w:after="0" w:line="240" w:lineRule="atLeast"/>
        <w:rPr>
          <w:rFonts w:ascii="仿宋" w:hAnsi="仿宋" w:eastAsia="仿宋" w:cs="仿宋"/>
          <w:u w:val="none"/>
        </w:rPr>
      </w:pPr>
      <w:bookmarkStart w:id="40" w:name="_Toc515904805"/>
      <w:bookmarkStart w:id="41" w:name="_Toc520356148"/>
      <w:bookmarkStart w:id="42" w:name="_Toc9232"/>
      <w:bookmarkStart w:id="43" w:name="_Toc26044"/>
      <w:bookmarkStart w:id="44" w:name="_Toc1298"/>
      <w:r>
        <w:rPr>
          <w:rFonts w:hint="eastAsia" w:ascii="仿宋" w:hAnsi="仿宋" w:eastAsia="仿宋" w:cs="仿宋"/>
          <w:u w:val="none"/>
        </w:rPr>
        <w:t>6.磋商文件的澄清</w:t>
      </w:r>
      <w:bookmarkEnd w:id="40"/>
      <w:bookmarkEnd w:id="41"/>
      <w:r>
        <w:rPr>
          <w:rFonts w:hint="eastAsia" w:ascii="仿宋" w:hAnsi="仿宋" w:eastAsia="仿宋" w:cs="仿宋"/>
          <w:u w:val="none"/>
        </w:rPr>
        <w:t>与修改</w:t>
      </w:r>
      <w:bookmarkEnd w:id="42"/>
      <w:bookmarkEnd w:id="43"/>
      <w:bookmarkEnd w:id="44"/>
    </w:p>
    <w:p w14:paraId="5E857AF1">
      <w:pPr>
        <w:spacing w:line="240" w:lineRule="atLeast"/>
        <w:ind w:left="900" w:hanging="900" w:hangingChars="375"/>
        <w:rPr>
          <w:rFonts w:ascii="仿宋" w:hAnsi="仿宋" w:eastAsia="仿宋" w:cs="仿宋"/>
          <w:sz w:val="24"/>
        </w:rPr>
      </w:pPr>
      <w:r>
        <w:rPr>
          <w:rFonts w:hint="eastAsia" w:ascii="仿宋" w:hAnsi="仿宋" w:eastAsia="仿宋" w:cs="仿宋"/>
          <w:sz w:val="24"/>
        </w:rPr>
        <w:t>6.1    提交首次响应文件截止之日前，采购人、采购代理机构或者磋商小组可以对己发出的磋商文件进行必要的澄清或者修改，澄清或者修改的内容作为磋商文件的组成部分。澄清或者修改的内容可能影响响应文件编制的，采购人、采购代理机构应当在提交首次响应文件截止时间至少5日前，以发布澄清（更正）公告的形式通知所有获取磋商文件的供应商；不足5日的，采购人、采购代理机构应当顺延提交首次响应文件截止时间。</w:t>
      </w:r>
    </w:p>
    <w:p w14:paraId="7620C88B">
      <w:pPr>
        <w:spacing w:line="240" w:lineRule="atLeast"/>
        <w:ind w:left="900" w:hanging="900" w:hangingChars="375"/>
        <w:rPr>
          <w:rFonts w:ascii="仿宋" w:hAnsi="仿宋" w:eastAsia="仿宋" w:cs="仿宋"/>
          <w:sz w:val="24"/>
        </w:rPr>
      </w:pPr>
      <w:bookmarkStart w:id="45" w:name="_Toc520356149"/>
      <w:bookmarkStart w:id="46" w:name="_Ref467378678"/>
      <w:bookmarkStart w:id="47" w:name="_Toc515904806"/>
      <w:r>
        <w:rPr>
          <w:rFonts w:hint="eastAsia" w:ascii="仿宋" w:hAnsi="仿宋" w:eastAsia="仿宋" w:cs="仿宋"/>
          <w:sz w:val="24"/>
        </w:rPr>
        <w:t>6.2</w:t>
      </w:r>
      <w:r>
        <w:rPr>
          <w:rFonts w:hint="eastAsia" w:ascii="仿宋" w:hAnsi="仿宋" w:eastAsia="仿宋" w:cs="仿宋"/>
          <w:sz w:val="24"/>
        </w:rPr>
        <w:tab/>
      </w:r>
      <w:r>
        <w:rPr>
          <w:rFonts w:hint="eastAsia" w:ascii="仿宋" w:hAnsi="仿宋" w:eastAsia="仿宋" w:cs="仿宋"/>
          <w:sz w:val="24"/>
        </w:rPr>
        <w:t>采购人、采购代理机构可主动地或在解答供应商提出的澄清问题时对磋商文件进行澄清或修改。采购代理机构将以发布澄清（更正）公告的方式，澄清或修改磋商文件，澄清或修改内容作为磋商文件的组成部分。</w:t>
      </w:r>
    </w:p>
    <w:p w14:paraId="2541C4F2">
      <w:pPr>
        <w:spacing w:line="240" w:lineRule="atLeast"/>
        <w:ind w:left="900" w:hanging="900" w:hangingChars="375"/>
        <w:rPr>
          <w:rFonts w:ascii="仿宋" w:hAnsi="仿宋" w:eastAsia="仿宋" w:cs="仿宋"/>
          <w:sz w:val="24"/>
        </w:rPr>
      </w:pPr>
      <w:r>
        <w:rPr>
          <w:rFonts w:hint="eastAsia" w:ascii="仿宋" w:hAnsi="仿宋" w:eastAsia="仿宋" w:cs="仿宋"/>
          <w:sz w:val="24"/>
        </w:rPr>
        <w:t>6.3</w:t>
      </w:r>
      <w:r>
        <w:rPr>
          <w:rFonts w:hint="eastAsia" w:ascii="仿宋" w:hAnsi="仿宋" w:eastAsia="仿宋" w:cs="仿宋"/>
          <w:sz w:val="24"/>
        </w:rPr>
        <w:tab/>
      </w:r>
      <w:r>
        <w:rPr>
          <w:rFonts w:hint="eastAsia" w:ascii="仿宋" w:hAnsi="仿宋" w:eastAsia="仿宋" w:cs="仿宋"/>
          <w:sz w:val="24"/>
        </w:rPr>
        <w:t>澄清或者修改的内容可能影响磋商文件编制的，采购代理机构将以发布澄清（更正）公告的形式通知所有购买磋商文件的潜在供应商，并对其具有约束力。供应商在收到上述通知后，应及时向采购代理机构回函确认。</w:t>
      </w:r>
    </w:p>
    <w:p w14:paraId="24348481">
      <w:pPr>
        <w:spacing w:line="240" w:lineRule="atLeast"/>
        <w:ind w:left="904" w:hanging="900" w:hangingChars="375"/>
        <w:outlineLvl w:val="1"/>
        <w:rPr>
          <w:rFonts w:ascii="仿宋" w:hAnsi="仿宋" w:eastAsia="仿宋" w:cs="仿宋"/>
          <w:b/>
          <w:bCs/>
          <w:sz w:val="24"/>
        </w:rPr>
      </w:pPr>
      <w:bookmarkStart w:id="48" w:name="_Toc12617"/>
      <w:bookmarkStart w:id="49" w:name="_Toc14569"/>
      <w:bookmarkStart w:id="50" w:name="_Toc25635"/>
      <w:r>
        <w:rPr>
          <w:rFonts w:hint="eastAsia" w:ascii="仿宋" w:hAnsi="仿宋" w:eastAsia="仿宋" w:cs="仿宋"/>
          <w:b/>
          <w:bCs/>
          <w:sz w:val="24"/>
        </w:rPr>
        <w:t>7</w:t>
      </w:r>
      <w:bookmarkEnd w:id="45"/>
      <w:bookmarkEnd w:id="46"/>
      <w:bookmarkEnd w:id="47"/>
      <w:r>
        <w:rPr>
          <w:rFonts w:hint="eastAsia" w:ascii="仿宋" w:hAnsi="仿宋" w:eastAsia="仿宋" w:cs="仿宋"/>
          <w:b/>
          <w:bCs/>
          <w:sz w:val="24"/>
        </w:rPr>
        <w:t>.投标截止时间的顺延</w:t>
      </w:r>
      <w:bookmarkEnd w:id="48"/>
      <w:bookmarkEnd w:id="49"/>
      <w:bookmarkEnd w:id="50"/>
    </w:p>
    <w:p w14:paraId="6BEF6A26">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为使供应商准备投标时有足够的时间对磋商文件的澄清或者修改部分进行研究，采购人将依法决定是否顺延投标截止时间。</w:t>
      </w:r>
    </w:p>
    <w:p w14:paraId="1D9A921F">
      <w:pPr>
        <w:pStyle w:val="3"/>
        <w:tabs>
          <w:tab w:val="left" w:pos="900"/>
        </w:tabs>
        <w:spacing w:before="0" w:line="240" w:lineRule="atLeast"/>
        <w:ind w:left="1079" w:leftChars="257" w:hanging="540"/>
        <w:rPr>
          <w:rFonts w:ascii="仿宋" w:hAnsi="仿宋" w:eastAsia="仿宋" w:cs="仿宋"/>
          <w:sz w:val="28"/>
        </w:rPr>
      </w:pPr>
      <w:bookmarkStart w:id="51" w:name="_Toc516367020"/>
      <w:bookmarkStart w:id="52" w:name="_Toc30808"/>
      <w:bookmarkStart w:id="53" w:name="_Toc515647766"/>
      <w:bookmarkStart w:id="54" w:name="_Toc7636"/>
      <w:bookmarkStart w:id="55" w:name="_Toc216582807"/>
      <w:bookmarkStart w:id="56" w:name="_Toc19434"/>
      <w:bookmarkStart w:id="57" w:name="_Toc520356150"/>
      <w:r>
        <w:rPr>
          <w:rFonts w:hint="eastAsia" w:ascii="仿宋" w:hAnsi="仿宋" w:eastAsia="仿宋" w:cs="仿宋"/>
          <w:sz w:val="28"/>
        </w:rPr>
        <w:t xml:space="preserve">三   </w:t>
      </w:r>
      <w:bookmarkEnd w:id="51"/>
      <w:r>
        <w:rPr>
          <w:rFonts w:hint="eastAsia" w:ascii="仿宋" w:hAnsi="仿宋" w:eastAsia="仿宋" w:cs="仿宋"/>
          <w:sz w:val="28"/>
        </w:rPr>
        <w:t>磋商文件的编制</w:t>
      </w:r>
      <w:bookmarkEnd w:id="52"/>
      <w:bookmarkEnd w:id="53"/>
      <w:bookmarkEnd w:id="54"/>
      <w:bookmarkEnd w:id="55"/>
      <w:bookmarkEnd w:id="56"/>
      <w:bookmarkEnd w:id="57"/>
    </w:p>
    <w:p w14:paraId="308FA4FF">
      <w:pPr>
        <w:pStyle w:val="5"/>
        <w:rPr>
          <w:rFonts w:ascii="仿宋" w:hAnsi="仿宋" w:eastAsia="仿宋" w:cs="仿宋"/>
        </w:rPr>
      </w:pPr>
    </w:p>
    <w:p w14:paraId="6F47AB1A">
      <w:pPr>
        <w:pStyle w:val="4"/>
        <w:tabs>
          <w:tab w:val="left" w:pos="900"/>
        </w:tabs>
        <w:spacing w:before="0" w:after="0" w:line="240" w:lineRule="atLeast"/>
        <w:rPr>
          <w:rFonts w:ascii="仿宋" w:hAnsi="仿宋" w:eastAsia="仿宋" w:cs="仿宋"/>
          <w:u w:val="none"/>
        </w:rPr>
      </w:pPr>
      <w:bookmarkStart w:id="58" w:name="_Toc7786"/>
      <w:bookmarkStart w:id="59" w:name="_Toc516367021"/>
      <w:bookmarkStart w:id="60" w:name="_Toc520356151"/>
      <w:bookmarkStart w:id="61" w:name="_Toc32612"/>
      <w:bookmarkStart w:id="62" w:name="_Toc3553"/>
      <w:bookmarkStart w:id="63" w:name="_Toc515647767"/>
      <w:r>
        <w:rPr>
          <w:rFonts w:hint="eastAsia" w:ascii="仿宋" w:hAnsi="仿宋" w:eastAsia="仿宋" w:cs="仿宋"/>
          <w:u w:val="none"/>
        </w:rPr>
        <w:t>8.投标范围及磋商文件成交标准和计量单位的使用</w:t>
      </w:r>
      <w:bookmarkEnd w:id="58"/>
      <w:bookmarkEnd w:id="59"/>
      <w:bookmarkEnd w:id="60"/>
      <w:bookmarkEnd w:id="61"/>
      <w:bookmarkEnd w:id="62"/>
      <w:bookmarkEnd w:id="63"/>
    </w:p>
    <w:p w14:paraId="2E591B1F">
      <w:pPr>
        <w:spacing w:line="240" w:lineRule="atLeast"/>
        <w:ind w:left="900" w:hanging="900" w:hangingChars="375"/>
        <w:rPr>
          <w:rFonts w:ascii="仿宋" w:hAnsi="仿宋" w:eastAsia="仿宋" w:cs="仿宋"/>
          <w:sz w:val="24"/>
        </w:rPr>
      </w:pPr>
      <w:r>
        <w:rPr>
          <w:rFonts w:hint="eastAsia" w:ascii="仿宋" w:hAnsi="仿宋" w:eastAsia="仿宋" w:cs="仿宋"/>
          <w:sz w:val="24"/>
        </w:rPr>
        <w:t>8.1</w:t>
      </w:r>
      <w:r>
        <w:rPr>
          <w:rFonts w:hint="eastAsia" w:ascii="仿宋" w:hAnsi="仿宋" w:eastAsia="仿宋" w:cs="仿宋"/>
          <w:sz w:val="24"/>
        </w:rPr>
        <w:tab/>
      </w:r>
      <w:r>
        <w:rPr>
          <w:rFonts w:hint="eastAsia" w:ascii="仿宋" w:hAnsi="仿宋" w:eastAsia="仿宋" w:cs="仿宋"/>
          <w:sz w:val="24"/>
        </w:rPr>
        <w:t>项目有分包的，供应商可对磋商文件其中某一个或几个分包服务进行投标，除非在</w:t>
      </w:r>
      <w:r>
        <w:rPr>
          <w:rFonts w:hint="eastAsia" w:ascii="仿宋" w:hAnsi="仿宋" w:eastAsia="仿宋" w:cs="仿宋"/>
          <w:sz w:val="24"/>
          <w:u w:val="single"/>
        </w:rPr>
        <w:t>供应商须知资料表</w:t>
      </w:r>
      <w:r>
        <w:rPr>
          <w:rFonts w:hint="eastAsia" w:ascii="仿宋" w:hAnsi="仿宋" w:eastAsia="仿宋" w:cs="仿宋"/>
          <w:sz w:val="24"/>
        </w:rPr>
        <w:t>中另有规定。</w:t>
      </w:r>
    </w:p>
    <w:p w14:paraId="2FBD2972">
      <w:pPr>
        <w:spacing w:line="240" w:lineRule="atLeast"/>
        <w:ind w:left="900" w:hanging="900" w:hangingChars="375"/>
        <w:rPr>
          <w:rFonts w:ascii="仿宋" w:hAnsi="仿宋" w:eastAsia="仿宋" w:cs="仿宋"/>
          <w:sz w:val="24"/>
        </w:rPr>
      </w:pPr>
      <w:r>
        <w:rPr>
          <w:rFonts w:hint="eastAsia" w:ascii="仿宋" w:hAnsi="仿宋" w:eastAsia="仿宋" w:cs="仿宋"/>
          <w:sz w:val="24"/>
        </w:rPr>
        <w:t>8.2    供应商应当对所投分包磋商文件中“服务需求”所列的所有内容进行投标，如仅响应某一包中的部分内容，其该包投标将被认定为</w:t>
      </w:r>
      <w:r>
        <w:rPr>
          <w:rFonts w:hint="eastAsia" w:ascii="仿宋" w:hAnsi="仿宋" w:eastAsia="仿宋" w:cs="仿宋"/>
          <w:b/>
          <w:bCs/>
          <w:sz w:val="24"/>
        </w:rPr>
        <w:t>投标无效</w:t>
      </w:r>
      <w:r>
        <w:rPr>
          <w:rFonts w:hint="eastAsia" w:ascii="仿宋" w:hAnsi="仿宋" w:eastAsia="仿宋" w:cs="仿宋"/>
          <w:sz w:val="24"/>
        </w:rPr>
        <w:t>。</w:t>
      </w:r>
    </w:p>
    <w:p w14:paraId="798B3520">
      <w:pPr>
        <w:spacing w:line="240" w:lineRule="atLeast"/>
        <w:ind w:left="900" w:hanging="900" w:hangingChars="375"/>
        <w:rPr>
          <w:rFonts w:ascii="仿宋" w:hAnsi="仿宋" w:eastAsia="仿宋" w:cs="仿宋"/>
          <w:sz w:val="24"/>
        </w:rPr>
      </w:pPr>
      <w:r>
        <w:rPr>
          <w:rFonts w:hint="eastAsia" w:ascii="仿宋" w:hAnsi="仿宋" w:eastAsia="仿宋" w:cs="仿宋"/>
          <w:sz w:val="24"/>
        </w:rPr>
        <w:t>8.3    无论磋商文件第5章服务需求一览表及技术规格中是否要求，供应商所投服务均应符合国家强制性标准。</w:t>
      </w:r>
    </w:p>
    <w:p w14:paraId="2687465A">
      <w:pPr>
        <w:spacing w:line="240" w:lineRule="atLeast"/>
        <w:ind w:left="900" w:hanging="900" w:hangingChars="375"/>
        <w:rPr>
          <w:rFonts w:ascii="仿宋" w:hAnsi="仿宋" w:eastAsia="仿宋" w:cs="仿宋"/>
          <w:sz w:val="24"/>
        </w:rPr>
      </w:pPr>
      <w:r>
        <w:rPr>
          <w:rFonts w:hint="eastAsia" w:ascii="仿宋" w:hAnsi="仿宋" w:eastAsia="仿宋" w:cs="仿宋"/>
          <w:sz w:val="24"/>
        </w:rPr>
        <w:t>8.4     除磋商文件中有特殊要求外，磋商文件中所使用的计量单位，应采用中华人民共和国法定计量单位。</w:t>
      </w:r>
    </w:p>
    <w:p w14:paraId="234DA148">
      <w:pPr>
        <w:pStyle w:val="4"/>
        <w:tabs>
          <w:tab w:val="left" w:pos="900"/>
        </w:tabs>
        <w:spacing w:before="0" w:after="0" w:line="240" w:lineRule="atLeast"/>
        <w:rPr>
          <w:rFonts w:ascii="仿宋" w:hAnsi="仿宋" w:eastAsia="仿宋" w:cs="仿宋"/>
          <w:u w:val="none"/>
        </w:rPr>
      </w:pPr>
      <w:bookmarkStart w:id="64" w:name="_Ref467306195"/>
      <w:bookmarkStart w:id="65" w:name="_Ref467306676"/>
      <w:bookmarkStart w:id="66" w:name="_Toc516367022"/>
      <w:bookmarkStart w:id="67" w:name="_Toc515647768"/>
      <w:bookmarkStart w:id="68" w:name="_Toc10364"/>
      <w:bookmarkStart w:id="69" w:name="_Toc520356152"/>
      <w:bookmarkStart w:id="70" w:name="_Toc28307"/>
      <w:bookmarkStart w:id="71" w:name="_Toc30547"/>
      <w:r>
        <w:rPr>
          <w:rFonts w:hint="eastAsia" w:ascii="仿宋" w:hAnsi="仿宋" w:eastAsia="仿宋" w:cs="仿宋"/>
          <w:u w:val="none"/>
        </w:rPr>
        <w:t>9.</w:t>
      </w:r>
      <w:bookmarkEnd w:id="64"/>
      <w:bookmarkEnd w:id="65"/>
      <w:bookmarkEnd w:id="66"/>
      <w:r>
        <w:rPr>
          <w:rFonts w:hint="eastAsia" w:ascii="仿宋" w:hAnsi="仿宋" w:eastAsia="仿宋" w:cs="仿宋"/>
          <w:u w:val="none"/>
        </w:rPr>
        <w:t>磋商文件构成</w:t>
      </w:r>
      <w:bookmarkEnd w:id="67"/>
      <w:bookmarkEnd w:id="68"/>
      <w:bookmarkEnd w:id="69"/>
      <w:bookmarkEnd w:id="70"/>
      <w:bookmarkEnd w:id="71"/>
    </w:p>
    <w:p w14:paraId="13E8ED08">
      <w:pPr>
        <w:tabs>
          <w:tab w:val="left" w:pos="900"/>
          <w:tab w:val="left" w:pos="5580"/>
        </w:tabs>
        <w:spacing w:line="240" w:lineRule="atLeast"/>
        <w:ind w:left="960" w:hanging="960" w:hangingChars="400"/>
        <w:jc w:val="left"/>
        <w:rPr>
          <w:rFonts w:ascii="仿宋_GB2312" w:hAnsi="宋体" w:eastAsia="仿宋_GB2312"/>
          <w:b/>
          <w:bCs/>
          <w:iCs/>
          <w:sz w:val="24"/>
          <w:u w:val="single"/>
        </w:rPr>
      </w:pPr>
      <w:bookmarkStart w:id="72" w:name="_Ref467052588"/>
      <w:r>
        <w:rPr>
          <w:rFonts w:hint="eastAsia" w:ascii="仿宋" w:hAnsi="仿宋" w:eastAsia="仿宋" w:cs="仿宋"/>
          <w:sz w:val="24"/>
        </w:rPr>
        <w:t xml:space="preserve">9.1    </w:t>
      </w:r>
      <w:r>
        <w:rPr>
          <w:rFonts w:hint="eastAsia" w:ascii="仿宋" w:hAnsi="仿宋" w:eastAsia="仿宋" w:cs="仿宋"/>
          <w:b/>
          <w:bCs/>
          <w:i/>
          <w:iCs/>
          <w:sz w:val="24"/>
        </w:rPr>
        <w:t xml:space="preserve"> </w:t>
      </w:r>
      <w:r>
        <w:rPr>
          <w:rFonts w:hint="eastAsia" w:ascii="仿宋" w:hAnsi="仿宋" w:eastAsia="仿宋" w:cs="仿宋"/>
          <w:b/>
          <w:bCs/>
          <w:i w:val="0"/>
          <w:iCs w:val="0"/>
          <w:sz w:val="24"/>
        </w:rPr>
        <w:t>投标人应完整地按招标文件提供的投标文件格式及要求编写投标文件，投标人须在投标截止时间前完成在系统上递交电子投标文件。投标人的电子投标文件是经 过 CA 证书加密后上传提交的，任何单位或个人均无法在投标截止时间（即开标时  间）之前查看或篡改，不存在泄密风险。（严格按照政采云电子投标流程制作并上 传电子投标文件）</w:t>
      </w:r>
    </w:p>
    <w:p w14:paraId="1402B469">
      <w:pPr>
        <w:spacing w:line="240" w:lineRule="atLeast"/>
        <w:ind w:left="900" w:hanging="900" w:hangingChars="375"/>
        <w:rPr>
          <w:rFonts w:ascii="仿宋" w:hAnsi="仿宋" w:eastAsia="仿宋" w:cs="仿宋"/>
          <w:sz w:val="24"/>
        </w:rPr>
      </w:pPr>
      <w:r>
        <w:rPr>
          <w:rFonts w:hint="eastAsia" w:ascii="仿宋" w:hAnsi="仿宋" w:eastAsia="仿宋" w:cs="仿宋"/>
          <w:sz w:val="24"/>
        </w:rPr>
        <w:t>9.2    上述文件应按照磋商文件规定的格式填写、签署和盖章。</w:t>
      </w:r>
    </w:p>
    <w:bookmarkEnd w:id="72"/>
    <w:p w14:paraId="1304CBBE">
      <w:pPr>
        <w:pStyle w:val="4"/>
        <w:tabs>
          <w:tab w:val="left" w:pos="900"/>
        </w:tabs>
        <w:spacing w:before="0" w:after="0" w:line="240" w:lineRule="atLeast"/>
        <w:rPr>
          <w:rFonts w:ascii="仿宋" w:hAnsi="仿宋" w:eastAsia="仿宋" w:cs="仿宋"/>
          <w:u w:val="none"/>
        </w:rPr>
      </w:pPr>
      <w:bookmarkStart w:id="73" w:name="_Toc17188"/>
      <w:bookmarkStart w:id="74" w:name="_Toc4601"/>
      <w:bookmarkStart w:id="75" w:name="_Toc515647769"/>
      <w:bookmarkStart w:id="76" w:name="_Toc520356153"/>
      <w:bookmarkStart w:id="77" w:name="_Toc516367023"/>
      <w:bookmarkStart w:id="78" w:name="_Toc10379"/>
      <w:r>
        <w:rPr>
          <w:rFonts w:hint="eastAsia" w:ascii="仿宋" w:hAnsi="仿宋" w:eastAsia="仿宋" w:cs="仿宋"/>
          <w:u w:val="none"/>
        </w:rPr>
        <w:t>10.证明投标标的的合格性和符合磋商文件规定的技术文件</w:t>
      </w:r>
      <w:bookmarkEnd w:id="73"/>
      <w:bookmarkEnd w:id="74"/>
      <w:bookmarkEnd w:id="75"/>
      <w:bookmarkEnd w:id="76"/>
      <w:bookmarkEnd w:id="77"/>
      <w:bookmarkEnd w:id="78"/>
    </w:p>
    <w:p w14:paraId="40635B0D">
      <w:pPr>
        <w:spacing w:line="240" w:lineRule="atLeast"/>
        <w:ind w:left="900" w:hanging="900" w:hangingChars="375"/>
        <w:rPr>
          <w:rFonts w:ascii="仿宋" w:hAnsi="仿宋" w:eastAsia="仿宋" w:cs="仿宋"/>
          <w:sz w:val="24"/>
        </w:rPr>
      </w:pPr>
      <w:r>
        <w:rPr>
          <w:rFonts w:hint="eastAsia" w:ascii="仿宋" w:hAnsi="仿宋" w:eastAsia="仿宋" w:cs="仿宋"/>
          <w:sz w:val="24"/>
        </w:rPr>
        <w:t>10.1</w:t>
      </w:r>
      <w:r>
        <w:rPr>
          <w:rFonts w:hint="eastAsia" w:ascii="仿宋" w:hAnsi="仿宋" w:eastAsia="仿宋" w:cs="仿宋"/>
          <w:sz w:val="24"/>
        </w:rPr>
        <w:tab/>
      </w:r>
      <w:r>
        <w:rPr>
          <w:rFonts w:hint="eastAsia" w:ascii="仿宋" w:hAnsi="仿宋" w:eastAsia="仿宋" w:cs="仿宋"/>
          <w:sz w:val="24"/>
        </w:rPr>
        <w:t>供应商应提交证明文件，证明其投标内容符合磋商文件规定。该证明文件是磋商文件的一部分。</w:t>
      </w:r>
    </w:p>
    <w:p w14:paraId="64E76BBF">
      <w:pPr>
        <w:spacing w:line="240" w:lineRule="atLeast"/>
        <w:ind w:left="900" w:hanging="900" w:hangingChars="375"/>
        <w:rPr>
          <w:rFonts w:ascii="仿宋" w:hAnsi="仿宋" w:eastAsia="仿宋" w:cs="仿宋"/>
          <w:sz w:val="24"/>
        </w:rPr>
      </w:pPr>
      <w:bookmarkStart w:id="79" w:name="_Ref467306244"/>
      <w:r>
        <w:rPr>
          <w:rFonts w:hint="eastAsia" w:ascii="仿宋" w:hAnsi="仿宋" w:eastAsia="仿宋" w:cs="仿宋"/>
          <w:sz w:val="24"/>
        </w:rPr>
        <w:t>10.2</w:t>
      </w:r>
      <w:r>
        <w:rPr>
          <w:rFonts w:hint="eastAsia" w:ascii="仿宋" w:hAnsi="仿宋" w:eastAsia="仿宋" w:cs="仿宋"/>
          <w:sz w:val="24"/>
        </w:rPr>
        <w:tab/>
      </w:r>
      <w:r>
        <w:rPr>
          <w:rFonts w:hint="eastAsia" w:ascii="仿宋" w:hAnsi="仿宋" w:eastAsia="仿宋" w:cs="仿宋"/>
          <w:sz w:val="24"/>
        </w:rPr>
        <w:t>上款所述的证明文件，可以是文字资料、图纸和数据</w:t>
      </w:r>
      <w:bookmarkEnd w:id="79"/>
      <w:r>
        <w:rPr>
          <w:rFonts w:hint="eastAsia" w:ascii="仿宋" w:hAnsi="仿宋" w:eastAsia="仿宋" w:cs="仿宋"/>
          <w:sz w:val="24"/>
        </w:rPr>
        <w:t>。</w:t>
      </w:r>
    </w:p>
    <w:p w14:paraId="14F6AC82">
      <w:pPr>
        <w:spacing w:line="240" w:lineRule="atLeast"/>
        <w:ind w:left="900" w:hanging="900" w:hangingChars="375"/>
        <w:rPr>
          <w:rFonts w:ascii="仿宋" w:hAnsi="仿宋" w:eastAsia="仿宋" w:cs="仿宋"/>
          <w:sz w:val="24"/>
        </w:rPr>
      </w:pPr>
      <w:r>
        <w:rPr>
          <w:rFonts w:hint="eastAsia" w:ascii="仿宋" w:hAnsi="仿宋" w:eastAsia="仿宋" w:cs="仿宋"/>
          <w:sz w:val="24"/>
        </w:rPr>
        <w:t>10.2.1</w:t>
      </w:r>
      <w:r>
        <w:rPr>
          <w:rFonts w:hint="eastAsia" w:ascii="仿宋" w:hAnsi="仿宋" w:eastAsia="仿宋" w:cs="仿宋"/>
          <w:sz w:val="24"/>
        </w:rPr>
        <w:tab/>
      </w:r>
      <w:r>
        <w:rPr>
          <w:rFonts w:hint="eastAsia" w:ascii="仿宋" w:hAnsi="仿宋" w:eastAsia="仿宋" w:cs="仿宋"/>
          <w:sz w:val="24"/>
        </w:rPr>
        <w:t>服务主要技术指标和性能的详细说明；</w:t>
      </w:r>
    </w:p>
    <w:p w14:paraId="1702BE33">
      <w:pPr>
        <w:spacing w:line="240" w:lineRule="atLeast"/>
        <w:ind w:left="900" w:hanging="900" w:hangingChars="375"/>
        <w:rPr>
          <w:rFonts w:ascii="仿宋" w:hAnsi="仿宋" w:eastAsia="仿宋" w:cs="仿宋"/>
          <w:sz w:val="24"/>
        </w:rPr>
      </w:pPr>
      <w:r>
        <w:rPr>
          <w:rFonts w:hint="eastAsia" w:ascii="仿宋" w:hAnsi="仿宋" w:eastAsia="仿宋" w:cs="仿宋"/>
          <w:sz w:val="24"/>
        </w:rPr>
        <w:t>10.2.2</w:t>
      </w:r>
      <w:r>
        <w:rPr>
          <w:rFonts w:hint="eastAsia" w:ascii="仿宋" w:hAnsi="仿宋" w:eastAsia="仿宋" w:cs="仿宋"/>
          <w:sz w:val="24"/>
        </w:rPr>
        <w:tab/>
      </w:r>
      <w:r>
        <w:rPr>
          <w:rFonts w:hint="eastAsia" w:ascii="仿宋" w:hAnsi="仿宋" w:eastAsia="仿宋" w:cs="仿宋"/>
          <w:sz w:val="24"/>
        </w:rPr>
        <w:t>服务从买方开始使用至磋商文件规定的保质期内正常、连续地使用所必须的备件和专用工具清单，包括备件和专用工具的货源及现行价格；</w:t>
      </w:r>
    </w:p>
    <w:p w14:paraId="1F86D33B">
      <w:pPr>
        <w:spacing w:line="240" w:lineRule="atLeast"/>
        <w:ind w:left="900" w:hanging="900" w:hangingChars="375"/>
        <w:rPr>
          <w:rFonts w:ascii="仿宋" w:hAnsi="仿宋" w:eastAsia="仿宋" w:cs="仿宋"/>
          <w:sz w:val="24"/>
        </w:rPr>
      </w:pPr>
      <w:r>
        <w:rPr>
          <w:rFonts w:hint="eastAsia" w:ascii="仿宋" w:hAnsi="仿宋" w:eastAsia="仿宋" w:cs="仿宋"/>
          <w:sz w:val="24"/>
        </w:rPr>
        <w:t>10.2.3</w:t>
      </w:r>
      <w:r>
        <w:rPr>
          <w:rFonts w:hint="eastAsia" w:ascii="仿宋" w:hAnsi="仿宋" w:eastAsia="仿宋" w:cs="仿宋"/>
          <w:sz w:val="24"/>
        </w:rPr>
        <w:tab/>
      </w:r>
      <w:r>
        <w:rPr>
          <w:rFonts w:hint="eastAsia" w:ascii="仿宋" w:hAnsi="仿宋" w:eastAsia="仿宋" w:cs="仿宋"/>
          <w:sz w:val="24"/>
        </w:rPr>
        <w:t>对照磋商文件技术规格，逐条说明所提供服务及伴随的工程和服务已对磋商文件的技术规格做出了实质性的响应，或申明与技术规格条文的偏差和例外。</w:t>
      </w:r>
    </w:p>
    <w:p w14:paraId="0E4BFB4E">
      <w:pPr>
        <w:spacing w:line="240" w:lineRule="atLeast"/>
        <w:ind w:left="900" w:hanging="900" w:hangingChars="375"/>
        <w:rPr>
          <w:rFonts w:ascii="仿宋" w:hAnsi="仿宋" w:eastAsia="仿宋" w:cs="仿宋"/>
          <w:sz w:val="24"/>
        </w:rPr>
      </w:pPr>
      <w:r>
        <w:rPr>
          <w:rFonts w:hint="eastAsia" w:ascii="仿宋" w:hAnsi="仿宋" w:eastAsia="仿宋" w:cs="仿宋"/>
          <w:sz w:val="24"/>
        </w:rPr>
        <w:t>10.3</w:t>
      </w:r>
      <w:r>
        <w:rPr>
          <w:rFonts w:hint="eastAsia" w:ascii="仿宋" w:hAnsi="仿宋" w:eastAsia="仿宋" w:cs="仿宋"/>
          <w:sz w:val="24"/>
        </w:rPr>
        <w:tab/>
      </w:r>
      <w:r>
        <w:rPr>
          <w:rFonts w:hint="eastAsia" w:ascii="仿宋" w:hAnsi="仿宋" w:eastAsia="仿宋" w:cs="仿宋"/>
          <w:b/>
          <w:bCs/>
          <w:sz w:val="24"/>
        </w:rPr>
        <w:t>供应商应注意采购人在技术规格中指出的工艺、材料和设备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6BE1D9B3">
      <w:pPr>
        <w:pStyle w:val="4"/>
        <w:spacing w:before="0" w:after="0" w:line="240" w:lineRule="atLeast"/>
        <w:rPr>
          <w:rFonts w:ascii="仿宋" w:hAnsi="仿宋" w:eastAsia="仿宋" w:cs="仿宋"/>
          <w:u w:val="none"/>
        </w:rPr>
      </w:pPr>
      <w:bookmarkStart w:id="80" w:name="_Toc2248"/>
      <w:bookmarkStart w:id="81" w:name="_Toc23231"/>
      <w:bookmarkStart w:id="82" w:name="_Toc515647770"/>
      <w:bookmarkStart w:id="83" w:name="_Toc520356155"/>
      <w:bookmarkStart w:id="84" w:name="_Toc17604"/>
      <w:r>
        <w:rPr>
          <w:rFonts w:hint="eastAsia" w:ascii="仿宋" w:hAnsi="仿宋" w:eastAsia="仿宋" w:cs="仿宋"/>
          <w:u w:val="none"/>
        </w:rPr>
        <w:t>11.磋商报价</w:t>
      </w:r>
      <w:bookmarkEnd w:id="80"/>
      <w:bookmarkEnd w:id="81"/>
      <w:bookmarkEnd w:id="82"/>
      <w:bookmarkEnd w:id="83"/>
      <w:bookmarkEnd w:id="84"/>
    </w:p>
    <w:p w14:paraId="65CEDBC9">
      <w:pPr>
        <w:spacing w:line="240" w:lineRule="atLeast"/>
        <w:ind w:left="900" w:hanging="900" w:hangingChars="375"/>
        <w:rPr>
          <w:rFonts w:ascii="仿宋" w:hAnsi="仿宋" w:eastAsia="仿宋" w:cs="仿宋"/>
          <w:sz w:val="24"/>
        </w:rPr>
      </w:pPr>
      <w:r>
        <w:rPr>
          <w:rFonts w:hint="eastAsia" w:ascii="仿宋" w:hAnsi="仿宋" w:eastAsia="仿宋" w:cs="仿宋"/>
          <w:sz w:val="24"/>
        </w:rPr>
        <w:t>11.1</w:t>
      </w:r>
      <w:r>
        <w:rPr>
          <w:rFonts w:hint="eastAsia" w:ascii="仿宋" w:hAnsi="仿宋" w:eastAsia="仿宋" w:cs="仿宋"/>
          <w:sz w:val="24"/>
        </w:rPr>
        <w:tab/>
      </w:r>
      <w:r>
        <w:rPr>
          <w:rFonts w:hint="eastAsia" w:ascii="仿宋" w:hAnsi="仿宋" w:eastAsia="仿宋" w:cs="仿宋"/>
          <w:sz w:val="24"/>
        </w:rPr>
        <w:t>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仿宋" w:hAnsi="仿宋" w:eastAsia="仿宋" w:cs="仿宋"/>
          <w:b/>
          <w:bCs/>
          <w:sz w:val="24"/>
        </w:rPr>
        <w:t>投标无效</w:t>
      </w:r>
      <w:r>
        <w:rPr>
          <w:rFonts w:hint="eastAsia" w:ascii="仿宋" w:hAnsi="仿宋" w:eastAsia="仿宋" w:cs="仿宋"/>
          <w:sz w:val="24"/>
        </w:rPr>
        <w:t>。</w:t>
      </w:r>
    </w:p>
    <w:p w14:paraId="3B0633CA">
      <w:pPr>
        <w:spacing w:line="240" w:lineRule="atLeast"/>
        <w:ind w:left="900" w:hanging="900" w:hangingChars="375"/>
        <w:rPr>
          <w:rFonts w:ascii="仿宋" w:hAnsi="仿宋" w:eastAsia="仿宋" w:cs="仿宋"/>
          <w:sz w:val="24"/>
        </w:rPr>
      </w:pPr>
      <w:r>
        <w:rPr>
          <w:rFonts w:hint="eastAsia" w:ascii="仿宋" w:hAnsi="仿宋" w:eastAsia="仿宋" w:cs="仿宋"/>
          <w:sz w:val="24"/>
        </w:rPr>
        <w:t>11.2</w:t>
      </w:r>
      <w:r>
        <w:rPr>
          <w:rFonts w:hint="eastAsia" w:ascii="仿宋" w:hAnsi="仿宋" w:eastAsia="仿宋" w:cs="仿宋"/>
          <w:sz w:val="24"/>
        </w:rPr>
        <w:tab/>
      </w:r>
      <w:r>
        <w:rPr>
          <w:rFonts w:hint="eastAsia" w:ascii="仿宋" w:hAnsi="仿宋" w:eastAsia="仿宋" w:cs="仿宋"/>
          <w:sz w:val="24"/>
        </w:rPr>
        <w:t>供应商应在投标分项报价表上标明投标相关服务的单价（如适用）和总价，并由法定代表人或其授权代表签署。</w:t>
      </w:r>
    </w:p>
    <w:p w14:paraId="625D5DF8">
      <w:pPr>
        <w:spacing w:line="240" w:lineRule="atLeast"/>
        <w:ind w:left="900" w:hanging="900" w:hangingChars="375"/>
        <w:rPr>
          <w:rFonts w:ascii="仿宋" w:hAnsi="仿宋" w:eastAsia="仿宋" w:cs="仿宋"/>
          <w:sz w:val="24"/>
        </w:rPr>
      </w:pPr>
      <w:r>
        <w:rPr>
          <w:rFonts w:hint="eastAsia" w:ascii="仿宋" w:hAnsi="仿宋" w:eastAsia="仿宋" w:cs="仿宋"/>
          <w:sz w:val="24"/>
        </w:rPr>
        <w:t>11.3</w:t>
      </w:r>
      <w:r>
        <w:rPr>
          <w:rFonts w:hint="eastAsia" w:ascii="仿宋" w:hAnsi="仿宋" w:eastAsia="仿宋" w:cs="仿宋"/>
          <w:sz w:val="24"/>
        </w:rPr>
        <w:tab/>
      </w:r>
      <w:r>
        <w:rPr>
          <w:rFonts w:hint="eastAsia" w:ascii="仿宋" w:hAnsi="仿宋" w:eastAsia="仿宋" w:cs="仿宋"/>
          <w:sz w:val="24"/>
        </w:rPr>
        <w:t xml:space="preserve"> 供应商所报的各分项投标单价在合同履行过程中是固定不变的，不得以任何理由予以变更。任何包含价格调整要求的投标，其投标将被认定为响应无效。</w:t>
      </w:r>
    </w:p>
    <w:p w14:paraId="292333B3">
      <w:pPr>
        <w:spacing w:line="240" w:lineRule="atLeast"/>
        <w:ind w:left="900" w:hanging="900" w:hangingChars="375"/>
        <w:rPr>
          <w:rFonts w:ascii="仿宋" w:hAnsi="仿宋" w:eastAsia="仿宋" w:cs="仿宋"/>
          <w:b/>
          <w:bCs/>
          <w:sz w:val="24"/>
        </w:rPr>
      </w:pPr>
      <w:r>
        <w:rPr>
          <w:rFonts w:hint="eastAsia" w:ascii="仿宋" w:hAnsi="仿宋" w:eastAsia="仿宋" w:cs="仿宋"/>
          <w:sz w:val="24"/>
        </w:rPr>
        <w:t>11.4</w:t>
      </w:r>
      <w:r>
        <w:rPr>
          <w:rFonts w:hint="eastAsia" w:ascii="仿宋" w:hAnsi="仿宋" w:eastAsia="仿宋" w:cs="仿宋"/>
          <w:b/>
          <w:bCs/>
          <w:sz w:val="24"/>
        </w:rPr>
        <w:t xml:space="preserve">    竞争性磋商采用两次报价的方式。</w:t>
      </w:r>
    </w:p>
    <w:p w14:paraId="5F95FFCF">
      <w:pPr>
        <w:spacing w:line="400" w:lineRule="exact"/>
        <w:ind w:left="957" w:leftChars="456"/>
        <w:rPr>
          <w:rFonts w:ascii="仿宋" w:hAnsi="仿宋" w:eastAsia="仿宋" w:cs="仿宋"/>
          <w:sz w:val="24"/>
          <w:u w:val="single"/>
        </w:rPr>
      </w:pPr>
      <w:r>
        <w:rPr>
          <w:rFonts w:hint="eastAsia" w:ascii="仿宋" w:hAnsi="仿宋" w:eastAsia="仿宋" w:cs="仿宋"/>
          <w:b/>
          <w:bCs/>
          <w:sz w:val="24"/>
          <w:u w:val="single"/>
        </w:rPr>
        <w:t>二次报价为最终报价，磋商小组所有成员集中与单一供应商分别或对本项目存在的共性问题共同进行磋商，并给予所有参加磋商的供应商平等的磋商机会，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服务质量和合同履约能力均能满足采购文件实质性响应要求的供应商中，按照综合评分由低到高的顺序提出成交候选人，并编写评审报告，将结果通知所有参加磋商的未成交的供应商；</w:t>
      </w:r>
    </w:p>
    <w:p w14:paraId="2AE1B446">
      <w:pPr>
        <w:spacing w:line="240" w:lineRule="atLeast"/>
        <w:ind w:left="900" w:hanging="900" w:hangingChars="375"/>
        <w:rPr>
          <w:rFonts w:ascii="仿宋" w:hAnsi="仿宋" w:eastAsia="仿宋" w:cs="仿宋"/>
          <w:sz w:val="24"/>
        </w:rPr>
      </w:pPr>
      <w:r>
        <w:rPr>
          <w:rFonts w:hint="eastAsia" w:ascii="仿宋" w:hAnsi="仿宋" w:eastAsia="仿宋" w:cs="仿宋"/>
          <w:sz w:val="24"/>
        </w:rPr>
        <w:t>11.5</w:t>
      </w:r>
      <w:r>
        <w:rPr>
          <w:rFonts w:hint="eastAsia" w:ascii="仿宋" w:hAnsi="仿宋" w:eastAsia="仿宋" w:cs="仿宋"/>
          <w:sz w:val="24"/>
        </w:rPr>
        <w:tab/>
      </w:r>
      <w:r>
        <w:rPr>
          <w:rFonts w:hint="eastAsia" w:ascii="仿宋" w:hAnsi="仿宋" w:eastAsia="仿宋" w:cs="仿宋"/>
          <w:sz w:val="24"/>
        </w:rPr>
        <w:t>服务只能有一个投标报价。采购人不接受具有附加条件的报价。</w:t>
      </w:r>
    </w:p>
    <w:p w14:paraId="5D50C746">
      <w:pPr>
        <w:pStyle w:val="4"/>
        <w:spacing w:before="0" w:after="0" w:line="240" w:lineRule="atLeast"/>
        <w:rPr>
          <w:rFonts w:ascii="仿宋" w:hAnsi="仿宋" w:eastAsia="仿宋" w:cs="仿宋"/>
          <w:u w:val="none"/>
        </w:rPr>
      </w:pPr>
      <w:bookmarkStart w:id="85" w:name="_Ref467306513"/>
      <w:bookmarkStart w:id="86" w:name="_Toc20700"/>
      <w:bookmarkStart w:id="87" w:name="_Toc515647771"/>
      <w:bookmarkStart w:id="88" w:name="_Toc17788"/>
      <w:bookmarkStart w:id="89" w:name="_Toc520356156"/>
      <w:bookmarkStart w:id="90" w:name="_Toc11514"/>
      <w:bookmarkStart w:id="91" w:name="_Toc520356165"/>
      <w:bookmarkStart w:id="92" w:name="_Toc21372"/>
      <w:bookmarkStart w:id="93" w:name="_Toc19296"/>
      <w:bookmarkStart w:id="94" w:name="_Toc515647780"/>
      <w:r>
        <w:rPr>
          <w:rFonts w:hint="eastAsia" w:ascii="仿宋" w:hAnsi="仿宋" w:eastAsia="仿宋" w:cs="仿宋"/>
          <w:u w:val="none"/>
        </w:rPr>
        <w:t>12.投标保证金</w:t>
      </w:r>
      <w:bookmarkEnd w:id="85"/>
      <w:bookmarkEnd w:id="86"/>
      <w:bookmarkEnd w:id="87"/>
      <w:bookmarkEnd w:id="88"/>
      <w:bookmarkEnd w:id="89"/>
      <w:bookmarkEnd w:id="90"/>
    </w:p>
    <w:p w14:paraId="69F8D7D6">
      <w:pPr>
        <w:spacing w:line="240" w:lineRule="atLeast"/>
        <w:ind w:left="900" w:hanging="900" w:hangingChars="375"/>
        <w:rPr>
          <w:rFonts w:ascii="仿宋" w:hAnsi="仿宋" w:eastAsia="仿宋" w:cs="仿宋"/>
          <w:sz w:val="24"/>
        </w:rPr>
      </w:pPr>
      <w:bookmarkStart w:id="95" w:name="_Ref467306302"/>
      <w:r>
        <w:rPr>
          <w:rFonts w:hint="eastAsia" w:ascii="仿宋" w:hAnsi="仿宋" w:eastAsia="仿宋" w:cs="仿宋"/>
          <w:sz w:val="24"/>
        </w:rPr>
        <w:t>12.1</w:t>
      </w:r>
      <w:r>
        <w:rPr>
          <w:rFonts w:hint="eastAsia" w:ascii="仿宋" w:hAnsi="仿宋" w:eastAsia="仿宋" w:cs="仿宋"/>
          <w:sz w:val="24"/>
        </w:rPr>
        <w:tab/>
      </w:r>
      <w:r>
        <w:rPr>
          <w:rFonts w:hint="eastAsia" w:ascii="仿宋" w:hAnsi="仿宋" w:eastAsia="仿宋" w:cs="仿宋"/>
          <w:sz w:val="24"/>
        </w:rPr>
        <w:t>供应商应提交</w:t>
      </w:r>
      <w:r>
        <w:rPr>
          <w:rFonts w:hint="eastAsia" w:ascii="仿宋" w:hAnsi="仿宋" w:eastAsia="仿宋" w:cs="仿宋"/>
          <w:sz w:val="24"/>
          <w:u w:val="single"/>
        </w:rPr>
        <w:t>供应商须知资料表</w:t>
      </w:r>
      <w:r>
        <w:rPr>
          <w:rFonts w:hint="eastAsia" w:ascii="仿宋" w:hAnsi="仿宋" w:eastAsia="仿宋" w:cs="仿宋"/>
          <w:sz w:val="24"/>
        </w:rPr>
        <w:t>中规定的投标保证金</w:t>
      </w:r>
      <w:bookmarkEnd w:id="95"/>
      <w:r>
        <w:rPr>
          <w:rFonts w:hint="eastAsia" w:ascii="仿宋" w:hAnsi="仿宋" w:eastAsia="仿宋" w:cs="仿宋"/>
          <w:sz w:val="24"/>
        </w:rPr>
        <w:t>，并作为其投标的一部分。</w:t>
      </w:r>
    </w:p>
    <w:p w14:paraId="66F852A8">
      <w:pPr>
        <w:spacing w:line="240" w:lineRule="atLeast"/>
        <w:ind w:left="900" w:hanging="900" w:hangingChars="375"/>
        <w:rPr>
          <w:rFonts w:ascii="仿宋" w:hAnsi="仿宋" w:eastAsia="仿宋" w:cs="仿宋"/>
          <w:sz w:val="24"/>
        </w:rPr>
      </w:pPr>
      <w:r>
        <w:rPr>
          <w:rFonts w:hint="eastAsia" w:ascii="仿宋" w:hAnsi="仿宋" w:eastAsia="仿宋" w:cs="仿宋"/>
          <w:sz w:val="24"/>
        </w:rPr>
        <w:t>12.2</w:t>
      </w:r>
      <w:r>
        <w:rPr>
          <w:rFonts w:hint="eastAsia" w:ascii="仿宋" w:hAnsi="仿宋" w:eastAsia="仿宋" w:cs="仿宋"/>
          <w:sz w:val="24"/>
        </w:rPr>
        <w:tab/>
      </w:r>
      <w:r>
        <w:rPr>
          <w:rFonts w:hint="eastAsia" w:ascii="仿宋" w:hAnsi="仿宋" w:eastAsia="仿宋" w:cs="仿宋"/>
          <w:sz w:val="24"/>
        </w:rPr>
        <w:t>供应商存在下列情形的，投标保证金不予退还：</w:t>
      </w:r>
    </w:p>
    <w:p w14:paraId="1F70AC0A">
      <w:pPr>
        <w:pStyle w:val="18"/>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（1）在投标有效期内，撤销投标的；</w:t>
      </w:r>
    </w:p>
    <w:p w14:paraId="542EAFF5">
      <w:pPr>
        <w:pStyle w:val="18"/>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（2）成交后不按本须知第30条的规定与采购人签订合同的；</w:t>
      </w:r>
    </w:p>
    <w:p w14:paraId="2209AC49">
      <w:pPr>
        <w:pStyle w:val="18"/>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（3）成交后不按本须知第31条的规定提交履约保证金的；</w:t>
      </w:r>
    </w:p>
    <w:p w14:paraId="40A1BADF">
      <w:pPr>
        <w:pStyle w:val="18"/>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（4）成交后不按本须知第32条的规定缴纳成交服务费的；</w:t>
      </w:r>
    </w:p>
    <w:p w14:paraId="25890128">
      <w:pPr>
        <w:pStyle w:val="18"/>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（5）存在其他违法违规行为的。</w:t>
      </w:r>
    </w:p>
    <w:p w14:paraId="108F7CF0">
      <w:pPr>
        <w:spacing w:line="240" w:lineRule="atLeast"/>
        <w:ind w:left="900" w:hanging="900" w:hangingChars="375"/>
        <w:rPr>
          <w:rFonts w:ascii="仿宋" w:hAnsi="仿宋" w:eastAsia="仿宋" w:cs="仿宋"/>
          <w:sz w:val="24"/>
        </w:rPr>
      </w:pPr>
      <w:bookmarkStart w:id="96" w:name="_Ref467306336"/>
      <w:r>
        <w:rPr>
          <w:rFonts w:hint="eastAsia" w:ascii="仿宋" w:hAnsi="仿宋" w:eastAsia="仿宋" w:cs="仿宋"/>
          <w:sz w:val="24"/>
        </w:rPr>
        <w:t>12.3</w:t>
      </w:r>
      <w:r>
        <w:rPr>
          <w:rFonts w:hint="eastAsia" w:ascii="仿宋" w:hAnsi="仿宋" w:eastAsia="仿宋" w:cs="仿宋"/>
          <w:sz w:val="24"/>
        </w:rPr>
        <w:tab/>
      </w:r>
      <w:bookmarkEnd w:id="96"/>
      <w:r>
        <w:rPr>
          <w:rFonts w:hint="eastAsia" w:ascii="仿宋" w:hAnsi="仿宋" w:eastAsia="仿宋" w:cs="仿宋"/>
          <w:sz w:val="24"/>
        </w:rPr>
        <w:t>政府采购信用担保试点范围内的项目，接受符合财政部门规定的政府采购投标担保函原件。</w:t>
      </w:r>
    </w:p>
    <w:p w14:paraId="095BEAE1">
      <w:pPr>
        <w:spacing w:line="240" w:lineRule="atLeast"/>
        <w:ind w:left="900" w:hanging="900" w:hangingChars="375"/>
        <w:rPr>
          <w:rFonts w:ascii="仿宋" w:hAnsi="仿宋" w:eastAsia="仿宋" w:cs="仿宋"/>
          <w:sz w:val="24"/>
        </w:rPr>
      </w:pPr>
      <w:r>
        <w:rPr>
          <w:rFonts w:hint="eastAsia" w:ascii="仿宋" w:hAnsi="仿宋" w:eastAsia="仿宋" w:cs="仿宋"/>
          <w:sz w:val="24"/>
        </w:rPr>
        <w:t>12.4</w:t>
      </w:r>
      <w:r>
        <w:rPr>
          <w:rFonts w:hint="eastAsia" w:ascii="仿宋" w:hAnsi="仿宋" w:eastAsia="仿宋" w:cs="仿宋"/>
          <w:sz w:val="24"/>
        </w:rPr>
        <w:tab/>
      </w:r>
      <w:r>
        <w:rPr>
          <w:rFonts w:hint="eastAsia" w:ascii="仿宋" w:hAnsi="仿宋" w:eastAsia="仿宋" w:cs="仿宋"/>
          <w:sz w:val="24"/>
        </w:rPr>
        <w:t>供应商未按本须知第12.1和12.3条规定提交投标保证金的，其投标将被认定为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1E804139">
      <w:pPr>
        <w:spacing w:line="240" w:lineRule="atLeast"/>
        <w:rPr>
          <w:rFonts w:ascii="仿宋" w:hAnsi="仿宋" w:eastAsia="仿宋" w:cs="仿宋"/>
          <w:sz w:val="24"/>
        </w:rPr>
      </w:pPr>
      <w:r>
        <w:rPr>
          <w:rFonts w:hint="eastAsia" w:ascii="仿宋" w:hAnsi="仿宋" w:eastAsia="仿宋" w:cs="仿宋"/>
          <w:sz w:val="24"/>
        </w:rPr>
        <w:t>12.4.1  采用电汇形式的，一般可以实时入账。</w:t>
      </w:r>
    </w:p>
    <w:p w14:paraId="34E9B58E">
      <w:pPr>
        <w:spacing w:line="240" w:lineRule="atLeast"/>
        <w:ind w:left="960" w:hanging="960" w:hangingChars="400"/>
        <w:jc w:val="left"/>
        <w:rPr>
          <w:rFonts w:ascii="仿宋" w:hAnsi="仿宋" w:eastAsia="仿宋" w:cs="仿宋"/>
          <w:sz w:val="24"/>
        </w:rPr>
      </w:pPr>
      <w:r>
        <w:rPr>
          <w:rFonts w:hint="eastAsia" w:ascii="仿宋" w:hAnsi="仿宋" w:eastAsia="仿宋" w:cs="仿宋"/>
          <w:sz w:val="24"/>
        </w:rPr>
        <w:t>12.4.2  采用支票形式的，供应商则应充分考虑支票入账时间，以确保投标保证金能按时进入指定账户。根据银行信息交换和付款时间，支票从递交至实际入账一般需要4-5个工作日。如供应商未及时提交支票或支票不符合银行委托收款要求（如污损、折叠、胶装等），导致投标保证金不能按时进入指定账户的，将按照磋商文件的第22.2条相关规定处理。</w:t>
      </w:r>
    </w:p>
    <w:p w14:paraId="08409C54">
      <w:pPr>
        <w:spacing w:line="240" w:lineRule="atLeast"/>
        <w:ind w:left="900" w:hanging="900" w:hangingChars="375"/>
        <w:rPr>
          <w:rFonts w:ascii="仿宋" w:hAnsi="仿宋" w:eastAsia="仿宋" w:cs="仿宋"/>
          <w:sz w:val="24"/>
        </w:rPr>
      </w:pPr>
      <w:r>
        <w:rPr>
          <w:rFonts w:hint="eastAsia" w:ascii="仿宋" w:hAnsi="仿宋" w:eastAsia="仿宋" w:cs="仿宋"/>
          <w:sz w:val="24"/>
        </w:rPr>
        <w:t>12.5   联合体投标的，可以由联合体中的一方或者共同提交投标保证金。以一方名义提交投标保证金的，对联合体各方均具有约束力。</w:t>
      </w:r>
    </w:p>
    <w:p w14:paraId="0923B5C7">
      <w:pPr>
        <w:spacing w:line="240" w:lineRule="atLeast"/>
        <w:ind w:left="900" w:hanging="900" w:hangingChars="375"/>
        <w:rPr>
          <w:rFonts w:ascii="仿宋" w:hAnsi="仿宋" w:eastAsia="仿宋" w:cs="仿宋"/>
          <w:sz w:val="24"/>
        </w:rPr>
      </w:pPr>
      <w:r>
        <w:rPr>
          <w:rFonts w:hint="eastAsia" w:ascii="仿宋" w:hAnsi="仿宋" w:eastAsia="仿宋" w:cs="仿宋"/>
          <w:sz w:val="24"/>
        </w:rPr>
        <w:t>12.6</w:t>
      </w:r>
      <w:r>
        <w:rPr>
          <w:rFonts w:hint="eastAsia" w:ascii="仿宋" w:hAnsi="仿宋" w:eastAsia="仿宋" w:cs="仿宋"/>
          <w:sz w:val="24"/>
        </w:rPr>
        <w:tab/>
      </w:r>
      <w:r>
        <w:rPr>
          <w:rFonts w:hint="eastAsia" w:ascii="仿宋" w:hAnsi="仿宋" w:eastAsia="仿宋" w:cs="仿宋"/>
          <w:sz w:val="24"/>
        </w:rPr>
        <w:t>投标保证金的退还</w:t>
      </w:r>
    </w:p>
    <w:p w14:paraId="03F7593D">
      <w:pPr>
        <w:spacing w:line="240" w:lineRule="atLeast"/>
        <w:ind w:left="900" w:hanging="900" w:hangingChars="375"/>
        <w:rPr>
          <w:rFonts w:ascii="仿宋" w:hAnsi="仿宋" w:eastAsia="仿宋" w:cs="仿宋"/>
          <w:sz w:val="24"/>
        </w:rPr>
      </w:pPr>
      <w:r>
        <w:rPr>
          <w:rFonts w:hint="eastAsia" w:ascii="仿宋" w:hAnsi="仿宋" w:eastAsia="仿宋" w:cs="仿宋"/>
          <w:sz w:val="24"/>
        </w:rPr>
        <w:t>12.6.1  成交人应在与采购人签订合同之日起5个工作日内，及时联系保证金收受机构办理投标保证金无息退还手续。</w:t>
      </w:r>
    </w:p>
    <w:p w14:paraId="48E66F93">
      <w:pPr>
        <w:spacing w:line="240" w:lineRule="atLeast"/>
        <w:ind w:left="960" w:hanging="960" w:hangingChars="400"/>
        <w:rPr>
          <w:rFonts w:ascii="仿宋" w:hAnsi="仿宋" w:eastAsia="仿宋" w:cs="仿宋"/>
          <w:sz w:val="24"/>
        </w:rPr>
      </w:pPr>
      <w:r>
        <w:rPr>
          <w:rFonts w:hint="eastAsia" w:ascii="仿宋" w:hAnsi="仿宋" w:eastAsia="仿宋" w:cs="仿宋"/>
          <w:sz w:val="24"/>
        </w:rPr>
        <w:t>12.6.2  未成交供应商的投标保证金将在成交通知书发出之日暨成交结果公告公布之日起5个工作日内无息退还。供应商应及时联系保证金收受机构办理退还投标保证金手续。</w:t>
      </w:r>
    </w:p>
    <w:p w14:paraId="5521DE2E">
      <w:pPr>
        <w:spacing w:line="240" w:lineRule="atLeast"/>
        <w:rPr>
          <w:rFonts w:ascii="仿宋" w:hAnsi="仿宋" w:eastAsia="仿宋" w:cs="仿宋"/>
          <w:sz w:val="24"/>
        </w:rPr>
      </w:pPr>
      <w:r>
        <w:rPr>
          <w:rFonts w:hint="eastAsia" w:ascii="仿宋" w:hAnsi="仿宋" w:eastAsia="仿宋" w:cs="仿宋"/>
          <w:sz w:val="24"/>
        </w:rPr>
        <w:t>12.6.3  政府采购投标担保函不予退回。</w:t>
      </w:r>
    </w:p>
    <w:p w14:paraId="13D699E1">
      <w:pPr>
        <w:spacing w:line="240" w:lineRule="atLeast"/>
        <w:ind w:left="960" w:hanging="960" w:hangingChars="400"/>
        <w:rPr>
          <w:rFonts w:ascii="仿宋" w:hAnsi="仿宋" w:eastAsia="仿宋" w:cs="仿宋"/>
          <w:sz w:val="24"/>
        </w:rPr>
      </w:pPr>
      <w:r>
        <w:rPr>
          <w:rFonts w:hint="eastAsia" w:ascii="仿宋" w:hAnsi="仿宋" w:eastAsia="仿宋" w:cs="仿宋"/>
          <w:sz w:val="24"/>
        </w:rPr>
        <w:t>12.7    因供应商自身原因导致无法及时退还的，采购人或采购代理机构将不承担相应责任。</w:t>
      </w:r>
    </w:p>
    <w:p w14:paraId="05958587">
      <w:pPr>
        <w:pStyle w:val="4"/>
        <w:spacing w:before="0" w:after="0" w:line="240" w:lineRule="atLeast"/>
        <w:rPr>
          <w:rFonts w:ascii="仿宋" w:hAnsi="仿宋" w:eastAsia="仿宋" w:cs="仿宋"/>
          <w:u w:val="none"/>
        </w:rPr>
      </w:pPr>
      <w:bookmarkStart w:id="97" w:name="_Toc520356157"/>
      <w:bookmarkStart w:id="98" w:name="_Toc31001"/>
      <w:bookmarkStart w:id="99" w:name="_Toc32569"/>
      <w:bookmarkStart w:id="100" w:name="_Toc515647772"/>
      <w:bookmarkStart w:id="101" w:name="_Toc23590"/>
      <w:r>
        <w:rPr>
          <w:rFonts w:hint="eastAsia" w:ascii="仿宋" w:hAnsi="仿宋" w:eastAsia="仿宋" w:cs="仿宋"/>
          <w:u w:val="none"/>
        </w:rPr>
        <w:t>13.磋商有效期</w:t>
      </w:r>
      <w:bookmarkEnd w:id="97"/>
      <w:bookmarkEnd w:id="98"/>
      <w:bookmarkEnd w:id="99"/>
      <w:bookmarkEnd w:id="100"/>
      <w:bookmarkEnd w:id="101"/>
    </w:p>
    <w:p w14:paraId="7279F219">
      <w:pPr>
        <w:spacing w:line="240" w:lineRule="atLeast"/>
        <w:ind w:left="900" w:hanging="900" w:hangingChars="375"/>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投标应在</w:t>
      </w:r>
      <w:r>
        <w:rPr>
          <w:rFonts w:hint="eastAsia" w:ascii="仿宋" w:hAnsi="仿宋" w:eastAsia="仿宋" w:cs="仿宋"/>
          <w:sz w:val="24"/>
          <w:u w:val="single"/>
        </w:rPr>
        <w:t>供应商须知资料表</w:t>
      </w:r>
      <w:r>
        <w:rPr>
          <w:rFonts w:hint="eastAsia" w:ascii="仿宋" w:hAnsi="仿宋" w:eastAsia="仿宋" w:cs="仿宋"/>
          <w:sz w:val="24"/>
        </w:rPr>
        <w:t>中规定时间内保持有效。投标有效期不满足要求的投标，其投标将被认定为</w:t>
      </w:r>
      <w:r>
        <w:rPr>
          <w:rFonts w:hint="eastAsia" w:ascii="仿宋" w:hAnsi="仿宋" w:eastAsia="仿宋" w:cs="仿宋"/>
          <w:b/>
          <w:bCs/>
          <w:sz w:val="24"/>
        </w:rPr>
        <w:t>投标无效</w:t>
      </w:r>
      <w:r>
        <w:rPr>
          <w:rFonts w:hint="eastAsia" w:ascii="仿宋" w:hAnsi="仿宋" w:eastAsia="仿宋" w:cs="仿宋"/>
          <w:sz w:val="24"/>
        </w:rPr>
        <w:t>。</w:t>
      </w:r>
    </w:p>
    <w:p w14:paraId="3EFCA5A5">
      <w:pPr>
        <w:spacing w:line="240" w:lineRule="atLeast"/>
        <w:ind w:left="900" w:hanging="900" w:hangingChars="375"/>
        <w:rPr>
          <w:rFonts w:ascii="仿宋" w:hAnsi="仿宋" w:eastAsia="仿宋" w:cs="仿宋"/>
          <w:sz w:val="24"/>
        </w:rPr>
      </w:pPr>
      <w:r>
        <w:rPr>
          <w:rFonts w:hint="eastAsia" w:ascii="仿宋" w:hAnsi="仿宋" w:eastAsia="仿宋" w:cs="仿宋"/>
          <w:sz w:val="24"/>
        </w:rPr>
        <w:t>13.2</w:t>
      </w:r>
      <w:r>
        <w:rPr>
          <w:rFonts w:hint="eastAsia" w:ascii="仿宋" w:hAnsi="仿宋" w:eastAsia="仿宋" w:cs="仿宋"/>
          <w:sz w:val="24"/>
        </w:rPr>
        <w:tab/>
      </w:r>
      <w:r>
        <w:rPr>
          <w:rFonts w:hint="eastAsia" w:ascii="仿宋" w:hAnsi="仿宋" w:eastAsia="仿宋" w:cs="仿宋"/>
          <w:sz w:val="24"/>
        </w:rPr>
        <w:t>为保证有充分时间签订合同，采购人或采购代理机构可根据实际情况，在原投标有效期截止之前，要求供应商延长磋商文件的有效期。接受该要求的供应商将不会被要求和允许修正其投标，且本须知中有关投标保证金的要求须在延长的有效期内继续有效。供应商可以拒绝延长投标有效期的要求，其投标保证金将及时无息退还。上述要求和答复都应以书面形式提交。</w:t>
      </w:r>
    </w:p>
    <w:p w14:paraId="2AA15E8F">
      <w:pPr>
        <w:pStyle w:val="4"/>
        <w:spacing w:before="0" w:after="0" w:line="240" w:lineRule="atLeast"/>
        <w:rPr>
          <w:rFonts w:ascii="仿宋" w:hAnsi="仿宋" w:eastAsia="仿宋" w:cs="仿宋"/>
          <w:u w:val="none"/>
        </w:rPr>
      </w:pPr>
      <w:bookmarkStart w:id="102" w:name="_Toc520356158"/>
      <w:bookmarkStart w:id="103" w:name="_Toc23686"/>
      <w:bookmarkStart w:id="104" w:name="_Toc515647773"/>
      <w:bookmarkStart w:id="105" w:name="_Toc493"/>
      <w:bookmarkStart w:id="106" w:name="_Toc17074"/>
      <w:r>
        <w:rPr>
          <w:rFonts w:hint="eastAsia" w:ascii="仿宋" w:hAnsi="仿宋" w:eastAsia="仿宋" w:cs="仿宋"/>
          <w:u w:val="none"/>
        </w:rPr>
        <w:t>14.响应文件的签署</w:t>
      </w:r>
      <w:bookmarkEnd w:id="102"/>
      <w:r>
        <w:rPr>
          <w:rFonts w:hint="eastAsia" w:ascii="仿宋" w:hAnsi="仿宋" w:eastAsia="仿宋" w:cs="仿宋"/>
          <w:u w:val="none"/>
        </w:rPr>
        <w:t>及规定</w:t>
      </w:r>
      <w:bookmarkEnd w:id="103"/>
      <w:bookmarkEnd w:id="104"/>
      <w:bookmarkEnd w:id="105"/>
      <w:bookmarkEnd w:id="106"/>
    </w:p>
    <w:p w14:paraId="6618E41D">
      <w:pPr>
        <w:spacing w:line="240" w:lineRule="atLeast"/>
        <w:ind w:left="900" w:hanging="900" w:hangingChars="375"/>
        <w:rPr>
          <w:rFonts w:ascii="仿宋" w:hAnsi="仿宋" w:eastAsia="仿宋" w:cs="仿宋"/>
          <w:sz w:val="24"/>
        </w:rPr>
      </w:pPr>
      <w:bookmarkStart w:id="107" w:name="_Toc520356159"/>
      <w:bookmarkStart w:id="108" w:name="_Toc16865"/>
      <w:bookmarkStart w:id="109" w:name="_Toc25777"/>
      <w:bookmarkStart w:id="110" w:name="_Toc26137"/>
      <w:bookmarkStart w:id="111" w:name="_Toc515647774"/>
      <w:bookmarkStart w:id="112" w:name="_Toc11179"/>
      <w:bookmarkStart w:id="113" w:name="_Toc216582808"/>
      <w:bookmarkStart w:id="114" w:name="_Toc23269"/>
      <w:r>
        <w:rPr>
          <w:rFonts w:hint="eastAsia" w:ascii="仿宋" w:hAnsi="仿宋" w:eastAsia="仿宋" w:cs="仿宋"/>
          <w:sz w:val="24"/>
        </w:rPr>
        <w:t>14.1</w:t>
      </w:r>
      <w:r>
        <w:rPr>
          <w:rFonts w:hint="eastAsia" w:ascii="宋体" w:hAnsi="宋体"/>
          <w:sz w:val="24"/>
        </w:rPr>
        <w:tab/>
      </w:r>
      <w:r>
        <w:rPr>
          <w:rFonts w:hint="eastAsia" w:ascii="仿宋" w:hAnsi="仿宋" w:eastAsia="仿宋" w:cs="仿宋"/>
          <w:sz w:val="24"/>
        </w:rPr>
        <w:t>供应商应按</w:t>
      </w:r>
      <w:r>
        <w:rPr>
          <w:rFonts w:hint="eastAsia" w:ascii="仿宋" w:hAnsi="仿宋" w:eastAsia="仿宋" w:cs="仿宋"/>
          <w:sz w:val="24"/>
          <w:u w:val="single"/>
        </w:rPr>
        <w:t>供应商须知资料表</w:t>
      </w:r>
      <w:r>
        <w:rPr>
          <w:rFonts w:hint="eastAsia" w:ascii="仿宋" w:hAnsi="仿宋" w:eastAsia="仿宋" w:cs="仿宋"/>
          <w:sz w:val="24"/>
        </w:rPr>
        <w:t>中的规定，准备和递交（加密上传）电子响应文件。</w:t>
      </w:r>
    </w:p>
    <w:p w14:paraId="49EC58CD">
      <w:pPr>
        <w:spacing w:line="240" w:lineRule="atLeast"/>
        <w:ind w:left="900" w:hanging="900" w:hangingChars="375"/>
        <w:rPr>
          <w:rFonts w:ascii="仿宋" w:hAnsi="仿宋" w:eastAsia="仿宋" w:cs="仿宋"/>
          <w:sz w:val="24"/>
        </w:rPr>
      </w:pPr>
      <w:r>
        <w:rPr>
          <w:rFonts w:hint="eastAsia" w:ascii="仿宋" w:hAnsi="仿宋" w:eastAsia="仿宋" w:cs="仿宋"/>
          <w:sz w:val="24"/>
        </w:rPr>
        <w:t>14.2</w:t>
      </w:r>
      <w:r>
        <w:rPr>
          <w:rFonts w:hint="eastAsia" w:ascii="仿宋" w:hAnsi="仿宋" w:eastAsia="仿宋" w:cs="仿宋"/>
          <w:sz w:val="24"/>
        </w:rPr>
        <w:tab/>
      </w:r>
      <w:r>
        <w:rPr>
          <w:rFonts w:hint="eastAsia" w:ascii="仿宋" w:hAnsi="仿宋" w:eastAsia="仿宋" w:cs="仿宋"/>
          <w:sz w:val="24"/>
        </w:rPr>
        <w:t>所有响应文件应按照磋商文件规定的格式填写、签署和盖章。</w:t>
      </w:r>
    </w:p>
    <w:p w14:paraId="19CB427A">
      <w:pPr>
        <w:spacing w:line="240" w:lineRule="atLeast"/>
        <w:ind w:left="900" w:hanging="900" w:hangingChars="375"/>
        <w:rPr>
          <w:rFonts w:ascii="仿宋" w:hAnsi="仿宋" w:eastAsia="仿宋" w:cs="仿宋"/>
          <w:sz w:val="24"/>
        </w:rPr>
      </w:pPr>
      <w:r>
        <w:rPr>
          <w:rFonts w:hint="eastAsia" w:ascii="仿宋" w:hAnsi="仿宋" w:eastAsia="仿宋" w:cs="仿宋"/>
          <w:sz w:val="24"/>
        </w:rPr>
        <w:t>14.3    响应文件因字迹潦草、表达不清或未按照磋商文件规定的格式填写、签署和盖章所引起的后果由供应商负责。</w:t>
      </w:r>
    </w:p>
    <w:p w14:paraId="544F53D1">
      <w:pPr>
        <w:pStyle w:val="3"/>
        <w:rPr>
          <w:rFonts w:ascii="仿宋" w:hAnsi="仿宋" w:eastAsia="仿宋" w:cs="仿宋"/>
        </w:rPr>
      </w:pPr>
      <w:bookmarkStart w:id="115" w:name="_Toc6344"/>
      <w:r>
        <w:rPr>
          <w:rFonts w:hint="eastAsia" w:ascii="仿宋" w:hAnsi="仿宋" w:eastAsia="仿宋" w:cs="仿宋"/>
        </w:rPr>
        <w:t>四   响应文件的递交</w:t>
      </w:r>
      <w:bookmarkEnd w:id="107"/>
      <w:bookmarkEnd w:id="108"/>
      <w:bookmarkEnd w:id="109"/>
      <w:bookmarkEnd w:id="110"/>
      <w:bookmarkEnd w:id="111"/>
      <w:bookmarkEnd w:id="112"/>
      <w:bookmarkEnd w:id="113"/>
      <w:bookmarkEnd w:id="114"/>
      <w:bookmarkEnd w:id="115"/>
    </w:p>
    <w:p w14:paraId="46942BF6">
      <w:pPr>
        <w:spacing w:line="240" w:lineRule="atLeast"/>
        <w:ind w:left="900" w:hanging="900" w:hangingChars="375"/>
        <w:rPr>
          <w:rFonts w:ascii="仿宋" w:hAnsi="仿宋" w:eastAsia="仿宋" w:cs="仿宋"/>
          <w:sz w:val="24"/>
        </w:rPr>
      </w:pPr>
    </w:p>
    <w:p w14:paraId="6327394B">
      <w:pPr>
        <w:spacing w:line="240" w:lineRule="atLeast"/>
        <w:ind w:left="904" w:hanging="900" w:hangingChars="375"/>
        <w:outlineLvl w:val="1"/>
        <w:rPr>
          <w:rFonts w:ascii="仿宋" w:hAnsi="仿宋" w:eastAsia="仿宋" w:cs="仿宋"/>
          <w:b/>
          <w:bCs/>
          <w:sz w:val="24"/>
        </w:rPr>
      </w:pPr>
      <w:bookmarkStart w:id="116" w:name="_Toc32658"/>
      <w:r>
        <w:rPr>
          <w:rFonts w:hint="eastAsia" w:ascii="仿宋" w:hAnsi="仿宋" w:eastAsia="仿宋" w:cs="仿宋"/>
          <w:b/>
          <w:bCs/>
          <w:sz w:val="24"/>
        </w:rPr>
        <w:t>15  响应文件的密封和标记</w:t>
      </w:r>
      <w:bookmarkEnd w:id="116"/>
    </w:p>
    <w:p w14:paraId="6DAC8FB2">
      <w:pPr>
        <w:spacing w:line="240" w:lineRule="atLeast"/>
        <w:ind w:left="900" w:hanging="900" w:hangingChars="375"/>
        <w:rPr>
          <w:rFonts w:ascii="仿宋" w:hAnsi="仿宋" w:eastAsia="仿宋" w:cs="仿宋"/>
          <w:sz w:val="24"/>
        </w:rPr>
      </w:pPr>
      <w:bookmarkStart w:id="117" w:name="_Toc24698"/>
      <w:bookmarkStart w:id="118" w:name="_Toc520356161"/>
      <w:bookmarkStart w:id="119" w:name="_Toc5959"/>
      <w:bookmarkStart w:id="120" w:name="_Toc9840"/>
      <w:bookmarkStart w:id="121" w:name="_Toc515647776"/>
      <w:bookmarkStart w:id="122" w:name="_Toc20632"/>
      <w:bookmarkStart w:id="123" w:name="_Toc12751"/>
      <w:r>
        <w:rPr>
          <w:rFonts w:hint="eastAsia" w:ascii="仿宋" w:hAnsi="仿宋" w:eastAsia="仿宋" w:cs="仿宋"/>
          <w:sz w:val="24"/>
        </w:rPr>
        <w:t xml:space="preserve">15.1  </w:t>
      </w:r>
      <w:r>
        <w:rPr>
          <w:rFonts w:hint="eastAsia" w:ascii="微软雅黑" w:hAnsi="微软雅黑" w:eastAsia="微软雅黑" w:cs="微软雅黑"/>
          <w:sz w:val="24"/>
        </w:rPr>
        <w:t xml:space="preserve"> </w:t>
      </w:r>
      <w:r>
        <w:rPr>
          <w:rFonts w:hint="eastAsia" w:ascii="仿宋" w:hAnsi="仿宋" w:eastAsia="仿宋" w:cs="仿宋"/>
          <w:b/>
          <w:bCs/>
          <w:sz w:val="24"/>
          <w:u w:val="single"/>
        </w:rPr>
        <w:t>为方便评审及进行资格审查，供应商应完整地按磋商文件提供的响应文件格式及要求编写响应文件， 供应商须在响应文件截止时间前完成在系统上递交电子响应文件。供应商的电子响应文件是经过CA证书加密后上传提交的，任何单位或个人均无法在响应文件截止时间(即投标时间)之前查看或篡改，不存在泄密风险。（严格按照政采云电子投标流程制作并上传电子响应文件）</w:t>
      </w:r>
    </w:p>
    <w:p w14:paraId="1182A155">
      <w:pPr>
        <w:spacing w:line="240" w:lineRule="atLeast"/>
        <w:ind w:left="900" w:hanging="900" w:hangingChars="375"/>
        <w:rPr>
          <w:rFonts w:ascii="仿宋" w:hAnsi="仿宋" w:eastAsia="仿宋" w:cs="仿宋"/>
          <w:sz w:val="24"/>
        </w:rPr>
      </w:pPr>
      <w:bookmarkStart w:id="124" w:name="_Toc28106"/>
      <w:r>
        <w:rPr>
          <w:rFonts w:hint="eastAsia" w:ascii="仿宋" w:hAnsi="仿宋" w:eastAsia="仿宋" w:cs="仿宋"/>
          <w:sz w:val="24"/>
        </w:rPr>
        <w:t xml:space="preserve">15.2   </w:t>
      </w:r>
      <w:bookmarkEnd w:id="124"/>
      <w:r>
        <w:rPr>
          <w:rFonts w:hint="eastAsia" w:ascii="仿宋" w:hAnsi="仿宋" w:eastAsia="仿宋" w:cs="仿宋"/>
          <w:sz w:val="24"/>
        </w:rPr>
        <w:t>供应商因自身原因导致电子响应文件无法导入电子评标系统的，该响应文件视为</w:t>
      </w:r>
      <w:r>
        <w:rPr>
          <w:rFonts w:hint="eastAsia" w:ascii="仿宋" w:hAnsi="仿宋" w:eastAsia="仿宋" w:cs="仿宋"/>
          <w:b/>
          <w:bCs/>
          <w:sz w:val="24"/>
        </w:rPr>
        <w:t>无效文件</w:t>
      </w:r>
      <w:r>
        <w:rPr>
          <w:rFonts w:hint="eastAsia" w:ascii="仿宋" w:hAnsi="仿宋" w:eastAsia="仿宋" w:cs="仿宋"/>
          <w:sz w:val="24"/>
        </w:rPr>
        <w:t>。</w:t>
      </w:r>
    </w:p>
    <w:p w14:paraId="03F11D82">
      <w:pPr>
        <w:spacing w:line="240" w:lineRule="atLeast"/>
        <w:ind w:left="900" w:hanging="900" w:hangingChars="375"/>
        <w:rPr>
          <w:rFonts w:ascii="仿宋" w:hAnsi="仿宋" w:eastAsia="仿宋" w:cs="仿宋"/>
          <w:sz w:val="24"/>
        </w:rPr>
      </w:pPr>
      <w:r>
        <w:rPr>
          <w:rFonts w:hint="eastAsia" w:ascii="仿宋" w:hAnsi="仿宋" w:eastAsia="仿宋" w:cs="仿宋"/>
          <w:sz w:val="24"/>
        </w:rPr>
        <w:t>15.3   电子响应文件具有法律效力,与其他形式的响应文件在内容和格式上等同，若响应文件与磋商文件要求不一致，其内容影响成交结果时，责任由供应商自行承担。</w:t>
      </w:r>
    </w:p>
    <w:p w14:paraId="69ABBB54">
      <w:pPr>
        <w:spacing w:line="240" w:lineRule="atLeast"/>
        <w:ind w:left="904" w:hanging="900" w:hangingChars="375"/>
        <w:outlineLvl w:val="1"/>
        <w:rPr>
          <w:rFonts w:ascii="仿宋" w:hAnsi="仿宋" w:eastAsia="仿宋" w:cs="仿宋"/>
          <w:b/>
          <w:bCs/>
          <w:sz w:val="24"/>
        </w:rPr>
      </w:pPr>
      <w:bookmarkStart w:id="125" w:name="_Toc19183"/>
      <w:r>
        <w:rPr>
          <w:rFonts w:hint="eastAsia" w:ascii="仿宋" w:hAnsi="仿宋" w:eastAsia="仿宋" w:cs="仿宋"/>
          <w:b/>
          <w:bCs/>
          <w:sz w:val="24"/>
        </w:rPr>
        <w:t>16.磋商截止</w:t>
      </w:r>
      <w:bookmarkEnd w:id="117"/>
      <w:bookmarkEnd w:id="118"/>
      <w:bookmarkEnd w:id="119"/>
      <w:bookmarkEnd w:id="120"/>
      <w:bookmarkEnd w:id="121"/>
      <w:bookmarkEnd w:id="122"/>
      <w:bookmarkEnd w:id="123"/>
      <w:bookmarkEnd w:id="125"/>
    </w:p>
    <w:p w14:paraId="1C0AC89D">
      <w:pPr>
        <w:spacing w:line="240" w:lineRule="atLeast"/>
        <w:ind w:left="900" w:hanging="900" w:hangingChars="375"/>
        <w:rPr>
          <w:rFonts w:ascii="仿宋" w:hAnsi="仿宋" w:eastAsia="仿宋" w:cs="仿宋"/>
          <w:sz w:val="24"/>
        </w:rPr>
      </w:pPr>
      <w:r>
        <w:rPr>
          <w:rFonts w:hint="eastAsia" w:ascii="仿宋" w:hAnsi="仿宋" w:eastAsia="仿宋" w:cs="仿宋"/>
          <w:sz w:val="24"/>
        </w:rPr>
        <w:t>16.1   供应商应在</w:t>
      </w:r>
      <w:r>
        <w:rPr>
          <w:rFonts w:hint="eastAsia" w:ascii="仿宋" w:hAnsi="仿宋" w:eastAsia="仿宋" w:cs="仿宋"/>
          <w:sz w:val="24"/>
          <w:u w:val="single"/>
        </w:rPr>
        <w:t>供应商须知资料表</w:t>
      </w:r>
      <w:r>
        <w:rPr>
          <w:rFonts w:hint="eastAsia" w:ascii="仿宋" w:hAnsi="仿宋" w:eastAsia="仿宋" w:cs="仿宋"/>
          <w:sz w:val="24"/>
        </w:rPr>
        <w:t>中规定的截止时间前，将响应文件递交到磋商文件中规定的地点。</w:t>
      </w:r>
      <w:r>
        <w:rPr>
          <w:rFonts w:hint="eastAsia" w:ascii="仿宋" w:hAnsi="仿宋" w:eastAsia="仿宋" w:cs="仿宋"/>
          <w:b/>
          <w:bCs/>
          <w:sz w:val="24"/>
        </w:rPr>
        <w:t>解密时间30分钟，逾期未解密的视为投标无效。</w:t>
      </w:r>
    </w:p>
    <w:p w14:paraId="001E7215">
      <w:pPr>
        <w:spacing w:line="240" w:lineRule="atLeast"/>
        <w:ind w:left="900" w:hanging="900" w:hangingChars="375"/>
        <w:rPr>
          <w:rFonts w:ascii="仿宋" w:hAnsi="仿宋" w:eastAsia="仿宋" w:cs="仿宋"/>
          <w:sz w:val="24"/>
        </w:rPr>
      </w:pPr>
    </w:p>
    <w:p w14:paraId="1EF4ED6A">
      <w:pPr>
        <w:spacing w:line="240" w:lineRule="atLeast"/>
        <w:ind w:left="900" w:hanging="900" w:hangingChars="375"/>
        <w:rPr>
          <w:rFonts w:ascii="仿宋" w:hAnsi="仿宋" w:eastAsia="仿宋" w:cs="仿宋"/>
          <w:sz w:val="24"/>
        </w:rPr>
      </w:pPr>
      <w:r>
        <w:rPr>
          <w:rFonts w:hint="eastAsia" w:ascii="仿宋" w:hAnsi="仿宋" w:eastAsia="仿宋" w:cs="仿宋"/>
          <w:sz w:val="24"/>
        </w:rPr>
        <w:t>16.2   采购人和采购代理机构有权按本须知的规定，延迟投标截止时间。在此情况下，采购人、采购代理机构和供应商受投标截止时间制约的所有权利和义务均应延长至新的截止时间。</w:t>
      </w:r>
    </w:p>
    <w:p w14:paraId="30BEA693">
      <w:pPr>
        <w:spacing w:line="240" w:lineRule="atLeast"/>
        <w:ind w:left="900" w:hanging="900" w:hangingChars="375"/>
        <w:rPr>
          <w:rFonts w:ascii="仿宋" w:hAnsi="仿宋" w:eastAsia="仿宋" w:cs="仿宋"/>
          <w:sz w:val="24"/>
        </w:rPr>
      </w:pPr>
      <w:r>
        <w:rPr>
          <w:rFonts w:hint="eastAsia" w:ascii="仿宋" w:hAnsi="仿宋" w:eastAsia="仿宋" w:cs="仿宋"/>
          <w:sz w:val="24"/>
        </w:rPr>
        <w:t>16.3   采购人和采购代理机构将拒绝接收在投标截止时间后送达的响应文件。</w:t>
      </w:r>
    </w:p>
    <w:p w14:paraId="53A1F3D4">
      <w:pPr>
        <w:pStyle w:val="4"/>
        <w:spacing w:before="0" w:after="0" w:line="240" w:lineRule="atLeast"/>
        <w:rPr>
          <w:rFonts w:ascii="仿宋" w:hAnsi="仿宋" w:eastAsia="仿宋" w:cs="仿宋"/>
          <w:u w:val="none"/>
        </w:rPr>
      </w:pPr>
      <w:bookmarkStart w:id="126" w:name="_Toc12890"/>
      <w:bookmarkStart w:id="127" w:name="_Toc515647777"/>
      <w:bookmarkStart w:id="128" w:name="_Toc18537"/>
      <w:bookmarkStart w:id="129" w:name="_Toc24275"/>
      <w:bookmarkStart w:id="130" w:name="_Toc520356162"/>
      <w:r>
        <w:rPr>
          <w:rFonts w:hint="eastAsia" w:ascii="仿宋" w:hAnsi="仿宋" w:eastAsia="仿宋" w:cs="仿宋"/>
          <w:u w:val="none"/>
        </w:rPr>
        <w:t>17.响应文件的接收、修改与撤回</w:t>
      </w:r>
      <w:bookmarkEnd w:id="126"/>
      <w:bookmarkEnd w:id="127"/>
      <w:bookmarkEnd w:id="128"/>
      <w:bookmarkEnd w:id="129"/>
      <w:bookmarkEnd w:id="130"/>
    </w:p>
    <w:p w14:paraId="2DF63514">
      <w:pPr>
        <w:spacing w:line="240" w:lineRule="atLeast"/>
        <w:ind w:left="900" w:hanging="900" w:hangingChars="375"/>
        <w:rPr>
          <w:rFonts w:ascii="仿宋" w:hAnsi="仿宋" w:eastAsia="仿宋" w:cs="仿宋"/>
          <w:sz w:val="18"/>
          <w:szCs w:val="18"/>
        </w:rPr>
      </w:pPr>
      <w:r>
        <w:rPr>
          <w:rFonts w:hint="eastAsia" w:ascii="仿宋" w:hAnsi="仿宋" w:eastAsia="仿宋" w:cs="仿宋"/>
          <w:sz w:val="24"/>
        </w:rPr>
        <w:t>17.1</w:t>
      </w:r>
      <w:r>
        <w:rPr>
          <w:rFonts w:hint="eastAsia" w:ascii="仿宋" w:hAnsi="仿宋" w:eastAsia="仿宋" w:cs="仿宋"/>
          <w:sz w:val="24"/>
        </w:rPr>
        <w:tab/>
      </w:r>
      <w:r>
        <w:rPr>
          <w:rFonts w:hint="eastAsia" w:ascii="仿宋_GB2312" w:hAnsi="宋体" w:eastAsia="仿宋_GB2312"/>
          <w:sz w:val="24"/>
        </w:rPr>
        <w:t>在响应文件截止时间后上传响应文件的，采购人和采购代理机构将</w:t>
      </w:r>
      <w:r>
        <w:rPr>
          <w:rFonts w:hint="eastAsia" w:ascii="仿宋_GB2312" w:hAnsi="宋体" w:eastAsia="仿宋_GB2312"/>
          <w:b/>
          <w:bCs/>
          <w:sz w:val="24"/>
        </w:rPr>
        <w:t>拒绝接收</w:t>
      </w:r>
      <w:r>
        <w:rPr>
          <w:rFonts w:hint="eastAsia" w:ascii="仿宋_GB2312" w:hAnsi="宋体" w:eastAsia="仿宋_GB2312"/>
          <w:sz w:val="24"/>
        </w:rPr>
        <w:t>。</w:t>
      </w:r>
    </w:p>
    <w:p w14:paraId="47F1439C">
      <w:pPr>
        <w:spacing w:line="240" w:lineRule="atLeast"/>
        <w:ind w:left="840" w:hanging="840" w:hangingChars="350"/>
        <w:rPr>
          <w:rFonts w:ascii="仿宋" w:hAnsi="仿宋" w:eastAsia="仿宋" w:cs="仿宋"/>
          <w:sz w:val="24"/>
        </w:rPr>
      </w:pPr>
      <w:r>
        <w:rPr>
          <w:rFonts w:hint="eastAsia" w:ascii="仿宋" w:hAnsi="仿宋" w:eastAsia="仿宋" w:cs="仿宋"/>
          <w:sz w:val="24"/>
        </w:rPr>
        <w:t>17.2   采购人或者采购代理机构收到响应文件后，应当如实记载响应文件的送达时间和密封情况，并向供应商出具以下签收回执。</w:t>
      </w:r>
    </w:p>
    <w:p w14:paraId="77A6EF45">
      <w:pPr>
        <w:spacing w:line="240" w:lineRule="atLeast"/>
        <w:ind w:left="840" w:hanging="840" w:hangingChars="350"/>
        <w:rPr>
          <w:rFonts w:ascii="仿宋" w:hAnsi="仿宋" w:eastAsia="仿宋" w:cs="仿宋"/>
          <w:sz w:val="24"/>
        </w:rPr>
      </w:pPr>
      <w:r>
        <w:rPr>
          <w:rFonts w:hint="eastAsia" w:ascii="仿宋" w:hAnsi="仿宋" w:eastAsia="仿宋" w:cs="仿宋"/>
          <w:sz w:val="24"/>
        </w:rPr>
        <w:t>17.3</w:t>
      </w:r>
      <w:r>
        <w:rPr>
          <w:rFonts w:hint="eastAsia" w:ascii="仿宋" w:hAnsi="仿宋" w:eastAsia="仿宋" w:cs="仿宋"/>
          <w:sz w:val="24"/>
        </w:rPr>
        <w:tab/>
      </w:r>
      <w:r>
        <w:rPr>
          <w:rFonts w:hint="eastAsia" w:ascii="仿宋" w:hAnsi="仿宋" w:eastAsia="仿宋" w:cs="仿宋"/>
          <w:sz w:val="24"/>
        </w:rPr>
        <w:t>递交响应文件以后，如果供应商要进行修改或撤回投标，须提出书面申请并在响应文件截止时间前上传至</w:t>
      </w:r>
      <w:r>
        <w:rPr>
          <w:rFonts w:hint="eastAsia" w:ascii="仿宋" w:hAnsi="仿宋" w:eastAsia="仿宋" w:cs="仿宋"/>
          <w:b/>
          <w:bCs/>
          <w:sz w:val="24"/>
        </w:rPr>
        <w:t>新疆政采云平台https://www.zcygov.cn </w:t>
      </w:r>
      <w:r>
        <w:rPr>
          <w:rFonts w:hint="eastAsia" w:ascii="仿宋" w:hAnsi="仿宋" w:eastAsia="仿宋" w:cs="仿宋"/>
          <w:sz w:val="24"/>
        </w:rPr>
        <w:t>，供应商对响应文件的修改或撤回通知应按本须知规定编制、密封、标记。采购人和采购代理机构将予以接收，并视为响应文件的组成部分。</w:t>
      </w:r>
    </w:p>
    <w:p w14:paraId="65B77C2D">
      <w:pPr>
        <w:spacing w:line="240" w:lineRule="atLeast"/>
        <w:ind w:left="735" w:leftChars="350" w:firstLine="120" w:firstLineChars="50"/>
        <w:rPr>
          <w:rFonts w:ascii="仿宋" w:hAnsi="仿宋" w:eastAsia="仿宋" w:cs="仿宋"/>
          <w:sz w:val="24"/>
        </w:rPr>
      </w:pPr>
      <w:r>
        <w:rPr>
          <w:rFonts w:hint="eastAsia" w:ascii="仿宋" w:hAnsi="仿宋" w:eastAsia="仿宋" w:cs="仿宋"/>
          <w:sz w:val="24"/>
        </w:rPr>
        <w:t>采购人和采购代理机构将予以接收，并视为响应文件的组成部分。</w:t>
      </w:r>
    </w:p>
    <w:p w14:paraId="2C567320">
      <w:pPr>
        <w:spacing w:line="240" w:lineRule="atLeast"/>
        <w:ind w:left="900" w:hanging="900" w:hangingChars="375"/>
        <w:rPr>
          <w:rFonts w:ascii="仿宋" w:hAnsi="仿宋" w:eastAsia="仿宋" w:cs="仿宋"/>
          <w:sz w:val="24"/>
        </w:rPr>
      </w:pPr>
      <w:r>
        <w:rPr>
          <w:rFonts w:hint="eastAsia" w:ascii="仿宋" w:hAnsi="仿宋" w:eastAsia="仿宋" w:cs="仿宋"/>
          <w:sz w:val="24"/>
        </w:rPr>
        <w:t>17.4</w:t>
      </w:r>
      <w:r>
        <w:rPr>
          <w:rFonts w:hint="eastAsia" w:ascii="仿宋" w:hAnsi="仿宋" w:eastAsia="仿宋" w:cs="仿宋"/>
          <w:sz w:val="24"/>
        </w:rPr>
        <w:tab/>
      </w:r>
      <w:r>
        <w:rPr>
          <w:rFonts w:hint="eastAsia" w:ascii="仿宋" w:hAnsi="仿宋" w:eastAsia="仿宋" w:cs="仿宋"/>
          <w:sz w:val="24"/>
        </w:rPr>
        <w:t>在投标截止期之后，采购人和采购代理机构不接受供应商主动对其响应文件做任何修改。</w:t>
      </w:r>
    </w:p>
    <w:p w14:paraId="04561CEE">
      <w:pPr>
        <w:spacing w:line="240" w:lineRule="atLeast"/>
        <w:ind w:left="900" w:hanging="900" w:hangingChars="375"/>
        <w:rPr>
          <w:rFonts w:ascii="仿宋" w:hAnsi="仿宋" w:eastAsia="仿宋" w:cs="仿宋"/>
          <w:sz w:val="24"/>
        </w:rPr>
      </w:pPr>
      <w:r>
        <w:rPr>
          <w:rFonts w:hint="eastAsia" w:ascii="仿宋" w:hAnsi="仿宋" w:eastAsia="仿宋" w:cs="仿宋"/>
          <w:sz w:val="24"/>
        </w:rPr>
        <w:t>17.5</w:t>
      </w:r>
      <w:r>
        <w:rPr>
          <w:rFonts w:hint="eastAsia" w:ascii="仿宋" w:hAnsi="仿宋" w:eastAsia="仿宋" w:cs="仿宋"/>
          <w:sz w:val="24"/>
        </w:rPr>
        <w:tab/>
      </w:r>
      <w:r>
        <w:rPr>
          <w:rFonts w:hint="eastAsia" w:ascii="仿宋" w:hAnsi="仿宋" w:eastAsia="仿宋" w:cs="仿宋"/>
          <w:sz w:val="24"/>
        </w:rPr>
        <w:t>采购人和采购代理机构对所接收响应文件概不退回。</w:t>
      </w:r>
    </w:p>
    <w:p w14:paraId="3AA89778">
      <w:pPr>
        <w:spacing w:line="240" w:lineRule="atLeast"/>
        <w:rPr>
          <w:rFonts w:ascii="仿宋" w:hAnsi="仿宋" w:eastAsia="仿宋" w:cs="仿宋"/>
          <w:sz w:val="24"/>
        </w:rPr>
      </w:pPr>
    </w:p>
    <w:p w14:paraId="15452C02">
      <w:pPr>
        <w:pStyle w:val="3"/>
        <w:spacing w:before="0" w:line="240" w:lineRule="atLeast"/>
        <w:ind w:left="1079" w:leftChars="257" w:hanging="540"/>
        <w:rPr>
          <w:rFonts w:ascii="仿宋" w:hAnsi="仿宋" w:eastAsia="仿宋" w:cs="仿宋"/>
        </w:rPr>
      </w:pPr>
      <w:bookmarkStart w:id="131" w:name="_Toc520356163"/>
      <w:bookmarkStart w:id="132" w:name="_Toc216582809"/>
      <w:bookmarkStart w:id="133" w:name="_Toc28398"/>
      <w:bookmarkStart w:id="134" w:name="_Toc12436"/>
      <w:bookmarkStart w:id="135" w:name="_Toc515647778"/>
      <w:bookmarkStart w:id="136" w:name="_Toc1415"/>
      <w:r>
        <w:rPr>
          <w:rFonts w:hint="eastAsia" w:ascii="仿宋" w:hAnsi="仿宋" w:eastAsia="仿宋" w:cs="仿宋"/>
          <w:sz w:val="24"/>
        </w:rPr>
        <w:t>五   开标及评标</w:t>
      </w:r>
      <w:bookmarkEnd w:id="131"/>
      <w:bookmarkEnd w:id="132"/>
      <w:bookmarkEnd w:id="133"/>
      <w:bookmarkEnd w:id="134"/>
      <w:bookmarkEnd w:id="135"/>
      <w:bookmarkEnd w:id="136"/>
    </w:p>
    <w:p w14:paraId="52CEFE7F">
      <w:pPr>
        <w:pStyle w:val="4"/>
        <w:numPr>
          <w:ilvl w:val="0"/>
          <w:numId w:val="3"/>
        </w:numPr>
        <w:spacing w:line="240" w:lineRule="atLeast"/>
        <w:rPr>
          <w:rFonts w:ascii="仿宋" w:hAnsi="仿宋" w:eastAsia="仿宋" w:cs="仿宋"/>
        </w:rPr>
      </w:pPr>
      <w:bookmarkStart w:id="137" w:name="_Toc515647779"/>
      <w:bookmarkStart w:id="138" w:name="_Toc520356164"/>
      <w:bookmarkStart w:id="139" w:name="_Toc25345"/>
      <w:bookmarkStart w:id="140" w:name="_Toc32231"/>
      <w:bookmarkStart w:id="141" w:name="_Toc7186"/>
      <w:r>
        <w:rPr>
          <w:rFonts w:hint="eastAsia" w:ascii="仿宋" w:hAnsi="仿宋" w:eastAsia="仿宋" w:cs="仿宋"/>
          <w:u w:val="none"/>
        </w:rPr>
        <w:t>开标</w:t>
      </w:r>
      <w:bookmarkEnd w:id="137"/>
      <w:bookmarkEnd w:id="138"/>
      <w:bookmarkEnd w:id="139"/>
      <w:bookmarkEnd w:id="140"/>
      <w:bookmarkEnd w:id="141"/>
    </w:p>
    <w:p w14:paraId="6A1D3BE7">
      <w:pPr>
        <w:numPr>
          <w:ilvl w:val="1"/>
          <w:numId w:val="3"/>
        </w:numPr>
        <w:spacing w:line="240" w:lineRule="atLeast"/>
        <w:ind w:left="900" w:hanging="900" w:hangingChars="375"/>
        <w:rPr>
          <w:rFonts w:ascii="仿宋" w:hAnsi="仿宋" w:eastAsia="仿宋" w:cs="仿宋"/>
          <w:sz w:val="24"/>
        </w:rPr>
      </w:pPr>
      <w:r>
        <w:rPr>
          <w:rFonts w:hint="eastAsia" w:ascii="仿宋" w:hAnsi="仿宋" w:eastAsia="仿宋" w:cs="仿宋"/>
          <w:sz w:val="24"/>
        </w:rPr>
        <w:t>采购人和采购代理机构将按</w:t>
      </w:r>
      <w:r>
        <w:rPr>
          <w:rFonts w:hint="eastAsia" w:ascii="仿宋" w:hAnsi="仿宋" w:eastAsia="仿宋" w:cs="仿宋"/>
          <w:sz w:val="24"/>
          <w:u w:val="single"/>
        </w:rPr>
        <w:t>供应商须知资料表</w:t>
      </w:r>
      <w:r>
        <w:rPr>
          <w:rFonts w:hint="eastAsia" w:ascii="仿宋" w:hAnsi="仿宋" w:eastAsia="仿宋" w:cs="仿宋"/>
          <w:sz w:val="24"/>
        </w:rPr>
        <w:t>中规定的开标时间和地点组织竞争性磋商并邀请所有供应商代表参加。</w:t>
      </w:r>
    </w:p>
    <w:p w14:paraId="0E9BDD42">
      <w:pPr>
        <w:spacing w:line="240" w:lineRule="atLeast"/>
        <w:ind w:left="735" w:leftChars="350" w:firstLine="120" w:firstLineChars="50"/>
        <w:rPr>
          <w:rFonts w:ascii="仿宋" w:hAnsi="仿宋" w:eastAsia="仿宋" w:cs="仿宋"/>
          <w:sz w:val="24"/>
        </w:rPr>
      </w:pPr>
      <w:r>
        <w:rPr>
          <w:rFonts w:hint="eastAsia" w:ascii="仿宋" w:hAnsi="仿宋" w:eastAsia="仿宋" w:cs="仿宋"/>
          <w:sz w:val="24"/>
        </w:rPr>
        <w:t>供应商不足3家的，不得开标。</w:t>
      </w:r>
    </w:p>
    <w:p w14:paraId="24022C21">
      <w:pPr>
        <w:widowControl/>
        <w:numPr>
          <w:ilvl w:val="1"/>
          <w:numId w:val="3"/>
        </w:numPr>
        <w:ind w:left="900" w:hanging="900" w:hangingChars="375"/>
        <w:jc w:val="left"/>
        <w:rPr>
          <w:rFonts w:ascii="仿宋" w:hAnsi="仿宋" w:eastAsia="仿宋" w:cs="仿宋"/>
          <w:b/>
          <w:bCs/>
          <w:kern w:val="0"/>
          <w:sz w:val="24"/>
          <w:lang w:bidi="ar"/>
        </w:rPr>
      </w:pPr>
      <w:r>
        <w:rPr>
          <w:rFonts w:hint="eastAsia" w:ascii="仿宋" w:hAnsi="仿宋" w:eastAsia="仿宋" w:cs="仿宋"/>
          <w:sz w:val="24"/>
        </w:rPr>
        <w:t>供应商按照须知资料表中规定的开标时间和地点，在规定时间内上传响应文件。</w:t>
      </w:r>
      <w:r>
        <w:rPr>
          <w:rFonts w:ascii="仿宋" w:hAnsi="仿宋" w:eastAsia="仿宋" w:cs="仿宋"/>
          <w:b/>
          <w:bCs/>
          <w:kern w:val="0"/>
          <w:sz w:val="24"/>
          <w:lang w:bidi="ar"/>
        </w:rPr>
        <w:t>本项目实行电子响应文件，电子响应文件的有关要求按</w:t>
      </w:r>
      <w:r>
        <w:rPr>
          <w:rFonts w:hint="eastAsia" w:ascii="仿宋" w:hAnsi="仿宋" w:eastAsia="仿宋" w:cs="仿宋"/>
          <w:b/>
          <w:bCs/>
          <w:kern w:val="0"/>
          <w:sz w:val="24"/>
          <w:lang w:bidi="ar"/>
        </w:rPr>
        <w:t>供应商</w:t>
      </w:r>
      <w:r>
        <w:rPr>
          <w:rFonts w:ascii="仿宋" w:hAnsi="仿宋" w:eastAsia="仿宋" w:cs="仿宋"/>
          <w:b/>
          <w:bCs/>
          <w:kern w:val="0"/>
          <w:sz w:val="24"/>
          <w:lang w:bidi="ar"/>
        </w:rPr>
        <w:t>须知资料</w:t>
      </w:r>
      <w:r>
        <w:rPr>
          <w:rFonts w:hint="eastAsia" w:ascii="仿宋" w:hAnsi="仿宋" w:eastAsia="仿宋" w:cs="仿宋"/>
          <w:b/>
          <w:bCs/>
          <w:kern w:val="0"/>
          <w:sz w:val="24"/>
          <w:lang w:bidi="ar"/>
        </w:rPr>
        <w:t>表要求，供应商应该使用供应商CA锁对电子响应文件加密，否则，其响应文件将被拒绝评审。开标时，供应商必须使用加密该文件的CA锁，以便开标时对其电子响应文件进行解密，由于供应商自身原因未能成功导入评标系统的，均视为不响应磋商文件，其响应文件将被拒绝评审。未按规定时间在磋商文件要求的开评标系统解密成功的电子响应文件无效。</w:t>
      </w:r>
    </w:p>
    <w:p w14:paraId="2920B264">
      <w:pPr>
        <w:widowControl/>
        <w:numPr>
          <w:ilvl w:val="2"/>
          <w:numId w:val="3"/>
        </w:numPr>
        <w:jc w:val="left"/>
        <w:rPr>
          <w:rFonts w:ascii="仿宋" w:hAnsi="仿宋" w:eastAsia="仿宋" w:cs="仿宋"/>
          <w:b/>
          <w:bCs/>
          <w:kern w:val="0"/>
          <w:sz w:val="24"/>
          <w:lang w:bidi="ar"/>
        </w:rPr>
      </w:pPr>
      <w:r>
        <w:rPr>
          <w:rFonts w:hint="eastAsia" w:ascii="仿宋" w:hAnsi="仿宋" w:eastAsia="仿宋" w:cs="仿宋"/>
          <w:b/>
          <w:bCs/>
          <w:kern w:val="0"/>
          <w:sz w:val="24"/>
          <w:lang w:bidi="ar"/>
        </w:rPr>
        <w:t xml:space="preserve"> 采购代理机构在规定时间内对响应文件进行解密，时长为30分钟。</w:t>
      </w:r>
    </w:p>
    <w:p w14:paraId="513A915C">
      <w:pPr>
        <w:widowControl/>
        <w:ind w:left="964" w:hanging="960" w:hangingChars="400"/>
        <w:jc w:val="left"/>
        <w:rPr>
          <w:rFonts w:ascii="仿宋" w:hAnsi="仿宋" w:eastAsia="仿宋" w:cs="仿宋"/>
          <w:b/>
          <w:bCs/>
          <w:kern w:val="0"/>
          <w:sz w:val="24"/>
          <w:lang w:bidi="ar"/>
        </w:rPr>
      </w:pPr>
      <w:r>
        <w:rPr>
          <w:rFonts w:hint="eastAsia" w:ascii="仿宋" w:hAnsi="仿宋" w:eastAsia="仿宋" w:cs="仿宋"/>
          <w:b/>
          <w:bCs/>
          <w:kern w:val="0"/>
          <w:sz w:val="24"/>
          <w:lang w:bidi="ar"/>
        </w:rPr>
        <w:t>18.2.2  由采购代理机构开启开标记录，须供应商在政采云平台对报价进行签字确认。</w:t>
      </w:r>
    </w:p>
    <w:p w14:paraId="423171C2">
      <w:pPr>
        <w:widowControl/>
        <w:jc w:val="left"/>
      </w:pPr>
      <w:r>
        <w:rPr>
          <w:rFonts w:hint="eastAsia" w:ascii="仿宋" w:hAnsi="仿宋" w:eastAsia="仿宋" w:cs="仿宋"/>
          <w:sz w:val="24"/>
        </w:rPr>
        <w:t xml:space="preserve">18.3    </w:t>
      </w:r>
      <w:r>
        <w:rPr>
          <w:rFonts w:ascii="仿宋" w:hAnsi="仿宋" w:eastAsia="仿宋" w:cs="仿宋"/>
          <w:kern w:val="0"/>
          <w:sz w:val="24"/>
          <w:lang w:bidi="ar"/>
        </w:rPr>
        <w:t xml:space="preserve">采购人或采购代理机构将对开标过程进行记录，由参加开标的相关工 </w:t>
      </w:r>
    </w:p>
    <w:p w14:paraId="38768E73">
      <w:pPr>
        <w:widowControl/>
        <w:ind w:firstLine="960" w:firstLineChars="400"/>
        <w:jc w:val="left"/>
        <w:rPr>
          <w:rFonts w:ascii="仿宋" w:hAnsi="仿宋" w:eastAsia="仿宋" w:cs="仿宋"/>
          <w:sz w:val="24"/>
        </w:rPr>
      </w:pPr>
      <w:r>
        <w:rPr>
          <w:rFonts w:hint="eastAsia" w:ascii="仿宋" w:hAnsi="仿宋" w:eastAsia="仿宋" w:cs="仿宋"/>
          <w:kern w:val="0"/>
          <w:sz w:val="24"/>
          <w:lang w:bidi="ar"/>
        </w:rPr>
        <w:t>作人员签字确认，并存档备查。</w:t>
      </w:r>
    </w:p>
    <w:p w14:paraId="73D0EAC0">
      <w:pPr>
        <w:spacing w:line="240" w:lineRule="atLeast"/>
        <w:ind w:left="900" w:hanging="900" w:hangingChars="375"/>
        <w:rPr>
          <w:rFonts w:ascii="仿宋" w:hAnsi="仿宋" w:eastAsia="仿宋" w:cs="仿宋"/>
          <w:sz w:val="24"/>
        </w:rPr>
      </w:pPr>
      <w:r>
        <w:rPr>
          <w:rFonts w:hint="eastAsia" w:ascii="仿宋" w:hAnsi="仿宋" w:eastAsia="仿宋" w:cs="仿宋"/>
          <w:sz w:val="24"/>
        </w:rPr>
        <w:t>18.4    供应商代表对开标过程和开标记录有疑义，以及认为采购人、采购代理机构相关工作人员有需要回避的情形的，应当场提出询问或者回避申请。</w:t>
      </w:r>
    </w:p>
    <w:p w14:paraId="1DD8E34F">
      <w:pPr>
        <w:pStyle w:val="4"/>
        <w:spacing w:before="0" w:after="0" w:line="340" w:lineRule="exact"/>
        <w:rPr>
          <w:rFonts w:ascii="仿宋" w:hAnsi="仿宋" w:eastAsia="仿宋" w:cs="仿宋"/>
          <w:u w:val="none"/>
        </w:rPr>
      </w:pPr>
      <w:bookmarkStart w:id="142" w:name="_Toc21634"/>
      <w:r>
        <w:rPr>
          <w:rFonts w:hint="eastAsia" w:ascii="仿宋" w:hAnsi="仿宋" w:eastAsia="仿宋" w:cs="仿宋"/>
          <w:u w:val="none"/>
        </w:rPr>
        <w:t>19.</w:t>
      </w:r>
      <w:bookmarkEnd w:id="91"/>
      <w:r>
        <w:rPr>
          <w:rFonts w:hint="eastAsia" w:ascii="仿宋" w:hAnsi="仿宋" w:eastAsia="仿宋" w:cs="仿宋"/>
          <w:u w:val="none"/>
        </w:rPr>
        <w:t xml:space="preserve">    资格审查及组建评标委员会</w:t>
      </w:r>
      <w:bookmarkEnd w:id="92"/>
      <w:bookmarkEnd w:id="93"/>
      <w:bookmarkEnd w:id="94"/>
      <w:bookmarkEnd w:id="142"/>
    </w:p>
    <w:p w14:paraId="2CC139AA">
      <w:pPr>
        <w:widowControl/>
        <w:ind w:left="960" w:hanging="960" w:hangingChars="400"/>
        <w:jc w:val="left"/>
      </w:pPr>
      <w:r>
        <w:rPr>
          <w:rFonts w:hint="eastAsia" w:ascii="仿宋" w:hAnsi="仿宋" w:eastAsia="仿宋" w:cs="仿宋"/>
          <w:sz w:val="24"/>
        </w:rPr>
        <w:t>19.1   采购人依据法律法规和磋商文件中规定的内容，对供应商及其服务的资格进行审查，</w:t>
      </w:r>
      <w:r>
        <w:rPr>
          <w:rFonts w:ascii="仿宋" w:hAnsi="仿宋" w:eastAsia="仿宋" w:cs="仿宋"/>
          <w:b/>
          <w:bCs/>
          <w:kern w:val="0"/>
          <w:sz w:val="24"/>
          <w:lang w:bidi="ar"/>
        </w:rPr>
        <w:t>响应文件未按要求提供资格审查资料的</w:t>
      </w:r>
      <w:r>
        <w:rPr>
          <w:rFonts w:hint="eastAsia" w:ascii="仿宋" w:hAnsi="仿宋" w:eastAsia="仿宋" w:cs="仿宋"/>
          <w:b/>
          <w:bCs/>
          <w:kern w:val="0"/>
          <w:sz w:val="24"/>
          <w:lang w:bidi="ar"/>
        </w:rPr>
        <w:t>供应商</w:t>
      </w:r>
      <w:r>
        <w:rPr>
          <w:rFonts w:ascii="仿宋" w:hAnsi="仿宋" w:eastAsia="仿宋" w:cs="仿宋"/>
          <w:b/>
          <w:bCs/>
          <w:kern w:val="0"/>
          <w:sz w:val="24"/>
          <w:lang w:bidi="ar"/>
        </w:rPr>
        <w:t xml:space="preserve">或其 </w:t>
      </w:r>
    </w:p>
    <w:p w14:paraId="51248E20">
      <w:pPr>
        <w:widowControl/>
        <w:ind w:firstLine="960" w:firstLineChars="400"/>
        <w:jc w:val="left"/>
      </w:pPr>
      <w:r>
        <w:rPr>
          <w:rFonts w:hint="eastAsia" w:ascii="仿宋" w:hAnsi="仿宋" w:eastAsia="仿宋" w:cs="仿宋"/>
          <w:b/>
          <w:bCs/>
          <w:kern w:val="0"/>
          <w:sz w:val="24"/>
          <w:lang w:bidi="ar"/>
        </w:rPr>
        <w:t xml:space="preserve">中一项未通过的供应商，将视为资格审查不合格，未能通过资格审查 </w:t>
      </w:r>
    </w:p>
    <w:p w14:paraId="646AC07F">
      <w:pPr>
        <w:widowControl/>
        <w:ind w:firstLine="960" w:firstLineChars="400"/>
        <w:jc w:val="left"/>
      </w:pPr>
      <w:r>
        <w:rPr>
          <w:rFonts w:hint="eastAsia" w:ascii="仿宋" w:hAnsi="仿宋" w:eastAsia="仿宋" w:cs="仿宋"/>
          <w:b/>
          <w:bCs/>
          <w:kern w:val="0"/>
          <w:sz w:val="24"/>
          <w:lang w:bidi="ar"/>
        </w:rPr>
        <w:t xml:space="preserve">的供应商不进入下一轮评审。 </w:t>
      </w:r>
    </w:p>
    <w:p w14:paraId="2F91BD7C">
      <w:pPr>
        <w:widowControl/>
        <w:ind w:firstLine="960" w:firstLineChars="400"/>
        <w:jc w:val="left"/>
      </w:pPr>
      <w:r>
        <w:rPr>
          <w:rFonts w:hint="eastAsia" w:ascii="仿宋" w:hAnsi="仿宋" w:eastAsia="仿宋" w:cs="仿宋"/>
          <w:b/>
          <w:bCs/>
          <w:kern w:val="0"/>
          <w:sz w:val="24"/>
          <w:lang w:bidi="ar"/>
        </w:rPr>
        <w:t xml:space="preserve">注：无论何种原因，响应文件中未提供与之内容完全一致的扫描件的， </w:t>
      </w:r>
    </w:p>
    <w:p w14:paraId="3DD50C20">
      <w:pPr>
        <w:widowControl/>
        <w:ind w:firstLine="960" w:firstLineChars="400"/>
        <w:jc w:val="left"/>
      </w:pPr>
      <w:r>
        <w:rPr>
          <w:rFonts w:hint="eastAsia" w:ascii="仿宋" w:hAnsi="仿宋" w:eastAsia="仿宋" w:cs="仿宋"/>
          <w:b/>
          <w:bCs/>
          <w:kern w:val="0"/>
          <w:sz w:val="24"/>
          <w:lang w:bidi="ar"/>
        </w:rPr>
        <w:t xml:space="preserve">评标委员会可以视同其未提供。 </w:t>
      </w:r>
    </w:p>
    <w:p w14:paraId="704FA9C4">
      <w:pPr>
        <w:widowControl/>
        <w:ind w:firstLine="960" w:firstLineChars="400"/>
        <w:jc w:val="left"/>
        <w:rPr>
          <w:rFonts w:ascii="仿宋" w:hAnsi="仿宋" w:eastAsia="仿宋" w:cs="仿宋"/>
          <w:b/>
          <w:sz w:val="24"/>
        </w:rPr>
      </w:pPr>
      <w:r>
        <w:rPr>
          <w:rFonts w:hint="eastAsia" w:ascii="仿宋" w:hAnsi="仿宋" w:eastAsia="仿宋" w:cs="仿宋"/>
          <w:b/>
          <w:bCs/>
          <w:kern w:val="0"/>
          <w:sz w:val="24"/>
          <w:lang w:bidi="ar"/>
        </w:rPr>
        <w:t>本项目开标必须在响应文件中提供原件的扫描件:</w:t>
      </w:r>
    </w:p>
    <w:p w14:paraId="36295BCE">
      <w:pPr>
        <w:pStyle w:val="30"/>
        <w:ind w:left="957" w:leftChars="456"/>
        <w:rPr>
          <w:rFonts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eastAsia="zh-CN"/>
        </w:rPr>
        <w:t>具有有效的营业执照</w:t>
      </w:r>
      <w:r>
        <w:rPr>
          <w:rFonts w:hint="eastAsia" w:ascii="仿宋" w:hAnsi="仿宋" w:eastAsia="仿宋" w:cs="仿宋"/>
          <w:b/>
          <w:sz w:val="24"/>
        </w:rPr>
        <w:t>；</w:t>
      </w:r>
    </w:p>
    <w:p w14:paraId="3EDDFEF3">
      <w:pPr>
        <w:pStyle w:val="30"/>
        <w:ind w:left="957" w:leftChars="456"/>
        <w:rPr>
          <w:rFonts w:ascii="仿宋" w:hAnsi="仿宋" w:eastAsia="仿宋" w:cs="仿宋"/>
          <w:b/>
          <w:sz w:val="24"/>
        </w:rPr>
      </w:pPr>
      <w:r>
        <w:rPr>
          <w:rFonts w:hint="eastAsia" w:ascii="仿宋" w:hAnsi="仿宋" w:eastAsia="仿宋" w:cs="仿宋"/>
          <w:b/>
          <w:sz w:val="24"/>
        </w:rPr>
        <w:t>2.法定代表人授权委托书及被委托人身份证（法定代表人投标提供法定代表人身份证明及身份证）；</w:t>
      </w:r>
    </w:p>
    <w:p w14:paraId="28697AB5">
      <w:pPr>
        <w:pStyle w:val="30"/>
        <w:ind w:left="957" w:leftChars="456"/>
        <w:rPr>
          <w:rFonts w:ascii="仿宋" w:hAnsi="仿宋" w:eastAsia="仿宋" w:cs="仿宋"/>
          <w:b/>
          <w:sz w:val="24"/>
        </w:rPr>
      </w:pPr>
      <w:r>
        <w:rPr>
          <w:rFonts w:hint="eastAsia" w:ascii="仿宋" w:hAnsi="仿宋" w:eastAsia="仿宋" w:cs="仿宋"/>
          <w:b/>
          <w:sz w:val="24"/>
        </w:rPr>
        <w:t>3.本单位缴纳的近</w:t>
      </w:r>
      <w:r>
        <w:rPr>
          <w:rFonts w:hint="eastAsia" w:ascii="仿宋" w:hAnsi="仿宋" w:eastAsia="仿宋" w:cs="仿宋"/>
          <w:b/>
          <w:sz w:val="24"/>
          <w:lang w:val="en-US" w:eastAsia="zh-CN"/>
        </w:rPr>
        <w:t>六</w:t>
      </w:r>
      <w:r>
        <w:rPr>
          <w:rFonts w:hint="eastAsia" w:ascii="仿宋" w:hAnsi="仿宋" w:eastAsia="仿宋" w:cs="仿宋"/>
          <w:b/>
          <w:sz w:val="24"/>
        </w:rPr>
        <w:t>个月中任意一个月的社保缴纳证明（单位社保缴费汇总和个人明细表）含被授权委托人；</w:t>
      </w:r>
    </w:p>
    <w:p w14:paraId="1C32D39E">
      <w:pPr>
        <w:pStyle w:val="30"/>
        <w:ind w:left="957" w:leftChars="456"/>
        <w:rPr>
          <w:rFonts w:ascii="仿宋" w:hAnsi="仿宋" w:eastAsia="仿宋" w:cs="仿宋"/>
          <w:b/>
          <w:sz w:val="24"/>
        </w:rPr>
      </w:pPr>
      <w:r>
        <w:rPr>
          <w:rFonts w:hint="eastAsia" w:ascii="仿宋" w:hAnsi="仿宋" w:eastAsia="仿宋" w:cs="仿宋"/>
          <w:b/>
          <w:sz w:val="24"/>
        </w:rPr>
        <w:t>4.具有税务局开具依法缴纳近</w:t>
      </w:r>
      <w:r>
        <w:rPr>
          <w:rFonts w:hint="eastAsia" w:ascii="仿宋" w:hAnsi="仿宋" w:eastAsia="仿宋" w:cs="仿宋"/>
          <w:b/>
          <w:sz w:val="24"/>
          <w:lang w:val="en-US" w:eastAsia="zh-CN"/>
        </w:rPr>
        <w:t>六</w:t>
      </w:r>
      <w:r>
        <w:rPr>
          <w:rFonts w:hint="eastAsia" w:ascii="仿宋" w:hAnsi="仿宋" w:eastAsia="仿宋" w:cs="仿宋"/>
          <w:b/>
          <w:sz w:val="24"/>
        </w:rPr>
        <w:t>个月中任意一个月的税收证明的良好记录</w:t>
      </w:r>
      <w:r>
        <w:rPr>
          <w:rFonts w:hint="eastAsia" w:ascii="仿宋" w:hAnsi="仿宋" w:eastAsia="仿宋" w:cs="仿宋"/>
          <w:b/>
          <w:sz w:val="24"/>
          <w:highlight w:val="none"/>
        </w:rPr>
        <w:t>（完税证明</w:t>
      </w:r>
      <w:r>
        <w:rPr>
          <w:rFonts w:hint="eastAsia" w:ascii="仿宋" w:hAnsi="仿宋" w:eastAsia="仿宋" w:cs="仿宋"/>
          <w:b/>
          <w:sz w:val="24"/>
          <w:highlight w:val="none"/>
          <w:lang w:val="en-US" w:eastAsia="zh-CN"/>
        </w:rPr>
        <w:t>非社保类</w:t>
      </w:r>
      <w:r>
        <w:rPr>
          <w:rFonts w:hint="eastAsia" w:ascii="仿宋" w:hAnsi="仿宋" w:eastAsia="仿宋" w:cs="仿宋"/>
          <w:b/>
          <w:sz w:val="24"/>
          <w:highlight w:val="none"/>
        </w:rPr>
        <w:t>）</w:t>
      </w:r>
      <w:r>
        <w:rPr>
          <w:rFonts w:hint="eastAsia" w:ascii="仿宋" w:hAnsi="仿宋" w:eastAsia="仿宋" w:cs="仿宋"/>
          <w:b/>
          <w:sz w:val="24"/>
        </w:rPr>
        <w:t>；</w:t>
      </w:r>
    </w:p>
    <w:p w14:paraId="5A60A1E3">
      <w:pPr>
        <w:pStyle w:val="30"/>
        <w:ind w:left="957" w:leftChars="456"/>
        <w:rPr>
          <w:rFonts w:ascii="仿宋" w:hAnsi="仿宋" w:eastAsia="仿宋" w:cs="仿宋"/>
          <w:b/>
          <w:sz w:val="24"/>
        </w:rPr>
      </w:pPr>
      <w:r>
        <w:rPr>
          <w:rFonts w:hint="eastAsia" w:ascii="仿宋" w:hAnsi="仿宋" w:eastAsia="仿宋" w:cs="仿宋"/>
          <w:b/>
          <w:sz w:val="24"/>
        </w:rPr>
        <w:t>5.具有202</w:t>
      </w:r>
      <w:r>
        <w:rPr>
          <w:rFonts w:hint="eastAsia" w:ascii="仿宋" w:hAnsi="仿宋" w:eastAsia="仿宋" w:cs="仿宋"/>
          <w:b/>
          <w:sz w:val="24"/>
          <w:lang w:val="en-US" w:eastAsia="zh-CN"/>
        </w:rPr>
        <w:t>3</w:t>
      </w:r>
      <w:r>
        <w:rPr>
          <w:rFonts w:hint="eastAsia" w:ascii="仿宋" w:hAnsi="仿宋" w:eastAsia="仿宋" w:cs="仿宋"/>
          <w:b/>
          <w:sz w:val="24"/>
        </w:rPr>
        <w:t>年度或202</w:t>
      </w:r>
      <w:r>
        <w:rPr>
          <w:rFonts w:hint="eastAsia" w:ascii="仿宋" w:hAnsi="仿宋" w:eastAsia="仿宋" w:cs="仿宋"/>
          <w:b/>
          <w:sz w:val="24"/>
          <w:lang w:val="en-US" w:eastAsia="zh-CN"/>
        </w:rPr>
        <w:t>4</w:t>
      </w:r>
      <w:r>
        <w:rPr>
          <w:rFonts w:hint="eastAsia" w:ascii="仿宋" w:hAnsi="仿宋" w:eastAsia="仿宋" w:cs="仿宋"/>
          <w:b/>
          <w:sz w:val="24"/>
        </w:rPr>
        <w:t>年度的财务审计报告（新成立未满一年的公司提供有效的银行资信证明）；</w:t>
      </w:r>
    </w:p>
    <w:p w14:paraId="3B8A8DAD">
      <w:pPr>
        <w:pStyle w:val="30"/>
        <w:ind w:left="957" w:leftChars="456"/>
        <w:rPr>
          <w:rFonts w:ascii="仿宋" w:hAnsi="仿宋" w:eastAsia="仿宋" w:cs="仿宋"/>
          <w:b/>
          <w:sz w:val="24"/>
        </w:rPr>
      </w:pPr>
      <w:r>
        <w:rPr>
          <w:rFonts w:hint="eastAsia" w:ascii="仿宋" w:hAnsi="仿宋" w:eastAsia="仿宋" w:cs="仿宋"/>
          <w:b/>
          <w:sz w:val="24"/>
        </w:rPr>
        <w:t>6.投标供应商参加项目领取磋商文件及投标环节期间采购活动前3年内，在经营活动中没有重大违法记录的书面承诺书（自拟）；</w:t>
      </w:r>
    </w:p>
    <w:p w14:paraId="669B2ACF">
      <w:pPr>
        <w:pStyle w:val="30"/>
        <w:ind w:left="957" w:leftChars="456"/>
        <w:rPr>
          <w:rFonts w:ascii="仿宋" w:hAnsi="仿宋" w:eastAsia="仿宋" w:cs="仿宋"/>
          <w:b/>
          <w:sz w:val="24"/>
        </w:rPr>
      </w:pPr>
      <w:r>
        <w:rPr>
          <w:rFonts w:hint="eastAsia" w:ascii="仿宋" w:hAnsi="仿宋" w:eastAsia="仿宋" w:cs="仿宋"/>
          <w:b/>
          <w:sz w:val="24"/>
        </w:rPr>
        <w:t>7.针对本项目的反商业贿赂承诺书；</w:t>
      </w:r>
    </w:p>
    <w:p w14:paraId="1C9B5792">
      <w:pPr>
        <w:pStyle w:val="30"/>
        <w:ind w:left="957" w:leftChars="456"/>
        <w:rPr>
          <w:rFonts w:ascii="仿宋" w:hAnsi="仿宋" w:eastAsia="仿宋" w:cs="仿宋"/>
          <w:b/>
          <w:sz w:val="24"/>
        </w:rPr>
      </w:pPr>
      <w:r>
        <w:rPr>
          <w:rFonts w:hint="eastAsia" w:ascii="仿宋" w:hAnsi="仿宋" w:eastAsia="仿宋" w:cs="仿宋"/>
          <w:b/>
          <w:sz w:val="24"/>
        </w:rPr>
        <w:t>8.磋商保证有效金缴纳凭证；</w:t>
      </w:r>
    </w:p>
    <w:p w14:paraId="6E508755">
      <w:pPr>
        <w:pStyle w:val="30"/>
        <w:ind w:left="957" w:leftChars="456"/>
        <w:rPr>
          <w:rFonts w:ascii="仿宋" w:hAnsi="仿宋" w:eastAsia="仿宋" w:cs="仿宋"/>
          <w:b/>
          <w:sz w:val="24"/>
        </w:rPr>
      </w:pPr>
      <w:r>
        <w:rPr>
          <w:rFonts w:hint="eastAsia" w:ascii="仿宋" w:hAnsi="仿宋" w:eastAsia="仿宋" w:cs="仿宋"/>
          <w:b/>
          <w:sz w:val="24"/>
        </w:rPr>
        <w:t>9.根据《财政部关于在政府采购活动中查询及使用信用记录有关问题的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w:t>
      </w:r>
      <w:r>
        <w:rPr>
          <w:rFonts w:hint="eastAsia" w:ascii="仿宋" w:hAnsi="仿宋" w:eastAsia="仿宋" w:cs="仿宋"/>
          <w:b/>
          <w:sz w:val="24"/>
          <w:lang w:eastAsia="zh-CN"/>
        </w:rPr>
        <w:t>（</w:t>
      </w:r>
      <w:r>
        <w:rPr>
          <w:rFonts w:hint="eastAsia" w:ascii="仿宋" w:hAnsi="仿宋" w:eastAsia="仿宋" w:cs="仿宋"/>
          <w:b/>
          <w:sz w:val="24"/>
          <w:lang w:val="en-US" w:eastAsia="zh-CN"/>
        </w:rPr>
        <w:t>以资格审查小组开标现场查询为主</w:t>
      </w:r>
      <w:r>
        <w:rPr>
          <w:rFonts w:hint="eastAsia" w:ascii="仿宋" w:hAnsi="仿宋" w:eastAsia="仿宋" w:cs="仿宋"/>
          <w:b/>
          <w:sz w:val="24"/>
          <w:lang w:eastAsia="zh-CN"/>
        </w:rPr>
        <w:t>）</w:t>
      </w:r>
      <w:r>
        <w:rPr>
          <w:rFonts w:hint="eastAsia" w:ascii="仿宋" w:hAnsi="仿宋" w:eastAsia="仿宋" w:cs="仿宋"/>
          <w:b/>
          <w:sz w:val="24"/>
        </w:rPr>
        <w:t>。</w:t>
      </w:r>
    </w:p>
    <w:p w14:paraId="06D10584">
      <w:pPr>
        <w:pStyle w:val="30"/>
        <w:ind w:left="957" w:leftChars="456"/>
        <w:rPr>
          <w:rFonts w:hint="default" w:ascii="仿宋" w:hAnsi="仿宋" w:eastAsia="仿宋" w:cs="仿宋"/>
          <w:b/>
          <w:sz w:val="24"/>
          <w:lang w:val="en-US" w:eastAsia="zh-CN"/>
        </w:rPr>
      </w:pPr>
      <w:r>
        <w:rPr>
          <w:rFonts w:hint="eastAsia" w:ascii="仿宋" w:hAnsi="仿宋" w:eastAsia="仿宋" w:cs="仿宋"/>
          <w:b/>
          <w:sz w:val="24"/>
          <w:lang w:val="en-US" w:eastAsia="zh-CN"/>
        </w:rPr>
        <w:t>10特定资格要求：</w:t>
      </w:r>
    </w:p>
    <w:p w14:paraId="33816972">
      <w:pPr>
        <w:pStyle w:val="30"/>
        <w:ind w:left="957" w:leftChars="456"/>
        <w:rPr>
          <w:rFonts w:hint="eastAsia" w:ascii="仿宋" w:hAnsi="仿宋" w:eastAsia="仿宋" w:cs="仿宋"/>
          <w:b/>
          <w:sz w:val="24"/>
          <w:lang w:val="zh-CN"/>
        </w:rPr>
      </w:pPr>
      <w:r>
        <w:rPr>
          <w:rFonts w:hint="eastAsia" w:ascii="仿宋" w:hAnsi="仿宋" w:eastAsia="仿宋" w:cs="仿宋"/>
          <w:b/>
          <w:sz w:val="24"/>
          <w:lang w:val="zh-CN"/>
        </w:rPr>
        <w:t>（</w:t>
      </w:r>
      <w:r>
        <w:rPr>
          <w:rFonts w:hint="eastAsia" w:ascii="仿宋" w:hAnsi="仿宋" w:eastAsia="仿宋" w:cs="仿宋"/>
          <w:b/>
          <w:sz w:val="24"/>
          <w:lang w:val="en-US" w:eastAsia="zh-CN"/>
        </w:rPr>
        <w:t>1</w:t>
      </w:r>
      <w:r>
        <w:rPr>
          <w:rFonts w:hint="eastAsia" w:ascii="仿宋" w:hAnsi="仿宋" w:eastAsia="仿宋" w:cs="仿宋"/>
          <w:b/>
          <w:sz w:val="24"/>
          <w:lang w:val="zh-CN"/>
        </w:rPr>
        <w:t>）【市政公用工程施工总承包三级】（含三级）以上资质企业；并在人员、设备、资金等方面具有相应的施工能力；</w:t>
      </w:r>
    </w:p>
    <w:p w14:paraId="5A475BD6">
      <w:pPr>
        <w:pStyle w:val="30"/>
        <w:ind w:left="957" w:leftChars="456"/>
        <w:rPr>
          <w:rFonts w:hint="eastAsia" w:ascii="仿宋" w:hAnsi="仿宋" w:eastAsia="仿宋" w:cs="仿宋"/>
          <w:b/>
          <w:sz w:val="24"/>
        </w:rPr>
      </w:pPr>
      <w:r>
        <w:rPr>
          <w:rFonts w:hint="eastAsia" w:ascii="仿宋" w:hAnsi="仿宋" w:eastAsia="仿宋" w:cs="仿宋"/>
          <w:b/>
          <w:sz w:val="24"/>
          <w:lang w:val="zh-CN"/>
        </w:rPr>
        <w:t>（</w:t>
      </w:r>
      <w:r>
        <w:rPr>
          <w:rFonts w:hint="eastAsia" w:ascii="仿宋" w:hAnsi="仿宋" w:eastAsia="仿宋" w:cs="仿宋"/>
          <w:b/>
          <w:sz w:val="24"/>
          <w:lang w:val="en-US" w:eastAsia="zh-CN"/>
        </w:rPr>
        <w:t>2</w:t>
      </w:r>
      <w:r>
        <w:rPr>
          <w:rFonts w:hint="eastAsia" w:ascii="仿宋" w:hAnsi="仿宋" w:eastAsia="仿宋" w:cs="仿宋"/>
          <w:b/>
          <w:sz w:val="24"/>
          <w:lang w:val="zh-CN"/>
        </w:rPr>
        <w:t>）拟派项目经理具备【市政公用工程二级】（含二级）以上注册建造师执业资格及有效的安全生产考核合格证</w:t>
      </w:r>
      <w:r>
        <w:rPr>
          <w:rFonts w:hint="eastAsia" w:ascii="仿宋" w:hAnsi="仿宋" w:eastAsia="仿宋" w:cs="仿宋"/>
          <w:b/>
          <w:sz w:val="24"/>
          <w:lang w:val="en-US" w:eastAsia="zh-CN"/>
        </w:rPr>
        <w:t>B证</w:t>
      </w:r>
      <w:r>
        <w:rPr>
          <w:rFonts w:hint="eastAsia" w:ascii="仿宋" w:hAnsi="仿宋" w:eastAsia="仿宋" w:cs="仿宋"/>
          <w:b/>
          <w:sz w:val="24"/>
          <w:lang w:val="zh-CN"/>
        </w:rPr>
        <w:t>；</w:t>
      </w:r>
    </w:p>
    <w:p w14:paraId="3BEE0A52">
      <w:pPr>
        <w:pStyle w:val="30"/>
        <w:ind w:left="957" w:leftChars="456"/>
        <w:rPr>
          <w:rFonts w:ascii="仿宋" w:hAnsi="仿宋" w:eastAsia="仿宋" w:cs="仿宋"/>
          <w:b/>
          <w:sz w:val="24"/>
        </w:rPr>
      </w:pPr>
    </w:p>
    <w:p w14:paraId="10CBF004">
      <w:pPr>
        <w:pStyle w:val="30"/>
        <w:ind w:left="960" w:hanging="960" w:hangingChars="400"/>
        <w:rPr>
          <w:rFonts w:ascii="仿宋" w:hAnsi="仿宋" w:eastAsia="仿宋" w:cs="仿宋"/>
          <w:b/>
          <w:sz w:val="24"/>
        </w:rPr>
      </w:pPr>
      <w:r>
        <w:rPr>
          <w:rFonts w:hint="eastAsia" w:ascii="仿宋" w:hAnsi="仿宋" w:eastAsia="仿宋" w:cs="仿宋"/>
          <w:sz w:val="24"/>
        </w:rPr>
        <w:t>19.2   采购人或采购代理机构将在投标截止后1小时的期间内查询供应商的信用记录。供应商存在不良信用记录的，其投标将被认定为</w:t>
      </w:r>
      <w:r>
        <w:rPr>
          <w:rFonts w:hint="eastAsia" w:ascii="仿宋" w:hAnsi="仿宋" w:eastAsia="仿宋" w:cs="仿宋"/>
          <w:b/>
          <w:bCs/>
          <w:sz w:val="24"/>
        </w:rPr>
        <w:t>投标无效</w:t>
      </w:r>
      <w:r>
        <w:rPr>
          <w:rFonts w:hint="eastAsia" w:ascii="仿宋" w:hAnsi="仿宋" w:eastAsia="仿宋" w:cs="仿宋"/>
          <w:sz w:val="24"/>
        </w:rPr>
        <w:t>。</w:t>
      </w:r>
      <w:r>
        <w:rPr>
          <w:rFonts w:hint="eastAsia" w:ascii="仿宋" w:hAnsi="仿宋" w:eastAsia="仿宋" w:cs="仿宋"/>
          <w:b/>
          <w:sz w:val="24"/>
        </w:rPr>
        <w:t xml:space="preserve">  </w:t>
      </w:r>
    </w:p>
    <w:p w14:paraId="1056F9EE">
      <w:pPr>
        <w:spacing w:line="340" w:lineRule="exact"/>
        <w:ind w:left="857" w:leftChars="2" w:hanging="853"/>
        <w:rPr>
          <w:rFonts w:ascii="仿宋" w:hAnsi="仿宋" w:eastAsia="仿宋" w:cs="仿宋"/>
          <w:sz w:val="24"/>
        </w:rPr>
      </w:pPr>
      <w:r>
        <w:rPr>
          <w:rFonts w:hint="eastAsia" w:ascii="仿宋" w:hAnsi="仿宋" w:eastAsia="仿宋" w:cs="仿宋"/>
          <w:sz w:val="24"/>
        </w:rPr>
        <w:t>19.3   不良信用记录指：供应商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w:t>
      </w:r>
    </w:p>
    <w:p w14:paraId="475FCB3D">
      <w:pPr>
        <w:spacing w:line="340" w:lineRule="exact"/>
        <w:ind w:left="849" w:leftChars="401" w:hanging="7" w:hangingChars="3"/>
        <w:rPr>
          <w:rFonts w:ascii="仿宋" w:hAnsi="仿宋" w:eastAsia="仿宋" w:cs="仿宋"/>
          <w:sz w:val="24"/>
        </w:rPr>
      </w:pPr>
      <w:r>
        <w:rPr>
          <w:rFonts w:hint="eastAsia" w:ascii="仿宋" w:hAnsi="仿宋" w:eastAsia="仿宋" w:cs="仿宋"/>
          <w:sz w:val="24"/>
        </w:rPr>
        <w:t>以联合体形式参加投标的，联合体任何成员存在以上不良信用记录的，联合体投标将被认定为</w:t>
      </w:r>
      <w:r>
        <w:rPr>
          <w:rFonts w:hint="eastAsia" w:ascii="仿宋" w:hAnsi="仿宋" w:eastAsia="仿宋" w:cs="仿宋"/>
          <w:b/>
          <w:bCs/>
          <w:sz w:val="24"/>
        </w:rPr>
        <w:t>投标无效</w:t>
      </w:r>
      <w:r>
        <w:rPr>
          <w:rFonts w:hint="eastAsia" w:ascii="仿宋" w:hAnsi="仿宋" w:eastAsia="仿宋" w:cs="仿宋"/>
          <w:sz w:val="24"/>
        </w:rPr>
        <w:t>。</w:t>
      </w:r>
    </w:p>
    <w:p w14:paraId="7F3C43EB">
      <w:pPr>
        <w:pStyle w:val="5"/>
        <w:spacing w:line="340" w:lineRule="exact"/>
        <w:ind w:left="850" w:hanging="849" w:hangingChars="354"/>
        <w:jc w:val="both"/>
        <w:rPr>
          <w:rFonts w:ascii="仿宋" w:hAnsi="仿宋" w:eastAsia="仿宋" w:cs="仿宋"/>
        </w:rPr>
      </w:pPr>
      <w:r>
        <w:rPr>
          <w:rFonts w:hint="eastAsia" w:ascii="仿宋" w:hAnsi="仿宋" w:eastAsia="仿宋" w:cs="仿宋"/>
        </w:rPr>
        <w:t>19.4   查询及记录方式：采购人或采购代理机构经办人将查询网页打印、签字并存档备查。供应商不良信用记录以采购人或采购代理机构查询结果为准。在磋商文件规定的查询时间之后，网站信息发生的任何变更均不再作为评标依据。供应商自行提供的与网站信息不一致的其他证明材料亦不作为资格审查依据。</w:t>
      </w:r>
    </w:p>
    <w:p w14:paraId="6E76B2AA">
      <w:pPr>
        <w:spacing w:line="340" w:lineRule="exact"/>
        <w:ind w:left="850" w:hanging="849" w:hangingChars="354"/>
        <w:rPr>
          <w:rFonts w:ascii="仿宋" w:hAnsi="仿宋" w:eastAsia="仿宋" w:cs="仿宋"/>
          <w:b/>
          <w:bCs/>
          <w:iCs/>
          <w:sz w:val="24"/>
          <w:u w:val="single"/>
        </w:rPr>
      </w:pPr>
      <w:r>
        <w:rPr>
          <w:rFonts w:hint="eastAsia" w:ascii="仿宋" w:hAnsi="仿宋" w:eastAsia="仿宋" w:cs="仿宋"/>
          <w:sz w:val="24"/>
        </w:rPr>
        <w:t>19.5   按照《中华人民共和国政府采购法》、《中华人民共和国政府采购法实施条例》、《政府采购竞争性磋商采购方式管理暂行办法》及本项目本级和上级财政部门的有关规定依法组建</w:t>
      </w:r>
      <w:r>
        <w:rPr>
          <w:rFonts w:hint="eastAsia" w:ascii="仿宋" w:hAnsi="仿宋" w:eastAsia="仿宋" w:cs="仿宋"/>
          <w:b/>
          <w:bCs/>
          <w:iCs/>
          <w:sz w:val="24"/>
          <w:u w:val="single"/>
        </w:rPr>
        <w:t>由3人单数组成</w:t>
      </w:r>
      <w:r>
        <w:rPr>
          <w:rFonts w:hint="eastAsia" w:ascii="仿宋" w:hAnsi="仿宋" w:eastAsia="仿宋" w:cs="仿宋"/>
          <w:sz w:val="24"/>
        </w:rPr>
        <w:t>的评标委员会，负责评标工作。</w:t>
      </w:r>
      <w:bookmarkStart w:id="143" w:name="_Toc520356166"/>
    </w:p>
    <w:p w14:paraId="7459BD47">
      <w:pPr>
        <w:pStyle w:val="4"/>
        <w:spacing w:before="0" w:after="0" w:line="340" w:lineRule="exact"/>
        <w:rPr>
          <w:rFonts w:ascii="仿宋" w:hAnsi="仿宋" w:eastAsia="仿宋" w:cs="仿宋"/>
          <w:b w:val="0"/>
          <w:bCs/>
          <w:bdr w:val="single" w:color="auto" w:sz="4" w:space="0"/>
        </w:rPr>
      </w:pPr>
      <w:bookmarkStart w:id="144" w:name="_Toc28479"/>
      <w:bookmarkStart w:id="145" w:name="_Toc515647781"/>
      <w:bookmarkStart w:id="146" w:name="_Toc4397"/>
      <w:bookmarkStart w:id="147" w:name="_Toc19949"/>
      <w:r>
        <w:rPr>
          <w:rFonts w:hint="eastAsia" w:ascii="仿宋" w:hAnsi="仿宋" w:eastAsia="仿宋" w:cs="仿宋"/>
          <w:u w:val="none"/>
        </w:rPr>
        <w:t>20.</w:t>
      </w:r>
      <w:bookmarkEnd w:id="143"/>
      <w:r>
        <w:rPr>
          <w:rFonts w:hint="eastAsia" w:ascii="仿宋" w:hAnsi="仿宋" w:eastAsia="仿宋" w:cs="仿宋"/>
          <w:u w:val="none"/>
        </w:rPr>
        <w:t>响应文件符合性审查与澄清</w:t>
      </w:r>
      <w:bookmarkEnd w:id="144"/>
      <w:bookmarkEnd w:id="145"/>
      <w:bookmarkEnd w:id="146"/>
      <w:bookmarkEnd w:id="147"/>
    </w:p>
    <w:p w14:paraId="66DB5185">
      <w:pPr>
        <w:spacing w:line="340" w:lineRule="exact"/>
        <w:ind w:left="900" w:hanging="900" w:hangingChars="375"/>
        <w:rPr>
          <w:rFonts w:ascii="仿宋" w:hAnsi="仿宋" w:eastAsia="仿宋" w:cs="仿宋"/>
          <w:sz w:val="24"/>
        </w:rPr>
      </w:pPr>
      <w:r>
        <w:rPr>
          <w:rFonts w:hint="eastAsia" w:ascii="仿宋" w:hAnsi="仿宋" w:eastAsia="仿宋" w:cs="仿宋"/>
          <w:sz w:val="24"/>
        </w:rPr>
        <w:t>20.1   符合性审查是指依据磋商文件的规定，从响应文件的有效性和完整性对响应文件的响应程度进行审查，以确定是否对磋商文件的实质性要求做出响应。</w:t>
      </w:r>
      <w:bookmarkStart w:id="148" w:name="_Hlt522424701"/>
      <w:bookmarkEnd w:id="148"/>
      <w:bookmarkStart w:id="149" w:name="_Toc520356167"/>
    </w:p>
    <w:p w14:paraId="01340DFB">
      <w:pPr>
        <w:spacing w:line="340" w:lineRule="exact"/>
        <w:ind w:left="900" w:hanging="900" w:hangingChars="375"/>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rPr>
        <w:tab/>
      </w:r>
      <w:r>
        <w:rPr>
          <w:rFonts w:hint="eastAsia" w:ascii="仿宋" w:hAnsi="仿宋" w:eastAsia="仿宋" w:cs="仿宋"/>
          <w:sz w:val="24"/>
        </w:rPr>
        <w:t>响应文件的澄清</w:t>
      </w:r>
    </w:p>
    <w:p w14:paraId="76AD6E6E">
      <w:pPr>
        <w:spacing w:line="340" w:lineRule="exact"/>
        <w:ind w:left="900" w:hanging="900" w:hangingChars="375"/>
        <w:rPr>
          <w:rFonts w:ascii="仿宋" w:hAnsi="仿宋" w:eastAsia="仿宋" w:cs="仿宋"/>
          <w:sz w:val="24"/>
        </w:rPr>
      </w:pPr>
      <w:r>
        <w:rPr>
          <w:rFonts w:hint="eastAsia" w:ascii="仿宋" w:hAnsi="仿宋" w:eastAsia="仿宋" w:cs="仿宋"/>
          <w:sz w:val="24"/>
        </w:rPr>
        <w:t>20.2.1  在评标期间，评标委员会将以书面方式要求供应商对其响应文件中含义不明确、对同类问题表述不一致或者有明显文字和计算错误的内容，以及评标委员会认为供应商的报价明显低于其他通过符合性检查供应商的报价，有可能影响履约的情况作必要的澄清、说明或补正。供应商的澄清、说明或补正应在评标委员会规定的时间内以书面方式进行，并不得超出磋商文件范围或者改变磋商文件的实质性内容。</w:t>
      </w:r>
    </w:p>
    <w:p w14:paraId="34D83273">
      <w:pPr>
        <w:spacing w:line="340" w:lineRule="exact"/>
        <w:ind w:left="900" w:hanging="900" w:hangingChars="375"/>
        <w:rPr>
          <w:rFonts w:ascii="仿宋" w:hAnsi="仿宋" w:eastAsia="仿宋" w:cs="仿宋"/>
          <w:sz w:val="24"/>
        </w:rPr>
      </w:pPr>
      <w:r>
        <w:rPr>
          <w:rFonts w:hint="eastAsia" w:ascii="仿宋" w:hAnsi="仿宋" w:eastAsia="仿宋" w:cs="仿宋"/>
          <w:sz w:val="24"/>
        </w:rPr>
        <w:t>20.2.2  供应商的的澄清、说明或补正将作为响应文件的一部分。</w:t>
      </w:r>
    </w:p>
    <w:p w14:paraId="2A949C97">
      <w:pPr>
        <w:spacing w:line="340" w:lineRule="exact"/>
        <w:ind w:left="900" w:hanging="900" w:hangingChars="375"/>
        <w:rPr>
          <w:rFonts w:ascii="仿宋" w:hAnsi="仿宋" w:eastAsia="仿宋" w:cs="仿宋"/>
          <w:sz w:val="24"/>
        </w:rPr>
      </w:pPr>
      <w:r>
        <w:rPr>
          <w:rFonts w:hint="eastAsia" w:ascii="仿宋" w:hAnsi="仿宋" w:eastAsia="仿宋" w:cs="仿宋"/>
          <w:sz w:val="24"/>
        </w:rPr>
        <w:t>20.3    响应文件报价出现前后不一致的，按照下列规定修正：</w:t>
      </w:r>
    </w:p>
    <w:p w14:paraId="2937F58D">
      <w:pPr>
        <w:spacing w:line="340" w:lineRule="exact"/>
        <w:ind w:left="1020" w:hanging="1020" w:hangingChars="425"/>
        <w:rPr>
          <w:rFonts w:ascii="仿宋" w:hAnsi="仿宋" w:eastAsia="仿宋" w:cs="仿宋"/>
          <w:sz w:val="24"/>
        </w:rPr>
      </w:pPr>
      <w:r>
        <w:rPr>
          <w:rFonts w:hint="eastAsia" w:ascii="仿宋" w:hAnsi="仿宋" w:eastAsia="仿宋" w:cs="仿宋"/>
          <w:sz w:val="24"/>
        </w:rPr>
        <w:t>　　   （一）响应文件中开标一览表（报价表）内容与响应文件中相应内容不一致的，以开标一览表（报价表）为准；</w:t>
      </w:r>
    </w:p>
    <w:p w14:paraId="6CB2788D">
      <w:pPr>
        <w:spacing w:line="340" w:lineRule="exact"/>
        <w:ind w:left="900" w:hanging="900" w:hangingChars="375"/>
        <w:rPr>
          <w:rFonts w:ascii="仿宋" w:hAnsi="仿宋" w:eastAsia="仿宋" w:cs="仿宋"/>
          <w:sz w:val="24"/>
        </w:rPr>
      </w:pPr>
      <w:r>
        <w:rPr>
          <w:rFonts w:hint="eastAsia" w:ascii="仿宋" w:hAnsi="仿宋" w:eastAsia="仿宋" w:cs="仿宋"/>
          <w:sz w:val="24"/>
        </w:rPr>
        <w:t>　　   （二）大写金额和小写金额不一致的，以大写金额为准；</w:t>
      </w:r>
    </w:p>
    <w:p w14:paraId="7930E2CF">
      <w:pPr>
        <w:spacing w:line="340" w:lineRule="exact"/>
        <w:ind w:left="1020" w:hanging="1020" w:hangingChars="425"/>
        <w:rPr>
          <w:rFonts w:ascii="仿宋" w:hAnsi="仿宋" w:eastAsia="仿宋" w:cs="仿宋"/>
          <w:sz w:val="24"/>
        </w:rPr>
      </w:pPr>
      <w:r>
        <w:rPr>
          <w:rFonts w:hint="eastAsia" w:ascii="仿宋" w:hAnsi="仿宋" w:eastAsia="仿宋" w:cs="仿宋"/>
          <w:sz w:val="24"/>
        </w:rPr>
        <w:t>　   　（三）单价金额小数点或者百分比有明显错位的，以开标一览表的总价为准，并修改单价；</w:t>
      </w:r>
    </w:p>
    <w:p w14:paraId="29F12C35">
      <w:pPr>
        <w:spacing w:line="340" w:lineRule="exact"/>
        <w:ind w:left="900" w:hanging="900" w:hangingChars="375"/>
        <w:rPr>
          <w:rFonts w:ascii="仿宋" w:hAnsi="仿宋" w:eastAsia="仿宋" w:cs="仿宋"/>
          <w:sz w:val="24"/>
        </w:rPr>
      </w:pPr>
      <w:r>
        <w:rPr>
          <w:rFonts w:hint="eastAsia" w:ascii="仿宋" w:hAnsi="仿宋" w:eastAsia="仿宋" w:cs="仿宋"/>
          <w:sz w:val="24"/>
        </w:rPr>
        <w:t>　   　（四）总价金额与按单价汇总金额不一致的，以单价金额计算结果为准。</w:t>
      </w:r>
    </w:p>
    <w:p w14:paraId="0FC4BD3F">
      <w:pPr>
        <w:spacing w:line="340" w:lineRule="exact"/>
        <w:ind w:left="900" w:hanging="900" w:hangingChars="375"/>
        <w:rPr>
          <w:rFonts w:ascii="仿宋" w:hAnsi="仿宋" w:eastAsia="仿宋" w:cs="仿宋"/>
          <w:sz w:val="24"/>
        </w:rPr>
      </w:pPr>
      <w:r>
        <w:rPr>
          <w:rFonts w:hint="eastAsia" w:ascii="仿宋" w:hAnsi="仿宋" w:eastAsia="仿宋" w:cs="仿宋"/>
          <w:sz w:val="24"/>
        </w:rPr>
        <w:t>　　    同时出现两种以上不一致的，按照前款规定的顺序修正。修正后的报价按照第20.2条的规定经供应商确认后产生约束力，供应商不确认的，其投标将被认定为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25CF1935">
      <w:pPr>
        <w:spacing w:line="340" w:lineRule="exact"/>
        <w:ind w:left="735" w:leftChars="350" w:firstLine="120" w:firstLineChars="50"/>
        <w:rPr>
          <w:rFonts w:ascii="仿宋" w:hAnsi="仿宋" w:eastAsia="仿宋" w:cs="仿宋"/>
          <w:sz w:val="24"/>
        </w:rPr>
      </w:pPr>
      <w:r>
        <w:rPr>
          <w:rFonts w:hint="eastAsia" w:ascii="仿宋" w:hAnsi="仿宋" w:eastAsia="仿宋" w:cs="仿宋"/>
          <w:sz w:val="24"/>
        </w:rPr>
        <w:t>对不同文字文本磋商文件的解释发生异议的，以中文文本为准。</w:t>
      </w:r>
    </w:p>
    <w:p w14:paraId="32E6ED34">
      <w:pPr>
        <w:spacing w:line="340" w:lineRule="exact"/>
        <w:ind w:left="900" w:hanging="900" w:hangingChars="375"/>
        <w:rPr>
          <w:rFonts w:ascii="仿宋" w:hAnsi="仿宋" w:eastAsia="仿宋" w:cs="仿宋"/>
          <w:sz w:val="24"/>
        </w:rPr>
      </w:pPr>
      <w:r>
        <w:rPr>
          <w:rFonts w:hint="eastAsia" w:ascii="仿宋" w:hAnsi="仿宋" w:eastAsia="仿宋" w:cs="仿宋"/>
          <w:sz w:val="24"/>
        </w:rPr>
        <w:t>20.4   如一个分包内只有一种产品，不同供应商所投产品为同一品牌的，按如下方式处理：</w:t>
      </w:r>
    </w:p>
    <w:p w14:paraId="7ADFA21B">
      <w:pPr>
        <w:spacing w:line="240" w:lineRule="atLeast"/>
        <w:ind w:left="900" w:hanging="900" w:hangingChars="375"/>
        <w:rPr>
          <w:rFonts w:ascii="仿宋" w:hAnsi="仿宋" w:eastAsia="仿宋" w:cs="仿宋"/>
          <w:sz w:val="24"/>
        </w:rPr>
      </w:pPr>
      <w:r>
        <w:rPr>
          <w:rFonts w:hint="eastAsia" w:ascii="仿宋" w:hAnsi="仿宋" w:eastAsia="仿宋" w:cs="仿宋"/>
          <w:sz w:val="24"/>
        </w:rPr>
        <w:t>20.4.1 如本项目使用最低评标价法，提供相同品牌产品的不同供应商以其中通过资格审查、符合性审查且报价最低的参加评标；报价相同的，由采购人或者采购人委托评标委员会按照磋商文件中评标办法规定的方式确定一个参加评标的供应商；未规定的采取随机抽取方式确定，其他投标将被认定为</w:t>
      </w:r>
      <w:r>
        <w:rPr>
          <w:rFonts w:hint="eastAsia" w:ascii="仿宋" w:hAnsi="仿宋" w:eastAsia="仿宋" w:cs="仿宋"/>
          <w:b/>
          <w:bCs/>
          <w:sz w:val="24"/>
        </w:rPr>
        <w:t>投标无效</w:t>
      </w:r>
      <w:r>
        <w:rPr>
          <w:rFonts w:hint="eastAsia" w:ascii="仿宋" w:hAnsi="仿宋" w:eastAsia="仿宋" w:cs="仿宋"/>
          <w:sz w:val="24"/>
        </w:rPr>
        <w:t>。</w:t>
      </w:r>
    </w:p>
    <w:p w14:paraId="6E7173F7">
      <w:pPr>
        <w:spacing w:line="240" w:lineRule="atLeast"/>
        <w:ind w:left="900" w:hanging="900" w:hangingChars="375"/>
        <w:rPr>
          <w:rFonts w:ascii="仿宋" w:hAnsi="仿宋" w:eastAsia="仿宋" w:cs="仿宋"/>
          <w:sz w:val="24"/>
        </w:rPr>
      </w:pPr>
      <w:r>
        <w:rPr>
          <w:rFonts w:hint="eastAsia" w:ascii="仿宋" w:hAnsi="仿宋" w:eastAsia="仿宋" w:cs="仿宋"/>
          <w:sz w:val="24"/>
        </w:rPr>
        <w:t>20.4.2  如本项目使用综合评分法，提供相同品牌产品且通过资格审查、符合性审查的不同供应商，按一家供应商计算，评审后得分最高的同品牌供应商获得成交人推荐资格；评审得分相同的，由采购人或者采购人委托评标委员会按照磋商文件中评标办法规定的方式确定一个供应商获得成交人推荐资格；未规定的采取随机抽取方式确定，其他同品牌供应商不作为成交候选人。</w:t>
      </w:r>
    </w:p>
    <w:p w14:paraId="370CEA43">
      <w:pPr>
        <w:spacing w:line="340" w:lineRule="exact"/>
        <w:ind w:left="900" w:hanging="900" w:hangingChars="375"/>
        <w:rPr>
          <w:rFonts w:ascii="仿宋" w:hAnsi="仿宋" w:eastAsia="仿宋" w:cs="仿宋"/>
          <w:sz w:val="24"/>
        </w:rPr>
      </w:pPr>
      <w:r>
        <w:rPr>
          <w:rFonts w:hint="eastAsia" w:ascii="仿宋" w:hAnsi="仿宋" w:eastAsia="仿宋" w:cs="仿宋"/>
          <w:sz w:val="24"/>
        </w:rPr>
        <w:t>20.5   如一个分包内包含多种产品的，采购人或采购代理机构将在</w:t>
      </w:r>
      <w:r>
        <w:rPr>
          <w:rFonts w:hint="eastAsia" w:ascii="仿宋" w:hAnsi="仿宋" w:eastAsia="仿宋" w:cs="仿宋"/>
          <w:sz w:val="24"/>
          <w:u w:val="single"/>
        </w:rPr>
        <w:t>供应商须知资料表</w:t>
      </w:r>
      <w:r>
        <w:rPr>
          <w:rFonts w:hint="eastAsia" w:ascii="仿宋" w:hAnsi="仿宋" w:eastAsia="仿宋" w:cs="仿宋"/>
          <w:sz w:val="24"/>
        </w:rPr>
        <w:t>中载明核心产品，多家供应商提供的核心产品品牌相同的，按第20.4条规定处理。</w:t>
      </w:r>
    </w:p>
    <w:p w14:paraId="3C0E464A">
      <w:pPr>
        <w:spacing w:line="340" w:lineRule="exact"/>
        <w:ind w:left="900" w:hanging="900" w:hangingChars="375"/>
        <w:rPr>
          <w:rFonts w:ascii="仿宋" w:hAnsi="仿宋" w:eastAsia="仿宋" w:cs="仿宋"/>
          <w:sz w:val="24"/>
        </w:rPr>
      </w:pPr>
      <w:r>
        <w:rPr>
          <w:rFonts w:hint="eastAsia" w:ascii="仿宋" w:hAnsi="仿宋" w:eastAsia="仿宋" w:cs="仿宋"/>
          <w:sz w:val="24"/>
        </w:rPr>
        <w:t>20.6   供应商所投产品如被列入财政部与国家主管部门颁发的节能产品目录或环境标志产品目录或无线局域网产品目录，应提供相关证明，在评标时予以优先采购，具体优先采购办法见第六章评标方法和标准。</w:t>
      </w:r>
    </w:p>
    <w:p w14:paraId="4F1E4C5F">
      <w:pPr>
        <w:spacing w:line="340" w:lineRule="exact"/>
        <w:ind w:left="900" w:hanging="900" w:hangingChars="375"/>
        <w:rPr>
          <w:rFonts w:ascii="仿宋" w:hAnsi="仿宋" w:eastAsia="仿宋" w:cs="仿宋"/>
          <w:sz w:val="24"/>
        </w:rPr>
      </w:pPr>
      <w:r>
        <w:rPr>
          <w:rFonts w:hint="eastAsia" w:ascii="仿宋" w:hAnsi="仿宋" w:eastAsia="仿宋" w:cs="仿宋"/>
          <w:sz w:val="24"/>
        </w:rPr>
        <w:t xml:space="preserve">      </w:t>
      </w:r>
    </w:p>
    <w:p w14:paraId="2295064B">
      <w:pPr>
        <w:pStyle w:val="4"/>
        <w:spacing w:before="0" w:after="0" w:line="340" w:lineRule="exact"/>
        <w:rPr>
          <w:rFonts w:ascii="仿宋" w:hAnsi="仿宋" w:eastAsia="仿宋" w:cs="仿宋"/>
          <w:u w:val="none"/>
        </w:rPr>
      </w:pPr>
      <w:bookmarkStart w:id="150" w:name="_Toc23208"/>
      <w:bookmarkStart w:id="151" w:name="_Toc6364"/>
      <w:bookmarkStart w:id="152" w:name="_Toc9469"/>
      <w:bookmarkStart w:id="153" w:name="_Toc515647782"/>
      <w:r>
        <w:rPr>
          <w:rFonts w:hint="eastAsia" w:ascii="仿宋" w:hAnsi="仿宋" w:eastAsia="仿宋" w:cs="仿宋"/>
          <w:u w:val="none"/>
        </w:rPr>
        <w:t>21.投标偏离</w:t>
      </w:r>
      <w:bookmarkEnd w:id="150"/>
      <w:bookmarkEnd w:id="151"/>
      <w:bookmarkEnd w:id="152"/>
      <w:bookmarkEnd w:id="153"/>
    </w:p>
    <w:p w14:paraId="2DF146E8">
      <w:pPr>
        <w:spacing w:line="340" w:lineRule="exact"/>
        <w:ind w:left="847" w:leftChars="99" w:hanging="640" w:hangingChars="267"/>
        <w:rPr>
          <w:rFonts w:ascii="仿宋" w:hAnsi="仿宋" w:eastAsia="仿宋" w:cs="仿宋"/>
          <w:sz w:val="24"/>
        </w:rPr>
      </w:pPr>
      <w:r>
        <w:rPr>
          <w:rFonts w:hint="eastAsia" w:ascii="仿宋" w:hAnsi="仿宋" w:eastAsia="仿宋" w:cs="仿宋"/>
          <w:sz w:val="24"/>
        </w:rPr>
        <w:t xml:space="preserve">     评标委员会可以接受响应文件中满足招标实际需求的正偏离，未响应磋商要求的负偏离，评标委员会将认定整个响应文件未响应磋商文件被认定为</w:t>
      </w:r>
      <w:r>
        <w:rPr>
          <w:rFonts w:hint="eastAsia" w:ascii="仿宋" w:hAnsi="仿宋" w:eastAsia="仿宋" w:cs="仿宋"/>
          <w:b/>
          <w:bCs/>
          <w:sz w:val="24"/>
        </w:rPr>
        <w:t>投标无效</w:t>
      </w:r>
    </w:p>
    <w:p w14:paraId="4938D709">
      <w:pPr>
        <w:pStyle w:val="4"/>
        <w:spacing w:before="0" w:after="0" w:line="340" w:lineRule="exact"/>
        <w:rPr>
          <w:rFonts w:ascii="仿宋" w:hAnsi="仿宋" w:eastAsia="仿宋" w:cs="仿宋"/>
          <w:u w:val="none"/>
        </w:rPr>
      </w:pPr>
      <w:bookmarkStart w:id="154" w:name="_Toc515647783"/>
      <w:bookmarkStart w:id="155" w:name="_Toc31984"/>
      <w:bookmarkStart w:id="156" w:name="_Toc4950"/>
      <w:bookmarkStart w:id="157" w:name="_Toc6092"/>
      <w:r>
        <w:rPr>
          <w:rFonts w:hint="eastAsia" w:ascii="仿宋" w:hAnsi="仿宋" w:eastAsia="仿宋" w:cs="仿宋"/>
          <w:u w:val="none"/>
        </w:rPr>
        <w:t>22.投标</w:t>
      </w:r>
      <w:bookmarkEnd w:id="154"/>
      <w:r>
        <w:rPr>
          <w:rFonts w:hint="eastAsia" w:ascii="仿宋" w:hAnsi="仿宋" w:eastAsia="仿宋" w:cs="仿宋"/>
          <w:u w:val="none"/>
        </w:rPr>
        <w:t>无效</w:t>
      </w:r>
      <w:bookmarkEnd w:id="155"/>
      <w:bookmarkEnd w:id="156"/>
      <w:bookmarkEnd w:id="157"/>
    </w:p>
    <w:p w14:paraId="02C7B904">
      <w:pPr>
        <w:spacing w:line="340" w:lineRule="exact"/>
        <w:ind w:left="852" w:leftChars="-23" w:hanging="900" w:hangingChars="375"/>
        <w:rPr>
          <w:rFonts w:ascii="仿宋" w:hAnsi="仿宋" w:eastAsia="仿宋" w:cs="仿宋"/>
          <w:sz w:val="24"/>
        </w:rPr>
      </w:pPr>
      <w:r>
        <w:rPr>
          <w:rFonts w:hint="eastAsia" w:ascii="仿宋" w:hAnsi="仿宋" w:eastAsia="仿宋" w:cs="仿宋"/>
          <w:sz w:val="24"/>
        </w:rPr>
        <w:t>22.1   在比较与评价之前，根据本须知的规定，评标委员会要审查每份磋商文件是否实质上响应了磋商文件的要求。实质上响应的投标应该是与磋商文件要求的全部条款、条件和规格相符，没有重大偏离的投标。对关键条款的偏离，将被认定为</w:t>
      </w:r>
      <w:r>
        <w:rPr>
          <w:rFonts w:hint="eastAsia" w:ascii="仿宋" w:hAnsi="仿宋" w:eastAsia="仿宋" w:cs="仿宋"/>
          <w:b/>
          <w:bCs/>
          <w:sz w:val="24"/>
        </w:rPr>
        <w:t>投标无效</w:t>
      </w:r>
      <w:r>
        <w:rPr>
          <w:rFonts w:hint="eastAsia" w:ascii="仿宋" w:hAnsi="仿宋" w:eastAsia="仿宋" w:cs="仿宋"/>
          <w:sz w:val="24"/>
        </w:rPr>
        <w:t>。供应商不得通过修正或撤销不符合</w:t>
      </w:r>
    </w:p>
    <w:p w14:paraId="246D5138">
      <w:pPr>
        <w:spacing w:line="240" w:lineRule="atLeast"/>
        <w:ind w:firstLine="840" w:firstLineChars="350"/>
        <w:rPr>
          <w:rFonts w:ascii="仿宋" w:hAnsi="仿宋" w:eastAsia="仿宋" w:cs="仿宋"/>
          <w:sz w:val="24"/>
        </w:rPr>
      </w:pPr>
      <w:r>
        <w:rPr>
          <w:rFonts w:hint="eastAsia" w:ascii="仿宋" w:hAnsi="仿宋" w:eastAsia="仿宋" w:cs="仿宋"/>
          <w:sz w:val="24"/>
        </w:rPr>
        <w:t>要求的偏离，从而使其投标成为实质上响应的投标。</w:t>
      </w:r>
    </w:p>
    <w:p w14:paraId="256D9DB5">
      <w:pPr>
        <w:spacing w:line="240" w:lineRule="atLeast"/>
        <w:ind w:left="791" w:leftChars="377"/>
        <w:rPr>
          <w:rFonts w:ascii="仿宋" w:hAnsi="仿宋" w:eastAsia="仿宋" w:cs="仿宋"/>
          <w:sz w:val="24"/>
        </w:rPr>
      </w:pPr>
      <w:r>
        <w:rPr>
          <w:rFonts w:hint="eastAsia" w:ascii="仿宋" w:hAnsi="仿宋" w:eastAsia="仿宋" w:cs="仿宋"/>
          <w:sz w:val="24"/>
        </w:rPr>
        <w:t>评标委员会决定投标的响应性只根据磋商文件要求、磋商文件内容及财政主管部门指定相关信息发布媒体。</w:t>
      </w:r>
    </w:p>
    <w:p w14:paraId="6BFCB53B">
      <w:pPr>
        <w:spacing w:line="240" w:lineRule="atLeast"/>
        <w:ind w:left="900" w:hanging="900" w:hangingChars="375"/>
        <w:rPr>
          <w:rFonts w:ascii="仿宋" w:hAnsi="仿宋" w:eastAsia="仿宋" w:cs="仿宋"/>
          <w:sz w:val="24"/>
        </w:rPr>
      </w:pPr>
      <w:r>
        <w:rPr>
          <w:rFonts w:hint="eastAsia" w:ascii="仿宋" w:hAnsi="仿宋" w:eastAsia="仿宋" w:cs="仿宋"/>
          <w:sz w:val="24"/>
        </w:rPr>
        <w:t>22.2</w:t>
      </w:r>
      <w:r>
        <w:rPr>
          <w:rFonts w:hint="eastAsia" w:ascii="仿宋" w:hAnsi="仿宋" w:eastAsia="仿宋" w:cs="仿宋"/>
          <w:sz w:val="24"/>
        </w:rPr>
        <w:tab/>
      </w:r>
      <w:r>
        <w:rPr>
          <w:rFonts w:hint="eastAsia" w:ascii="仿宋" w:hAnsi="仿宋" w:eastAsia="仿宋" w:cs="仿宋"/>
          <w:sz w:val="24"/>
        </w:rPr>
        <w:t>如发现下列情况之一的，其投标将被认定为</w:t>
      </w:r>
      <w:r>
        <w:rPr>
          <w:rFonts w:hint="eastAsia" w:ascii="仿宋" w:hAnsi="仿宋" w:eastAsia="仿宋" w:cs="仿宋"/>
          <w:b/>
          <w:bCs/>
          <w:sz w:val="24"/>
        </w:rPr>
        <w:t>投标无效</w:t>
      </w:r>
      <w:r>
        <w:rPr>
          <w:rFonts w:hint="eastAsia" w:ascii="仿宋" w:hAnsi="仿宋" w:eastAsia="仿宋" w:cs="仿宋"/>
          <w:sz w:val="24"/>
        </w:rPr>
        <w:t>：（</w:t>
      </w:r>
      <w:r>
        <w:rPr>
          <w:rFonts w:hint="eastAsia" w:ascii="仿宋" w:hAnsi="仿宋" w:eastAsia="仿宋" w:cs="仿宋"/>
          <w:b/>
          <w:sz w:val="24"/>
        </w:rPr>
        <w:t>以下情形应当在磋商文件中规定，并以醒目的方式标明</w:t>
      </w:r>
      <w:r>
        <w:rPr>
          <w:rFonts w:hint="eastAsia" w:ascii="仿宋" w:hAnsi="仿宋" w:eastAsia="仿宋" w:cs="仿宋"/>
          <w:sz w:val="24"/>
        </w:rPr>
        <w:t>）</w:t>
      </w:r>
    </w:p>
    <w:p w14:paraId="75DD3C5B">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未按磋商文件规定的形式和金额提交投标保证金的；</w:t>
      </w:r>
    </w:p>
    <w:p w14:paraId="5C65954C">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未按照磋商文件规定要求签署、盖章的；</w:t>
      </w:r>
    </w:p>
    <w:p w14:paraId="0B218254">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未满足磋商文件中技术条款的实质性要求；</w:t>
      </w:r>
    </w:p>
    <w:p w14:paraId="56E3F7E7">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与其他供应商串通投标，或者与采购人串通投标；</w:t>
      </w:r>
    </w:p>
    <w:p w14:paraId="3E08F326">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属于磋商文件规定的其他投标无效情形；</w:t>
      </w:r>
    </w:p>
    <w:p w14:paraId="151DCC24">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评标委员会认为供应商的报价明显低于其他通过符合性检查供应商的报价，有可能影响履约的，且供应商未按照规定证明其报价合理性的；</w:t>
      </w:r>
    </w:p>
    <w:p w14:paraId="1C879A45">
      <w:pPr>
        <w:numPr>
          <w:ilvl w:val="0"/>
          <w:numId w:val="4"/>
        </w:numPr>
        <w:spacing w:line="240" w:lineRule="atLeast"/>
        <w:ind w:left="1230" w:hanging="180"/>
        <w:rPr>
          <w:rFonts w:ascii="仿宋" w:hAnsi="仿宋" w:eastAsia="仿宋" w:cs="仿宋"/>
          <w:b/>
          <w:bCs/>
          <w:sz w:val="24"/>
        </w:rPr>
      </w:pPr>
      <w:r>
        <w:rPr>
          <w:rFonts w:hint="eastAsia" w:ascii="仿宋" w:hAnsi="仿宋" w:eastAsia="仿宋" w:cs="仿宋"/>
          <w:b/>
          <w:bCs/>
          <w:sz w:val="24"/>
        </w:rPr>
        <w:t>响应文件含有采购人不能接受的附加条件的；</w:t>
      </w:r>
    </w:p>
    <w:p w14:paraId="192346CA">
      <w:pPr>
        <w:numPr>
          <w:ilvl w:val="0"/>
          <w:numId w:val="4"/>
        </w:numPr>
        <w:tabs>
          <w:tab w:val="left" w:pos="0"/>
        </w:tabs>
        <w:spacing w:line="240" w:lineRule="atLeast"/>
        <w:ind w:left="1230" w:hanging="180"/>
        <w:rPr>
          <w:rFonts w:ascii="仿宋" w:hAnsi="仿宋" w:eastAsia="仿宋" w:cs="仿宋"/>
        </w:rPr>
      </w:pPr>
      <w:r>
        <w:rPr>
          <w:rFonts w:hint="eastAsia" w:ascii="仿宋" w:hAnsi="仿宋" w:eastAsia="仿宋" w:cs="仿宋"/>
          <w:b/>
          <w:bCs/>
          <w:sz w:val="24"/>
        </w:rPr>
        <w:t>不符合法规和磋商文件中规定的其他实质性要求的。</w:t>
      </w:r>
    </w:p>
    <w:p w14:paraId="7EDA5727">
      <w:pPr>
        <w:spacing w:line="240" w:lineRule="atLeast"/>
        <w:outlineLvl w:val="1"/>
        <w:rPr>
          <w:rFonts w:ascii="仿宋" w:hAnsi="仿宋" w:eastAsia="仿宋" w:cs="仿宋"/>
          <w:b/>
          <w:kern w:val="0"/>
          <w:sz w:val="24"/>
          <w:szCs w:val="20"/>
        </w:rPr>
      </w:pPr>
      <w:bookmarkStart w:id="158" w:name="_Toc13652"/>
      <w:bookmarkStart w:id="159" w:name="_Toc25184"/>
      <w:bookmarkStart w:id="160" w:name="_Toc22941"/>
      <w:bookmarkStart w:id="161" w:name="_Toc515647784"/>
      <w:r>
        <w:rPr>
          <w:rFonts w:hint="eastAsia" w:ascii="仿宋" w:hAnsi="仿宋" w:eastAsia="仿宋" w:cs="仿宋"/>
          <w:b/>
          <w:kern w:val="0"/>
          <w:sz w:val="24"/>
          <w:szCs w:val="20"/>
        </w:rPr>
        <w:t>23.</w:t>
      </w:r>
      <w:bookmarkEnd w:id="149"/>
      <w:r>
        <w:rPr>
          <w:rFonts w:hint="eastAsia" w:ascii="仿宋" w:hAnsi="仿宋" w:eastAsia="仿宋" w:cs="仿宋"/>
          <w:b/>
          <w:kern w:val="0"/>
          <w:sz w:val="24"/>
          <w:szCs w:val="20"/>
        </w:rPr>
        <w:t>比较与评价</w:t>
      </w:r>
      <w:bookmarkEnd w:id="158"/>
      <w:bookmarkEnd w:id="159"/>
      <w:bookmarkEnd w:id="160"/>
      <w:bookmarkEnd w:id="161"/>
    </w:p>
    <w:p w14:paraId="787511DE">
      <w:pPr>
        <w:spacing w:line="240" w:lineRule="atLeast"/>
        <w:ind w:left="900" w:hanging="900" w:hangingChars="375"/>
        <w:rPr>
          <w:rFonts w:ascii="仿宋" w:hAnsi="仿宋" w:eastAsia="仿宋" w:cs="仿宋"/>
          <w:sz w:val="24"/>
        </w:rPr>
      </w:pPr>
      <w:r>
        <w:rPr>
          <w:rFonts w:hint="eastAsia" w:ascii="仿宋" w:hAnsi="仿宋" w:eastAsia="仿宋" w:cs="仿宋"/>
          <w:sz w:val="24"/>
        </w:rPr>
        <w:t>23.1</w:t>
      </w:r>
      <w:r>
        <w:rPr>
          <w:rFonts w:hint="eastAsia" w:ascii="仿宋" w:hAnsi="仿宋" w:eastAsia="仿宋" w:cs="仿宋"/>
          <w:sz w:val="24"/>
        </w:rPr>
        <w:tab/>
      </w:r>
      <w:r>
        <w:rPr>
          <w:rFonts w:hint="eastAsia" w:ascii="仿宋" w:hAnsi="仿宋" w:eastAsia="仿宋" w:cs="仿宋"/>
          <w:sz w:val="24"/>
        </w:rPr>
        <w:t>经符合性审查合格的响应文件，评标委员会将根据磋商文件确定的评标方法和标准，对其技术部分和商务部分作进一步的比较和评价。</w:t>
      </w:r>
    </w:p>
    <w:p w14:paraId="7C04EE84">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23.2  </w:t>
      </w:r>
      <w:r>
        <w:rPr>
          <w:rFonts w:hint="eastAsia" w:ascii="仿宋" w:hAnsi="仿宋" w:eastAsia="仿宋" w:cs="仿宋"/>
          <w:sz w:val="24"/>
        </w:rPr>
        <w:tab/>
      </w:r>
      <w:r>
        <w:rPr>
          <w:rFonts w:hint="eastAsia" w:ascii="仿宋" w:hAnsi="仿宋" w:eastAsia="仿宋" w:cs="仿宋"/>
          <w:sz w:val="24"/>
        </w:rPr>
        <w:t>评标严格按照磋商文件的要求和条件进行。根据实际情况，在</w:t>
      </w:r>
      <w:r>
        <w:rPr>
          <w:rFonts w:hint="eastAsia" w:ascii="仿宋" w:hAnsi="仿宋" w:eastAsia="仿宋" w:cs="仿宋"/>
          <w:sz w:val="24"/>
          <w:u w:val="single"/>
        </w:rPr>
        <w:t>供应商须知资料表</w:t>
      </w:r>
      <w:r>
        <w:rPr>
          <w:rFonts w:hint="eastAsia" w:ascii="仿宋" w:hAnsi="仿宋" w:eastAsia="仿宋" w:cs="仿宋"/>
          <w:sz w:val="24"/>
        </w:rPr>
        <w:t>中规定采用下列一种评标方法，详细评标标准见磋商文件</w:t>
      </w:r>
      <w:r>
        <w:rPr>
          <w:rFonts w:hint="eastAsia" w:ascii="仿宋" w:hAnsi="仿宋" w:eastAsia="仿宋" w:cs="仿宋"/>
          <w:b/>
          <w:sz w:val="24"/>
        </w:rPr>
        <w:t>第六章</w:t>
      </w:r>
      <w:r>
        <w:rPr>
          <w:rFonts w:hint="eastAsia" w:ascii="仿宋" w:hAnsi="仿宋" w:eastAsia="仿宋" w:cs="仿宋"/>
          <w:sz w:val="24"/>
        </w:rPr>
        <w:t>：</w:t>
      </w:r>
    </w:p>
    <w:p w14:paraId="34881AB2">
      <w:pPr>
        <w:pStyle w:val="18"/>
        <w:spacing w:line="240" w:lineRule="atLeast"/>
        <w:ind w:left="957" w:leftChars="456"/>
        <w:rPr>
          <w:rFonts w:ascii="仿宋" w:hAnsi="仿宋" w:eastAsia="仿宋" w:cs="仿宋"/>
          <w:sz w:val="24"/>
          <w:szCs w:val="24"/>
        </w:rPr>
      </w:pPr>
      <w:r>
        <w:rPr>
          <w:rFonts w:hint="eastAsia" w:ascii="仿宋" w:hAnsi="仿宋" w:eastAsia="仿宋" w:cs="仿宋"/>
          <w:sz w:val="24"/>
          <w:szCs w:val="24"/>
        </w:rPr>
        <w:t>（1）最低评标价法，是指响应文件满足磋商文件全部实质性要求，且投标报价最低的供应商为成交候选人的评标方法。</w:t>
      </w:r>
    </w:p>
    <w:p w14:paraId="1B87C78C">
      <w:pPr>
        <w:pStyle w:val="18"/>
        <w:spacing w:line="240" w:lineRule="atLeast"/>
        <w:ind w:left="898" w:leftChars="342" w:hanging="180"/>
        <w:rPr>
          <w:rFonts w:ascii="仿宋" w:hAnsi="仿宋" w:eastAsia="仿宋" w:cs="仿宋"/>
          <w:b/>
          <w:bCs/>
          <w:sz w:val="24"/>
          <w:szCs w:val="24"/>
        </w:rPr>
      </w:pPr>
      <w:r>
        <w:rPr>
          <w:rFonts w:hint="eastAsia" w:ascii="仿宋" w:hAnsi="仿宋" w:eastAsia="仿宋" w:cs="仿宋"/>
          <w:sz w:val="24"/>
          <w:szCs w:val="24"/>
        </w:rPr>
        <w:t xml:space="preserve">  （2）综合评分法，是指响应文件满足磋商文件全部实质性要求，且按照评审因素的量化指标评审得分最高的供应商为成交候选人的评标方法。</w:t>
      </w:r>
      <w:r>
        <w:rPr>
          <w:rFonts w:hint="eastAsia" w:ascii="仿宋" w:hAnsi="仿宋" w:eastAsia="仿宋" w:cs="仿宋"/>
          <w:b/>
          <w:bCs/>
          <w:sz w:val="24"/>
          <w:szCs w:val="24"/>
        </w:rPr>
        <w:t>本项目采用招标方式：竞争性磋商，评分方法：综合评分法。</w:t>
      </w:r>
    </w:p>
    <w:p w14:paraId="1E0DB86A">
      <w:pPr>
        <w:pStyle w:val="18"/>
        <w:spacing w:line="240" w:lineRule="atLeast"/>
        <w:ind w:left="898" w:leftChars="342" w:hanging="180"/>
        <w:rPr>
          <w:rFonts w:ascii="仿宋" w:hAnsi="仿宋" w:eastAsia="仿宋" w:cs="仿宋"/>
          <w:sz w:val="24"/>
          <w:szCs w:val="24"/>
        </w:rPr>
      </w:pPr>
      <w:r>
        <w:rPr>
          <w:rFonts w:hint="eastAsia" w:ascii="仿宋" w:hAnsi="仿宋" w:eastAsia="仿宋" w:cs="仿宋"/>
          <w:b/>
          <w:bCs/>
          <w:sz w:val="24"/>
          <w:szCs w:val="24"/>
        </w:rPr>
        <w:t>其中价格因素占</w:t>
      </w:r>
      <w:r>
        <w:rPr>
          <w:rFonts w:hint="eastAsia" w:ascii="仿宋" w:hAnsi="仿宋" w:eastAsia="仿宋" w:cs="仿宋"/>
          <w:b/>
          <w:bCs/>
          <w:sz w:val="24"/>
          <w:szCs w:val="24"/>
          <w:lang w:val="en-US" w:eastAsia="zh-CN"/>
        </w:rPr>
        <w:t>20</w:t>
      </w:r>
      <w:r>
        <w:rPr>
          <w:rFonts w:hint="eastAsia" w:ascii="仿宋" w:hAnsi="仿宋" w:eastAsia="仿宋" w:cs="仿宋"/>
          <w:b/>
          <w:bCs/>
          <w:sz w:val="24"/>
          <w:szCs w:val="24"/>
        </w:rPr>
        <w:t>分，商务及技术因素占</w:t>
      </w:r>
      <w:r>
        <w:rPr>
          <w:rFonts w:hint="eastAsia" w:ascii="仿宋" w:hAnsi="仿宋" w:eastAsia="仿宋" w:cs="仿宋"/>
          <w:b/>
          <w:bCs/>
          <w:sz w:val="24"/>
          <w:szCs w:val="24"/>
          <w:lang w:val="en-US" w:eastAsia="zh-CN"/>
        </w:rPr>
        <w:t>80</w:t>
      </w:r>
      <w:r>
        <w:rPr>
          <w:rFonts w:hint="eastAsia" w:ascii="仿宋" w:hAnsi="仿宋" w:eastAsia="仿宋" w:cs="仿宋"/>
          <w:b/>
          <w:bCs/>
          <w:sz w:val="24"/>
          <w:szCs w:val="24"/>
        </w:rPr>
        <w:t>分。</w:t>
      </w:r>
    </w:p>
    <w:p w14:paraId="4B95897B">
      <w:pPr>
        <w:widowControl/>
        <w:spacing w:line="400" w:lineRule="atLeast"/>
        <w:ind w:left="840" w:hanging="840" w:hangingChars="400"/>
        <w:jc w:val="left"/>
        <w:rPr>
          <w:rFonts w:ascii="仿宋" w:hAnsi="仿宋" w:eastAsia="仿宋" w:cs="仿宋"/>
          <w:sz w:val="24"/>
        </w:rPr>
      </w:pPr>
      <w:r>
        <w:rPr>
          <w:rFonts w:hint="eastAsia" w:ascii="仿宋" w:hAnsi="仿宋" w:eastAsia="仿宋" w:cs="仿宋"/>
        </w:rPr>
        <w:t xml:space="preserve">23.3     </w:t>
      </w:r>
      <w:r>
        <w:rPr>
          <w:rFonts w:hint="eastAsia" w:ascii="仿宋" w:hAnsi="仿宋" w:eastAsia="仿宋" w:cs="仿宋"/>
          <w:sz w:val="24"/>
        </w:rPr>
        <w:t>根据《财政部、司法部关于政府采购支持监狱企业发展有关问题的通知》（财库〔2014〕68号）和《财政部</w:t>
      </w:r>
      <w:r>
        <w:rPr>
          <w:rFonts w:ascii="仿宋" w:hAnsi="仿宋" w:eastAsia="仿宋" w:cs="仿宋"/>
          <w:sz w:val="24"/>
        </w:rPr>
        <w:t>、</w:t>
      </w:r>
      <w:r>
        <w:rPr>
          <w:rFonts w:hint="eastAsia" w:ascii="仿宋" w:hAnsi="仿宋" w:eastAsia="仿宋" w:cs="仿宋"/>
          <w:sz w:val="24"/>
        </w:rPr>
        <w:t>民政部</w:t>
      </w:r>
      <w:r>
        <w:rPr>
          <w:rFonts w:ascii="仿宋" w:hAnsi="仿宋" w:eastAsia="仿宋" w:cs="仿宋"/>
          <w:sz w:val="24"/>
        </w:rPr>
        <w:t>、</w:t>
      </w:r>
      <w:r>
        <w:rPr>
          <w:rFonts w:hint="eastAsia" w:ascii="仿宋" w:hAnsi="仿宋" w:eastAsia="仿宋" w:cs="仿宋"/>
          <w:sz w:val="24"/>
        </w:rPr>
        <w:t>中国残疾人联合会关于促进残疾人就业政府采购政策的通知》（财库〔2017〕141号）和《政府采购促进中小企业发展管理办法》（财库〔2020〕46号）的规定，对满足价格扣除条件且在响应文件中提交了《供应商企业类型声明函》或省级以上监狱管理局、戒毒管理局（含新疆生产建设兵团）出具的属于监狱企业的证明文件及中小企业出具的证明文件的供应商实行</w:t>
      </w:r>
      <w:r>
        <w:rPr>
          <w:rFonts w:hint="eastAsia" w:ascii="仿宋" w:hAnsi="仿宋" w:eastAsia="仿宋" w:cs="仿宋"/>
          <w:b/>
          <w:bCs/>
          <w:sz w:val="24"/>
          <w:u w:val="single"/>
        </w:rPr>
        <w:t xml:space="preserve"> </w:t>
      </w:r>
      <w:r>
        <w:rPr>
          <w:rFonts w:hint="eastAsia" w:ascii="仿宋" w:hAnsi="仿宋" w:eastAsia="仿宋" w:cs="仿宋"/>
          <w:sz w:val="24"/>
          <w:u w:val="single"/>
        </w:rPr>
        <w:t xml:space="preserve">10% </w:t>
      </w:r>
      <w:r>
        <w:rPr>
          <w:rFonts w:hint="eastAsia" w:ascii="仿宋" w:hAnsi="仿宋" w:eastAsia="仿宋" w:cs="仿宋"/>
          <w:sz w:val="24"/>
        </w:rPr>
        <w:t>价格扣除制度，用扣除后的价格参与价格因素评审。具体办法详见磋商文件第6章。</w:t>
      </w:r>
    </w:p>
    <w:p w14:paraId="2F476AC5">
      <w:pPr>
        <w:pStyle w:val="4"/>
        <w:spacing w:before="0" w:after="0" w:line="240" w:lineRule="atLeast"/>
        <w:rPr>
          <w:rFonts w:ascii="仿宋" w:hAnsi="仿宋" w:eastAsia="仿宋" w:cs="仿宋"/>
          <w:u w:val="none"/>
        </w:rPr>
      </w:pPr>
      <w:bookmarkStart w:id="162" w:name="_Toc520356168"/>
      <w:bookmarkStart w:id="163" w:name="_Toc13284"/>
      <w:bookmarkStart w:id="164" w:name="_Toc9378"/>
      <w:bookmarkStart w:id="165" w:name="_Toc20227"/>
      <w:bookmarkStart w:id="166" w:name="_Toc515647785"/>
      <w:r>
        <w:rPr>
          <w:rFonts w:hint="eastAsia" w:ascii="仿宋" w:hAnsi="仿宋" w:eastAsia="仿宋" w:cs="仿宋"/>
          <w:u w:val="none"/>
        </w:rPr>
        <w:t>24</w:t>
      </w:r>
      <w:bookmarkEnd w:id="162"/>
      <w:r>
        <w:rPr>
          <w:rFonts w:hint="eastAsia" w:ascii="仿宋" w:hAnsi="仿宋" w:eastAsia="仿宋" w:cs="仿宋"/>
          <w:u w:val="none"/>
        </w:rPr>
        <w:t>.废标</w:t>
      </w:r>
      <w:bookmarkEnd w:id="163"/>
      <w:bookmarkEnd w:id="164"/>
      <w:bookmarkEnd w:id="165"/>
      <w:bookmarkEnd w:id="166"/>
    </w:p>
    <w:p w14:paraId="21339909">
      <w:pPr>
        <w:spacing w:line="240" w:lineRule="atLeast"/>
        <w:ind w:left="897" w:leftChars="399" w:hanging="60" w:hangingChars="25"/>
        <w:rPr>
          <w:rFonts w:ascii="仿宋" w:hAnsi="仿宋" w:eastAsia="仿宋" w:cs="仿宋"/>
          <w:b/>
          <w:bCs/>
          <w:sz w:val="24"/>
        </w:rPr>
      </w:pPr>
      <w:r>
        <w:rPr>
          <w:rFonts w:hint="eastAsia" w:ascii="仿宋" w:hAnsi="仿宋" w:eastAsia="仿宋" w:cs="仿宋"/>
          <w:b/>
          <w:bCs/>
          <w:sz w:val="24"/>
        </w:rPr>
        <w:t xml:space="preserve">出现下列情形之一，将导致项目废标： </w:t>
      </w:r>
    </w:p>
    <w:p w14:paraId="3DB21347">
      <w:pPr>
        <w:spacing w:line="240" w:lineRule="atLeast"/>
        <w:ind w:left="904" w:hanging="900" w:hangingChars="375"/>
        <w:rPr>
          <w:rFonts w:ascii="仿宋" w:hAnsi="仿宋" w:eastAsia="仿宋" w:cs="仿宋"/>
          <w:b/>
          <w:bCs/>
          <w:sz w:val="24"/>
        </w:rPr>
      </w:pPr>
      <w:r>
        <w:rPr>
          <w:rFonts w:hint="eastAsia" w:ascii="仿宋" w:hAnsi="仿宋" w:eastAsia="仿宋" w:cs="仿宋"/>
          <w:b/>
          <w:bCs/>
          <w:sz w:val="24"/>
        </w:rPr>
        <w:tab/>
      </w:r>
      <w:r>
        <w:rPr>
          <w:rFonts w:hint="eastAsia" w:ascii="仿宋" w:hAnsi="仿宋" w:eastAsia="仿宋" w:cs="仿宋"/>
          <w:b/>
          <w:bCs/>
          <w:sz w:val="24"/>
        </w:rPr>
        <w:t>（1）符合专业条件的供应商或者对磋商文件做实质性响应的供应商不足三家；</w:t>
      </w:r>
    </w:p>
    <w:p w14:paraId="23FE620E">
      <w:pPr>
        <w:spacing w:line="240" w:lineRule="atLeast"/>
        <w:ind w:left="904" w:hanging="900" w:hangingChars="375"/>
        <w:rPr>
          <w:rFonts w:ascii="仿宋" w:hAnsi="仿宋" w:eastAsia="仿宋" w:cs="仿宋"/>
          <w:b/>
          <w:bCs/>
          <w:sz w:val="24"/>
        </w:rPr>
      </w:pPr>
      <w:r>
        <w:rPr>
          <w:rFonts w:hint="eastAsia" w:ascii="仿宋" w:hAnsi="仿宋" w:eastAsia="仿宋" w:cs="仿宋"/>
          <w:b/>
          <w:bCs/>
          <w:sz w:val="24"/>
        </w:rPr>
        <w:tab/>
      </w:r>
      <w:r>
        <w:rPr>
          <w:rFonts w:hint="eastAsia" w:ascii="仿宋" w:hAnsi="仿宋" w:eastAsia="仿宋" w:cs="仿宋"/>
          <w:b/>
          <w:bCs/>
          <w:sz w:val="24"/>
        </w:rPr>
        <w:t>（2）出现影响采购公正的违法、违规行为的；</w:t>
      </w:r>
    </w:p>
    <w:p w14:paraId="3E84FC8A">
      <w:pPr>
        <w:spacing w:line="240" w:lineRule="atLeast"/>
        <w:ind w:firstLine="840" w:firstLineChars="350"/>
        <w:rPr>
          <w:rFonts w:ascii="仿宋" w:hAnsi="仿宋" w:eastAsia="仿宋" w:cs="仿宋"/>
          <w:b/>
          <w:bCs/>
          <w:sz w:val="24"/>
        </w:rPr>
      </w:pPr>
      <w:r>
        <w:rPr>
          <w:rFonts w:hint="eastAsia" w:ascii="仿宋" w:hAnsi="仿宋" w:eastAsia="仿宋" w:cs="仿宋"/>
          <w:b/>
          <w:bCs/>
          <w:sz w:val="24"/>
        </w:rPr>
        <w:t>（3）供应商的报价均超过了采购预算，采购人不能支付的；</w:t>
      </w:r>
    </w:p>
    <w:p w14:paraId="25E79328">
      <w:pPr>
        <w:spacing w:line="240" w:lineRule="atLeast"/>
        <w:ind w:firstLine="840" w:firstLineChars="350"/>
        <w:rPr>
          <w:rFonts w:ascii="仿宋" w:hAnsi="仿宋" w:eastAsia="仿宋" w:cs="仿宋"/>
          <w:sz w:val="24"/>
        </w:rPr>
      </w:pPr>
      <w:r>
        <w:rPr>
          <w:rFonts w:hint="eastAsia" w:ascii="仿宋" w:hAnsi="仿宋" w:eastAsia="仿宋" w:cs="仿宋"/>
          <w:b/>
          <w:bCs/>
          <w:sz w:val="24"/>
        </w:rPr>
        <w:t>（4）因重大变故，采购任务取消的</w:t>
      </w:r>
      <w:r>
        <w:rPr>
          <w:rFonts w:hint="eastAsia" w:ascii="仿宋" w:hAnsi="仿宋" w:eastAsia="仿宋" w:cs="仿宋"/>
          <w:sz w:val="24"/>
        </w:rPr>
        <w:t xml:space="preserve">。   </w:t>
      </w:r>
    </w:p>
    <w:p w14:paraId="1E6E539F">
      <w:pPr>
        <w:pStyle w:val="4"/>
        <w:spacing w:before="0" w:after="0" w:line="240" w:lineRule="atLeast"/>
        <w:rPr>
          <w:rFonts w:ascii="仿宋" w:hAnsi="仿宋" w:eastAsia="仿宋" w:cs="仿宋"/>
          <w:u w:val="none"/>
        </w:rPr>
      </w:pPr>
      <w:bookmarkStart w:id="167" w:name="_Toc31289"/>
      <w:bookmarkStart w:id="168" w:name="_Toc515647786"/>
      <w:bookmarkStart w:id="169" w:name="_Toc24972"/>
      <w:bookmarkStart w:id="170" w:name="_Toc17874"/>
      <w:bookmarkStart w:id="171" w:name="_Toc12143"/>
      <w:bookmarkStart w:id="172" w:name="_Toc515647787"/>
      <w:bookmarkStart w:id="173" w:name="_Toc216582810"/>
      <w:bookmarkStart w:id="174" w:name="_Toc520356169"/>
      <w:bookmarkStart w:id="175" w:name="_Toc23904"/>
      <w:r>
        <w:rPr>
          <w:rFonts w:hint="eastAsia" w:ascii="仿宋" w:hAnsi="仿宋" w:eastAsia="仿宋" w:cs="仿宋"/>
          <w:u w:val="none"/>
        </w:rPr>
        <w:t>25.保密原则</w:t>
      </w:r>
      <w:bookmarkEnd w:id="167"/>
      <w:bookmarkEnd w:id="168"/>
      <w:bookmarkEnd w:id="169"/>
      <w:bookmarkEnd w:id="170"/>
    </w:p>
    <w:p w14:paraId="0B851BD3">
      <w:pPr>
        <w:spacing w:line="240" w:lineRule="atLeast"/>
        <w:ind w:left="900" w:hanging="900" w:hangingChars="375"/>
        <w:rPr>
          <w:rFonts w:ascii="仿宋" w:hAnsi="仿宋" w:eastAsia="仿宋" w:cs="仿宋"/>
          <w:sz w:val="24"/>
        </w:rPr>
      </w:pPr>
      <w:r>
        <w:rPr>
          <w:rFonts w:hint="eastAsia" w:ascii="仿宋" w:hAnsi="仿宋" w:eastAsia="仿宋" w:cs="仿宋"/>
          <w:sz w:val="24"/>
        </w:rPr>
        <w:t>25.1</w:t>
      </w:r>
      <w:r>
        <w:rPr>
          <w:rFonts w:hint="eastAsia" w:ascii="仿宋" w:hAnsi="仿宋" w:eastAsia="仿宋" w:cs="仿宋"/>
          <w:sz w:val="24"/>
        </w:rPr>
        <w:tab/>
      </w:r>
      <w:r>
        <w:rPr>
          <w:rFonts w:hint="eastAsia" w:ascii="仿宋" w:hAnsi="仿宋" w:eastAsia="仿宋" w:cs="仿宋"/>
          <w:sz w:val="24"/>
        </w:rPr>
        <w:t>评标将在严格保密的情况下进行。开标后，直到授予合同为止，凡是属于审查、澄清、评价和比较的有关资料以及授标建议等评委或参与评标的有关工作人员均不得向投标商或其他无关的人员透露，违者给予警告、取消担任评委的资格，不得再参加任何项目的评标。</w:t>
      </w:r>
    </w:p>
    <w:p w14:paraId="1B2934EC">
      <w:pPr>
        <w:spacing w:line="240" w:lineRule="atLeast"/>
        <w:ind w:left="900" w:hanging="900" w:hangingChars="375"/>
        <w:rPr>
          <w:rFonts w:ascii="仿宋" w:hAnsi="仿宋" w:eastAsia="仿宋" w:cs="仿宋"/>
          <w:sz w:val="24"/>
        </w:rPr>
      </w:pPr>
      <w:r>
        <w:rPr>
          <w:rFonts w:hint="eastAsia" w:ascii="仿宋" w:hAnsi="仿宋" w:eastAsia="仿宋" w:cs="仿宋"/>
          <w:sz w:val="24"/>
        </w:rPr>
        <w:t>25.2</w:t>
      </w:r>
      <w:r>
        <w:rPr>
          <w:rFonts w:hint="eastAsia" w:ascii="仿宋" w:hAnsi="仿宋" w:eastAsia="仿宋" w:cs="仿宋"/>
          <w:sz w:val="24"/>
        </w:rPr>
        <w:tab/>
      </w:r>
      <w:r>
        <w:rPr>
          <w:rFonts w:hint="eastAsia" w:ascii="仿宋" w:hAnsi="仿宋" w:eastAsia="仿宋" w:cs="仿宋"/>
          <w:sz w:val="24"/>
        </w:rPr>
        <w:t xml:space="preserve">政府采购评审专家应当遵守评审工作纪律，不得泄露评审文件、评审情况和评审中获悉的商业秘密。投标商在评标过程中，所进行的力图影响评标结果的不符合《中华人民共和国政府采购法》及本次磋商中有关规定的活动，将被取消其成交资格。   </w:t>
      </w:r>
    </w:p>
    <w:p w14:paraId="60473819">
      <w:pPr>
        <w:spacing w:line="240" w:lineRule="atLeast"/>
        <w:ind w:left="1079" w:leftChars="257" w:hanging="540"/>
        <w:rPr>
          <w:rFonts w:ascii="仿宋" w:hAnsi="仿宋" w:eastAsia="仿宋" w:cs="仿宋"/>
          <w:sz w:val="24"/>
        </w:rPr>
      </w:pPr>
    </w:p>
    <w:p w14:paraId="76197CB1">
      <w:pPr>
        <w:pStyle w:val="3"/>
        <w:spacing w:before="0" w:line="240" w:lineRule="atLeast"/>
        <w:ind w:left="1079" w:leftChars="257" w:hanging="540"/>
        <w:rPr>
          <w:rFonts w:ascii="仿宋" w:hAnsi="仿宋" w:eastAsia="仿宋" w:cs="仿宋"/>
        </w:rPr>
      </w:pPr>
      <w:bookmarkStart w:id="176" w:name="_Toc6348"/>
      <w:r>
        <w:rPr>
          <w:rFonts w:hint="eastAsia" w:ascii="仿宋" w:hAnsi="仿宋" w:eastAsia="仿宋" w:cs="仿宋"/>
          <w:sz w:val="24"/>
        </w:rPr>
        <w:t>六   确定成交</w:t>
      </w:r>
      <w:bookmarkEnd w:id="176"/>
    </w:p>
    <w:p w14:paraId="0AF98F77">
      <w:pPr>
        <w:pStyle w:val="4"/>
        <w:spacing w:before="0" w:after="0" w:line="240" w:lineRule="atLeast"/>
        <w:rPr>
          <w:rFonts w:ascii="仿宋" w:hAnsi="仿宋" w:eastAsia="仿宋" w:cs="仿宋"/>
          <w:u w:val="none"/>
        </w:rPr>
      </w:pPr>
      <w:bookmarkStart w:id="177" w:name="_Toc28928"/>
      <w:r>
        <w:rPr>
          <w:rFonts w:hint="eastAsia" w:ascii="仿宋" w:hAnsi="仿宋" w:eastAsia="仿宋" w:cs="仿宋"/>
          <w:u w:val="none"/>
        </w:rPr>
        <w:t>26.成交候选人的确定原则及标准</w:t>
      </w:r>
      <w:bookmarkEnd w:id="177"/>
    </w:p>
    <w:p w14:paraId="6A9FB5B6">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除第28条规定外，对实质上响应磋商文件的供应商按下列方法进行排序，确定投标候选人：</w:t>
      </w:r>
    </w:p>
    <w:p w14:paraId="611C23B8">
      <w:pPr>
        <w:numPr>
          <w:ilvl w:val="0"/>
          <w:numId w:val="5"/>
        </w:numPr>
        <w:spacing w:line="240" w:lineRule="atLeast"/>
        <w:ind w:left="840"/>
        <w:rPr>
          <w:rFonts w:ascii="仿宋" w:hAnsi="仿宋" w:eastAsia="仿宋" w:cs="仿宋"/>
          <w:sz w:val="24"/>
        </w:rPr>
      </w:pPr>
      <w:r>
        <w:rPr>
          <w:rFonts w:hint="eastAsia" w:ascii="仿宋" w:hAnsi="仿宋" w:eastAsia="仿宋" w:cs="仿宋"/>
          <w:sz w:val="24"/>
        </w:rPr>
        <w:t>采用最低评标价法的，除了算术修正和落实政府采购政策需进行的价格扣除外，不对供应商的投标价格进行任何调整。评标结果按修正和扣除后的投标报价由低到高顺序排列。</w:t>
      </w:r>
    </w:p>
    <w:p w14:paraId="01AA7E13">
      <w:pPr>
        <w:pStyle w:val="18"/>
        <w:numPr>
          <w:ilvl w:val="0"/>
          <w:numId w:val="5"/>
        </w:numPr>
        <w:spacing w:line="240" w:lineRule="atLeast"/>
        <w:ind w:left="840"/>
        <w:rPr>
          <w:rFonts w:ascii="仿宋" w:hAnsi="仿宋" w:eastAsia="仿宋" w:cs="仿宋"/>
          <w:sz w:val="24"/>
        </w:rPr>
      </w:pPr>
      <w:r>
        <w:rPr>
          <w:rFonts w:hint="eastAsia" w:ascii="仿宋" w:hAnsi="仿宋" w:eastAsia="仿宋" w:cs="仿宋"/>
          <w:sz w:val="24"/>
        </w:rPr>
        <w:t>采用</w:t>
      </w:r>
      <w:r>
        <w:rPr>
          <w:rFonts w:hint="eastAsia" w:ascii="仿宋" w:hAnsi="仿宋" w:eastAsia="仿宋" w:cs="仿宋"/>
          <w:sz w:val="24"/>
          <w:szCs w:val="24"/>
        </w:rPr>
        <w:t>综合评分法，是指响应文件满足磋商文件全部实质性要求，且按照评审因素的量化指标评审得分最高的供应商为成交候选人的评标方法。</w:t>
      </w:r>
      <w:r>
        <w:rPr>
          <w:rFonts w:hint="eastAsia" w:ascii="仿宋" w:hAnsi="仿宋" w:eastAsia="仿宋" w:cs="仿宋"/>
          <w:sz w:val="24"/>
        </w:rPr>
        <w:t>报价相同的处理方式详见磋商文件第6章。</w:t>
      </w:r>
    </w:p>
    <w:p w14:paraId="673683A8">
      <w:pPr>
        <w:pStyle w:val="18"/>
        <w:spacing w:line="240" w:lineRule="atLeast"/>
        <w:ind w:left="898" w:leftChars="342" w:hanging="180"/>
        <w:rPr>
          <w:rFonts w:ascii="仿宋" w:hAnsi="仿宋" w:eastAsia="仿宋" w:cs="仿宋"/>
          <w:b/>
          <w:bCs/>
          <w:sz w:val="24"/>
          <w:szCs w:val="24"/>
        </w:rPr>
      </w:pPr>
      <w:r>
        <w:rPr>
          <w:rFonts w:hint="eastAsia" w:ascii="仿宋" w:hAnsi="仿宋" w:eastAsia="仿宋" w:cs="仿宋"/>
          <w:b/>
          <w:bCs/>
          <w:sz w:val="24"/>
          <w:szCs w:val="24"/>
        </w:rPr>
        <w:t>本项目采用招标方式：竞争性磋商，评分方法：综合评分法。</w:t>
      </w:r>
    </w:p>
    <w:p w14:paraId="2D00752C">
      <w:pPr>
        <w:pStyle w:val="18"/>
        <w:spacing w:line="240" w:lineRule="atLeast"/>
        <w:ind w:left="898" w:leftChars="342" w:hanging="180"/>
        <w:rPr>
          <w:rFonts w:ascii="仿宋" w:hAnsi="仿宋" w:eastAsia="仿宋" w:cs="仿宋"/>
          <w:sz w:val="24"/>
          <w:szCs w:val="24"/>
        </w:rPr>
      </w:pPr>
      <w:r>
        <w:rPr>
          <w:rFonts w:hint="eastAsia" w:ascii="仿宋" w:hAnsi="仿宋" w:eastAsia="仿宋" w:cs="仿宋"/>
          <w:b/>
          <w:bCs/>
          <w:sz w:val="24"/>
          <w:szCs w:val="24"/>
        </w:rPr>
        <w:t>其中价格因素占</w:t>
      </w:r>
      <w:r>
        <w:rPr>
          <w:rFonts w:hint="eastAsia" w:ascii="仿宋" w:hAnsi="仿宋" w:eastAsia="仿宋" w:cs="仿宋"/>
          <w:b/>
          <w:bCs/>
          <w:sz w:val="24"/>
          <w:szCs w:val="24"/>
          <w:lang w:val="en-US" w:eastAsia="zh-CN"/>
        </w:rPr>
        <w:t>20</w:t>
      </w:r>
      <w:r>
        <w:rPr>
          <w:rFonts w:hint="eastAsia" w:ascii="仿宋" w:hAnsi="仿宋" w:eastAsia="仿宋" w:cs="仿宋"/>
          <w:b/>
          <w:bCs/>
          <w:sz w:val="24"/>
          <w:szCs w:val="24"/>
        </w:rPr>
        <w:t>分，商务及技术因素占</w:t>
      </w:r>
      <w:r>
        <w:rPr>
          <w:rFonts w:hint="eastAsia" w:ascii="仿宋" w:hAnsi="仿宋" w:eastAsia="仿宋" w:cs="仿宋"/>
          <w:b/>
          <w:bCs/>
          <w:sz w:val="24"/>
          <w:szCs w:val="24"/>
          <w:lang w:val="en-US" w:eastAsia="zh-CN"/>
        </w:rPr>
        <w:t>80</w:t>
      </w:r>
      <w:r>
        <w:rPr>
          <w:rFonts w:hint="eastAsia" w:ascii="仿宋" w:hAnsi="仿宋" w:eastAsia="仿宋" w:cs="仿宋"/>
          <w:b/>
          <w:bCs/>
          <w:sz w:val="24"/>
          <w:szCs w:val="24"/>
        </w:rPr>
        <w:t>分。</w:t>
      </w:r>
    </w:p>
    <w:bookmarkEnd w:id="171"/>
    <w:bookmarkEnd w:id="172"/>
    <w:bookmarkEnd w:id="173"/>
    <w:bookmarkEnd w:id="174"/>
    <w:bookmarkEnd w:id="175"/>
    <w:p w14:paraId="0EDBC001">
      <w:pPr>
        <w:pStyle w:val="4"/>
        <w:tabs>
          <w:tab w:val="left" w:pos="900"/>
        </w:tabs>
        <w:spacing w:before="0" w:after="0" w:line="240" w:lineRule="atLeast"/>
        <w:rPr>
          <w:rFonts w:ascii="仿宋" w:hAnsi="仿宋" w:eastAsia="仿宋" w:cs="仿宋"/>
          <w:u w:val="none"/>
        </w:rPr>
      </w:pPr>
      <w:bookmarkStart w:id="178" w:name="_Toc29354"/>
      <w:bookmarkStart w:id="179" w:name="_Toc23951"/>
      <w:bookmarkStart w:id="180" w:name="_Toc515647789"/>
      <w:bookmarkStart w:id="181" w:name="_Toc9653"/>
      <w:bookmarkStart w:id="182" w:name="_Toc520356171"/>
      <w:r>
        <w:rPr>
          <w:rFonts w:hint="eastAsia" w:ascii="仿宋" w:hAnsi="仿宋" w:eastAsia="仿宋" w:cs="仿宋"/>
          <w:u w:val="none"/>
        </w:rPr>
        <w:t>27.确定成交候选人和成交人</w:t>
      </w:r>
      <w:bookmarkEnd w:id="178"/>
    </w:p>
    <w:p w14:paraId="2699512E">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评标委员会将根据评标标准，按</w:t>
      </w:r>
      <w:r>
        <w:rPr>
          <w:rFonts w:hint="eastAsia" w:ascii="仿宋" w:hAnsi="仿宋" w:eastAsia="仿宋" w:cs="仿宋"/>
          <w:sz w:val="24"/>
          <w:u w:val="single"/>
        </w:rPr>
        <w:t>供应商须知资料表中</w:t>
      </w:r>
      <w:r>
        <w:rPr>
          <w:rFonts w:hint="eastAsia" w:ascii="仿宋" w:hAnsi="仿宋" w:eastAsia="仿宋" w:cs="仿宋"/>
          <w:sz w:val="24"/>
        </w:rPr>
        <w:t>规定数量推荐成交候选人；或根据采购人的委托，直接确定成交人。</w:t>
      </w:r>
    </w:p>
    <w:p w14:paraId="2D962B2D">
      <w:pPr>
        <w:pStyle w:val="4"/>
        <w:tabs>
          <w:tab w:val="left" w:pos="900"/>
        </w:tabs>
        <w:spacing w:before="0" w:after="0" w:line="240" w:lineRule="atLeast"/>
        <w:rPr>
          <w:rFonts w:ascii="仿宋" w:hAnsi="仿宋" w:eastAsia="仿宋" w:cs="仿宋"/>
          <w:u w:val="none"/>
        </w:rPr>
      </w:pPr>
      <w:bookmarkStart w:id="183" w:name="_Toc5580"/>
      <w:r>
        <w:rPr>
          <w:rFonts w:hint="eastAsia" w:ascii="仿宋" w:hAnsi="仿宋" w:eastAsia="仿宋" w:cs="仿宋"/>
          <w:u w:val="none"/>
        </w:rPr>
        <w:t>28.采购任务取消</w:t>
      </w:r>
      <w:bookmarkEnd w:id="183"/>
    </w:p>
    <w:p w14:paraId="0706EB4B">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因重大变故采购任务取消时，采购人有权拒绝任何供应商成交，且对受影响的供应商不承担任何责任。</w:t>
      </w:r>
    </w:p>
    <w:p w14:paraId="39AE4D02">
      <w:pPr>
        <w:pStyle w:val="4"/>
        <w:spacing w:before="0" w:after="0" w:line="240" w:lineRule="atLeast"/>
        <w:rPr>
          <w:rFonts w:ascii="仿宋" w:hAnsi="仿宋" w:eastAsia="仿宋" w:cs="仿宋"/>
          <w:u w:val="none"/>
        </w:rPr>
      </w:pPr>
      <w:bookmarkStart w:id="184" w:name="_Toc7989"/>
      <w:r>
        <w:rPr>
          <w:rFonts w:hint="eastAsia" w:ascii="仿宋" w:hAnsi="仿宋" w:eastAsia="仿宋" w:cs="仿宋"/>
          <w:u w:val="none"/>
        </w:rPr>
        <w:t>29.成交通知书和结果通知书</w:t>
      </w:r>
      <w:bookmarkEnd w:id="184"/>
    </w:p>
    <w:p w14:paraId="082708DD">
      <w:pPr>
        <w:spacing w:line="240" w:lineRule="atLeast"/>
        <w:ind w:left="900" w:hanging="900" w:hangingChars="375"/>
        <w:rPr>
          <w:rFonts w:ascii="仿宋" w:hAnsi="仿宋" w:eastAsia="仿宋" w:cs="仿宋"/>
          <w:sz w:val="24"/>
        </w:rPr>
      </w:pPr>
      <w:r>
        <w:rPr>
          <w:rFonts w:hint="eastAsia" w:ascii="仿宋" w:hAnsi="仿宋" w:eastAsia="仿宋" w:cs="仿宋"/>
          <w:sz w:val="24"/>
        </w:rPr>
        <w:t>29.1</w:t>
      </w:r>
      <w:r>
        <w:rPr>
          <w:rFonts w:hint="eastAsia" w:ascii="仿宋" w:hAnsi="仿宋" w:eastAsia="仿宋" w:cs="仿宋"/>
          <w:sz w:val="24"/>
        </w:rPr>
        <w:tab/>
      </w:r>
      <w:r>
        <w:rPr>
          <w:rFonts w:hint="eastAsia" w:ascii="仿宋" w:hAnsi="仿宋" w:eastAsia="仿宋" w:cs="仿宋"/>
          <w:sz w:val="24"/>
        </w:rPr>
        <w:t>在投标有效期内，成交人确定后，采购人或者采购代理机构发布成交公告，同时以书面形式向成交人发出成交通知书。</w:t>
      </w:r>
    </w:p>
    <w:p w14:paraId="328FD14F">
      <w:pPr>
        <w:spacing w:line="240" w:lineRule="atLeast"/>
        <w:ind w:left="900" w:hanging="900" w:hangingChars="375"/>
        <w:rPr>
          <w:rFonts w:ascii="仿宋" w:hAnsi="仿宋" w:eastAsia="仿宋" w:cs="仿宋"/>
          <w:sz w:val="24"/>
        </w:rPr>
      </w:pPr>
      <w:r>
        <w:rPr>
          <w:rFonts w:hint="eastAsia" w:ascii="仿宋" w:hAnsi="仿宋" w:eastAsia="仿宋" w:cs="仿宋"/>
          <w:sz w:val="24"/>
        </w:rPr>
        <w:t>29.2</w:t>
      </w:r>
      <w:r>
        <w:rPr>
          <w:rFonts w:hint="eastAsia" w:ascii="仿宋" w:hAnsi="仿宋" w:eastAsia="仿宋" w:cs="仿宋"/>
          <w:sz w:val="24"/>
        </w:rPr>
        <w:tab/>
      </w:r>
      <w:r>
        <w:rPr>
          <w:rFonts w:hint="eastAsia" w:ascii="仿宋" w:hAnsi="仿宋" w:eastAsia="仿宋" w:cs="仿宋"/>
          <w:sz w:val="24"/>
        </w:rPr>
        <w:t>成交通知书是合同的组成部分。</w:t>
      </w:r>
    </w:p>
    <w:p w14:paraId="31829629">
      <w:pPr>
        <w:spacing w:line="240" w:lineRule="atLeast"/>
        <w:ind w:left="900" w:hanging="900" w:hangingChars="375"/>
        <w:rPr>
          <w:rFonts w:ascii="仿宋" w:hAnsi="仿宋" w:eastAsia="仿宋" w:cs="仿宋"/>
          <w:sz w:val="24"/>
        </w:rPr>
      </w:pPr>
      <w:r>
        <w:rPr>
          <w:rFonts w:hint="eastAsia" w:ascii="仿宋" w:hAnsi="仿宋" w:eastAsia="仿宋" w:cs="仿宋"/>
          <w:sz w:val="24"/>
        </w:rPr>
        <w:t>29.3    招标结果通知书和成交通知书同时发出。招标结果通知书中将告知未通过资格审查的供应商未通过的原因；</w:t>
      </w:r>
      <w:bookmarkEnd w:id="179"/>
      <w:bookmarkEnd w:id="180"/>
      <w:bookmarkEnd w:id="181"/>
      <w:bookmarkEnd w:id="182"/>
    </w:p>
    <w:p w14:paraId="7ED2ADE7">
      <w:pPr>
        <w:pStyle w:val="4"/>
        <w:spacing w:before="0" w:after="0" w:line="240" w:lineRule="atLeast"/>
        <w:rPr>
          <w:rFonts w:ascii="仿宋" w:hAnsi="仿宋" w:eastAsia="仿宋" w:cs="仿宋"/>
          <w:u w:val="none"/>
        </w:rPr>
      </w:pPr>
      <w:bookmarkStart w:id="185" w:name="_Toc10499"/>
      <w:bookmarkStart w:id="186" w:name="_Toc790"/>
      <w:bookmarkStart w:id="187" w:name="_Toc7779"/>
      <w:bookmarkStart w:id="188" w:name="_Ref467306978"/>
      <w:bookmarkStart w:id="189" w:name="_Toc520356175"/>
      <w:bookmarkStart w:id="190" w:name="_Toc515647792"/>
      <w:bookmarkStart w:id="191" w:name="_Ref467307062"/>
      <w:bookmarkStart w:id="192" w:name="_Ref467307204"/>
      <w:bookmarkStart w:id="193" w:name="_Ref467306377"/>
      <w:r>
        <w:rPr>
          <w:rFonts w:hint="eastAsia" w:ascii="仿宋" w:hAnsi="仿宋" w:eastAsia="仿宋" w:cs="仿宋"/>
          <w:u w:val="none"/>
        </w:rPr>
        <w:t>30.签订合同</w:t>
      </w:r>
      <w:bookmarkEnd w:id="185"/>
      <w:bookmarkEnd w:id="186"/>
      <w:bookmarkEnd w:id="187"/>
      <w:bookmarkEnd w:id="188"/>
      <w:bookmarkEnd w:id="189"/>
      <w:bookmarkEnd w:id="190"/>
      <w:bookmarkEnd w:id="191"/>
      <w:bookmarkEnd w:id="192"/>
      <w:bookmarkEnd w:id="193"/>
    </w:p>
    <w:p w14:paraId="14CD1F87">
      <w:pPr>
        <w:spacing w:line="240" w:lineRule="atLeast"/>
        <w:ind w:left="900" w:hanging="900" w:hangingChars="375"/>
        <w:rPr>
          <w:rFonts w:ascii="仿宋" w:hAnsi="仿宋" w:eastAsia="仿宋" w:cs="仿宋"/>
          <w:sz w:val="24"/>
        </w:rPr>
      </w:pPr>
      <w:r>
        <w:rPr>
          <w:rFonts w:hint="eastAsia" w:ascii="仿宋" w:hAnsi="仿宋" w:eastAsia="仿宋" w:cs="仿宋"/>
          <w:sz w:val="24"/>
        </w:rPr>
        <w:t>30.1</w:t>
      </w:r>
      <w:r>
        <w:rPr>
          <w:rFonts w:hint="eastAsia" w:ascii="仿宋" w:hAnsi="仿宋" w:eastAsia="仿宋" w:cs="仿宋"/>
          <w:sz w:val="24"/>
        </w:rPr>
        <w:tab/>
      </w:r>
      <w:r>
        <w:rPr>
          <w:rFonts w:hint="eastAsia" w:ascii="仿宋" w:hAnsi="仿宋" w:eastAsia="仿宋" w:cs="仿宋"/>
          <w:sz w:val="24"/>
        </w:rPr>
        <w:t>成交人应当自发出成交通知书之日起30日内，与采购人签订合同。</w:t>
      </w:r>
    </w:p>
    <w:p w14:paraId="1BEC7252">
      <w:pPr>
        <w:spacing w:line="240" w:lineRule="atLeast"/>
        <w:ind w:left="900" w:hanging="900" w:hangingChars="375"/>
        <w:rPr>
          <w:rFonts w:ascii="仿宋" w:hAnsi="仿宋" w:eastAsia="仿宋" w:cs="仿宋"/>
          <w:sz w:val="24"/>
        </w:rPr>
      </w:pPr>
      <w:r>
        <w:rPr>
          <w:rFonts w:hint="eastAsia" w:ascii="仿宋" w:hAnsi="仿宋" w:eastAsia="仿宋" w:cs="仿宋"/>
          <w:sz w:val="24"/>
        </w:rPr>
        <w:t>30.2</w:t>
      </w:r>
      <w:r>
        <w:rPr>
          <w:rFonts w:hint="eastAsia" w:ascii="仿宋" w:hAnsi="仿宋" w:eastAsia="仿宋" w:cs="仿宋"/>
          <w:sz w:val="24"/>
        </w:rPr>
        <w:tab/>
      </w:r>
      <w:bookmarkStart w:id="194" w:name="_Ref467306425"/>
      <w:bookmarkStart w:id="195" w:name="_Toc520356176"/>
      <w:bookmarkStart w:id="196" w:name="_Ref467307090"/>
      <w:r>
        <w:rPr>
          <w:rFonts w:hint="eastAsia" w:ascii="仿宋" w:hAnsi="仿宋" w:eastAsia="仿宋" w:cs="仿宋"/>
          <w:sz w:val="24"/>
        </w:rPr>
        <w:t>磋商文件、成交人的响应文件及其澄清文件等，均为签订合同的依据。</w:t>
      </w:r>
    </w:p>
    <w:p w14:paraId="20D2776F">
      <w:pPr>
        <w:pStyle w:val="12"/>
        <w:ind w:left="960" w:hanging="960" w:hangingChars="400"/>
        <w:rPr>
          <w:rFonts w:ascii="仿宋" w:hAnsi="仿宋" w:eastAsia="仿宋" w:cs="仿宋"/>
          <w:sz w:val="24"/>
        </w:rPr>
      </w:pPr>
      <w:r>
        <w:rPr>
          <w:rFonts w:hint="eastAsia" w:ascii="仿宋" w:hAnsi="仿宋" w:eastAsia="仿宋" w:cs="仿宋"/>
          <w:sz w:val="24"/>
        </w:rPr>
        <w:t>30.3   成交人拒绝与采购人签订合同的，或在约定的期限内不和采购人签订合同的，采购人可以按照评审报告推荐的成交候选人名单排序，确定下一成交候选人为成交人，也可以重新开展政府采购活动。</w:t>
      </w:r>
    </w:p>
    <w:p w14:paraId="1E8C1EB3">
      <w:pPr>
        <w:spacing w:line="240" w:lineRule="atLeast"/>
        <w:ind w:left="900" w:hanging="900" w:hangingChars="375"/>
        <w:rPr>
          <w:rFonts w:ascii="仿宋" w:hAnsi="仿宋" w:eastAsia="仿宋" w:cs="仿宋"/>
          <w:sz w:val="24"/>
        </w:rPr>
      </w:pPr>
      <w:r>
        <w:rPr>
          <w:rFonts w:hint="eastAsia" w:ascii="仿宋" w:hAnsi="仿宋" w:eastAsia="仿宋" w:cs="仿宋"/>
          <w:sz w:val="24"/>
        </w:rPr>
        <w:t>30.4   当出现法规规定的</w:t>
      </w:r>
      <w:r>
        <w:rPr>
          <w:rFonts w:hint="eastAsia" w:ascii="仿宋" w:hAnsi="仿宋" w:eastAsia="仿宋" w:cs="仿宋"/>
          <w:b/>
          <w:sz w:val="24"/>
        </w:rPr>
        <w:t>成交无效或成交结果无效</w:t>
      </w:r>
      <w:r>
        <w:rPr>
          <w:rFonts w:hint="eastAsia" w:ascii="仿宋" w:hAnsi="仿宋" w:eastAsia="仿宋" w:cs="仿宋"/>
          <w:sz w:val="24"/>
        </w:rPr>
        <w:t>情形时，采购人可与排名下一位的成交候选人另行签订合同，或依法重新开展采购活动。</w:t>
      </w:r>
    </w:p>
    <w:p w14:paraId="0AFCF0DA">
      <w:pPr>
        <w:pStyle w:val="4"/>
        <w:spacing w:before="0" w:after="0" w:line="240" w:lineRule="atLeast"/>
        <w:rPr>
          <w:rFonts w:ascii="仿宋" w:hAnsi="仿宋" w:eastAsia="仿宋" w:cs="仿宋"/>
          <w:u w:val="none"/>
        </w:rPr>
      </w:pPr>
      <w:bookmarkStart w:id="197" w:name="_Toc515647793"/>
      <w:bookmarkStart w:id="198" w:name="_Toc14080"/>
      <w:bookmarkStart w:id="199" w:name="_Toc22555"/>
      <w:bookmarkStart w:id="200" w:name="_Toc24109"/>
      <w:r>
        <w:rPr>
          <w:rFonts w:hint="eastAsia" w:ascii="仿宋" w:hAnsi="仿宋" w:eastAsia="仿宋" w:cs="仿宋"/>
          <w:u w:val="none"/>
        </w:rPr>
        <w:t>31.履约保证金</w:t>
      </w:r>
      <w:bookmarkEnd w:id="194"/>
      <w:bookmarkEnd w:id="195"/>
      <w:bookmarkEnd w:id="196"/>
      <w:bookmarkEnd w:id="197"/>
      <w:bookmarkEnd w:id="198"/>
      <w:bookmarkEnd w:id="199"/>
      <w:bookmarkEnd w:id="200"/>
    </w:p>
    <w:p w14:paraId="5663BE65">
      <w:pPr>
        <w:spacing w:line="240" w:lineRule="atLeast"/>
        <w:ind w:left="900" w:hanging="900" w:hangingChars="375"/>
        <w:rPr>
          <w:rFonts w:ascii="仿宋" w:hAnsi="仿宋" w:eastAsia="仿宋" w:cs="仿宋"/>
          <w:sz w:val="24"/>
        </w:rPr>
      </w:pPr>
      <w:r>
        <w:rPr>
          <w:rFonts w:hint="eastAsia" w:ascii="仿宋" w:hAnsi="仿宋" w:eastAsia="仿宋" w:cs="仿宋"/>
          <w:sz w:val="24"/>
        </w:rPr>
        <w:t>31.1</w:t>
      </w:r>
      <w:r>
        <w:rPr>
          <w:rFonts w:hint="eastAsia" w:ascii="仿宋" w:hAnsi="仿宋" w:eastAsia="仿宋" w:cs="仿宋"/>
          <w:sz w:val="24"/>
        </w:rPr>
        <w:tab/>
      </w:r>
      <w:r>
        <w:rPr>
          <w:rFonts w:hint="eastAsia" w:ascii="仿宋" w:hAnsi="仿宋" w:eastAsia="仿宋" w:cs="仿宋"/>
          <w:sz w:val="24"/>
        </w:rPr>
        <w:t>成交人应按照</w:t>
      </w:r>
      <w:r>
        <w:rPr>
          <w:rFonts w:hint="eastAsia" w:ascii="仿宋" w:hAnsi="仿宋" w:eastAsia="仿宋" w:cs="仿宋"/>
          <w:sz w:val="24"/>
          <w:u w:val="single"/>
        </w:rPr>
        <w:t>供应商须知资料表</w:t>
      </w:r>
      <w:r>
        <w:rPr>
          <w:rFonts w:hint="eastAsia" w:ascii="仿宋" w:hAnsi="仿宋" w:eastAsia="仿宋" w:cs="仿宋"/>
          <w:sz w:val="24"/>
        </w:rPr>
        <w:t>规定向采购人缴纳履约保证金（如采用保函形式，格式见本章附件1）。</w:t>
      </w:r>
    </w:p>
    <w:p w14:paraId="6B76AC9D">
      <w:pPr>
        <w:spacing w:line="240" w:lineRule="atLeast"/>
        <w:ind w:left="900" w:hanging="900" w:hangingChars="375"/>
        <w:rPr>
          <w:rFonts w:ascii="仿宋" w:hAnsi="仿宋" w:eastAsia="仿宋" w:cs="仿宋"/>
          <w:sz w:val="24"/>
        </w:rPr>
      </w:pPr>
      <w:r>
        <w:rPr>
          <w:rFonts w:hint="eastAsia" w:ascii="仿宋" w:hAnsi="仿宋" w:eastAsia="仿宋" w:cs="仿宋"/>
          <w:sz w:val="24"/>
        </w:rPr>
        <w:t>31.2</w:t>
      </w:r>
      <w:r>
        <w:rPr>
          <w:rFonts w:hint="eastAsia" w:ascii="仿宋" w:hAnsi="仿宋" w:eastAsia="仿宋" w:cs="仿宋"/>
          <w:sz w:val="24"/>
        </w:rPr>
        <w:tab/>
      </w:r>
      <w:r>
        <w:rPr>
          <w:rFonts w:hint="eastAsia" w:ascii="仿宋" w:hAnsi="仿宋" w:eastAsia="仿宋" w:cs="仿宋"/>
          <w:sz w:val="24"/>
        </w:rPr>
        <w:t>政府采购利用担保试点范围内的项目，除31.1规定的情形外，成交人也可以按照财政部门的规定，向采购人提供合格的履约担保函（格式见本章附件2）。</w:t>
      </w:r>
    </w:p>
    <w:p w14:paraId="592EB511">
      <w:pPr>
        <w:spacing w:line="240" w:lineRule="atLeast"/>
        <w:ind w:left="900" w:hanging="900" w:hangingChars="375"/>
        <w:rPr>
          <w:rFonts w:ascii="仿宋" w:hAnsi="仿宋" w:eastAsia="仿宋" w:cs="仿宋"/>
          <w:sz w:val="24"/>
        </w:rPr>
      </w:pPr>
      <w:r>
        <w:rPr>
          <w:rFonts w:hint="eastAsia" w:ascii="仿宋" w:hAnsi="仿宋" w:eastAsia="仿宋" w:cs="仿宋"/>
          <w:sz w:val="24"/>
        </w:rPr>
        <w:t>31.3   如果成交人没有按照上述履约保证金的规定执行，将视为放弃成交资格，成交人的投标保证金将不予退还。在此情况下，采购人可确定下一候选人为成交人，也可以重新开展采购活动。</w:t>
      </w:r>
    </w:p>
    <w:p w14:paraId="2911CA84">
      <w:pPr>
        <w:pStyle w:val="4"/>
        <w:spacing w:before="0" w:after="0" w:line="240" w:lineRule="atLeast"/>
        <w:rPr>
          <w:rFonts w:ascii="仿宋" w:hAnsi="仿宋" w:eastAsia="仿宋" w:cs="仿宋"/>
          <w:u w:val="none"/>
        </w:rPr>
      </w:pPr>
      <w:bookmarkStart w:id="201" w:name="_Toc14562"/>
      <w:bookmarkStart w:id="202" w:name="_Toc3090"/>
      <w:bookmarkStart w:id="203" w:name="_Toc29408"/>
      <w:bookmarkStart w:id="204" w:name="_Toc515647794"/>
      <w:r>
        <w:rPr>
          <w:rFonts w:hint="eastAsia" w:ascii="仿宋" w:hAnsi="仿宋" w:eastAsia="仿宋" w:cs="仿宋"/>
          <w:u w:val="none"/>
        </w:rPr>
        <w:t>32.成交服务费</w:t>
      </w:r>
      <w:bookmarkEnd w:id="201"/>
      <w:bookmarkEnd w:id="202"/>
      <w:bookmarkEnd w:id="203"/>
      <w:bookmarkEnd w:id="204"/>
    </w:p>
    <w:p w14:paraId="19828FDC">
      <w:pPr>
        <w:spacing w:line="240" w:lineRule="atLeast"/>
        <w:ind w:left="840" w:leftChars="200" w:hanging="420" w:hangingChars="175"/>
        <w:rPr>
          <w:rFonts w:ascii="仿宋" w:hAnsi="仿宋" w:eastAsia="仿宋" w:cs="仿宋"/>
          <w:sz w:val="24"/>
        </w:rPr>
      </w:pPr>
      <w:r>
        <w:rPr>
          <w:rFonts w:hint="eastAsia" w:ascii="仿宋" w:hAnsi="仿宋" w:eastAsia="仿宋" w:cs="仿宋"/>
          <w:sz w:val="24"/>
        </w:rPr>
        <w:t xml:space="preserve">   成交人须按照</w:t>
      </w:r>
      <w:r>
        <w:rPr>
          <w:rFonts w:hint="eastAsia" w:ascii="仿宋" w:hAnsi="仿宋" w:eastAsia="仿宋" w:cs="仿宋"/>
          <w:sz w:val="24"/>
          <w:u w:val="single"/>
        </w:rPr>
        <w:t>投标须知资料表</w:t>
      </w:r>
      <w:r>
        <w:rPr>
          <w:rFonts w:hint="eastAsia" w:ascii="仿宋" w:hAnsi="仿宋" w:eastAsia="仿宋" w:cs="仿宋"/>
          <w:sz w:val="24"/>
        </w:rPr>
        <w:t>规定，向采购代理机构支付成交服务费。</w:t>
      </w:r>
    </w:p>
    <w:p w14:paraId="7916997F">
      <w:pPr>
        <w:pStyle w:val="4"/>
        <w:spacing w:before="0" w:after="0" w:line="240" w:lineRule="atLeast"/>
        <w:rPr>
          <w:rFonts w:ascii="仿宋" w:hAnsi="仿宋" w:eastAsia="仿宋" w:cs="仿宋"/>
          <w:u w:val="none"/>
        </w:rPr>
      </w:pPr>
      <w:bookmarkStart w:id="205" w:name="_Toc6923"/>
      <w:bookmarkStart w:id="206" w:name="_Toc7049"/>
      <w:bookmarkStart w:id="207" w:name="_Toc9300"/>
      <w:bookmarkStart w:id="208" w:name="_Toc515647795"/>
      <w:r>
        <w:rPr>
          <w:rFonts w:hint="eastAsia" w:ascii="仿宋" w:hAnsi="仿宋" w:eastAsia="仿宋" w:cs="仿宋"/>
          <w:u w:val="none"/>
        </w:rPr>
        <w:t>33.政府采购信用担保</w:t>
      </w:r>
      <w:bookmarkEnd w:id="205"/>
      <w:bookmarkEnd w:id="206"/>
      <w:bookmarkEnd w:id="207"/>
      <w:bookmarkEnd w:id="208"/>
    </w:p>
    <w:p w14:paraId="1E8F159F">
      <w:pPr>
        <w:spacing w:line="240" w:lineRule="atLeast"/>
        <w:ind w:left="900" w:hanging="900" w:hangingChars="375"/>
        <w:rPr>
          <w:rFonts w:ascii="仿宋" w:hAnsi="仿宋" w:eastAsia="仿宋" w:cs="仿宋"/>
          <w:sz w:val="24"/>
        </w:rPr>
      </w:pPr>
      <w:r>
        <w:rPr>
          <w:rFonts w:hint="eastAsia" w:ascii="仿宋" w:hAnsi="仿宋" w:eastAsia="仿宋" w:cs="仿宋"/>
          <w:sz w:val="24"/>
        </w:rPr>
        <w:t>33.1   本项目是否属于信用担保试点范围见</w:t>
      </w:r>
      <w:r>
        <w:rPr>
          <w:rFonts w:hint="eastAsia" w:ascii="仿宋" w:hAnsi="仿宋" w:eastAsia="仿宋" w:cs="仿宋"/>
          <w:sz w:val="24"/>
          <w:u w:val="single"/>
        </w:rPr>
        <w:t>供应商须知资料表</w:t>
      </w:r>
      <w:r>
        <w:rPr>
          <w:rFonts w:hint="eastAsia" w:ascii="仿宋" w:hAnsi="仿宋" w:eastAsia="仿宋" w:cs="仿宋"/>
          <w:sz w:val="24"/>
        </w:rPr>
        <w:t>。</w:t>
      </w:r>
    </w:p>
    <w:p w14:paraId="11235608">
      <w:pPr>
        <w:spacing w:line="240" w:lineRule="atLeast"/>
        <w:ind w:left="850" w:hanging="849" w:hangingChars="354"/>
        <w:rPr>
          <w:rFonts w:ascii="仿宋" w:hAnsi="仿宋" w:eastAsia="仿宋" w:cs="仿宋"/>
          <w:sz w:val="24"/>
        </w:rPr>
      </w:pPr>
      <w:r>
        <w:rPr>
          <w:rFonts w:hint="eastAsia" w:ascii="仿宋" w:hAnsi="仿宋" w:eastAsia="仿宋" w:cs="仿宋"/>
          <w:sz w:val="24"/>
        </w:rPr>
        <w:t>33.2   如属于政府采购信用担保试点范围内，中小型企业供应商可以自由按照财政部门的规定，采用投标担保、履约担保和融资担保。</w:t>
      </w:r>
    </w:p>
    <w:p w14:paraId="4AE8AD73">
      <w:pPr>
        <w:spacing w:line="240" w:lineRule="atLeast"/>
        <w:ind w:left="900" w:hanging="900" w:hangingChars="375"/>
        <w:rPr>
          <w:rFonts w:ascii="仿宋" w:hAnsi="仿宋" w:eastAsia="仿宋" w:cs="仿宋"/>
          <w:sz w:val="24"/>
        </w:rPr>
      </w:pPr>
      <w:r>
        <w:rPr>
          <w:rFonts w:hint="eastAsia" w:ascii="仿宋" w:hAnsi="仿宋" w:eastAsia="仿宋" w:cs="仿宋"/>
          <w:sz w:val="24"/>
        </w:rPr>
        <w:t>33.2.1 供应商递交的投标担保函和履约担保函应符合本磋商文件的规定。</w:t>
      </w:r>
    </w:p>
    <w:p w14:paraId="0375DE64">
      <w:pPr>
        <w:spacing w:line="240" w:lineRule="atLeast"/>
        <w:ind w:left="900" w:hanging="900" w:hangingChars="375"/>
        <w:rPr>
          <w:rFonts w:ascii="仿宋" w:hAnsi="仿宋" w:eastAsia="仿宋" w:cs="仿宋"/>
          <w:sz w:val="24"/>
        </w:rPr>
      </w:pPr>
      <w:r>
        <w:rPr>
          <w:rFonts w:hint="eastAsia" w:ascii="仿宋" w:hAnsi="仿宋" w:eastAsia="仿宋" w:cs="仿宋"/>
          <w:sz w:val="24"/>
        </w:rPr>
        <w:t>33.2.2 成交人可以采取融资担保的形式为政府采购项目履约进行融资。</w:t>
      </w:r>
    </w:p>
    <w:p w14:paraId="3B68CF87">
      <w:pPr>
        <w:spacing w:line="240" w:lineRule="atLeast"/>
        <w:ind w:left="900" w:hanging="900" w:hangingChars="375"/>
        <w:rPr>
          <w:rFonts w:ascii="仿宋" w:hAnsi="仿宋" w:eastAsia="仿宋" w:cs="仿宋"/>
          <w:sz w:val="24"/>
        </w:rPr>
      </w:pPr>
      <w:r>
        <w:rPr>
          <w:rFonts w:hint="eastAsia" w:ascii="仿宋" w:hAnsi="仿宋" w:eastAsia="仿宋" w:cs="仿宋"/>
          <w:sz w:val="24"/>
        </w:rPr>
        <w:t>33.2.3 合格的政府采购专业信用担保机构名单见</w:t>
      </w:r>
      <w:r>
        <w:rPr>
          <w:rFonts w:hint="eastAsia" w:ascii="仿宋" w:hAnsi="仿宋" w:eastAsia="仿宋" w:cs="仿宋"/>
          <w:sz w:val="24"/>
          <w:u w:val="single"/>
        </w:rPr>
        <w:t>供应商须知资料表</w:t>
      </w:r>
      <w:r>
        <w:rPr>
          <w:rFonts w:hint="eastAsia" w:ascii="仿宋" w:hAnsi="仿宋" w:eastAsia="仿宋" w:cs="仿宋"/>
          <w:sz w:val="24"/>
        </w:rPr>
        <w:t>。</w:t>
      </w:r>
    </w:p>
    <w:p w14:paraId="70FA9A91">
      <w:pPr>
        <w:pStyle w:val="4"/>
        <w:spacing w:before="0" w:after="0" w:line="240" w:lineRule="atLeast"/>
        <w:rPr>
          <w:rFonts w:ascii="仿宋" w:hAnsi="仿宋" w:eastAsia="仿宋" w:cs="仿宋"/>
          <w:u w:val="none"/>
        </w:rPr>
      </w:pPr>
      <w:bookmarkStart w:id="209" w:name="_Toc28857"/>
      <w:bookmarkStart w:id="210" w:name="_Toc23999"/>
      <w:bookmarkStart w:id="211" w:name="_Toc2133"/>
      <w:bookmarkStart w:id="212" w:name="_Toc515647796"/>
      <w:r>
        <w:rPr>
          <w:rFonts w:hint="eastAsia" w:ascii="仿宋" w:hAnsi="仿宋" w:eastAsia="仿宋" w:cs="仿宋"/>
          <w:u w:val="none"/>
        </w:rPr>
        <w:t>34.廉洁自律规定</w:t>
      </w:r>
      <w:bookmarkEnd w:id="209"/>
      <w:bookmarkEnd w:id="210"/>
      <w:bookmarkEnd w:id="211"/>
      <w:bookmarkEnd w:id="212"/>
    </w:p>
    <w:p w14:paraId="10F98CA7">
      <w:pPr>
        <w:spacing w:line="240" w:lineRule="atLeast"/>
        <w:ind w:left="900" w:hanging="900" w:hangingChars="375"/>
        <w:rPr>
          <w:rFonts w:ascii="仿宋" w:hAnsi="仿宋" w:eastAsia="仿宋" w:cs="仿宋"/>
          <w:sz w:val="24"/>
        </w:rPr>
      </w:pPr>
      <w:r>
        <w:rPr>
          <w:rFonts w:hint="eastAsia" w:ascii="仿宋" w:hAnsi="仿宋" w:eastAsia="仿宋" w:cs="仿宋"/>
          <w:sz w:val="24"/>
        </w:rPr>
        <w:t>34.1   采购代理机构工作人员不得以不正当手段获取政府采购代理业务，不得与采购人、供应商恶意串通操纵政府采购活动。</w:t>
      </w:r>
    </w:p>
    <w:p w14:paraId="33A70B35">
      <w:pPr>
        <w:spacing w:line="240" w:lineRule="atLeast"/>
        <w:ind w:left="900" w:hanging="900" w:hangingChars="375"/>
        <w:rPr>
          <w:rFonts w:ascii="仿宋" w:hAnsi="仿宋" w:eastAsia="仿宋" w:cs="仿宋"/>
          <w:sz w:val="24"/>
        </w:rPr>
      </w:pPr>
      <w:r>
        <w:rPr>
          <w:rFonts w:hint="eastAsia" w:ascii="仿宋" w:hAnsi="仿宋" w:eastAsia="仿宋" w:cs="仿宋"/>
          <w:sz w:val="24"/>
        </w:rPr>
        <w:t>34.2   采购代理机构工作人员不得接受采购人或者供应商组织的宴请、旅游、娱乐，不得收受礼品、现金、有价证券等，不得向采购人或者供应商报销应当由个人承担的费用。</w:t>
      </w:r>
    </w:p>
    <w:p w14:paraId="1CC8C3F1">
      <w:pPr>
        <w:spacing w:line="240" w:lineRule="atLeast"/>
        <w:ind w:left="900" w:hanging="900" w:hangingChars="375"/>
        <w:rPr>
          <w:rFonts w:ascii="仿宋" w:hAnsi="仿宋" w:eastAsia="仿宋" w:cs="仿宋"/>
          <w:sz w:val="24"/>
        </w:rPr>
      </w:pPr>
      <w:r>
        <w:rPr>
          <w:rFonts w:hint="eastAsia" w:ascii="仿宋" w:hAnsi="仿宋" w:eastAsia="仿宋" w:cs="仿宋"/>
          <w:sz w:val="24"/>
        </w:rPr>
        <w:t>34.3   为强化采购代理机构内部监督机制，供应商可按</w:t>
      </w:r>
      <w:r>
        <w:rPr>
          <w:rFonts w:hint="eastAsia" w:ascii="仿宋" w:hAnsi="仿宋" w:eastAsia="仿宋" w:cs="仿宋"/>
          <w:sz w:val="24"/>
          <w:u w:val="single"/>
        </w:rPr>
        <w:t>供应商须知资料表中的</w:t>
      </w:r>
      <w:r>
        <w:rPr>
          <w:rFonts w:hint="eastAsia" w:ascii="仿宋" w:hAnsi="仿宋" w:eastAsia="仿宋" w:cs="仿宋"/>
          <w:sz w:val="24"/>
        </w:rPr>
        <w:t>监督电话和邮箱，反映采购代理机构的廉洁自律等问题。</w:t>
      </w:r>
    </w:p>
    <w:p w14:paraId="010C2237">
      <w:pPr>
        <w:pStyle w:val="4"/>
        <w:spacing w:before="0" w:after="0" w:line="240" w:lineRule="atLeast"/>
        <w:rPr>
          <w:rFonts w:ascii="仿宋" w:hAnsi="仿宋" w:eastAsia="仿宋" w:cs="仿宋"/>
          <w:u w:val="none"/>
        </w:rPr>
      </w:pPr>
      <w:bookmarkStart w:id="213" w:name="_Toc11586"/>
      <w:bookmarkStart w:id="214" w:name="_Toc515647797"/>
      <w:bookmarkStart w:id="215" w:name="_Toc6922"/>
      <w:bookmarkStart w:id="216" w:name="_Toc25480"/>
      <w:r>
        <w:rPr>
          <w:rFonts w:hint="eastAsia" w:ascii="仿宋" w:hAnsi="仿宋" w:eastAsia="仿宋" w:cs="仿宋"/>
          <w:u w:val="none"/>
        </w:rPr>
        <w:t>35.人员回避</w:t>
      </w:r>
      <w:bookmarkEnd w:id="213"/>
      <w:bookmarkEnd w:id="214"/>
      <w:bookmarkEnd w:id="215"/>
      <w:bookmarkEnd w:id="216"/>
    </w:p>
    <w:p w14:paraId="34341BA1">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供应商认为采购人员及其相关人员有法律法规所列与其他供应商有利害关系的，可以向采购人或采购代理机构书面提出回避申请，并说明理由。</w:t>
      </w:r>
    </w:p>
    <w:p w14:paraId="23FA55D1">
      <w:pPr>
        <w:pStyle w:val="4"/>
        <w:spacing w:before="0" w:after="0" w:line="240" w:lineRule="atLeast"/>
        <w:rPr>
          <w:rFonts w:ascii="仿宋" w:hAnsi="仿宋" w:eastAsia="仿宋" w:cs="仿宋"/>
          <w:u w:val="none"/>
        </w:rPr>
      </w:pPr>
      <w:bookmarkStart w:id="217" w:name="_Toc515647798"/>
      <w:bookmarkStart w:id="218" w:name="_Toc31371"/>
      <w:bookmarkStart w:id="219" w:name="_Toc11115"/>
      <w:bookmarkStart w:id="220" w:name="_Toc1148"/>
      <w:r>
        <w:rPr>
          <w:rFonts w:hint="eastAsia" w:ascii="仿宋" w:hAnsi="仿宋" w:eastAsia="仿宋" w:cs="仿宋"/>
          <w:u w:val="none"/>
        </w:rPr>
        <w:t>36.质疑与接收</w:t>
      </w:r>
      <w:bookmarkEnd w:id="217"/>
      <w:bookmarkEnd w:id="218"/>
      <w:bookmarkEnd w:id="219"/>
      <w:bookmarkEnd w:id="220"/>
    </w:p>
    <w:p w14:paraId="14941C6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4929800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36.2  质疑供应商应按照财政部制定的《政府采购质疑函范本》格式（可从财政部官方网站下载）和《政府采购质疑和投诉办法》的要求，在法定质疑期内以书面形式提出质疑，针对同一采购程序环节的质疑应一次性提出。</w:t>
      </w:r>
    </w:p>
    <w:p w14:paraId="715C3BE1">
      <w:pPr>
        <w:spacing w:line="240" w:lineRule="atLeast"/>
        <w:ind w:left="851" w:leftChars="405" w:hanging="1"/>
        <w:rPr>
          <w:rFonts w:ascii="仿宋" w:hAnsi="仿宋" w:eastAsia="仿宋" w:cs="仿宋"/>
          <w:sz w:val="24"/>
        </w:rPr>
      </w:pPr>
      <w:r>
        <w:rPr>
          <w:rFonts w:hint="eastAsia" w:ascii="仿宋" w:hAnsi="仿宋" w:eastAsia="仿宋" w:cs="仿宋"/>
          <w:sz w:val="24"/>
        </w:rPr>
        <w:t>超出法定质疑期的、重复提出的、分次提出的或内容、形式不符合《政府采购质疑和投诉办法》的，质疑供应商将依法承担不利后果。</w:t>
      </w:r>
    </w:p>
    <w:p w14:paraId="4584C7A1">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36.3  采购代理机构质疑函接收部门、联系电话和通讯地址, 见</w:t>
      </w:r>
      <w:r>
        <w:rPr>
          <w:rFonts w:hint="eastAsia" w:ascii="仿宋" w:hAnsi="仿宋" w:eastAsia="仿宋" w:cs="仿宋"/>
          <w:sz w:val="24"/>
          <w:u w:val="single"/>
        </w:rPr>
        <w:t>供应商须知资料表。</w:t>
      </w:r>
    </w:p>
    <w:p w14:paraId="150FB017">
      <w:pPr>
        <w:spacing w:line="440" w:lineRule="exact"/>
        <w:rPr>
          <w:rFonts w:ascii="仿宋" w:hAnsi="仿宋" w:eastAsia="仿宋" w:cs="仿宋"/>
          <w:b/>
          <w:bCs/>
          <w:sz w:val="24"/>
        </w:rPr>
      </w:pPr>
      <w:r>
        <w:rPr>
          <w:rFonts w:hint="eastAsia" w:ascii="仿宋" w:hAnsi="仿宋" w:eastAsia="仿宋" w:cs="仿宋"/>
          <w:b/>
          <w:bCs/>
          <w:sz w:val="24"/>
        </w:rPr>
        <w:t>36.4、质疑的提出</w:t>
      </w:r>
    </w:p>
    <w:p w14:paraId="706AFEF2">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36.5 本采购文件中所称质疑及答复，是指参加本次采购活动的供应商对政府采购活动中的采购文件、采购过程和成交结果向采购方提出质疑，采购方答复质疑的行为。</w:t>
      </w:r>
    </w:p>
    <w:p w14:paraId="7F0C406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36.6 供应商认为磋商文件、采购过程和成交结果使自己的权益受到损害的，可以在知道或者应知其权益受到损害之日起7个工作日内，以书面形式向采购方提出质疑。供应商应知其权益受到损害之日，是指：</w:t>
      </w:r>
    </w:p>
    <w:p w14:paraId="7B3196D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（一）对可以质疑的磋商文件提出质疑的，为收到磋商文件之日或者磋商购文件公告期限届满之日；</w:t>
      </w:r>
    </w:p>
    <w:p w14:paraId="331563F2">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（二）对采购过程提出质疑的，为各采购程序环节结束之日；</w:t>
      </w:r>
    </w:p>
    <w:p w14:paraId="72FBE38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（三）对成交结果提出质疑的，为成交结果公告期限届满之日。</w:t>
      </w:r>
    </w:p>
    <w:p w14:paraId="437FF09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36.7  对可以质疑的采购文件提出质疑的，质疑人为参与本项目的报价方或潜在报价方。可质疑的文件为磋商公告以及磋商文件（包括属于其组成部分的澄清、修改、补充文件和评审标准、合同文本等）。</w:t>
      </w:r>
    </w:p>
    <w:p w14:paraId="1652A75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36.8  对采购过程和成交结果提出质疑的，质疑人为直接参与本项目的报价方。采购过程,即从采购项目信息公告发布起到成交结果公告止，包括磋商文件的发出、提交响应文件、响应文件开启、评审等各个磋商程序环节。</w:t>
      </w:r>
    </w:p>
    <w:p w14:paraId="71EB9C7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36.9  提出质疑应当符合下列条件：</w:t>
      </w:r>
    </w:p>
    <w:p w14:paraId="4ECB6E2F">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（一）质疑主体应当符合有关规定；</w:t>
      </w:r>
    </w:p>
    <w:p w14:paraId="1735DBD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（二）在质疑法定期限内提出；</w:t>
      </w:r>
    </w:p>
    <w:p w14:paraId="3B92BF3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（三）属于可以提出质疑的政府采购事项受理范围和本项目采购人的管辖权范围；</w:t>
      </w:r>
    </w:p>
    <w:p w14:paraId="5FE5DE15">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（四）政府采购法律、法规、规章规定的其他条件。</w:t>
      </w:r>
    </w:p>
    <w:p w14:paraId="55339C7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61264121">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37.1  质疑人所提供的证明材料应当具有真实性、合法性以及与质疑事项的关联性和证明力，否则不能作为认定该质疑事项成立的依据。</w:t>
      </w:r>
    </w:p>
    <w:p w14:paraId="05D0A09F">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37.2  质疑人提出质疑时应当提交质疑函。质疑函包括下列内容：</w:t>
      </w:r>
    </w:p>
    <w:p w14:paraId="0574E6E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（一）提出质疑的质疑人的名称、地址、邮编、联系人及联系电话等；</w:t>
      </w:r>
    </w:p>
    <w:p w14:paraId="6D42CCA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（二）质疑项目的名称、编号；</w:t>
      </w:r>
    </w:p>
    <w:p w14:paraId="45EC01D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（三）质疑事项；</w:t>
      </w:r>
    </w:p>
    <w:p w14:paraId="3BBB865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（四）事实依据和证明材料；</w:t>
      </w:r>
    </w:p>
    <w:p w14:paraId="185244A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（五）法律依据；</w:t>
      </w:r>
    </w:p>
    <w:p w14:paraId="2FEAE42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（六）提出质疑的日期。</w:t>
      </w:r>
    </w:p>
    <w:p w14:paraId="5830095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质疑函采用实名制。质疑人为自然人的应当由本人签字，并附有效身份证明文件；质疑人为法人或者非法人组织的应当由法定代表人或者负责人签字并加盖公章，并附有效身份证明文件。</w:t>
      </w:r>
    </w:p>
    <w:p w14:paraId="0C956E2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37.3  质疑人可以委托代理人进行质疑。代理人应当提交授权委托书。授权委托书应当载明委托代理的具体权限、期限和相关事项。</w:t>
      </w:r>
    </w:p>
    <w:p w14:paraId="0942342C">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37.4、质疑的审查和受理</w:t>
      </w:r>
    </w:p>
    <w:p w14:paraId="2F10275B">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采购方在收到质疑函后应当及时审查是否符合质疑受理条件，对符合质疑受理条件的，及时予以受理。</w:t>
      </w:r>
    </w:p>
    <w:p w14:paraId="33F7527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37.5  对不符合质疑受理条件的，分别按照下列不同情形予以处理：</w:t>
      </w:r>
    </w:p>
    <w:p w14:paraId="6771B8A4">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（一）质疑函内容不符合规定的，告知质疑人进行修改并重新提出质疑。修改后质疑事项仍不具体、不明确或者最终递交质疑函的时间超过质疑法定期限的，不予受理；</w:t>
      </w:r>
    </w:p>
    <w:p w14:paraId="3DB9EB5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（二）质疑主体不符合有关规定的，告知质疑人不予受理；</w:t>
      </w:r>
    </w:p>
    <w:p w14:paraId="5A47749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（三）超过质疑法定期限提出质疑的，告知质疑人不予受理；</w:t>
      </w:r>
    </w:p>
    <w:p w14:paraId="2A176B11">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（四）对不属于可以提出质疑的政府采购事项提出质疑的，告知质疑人不予受理；</w:t>
      </w:r>
    </w:p>
    <w:p w14:paraId="3A9E70E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（五）质疑不属于本项目采购方管辖的，告知质疑人向有管辖权的采购人提出质疑；</w:t>
      </w:r>
    </w:p>
    <w:p w14:paraId="6B90B7E5">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（六）质疑不符合其他条件的，告知质疑人不予受理。</w:t>
      </w:r>
    </w:p>
    <w:p w14:paraId="08B08E61">
      <w:pPr>
        <w:spacing w:line="240" w:lineRule="atLeast"/>
        <w:ind w:left="850" w:leftChars="68" w:hanging="708" w:hangingChars="295"/>
        <w:rPr>
          <w:rFonts w:ascii="仿宋" w:hAnsi="仿宋" w:eastAsia="仿宋" w:cs="仿宋"/>
          <w:b/>
          <w:bCs/>
          <w:sz w:val="24"/>
        </w:rPr>
      </w:pPr>
      <w:r>
        <w:rPr>
          <w:rFonts w:hint="eastAsia" w:ascii="仿宋" w:hAnsi="仿宋" w:eastAsia="仿宋" w:cs="仿宋"/>
          <w:b/>
          <w:bCs/>
          <w:sz w:val="24"/>
        </w:rPr>
        <w:t>37.6、 质疑的处理和答复</w:t>
      </w:r>
    </w:p>
    <w:p w14:paraId="6121A6D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37.7   采购方受理质疑后，将及时把质疑函发送给被质疑人，并要求其在一定限期内提交书面答复，同时提供有关证据、依据和相关材料。</w:t>
      </w:r>
    </w:p>
    <w:p w14:paraId="2CB3557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37.8   对于质疑事项中涉及的问题较多、情况比较复杂的，为了全面查清事实、取得充分的证据，采购方认为有必要时，可以进行调查取证或者组织质证。</w:t>
      </w:r>
    </w:p>
    <w:p w14:paraId="60F5737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37.9  对评审过程、成交结果提出质疑的，采购方可以组织原评审委员会协助    答复质疑。</w:t>
      </w:r>
    </w:p>
    <w:p w14:paraId="57E6B7D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  质疑处理过程中，质疑人书面申请撤回质疑的，将终止质疑处理程序。</w:t>
      </w:r>
    </w:p>
    <w:p w14:paraId="0187D67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38.1  质疑人拒绝配合采购方依法对质疑进行调查处理的，采购方将按质疑人自动撤回质疑处理；被质疑人拒绝配合采购方依法对质疑进行调查处理的，采购方将视同其认可质疑事项。</w:t>
      </w:r>
    </w:p>
    <w:p w14:paraId="3797B5E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38.2  采购方将在正式受理质疑后7个工作日内作出答复，但处理质疑需要进行调查取证、组织专家评审、质疑人及被质疑人提交或补正材料等所需时间，不计算在质疑处理期限内。</w:t>
      </w:r>
    </w:p>
    <w:p w14:paraId="00C8611A">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38.3  采购方经调查、论证、核实，认定质疑不能成立的，继续开展采购活动；认定质疑成立的，按照以下情况处理：</w:t>
      </w:r>
    </w:p>
    <w:p w14:paraId="00834CC5">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5E7BE2B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5F65473F">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38.4  采购方将书面答复质疑，质疑答复包括下列内容：</w:t>
      </w:r>
    </w:p>
    <w:p w14:paraId="537FD4C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（一）质疑人名称；</w:t>
      </w:r>
    </w:p>
    <w:p w14:paraId="3F7171D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（二）收到质疑函的日期、质疑项目名称及编号;</w:t>
      </w:r>
    </w:p>
    <w:p w14:paraId="37C1744B">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(三)质疑事项、质疑答复的具体内容、事实依据和法律依据；</w:t>
      </w:r>
    </w:p>
    <w:p w14:paraId="5057E30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（四）告知质疑人依法投诉的权利；</w:t>
      </w:r>
    </w:p>
    <w:p w14:paraId="561A48BA">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（五）质疑答复日期。</w:t>
      </w:r>
    </w:p>
    <w:p w14:paraId="6EB2A5F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38.5  质疑人有下列行为之一的，属于虚假、恶意质疑，将由采购方建议财政部门将其列入不良行为记录名单，禁止其1至3年内参加政府采购活动：</w:t>
      </w:r>
    </w:p>
    <w:p w14:paraId="5FCED46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（一）捏造事实；</w:t>
      </w:r>
    </w:p>
    <w:p w14:paraId="340C05AA">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（二）提供虚假材料；</w:t>
      </w:r>
    </w:p>
    <w:p w14:paraId="261CDB6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（三）以非法手段取得证明材料或者无法提供证据的合法来源；</w:t>
      </w:r>
    </w:p>
    <w:p w14:paraId="40266CB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（四）法律法规规定的其他违法情形。</w:t>
      </w:r>
    </w:p>
    <w:p w14:paraId="68575876">
      <w:pPr>
        <w:spacing w:line="240" w:lineRule="atLeast"/>
        <w:ind w:left="850" w:leftChars="68" w:hanging="708" w:hangingChars="295"/>
        <w:rPr>
          <w:rFonts w:ascii="仿宋" w:hAnsi="仿宋" w:eastAsia="仿宋" w:cs="仿宋"/>
          <w:sz w:val="24"/>
        </w:rPr>
      </w:pPr>
    </w:p>
    <w:p w14:paraId="528700D2">
      <w:pPr>
        <w:spacing w:line="240" w:lineRule="atLeast"/>
        <w:ind w:left="850" w:leftChars="68" w:hanging="708" w:hangingChars="295"/>
        <w:rPr>
          <w:rFonts w:ascii="仿宋" w:hAnsi="仿宋" w:eastAsia="仿宋" w:cs="仿宋"/>
          <w:sz w:val="24"/>
        </w:rPr>
      </w:pPr>
    </w:p>
    <w:p w14:paraId="40B2B345">
      <w:pPr>
        <w:pStyle w:val="5"/>
        <w:ind w:firstLine="0"/>
      </w:pPr>
      <w:bookmarkStart w:id="221" w:name="_Toc16186"/>
      <w:bookmarkStart w:id="222" w:name="_Toc515647799"/>
      <w:bookmarkStart w:id="223" w:name="_Toc21748"/>
    </w:p>
    <w:p w14:paraId="6FD1F466"/>
    <w:p w14:paraId="320D082F">
      <w:pPr>
        <w:pStyle w:val="3"/>
        <w:spacing w:before="0" w:line="240" w:lineRule="atLeast"/>
        <w:rPr>
          <w:rFonts w:ascii="仿宋" w:hAnsi="仿宋" w:eastAsia="仿宋" w:cs="仿宋"/>
          <w:szCs w:val="24"/>
        </w:rPr>
      </w:pPr>
      <w:bookmarkStart w:id="224" w:name="_Toc23002"/>
      <w:r>
        <w:rPr>
          <w:rFonts w:hint="eastAsia" w:ascii="仿宋" w:hAnsi="仿宋" w:eastAsia="仿宋" w:cs="仿宋"/>
          <w:szCs w:val="24"/>
        </w:rPr>
        <w:t>附件1：履约保证金保函（格式）</w:t>
      </w:r>
      <w:bookmarkEnd w:id="221"/>
      <w:bookmarkEnd w:id="222"/>
      <w:bookmarkEnd w:id="223"/>
      <w:bookmarkEnd w:id="224"/>
    </w:p>
    <w:p w14:paraId="4FE36963">
      <w:pPr>
        <w:pStyle w:val="18"/>
        <w:spacing w:line="240" w:lineRule="atLeast"/>
        <w:ind w:left="1079" w:leftChars="257" w:hanging="540"/>
        <w:rPr>
          <w:rFonts w:ascii="仿宋" w:hAnsi="仿宋" w:eastAsia="仿宋" w:cs="仿宋"/>
          <w:b/>
          <w:sz w:val="24"/>
        </w:rPr>
      </w:pPr>
      <w:r>
        <w:rPr>
          <w:rFonts w:hint="eastAsia" w:ascii="仿宋" w:hAnsi="仿宋" w:eastAsia="仿宋" w:cs="仿宋"/>
          <w:b/>
          <w:sz w:val="24"/>
        </w:rPr>
        <w:t xml:space="preserve">                         （成交后开具）</w:t>
      </w:r>
    </w:p>
    <w:p w14:paraId="24039769">
      <w:pPr>
        <w:pStyle w:val="18"/>
        <w:spacing w:line="240" w:lineRule="atLeast"/>
        <w:ind w:left="1079" w:leftChars="257" w:hanging="540"/>
        <w:rPr>
          <w:rFonts w:ascii="仿宋" w:hAnsi="仿宋" w:eastAsia="仿宋" w:cs="仿宋"/>
          <w:b/>
          <w:sz w:val="24"/>
        </w:rPr>
      </w:pPr>
    </w:p>
    <w:p w14:paraId="43E56228">
      <w:pPr>
        <w:pStyle w:val="18"/>
        <w:spacing w:line="240" w:lineRule="atLeast"/>
        <w:ind w:left="1079" w:leftChars="257" w:hanging="540"/>
        <w:rPr>
          <w:rFonts w:ascii="仿宋" w:hAnsi="仿宋" w:eastAsia="仿宋" w:cs="仿宋"/>
          <w:b/>
          <w:sz w:val="24"/>
        </w:rPr>
      </w:pPr>
    </w:p>
    <w:p w14:paraId="5388DCC8">
      <w:pPr>
        <w:pStyle w:val="18"/>
        <w:spacing w:line="240" w:lineRule="atLeast"/>
        <w:rPr>
          <w:rFonts w:ascii="仿宋" w:hAnsi="仿宋" w:eastAsia="仿宋" w:cs="仿宋"/>
          <w:sz w:val="24"/>
        </w:rPr>
      </w:pPr>
      <w:r>
        <w:rPr>
          <w:rFonts w:hint="eastAsia" w:ascii="仿宋" w:hAnsi="仿宋" w:eastAsia="仿宋" w:cs="仿宋"/>
          <w:sz w:val="24"/>
        </w:rPr>
        <w:t xml:space="preserve">致: </w:t>
      </w:r>
    </w:p>
    <w:p w14:paraId="6897DB20">
      <w:pPr>
        <w:pStyle w:val="18"/>
        <w:spacing w:line="240" w:lineRule="atLeast"/>
        <w:ind w:left="1079" w:leftChars="257" w:hanging="540"/>
        <w:jc w:val="cente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号合同履约保函</w:t>
      </w:r>
    </w:p>
    <w:p w14:paraId="3E418ECE">
      <w:pPr>
        <w:pStyle w:val="18"/>
        <w:spacing w:line="240" w:lineRule="atLeast"/>
        <w:ind w:left="1079" w:leftChars="257" w:hanging="540"/>
        <w:jc w:val="center"/>
        <w:rPr>
          <w:rFonts w:ascii="仿宋" w:hAnsi="仿宋" w:eastAsia="仿宋" w:cs="仿宋"/>
          <w:sz w:val="24"/>
        </w:rPr>
      </w:pPr>
    </w:p>
    <w:p w14:paraId="648AEA01">
      <w:pPr>
        <w:pStyle w:val="18"/>
        <w:spacing w:line="240" w:lineRule="atLeast"/>
        <w:ind w:firstLine="600" w:firstLineChars="250"/>
        <w:rPr>
          <w:rFonts w:ascii="仿宋" w:hAnsi="仿宋" w:eastAsia="仿宋" w:cs="仿宋"/>
          <w:sz w:val="24"/>
        </w:rPr>
      </w:pPr>
      <w:r>
        <w:rPr>
          <w:rFonts w:hint="eastAsia" w:ascii="仿宋" w:hAnsi="仿宋" w:eastAsia="仿宋" w:cs="仿宋"/>
          <w:sz w:val="24"/>
        </w:rPr>
        <w:t>本保函作为贵方与(中标方)(以下简称卖方)于     年     月     日就</w:t>
      </w:r>
      <w:r>
        <w:rPr>
          <w:rFonts w:hint="eastAsia" w:ascii="仿宋" w:hAnsi="仿宋" w:eastAsia="仿宋" w:cs="仿宋"/>
          <w:sz w:val="24"/>
          <w:lang w:eastAsia="zh-CN"/>
        </w:rPr>
        <w:t>启迪冰雪项目三通一平土方清运采购项目二次</w:t>
      </w:r>
      <w:r>
        <w:rPr>
          <w:rFonts w:hint="eastAsia" w:ascii="仿宋" w:hAnsi="仿宋" w:eastAsia="仿宋" w:cs="仿宋"/>
          <w:sz w:val="24"/>
        </w:rPr>
        <w:t>(以下简称项目)提供服务签订的(合同号)号合同的履约保函。</w:t>
      </w:r>
    </w:p>
    <w:p w14:paraId="76B4524B">
      <w:pPr>
        <w:pStyle w:val="18"/>
        <w:spacing w:line="240" w:lineRule="atLeast"/>
        <w:ind w:firstLine="540" w:firstLineChars="225"/>
        <w:rPr>
          <w:rFonts w:ascii="仿宋" w:hAnsi="仿宋" w:eastAsia="仿宋" w:cs="仿宋"/>
          <w:sz w:val="24"/>
        </w:rPr>
      </w:pPr>
      <w:r>
        <w:rPr>
          <w:rFonts w:hint="eastAsia" w:ascii="仿宋" w:hAnsi="仿宋" w:eastAsia="仿宋" w:cs="仿宋"/>
          <w:sz w:val="24"/>
        </w:rPr>
        <w:t>(</w:t>
      </w:r>
      <w:r>
        <w:rPr>
          <w:rFonts w:hint="eastAsia" w:ascii="仿宋" w:hAnsi="仿宋" w:eastAsia="仿宋" w:cs="仿宋"/>
          <w:i/>
          <w:sz w:val="24"/>
          <w:u w:val="single"/>
        </w:rPr>
        <w:t>出具保函的银行名称</w:t>
      </w:r>
      <w:r>
        <w:rPr>
          <w:rFonts w:hint="eastAsia" w:ascii="仿宋" w:hAnsi="仿宋" w:eastAsia="仿宋" w:cs="仿宋"/>
          <w:sz w:val="24"/>
        </w:rPr>
        <w:t>)(以下简称银行)无条件地、不可撤销地具结保证本行、其继承人和受让人无追索地向贵方以(人民币)支付总额不超过(货币数量),即相当于合同价格的5%,并以此约定如下:</w:t>
      </w:r>
    </w:p>
    <w:p w14:paraId="3997841C">
      <w:pPr>
        <w:pStyle w:val="18"/>
        <w:spacing w:line="240" w:lineRule="atLeast"/>
        <w:ind w:left="539" w:leftChars="257"/>
        <w:rPr>
          <w:rFonts w:ascii="仿宋" w:hAnsi="仿宋" w:eastAsia="仿宋" w:cs="仿宋"/>
          <w:sz w:val="24"/>
        </w:rPr>
      </w:pPr>
      <w:r>
        <w:rPr>
          <w:rFonts w:hint="eastAsia" w:ascii="仿宋" w:hAnsi="仿宋" w:eastAsia="仿宋" w:cs="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436F2A9E">
      <w:pPr>
        <w:pStyle w:val="18"/>
        <w:spacing w:line="240" w:lineRule="atLeast"/>
        <w:ind w:left="540"/>
        <w:rPr>
          <w:rFonts w:ascii="仿宋" w:hAnsi="仿宋" w:eastAsia="仿宋" w:cs="仿宋"/>
          <w:sz w:val="24"/>
        </w:rPr>
      </w:pPr>
      <w:r>
        <w:rPr>
          <w:rFonts w:hint="eastAsia" w:ascii="仿宋" w:hAnsi="仿宋" w:eastAsia="仿宋" w:cs="仿宋"/>
          <w:sz w:val="24"/>
        </w:rPr>
        <w:t>2.本保函项下的任何支付应为免税和净值。对于现有或将来的税收、关税、收费、费用扣减或预提税款，不论这些款项是何种性质和由谁征收，都不应从本保函项下的支付中扣除。</w:t>
      </w:r>
    </w:p>
    <w:p w14:paraId="2D694D8B">
      <w:pPr>
        <w:pStyle w:val="18"/>
        <w:spacing w:line="240" w:lineRule="atLeast"/>
        <w:ind w:left="540"/>
        <w:rPr>
          <w:rFonts w:ascii="仿宋" w:hAnsi="仿宋" w:eastAsia="仿宋" w:cs="仿宋"/>
          <w:sz w:val="24"/>
        </w:rPr>
      </w:pPr>
      <w:r>
        <w:rPr>
          <w:rFonts w:hint="eastAsia" w:ascii="仿宋" w:hAnsi="仿宋" w:eastAsia="仿宋" w:cs="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9A67624">
      <w:pPr>
        <w:pStyle w:val="18"/>
        <w:spacing w:line="240" w:lineRule="atLeast"/>
        <w:ind w:left="1079" w:leftChars="257" w:hanging="540"/>
        <w:rPr>
          <w:rFonts w:ascii="仿宋" w:hAnsi="仿宋" w:eastAsia="仿宋" w:cs="仿宋"/>
          <w:sz w:val="24"/>
        </w:rPr>
      </w:pPr>
      <w:r>
        <w:rPr>
          <w:rFonts w:hint="eastAsia" w:ascii="仿宋" w:hAnsi="仿宋" w:eastAsia="仿宋" w:cs="仿宋"/>
          <w:sz w:val="24"/>
        </w:rPr>
        <w:t>4.本保函在本合同规定的保证期期满前完全有效。</w:t>
      </w:r>
    </w:p>
    <w:p w14:paraId="516520FA">
      <w:pPr>
        <w:pStyle w:val="18"/>
        <w:spacing w:line="240" w:lineRule="atLeast"/>
        <w:ind w:left="1079" w:leftChars="257" w:hanging="540"/>
        <w:rPr>
          <w:rFonts w:ascii="仿宋" w:hAnsi="仿宋" w:eastAsia="仿宋" w:cs="仿宋"/>
          <w:sz w:val="24"/>
        </w:rPr>
      </w:pPr>
    </w:p>
    <w:p w14:paraId="4AB8B0DA">
      <w:pPr>
        <w:pStyle w:val="18"/>
        <w:spacing w:line="240" w:lineRule="atLeast"/>
        <w:ind w:left="1079" w:leftChars="257" w:hanging="540"/>
        <w:rPr>
          <w:rFonts w:ascii="仿宋" w:hAnsi="仿宋" w:eastAsia="仿宋" w:cs="仿宋"/>
          <w:sz w:val="24"/>
        </w:rPr>
      </w:pPr>
      <w:r>
        <w:rPr>
          <w:rFonts w:hint="eastAsia" w:ascii="仿宋" w:hAnsi="仿宋" w:eastAsia="仿宋" w:cs="仿宋"/>
          <w:sz w:val="24"/>
        </w:rPr>
        <w:t>谨启</w:t>
      </w:r>
    </w:p>
    <w:p w14:paraId="5BB7CC07">
      <w:pPr>
        <w:pStyle w:val="18"/>
        <w:spacing w:line="240" w:lineRule="atLeast"/>
        <w:ind w:left="1079" w:leftChars="257" w:hanging="540"/>
        <w:rPr>
          <w:rFonts w:ascii="仿宋" w:hAnsi="仿宋" w:eastAsia="仿宋" w:cs="仿宋"/>
          <w:sz w:val="24"/>
        </w:rPr>
      </w:pPr>
      <w:r>
        <w:rPr>
          <w:rFonts w:hint="eastAsia" w:ascii="仿宋" w:hAnsi="仿宋" w:eastAsia="仿宋" w:cs="仿宋"/>
          <w:sz w:val="24"/>
        </w:rPr>
        <w:t>出具保函银行名称：</w:t>
      </w:r>
      <w:r>
        <w:rPr>
          <w:rFonts w:hint="eastAsia" w:ascii="仿宋" w:hAnsi="仿宋" w:eastAsia="仿宋" w:cs="仿宋"/>
          <w:sz w:val="24"/>
          <w:u w:val="single"/>
        </w:rPr>
        <w:t xml:space="preserve">                             </w:t>
      </w:r>
    </w:p>
    <w:p w14:paraId="40640A63">
      <w:pPr>
        <w:pStyle w:val="18"/>
        <w:spacing w:line="240" w:lineRule="atLeast"/>
        <w:ind w:left="1079" w:leftChars="257" w:hanging="540"/>
        <w:rPr>
          <w:rFonts w:ascii="仿宋" w:hAnsi="仿宋" w:eastAsia="仿宋" w:cs="仿宋"/>
          <w:sz w:val="24"/>
          <w:u w:val="single"/>
        </w:rPr>
      </w:pPr>
      <w:r>
        <w:rPr>
          <w:rFonts w:hint="eastAsia" w:ascii="仿宋" w:hAnsi="仿宋" w:eastAsia="仿宋" w:cs="仿宋"/>
          <w:sz w:val="24"/>
        </w:rPr>
        <w:t>签字人姓名和职务：</w:t>
      </w:r>
      <w:r>
        <w:rPr>
          <w:rFonts w:hint="eastAsia" w:ascii="仿宋" w:hAnsi="仿宋" w:eastAsia="仿宋" w:cs="仿宋"/>
          <w:sz w:val="24"/>
          <w:u w:val="single"/>
        </w:rPr>
        <w:t xml:space="preserve">                             </w:t>
      </w:r>
    </w:p>
    <w:p w14:paraId="2EFA01BC">
      <w:pPr>
        <w:pStyle w:val="18"/>
        <w:spacing w:line="240" w:lineRule="atLeast"/>
        <w:ind w:left="1079" w:leftChars="257" w:hanging="540"/>
        <w:rPr>
          <w:rFonts w:ascii="仿宋" w:hAnsi="仿宋" w:eastAsia="仿宋" w:cs="仿宋"/>
          <w:sz w:val="24"/>
        </w:rPr>
      </w:pPr>
      <w:r>
        <w:rPr>
          <w:rFonts w:hint="eastAsia" w:ascii="仿宋" w:hAnsi="仿宋" w:eastAsia="仿宋" w:cs="仿宋"/>
          <w:sz w:val="24"/>
        </w:rPr>
        <w:t>签字人签名：</w:t>
      </w:r>
      <w:r>
        <w:rPr>
          <w:rFonts w:hint="eastAsia" w:ascii="仿宋" w:hAnsi="仿宋" w:eastAsia="仿宋" w:cs="仿宋"/>
          <w:sz w:val="24"/>
          <w:u w:val="single"/>
        </w:rPr>
        <w:t xml:space="preserve">                                   </w:t>
      </w:r>
    </w:p>
    <w:p w14:paraId="63394DF6">
      <w:pPr>
        <w:pStyle w:val="18"/>
        <w:spacing w:line="240" w:lineRule="atLeast"/>
        <w:ind w:left="1079" w:leftChars="257" w:hanging="540"/>
        <w:rPr>
          <w:rFonts w:ascii="仿宋" w:hAnsi="仿宋" w:eastAsia="仿宋" w:cs="仿宋"/>
          <w:sz w:val="24"/>
          <w:u w:val="single"/>
        </w:rPr>
      </w:pPr>
      <w:r>
        <w:rPr>
          <w:rFonts w:hint="eastAsia" w:ascii="仿宋" w:hAnsi="仿宋" w:eastAsia="仿宋" w:cs="仿宋"/>
          <w:sz w:val="24"/>
        </w:rPr>
        <w:t>公章：</w:t>
      </w:r>
      <w:r>
        <w:rPr>
          <w:rFonts w:hint="eastAsia" w:ascii="仿宋" w:hAnsi="仿宋" w:eastAsia="仿宋" w:cs="仿宋"/>
          <w:sz w:val="24"/>
          <w:u w:val="single"/>
        </w:rPr>
        <w:t xml:space="preserve">                                         </w:t>
      </w:r>
    </w:p>
    <w:p w14:paraId="3D9F0E87">
      <w:pPr>
        <w:pStyle w:val="3"/>
        <w:spacing w:before="0" w:line="240" w:lineRule="atLeast"/>
        <w:ind w:left="1079" w:leftChars="257" w:hanging="540"/>
        <w:rPr>
          <w:rFonts w:ascii="仿宋" w:hAnsi="仿宋" w:eastAsia="仿宋" w:cs="仿宋"/>
          <w:szCs w:val="24"/>
        </w:rPr>
      </w:pPr>
      <w:r>
        <w:rPr>
          <w:rFonts w:hint="eastAsia" w:ascii="仿宋" w:hAnsi="仿宋" w:eastAsia="仿宋" w:cs="仿宋"/>
        </w:rPr>
        <w:br w:type="page"/>
      </w:r>
      <w:bookmarkStart w:id="225" w:name="_Toc14055"/>
      <w:bookmarkStart w:id="226" w:name="_Toc515647800"/>
      <w:bookmarkStart w:id="227" w:name="_Toc6548"/>
      <w:bookmarkStart w:id="228" w:name="_Toc10951"/>
      <w:r>
        <w:rPr>
          <w:rFonts w:hint="eastAsia" w:ascii="仿宋" w:hAnsi="仿宋" w:eastAsia="仿宋" w:cs="仿宋"/>
          <w:szCs w:val="24"/>
        </w:rPr>
        <w:t>附件2：履约担保函格式</w:t>
      </w:r>
      <w:bookmarkEnd w:id="225"/>
      <w:bookmarkEnd w:id="226"/>
      <w:bookmarkEnd w:id="227"/>
      <w:bookmarkEnd w:id="228"/>
    </w:p>
    <w:p w14:paraId="70380375">
      <w:pPr>
        <w:pStyle w:val="3"/>
        <w:spacing w:before="0" w:line="240" w:lineRule="atLeast"/>
        <w:ind w:left="1079" w:leftChars="257" w:hanging="540"/>
        <w:rPr>
          <w:rFonts w:ascii="仿宋" w:hAnsi="仿宋" w:eastAsia="仿宋" w:cs="仿宋"/>
          <w:b w:val="0"/>
        </w:rPr>
      </w:pPr>
      <w:bookmarkStart w:id="229" w:name="_Toc13962"/>
      <w:bookmarkStart w:id="230" w:name="_Toc4485"/>
      <w:bookmarkStart w:id="231" w:name="_Toc162"/>
      <w:bookmarkStart w:id="232" w:name="_Toc515647801"/>
      <w:r>
        <w:rPr>
          <w:rFonts w:hint="eastAsia" w:ascii="仿宋" w:hAnsi="仿宋" w:eastAsia="仿宋" w:cs="仿宋"/>
          <w:szCs w:val="24"/>
        </w:rPr>
        <w:t>（采用政府采购信用担保形式时使用）</w:t>
      </w:r>
      <w:bookmarkEnd w:id="229"/>
      <w:bookmarkEnd w:id="230"/>
      <w:bookmarkEnd w:id="231"/>
      <w:bookmarkEnd w:id="232"/>
    </w:p>
    <w:p w14:paraId="656A0E75">
      <w:pPr>
        <w:spacing w:line="240" w:lineRule="atLeast"/>
        <w:ind w:left="1079" w:leftChars="257" w:hanging="540"/>
        <w:rPr>
          <w:rFonts w:ascii="仿宋" w:hAnsi="仿宋" w:eastAsia="仿宋" w:cs="仿宋"/>
          <w:b/>
          <w:kern w:val="0"/>
          <w:sz w:val="24"/>
          <w:szCs w:val="20"/>
        </w:rPr>
      </w:pPr>
    </w:p>
    <w:p w14:paraId="6390416C">
      <w:pPr>
        <w:jc w:val="center"/>
        <w:rPr>
          <w:rFonts w:ascii="仿宋" w:hAnsi="仿宋" w:eastAsia="仿宋" w:cs="仿宋"/>
          <w:sz w:val="24"/>
        </w:rPr>
      </w:pPr>
      <w:r>
        <w:rPr>
          <w:rFonts w:hint="eastAsia" w:ascii="仿宋" w:hAnsi="仿宋" w:eastAsia="仿宋" w:cs="仿宋"/>
          <w:sz w:val="24"/>
        </w:rPr>
        <w:t>政府采购履约担保函（项目用）</w:t>
      </w:r>
    </w:p>
    <w:p w14:paraId="6EC219EB">
      <w:pPr>
        <w:rPr>
          <w:rFonts w:ascii="仿宋" w:hAnsi="仿宋" w:eastAsia="仿宋" w:cs="仿宋"/>
          <w:sz w:val="24"/>
        </w:rPr>
      </w:pPr>
      <w:r>
        <w:rPr>
          <w:rFonts w:hint="eastAsia" w:ascii="仿宋" w:hAnsi="仿宋" w:eastAsia="仿宋" w:cs="仿宋"/>
          <w:sz w:val="24"/>
        </w:rPr>
        <w:t xml:space="preserve">                                                   编号：</w:t>
      </w:r>
    </w:p>
    <w:p w14:paraId="66889A0E">
      <w:pPr>
        <w:rPr>
          <w:rFonts w:ascii="仿宋" w:hAnsi="仿宋" w:eastAsia="仿宋" w:cs="仿宋"/>
          <w:sz w:val="24"/>
        </w:rPr>
      </w:pPr>
    </w:p>
    <w:p w14:paraId="557CF040">
      <w:pP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（采购人）：</w:t>
      </w:r>
    </w:p>
    <w:p w14:paraId="76BCA39D">
      <w:pPr>
        <w:rPr>
          <w:rFonts w:ascii="仿宋" w:hAnsi="仿宋" w:eastAsia="仿宋" w:cs="仿宋"/>
          <w:sz w:val="24"/>
        </w:rPr>
      </w:pPr>
    </w:p>
    <w:p w14:paraId="278E3772">
      <w:pPr>
        <w:ind w:firstLine="480" w:firstLineChars="200"/>
        <w:rPr>
          <w:rFonts w:ascii="仿宋" w:hAnsi="仿宋" w:eastAsia="仿宋" w:cs="仿宋"/>
          <w:sz w:val="24"/>
        </w:rPr>
      </w:pPr>
      <w:r>
        <w:rPr>
          <w:rFonts w:hint="eastAsia" w:ascii="仿宋" w:hAnsi="仿宋" w:eastAsia="仿宋" w:cs="仿宋"/>
          <w:sz w:val="24"/>
        </w:rPr>
        <w:t>鉴于你方与</w:t>
      </w:r>
      <w:r>
        <w:rPr>
          <w:rFonts w:hint="eastAsia" w:ascii="仿宋" w:hAnsi="仿宋" w:eastAsia="仿宋" w:cs="仿宋"/>
          <w:sz w:val="24"/>
          <w:u w:val="single"/>
        </w:rPr>
        <w:t xml:space="preserve">                    </w:t>
      </w:r>
      <w:r>
        <w:rPr>
          <w:rFonts w:hint="eastAsia" w:ascii="仿宋" w:hAnsi="仿宋" w:eastAsia="仿宋" w:cs="仿宋"/>
          <w:sz w:val="24"/>
        </w:rPr>
        <w:t>（以下简称供应商）于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日签定编号为   的《</w:t>
      </w:r>
      <w:r>
        <w:rPr>
          <w:rFonts w:hint="eastAsia" w:ascii="仿宋" w:hAnsi="仿宋" w:eastAsia="仿宋" w:cs="仿宋"/>
          <w:sz w:val="24"/>
          <w:u w:val="single"/>
        </w:rPr>
        <w:t xml:space="preserve">           </w:t>
      </w:r>
      <w:r>
        <w:rPr>
          <w:rFonts w:hint="eastAsia" w:ascii="仿宋" w:hAnsi="仿宋" w:eastAsia="仿宋" w:cs="仿宋"/>
          <w:sz w:val="24"/>
        </w:rPr>
        <w:t>政府采购合同》（以下简称主合同），且依据该合同的约定，供应商应在</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日前向你方交纳履约保证金，且可以履约担保函的形式交纳履约保证金。应供应商的申请，我方以保证的方式向你方提供如下履约保证金担保：</w:t>
      </w:r>
    </w:p>
    <w:p w14:paraId="47DC5CF8">
      <w:pPr>
        <w:ind w:firstLine="480" w:firstLineChars="200"/>
        <w:rPr>
          <w:rFonts w:ascii="仿宋" w:hAnsi="仿宋" w:eastAsia="仿宋" w:cs="仿宋"/>
          <w:sz w:val="24"/>
        </w:rPr>
      </w:pPr>
      <w:r>
        <w:rPr>
          <w:rFonts w:hint="eastAsia" w:ascii="仿宋" w:hAnsi="仿宋" w:eastAsia="仿宋" w:cs="仿宋"/>
          <w:sz w:val="24"/>
        </w:rPr>
        <w:t>一、保证责任的情形及保证金额</w:t>
      </w:r>
    </w:p>
    <w:p w14:paraId="33E5CA7F">
      <w:pPr>
        <w:ind w:firstLine="480" w:firstLineChars="200"/>
        <w:rPr>
          <w:rFonts w:ascii="仿宋" w:hAnsi="仿宋" w:eastAsia="仿宋" w:cs="仿宋"/>
          <w:sz w:val="24"/>
        </w:rPr>
      </w:pPr>
      <w:r>
        <w:rPr>
          <w:rFonts w:hint="eastAsia" w:ascii="仿宋" w:hAnsi="仿宋" w:eastAsia="仿宋" w:cs="仿宋"/>
          <w:sz w:val="24"/>
        </w:rPr>
        <w:t>（一）在供应商出现下列情形之一时，我方承担保证责任：</w:t>
      </w:r>
    </w:p>
    <w:p w14:paraId="028B4154">
      <w:pPr>
        <w:ind w:firstLine="480" w:firstLineChars="200"/>
        <w:rPr>
          <w:rFonts w:ascii="仿宋" w:hAnsi="仿宋" w:eastAsia="仿宋" w:cs="仿宋"/>
          <w:sz w:val="24"/>
        </w:rPr>
      </w:pPr>
      <w:r>
        <w:rPr>
          <w:rFonts w:hint="eastAsia" w:ascii="仿宋" w:hAnsi="仿宋" w:eastAsia="仿宋" w:cs="仿宋"/>
          <w:sz w:val="24"/>
        </w:rPr>
        <w:t>1．将成交项目转让给他人，或者在磋商文件中未说明，且未经采购招标机构人同意，将成交项目分包给他人的；</w:t>
      </w:r>
    </w:p>
    <w:p w14:paraId="5AFC42F0">
      <w:pPr>
        <w:rPr>
          <w:rFonts w:ascii="仿宋" w:hAnsi="仿宋" w:eastAsia="仿宋" w:cs="仿宋"/>
          <w:sz w:val="24"/>
        </w:rPr>
      </w:pPr>
      <w:r>
        <w:rPr>
          <w:rFonts w:hint="eastAsia" w:ascii="仿宋" w:hAnsi="仿宋" w:eastAsia="仿宋" w:cs="仿宋"/>
          <w:sz w:val="24"/>
        </w:rPr>
        <w:t xml:space="preserve">　　2．主合同约定的应当缴纳履约保证金的情形: </w:t>
      </w:r>
    </w:p>
    <w:p w14:paraId="393CF5F1">
      <w:pPr>
        <w:ind w:firstLine="480" w:firstLineChars="200"/>
        <w:rPr>
          <w:rFonts w:ascii="仿宋" w:hAnsi="仿宋" w:eastAsia="仿宋" w:cs="仿宋"/>
          <w:sz w:val="24"/>
        </w:rPr>
      </w:pPr>
      <w:r>
        <w:rPr>
          <w:rFonts w:hint="eastAsia" w:ascii="仿宋" w:hAnsi="仿宋" w:eastAsia="仿宋" w:cs="仿宋"/>
          <w:sz w:val="24"/>
        </w:rPr>
        <w:t>（1）未按主合同约定的质量、数量和期限供应货物/提供服务/完成工程的；</w:t>
      </w:r>
    </w:p>
    <w:p w14:paraId="492B141C">
      <w:pPr>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w:t>
      </w:r>
      <w:r>
        <w:rPr>
          <w:rFonts w:hint="eastAsia" w:ascii="仿宋" w:hAnsi="仿宋" w:eastAsia="仿宋" w:cs="仿宋"/>
          <w:sz w:val="24"/>
        </w:rPr>
        <w:t>。</w:t>
      </w:r>
    </w:p>
    <w:p w14:paraId="64340BA8">
      <w:pPr>
        <w:ind w:firstLine="480" w:firstLineChars="200"/>
        <w:rPr>
          <w:rFonts w:ascii="仿宋" w:hAnsi="仿宋" w:eastAsia="仿宋" w:cs="仿宋"/>
          <w:sz w:val="24"/>
        </w:rPr>
      </w:pPr>
      <w:r>
        <w:rPr>
          <w:rFonts w:hint="eastAsia" w:ascii="仿宋" w:hAnsi="仿宋" w:eastAsia="仿宋" w:cs="仿宋"/>
          <w:sz w:val="24"/>
        </w:rPr>
        <w:t>（二）我方的保证范围是主合同约定的合同价款总额的</w:t>
      </w:r>
      <w:r>
        <w:rPr>
          <w:rFonts w:hint="eastAsia" w:ascii="仿宋" w:hAnsi="仿宋" w:eastAsia="仿宋" w:cs="仿宋"/>
          <w:sz w:val="24"/>
          <w:u w:val="single"/>
        </w:rPr>
        <w:t xml:space="preserve">        </w:t>
      </w:r>
      <w:r>
        <w:rPr>
          <w:rFonts w:hint="eastAsia" w:ascii="仿宋" w:hAnsi="仿宋" w:eastAsia="仿宋" w:cs="仿宋"/>
          <w:sz w:val="24"/>
        </w:rPr>
        <w:t>%数额为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），币种为</w:t>
      </w:r>
      <w:r>
        <w:rPr>
          <w:rFonts w:hint="eastAsia" w:ascii="仿宋" w:hAnsi="仿宋" w:eastAsia="仿宋" w:cs="仿宋"/>
          <w:sz w:val="24"/>
          <w:u w:val="single"/>
        </w:rPr>
        <w:t xml:space="preserve">        </w:t>
      </w:r>
      <w:r>
        <w:rPr>
          <w:rFonts w:hint="eastAsia" w:ascii="仿宋" w:hAnsi="仿宋" w:eastAsia="仿宋" w:cs="仿宋"/>
          <w:sz w:val="24"/>
        </w:rPr>
        <w:t>。（即主合同履约保证金金额）</w:t>
      </w:r>
    </w:p>
    <w:p w14:paraId="672491EB">
      <w:pPr>
        <w:ind w:firstLine="480" w:firstLineChars="200"/>
        <w:rPr>
          <w:rFonts w:ascii="仿宋" w:hAnsi="仿宋" w:eastAsia="仿宋" w:cs="仿宋"/>
          <w:sz w:val="24"/>
        </w:rPr>
      </w:pPr>
      <w:r>
        <w:rPr>
          <w:rFonts w:hint="eastAsia" w:ascii="仿宋" w:hAnsi="仿宋" w:eastAsia="仿宋" w:cs="仿宋"/>
          <w:sz w:val="24"/>
        </w:rPr>
        <w:t>二、保证的方式及保证期间</w:t>
      </w:r>
    </w:p>
    <w:p w14:paraId="3852500D">
      <w:pPr>
        <w:ind w:firstLine="480" w:firstLineChars="200"/>
        <w:rPr>
          <w:rFonts w:ascii="仿宋" w:hAnsi="仿宋" w:eastAsia="仿宋" w:cs="仿宋"/>
          <w:sz w:val="24"/>
        </w:rPr>
      </w:pPr>
      <w:r>
        <w:rPr>
          <w:rFonts w:hint="eastAsia" w:ascii="仿宋" w:hAnsi="仿宋" w:eastAsia="仿宋" w:cs="仿宋"/>
          <w:sz w:val="24"/>
        </w:rPr>
        <w:t>我方保证的方式为：连带责任保证。</w:t>
      </w:r>
    </w:p>
    <w:p w14:paraId="3617DB39">
      <w:pPr>
        <w:ind w:firstLine="480" w:firstLineChars="200"/>
        <w:rPr>
          <w:rFonts w:ascii="仿宋" w:hAnsi="仿宋" w:eastAsia="仿宋" w:cs="仿宋"/>
          <w:sz w:val="24"/>
        </w:rPr>
      </w:pPr>
      <w:r>
        <w:rPr>
          <w:rFonts w:hint="eastAsia" w:ascii="仿宋" w:hAnsi="仿宋" w:eastAsia="仿宋" w:cs="仿宋"/>
          <w:sz w:val="24"/>
        </w:rPr>
        <w:t>我方保证的期间为：自本合同生效之日起至供应商按照主合同约定的供货/完工期限届满后</w:t>
      </w:r>
      <w:r>
        <w:rPr>
          <w:rFonts w:hint="eastAsia" w:ascii="仿宋" w:hAnsi="仿宋" w:eastAsia="仿宋" w:cs="仿宋"/>
          <w:sz w:val="24"/>
          <w:u w:val="single"/>
        </w:rPr>
        <w:t xml:space="preserve">     </w:t>
      </w:r>
      <w:r>
        <w:rPr>
          <w:rFonts w:hint="eastAsia" w:ascii="仿宋" w:hAnsi="仿宋" w:eastAsia="仿宋" w:cs="仿宋"/>
          <w:sz w:val="24"/>
        </w:rPr>
        <w:t>日内。</w:t>
      </w:r>
    </w:p>
    <w:p w14:paraId="509ABDC1">
      <w:pPr>
        <w:ind w:firstLine="480" w:firstLineChars="200"/>
        <w:rPr>
          <w:rFonts w:ascii="仿宋" w:hAnsi="仿宋" w:eastAsia="仿宋" w:cs="仿宋"/>
          <w:sz w:val="24"/>
        </w:rPr>
      </w:pPr>
      <w:r>
        <w:rPr>
          <w:rFonts w:hint="eastAsia" w:ascii="仿宋" w:hAnsi="仿宋" w:eastAsia="仿宋" w:cs="仿宋"/>
          <w:sz w:val="24"/>
        </w:rPr>
        <w:t>如果供应商未按主合同约定向你方供应货物/提供服务/完成工程的，由我方在保证金额内向你方支付上述款项。</w:t>
      </w:r>
    </w:p>
    <w:p w14:paraId="70B2150B">
      <w:pPr>
        <w:ind w:firstLine="480" w:firstLineChars="200"/>
        <w:rPr>
          <w:rFonts w:ascii="仿宋" w:hAnsi="仿宋" w:eastAsia="仿宋" w:cs="仿宋"/>
          <w:sz w:val="24"/>
        </w:rPr>
      </w:pPr>
      <w:r>
        <w:rPr>
          <w:rFonts w:hint="eastAsia" w:ascii="仿宋" w:hAnsi="仿宋" w:eastAsia="仿宋" w:cs="仿宋"/>
          <w:sz w:val="24"/>
        </w:rPr>
        <w:t>三、承担保证责任的程序</w:t>
      </w:r>
    </w:p>
    <w:p w14:paraId="57A7684E">
      <w:pPr>
        <w:ind w:firstLine="480" w:firstLineChars="200"/>
        <w:rPr>
          <w:rFonts w:ascii="仿宋" w:hAnsi="仿宋" w:eastAsia="仿宋" w:cs="仿宋"/>
          <w:sz w:val="24"/>
        </w:rPr>
      </w:pPr>
      <w:r>
        <w:rPr>
          <w:rFonts w:hint="eastAsia" w:ascii="仿宋" w:hAnsi="仿宋" w:eastAsia="仿宋" w:cs="仿宋"/>
          <w:sz w:val="24"/>
        </w:rPr>
        <w:t>1．你方要求我方承担保证责任的，应在本保函保证期间内向我方发出书面索赔通知。索赔通知应写明要求索赔的金额，支付款项应到达的帐号。并附有证明供应商违约事实的证明材料。</w:t>
      </w:r>
    </w:p>
    <w:p w14:paraId="15ED5007">
      <w:pPr>
        <w:ind w:firstLine="480" w:firstLineChars="200"/>
        <w:rPr>
          <w:rFonts w:ascii="仿宋" w:hAnsi="仿宋" w:eastAsia="仿宋" w:cs="仿宋"/>
          <w:sz w:val="24"/>
        </w:rPr>
      </w:pPr>
      <w:r>
        <w:rPr>
          <w:rFonts w:hint="eastAsia" w:ascii="仿宋" w:hAnsi="仿宋" w:eastAsia="仿宋" w:cs="仿宋"/>
          <w:sz w:val="24"/>
        </w:rPr>
        <w:t>如果你方与供应商因服务质量问题产生争议，你方还需同时提供相关</w:t>
      </w:r>
      <w:r>
        <w:rPr>
          <w:rFonts w:hint="eastAsia" w:ascii="仿宋" w:hAnsi="仿宋" w:eastAsia="仿宋" w:cs="仿宋"/>
          <w:sz w:val="24"/>
          <w:u w:val="single"/>
        </w:rPr>
        <w:t xml:space="preserve">        </w:t>
      </w:r>
      <w:r>
        <w:rPr>
          <w:rFonts w:hint="eastAsia" w:ascii="仿宋" w:hAnsi="仿宋" w:eastAsia="仿宋" w:cs="仿宋"/>
          <w:sz w:val="24"/>
        </w:rPr>
        <w:t>部门出具的质量检测报告，或经诉讼（仲裁）程序裁决后的裁决书、调解书，我方即按照检测结果或裁决书、调解书决定是否承担保证责任。</w:t>
      </w:r>
    </w:p>
    <w:p w14:paraId="5598139B">
      <w:pPr>
        <w:ind w:firstLine="480" w:firstLineChars="200"/>
        <w:rPr>
          <w:rFonts w:ascii="仿宋" w:hAnsi="仿宋" w:eastAsia="仿宋" w:cs="仿宋"/>
          <w:sz w:val="24"/>
        </w:rPr>
      </w:pPr>
      <w:r>
        <w:rPr>
          <w:rFonts w:hint="eastAsia" w:ascii="仿宋" w:hAnsi="仿宋" w:eastAsia="仿宋" w:cs="仿宋"/>
          <w:sz w:val="24"/>
        </w:rPr>
        <w:t>2．我方收到你方的书面索赔通知及相应证明材料，在</w:t>
      </w:r>
      <w:r>
        <w:rPr>
          <w:rFonts w:hint="eastAsia" w:ascii="仿宋" w:hAnsi="仿宋" w:eastAsia="仿宋" w:cs="仿宋"/>
          <w:sz w:val="24"/>
          <w:u w:val="single"/>
        </w:rPr>
        <w:t xml:space="preserve">     </w:t>
      </w:r>
      <w:r>
        <w:rPr>
          <w:rFonts w:hint="eastAsia" w:ascii="仿宋" w:hAnsi="仿宋" w:eastAsia="仿宋" w:cs="仿宋"/>
          <w:sz w:val="24"/>
        </w:rPr>
        <w:t>工作日内进行核定后按照本保函的承诺承担保证责任。</w:t>
      </w:r>
    </w:p>
    <w:p w14:paraId="64D16914">
      <w:pPr>
        <w:ind w:firstLine="480" w:firstLineChars="200"/>
        <w:rPr>
          <w:rFonts w:ascii="仿宋" w:hAnsi="仿宋" w:eastAsia="仿宋" w:cs="仿宋"/>
          <w:sz w:val="24"/>
        </w:rPr>
      </w:pPr>
      <w:r>
        <w:rPr>
          <w:rFonts w:hint="eastAsia" w:ascii="仿宋" w:hAnsi="仿宋" w:eastAsia="仿宋" w:cs="仿宋"/>
          <w:sz w:val="24"/>
        </w:rPr>
        <w:t>四、保证责任的终止</w:t>
      </w:r>
    </w:p>
    <w:p w14:paraId="07334445">
      <w:pPr>
        <w:ind w:firstLine="480" w:firstLineChars="200"/>
        <w:rPr>
          <w:rFonts w:ascii="仿宋" w:hAnsi="仿宋" w:eastAsia="仿宋" w:cs="仿宋"/>
          <w:sz w:val="24"/>
        </w:rPr>
      </w:pPr>
      <w:r>
        <w:rPr>
          <w:rFonts w:hint="eastAsia" w:ascii="仿宋" w:hAnsi="仿宋" w:eastAsia="仿宋" w:cs="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35315757">
      <w:pPr>
        <w:ind w:firstLine="480" w:firstLineChars="200"/>
        <w:rPr>
          <w:rFonts w:ascii="仿宋" w:hAnsi="仿宋" w:eastAsia="仿宋" w:cs="仿宋"/>
          <w:sz w:val="24"/>
        </w:rPr>
      </w:pPr>
      <w:r>
        <w:rPr>
          <w:rFonts w:hint="eastAsia" w:ascii="仿宋" w:hAnsi="仿宋" w:eastAsia="仿宋" w:cs="仿宋"/>
          <w:sz w:val="24"/>
        </w:rPr>
        <w:t>2．我方按照本保函向你方履行了保证责任后，自我方向你方支付款项（支付款项从我方账户划出）之日起，保证责任即终止。</w:t>
      </w:r>
    </w:p>
    <w:p w14:paraId="017B8BBE">
      <w:pPr>
        <w:ind w:firstLine="480" w:firstLineChars="200"/>
        <w:rPr>
          <w:rFonts w:ascii="仿宋" w:hAnsi="仿宋" w:eastAsia="仿宋" w:cs="仿宋"/>
          <w:sz w:val="24"/>
        </w:rPr>
      </w:pPr>
      <w:r>
        <w:rPr>
          <w:rFonts w:hint="eastAsia" w:ascii="仿宋" w:hAnsi="仿宋" w:eastAsia="仿宋" w:cs="仿宋"/>
          <w:sz w:val="24"/>
        </w:rPr>
        <w:t>3．按照法律法规的规定或出现应终止我方保证责任的其它情形的，我方在本保函项下的保证责任亦终止。</w:t>
      </w:r>
    </w:p>
    <w:p w14:paraId="360EB819">
      <w:pPr>
        <w:ind w:firstLine="480" w:firstLineChars="200"/>
        <w:rPr>
          <w:rFonts w:ascii="仿宋" w:hAnsi="仿宋" w:eastAsia="仿宋" w:cs="仿宋"/>
          <w:sz w:val="24"/>
        </w:rPr>
      </w:pPr>
      <w:r>
        <w:rPr>
          <w:rFonts w:hint="eastAsia" w:ascii="仿宋" w:hAnsi="仿宋" w:eastAsia="仿宋" w:cs="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BD06D7A">
      <w:pPr>
        <w:ind w:firstLine="480" w:firstLineChars="200"/>
        <w:rPr>
          <w:rFonts w:ascii="仿宋" w:hAnsi="仿宋" w:eastAsia="仿宋" w:cs="仿宋"/>
          <w:sz w:val="24"/>
        </w:rPr>
      </w:pPr>
      <w:r>
        <w:rPr>
          <w:rFonts w:hint="eastAsia" w:ascii="仿宋" w:hAnsi="仿宋" w:eastAsia="仿宋" w:cs="仿宋"/>
          <w:sz w:val="24"/>
        </w:rPr>
        <w:t>五、免责条款</w:t>
      </w:r>
    </w:p>
    <w:p w14:paraId="2CA6BDAF">
      <w:pPr>
        <w:ind w:firstLine="480" w:firstLineChars="200"/>
        <w:rPr>
          <w:rFonts w:ascii="仿宋" w:hAnsi="仿宋" w:eastAsia="仿宋" w:cs="仿宋"/>
          <w:sz w:val="24"/>
        </w:rPr>
      </w:pPr>
      <w:r>
        <w:rPr>
          <w:rFonts w:hint="eastAsia" w:ascii="仿宋" w:hAnsi="仿宋" w:eastAsia="仿宋" w:cs="仿宋"/>
          <w:sz w:val="24"/>
        </w:rPr>
        <w:t>1．因你方违反主合同约定致使供应商不能履行义务的，我方不承担保证责任。</w:t>
      </w:r>
    </w:p>
    <w:p w14:paraId="5FDA75C4">
      <w:pPr>
        <w:ind w:firstLine="480" w:firstLineChars="200"/>
        <w:rPr>
          <w:rFonts w:ascii="仿宋" w:hAnsi="仿宋" w:eastAsia="仿宋" w:cs="仿宋"/>
          <w:sz w:val="24"/>
        </w:rPr>
      </w:pPr>
      <w:r>
        <w:rPr>
          <w:rFonts w:hint="eastAsia" w:ascii="仿宋" w:hAnsi="仿宋" w:eastAsia="仿宋" w:cs="仿宋"/>
          <w:sz w:val="24"/>
        </w:rPr>
        <w:t>2．依照法律法规的规定或你方与供应商的另行约定，全部或者部分免除供应商应缴纳的保证金义务的，我方亦免除相应的保证责任。</w:t>
      </w:r>
    </w:p>
    <w:p w14:paraId="05544A3E">
      <w:pPr>
        <w:ind w:firstLine="480" w:firstLineChars="200"/>
        <w:rPr>
          <w:rFonts w:ascii="仿宋" w:hAnsi="仿宋" w:eastAsia="仿宋" w:cs="仿宋"/>
          <w:sz w:val="24"/>
        </w:rPr>
      </w:pPr>
      <w:r>
        <w:rPr>
          <w:rFonts w:hint="eastAsia" w:ascii="仿宋" w:hAnsi="仿宋" w:eastAsia="仿宋" w:cs="仿宋"/>
          <w:sz w:val="24"/>
        </w:rPr>
        <w:t>3．因不可抗力造成供应商不能履行供货义务的，我方不承担保证责任。</w:t>
      </w:r>
    </w:p>
    <w:p w14:paraId="6AC3741C">
      <w:pPr>
        <w:ind w:firstLine="480" w:firstLineChars="200"/>
        <w:rPr>
          <w:rFonts w:ascii="仿宋" w:hAnsi="仿宋" w:eastAsia="仿宋" w:cs="仿宋"/>
          <w:sz w:val="24"/>
        </w:rPr>
      </w:pPr>
      <w:r>
        <w:rPr>
          <w:rFonts w:hint="eastAsia" w:ascii="仿宋" w:hAnsi="仿宋" w:eastAsia="仿宋" w:cs="仿宋"/>
          <w:sz w:val="24"/>
        </w:rPr>
        <w:t>六、争议的解决</w:t>
      </w:r>
    </w:p>
    <w:p w14:paraId="6580F881">
      <w:pPr>
        <w:ind w:firstLine="480" w:firstLineChars="200"/>
        <w:rPr>
          <w:rFonts w:ascii="仿宋" w:hAnsi="仿宋" w:eastAsia="仿宋" w:cs="仿宋"/>
          <w:sz w:val="24"/>
        </w:rPr>
      </w:pPr>
      <w:r>
        <w:rPr>
          <w:rFonts w:hint="eastAsia" w:ascii="仿宋" w:hAnsi="仿宋" w:eastAsia="仿宋" w:cs="仿宋"/>
          <w:sz w:val="24"/>
        </w:rPr>
        <w:t>因本保函发生的纠纷，由你我双方协商解决，协商不成的，通过诉讼程序解决，诉讼管辖地法院为</w:t>
      </w:r>
      <w:r>
        <w:rPr>
          <w:rFonts w:hint="eastAsia" w:ascii="仿宋" w:hAnsi="仿宋" w:eastAsia="仿宋" w:cs="仿宋"/>
          <w:sz w:val="24"/>
          <w:u w:val="single"/>
        </w:rPr>
        <w:t xml:space="preserve">        </w:t>
      </w:r>
      <w:r>
        <w:rPr>
          <w:rFonts w:hint="eastAsia" w:ascii="仿宋" w:hAnsi="仿宋" w:eastAsia="仿宋" w:cs="仿宋"/>
          <w:sz w:val="24"/>
        </w:rPr>
        <w:t>法院。</w:t>
      </w:r>
    </w:p>
    <w:p w14:paraId="652D992C">
      <w:pPr>
        <w:ind w:firstLine="480" w:firstLineChars="200"/>
        <w:rPr>
          <w:rFonts w:ascii="仿宋" w:hAnsi="仿宋" w:eastAsia="仿宋" w:cs="仿宋"/>
          <w:sz w:val="24"/>
        </w:rPr>
      </w:pPr>
      <w:r>
        <w:rPr>
          <w:rFonts w:hint="eastAsia" w:ascii="仿宋" w:hAnsi="仿宋" w:eastAsia="仿宋" w:cs="仿宋"/>
          <w:sz w:val="24"/>
        </w:rPr>
        <w:t>七、保函的生效</w:t>
      </w:r>
    </w:p>
    <w:p w14:paraId="0B32DFFD">
      <w:pPr>
        <w:ind w:firstLine="480" w:firstLineChars="200"/>
        <w:rPr>
          <w:rFonts w:ascii="仿宋" w:hAnsi="仿宋" w:eastAsia="仿宋" w:cs="仿宋"/>
          <w:sz w:val="24"/>
        </w:rPr>
      </w:pPr>
      <w:r>
        <w:rPr>
          <w:rFonts w:hint="eastAsia" w:ascii="仿宋" w:hAnsi="仿宋" w:eastAsia="仿宋" w:cs="仿宋"/>
          <w:sz w:val="24"/>
        </w:rPr>
        <w:t>本保函自我方加盖公章之日起生效。</w:t>
      </w:r>
    </w:p>
    <w:p w14:paraId="6F5D28EC">
      <w:pPr>
        <w:rPr>
          <w:rFonts w:ascii="仿宋" w:hAnsi="仿宋" w:eastAsia="仿宋" w:cs="仿宋"/>
          <w:sz w:val="24"/>
        </w:rPr>
      </w:pPr>
    </w:p>
    <w:p w14:paraId="3DAE9829">
      <w:pPr>
        <w:rPr>
          <w:rFonts w:ascii="仿宋" w:hAnsi="仿宋" w:eastAsia="仿宋" w:cs="仿宋"/>
          <w:sz w:val="24"/>
        </w:rPr>
      </w:pPr>
      <w:r>
        <w:rPr>
          <w:rFonts w:hint="eastAsia" w:ascii="仿宋" w:hAnsi="仿宋" w:eastAsia="仿宋" w:cs="仿宋"/>
          <w:sz w:val="24"/>
        </w:rPr>
        <w:t xml:space="preserve">                                      </w:t>
      </w:r>
    </w:p>
    <w:p w14:paraId="39B0810D">
      <w:pPr>
        <w:ind w:firstLine="5400" w:firstLineChars="2250"/>
        <w:rPr>
          <w:rFonts w:ascii="仿宋" w:hAnsi="仿宋" w:eastAsia="仿宋" w:cs="仿宋"/>
          <w:sz w:val="24"/>
        </w:rPr>
      </w:pPr>
      <w:r>
        <w:rPr>
          <w:rFonts w:hint="eastAsia" w:ascii="仿宋" w:hAnsi="仿宋" w:eastAsia="仿宋" w:cs="仿宋"/>
          <w:sz w:val="24"/>
        </w:rPr>
        <w:t>保证人：（公章）</w:t>
      </w:r>
    </w:p>
    <w:p w14:paraId="01F8E0ED">
      <w:pPr>
        <w:rPr>
          <w:rFonts w:ascii="仿宋" w:hAnsi="仿宋" w:eastAsia="仿宋" w:cs="仿宋"/>
          <w:sz w:val="24"/>
        </w:rPr>
      </w:pPr>
      <w:r>
        <w:rPr>
          <w:rFonts w:hint="eastAsia" w:ascii="仿宋" w:hAnsi="仿宋" w:eastAsia="仿宋" w:cs="仿宋"/>
          <w:sz w:val="24"/>
        </w:rPr>
        <w:t xml:space="preserve">                   </w:t>
      </w:r>
    </w:p>
    <w:p w14:paraId="79D15D0F">
      <w:pPr>
        <w:rPr>
          <w:rFonts w:ascii="仿宋" w:hAnsi="仿宋" w:eastAsia="仿宋" w:cs="仿宋"/>
          <w:sz w:val="24"/>
        </w:rPr>
      </w:pPr>
      <w:r>
        <w:rPr>
          <w:rFonts w:hint="eastAsia" w:ascii="仿宋" w:hAnsi="仿宋" w:eastAsia="仿宋" w:cs="仿宋"/>
          <w:sz w:val="24"/>
        </w:rPr>
        <w:t xml:space="preserve">                                                   年     月      日</w:t>
      </w:r>
    </w:p>
    <w:p w14:paraId="1CBCD914">
      <w:pPr>
        <w:pStyle w:val="5"/>
        <w:spacing w:line="240" w:lineRule="atLeast"/>
        <w:ind w:firstLine="0"/>
        <w:rPr>
          <w:rFonts w:ascii="仿宋" w:hAnsi="仿宋" w:eastAsia="仿宋" w:cs="仿宋"/>
          <w:b/>
        </w:rPr>
      </w:pPr>
    </w:p>
    <w:p w14:paraId="657C5DEE">
      <w:pPr>
        <w:pStyle w:val="5"/>
        <w:spacing w:line="240" w:lineRule="atLeast"/>
        <w:ind w:firstLine="0"/>
        <w:rPr>
          <w:rFonts w:ascii="仿宋" w:hAnsi="仿宋" w:eastAsia="仿宋" w:cs="仿宋"/>
          <w:b/>
        </w:rPr>
      </w:pPr>
    </w:p>
    <w:p w14:paraId="2EA7D98F">
      <w:pPr>
        <w:pStyle w:val="5"/>
        <w:spacing w:line="240" w:lineRule="atLeast"/>
        <w:ind w:firstLine="0"/>
        <w:rPr>
          <w:rFonts w:ascii="仿宋" w:hAnsi="仿宋" w:eastAsia="仿宋" w:cs="仿宋"/>
          <w:b/>
        </w:rPr>
      </w:pPr>
    </w:p>
    <w:p w14:paraId="26EFE092">
      <w:pPr>
        <w:pStyle w:val="5"/>
        <w:spacing w:line="240" w:lineRule="atLeast"/>
        <w:ind w:firstLine="0"/>
        <w:rPr>
          <w:rFonts w:ascii="仿宋" w:hAnsi="仿宋" w:eastAsia="仿宋" w:cs="仿宋"/>
          <w:b/>
        </w:rPr>
      </w:pPr>
    </w:p>
    <w:p w14:paraId="6AFA93E1">
      <w:pPr>
        <w:pStyle w:val="5"/>
        <w:spacing w:line="240" w:lineRule="atLeast"/>
        <w:ind w:firstLine="0"/>
        <w:rPr>
          <w:rFonts w:ascii="仿宋" w:hAnsi="仿宋" w:eastAsia="仿宋" w:cs="仿宋"/>
          <w:b/>
        </w:rPr>
      </w:pPr>
    </w:p>
    <w:p w14:paraId="216E48DF">
      <w:pPr>
        <w:pStyle w:val="5"/>
        <w:spacing w:line="240" w:lineRule="atLeast"/>
        <w:ind w:firstLine="0"/>
        <w:rPr>
          <w:rFonts w:ascii="仿宋" w:hAnsi="仿宋" w:eastAsia="仿宋" w:cs="仿宋"/>
          <w:b/>
        </w:rPr>
      </w:pPr>
    </w:p>
    <w:p w14:paraId="3F96CDA5">
      <w:pPr>
        <w:pStyle w:val="5"/>
        <w:spacing w:line="240" w:lineRule="atLeast"/>
        <w:ind w:firstLine="0"/>
        <w:rPr>
          <w:rFonts w:ascii="仿宋" w:hAnsi="仿宋" w:eastAsia="仿宋" w:cs="仿宋"/>
          <w:b/>
        </w:rPr>
      </w:pPr>
    </w:p>
    <w:p w14:paraId="674B1025">
      <w:pPr>
        <w:pStyle w:val="5"/>
        <w:spacing w:line="240" w:lineRule="atLeast"/>
        <w:ind w:firstLine="0"/>
        <w:rPr>
          <w:rFonts w:ascii="仿宋" w:hAnsi="仿宋" w:eastAsia="仿宋" w:cs="仿宋"/>
          <w:b/>
        </w:rPr>
      </w:pPr>
    </w:p>
    <w:p w14:paraId="536FC50F">
      <w:pPr>
        <w:pStyle w:val="5"/>
        <w:spacing w:line="240" w:lineRule="atLeast"/>
        <w:ind w:firstLine="0"/>
        <w:rPr>
          <w:rFonts w:ascii="仿宋" w:hAnsi="仿宋" w:eastAsia="仿宋" w:cs="仿宋"/>
          <w:b/>
        </w:rPr>
      </w:pPr>
    </w:p>
    <w:p w14:paraId="215A5E3F">
      <w:pPr>
        <w:pStyle w:val="5"/>
        <w:spacing w:line="240" w:lineRule="atLeast"/>
        <w:ind w:firstLine="0"/>
        <w:rPr>
          <w:rFonts w:ascii="仿宋" w:hAnsi="仿宋" w:eastAsia="仿宋" w:cs="仿宋"/>
          <w:b/>
        </w:rPr>
      </w:pPr>
    </w:p>
    <w:p w14:paraId="54E1BEB3">
      <w:pPr>
        <w:pStyle w:val="5"/>
        <w:spacing w:line="240" w:lineRule="atLeast"/>
        <w:ind w:firstLine="0"/>
        <w:rPr>
          <w:rFonts w:ascii="仿宋" w:hAnsi="仿宋" w:eastAsia="仿宋" w:cs="仿宋"/>
          <w:b/>
        </w:rPr>
      </w:pPr>
    </w:p>
    <w:p w14:paraId="0497603F">
      <w:pPr>
        <w:pStyle w:val="5"/>
        <w:spacing w:line="240" w:lineRule="atLeast"/>
        <w:ind w:firstLine="0"/>
        <w:rPr>
          <w:rFonts w:ascii="仿宋" w:hAnsi="仿宋" w:eastAsia="仿宋" w:cs="仿宋"/>
          <w:b/>
        </w:rPr>
      </w:pPr>
    </w:p>
    <w:p w14:paraId="03F1BD5D">
      <w:pPr>
        <w:pStyle w:val="5"/>
        <w:spacing w:line="240" w:lineRule="atLeast"/>
        <w:ind w:firstLine="0"/>
        <w:rPr>
          <w:rFonts w:ascii="仿宋" w:hAnsi="仿宋" w:eastAsia="仿宋" w:cs="仿宋"/>
          <w:b/>
        </w:rPr>
      </w:pPr>
    </w:p>
    <w:p w14:paraId="3DBEF783">
      <w:pPr>
        <w:pStyle w:val="5"/>
        <w:spacing w:line="240" w:lineRule="atLeast"/>
        <w:ind w:firstLine="0"/>
        <w:rPr>
          <w:rFonts w:ascii="仿宋" w:hAnsi="仿宋" w:eastAsia="仿宋" w:cs="仿宋"/>
          <w:b/>
        </w:rPr>
      </w:pPr>
    </w:p>
    <w:p w14:paraId="399B62F7">
      <w:pPr>
        <w:pStyle w:val="5"/>
        <w:spacing w:line="240" w:lineRule="atLeast"/>
        <w:ind w:firstLine="0"/>
        <w:rPr>
          <w:rFonts w:ascii="仿宋" w:hAnsi="仿宋" w:eastAsia="仿宋" w:cs="仿宋"/>
          <w:b/>
        </w:rPr>
      </w:pPr>
    </w:p>
    <w:p w14:paraId="28979802">
      <w:pPr>
        <w:pStyle w:val="5"/>
        <w:spacing w:line="240" w:lineRule="atLeast"/>
        <w:ind w:firstLine="0"/>
        <w:rPr>
          <w:rFonts w:ascii="仿宋" w:hAnsi="仿宋" w:eastAsia="仿宋" w:cs="仿宋"/>
          <w:b/>
        </w:rPr>
      </w:pPr>
    </w:p>
    <w:p w14:paraId="7694781D">
      <w:pPr>
        <w:pStyle w:val="5"/>
        <w:spacing w:line="240" w:lineRule="atLeast"/>
        <w:ind w:firstLine="0"/>
        <w:rPr>
          <w:rFonts w:ascii="仿宋" w:hAnsi="仿宋" w:eastAsia="仿宋" w:cs="仿宋"/>
          <w:b/>
        </w:rPr>
      </w:pPr>
    </w:p>
    <w:p w14:paraId="6C725018">
      <w:pPr>
        <w:pStyle w:val="5"/>
        <w:spacing w:line="240" w:lineRule="atLeast"/>
        <w:ind w:firstLine="0"/>
        <w:rPr>
          <w:rFonts w:ascii="仿宋" w:hAnsi="仿宋" w:eastAsia="仿宋" w:cs="仿宋"/>
          <w:b/>
        </w:rPr>
      </w:pPr>
    </w:p>
    <w:p w14:paraId="7AB2B1B5">
      <w:pPr>
        <w:pStyle w:val="5"/>
        <w:spacing w:line="240" w:lineRule="atLeast"/>
        <w:ind w:firstLine="0"/>
        <w:rPr>
          <w:rFonts w:ascii="仿宋" w:hAnsi="仿宋" w:eastAsia="仿宋" w:cs="仿宋"/>
          <w:b/>
        </w:rPr>
      </w:pPr>
    </w:p>
    <w:p w14:paraId="6869644F">
      <w:pPr>
        <w:pStyle w:val="2"/>
        <w:numPr>
          <w:ilvl w:val="0"/>
          <w:numId w:val="6"/>
        </w:numPr>
        <w:spacing w:before="0" w:after="0" w:line="240" w:lineRule="atLeast"/>
        <w:rPr>
          <w:rFonts w:ascii="仿宋" w:hAnsi="仿宋" w:eastAsia="仿宋" w:cs="仿宋"/>
        </w:rPr>
      </w:pPr>
      <w:bookmarkStart w:id="233" w:name="_Toc216582812"/>
      <w:bookmarkStart w:id="234" w:name="_Toc728"/>
      <w:bookmarkStart w:id="235" w:name="_Toc17482"/>
      <w:bookmarkStart w:id="236" w:name="_Toc515647802"/>
      <w:bookmarkStart w:id="237" w:name="_Toc702"/>
      <w:r>
        <w:rPr>
          <w:rFonts w:hint="eastAsia" w:ascii="仿宋" w:hAnsi="仿宋" w:eastAsia="仿宋" w:cs="仿宋"/>
        </w:rPr>
        <w:t>响应文件格式</w:t>
      </w:r>
      <w:bookmarkEnd w:id="233"/>
      <w:bookmarkEnd w:id="234"/>
      <w:bookmarkEnd w:id="235"/>
      <w:bookmarkEnd w:id="236"/>
      <w:bookmarkEnd w:id="237"/>
    </w:p>
    <w:p w14:paraId="1008DE34">
      <w:pPr>
        <w:spacing w:line="240" w:lineRule="atLeast"/>
        <w:ind w:left="735" w:leftChars="350" w:firstLine="120" w:firstLineChars="50"/>
        <w:rPr>
          <w:rFonts w:ascii="仿宋" w:hAnsi="仿宋" w:eastAsia="仿宋" w:cs="仿宋"/>
          <w:sz w:val="24"/>
        </w:rPr>
      </w:pPr>
    </w:p>
    <w:p w14:paraId="45739A0B">
      <w:pPr>
        <w:pStyle w:val="3"/>
        <w:spacing w:before="0" w:line="240" w:lineRule="atLeast"/>
        <w:ind w:left="1079" w:leftChars="257" w:hanging="540"/>
        <w:rPr>
          <w:rFonts w:ascii="仿宋" w:hAnsi="仿宋" w:eastAsia="仿宋" w:cs="仿宋"/>
          <w:sz w:val="24"/>
        </w:rPr>
      </w:pPr>
      <w:bookmarkStart w:id="238" w:name="_Toc18974"/>
      <w:bookmarkStart w:id="239" w:name="_Toc23628"/>
      <w:bookmarkStart w:id="240" w:name="_Toc515647803"/>
      <w:bookmarkStart w:id="241" w:name="_Toc18694"/>
      <w:r>
        <w:rPr>
          <w:rFonts w:hint="eastAsia" w:ascii="仿宋" w:hAnsi="仿宋" w:eastAsia="仿宋" w:cs="仿宋"/>
          <w:sz w:val="24"/>
        </w:rPr>
        <w:t>第一部分 开标一览表及资格证明文件</w:t>
      </w:r>
      <w:bookmarkEnd w:id="238"/>
      <w:bookmarkEnd w:id="239"/>
      <w:bookmarkEnd w:id="240"/>
      <w:bookmarkEnd w:id="241"/>
    </w:p>
    <w:p w14:paraId="280615BC">
      <w:pPr>
        <w:spacing w:line="240" w:lineRule="atLeast"/>
        <w:ind w:left="708" w:hanging="708" w:hangingChars="295"/>
        <w:jc w:val="center"/>
        <w:rPr>
          <w:rFonts w:ascii="仿宋" w:hAnsi="仿宋" w:eastAsia="仿宋" w:cs="仿宋"/>
          <w:sz w:val="24"/>
        </w:rPr>
      </w:pPr>
    </w:p>
    <w:p w14:paraId="14410E08">
      <w:pPr>
        <w:tabs>
          <w:tab w:val="left" w:pos="5580"/>
        </w:tabs>
        <w:spacing w:line="240" w:lineRule="atLeast"/>
        <w:ind w:firstLine="424" w:firstLineChars="177"/>
        <w:rPr>
          <w:rFonts w:ascii="仿宋" w:hAnsi="仿宋" w:eastAsia="仿宋" w:cs="仿宋"/>
          <w:sz w:val="24"/>
        </w:rPr>
      </w:pPr>
      <w:r>
        <w:rPr>
          <w:rFonts w:hint="eastAsia" w:ascii="仿宋" w:hAnsi="仿宋" w:eastAsia="仿宋" w:cs="仿宋"/>
          <w:sz w:val="24"/>
        </w:rPr>
        <w:t xml:space="preserve"> 1、开标一览表（见磋商文件格式一）;</w:t>
      </w:r>
    </w:p>
    <w:p w14:paraId="53B2E3D9">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eastAsia="zh-CN"/>
        </w:rPr>
        <w:t>具有有效的营业执照</w:t>
      </w:r>
      <w:r>
        <w:rPr>
          <w:rFonts w:hint="eastAsia" w:ascii="仿宋" w:hAnsi="仿宋" w:eastAsia="仿宋" w:cs="仿宋"/>
          <w:sz w:val="24"/>
        </w:rPr>
        <w:t>（须加盖本单位</w:t>
      </w:r>
      <w:r>
        <w:rPr>
          <w:rFonts w:hint="eastAsia" w:ascii="仿宋" w:hAnsi="仿宋" w:eastAsia="仿宋" w:cs="仿宋"/>
          <w:sz w:val="24"/>
          <w:lang w:val="en-US" w:eastAsia="zh-CN"/>
        </w:rPr>
        <w:t>公</w:t>
      </w:r>
      <w:r>
        <w:rPr>
          <w:rFonts w:hint="eastAsia" w:ascii="仿宋" w:hAnsi="仿宋" w:eastAsia="仿宋" w:cs="仿宋"/>
          <w:sz w:val="24"/>
        </w:rPr>
        <w:t>章）;</w:t>
      </w:r>
    </w:p>
    <w:p w14:paraId="732F563E">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3、法定代表人授权委托书及被委托人身份证（法定代表人投标提供法定代表人身份证明及身份证）见磋商文件格式二，自然人投标的无需提供;</w:t>
      </w:r>
    </w:p>
    <w:p w14:paraId="4D0C587B">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4、本单位缴纳的近</w:t>
      </w:r>
      <w:r>
        <w:rPr>
          <w:rFonts w:hint="eastAsia" w:ascii="仿宋" w:hAnsi="仿宋" w:eastAsia="仿宋" w:cs="仿宋"/>
          <w:sz w:val="24"/>
          <w:lang w:val="en-US" w:eastAsia="zh-CN"/>
        </w:rPr>
        <w:t>六</w:t>
      </w:r>
      <w:r>
        <w:rPr>
          <w:rFonts w:hint="eastAsia" w:ascii="仿宋" w:hAnsi="仿宋" w:eastAsia="仿宋" w:cs="仿宋"/>
          <w:sz w:val="24"/>
        </w:rPr>
        <w:t>个月中任意一个月的社保缴纳证明（单位社保缴费汇总和个人明细表）含被授权委托人；</w:t>
      </w:r>
    </w:p>
    <w:p w14:paraId="09FEC248">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5、具有税务局开具依法缴纳近</w:t>
      </w:r>
      <w:r>
        <w:rPr>
          <w:rFonts w:hint="eastAsia" w:ascii="仿宋" w:hAnsi="仿宋" w:eastAsia="仿宋" w:cs="仿宋"/>
          <w:sz w:val="24"/>
          <w:lang w:val="en-US" w:eastAsia="zh-CN"/>
        </w:rPr>
        <w:t>六</w:t>
      </w:r>
      <w:r>
        <w:rPr>
          <w:rFonts w:hint="eastAsia" w:ascii="仿宋" w:hAnsi="仿宋" w:eastAsia="仿宋" w:cs="仿宋"/>
          <w:sz w:val="24"/>
        </w:rPr>
        <w:t>个月中任意一个月的税收证明的良好记录（完税证明</w:t>
      </w:r>
      <w:r>
        <w:rPr>
          <w:rFonts w:hint="eastAsia" w:ascii="仿宋" w:hAnsi="仿宋" w:eastAsia="仿宋" w:cs="仿宋"/>
          <w:sz w:val="24"/>
          <w:lang w:val="en-US" w:eastAsia="zh-CN"/>
        </w:rPr>
        <w:t>非社保类</w:t>
      </w:r>
      <w:r>
        <w:rPr>
          <w:rFonts w:hint="eastAsia" w:ascii="仿宋" w:hAnsi="仿宋" w:eastAsia="仿宋" w:cs="仿宋"/>
          <w:sz w:val="24"/>
        </w:rPr>
        <w:t>）；</w:t>
      </w:r>
    </w:p>
    <w:p w14:paraId="122A36AA">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6、具有20</w:t>
      </w:r>
      <w:r>
        <w:rPr>
          <w:rFonts w:hint="eastAsia" w:ascii="仿宋" w:hAnsi="仿宋" w:eastAsia="仿宋" w:cs="仿宋"/>
          <w:sz w:val="24"/>
          <w:lang w:val="en-US" w:eastAsia="zh-CN"/>
        </w:rPr>
        <w:t>23</w:t>
      </w:r>
      <w:r>
        <w:rPr>
          <w:rFonts w:hint="eastAsia" w:ascii="仿宋" w:hAnsi="仿宋" w:eastAsia="仿宋" w:cs="仿宋"/>
          <w:sz w:val="24"/>
        </w:rPr>
        <w:t>年度或202</w:t>
      </w:r>
      <w:r>
        <w:rPr>
          <w:rFonts w:hint="eastAsia" w:ascii="仿宋" w:hAnsi="仿宋" w:eastAsia="仿宋" w:cs="仿宋"/>
          <w:sz w:val="24"/>
          <w:lang w:val="en-US" w:eastAsia="zh-CN"/>
        </w:rPr>
        <w:t>4</w:t>
      </w:r>
      <w:r>
        <w:rPr>
          <w:rFonts w:hint="eastAsia" w:ascii="仿宋" w:hAnsi="仿宋" w:eastAsia="仿宋" w:cs="仿宋"/>
          <w:sz w:val="24"/>
        </w:rPr>
        <w:t>年度的财务审计报告（新成立未满一年的公司提供有效的银行资信证明）；</w:t>
      </w:r>
    </w:p>
    <w:p w14:paraId="1531340B">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7、投标供应商参加项目领取磋商文件及投标环节期间采购活动前3年内，在经营活动中没有重大违法记录的书面承诺书（自拟）；</w:t>
      </w:r>
    </w:p>
    <w:p w14:paraId="6A593D1B">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8、针对本项目的反商业贿赂承诺书；</w:t>
      </w:r>
    </w:p>
    <w:p w14:paraId="5C598528">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9、根据《财政部关于在政府采购活动中查询及使用信用记录有关问题的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以资格审查小组开标现场查询为主）。</w:t>
      </w:r>
    </w:p>
    <w:p w14:paraId="23719C69">
      <w:pPr>
        <w:tabs>
          <w:tab w:val="left" w:pos="5580"/>
        </w:tabs>
        <w:spacing w:line="240" w:lineRule="atLeast"/>
        <w:ind w:left="1" w:firstLine="564" w:firstLineChars="235"/>
        <w:rPr>
          <w:rFonts w:hint="eastAsia" w:ascii="仿宋" w:hAnsi="仿宋" w:eastAsia="仿宋" w:cs="仿宋"/>
          <w:sz w:val="24"/>
          <w:lang w:val="en-US" w:eastAsia="zh-CN"/>
        </w:rPr>
      </w:pPr>
      <w:r>
        <w:rPr>
          <w:rFonts w:hint="eastAsia" w:ascii="仿宋" w:hAnsi="仿宋" w:eastAsia="仿宋" w:cs="仿宋"/>
          <w:sz w:val="24"/>
        </w:rPr>
        <w:t>10、</w:t>
      </w:r>
      <w:r>
        <w:rPr>
          <w:rFonts w:hint="eastAsia" w:ascii="仿宋" w:hAnsi="仿宋" w:eastAsia="仿宋" w:cs="仿宋"/>
          <w:sz w:val="24"/>
          <w:lang w:val="en-US" w:eastAsia="zh-CN"/>
        </w:rPr>
        <w:t>特定资格要求</w:t>
      </w:r>
    </w:p>
    <w:p w14:paraId="0BE90AA2">
      <w:pPr>
        <w:tabs>
          <w:tab w:val="left" w:pos="5580"/>
        </w:tabs>
        <w:spacing w:line="240" w:lineRule="atLeast"/>
        <w:ind w:left="1" w:firstLine="564" w:firstLineChars="235"/>
        <w:rPr>
          <w:rFonts w:hint="eastAsia" w:ascii="仿宋" w:hAnsi="仿宋" w:eastAsia="仿宋" w:cs="仿宋"/>
          <w:sz w:val="24"/>
        </w:rPr>
      </w:pPr>
      <w:r>
        <w:rPr>
          <w:rFonts w:hint="eastAsia" w:ascii="仿宋" w:hAnsi="仿宋" w:eastAsia="仿宋" w:cs="仿宋"/>
          <w:sz w:val="24"/>
        </w:rPr>
        <w:t>（1）【市政公用工程施工总承包三级】（含三级）以上资质企业；并在人员、设备、资金等方面具有相应的施工能力；</w:t>
      </w:r>
    </w:p>
    <w:p w14:paraId="4E538606">
      <w:pPr>
        <w:tabs>
          <w:tab w:val="left" w:pos="5580"/>
        </w:tabs>
        <w:spacing w:line="240" w:lineRule="atLeast"/>
        <w:ind w:left="1" w:firstLine="564" w:firstLineChars="235"/>
        <w:rPr>
          <w:rFonts w:hint="eastAsia" w:ascii="仿宋" w:hAnsi="仿宋" w:eastAsia="仿宋" w:cs="仿宋"/>
          <w:sz w:val="24"/>
        </w:rPr>
      </w:pPr>
      <w:r>
        <w:rPr>
          <w:rFonts w:hint="eastAsia" w:ascii="仿宋" w:hAnsi="仿宋" w:eastAsia="仿宋" w:cs="仿宋"/>
          <w:sz w:val="24"/>
        </w:rPr>
        <w:t>（2）拟派项目经理具备【市政公用工程二级】（含二级）以上注册建造师执业资格及有效的安全生产考核合格证B证；</w:t>
      </w:r>
    </w:p>
    <w:p w14:paraId="0E2368AD">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1</w:t>
      </w:r>
      <w:r>
        <w:rPr>
          <w:rFonts w:hint="eastAsia" w:ascii="仿宋" w:hAnsi="仿宋" w:eastAsia="仿宋" w:cs="仿宋"/>
          <w:sz w:val="24"/>
        </w:rPr>
        <w:t>、</w:t>
      </w:r>
      <w:r>
        <w:rPr>
          <w:rFonts w:hint="eastAsia" w:ascii="仿宋" w:hAnsi="仿宋" w:eastAsia="仿宋" w:cs="仿宋"/>
          <w:sz w:val="24"/>
          <w:lang w:val="en-US" w:eastAsia="zh-CN"/>
        </w:rPr>
        <w:t>磋商</w:t>
      </w:r>
      <w:r>
        <w:rPr>
          <w:rFonts w:hint="eastAsia" w:ascii="仿宋" w:hAnsi="仿宋" w:eastAsia="仿宋" w:cs="仿宋"/>
          <w:sz w:val="24"/>
        </w:rPr>
        <w:t>保证金缴纳凭证或</w:t>
      </w:r>
      <w:r>
        <w:rPr>
          <w:rFonts w:hint="eastAsia" w:ascii="仿宋" w:hAnsi="仿宋" w:eastAsia="仿宋" w:cs="仿宋"/>
          <w:sz w:val="24"/>
          <w:lang w:val="en-US" w:eastAsia="zh-CN"/>
        </w:rPr>
        <w:t>磋商</w:t>
      </w:r>
      <w:r>
        <w:rPr>
          <w:rFonts w:hint="eastAsia" w:ascii="仿宋" w:hAnsi="仿宋" w:eastAsia="仿宋" w:cs="仿宋"/>
          <w:sz w:val="24"/>
        </w:rPr>
        <w:t>担保函；</w:t>
      </w:r>
    </w:p>
    <w:p w14:paraId="204F38AD">
      <w:pPr>
        <w:tabs>
          <w:tab w:val="left" w:pos="5580"/>
        </w:tabs>
        <w:spacing w:line="240" w:lineRule="atLeast"/>
        <w:ind w:left="1" w:firstLine="564" w:firstLineChars="235"/>
        <w:rPr>
          <w:rFonts w:hint="eastAsia" w:ascii="仿宋" w:hAnsi="仿宋" w:eastAsia="仿宋" w:cs="仿宋"/>
          <w:sz w:val="24"/>
        </w:rPr>
      </w:pPr>
      <w:r>
        <w:rPr>
          <w:rFonts w:hint="eastAsia" w:ascii="仿宋" w:hAnsi="仿宋" w:eastAsia="仿宋"/>
          <w:bCs/>
          <w:sz w:val="24"/>
          <w:lang w:val="en-US" w:eastAsia="zh-CN"/>
        </w:rPr>
        <w:t>12、</w:t>
      </w:r>
      <w:r>
        <w:rPr>
          <w:rFonts w:hint="eastAsia" w:ascii="仿宋" w:hAnsi="仿宋" w:eastAsia="仿宋"/>
          <w:bCs/>
          <w:sz w:val="24"/>
        </w:rPr>
        <w:t>《中小企业声明函》；</w:t>
      </w:r>
    </w:p>
    <w:p w14:paraId="21EBCED6">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3</w:t>
      </w:r>
      <w:r>
        <w:rPr>
          <w:rFonts w:hint="eastAsia" w:ascii="仿宋" w:hAnsi="仿宋" w:eastAsia="仿宋" w:cs="仿宋"/>
          <w:sz w:val="24"/>
        </w:rPr>
        <w:t>、供应商须知资料表要求的其他资格证明文件;</w:t>
      </w:r>
    </w:p>
    <w:p w14:paraId="74C9CE55">
      <w:pPr>
        <w:tabs>
          <w:tab w:val="left" w:pos="5580"/>
        </w:tabs>
        <w:spacing w:line="240" w:lineRule="atLeast"/>
        <w:ind w:left="1" w:firstLine="564" w:firstLineChars="235"/>
        <w:rPr>
          <w:rFonts w:ascii="仿宋" w:hAnsi="仿宋" w:eastAsia="仿宋" w:cs="仿宋"/>
          <w:sz w:val="24"/>
        </w:rPr>
      </w:pPr>
    </w:p>
    <w:p w14:paraId="233DC8E5">
      <w:pPr>
        <w:tabs>
          <w:tab w:val="left" w:pos="5580"/>
        </w:tabs>
        <w:spacing w:line="240" w:lineRule="atLeast"/>
        <w:ind w:left="1" w:firstLine="564" w:firstLineChars="235"/>
        <w:rPr>
          <w:rFonts w:ascii="仿宋" w:hAnsi="仿宋" w:eastAsia="仿宋" w:cs="仿宋"/>
          <w:sz w:val="24"/>
        </w:rPr>
      </w:pPr>
    </w:p>
    <w:p w14:paraId="21103867">
      <w:pPr>
        <w:tabs>
          <w:tab w:val="left" w:pos="5580"/>
        </w:tabs>
        <w:spacing w:line="240" w:lineRule="atLeast"/>
        <w:ind w:left="1" w:firstLine="564" w:firstLineChars="235"/>
        <w:rPr>
          <w:rFonts w:ascii="仿宋" w:hAnsi="仿宋" w:eastAsia="仿宋" w:cs="仿宋"/>
          <w:sz w:val="24"/>
        </w:rPr>
      </w:pPr>
    </w:p>
    <w:p w14:paraId="05498D04">
      <w:pPr>
        <w:tabs>
          <w:tab w:val="left" w:pos="5580"/>
        </w:tabs>
        <w:spacing w:line="240" w:lineRule="atLeast"/>
        <w:ind w:left="1" w:firstLine="564" w:firstLineChars="235"/>
        <w:rPr>
          <w:rFonts w:ascii="仿宋" w:hAnsi="仿宋" w:eastAsia="仿宋" w:cs="仿宋"/>
          <w:sz w:val="24"/>
        </w:rPr>
      </w:pPr>
    </w:p>
    <w:p w14:paraId="42AA3977">
      <w:pPr>
        <w:tabs>
          <w:tab w:val="left" w:pos="5580"/>
        </w:tabs>
        <w:spacing w:line="240" w:lineRule="atLeast"/>
        <w:ind w:left="1" w:firstLine="564" w:firstLineChars="235"/>
        <w:rPr>
          <w:rFonts w:ascii="仿宋" w:hAnsi="仿宋" w:eastAsia="仿宋" w:cs="仿宋"/>
          <w:sz w:val="24"/>
        </w:rPr>
      </w:pPr>
    </w:p>
    <w:p w14:paraId="02D73E96">
      <w:pPr>
        <w:tabs>
          <w:tab w:val="left" w:pos="5580"/>
        </w:tabs>
        <w:spacing w:line="240" w:lineRule="atLeast"/>
        <w:ind w:left="1" w:firstLine="564" w:firstLineChars="235"/>
        <w:rPr>
          <w:rFonts w:ascii="仿宋" w:hAnsi="仿宋" w:eastAsia="仿宋" w:cs="仿宋"/>
          <w:sz w:val="24"/>
        </w:rPr>
      </w:pPr>
    </w:p>
    <w:p w14:paraId="56264CE0">
      <w:pPr>
        <w:tabs>
          <w:tab w:val="left" w:pos="5580"/>
        </w:tabs>
        <w:spacing w:line="240" w:lineRule="atLeast"/>
        <w:ind w:left="1" w:firstLine="564" w:firstLineChars="235"/>
        <w:rPr>
          <w:rFonts w:ascii="仿宋" w:hAnsi="仿宋" w:eastAsia="仿宋" w:cs="仿宋"/>
          <w:sz w:val="24"/>
        </w:rPr>
      </w:pPr>
    </w:p>
    <w:p w14:paraId="10219D42">
      <w:pPr>
        <w:tabs>
          <w:tab w:val="left" w:pos="5580"/>
        </w:tabs>
        <w:spacing w:line="240" w:lineRule="atLeast"/>
        <w:ind w:left="1" w:firstLine="564" w:firstLineChars="235"/>
        <w:rPr>
          <w:rFonts w:ascii="仿宋" w:hAnsi="仿宋" w:eastAsia="仿宋" w:cs="仿宋"/>
          <w:sz w:val="24"/>
        </w:rPr>
      </w:pPr>
    </w:p>
    <w:p w14:paraId="47800A5F">
      <w:pPr>
        <w:tabs>
          <w:tab w:val="left" w:pos="5580"/>
        </w:tabs>
        <w:spacing w:line="240" w:lineRule="atLeast"/>
        <w:ind w:left="1" w:firstLine="564" w:firstLineChars="235"/>
        <w:rPr>
          <w:rFonts w:ascii="仿宋" w:hAnsi="仿宋" w:eastAsia="仿宋" w:cs="仿宋"/>
          <w:sz w:val="24"/>
        </w:rPr>
      </w:pPr>
    </w:p>
    <w:p w14:paraId="0110B4E6">
      <w:pPr>
        <w:tabs>
          <w:tab w:val="left" w:pos="5580"/>
        </w:tabs>
        <w:spacing w:line="240" w:lineRule="atLeast"/>
        <w:ind w:left="1" w:firstLine="564" w:firstLineChars="235"/>
        <w:rPr>
          <w:rFonts w:ascii="仿宋" w:hAnsi="仿宋" w:eastAsia="仿宋" w:cs="仿宋"/>
          <w:sz w:val="24"/>
        </w:rPr>
      </w:pPr>
    </w:p>
    <w:p w14:paraId="04BF1452">
      <w:pPr>
        <w:tabs>
          <w:tab w:val="left" w:pos="5580"/>
        </w:tabs>
        <w:spacing w:line="240" w:lineRule="atLeast"/>
        <w:ind w:left="1" w:firstLine="564" w:firstLineChars="235"/>
        <w:rPr>
          <w:rFonts w:ascii="仿宋" w:hAnsi="仿宋" w:eastAsia="仿宋" w:cs="仿宋"/>
          <w:sz w:val="24"/>
        </w:rPr>
      </w:pPr>
    </w:p>
    <w:p w14:paraId="5DCDADF6">
      <w:pPr>
        <w:tabs>
          <w:tab w:val="left" w:pos="5580"/>
        </w:tabs>
        <w:spacing w:line="240" w:lineRule="atLeast"/>
        <w:ind w:left="1" w:firstLine="564" w:firstLineChars="235"/>
        <w:rPr>
          <w:rFonts w:ascii="仿宋" w:hAnsi="仿宋" w:eastAsia="仿宋" w:cs="仿宋"/>
          <w:sz w:val="24"/>
        </w:rPr>
      </w:pPr>
    </w:p>
    <w:p w14:paraId="39B56421">
      <w:pPr>
        <w:tabs>
          <w:tab w:val="left" w:pos="5580"/>
        </w:tabs>
        <w:spacing w:line="240" w:lineRule="atLeast"/>
        <w:ind w:left="1" w:firstLine="564" w:firstLineChars="235"/>
        <w:rPr>
          <w:rFonts w:ascii="仿宋" w:hAnsi="仿宋" w:eastAsia="仿宋" w:cs="仿宋"/>
          <w:sz w:val="24"/>
        </w:rPr>
      </w:pPr>
    </w:p>
    <w:p w14:paraId="520698E5">
      <w:pPr>
        <w:pStyle w:val="3"/>
        <w:spacing w:before="0" w:line="240" w:lineRule="atLeast"/>
        <w:ind w:left="1079" w:leftChars="257" w:hanging="540"/>
        <w:rPr>
          <w:rFonts w:ascii="仿宋" w:hAnsi="仿宋" w:eastAsia="仿宋" w:cs="仿宋"/>
          <w:sz w:val="24"/>
        </w:rPr>
      </w:pPr>
      <w:bookmarkStart w:id="242" w:name="_Toc16568"/>
      <w:bookmarkStart w:id="243" w:name="_Toc515647804"/>
      <w:bookmarkStart w:id="244" w:name="_Toc23239"/>
      <w:bookmarkStart w:id="245" w:name="_Toc30524"/>
      <w:r>
        <w:rPr>
          <w:rFonts w:hint="eastAsia" w:ascii="仿宋" w:hAnsi="仿宋" w:eastAsia="仿宋" w:cs="仿宋"/>
          <w:sz w:val="24"/>
        </w:rPr>
        <w:t>1  开标一览表（磋商文件格式一）</w:t>
      </w:r>
      <w:bookmarkEnd w:id="242"/>
      <w:bookmarkEnd w:id="243"/>
      <w:bookmarkEnd w:id="244"/>
      <w:bookmarkEnd w:id="245"/>
    </w:p>
    <w:p w14:paraId="24637D9B">
      <w:pPr>
        <w:pStyle w:val="18"/>
        <w:tabs>
          <w:tab w:val="left" w:pos="5580"/>
        </w:tabs>
        <w:spacing w:line="240" w:lineRule="atLeast"/>
        <w:ind w:left="268" w:leftChars="128"/>
        <w:rPr>
          <w:rFonts w:ascii="仿宋" w:hAnsi="仿宋" w:eastAsia="仿宋" w:cs="仿宋"/>
          <w:sz w:val="24"/>
        </w:rPr>
      </w:pPr>
    </w:p>
    <w:p w14:paraId="37995DD5">
      <w:pPr>
        <w:pStyle w:val="18"/>
        <w:tabs>
          <w:tab w:val="left" w:pos="5580"/>
        </w:tabs>
        <w:spacing w:line="240" w:lineRule="atLeast"/>
        <w:ind w:left="268" w:leftChars="128"/>
        <w:rPr>
          <w:rFonts w:ascii="仿宋" w:hAnsi="仿宋" w:eastAsia="仿宋" w:cs="仿宋"/>
          <w:sz w:val="24"/>
          <w:szCs w:val="24"/>
        </w:rPr>
      </w:pPr>
    </w:p>
    <w:p w14:paraId="4D0D6E18">
      <w:pPr>
        <w:pStyle w:val="5"/>
        <w:tabs>
          <w:tab w:val="left" w:pos="5580"/>
        </w:tabs>
        <w:spacing w:line="240" w:lineRule="atLeast"/>
        <w:ind w:left="1079" w:leftChars="257" w:hanging="540"/>
        <w:jc w:val="center"/>
        <w:rPr>
          <w:rFonts w:ascii="仿宋" w:hAnsi="仿宋" w:eastAsia="仿宋" w:cs="仿宋"/>
          <w:b/>
        </w:rPr>
      </w:pPr>
      <w:bookmarkStart w:id="246" w:name="_Hlt520356241"/>
      <w:bookmarkEnd w:id="246"/>
      <w:bookmarkStart w:id="247" w:name="_Toc494296984"/>
      <w:bookmarkStart w:id="248" w:name="_Ref467988698"/>
      <w:bookmarkStart w:id="249" w:name="_Toc216582813"/>
      <w:bookmarkStart w:id="250" w:name="_Toc520356217"/>
      <w:bookmarkStart w:id="251" w:name="_Toc480942349"/>
      <w:r>
        <w:rPr>
          <w:rFonts w:hint="eastAsia" w:ascii="仿宋" w:hAnsi="仿宋" w:eastAsia="仿宋" w:cs="仿宋"/>
          <w:b/>
        </w:rPr>
        <w:t>开标一览表</w:t>
      </w:r>
      <w:bookmarkEnd w:id="247"/>
      <w:r>
        <w:rPr>
          <w:rFonts w:hint="eastAsia" w:ascii="仿宋" w:hAnsi="仿宋" w:eastAsia="仿宋" w:cs="仿宋"/>
          <w:b/>
        </w:rPr>
        <w:cr/>
      </w:r>
    </w:p>
    <w:p w14:paraId="6BE749F3">
      <w:pPr>
        <w:pStyle w:val="5"/>
        <w:tabs>
          <w:tab w:val="left" w:pos="5580"/>
        </w:tabs>
        <w:spacing w:line="240" w:lineRule="atLeast"/>
        <w:ind w:left="1079" w:leftChars="257" w:hanging="540"/>
        <w:rPr>
          <w:rFonts w:ascii="仿宋" w:hAnsi="仿宋" w:eastAsia="仿宋" w:cs="仿宋"/>
        </w:rPr>
      </w:pPr>
    </w:p>
    <w:p w14:paraId="4B06E9EE">
      <w:pPr>
        <w:tabs>
          <w:tab w:val="left" w:pos="1800"/>
          <w:tab w:val="left" w:pos="5580"/>
        </w:tabs>
        <w:spacing w:line="240" w:lineRule="atLeast"/>
        <w:ind w:left="1079" w:leftChars="257" w:right="-867" w:rightChars="-413" w:hanging="540"/>
        <w:rPr>
          <w:rFonts w:ascii="仿宋" w:hAnsi="仿宋" w:eastAsia="仿宋" w:cs="仿宋"/>
          <w:sz w:val="24"/>
        </w:rPr>
      </w:pPr>
      <w:r>
        <w:rPr>
          <w:rFonts w:hint="eastAsia" w:ascii="仿宋" w:hAnsi="仿宋" w:eastAsia="仿宋" w:cs="仿宋"/>
          <w:sz w:val="24"/>
        </w:rPr>
        <w:t xml:space="preserve">项目名称：　                  项目编号：                          </w:t>
      </w:r>
    </w:p>
    <w:p w14:paraId="0A27FED8">
      <w:pPr>
        <w:tabs>
          <w:tab w:val="left" w:pos="1800"/>
          <w:tab w:val="left" w:pos="5580"/>
        </w:tabs>
        <w:spacing w:line="240" w:lineRule="atLeast"/>
        <w:ind w:left="1079" w:leftChars="257" w:right="-867" w:rightChars="-413" w:hanging="540"/>
        <w:rPr>
          <w:rFonts w:ascii="仿宋" w:hAnsi="仿宋" w:eastAsia="仿宋" w:cs="仿宋"/>
          <w:b/>
          <w:bCs/>
          <w:sz w:val="24"/>
        </w:rPr>
      </w:pPr>
      <w:r>
        <w:rPr>
          <w:rFonts w:hint="eastAsia" w:ascii="仿宋" w:hAnsi="仿宋" w:eastAsia="仿宋" w:cs="仿宋"/>
          <w:b/>
          <w:bCs/>
          <w:sz w:val="24"/>
        </w:rPr>
        <w:t>报价单位：人民币  元</w:t>
      </w:r>
    </w:p>
    <w:tbl>
      <w:tblPr>
        <w:tblStyle w:val="34"/>
        <w:tblW w:w="9828" w:type="dxa"/>
        <w:tblInd w:w="-674" w:type="dxa"/>
        <w:tblLayout w:type="fixed"/>
        <w:tblCellMar>
          <w:top w:w="0" w:type="dxa"/>
          <w:left w:w="0" w:type="dxa"/>
          <w:bottom w:w="0" w:type="dxa"/>
          <w:right w:w="0" w:type="dxa"/>
        </w:tblCellMar>
      </w:tblPr>
      <w:tblGrid>
        <w:gridCol w:w="1704"/>
        <w:gridCol w:w="2412"/>
        <w:gridCol w:w="2040"/>
        <w:gridCol w:w="2220"/>
        <w:gridCol w:w="1452"/>
      </w:tblGrid>
      <w:tr w14:paraId="5B4BE699">
        <w:tblPrEx>
          <w:tblCellMar>
            <w:top w:w="0" w:type="dxa"/>
            <w:left w:w="0" w:type="dxa"/>
            <w:bottom w:w="0" w:type="dxa"/>
            <w:right w:w="0" w:type="dxa"/>
          </w:tblCellMar>
        </w:tblPrEx>
        <w:trPr>
          <w:trHeight w:val="758" w:hRule="atLeast"/>
        </w:trPr>
        <w:tc>
          <w:tcPr>
            <w:tcW w:w="1704" w:type="dxa"/>
            <w:tcBorders>
              <w:top w:val="single" w:color="auto" w:sz="4" w:space="0"/>
              <w:left w:val="single" w:color="auto" w:sz="4" w:space="0"/>
              <w:bottom w:val="single" w:color="auto" w:sz="4" w:space="0"/>
              <w:right w:val="single" w:color="auto" w:sz="4" w:space="0"/>
            </w:tcBorders>
            <w:vAlign w:val="center"/>
          </w:tcPr>
          <w:p w14:paraId="1794D78B">
            <w:pPr>
              <w:tabs>
                <w:tab w:val="left" w:pos="5580"/>
              </w:tabs>
              <w:spacing w:line="240" w:lineRule="atLeast"/>
              <w:ind w:right="-199"/>
              <w:jc w:val="center"/>
              <w:rPr>
                <w:rFonts w:ascii="仿宋" w:hAnsi="仿宋" w:eastAsia="仿宋" w:cs="仿宋"/>
                <w:sz w:val="24"/>
              </w:rPr>
            </w:pPr>
            <w:r>
              <w:rPr>
                <w:rFonts w:hint="eastAsia" w:ascii="仿宋" w:hAnsi="仿宋" w:eastAsia="仿宋" w:cs="仿宋"/>
                <w:sz w:val="24"/>
              </w:rPr>
              <w:t>项目名称</w:t>
            </w:r>
          </w:p>
        </w:tc>
        <w:tc>
          <w:tcPr>
            <w:tcW w:w="2412" w:type="dxa"/>
            <w:tcBorders>
              <w:top w:val="single" w:color="auto" w:sz="4" w:space="0"/>
              <w:left w:val="single" w:color="auto" w:sz="8" w:space="0"/>
              <w:bottom w:val="single" w:color="auto" w:sz="4" w:space="0"/>
              <w:right w:val="single" w:color="auto" w:sz="4" w:space="0"/>
            </w:tcBorders>
            <w:vAlign w:val="center"/>
          </w:tcPr>
          <w:p w14:paraId="5731FE2F">
            <w:pPr>
              <w:tabs>
                <w:tab w:val="left" w:pos="5580"/>
              </w:tabs>
              <w:spacing w:line="240" w:lineRule="atLeast"/>
              <w:jc w:val="center"/>
              <w:rPr>
                <w:rFonts w:ascii="仿宋" w:hAnsi="仿宋" w:eastAsia="仿宋" w:cs="仿宋"/>
                <w:sz w:val="24"/>
              </w:rPr>
            </w:pPr>
            <w:r>
              <w:rPr>
                <w:rFonts w:hint="eastAsia" w:ascii="仿宋" w:hAnsi="仿宋" w:eastAsia="仿宋" w:cs="仿宋"/>
                <w:sz w:val="24"/>
              </w:rPr>
              <w:t>投标报价</w:t>
            </w:r>
            <w:r>
              <w:rPr>
                <w:rFonts w:hint="eastAsia" w:ascii="仿宋" w:hAnsi="仿宋" w:eastAsia="仿宋" w:cs="仿宋"/>
                <w:sz w:val="24"/>
                <w:lang w:val="en-US" w:eastAsia="zh-CN"/>
              </w:rPr>
              <w:t>总</w:t>
            </w:r>
            <w:r>
              <w:rPr>
                <w:rFonts w:hint="eastAsia" w:ascii="仿宋" w:hAnsi="仿宋" w:eastAsia="仿宋" w:cs="仿宋"/>
                <w:sz w:val="24"/>
              </w:rPr>
              <w:t>价</w:t>
            </w:r>
          </w:p>
        </w:tc>
        <w:tc>
          <w:tcPr>
            <w:tcW w:w="2040" w:type="dxa"/>
            <w:tcBorders>
              <w:top w:val="single" w:color="auto" w:sz="8" w:space="0"/>
              <w:left w:val="nil"/>
              <w:bottom w:val="single" w:color="auto" w:sz="4" w:space="0"/>
              <w:right w:val="single" w:color="auto" w:sz="4" w:space="0"/>
            </w:tcBorders>
            <w:vAlign w:val="center"/>
          </w:tcPr>
          <w:p w14:paraId="174502C8">
            <w:pPr>
              <w:tabs>
                <w:tab w:val="left" w:pos="5580"/>
              </w:tabs>
              <w:spacing w:line="240" w:lineRule="atLeast"/>
              <w:jc w:val="center"/>
              <w:rPr>
                <w:rFonts w:ascii="仿宋" w:hAnsi="仿宋" w:eastAsia="仿宋" w:cs="仿宋"/>
                <w:sz w:val="24"/>
              </w:rPr>
            </w:pPr>
            <w:r>
              <w:rPr>
                <w:rFonts w:hint="eastAsia" w:ascii="仿宋" w:hAnsi="仿宋" w:eastAsia="仿宋" w:cs="仿宋"/>
                <w:sz w:val="24"/>
              </w:rPr>
              <w:t>磋商保证金</w:t>
            </w:r>
          </w:p>
        </w:tc>
        <w:tc>
          <w:tcPr>
            <w:tcW w:w="2220" w:type="dxa"/>
            <w:tcBorders>
              <w:top w:val="single" w:color="auto" w:sz="8" w:space="0"/>
              <w:left w:val="nil"/>
              <w:bottom w:val="single" w:color="auto" w:sz="4" w:space="0"/>
              <w:right w:val="single" w:color="auto" w:sz="4" w:space="0"/>
            </w:tcBorders>
            <w:vAlign w:val="center"/>
          </w:tcPr>
          <w:p w14:paraId="0124683F">
            <w:pPr>
              <w:tabs>
                <w:tab w:val="left" w:pos="5580"/>
              </w:tabs>
              <w:spacing w:line="240" w:lineRule="atLeast"/>
              <w:jc w:val="center"/>
              <w:rPr>
                <w:rFonts w:ascii="仿宋" w:hAnsi="仿宋" w:eastAsia="仿宋" w:cs="仿宋"/>
                <w:sz w:val="24"/>
              </w:rPr>
            </w:pPr>
            <w:r>
              <w:rPr>
                <w:rFonts w:hint="eastAsia" w:ascii="仿宋" w:hAnsi="仿宋" w:eastAsia="仿宋" w:cs="仿宋"/>
                <w:sz w:val="24"/>
                <w:lang w:val="en-US" w:eastAsia="zh-CN"/>
              </w:rPr>
              <w:t>工</w:t>
            </w:r>
            <w:r>
              <w:rPr>
                <w:rFonts w:hint="eastAsia" w:ascii="仿宋" w:hAnsi="仿宋" w:eastAsia="仿宋" w:cs="仿宋"/>
                <w:sz w:val="24"/>
              </w:rPr>
              <w:t>期</w:t>
            </w:r>
          </w:p>
        </w:tc>
        <w:tc>
          <w:tcPr>
            <w:tcW w:w="1452" w:type="dxa"/>
            <w:tcBorders>
              <w:top w:val="single" w:color="auto" w:sz="8" w:space="0"/>
              <w:left w:val="single" w:color="auto" w:sz="4" w:space="0"/>
              <w:bottom w:val="single" w:color="auto" w:sz="4" w:space="0"/>
              <w:right w:val="single" w:color="auto" w:sz="8" w:space="0"/>
            </w:tcBorders>
            <w:vAlign w:val="center"/>
          </w:tcPr>
          <w:p w14:paraId="48A835CF">
            <w:pPr>
              <w:tabs>
                <w:tab w:val="left" w:pos="5580"/>
              </w:tabs>
              <w:spacing w:line="240" w:lineRule="atLeast"/>
              <w:jc w:val="center"/>
              <w:rPr>
                <w:rFonts w:ascii="仿宋" w:hAnsi="仿宋" w:eastAsia="仿宋" w:cs="仿宋"/>
                <w:sz w:val="24"/>
              </w:rPr>
            </w:pPr>
            <w:r>
              <w:rPr>
                <w:rFonts w:hint="eastAsia" w:ascii="仿宋" w:hAnsi="仿宋" w:eastAsia="仿宋" w:cs="仿宋"/>
                <w:sz w:val="24"/>
              </w:rPr>
              <w:t>备注</w:t>
            </w:r>
          </w:p>
        </w:tc>
      </w:tr>
      <w:tr w14:paraId="39AE96C3">
        <w:tblPrEx>
          <w:tblCellMar>
            <w:top w:w="0" w:type="dxa"/>
            <w:left w:w="0" w:type="dxa"/>
            <w:bottom w:w="0" w:type="dxa"/>
            <w:right w:w="0" w:type="dxa"/>
          </w:tblCellMar>
        </w:tblPrEx>
        <w:trPr>
          <w:cantSplit/>
          <w:trHeight w:val="1703" w:hRule="atLeast"/>
        </w:trPr>
        <w:tc>
          <w:tcPr>
            <w:tcW w:w="1704" w:type="dxa"/>
            <w:tcBorders>
              <w:top w:val="single" w:color="auto" w:sz="4" w:space="0"/>
              <w:left w:val="single" w:color="auto" w:sz="4" w:space="0"/>
              <w:bottom w:val="single" w:color="auto" w:sz="4" w:space="0"/>
              <w:right w:val="single" w:color="auto" w:sz="4" w:space="0"/>
            </w:tcBorders>
            <w:vAlign w:val="center"/>
          </w:tcPr>
          <w:p w14:paraId="6CFA1869">
            <w:pPr>
              <w:tabs>
                <w:tab w:val="left" w:pos="5580"/>
              </w:tabs>
              <w:spacing w:line="240" w:lineRule="atLeast"/>
              <w:ind w:left="1079" w:leftChars="257" w:hanging="540"/>
            </w:pPr>
          </w:p>
          <w:p w14:paraId="01017E4C">
            <w:pPr>
              <w:ind w:firstLine="630" w:firstLineChars="300"/>
            </w:pPr>
          </w:p>
        </w:tc>
        <w:tc>
          <w:tcPr>
            <w:tcW w:w="2412" w:type="dxa"/>
            <w:tcBorders>
              <w:top w:val="single" w:color="auto" w:sz="4" w:space="0"/>
              <w:left w:val="single" w:color="auto" w:sz="4" w:space="0"/>
              <w:bottom w:val="single" w:color="auto" w:sz="4" w:space="0"/>
              <w:right w:val="single" w:color="auto" w:sz="4" w:space="0"/>
            </w:tcBorders>
            <w:vAlign w:val="center"/>
          </w:tcPr>
          <w:p w14:paraId="2E7CDD74">
            <w:pPr>
              <w:tabs>
                <w:tab w:val="left" w:pos="5580"/>
              </w:tabs>
              <w:spacing w:line="240" w:lineRule="atLeast"/>
              <w:jc w:val="left"/>
              <w:rPr>
                <w:rFonts w:ascii="仿宋" w:hAnsi="仿宋" w:eastAsia="仿宋" w:cs="仿宋"/>
                <w:sz w:val="24"/>
              </w:rPr>
            </w:pPr>
            <w:r>
              <w:rPr>
                <w:rFonts w:hint="eastAsia" w:ascii="仿宋" w:hAnsi="仿宋" w:eastAsia="仿宋" w:cs="仿宋"/>
                <w:sz w:val="24"/>
              </w:rPr>
              <w:t>大写：</w:t>
            </w:r>
          </w:p>
          <w:p w14:paraId="3BD85CD0">
            <w:pPr>
              <w:tabs>
                <w:tab w:val="left" w:pos="5580"/>
              </w:tabs>
              <w:spacing w:line="240" w:lineRule="atLeast"/>
              <w:jc w:val="left"/>
              <w:rPr>
                <w:rFonts w:ascii="仿宋" w:hAnsi="仿宋" w:eastAsia="仿宋" w:cs="仿宋"/>
                <w:sz w:val="24"/>
              </w:rPr>
            </w:pPr>
            <w:r>
              <w:rPr>
                <w:rFonts w:hint="eastAsia" w:ascii="仿宋" w:hAnsi="仿宋" w:eastAsia="仿宋" w:cs="仿宋"/>
                <w:sz w:val="24"/>
              </w:rPr>
              <w:t>小写：</w:t>
            </w:r>
          </w:p>
        </w:tc>
        <w:tc>
          <w:tcPr>
            <w:tcW w:w="2040" w:type="dxa"/>
            <w:tcBorders>
              <w:top w:val="single" w:color="auto" w:sz="4" w:space="0"/>
              <w:left w:val="single" w:color="auto" w:sz="4" w:space="0"/>
              <w:bottom w:val="single" w:color="auto" w:sz="4" w:space="0"/>
              <w:right w:val="single" w:color="auto" w:sz="4" w:space="0"/>
            </w:tcBorders>
            <w:vAlign w:val="center"/>
          </w:tcPr>
          <w:p w14:paraId="49EAF5F6">
            <w:pPr>
              <w:tabs>
                <w:tab w:val="left" w:pos="5580"/>
              </w:tabs>
              <w:spacing w:line="240" w:lineRule="atLeast"/>
              <w:ind w:left="1079" w:leftChars="257" w:hanging="540"/>
              <w:jc w:val="center"/>
              <w:rPr>
                <w:rFonts w:ascii="仿宋" w:hAnsi="仿宋" w:eastAsia="仿宋" w:cs="仿宋"/>
                <w:sz w:val="24"/>
              </w:rPr>
            </w:pPr>
          </w:p>
        </w:tc>
        <w:tc>
          <w:tcPr>
            <w:tcW w:w="2220" w:type="dxa"/>
            <w:tcBorders>
              <w:top w:val="single" w:color="auto" w:sz="4" w:space="0"/>
              <w:left w:val="single" w:color="auto" w:sz="4" w:space="0"/>
              <w:bottom w:val="single" w:color="auto" w:sz="4" w:space="0"/>
              <w:right w:val="single" w:color="auto" w:sz="4" w:space="0"/>
            </w:tcBorders>
            <w:vAlign w:val="center"/>
          </w:tcPr>
          <w:p w14:paraId="68040FB6">
            <w:pPr>
              <w:tabs>
                <w:tab w:val="left" w:pos="5580"/>
              </w:tabs>
              <w:spacing w:line="240" w:lineRule="atLeast"/>
              <w:ind w:left="1079" w:leftChars="257" w:hanging="540"/>
              <w:jc w:val="center"/>
              <w:rPr>
                <w:rFonts w:ascii="仿宋" w:hAnsi="仿宋" w:eastAsia="仿宋" w:cs="仿宋"/>
                <w:sz w:val="24"/>
              </w:rPr>
            </w:pPr>
          </w:p>
        </w:tc>
        <w:tc>
          <w:tcPr>
            <w:tcW w:w="1452" w:type="dxa"/>
            <w:tcBorders>
              <w:top w:val="single" w:color="auto" w:sz="4" w:space="0"/>
              <w:left w:val="single" w:color="auto" w:sz="4" w:space="0"/>
              <w:bottom w:val="single" w:color="auto" w:sz="4" w:space="0"/>
              <w:right w:val="single" w:color="auto" w:sz="4" w:space="0"/>
            </w:tcBorders>
            <w:vAlign w:val="center"/>
          </w:tcPr>
          <w:p w14:paraId="3776EFDD">
            <w:pPr>
              <w:tabs>
                <w:tab w:val="left" w:pos="5580"/>
              </w:tabs>
              <w:spacing w:line="240" w:lineRule="atLeast"/>
              <w:ind w:left="1079" w:leftChars="257" w:hanging="540"/>
              <w:jc w:val="center"/>
              <w:rPr>
                <w:rFonts w:ascii="仿宋" w:hAnsi="仿宋" w:eastAsia="仿宋" w:cs="仿宋"/>
                <w:sz w:val="24"/>
              </w:rPr>
            </w:pPr>
          </w:p>
        </w:tc>
      </w:tr>
    </w:tbl>
    <w:p w14:paraId="48B9D164">
      <w:pPr>
        <w:pStyle w:val="18"/>
        <w:tabs>
          <w:tab w:val="left" w:pos="5580"/>
        </w:tabs>
        <w:spacing w:line="240" w:lineRule="atLeast"/>
        <w:ind w:left="1079" w:leftChars="257" w:hanging="540"/>
        <w:rPr>
          <w:rFonts w:ascii="仿宋" w:hAnsi="仿宋" w:eastAsia="仿宋" w:cs="仿宋"/>
          <w:sz w:val="24"/>
        </w:rPr>
      </w:pPr>
    </w:p>
    <w:p w14:paraId="12D44560">
      <w:pPr>
        <w:pStyle w:val="18"/>
        <w:tabs>
          <w:tab w:val="left" w:pos="5580"/>
        </w:tabs>
        <w:spacing w:line="240" w:lineRule="atLeast"/>
        <w:ind w:left="1079" w:leftChars="257" w:hanging="540"/>
        <w:rPr>
          <w:rFonts w:ascii="仿宋" w:hAnsi="仿宋" w:eastAsia="仿宋" w:cs="仿宋"/>
          <w:sz w:val="24"/>
          <w:u w:val="single"/>
        </w:rPr>
      </w:pPr>
    </w:p>
    <w:p w14:paraId="31FCAE98">
      <w:pPr>
        <w:pStyle w:val="18"/>
        <w:tabs>
          <w:tab w:val="left" w:pos="5580"/>
        </w:tabs>
        <w:spacing w:line="240" w:lineRule="atLeast"/>
        <w:ind w:left="1079" w:leftChars="257" w:hanging="540"/>
        <w:rPr>
          <w:rFonts w:ascii="仿宋" w:hAnsi="仿宋" w:eastAsia="仿宋" w:cs="仿宋"/>
          <w:sz w:val="24"/>
        </w:rPr>
      </w:pPr>
      <w:r>
        <w:rPr>
          <w:rFonts w:hint="eastAsia" w:ascii="仿宋" w:hAnsi="仿宋" w:eastAsia="仿宋" w:cs="仿宋"/>
          <w:sz w:val="24"/>
        </w:rPr>
        <w:t>供应商名称（盖单位</w:t>
      </w:r>
      <w:r>
        <w:rPr>
          <w:rFonts w:hint="eastAsia" w:ascii="仿宋" w:hAnsi="仿宋" w:eastAsia="仿宋" w:cs="仿宋"/>
          <w:sz w:val="24"/>
          <w:lang w:val="en-US" w:eastAsia="zh-CN"/>
        </w:rPr>
        <w:t>公</w:t>
      </w:r>
      <w:r>
        <w:rPr>
          <w:rFonts w:hint="eastAsia" w:ascii="仿宋" w:hAnsi="仿宋" w:eastAsia="仿宋" w:cs="仿宋"/>
          <w:sz w:val="24"/>
        </w:rPr>
        <w:t>章）：</w:t>
      </w:r>
      <w:r>
        <w:rPr>
          <w:rFonts w:hint="eastAsia" w:ascii="仿宋" w:hAnsi="仿宋" w:eastAsia="仿宋" w:cs="仿宋"/>
          <w:sz w:val="24"/>
          <w:u w:val="single"/>
        </w:rPr>
        <w:t xml:space="preserve">                       </w:t>
      </w:r>
    </w:p>
    <w:p w14:paraId="72927250">
      <w:pPr>
        <w:pStyle w:val="18"/>
        <w:tabs>
          <w:tab w:val="left" w:pos="5580"/>
        </w:tabs>
        <w:spacing w:line="240" w:lineRule="atLeast"/>
        <w:ind w:left="1079" w:leftChars="257" w:hanging="540"/>
        <w:rPr>
          <w:rFonts w:ascii="仿宋" w:hAnsi="仿宋" w:eastAsia="仿宋" w:cs="仿宋"/>
          <w:sz w:val="24"/>
        </w:rPr>
      </w:pPr>
    </w:p>
    <w:p w14:paraId="5058B71C">
      <w:pPr>
        <w:pStyle w:val="18"/>
        <w:tabs>
          <w:tab w:val="left" w:pos="5580"/>
        </w:tabs>
        <w:spacing w:line="240" w:lineRule="atLeast"/>
        <w:ind w:left="1079" w:leftChars="257" w:hanging="540"/>
        <w:rPr>
          <w:rFonts w:ascii="仿宋" w:hAnsi="仿宋" w:eastAsia="仿宋" w:cs="仿宋"/>
          <w:sz w:val="24"/>
          <w:u w:val="single"/>
        </w:rPr>
      </w:pPr>
      <w:r>
        <w:rPr>
          <w:rFonts w:hint="eastAsia" w:ascii="仿宋" w:hAnsi="仿宋" w:eastAsia="仿宋" w:cs="仿宋"/>
          <w:sz w:val="24"/>
        </w:rPr>
        <w:t>法定代表人或委托代理(签字</w:t>
      </w:r>
      <w:r>
        <w:rPr>
          <w:rFonts w:hint="eastAsia" w:ascii="仿宋" w:hAnsi="仿宋" w:eastAsia="仿宋" w:cs="仿宋"/>
          <w:sz w:val="24"/>
          <w:lang w:val="en-US" w:eastAsia="zh-CN"/>
        </w:rPr>
        <w:t>或盖章</w:t>
      </w:r>
      <w:r>
        <w:rPr>
          <w:rFonts w:hint="eastAsia" w:ascii="仿宋" w:hAnsi="仿宋" w:eastAsia="仿宋" w:cs="仿宋"/>
          <w:sz w:val="24"/>
        </w:rPr>
        <w:t>):</w:t>
      </w:r>
      <w:r>
        <w:rPr>
          <w:rFonts w:hint="eastAsia" w:ascii="仿宋" w:hAnsi="仿宋" w:eastAsia="仿宋" w:cs="仿宋"/>
          <w:sz w:val="24"/>
          <w:u w:val="single"/>
        </w:rPr>
        <w:tab/>
      </w:r>
    </w:p>
    <w:p w14:paraId="5452218E">
      <w:pPr>
        <w:pStyle w:val="18"/>
        <w:tabs>
          <w:tab w:val="left" w:pos="5580"/>
        </w:tabs>
        <w:spacing w:line="240" w:lineRule="atLeast"/>
        <w:ind w:left="1079" w:leftChars="257" w:hanging="540"/>
        <w:rPr>
          <w:rFonts w:ascii="仿宋" w:hAnsi="仿宋" w:eastAsia="仿宋" w:cs="仿宋"/>
          <w:sz w:val="24"/>
        </w:rPr>
      </w:pPr>
    </w:p>
    <w:p w14:paraId="7C7BADCA">
      <w:pPr>
        <w:pStyle w:val="18"/>
        <w:tabs>
          <w:tab w:val="left" w:pos="5580"/>
        </w:tabs>
        <w:spacing w:line="240" w:lineRule="atLeast"/>
        <w:ind w:firstLine="720" w:firstLineChars="300"/>
        <w:rPr>
          <w:rFonts w:ascii="仿宋" w:hAnsi="仿宋" w:eastAsia="仿宋" w:cs="仿宋"/>
          <w:sz w:val="24"/>
        </w:rPr>
      </w:pPr>
      <w:r>
        <w:rPr>
          <w:rFonts w:hint="eastAsia" w:ascii="仿宋" w:hAnsi="仿宋" w:eastAsia="仿宋" w:cs="仿宋"/>
          <w:sz w:val="24"/>
        </w:rPr>
        <w:t>注:1、此表中，投标总价应和投标分项报价表的报价一致。</w:t>
      </w:r>
    </w:p>
    <w:p w14:paraId="0321D61F">
      <w:pPr>
        <w:pStyle w:val="18"/>
        <w:tabs>
          <w:tab w:val="left" w:pos="5580"/>
        </w:tabs>
        <w:spacing w:line="240" w:lineRule="atLeast"/>
        <w:ind w:left="1079" w:leftChars="257" w:hanging="540"/>
        <w:jc w:val="center"/>
        <w:rPr>
          <w:rFonts w:ascii="仿宋" w:hAnsi="仿宋" w:eastAsia="仿宋" w:cs="仿宋"/>
          <w:b/>
          <w:sz w:val="24"/>
        </w:rPr>
      </w:pPr>
    </w:p>
    <w:p w14:paraId="3B3EBEE1">
      <w:pPr>
        <w:pStyle w:val="19"/>
        <w:jc w:val="both"/>
        <w:rPr>
          <w:rFonts w:ascii="仿宋" w:hAnsi="仿宋" w:eastAsia="仿宋" w:cs="仿宋"/>
          <w:b/>
        </w:rPr>
      </w:pPr>
    </w:p>
    <w:p w14:paraId="4EB66112">
      <w:pPr>
        <w:rPr>
          <w:rFonts w:ascii="仿宋" w:hAnsi="仿宋" w:eastAsia="仿宋" w:cs="仿宋"/>
          <w:b/>
          <w:sz w:val="24"/>
        </w:rPr>
      </w:pPr>
    </w:p>
    <w:p w14:paraId="552C892E">
      <w:pPr>
        <w:pStyle w:val="25"/>
      </w:pPr>
    </w:p>
    <w:p w14:paraId="6BB64575">
      <w:pPr>
        <w:rPr>
          <w:rFonts w:ascii="仿宋" w:hAnsi="仿宋" w:eastAsia="仿宋" w:cs="仿宋"/>
          <w:b/>
          <w:sz w:val="24"/>
        </w:rPr>
      </w:pPr>
    </w:p>
    <w:p w14:paraId="2F14B7B8">
      <w:pPr>
        <w:pStyle w:val="3"/>
        <w:spacing w:before="0" w:line="240" w:lineRule="atLeast"/>
        <w:ind w:firstLine="480" w:firstLineChars="200"/>
        <w:rPr>
          <w:rFonts w:ascii="仿宋" w:hAnsi="仿宋" w:eastAsia="仿宋" w:cs="仿宋"/>
          <w:sz w:val="24"/>
        </w:rPr>
      </w:pPr>
      <w:bookmarkStart w:id="252" w:name="_Toc515647805"/>
      <w:bookmarkStart w:id="253" w:name="_Toc29899"/>
      <w:bookmarkStart w:id="254" w:name="_Toc17577"/>
      <w:bookmarkStart w:id="255" w:name="_Toc17790"/>
      <w:r>
        <w:rPr>
          <w:rFonts w:hint="eastAsia" w:ascii="仿宋" w:hAnsi="仿宋" w:eastAsia="仿宋" w:cs="仿宋"/>
          <w:sz w:val="24"/>
        </w:rPr>
        <w:t xml:space="preserve">2  </w:t>
      </w:r>
      <w:bookmarkEnd w:id="252"/>
      <w:bookmarkEnd w:id="253"/>
      <w:bookmarkEnd w:id="254"/>
      <w:r>
        <w:rPr>
          <w:rFonts w:hint="eastAsia" w:ascii="仿宋" w:hAnsi="仿宋" w:eastAsia="仿宋" w:cs="仿宋"/>
          <w:sz w:val="24"/>
          <w:lang w:eastAsia="zh-CN"/>
        </w:rPr>
        <w:t>具有有效的营业执照</w:t>
      </w:r>
      <w:r>
        <w:rPr>
          <w:rFonts w:hint="eastAsia" w:ascii="仿宋" w:hAnsi="仿宋" w:eastAsia="仿宋" w:cs="仿宋"/>
          <w:sz w:val="24"/>
        </w:rPr>
        <w:t>（须加盖本单位</w:t>
      </w:r>
      <w:r>
        <w:rPr>
          <w:rFonts w:hint="eastAsia" w:ascii="仿宋" w:hAnsi="仿宋" w:eastAsia="仿宋" w:cs="仿宋"/>
          <w:sz w:val="24"/>
          <w:lang w:val="en-US" w:eastAsia="zh-CN"/>
        </w:rPr>
        <w:t>公</w:t>
      </w:r>
      <w:r>
        <w:rPr>
          <w:rFonts w:hint="eastAsia" w:ascii="仿宋" w:hAnsi="仿宋" w:eastAsia="仿宋" w:cs="仿宋"/>
          <w:sz w:val="24"/>
        </w:rPr>
        <w:t>章）;</w:t>
      </w:r>
      <w:bookmarkEnd w:id="255"/>
    </w:p>
    <w:p w14:paraId="08F76D02">
      <w:pPr>
        <w:pStyle w:val="18"/>
        <w:tabs>
          <w:tab w:val="left" w:pos="5580"/>
        </w:tabs>
        <w:spacing w:line="240" w:lineRule="atLeast"/>
        <w:ind w:left="1438" w:leftChars="228" w:hanging="960" w:hangingChars="400"/>
        <w:rPr>
          <w:rFonts w:ascii="仿宋" w:hAnsi="仿宋" w:eastAsia="仿宋" w:cs="仿宋"/>
          <w:sz w:val="24"/>
        </w:rPr>
      </w:pPr>
    </w:p>
    <w:p w14:paraId="04044E0C">
      <w:pPr>
        <w:pStyle w:val="18"/>
        <w:tabs>
          <w:tab w:val="left" w:pos="5580"/>
        </w:tabs>
        <w:spacing w:line="240" w:lineRule="atLeast"/>
        <w:ind w:left="1438" w:leftChars="228" w:hanging="960" w:hangingChars="400"/>
        <w:rPr>
          <w:rFonts w:ascii="仿宋" w:hAnsi="仿宋" w:eastAsia="仿宋" w:cs="仿宋"/>
          <w:sz w:val="24"/>
        </w:rPr>
      </w:pPr>
      <w:r>
        <w:rPr>
          <w:rFonts w:hint="eastAsia" w:ascii="仿宋" w:hAnsi="仿宋" w:eastAsia="仿宋" w:cs="仿宋"/>
          <w:sz w:val="24"/>
        </w:rPr>
        <w:t>说明：1.提供有效的营业执照等证明文件加盖本单位</w:t>
      </w:r>
      <w:r>
        <w:rPr>
          <w:rFonts w:hint="eastAsia" w:ascii="仿宋" w:hAnsi="仿宋" w:eastAsia="仿宋" w:cs="仿宋"/>
          <w:sz w:val="24"/>
          <w:lang w:val="en-US" w:eastAsia="zh-CN"/>
        </w:rPr>
        <w:t>公</w:t>
      </w:r>
      <w:r>
        <w:rPr>
          <w:rFonts w:hint="eastAsia" w:ascii="仿宋" w:hAnsi="仿宋" w:eastAsia="仿宋" w:cs="仿宋"/>
          <w:sz w:val="24"/>
        </w:rPr>
        <w:t>章。</w:t>
      </w:r>
    </w:p>
    <w:p w14:paraId="1ED8AC26">
      <w:pPr>
        <w:pStyle w:val="18"/>
        <w:tabs>
          <w:tab w:val="left" w:pos="5580"/>
        </w:tabs>
        <w:spacing w:line="240" w:lineRule="atLeast"/>
        <w:ind w:left="1079" w:leftChars="257" w:hanging="540"/>
        <w:rPr>
          <w:rFonts w:ascii="仿宋" w:hAnsi="仿宋" w:eastAsia="仿宋" w:cs="仿宋"/>
          <w:sz w:val="24"/>
        </w:rPr>
      </w:pPr>
      <w:r>
        <w:rPr>
          <w:rFonts w:hint="eastAsia" w:ascii="仿宋" w:hAnsi="仿宋" w:eastAsia="仿宋" w:cs="仿宋"/>
          <w:sz w:val="24"/>
        </w:rPr>
        <w:t xml:space="preserve">      2. 供应商为自然人的，应提供身份证明。</w:t>
      </w:r>
    </w:p>
    <w:p w14:paraId="3798A007">
      <w:pPr>
        <w:pStyle w:val="18"/>
        <w:tabs>
          <w:tab w:val="left" w:pos="5580"/>
        </w:tabs>
        <w:spacing w:line="240" w:lineRule="atLeast"/>
        <w:ind w:left="1079" w:leftChars="257" w:hanging="540"/>
        <w:jc w:val="center"/>
        <w:rPr>
          <w:rFonts w:ascii="仿宋" w:hAnsi="仿宋" w:eastAsia="仿宋" w:cs="仿宋"/>
          <w:sz w:val="24"/>
        </w:rPr>
      </w:pPr>
      <w:r>
        <w:rPr>
          <w:rFonts w:hint="eastAsia" w:ascii="仿宋" w:hAnsi="仿宋" w:eastAsia="仿宋" w:cs="仿宋"/>
          <w:sz w:val="24"/>
        </w:rPr>
        <w:t xml:space="preserve">     </w:t>
      </w:r>
      <w:bookmarkStart w:id="256" w:name="_Toc7039"/>
      <w:bookmarkStart w:id="257" w:name="_Toc32520"/>
      <w:bookmarkStart w:id="258" w:name="_Toc515647808"/>
    </w:p>
    <w:p w14:paraId="0B520147">
      <w:pPr>
        <w:pStyle w:val="19"/>
        <w:rPr>
          <w:rFonts w:ascii="仿宋" w:hAnsi="仿宋" w:eastAsia="仿宋" w:cs="仿宋"/>
        </w:rPr>
      </w:pPr>
    </w:p>
    <w:p w14:paraId="5FAFAA31">
      <w:pPr>
        <w:rPr>
          <w:rFonts w:ascii="仿宋" w:hAnsi="仿宋" w:eastAsia="仿宋" w:cs="仿宋"/>
          <w:sz w:val="24"/>
        </w:rPr>
      </w:pPr>
    </w:p>
    <w:p w14:paraId="47018835">
      <w:pPr>
        <w:pStyle w:val="25"/>
        <w:rPr>
          <w:rFonts w:ascii="仿宋" w:hAnsi="仿宋" w:eastAsia="仿宋" w:cs="仿宋"/>
          <w:sz w:val="24"/>
        </w:rPr>
      </w:pPr>
    </w:p>
    <w:p w14:paraId="4B95809E">
      <w:pPr>
        <w:pStyle w:val="13"/>
        <w:rPr>
          <w:rFonts w:ascii="仿宋" w:hAnsi="仿宋" w:eastAsia="仿宋" w:cs="仿宋"/>
        </w:rPr>
      </w:pPr>
    </w:p>
    <w:p w14:paraId="60FDA975">
      <w:pPr>
        <w:rPr>
          <w:rFonts w:ascii="仿宋" w:hAnsi="仿宋" w:eastAsia="仿宋" w:cs="仿宋"/>
          <w:sz w:val="24"/>
        </w:rPr>
      </w:pPr>
    </w:p>
    <w:p w14:paraId="7D246E40">
      <w:pPr>
        <w:pStyle w:val="25"/>
        <w:rPr>
          <w:rFonts w:ascii="仿宋" w:hAnsi="仿宋" w:eastAsia="仿宋" w:cs="仿宋"/>
          <w:sz w:val="24"/>
        </w:rPr>
      </w:pPr>
    </w:p>
    <w:p w14:paraId="0903B6FD">
      <w:pPr>
        <w:pStyle w:val="13"/>
        <w:rPr>
          <w:rFonts w:ascii="仿宋" w:hAnsi="仿宋" w:eastAsia="仿宋" w:cs="仿宋"/>
        </w:rPr>
      </w:pPr>
    </w:p>
    <w:p w14:paraId="02578190">
      <w:pPr>
        <w:rPr>
          <w:rFonts w:ascii="仿宋" w:hAnsi="仿宋" w:eastAsia="仿宋" w:cs="仿宋"/>
          <w:sz w:val="24"/>
        </w:rPr>
      </w:pPr>
    </w:p>
    <w:p w14:paraId="51F8C42C"/>
    <w:p w14:paraId="0C84B5E7">
      <w:pPr>
        <w:pStyle w:val="3"/>
        <w:spacing w:before="0" w:line="240" w:lineRule="atLeast"/>
        <w:ind w:left="1079" w:leftChars="257" w:hanging="540"/>
        <w:rPr>
          <w:rFonts w:ascii="仿宋" w:hAnsi="仿宋" w:eastAsia="仿宋" w:cs="仿宋"/>
          <w:sz w:val="24"/>
        </w:rPr>
      </w:pPr>
      <w:bookmarkStart w:id="259" w:name="_Toc26066"/>
      <w:bookmarkStart w:id="260" w:name="_Toc1083"/>
      <w:bookmarkStart w:id="261" w:name="_Toc23503"/>
      <w:bookmarkStart w:id="262" w:name="_Toc22472"/>
      <w:bookmarkStart w:id="263" w:name="_Toc515647807"/>
      <w:r>
        <w:rPr>
          <w:rFonts w:hint="eastAsia" w:ascii="仿宋" w:hAnsi="仿宋" w:eastAsia="仿宋" w:cs="仿宋"/>
          <w:sz w:val="24"/>
        </w:rPr>
        <w:t>3  法定代表人授权委托书及被委托人身份证（法定代表人投标提供法定代表人身份证明及身份证）见磋商文件格式二，自然人投标的无需提供;</w:t>
      </w:r>
      <w:bookmarkEnd w:id="259"/>
      <w:bookmarkEnd w:id="260"/>
      <w:bookmarkEnd w:id="261"/>
      <w:bookmarkEnd w:id="262"/>
      <w:bookmarkEnd w:id="263"/>
    </w:p>
    <w:p w14:paraId="0C0470BA">
      <w:pPr>
        <w:pStyle w:val="18"/>
        <w:tabs>
          <w:tab w:val="left" w:pos="5580"/>
        </w:tabs>
        <w:spacing w:line="360" w:lineRule="auto"/>
        <w:rPr>
          <w:rFonts w:ascii="仿宋" w:hAnsi="仿宋" w:eastAsia="仿宋" w:cs="仿宋"/>
          <w:sz w:val="24"/>
        </w:rPr>
      </w:pPr>
      <w:r>
        <w:rPr>
          <w:rFonts w:hint="eastAsia" w:ascii="仿宋" w:hAnsi="仿宋" w:eastAsia="仿宋" w:cs="仿宋"/>
          <w:sz w:val="24"/>
        </w:rPr>
        <w:t xml:space="preserve">    </w:t>
      </w:r>
    </w:p>
    <w:p w14:paraId="063C003B">
      <w:pPr>
        <w:pStyle w:val="18"/>
        <w:tabs>
          <w:tab w:val="left" w:pos="5580"/>
        </w:tabs>
        <w:spacing w:line="360" w:lineRule="auto"/>
        <w:rPr>
          <w:rFonts w:ascii="仿宋" w:hAnsi="仿宋" w:eastAsia="仿宋" w:cs="仿宋"/>
          <w:sz w:val="24"/>
        </w:rPr>
      </w:pPr>
      <w:r>
        <w:rPr>
          <w:rFonts w:hint="eastAsia" w:ascii="仿宋" w:hAnsi="仿宋" w:eastAsia="仿宋" w:cs="仿宋"/>
          <w:sz w:val="24"/>
        </w:rPr>
        <w:t>本授权书声明：注册于</w:t>
      </w:r>
      <w:r>
        <w:rPr>
          <w:rFonts w:hint="eastAsia" w:ascii="仿宋" w:hAnsi="仿宋" w:eastAsia="仿宋" w:cs="仿宋"/>
          <w:sz w:val="24"/>
          <w:u w:val="single"/>
        </w:rPr>
        <w:t>（国家或地区的名称）</w:t>
      </w:r>
      <w:r>
        <w:rPr>
          <w:rFonts w:hint="eastAsia" w:ascii="仿宋" w:hAnsi="仿宋" w:eastAsia="仿宋" w:cs="仿宋"/>
          <w:sz w:val="24"/>
        </w:rPr>
        <w:t>的（</w:t>
      </w:r>
      <w:r>
        <w:rPr>
          <w:rFonts w:hint="eastAsia" w:ascii="仿宋" w:hAnsi="仿宋" w:eastAsia="仿宋" w:cs="仿宋"/>
          <w:i/>
          <w:sz w:val="24"/>
          <w:u w:val="single"/>
        </w:rPr>
        <w:t>供应商</w:t>
      </w:r>
      <w:r>
        <w:rPr>
          <w:rFonts w:hint="eastAsia" w:ascii="仿宋" w:hAnsi="仿宋" w:eastAsia="仿宋" w:cs="仿宋"/>
          <w:sz w:val="24"/>
        </w:rPr>
        <w:t>）的在下面签字的（</w:t>
      </w:r>
      <w:r>
        <w:rPr>
          <w:rFonts w:hint="eastAsia" w:ascii="仿宋" w:hAnsi="仿宋" w:eastAsia="仿宋" w:cs="仿宋"/>
          <w:i/>
          <w:sz w:val="24"/>
          <w:u w:val="single"/>
        </w:rPr>
        <w:t>法人代表姓名、职务</w:t>
      </w:r>
      <w:r>
        <w:rPr>
          <w:rFonts w:hint="eastAsia" w:ascii="仿宋" w:hAnsi="仿宋" w:eastAsia="仿宋" w:cs="仿宋"/>
          <w:sz w:val="24"/>
        </w:rPr>
        <w:t>）代表我单位授权（</w:t>
      </w:r>
      <w:r>
        <w:rPr>
          <w:rFonts w:hint="eastAsia" w:ascii="仿宋" w:hAnsi="仿宋" w:eastAsia="仿宋" w:cs="仿宋"/>
          <w:i/>
          <w:sz w:val="24"/>
          <w:u w:val="single"/>
        </w:rPr>
        <w:t>单位名称</w:t>
      </w:r>
      <w:r>
        <w:rPr>
          <w:rFonts w:hint="eastAsia" w:ascii="仿宋" w:hAnsi="仿宋" w:eastAsia="仿宋" w:cs="仿宋"/>
          <w:sz w:val="24"/>
        </w:rPr>
        <w:t>）的在下面签字的（</w:t>
      </w:r>
      <w:r>
        <w:rPr>
          <w:rFonts w:hint="eastAsia" w:ascii="仿宋" w:hAnsi="仿宋" w:eastAsia="仿宋" w:cs="仿宋"/>
          <w:i/>
          <w:sz w:val="24"/>
          <w:u w:val="single"/>
        </w:rPr>
        <w:t>被授权人的姓名、职务</w:t>
      </w:r>
      <w:r>
        <w:rPr>
          <w:rFonts w:hint="eastAsia" w:ascii="仿宋" w:hAnsi="仿宋" w:eastAsia="仿宋" w:cs="仿宋"/>
          <w:sz w:val="24"/>
        </w:rPr>
        <w:t>）为我单位的合法代理人，就（</w:t>
      </w:r>
      <w:r>
        <w:rPr>
          <w:rFonts w:hint="eastAsia" w:ascii="仿宋" w:hAnsi="仿宋" w:eastAsia="仿宋" w:cs="仿宋"/>
          <w:i/>
          <w:sz w:val="24"/>
          <w:u w:val="single"/>
        </w:rPr>
        <w:t>项目名称</w:t>
      </w:r>
      <w:r>
        <w:rPr>
          <w:rFonts w:hint="eastAsia" w:ascii="仿宋" w:hAnsi="仿宋" w:eastAsia="仿宋" w:cs="仿宋"/>
          <w:sz w:val="24"/>
        </w:rPr>
        <w:t>）投标，以我单位名义处理一切与之有关的事务。</w:t>
      </w:r>
      <w:r>
        <w:rPr>
          <w:rFonts w:hint="eastAsia" w:ascii="仿宋" w:hAnsi="仿宋" w:eastAsia="仿宋" w:cs="仿宋"/>
          <w:sz w:val="24"/>
        </w:rPr>
        <w:cr/>
      </w:r>
      <w:r>
        <w:rPr>
          <w:rFonts w:hint="eastAsia" w:ascii="仿宋" w:hAnsi="仿宋" w:eastAsia="仿宋" w:cs="仿宋"/>
          <w:sz w:val="24"/>
        </w:rPr>
        <w:t>　　本授权书于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日签字生效,特此声明。</w:t>
      </w:r>
      <w:r>
        <w:rPr>
          <w:rFonts w:hint="eastAsia" w:ascii="仿宋" w:hAnsi="仿宋" w:eastAsia="仿宋" w:cs="仿宋"/>
          <w:sz w:val="24"/>
        </w:rPr>
        <w:cr/>
      </w:r>
      <w:r>
        <w:rPr>
          <w:rFonts w:hint="eastAsia" w:ascii="仿宋" w:hAnsi="仿宋" w:eastAsia="仿宋" w:cs="仿宋"/>
          <w:sz w:val="24"/>
        </w:rPr>
        <w:t xml:space="preserve">     </w:t>
      </w:r>
      <w:r>
        <w:rPr>
          <w:rFonts w:hint="eastAsia" w:ascii="仿宋_GB2312" w:hAnsi="宋体" w:eastAsia="仿宋_GB2312"/>
          <w:b/>
          <w:bCs/>
          <w:sz w:val="24"/>
        </w:rPr>
        <w:t>法人身份证复印件正反面（授权委托人身份证正反面）</w:t>
      </w:r>
    </w:p>
    <w:p w14:paraId="557BA25B">
      <w:pPr>
        <w:pStyle w:val="18"/>
        <w:tabs>
          <w:tab w:val="left" w:pos="5580"/>
        </w:tabs>
        <w:spacing w:line="240" w:lineRule="atLeast"/>
        <w:ind w:left="-539" w:leftChars="-257" w:firstLine="900" w:firstLineChars="375"/>
        <w:rPr>
          <w:rFonts w:ascii="仿宋" w:hAnsi="仿宋" w:eastAsia="仿宋" w:cs="仿宋"/>
          <w:sz w:val="24"/>
        </w:rPr>
      </w:pPr>
      <w:r>
        <w:rPr>
          <w:rFonts w:ascii="仿宋" w:hAnsi="仿宋" w:eastAsia="仿宋" w:cs="仿宋"/>
          <w:sz w:val="24"/>
        </w:rPr>
        <mc:AlternateContent>
          <mc:Choice Requires="wps">
            <w:drawing>
              <wp:anchor distT="0" distB="0" distL="114300" distR="114300" simplePos="0" relativeHeight="251666432"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FEC41CD">
                            <w:pPr>
                              <w:rPr>
                                <w:rFonts w:hAnsi="宋体"/>
                              </w:rPr>
                            </w:pPr>
                          </w:p>
                          <w:p w14:paraId="42F0FE70">
                            <w:pPr>
                              <w:rPr>
                                <w:rFonts w:hAnsi="宋体"/>
                              </w:rPr>
                            </w:pPr>
                          </w:p>
                          <w:p w14:paraId="28640F23">
                            <w:pPr>
                              <w:rPr>
                                <w:rFonts w:hAnsi="宋体"/>
                              </w:rPr>
                            </w:pPr>
                          </w:p>
                          <w:p w14:paraId="06885F29"/>
                        </w:txbxContent>
                      </wps:txbx>
                      <wps:bodyPr upright="1"/>
                    </wps:wsp>
                  </a:graphicData>
                </a:graphic>
              </wp:anchor>
            </w:drawing>
          </mc:Choice>
          <mc:Fallback>
            <w:pict>
              <v:roundrect id="_x0000_s1026" o:spid="_x0000_s1026" o:spt="2" style="position:absolute;left:0pt;margin-left:239.3pt;margin-top:13.2pt;height:88.6pt;width:195.15pt;z-index:251666432;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14:paraId="6FEC41CD">
                      <w:pPr>
                        <w:rPr>
                          <w:rFonts w:hAnsi="宋体"/>
                        </w:rPr>
                      </w:pPr>
                    </w:p>
                    <w:p w14:paraId="42F0FE70">
                      <w:pPr>
                        <w:rPr>
                          <w:rFonts w:hAnsi="宋体"/>
                        </w:rPr>
                      </w:pPr>
                    </w:p>
                    <w:p w14:paraId="28640F23">
                      <w:pPr>
                        <w:rPr>
                          <w:rFonts w:hAnsi="宋体"/>
                        </w:rPr>
                      </w:pPr>
                    </w:p>
                    <w:p w14:paraId="06885F29"/>
                  </w:txbxContent>
                </v:textbox>
              </v:roundrect>
            </w:pict>
          </mc:Fallback>
        </mc:AlternateContent>
      </w:r>
      <w:r>
        <w:rPr>
          <w:rFonts w:ascii="仿宋" w:hAnsi="仿宋" w:eastAsia="仿宋" w:cs="仿宋"/>
          <w:sz w:val="24"/>
        </w:rPr>
        <mc:AlternateContent>
          <mc:Choice Requires="wps">
            <w:drawing>
              <wp:anchor distT="0" distB="0" distL="114300" distR="114300" simplePos="0" relativeHeight="251665408"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6"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5FAB1CC8">
                            <w:pPr>
                              <w:jc w:val="center"/>
                              <w:rPr>
                                <w:rFonts w:hAnsi="宋体"/>
                              </w:rPr>
                            </w:pPr>
                          </w:p>
                          <w:p w14:paraId="09C8AC80">
                            <w:pPr>
                              <w:jc w:val="center"/>
                              <w:rPr>
                                <w:rFonts w:hAnsi="宋体"/>
                              </w:rPr>
                            </w:pPr>
                          </w:p>
                          <w:p w14:paraId="36325F38">
                            <w:pPr>
                              <w:jc w:val="center"/>
                              <w:rPr>
                                <w:rFonts w:hAnsi="宋体"/>
                              </w:rPr>
                            </w:pPr>
                          </w:p>
                          <w:p w14:paraId="64A064C6">
                            <w:pPr>
                              <w:jc w:val="center"/>
                            </w:pPr>
                          </w:p>
                        </w:txbxContent>
                      </wps:txbx>
                      <wps:bodyPr upright="1"/>
                    </wps:wsp>
                  </a:graphicData>
                </a:graphic>
              </wp:anchor>
            </w:drawing>
          </mc:Choice>
          <mc:Fallback>
            <w:pict>
              <v:shape id="_x0000_s1026" o:spid="_x0000_s1026" o:spt="176" type="#_x0000_t176" style="position:absolute;left:0pt;margin-left:1.65pt;margin-top:10.7pt;height:90pt;width:197.45pt;z-index:251665408;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JH0QGMQIAAF4EAAAOAAAAAAAAAAEAIAAAACUBAABkcnMvZTJvRG9jLnht&#10;bFBLBQYAAAAABgAGAFkBAADIBQAAAAA=&#10;">
                <v:fill on="t" focussize="0,0"/>
                <v:stroke color="#000000" joinstyle="miter"/>
                <v:imagedata o:title=""/>
                <o:lock v:ext="edit" aspectratio="f"/>
                <v:textbox>
                  <w:txbxContent>
                    <w:p w14:paraId="5FAB1CC8">
                      <w:pPr>
                        <w:jc w:val="center"/>
                        <w:rPr>
                          <w:rFonts w:hAnsi="宋体"/>
                        </w:rPr>
                      </w:pPr>
                    </w:p>
                    <w:p w14:paraId="09C8AC80">
                      <w:pPr>
                        <w:jc w:val="center"/>
                        <w:rPr>
                          <w:rFonts w:hAnsi="宋体"/>
                        </w:rPr>
                      </w:pPr>
                    </w:p>
                    <w:p w14:paraId="36325F38">
                      <w:pPr>
                        <w:jc w:val="center"/>
                        <w:rPr>
                          <w:rFonts w:hAnsi="宋体"/>
                        </w:rPr>
                      </w:pPr>
                    </w:p>
                    <w:p w14:paraId="64A064C6">
                      <w:pPr>
                        <w:jc w:val="center"/>
                      </w:pPr>
                    </w:p>
                  </w:txbxContent>
                </v:textbox>
              </v:shape>
            </w:pict>
          </mc:Fallback>
        </mc:AlternateContent>
      </w:r>
    </w:p>
    <w:p w14:paraId="6D52AA88">
      <w:pPr>
        <w:spacing w:line="360" w:lineRule="auto"/>
        <w:ind w:firstLine="240" w:firstLineChars="100"/>
        <w:rPr>
          <w:rFonts w:ascii="仿宋" w:hAnsi="仿宋" w:eastAsia="仿宋" w:cs="仿宋"/>
          <w:sz w:val="24"/>
        </w:rPr>
      </w:pPr>
    </w:p>
    <w:p w14:paraId="7ABCCE4C">
      <w:pPr>
        <w:spacing w:line="360" w:lineRule="auto"/>
        <w:ind w:firstLine="240" w:firstLineChars="100"/>
        <w:rPr>
          <w:rFonts w:ascii="仿宋" w:hAnsi="仿宋" w:eastAsia="仿宋" w:cs="仿宋"/>
          <w:sz w:val="24"/>
        </w:rPr>
      </w:pPr>
    </w:p>
    <w:p w14:paraId="193C437C">
      <w:pPr>
        <w:spacing w:line="360" w:lineRule="auto"/>
        <w:ind w:firstLine="240" w:firstLineChars="100"/>
        <w:rPr>
          <w:rFonts w:ascii="仿宋" w:hAnsi="仿宋" w:eastAsia="仿宋" w:cs="仿宋"/>
          <w:sz w:val="24"/>
        </w:rPr>
      </w:pPr>
    </w:p>
    <w:p w14:paraId="660366FA">
      <w:pPr>
        <w:spacing w:line="360" w:lineRule="auto"/>
        <w:ind w:firstLine="240" w:firstLineChars="100"/>
        <w:rPr>
          <w:rFonts w:ascii="仿宋" w:hAnsi="仿宋" w:eastAsia="仿宋" w:cs="仿宋"/>
          <w:sz w:val="24"/>
        </w:rPr>
      </w:pPr>
    </w:p>
    <w:p w14:paraId="17FD9C5D">
      <w:pPr>
        <w:spacing w:line="360" w:lineRule="auto"/>
        <w:ind w:firstLine="240" w:firstLineChars="100"/>
        <w:rPr>
          <w:rFonts w:ascii="仿宋" w:hAnsi="仿宋" w:eastAsia="仿宋" w:cs="仿宋"/>
          <w:sz w:val="24"/>
        </w:rPr>
      </w:pPr>
      <w:r>
        <w:rPr>
          <w:rFonts w:ascii="仿宋" w:hAnsi="仿宋" w:eastAsia="仿宋" w:cs="仿宋"/>
          <w:sz w:val="24"/>
        </w:rPr>
        <mc:AlternateContent>
          <mc:Choice Requires="wps">
            <w:drawing>
              <wp:anchor distT="0" distB="0" distL="114300" distR="114300" simplePos="0" relativeHeight="251668480"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9426A94">
                            <w:pPr>
                              <w:jc w:val="center"/>
                              <w:rPr>
                                <w:rFonts w:hAnsi="宋体"/>
                              </w:rPr>
                            </w:pPr>
                            <w:r>
                              <w:rPr>
                                <w:rFonts w:hint="eastAsia" w:hAnsi="宋体"/>
                              </w:rPr>
                              <w:t xml:space="preserve">  </w:t>
                            </w:r>
                          </w:p>
                          <w:p w14:paraId="4A134F2D">
                            <w:pPr>
                              <w:jc w:val="center"/>
                              <w:rPr>
                                <w:rFonts w:hAnsi="宋体"/>
                              </w:rPr>
                            </w:pPr>
                          </w:p>
                          <w:p w14:paraId="30FCD0A4">
                            <w:pPr>
                              <w:jc w:val="center"/>
                              <w:rPr>
                                <w:rFonts w:hAnsi="宋体"/>
                              </w:rPr>
                            </w:pPr>
                          </w:p>
                          <w:p w14:paraId="663E3E75"/>
                        </w:txbxContent>
                      </wps:txbx>
                      <wps:bodyPr upright="1"/>
                    </wps:wsp>
                  </a:graphicData>
                </a:graphic>
              </wp:anchor>
            </w:drawing>
          </mc:Choice>
          <mc:Fallback>
            <w:pict>
              <v:roundrect id="_x0000_s1026" o:spid="_x0000_s1026" o:spt="2" style="position:absolute;left:0pt;margin-left:237.65pt;margin-top:4.25pt;height:81.05pt;width:199.65pt;z-index:251668480;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14:paraId="49426A94">
                      <w:pPr>
                        <w:jc w:val="center"/>
                        <w:rPr>
                          <w:rFonts w:hAnsi="宋体"/>
                        </w:rPr>
                      </w:pPr>
                      <w:r>
                        <w:rPr>
                          <w:rFonts w:hint="eastAsia" w:hAnsi="宋体"/>
                        </w:rPr>
                        <w:t xml:space="preserve">  </w:t>
                      </w:r>
                    </w:p>
                    <w:p w14:paraId="4A134F2D">
                      <w:pPr>
                        <w:jc w:val="center"/>
                        <w:rPr>
                          <w:rFonts w:hAnsi="宋体"/>
                        </w:rPr>
                      </w:pPr>
                    </w:p>
                    <w:p w14:paraId="30FCD0A4">
                      <w:pPr>
                        <w:jc w:val="center"/>
                        <w:rPr>
                          <w:rFonts w:hAnsi="宋体"/>
                        </w:rPr>
                      </w:pPr>
                    </w:p>
                    <w:p w14:paraId="663E3E75"/>
                  </w:txbxContent>
                </v:textbox>
              </v:roundrect>
            </w:pict>
          </mc:Fallback>
        </mc:AlternateContent>
      </w:r>
      <w:r>
        <w:rPr>
          <w:rFonts w:ascii="仿宋" w:hAnsi="仿宋" w:eastAsia="仿宋" w:cs="仿宋"/>
          <w:sz w:val="24"/>
        </w:rPr>
        <mc:AlternateContent>
          <mc:Choice Requires="wps">
            <w:drawing>
              <wp:anchor distT="0" distB="0" distL="114300" distR="114300" simplePos="0" relativeHeight="251667456"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7C7A9E6">
                            <w:pPr>
                              <w:jc w:val="center"/>
                              <w:rPr>
                                <w:rFonts w:hAnsi="宋体"/>
                              </w:rPr>
                            </w:pPr>
                          </w:p>
                          <w:p w14:paraId="723E7915">
                            <w:pPr>
                              <w:jc w:val="center"/>
                              <w:rPr>
                                <w:rFonts w:hAnsi="宋体"/>
                              </w:rPr>
                            </w:pPr>
                          </w:p>
                          <w:p w14:paraId="12032C13">
                            <w:pPr>
                              <w:jc w:val="center"/>
                              <w:rPr>
                                <w:rFonts w:hAnsi="宋体"/>
                              </w:rPr>
                            </w:pPr>
                          </w:p>
                          <w:p w14:paraId="246A18B4"/>
                        </w:txbxContent>
                      </wps:txbx>
                      <wps:bodyPr upright="1"/>
                    </wps:wsp>
                  </a:graphicData>
                </a:graphic>
              </wp:anchor>
            </w:drawing>
          </mc:Choice>
          <mc:Fallback>
            <w:pict>
              <v:roundrect id="_x0000_s1026" o:spid="_x0000_s1026" o:spt="2" style="position:absolute;left:0pt;margin-left:-0.85pt;margin-top:2.35pt;height:80.7pt;width:201.2pt;z-index:251667456;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14:paraId="07C7A9E6">
                      <w:pPr>
                        <w:jc w:val="center"/>
                        <w:rPr>
                          <w:rFonts w:hAnsi="宋体"/>
                        </w:rPr>
                      </w:pPr>
                    </w:p>
                    <w:p w14:paraId="723E7915">
                      <w:pPr>
                        <w:jc w:val="center"/>
                        <w:rPr>
                          <w:rFonts w:hAnsi="宋体"/>
                        </w:rPr>
                      </w:pPr>
                    </w:p>
                    <w:p w14:paraId="12032C13">
                      <w:pPr>
                        <w:jc w:val="center"/>
                        <w:rPr>
                          <w:rFonts w:hAnsi="宋体"/>
                        </w:rPr>
                      </w:pPr>
                    </w:p>
                    <w:p w14:paraId="246A18B4"/>
                  </w:txbxContent>
                </v:textbox>
              </v:roundrect>
            </w:pict>
          </mc:Fallback>
        </mc:AlternateContent>
      </w:r>
    </w:p>
    <w:p w14:paraId="4052B45A">
      <w:pPr>
        <w:spacing w:line="360" w:lineRule="auto"/>
        <w:ind w:firstLine="240" w:firstLineChars="100"/>
        <w:rPr>
          <w:rFonts w:ascii="仿宋" w:hAnsi="仿宋" w:eastAsia="仿宋" w:cs="仿宋"/>
          <w:sz w:val="24"/>
        </w:rPr>
      </w:pPr>
    </w:p>
    <w:p w14:paraId="63B85168">
      <w:pPr>
        <w:spacing w:line="360" w:lineRule="auto"/>
        <w:ind w:firstLine="240" w:firstLineChars="100"/>
        <w:rPr>
          <w:rFonts w:ascii="仿宋" w:hAnsi="仿宋" w:eastAsia="仿宋" w:cs="仿宋"/>
          <w:sz w:val="24"/>
        </w:rPr>
      </w:pPr>
    </w:p>
    <w:p w14:paraId="72311E9F">
      <w:pPr>
        <w:pStyle w:val="18"/>
        <w:tabs>
          <w:tab w:val="left" w:pos="5580"/>
        </w:tabs>
        <w:spacing w:line="240" w:lineRule="atLeast"/>
        <w:rPr>
          <w:rFonts w:ascii="仿宋" w:hAnsi="仿宋" w:eastAsia="仿宋" w:cs="仿宋"/>
          <w:sz w:val="24"/>
        </w:rPr>
      </w:pPr>
    </w:p>
    <w:p w14:paraId="44CF9F38">
      <w:pPr>
        <w:pStyle w:val="18"/>
        <w:tabs>
          <w:tab w:val="left" w:pos="5580"/>
        </w:tabs>
        <w:spacing w:line="240" w:lineRule="atLeast"/>
        <w:ind w:left="-539" w:leftChars="-257" w:firstLine="900" w:firstLineChars="375"/>
        <w:rPr>
          <w:rFonts w:ascii="仿宋" w:hAnsi="仿宋" w:eastAsia="仿宋" w:cs="仿宋"/>
          <w:sz w:val="24"/>
        </w:rPr>
      </w:pPr>
    </w:p>
    <w:p w14:paraId="58DD9CEF">
      <w:pPr>
        <w:pStyle w:val="18"/>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供应商（</w:t>
      </w:r>
      <w:r>
        <w:rPr>
          <w:rFonts w:hint="eastAsia" w:ascii="仿宋" w:hAnsi="仿宋" w:eastAsia="仿宋" w:cs="仿宋"/>
          <w:sz w:val="24"/>
          <w:lang w:eastAsia="zh-CN"/>
        </w:rPr>
        <w:t>盖单位公章</w:t>
      </w:r>
      <w:r>
        <w:rPr>
          <w:rFonts w:hint="eastAsia" w:ascii="仿宋" w:hAnsi="仿宋" w:eastAsia="仿宋" w:cs="仿宋"/>
          <w:sz w:val="24"/>
        </w:rPr>
        <w:t>）;</w:t>
      </w:r>
      <w:r>
        <w:rPr>
          <w:rFonts w:hint="eastAsia" w:ascii="仿宋" w:hAnsi="仿宋" w:eastAsia="仿宋" w:cs="仿宋"/>
          <w:sz w:val="24"/>
          <w:u w:val="single"/>
        </w:rPr>
        <w:t xml:space="preserve">                           </w:t>
      </w:r>
    </w:p>
    <w:p w14:paraId="388DBA2D">
      <w:pPr>
        <w:pStyle w:val="18"/>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法定代表人（签字或签章）：</w:t>
      </w:r>
      <w:r>
        <w:rPr>
          <w:rFonts w:hint="eastAsia" w:ascii="仿宋" w:hAnsi="仿宋" w:eastAsia="仿宋" w:cs="仿宋"/>
          <w:sz w:val="24"/>
          <w:u w:val="single"/>
        </w:rPr>
        <w:t xml:space="preserve">                     </w:t>
      </w:r>
    </w:p>
    <w:p w14:paraId="555E4832">
      <w:pPr>
        <w:pStyle w:val="18"/>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 xml:space="preserve">身份证号码：__________________________________ </w:t>
      </w:r>
    </w:p>
    <w:p w14:paraId="231B64AF">
      <w:pPr>
        <w:pStyle w:val="18"/>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委托代理人：</w:t>
      </w:r>
      <w:r>
        <w:rPr>
          <w:rFonts w:hint="eastAsia" w:ascii="仿宋" w:hAnsi="仿宋" w:eastAsia="仿宋" w:cs="仿宋"/>
          <w:sz w:val="24"/>
          <w:u w:val="single"/>
        </w:rPr>
        <w:t xml:space="preserve">                                   </w:t>
      </w:r>
    </w:p>
    <w:p w14:paraId="7690C2D6">
      <w:pPr>
        <w:pStyle w:val="18"/>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5A4BE970">
      <w:pPr>
        <w:pStyle w:val="18"/>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详细通讯地址：</w:t>
      </w:r>
      <w:r>
        <w:rPr>
          <w:rFonts w:hint="eastAsia" w:ascii="仿宋" w:hAnsi="仿宋" w:eastAsia="仿宋" w:cs="仿宋"/>
          <w:sz w:val="24"/>
          <w:u w:val="single"/>
        </w:rPr>
        <w:t xml:space="preserve">                                 </w:t>
      </w:r>
    </w:p>
    <w:p w14:paraId="566B53DE">
      <w:pPr>
        <w:pStyle w:val="18"/>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邮 政 编 码 ：</w:t>
      </w:r>
      <w:r>
        <w:rPr>
          <w:rFonts w:hint="eastAsia" w:ascii="仿宋" w:hAnsi="仿宋" w:eastAsia="仿宋" w:cs="仿宋"/>
          <w:sz w:val="24"/>
          <w:u w:val="single"/>
        </w:rPr>
        <w:t xml:space="preserve">                                 </w:t>
      </w:r>
    </w:p>
    <w:p w14:paraId="58EDCA17">
      <w:pPr>
        <w:pStyle w:val="18"/>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传　　　　真：</w:t>
      </w:r>
      <w:r>
        <w:rPr>
          <w:rFonts w:hint="eastAsia" w:ascii="仿宋" w:hAnsi="仿宋" w:eastAsia="仿宋" w:cs="仿宋"/>
          <w:sz w:val="24"/>
          <w:u w:val="single"/>
        </w:rPr>
        <w:t xml:space="preserve">                                 </w:t>
      </w:r>
    </w:p>
    <w:p w14:paraId="03036495">
      <w:pPr>
        <w:pStyle w:val="18"/>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电　　　　话：</w:t>
      </w:r>
      <w:r>
        <w:rPr>
          <w:rFonts w:hint="eastAsia" w:ascii="仿宋" w:hAnsi="仿宋" w:eastAsia="仿宋" w:cs="仿宋"/>
          <w:sz w:val="24"/>
          <w:u w:val="single"/>
        </w:rPr>
        <w:t xml:space="preserve">                                 </w:t>
      </w:r>
    </w:p>
    <w:p w14:paraId="76EFBBE9">
      <w:pPr>
        <w:spacing w:line="360" w:lineRule="auto"/>
        <w:ind w:firstLine="420" w:firstLineChars="200"/>
        <w:jc w:val="right"/>
        <w:rPr>
          <w:rFonts w:ascii="仿宋" w:hAnsi="仿宋" w:eastAsia="仿宋" w:cs="仿宋"/>
          <w:szCs w:val="21"/>
        </w:rPr>
      </w:pPr>
    </w:p>
    <w:p w14:paraId="273457D3">
      <w:pPr>
        <w:spacing w:line="360" w:lineRule="auto"/>
        <w:ind w:firstLine="420" w:firstLineChars="200"/>
        <w:jc w:val="right"/>
        <w:rPr>
          <w:rFonts w:ascii="仿宋" w:hAnsi="仿宋" w:eastAsia="仿宋" w:cs="仿宋"/>
          <w:szCs w:val="21"/>
        </w:rPr>
      </w:pPr>
    </w:p>
    <w:p w14:paraId="5EE0E724">
      <w:pPr>
        <w:spacing w:line="360" w:lineRule="auto"/>
        <w:ind w:firstLine="420" w:firstLineChars="200"/>
        <w:jc w:val="right"/>
        <w:rPr>
          <w:rFonts w:ascii="仿宋" w:hAnsi="仿宋" w:eastAsia="仿宋" w:cs="仿宋"/>
          <w:szCs w:val="21"/>
        </w:rPr>
      </w:pPr>
      <w:r>
        <w:rPr>
          <w:rFonts w:hint="eastAsia" w:ascii="仿宋" w:hAnsi="仿宋" w:eastAsia="仿宋" w:cs="仿宋"/>
          <w:szCs w:val="21"/>
        </w:rPr>
        <w:t xml:space="preserve">年   月   日 </w:t>
      </w:r>
    </w:p>
    <w:p w14:paraId="0F1E62E4">
      <w:pPr>
        <w:pStyle w:val="3"/>
        <w:spacing w:before="0" w:line="240" w:lineRule="atLeast"/>
        <w:ind w:left="1079" w:leftChars="257" w:hanging="540"/>
        <w:rPr>
          <w:rFonts w:ascii="仿宋" w:hAnsi="仿宋" w:eastAsia="仿宋" w:cs="仿宋"/>
          <w:sz w:val="24"/>
        </w:rPr>
      </w:pPr>
      <w:r>
        <w:rPr>
          <w:rFonts w:hint="eastAsia" w:ascii="仿宋" w:hAnsi="仿宋" w:eastAsia="仿宋" w:cs="仿宋"/>
          <w:sz w:val="24"/>
        </w:rPr>
        <w:br w:type="page"/>
      </w:r>
    </w:p>
    <w:p w14:paraId="745D01CF">
      <w:pPr>
        <w:pStyle w:val="3"/>
        <w:spacing w:before="0" w:line="240" w:lineRule="atLeast"/>
        <w:ind w:left="1079" w:leftChars="257" w:hanging="540"/>
        <w:rPr>
          <w:rFonts w:ascii="仿宋" w:hAnsi="仿宋" w:eastAsia="仿宋" w:cs="仿宋"/>
          <w:sz w:val="24"/>
        </w:rPr>
      </w:pPr>
      <w:bookmarkStart w:id="264" w:name="_Toc27294"/>
      <w:r>
        <w:rPr>
          <w:rFonts w:hint="eastAsia" w:ascii="仿宋" w:hAnsi="仿宋" w:eastAsia="仿宋" w:cs="仿宋"/>
          <w:sz w:val="24"/>
        </w:rPr>
        <w:t>4  本单位缴纳的近</w:t>
      </w:r>
      <w:r>
        <w:rPr>
          <w:rFonts w:hint="eastAsia" w:ascii="仿宋" w:hAnsi="仿宋" w:eastAsia="仿宋" w:cs="仿宋"/>
          <w:sz w:val="24"/>
          <w:lang w:val="en-US" w:eastAsia="zh-CN"/>
        </w:rPr>
        <w:t>六</w:t>
      </w:r>
      <w:r>
        <w:rPr>
          <w:rFonts w:hint="eastAsia" w:ascii="仿宋" w:hAnsi="仿宋" w:eastAsia="仿宋" w:cs="仿宋"/>
          <w:sz w:val="24"/>
        </w:rPr>
        <w:t>个月中任意一个月的社保缴纳证明（单位社保缴费汇总和个人明细表）含被授权委托人；</w:t>
      </w:r>
      <w:bookmarkEnd w:id="264"/>
    </w:p>
    <w:p w14:paraId="6F43B6E7">
      <w:pPr>
        <w:pStyle w:val="3"/>
        <w:spacing w:before="0" w:line="240" w:lineRule="atLeast"/>
        <w:ind w:left="1079" w:leftChars="257" w:hanging="540"/>
        <w:rPr>
          <w:rFonts w:ascii="仿宋" w:hAnsi="仿宋" w:eastAsia="仿宋" w:cs="仿宋"/>
          <w:sz w:val="24"/>
        </w:rPr>
      </w:pPr>
    </w:p>
    <w:p w14:paraId="69E5D81D">
      <w:pPr>
        <w:pStyle w:val="3"/>
        <w:spacing w:before="0" w:line="240" w:lineRule="atLeast"/>
        <w:ind w:left="1079" w:leftChars="257" w:hanging="540"/>
        <w:rPr>
          <w:rFonts w:ascii="仿宋" w:hAnsi="仿宋" w:eastAsia="仿宋" w:cs="仿宋"/>
          <w:sz w:val="24"/>
        </w:rPr>
      </w:pPr>
    </w:p>
    <w:p w14:paraId="443BAFAA">
      <w:pPr>
        <w:rPr>
          <w:rFonts w:ascii="仿宋" w:hAnsi="仿宋" w:eastAsia="仿宋" w:cs="仿宋"/>
          <w:sz w:val="24"/>
        </w:rPr>
      </w:pPr>
    </w:p>
    <w:p w14:paraId="20BFCA13">
      <w:pPr>
        <w:pStyle w:val="17"/>
        <w:rPr>
          <w:rFonts w:ascii="仿宋" w:hAnsi="仿宋" w:eastAsia="仿宋" w:cs="仿宋"/>
          <w:sz w:val="24"/>
        </w:rPr>
      </w:pPr>
    </w:p>
    <w:p w14:paraId="6401C6E3">
      <w:pPr>
        <w:ind w:firstLine="480" w:firstLineChars="200"/>
        <w:rPr>
          <w:rFonts w:ascii="仿宋" w:hAnsi="仿宋" w:eastAsia="仿宋" w:cs="仿宋"/>
          <w:b/>
          <w:bCs/>
          <w:sz w:val="24"/>
        </w:rPr>
      </w:pPr>
    </w:p>
    <w:p w14:paraId="1C28C537">
      <w:pPr>
        <w:ind w:firstLine="480" w:firstLineChars="200"/>
        <w:rPr>
          <w:rFonts w:ascii="仿宋" w:hAnsi="仿宋" w:eastAsia="仿宋" w:cs="仿宋"/>
          <w:b/>
          <w:bCs/>
          <w:sz w:val="24"/>
        </w:rPr>
      </w:pPr>
    </w:p>
    <w:p w14:paraId="2D53F521">
      <w:pPr>
        <w:ind w:firstLine="480" w:firstLineChars="200"/>
        <w:jc w:val="center"/>
        <w:outlineLvl w:val="1"/>
        <w:rPr>
          <w:rFonts w:eastAsia="仿宋"/>
          <w:b/>
          <w:bCs/>
        </w:rPr>
      </w:pPr>
      <w:bookmarkStart w:id="265" w:name="_Toc21841"/>
      <w:r>
        <w:rPr>
          <w:rFonts w:hint="eastAsia" w:ascii="仿宋" w:hAnsi="仿宋" w:eastAsia="仿宋" w:cs="仿宋"/>
          <w:b/>
          <w:bCs/>
          <w:sz w:val="24"/>
        </w:rPr>
        <w:t>5  具有税务局开具依法缴纳近</w:t>
      </w:r>
      <w:r>
        <w:rPr>
          <w:rFonts w:hint="eastAsia" w:ascii="仿宋" w:hAnsi="仿宋" w:eastAsia="仿宋" w:cs="仿宋"/>
          <w:b/>
          <w:bCs/>
          <w:sz w:val="24"/>
          <w:lang w:val="en-US" w:eastAsia="zh-CN"/>
        </w:rPr>
        <w:t>六</w:t>
      </w:r>
      <w:r>
        <w:rPr>
          <w:rFonts w:hint="eastAsia" w:ascii="仿宋" w:hAnsi="仿宋" w:eastAsia="仿宋" w:cs="仿宋"/>
          <w:b/>
          <w:bCs/>
          <w:sz w:val="24"/>
        </w:rPr>
        <w:t>个月中任意一个月的税收证明的良好记录（完税证明</w:t>
      </w:r>
      <w:r>
        <w:rPr>
          <w:rFonts w:hint="eastAsia" w:ascii="仿宋" w:hAnsi="仿宋" w:eastAsia="仿宋" w:cs="仿宋"/>
          <w:b/>
          <w:bCs/>
          <w:sz w:val="24"/>
          <w:lang w:val="en-US" w:eastAsia="zh-CN"/>
        </w:rPr>
        <w:t>非社保类</w:t>
      </w:r>
      <w:r>
        <w:rPr>
          <w:rFonts w:hint="eastAsia" w:ascii="仿宋" w:hAnsi="仿宋" w:eastAsia="仿宋" w:cs="仿宋"/>
          <w:b/>
          <w:bCs/>
          <w:sz w:val="24"/>
        </w:rPr>
        <w:t>）；</w:t>
      </w:r>
      <w:bookmarkEnd w:id="265"/>
    </w:p>
    <w:p w14:paraId="02C0CA4D">
      <w:pPr>
        <w:pStyle w:val="3"/>
        <w:spacing w:before="0" w:line="240" w:lineRule="atLeast"/>
        <w:ind w:left="1079" w:leftChars="257" w:hanging="540"/>
        <w:rPr>
          <w:rFonts w:ascii="仿宋" w:hAnsi="仿宋" w:eastAsia="仿宋" w:cs="仿宋"/>
          <w:sz w:val="24"/>
        </w:rPr>
      </w:pPr>
    </w:p>
    <w:p w14:paraId="0CC0668D">
      <w:pPr>
        <w:pStyle w:val="3"/>
        <w:spacing w:before="0" w:line="240" w:lineRule="atLeast"/>
        <w:ind w:left="1079" w:leftChars="257" w:hanging="540"/>
        <w:rPr>
          <w:rFonts w:ascii="仿宋" w:hAnsi="仿宋" w:eastAsia="仿宋" w:cs="仿宋"/>
          <w:sz w:val="24"/>
        </w:rPr>
      </w:pPr>
    </w:p>
    <w:p w14:paraId="2B72FEF3">
      <w:pPr>
        <w:pStyle w:val="3"/>
        <w:spacing w:before="0" w:line="240" w:lineRule="atLeast"/>
        <w:ind w:left="1079" w:leftChars="257" w:hanging="540"/>
        <w:rPr>
          <w:rFonts w:ascii="仿宋" w:hAnsi="仿宋" w:eastAsia="仿宋" w:cs="仿宋"/>
          <w:sz w:val="24"/>
        </w:rPr>
      </w:pPr>
    </w:p>
    <w:p w14:paraId="6890F960">
      <w:pPr>
        <w:pStyle w:val="3"/>
        <w:spacing w:before="0" w:line="240" w:lineRule="atLeast"/>
        <w:ind w:left="1079" w:leftChars="257" w:hanging="540"/>
        <w:rPr>
          <w:rFonts w:ascii="仿宋" w:hAnsi="仿宋" w:eastAsia="仿宋" w:cs="仿宋"/>
          <w:sz w:val="24"/>
        </w:rPr>
      </w:pPr>
    </w:p>
    <w:p w14:paraId="3AF207BA">
      <w:pPr>
        <w:pStyle w:val="3"/>
        <w:spacing w:before="0" w:line="240" w:lineRule="atLeast"/>
        <w:ind w:left="1079" w:leftChars="257" w:hanging="540"/>
        <w:rPr>
          <w:rFonts w:ascii="仿宋" w:hAnsi="仿宋" w:eastAsia="仿宋" w:cs="仿宋"/>
          <w:sz w:val="24"/>
        </w:rPr>
      </w:pPr>
    </w:p>
    <w:p w14:paraId="67D0CCFC">
      <w:pPr>
        <w:pStyle w:val="3"/>
        <w:spacing w:before="0" w:line="240" w:lineRule="atLeast"/>
        <w:ind w:left="1079" w:leftChars="257" w:hanging="540"/>
        <w:rPr>
          <w:rFonts w:ascii="仿宋" w:hAnsi="仿宋" w:eastAsia="仿宋" w:cs="仿宋"/>
          <w:sz w:val="24"/>
        </w:rPr>
      </w:pPr>
      <w:bookmarkStart w:id="266" w:name="_Toc27297"/>
      <w:r>
        <w:rPr>
          <w:rFonts w:hint="eastAsia" w:ascii="仿宋" w:hAnsi="仿宋" w:eastAsia="仿宋" w:cs="仿宋"/>
          <w:sz w:val="24"/>
        </w:rPr>
        <w:t>6  具有202</w:t>
      </w:r>
      <w:r>
        <w:rPr>
          <w:rFonts w:hint="eastAsia" w:ascii="仿宋" w:hAnsi="仿宋" w:eastAsia="仿宋" w:cs="仿宋"/>
          <w:sz w:val="24"/>
          <w:lang w:val="en-US" w:eastAsia="zh-CN"/>
        </w:rPr>
        <w:t>3</w:t>
      </w:r>
      <w:r>
        <w:rPr>
          <w:rFonts w:hint="eastAsia" w:ascii="仿宋" w:hAnsi="仿宋" w:eastAsia="仿宋" w:cs="仿宋"/>
          <w:sz w:val="24"/>
        </w:rPr>
        <w:t>年度或202</w:t>
      </w:r>
      <w:r>
        <w:rPr>
          <w:rFonts w:hint="eastAsia" w:ascii="仿宋" w:hAnsi="仿宋" w:eastAsia="仿宋" w:cs="仿宋"/>
          <w:sz w:val="24"/>
          <w:lang w:val="en-US" w:eastAsia="zh-CN"/>
        </w:rPr>
        <w:t>4</w:t>
      </w:r>
      <w:r>
        <w:rPr>
          <w:rFonts w:hint="eastAsia" w:ascii="仿宋" w:hAnsi="仿宋" w:eastAsia="仿宋" w:cs="仿宋"/>
          <w:sz w:val="24"/>
        </w:rPr>
        <w:t>年度的财务审计报告（新成立未满一年的公司提供有效的银行资信证明）；</w:t>
      </w:r>
      <w:bookmarkEnd w:id="266"/>
    </w:p>
    <w:p w14:paraId="25E6653B">
      <w:pPr>
        <w:tabs>
          <w:tab w:val="left" w:pos="5580"/>
        </w:tabs>
        <w:spacing w:line="240" w:lineRule="atLeast"/>
        <w:ind w:left="1079" w:leftChars="257" w:hanging="540"/>
        <w:rPr>
          <w:rFonts w:ascii="仿宋" w:hAnsi="仿宋" w:eastAsia="仿宋" w:cs="仿宋"/>
          <w:sz w:val="24"/>
        </w:rPr>
      </w:pPr>
      <w:r>
        <w:rPr>
          <w:rFonts w:hint="eastAsia" w:ascii="仿宋" w:hAnsi="仿宋" w:eastAsia="仿宋" w:cs="仿宋"/>
          <w:sz w:val="24"/>
        </w:rPr>
        <w:t>说明：</w:t>
      </w:r>
    </w:p>
    <w:p w14:paraId="25131CDD">
      <w:pPr>
        <w:tabs>
          <w:tab w:val="left" w:pos="5580"/>
        </w:tabs>
        <w:spacing w:line="240" w:lineRule="atLeast"/>
        <w:ind w:left="540"/>
        <w:rPr>
          <w:rFonts w:ascii="仿宋" w:hAnsi="仿宋" w:eastAsia="仿宋" w:cs="仿宋"/>
          <w:bCs/>
          <w:sz w:val="24"/>
        </w:rPr>
      </w:pPr>
      <w:r>
        <w:rPr>
          <w:rFonts w:hint="eastAsia" w:ascii="仿宋" w:hAnsi="仿宋" w:eastAsia="仿宋" w:cs="仿宋"/>
          <w:sz w:val="24"/>
        </w:rPr>
        <w:t>1、如提供本单位上年度经会计师事务所出具的审计报告原件扫描件须加盖</w:t>
      </w:r>
      <w:r>
        <w:rPr>
          <w:rFonts w:hint="eastAsia" w:ascii="仿宋" w:hAnsi="仿宋" w:eastAsia="仿宋" w:cs="仿宋"/>
          <w:bCs/>
          <w:sz w:val="24"/>
        </w:rPr>
        <w:t>本单位章。</w:t>
      </w:r>
    </w:p>
    <w:p w14:paraId="7AB2ED2B">
      <w:pPr>
        <w:tabs>
          <w:tab w:val="left" w:pos="5580"/>
        </w:tabs>
        <w:spacing w:line="240" w:lineRule="atLeast"/>
        <w:ind w:left="540"/>
        <w:rPr>
          <w:rFonts w:ascii="仿宋" w:hAnsi="仿宋" w:eastAsia="仿宋" w:cs="仿宋"/>
          <w:sz w:val="24"/>
        </w:rPr>
      </w:pPr>
      <w:r>
        <w:rPr>
          <w:rFonts w:hint="eastAsia" w:ascii="仿宋" w:hAnsi="仿宋" w:eastAsia="仿宋" w:cs="仿宋"/>
          <w:sz w:val="24"/>
        </w:rPr>
        <w:t>2、如提供银行出具的证明文件。银行证明文件可提供原件，也可提供银行在开标日前三个月内开具证明文件的原件扫描件。若提供的是原件扫描件，招标采购单位保留审核原件的权利。银行出具的证明文件应能说明该供应商与银行之间业务往来正常，企业信誉良好等。</w:t>
      </w:r>
    </w:p>
    <w:p w14:paraId="5F11E0FB">
      <w:pPr>
        <w:pStyle w:val="3"/>
        <w:spacing w:before="0" w:line="240" w:lineRule="atLeast"/>
        <w:ind w:left="1079" w:leftChars="257" w:hanging="540"/>
        <w:rPr>
          <w:rFonts w:ascii="仿宋" w:hAnsi="仿宋" w:eastAsia="仿宋" w:cs="仿宋"/>
          <w:sz w:val="24"/>
        </w:rPr>
      </w:pPr>
    </w:p>
    <w:p w14:paraId="7BD94CCC">
      <w:pPr>
        <w:pStyle w:val="3"/>
        <w:spacing w:before="0" w:line="240" w:lineRule="atLeast"/>
        <w:ind w:left="1079" w:leftChars="257" w:hanging="540"/>
        <w:rPr>
          <w:rFonts w:ascii="仿宋" w:hAnsi="仿宋" w:eastAsia="仿宋" w:cs="仿宋"/>
          <w:sz w:val="24"/>
        </w:rPr>
      </w:pPr>
    </w:p>
    <w:p w14:paraId="2C226FD6">
      <w:pPr>
        <w:pStyle w:val="3"/>
        <w:spacing w:before="0" w:line="240" w:lineRule="atLeast"/>
        <w:ind w:left="1079" w:leftChars="257" w:hanging="540"/>
        <w:rPr>
          <w:rFonts w:ascii="仿宋" w:hAnsi="仿宋" w:eastAsia="仿宋" w:cs="仿宋"/>
          <w:sz w:val="24"/>
        </w:rPr>
      </w:pPr>
    </w:p>
    <w:p w14:paraId="5BFB33F5">
      <w:pPr>
        <w:pStyle w:val="3"/>
        <w:spacing w:before="0" w:line="240" w:lineRule="atLeast"/>
        <w:ind w:left="1079" w:leftChars="257" w:hanging="540"/>
        <w:rPr>
          <w:rFonts w:ascii="仿宋" w:hAnsi="仿宋" w:eastAsia="仿宋" w:cs="仿宋"/>
          <w:sz w:val="24"/>
        </w:rPr>
      </w:pPr>
    </w:p>
    <w:p w14:paraId="5F9652DE">
      <w:pPr>
        <w:tabs>
          <w:tab w:val="left" w:pos="5580"/>
        </w:tabs>
        <w:spacing w:line="240" w:lineRule="atLeast"/>
        <w:ind w:left="1" w:firstLine="564" w:firstLineChars="235"/>
        <w:outlineLvl w:val="1"/>
        <w:rPr>
          <w:rFonts w:ascii="仿宋" w:hAnsi="仿宋" w:eastAsia="仿宋" w:cs="仿宋"/>
          <w:b/>
          <w:bCs/>
          <w:sz w:val="24"/>
        </w:rPr>
      </w:pPr>
      <w:bookmarkStart w:id="267" w:name="_Toc10349"/>
      <w:r>
        <w:rPr>
          <w:rFonts w:hint="eastAsia" w:ascii="仿宋" w:hAnsi="仿宋" w:eastAsia="仿宋" w:cs="仿宋"/>
          <w:b/>
          <w:bCs/>
          <w:sz w:val="24"/>
        </w:rPr>
        <w:t>7、投标供应商参加项目领取磋商文件及投标环节期间采购活动前3年内，在经营活动中没有重大违法记录的书面承诺书（自拟）；</w:t>
      </w:r>
      <w:bookmarkEnd w:id="267"/>
    </w:p>
    <w:p w14:paraId="21916B8C">
      <w:pPr>
        <w:pStyle w:val="3"/>
        <w:spacing w:before="0" w:line="240" w:lineRule="atLeast"/>
        <w:ind w:left="1079" w:leftChars="257" w:hanging="540"/>
        <w:rPr>
          <w:rFonts w:ascii="仿宋" w:hAnsi="仿宋" w:eastAsia="仿宋" w:cs="仿宋"/>
          <w:sz w:val="24"/>
        </w:rPr>
      </w:pPr>
    </w:p>
    <w:p w14:paraId="5AE0947B">
      <w:pPr>
        <w:pStyle w:val="3"/>
        <w:spacing w:before="0" w:line="240" w:lineRule="atLeast"/>
        <w:ind w:left="1079" w:leftChars="257" w:hanging="540"/>
        <w:rPr>
          <w:rFonts w:ascii="仿宋" w:hAnsi="仿宋" w:eastAsia="仿宋" w:cs="仿宋"/>
          <w:sz w:val="24"/>
        </w:rPr>
      </w:pPr>
    </w:p>
    <w:p w14:paraId="6E35AE01">
      <w:pPr>
        <w:pStyle w:val="3"/>
        <w:spacing w:before="0" w:line="240" w:lineRule="atLeast"/>
        <w:ind w:left="1079" w:leftChars="257" w:hanging="540"/>
        <w:rPr>
          <w:rFonts w:ascii="仿宋" w:hAnsi="仿宋" w:eastAsia="仿宋" w:cs="仿宋"/>
          <w:sz w:val="24"/>
        </w:rPr>
      </w:pPr>
    </w:p>
    <w:p w14:paraId="78B9A282">
      <w:pPr>
        <w:tabs>
          <w:tab w:val="left" w:pos="5580"/>
        </w:tabs>
        <w:spacing w:line="240" w:lineRule="atLeast"/>
        <w:ind w:left="1" w:firstLine="564" w:firstLineChars="235"/>
        <w:rPr>
          <w:rFonts w:ascii="仿宋" w:hAnsi="仿宋" w:eastAsia="仿宋" w:cs="仿宋"/>
          <w:b/>
          <w:bCs/>
          <w:sz w:val="24"/>
        </w:rPr>
      </w:pPr>
    </w:p>
    <w:p w14:paraId="04E72A5B">
      <w:pPr>
        <w:tabs>
          <w:tab w:val="left" w:pos="5580"/>
        </w:tabs>
        <w:spacing w:line="240" w:lineRule="atLeast"/>
        <w:ind w:left="1" w:firstLine="564" w:firstLineChars="235"/>
        <w:rPr>
          <w:rFonts w:ascii="仿宋" w:hAnsi="仿宋" w:eastAsia="仿宋" w:cs="仿宋"/>
          <w:b/>
          <w:bCs/>
          <w:sz w:val="24"/>
        </w:rPr>
      </w:pPr>
    </w:p>
    <w:p w14:paraId="3AB47D01">
      <w:pPr>
        <w:tabs>
          <w:tab w:val="left" w:pos="5580"/>
        </w:tabs>
        <w:spacing w:line="240" w:lineRule="atLeast"/>
        <w:ind w:left="1" w:firstLine="564" w:firstLineChars="235"/>
        <w:outlineLvl w:val="1"/>
        <w:rPr>
          <w:rFonts w:ascii="仿宋" w:hAnsi="仿宋" w:eastAsia="仿宋" w:cs="仿宋"/>
          <w:b/>
          <w:bCs/>
          <w:sz w:val="24"/>
        </w:rPr>
      </w:pPr>
      <w:bookmarkStart w:id="268" w:name="_Toc15364"/>
      <w:r>
        <w:rPr>
          <w:rFonts w:hint="eastAsia" w:ascii="仿宋" w:hAnsi="仿宋" w:eastAsia="仿宋" w:cs="仿宋"/>
          <w:b/>
          <w:bCs/>
          <w:sz w:val="24"/>
        </w:rPr>
        <w:t>8、针对本项目的反商业贿赂承诺书；</w:t>
      </w:r>
      <w:bookmarkEnd w:id="268"/>
    </w:p>
    <w:p w14:paraId="553EDC3D">
      <w:pPr>
        <w:pStyle w:val="3"/>
        <w:spacing w:before="0" w:line="240" w:lineRule="atLeast"/>
        <w:ind w:left="1079" w:leftChars="257" w:hanging="540"/>
        <w:rPr>
          <w:rFonts w:ascii="仿宋" w:hAnsi="仿宋" w:eastAsia="仿宋" w:cs="仿宋"/>
          <w:sz w:val="24"/>
        </w:rPr>
      </w:pPr>
    </w:p>
    <w:p w14:paraId="76F60AA4">
      <w:pPr>
        <w:pStyle w:val="3"/>
        <w:spacing w:before="0" w:line="240" w:lineRule="atLeast"/>
        <w:ind w:left="1079" w:leftChars="257" w:hanging="540"/>
        <w:rPr>
          <w:rFonts w:ascii="仿宋" w:hAnsi="仿宋" w:eastAsia="仿宋" w:cs="仿宋"/>
          <w:sz w:val="24"/>
        </w:rPr>
      </w:pPr>
    </w:p>
    <w:p w14:paraId="53B50524">
      <w:pPr>
        <w:pStyle w:val="3"/>
        <w:spacing w:before="0" w:line="240" w:lineRule="atLeast"/>
        <w:ind w:left="1079" w:leftChars="257" w:hanging="540"/>
        <w:rPr>
          <w:rFonts w:ascii="仿宋" w:hAnsi="仿宋" w:eastAsia="仿宋" w:cs="仿宋"/>
          <w:sz w:val="24"/>
        </w:rPr>
      </w:pPr>
    </w:p>
    <w:p w14:paraId="0E11E858">
      <w:pPr>
        <w:pStyle w:val="3"/>
        <w:spacing w:before="0" w:line="240" w:lineRule="atLeast"/>
        <w:ind w:left="1079" w:leftChars="257" w:hanging="540"/>
        <w:rPr>
          <w:rFonts w:ascii="仿宋" w:hAnsi="仿宋" w:eastAsia="仿宋" w:cs="仿宋"/>
          <w:sz w:val="24"/>
        </w:rPr>
      </w:pPr>
    </w:p>
    <w:p w14:paraId="5FB05AC2">
      <w:pPr>
        <w:pStyle w:val="3"/>
        <w:spacing w:before="0" w:line="240" w:lineRule="atLeast"/>
        <w:ind w:left="1079" w:leftChars="257" w:hanging="540"/>
        <w:rPr>
          <w:rFonts w:ascii="仿宋" w:hAnsi="仿宋" w:eastAsia="仿宋" w:cs="仿宋"/>
          <w:sz w:val="24"/>
        </w:rPr>
      </w:pPr>
    </w:p>
    <w:p w14:paraId="7D02EBC9">
      <w:pPr>
        <w:rPr>
          <w:rFonts w:ascii="仿宋" w:hAnsi="仿宋" w:eastAsia="仿宋" w:cs="仿宋"/>
          <w:sz w:val="24"/>
        </w:rPr>
      </w:pPr>
    </w:p>
    <w:p w14:paraId="412023BE">
      <w:pPr>
        <w:pStyle w:val="13"/>
      </w:pPr>
    </w:p>
    <w:bookmarkEnd w:id="256"/>
    <w:bookmarkEnd w:id="257"/>
    <w:bookmarkEnd w:id="258"/>
    <w:p w14:paraId="7127C6FC">
      <w:pPr>
        <w:tabs>
          <w:tab w:val="left" w:pos="5580"/>
        </w:tabs>
        <w:spacing w:line="240" w:lineRule="atLeast"/>
        <w:rPr>
          <w:rFonts w:ascii="仿宋" w:hAnsi="仿宋" w:eastAsia="仿宋" w:cs="仿宋"/>
          <w:b/>
          <w:sz w:val="24"/>
        </w:rPr>
      </w:pPr>
    </w:p>
    <w:p w14:paraId="7F4BB72E">
      <w:pPr>
        <w:tabs>
          <w:tab w:val="left" w:pos="5580"/>
        </w:tabs>
        <w:spacing w:line="240" w:lineRule="atLeast"/>
        <w:ind w:left="1" w:firstLine="564" w:firstLineChars="235"/>
        <w:outlineLvl w:val="1"/>
        <w:rPr>
          <w:rFonts w:hint="eastAsia" w:ascii="仿宋" w:hAnsi="仿宋" w:eastAsia="仿宋" w:cs="仿宋"/>
          <w:b/>
          <w:bCs/>
          <w:sz w:val="24"/>
        </w:rPr>
      </w:pPr>
      <w:bookmarkStart w:id="269" w:name="_Toc1977"/>
      <w:r>
        <w:rPr>
          <w:rFonts w:hint="eastAsia" w:ascii="仿宋" w:hAnsi="仿宋" w:eastAsia="仿宋" w:cs="仿宋"/>
          <w:b/>
          <w:bCs/>
          <w:sz w:val="24"/>
        </w:rPr>
        <w:t>9  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w:t>
      </w:r>
      <w:r>
        <w:rPr>
          <w:rFonts w:hint="eastAsia" w:ascii="仿宋" w:hAnsi="仿宋" w:eastAsia="仿宋" w:cs="仿宋"/>
          <w:b/>
          <w:bCs/>
          <w:sz w:val="24"/>
          <w:lang w:eastAsia="zh-CN"/>
        </w:rPr>
        <w:t>（</w:t>
      </w:r>
      <w:r>
        <w:rPr>
          <w:rFonts w:hint="eastAsia" w:ascii="仿宋" w:hAnsi="仿宋" w:eastAsia="仿宋" w:cs="仿宋"/>
          <w:b/>
          <w:bCs/>
          <w:sz w:val="24"/>
        </w:rPr>
        <w:t>以资格审查小组开标现场查询为主）。</w:t>
      </w:r>
    </w:p>
    <w:bookmarkEnd w:id="269"/>
    <w:p w14:paraId="4EAB33FF">
      <w:pPr>
        <w:tabs>
          <w:tab w:val="left" w:pos="5580"/>
        </w:tabs>
        <w:spacing w:line="240" w:lineRule="atLeast"/>
        <w:ind w:left="1" w:firstLine="564" w:firstLineChars="235"/>
        <w:outlineLvl w:val="1"/>
        <w:rPr>
          <w:rFonts w:ascii="仿宋" w:hAnsi="仿宋" w:eastAsia="仿宋" w:cs="仿宋"/>
          <w:b/>
          <w:bCs/>
          <w:sz w:val="24"/>
        </w:rPr>
      </w:pPr>
    </w:p>
    <w:p w14:paraId="52336BD1">
      <w:pPr>
        <w:tabs>
          <w:tab w:val="left" w:pos="5580"/>
        </w:tabs>
        <w:spacing w:line="240" w:lineRule="atLeast"/>
        <w:ind w:left="1079" w:leftChars="257" w:hanging="540"/>
        <w:rPr>
          <w:rFonts w:ascii="仿宋" w:hAnsi="仿宋" w:eastAsia="仿宋" w:cs="仿宋"/>
          <w:sz w:val="24"/>
        </w:rPr>
      </w:pPr>
    </w:p>
    <w:p w14:paraId="1B26468F">
      <w:pPr>
        <w:pStyle w:val="13"/>
        <w:rPr>
          <w:rFonts w:ascii="仿宋" w:hAnsi="仿宋" w:eastAsia="仿宋" w:cs="仿宋"/>
          <w:sz w:val="24"/>
        </w:rPr>
      </w:pPr>
    </w:p>
    <w:p w14:paraId="77E1DC52">
      <w:pPr>
        <w:pStyle w:val="13"/>
      </w:pPr>
    </w:p>
    <w:p w14:paraId="5C9CC707">
      <w:pPr>
        <w:pStyle w:val="18"/>
        <w:numPr>
          <w:ilvl w:val="0"/>
          <w:numId w:val="0"/>
        </w:numPr>
        <w:tabs>
          <w:tab w:val="left" w:pos="5580"/>
        </w:tabs>
        <w:spacing w:line="240" w:lineRule="atLeast"/>
        <w:ind w:leftChars="257"/>
        <w:jc w:val="both"/>
        <w:outlineLvl w:val="1"/>
        <w:rPr>
          <w:rFonts w:hint="eastAsia" w:ascii="仿宋" w:hAnsi="仿宋" w:eastAsia="仿宋" w:cs="仿宋"/>
          <w:b/>
          <w:bCs/>
          <w:sz w:val="24"/>
          <w:lang w:val="en-US" w:eastAsia="zh-CN"/>
        </w:rPr>
      </w:pPr>
      <w:r>
        <w:rPr>
          <w:rFonts w:hint="eastAsia" w:ascii="仿宋" w:hAnsi="仿宋" w:eastAsia="仿宋" w:cs="仿宋"/>
          <w:b/>
          <w:bCs/>
          <w:sz w:val="24"/>
          <w:lang w:val="en-US" w:eastAsia="zh-CN"/>
        </w:rPr>
        <w:t>10.特定资格要求：</w:t>
      </w:r>
      <w:bookmarkStart w:id="270" w:name="_Toc12702"/>
    </w:p>
    <w:bookmarkEnd w:id="270"/>
    <w:p w14:paraId="4BBFF2C0">
      <w:pPr>
        <w:ind w:firstLine="960" w:firstLineChars="400"/>
        <w:rPr>
          <w:rFonts w:hint="default" w:ascii="仿宋" w:hAnsi="仿宋" w:eastAsia="仿宋" w:cs="仿宋"/>
          <w:b/>
          <w:bCs/>
          <w:sz w:val="24"/>
          <w:lang w:val="en-US" w:eastAsia="zh-CN"/>
        </w:rPr>
      </w:pPr>
      <w:r>
        <w:rPr>
          <w:rFonts w:hint="default" w:ascii="仿宋" w:hAnsi="仿宋" w:eastAsia="仿宋" w:cs="仿宋"/>
          <w:b/>
          <w:bCs/>
          <w:sz w:val="24"/>
          <w:lang w:val="en-US" w:eastAsia="zh-CN"/>
        </w:rPr>
        <w:t>（1）【市政公用工程施工总承包三级】（含三级）以上资质企业；并在人员、设备、资金等方面具有相应的施工能力；</w:t>
      </w:r>
    </w:p>
    <w:p w14:paraId="66A63F51">
      <w:pPr>
        <w:rPr>
          <w:rFonts w:hint="default" w:ascii="仿宋" w:hAnsi="仿宋" w:eastAsia="仿宋" w:cs="仿宋"/>
          <w:b/>
          <w:bCs/>
          <w:sz w:val="24"/>
          <w:lang w:val="en-US" w:eastAsia="zh-CN"/>
        </w:rPr>
      </w:pPr>
    </w:p>
    <w:p w14:paraId="7113C185">
      <w:pPr>
        <w:rPr>
          <w:rFonts w:hint="default" w:ascii="仿宋" w:hAnsi="仿宋" w:eastAsia="仿宋" w:cs="仿宋"/>
          <w:b/>
          <w:bCs/>
          <w:sz w:val="24"/>
          <w:lang w:val="en-US" w:eastAsia="zh-CN"/>
        </w:rPr>
      </w:pPr>
    </w:p>
    <w:p w14:paraId="63B644B2">
      <w:pPr>
        <w:rPr>
          <w:rFonts w:hint="default" w:ascii="仿宋" w:hAnsi="仿宋" w:eastAsia="仿宋" w:cs="仿宋"/>
          <w:b/>
          <w:bCs/>
          <w:sz w:val="24"/>
          <w:lang w:val="en-US" w:eastAsia="zh-CN"/>
        </w:rPr>
      </w:pPr>
    </w:p>
    <w:p w14:paraId="63B2E4E8">
      <w:pPr>
        <w:rPr>
          <w:rFonts w:hint="default" w:ascii="仿宋" w:hAnsi="仿宋" w:eastAsia="仿宋" w:cs="仿宋"/>
          <w:b/>
          <w:bCs/>
          <w:sz w:val="24"/>
          <w:lang w:val="en-US" w:eastAsia="zh-CN"/>
        </w:rPr>
      </w:pPr>
    </w:p>
    <w:p w14:paraId="14BC950B">
      <w:pPr>
        <w:ind w:firstLine="960" w:firstLineChars="400"/>
        <w:rPr>
          <w:rFonts w:hint="default" w:ascii="仿宋" w:hAnsi="仿宋" w:eastAsia="仿宋" w:cs="仿宋"/>
          <w:b/>
          <w:bCs/>
          <w:sz w:val="24"/>
          <w:lang w:val="en-US" w:eastAsia="zh-CN"/>
        </w:rPr>
      </w:pPr>
      <w:r>
        <w:rPr>
          <w:rFonts w:hint="default" w:ascii="仿宋" w:hAnsi="仿宋" w:eastAsia="仿宋" w:cs="仿宋"/>
          <w:b/>
          <w:bCs/>
          <w:sz w:val="24"/>
          <w:lang w:val="en-US" w:eastAsia="zh-CN"/>
        </w:rPr>
        <w:t>（2）拟派项目经理具备【市政公用工程二级】（含二级）以上注册建造师执业资格及有效的安全生产考核合格证B证；</w:t>
      </w:r>
    </w:p>
    <w:p w14:paraId="18B276E8">
      <w:pPr>
        <w:rPr>
          <w:rFonts w:hint="default" w:ascii="仿宋" w:hAnsi="仿宋" w:eastAsia="仿宋" w:cs="仿宋"/>
          <w:sz w:val="24"/>
          <w:lang w:val="en-US" w:eastAsia="zh-CN"/>
        </w:rPr>
      </w:pPr>
    </w:p>
    <w:p w14:paraId="4B714EBA">
      <w:pPr>
        <w:pStyle w:val="13"/>
      </w:pPr>
    </w:p>
    <w:p w14:paraId="0063A1CB">
      <w:pPr>
        <w:pStyle w:val="3"/>
        <w:spacing w:before="0" w:line="240" w:lineRule="atLeast"/>
        <w:ind w:left="1079" w:leftChars="257" w:hanging="540"/>
        <w:jc w:val="both"/>
        <w:rPr>
          <w:rFonts w:ascii="仿宋" w:hAnsi="仿宋" w:eastAsia="仿宋" w:cs="仿宋"/>
          <w:sz w:val="24"/>
        </w:rPr>
      </w:pPr>
      <w:bookmarkStart w:id="271" w:name="_Toc515647809"/>
      <w:bookmarkStart w:id="272" w:name="_Toc11047"/>
      <w:bookmarkStart w:id="273" w:name="_Toc28445"/>
      <w:bookmarkStart w:id="274" w:name="_Toc2268"/>
      <w:r>
        <w:rPr>
          <w:rFonts w:hint="eastAsia" w:ascii="仿宋" w:hAnsi="仿宋" w:eastAsia="仿宋" w:cs="仿宋"/>
          <w:sz w:val="24"/>
          <w:lang w:val="en-US" w:eastAsia="zh-CN"/>
        </w:rPr>
        <w:t>11</w:t>
      </w:r>
      <w:r>
        <w:rPr>
          <w:rFonts w:hint="eastAsia" w:ascii="仿宋" w:hAnsi="仿宋" w:eastAsia="仿宋" w:cs="仿宋"/>
          <w:sz w:val="24"/>
        </w:rPr>
        <w:t xml:space="preserve">  投标保证金缴纳凭证或投标担保函</w:t>
      </w:r>
      <w:bookmarkEnd w:id="271"/>
      <w:bookmarkEnd w:id="272"/>
      <w:bookmarkEnd w:id="273"/>
      <w:bookmarkEnd w:id="274"/>
    </w:p>
    <w:p w14:paraId="09997E80">
      <w:pPr>
        <w:pStyle w:val="5"/>
        <w:rPr>
          <w:rFonts w:ascii="仿宋" w:hAnsi="仿宋" w:eastAsia="仿宋" w:cs="仿宋"/>
        </w:rPr>
      </w:pPr>
    </w:p>
    <w:tbl>
      <w:tblPr>
        <w:tblStyle w:val="34"/>
        <w:tblpPr w:leftFromText="180" w:rightFromText="180" w:vertAnchor="text" w:horzAnchor="page" w:tblpX="2113" w:tblpY="91"/>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2AACC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24552497">
            <w:pPr>
              <w:rPr>
                <w:rFonts w:ascii="仿宋" w:hAnsi="仿宋" w:eastAsia="仿宋" w:cs="仿宋"/>
                <w:b/>
                <w:bCs/>
                <w:sz w:val="30"/>
                <w:szCs w:val="30"/>
              </w:rPr>
            </w:pPr>
          </w:p>
          <w:p w14:paraId="5AD7D24E">
            <w:pPr>
              <w:jc w:val="both"/>
              <w:rPr>
                <w:rFonts w:ascii="仿宋" w:hAnsi="仿宋" w:eastAsia="仿宋" w:cs="仿宋"/>
                <w:b/>
                <w:bCs/>
                <w:sz w:val="30"/>
                <w:szCs w:val="30"/>
              </w:rPr>
            </w:pPr>
          </w:p>
          <w:p w14:paraId="624A4EC7">
            <w:pPr>
              <w:jc w:val="center"/>
              <w:rPr>
                <w:rFonts w:hint="default" w:ascii="仿宋" w:hAnsi="仿宋" w:eastAsia="仿宋" w:cs="仿宋"/>
                <w:b/>
                <w:bCs/>
                <w:sz w:val="30"/>
                <w:szCs w:val="30"/>
                <w:lang w:val="en-US" w:eastAsia="zh-CN"/>
              </w:rPr>
            </w:pPr>
            <w:r>
              <w:rPr>
                <w:rFonts w:hint="eastAsia" w:ascii="仿宋" w:hAnsi="仿宋" w:eastAsia="仿宋" w:cs="仿宋"/>
                <w:sz w:val="24"/>
                <w:lang w:val="en-US" w:eastAsia="zh-CN"/>
              </w:rPr>
              <w:t>磋商</w:t>
            </w:r>
            <w:r>
              <w:rPr>
                <w:rFonts w:hint="eastAsia" w:ascii="仿宋" w:hAnsi="仿宋" w:eastAsia="仿宋" w:cs="仿宋"/>
                <w:sz w:val="24"/>
              </w:rPr>
              <w:t>保证金缴纳凭证或</w:t>
            </w:r>
            <w:r>
              <w:rPr>
                <w:rFonts w:hint="eastAsia" w:ascii="仿宋" w:hAnsi="仿宋" w:eastAsia="仿宋" w:cs="仿宋"/>
                <w:sz w:val="24"/>
                <w:lang w:val="en-US" w:eastAsia="zh-CN"/>
              </w:rPr>
              <w:t>磋商</w:t>
            </w:r>
            <w:r>
              <w:rPr>
                <w:rFonts w:hint="eastAsia" w:ascii="仿宋" w:hAnsi="仿宋" w:eastAsia="仿宋" w:cs="仿宋"/>
                <w:sz w:val="24"/>
              </w:rPr>
              <w:t>担保函；</w:t>
            </w:r>
          </w:p>
        </w:tc>
      </w:tr>
    </w:tbl>
    <w:p w14:paraId="0FF18D69">
      <w:pPr>
        <w:pStyle w:val="5"/>
        <w:ind w:firstLine="0"/>
        <w:rPr>
          <w:rFonts w:ascii="仿宋" w:hAnsi="仿宋" w:eastAsia="仿宋" w:cs="仿宋"/>
        </w:rPr>
      </w:pPr>
    </w:p>
    <w:p w14:paraId="27BE177A">
      <w:pPr>
        <w:jc w:val="center"/>
        <w:rPr>
          <w:rFonts w:ascii="仿宋" w:hAnsi="仿宋" w:eastAsia="仿宋" w:cs="仿宋"/>
          <w:sz w:val="28"/>
          <w:szCs w:val="28"/>
        </w:rPr>
      </w:pPr>
    </w:p>
    <w:p w14:paraId="74076DC0">
      <w:pPr>
        <w:jc w:val="center"/>
        <w:rPr>
          <w:rFonts w:ascii="仿宋" w:hAnsi="仿宋" w:eastAsia="仿宋" w:cs="仿宋"/>
          <w:sz w:val="28"/>
          <w:szCs w:val="28"/>
        </w:rPr>
      </w:pPr>
    </w:p>
    <w:p w14:paraId="2878725D">
      <w:pPr>
        <w:pStyle w:val="13"/>
        <w:rPr>
          <w:rFonts w:ascii="仿宋" w:hAnsi="仿宋" w:eastAsia="仿宋" w:cs="仿宋"/>
          <w:sz w:val="28"/>
          <w:szCs w:val="28"/>
        </w:rPr>
      </w:pPr>
    </w:p>
    <w:p w14:paraId="65065BFD">
      <w:pPr>
        <w:jc w:val="center"/>
        <w:rPr>
          <w:rFonts w:ascii="仿宋" w:hAnsi="仿宋" w:eastAsia="仿宋" w:cs="仿宋"/>
          <w:sz w:val="28"/>
          <w:szCs w:val="28"/>
        </w:rPr>
      </w:pPr>
      <w:r>
        <w:rPr>
          <w:rFonts w:hint="eastAsia" w:ascii="仿宋" w:hAnsi="仿宋" w:eastAsia="仿宋" w:cs="仿宋"/>
          <w:sz w:val="28"/>
          <w:szCs w:val="28"/>
        </w:rPr>
        <w:t>政府采购投标担保函 （项目用）（磋商文件格式三）</w:t>
      </w:r>
    </w:p>
    <w:p w14:paraId="3B2C0D49">
      <w:pPr>
        <w:ind w:firstLine="6720" w:firstLineChars="3200"/>
        <w:rPr>
          <w:rFonts w:ascii="仿宋" w:hAnsi="仿宋" w:eastAsia="仿宋" w:cs="仿宋"/>
        </w:rPr>
      </w:pPr>
      <w:r>
        <w:rPr>
          <w:rFonts w:hint="eastAsia" w:ascii="仿宋" w:hAnsi="仿宋" w:eastAsia="仿宋" w:cs="仿宋"/>
        </w:rPr>
        <w:t>编号：</w:t>
      </w:r>
    </w:p>
    <w:p w14:paraId="1380F242">
      <w:pPr>
        <w:rPr>
          <w:rFonts w:ascii="仿宋" w:hAnsi="仿宋" w:eastAsia="仿宋" w:cs="仿宋"/>
        </w:rPr>
      </w:pPr>
      <w:r>
        <w:rPr>
          <w:rFonts w:hint="eastAsia" w:ascii="仿宋" w:hAnsi="仿宋" w:eastAsia="仿宋" w:cs="仿宋"/>
        </w:rPr>
        <w:t xml:space="preserve"> </w:t>
      </w:r>
      <w:r>
        <w:rPr>
          <w:rFonts w:hint="eastAsia" w:ascii="仿宋" w:hAnsi="仿宋" w:eastAsia="仿宋" w:cs="仿宋"/>
          <w:u w:val="single"/>
        </w:rPr>
        <w:t xml:space="preserve">                  </w:t>
      </w:r>
      <w:r>
        <w:rPr>
          <w:rFonts w:hint="eastAsia" w:ascii="仿宋" w:hAnsi="仿宋" w:eastAsia="仿宋" w:cs="仿宋"/>
        </w:rPr>
        <w:t>（采购人或采购代理机构）：</w:t>
      </w:r>
    </w:p>
    <w:p w14:paraId="330A1CAA">
      <w:pPr>
        <w:ind w:firstLine="420" w:firstLineChars="200"/>
        <w:rPr>
          <w:rFonts w:ascii="仿宋" w:hAnsi="仿宋" w:eastAsia="仿宋" w:cs="仿宋"/>
        </w:rPr>
      </w:pPr>
      <w:r>
        <w:rPr>
          <w:rFonts w:hint="eastAsia" w:ascii="仿宋" w:hAnsi="仿宋" w:eastAsia="仿宋" w:cs="仿宋"/>
        </w:rPr>
        <w:t>鉴于</w:t>
      </w:r>
      <w:r>
        <w:rPr>
          <w:rFonts w:hint="eastAsia" w:ascii="仿宋" w:hAnsi="仿宋" w:eastAsia="仿宋" w:cs="仿宋"/>
          <w:u w:val="single"/>
        </w:rPr>
        <w:t xml:space="preserve">               </w:t>
      </w:r>
      <w:r>
        <w:rPr>
          <w:rFonts w:hint="eastAsia" w:ascii="仿宋" w:hAnsi="仿宋" w:eastAsia="仿宋" w:cs="仿宋"/>
        </w:rPr>
        <w:t>（以下简称“供应商”）拟参加编号为</w:t>
      </w:r>
      <w:r>
        <w:rPr>
          <w:rFonts w:hint="eastAsia" w:ascii="仿宋" w:hAnsi="仿宋" w:eastAsia="仿宋" w:cs="仿宋"/>
          <w:u w:val="single"/>
        </w:rPr>
        <w:t xml:space="preserve">            </w:t>
      </w:r>
      <w:r>
        <w:rPr>
          <w:rFonts w:hint="eastAsia" w:ascii="仿宋" w:hAnsi="仿宋" w:eastAsia="仿宋" w:cs="仿宋"/>
        </w:rPr>
        <w:t>的</w:t>
      </w:r>
      <w:r>
        <w:rPr>
          <w:rFonts w:hint="eastAsia" w:ascii="仿宋" w:hAnsi="仿宋" w:eastAsia="仿宋" w:cs="仿宋"/>
          <w:u w:val="single"/>
        </w:rPr>
        <w:t xml:space="preserve">           </w:t>
      </w:r>
      <w:r>
        <w:rPr>
          <w:rFonts w:hint="eastAsia" w:ascii="仿宋" w:hAnsi="仿宋" w:eastAsia="仿宋" w:cs="仿宋"/>
        </w:rPr>
        <w:t xml:space="preserve">                            </w:t>
      </w:r>
    </w:p>
    <w:p w14:paraId="0278CAA6">
      <w:pPr>
        <w:rPr>
          <w:rFonts w:ascii="仿宋" w:hAnsi="仿宋" w:eastAsia="仿宋" w:cs="仿宋"/>
        </w:rPr>
      </w:pPr>
      <w:r>
        <w:rPr>
          <w:rFonts w:hint="eastAsia" w:ascii="仿宋" w:hAnsi="仿宋" w:eastAsia="仿宋" w:cs="仿宋"/>
        </w:rPr>
        <w:t>项目（以下简称“本项目”）投标，根据本项目磋商文件，供应商参加投标时应向你方交纳投标保证金，且可以投标担保函的形式交纳投标保证金。应供应商的申请，我方以保证的方式向你方提供如下投标保证金担保：</w:t>
      </w:r>
    </w:p>
    <w:p w14:paraId="300DAD50">
      <w:pPr>
        <w:ind w:firstLine="420" w:firstLineChars="200"/>
        <w:rPr>
          <w:rFonts w:ascii="仿宋" w:hAnsi="仿宋" w:eastAsia="仿宋" w:cs="仿宋"/>
        </w:rPr>
      </w:pPr>
      <w:r>
        <w:rPr>
          <w:rFonts w:hint="eastAsia" w:ascii="仿宋" w:hAnsi="仿宋" w:eastAsia="仿宋" w:cs="仿宋"/>
        </w:rPr>
        <w:t>一、保证责任的情形及保证金额</w:t>
      </w:r>
    </w:p>
    <w:p w14:paraId="6FBA7C26">
      <w:pPr>
        <w:ind w:firstLine="210" w:firstLineChars="100"/>
        <w:rPr>
          <w:rFonts w:ascii="仿宋" w:hAnsi="仿宋" w:eastAsia="仿宋" w:cs="仿宋"/>
        </w:rPr>
      </w:pPr>
      <w:r>
        <w:rPr>
          <w:rFonts w:hint="eastAsia" w:ascii="仿宋" w:hAnsi="仿宋" w:eastAsia="仿宋" w:cs="仿宋"/>
        </w:rPr>
        <w:t>（一）在供应商出现下列情形之一时，我方承担保证责任：</w:t>
      </w:r>
    </w:p>
    <w:p w14:paraId="4D6796CB">
      <w:pPr>
        <w:ind w:firstLine="420" w:firstLineChars="200"/>
        <w:rPr>
          <w:rFonts w:ascii="仿宋" w:hAnsi="仿宋" w:eastAsia="仿宋" w:cs="仿宋"/>
        </w:rPr>
      </w:pPr>
      <w:r>
        <w:rPr>
          <w:rFonts w:hint="eastAsia" w:ascii="仿宋" w:hAnsi="仿宋" w:eastAsia="仿宋" w:cs="仿宋"/>
        </w:rPr>
        <w:t>1．成交后供应商无正当理由不与采购人或者采购代理机构签订《政府采购合同》；</w:t>
      </w:r>
    </w:p>
    <w:p w14:paraId="5D9E80DB">
      <w:pPr>
        <w:ind w:firstLine="420" w:firstLineChars="200"/>
        <w:rPr>
          <w:rFonts w:ascii="仿宋" w:hAnsi="仿宋" w:eastAsia="仿宋" w:cs="仿宋"/>
        </w:rPr>
      </w:pPr>
      <w:r>
        <w:rPr>
          <w:rFonts w:hint="eastAsia" w:ascii="仿宋" w:hAnsi="仿宋" w:eastAsia="仿宋" w:cs="仿宋"/>
        </w:rPr>
        <w:t>2．磋商文件规定的供应商应当缴纳保证金的其他情形。</w:t>
      </w:r>
    </w:p>
    <w:p w14:paraId="14F18519">
      <w:pPr>
        <w:ind w:firstLine="210" w:firstLineChars="100"/>
        <w:rPr>
          <w:rFonts w:ascii="仿宋" w:hAnsi="仿宋" w:eastAsia="仿宋" w:cs="仿宋"/>
        </w:rPr>
      </w:pPr>
      <w:r>
        <w:rPr>
          <w:rFonts w:hint="eastAsia" w:ascii="仿宋" w:hAnsi="仿宋" w:eastAsia="仿宋" w:cs="仿宋"/>
        </w:rPr>
        <w:t>（二）我方承担保证责任的最高金额为人民币</w:t>
      </w:r>
      <w:r>
        <w:rPr>
          <w:rFonts w:hint="eastAsia" w:ascii="仿宋" w:hAnsi="仿宋" w:eastAsia="仿宋" w:cs="仿宋"/>
          <w:u w:val="single"/>
        </w:rPr>
        <w:t xml:space="preserve">      </w:t>
      </w:r>
      <w:r>
        <w:rPr>
          <w:rFonts w:hint="eastAsia" w:ascii="仿宋" w:hAnsi="仿宋" w:eastAsia="仿宋" w:cs="仿宋"/>
        </w:rPr>
        <w:t>元（大写</w:t>
      </w:r>
      <w:r>
        <w:rPr>
          <w:rFonts w:hint="eastAsia" w:ascii="仿宋" w:hAnsi="仿宋" w:eastAsia="仿宋" w:cs="仿宋"/>
          <w:u w:val="single"/>
        </w:rPr>
        <w:t xml:space="preserve">            </w:t>
      </w:r>
      <w:r>
        <w:rPr>
          <w:rFonts w:hint="eastAsia" w:ascii="仿宋" w:hAnsi="仿宋" w:eastAsia="仿宋" w:cs="仿宋"/>
        </w:rPr>
        <w:t>），即本项目的投标保证金金额。</w:t>
      </w:r>
    </w:p>
    <w:p w14:paraId="27C25483">
      <w:pPr>
        <w:ind w:firstLine="420" w:firstLineChars="200"/>
        <w:rPr>
          <w:rFonts w:ascii="仿宋" w:hAnsi="仿宋" w:eastAsia="仿宋" w:cs="仿宋"/>
        </w:rPr>
      </w:pPr>
      <w:r>
        <w:rPr>
          <w:rFonts w:hint="eastAsia" w:ascii="仿宋" w:hAnsi="仿宋" w:eastAsia="仿宋" w:cs="仿宋"/>
        </w:rPr>
        <w:t>二、保证的方式及保证期间</w:t>
      </w:r>
    </w:p>
    <w:p w14:paraId="200309E5">
      <w:pPr>
        <w:ind w:firstLine="420" w:firstLineChars="200"/>
        <w:rPr>
          <w:rFonts w:ascii="仿宋" w:hAnsi="仿宋" w:eastAsia="仿宋" w:cs="仿宋"/>
        </w:rPr>
      </w:pPr>
      <w:r>
        <w:rPr>
          <w:rFonts w:hint="eastAsia" w:ascii="仿宋" w:hAnsi="仿宋" w:eastAsia="仿宋" w:cs="仿宋"/>
        </w:rPr>
        <w:t>我方保证的方式为：连带责任保证。</w:t>
      </w:r>
    </w:p>
    <w:p w14:paraId="51A7D24F">
      <w:pPr>
        <w:ind w:firstLine="420" w:firstLineChars="200"/>
        <w:rPr>
          <w:rFonts w:ascii="仿宋" w:hAnsi="仿宋" w:eastAsia="仿宋" w:cs="仿宋"/>
        </w:rPr>
      </w:pPr>
      <w:r>
        <w:rPr>
          <w:rFonts w:hint="eastAsia" w:ascii="仿宋" w:hAnsi="仿宋" w:eastAsia="仿宋" w:cs="仿宋"/>
        </w:rPr>
        <w:t>我方的保证期间为：自本保函生效之日起</w:t>
      </w:r>
      <w:r>
        <w:rPr>
          <w:rFonts w:hint="eastAsia" w:ascii="仿宋" w:hAnsi="仿宋" w:eastAsia="仿宋" w:cs="仿宋"/>
          <w:u w:val="single"/>
        </w:rPr>
        <w:t xml:space="preserve">    </w:t>
      </w:r>
      <w:r>
        <w:rPr>
          <w:rFonts w:hint="eastAsia" w:ascii="仿宋" w:hAnsi="仿宋" w:eastAsia="仿宋" w:cs="仿宋"/>
        </w:rPr>
        <w:t>个月止。</w:t>
      </w:r>
    </w:p>
    <w:p w14:paraId="5C4B1425">
      <w:pPr>
        <w:ind w:firstLine="420" w:firstLineChars="200"/>
        <w:rPr>
          <w:rFonts w:ascii="仿宋" w:hAnsi="仿宋" w:eastAsia="仿宋" w:cs="仿宋"/>
        </w:rPr>
      </w:pPr>
      <w:r>
        <w:rPr>
          <w:rFonts w:hint="eastAsia" w:ascii="仿宋" w:hAnsi="仿宋" w:eastAsia="仿宋" w:cs="仿宋"/>
        </w:rPr>
        <w:t>三、承担保证责任的程序</w:t>
      </w:r>
    </w:p>
    <w:p w14:paraId="7E101767">
      <w:pPr>
        <w:ind w:firstLine="420" w:firstLineChars="200"/>
        <w:rPr>
          <w:rFonts w:ascii="仿宋" w:hAnsi="仿宋" w:eastAsia="仿宋" w:cs="仿宋"/>
        </w:rPr>
      </w:pPr>
      <w:r>
        <w:rPr>
          <w:rFonts w:hint="eastAsia" w:ascii="仿宋" w:hAnsi="仿宋" w:eastAsia="仿宋" w:cs="仿宋"/>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3D497EEA">
      <w:pPr>
        <w:ind w:firstLine="420" w:firstLineChars="200"/>
        <w:rPr>
          <w:rFonts w:ascii="仿宋" w:hAnsi="仿宋" w:eastAsia="仿宋" w:cs="仿宋"/>
        </w:rPr>
      </w:pPr>
      <w:r>
        <w:rPr>
          <w:rFonts w:hint="eastAsia" w:ascii="仿宋" w:hAnsi="仿宋" w:eastAsia="仿宋" w:cs="仿宋"/>
        </w:rPr>
        <w:t>2．我方在收到索赔通知及相关证明材料后，在</w:t>
      </w:r>
      <w:r>
        <w:rPr>
          <w:rFonts w:hint="eastAsia" w:ascii="仿宋" w:hAnsi="仿宋" w:eastAsia="仿宋" w:cs="仿宋"/>
          <w:u w:val="single"/>
        </w:rPr>
        <w:t>　　　</w:t>
      </w:r>
      <w:r>
        <w:rPr>
          <w:rFonts w:hint="eastAsia" w:ascii="仿宋" w:hAnsi="仿宋" w:eastAsia="仿宋" w:cs="仿宋"/>
        </w:rPr>
        <w:t>个工作日内进行审查，符合应承担保证责任情形的，我方应按照你方的要求代供应商向你方支付投标保证金。</w:t>
      </w:r>
    </w:p>
    <w:p w14:paraId="19E1EDFC">
      <w:pPr>
        <w:ind w:firstLine="420" w:firstLineChars="200"/>
        <w:rPr>
          <w:rFonts w:ascii="仿宋" w:hAnsi="仿宋" w:eastAsia="仿宋" w:cs="仿宋"/>
        </w:rPr>
      </w:pPr>
      <w:r>
        <w:rPr>
          <w:rFonts w:hint="eastAsia" w:ascii="仿宋" w:hAnsi="仿宋" w:eastAsia="仿宋" w:cs="仿宋"/>
        </w:rPr>
        <w:t>四、保证责任的终止</w:t>
      </w:r>
    </w:p>
    <w:p w14:paraId="1B31298F">
      <w:pPr>
        <w:spacing w:line="120" w:lineRule="auto"/>
        <w:ind w:firstLine="420" w:firstLineChars="200"/>
        <w:rPr>
          <w:rFonts w:ascii="仿宋" w:hAnsi="仿宋" w:eastAsia="仿宋" w:cs="仿宋"/>
        </w:rPr>
      </w:pPr>
      <w:r>
        <w:rPr>
          <w:rFonts w:hint="eastAsia" w:ascii="仿宋" w:hAnsi="仿宋" w:eastAsia="仿宋" w:cs="仿宋"/>
        </w:rPr>
        <w:t>1．保证期间届满你方未向我方书面主张保证责任的，自保证期间届满次日起，我方保证责任自动终止。</w:t>
      </w:r>
    </w:p>
    <w:p w14:paraId="0B557915">
      <w:pPr>
        <w:spacing w:line="120" w:lineRule="auto"/>
        <w:ind w:firstLine="420" w:firstLineChars="200"/>
        <w:rPr>
          <w:rFonts w:ascii="仿宋" w:hAnsi="仿宋" w:eastAsia="仿宋" w:cs="仿宋"/>
        </w:rPr>
      </w:pPr>
      <w:r>
        <w:rPr>
          <w:rFonts w:hint="eastAsia" w:ascii="仿宋" w:hAnsi="仿宋" w:eastAsia="仿宋" w:cs="仿宋"/>
        </w:rPr>
        <w:t>2．我方按照本保函向你贵方履行了保证责任后，自我方向你方支付款项（支付款项从我方账户划出）之日起，保证责任终止。</w:t>
      </w:r>
    </w:p>
    <w:p w14:paraId="780CC1E2">
      <w:pPr>
        <w:spacing w:line="120" w:lineRule="auto"/>
        <w:ind w:firstLine="420" w:firstLineChars="200"/>
        <w:rPr>
          <w:rFonts w:ascii="仿宋" w:hAnsi="仿宋" w:eastAsia="仿宋" w:cs="仿宋"/>
        </w:rPr>
      </w:pPr>
      <w:r>
        <w:rPr>
          <w:rFonts w:hint="eastAsia" w:ascii="仿宋" w:hAnsi="仿宋" w:eastAsia="仿宋" w:cs="仿宋"/>
        </w:rPr>
        <w:t>3．按照法律法规的规定或出现我方保证责任终止的其它情形的，我方在本保函项下的保证责任亦终止。</w:t>
      </w:r>
    </w:p>
    <w:p w14:paraId="32443493">
      <w:pPr>
        <w:ind w:firstLine="420" w:firstLineChars="200"/>
        <w:rPr>
          <w:rFonts w:ascii="仿宋" w:hAnsi="仿宋" w:eastAsia="仿宋" w:cs="仿宋"/>
        </w:rPr>
      </w:pPr>
      <w:r>
        <w:rPr>
          <w:rFonts w:hint="eastAsia" w:ascii="仿宋" w:hAnsi="仿宋" w:eastAsia="仿宋" w:cs="仿宋"/>
        </w:rPr>
        <w:t>五、免责条款</w:t>
      </w:r>
    </w:p>
    <w:p w14:paraId="18FC397F">
      <w:pPr>
        <w:spacing w:line="120" w:lineRule="auto"/>
        <w:ind w:firstLine="420" w:firstLineChars="200"/>
        <w:rPr>
          <w:rFonts w:ascii="仿宋" w:hAnsi="仿宋" w:eastAsia="仿宋" w:cs="仿宋"/>
        </w:rPr>
      </w:pPr>
      <w:r>
        <w:rPr>
          <w:rFonts w:hint="eastAsia" w:ascii="仿宋" w:hAnsi="仿宋" w:eastAsia="仿宋" w:cs="仿宋"/>
        </w:rPr>
        <w:t>1．依照法律规定或你方与供应商的另行约定，全部或者部分免除供应商投标保证金义务时，我方亦免除相应的保证责任。</w:t>
      </w:r>
    </w:p>
    <w:p w14:paraId="43885DDA">
      <w:pPr>
        <w:spacing w:line="120" w:lineRule="auto"/>
        <w:ind w:firstLine="420" w:firstLineChars="200"/>
        <w:rPr>
          <w:rFonts w:ascii="仿宋" w:hAnsi="仿宋" w:eastAsia="仿宋" w:cs="仿宋"/>
        </w:rPr>
      </w:pPr>
      <w:r>
        <w:rPr>
          <w:rFonts w:hint="eastAsia" w:ascii="仿宋" w:hAnsi="仿宋" w:eastAsia="仿宋" w:cs="仿宋"/>
        </w:rPr>
        <w:t>2．因你方原因致使供应商发生本保函第一条第（一）款约定情形的，我方不承担保证责任。</w:t>
      </w:r>
    </w:p>
    <w:p w14:paraId="27D2F44E">
      <w:pPr>
        <w:spacing w:line="120" w:lineRule="auto"/>
        <w:ind w:firstLine="420" w:firstLineChars="200"/>
        <w:rPr>
          <w:rFonts w:ascii="仿宋" w:hAnsi="仿宋" w:eastAsia="仿宋" w:cs="仿宋"/>
        </w:rPr>
      </w:pPr>
      <w:r>
        <w:rPr>
          <w:rFonts w:hint="eastAsia" w:ascii="仿宋" w:hAnsi="仿宋" w:eastAsia="仿宋" w:cs="仿宋"/>
        </w:rPr>
        <w:t>3．因不可抗力造成供应商发生本保函第一条约定情形的，我方不承担保证责任。</w:t>
      </w:r>
    </w:p>
    <w:p w14:paraId="0495D10F">
      <w:pPr>
        <w:spacing w:line="120" w:lineRule="auto"/>
        <w:ind w:firstLine="420" w:firstLineChars="200"/>
        <w:rPr>
          <w:rFonts w:ascii="仿宋" w:hAnsi="仿宋" w:eastAsia="仿宋" w:cs="仿宋"/>
        </w:rPr>
      </w:pPr>
      <w:r>
        <w:rPr>
          <w:rFonts w:hint="eastAsia" w:ascii="仿宋" w:hAnsi="仿宋" w:eastAsia="仿宋" w:cs="仿宋"/>
        </w:rPr>
        <w:t>4．你方或其他有权机关对磋商文件进行任何澄清或修改，加重我方保证责任的，我方对加重部分不承担保证责任，但该澄清或修改经我方事先书面同意的除外。</w:t>
      </w:r>
    </w:p>
    <w:p w14:paraId="73859204">
      <w:pPr>
        <w:ind w:firstLine="420" w:firstLineChars="200"/>
        <w:rPr>
          <w:rFonts w:ascii="仿宋" w:hAnsi="仿宋" w:eastAsia="仿宋" w:cs="仿宋"/>
        </w:rPr>
      </w:pPr>
      <w:r>
        <w:rPr>
          <w:rFonts w:hint="eastAsia" w:ascii="仿宋" w:hAnsi="仿宋" w:eastAsia="仿宋" w:cs="仿宋"/>
        </w:rPr>
        <w:t>六、争议的解决</w:t>
      </w:r>
    </w:p>
    <w:p w14:paraId="2739E7C2">
      <w:pPr>
        <w:ind w:firstLine="420" w:firstLineChars="200"/>
        <w:rPr>
          <w:rFonts w:ascii="仿宋" w:hAnsi="仿宋" w:eastAsia="仿宋" w:cs="仿宋"/>
        </w:rPr>
      </w:pPr>
      <w:r>
        <w:rPr>
          <w:rFonts w:hint="eastAsia" w:ascii="仿宋" w:hAnsi="仿宋" w:eastAsia="仿宋" w:cs="仿宋"/>
        </w:rPr>
        <w:t>因本保函发生的纠纷，由你我双方协商解决，协商不成的，通过诉讼程序解决，诉讼管辖地法院为</w:t>
      </w:r>
      <w:r>
        <w:rPr>
          <w:rFonts w:hint="eastAsia" w:ascii="仿宋" w:hAnsi="仿宋" w:eastAsia="仿宋" w:cs="仿宋"/>
          <w:u w:val="single"/>
        </w:rPr>
        <w:t xml:space="preserve">          </w:t>
      </w:r>
      <w:r>
        <w:rPr>
          <w:rFonts w:hint="eastAsia" w:ascii="仿宋" w:hAnsi="仿宋" w:eastAsia="仿宋" w:cs="仿宋"/>
        </w:rPr>
        <w:t>法院。</w:t>
      </w:r>
    </w:p>
    <w:p w14:paraId="0D988431">
      <w:pPr>
        <w:ind w:firstLine="420" w:firstLineChars="200"/>
        <w:rPr>
          <w:rFonts w:ascii="仿宋" w:hAnsi="仿宋" w:eastAsia="仿宋" w:cs="仿宋"/>
        </w:rPr>
      </w:pPr>
      <w:r>
        <w:rPr>
          <w:rFonts w:hint="eastAsia" w:ascii="仿宋" w:hAnsi="仿宋" w:eastAsia="仿宋" w:cs="仿宋"/>
        </w:rPr>
        <w:t>七、保函的生效</w:t>
      </w:r>
    </w:p>
    <w:p w14:paraId="682D14EC">
      <w:pPr>
        <w:ind w:firstLine="420" w:firstLineChars="200"/>
        <w:rPr>
          <w:rFonts w:ascii="仿宋" w:hAnsi="仿宋" w:eastAsia="仿宋" w:cs="仿宋"/>
        </w:rPr>
      </w:pPr>
      <w:r>
        <w:rPr>
          <w:rFonts w:hint="eastAsia" w:ascii="仿宋" w:hAnsi="仿宋" w:eastAsia="仿宋" w:cs="仿宋"/>
        </w:rPr>
        <w:t>本保函自我方加盖公章之日起生效。</w:t>
      </w:r>
    </w:p>
    <w:p w14:paraId="1573128A">
      <w:pPr>
        <w:ind w:firstLine="420" w:firstLineChars="200"/>
        <w:rPr>
          <w:rFonts w:ascii="仿宋" w:hAnsi="仿宋" w:eastAsia="仿宋" w:cs="仿宋"/>
        </w:rPr>
        <w:sectPr>
          <w:pgSz w:w="11906" w:h="16838"/>
          <w:pgMar w:top="1440" w:right="1797" w:bottom="1440" w:left="1797" w:header="851" w:footer="992" w:gutter="0"/>
          <w:cols w:space="720" w:num="1"/>
          <w:docGrid w:type="linesAndChars" w:linePitch="312" w:charSpace="0"/>
        </w:sectPr>
      </w:pPr>
      <w:r>
        <w:rPr>
          <w:rFonts w:hint="eastAsia" w:ascii="仿宋" w:hAnsi="仿宋" w:eastAsia="仿宋" w:cs="仿宋"/>
        </w:rPr>
        <w:t>保证人：（公章）                                   年      月      日</w:t>
      </w:r>
    </w:p>
    <w:p w14:paraId="06D6C178">
      <w:pPr>
        <w:ind w:firstLine="5775" w:firstLineChars="2750"/>
        <w:rPr>
          <w:rFonts w:ascii="仿宋" w:hAnsi="仿宋" w:eastAsia="仿宋" w:cs="仿宋"/>
        </w:rPr>
      </w:pPr>
    </w:p>
    <w:p w14:paraId="3A8F0965">
      <w:pPr>
        <w:pStyle w:val="18"/>
        <w:tabs>
          <w:tab w:val="left" w:pos="5580"/>
        </w:tabs>
        <w:spacing w:line="240" w:lineRule="atLeast"/>
        <w:ind w:left="1080" w:leftChars="257" w:hanging="540"/>
        <w:rPr>
          <w:rFonts w:ascii="仿宋" w:hAnsi="仿宋" w:eastAsia="仿宋" w:cs="仿宋"/>
          <w:sz w:val="24"/>
        </w:rPr>
      </w:pPr>
    </w:p>
    <w:p w14:paraId="6CB7C6A1">
      <w:pPr>
        <w:pStyle w:val="19"/>
        <w:rPr>
          <w:rFonts w:ascii="仿宋" w:hAnsi="仿宋" w:eastAsia="仿宋" w:cs="仿宋"/>
        </w:rPr>
      </w:pPr>
    </w:p>
    <w:p w14:paraId="37E7EA9D">
      <w:pPr>
        <w:rPr>
          <w:rFonts w:ascii="仿宋" w:hAnsi="仿宋" w:eastAsia="仿宋" w:cs="仿宋"/>
          <w:sz w:val="24"/>
        </w:rPr>
      </w:pPr>
      <w:bookmarkStart w:id="275" w:name="_Toc29703"/>
      <w:bookmarkStart w:id="276" w:name="_Toc17207"/>
      <w:bookmarkStart w:id="277" w:name="_Toc515647813"/>
    </w:p>
    <w:p w14:paraId="5DB9FD8E">
      <w:pPr>
        <w:ind w:firstLine="1205" w:firstLineChars="500"/>
        <w:outlineLvl w:val="1"/>
        <w:rPr>
          <w:rFonts w:hint="default" w:ascii="仿宋" w:hAnsi="仿宋" w:eastAsia="仿宋" w:cs="仿宋"/>
          <w:b/>
          <w:bCs/>
          <w:sz w:val="24"/>
          <w:lang w:val="en-US" w:eastAsia="zh-CN"/>
        </w:rPr>
      </w:pPr>
      <w:bookmarkStart w:id="278" w:name="_Toc21305"/>
      <w:r>
        <w:rPr>
          <w:rFonts w:hint="eastAsia" w:ascii="仿宋" w:hAnsi="仿宋" w:eastAsia="仿宋" w:cs="仿宋"/>
          <w:b/>
          <w:bCs/>
          <w:sz w:val="24"/>
          <w:lang w:val="en-US" w:eastAsia="zh-CN"/>
        </w:rPr>
        <w:t>12、《中小企业声明函》；</w:t>
      </w:r>
      <w:bookmarkEnd w:id="278"/>
    </w:p>
    <w:p w14:paraId="3294B12C">
      <w:pPr>
        <w:ind w:firstLine="1205" w:firstLineChars="500"/>
        <w:outlineLvl w:val="1"/>
        <w:rPr>
          <w:rFonts w:hint="eastAsia" w:ascii="仿宋" w:hAnsi="仿宋" w:eastAsia="仿宋" w:cs="仿宋"/>
          <w:b/>
          <w:bCs/>
          <w:sz w:val="24"/>
        </w:rPr>
      </w:pPr>
    </w:p>
    <w:p w14:paraId="129FEEB3">
      <w:pPr>
        <w:ind w:firstLine="1205" w:firstLineChars="500"/>
        <w:outlineLvl w:val="1"/>
        <w:rPr>
          <w:rFonts w:hint="eastAsia" w:ascii="仿宋" w:hAnsi="仿宋" w:eastAsia="仿宋" w:cs="仿宋"/>
          <w:b/>
          <w:bCs/>
          <w:sz w:val="24"/>
          <w:lang w:val="en-US" w:eastAsia="zh-CN"/>
        </w:rPr>
      </w:pPr>
      <w:bookmarkStart w:id="279" w:name="_Toc17686"/>
    </w:p>
    <w:p w14:paraId="150D4B4B">
      <w:pPr>
        <w:ind w:firstLine="1205" w:firstLineChars="500"/>
        <w:outlineLvl w:val="1"/>
        <w:rPr>
          <w:rFonts w:hint="eastAsia" w:ascii="仿宋" w:hAnsi="仿宋" w:eastAsia="仿宋" w:cs="仿宋"/>
          <w:b/>
          <w:bCs/>
          <w:sz w:val="24"/>
          <w:lang w:val="en-US" w:eastAsia="zh-CN"/>
        </w:rPr>
      </w:pPr>
    </w:p>
    <w:p w14:paraId="42533906">
      <w:pPr>
        <w:ind w:firstLine="1205" w:firstLineChars="500"/>
        <w:outlineLvl w:val="1"/>
        <w:rPr>
          <w:rFonts w:hint="eastAsia" w:ascii="仿宋" w:hAnsi="仿宋" w:eastAsia="仿宋" w:cs="仿宋"/>
          <w:b/>
          <w:bCs/>
          <w:sz w:val="24"/>
          <w:lang w:val="en-US" w:eastAsia="zh-CN"/>
        </w:rPr>
      </w:pPr>
    </w:p>
    <w:p w14:paraId="6FC6AE81">
      <w:pPr>
        <w:ind w:firstLine="1205" w:firstLineChars="500"/>
        <w:outlineLvl w:val="1"/>
        <w:rPr>
          <w:rFonts w:ascii="仿宋" w:hAnsi="仿宋" w:eastAsia="仿宋" w:cs="仿宋"/>
          <w:b/>
          <w:bCs/>
          <w:sz w:val="24"/>
        </w:rPr>
      </w:pPr>
      <w:r>
        <w:rPr>
          <w:rFonts w:hint="eastAsia" w:ascii="仿宋" w:hAnsi="仿宋" w:eastAsia="仿宋" w:cs="仿宋"/>
          <w:b/>
          <w:bCs/>
          <w:sz w:val="24"/>
          <w:lang w:val="en-US" w:eastAsia="zh-CN"/>
        </w:rPr>
        <w:t>13</w:t>
      </w:r>
      <w:r>
        <w:rPr>
          <w:rFonts w:hint="eastAsia" w:ascii="仿宋" w:hAnsi="仿宋" w:eastAsia="仿宋" w:cs="仿宋"/>
          <w:b/>
          <w:bCs/>
          <w:sz w:val="24"/>
        </w:rPr>
        <w:t>、 供应商须知资料表要求的其他资格证明文件</w:t>
      </w:r>
      <w:bookmarkEnd w:id="275"/>
      <w:bookmarkEnd w:id="276"/>
      <w:bookmarkEnd w:id="277"/>
      <w:bookmarkEnd w:id="279"/>
    </w:p>
    <w:p w14:paraId="5F908B95">
      <w:pPr>
        <w:spacing w:line="240" w:lineRule="atLeast"/>
        <w:ind w:left="1080" w:leftChars="257" w:hanging="540"/>
        <w:jc w:val="center"/>
        <w:rPr>
          <w:rFonts w:ascii="仿宋" w:hAnsi="仿宋" w:eastAsia="仿宋" w:cs="仿宋"/>
          <w:b/>
          <w:bCs/>
          <w:sz w:val="24"/>
        </w:rPr>
      </w:pPr>
    </w:p>
    <w:p w14:paraId="67DCDE93">
      <w:pPr>
        <w:spacing w:line="240" w:lineRule="atLeast"/>
        <w:ind w:left="1080" w:leftChars="257" w:hanging="540"/>
        <w:jc w:val="center"/>
        <w:rPr>
          <w:rFonts w:ascii="仿宋" w:hAnsi="仿宋" w:eastAsia="仿宋" w:cs="仿宋"/>
          <w:b/>
          <w:bCs/>
          <w:sz w:val="24"/>
        </w:rPr>
      </w:pPr>
    </w:p>
    <w:p w14:paraId="1FA0AAD8">
      <w:pPr>
        <w:spacing w:line="240" w:lineRule="atLeast"/>
        <w:ind w:left="1080" w:leftChars="257" w:hanging="540"/>
        <w:jc w:val="center"/>
        <w:rPr>
          <w:rFonts w:ascii="仿宋" w:hAnsi="仿宋" w:eastAsia="仿宋" w:cs="仿宋"/>
          <w:b/>
          <w:bCs/>
          <w:sz w:val="24"/>
        </w:rPr>
      </w:pPr>
    </w:p>
    <w:p w14:paraId="70F46FBA">
      <w:pPr>
        <w:pStyle w:val="18"/>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说明：1.应提供</w:t>
      </w:r>
      <w:r>
        <w:rPr>
          <w:rFonts w:hint="eastAsia" w:ascii="仿宋" w:hAnsi="仿宋" w:eastAsia="仿宋" w:cs="仿宋"/>
          <w:sz w:val="24"/>
          <w:u w:val="single"/>
        </w:rPr>
        <w:t>供应商须知资料表</w:t>
      </w:r>
      <w:r>
        <w:rPr>
          <w:rFonts w:hint="eastAsia" w:ascii="仿宋" w:hAnsi="仿宋" w:eastAsia="仿宋" w:cs="仿宋"/>
          <w:sz w:val="24"/>
        </w:rPr>
        <w:t>要求的其他资格证明文件。</w:t>
      </w:r>
    </w:p>
    <w:p w14:paraId="67459CC0">
      <w:pPr>
        <w:pStyle w:val="18"/>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2.原件扫描件上应加盖本单位</w:t>
      </w:r>
      <w:r>
        <w:rPr>
          <w:rFonts w:hint="eastAsia" w:ascii="仿宋" w:hAnsi="仿宋" w:eastAsia="仿宋" w:cs="仿宋"/>
          <w:sz w:val="24"/>
          <w:lang w:val="en-US" w:eastAsia="zh-CN"/>
        </w:rPr>
        <w:t>公</w:t>
      </w:r>
      <w:r>
        <w:rPr>
          <w:rFonts w:hint="eastAsia" w:ascii="仿宋" w:hAnsi="仿宋" w:eastAsia="仿宋" w:cs="仿宋"/>
          <w:sz w:val="24"/>
        </w:rPr>
        <w:t>章（自然人投标的无需盖章，需要签字）。</w:t>
      </w:r>
    </w:p>
    <w:p w14:paraId="60B7D526">
      <w:pPr>
        <w:pStyle w:val="18"/>
        <w:tabs>
          <w:tab w:val="left" w:pos="5580"/>
        </w:tabs>
        <w:spacing w:line="240" w:lineRule="atLeast"/>
        <w:ind w:left="1260" w:leftChars="344" w:hanging="538"/>
        <w:rPr>
          <w:rFonts w:ascii="仿宋" w:hAnsi="仿宋" w:eastAsia="仿宋" w:cs="仿宋"/>
          <w:sz w:val="24"/>
        </w:rPr>
      </w:pPr>
      <w:r>
        <w:rPr>
          <w:rFonts w:hint="eastAsia" w:ascii="仿宋" w:hAnsi="仿宋" w:eastAsia="仿宋" w:cs="仿宋"/>
          <w:sz w:val="24"/>
        </w:rPr>
        <w:t xml:space="preserve">    </w:t>
      </w:r>
    </w:p>
    <w:p w14:paraId="30B84DE5">
      <w:pPr>
        <w:pStyle w:val="18"/>
        <w:tabs>
          <w:tab w:val="left" w:pos="5580"/>
        </w:tabs>
        <w:spacing w:line="240" w:lineRule="atLeast"/>
        <w:ind w:left="1080" w:leftChars="257" w:hanging="540"/>
        <w:rPr>
          <w:rFonts w:ascii="仿宋" w:hAnsi="仿宋" w:eastAsia="仿宋" w:cs="仿宋"/>
          <w:sz w:val="24"/>
        </w:rPr>
      </w:pPr>
    </w:p>
    <w:p w14:paraId="1F656886">
      <w:pPr>
        <w:pStyle w:val="18"/>
        <w:tabs>
          <w:tab w:val="left" w:pos="5580"/>
        </w:tabs>
        <w:spacing w:line="240" w:lineRule="atLeast"/>
        <w:ind w:left="1080" w:leftChars="257" w:hanging="540"/>
        <w:rPr>
          <w:rFonts w:ascii="仿宋" w:hAnsi="仿宋" w:eastAsia="仿宋" w:cs="仿宋"/>
          <w:sz w:val="24"/>
        </w:rPr>
      </w:pPr>
    </w:p>
    <w:p w14:paraId="79812C67">
      <w:pPr>
        <w:pStyle w:val="18"/>
        <w:tabs>
          <w:tab w:val="left" w:pos="5580"/>
        </w:tabs>
        <w:spacing w:line="240" w:lineRule="atLeast"/>
        <w:ind w:left="1080" w:leftChars="257" w:hanging="540"/>
        <w:rPr>
          <w:rFonts w:ascii="仿宋" w:hAnsi="仿宋" w:eastAsia="仿宋" w:cs="仿宋"/>
          <w:sz w:val="24"/>
        </w:rPr>
      </w:pPr>
    </w:p>
    <w:p w14:paraId="20A44CA3"/>
    <w:p w14:paraId="52D588EE">
      <w:pPr>
        <w:pStyle w:val="5"/>
        <w:sectPr>
          <w:footerReference r:id="rId6" w:type="default"/>
          <w:pgSz w:w="11906" w:h="16839"/>
          <w:pgMar w:top="400" w:right="1162" w:bottom="1157" w:left="1088" w:header="0" w:footer="994" w:gutter="0"/>
          <w:cols w:space="720" w:num="1"/>
        </w:sectPr>
      </w:pPr>
    </w:p>
    <w:p w14:paraId="629C591B">
      <w:pPr>
        <w:pStyle w:val="18"/>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w:t>
      </w:r>
    </w:p>
    <w:bookmarkEnd w:id="248"/>
    <w:bookmarkEnd w:id="249"/>
    <w:bookmarkEnd w:id="250"/>
    <w:bookmarkEnd w:id="251"/>
    <w:p w14:paraId="1F23D835">
      <w:pPr>
        <w:pStyle w:val="3"/>
        <w:spacing w:before="0" w:line="240" w:lineRule="atLeast"/>
        <w:ind w:left="1080" w:leftChars="257" w:hanging="540"/>
        <w:rPr>
          <w:rFonts w:ascii="仿宋_GB2312" w:hAnsi="宋体" w:eastAsia="仿宋_GB2312"/>
          <w:sz w:val="24"/>
        </w:rPr>
      </w:pPr>
      <w:bookmarkStart w:id="280" w:name="_Toc22967"/>
      <w:bookmarkStart w:id="281" w:name="_Toc11180"/>
      <w:bookmarkStart w:id="282" w:name="_Toc7593"/>
      <w:bookmarkStart w:id="283" w:name="_Toc30981"/>
      <w:bookmarkStart w:id="284" w:name="_Toc515647816"/>
      <w:r>
        <w:rPr>
          <w:rFonts w:ascii="仿宋_GB2312" w:hAnsi="宋体" w:eastAsia="仿宋_GB2312"/>
          <w:sz w:val="24"/>
        </w:rPr>
        <w:t>第</w:t>
      </w:r>
      <w:r>
        <w:rPr>
          <w:rFonts w:hint="eastAsia" w:ascii="仿宋_GB2312" w:hAnsi="宋体" w:eastAsia="仿宋_GB2312"/>
          <w:sz w:val="24"/>
        </w:rPr>
        <w:t>二</w:t>
      </w:r>
      <w:r>
        <w:rPr>
          <w:rFonts w:ascii="仿宋_GB2312" w:hAnsi="宋体" w:eastAsia="仿宋_GB2312"/>
          <w:sz w:val="24"/>
        </w:rPr>
        <w:t>部分</w:t>
      </w:r>
      <w:r>
        <w:rPr>
          <w:rFonts w:hint="eastAsia" w:ascii="仿宋_GB2312" w:hAnsi="宋体" w:eastAsia="仿宋_GB2312"/>
          <w:sz w:val="24"/>
        </w:rPr>
        <w:t xml:space="preserve">  商务及</w:t>
      </w:r>
      <w:r>
        <w:rPr>
          <w:rFonts w:ascii="仿宋_GB2312" w:hAnsi="宋体" w:eastAsia="仿宋_GB2312"/>
          <w:sz w:val="24"/>
        </w:rPr>
        <w:t>技术</w:t>
      </w:r>
      <w:r>
        <w:rPr>
          <w:rFonts w:hint="eastAsia" w:ascii="仿宋_GB2312" w:hAnsi="宋体" w:eastAsia="仿宋_GB2312"/>
          <w:sz w:val="24"/>
        </w:rPr>
        <w:t>文件</w:t>
      </w:r>
      <w:bookmarkEnd w:id="280"/>
      <w:bookmarkEnd w:id="281"/>
      <w:bookmarkEnd w:id="282"/>
      <w:bookmarkEnd w:id="283"/>
      <w:bookmarkEnd w:id="284"/>
    </w:p>
    <w:p w14:paraId="3C81B1A7">
      <w:pPr>
        <w:pStyle w:val="18"/>
        <w:ind w:left="1080" w:leftChars="257" w:hanging="540"/>
        <w:rPr>
          <w:rFonts w:ascii="仿宋_GB2312" w:hAnsi="宋体" w:eastAsia="仿宋_GB2312"/>
          <w:sz w:val="24"/>
        </w:rPr>
      </w:pPr>
    </w:p>
    <w:p w14:paraId="74F00F9C">
      <w:pPr>
        <w:pStyle w:val="18"/>
        <w:ind w:left="1080" w:leftChars="257" w:hanging="540"/>
        <w:rPr>
          <w:rFonts w:ascii="仿宋_GB2312" w:hAnsi="宋体" w:eastAsia="仿宋_GB2312"/>
          <w:sz w:val="24"/>
        </w:rPr>
      </w:pPr>
      <w:r>
        <w:rPr>
          <w:rFonts w:hint="eastAsia" w:ascii="仿宋_GB2312" w:hAnsi="宋体" w:eastAsia="仿宋_GB2312"/>
          <w:sz w:val="24"/>
        </w:rPr>
        <w:t>1、磋商响应函（响应文件格式四）</w:t>
      </w:r>
    </w:p>
    <w:p w14:paraId="36E56E4A">
      <w:pPr>
        <w:pStyle w:val="18"/>
        <w:ind w:left="1080" w:leftChars="257" w:hanging="540"/>
        <w:rPr>
          <w:rFonts w:ascii="仿宋_GB2312" w:hAnsi="宋体" w:eastAsia="仿宋_GB2312"/>
          <w:sz w:val="24"/>
        </w:rPr>
      </w:pPr>
      <w:r>
        <w:rPr>
          <w:rFonts w:hint="eastAsia" w:ascii="仿宋_GB2312" w:hAnsi="宋体" w:eastAsia="仿宋_GB2312"/>
          <w:sz w:val="24"/>
        </w:rPr>
        <w:t>2、投标分项报价表（响应文件格式五）</w:t>
      </w:r>
    </w:p>
    <w:p w14:paraId="4A73A8E4">
      <w:pPr>
        <w:pStyle w:val="18"/>
        <w:ind w:left="1080" w:leftChars="257" w:hanging="540"/>
        <w:rPr>
          <w:rFonts w:ascii="仿宋_GB2312" w:hAnsi="宋体" w:eastAsia="仿宋_GB2312"/>
          <w:sz w:val="24"/>
        </w:rPr>
      </w:pPr>
      <w:r>
        <w:rPr>
          <w:rFonts w:hint="eastAsia" w:ascii="仿宋_GB2312" w:hAnsi="宋体" w:eastAsia="仿宋_GB2312"/>
          <w:sz w:val="24"/>
        </w:rPr>
        <w:t>3、说明一览表（响应文件格式六）</w:t>
      </w:r>
    </w:p>
    <w:p w14:paraId="1B5866A2">
      <w:pPr>
        <w:pStyle w:val="18"/>
        <w:ind w:left="1080" w:leftChars="257" w:hanging="540"/>
        <w:rPr>
          <w:rFonts w:ascii="仿宋_GB2312" w:hAnsi="宋体" w:eastAsia="仿宋_GB2312"/>
          <w:sz w:val="24"/>
        </w:rPr>
      </w:pPr>
      <w:r>
        <w:rPr>
          <w:rFonts w:hint="eastAsia" w:ascii="仿宋_GB2312" w:hAnsi="宋体" w:eastAsia="仿宋_GB2312"/>
          <w:sz w:val="24"/>
        </w:rPr>
        <w:t>4、商务条款偏离表（响应文件格式七）</w:t>
      </w:r>
    </w:p>
    <w:p w14:paraId="5FC87C78">
      <w:pPr>
        <w:pStyle w:val="18"/>
        <w:ind w:left="311" w:leftChars="148" w:firstLine="228"/>
        <w:rPr>
          <w:rFonts w:ascii="仿宋" w:hAnsi="仿宋" w:eastAsia="仿宋" w:cs="仿宋"/>
          <w:sz w:val="24"/>
        </w:rPr>
      </w:pPr>
      <w:r>
        <w:rPr>
          <w:rFonts w:hint="eastAsia" w:ascii="仿宋_GB2312" w:hAnsi="宋体" w:eastAsia="仿宋_GB2312"/>
          <w:sz w:val="24"/>
        </w:rPr>
        <w:t>5、</w:t>
      </w:r>
      <w:r>
        <w:rPr>
          <w:rFonts w:hint="eastAsia" w:ascii="仿宋" w:hAnsi="仿宋" w:eastAsia="仿宋" w:cs="仿宋"/>
          <w:sz w:val="24"/>
        </w:rPr>
        <w:t>技术规格偏离表（响应文件格式八）</w:t>
      </w:r>
    </w:p>
    <w:p w14:paraId="6B022980">
      <w:pPr>
        <w:pStyle w:val="18"/>
        <w:ind w:left="1080" w:leftChars="257" w:hanging="540"/>
        <w:rPr>
          <w:rFonts w:ascii="仿宋" w:hAnsi="仿宋" w:eastAsia="仿宋" w:cs="仿宋"/>
          <w:sz w:val="24"/>
        </w:rPr>
      </w:pPr>
      <w:r>
        <w:rPr>
          <w:rFonts w:hint="eastAsia" w:ascii="仿宋" w:hAnsi="仿宋" w:eastAsia="仿宋" w:cs="仿宋"/>
          <w:sz w:val="24"/>
        </w:rPr>
        <w:t>6、符合《政府采购促进中小企业发展暂行办法》、《关于政府采购支持监狱企业发展有关问题的通知》和《三部门联合发布关于促进残疾人就业政府采购政策的通知》价格扣减条件的投标人须提交）</w:t>
      </w:r>
    </w:p>
    <w:p w14:paraId="4AE95774">
      <w:pPr>
        <w:pStyle w:val="18"/>
        <w:ind w:left="311" w:leftChars="148" w:firstLine="228"/>
        <w:rPr>
          <w:rFonts w:ascii="仿宋" w:hAnsi="仿宋" w:eastAsia="仿宋" w:cs="仿宋"/>
          <w:sz w:val="24"/>
        </w:rPr>
      </w:pPr>
      <w:r>
        <w:rPr>
          <w:rFonts w:hint="eastAsia" w:ascii="仿宋" w:hAnsi="仿宋" w:eastAsia="仿宋" w:cs="仿宋"/>
          <w:sz w:val="24"/>
        </w:rPr>
        <w:t>6-1中小企业声明函（工程）（投标文件格式十一）</w:t>
      </w:r>
    </w:p>
    <w:p w14:paraId="0CDD435A">
      <w:pPr>
        <w:pStyle w:val="18"/>
        <w:ind w:left="311" w:leftChars="148" w:firstLine="228"/>
        <w:rPr>
          <w:rFonts w:ascii="仿宋_GB2312" w:hAnsi="宋体" w:eastAsia="仿宋_GB2312"/>
          <w:sz w:val="24"/>
        </w:rPr>
      </w:pPr>
      <w:r>
        <w:rPr>
          <w:rFonts w:hint="eastAsia" w:ascii="仿宋" w:hAnsi="仿宋" w:eastAsia="仿宋" w:cs="仿宋"/>
          <w:sz w:val="24"/>
        </w:rPr>
        <w:t>6-2《残疾人福利性单位声明函》（投标文件格式十二）</w:t>
      </w:r>
    </w:p>
    <w:p w14:paraId="43EAEC96">
      <w:pPr>
        <w:pStyle w:val="18"/>
        <w:ind w:left="311" w:leftChars="148" w:firstLine="228"/>
        <w:rPr>
          <w:rFonts w:hint="eastAsia" w:ascii="仿宋_GB2312" w:hAnsi="宋体" w:eastAsia="仿宋_GB2312" w:cs="Times New Roman"/>
          <w:sz w:val="24"/>
        </w:rPr>
      </w:pPr>
      <w:r>
        <w:rPr>
          <w:rFonts w:hint="eastAsia" w:ascii="仿宋_GB2312" w:hAnsi="宋体" w:eastAsia="仿宋_GB2312" w:cs="Times New Roman"/>
          <w:sz w:val="24"/>
        </w:rPr>
        <w:t>7、供应商关联单位的说明（格式自拟）</w:t>
      </w:r>
    </w:p>
    <w:p w14:paraId="7B8BEBF3">
      <w:pPr>
        <w:pStyle w:val="18"/>
        <w:ind w:left="311" w:leftChars="148" w:firstLine="228"/>
        <w:rPr>
          <w:rFonts w:ascii="仿宋_GB2312" w:hAnsi="宋体" w:eastAsia="仿宋_GB2312"/>
          <w:sz w:val="24"/>
        </w:rPr>
        <w:sectPr>
          <w:pgSz w:w="11906" w:h="16839"/>
          <w:pgMar w:top="400" w:right="1162" w:bottom="1157" w:left="1088" w:header="0" w:footer="994" w:gutter="0"/>
          <w:cols w:space="720" w:num="1"/>
        </w:sectPr>
      </w:pPr>
      <w:r>
        <w:rPr>
          <w:rFonts w:hint="eastAsia" w:ascii="仿宋_GB2312" w:hAnsi="宋体" w:eastAsia="仿宋_GB2312" w:cs="Times New Roman"/>
          <w:sz w:val="24"/>
        </w:rPr>
        <w:t>8、响应</w:t>
      </w:r>
      <w:r>
        <w:rPr>
          <w:rFonts w:hint="eastAsia" w:ascii="仿宋_GB2312" w:hAnsi="宋体" w:eastAsia="仿宋_GB2312"/>
          <w:sz w:val="24"/>
        </w:rPr>
        <w:t>文件还应包括供应商须知第10条的所有技术文件</w:t>
      </w:r>
    </w:p>
    <w:p w14:paraId="4E4F0CE8">
      <w:pPr>
        <w:pStyle w:val="18"/>
        <w:rPr>
          <w:rFonts w:ascii="仿宋_GB2312" w:hAnsi="宋体" w:eastAsia="仿宋_GB2312"/>
          <w:sz w:val="24"/>
        </w:rPr>
      </w:pPr>
    </w:p>
    <w:p w14:paraId="11AEE967">
      <w:pPr>
        <w:pStyle w:val="3"/>
        <w:spacing w:before="0" w:line="240" w:lineRule="atLeast"/>
        <w:ind w:left="1080" w:leftChars="257" w:hanging="540"/>
        <w:rPr>
          <w:rFonts w:ascii="仿宋_GB2312" w:hAnsi="宋体" w:eastAsia="仿宋_GB2312"/>
          <w:sz w:val="24"/>
        </w:rPr>
      </w:pPr>
      <w:bookmarkStart w:id="285" w:name="_Toc14915"/>
      <w:bookmarkStart w:id="286" w:name="_Toc515647817"/>
      <w:bookmarkStart w:id="287" w:name="_Toc5329"/>
      <w:bookmarkStart w:id="288" w:name="_Toc2041"/>
      <w:bookmarkStart w:id="289" w:name="_Toc19761"/>
      <w:r>
        <w:rPr>
          <w:rFonts w:hint="eastAsia" w:ascii="仿宋_GB2312" w:hAnsi="宋体" w:eastAsia="仿宋_GB2312"/>
          <w:sz w:val="24"/>
        </w:rPr>
        <w:t>1  磋商响应函（响应文件格式四）</w:t>
      </w:r>
      <w:bookmarkEnd w:id="285"/>
      <w:bookmarkEnd w:id="286"/>
      <w:bookmarkEnd w:id="287"/>
      <w:bookmarkEnd w:id="288"/>
      <w:bookmarkEnd w:id="289"/>
    </w:p>
    <w:p w14:paraId="2FCC458D">
      <w:pPr>
        <w:tabs>
          <w:tab w:val="left" w:pos="5580"/>
        </w:tabs>
        <w:spacing w:line="240" w:lineRule="atLeast"/>
        <w:ind w:left="1080" w:leftChars="257" w:hanging="540"/>
        <w:rPr>
          <w:rFonts w:ascii="仿宋_GB2312" w:hAnsi="宋体" w:eastAsia="仿宋_GB2312"/>
          <w:sz w:val="24"/>
        </w:rPr>
      </w:pPr>
    </w:p>
    <w:p w14:paraId="4B2D440C">
      <w:pPr>
        <w:tabs>
          <w:tab w:val="left" w:pos="5580"/>
        </w:tabs>
        <w:spacing w:line="240" w:lineRule="atLeast"/>
        <w:ind w:left="1080" w:hanging="1080"/>
        <w:rPr>
          <w:rFonts w:ascii="仿宋_GB2312" w:hAnsi="宋体" w:eastAsia="仿宋_GB2312"/>
          <w:sz w:val="24"/>
        </w:rPr>
      </w:pPr>
      <w:r>
        <w:rPr>
          <w:rFonts w:hint="eastAsia" w:ascii="仿宋_GB2312" w:hAnsi="宋体" w:eastAsia="仿宋_GB2312"/>
          <w:sz w:val="24"/>
        </w:rPr>
        <w:t>致：</w:t>
      </w:r>
      <w:r>
        <w:rPr>
          <w:rFonts w:hint="eastAsia" w:ascii="仿宋_GB2312" w:hAnsi="宋体" w:eastAsia="仿宋_GB2312"/>
          <w:sz w:val="24"/>
          <w:u w:val="single"/>
        </w:rPr>
        <w:t>采购代理机构</w:t>
      </w:r>
    </w:p>
    <w:p w14:paraId="50A8593C">
      <w:pPr>
        <w:pStyle w:val="18"/>
        <w:tabs>
          <w:tab w:val="left" w:pos="5580"/>
        </w:tabs>
        <w:spacing w:line="240" w:lineRule="atLeast"/>
        <w:ind w:left="1080" w:leftChars="257" w:hanging="540"/>
        <w:rPr>
          <w:rFonts w:ascii="仿宋_GB2312" w:hAnsi="宋体" w:eastAsia="仿宋_GB2312"/>
          <w:sz w:val="24"/>
        </w:rPr>
      </w:pPr>
    </w:p>
    <w:p w14:paraId="21011C1C">
      <w:pPr>
        <w:pStyle w:val="18"/>
        <w:tabs>
          <w:tab w:val="left" w:pos="5580"/>
        </w:tabs>
        <w:spacing w:line="240" w:lineRule="atLeast"/>
        <w:ind w:left="2" w:leftChars="1" w:firstLine="480" w:firstLineChars="200"/>
        <w:rPr>
          <w:rFonts w:ascii="仿宋_GB2312" w:hAnsi="宋体" w:eastAsia="仿宋_GB2312"/>
          <w:sz w:val="24"/>
        </w:rPr>
      </w:pPr>
      <w:r>
        <w:rPr>
          <w:rFonts w:hint="eastAsia" w:ascii="仿宋_GB2312" w:hAnsi="宋体" w:eastAsia="仿宋_GB2312"/>
          <w:sz w:val="24"/>
        </w:rPr>
        <w:t>根据贵方（采购项目名称)</w:t>
      </w:r>
      <w:r>
        <w:rPr>
          <w:rFonts w:hint="eastAsia" w:ascii="仿宋_GB2312" w:hAnsi="宋体" w:eastAsia="仿宋_GB2312"/>
          <w:sz w:val="24"/>
          <w:u w:val="single"/>
        </w:rPr>
        <w:t xml:space="preserve">    </w:t>
      </w:r>
      <w:r>
        <w:rPr>
          <w:rFonts w:hint="eastAsia" w:ascii="仿宋_GB2312" w:hAnsi="宋体" w:eastAsia="仿宋_GB2312"/>
          <w:sz w:val="24"/>
        </w:rPr>
        <w:t xml:space="preserve"> 项目的投标邀请(</w:t>
      </w:r>
      <w:r>
        <w:rPr>
          <w:rFonts w:hint="eastAsia" w:ascii="仿宋_GB2312" w:hAnsi="宋体" w:eastAsia="仿宋_GB2312"/>
          <w:sz w:val="24"/>
          <w:u w:val="single"/>
        </w:rPr>
        <w:t>招标编号</w:t>
      </w:r>
      <w:r>
        <w:rPr>
          <w:rFonts w:hint="eastAsia" w:ascii="仿宋_GB2312" w:hAnsi="宋体" w:eastAsia="仿宋_GB2312"/>
          <w:sz w:val="24"/>
        </w:rPr>
        <w:t>),签字代表(</w:t>
      </w:r>
      <w:r>
        <w:rPr>
          <w:rFonts w:hint="eastAsia" w:ascii="仿宋_GB2312" w:hAnsi="宋体" w:eastAsia="仿宋_GB2312"/>
          <w:sz w:val="24"/>
          <w:u w:val="single"/>
        </w:rPr>
        <w:t>姓名、职务)</w:t>
      </w:r>
      <w:r>
        <w:rPr>
          <w:rFonts w:hint="eastAsia" w:ascii="仿宋_GB2312" w:hAnsi="宋体" w:eastAsia="仿宋_GB2312"/>
          <w:sz w:val="24"/>
        </w:rPr>
        <w:t>经正式授权并代表供应商（</w:t>
      </w:r>
      <w:r>
        <w:rPr>
          <w:rFonts w:hint="eastAsia" w:ascii="仿宋_GB2312" w:hAnsi="宋体" w:eastAsia="仿宋_GB2312"/>
          <w:sz w:val="24"/>
          <w:u w:val="single"/>
        </w:rPr>
        <w:t>名称、地址</w:t>
      </w:r>
      <w:r>
        <w:rPr>
          <w:rFonts w:hint="eastAsia" w:ascii="仿宋_GB2312" w:hAnsi="宋体" w:eastAsia="仿宋_GB2312"/>
          <w:sz w:val="24"/>
        </w:rPr>
        <w:t>）提交下述文件正本</w:t>
      </w:r>
      <w:r>
        <w:rPr>
          <w:rFonts w:hint="eastAsia" w:ascii="仿宋_GB2312" w:hAnsi="宋体" w:eastAsia="仿宋_GB2312"/>
          <w:sz w:val="24"/>
          <w:u w:val="single"/>
        </w:rPr>
        <w:t xml:space="preserve">  </w:t>
      </w:r>
      <w:r>
        <w:rPr>
          <w:rFonts w:hint="eastAsia" w:ascii="仿宋_GB2312" w:hAnsi="宋体" w:eastAsia="仿宋_GB2312"/>
          <w:sz w:val="24"/>
          <w:u w:val="single"/>
          <w:lang w:val="en-US" w:eastAsia="zh-CN"/>
        </w:rPr>
        <w:t>/</w:t>
      </w:r>
      <w:r>
        <w:rPr>
          <w:rFonts w:hint="eastAsia" w:ascii="仿宋_GB2312" w:hAnsi="宋体" w:eastAsia="仿宋_GB2312"/>
          <w:sz w:val="24"/>
          <w:u w:val="single"/>
        </w:rPr>
        <w:t xml:space="preserve"> </w:t>
      </w:r>
      <w:r>
        <w:rPr>
          <w:rFonts w:hint="eastAsia" w:ascii="仿宋_GB2312" w:hAnsi="宋体" w:eastAsia="仿宋_GB2312"/>
          <w:sz w:val="24"/>
        </w:rPr>
        <w:t>份、副本</w:t>
      </w:r>
      <w:r>
        <w:rPr>
          <w:rFonts w:hint="eastAsia" w:ascii="仿宋_GB2312" w:hAnsi="宋体" w:eastAsia="仿宋_GB2312"/>
          <w:sz w:val="24"/>
          <w:u w:val="single"/>
        </w:rPr>
        <w:t xml:space="preserve">     </w:t>
      </w:r>
      <w:r>
        <w:rPr>
          <w:rFonts w:hint="eastAsia" w:ascii="仿宋_GB2312" w:hAnsi="宋体" w:eastAsia="仿宋_GB2312"/>
          <w:sz w:val="24"/>
        </w:rPr>
        <w:t>份及电子文档</w:t>
      </w:r>
      <w:r>
        <w:rPr>
          <w:rFonts w:hint="eastAsia" w:ascii="仿宋_GB2312" w:hAnsi="宋体" w:eastAsia="仿宋_GB2312"/>
          <w:sz w:val="24"/>
          <w:u w:val="single"/>
        </w:rPr>
        <w:t xml:space="preserve">   </w:t>
      </w:r>
      <w:r>
        <w:rPr>
          <w:rFonts w:hint="eastAsia" w:ascii="仿宋_GB2312" w:hAnsi="宋体" w:eastAsia="仿宋_GB2312"/>
          <w:sz w:val="24"/>
          <w:u w:val="single"/>
          <w:lang w:val="en-US" w:eastAsia="zh-CN"/>
        </w:rPr>
        <w:t>/</w:t>
      </w:r>
      <w:r>
        <w:rPr>
          <w:rFonts w:hint="eastAsia" w:ascii="仿宋_GB2312" w:hAnsi="宋体" w:eastAsia="仿宋_GB2312"/>
          <w:sz w:val="24"/>
          <w:u w:val="single"/>
        </w:rPr>
        <w:t xml:space="preserve">  </w:t>
      </w:r>
      <w:r>
        <w:rPr>
          <w:rFonts w:hint="eastAsia" w:ascii="仿宋_GB2312" w:hAnsi="宋体" w:eastAsia="仿宋_GB2312"/>
          <w:sz w:val="24"/>
        </w:rPr>
        <w:t>份，并出具的金额为人民币</w:t>
      </w:r>
      <w:r>
        <w:rPr>
          <w:rFonts w:hint="eastAsia" w:ascii="仿宋_GB2312" w:hAnsi="宋体" w:eastAsia="仿宋_GB2312"/>
          <w:sz w:val="24"/>
          <w:u w:val="single"/>
        </w:rPr>
        <w:t>　　　　</w:t>
      </w:r>
      <w:r>
        <w:rPr>
          <w:rFonts w:hint="eastAsia" w:ascii="仿宋_GB2312" w:hAnsi="宋体" w:eastAsia="仿宋_GB2312"/>
          <w:sz w:val="24"/>
        </w:rPr>
        <w:t>元的投标保证金。</w:t>
      </w:r>
    </w:p>
    <w:p w14:paraId="6B432417">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据此，签字代表宣布如下：</w:t>
      </w:r>
    </w:p>
    <w:p w14:paraId="20D9D501">
      <w:pPr>
        <w:pStyle w:val="18"/>
        <w:tabs>
          <w:tab w:val="left" w:pos="720"/>
          <w:tab w:val="left" w:pos="900"/>
        </w:tabs>
        <w:spacing w:line="240" w:lineRule="atLeast"/>
        <w:ind w:left="769" w:leftChars="257" w:hanging="229"/>
        <w:rPr>
          <w:rFonts w:ascii="仿宋_GB2312" w:hAnsi="宋体" w:eastAsia="仿宋_GB2312"/>
          <w:sz w:val="24"/>
        </w:rPr>
      </w:pPr>
      <w:r>
        <w:rPr>
          <w:rFonts w:hint="eastAsia" w:ascii="仿宋_GB2312" w:hAnsi="宋体" w:eastAsia="仿宋_GB2312"/>
          <w:sz w:val="24"/>
        </w:rPr>
        <w:t>（1）附投标书报价中规定的投标总价详见开标一</w:t>
      </w:r>
      <w:r>
        <w:rPr>
          <w:rFonts w:ascii="仿宋_GB2312" w:hAnsi="宋体" w:eastAsia="仿宋_GB2312"/>
          <w:sz w:val="24"/>
        </w:rPr>
        <w:t>览表，</w:t>
      </w:r>
      <w:r>
        <w:rPr>
          <w:rFonts w:hint="eastAsia" w:ascii="仿宋_GB2312" w:hAnsi="宋体" w:eastAsia="仿宋_GB2312"/>
          <w:sz w:val="24"/>
          <w:u w:val="single"/>
        </w:rPr>
        <w:t>其中由</w:t>
      </w:r>
      <w:r>
        <w:rPr>
          <w:rFonts w:ascii="仿宋_GB2312" w:hAnsi="宋体" w:eastAsia="仿宋_GB2312"/>
          <w:sz w:val="24"/>
          <w:u w:val="single"/>
        </w:rPr>
        <w:t>小型和</w:t>
      </w:r>
      <w:r>
        <w:rPr>
          <w:rFonts w:ascii="仿宋_GB2312" w:hAnsi="宋体" w:eastAsia="仿宋_GB2312"/>
          <w:sz w:val="24"/>
        </w:rPr>
        <w:t>微型企业</w:t>
      </w:r>
      <w:r>
        <w:rPr>
          <w:rFonts w:hint="eastAsia" w:ascii="仿宋_GB2312" w:hAnsi="宋体" w:eastAsia="仿宋_GB2312"/>
          <w:sz w:val="24"/>
        </w:rPr>
        <w:t>制造</w:t>
      </w:r>
      <w:r>
        <w:rPr>
          <w:rFonts w:ascii="仿宋_GB2312" w:hAnsi="宋体" w:eastAsia="仿宋_GB2312"/>
          <w:sz w:val="24"/>
        </w:rPr>
        <w:t>产品的价格</w:t>
      </w:r>
      <w:r>
        <w:rPr>
          <w:rFonts w:hint="eastAsia" w:ascii="仿宋_GB2312" w:hAnsi="宋体" w:eastAsia="仿宋_GB2312"/>
          <w:sz w:val="24"/>
        </w:rPr>
        <w:t>为</w:t>
      </w:r>
      <w:r>
        <w:rPr>
          <w:rFonts w:hint="eastAsia" w:ascii="仿宋_GB2312" w:hAnsi="宋体" w:eastAsia="仿宋_GB2312"/>
          <w:sz w:val="24"/>
          <w:u w:val="single"/>
        </w:rPr>
        <w:t>　　  （用文字和数字表示），占投标价的‥</w:t>
      </w:r>
      <w:r>
        <w:rPr>
          <w:rFonts w:hint="eastAsia" w:ascii="仿宋_GB2312" w:hAnsi="宋体" w:eastAsia="仿宋_GB2312"/>
          <w:sz w:val="24"/>
        </w:rPr>
        <w:t>%</w:t>
      </w:r>
    </w:p>
    <w:p w14:paraId="1C35DD4A">
      <w:pPr>
        <w:pStyle w:val="18"/>
        <w:tabs>
          <w:tab w:val="left" w:pos="720"/>
          <w:tab w:val="left" w:pos="900"/>
        </w:tabs>
        <w:spacing w:line="240" w:lineRule="atLeast"/>
        <w:ind w:left="769" w:leftChars="257" w:hanging="229"/>
        <w:rPr>
          <w:rFonts w:ascii="仿宋_GB2312" w:hAnsi="宋体" w:eastAsia="仿宋_GB2312"/>
          <w:sz w:val="24"/>
          <w:u w:val="single"/>
        </w:rPr>
      </w:pPr>
      <w:r>
        <w:rPr>
          <w:rFonts w:hint="eastAsia" w:ascii="仿宋_GB2312" w:hAnsi="宋体" w:eastAsia="仿宋_GB2312"/>
          <w:sz w:val="24"/>
        </w:rPr>
        <w:t>（2）本投标有效期为投标标截止之日起</w:t>
      </w:r>
      <w:r>
        <w:rPr>
          <w:rFonts w:hint="eastAsia" w:ascii="仿宋_GB2312" w:hAnsi="宋体" w:eastAsia="仿宋_GB2312"/>
          <w:sz w:val="24"/>
          <w:u w:val="single"/>
        </w:rPr>
        <w:t xml:space="preserve">   </w:t>
      </w:r>
      <w:r>
        <w:rPr>
          <w:rFonts w:hint="eastAsia" w:ascii="仿宋_GB2312" w:hAnsi="宋体" w:eastAsia="仿宋_GB2312"/>
          <w:sz w:val="24"/>
        </w:rPr>
        <w:t>个日历日。</w:t>
      </w:r>
    </w:p>
    <w:p w14:paraId="7B5262CF">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（3）</w:t>
      </w:r>
      <w:r>
        <w:rPr>
          <w:rFonts w:ascii="仿宋_GB2312" w:hAnsi="宋体" w:eastAsia="仿宋_GB2312"/>
          <w:sz w:val="24"/>
        </w:rPr>
        <w:t>联</w:t>
      </w:r>
      <w:r>
        <w:rPr>
          <w:rFonts w:hint="eastAsia" w:ascii="仿宋_GB2312" w:hAnsi="宋体" w:eastAsia="仿宋_GB2312"/>
          <w:sz w:val="24"/>
        </w:rPr>
        <w:t>合体中</w:t>
      </w:r>
      <w:r>
        <w:rPr>
          <w:rFonts w:ascii="仿宋_GB2312" w:hAnsi="宋体" w:eastAsia="仿宋_GB2312"/>
          <w:sz w:val="24"/>
        </w:rPr>
        <w:t>的大中</w:t>
      </w:r>
      <w:r>
        <w:rPr>
          <w:rFonts w:hint="eastAsia" w:ascii="仿宋_GB2312" w:hAnsi="宋体" w:eastAsia="仿宋_GB2312"/>
          <w:sz w:val="24"/>
        </w:rPr>
        <w:t>型</w:t>
      </w:r>
      <w:r>
        <w:rPr>
          <w:rFonts w:ascii="仿宋_GB2312" w:hAnsi="宋体" w:eastAsia="仿宋_GB2312"/>
          <w:sz w:val="24"/>
        </w:rPr>
        <w:t>企</w:t>
      </w:r>
      <w:r>
        <w:rPr>
          <w:rFonts w:hint="eastAsia" w:ascii="仿宋_GB2312" w:hAnsi="宋体" w:eastAsia="仿宋_GB2312"/>
          <w:sz w:val="24"/>
        </w:rPr>
        <w:t>业</w:t>
      </w:r>
      <w:r>
        <w:rPr>
          <w:rFonts w:ascii="仿宋_GB2312" w:hAnsi="宋体" w:eastAsia="仿宋_GB2312"/>
          <w:sz w:val="24"/>
        </w:rPr>
        <w:t>、法人或者</w:t>
      </w:r>
      <w:r>
        <w:rPr>
          <w:rFonts w:hint="eastAsia" w:ascii="仿宋_GB2312" w:hAnsi="宋体" w:eastAsia="仿宋_GB2312"/>
          <w:sz w:val="24"/>
        </w:rPr>
        <w:t>非法人组织</w:t>
      </w:r>
      <w:r>
        <w:rPr>
          <w:rFonts w:ascii="仿宋_GB2312" w:hAnsi="宋体" w:eastAsia="仿宋_GB2312"/>
          <w:sz w:val="24"/>
        </w:rPr>
        <w:t>，与</w:t>
      </w:r>
      <w:r>
        <w:rPr>
          <w:rFonts w:hint="eastAsia" w:ascii="仿宋_GB2312" w:hAnsi="宋体" w:eastAsia="仿宋_GB2312"/>
          <w:sz w:val="24"/>
        </w:rPr>
        <w:t>联合体中的</w:t>
      </w:r>
      <w:r>
        <w:rPr>
          <w:rFonts w:ascii="仿宋_GB2312" w:hAnsi="宋体" w:eastAsia="仿宋_GB2312"/>
          <w:sz w:val="24"/>
        </w:rPr>
        <w:t>小型、微型企业之间</w:t>
      </w:r>
      <w:r>
        <w:rPr>
          <w:rFonts w:hint="eastAsia" w:ascii="仿宋_GB2312" w:hAnsi="宋体" w:eastAsia="仿宋_GB2312"/>
          <w:sz w:val="24"/>
          <w:u w:val="single"/>
        </w:rPr>
        <w:t xml:space="preserve">     （</w:t>
      </w:r>
      <w:r>
        <w:rPr>
          <w:rFonts w:ascii="仿宋_GB2312" w:hAnsi="宋体" w:eastAsia="仿宋_GB2312"/>
          <w:sz w:val="24"/>
        </w:rPr>
        <w:t>存在</w:t>
      </w:r>
      <w:r>
        <w:rPr>
          <w:rFonts w:hint="eastAsia" w:ascii="仿宋_GB2312" w:hAnsi="宋体" w:eastAsia="仿宋_GB2312"/>
          <w:sz w:val="24"/>
        </w:rPr>
        <w:t>、不存在）</w:t>
      </w:r>
      <w:r>
        <w:rPr>
          <w:rFonts w:ascii="仿宋_GB2312" w:hAnsi="宋体" w:eastAsia="仿宋_GB2312"/>
          <w:sz w:val="24"/>
        </w:rPr>
        <w:t>投资关系</w:t>
      </w:r>
      <w:r>
        <w:rPr>
          <w:rFonts w:hint="eastAsia" w:ascii="仿宋_GB2312" w:hAnsi="宋体" w:eastAsia="仿宋_GB2312"/>
          <w:sz w:val="24"/>
        </w:rPr>
        <w:t>（如果是联合体的话）。</w:t>
      </w:r>
    </w:p>
    <w:p w14:paraId="536B4509">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（4）已详细审查全部磋商文件，包括所有补充通知（如果有的话），完全理解并同意放弃对这方面有不明、误解和质疑的权力。</w:t>
      </w:r>
    </w:p>
    <w:p w14:paraId="07E438FB">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（5）在规定的开标时间后，遵守磋商文件中有关保证金的规定。</w:t>
      </w:r>
    </w:p>
    <w:p w14:paraId="22514FC1">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（6）我方不是</w:t>
      </w:r>
      <w:r>
        <w:rPr>
          <w:rFonts w:ascii="仿宋_GB2312" w:hAnsi="宋体" w:eastAsia="仿宋_GB2312"/>
          <w:sz w:val="24"/>
        </w:rPr>
        <w:t>为</w:t>
      </w:r>
      <w:r>
        <w:rPr>
          <w:rFonts w:hint="eastAsia" w:ascii="仿宋_GB2312" w:hAnsi="宋体" w:eastAsia="仿宋_GB2312"/>
          <w:sz w:val="24"/>
        </w:rPr>
        <w:t>本</w:t>
      </w:r>
      <w:r>
        <w:rPr>
          <w:rFonts w:ascii="仿宋_GB2312" w:hAnsi="宋体" w:eastAsia="仿宋_GB2312"/>
          <w:sz w:val="24"/>
        </w:rPr>
        <w:t>项目提供整体</w:t>
      </w:r>
      <w:r>
        <w:rPr>
          <w:rFonts w:hint="eastAsia" w:ascii="仿宋_GB2312" w:hAnsi="宋体" w:eastAsia="仿宋_GB2312"/>
          <w:sz w:val="24"/>
        </w:rPr>
        <w:t>设计</w:t>
      </w:r>
      <w:r>
        <w:rPr>
          <w:rFonts w:ascii="仿宋_GB2312" w:hAnsi="宋体" w:eastAsia="仿宋_GB2312"/>
          <w:sz w:val="24"/>
        </w:rPr>
        <w:t>、规范编制或者项目管理、监理、检测等服务的供应商</w:t>
      </w:r>
      <w:r>
        <w:rPr>
          <w:rFonts w:hint="eastAsia" w:ascii="仿宋_GB2312" w:hAnsi="宋体" w:eastAsia="仿宋_GB2312"/>
          <w:sz w:val="24"/>
        </w:rPr>
        <w:t>，我方不是采购代理</w:t>
      </w:r>
      <w:r>
        <w:rPr>
          <w:rFonts w:ascii="仿宋_GB2312" w:hAnsi="宋体" w:eastAsia="仿宋_GB2312"/>
          <w:sz w:val="24"/>
        </w:rPr>
        <w:t>机构</w:t>
      </w:r>
      <w:r>
        <w:rPr>
          <w:rFonts w:hint="eastAsia" w:ascii="仿宋_GB2312" w:hAnsi="宋体" w:eastAsia="仿宋_GB2312"/>
          <w:sz w:val="24"/>
        </w:rPr>
        <w:t>的附属机构。</w:t>
      </w:r>
    </w:p>
    <w:p w14:paraId="3723A8E1">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（7）在领取成交通知书的</w:t>
      </w:r>
      <w:r>
        <w:rPr>
          <w:rFonts w:ascii="仿宋_GB2312" w:hAnsi="宋体" w:eastAsia="仿宋_GB2312"/>
          <w:sz w:val="24"/>
        </w:rPr>
        <w:t>同</w:t>
      </w:r>
      <w:r>
        <w:rPr>
          <w:rFonts w:hint="eastAsia" w:ascii="仿宋_GB2312" w:hAnsi="宋体" w:eastAsia="仿宋_GB2312"/>
          <w:sz w:val="24"/>
        </w:rPr>
        <w:t>时按磋商文件规定的</w:t>
      </w:r>
      <w:r>
        <w:rPr>
          <w:rFonts w:ascii="仿宋_GB2312" w:hAnsi="宋体" w:eastAsia="仿宋_GB2312"/>
          <w:sz w:val="24"/>
        </w:rPr>
        <w:t>形式</w:t>
      </w:r>
      <w:r>
        <w:rPr>
          <w:rFonts w:hint="eastAsia" w:ascii="仿宋_GB2312" w:hAnsi="宋体" w:eastAsia="仿宋_GB2312"/>
          <w:sz w:val="24"/>
        </w:rPr>
        <w:t>，向贵方一次性支付成交服务费。</w:t>
      </w:r>
    </w:p>
    <w:p w14:paraId="5D7BCCDE">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（8）按照贵方可能要求，提供与其投标有关的一切数据或资料，完全理解贵方不一定接受最低价的投标或收到的任何投标。</w:t>
      </w:r>
    </w:p>
    <w:p w14:paraId="048A1DED">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（9）按照磋商文件的规定履行合同责任和义务。</w:t>
      </w:r>
    </w:p>
    <w:p w14:paraId="6CC17456">
      <w:pPr>
        <w:pStyle w:val="18"/>
        <w:tabs>
          <w:tab w:val="left" w:pos="5580"/>
        </w:tabs>
        <w:spacing w:line="240" w:lineRule="atLeast"/>
        <w:ind w:left="359" w:leftChars="68" w:hanging="216" w:hangingChars="90"/>
        <w:rPr>
          <w:rFonts w:ascii="仿宋_GB2312" w:hAnsi="宋体" w:eastAsia="仿宋_GB2312"/>
          <w:sz w:val="24"/>
        </w:rPr>
      </w:pPr>
      <w:r>
        <w:rPr>
          <w:rFonts w:hint="eastAsia" w:ascii="仿宋_GB2312" w:hAnsi="宋体" w:eastAsia="仿宋_GB2312"/>
          <w:sz w:val="24"/>
        </w:rPr>
        <w:t xml:space="preserve">  与本投标有关的一切正式往来信函请寄：</w:t>
      </w:r>
    </w:p>
    <w:p w14:paraId="6416C311">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地址</w:t>
      </w:r>
      <w:r>
        <w:rPr>
          <w:rFonts w:hint="eastAsia" w:ascii="仿宋_GB2312" w:hAnsi="宋体" w:eastAsia="仿宋_GB2312"/>
          <w:sz w:val="24"/>
          <w:u w:val="single"/>
        </w:rPr>
        <w:t xml:space="preserve">                         </w:t>
      </w:r>
      <w:r>
        <w:rPr>
          <w:rFonts w:hint="eastAsia" w:ascii="仿宋_GB2312" w:hAnsi="宋体" w:eastAsia="仿宋_GB2312"/>
          <w:sz w:val="24"/>
        </w:rPr>
        <w:t xml:space="preserve">     传真</w:t>
      </w:r>
      <w:r>
        <w:rPr>
          <w:rFonts w:hint="eastAsia" w:ascii="仿宋_GB2312" w:hAnsi="宋体" w:eastAsia="仿宋_GB2312"/>
          <w:sz w:val="24"/>
          <w:u w:val="single"/>
        </w:rPr>
        <w:t xml:space="preserve">                             </w:t>
      </w:r>
    </w:p>
    <w:p w14:paraId="56A5E13D">
      <w:pPr>
        <w:pStyle w:val="18"/>
        <w:tabs>
          <w:tab w:val="left" w:pos="5580"/>
        </w:tabs>
        <w:spacing w:line="240" w:lineRule="atLeast"/>
        <w:ind w:left="1080" w:leftChars="257" w:hanging="540"/>
        <w:rPr>
          <w:rFonts w:ascii="仿宋_GB2312" w:hAnsi="宋体" w:eastAsia="仿宋_GB2312"/>
          <w:b/>
          <w:sz w:val="24"/>
        </w:rPr>
      </w:pPr>
      <w:r>
        <w:rPr>
          <w:rFonts w:hint="eastAsia" w:ascii="仿宋_GB2312" w:hAnsi="宋体" w:eastAsia="仿宋_GB2312"/>
          <w:sz w:val="24"/>
        </w:rPr>
        <w:t>电话</w:t>
      </w:r>
      <w:r>
        <w:rPr>
          <w:rFonts w:hint="eastAsia" w:ascii="仿宋_GB2312" w:hAnsi="宋体" w:eastAsia="仿宋_GB2312"/>
          <w:sz w:val="24"/>
          <w:u w:val="single"/>
        </w:rPr>
        <w:t xml:space="preserve">                         </w:t>
      </w:r>
      <w:r>
        <w:rPr>
          <w:rFonts w:hint="eastAsia" w:ascii="仿宋_GB2312" w:hAnsi="宋体" w:eastAsia="仿宋_GB2312"/>
          <w:sz w:val="24"/>
        </w:rPr>
        <w:t xml:space="preserve">     电子函件</w:t>
      </w:r>
      <w:r>
        <w:rPr>
          <w:rFonts w:hint="eastAsia" w:ascii="仿宋_GB2312" w:hAnsi="宋体" w:eastAsia="仿宋_GB2312"/>
          <w:sz w:val="24"/>
          <w:u w:val="single"/>
        </w:rPr>
        <w:t xml:space="preserve">                         </w:t>
      </w:r>
    </w:p>
    <w:p w14:paraId="55786081">
      <w:pPr>
        <w:pStyle w:val="18"/>
        <w:tabs>
          <w:tab w:val="left" w:pos="5580"/>
        </w:tabs>
        <w:spacing w:line="240" w:lineRule="atLeast"/>
        <w:ind w:left="1080" w:leftChars="257" w:hanging="540"/>
        <w:rPr>
          <w:rFonts w:ascii="仿宋_GB2312" w:hAnsi="宋体" w:eastAsia="仿宋_GB2312"/>
          <w:sz w:val="24"/>
        </w:rPr>
      </w:pPr>
    </w:p>
    <w:p w14:paraId="014208D2">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法定代表人或其委托代理人签字-----------------</w:t>
      </w:r>
    </w:p>
    <w:p w14:paraId="57289CE5">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供应商名称（全称）-----------------</w:t>
      </w:r>
    </w:p>
    <w:p w14:paraId="7075F00F">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供应商开户银行（全称）</w:t>
      </w:r>
      <w:r>
        <w:rPr>
          <w:rFonts w:hint="eastAsia" w:ascii="仿宋_GB2312" w:hAnsi="宋体" w:eastAsia="仿宋_GB2312"/>
          <w:sz w:val="24"/>
          <w:u w:val="single"/>
        </w:rPr>
        <w:t xml:space="preserve">　　　　　　 </w:t>
      </w:r>
    </w:p>
    <w:p w14:paraId="0F75689A">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供应商银行帐号</w:t>
      </w:r>
      <w:r>
        <w:rPr>
          <w:rFonts w:hint="eastAsia" w:ascii="仿宋_GB2312" w:hAnsi="宋体" w:eastAsia="仿宋_GB2312"/>
          <w:sz w:val="24"/>
          <w:u w:val="single"/>
        </w:rPr>
        <w:t>　　　　　　　　 　　</w:t>
      </w:r>
    </w:p>
    <w:p w14:paraId="46BF5093">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供应商单位章-------------------------</w:t>
      </w:r>
    </w:p>
    <w:p w14:paraId="6AFB1E9D">
      <w:pPr>
        <w:pStyle w:val="18"/>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日期-------------------------------</w:t>
      </w:r>
    </w:p>
    <w:p w14:paraId="6032DB4A">
      <w:pPr>
        <w:pStyle w:val="47"/>
        <w:ind w:firstLine="480"/>
        <w:sectPr>
          <w:headerReference r:id="rId7" w:type="default"/>
          <w:footerReference r:id="rId8" w:type="default"/>
          <w:pgSz w:w="11906" w:h="16838"/>
          <w:pgMar w:top="1440" w:right="1797" w:bottom="1440" w:left="1797" w:header="851" w:footer="992" w:gutter="0"/>
          <w:cols w:space="720" w:num="1"/>
          <w:docGrid w:linePitch="312" w:charSpace="0"/>
        </w:sectPr>
      </w:pPr>
    </w:p>
    <w:p w14:paraId="419349E2">
      <w:pPr>
        <w:pStyle w:val="3"/>
        <w:spacing w:before="0" w:line="240" w:lineRule="atLeast"/>
        <w:ind w:left="1080" w:leftChars="257" w:hanging="540"/>
        <w:rPr>
          <w:rFonts w:ascii="仿宋_GB2312" w:eastAsia="仿宋_GB2312"/>
          <w:sz w:val="24"/>
        </w:rPr>
      </w:pPr>
      <w:bookmarkStart w:id="290" w:name="_Toc216582815"/>
      <w:bookmarkStart w:id="291" w:name="_Toc24080"/>
      <w:bookmarkStart w:id="292" w:name="_Toc515647818"/>
      <w:bookmarkStart w:id="293" w:name="_Toc24469"/>
      <w:bookmarkStart w:id="294" w:name="_Toc1881"/>
      <w:bookmarkStart w:id="295" w:name="_Toc20897"/>
      <w:bookmarkStart w:id="296" w:name="_Toc216582817"/>
      <w:bookmarkStart w:id="297" w:name="_Toc515647820"/>
      <w:bookmarkStart w:id="298" w:name="_Toc28959"/>
      <w:bookmarkStart w:id="299" w:name="_Toc22563"/>
      <w:r>
        <w:rPr>
          <w:rFonts w:hint="eastAsia" w:ascii="仿宋_GB2312" w:hAnsi="宋体" w:eastAsia="仿宋_GB2312"/>
          <w:sz w:val="24"/>
        </w:rPr>
        <w:t xml:space="preserve">2   </w:t>
      </w:r>
      <w:r>
        <w:rPr>
          <w:rFonts w:hint="eastAsia" w:ascii="仿宋_GB2312" w:eastAsia="仿宋_GB2312"/>
          <w:sz w:val="24"/>
        </w:rPr>
        <w:t>投标分项报价表</w:t>
      </w:r>
      <w:bookmarkEnd w:id="290"/>
      <w:r>
        <w:rPr>
          <w:rFonts w:hint="eastAsia" w:ascii="仿宋_GB2312" w:eastAsia="仿宋_GB2312"/>
          <w:sz w:val="24"/>
        </w:rPr>
        <w:t>（响应文件格式五）</w:t>
      </w:r>
      <w:bookmarkEnd w:id="291"/>
      <w:bookmarkEnd w:id="292"/>
      <w:bookmarkEnd w:id="293"/>
      <w:bookmarkEnd w:id="294"/>
      <w:bookmarkEnd w:id="295"/>
    </w:p>
    <w:p w14:paraId="17753551">
      <w:pPr>
        <w:pStyle w:val="18"/>
        <w:spacing w:line="240" w:lineRule="atLeast"/>
        <w:ind w:left="1080" w:leftChars="257" w:hanging="540"/>
        <w:rPr>
          <w:rFonts w:ascii="仿宋_GB2312" w:eastAsia="仿宋_GB2312"/>
          <w:sz w:val="24"/>
        </w:rPr>
      </w:pPr>
    </w:p>
    <w:p w14:paraId="0EA30850">
      <w:pPr>
        <w:pStyle w:val="18"/>
        <w:spacing w:line="240" w:lineRule="atLeast"/>
        <w:ind w:left="1155" w:leftChars="371" w:hanging="376" w:hangingChars="157"/>
        <w:rPr>
          <w:rFonts w:ascii="仿宋_GB2312" w:eastAsia="仿宋_GB2312"/>
          <w:sz w:val="24"/>
        </w:rPr>
      </w:pPr>
      <w:r>
        <w:rPr>
          <w:rFonts w:hint="eastAsia" w:ascii="仿宋_GB2312" w:eastAsia="仿宋_GB2312"/>
          <w:sz w:val="24"/>
        </w:rPr>
        <w:t>项目名称:                      项目编号:                         　 　报价单位：人民币元</w:t>
      </w:r>
    </w:p>
    <w:tbl>
      <w:tblPr>
        <w:tblStyle w:val="34"/>
        <w:tblW w:w="12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2291"/>
        <w:gridCol w:w="2209"/>
        <w:gridCol w:w="2236"/>
        <w:gridCol w:w="2352"/>
        <w:gridCol w:w="2139"/>
      </w:tblGrid>
      <w:tr w14:paraId="7643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512" w:type="dxa"/>
            <w:vAlign w:val="center"/>
          </w:tcPr>
          <w:p w14:paraId="064962E3">
            <w:pPr>
              <w:pStyle w:val="18"/>
              <w:spacing w:line="240" w:lineRule="atLeast"/>
              <w:ind w:left="269" w:leftChars="128"/>
              <w:jc w:val="center"/>
              <w:rPr>
                <w:rFonts w:ascii="仿宋_GB2312" w:eastAsia="仿宋_GB2312"/>
                <w:sz w:val="24"/>
              </w:rPr>
            </w:pPr>
            <w:r>
              <w:rPr>
                <w:rFonts w:hint="eastAsia" w:ascii="仿宋_GB2312" w:eastAsia="仿宋_GB2312"/>
                <w:sz w:val="24"/>
              </w:rPr>
              <w:t>序号</w:t>
            </w:r>
          </w:p>
        </w:tc>
        <w:tc>
          <w:tcPr>
            <w:tcW w:w="2291" w:type="dxa"/>
            <w:vAlign w:val="center"/>
          </w:tcPr>
          <w:p w14:paraId="7979CD2D">
            <w:pPr>
              <w:pStyle w:val="18"/>
              <w:spacing w:line="240" w:lineRule="atLeast"/>
              <w:jc w:val="center"/>
              <w:rPr>
                <w:rFonts w:ascii="仿宋_GB2312" w:eastAsia="仿宋_GB2312"/>
                <w:sz w:val="24"/>
              </w:rPr>
            </w:pPr>
            <w:r>
              <w:rPr>
                <w:rFonts w:hint="eastAsia" w:ascii="仿宋_GB2312" w:eastAsia="仿宋_GB2312"/>
                <w:sz w:val="24"/>
              </w:rPr>
              <w:t>服务内容</w:t>
            </w:r>
          </w:p>
        </w:tc>
        <w:tc>
          <w:tcPr>
            <w:tcW w:w="2209" w:type="dxa"/>
            <w:vAlign w:val="center"/>
          </w:tcPr>
          <w:p w14:paraId="426D2371">
            <w:pPr>
              <w:pStyle w:val="18"/>
              <w:spacing w:line="240" w:lineRule="atLeast"/>
              <w:jc w:val="center"/>
              <w:rPr>
                <w:rFonts w:ascii="仿宋_GB2312" w:eastAsia="仿宋_GB2312"/>
                <w:sz w:val="24"/>
              </w:rPr>
            </w:pPr>
            <w:r>
              <w:rPr>
                <w:rFonts w:hint="eastAsia" w:ascii="仿宋_GB2312" w:eastAsia="仿宋_GB2312"/>
                <w:sz w:val="24"/>
              </w:rPr>
              <w:t>数量</w:t>
            </w:r>
          </w:p>
        </w:tc>
        <w:tc>
          <w:tcPr>
            <w:tcW w:w="2236" w:type="dxa"/>
            <w:vAlign w:val="center"/>
          </w:tcPr>
          <w:p w14:paraId="27D22FCE">
            <w:pPr>
              <w:pStyle w:val="18"/>
              <w:spacing w:line="240" w:lineRule="atLeast"/>
              <w:jc w:val="center"/>
              <w:rPr>
                <w:rFonts w:ascii="仿宋_GB2312" w:eastAsia="仿宋_GB2312"/>
                <w:sz w:val="24"/>
              </w:rPr>
            </w:pPr>
            <w:r>
              <w:rPr>
                <w:rFonts w:hint="eastAsia" w:ascii="仿宋_GB2312" w:eastAsia="仿宋_GB2312"/>
                <w:sz w:val="24"/>
              </w:rPr>
              <w:t>单价</w:t>
            </w:r>
          </w:p>
        </w:tc>
        <w:tc>
          <w:tcPr>
            <w:tcW w:w="2352" w:type="dxa"/>
            <w:vAlign w:val="center"/>
          </w:tcPr>
          <w:p w14:paraId="011B19EB">
            <w:pPr>
              <w:pStyle w:val="18"/>
              <w:spacing w:line="240" w:lineRule="atLeast"/>
              <w:jc w:val="center"/>
              <w:rPr>
                <w:rFonts w:ascii="仿宋_GB2312" w:eastAsia="仿宋_GB2312"/>
                <w:sz w:val="24"/>
              </w:rPr>
            </w:pPr>
            <w:r>
              <w:rPr>
                <w:rFonts w:hint="eastAsia" w:ascii="仿宋_GB2312" w:eastAsia="仿宋_GB2312"/>
                <w:sz w:val="24"/>
              </w:rPr>
              <w:t>总价</w:t>
            </w:r>
          </w:p>
        </w:tc>
        <w:tc>
          <w:tcPr>
            <w:tcW w:w="2139" w:type="dxa"/>
            <w:vAlign w:val="center"/>
          </w:tcPr>
          <w:p w14:paraId="01CB6D50">
            <w:pPr>
              <w:pStyle w:val="18"/>
              <w:spacing w:line="240" w:lineRule="atLeast"/>
              <w:jc w:val="center"/>
              <w:rPr>
                <w:rFonts w:ascii="仿宋_GB2312" w:eastAsia="仿宋_GB2312"/>
                <w:sz w:val="24"/>
              </w:rPr>
            </w:pPr>
            <w:r>
              <w:rPr>
                <w:rFonts w:hint="eastAsia" w:ascii="仿宋_GB2312" w:eastAsia="仿宋_GB2312"/>
                <w:sz w:val="24"/>
              </w:rPr>
              <w:t>备注</w:t>
            </w:r>
          </w:p>
        </w:tc>
      </w:tr>
      <w:tr w14:paraId="6EC97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512" w:type="dxa"/>
            <w:vAlign w:val="center"/>
          </w:tcPr>
          <w:p w14:paraId="1750824C">
            <w:pPr>
              <w:pStyle w:val="18"/>
              <w:spacing w:line="240" w:lineRule="atLeast"/>
              <w:ind w:left="269" w:leftChars="128"/>
              <w:jc w:val="center"/>
              <w:rPr>
                <w:rFonts w:ascii="仿宋_GB2312" w:eastAsia="仿宋_GB2312"/>
                <w:sz w:val="24"/>
              </w:rPr>
            </w:pPr>
            <w:r>
              <w:rPr>
                <w:rFonts w:hint="eastAsia" w:ascii="仿宋_GB2312" w:eastAsia="仿宋_GB2312"/>
                <w:sz w:val="24"/>
              </w:rPr>
              <w:t>1.</w:t>
            </w:r>
          </w:p>
        </w:tc>
        <w:tc>
          <w:tcPr>
            <w:tcW w:w="2291" w:type="dxa"/>
            <w:vAlign w:val="center"/>
          </w:tcPr>
          <w:p w14:paraId="5DAB9130">
            <w:pPr>
              <w:pStyle w:val="18"/>
              <w:spacing w:line="240" w:lineRule="atLeast"/>
              <w:jc w:val="center"/>
              <w:rPr>
                <w:rFonts w:ascii="仿宋_GB2312" w:eastAsia="仿宋_GB2312"/>
                <w:sz w:val="24"/>
              </w:rPr>
            </w:pPr>
          </w:p>
        </w:tc>
        <w:tc>
          <w:tcPr>
            <w:tcW w:w="2209" w:type="dxa"/>
            <w:vAlign w:val="center"/>
          </w:tcPr>
          <w:p w14:paraId="70DAD6B8">
            <w:pPr>
              <w:pStyle w:val="18"/>
              <w:spacing w:line="240" w:lineRule="atLeast"/>
              <w:ind w:left="1080" w:leftChars="257" w:hanging="540"/>
              <w:jc w:val="center"/>
              <w:rPr>
                <w:rFonts w:ascii="仿宋_GB2312" w:eastAsia="仿宋_GB2312"/>
                <w:sz w:val="24"/>
              </w:rPr>
            </w:pPr>
          </w:p>
        </w:tc>
        <w:tc>
          <w:tcPr>
            <w:tcW w:w="2236" w:type="dxa"/>
            <w:vAlign w:val="center"/>
          </w:tcPr>
          <w:p w14:paraId="0A98586F">
            <w:pPr>
              <w:pStyle w:val="18"/>
              <w:spacing w:line="240" w:lineRule="atLeast"/>
              <w:ind w:left="1080" w:leftChars="257" w:hanging="540"/>
              <w:jc w:val="center"/>
              <w:rPr>
                <w:rFonts w:ascii="仿宋_GB2312" w:eastAsia="仿宋_GB2312"/>
                <w:sz w:val="24"/>
              </w:rPr>
            </w:pPr>
          </w:p>
        </w:tc>
        <w:tc>
          <w:tcPr>
            <w:tcW w:w="2352" w:type="dxa"/>
            <w:vAlign w:val="center"/>
          </w:tcPr>
          <w:p w14:paraId="145F6BF6">
            <w:pPr>
              <w:pStyle w:val="18"/>
              <w:spacing w:line="240" w:lineRule="atLeast"/>
              <w:ind w:left="1080" w:leftChars="257" w:hanging="540"/>
              <w:jc w:val="center"/>
              <w:rPr>
                <w:rFonts w:ascii="仿宋_GB2312" w:eastAsia="仿宋_GB2312"/>
                <w:sz w:val="24"/>
              </w:rPr>
            </w:pPr>
          </w:p>
        </w:tc>
        <w:tc>
          <w:tcPr>
            <w:tcW w:w="2139" w:type="dxa"/>
            <w:vAlign w:val="center"/>
          </w:tcPr>
          <w:p w14:paraId="19BE6E41">
            <w:pPr>
              <w:pStyle w:val="18"/>
              <w:spacing w:line="240" w:lineRule="atLeast"/>
              <w:ind w:left="1080" w:leftChars="257" w:hanging="540"/>
              <w:jc w:val="center"/>
              <w:rPr>
                <w:rFonts w:ascii="仿宋_GB2312" w:eastAsia="仿宋_GB2312"/>
                <w:sz w:val="24"/>
              </w:rPr>
            </w:pPr>
          </w:p>
        </w:tc>
      </w:tr>
      <w:tr w14:paraId="4D90A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0C02B2B6">
            <w:pPr>
              <w:pStyle w:val="18"/>
              <w:spacing w:line="240" w:lineRule="atLeast"/>
              <w:ind w:left="269" w:leftChars="128"/>
              <w:jc w:val="center"/>
              <w:rPr>
                <w:rFonts w:ascii="仿宋_GB2312" w:eastAsia="仿宋_GB2312"/>
                <w:sz w:val="24"/>
              </w:rPr>
            </w:pPr>
            <w:r>
              <w:rPr>
                <w:rFonts w:hint="eastAsia" w:ascii="仿宋_GB2312" w:eastAsia="仿宋_GB2312"/>
                <w:sz w:val="24"/>
              </w:rPr>
              <w:t>2.</w:t>
            </w:r>
          </w:p>
        </w:tc>
        <w:tc>
          <w:tcPr>
            <w:tcW w:w="2291" w:type="dxa"/>
            <w:vAlign w:val="center"/>
          </w:tcPr>
          <w:p w14:paraId="2AD617D4">
            <w:pPr>
              <w:pStyle w:val="18"/>
              <w:spacing w:line="240" w:lineRule="atLeast"/>
              <w:jc w:val="center"/>
              <w:rPr>
                <w:rFonts w:ascii="仿宋_GB2312" w:eastAsia="仿宋_GB2312"/>
                <w:sz w:val="24"/>
              </w:rPr>
            </w:pPr>
          </w:p>
        </w:tc>
        <w:tc>
          <w:tcPr>
            <w:tcW w:w="2209" w:type="dxa"/>
            <w:vAlign w:val="center"/>
          </w:tcPr>
          <w:p w14:paraId="54D686DE">
            <w:pPr>
              <w:pStyle w:val="18"/>
              <w:spacing w:line="240" w:lineRule="atLeast"/>
              <w:ind w:left="1080" w:leftChars="257" w:hanging="540"/>
              <w:jc w:val="center"/>
              <w:rPr>
                <w:rFonts w:ascii="仿宋_GB2312" w:eastAsia="仿宋_GB2312"/>
                <w:sz w:val="24"/>
              </w:rPr>
            </w:pPr>
          </w:p>
        </w:tc>
        <w:tc>
          <w:tcPr>
            <w:tcW w:w="2236" w:type="dxa"/>
            <w:vAlign w:val="center"/>
          </w:tcPr>
          <w:p w14:paraId="784E32E7">
            <w:pPr>
              <w:pStyle w:val="18"/>
              <w:spacing w:line="240" w:lineRule="atLeast"/>
              <w:ind w:left="1080" w:leftChars="257" w:hanging="540"/>
              <w:jc w:val="center"/>
              <w:rPr>
                <w:rFonts w:ascii="仿宋_GB2312" w:eastAsia="仿宋_GB2312"/>
                <w:sz w:val="24"/>
              </w:rPr>
            </w:pPr>
          </w:p>
        </w:tc>
        <w:tc>
          <w:tcPr>
            <w:tcW w:w="2352" w:type="dxa"/>
            <w:vAlign w:val="center"/>
          </w:tcPr>
          <w:p w14:paraId="1949B2E3">
            <w:pPr>
              <w:pStyle w:val="18"/>
              <w:spacing w:line="240" w:lineRule="atLeast"/>
              <w:ind w:left="1080" w:leftChars="257" w:hanging="540"/>
              <w:jc w:val="center"/>
              <w:rPr>
                <w:rFonts w:ascii="仿宋_GB2312" w:eastAsia="仿宋_GB2312"/>
                <w:sz w:val="24"/>
              </w:rPr>
            </w:pPr>
          </w:p>
        </w:tc>
        <w:tc>
          <w:tcPr>
            <w:tcW w:w="2139" w:type="dxa"/>
            <w:vAlign w:val="center"/>
          </w:tcPr>
          <w:p w14:paraId="4C6498AF">
            <w:pPr>
              <w:pStyle w:val="18"/>
              <w:spacing w:line="240" w:lineRule="atLeast"/>
              <w:ind w:left="1080" w:leftChars="257" w:hanging="540"/>
              <w:jc w:val="center"/>
              <w:rPr>
                <w:rFonts w:ascii="仿宋_GB2312" w:eastAsia="仿宋_GB2312"/>
                <w:sz w:val="24"/>
              </w:rPr>
            </w:pPr>
          </w:p>
        </w:tc>
      </w:tr>
      <w:tr w14:paraId="52067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3ADE4FE2">
            <w:pPr>
              <w:pStyle w:val="18"/>
              <w:spacing w:line="240" w:lineRule="atLeast"/>
              <w:ind w:left="269" w:leftChars="128"/>
              <w:jc w:val="center"/>
              <w:rPr>
                <w:rFonts w:ascii="仿宋_GB2312" w:eastAsia="仿宋_GB2312"/>
                <w:sz w:val="24"/>
              </w:rPr>
            </w:pPr>
            <w:r>
              <w:rPr>
                <w:rFonts w:hint="eastAsia" w:ascii="仿宋_GB2312" w:eastAsia="仿宋_GB2312"/>
                <w:sz w:val="24"/>
              </w:rPr>
              <w:t>3.</w:t>
            </w:r>
          </w:p>
        </w:tc>
        <w:tc>
          <w:tcPr>
            <w:tcW w:w="2291" w:type="dxa"/>
            <w:vAlign w:val="center"/>
          </w:tcPr>
          <w:p w14:paraId="6B46532E">
            <w:pPr>
              <w:pStyle w:val="18"/>
              <w:spacing w:line="240" w:lineRule="atLeast"/>
              <w:jc w:val="center"/>
              <w:rPr>
                <w:rFonts w:ascii="仿宋_GB2312" w:eastAsia="仿宋_GB2312"/>
                <w:sz w:val="24"/>
              </w:rPr>
            </w:pPr>
          </w:p>
        </w:tc>
        <w:tc>
          <w:tcPr>
            <w:tcW w:w="2209" w:type="dxa"/>
            <w:vAlign w:val="center"/>
          </w:tcPr>
          <w:p w14:paraId="36503044">
            <w:pPr>
              <w:pStyle w:val="18"/>
              <w:spacing w:line="240" w:lineRule="atLeast"/>
              <w:ind w:left="1080" w:leftChars="257" w:hanging="540"/>
              <w:jc w:val="center"/>
              <w:rPr>
                <w:rFonts w:ascii="仿宋_GB2312" w:eastAsia="仿宋_GB2312"/>
                <w:sz w:val="24"/>
              </w:rPr>
            </w:pPr>
          </w:p>
        </w:tc>
        <w:tc>
          <w:tcPr>
            <w:tcW w:w="2236" w:type="dxa"/>
            <w:vAlign w:val="center"/>
          </w:tcPr>
          <w:p w14:paraId="659209B0">
            <w:pPr>
              <w:pStyle w:val="18"/>
              <w:spacing w:line="240" w:lineRule="atLeast"/>
              <w:ind w:left="1080" w:leftChars="257" w:hanging="540"/>
              <w:jc w:val="center"/>
              <w:rPr>
                <w:rFonts w:ascii="仿宋_GB2312" w:eastAsia="仿宋_GB2312"/>
                <w:sz w:val="24"/>
              </w:rPr>
            </w:pPr>
          </w:p>
        </w:tc>
        <w:tc>
          <w:tcPr>
            <w:tcW w:w="2352" w:type="dxa"/>
            <w:vAlign w:val="center"/>
          </w:tcPr>
          <w:p w14:paraId="4EE83C08">
            <w:pPr>
              <w:pStyle w:val="18"/>
              <w:spacing w:line="240" w:lineRule="atLeast"/>
              <w:ind w:left="1080" w:leftChars="257" w:hanging="540"/>
              <w:jc w:val="center"/>
              <w:rPr>
                <w:rFonts w:ascii="仿宋_GB2312" w:eastAsia="仿宋_GB2312"/>
                <w:sz w:val="24"/>
              </w:rPr>
            </w:pPr>
          </w:p>
        </w:tc>
        <w:tc>
          <w:tcPr>
            <w:tcW w:w="2139" w:type="dxa"/>
            <w:vAlign w:val="center"/>
          </w:tcPr>
          <w:p w14:paraId="28C16119">
            <w:pPr>
              <w:pStyle w:val="18"/>
              <w:spacing w:line="240" w:lineRule="atLeast"/>
              <w:ind w:left="1080" w:leftChars="257" w:hanging="540"/>
              <w:jc w:val="center"/>
              <w:rPr>
                <w:rFonts w:ascii="仿宋_GB2312" w:eastAsia="仿宋_GB2312"/>
                <w:sz w:val="24"/>
              </w:rPr>
            </w:pPr>
          </w:p>
        </w:tc>
      </w:tr>
      <w:tr w14:paraId="2843F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0301BDDD">
            <w:pPr>
              <w:pStyle w:val="18"/>
              <w:spacing w:line="240" w:lineRule="atLeast"/>
              <w:ind w:left="269" w:leftChars="128"/>
              <w:jc w:val="center"/>
              <w:rPr>
                <w:rFonts w:ascii="仿宋_GB2312" w:eastAsia="仿宋_GB2312"/>
                <w:sz w:val="24"/>
              </w:rPr>
            </w:pPr>
            <w:r>
              <w:rPr>
                <w:rFonts w:hint="eastAsia" w:ascii="仿宋_GB2312" w:eastAsia="仿宋_GB2312"/>
                <w:sz w:val="24"/>
              </w:rPr>
              <w:t>4.</w:t>
            </w:r>
          </w:p>
        </w:tc>
        <w:tc>
          <w:tcPr>
            <w:tcW w:w="2291" w:type="dxa"/>
            <w:vAlign w:val="center"/>
          </w:tcPr>
          <w:p w14:paraId="15D98EEC">
            <w:pPr>
              <w:pStyle w:val="18"/>
              <w:spacing w:line="240" w:lineRule="atLeast"/>
              <w:jc w:val="center"/>
              <w:rPr>
                <w:rFonts w:ascii="仿宋_GB2312" w:eastAsia="仿宋_GB2312"/>
                <w:sz w:val="24"/>
              </w:rPr>
            </w:pPr>
          </w:p>
        </w:tc>
        <w:tc>
          <w:tcPr>
            <w:tcW w:w="2209" w:type="dxa"/>
            <w:vAlign w:val="center"/>
          </w:tcPr>
          <w:p w14:paraId="16A63CC8">
            <w:pPr>
              <w:pStyle w:val="18"/>
              <w:spacing w:line="240" w:lineRule="atLeast"/>
              <w:ind w:left="1080" w:leftChars="257" w:hanging="540"/>
              <w:jc w:val="center"/>
              <w:rPr>
                <w:rFonts w:ascii="仿宋_GB2312" w:eastAsia="仿宋_GB2312"/>
                <w:sz w:val="24"/>
              </w:rPr>
            </w:pPr>
          </w:p>
        </w:tc>
        <w:tc>
          <w:tcPr>
            <w:tcW w:w="2236" w:type="dxa"/>
            <w:vAlign w:val="center"/>
          </w:tcPr>
          <w:p w14:paraId="30E69C86">
            <w:pPr>
              <w:pStyle w:val="18"/>
              <w:spacing w:line="240" w:lineRule="atLeast"/>
              <w:ind w:left="1080" w:leftChars="257" w:hanging="540"/>
              <w:jc w:val="center"/>
              <w:rPr>
                <w:rFonts w:ascii="仿宋_GB2312" w:eastAsia="仿宋_GB2312"/>
                <w:sz w:val="24"/>
              </w:rPr>
            </w:pPr>
          </w:p>
        </w:tc>
        <w:tc>
          <w:tcPr>
            <w:tcW w:w="2352" w:type="dxa"/>
            <w:vAlign w:val="center"/>
          </w:tcPr>
          <w:p w14:paraId="59949D67">
            <w:pPr>
              <w:pStyle w:val="18"/>
              <w:spacing w:line="240" w:lineRule="atLeast"/>
              <w:ind w:left="1080" w:leftChars="257" w:hanging="540"/>
              <w:jc w:val="center"/>
              <w:rPr>
                <w:rFonts w:ascii="仿宋_GB2312" w:eastAsia="仿宋_GB2312"/>
                <w:sz w:val="24"/>
              </w:rPr>
            </w:pPr>
          </w:p>
        </w:tc>
        <w:tc>
          <w:tcPr>
            <w:tcW w:w="2139" w:type="dxa"/>
            <w:vAlign w:val="center"/>
          </w:tcPr>
          <w:p w14:paraId="23F79CE4">
            <w:pPr>
              <w:pStyle w:val="18"/>
              <w:spacing w:line="240" w:lineRule="atLeast"/>
              <w:ind w:left="1080" w:leftChars="257" w:hanging="540"/>
              <w:jc w:val="center"/>
              <w:rPr>
                <w:rFonts w:ascii="仿宋_GB2312" w:eastAsia="仿宋_GB2312"/>
                <w:sz w:val="24"/>
              </w:rPr>
            </w:pPr>
          </w:p>
        </w:tc>
      </w:tr>
      <w:tr w14:paraId="282F0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12" w:type="dxa"/>
            <w:vAlign w:val="center"/>
          </w:tcPr>
          <w:p w14:paraId="08702D5A">
            <w:pPr>
              <w:pStyle w:val="18"/>
              <w:spacing w:line="240" w:lineRule="atLeast"/>
              <w:ind w:left="269" w:leftChars="128"/>
              <w:jc w:val="center"/>
              <w:rPr>
                <w:rFonts w:ascii="仿宋_GB2312" w:eastAsia="仿宋_GB2312"/>
                <w:sz w:val="24"/>
              </w:rPr>
            </w:pPr>
            <w:r>
              <w:rPr>
                <w:rFonts w:hint="eastAsia" w:ascii="仿宋_GB2312" w:eastAsia="仿宋_GB2312"/>
                <w:sz w:val="24"/>
              </w:rPr>
              <w:t>5.</w:t>
            </w:r>
          </w:p>
        </w:tc>
        <w:tc>
          <w:tcPr>
            <w:tcW w:w="2291" w:type="dxa"/>
            <w:vAlign w:val="center"/>
          </w:tcPr>
          <w:p w14:paraId="7D23738C">
            <w:pPr>
              <w:pStyle w:val="18"/>
              <w:spacing w:line="240" w:lineRule="atLeast"/>
              <w:jc w:val="center"/>
              <w:rPr>
                <w:rFonts w:ascii="仿宋_GB2312" w:eastAsia="仿宋_GB2312"/>
                <w:sz w:val="24"/>
              </w:rPr>
            </w:pPr>
          </w:p>
        </w:tc>
        <w:tc>
          <w:tcPr>
            <w:tcW w:w="2209" w:type="dxa"/>
            <w:vAlign w:val="center"/>
          </w:tcPr>
          <w:p w14:paraId="21B4AB75">
            <w:pPr>
              <w:pStyle w:val="18"/>
              <w:spacing w:line="240" w:lineRule="atLeast"/>
              <w:ind w:left="1080" w:leftChars="257" w:hanging="540"/>
              <w:jc w:val="center"/>
              <w:rPr>
                <w:rFonts w:ascii="仿宋_GB2312" w:eastAsia="仿宋_GB2312"/>
                <w:sz w:val="24"/>
              </w:rPr>
            </w:pPr>
          </w:p>
        </w:tc>
        <w:tc>
          <w:tcPr>
            <w:tcW w:w="2236" w:type="dxa"/>
            <w:vAlign w:val="center"/>
          </w:tcPr>
          <w:p w14:paraId="33BB29EC">
            <w:pPr>
              <w:pStyle w:val="18"/>
              <w:spacing w:line="240" w:lineRule="atLeast"/>
              <w:ind w:left="1080" w:leftChars="257" w:hanging="540"/>
              <w:jc w:val="center"/>
              <w:rPr>
                <w:rFonts w:ascii="仿宋_GB2312" w:eastAsia="仿宋_GB2312"/>
                <w:sz w:val="24"/>
              </w:rPr>
            </w:pPr>
          </w:p>
        </w:tc>
        <w:tc>
          <w:tcPr>
            <w:tcW w:w="2352" w:type="dxa"/>
            <w:vAlign w:val="center"/>
          </w:tcPr>
          <w:p w14:paraId="1721B6F5">
            <w:pPr>
              <w:pStyle w:val="18"/>
              <w:spacing w:line="240" w:lineRule="atLeast"/>
              <w:ind w:left="1080" w:leftChars="257" w:hanging="540"/>
              <w:jc w:val="center"/>
              <w:rPr>
                <w:rFonts w:ascii="仿宋_GB2312" w:eastAsia="仿宋_GB2312"/>
                <w:sz w:val="24"/>
              </w:rPr>
            </w:pPr>
          </w:p>
        </w:tc>
        <w:tc>
          <w:tcPr>
            <w:tcW w:w="2139" w:type="dxa"/>
            <w:vAlign w:val="center"/>
          </w:tcPr>
          <w:p w14:paraId="4B89B56B">
            <w:pPr>
              <w:pStyle w:val="18"/>
              <w:spacing w:line="240" w:lineRule="atLeast"/>
              <w:ind w:left="1080" w:leftChars="257" w:hanging="540"/>
              <w:jc w:val="center"/>
              <w:rPr>
                <w:rFonts w:ascii="仿宋_GB2312" w:eastAsia="仿宋_GB2312"/>
                <w:sz w:val="24"/>
              </w:rPr>
            </w:pPr>
          </w:p>
        </w:tc>
      </w:tr>
      <w:tr w14:paraId="6EF17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4A62917B">
            <w:pPr>
              <w:pStyle w:val="18"/>
              <w:spacing w:line="240" w:lineRule="atLeast"/>
              <w:ind w:left="269" w:leftChars="128"/>
              <w:jc w:val="center"/>
              <w:rPr>
                <w:rFonts w:ascii="仿宋_GB2312" w:eastAsia="仿宋_GB2312"/>
                <w:sz w:val="24"/>
              </w:rPr>
            </w:pPr>
            <w:r>
              <w:rPr>
                <w:rFonts w:hint="eastAsia" w:ascii="仿宋_GB2312" w:eastAsia="仿宋_GB2312"/>
                <w:sz w:val="24"/>
              </w:rPr>
              <w:t>6.</w:t>
            </w:r>
          </w:p>
        </w:tc>
        <w:tc>
          <w:tcPr>
            <w:tcW w:w="2291" w:type="dxa"/>
            <w:vAlign w:val="center"/>
          </w:tcPr>
          <w:p w14:paraId="45F52B4E">
            <w:pPr>
              <w:pStyle w:val="18"/>
              <w:spacing w:line="240" w:lineRule="atLeast"/>
              <w:jc w:val="center"/>
              <w:rPr>
                <w:rFonts w:ascii="仿宋_GB2312" w:eastAsia="仿宋_GB2312"/>
                <w:sz w:val="24"/>
              </w:rPr>
            </w:pPr>
          </w:p>
        </w:tc>
        <w:tc>
          <w:tcPr>
            <w:tcW w:w="2209" w:type="dxa"/>
            <w:vAlign w:val="center"/>
          </w:tcPr>
          <w:p w14:paraId="7B7CBD9A">
            <w:pPr>
              <w:pStyle w:val="18"/>
              <w:spacing w:line="240" w:lineRule="atLeast"/>
              <w:ind w:left="1080" w:leftChars="257" w:hanging="540"/>
              <w:jc w:val="center"/>
              <w:rPr>
                <w:rFonts w:ascii="仿宋_GB2312" w:eastAsia="仿宋_GB2312"/>
                <w:sz w:val="24"/>
              </w:rPr>
            </w:pPr>
          </w:p>
        </w:tc>
        <w:tc>
          <w:tcPr>
            <w:tcW w:w="2236" w:type="dxa"/>
            <w:vAlign w:val="center"/>
          </w:tcPr>
          <w:p w14:paraId="3DFDC28E">
            <w:pPr>
              <w:pStyle w:val="18"/>
              <w:spacing w:line="240" w:lineRule="atLeast"/>
              <w:ind w:left="1080" w:leftChars="257" w:hanging="540"/>
              <w:jc w:val="center"/>
              <w:rPr>
                <w:rFonts w:ascii="仿宋_GB2312" w:eastAsia="仿宋_GB2312"/>
                <w:sz w:val="24"/>
              </w:rPr>
            </w:pPr>
          </w:p>
        </w:tc>
        <w:tc>
          <w:tcPr>
            <w:tcW w:w="2352" w:type="dxa"/>
            <w:vAlign w:val="center"/>
          </w:tcPr>
          <w:p w14:paraId="405E45DF">
            <w:pPr>
              <w:pStyle w:val="18"/>
              <w:spacing w:line="240" w:lineRule="atLeast"/>
              <w:ind w:left="1080" w:leftChars="257" w:hanging="540"/>
              <w:jc w:val="center"/>
              <w:rPr>
                <w:rFonts w:ascii="仿宋_GB2312" w:eastAsia="仿宋_GB2312"/>
                <w:sz w:val="24"/>
              </w:rPr>
            </w:pPr>
          </w:p>
        </w:tc>
        <w:tc>
          <w:tcPr>
            <w:tcW w:w="2139" w:type="dxa"/>
            <w:vAlign w:val="center"/>
          </w:tcPr>
          <w:p w14:paraId="232D310B">
            <w:pPr>
              <w:pStyle w:val="18"/>
              <w:spacing w:line="240" w:lineRule="atLeast"/>
              <w:ind w:left="1080" w:leftChars="257" w:hanging="540"/>
              <w:jc w:val="center"/>
              <w:rPr>
                <w:rFonts w:ascii="仿宋_GB2312" w:eastAsia="仿宋_GB2312"/>
                <w:sz w:val="24"/>
              </w:rPr>
            </w:pPr>
          </w:p>
        </w:tc>
      </w:tr>
      <w:tr w14:paraId="0A34A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15BA5B4E">
            <w:pPr>
              <w:pStyle w:val="18"/>
              <w:spacing w:line="240" w:lineRule="atLeast"/>
              <w:rPr>
                <w:rFonts w:ascii="仿宋_GB2312" w:eastAsia="仿宋_GB2312"/>
                <w:sz w:val="24"/>
              </w:rPr>
            </w:pPr>
            <w:r>
              <w:rPr>
                <w:rFonts w:hint="eastAsia" w:ascii="仿宋_GB2312" w:eastAsia="仿宋_GB2312"/>
                <w:sz w:val="24"/>
              </w:rPr>
              <w:t>...</w:t>
            </w:r>
          </w:p>
        </w:tc>
        <w:tc>
          <w:tcPr>
            <w:tcW w:w="2291" w:type="dxa"/>
            <w:vAlign w:val="center"/>
          </w:tcPr>
          <w:p w14:paraId="5E1168F1">
            <w:pPr>
              <w:pStyle w:val="18"/>
              <w:spacing w:line="240" w:lineRule="atLeast"/>
              <w:jc w:val="center"/>
              <w:rPr>
                <w:rFonts w:ascii="仿宋_GB2312" w:eastAsia="仿宋_GB2312"/>
                <w:sz w:val="24"/>
              </w:rPr>
            </w:pPr>
          </w:p>
        </w:tc>
        <w:tc>
          <w:tcPr>
            <w:tcW w:w="2209" w:type="dxa"/>
            <w:vAlign w:val="center"/>
          </w:tcPr>
          <w:p w14:paraId="71E4211F">
            <w:pPr>
              <w:pStyle w:val="18"/>
              <w:spacing w:line="240" w:lineRule="atLeast"/>
              <w:ind w:left="1080" w:leftChars="257" w:hanging="540"/>
              <w:jc w:val="center"/>
              <w:rPr>
                <w:rFonts w:ascii="仿宋_GB2312" w:eastAsia="仿宋_GB2312"/>
                <w:sz w:val="24"/>
              </w:rPr>
            </w:pPr>
          </w:p>
        </w:tc>
        <w:tc>
          <w:tcPr>
            <w:tcW w:w="2236" w:type="dxa"/>
            <w:vAlign w:val="center"/>
          </w:tcPr>
          <w:p w14:paraId="4766FDEC">
            <w:pPr>
              <w:pStyle w:val="18"/>
              <w:spacing w:line="240" w:lineRule="atLeast"/>
              <w:ind w:left="1080" w:leftChars="257" w:hanging="540"/>
              <w:jc w:val="center"/>
              <w:rPr>
                <w:rFonts w:ascii="仿宋_GB2312" w:eastAsia="仿宋_GB2312"/>
                <w:sz w:val="24"/>
              </w:rPr>
            </w:pPr>
          </w:p>
        </w:tc>
        <w:tc>
          <w:tcPr>
            <w:tcW w:w="2352" w:type="dxa"/>
            <w:vAlign w:val="center"/>
          </w:tcPr>
          <w:p w14:paraId="759BAFAD">
            <w:pPr>
              <w:pStyle w:val="18"/>
              <w:spacing w:line="240" w:lineRule="atLeast"/>
              <w:ind w:left="1080" w:leftChars="257" w:hanging="540"/>
              <w:jc w:val="center"/>
              <w:rPr>
                <w:rFonts w:ascii="仿宋_GB2312" w:eastAsia="仿宋_GB2312"/>
                <w:sz w:val="24"/>
              </w:rPr>
            </w:pPr>
          </w:p>
        </w:tc>
        <w:tc>
          <w:tcPr>
            <w:tcW w:w="2139" w:type="dxa"/>
            <w:vAlign w:val="center"/>
          </w:tcPr>
          <w:p w14:paraId="5698EEB3">
            <w:pPr>
              <w:pStyle w:val="18"/>
              <w:spacing w:line="240" w:lineRule="atLeast"/>
              <w:ind w:left="1080" w:leftChars="257" w:hanging="540"/>
              <w:jc w:val="center"/>
              <w:rPr>
                <w:rFonts w:ascii="仿宋_GB2312" w:eastAsia="仿宋_GB2312"/>
                <w:sz w:val="24"/>
              </w:rPr>
            </w:pPr>
          </w:p>
        </w:tc>
      </w:tr>
    </w:tbl>
    <w:p w14:paraId="4B5EA911">
      <w:pPr>
        <w:pStyle w:val="18"/>
        <w:spacing w:line="240" w:lineRule="atLeast"/>
        <w:ind w:firstLine="720" w:firstLineChars="300"/>
        <w:rPr>
          <w:rFonts w:ascii="仿宋_GB2312" w:eastAsia="仿宋_GB2312"/>
          <w:sz w:val="24"/>
        </w:rPr>
      </w:pPr>
      <w:r>
        <w:rPr>
          <w:rFonts w:hint="eastAsia" w:ascii="仿宋_GB2312" w:eastAsia="仿宋_GB2312"/>
          <w:sz w:val="24"/>
        </w:rPr>
        <w:t>法定代表人或其委托代理人</w:t>
      </w:r>
      <w:r>
        <w:rPr>
          <w:rFonts w:hint="eastAsia" w:ascii="仿宋" w:hAnsi="仿宋" w:eastAsia="仿宋" w:cs="仿宋"/>
          <w:sz w:val="24"/>
        </w:rPr>
        <w:t>（签字或签章）：</w:t>
      </w:r>
      <w:r>
        <w:rPr>
          <w:rFonts w:hint="eastAsia" w:ascii="仿宋_GB2312" w:hAnsi="宋体" w:eastAsia="仿宋_GB2312"/>
          <w:sz w:val="24"/>
          <w:u w:val="single"/>
        </w:rPr>
        <w:t xml:space="preserve"> </w:t>
      </w:r>
      <w:r>
        <w:rPr>
          <w:rFonts w:ascii="仿宋_GB2312" w:hAnsi="宋体" w:eastAsia="仿宋_GB2312"/>
          <w:sz w:val="24"/>
          <w:u w:val="single"/>
        </w:rPr>
        <w:tab/>
      </w:r>
      <w:r>
        <w:rPr>
          <w:rFonts w:hint="eastAsia" w:ascii="仿宋_GB2312" w:hAnsi="宋体" w:eastAsia="仿宋_GB2312"/>
          <w:sz w:val="24"/>
          <w:u w:val="single"/>
        </w:rPr>
        <w:t xml:space="preserve">                 </w:t>
      </w:r>
    </w:p>
    <w:p w14:paraId="31F02E88">
      <w:pPr>
        <w:pStyle w:val="18"/>
        <w:tabs>
          <w:tab w:val="left" w:pos="5370"/>
        </w:tabs>
        <w:spacing w:line="240" w:lineRule="atLeast"/>
        <w:ind w:left="1155" w:leftChars="371" w:hanging="376" w:hangingChars="157"/>
        <w:rPr>
          <w:rFonts w:ascii="仿宋_GB2312" w:hAnsi="宋体" w:eastAsia="仿宋_GB2312"/>
          <w:sz w:val="24"/>
          <w:u w:val="single"/>
        </w:rPr>
      </w:pPr>
      <w:r>
        <w:rPr>
          <w:rFonts w:hint="eastAsia" w:ascii="仿宋_GB2312" w:hAnsi="宋体" w:eastAsia="仿宋_GB2312"/>
          <w:sz w:val="24"/>
        </w:rPr>
        <w:t>供应商(</w:t>
      </w:r>
      <w:r>
        <w:rPr>
          <w:rFonts w:hint="eastAsia" w:ascii="仿宋_GB2312" w:hAnsi="宋体" w:eastAsia="仿宋_GB2312"/>
          <w:sz w:val="24"/>
          <w:lang w:eastAsia="zh-CN"/>
        </w:rPr>
        <w:t>盖单位公章</w:t>
      </w:r>
      <w:r>
        <w:rPr>
          <w:rFonts w:hint="eastAsia" w:ascii="仿宋_GB2312" w:hAnsi="宋体" w:eastAsia="仿宋_GB2312"/>
          <w:sz w:val="24"/>
        </w:rPr>
        <w:t>):</w:t>
      </w:r>
      <w:r>
        <w:rPr>
          <w:rFonts w:ascii="仿宋_GB2312" w:hAnsi="宋体" w:eastAsia="仿宋_GB2312"/>
          <w:sz w:val="24"/>
          <w:u w:val="single"/>
        </w:rPr>
        <w:tab/>
      </w:r>
    </w:p>
    <w:p w14:paraId="08BFE202">
      <w:pPr>
        <w:pStyle w:val="18"/>
        <w:spacing w:line="240" w:lineRule="atLeast"/>
        <w:ind w:left="1080" w:leftChars="257" w:hanging="540"/>
        <w:rPr>
          <w:rFonts w:ascii="仿宋_GB2312" w:eastAsia="仿宋_GB2312"/>
          <w:sz w:val="24"/>
        </w:rPr>
      </w:pPr>
    </w:p>
    <w:p w14:paraId="7BD64A49">
      <w:pPr>
        <w:pStyle w:val="18"/>
        <w:spacing w:line="240" w:lineRule="atLeast"/>
        <w:ind w:left="1155" w:leftChars="371" w:hanging="376" w:hangingChars="157"/>
        <w:rPr>
          <w:rFonts w:ascii="仿宋_GB2312" w:eastAsia="仿宋_GB2312"/>
          <w:sz w:val="24"/>
        </w:rPr>
      </w:pPr>
      <w:r>
        <w:rPr>
          <w:rFonts w:hint="eastAsia" w:ascii="仿宋_GB2312" w:eastAsia="仿宋_GB2312"/>
          <w:sz w:val="24"/>
        </w:rPr>
        <w:t>注:1.如果供应商认为需要，每种服务填写一份该表。</w:t>
      </w:r>
    </w:p>
    <w:p w14:paraId="79E5EA10">
      <w:pPr>
        <w:pStyle w:val="18"/>
        <w:spacing w:line="240" w:lineRule="atLeast"/>
        <w:ind w:left="1079" w:leftChars="428" w:hanging="180" w:hangingChars="75"/>
        <w:rPr>
          <w:rFonts w:ascii="仿宋_GB2312" w:eastAsia="仿宋_GB2312"/>
          <w:sz w:val="24"/>
        </w:rPr>
      </w:pPr>
      <w:r>
        <w:rPr>
          <w:rFonts w:hint="eastAsia" w:ascii="仿宋_GB2312" w:eastAsia="仿宋_GB2312"/>
          <w:sz w:val="24"/>
        </w:rPr>
        <w:t>2.如果按单价计算的结果与总价不一致,以单价为准修正总价。</w:t>
      </w:r>
    </w:p>
    <w:p w14:paraId="1D08DFD4">
      <w:pPr>
        <w:pStyle w:val="18"/>
        <w:spacing w:line="240" w:lineRule="atLeast"/>
        <w:ind w:left="1080" w:leftChars="257" w:hanging="540"/>
        <w:rPr>
          <w:rFonts w:ascii="仿宋_GB2312" w:eastAsia="仿宋_GB2312"/>
          <w:sz w:val="24"/>
        </w:rPr>
      </w:pPr>
      <w:r>
        <w:rPr>
          <w:rFonts w:hint="eastAsia" w:ascii="仿宋_GB2312" w:eastAsia="仿宋_GB2312"/>
          <w:sz w:val="24"/>
        </w:rPr>
        <w:t xml:space="preserve">   3.如果不提供详细分项报价将视为没有实质性响应磋商文件。</w:t>
      </w:r>
    </w:p>
    <w:p w14:paraId="1EEEC802">
      <w:pPr>
        <w:pStyle w:val="18"/>
        <w:spacing w:line="240" w:lineRule="atLeast"/>
        <w:ind w:left="1080" w:leftChars="257" w:hanging="540"/>
        <w:rPr>
          <w:rFonts w:ascii="仿宋_GB2312" w:eastAsia="仿宋_GB2312"/>
          <w:sz w:val="24"/>
        </w:rPr>
      </w:pPr>
      <w:r>
        <w:rPr>
          <w:rFonts w:hint="eastAsia" w:ascii="仿宋_GB2312" w:eastAsia="仿宋_GB2312"/>
          <w:sz w:val="24"/>
        </w:rPr>
        <w:t xml:space="preserve">   4.上述各项的详细分项报价，应另页描述。</w:t>
      </w:r>
    </w:p>
    <w:p w14:paraId="27B4C47F">
      <w:pPr>
        <w:pStyle w:val="18"/>
        <w:spacing w:line="240" w:lineRule="atLeast"/>
        <w:ind w:left="1080" w:leftChars="257" w:hanging="540"/>
        <w:rPr>
          <w:rFonts w:ascii="仿宋_GB2312" w:eastAsia="仿宋_GB2312"/>
          <w:sz w:val="24"/>
        </w:rPr>
      </w:pPr>
      <w:r>
        <w:rPr>
          <w:rFonts w:hint="eastAsia" w:ascii="仿宋_GB2312" w:eastAsia="仿宋_GB2312"/>
          <w:sz w:val="24"/>
        </w:rPr>
        <w:t xml:space="preserve">   5.如果开标一览表（报价表）内容与响应文件中明细表内容不一致的，以开标一览表（报价表）内容为准。</w:t>
      </w:r>
    </w:p>
    <w:p w14:paraId="0F96FB96">
      <w:pPr>
        <w:pStyle w:val="18"/>
        <w:spacing w:line="240" w:lineRule="atLeast"/>
        <w:ind w:left="1080" w:leftChars="257" w:hanging="540"/>
        <w:rPr>
          <w:rFonts w:ascii="仿宋_GB2312" w:eastAsia="仿宋_GB2312"/>
          <w:sz w:val="24"/>
        </w:rPr>
      </w:pPr>
      <w:r>
        <w:rPr>
          <w:rFonts w:hint="eastAsia" w:ascii="仿宋_GB2312" w:eastAsia="仿宋_GB2312"/>
          <w:sz w:val="24"/>
        </w:rPr>
        <w:t xml:space="preserve">   6.供应商对服务技术参数自行填报，并提交相应证明文件。</w:t>
      </w:r>
    </w:p>
    <w:p w14:paraId="08676B35">
      <w:pPr>
        <w:pStyle w:val="3"/>
        <w:spacing w:before="0" w:line="240" w:lineRule="atLeast"/>
        <w:ind w:left="1080" w:leftChars="257" w:hanging="540"/>
        <w:rPr>
          <w:rFonts w:ascii="仿宋_GB2312" w:eastAsia="仿宋_GB2312"/>
          <w:sz w:val="24"/>
        </w:rPr>
        <w:sectPr>
          <w:footerReference r:id="rId9" w:type="default"/>
          <w:pgSz w:w="16838" w:h="11906" w:orient="landscape"/>
          <w:pgMar w:top="1797" w:right="1440" w:bottom="1797" w:left="1440" w:header="851" w:footer="992" w:gutter="0"/>
          <w:cols w:space="720" w:num="1"/>
          <w:docGrid w:linePitch="312" w:charSpace="0"/>
        </w:sectPr>
      </w:pPr>
      <w:bookmarkStart w:id="300" w:name="_Toc216582816"/>
      <w:bookmarkStart w:id="301" w:name="_Toc18267"/>
      <w:bookmarkStart w:id="302" w:name="_Toc515647819"/>
      <w:bookmarkStart w:id="303" w:name="_Toc17699"/>
      <w:bookmarkStart w:id="304" w:name="_Toc14037"/>
    </w:p>
    <w:p w14:paraId="79C57523">
      <w:pPr>
        <w:pStyle w:val="3"/>
        <w:spacing w:before="0" w:line="240" w:lineRule="atLeast"/>
        <w:ind w:left="1080" w:leftChars="257" w:hanging="540"/>
        <w:rPr>
          <w:rFonts w:ascii="仿宋_GB2312" w:eastAsia="仿宋_GB2312"/>
          <w:sz w:val="24"/>
        </w:rPr>
      </w:pPr>
      <w:bookmarkStart w:id="305" w:name="_Toc8734"/>
      <w:r>
        <w:rPr>
          <w:rFonts w:hint="eastAsia" w:ascii="仿宋_GB2312" w:eastAsia="仿宋_GB2312"/>
          <w:sz w:val="24"/>
        </w:rPr>
        <w:t>3</w:t>
      </w:r>
      <w:r>
        <w:rPr>
          <w:rFonts w:ascii="仿宋_GB2312" w:eastAsia="仿宋_GB2312"/>
          <w:sz w:val="24"/>
        </w:rPr>
        <w:t xml:space="preserve">   </w:t>
      </w:r>
      <w:r>
        <w:rPr>
          <w:rFonts w:hint="eastAsia" w:ascii="仿宋_GB2312" w:eastAsia="仿宋_GB2312"/>
          <w:sz w:val="24"/>
        </w:rPr>
        <w:t>服务说明一览表</w:t>
      </w:r>
      <w:bookmarkEnd w:id="300"/>
      <w:r>
        <w:rPr>
          <w:rFonts w:hint="eastAsia" w:ascii="仿宋_GB2312" w:eastAsia="仿宋_GB2312"/>
          <w:sz w:val="24"/>
        </w:rPr>
        <w:t>（响应文件格式六）</w:t>
      </w:r>
      <w:bookmarkEnd w:id="301"/>
      <w:bookmarkEnd w:id="302"/>
      <w:bookmarkEnd w:id="303"/>
      <w:bookmarkEnd w:id="304"/>
      <w:bookmarkEnd w:id="305"/>
    </w:p>
    <w:p w14:paraId="3375ECD5">
      <w:pPr>
        <w:pStyle w:val="18"/>
        <w:spacing w:line="240" w:lineRule="atLeast"/>
        <w:ind w:left="1080" w:leftChars="257" w:hanging="540"/>
        <w:rPr>
          <w:rFonts w:ascii="仿宋_GB2312" w:eastAsia="仿宋_GB2312"/>
          <w:sz w:val="24"/>
        </w:rPr>
      </w:pPr>
    </w:p>
    <w:p w14:paraId="0473070F">
      <w:pPr>
        <w:pStyle w:val="18"/>
        <w:spacing w:line="240" w:lineRule="atLeast"/>
        <w:ind w:left="1258" w:leftChars="599" w:firstLine="1540" w:firstLineChars="642"/>
        <w:rPr>
          <w:rFonts w:ascii="仿宋_GB2312" w:eastAsia="仿宋_GB2312"/>
          <w:sz w:val="24"/>
        </w:rPr>
      </w:pPr>
      <w:r>
        <w:rPr>
          <w:rFonts w:hint="eastAsia" w:ascii="仿宋_GB2312" w:eastAsia="仿宋_GB2312"/>
          <w:sz w:val="24"/>
        </w:rPr>
        <w:t xml:space="preserve">项目名称:                                    项目编号:                                             </w:t>
      </w:r>
    </w:p>
    <w:tbl>
      <w:tblPr>
        <w:tblStyle w:val="34"/>
        <w:tblW w:w="125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5"/>
        <w:gridCol w:w="4398"/>
        <w:gridCol w:w="4241"/>
        <w:gridCol w:w="1956"/>
      </w:tblGrid>
      <w:tr w14:paraId="6253B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935" w:type="dxa"/>
          </w:tcPr>
          <w:p w14:paraId="19C594C2">
            <w:pPr>
              <w:pStyle w:val="18"/>
              <w:spacing w:line="240" w:lineRule="atLeast"/>
              <w:jc w:val="center"/>
              <w:rPr>
                <w:rFonts w:ascii="仿宋" w:hAnsi="仿宋" w:eastAsia="仿宋" w:cs="仿宋"/>
                <w:sz w:val="24"/>
              </w:rPr>
            </w:pPr>
            <w:r>
              <w:rPr>
                <w:rFonts w:hint="eastAsia" w:ascii="仿宋" w:hAnsi="仿宋" w:eastAsia="仿宋" w:cs="仿宋"/>
                <w:sz w:val="24"/>
              </w:rPr>
              <w:t>序号</w:t>
            </w:r>
          </w:p>
        </w:tc>
        <w:tc>
          <w:tcPr>
            <w:tcW w:w="4398" w:type="dxa"/>
          </w:tcPr>
          <w:p w14:paraId="7C47E352">
            <w:pPr>
              <w:pStyle w:val="18"/>
              <w:spacing w:line="240" w:lineRule="atLeast"/>
              <w:jc w:val="center"/>
              <w:rPr>
                <w:rFonts w:ascii="仿宋" w:hAnsi="仿宋" w:eastAsia="仿宋" w:cs="仿宋"/>
                <w:sz w:val="24"/>
              </w:rPr>
            </w:pPr>
            <w:r>
              <w:rPr>
                <w:rFonts w:hint="eastAsia" w:ascii="仿宋" w:hAnsi="仿宋" w:eastAsia="仿宋" w:cs="仿宋"/>
                <w:sz w:val="24"/>
              </w:rPr>
              <w:t>服务内容</w:t>
            </w:r>
          </w:p>
        </w:tc>
        <w:tc>
          <w:tcPr>
            <w:tcW w:w="4241" w:type="dxa"/>
          </w:tcPr>
          <w:p w14:paraId="59C99AEB">
            <w:pPr>
              <w:pStyle w:val="18"/>
              <w:spacing w:line="240" w:lineRule="atLeast"/>
              <w:ind w:left="1080" w:leftChars="257" w:hanging="540"/>
              <w:jc w:val="center"/>
              <w:rPr>
                <w:rFonts w:ascii="仿宋" w:hAnsi="仿宋" w:eastAsia="仿宋" w:cs="仿宋"/>
                <w:sz w:val="24"/>
              </w:rPr>
            </w:pPr>
            <w:r>
              <w:rPr>
                <w:rFonts w:hint="eastAsia" w:ascii="仿宋" w:hAnsi="仿宋" w:eastAsia="仿宋" w:cs="仿宋"/>
                <w:sz w:val="24"/>
              </w:rPr>
              <w:t>服务地点</w:t>
            </w:r>
          </w:p>
        </w:tc>
        <w:tc>
          <w:tcPr>
            <w:tcW w:w="1956" w:type="dxa"/>
          </w:tcPr>
          <w:p w14:paraId="6F2595FE">
            <w:pPr>
              <w:pStyle w:val="18"/>
              <w:spacing w:line="240" w:lineRule="atLeast"/>
              <w:ind w:left="1080" w:leftChars="257" w:hanging="540"/>
              <w:jc w:val="center"/>
              <w:rPr>
                <w:rFonts w:ascii="仿宋" w:hAnsi="仿宋" w:eastAsia="仿宋" w:cs="仿宋"/>
                <w:sz w:val="24"/>
              </w:rPr>
            </w:pPr>
            <w:r>
              <w:rPr>
                <w:rFonts w:hint="eastAsia" w:ascii="仿宋" w:hAnsi="仿宋" w:eastAsia="仿宋" w:cs="仿宋"/>
                <w:sz w:val="24"/>
              </w:rPr>
              <w:t>其它</w:t>
            </w:r>
          </w:p>
        </w:tc>
      </w:tr>
      <w:tr w14:paraId="4DA26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935" w:type="dxa"/>
          </w:tcPr>
          <w:p w14:paraId="3E998692">
            <w:pPr>
              <w:pStyle w:val="18"/>
              <w:spacing w:line="240" w:lineRule="atLeast"/>
              <w:ind w:left="1080" w:leftChars="257" w:hanging="540"/>
              <w:rPr>
                <w:rFonts w:ascii="仿宋" w:hAnsi="仿宋" w:eastAsia="仿宋" w:cs="仿宋"/>
                <w:sz w:val="24"/>
              </w:rPr>
            </w:pPr>
          </w:p>
        </w:tc>
        <w:tc>
          <w:tcPr>
            <w:tcW w:w="4398" w:type="dxa"/>
          </w:tcPr>
          <w:p w14:paraId="1A1DEEEC">
            <w:pPr>
              <w:pStyle w:val="18"/>
              <w:spacing w:line="240" w:lineRule="atLeast"/>
              <w:jc w:val="center"/>
              <w:rPr>
                <w:rFonts w:ascii="仿宋" w:hAnsi="仿宋" w:eastAsia="仿宋" w:cs="仿宋"/>
                <w:sz w:val="24"/>
              </w:rPr>
            </w:pPr>
          </w:p>
        </w:tc>
        <w:tc>
          <w:tcPr>
            <w:tcW w:w="4241" w:type="dxa"/>
          </w:tcPr>
          <w:p w14:paraId="62D65230">
            <w:pPr>
              <w:pStyle w:val="18"/>
              <w:spacing w:line="240" w:lineRule="atLeast"/>
              <w:ind w:left="1080" w:leftChars="257" w:hanging="540"/>
              <w:rPr>
                <w:rFonts w:ascii="仿宋" w:hAnsi="仿宋" w:eastAsia="仿宋" w:cs="仿宋"/>
                <w:sz w:val="24"/>
              </w:rPr>
            </w:pPr>
          </w:p>
        </w:tc>
        <w:tc>
          <w:tcPr>
            <w:tcW w:w="1956" w:type="dxa"/>
          </w:tcPr>
          <w:p w14:paraId="692F236B">
            <w:pPr>
              <w:pStyle w:val="18"/>
              <w:spacing w:line="240" w:lineRule="atLeast"/>
              <w:ind w:left="1080" w:leftChars="257" w:hanging="540"/>
              <w:rPr>
                <w:rFonts w:ascii="仿宋" w:hAnsi="仿宋" w:eastAsia="仿宋" w:cs="仿宋"/>
                <w:sz w:val="24"/>
              </w:rPr>
            </w:pPr>
          </w:p>
        </w:tc>
      </w:tr>
      <w:tr w14:paraId="746CD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935" w:type="dxa"/>
          </w:tcPr>
          <w:p w14:paraId="642EAFB3">
            <w:pPr>
              <w:pStyle w:val="18"/>
              <w:spacing w:line="240" w:lineRule="atLeast"/>
              <w:ind w:left="1080" w:leftChars="257" w:hanging="540"/>
              <w:rPr>
                <w:rFonts w:ascii="仿宋" w:hAnsi="仿宋" w:eastAsia="仿宋" w:cs="仿宋"/>
                <w:sz w:val="24"/>
              </w:rPr>
            </w:pPr>
          </w:p>
        </w:tc>
        <w:tc>
          <w:tcPr>
            <w:tcW w:w="4398" w:type="dxa"/>
          </w:tcPr>
          <w:p w14:paraId="51EA955B">
            <w:pPr>
              <w:pStyle w:val="18"/>
              <w:spacing w:line="240" w:lineRule="atLeast"/>
              <w:jc w:val="center"/>
              <w:rPr>
                <w:rFonts w:ascii="仿宋" w:hAnsi="仿宋" w:eastAsia="仿宋" w:cs="仿宋"/>
                <w:sz w:val="24"/>
              </w:rPr>
            </w:pPr>
          </w:p>
        </w:tc>
        <w:tc>
          <w:tcPr>
            <w:tcW w:w="4241" w:type="dxa"/>
          </w:tcPr>
          <w:p w14:paraId="4E5FBC4D">
            <w:pPr>
              <w:pStyle w:val="18"/>
              <w:spacing w:line="240" w:lineRule="atLeast"/>
              <w:ind w:left="1080" w:leftChars="257" w:hanging="540"/>
              <w:rPr>
                <w:rFonts w:ascii="仿宋" w:hAnsi="仿宋" w:eastAsia="仿宋" w:cs="仿宋"/>
                <w:sz w:val="24"/>
              </w:rPr>
            </w:pPr>
          </w:p>
        </w:tc>
        <w:tc>
          <w:tcPr>
            <w:tcW w:w="1956" w:type="dxa"/>
          </w:tcPr>
          <w:p w14:paraId="24E9CF94">
            <w:pPr>
              <w:pStyle w:val="18"/>
              <w:spacing w:line="240" w:lineRule="atLeast"/>
              <w:ind w:left="1080" w:leftChars="257" w:hanging="540"/>
              <w:rPr>
                <w:rFonts w:ascii="仿宋" w:hAnsi="仿宋" w:eastAsia="仿宋" w:cs="仿宋"/>
                <w:sz w:val="24"/>
              </w:rPr>
            </w:pPr>
          </w:p>
        </w:tc>
      </w:tr>
      <w:tr w14:paraId="5760F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935" w:type="dxa"/>
          </w:tcPr>
          <w:p w14:paraId="183CBED6">
            <w:pPr>
              <w:pStyle w:val="18"/>
              <w:spacing w:line="240" w:lineRule="atLeast"/>
              <w:ind w:left="1080" w:leftChars="257" w:hanging="540"/>
              <w:rPr>
                <w:rFonts w:ascii="仿宋" w:hAnsi="仿宋" w:eastAsia="仿宋" w:cs="仿宋"/>
                <w:sz w:val="24"/>
              </w:rPr>
            </w:pPr>
          </w:p>
        </w:tc>
        <w:tc>
          <w:tcPr>
            <w:tcW w:w="4398" w:type="dxa"/>
          </w:tcPr>
          <w:p w14:paraId="5FF728F3">
            <w:pPr>
              <w:pStyle w:val="18"/>
              <w:spacing w:line="240" w:lineRule="atLeast"/>
              <w:jc w:val="center"/>
              <w:rPr>
                <w:rFonts w:ascii="仿宋" w:hAnsi="仿宋" w:eastAsia="仿宋" w:cs="仿宋"/>
                <w:sz w:val="24"/>
              </w:rPr>
            </w:pPr>
          </w:p>
        </w:tc>
        <w:tc>
          <w:tcPr>
            <w:tcW w:w="4241" w:type="dxa"/>
          </w:tcPr>
          <w:p w14:paraId="09FA78DB">
            <w:pPr>
              <w:pStyle w:val="18"/>
              <w:spacing w:line="240" w:lineRule="atLeast"/>
              <w:ind w:left="1080" w:leftChars="257" w:hanging="540"/>
              <w:rPr>
                <w:rFonts w:ascii="仿宋" w:hAnsi="仿宋" w:eastAsia="仿宋" w:cs="仿宋"/>
                <w:sz w:val="24"/>
              </w:rPr>
            </w:pPr>
          </w:p>
        </w:tc>
        <w:tc>
          <w:tcPr>
            <w:tcW w:w="1956" w:type="dxa"/>
          </w:tcPr>
          <w:p w14:paraId="3C60D916">
            <w:pPr>
              <w:pStyle w:val="18"/>
              <w:spacing w:line="240" w:lineRule="atLeast"/>
              <w:ind w:left="1080" w:leftChars="257" w:hanging="540"/>
              <w:rPr>
                <w:rFonts w:ascii="仿宋" w:hAnsi="仿宋" w:eastAsia="仿宋" w:cs="仿宋"/>
                <w:sz w:val="24"/>
              </w:rPr>
            </w:pPr>
          </w:p>
        </w:tc>
      </w:tr>
      <w:tr w14:paraId="210C8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935" w:type="dxa"/>
          </w:tcPr>
          <w:p w14:paraId="36CF1596">
            <w:pPr>
              <w:pStyle w:val="18"/>
              <w:spacing w:line="240" w:lineRule="atLeast"/>
              <w:ind w:left="1080" w:leftChars="257" w:hanging="540"/>
              <w:rPr>
                <w:rFonts w:ascii="仿宋" w:hAnsi="仿宋" w:eastAsia="仿宋" w:cs="仿宋"/>
                <w:sz w:val="24"/>
              </w:rPr>
            </w:pPr>
          </w:p>
        </w:tc>
        <w:tc>
          <w:tcPr>
            <w:tcW w:w="4398" w:type="dxa"/>
          </w:tcPr>
          <w:p w14:paraId="5C4DD5FD">
            <w:pPr>
              <w:pStyle w:val="18"/>
              <w:spacing w:line="240" w:lineRule="atLeast"/>
              <w:jc w:val="center"/>
              <w:rPr>
                <w:rFonts w:ascii="仿宋" w:hAnsi="仿宋" w:eastAsia="仿宋" w:cs="仿宋"/>
                <w:sz w:val="24"/>
              </w:rPr>
            </w:pPr>
          </w:p>
        </w:tc>
        <w:tc>
          <w:tcPr>
            <w:tcW w:w="4241" w:type="dxa"/>
          </w:tcPr>
          <w:p w14:paraId="2664382A">
            <w:pPr>
              <w:pStyle w:val="18"/>
              <w:spacing w:line="240" w:lineRule="atLeast"/>
              <w:ind w:left="1080" w:leftChars="257" w:hanging="540"/>
              <w:rPr>
                <w:rFonts w:ascii="仿宋" w:hAnsi="仿宋" w:eastAsia="仿宋" w:cs="仿宋"/>
                <w:sz w:val="24"/>
              </w:rPr>
            </w:pPr>
          </w:p>
        </w:tc>
        <w:tc>
          <w:tcPr>
            <w:tcW w:w="1956" w:type="dxa"/>
          </w:tcPr>
          <w:p w14:paraId="3D5EACF9">
            <w:pPr>
              <w:pStyle w:val="18"/>
              <w:spacing w:line="240" w:lineRule="atLeast"/>
              <w:ind w:left="1080" w:leftChars="257" w:hanging="540"/>
              <w:rPr>
                <w:rFonts w:ascii="仿宋" w:hAnsi="仿宋" w:eastAsia="仿宋" w:cs="仿宋"/>
                <w:sz w:val="24"/>
              </w:rPr>
            </w:pPr>
          </w:p>
        </w:tc>
      </w:tr>
      <w:tr w14:paraId="6110B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935" w:type="dxa"/>
          </w:tcPr>
          <w:p w14:paraId="54639D61">
            <w:pPr>
              <w:pStyle w:val="18"/>
              <w:spacing w:line="240" w:lineRule="atLeast"/>
              <w:ind w:left="1080" w:leftChars="257" w:hanging="540"/>
              <w:rPr>
                <w:rFonts w:ascii="仿宋" w:hAnsi="仿宋" w:eastAsia="仿宋" w:cs="仿宋"/>
                <w:sz w:val="24"/>
              </w:rPr>
            </w:pPr>
          </w:p>
        </w:tc>
        <w:tc>
          <w:tcPr>
            <w:tcW w:w="4398" w:type="dxa"/>
          </w:tcPr>
          <w:p w14:paraId="28BE7B6C">
            <w:pPr>
              <w:pStyle w:val="18"/>
              <w:spacing w:line="240" w:lineRule="atLeast"/>
              <w:ind w:left="1080" w:leftChars="257" w:hanging="540"/>
              <w:rPr>
                <w:rFonts w:ascii="仿宋" w:hAnsi="仿宋" w:eastAsia="仿宋" w:cs="仿宋"/>
                <w:sz w:val="24"/>
              </w:rPr>
            </w:pPr>
          </w:p>
        </w:tc>
        <w:tc>
          <w:tcPr>
            <w:tcW w:w="4241" w:type="dxa"/>
          </w:tcPr>
          <w:p w14:paraId="63DDB992">
            <w:pPr>
              <w:pStyle w:val="18"/>
              <w:spacing w:line="240" w:lineRule="atLeast"/>
              <w:ind w:left="1080" w:leftChars="257" w:hanging="540"/>
              <w:rPr>
                <w:rFonts w:ascii="仿宋" w:hAnsi="仿宋" w:eastAsia="仿宋" w:cs="仿宋"/>
                <w:sz w:val="24"/>
              </w:rPr>
            </w:pPr>
          </w:p>
        </w:tc>
        <w:tc>
          <w:tcPr>
            <w:tcW w:w="1956" w:type="dxa"/>
          </w:tcPr>
          <w:p w14:paraId="7E831EDD">
            <w:pPr>
              <w:pStyle w:val="18"/>
              <w:spacing w:line="240" w:lineRule="atLeast"/>
              <w:ind w:left="1080" w:leftChars="257" w:hanging="540"/>
              <w:rPr>
                <w:rFonts w:ascii="仿宋" w:hAnsi="仿宋" w:eastAsia="仿宋" w:cs="仿宋"/>
                <w:sz w:val="24"/>
              </w:rPr>
            </w:pPr>
          </w:p>
        </w:tc>
      </w:tr>
    </w:tbl>
    <w:p w14:paraId="4341ABFB">
      <w:pPr>
        <w:pStyle w:val="18"/>
        <w:spacing w:line="240" w:lineRule="atLeast"/>
        <w:ind w:left="1080" w:leftChars="257" w:hanging="540"/>
        <w:rPr>
          <w:rFonts w:ascii="仿宋_GB2312" w:eastAsia="仿宋_GB2312"/>
          <w:sz w:val="24"/>
        </w:rPr>
      </w:pPr>
    </w:p>
    <w:p w14:paraId="631C0462">
      <w:pPr>
        <w:pStyle w:val="18"/>
        <w:spacing w:line="240" w:lineRule="atLeast"/>
        <w:ind w:left="1155" w:leftChars="371" w:hanging="376" w:hangingChars="157"/>
        <w:rPr>
          <w:rFonts w:ascii="仿宋_GB2312" w:eastAsia="仿宋_GB2312"/>
          <w:sz w:val="24"/>
        </w:rPr>
      </w:pPr>
      <w:r>
        <w:rPr>
          <w:rFonts w:hint="eastAsia" w:ascii="仿宋_GB2312" w:eastAsia="仿宋_GB2312"/>
          <w:sz w:val="24"/>
        </w:rPr>
        <w:t>法定代表人或其委托代理人</w:t>
      </w:r>
      <w:r>
        <w:rPr>
          <w:rFonts w:hint="eastAsia" w:ascii="仿宋" w:hAnsi="仿宋" w:eastAsia="仿宋" w:cs="仿宋"/>
          <w:sz w:val="24"/>
        </w:rPr>
        <w:t>（签字或签章）：</w:t>
      </w:r>
      <w:r>
        <w:rPr>
          <w:rFonts w:hint="eastAsia" w:ascii="仿宋_GB2312" w:hAnsi="宋体" w:eastAsia="仿宋_GB2312"/>
          <w:sz w:val="24"/>
          <w:u w:val="single"/>
        </w:rPr>
        <w:t xml:space="preserve"> </w:t>
      </w:r>
      <w:r>
        <w:rPr>
          <w:rFonts w:ascii="仿宋_GB2312" w:hAnsi="宋体" w:eastAsia="仿宋_GB2312"/>
          <w:sz w:val="24"/>
          <w:u w:val="single"/>
        </w:rPr>
        <w:tab/>
      </w:r>
      <w:r>
        <w:rPr>
          <w:rFonts w:hint="eastAsia" w:ascii="仿宋_GB2312" w:hAnsi="宋体" w:eastAsia="仿宋_GB2312"/>
          <w:sz w:val="24"/>
          <w:u w:val="single"/>
        </w:rPr>
        <w:t xml:space="preserve">                 </w:t>
      </w:r>
    </w:p>
    <w:p w14:paraId="6ACA793E">
      <w:pPr>
        <w:pStyle w:val="18"/>
        <w:tabs>
          <w:tab w:val="left" w:pos="5370"/>
        </w:tabs>
        <w:spacing w:line="240" w:lineRule="atLeast"/>
        <w:ind w:left="1155" w:leftChars="371" w:hanging="376" w:hangingChars="157"/>
        <w:rPr>
          <w:rFonts w:ascii="仿宋_GB2312" w:hAnsi="宋体" w:eastAsia="仿宋_GB2312"/>
          <w:sz w:val="24"/>
          <w:u w:val="single"/>
        </w:rPr>
      </w:pPr>
      <w:r>
        <w:rPr>
          <w:rFonts w:hint="eastAsia" w:ascii="仿宋_GB2312" w:hAnsi="宋体" w:eastAsia="仿宋_GB2312"/>
          <w:sz w:val="24"/>
        </w:rPr>
        <w:t>供应商(</w:t>
      </w:r>
      <w:r>
        <w:rPr>
          <w:rFonts w:hint="eastAsia" w:ascii="仿宋_GB2312" w:hAnsi="宋体" w:eastAsia="仿宋_GB2312"/>
          <w:sz w:val="24"/>
          <w:lang w:eastAsia="zh-CN"/>
        </w:rPr>
        <w:t>盖单位公章</w:t>
      </w:r>
      <w:r>
        <w:rPr>
          <w:rFonts w:hint="eastAsia" w:ascii="仿宋_GB2312" w:hAnsi="宋体" w:eastAsia="仿宋_GB2312"/>
          <w:sz w:val="24"/>
        </w:rPr>
        <w:t>):</w:t>
      </w:r>
      <w:r>
        <w:rPr>
          <w:rFonts w:ascii="仿宋_GB2312" w:hAnsi="宋体" w:eastAsia="仿宋_GB2312"/>
          <w:sz w:val="24"/>
          <w:u w:val="single"/>
        </w:rPr>
        <w:tab/>
      </w:r>
      <w:r>
        <w:rPr>
          <w:rFonts w:hint="eastAsia" w:ascii="仿宋_GB2312" w:hAnsi="宋体" w:eastAsia="仿宋_GB2312"/>
          <w:sz w:val="24"/>
          <w:u w:val="single"/>
        </w:rPr>
        <w:t xml:space="preserve">       </w:t>
      </w:r>
    </w:p>
    <w:p w14:paraId="1BE7A11E">
      <w:pPr>
        <w:pStyle w:val="18"/>
        <w:spacing w:line="240" w:lineRule="atLeast"/>
        <w:ind w:left="1080" w:leftChars="257" w:hanging="540"/>
        <w:rPr>
          <w:rFonts w:ascii="仿宋_GB2312" w:eastAsia="仿宋_GB2312"/>
          <w:sz w:val="24"/>
        </w:rPr>
      </w:pPr>
    </w:p>
    <w:p w14:paraId="4A3D0488">
      <w:pPr>
        <w:pStyle w:val="18"/>
        <w:spacing w:line="240" w:lineRule="atLeast"/>
        <w:ind w:left="1155" w:leftChars="371" w:hanging="376" w:hangingChars="157"/>
        <w:rPr>
          <w:rFonts w:ascii="仿宋_GB2312" w:eastAsia="仿宋_GB2312"/>
          <w:sz w:val="24"/>
        </w:rPr>
      </w:pPr>
      <w:r>
        <w:rPr>
          <w:rFonts w:hint="eastAsia" w:ascii="仿宋_GB2312" w:eastAsia="仿宋_GB2312"/>
          <w:sz w:val="24"/>
        </w:rPr>
        <w:t>注: 各项服务内容明细应另页描述。</w:t>
      </w:r>
    </w:p>
    <w:p w14:paraId="063ADAB9">
      <w:pPr>
        <w:pStyle w:val="18"/>
        <w:spacing w:line="240" w:lineRule="atLeast"/>
        <w:ind w:left="1080" w:leftChars="257" w:hanging="540"/>
        <w:jc w:val="center"/>
        <w:rPr>
          <w:rFonts w:ascii="仿宋_GB2312" w:eastAsia="仿宋_GB2312"/>
          <w:sz w:val="24"/>
        </w:rPr>
      </w:pPr>
    </w:p>
    <w:p w14:paraId="7D845191">
      <w:pPr>
        <w:pStyle w:val="18"/>
        <w:spacing w:line="240" w:lineRule="atLeast"/>
        <w:ind w:left="1080" w:leftChars="257" w:hanging="540"/>
        <w:jc w:val="center"/>
        <w:rPr>
          <w:rFonts w:ascii="仿宋_GB2312" w:eastAsia="仿宋_GB2312"/>
          <w:sz w:val="24"/>
        </w:rPr>
        <w:sectPr>
          <w:footerReference r:id="rId10" w:type="default"/>
          <w:pgSz w:w="16838" w:h="11906" w:orient="landscape"/>
          <w:pgMar w:top="1797" w:right="1440" w:bottom="1797" w:left="1440" w:header="851" w:footer="992" w:gutter="0"/>
          <w:cols w:space="720" w:num="1"/>
          <w:docGrid w:linePitch="312" w:charSpace="0"/>
        </w:sectPr>
      </w:pPr>
    </w:p>
    <w:bookmarkEnd w:id="296"/>
    <w:bookmarkEnd w:id="297"/>
    <w:bookmarkEnd w:id="298"/>
    <w:bookmarkEnd w:id="299"/>
    <w:p w14:paraId="0381B0C1">
      <w:pPr>
        <w:pStyle w:val="18"/>
        <w:tabs>
          <w:tab w:val="left" w:pos="5580"/>
        </w:tabs>
        <w:spacing w:line="240" w:lineRule="atLeast"/>
        <w:rPr>
          <w:rFonts w:ascii="仿宋_GB2312" w:eastAsia="仿宋_GB2312"/>
          <w:sz w:val="24"/>
        </w:rPr>
      </w:pPr>
      <w:bookmarkStart w:id="306" w:name="_Toc216582818"/>
      <w:bookmarkStart w:id="307" w:name="_Toc23"/>
      <w:bookmarkStart w:id="308" w:name="_Toc515647821"/>
      <w:bookmarkStart w:id="309" w:name="_Toc1980"/>
    </w:p>
    <w:p w14:paraId="27C2B6B4">
      <w:pPr>
        <w:pStyle w:val="3"/>
        <w:spacing w:before="0" w:line="240" w:lineRule="atLeast"/>
        <w:ind w:left="1080" w:leftChars="257" w:hanging="540"/>
        <w:rPr>
          <w:rFonts w:ascii="仿宋_GB2312" w:eastAsia="仿宋_GB2312"/>
          <w:sz w:val="24"/>
        </w:rPr>
      </w:pPr>
      <w:bookmarkStart w:id="310" w:name="_Toc32568"/>
      <w:bookmarkStart w:id="311" w:name="_Toc21892"/>
      <w:r>
        <w:rPr>
          <w:rFonts w:hint="eastAsia" w:ascii="仿宋_GB2312" w:eastAsia="仿宋_GB2312"/>
          <w:sz w:val="24"/>
        </w:rPr>
        <w:t>4  商务条款偏离表</w:t>
      </w:r>
      <w:bookmarkEnd w:id="306"/>
      <w:r>
        <w:rPr>
          <w:rFonts w:hint="eastAsia" w:ascii="仿宋_GB2312" w:eastAsia="仿宋_GB2312"/>
          <w:sz w:val="24"/>
        </w:rPr>
        <w:t>（响应文件格式七）</w:t>
      </w:r>
      <w:bookmarkEnd w:id="307"/>
      <w:bookmarkEnd w:id="308"/>
      <w:bookmarkEnd w:id="309"/>
      <w:bookmarkEnd w:id="310"/>
      <w:bookmarkEnd w:id="311"/>
    </w:p>
    <w:p w14:paraId="64E6F1C3">
      <w:pPr>
        <w:pStyle w:val="18"/>
        <w:spacing w:line="240" w:lineRule="atLeast"/>
        <w:ind w:left="1080" w:leftChars="257" w:hanging="540"/>
        <w:rPr>
          <w:rFonts w:ascii="仿宋_GB2312" w:eastAsia="仿宋_GB2312"/>
          <w:sz w:val="24"/>
        </w:rPr>
      </w:pPr>
    </w:p>
    <w:p w14:paraId="76819FB7">
      <w:pPr>
        <w:pStyle w:val="18"/>
        <w:spacing w:line="240" w:lineRule="atLeast"/>
        <w:ind w:left="1080" w:leftChars="257" w:hanging="540"/>
        <w:rPr>
          <w:rFonts w:ascii="仿宋_GB2312" w:eastAsia="仿宋_GB2312"/>
          <w:sz w:val="24"/>
        </w:rPr>
      </w:pPr>
    </w:p>
    <w:p w14:paraId="3B7B8BFF">
      <w:pPr>
        <w:pStyle w:val="18"/>
        <w:spacing w:line="240" w:lineRule="atLeast"/>
        <w:ind w:left="1080" w:leftChars="257" w:hanging="540"/>
        <w:rPr>
          <w:rFonts w:ascii="仿宋_GB2312" w:eastAsia="仿宋_GB2312"/>
          <w:sz w:val="24"/>
        </w:rPr>
      </w:pPr>
      <w:r>
        <w:rPr>
          <w:rFonts w:hint="eastAsia" w:ascii="仿宋_GB2312" w:eastAsia="仿宋_GB2312"/>
          <w:sz w:val="24"/>
        </w:rPr>
        <w:t xml:space="preserve">项目名称:                      项目编号:             </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4E26A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D70E565">
            <w:pPr>
              <w:pStyle w:val="18"/>
              <w:spacing w:line="240" w:lineRule="atLeast"/>
              <w:jc w:val="center"/>
              <w:rPr>
                <w:rFonts w:ascii="仿宋_GB2312" w:eastAsia="仿宋_GB2312"/>
                <w:sz w:val="24"/>
              </w:rPr>
            </w:pPr>
            <w:r>
              <w:rPr>
                <w:rFonts w:hint="eastAsia" w:ascii="仿宋_GB2312" w:eastAsia="仿宋_GB2312"/>
                <w:sz w:val="24"/>
              </w:rPr>
              <w:t>序号</w:t>
            </w:r>
          </w:p>
        </w:tc>
        <w:tc>
          <w:tcPr>
            <w:tcW w:w="2040" w:type="dxa"/>
          </w:tcPr>
          <w:p w14:paraId="76BCF185">
            <w:pPr>
              <w:pStyle w:val="18"/>
              <w:spacing w:line="240" w:lineRule="atLeast"/>
              <w:jc w:val="center"/>
              <w:rPr>
                <w:rFonts w:ascii="仿宋_GB2312" w:eastAsia="仿宋_GB2312"/>
                <w:sz w:val="24"/>
              </w:rPr>
            </w:pPr>
            <w:r>
              <w:rPr>
                <w:rFonts w:hint="eastAsia" w:ascii="仿宋_GB2312" w:eastAsia="仿宋_GB2312"/>
                <w:sz w:val="24"/>
              </w:rPr>
              <w:t>磋商文件条款号</w:t>
            </w:r>
          </w:p>
        </w:tc>
        <w:tc>
          <w:tcPr>
            <w:tcW w:w="2520" w:type="dxa"/>
          </w:tcPr>
          <w:p w14:paraId="181AEC1C">
            <w:pPr>
              <w:pStyle w:val="18"/>
              <w:spacing w:line="240" w:lineRule="atLeast"/>
              <w:jc w:val="center"/>
              <w:rPr>
                <w:rFonts w:ascii="仿宋_GB2312" w:eastAsia="仿宋_GB2312"/>
                <w:sz w:val="24"/>
              </w:rPr>
            </w:pPr>
            <w:r>
              <w:rPr>
                <w:rFonts w:hint="eastAsia" w:ascii="仿宋_GB2312" w:eastAsia="仿宋_GB2312"/>
                <w:sz w:val="24"/>
              </w:rPr>
              <w:t>磋商文件的商务条款</w:t>
            </w:r>
          </w:p>
        </w:tc>
        <w:tc>
          <w:tcPr>
            <w:tcW w:w="2520" w:type="dxa"/>
          </w:tcPr>
          <w:p w14:paraId="2A12ED11">
            <w:pPr>
              <w:pStyle w:val="18"/>
              <w:spacing w:line="240" w:lineRule="atLeast"/>
              <w:jc w:val="center"/>
              <w:rPr>
                <w:rFonts w:ascii="仿宋_GB2312" w:eastAsia="仿宋_GB2312"/>
                <w:sz w:val="24"/>
              </w:rPr>
            </w:pPr>
            <w:r>
              <w:rPr>
                <w:rFonts w:hint="eastAsia" w:ascii="仿宋_GB2312" w:eastAsia="仿宋_GB2312"/>
                <w:sz w:val="24"/>
              </w:rPr>
              <w:t>响应文件的商务条款</w:t>
            </w:r>
          </w:p>
        </w:tc>
        <w:tc>
          <w:tcPr>
            <w:tcW w:w="900" w:type="dxa"/>
          </w:tcPr>
          <w:p w14:paraId="56848C40">
            <w:pPr>
              <w:pStyle w:val="18"/>
              <w:spacing w:line="240" w:lineRule="atLeast"/>
              <w:jc w:val="center"/>
              <w:rPr>
                <w:rFonts w:ascii="仿宋_GB2312" w:eastAsia="仿宋_GB2312"/>
                <w:sz w:val="24"/>
              </w:rPr>
            </w:pPr>
            <w:r>
              <w:rPr>
                <w:rFonts w:hint="eastAsia" w:ascii="仿宋_GB2312" w:eastAsia="仿宋_GB2312"/>
                <w:sz w:val="24"/>
              </w:rPr>
              <w:t>说明</w:t>
            </w:r>
          </w:p>
        </w:tc>
      </w:tr>
      <w:tr w14:paraId="6CA60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B9CD1FF">
            <w:pPr>
              <w:pStyle w:val="18"/>
              <w:spacing w:line="240" w:lineRule="atLeast"/>
              <w:ind w:left="1080" w:leftChars="257" w:hanging="540"/>
              <w:rPr>
                <w:rFonts w:ascii="仿宋_GB2312" w:eastAsia="仿宋_GB2312"/>
                <w:sz w:val="24"/>
              </w:rPr>
            </w:pPr>
          </w:p>
        </w:tc>
        <w:tc>
          <w:tcPr>
            <w:tcW w:w="2040" w:type="dxa"/>
          </w:tcPr>
          <w:p w14:paraId="623B1089">
            <w:pPr>
              <w:pStyle w:val="18"/>
              <w:spacing w:line="240" w:lineRule="atLeast"/>
              <w:ind w:left="1080" w:leftChars="257" w:hanging="540"/>
              <w:rPr>
                <w:rFonts w:ascii="仿宋_GB2312" w:eastAsia="仿宋_GB2312"/>
                <w:sz w:val="24"/>
              </w:rPr>
            </w:pPr>
          </w:p>
        </w:tc>
        <w:tc>
          <w:tcPr>
            <w:tcW w:w="2520" w:type="dxa"/>
          </w:tcPr>
          <w:p w14:paraId="7468922A">
            <w:pPr>
              <w:pStyle w:val="18"/>
              <w:spacing w:line="240" w:lineRule="atLeast"/>
              <w:ind w:left="1080" w:leftChars="257" w:hanging="540"/>
              <w:jc w:val="center"/>
              <w:rPr>
                <w:rFonts w:ascii="仿宋_GB2312" w:eastAsia="仿宋_GB2312"/>
                <w:sz w:val="24"/>
              </w:rPr>
            </w:pPr>
          </w:p>
        </w:tc>
        <w:tc>
          <w:tcPr>
            <w:tcW w:w="2520" w:type="dxa"/>
          </w:tcPr>
          <w:p w14:paraId="1CCE9B17">
            <w:pPr>
              <w:pStyle w:val="18"/>
              <w:spacing w:line="240" w:lineRule="atLeast"/>
              <w:ind w:left="1080" w:leftChars="257" w:hanging="540"/>
              <w:jc w:val="center"/>
              <w:rPr>
                <w:rFonts w:ascii="仿宋_GB2312" w:eastAsia="仿宋_GB2312"/>
                <w:sz w:val="24"/>
              </w:rPr>
            </w:pPr>
          </w:p>
        </w:tc>
        <w:tc>
          <w:tcPr>
            <w:tcW w:w="900" w:type="dxa"/>
          </w:tcPr>
          <w:p w14:paraId="3F57A2AC">
            <w:pPr>
              <w:pStyle w:val="18"/>
              <w:spacing w:line="240" w:lineRule="atLeast"/>
              <w:ind w:left="1080" w:leftChars="257" w:hanging="540"/>
              <w:rPr>
                <w:rFonts w:ascii="仿宋_GB2312" w:eastAsia="仿宋_GB2312"/>
                <w:sz w:val="24"/>
              </w:rPr>
            </w:pPr>
          </w:p>
        </w:tc>
      </w:tr>
      <w:tr w14:paraId="50892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72AAD07">
            <w:pPr>
              <w:pStyle w:val="18"/>
              <w:spacing w:line="240" w:lineRule="atLeast"/>
              <w:ind w:left="1080" w:leftChars="257" w:hanging="540"/>
              <w:rPr>
                <w:rFonts w:ascii="仿宋_GB2312" w:eastAsia="仿宋_GB2312"/>
                <w:sz w:val="24"/>
              </w:rPr>
            </w:pPr>
          </w:p>
        </w:tc>
        <w:tc>
          <w:tcPr>
            <w:tcW w:w="2040" w:type="dxa"/>
          </w:tcPr>
          <w:p w14:paraId="40F80C63">
            <w:pPr>
              <w:pStyle w:val="18"/>
              <w:spacing w:line="240" w:lineRule="atLeast"/>
              <w:ind w:left="1080" w:leftChars="257" w:hanging="540"/>
              <w:rPr>
                <w:rFonts w:ascii="仿宋_GB2312" w:eastAsia="仿宋_GB2312"/>
                <w:sz w:val="24"/>
              </w:rPr>
            </w:pPr>
          </w:p>
        </w:tc>
        <w:tc>
          <w:tcPr>
            <w:tcW w:w="2520" w:type="dxa"/>
          </w:tcPr>
          <w:p w14:paraId="2E7CE7C2">
            <w:pPr>
              <w:pStyle w:val="18"/>
              <w:spacing w:line="240" w:lineRule="atLeast"/>
              <w:ind w:left="1080" w:leftChars="257" w:hanging="540"/>
              <w:rPr>
                <w:rFonts w:ascii="仿宋_GB2312" w:eastAsia="仿宋_GB2312"/>
                <w:sz w:val="24"/>
              </w:rPr>
            </w:pPr>
          </w:p>
        </w:tc>
        <w:tc>
          <w:tcPr>
            <w:tcW w:w="2520" w:type="dxa"/>
          </w:tcPr>
          <w:p w14:paraId="33E32B18">
            <w:pPr>
              <w:pStyle w:val="18"/>
              <w:spacing w:line="240" w:lineRule="atLeast"/>
              <w:ind w:left="1080" w:leftChars="257" w:hanging="540"/>
              <w:rPr>
                <w:rFonts w:ascii="仿宋_GB2312" w:eastAsia="仿宋_GB2312"/>
                <w:sz w:val="24"/>
              </w:rPr>
            </w:pPr>
          </w:p>
        </w:tc>
        <w:tc>
          <w:tcPr>
            <w:tcW w:w="900" w:type="dxa"/>
          </w:tcPr>
          <w:p w14:paraId="40C3E987">
            <w:pPr>
              <w:pStyle w:val="18"/>
              <w:spacing w:line="240" w:lineRule="atLeast"/>
              <w:ind w:left="1080" w:leftChars="257" w:hanging="540"/>
              <w:rPr>
                <w:rFonts w:ascii="仿宋_GB2312" w:eastAsia="仿宋_GB2312"/>
                <w:sz w:val="24"/>
              </w:rPr>
            </w:pPr>
          </w:p>
        </w:tc>
      </w:tr>
      <w:tr w14:paraId="184FB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355232B">
            <w:pPr>
              <w:pStyle w:val="18"/>
              <w:spacing w:line="240" w:lineRule="atLeast"/>
              <w:ind w:left="1080" w:leftChars="257" w:hanging="540"/>
              <w:rPr>
                <w:rFonts w:ascii="仿宋_GB2312" w:eastAsia="仿宋_GB2312"/>
                <w:sz w:val="24"/>
              </w:rPr>
            </w:pPr>
          </w:p>
        </w:tc>
        <w:tc>
          <w:tcPr>
            <w:tcW w:w="2040" w:type="dxa"/>
          </w:tcPr>
          <w:p w14:paraId="3EE89012">
            <w:pPr>
              <w:pStyle w:val="18"/>
              <w:spacing w:line="240" w:lineRule="atLeast"/>
              <w:ind w:left="1080" w:leftChars="257" w:hanging="540"/>
              <w:rPr>
                <w:rFonts w:ascii="仿宋_GB2312" w:eastAsia="仿宋_GB2312"/>
                <w:sz w:val="24"/>
              </w:rPr>
            </w:pPr>
          </w:p>
        </w:tc>
        <w:tc>
          <w:tcPr>
            <w:tcW w:w="2520" w:type="dxa"/>
          </w:tcPr>
          <w:p w14:paraId="50D2DE54">
            <w:pPr>
              <w:pStyle w:val="18"/>
              <w:spacing w:line="240" w:lineRule="atLeast"/>
              <w:ind w:left="1080" w:leftChars="257" w:hanging="540"/>
              <w:rPr>
                <w:rFonts w:ascii="仿宋_GB2312" w:eastAsia="仿宋_GB2312"/>
                <w:sz w:val="24"/>
              </w:rPr>
            </w:pPr>
          </w:p>
        </w:tc>
        <w:tc>
          <w:tcPr>
            <w:tcW w:w="2520" w:type="dxa"/>
          </w:tcPr>
          <w:p w14:paraId="7AA6F062">
            <w:pPr>
              <w:pStyle w:val="18"/>
              <w:spacing w:line="240" w:lineRule="atLeast"/>
              <w:ind w:left="1080" w:leftChars="257" w:hanging="540"/>
              <w:rPr>
                <w:rFonts w:ascii="仿宋_GB2312" w:eastAsia="仿宋_GB2312"/>
                <w:sz w:val="24"/>
              </w:rPr>
            </w:pPr>
          </w:p>
        </w:tc>
        <w:tc>
          <w:tcPr>
            <w:tcW w:w="900" w:type="dxa"/>
          </w:tcPr>
          <w:p w14:paraId="226B9FE9">
            <w:pPr>
              <w:pStyle w:val="18"/>
              <w:spacing w:line="240" w:lineRule="atLeast"/>
              <w:ind w:left="1080" w:leftChars="257" w:hanging="540"/>
              <w:rPr>
                <w:rFonts w:ascii="仿宋_GB2312" w:eastAsia="仿宋_GB2312"/>
                <w:sz w:val="24"/>
              </w:rPr>
            </w:pPr>
          </w:p>
        </w:tc>
      </w:tr>
      <w:tr w14:paraId="2D724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8BDD21A">
            <w:pPr>
              <w:pStyle w:val="18"/>
              <w:spacing w:line="240" w:lineRule="atLeast"/>
              <w:ind w:left="1080" w:leftChars="257" w:hanging="540"/>
              <w:rPr>
                <w:rFonts w:ascii="仿宋_GB2312" w:eastAsia="仿宋_GB2312"/>
                <w:sz w:val="24"/>
              </w:rPr>
            </w:pPr>
          </w:p>
        </w:tc>
        <w:tc>
          <w:tcPr>
            <w:tcW w:w="2040" w:type="dxa"/>
          </w:tcPr>
          <w:p w14:paraId="17101058">
            <w:pPr>
              <w:pStyle w:val="18"/>
              <w:spacing w:line="240" w:lineRule="atLeast"/>
              <w:ind w:left="1080" w:leftChars="257" w:hanging="540"/>
              <w:rPr>
                <w:rFonts w:ascii="仿宋_GB2312" w:eastAsia="仿宋_GB2312"/>
                <w:sz w:val="24"/>
              </w:rPr>
            </w:pPr>
          </w:p>
        </w:tc>
        <w:tc>
          <w:tcPr>
            <w:tcW w:w="2520" w:type="dxa"/>
          </w:tcPr>
          <w:p w14:paraId="7573A2BC">
            <w:pPr>
              <w:pStyle w:val="18"/>
              <w:spacing w:line="240" w:lineRule="atLeast"/>
              <w:ind w:left="1080" w:leftChars="257" w:hanging="540"/>
              <w:rPr>
                <w:rFonts w:ascii="仿宋_GB2312" w:eastAsia="仿宋_GB2312"/>
                <w:sz w:val="24"/>
              </w:rPr>
            </w:pPr>
          </w:p>
        </w:tc>
        <w:tc>
          <w:tcPr>
            <w:tcW w:w="2520" w:type="dxa"/>
          </w:tcPr>
          <w:p w14:paraId="26BCD55E">
            <w:pPr>
              <w:pStyle w:val="18"/>
              <w:spacing w:line="240" w:lineRule="atLeast"/>
              <w:ind w:left="1080" w:leftChars="257" w:hanging="540"/>
              <w:rPr>
                <w:rFonts w:ascii="仿宋_GB2312" w:eastAsia="仿宋_GB2312"/>
                <w:sz w:val="24"/>
              </w:rPr>
            </w:pPr>
          </w:p>
        </w:tc>
        <w:tc>
          <w:tcPr>
            <w:tcW w:w="900" w:type="dxa"/>
          </w:tcPr>
          <w:p w14:paraId="6CBA025F">
            <w:pPr>
              <w:pStyle w:val="18"/>
              <w:spacing w:line="240" w:lineRule="atLeast"/>
              <w:ind w:left="1080" w:leftChars="257" w:hanging="540"/>
              <w:rPr>
                <w:rFonts w:ascii="仿宋_GB2312" w:eastAsia="仿宋_GB2312"/>
                <w:sz w:val="24"/>
              </w:rPr>
            </w:pPr>
          </w:p>
        </w:tc>
      </w:tr>
      <w:tr w14:paraId="561F7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3F20E96">
            <w:pPr>
              <w:pStyle w:val="18"/>
              <w:spacing w:line="240" w:lineRule="atLeast"/>
              <w:ind w:left="1080" w:leftChars="257" w:hanging="540"/>
              <w:rPr>
                <w:rFonts w:ascii="仿宋_GB2312" w:eastAsia="仿宋_GB2312"/>
                <w:sz w:val="24"/>
              </w:rPr>
            </w:pPr>
          </w:p>
        </w:tc>
        <w:tc>
          <w:tcPr>
            <w:tcW w:w="2040" w:type="dxa"/>
          </w:tcPr>
          <w:p w14:paraId="3BCE6FB4">
            <w:pPr>
              <w:pStyle w:val="18"/>
              <w:spacing w:line="240" w:lineRule="atLeast"/>
              <w:ind w:left="1080" w:leftChars="257" w:hanging="540"/>
              <w:rPr>
                <w:rFonts w:ascii="仿宋_GB2312" w:eastAsia="仿宋_GB2312"/>
                <w:sz w:val="24"/>
              </w:rPr>
            </w:pPr>
          </w:p>
        </w:tc>
        <w:tc>
          <w:tcPr>
            <w:tcW w:w="2520" w:type="dxa"/>
          </w:tcPr>
          <w:p w14:paraId="54E3E6CE">
            <w:pPr>
              <w:pStyle w:val="18"/>
              <w:spacing w:line="240" w:lineRule="atLeast"/>
              <w:ind w:left="1080" w:leftChars="257" w:hanging="540"/>
              <w:rPr>
                <w:rFonts w:ascii="仿宋_GB2312" w:eastAsia="仿宋_GB2312"/>
                <w:sz w:val="24"/>
              </w:rPr>
            </w:pPr>
          </w:p>
        </w:tc>
        <w:tc>
          <w:tcPr>
            <w:tcW w:w="2520" w:type="dxa"/>
          </w:tcPr>
          <w:p w14:paraId="43424D61">
            <w:pPr>
              <w:pStyle w:val="18"/>
              <w:spacing w:line="240" w:lineRule="atLeast"/>
              <w:ind w:left="1080" w:leftChars="257" w:hanging="540"/>
              <w:rPr>
                <w:rFonts w:ascii="仿宋_GB2312" w:eastAsia="仿宋_GB2312"/>
                <w:sz w:val="24"/>
              </w:rPr>
            </w:pPr>
          </w:p>
        </w:tc>
        <w:tc>
          <w:tcPr>
            <w:tcW w:w="900" w:type="dxa"/>
          </w:tcPr>
          <w:p w14:paraId="666768B0">
            <w:pPr>
              <w:pStyle w:val="18"/>
              <w:spacing w:line="240" w:lineRule="atLeast"/>
              <w:ind w:left="1080" w:leftChars="257" w:hanging="540"/>
              <w:rPr>
                <w:rFonts w:ascii="仿宋_GB2312" w:eastAsia="仿宋_GB2312"/>
                <w:sz w:val="24"/>
              </w:rPr>
            </w:pPr>
          </w:p>
        </w:tc>
      </w:tr>
      <w:tr w14:paraId="07759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AFE3975">
            <w:pPr>
              <w:pStyle w:val="18"/>
              <w:spacing w:line="240" w:lineRule="atLeast"/>
              <w:ind w:left="1080" w:leftChars="257" w:hanging="540"/>
              <w:rPr>
                <w:rFonts w:ascii="仿宋_GB2312" w:eastAsia="仿宋_GB2312"/>
                <w:sz w:val="24"/>
              </w:rPr>
            </w:pPr>
          </w:p>
        </w:tc>
        <w:tc>
          <w:tcPr>
            <w:tcW w:w="2040" w:type="dxa"/>
          </w:tcPr>
          <w:p w14:paraId="6FD2356E">
            <w:pPr>
              <w:pStyle w:val="18"/>
              <w:spacing w:line="240" w:lineRule="atLeast"/>
              <w:ind w:left="1080" w:leftChars="257" w:hanging="540"/>
              <w:rPr>
                <w:rFonts w:ascii="仿宋_GB2312" w:eastAsia="仿宋_GB2312"/>
                <w:sz w:val="24"/>
              </w:rPr>
            </w:pPr>
          </w:p>
        </w:tc>
        <w:tc>
          <w:tcPr>
            <w:tcW w:w="2520" w:type="dxa"/>
          </w:tcPr>
          <w:p w14:paraId="2E9974D1">
            <w:pPr>
              <w:pStyle w:val="18"/>
              <w:spacing w:line="240" w:lineRule="atLeast"/>
              <w:ind w:left="1080" w:leftChars="257" w:hanging="540"/>
              <w:rPr>
                <w:rFonts w:ascii="仿宋_GB2312" w:eastAsia="仿宋_GB2312"/>
                <w:sz w:val="24"/>
              </w:rPr>
            </w:pPr>
          </w:p>
        </w:tc>
        <w:tc>
          <w:tcPr>
            <w:tcW w:w="2520" w:type="dxa"/>
          </w:tcPr>
          <w:p w14:paraId="22CBA73C">
            <w:pPr>
              <w:pStyle w:val="18"/>
              <w:spacing w:line="240" w:lineRule="atLeast"/>
              <w:ind w:left="1080" w:leftChars="257" w:hanging="540"/>
              <w:rPr>
                <w:rFonts w:ascii="仿宋_GB2312" w:eastAsia="仿宋_GB2312"/>
                <w:sz w:val="24"/>
              </w:rPr>
            </w:pPr>
          </w:p>
        </w:tc>
        <w:tc>
          <w:tcPr>
            <w:tcW w:w="900" w:type="dxa"/>
          </w:tcPr>
          <w:p w14:paraId="24B4BBDC">
            <w:pPr>
              <w:pStyle w:val="18"/>
              <w:spacing w:line="240" w:lineRule="atLeast"/>
              <w:ind w:left="1080" w:leftChars="257" w:hanging="540"/>
              <w:rPr>
                <w:rFonts w:ascii="仿宋_GB2312" w:eastAsia="仿宋_GB2312"/>
                <w:sz w:val="24"/>
              </w:rPr>
            </w:pPr>
          </w:p>
        </w:tc>
      </w:tr>
      <w:tr w14:paraId="63843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D7C7E27">
            <w:pPr>
              <w:pStyle w:val="18"/>
              <w:spacing w:line="240" w:lineRule="atLeast"/>
              <w:ind w:left="1080" w:leftChars="257" w:hanging="540"/>
              <w:rPr>
                <w:rFonts w:ascii="仿宋_GB2312" w:eastAsia="仿宋_GB2312"/>
                <w:sz w:val="24"/>
              </w:rPr>
            </w:pPr>
          </w:p>
        </w:tc>
        <w:tc>
          <w:tcPr>
            <w:tcW w:w="2040" w:type="dxa"/>
          </w:tcPr>
          <w:p w14:paraId="12F02D11">
            <w:pPr>
              <w:pStyle w:val="18"/>
              <w:spacing w:line="240" w:lineRule="atLeast"/>
              <w:ind w:left="1080" w:leftChars="257" w:hanging="540"/>
              <w:rPr>
                <w:rFonts w:ascii="仿宋_GB2312" w:eastAsia="仿宋_GB2312"/>
                <w:sz w:val="24"/>
              </w:rPr>
            </w:pPr>
          </w:p>
        </w:tc>
        <w:tc>
          <w:tcPr>
            <w:tcW w:w="2520" w:type="dxa"/>
          </w:tcPr>
          <w:p w14:paraId="0B074DE7">
            <w:pPr>
              <w:pStyle w:val="18"/>
              <w:spacing w:line="240" w:lineRule="atLeast"/>
              <w:ind w:left="1080" w:leftChars="257" w:hanging="540"/>
              <w:rPr>
                <w:rFonts w:ascii="仿宋_GB2312" w:eastAsia="仿宋_GB2312"/>
                <w:sz w:val="24"/>
              </w:rPr>
            </w:pPr>
          </w:p>
        </w:tc>
        <w:tc>
          <w:tcPr>
            <w:tcW w:w="2520" w:type="dxa"/>
          </w:tcPr>
          <w:p w14:paraId="2DBD6B0F">
            <w:pPr>
              <w:pStyle w:val="18"/>
              <w:spacing w:line="240" w:lineRule="atLeast"/>
              <w:ind w:left="1080" w:leftChars="257" w:hanging="540"/>
              <w:rPr>
                <w:rFonts w:ascii="仿宋_GB2312" w:eastAsia="仿宋_GB2312"/>
                <w:sz w:val="24"/>
              </w:rPr>
            </w:pPr>
          </w:p>
        </w:tc>
        <w:tc>
          <w:tcPr>
            <w:tcW w:w="900" w:type="dxa"/>
          </w:tcPr>
          <w:p w14:paraId="582A5913">
            <w:pPr>
              <w:pStyle w:val="18"/>
              <w:spacing w:line="240" w:lineRule="atLeast"/>
              <w:ind w:left="1080" w:leftChars="257" w:hanging="540"/>
              <w:rPr>
                <w:rFonts w:ascii="仿宋_GB2312" w:eastAsia="仿宋_GB2312"/>
                <w:sz w:val="24"/>
              </w:rPr>
            </w:pPr>
          </w:p>
        </w:tc>
      </w:tr>
      <w:tr w14:paraId="48CAE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0C3DF3B">
            <w:pPr>
              <w:pStyle w:val="18"/>
              <w:spacing w:line="240" w:lineRule="atLeast"/>
              <w:ind w:left="1080" w:leftChars="257" w:hanging="540"/>
              <w:rPr>
                <w:rFonts w:ascii="仿宋_GB2312" w:eastAsia="仿宋_GB2312"/>
                <w:sz w:val="24"/>
              </w:rPr>
            </w:pPr>
          </w:p>
        </w:tc>
        <w:tc>
          <w:tcPr>
            <w:tcW w:w="2040" w:type="dxa"/>
          </w:tcPr>
          <w:p w14:paraId="040D527C">
            <w:pPr>
              <w:pStyle w:val="18"/>
              <w:spacing w:line="240" w:lineRule="atLeast"/>
              <w:ind w:left="1080" w:leftChars="257" w:hanging="540"/>
              <w:rPr>
                <w:rFonts w:ascii="仿宋_GB2312" w:eastAsia="仿宋_GB2312"/>
                <w:sz w:val="24"/>
              </w:rPr>
            </w:pPr>
          </w:p>
        </w:tc>
        <w:tc>
          <w:tcPr>
            <w:tcW w:w="2520" w:type="dxa"/>
          </w:tcPr>
          <w:p w14:paraId="41E2C6CA">
            <w:pPr>
              <w:pStyle w:val="18"/>
              <w:spacing w:line="240" w:lineRule="atLeast"/>
              <w:ind w:left="1080" w:leftChars="257" w:hanging="540"/>
              <w:rPr>
                <w:rFonts w:ascii="仿宋_GB2312" w:eastAsia="仿宋_GB2312"/>
                <w:sz w:val="24"/>
              </w:rPr>
            </w:pPr>
          </w:p>
        </w:tc>
        <w:tc>
          <w:tcPr>
            <w:tcW w:w="2520" w:type="dxa"/>
          </w:tcPr>
          <w:p w14:paraId="496F1C15">
            <w:pPr>
              <w:pStyle w:val="18"/>
              <w:spacing w:line="240" w:lineRule="atLeast"/>
              <w:ind w:left="1080" w:leftChars="257" w:hanging="540"/>
              <w:rPr>
                <w:rFonts w:ascii="仿宋_GB2312" w:eastAsia="仿宋_GB2312"/>
                <w:sz w:val="24"/>
              </w:rPr>
            </w:pPr>
          </w:p>
        </w:tc>
        <w:tc>
          <w:tcPr>
            <w:tcW w:w="900" w:type="dxa"/>
          </w:tcPr>
          <w:p w14:paraId="7B9CDDC3">
            <w:pPr>
              <w:pStyle w:val="18"/>
              <w:spacing w:line="240" w:lineRule="atLeast"/>
              <w:ind w:left="1080" w:leftChars="257" w:hanging="540"/>
              <w:rPr>
                <w:rFonts w:ascii="仿宋_GB2312" w:eastAsia="仿宋_GB2312"/>
                <w:sz w:val="24"/>
              </w:rPr>
            </w:pPr>
          </w:p>
        </w:tc>
      </w:tr>
      <w:tr w14:paraId="641CF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9164968">
            <w:pPr>
              <w:pStyle w:val="18"/>
              <w:spacing w:line="240" w:lineRule="atLeast"/>
              <w:ind w:left="1080" w:leftChars="257" w:hanging="540"/>
              <w:rPr>
                <w:rFonts w:ascii="仿宋_GB2312" w:eastAsia="仿宋_GB2312"/>
                <w:sz w:val="24"/>
              </w:rPr>
            </w:pPr>
          </w:p>
        </w:tc>
        <w:tc>
          <w:tcPr>
            <w:tcW w:w="2040" w:type="dxa"/>
          </w:tcPr>
          <w:p w14:paraId="6B92876F">
            <w:pPr>
              <w:pStyle w:val="18"/>
              <w:spacing w:line="240" w:lineRule="atLeast"/>
              <w:ind w:left="1080" w:leftChars="257" w:hanging="540"/>
              <w:rPr>
                <w:rFonts w:ascii="仿宋_GB2312" w:eastAsia="仿宋_GB2312"/>
                <w:sz w:val="24"/>
              </w:rPr>
            </w:pPr>
          </w:p>
        </w:tc>
        <w:tc>
          <w:tcPr>
            <w:tcW w:w="2520" w:type="dxa"/>
          </w:tcPr>
          <w:p w14:paraId="67C859BC">
            <w:pPr>
              <w:pStyle w:val="18"/>
              <w:spacing w:line="240" w:lineRule="atLeast"/>
              <w:ind w:left="1080" w:leftChars="257" w:hanging="540"/>
              <w:rPr>
                <w:rFonts w:ascii="仿宋_GB2312" w:eastAsia="仿宋_GB2312"/>
                <w:sz w:val="24"/>
              </w:rPr>
            </w:pPr>
          </w:p>
        </w:tc>
        <w:tc>
          <w:tcPr>
            <w:tcW w:w="2520" w:type="dxa"/>
          </w:tcPr>
          <w:p w14:paraId="77A6F6FD">
            <w:pPr>
              <w:pStyle w:val="18"/>
              <w:spacing w:line="240" w:lineRule="atLeast"/>
              <w:ind w:left="1080" w:leftChars="257" w:hanging="540"/>
              <w:rPr>
                <w:rFonts w:ascii="仿宋_GB2312" w:eastAsia="仿宋_GB2312"/>
                <w:sz w:val="24"/>
              </w:rPr>
            </w:pPr>
          </w:p>
        </w:tc>
        <w:tc>
          <w:tcPr>
            <w:tcW w:w="900" w:type="dxa"/>
          </w:tcPr>
          <w:p w14:paraId="31FA86F3">
            <w:pPr>
              <w:pStyle w:val="18"/>
              <w:spacing w:line="240" w:lineRule="atLeast"/>
              <w:ind w:left="1080" w:leftChars="257" w:hanging="540"/>
              <w:rPr>
                <w:rFonts w:ascii="仿宋_GB2312" w:eastAsia="仿宋_GB2312"/>
                <w:sz w:val="24"/>
              </w:rPr>
            </w:pPr>
          </w:p>
        </w:tc>
      </w:tr>
    </w:tbl>
    <w:p w14:paraId="2618EF9F">
      <w:pPr>
        <w:pStyle w:val="18"/>
        <w:spacing w:line="240" w:lineRule="atLeast"/>
        <w:ind w:left="1080" w:leftChars="257" w:hanging="540"/>
        <w:rPr>
          <w:rFonts w:ascii="仿宋_GB2312" w:eastAsia="仿宋_GB2312"/>
          <w:sz w:val="24"/>
        </w:rPr>
      </w:pPr>
    </w:p>
    <w:p w14:paraId="569F23CC">
      <w:pPr>
        <w:pStyle w:val="18"/>
        <w:spacing w:line="240" w:lineRule="atLeast"/>
        <w:ind w:left="1080" w:leftChars="257" w:hanging="540"/>
        <w:rPr>
          <w:rFonts w:ascii="仿宋_GB2312" w:eastAsia="仿宋_GB2312"/>
          <w:sz w:val="24"/>
        </w:rPr>
      </w:pPr>
    </w:p>
    <w:p w14:paraId="239D3603">
      <w:pPr>
        <w:pStyle w:val="18"/>
        <w:spacing w:line="240" w:lineRule="atLeast"/>
        <w:ind w:left="1080" w:leftChars="257" w:hanging="540"/>
        <w:rPr>
          <w:rFonts w:ascii="仿宋_GB2312" w:eastAsia="仿宋_GB2312"/>
          <w:sz w:val="24"/>
        </w:rPr>
      </w:pPr>
      <w:r>
        <w:rPr>
          <w:rFonts w:hint="eastAsia" w:ascii="仿宋_GB2312" w:eastAsia="仿宋_GB2312"/>
          <w:sz w:val="24"/>
        </w:rPr>
        <w:t>法定代表人或其委托代理人</w:t>
      </w:r>
      <w:r>
        <w:rPr>
          <w:rFonts w:hint="eastAsia" w:ascii="仿宋" w:hAnsi="仿宋" w:eastAsia="仿宋" w:cs="仿宋"/>
          <w:sz w:val="24"/>
        </w:rPr>
        <w:t>（签字或签章）：</w:t>
      </w:r>
      <w:r>
        <w:rPr>
          <w:rFonts w:hint="eastAsia" w:ascii="仿宋_GB2312" w:hAnsi="宋体" w:eastAsia="仿宋_GB2312"/>
          <w:sz w:val="24"/>
          <w:u w:val="single"/>
        </w:rPr>
        <w:t xml:space="preserve"> </w:t>
      </w:r>
      <w:r>
        <w:rPr>
          <w:rFonts w:ascii="仿宋_GB2312" w:hAnsi="宋体" w:eastAsia="仿宋_GB2312"/>
          <w:sz w:val="24"/>
          <w:u w:val="single"/>
        </w:rPr>
        <w:tab/>
      </w:r>
      <w:r>
        <w:rPr>
          <w:rFonts w:hint="eastAsia" w:ascii="仿宋_GB2312" w:hAnsi="宋体" w:eastAsia="仿宋_GB2312"/>
          <w:sz w:val="24"/>
          <w:u w:val="single"/>
        </w:rPr>
        <w:t xml:space="preserve">                 </w:t>
      </w:r>
    </w:p>
    <w:p w14:paraId="0E5860AB">
      <w:pPr>
        <w:pStyle w:val="18"/>
        <w:tabs>
          <w:tab w:val="left" w:pos="5370"/>
        </w:tabs>
        <w:spacing w:line="240" w:lineRule="atLeast"/>
        <w:ind w:left="1080" w:leftChars="257" w:hanging="540"/>
        <w:rPr>
          <w:rFonts w:ascii="仿宋_GB2312" w:hAnsi="宋体" w:eastAsia="仿宋_GB2312"/>
        </w:rPr>
      </w:pPr>
      <w:r>
        <w:rPr>
          <w:rFonts w:hint="eastAsia" w:ascii="仿宋_GB2312" w:hAnsi="宋体" w:eastAsia="仿宋_GB2312"/>
          <w:sz w:val="24"/>
        </w:rPr>
        <w:t>供应商(</w:t>
      </w:r>
      <w:r>
        <w:rPr>
          <w:rFonts w:hint="eastAsia" w:ascii="仿宋_GB2312" w:hAnsi="宋体" w:eastAsia="仿宋_GB2312"/>
          <w:sz w:val="24"/>
          <w:lang w:eastAsia="zh-CN"/>
        </w:rPr>
        <w:t>盖单位公章</w:t>
      </w:r>
      <w:r>
        <w:rPr>
          <w:rFonts w:hint="eastAsia" w:ascii="仿宋_GB2312" w:hAnsi="宋体" w:eastAsia="仿宋_GB2312"/>
          <w:sz w:val="24"/>
        </w:rPr>
        <w:t>):</w:t>
      </w:r>
      <w:r>
        <w:rPr>
          <w:rFonts w:ascii="仿宋_GB2312" w:hAnsi="宋体" w:eastAsia="仿宋_GB2312"/>
          <w:sz w:val="24"/>
          <w:u w:val="single"/>
        </w:rPr>
        <w:tab/>
      </w:r>
      <w:bookmarkStart w:id="312" w:name="_Toc28099"/>
      <w:bookmarkStart w:id="313" w:name="_Toc30795"/>
      <w:bookmarkStart w:id="314" w:name="_Toc515647827"/>
      <w:r>
        <w:rPr>
          <w:rFonts w:hint="eastAsia" w:ascii="仿宋_GB2312" w:hAnsi="宋体" w:eastAsia="仿宋_GB2312"/>
          <w:sz w:val="24"/>
          <w:u w:val="single"/>
        </w:rPr>
        <w:t xml:space="preserve">       </w:t>
      </w:r>
    </w:p>
    <w:p w14:paraId="60ED2F1D">
      <w:pPr>
        <w:pStyle w:val="5"/>
        <w:rPr>
          <w:rFonts w:hint="eastAsia" w:eastAsia="宋体"/>
          <w:lang w:val="en-US" w:eastAsia="zh-CN"/>
        </w:rPr>
      </w:pPr>
      <w:r>
        <w:rPr>
          <w:rFonts w:hint="eastAsia"/>
          <w:lang w:val="en-US" w:eastAsia="zh-CN"/>
        </w:rPr>
        <w:t xml:space="preserve"> </w:t>
      </w:r>
    </w:p>
    <w:p w14:paraId="203C3C0B">
      <w:pPr>
        <w:pStyle w:val="47"/>
        <w:rPr>
          <w:rFonts w:ascii="仿宋_GB2312" w:hAnsi="宋体" w:eastAsia="仿宋_GB2312"/>
          <w:sz w:val="24"/>
        </w:rPr>
      </w:pPr>
    </w:p>
    <w:p w14:paraId="46E74498">
      <w:pPr>
        <w:pStyle w:val="3"/>
        <w:spacing w:before="0" w:line="240" w:lineRule="atLeast"/>
        <w:ind w:left="1080" w:leftChars="257" w:hanging="540"/>
        <w:rPr>
          <w:rFonts w:ascii="仿宋_GB2312" w:hAnsi="宋体" w:eastAsia="仿宋_GB2312"/>
          <w:sz w:val="24"/>
        </w:rPr>
      </w:pPr>
      <w:bookmarkStart w:id="315" w:name="_Toc3569"/>
    </w:p>
    <w:p w14:paraId="05813DC4">
      <w:pPr>
        <w:pStyle w:val="3"/>
        <w:spacing w:before="0" w:line="240" w:lineRule="atLeast"/>
        <w:ind w:left="1080" w:leftChars="257" w:hanging="540"/>
        <w:rPr>
          <w:rFonts w:ascii="仿宋_GB2312" w:hAnsi="宋体" w:eastAsia="仿宋_GB2312"/>
          <w:sz w:val="24"/>
        </w:rPr>
      </w:pPr>
    </w:p>
    <w:p w14:paraId="5ED7F259">
      <w:pPr>
        <w:rPr>
          <w:rFonts w:ascii="仿宋_GB2312" w:hAnsi="宋体" w:eastAsia="仿宋_GB2312"/>
          <w:sz w:val="24"/>
        </w:rPr>
      </w:pPr>
    </w:p>
    <w:p w14:paraId="0D6467C3">
      <w:pPr>
        <w:pStyle w:val="41"/>
        <w:rPr>
          <w:rFonts w:ascii="仿宋_GB2312" w:eastAsia="仿宋_GB2312"/>
          <w:sz w:val="24"/>
        </w:rPr>
      </w:pPr>
    </w:p>
    <w:p w14:paraId="292C2B41">
      <w:pPr>
        <w:pStyle w:val="41"/>
        <w:rPr>
          <w:rFonts w:ascii="仿宋_GB2312" w:eastAsia="仿宋_GB2312"/>
          <w:sz w:val="24"/>
        </w:rPr>
      </w:pPr>
    </w:p>
    <w:p w14:paraId="607B1ADB">
      <w:pPr>
        <w:pStyle w:val="41"/>
        <w:rPr>
          <w:rFonts w:ascii="仿宋_GB2312" w:eastAsia="仿宋_GB2312"/>
          <w:sz w:val="24"/>
        </w:rPr>
      </w:pPr>
    </w:p>
    <w:p w14:paraId="385A1E72">
      <w:pPr>
        <w:pStyle w:val="41"/>
        <w:rPr>
          <w:rFonts w:ascii="仿宋_GB2312" w:eastAsia="仿宋_GB2312"/>
          <w:sz w:val="24"/>
        </w:rPr>
      </w:pPr>
    </w:p>
    <w:p w14:paraId="16F4F875">
      <w:pPr>
        <w:pStyle w:val="41"/>
        <w:rPr>
          <w:rFonts w:ascii="仿宋_GB2312" w:eastAsia="仿宋_GB2312"/>
          <w:sz w:val="24"/>
        </w:rPr>
      </w:pPr>
    </w:p>
    <w:p w14:paraId="34AA609E">
      <w:pPr>
        <w:pStyle w:val="41"/>
        <w:rPr>
          <w:rFonts w:ascii="仿宋_GB2312" w:eastAsia="仿宋_GB2312"/>
          <w:sz w:val="24"/>
        </w:rPr>
      </w:pPr>
    </w:p>
    <w:p w14:paraId="6C4E5CD4">
      <w:pPr>
        <w:pStyle w:val="41"/>
        <w:rPr>
          <w:rFonts w:ascii="仿宋_GB2312" w:eastAsia="仿宋_GB2312"/>
          <w:sz w:val="24"/>
        </w:rPr>
      </w:pPr>
    </w:p>
    <w:p w14:paraId="3B7B60B4">
      <w:pPr>
        <w:pStyle w:val="41"/>
        <w:rPr>
          <w:rFonts w:ascii="仿宋_GB2312" w:eastAsia="仿宋_GB2312"/>
          <w:sz w:val="24"/>
        </w:rPr>
      </w:pPr>
    </w:p>
    <w:p w14:paraId="06C9A35E">
      <w:pPr>
        <w:pStyle w:val="41"/>
        <w:rPr>
          <w:rFonts w:ascii="仿宋_GB2312" w:eastAsia="仿宋_GB2312"/>
          <w:sz w:val="24"/>
        </w:rPr>
      </w:pPr>
    </w:p>
    <w:p w14:paraId="4F7383E3">
      <w:pPr>
        <w:pStyle w:val="3"/>
        <w:spacing w:before="0" w:line="240" w:lineRule="atLeast"/>
        <w:ind w:left="1080" w:leftChars="257" w:hanging="540"/>
        <w:rPr>
          <w:rFonts w:ascii="仿宋_GB2312" w:hAnsi="宋体" w:eastAsia="仿宋_GB2312"/>
          <w:sz w:val="24"/>
        </w:rPr>
      </w:pPr>
    </w:p>
    <w:p w14:paraId="521C7D27">
      <w:pPr>
        <w:pStyle w:val="3"/>
        <w:spacing w:before="0" w:line="240" w:lineRule="atLeast"/>
        <w:ind w:left="1080" w:leftChars="257" w:hanging="540"/>
        <w:rPr>
          <w:rFonts w:ascii="仿宋_GB2312" w:hAnsi="宋体" w:eastAsia="仿宋_GB2312"/>
          <w:sz w:val="24"/>
        </w:rPr>
      </w:pPr>
    </w:p>
    <w:p w14:paraId="2A909970">
      <w:pPr>
        <w:pStyle w:val="3"/>
        <w:spacing w:before="0" w:line="240" w:lineRule="atLeast"/>
        <w:ind w:left="1080" w:leftChars="257" w:hanging="540"/>
        <w:rPr>
          <w:rFonts w:ascii="仿宋_GB2312" w:hAnsi="宋体" w:eastAsia="仿宋_GB2312"/>
          <w:sz w:val="24"/>
        </w:rPr>
      </w:pPr>
    </w:p>
    <w:p w14:paraId="538ED5F0">
      <w:pPr>
        <w:pStyle w:val="3"/>
        <w:spacing w:before="0" w:line="240" w:lineRule="atLeast"/>
        <w:ind w:left="1080" w:leftChars="257" w:hanging="540"/>
        <w:rPr>
          <w:rFonts w:ascii="仿宋_GB2312" w:hAnsi="宋体" w:eastAsia="仿宋_GB2312"/>
          <w:sz w:val="24"/>
        </w:rPr>
      </w:pPr>
      <w:bookmarkStart w:id="316" w:name="_Toc24532"/>
      <w:r>
        <w:rPr>
          <w:rFonts w:hint="eastAsia" w:ascii="仿宋_GB2312" w:hAnsi="宋体" w:eastAsia="仿宋_GB2312"/>
          <w:sz w:val="24"/>
        </w:rPr>
        <w:t>5、</w:t>
      </w:r>
      <w:r>
        <w:rPr>
          <w:rFonts w:hint="eastAsia" w:ascii="仿宋" w:hAnsi="仿宋" w:eastAsia="仿宋" w:cs="仿宋"/>
          <w:sz w:val="24"/>
        </w:rPr>
        <w:t>技术规格偏离表（响应文件格式八）</w:t>
      </w:r>
      <w:bookmarkEnd w:id="316"/>
    </w:p>
    <w:p w14:paraId="1CCF2D88">
      <w:pPr>
        <w:pStyle w:val="3"/>
        <w:spacing w:before="0" w:line="240" w:lineRule="atLeast"/>
        <w:ind w:left="1080" w:leftChars="257" w:hanging="540"/>
        <w:rPr>
          <w:rFonts w:ascii="仿宋_GB2312" w:hAnsi="宋体" w:eastAsia="仿宋_GB2312"/>
          <w:sz w:val="24"/>
        </w:rPr>
      </w:pPr>
    </w:p>
    <w:p w14:paraId="57DD8784">
      <w:pPr>
        <w:pStyle w:val="18"/>
        <w:spacing w:line="240" w:lineRule="atLeast"/>
        <w:ind w:firstLine="720" w:firstLineChars="300"/>
        <w:rPr>
          <w:rFonts w:ascii="仿宋" w:hAnsi="仿宋" w:eastAsia="仿宋" w:cs="仿宋"/>
          <w:sz w:val="24"/>
        </w:rPr>
      </w:pPr>
      <w:r>
        <w:rPr>
          <w:rFonts w:hint="eastAsia" w:ascii="仿宋" w:hAnsi="仿宋" w:eastAsia="仿宋" w:cs="仿宋"/>
          <w:sz w:val="24"/>
        </w:rPr>
        <w:t xml:space="preserve">项目名称:                       招标编号:                </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2340"/>
        <w:gridCol w:w="1260"/>
        <w:gridCol w:w="1260"/>
        <w:gridCol w:w="900"/>
        <w:gridCol w:w="900"/>
      </w:tblGrid>
      <w:tr w14:paraId="1B654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14:paraId="0A07534C">
            <w:pPr>
              <w:pStyle w:val="18"/>
              <w:spacing w:line="240" w:lineRule="atLeast"/>
              <w:jc w:val="center"/>
              <w:rPr>
                <w:rFonts w:ascii="仿宋" w:hAnsi="仿宋" w:eastAsia="仿宋" w:cs="仿宋"/>
                <w:sz w:val="24"/>
              </w:rPr>
            </w:pPr>
            <w:r>
              <w:rPr>
                <w:rFonts w:hint="eastAsia" w:ascii="仿宋" w:hAnsi="仿宋" w:eastAsia="仿宋" w:cs="仿宋"/>
                <w:sz w:val="24"/>
              </w:rPr>
              <w:t>序号</w:t>
            </w:r>
          </w:p>
        </w:tc>
        <w:tc>
          <w:tcPr>
            <w:tcW w:w="1260" w:type="dxa"/>
            <w:vAlign w:val="center"/>
          </w:tcPr>
          <w:p w14:paraId="20C7AE35">
            <w:pPr>
              <w:pStyle w:val="18"/>
              <w:spacing w:line="240" w:lineRule="atLeast"/>
              <w:jc w:val="center"/>
              <w:rPr>
                <w:rFonts w:ascii="仿宋" w:hAnsi="仿宋" w:eastAsia="仿宋" w:cs="仿宋"/>
                <w:sz w:val="24"/>
              </w:rPr>
            </w:pPr>
            <w:r>
              <w:rPr>
                <w:rFonts w:hint="eastAsia" w:ascii="仿宋" w:hAnsi="仿宋" w:eastAsia="仿宋" w:cs="仿宋"/>
                <w:sz w:val="24"/>
              </w:rPr>
              <w:t>货物名称</w:t>
            </w:r>
          </w:p>
        </w:tc>
        <w:tc>
          <w:tcPr>
            <w:tcW w:w="2340" w:type="dxa"/>
            <w:vAlign w:val="center"/>
          </w:tcPr>
          <w:p w14:paraId="7CFC2559">
            <w:pPr>
              <w:pStyle w:val="18"/>
              <w:spacing w:line="240" w:lineRule="atLeast"/>
              <w:ind w:left="269" w:leftChars="128"/>
              <w:jc w:val="center"/>
              <w:rPr>
                <w:rFonts w:ascii="仿宋" w:hAnsi="仿宋" w:eastAsia="仿宋" w:cs="仿宋"/>
                <w:sz w:val="24"/>
              </w:rPr>
            </w:pPr>
            <w:r>
              <w:rPr>
                <w:rFonts w:hint="eastAsia" w:ascii="仿宋" w:hAnsi="仿宋" w:eastAsia="仿宋" w:cs="仿宋"/>
                <w:sz w:val="24"/>
              </w:rPr>
              <w:t>磋商文件条款号</w:t>
            </w:r>
          </w:p>
        </w:tc>
        <w:tc>
          <w:tcPr>
            <w:tcW w:w="1260" w:type="dxa"/>
            <w:vAlign w:val="center"/>
          </w:tcPr>
          <w:p w14:paraId="1599E9EA">
            <w:pPr>
              <w:pStyle w:val="18"/>
              <w:spacing w:line="240" w:lineRule="atLeast"/>
              <w:jc w:val="center"/>
              <w:rPr>
                <w:rFonts w:ascii="仿宋" w:hAnsi="仿宋" w:eastAsia="仿宋" w:cs="仿宋"/>
                <w:sz w:val="24"/>
              </w:rPr>
            </w:pPr>
            <w:r>
              <w:rPr>
                <w:rFonts w:hint="eastAsia" w:ascii="仿宋" w:hAnsi="仿宋" w:eastAsia="仿宋" w:cs="仿宋"/>
                <w:sz w:val="24"/>
              </w:rPr>
              <w:t>招标规格</w:t>
            </w:r>
          </w:p>
        </w:tc>
        <w:tc>
          <w:tcPr>
            <w:tcW w:w="1260" w:type="dxa"/>
            <w:vAlign w:val="center"/>
          </w:tcPr>
          <w:p w14:paraId="31BA9B71">
            <w:pPr>
              <w:pStyle w:val="18"/>
              <w:spacing w:line="240" w:lineRule="atLeast"/>
              <w:jc w:val="center"/>
              <w:rPr>
                <w:rFonts w:ascii="仿宋" w:hAnsi="仿宋" w:eastAsia="仿宋" w:cs="仿宋"/>
                <w:sz w:val="24"/>
              </w:rPr>
            </w:pPr>
            <w:r>
              <w:rPr>
                <w:rFonts w:hint="eastAsia" w:ascii="仿宋" w:hAnsi="仿宋" w:eastAsia="仿宋" w:cs="仿宋"/>
                <w:sz w:val="24"/>
              </w:rPr>
              <w:t>投标规格</w:t>
            </w:r>
          </w:p>
        </w:tc>
        <w:tc>
          <w:tcPr>
            <w:tcW w:w="900" w:type="dxa"/>
            <w:vAlign w:val="center"/>
          </w:tcPr>
          <w:p w14:paraId="43D3ED62">
            <w:pPr>
              <w:pStyle w:val="18"/>
              <w:spacing w:line="240" w:lineRule="atLeast"/>
              <w:jc w:val="center"/>
              <w:rPr>
                <w:rFonts w:ascii="仿宋" w:hAnsi="仿宋" w:eastAsia="仿宋" w:cs="仿宋"/>
                <w:sz w:val="24"/>
              </w:rPr>
            </w:pPr>
            <w:r>
              <w:rPr>
                <w:rFonts w:hint="eastAsia" w:ascii="仿宋" w:hAnsi="仿宋" w:eastAsia="仿宋" w:cs="仿宋"/>
                <w:sz w:val="24"/>
              </w:rPr>
              <w:t>偏离</w:t>
            </w:r>
          </w:p>
        </w:tc>
        <w:tc>
          <w:tcPr>
            <w:tcW w:w="900" w:type="dxa"/>
            <w:vAlign w:val="center"/>
          </w:tcPr>
          <w:p w14:paraId="1281A73A">
            <w:pPr>
              <w:pStyle w:val="18"/>
              <w:spacing w:line="240" w:lineRule="atLeast"/>
              <w:jc w:val="center"/>
              <w:rPr>
                <w:rFonts w:ascii="仿宋" w:hAnsi="仿宋" w:eastAsia="仿宋" w:cs="仿宋"/>
                <w:sz w:val="24"/>
              </w:rPr>
            </w:pPr>
            <w:r>
              <w:rPr>
                <w:rFonts w:hint="eastAsia" w:ascii="仿宋" w:hAnsi="仿宋" w:eastAsia="仿宋" w:cs="仿宋"/>
                <w:sz w:val="24"/>
              </w:rPr>
              <w:t>说明</w:t>
            </w:r>
          </w:p>
        </w:tc>
      </w:tr>
      <w:tr w14:paraId="6C688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B6A8DFB">
            <w:pPr>
              <w:pStyle w:val="18"/>
              <w:spacing w:line="240" w:lineRule="atLeast"/>
              <w:ind w:left="1080" w:leftChars="257" w:hanging="540"/>
              <w:rPr>
                <w:rFonts w:ascii="仿宋" w:hAnsi="仿宋" w:eastAsia="仿宋" w:cs="仿宋"/>
                <w:sz w:val="24"/>
              </w:rPr>
            </w:pPr>
          </w:p>
        </w:tc>
        <w:tc>
          <w:tcPr>
            <w:tcW w:w="1260" w:type="dxa"/>
          </w:tcPr>
          <w:p w14:paraId="3BFC3F2E">
            <w:pPr>
              <w:pStyle w:val="18"/>
              <w:spacing w:line="240" w:lineRule="atLeast"/>
              <w:ind w:left="1080" w:leftChars="257" w:hanging="540"/>
              <w:rPr>
                <w:rFonts w:ascii="仿宋" w:hAnsi="仿宋" w:eastAsia="仿宋" w:cs="仿宋"/>
                <w:sz w:val="24"/>
              </w:rPr>
            </w:pPr>
          </w:p>
        </w:tc>
        <w:tc>
          <w:tcPr>
            <w:tcW w:w="2340" w:type="dxa"/>
          </w:tcPr>
          <w:p w14:paraId="3FFF108B">
            <w:pPr>
              <w:pStyle w:val="18"/>
              <w:spacing w:line="240" w:lineRule="atLeast"/>
              <w:ind w:left="1080" w:leftChars="257" w:hanging="540"/>
              <w:rPr>
                <w:rFonts w:ascii="仿宋" w:hAnsi="仿宋" w:eastAsia="仿宋" w:cs="仿宋"/>
                <w:sz w:val="24"/>
              </w:rPr>
            </w:pPr>
          </w:p>
        </w:tc>
        <w:tc>
          <w:tcPr>
            <w:tcW w:w="1260" w:type="dxa"/>
          </w:tcPr>
          <w:p w14:paraId="321610A0">
            <w:pPr>
              <w:pStyle w:val="18"/>
              <w:spacing w:line="240" w:lineRule="atLeast"/>
              <w:ind w:left="1080" w:leftChars="257" w:hanging="540"/>
              <w:rPr>
                <w:rFonts w:ascii="仿宋" w:hAnsi="仿宋" w:eastAsia="仿宋" w:cs="仿宋"/>
                <w:sz w:val="24"/>
              </w:rPr>
            </w:pPr>
          </w:p>
        </w:tc>
        <w:tc>
          <w:tcPr>
            <w:tcW w:w="1260" w:type="dxa"/>
          </w:tcPr>
          <w:p w14:paraId="0B2FD5FF">
            <w:pPr>
              <w:pStyle w:val="18"/>
              <w:spacing w:line="240" w:lineRule="atLeast"/>
              <w:ind w:left="1080" w:leftChars="257" w:hanging="540"/>
              <w:rPr>
                <w:rFonts w:ascii="仿宋" w:hAnsi="仿宋" w:eastAsia="仿宋" w:cs="仿宋"/>
                <w:sz w:val="24"/>
              </w:rPr>
            </w:pPr>
          </w:p>
        </w:tc>
        <w:tc>
          <w:tcPr>
            <w:tcW w:w="900" w:type="dxa"/>
          </w:tcPr>
          <w:p w14:paraId="0B68BACE">
            <w:pPr>
              <w:pStyle w:val="18"/>
              <w:spacing w:line="240" w:lineRule="atLeast"/>
              <w:ind w:left="1080" w:leftChars="257" w:hanging="540"/>
              <w:rPr>
                <w:rFonts w:ascii="仿宋" w:hAnsi="仿宋" w:eastAsia="仿宋" w:cs="仿宋"/>
                <w:sz w:val="24"/>
              </w:rPr>
            </w:pPr>
          </w:p>
        </w:tc>
        <w:tc>
          <w:tcPr>
            <w:tcW w:w="900" w:type="dxa"/>
          </w:tcPr>
          <w:p w14:paraId="057B0BA5">
            <w:pPr>
              <w:pStyle w:val="18"/>
              <w:spacing w:line="240" w:lineRule="atLeast"/>
              <w:ind w:left="1080" w:leftChars="257" w:hanging="540"/>
              <w:rPr>
                <w:rFonts w:ascii="仿宋" w:hAnsi="仿宋" w:eastAsia="仿宋" w:cs="仿宋"/>
                <w:sz w:val="24"/>
              </w:rPr>
            </w:pPr>
          </w:p>
        </w:tc>
      </w:tr>
      <w:tr w14:paraId="65CBF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0F1E472">
            <w:pPr>
              <w:pStyle w:val="18"/>
              <w:spacing w:line="240" w:lineRule="atLeast"/>
              <w:ind w:left="1080" w:leftChars="257" w:hanging="540"/>
              <w:rPr>
                <w:rFonts w:ascii="仿宋" w:hAnsi="仿宋" w:eastAsia="仿宋" w:cs="仿宋"/>
                <w:sz w:val="24"/>
              </w:rPr>
            </w:pPr>
          </w:p>
        </w:tc>
        <w:tc>
          <w:tcPr>
            <w:tcW w:w="1260" w:type="dxa"/>
          </w:tcPr>
          <w:p w14:paraId="5CFE28BC">
            <w:pPr>
              <w:pStyle w:val="18"/>
              <w:spacing w:line="240" w:lineRule="atLeast"/>
              <w:ind w:left="1080" w:leftChars="257" w:hanging="540"/>
              <w:rPr>
                <w:rFonts w:ascii="仿宋" w:hAnsi="仿宋" w:eastAsia="仿宋" w:cs="仿宋"/>
                <w:sz w:val="24"/>
              </w:rPr>
            </w:pPr>
          </w:p>
        </w:tc>
        <w:tc>
          <w:tcPr>
            <w:tcW w:w="2340" w:type="dxa"/>
          </w:tcPr>
          <w:p w14:paraId="7ACA73D8">
            <w:pPr>
              <w:pStyle w:val="18"/>
              <w:spacing w:line="240" w:lineRule="atLeast"/>
              <w:ind w:left="1080" w:leftChars="257" w:hanging="540"/>
              <w:rPr>
                <w:rFonts w:ascii="仿宋" w:hAnsi="仿宋" w:eastAsia="仿宋" w:cs="仿宋"/>
                <w:sz w:val="24"/>
              </w:rPr>
            </w:pPr>
          </w:p>
        </w:tc>
        <w:tc>
          <w:tcPr>
            <w:tcW w:w="1260" w:type="dxa"/>
          </w:tcPr>
          <w:p w14:paraId="1E0A8142">
            <w:pPr>
              <w:pStyle w:val="18"/>
              <w:spacing w:line="240" w:lineRule="atLeast"/>
              <w:ind w:left="1080" w:leftChars="257" w:hanging="540"/>
              <w:rPr>
                <w:rFonts w:ascii="仿宋" w:hAnsi="仿宋" w:eastAsia="仿宋" w:cs="仿宋"/>
                <w:sz w:val="24"/>
              </w:rPr>
            </w:pPr>
          </w:p>
        </w:tc>
        <w:tc>
          <w:tcPr>
            <w:tcW w:w="1260" w:type="dxa"/>
          </w:tcPr>
          <w:p w14:paraId="4B277034">
            <w:pPr>
              <w:pStyle w:val="18"/>
              <w:spacing w:line="240" w:lineRule="atLeast"/>
              <w:ind w:left="1080" w:leftChars="257" w:hanging="540"/>
              <w:rPr>
                <w:rFonts w:ascii="仿宋" w:hAnsi="仿宋" w:eastAsia="仿宋" w:cs="仿宋"/>
                <w:sz w:val="24"/>
              </w:rPr>
            </w:pPr>
          </w:p>
        </w:tc>
        <w:tc>
          <w:tcPr>
            <w:tcW w:w="900" w:type="dxa"/>
          </w:tcPr>
          <w:p w14:paraId="5E3CF814">
            <w:pPr>
              <w:pStyle w:val="18"/>
              <w:spacing w:line="240" w:lineRule="atLeast"/>
              <w:ind w:left="1080" w:leftChars="257" w:hanging="540"/>
              <w:rPr>
                <w:rFonts w:ascii="仿宋" w:hAnsi="仿宋" w:eastAsia="仿宋" w:cs="仿宋"/>
                <w:sz w:val="24"/>
              </w:rPr>
            </w:pPr>
          </w:p>
        </w:tc>
        <w:tc>
          <w:tcPr>
            <w:tcW w:w="900" w:type="dxa"/>
          </w:tcPr>
          <w:p w14:paraId="6AE1D51B">
            <w:pPr>
              <w:pStyle w:val="18"/>
              <w:spacing w:line="240" w:lineRule="atLeast"/>
              <w:ind w:left="1080" w:leftChars="257" w:hanging="540"/>
              <w:rPr>
                <w:rFonts w:ascii="仿宋" w:hAnsi="仿宋" w:eastAsia="仿宋" w:cs="仿宋"/>
                <w:sz w:val="24"/>
              </w:rPr>
            </w:pPr>
          </w:p>
        </w:tc>
      </w:tr>
      <w:tr w14:paraId="2C24F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2777A33">
            <w:pPr>
              <w:pStyle w:val="18"/>
              <w:spacing w:line="240" w:lineRule="atLeast"/>
              <w:ind w:left="1080" w:leftChars="257" w:hanging="540"/>
              <w:rPr>
                <w:rFonts w:ascii="仿宋" w:hAnsi="仿宋" w:eastAsia="仿宋" w:cs="仿宋"/>
                <w:sz w:val="24"/>
              </w:rPr>
            </w:pPr>
          </w:p>
        </w:tc>
        <w:tc>
          <w:tcPr>
            <w:tcW w:w="1260" w:type="dxa"/>
          </w:tcPr>
          <w:p w14:paraId="1F101AD0">
            <w:pPr>
              <w:pStyle w:val="18"/>
              <w:spacing w:line="240" w:lineRule="atLeast"/>
              <w:ind w:left="1080" w:leftChars="257" w:hanging="540"/>
              <w:rPr>
                <w:rFonts w:ascii="仿宋" w:hAnsi="仿宋" w:eastAsia="仿宋" w:cs="仿宋"/>
                <w:sz w:val="24"/>
              </w:rPr>
            </w:pPr>
          </w:p>
        </w:tc>
        <w:tc>
          <w:tcPr>
            <w:tcW w:w="2340" w:type="dxa"/>
          </w:tcPr>
          <w:p w14:paraId="67C805C5">
            <w:pPr>
              <w:pStyle w:val="18"/>
              <w:spacing w:line="240" w:lineRule="atLeast"/>
              <w:ind w:left="1080" w:leftChars="257" w:hanging="540"/>
              <w:rPr>
                <w:rFonts w:ascii="仿宋" w:hAnsi="仿宋" w:eastAsia="仿宋" w:cs="仿宋"/>
                <w:sz w:val="24"/>
              </w:rPr>
            </w:pPr>
          </w:p>
        </w:tc>
        <w:tc>
          <w:tcPr>
            <w:tcW w:w="1260" w:type="dxa"/>
          </w:tcPr>
          <w:p w14:paraId="481EC184">
            <w:pPr>
              <w:pStyle w:val="18"/>
              <w:spacing w:line="240" w:lineRule="atLeast"/>
              <w:ind w:left="1080" w:leftChars="257" w:hanging="540"/>
              <w:rPr>
                <w:rFonts w:ascii="仿宋" w:hAnsi="仿宋" w:eastAsia="仿宋" w:cs="仿宋"/>
                <w:sz w:val="24"/>
              </w:rPr>
            </w:pPr>
          </w:p>
        </w:tc>
        <w:tc>
          <w:tcPr>
            <w:tcW w:w="1260" w:type="dxa"/>
          </w:tcPr>
          <w:p w14:paraId="209C63A3">
            <w:pPr>
              <w:pStyle w:val="18"/>
              <w:spacing w:line="240" w:lineRule="atLeast"/>
              <w:ind w:left="1080" w:leftChars="257" w:hanging="540"/>
              <w:rPr>
                <w:rFonts w:ascii="仿宋" w:hAnsi="仿宋" w:eastAsia="仿宋" w:cs="仿宋"/>
                <w:sz w:val="24"/>
              </w:rPr>
            </w:pPr>
          </w:p>
        </w:tc>
        <w:tc>
          <w:tcPr>
            <w:tcW w:w="900" w:type="dxa"/>
          </w:tcPr>
          <w:p w14:paraId="63352E47">
            <w:pPr>
              <w:pStyle w:val="18"/>
              <w:spacing w:line="240" w:lineRule="atLeast"/>
              <w:ind w:left="1080" w:leftChars="257" w:hanging="540"/>
              <w:rPr>
                <w:rFonts w:ascii="仿宋" w:hAnsi="仿宋" w:eastAsia="仿宋" w:cs="仿宋"/>
                <w:sz w:val="24"/>
              </w:rPr>
            </w:pPr>
          </w:p>
        </w:tc>
        <w:tc>
          <w:tcPr>
            <w:tcW w:w="900" w:type="dxa"/>
          </w:tcPr>
          <w:p w14:paraId="689B7DCA">
            <w:pPr>
              <w:pStyle w:val="18"/>
              <w:spacing w:line="240" w:lineRule="atLeast"/>
              <w:ind w:left="1080" w:leftChars="257" w:hanging="540"/>
              <w:rPr>
                <w:rFonts w:ascii="仿宋" w:hAnsi="仿宋" w:eastAsia="仿宋" w:cs="仿宋"/>
                <w:sz w:val="24"/>
              </w:rPr>
            </w:pPr>
          </w:p>
        </w:tc>
      </w:tr>
      <w:tr w14:paraId="6D41D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C5BBFBB">
            <w:pPr>
              <w:pStyle w:val="18"/>
              <w:spacing w:line="240" w:lineRule="atLeast"/>
              <w:ind w:left="1080" w:leftChars="257" w:hanging="540"/>
              <w:rPr>
                <w:rFonts w:ascii="仿宋" w:hAnsi="仿宋" w:eastAsia="仿宋" w:cs="仿宋"/>
                <w:sz w:val="24"/>
              </w:rPr>
            </w:pPr>
          </w:p>
        </w:tc>
        <w:tc>
          <w:tcPr>
            <w:tcW w:w="1260" w:type="dxa"/>
          </w:tcPr>
          <w:p w14:paraId="2E6D8AC1">
            <w:pPr>
              <w:pStyle w:val="18"/>
              <w:spacing w:line="240" w:lineRule="atLeast"/>
              <w:ind w:left="1080" w:leftChars="257" w:hanging="540"/>
              <w:rPr>
                <w:rFonts w:ascii="仿宋" w:hAnsi="仿宋" w:eastAsia="仿宋" w:cs="仿宋"/>
                <w:sz w:val="24"/>
              </w:rPr>
            </w:pPr>
          </w:p>
        </w:tc>
        <w:tc>
          <w:tcPr>
            <w:tcW w:w="2340" w:type="dxa"/>
          </w:tcPr>
          <w:p w14:paraId="098A6146">
            <w:pPr>
              <w:pStyle w:val="18"/>
              <w:spacing w:line="240" w:lineRule="atLeast"/>
              <w:ind w:left="1080" w:leftChars="257" w:hanging="540"/>
              <w:rPr>
                <w:rFonts w:ascii="仿宋" w:hAnsi="仿宋" w:eastAsia="仿宋" w:cs="仿宋"/>
                <w:sz w:val="24"/>
              </w:rPr>
            </w:pPr>
          </w:p>
        </w:tc>
        <w:tc>
          <w:tcPr>
            <w:tcW w:w="1260" w:type="dxa"/>
          </w:tcPr>
          <w:p w14:paraId="606BBEBF">
            <w:pPr>
              <w:pStyle w:val="18"/>
              <w:spacing w:line="240" w:lineRule="atLeast"/>
              <w:ind w:left="1080" w:leftChars="257" w:hanging="540"/>
              <w:rPr>
                <w:rFonts w:ascii="仿宋" w:hAnsi="仿宋" w:eastAsia="仿宋" w:cs="仿宋"/>
                <w:sz w:val="24"/>
              </w:rPr>
            </w:pPr>
          </w:p>
        </w:tc>
        <w:tc>
          <w:tcPr>
            <w:tcW w:w="1260" w:type="dxa"/>
          </w:tcPr>
          <w:p w14:paraId="74FEBEA8">
            <w:pPr>
              <w:pStyle w:val="18"/>
              <w:spacing w:line="240" w:lineRule="atLeast"/>
              <w:ind w:left="1080" w:leftChars="257" w:hanging="540"/>
              <w:rPr>
                <w:rFonts w:ascii="仿宋" w:hAnsi="仿宋" w:eastAsia="仿宋" w:cs="仿宋"/>
                <w:sz w:val="24"/>
              </w:rPr>
            </w:pPr>
          </w:p>
        </w:tc>
        <w:tc>
          <w:tcPr>
            <w:tcW w:w="900" w:type="dxa"/>
          </w:tcPr>
          <w:p w14:paraId="62103480">
            <w:pPr>
              <w:pStyle w:val="18"/>
              <w:spacing w:line="240" w:lineRule="atLeast"/>
              <w:ind w:left="1080" w:leftChars="257" w:hanging="540"/>
              <w:rPr>
                <w:rFonts w:ascii="仿宋" w:hAnsi="仿宋" w:eastAsia="仿宋" w:cs="仿宋"/>
                <w:sz w:val="24"/>
              </w:rPr>
            </w:pPr>
          </w:p>
        </w:tc>
        <w:tc>
          <w:tcPr>
            <w:tcW w:w="900" w:type="dxa"/>
          </w:tcPr>
          <w:p w14:paraId="469AA040">
            <w:pPr>
              <w:pStyle w:val="18"/>
              <w:spacing w:line="240" w:lineRule="atLeast"/>
              <w:ind w:left="1080" w:leftChars="257" w:hanging="540"/>
              <w:rPr>
                <w:rFonts w:ascii="仿宋" w:hAnsi="仿宋" w:eastAsia="仿宋" w:cs="仿宋"/>
                <w:sz w:val="24"/>
              </w:rPr>
            </w:pPr>
          </w:p>
        </w:tc>
      </w:tr>
      <w:tr w14:paraId="1965A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0731FE7">
            <w:pPr>
              <w:pStyle w:val="18"/>
              <w:spacing w:line="240" w:lineRule="atLeast"/>
              <w:ind w:left="1080" w:leftChars="257" w:hanging="540"/>
              <w:rPr>
                <w:rFonts w:ascii="仿宋" w:hAnsi="仿宋" w:eastAsia="仿宋" w:cs="仿宋"/>
                <w:sz w:val="24"/>
              </w:rPr>
            </w:pPr>
          </w:p>
        </w:tc>
        <w:tc>
          <w:tcPr>
            <w:tcW w:w="1260" w:type="dxa"/>
          </w:tcPr>
          <w:p w14:paraId="29411D58">
            <w:pPr>
              <w:pStyle w:val="18"/>
              <w:spacing w:line="240" w:lineRule="atLeast"/>
              <w:ind w:left="1080" w:leftChars="257" w:hanging="540"/>
              <w:rPr>
                <w:rFonts w:ascii="仿宋" w:hAnsi="仿宋" w:eastAsia="仿宋" w:cs="仿宋"/>
                <w:sz w:val="24"/>
              </w:rPr>
            </w:pPr>
          </w:p>
        </w:tc>
        <w:tc>
          <w:tcPr>
            <w:tcW w:w="2340" w:type="dxa"/>
          </w:tcPr>
          <w:p w14:paraId="10772CC6">
            <w:pPr>
              <w:pStyle w:val="18"/>
              <w:spacing w:line="240" w:lineRule="atLeast"/>
              <w:ind w:left="1080" w:leftChars="257" w:hanging="540"/>
              <w:rPr>
                <w:rFonts w:ascii="仿宋" w:hAnsi="仿宋" w:eastAsia="仿宋" w:cs="仿宋"/>
                <w:sz w:val="24"/>
              </w:rPr>
            </w:pPr>
          </w:p>
        </w:tc>
        <w:tc>
          <w:tcPr>
            <w:tcW w:w="1260" w:type="dxa"/>
          </w:tcPr>
          <w:p w14:paraId="36B917B7">
            <w:pPr>
              <w:pStyle w:val="18"/>
              <w:spacing w:line="240" w:lineRule="atLeast"/>
              <w:ind w:left="1080" w:leftChars="257" w:hanging="540"/>
              <w:rPr>
                <w:rFonts w:ascii="仿宋" w:hAnsi="仿宋" w:eastAsia="仿宋" w:cs="仿宋"/>
                <w:sz w:val="24"/>
              </w:rPr>
            </w:pPr>
          </w:p>
        </w:tc>
        <w:tc>
          <w:tcPr>
            <w:tcW w:w="1260" w:type="dxa"/>
          </w:tcPr>
          <w:p w14:paraId="00B19AC9">
            <w:pPr>
              <w:pStyle w:val="18"/>
              <w:spacing w:line="240" w:lineRule="atLeast"/>
              <w:ind w:left="1080" w:leftChars="257" w:hanging="540"/>
              <w:rPr>
                <w:rFonts w:ascii="仿宋" w:hAnsi="仿宋" w:eastAsia="仿宋" w:cs="仿宋"/>
                <w:sz w:val="24"/>
              </w:rPr>
            </w:pPr>
          </w:p>
        </w:tc>
        <w:tc>
          <w:tcPr>
            <w:tcW w:w="900" w:type="dxa"/>
          </w:tcPr>
          <w:p w14:paraId="479F583D">
            <w:pPr>
              <w:pStyle w:val="18"/>
              <w:spacing w:line="240" w:lineRule="atLeast"/>
              <w:ind w:left="1080" w:leftChars="257" w:hanging="540"/>
              <w:rPr>
                <w:rFonts w:ascii="仿宋" w:hAnsi="仿宋" w:eastAsia="仿宋" w:cs="仿宋"/>
                <w:sz w:val="24"/>
              </w:rPr>
            </w:pPr>
          </w:p>
        </w:tc>
        <w:tc>
          <w:tcPr>
            <w:tcW w:w="900" w:type="dxa"/>
          </w:tcPr>
          <w:p w14:paraId="2A2AF503">
            <w:pPr>
              <w:pStyle w:val="18"/>
              <w:spacing w:line="240" w:lineRule="atLeast"/>
              <w:ind w:left="1080" w:leftChars="257" w:hanging="540"/>
              <w:rPr>
                <w:rFonts w:ascii="仿宋" w:hAnsi="仿宋" w:eastAsia="仿宋" w:cs="仿宋"/>
                <w:sz w:val="24"/>
              </w:rPr>
            </w:pPr>
          </w:p>
        </w:tc>
      </w:tr>
      <w:tr w14:paraId="08194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9728F5A">
            <w:pPr>
              <w:pStyle w:val="18"/>
              <w:spacing w:line="240" w:lineRule="atLeast"/>
              <w:ind w:left="1080" w:leftChars="257" w:hanging="540"/>
              <w:rPr>
                <w:rFonts w:ascii="仿宋" w:hAnsi="仿宋" w:eastAsia="仿宋" w:cs="仿宋"/>
                <w:sz w:val="24"/>
              </w:rPr>
            </w:pPr>
          </w:p>
        </w:tc>
        <w:tc>
          <w:tcPr>
            <w:tcW w:w="1260" w:type="dxa"/>
          </w:tcPr>
          <w:p w14:paraId="0CA3B058">
            <w:pPr>
              <w:pStyle w:val="18"/>
              <w:spacing w:line="240" w:lineRule="atLeast"/>
              <w:ind w:left="1080" w:leftChars="257" w:hanging="540"/>
              <w:rPr>
                <w:rFonts w:ascii="仿宋" w:hAnsi="仿宋" w:eastAsia="仿宋" w:cs="仿宋"/>
                <w:sz w:val="24"/>
              </w:rPr>
            </w:pPr>
          </w:p>
        </w:tc>
        <w:tc>
          <w:tcPr>
            <w:tcW w:w="2340" w:type="dxa"/>
          </w:tcPr>
          <w:p w14:paraId="3AF24EB8">
            <w:pPr>
              <w:pStyle w:val="18"/>
              <w:spacing w:line="240" w:lineRule="atLeast"/>
              <w:ind w:left="1080" w:leftChars="257" w:hanging="540"/>
              <w:rPr>
                <w:rFonts w:ascii="仿宋" w:hAnsi="仿宋" w:eastAsia="仿宋" w:cs="仿宋"/>
                <w:sz w:val="24"/>
              </w:rPr>
            </w:pPr>
          </w:p>
        </w:tc>
        <w:tc>
          <w:tcPr>
            <w:tcW w:w="1260" w:type="dxa"/>
          </w:tcPr>
          <w:p w14:paraId="6F11231F">
            <w:pPr>
              <w:pStyle w:val="18"/>
              <w:spacing w:line="240" w:lineRule="atLeast"/>
              <w:ind w:left="1080" w:leftChars="257" w:hanging="540"/>
              <w:rPr>
                <w:rFonts w:ascii="仿宋" w:hAnsi="仿宋" w:eastAsia="仿宋" w:cs="仿宋"/>
                <w:sz w:val="24"/>
              </w:rPr>
            </w:pPr>
          </w:p>
        </w:tc>
        <w:tc>
          <w:tcPr>
            <w:tcW w:w="1260" w:type="dxa"/>
          </w:tcPr>
          <w:p w14:paraId="735BA37C">
            <w:pPr>
              <w:pStyle w:val="18"/>
              <w:spacing w:line="240" w:lineRule="atLeast"/>
              <w:ind w:left="1080" w:leftChars="257" w:hanging="540"/>
              <w:rPr>
                <w:rFonts w:ascii="仿宋" w:hAnsi="仿宋" w:eastAsia="仿宋" w:cs="仿宋"/>
                <w:sz w:val="24"/>
              </w:rPr>
            </w:pPr>
          </w:p>
        </w:tc>
        <w:tc>
          <w:tcPr>
            <w:tcW w:w="900" w:type="dxa"/>
          </w:tcPr>
          <w:p w14:paraId="18A6CF39">
            <w:pPr>
              <w:pStyle w:val="18"/>
              <w:spacing w:line="240" w:lineRule="atLeast"/>
              <w:ind w:left="1080" w:leftChars="257" w:hanging="540"/>
              <w:rPr>
                <w:rFonts w:ascii="仿宋" w:hAnsi="仿宋" w:eastAsia="仿宋" w:cs="仿宋"/>
                <w:sz w:val="24"/>
              </w:rPr>
            </w:pPr>
          </w:p>
        </w:tc>
        <w:tc>
          <w:tcPr>
            <w:tcW w:w="900" w:type="dxa"/>
          </w:tcPr>
          <w:p w14:paraId="2ABBE939">
            <w:pPr>
              <w:pStyle w:val="18"/>
              <w:spacing w:line="240" w:lineRule="atLeast"/>
              <w:ind w:left="1080" w:leftChars="257" w:hanging="540"/>
              <w:rPr>
                <w:rFonts w:ascii="仿宋" w:hAnsi="仿宋" w:eastAsia="仿宋" w:cs="仿宋"/>
                <w:sz w:val="24"/>
              </w:rPr>
            </w:pPr>
          </w:p>
        </w:tc>
      </w:tr>
      <w:tr w14:paraId="4763A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3EB272A5">
            <w:pPr>
              <w:pStyle w:val="18"/>
              <w:spacing w:line="240" w:lineRule="atLeast"/>
              <w:ind w:left="1080" w:leftChars="257" w:hanging="540"/>
              <w:rPr>
                <w:rFonts w:ascii="仿宋" w:hAnsi="仿宋" w:eastAsia="仿宋" w:cs="仿宋"/>
                <w:sz w:val="24"/>
              </w:rPr>
            </w:pPr>
          </w:p>
        </w:tc>
        <w:tc>
          <w:tcPr>
            <w:tcW w:w="1260" w:type="dxa"/>
          </w:tcPr>
          <w:p w14:paraId="67CEA0B5">
            <w:pPr>
              <w:pStyle w:val="18"/>
              <w:spacing w:line="240" w:lineRule="atLeast"/>
              <w:ind w:left="1080" w:leftChars="257" w:hanging="540"/>
              <w:rPr>
                <w:rFonts w:ascii="仿宋" w:hAnsi="仿宋" w:eastAsia="仿宋" w:cs="仿宋"/>
                <w:sz w:val="24"/>
              </w:rPr>
            </w:pPr>
          </w:p>
        </w:tc>
        <w:tc>
          <w:tcPr>
            <w:tcW w:w="2340" w:type="dxa"/>
          </w:tcPr>
          <w:p w14:paraId="68164890">
            <w:pPr>
              <w:pStyle w:val="18"/>
              <w:spacing w:line="240" w:lineRule="atLeast"/>
              <w:ind w:left="1080" w:leftChars="257" w:hanging="540"/>
              <w:rPr>
                <w:rFonts w:ascii="仿宋" w:hAnsi="仿宋" w:eastAsia="仿宋" w:cs="仿宋"/>
                <w:sz w:val="24"/>
              </w:rPr>
            </w:pPr>
          </w:p>
        </w:tc>
        <w:tc>
          <w:tcPr>
            <w:tcW w:w="1260" w:type="dxa"/>
          </w:tcPr>
          <w:p w14:paraId="30D387CB">
            <w:pPr>
              <w:pStyle w:val="18"/>
              <w:spacing w:line="240" w:lineRule="atLeast"/>
              <w:ind w:left="1080" w:leftChars="257" w:hanging="540"/>
              <w:rPr>
                <w:rFonts w:ascii="仿宋" w:hAnsi="仿宋" w:eastAsia="仿宋" w:cs="仿宋"/>
                <w:sz w:val="24"/>
              </w:rPr>
            </w:pPr>
          </w:p>
        </w:tc>
        <w:tc>
          <w:tcPr>
            <w:tcW w:w="1260" w:type="dxa"/>
          </w:tcPr>
          <w:p w14:paraId="255FAFA5">
            <w:pPr>
              <w:pStyle w:val="18"/>
              <w:spacing w:line="240" w:lineRule="atLeast"/>
              <w:ind w:left="1080" w:leftChars="257" w:hanging="540"/>
              <w:rPr>
                <w:rFonts w:ascii="仿宋" w:hAnsi="仿宋" w:eastAsia="仿宋" w:cs="仿宋"/>
                <w:sz w:val="24"/>
              </w:rPr>
            </w:pPr>
          </w:p>
        </w:tc>
        <w:tc>
          <w:tcPr>
            <w:tcW w:w="900" w:type="dxa"/>
          </w:tcPr>
          <w:p w14:paraId="163EA0B7">
            <w:pPr>
              <w:pStyle w:val="18"/>
              <w:spacing w:line="240" w:lineRule="atLeast"/>
              <w:ind w:left="1080" w:leftChars="257" w:hanging="540"/>
              <w:rPr>
                <w:rFonts w:ascii="仿宋" w:hAnsi="仿宋" w:eastAsia="仿宋" w:cs="仿宋"/>
                <w:sz w:val="24"/>
              </w:rPr>
            </w:pPr>
          </w:p>
        </w:tc>
        <w:tc>
          <w:tcPr>
            <w:tcW w:w="900" w:type="dxa"/>
          </w:tcPr>
          <w:p w14:paraId="7EEE6F14">
            <w:pPr>
              <w:pStyle w:val="18"/>
              <w:spacing w:line="240" w:lineRule="atLeast"/>
              <w:ind w:left="1080" w:leftChars="257" w:hanging="540"/>
              <w:rPr>
                <w:rFonts w:ascii="仿宋" w:hAnsi="仿宋" w:eastAsia="仿宋" w:cs="仿宋"/>
                <w:sz w:val="24"/>
              </w:rPr>
            </w:pPr>
          </w:p>
        </w:tc>
      </w:tr>
      <w:tr w14:paraId="04125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36DF56D">
            <w:pPr>
              <w:pStyle w:val="18"/>
              <w:spacing w:line="240" w:lineRule="atLeast"/>
              <w:ind w:left="1080" w:leftChars="257" w:hanging="540"/>
              <w:rPr>
                <w:rFonts w:ascii="仿宋" w:hAnsi="仿宋" w:eastAsia="仿宋" w:cs="仿宋"/>
                <w:sz w:val="24"/>
              </w:rPr>
            </w:pPr>
          </w:p>
        </w:tc>
        <w:tc>
          <w:tcPr>
            <w:tcW w:w="1260" w:type="dxa"/>
          </w:tcPr>
          <w:p w14:paraId="454F45AF">
            <w:pPr>
              <w:pStyle w:val="18"/>
              <w:spacing w:line="240" w:lineRule="atLeast"/>
              <w:ind w:left="1080" w:leftChars="257" w:hanging="540"/>
              <w:rPr>
                <w:rFonts w:ascii="仿宋" w:hAnsi="仿宋" w:eastAsia="仿宋" w:cs="仿宋"/>
                <w:sz w:val="24"/>
              </w:rPr>
            </w:pPr>
          </w:p>
        </w:tc>
        <w:tc>
          <w:tcPr>
            <w:tcW w:w="2340" w:type="dxa"/>
          </w:tcPr>
          <w:p w14:paraId="687D7616">
            <w:pPr>
              <w:pStyle w:val="18"/>
              <w:spacing w:line="240" w:lineRule="atLeast"/>
              <w:ind w:left="1080" w:leftChars="257" w:hanging="540"/>
              <w:rPr>
                <w:rFonts w:ascii="仿宋" w:hAnsi="仿宋" w:eastAsia="仿宋" w:cs="仿宋"/>
                <w:sz w:val="24"/>
              </w:rPr>
            </w:pPr>
          </w:p>
        </w:tc>
        <w:tc>
          <w:tcPr>
            <w:tcW w:w="1260" w:type="dxa"/>
          </w:tcPr>
          <w:p w14:paraId="4360C964">
            <w:pPr>
              <w:pStyle w:val="18"/>
              <w:spacing w:line="240" w:lineRule="atLeast"/>
              <w:ind w:left="1080" w:leftChars="257" w:hanging="540"/>
              <w:rPr>
                <w:rFonts w:ascii="仿宋" w:hAnsi="仿宋" w:eastAsia="仿宋" w:cs="仿宋"/>
                <w:sz w:val="24"/>
              </w:rPr>
            </w:pPr>
          </w:p>
        </w:tc>
        <w:tc>
          <w:tcPr>
            <w:tcW w:w="1260" w:type="dxa"/>
          </w:tcPr>
          <w:p w14:paraId="696FF738">
            <w:pPr>
              <w:pStyle w:val="18"/>
              <w:spacing w:line="240" w:lineRule="atLeast"/>
              <w:ind w:left="1080" w:leftChars="257" w:hanging="540"/>
              <w:rPr>
                <w:rFonts w:ascii="仿宋" w:hAnsi="仿宋" w:eastAsia="仿宋" w:cs="仿宋"/>
                <w:sz w:val="24"/>
              </w:rPr>
            </w:pPr>
          </w:p>
        </w:tc>
        <w:tc>
          <w:tcPr>
            <w:tcW w:w="900" w:type="dxa"/>
          </w:tcPr>
          <w:p w14:paraId="2BBA42F4">
            <w:pPr>
              <w:pStyle w:val="18"/>
              <w:spacing w:line="240" w:lineRule="atLeast"/>
              <w:ind w:left="1080" w:leftChars="257" w:hanging="540"/>
              <w:rPr>
                <w:rFonts w:ascii="仿宋" w:hAnsi="仿宋" w:eastAsia="仿宋" w:cs="仿宋"/>
                <w:sz w:val="24"/>
              </w:rPr>
            </w:pPr>
          </w:p>
        </w:tc>
        <w:tc>
          <w:tcPr>
            <w:tcW w:w="900" w:type="dxa"/>
          </w:tcPr>
          <w:p w14:paraId="53A16FC9">
            <w:pPr>
              <w:pStyle w:val="18"/>
              <w:spacing w:line="240" w:lineRule="atLeast"/>
              <w:ind w:left="1080" w:leftChars="257" w:hanging="540"/>
              <w:rPr>
                <w:rFonts w:ascii="仿宋" w:hAnsi="仿宋" w:eastAsia="仿宋" w:cs="仿宋"/>
                <w:sz w:val="24"/>
              </w:rPr>
            </w:pPr>
          </w:p>
        </w:tc>
      </w:tr>
      <w:tr w14:paraId="0FF19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1FAA9F67">
            <w:pPr>
              <w:pStyle w:val="18"/>
              <w:spacing w:line="240" w:lineRule="atLeast"/>
              <w:ind w:left="1080" w:leftChars="257" w:hanging="540"/>
              <w:rPr>
                <w:rFonts w:ascii="仿宋" w:hAnsi="仿宋" w:eastAsia="仿宋" w:cs="仿宋"/>
                <w:sz w:val="24"/>
              </w:rPr>
            </w:pPr>
          </w:p>
        </w:tc>
        <w:tc>
          <w:tcPr>
            <w:tcW w:w="1260" w:type="dxa"/>
          </w:tcPr>
          <w:p w14:paraId="1352AF93">
            <w:pPr>
              <w:pStyle w:val="18"/>
              <w:spacing w:line="240" w:lineRule="atLeast"/>
              <w:ind w:left="1080" w:leftChars="257" w:hanging="540"/>
              <w:rPr>
                <w:rFonts w:ascii="仿宋" w:hAnsi="仿宋" w:eastAsia="仿宋" w:cs="仿宋"/>
                <w:sz w:val="24"/>
              </w:rPr>
            </w:pPr>
          </w:p>
        </w:tc>
        <w:tc>
          <w:tcPr>
            <w:tcW w:w="2340" w:type="dxa"/>
          </w:tcPr>
          <w:p w14:paraId="107ABC4F">
            <w:pPr>
              <w:pStyle w:val="18"/>
              <w:spacing w:line="240" w:lineRule="atLeast"/>
              <w:ind w:left="1080" w:leftChars="257" w:hanging="540"/>
              <w:rPr>
                <w:rFonts w:ascii="仿宋" w:hAnsi="仿宋" w:eastAsia="仿宋" w:cs="仿宋"/>
                <w:sz w:val="24"/>
              </w:rPr>
            </w:pPr>
          </w:p>
        </w:tc>
        <w:tc>
          <w:tcPr>
            <w:tcW w:w="1260" w:type="dxa"/>
          </w:tcPr>
          <w:p w14:paraId="5E366566">
            <w:pPr>
              <w:pStyle w:val="18"/>
              <w:spacing w:line="240" w:lineRule="atLeast"/>
              <w:ind w:left="1080" w:leftChars="257" w:hanging="540"/>
              <w:rPr>
                <w:rFonts w:ascii="仿宋" w:hAnsi="仿宋" w:eastAsia="仿宋" w:cs="仿宋"/>
                <w:sz w:val="24"/>
              </w:rPr>
            </w:pPr>
          </w:p>
        </w:tc>
        <w:tc>
          <w:tcPr>
            <w:tcW w:w="1260" w:type="dxa"/>
          </w:tcPr>
          <w:p w14:paraId="7A134ADF">
            <w:pPr>
              <w:pStyle w:val="18"/>
              <w:spacing w:line="240" w:lineRule="atLeast"/>
              <w:ind w:left="1080" w:leftChars="257" w:hanging="540"/>
              <w:rPr>
                <w:rFonts w:ascii="仿宋" w:hAnsi="仿宋" w:eastAsia="仿宋" w:cs="仿宋"/>
                <w:sz w:val="24"/>
              </w:rPr>
            </w:pPr>
          </w:p>
        </w:tc>
        <w:tc>
          <w:tcPr>
            <w:tcW w:w="900" w:type="dxa"/>
          </w:tcPr>
          <w:p w14:paraId="777D6C67">
            <w:pPr>
              <w:pStyle w:val="18"/>
              <w:spacing w:line="240" w:lineRule="atLeast"/>
              <w:ind w:left="1080" w:leftChars="257" w:hanging="540"/>
              <w:rPr>
                <w:rFonts w:ascii="仿宋" w:hAnsi="仿宋" w:eastAsia="仿宋" w:cs="仿宋"/>
                <w:sz w:val="24"/>
              </w:rPr>
            </w:pPr>
          </w:p>
        </w:tc>
        <w:tc>
          <w:tcPr>
            <w:tcW w:w="900" w:type="dxa"/>
          </w:tcPr>
          <w:p w14:paraId="2DBC9054">
            <w:pPr>
              <w:pStyle w:val="18"/>
              <w:spacing w:line="240" w:lineRule="atLeast"/>
              <w:ind w:left="1080" w:leftChars="257" w:hanging="540"/>
              <w:rPr>
                <w:rFonts w:ascii="仿宋" w:hAnsi="仿宋" w:eastAsia="仿宋" w:cs="仿宋"/>
                <w:sz w:val="24"/>
              </w:rPr>
            </w:pPr>
          </w:p>
        </w:tc>
      </w:tr>
      <w:tr w14:paraId="6E093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A2438D6">
            <w:pPr>
              <w:pStyle w:val="18"/>
              <w:spacing w:line="240" w:lineRule="atLeast"/>
              <w:ind w:left="1080" w:leftChars="257" w:hanging="540"/>
              <w:rPr>
                <w:rFonts w:ascii="仿宋" w:hAnsi="仿宋" w:eastAsia="仿宋" w:cs="仿宋"/>
                <w:sz w:val="24"/>
              </w:rPr>
            </w:pPr>
          </w:p>
        </w:tc>
        <w:tc>
          <w:tcPr>
            <w:tcW w:w="1260" w:type="dxa"/>
          </w:tcPr>
          <w:p w14:paraId="156156D8">
            <w:pPr>
              <w:pStyle w:val="18"/>
              <w:spacing w:line="240" w:lineRule="atLeast"/>
              <w:ind w:left="1080" w:leftChars="257" w:hanging="540"/>
              <w:rPr>
                <w:rFonts w:ascii="仿宋" w:hAnsi="仿宋" w:eastAsia="仿宋" w:cs="仿宋"/>
                <w:sz w:val="24"/>
              </w:rPr>
            </w:pPr>
          </w:p>
        </w:tc>
        <w:tc>
          <w:tcPr>
            <w:tcW w:w="2340" w:type="dxa"/>
          </w:tcPr>
          <w:p w14:paraId="5A6D3F36">
            <w:pPr>
              <w:pStyle w:val="18"/>
              <w:spacing w:line="240" w:lineRule="atLeast"/>
              <w:ind w:left="1080" w:leftChars="257" w:hanging="540"/>
              <w:rPr>
                <w:rFonts w:ascii="仿宋" w:hAnsi="仿宋" w:eastAsia="仿宋" w:cs="仿宋"/>
                <w:sz w:val="24"/>
              </w:rPr>
            </w:pPr>
          </w:p>
        </w:tc>
        <w:tc>
          <w:tcPr>
            <w:tcW w:w="1260" w:type="dxa"/>
          </w:tcPr>
          <w:p w14:paraId="339839C7">
            <w:pPr>
              <w:pStyle w:val="18"/>
              <w:spacing w:line="240" w:lineRule="atLeast"/>
              <w:ind w:left="1080" w:leftChars="257" w:hanging="540"/>
              <w:rPr>
                <w:rFonts w:ascii="仿宋" w:hAnsi="仿宋" w:eastAsia="仿宋" w:cs="仿宋"/>
                <w:sz w:val="24"/>
              </w:rPr>
            </w:pPr>
          </w:p>
        </w:tc>
        <w:tc>
          <w:tcPr>
            <w:tcW w:w="1260" w:type="dxa"/>
          </w:tcPr>
          <w:p w14:paraId="49596455">
            <w:pPr>
              <w:pStyle w:val="18"/>
              <w:spacing w:line="240" w:lineRule="atLeast"/>
              <w:ind w:left="1080" w:leftChars="257" w:hanging="540"/>
              <w:rPr>
                <w:rFonts w:ascii="仿宋" w:hAnsi="仿宋" w:eastAsia="仿宋" w:cs="仿宋"/>
                <w:sz w:val="24"/>
              </w:rPr>
            </w:pPr>
          </w:p>
        </w:tc>
        <w:tc>
          <w:tcPr>
            <w:tcW w:w="900" w:type="dxa"/>
          </w:tcPr>
          <w:p w14:paraId="05F44E26">
            <w:pPr>
              <w:pStyle w:val="18"/>
              <w:spacing w:line="240" w:lineRule="atLeast"/>
              <w:ind w:left="1080" w:leftChars="257" w:hanging="540"/>
              <w:rPr>
                <w:rFonts w:ascii="仿宋" w:hAnsi="仿宋" w:eastAsia="仿宋" w:cs="仿宋"/>
                <w:sz w:val="24"/>
              </w:rPr>
            </w:pPr>
          </w:p>
        </w:tc>
        <w:tc>
          <w:tcPr>
            <w:tcW w:w="900" w:type="dxa"/>
          </w:tcPr>
          <w:p w14:paraId="5B577AE7">
            <w:pPr>
              <w:pStyle w:val="18"/>
              <w:spacing w:line="240" w:lineRule="atLeast"/>
              <w:ind w:left="1080" w:leftChars="257" w:hanging="540"/>
              <w:rPr>
                <w:rFonts w:ascii="仿宋" w:hAnsi="仿宋" w:eastAsia="仿宋" w:cs="仿宋"/>
                <w:sz w:val="24"/>
              </w:rPr>
            </w:pPr>
          </w:p>
        </w:tc>
      </w:tr>
      <w:tr w14:paraId="127E4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0100E7FD">
            <w:pPr>
              <w:pStyle w:val="18"/>
              <w:spacing w:line="240" w:lineRule="atLeast"/>
              <w:ind w:left="1080" w:leftChars="257" w:hanging="540"/>
              <w:rPr>
                <w:rFonts w:ascii="仿宋" w:hAnsi="仿宋" w:eastAsia="仿宋" w:cs="仿宋"/>
                <w:sz w:val="24"/>
              </w:rPr>
            </w:pPr>
          </w:p>
        </w:tc>
        <w:tc>
          <w:tcPr>
            <w:tcW w:w="1260" w:type="dxa"/>
          </w:tcPr>
          <w:p w14:paraId="678121FC">
            <w:pPr>
              <w:pStyle w:val="18"/>
              <w:spacing w:line="240" w:lineRule="atLeast"/>
              <w:ind w:left="1080" w:leftChars="257" w:hanging="540"/>
              <w:rPr>
                <w:rFonts w:ascii="仿宋" w:hAnsi="仿宋" w:eastAsia="仿宋" w:cs="仿宋"/>
                <w:sz w:val="24"/>
              </w:rPr>
            </w:pPr>
          </w:p>
        </w:tc>
        <w:tc>
          <w:tcPr>
            <w:tcW w:w="2340" w:type="dxa"/>
          </w:tcPr>
          <w:p w14:paraId="71522340">
            <w:pPr>
              <w:pStyle w:val="18"/>
              <w:spacing w:line="240" w:lineRule="atLeast"/>
              <w:ind w:left="1080" w:leftChars="257" w:hanging="540"/>
              <w:rPr>
                <w:rFonts w:ascii="仿宋" w:hAnsi="仿宋" w:eastAsia="仿宋" w:cs="仿宋"/>
                <w:sz w:val="24"/>
              </w:rPr>
            </w:pPr>
          </w:p>
        </w:tc>
        <w:tc>
          <w:tcPr>
            <w:tcW w:w="1260" w:type="dxa"/>
          </w:tcPr>
          <w:p w14:paraId="589514C8">
            <w:pPr>
              <w:pStyle w:val="18"/>
              <w:spacing w:line="240" w:lineRule="atLeast"/>
              <w:ind w:left="1080" w:leftChars="257" w:hanging="540"/>
              <w:rPr>
                <w:rFonts w:ascii="仿宋" w:hAnsi="仿宋" w:eastAsia="仿宋" w:cs="仿宋"/>
                <w:sz w:val="24"/>
              </w:rPr>
            </w:pPr>
          </w:p>
        </w:tc>
        <w:tc>
          <w:tcPr>
            <w:tcW w:w="1260" w:type="dxa"/>
          </w:tcPr>
          <w:p w14:paraId="746F1B2D">
            <w:pPr>
              <w:pStyle w:val="18"/>
              <w:spacing w:line="240" w:lineRule="atLeast"/>
              <w:ind w:left="1080" w:leftChars="257" w:hanging="540"/>
              <w:rPr>
                <w:rFonts w:ascii="仿宋" w:hAnsi="仿宋" w:eastAsia="仿宋" w:cs="仿宋"/>
                <w:sz w:val="24"/>
              </w:rPr>
            </w:pPr>
          </w:p>
        </w:tc>
        <w:tc>
          <w:tcPr>
            <w:tcW w:w="900" w:type="dxa"/>
          </w:tcPr>
          <w:p w14:paraId="7008DE7A">
            <w:pPr>
              <w:pStyle w:val="18"/>
              <w:spacing w:line="240" w:lineRule="atLeast"/>
              <w:ind w:left="1080" w:leftChars="257" w:hanging="540"/>
              <w:rPr>
                <w:rFonts w:ascii="仿宋" w:hAnsi="仿宋" w:eastAsia="仿宋" w:cs="仿宋"/>
                <w:sz w:val="24"/>
              </w:rPr>
            </w:pPr>
          </w:p>
        </w:tc>
        <w:tc>
          <w:tcPr>
            <w:tcW w:w="900" w:type="dxa"/>
          </w:tcPr>
          <w:p w14:paraId="12B39FB6">
            <w:pPr>
              <w:pStyle w:val="18"/>
              <w:spacing w:line="240" w:lineRule="atLeast"/>
              <w:ind w:left="1080" w:leftChars="257" w:hanging="540"/>
              <w:rPr>
                <w:rFonts w:ascii="仿宋" w:hAnsi="仿宋" w:eastAsia="仿宋" w:cs="仿宋"/>
                <w:sz w:val="24"/>
              </w:rPr>
            </w:pPr>
          </w:p>
        </w:tc>
      </w:tr>
      <w:tr w14:paraId="7FEDF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5BEE596">
            <w:pPr>
              <w:pStyle w:val="18"/>
              <w:spacing w:line="240" w:lineRule="atLeast"/>
              <w:ind w:left="1080" w:leftChars="257" w:hanging="540"/>
              <w:rPr>
                <w:rFonts w:ascii="仿宋" w:hAnsi="仿宋" w:eastAsia="仿宋" w:cs="仿宋"/>
                <w:sz w:val="24"/>
              </w:rPr>
            </w:pPr>
          </w:p>
        </w:tc>
        <w:tc>
          <w:tcPr>
            <w:tcW w:w="1260" w:type="dxa"/>
          </w:tcPr>
          <w:p w14:paraId="0CA1B41F">
            <w:pPr>
              <w:pStyle w:val="18"/>
              <w:spacing w:line="240" w:lineRule="atLeast"/>
              <w:ind w:left="1080" w:leftChars="257" w:hanging="540"/>
              <w:rPr>
                <w:rFonts w:ascii="仿宋" w:hAnsi="仿宋" w:eastAsia="仿宋" w:cs="仿宋"/>
                <w:sz w:val="24"/>
              </w:rPr>
            </w:pPr>
          </w:p>
        </w:tc>
        <w:tc>
          <w:tcPr>
            <w:tcW w:w="2340" w:type="dxa"/>
          </w:tcPr>
          <w:p w14:paraId="653B1366">
            <w:pPr>
              <w:pStyle w:val="18"/>
              <w:spacing w:line="240" w:lineRule="atLeast"/>
              <w:ind w:left="1080" w:leftChars="257" w:hanging="540"/>
              <w:rPr>
                <w:rFonts w:ascii="仿宋" w:hAnsi="仿宋" w:eastAsia="仿宋" w:cs="仿宋"/>
                <w:sz w:val="24"/>
              </w:rPr>
            </w:pPr>
          </w:p>
        </w:tc>
        <w:tc>
          <w:tcPr>
            <w:tcW w:w="1260" w:type="dxa"/>
          </w:tcPr>
          <w:p w14:paraId="6646CB00">
            <w:pPr>
              <w:pStyle w:val="18"/>
              <w:spacing w:line="240" w:lineRule="atLeast"/>
              <w:ind w:left="1080" w:leftChars="257" w:hanging="540"/>
              <w:rPr>
                <w:rFonts w:ascii="仿宋" w:hAnsi="仿宋" w:eastAsia="仿宋" w:cs="仿宋"/>
                <w:sz w:val="24"/>
              </w:rPr>
            </w:pPr>
          </w:p>
        </w:tc>
        <w:tc>
          <w:tcPr>
            <w:tcW w:w="1260" w:type="dxa"/>
          </w:tcPr>
          <w:p w14:paraId="6376D0CC">
            <w:pPr>
              <w:pStyle w:val="18"/>
              <w:spacing w:line="240" w:lineRule="atLeast"/>
              <w:ind w:left="1080" w:leftChars="257" w:hanging="540"/>
              <w:rPr>
                <w:rFonts w:ascii="仿宋" w:hAnsi="仿宋" w:eastAsia="仿宋" w:cs="仿宋"/>
                <w:sz w:val="24"/>
              </w:rPr>
            </w:pPr>
          </w:p>
        </w:tc>
        <w:tc>
          <w:tcPr>
            <w:tcW w:w="900" w:type="dxa"/>
          </w:tcPr>
          <w:p w14:paraId="431CED18">
            <w:pPr>
              <w:pStyle w:val="18"/>
              <w:spacing w:line="240" w:lineRule="atLeast"/>
              <w:ind w:left="1080" w:leftChars="257" w:hanging="540"/>
              <w:rPr>
                <w:rFonts w:ascii="仿宋" w:hAnsi="仿宋" w:eastAsia="仿宋" w:cs="仿宋"/>
                <w:sz w:val="24"/>
              </w:rPr>
            </w:pPr>
          </w:p>
        </w:tc>
        <w:tc>
          <w:tcPr>
            <w:tcW w:w="900" w:type="dxa"/>
          </w:tcPr>
          <w:p w14:paraId="100A2017">
            <w:pPr>
              <w:pStyle w:val="18"/>
              <w:spacing w:line="240" w:lineRule="atLeast"/>
              <w:ind w:left="1080" w:leftChars="257" w:hanging="540"/>
              <w:rPr>
                <w:rFonts w:ascii="仿宋" w:hAnsi="仿宋" w:eastAsia="仿宋" w:cs="仿宋"/>
                <w:sz w:val="24"/>
              </w:rPr>
            </w:pPr>
          </w:p>
        </w:tc>
      </w:tr>
      <w:tr w14:paraId="2DD1D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1870ECE3">
            <w:pPr>
              <w:pStyle w:val="18"/>
              <w:spacing w:line="240" w:lineRule="atLeast"/>
              <w:ind w:left="1080" w:leftChars="257" w:hanging="540"/>
              <w:rPr>
                <w:rFonts w:ascii="仿宋" w:hAnsi="仿宋" w:eastAsia="仿宋" w:cs="仿宋"/>
                <w:sz w:val="24"/>
              </w:rPr>
            </w:pPr>
          </w:p>
        </w:tc>
        <w:tc>
          <w:tcPr>
            <w:tcW w:w="1260" w:type="dxa"/>
          </w:tcPr>
          <w:p w14:paraId="63F12931">
            <w:pPr>
              <w:pStyle w:val="18"/>
              <w:spacing w:line="240" w:lineRule="atLeast"/>
              <w:ind w:left="1080" w:leftChars="257" w:hanging="540"/>
              <w:rPr>
                <w:rFonts w:ascii="仿宋" w:hAnsi="仿宋" w:eastAsia="仿宋" w:cs="仿宋"/>
                <w:sz w:val="24"/>
              </w:rPr>
            </w:pPr>
          </w:p>
        </w:tc>
        <w:tc>
          <w:tcPr>
            <w:tcW w:w="2340" w:type="dxa"/>
          </w:tcPr>
          <w:p w14:paraId="6E4568B8">
            <w:pPr>
              <w:pStyle w:val="18"/>
              <w:spacing w:line="240" w:lineRule="atLeast"/>
              <w:ind w:left="1080" w:leftChars="257" w:hanging="540"/>
              <w:rPr>
                <w:rFonts w:ascii="仿宋" w:hAnsi="仿宋" w:eastAsia="仿宋" w:cs="仿宋"/>
                <w:sz w:val="24"/>
              </w:rPr>
            </w:pPr>
          </w:p>
        </w:tc>
        <w:tc>
          <w:tcPr>
            <w:tcW w:w="1260" w:type="dxa"/>
          </w:tcPr>
          <w:p w14:paraId="6F98D68D">
            <w:pPr>
              <w:pStyle w:val="18"/>
              <w:spacing w:line="240" w:lineRule="atLeast"/>
              <w:ind w:left="1080" w:leftChars="257" w:hanging="540"/>
              <w:rPr>
                <w:rFonts w:ascii="仿宋" w:hAnsi="仿宋" w:eastAsia="仿宋" w:cs="仿宋"/>
                <w:sz w:val="24"/>
              </w:rPr>
            </w:pPr>
          </w:p>
        </w:tc>
        <w:tc>
          <w:tcPr>
            <w:tcW w:w="1260" w:type="dxa"/>
          </w:tcPr>
          <w:p w14:paraId="73330D66">
            <w:pPr>
              <w:pStyle w:val="18"/>
              <w:spacing w:line="240" w:lineRule="atLeast"/>
              <w:ind w:left="1080" w:leftChars="257" w:hanging="540"/>
              <w:rPr>
                <w:rFonts w:ascii="仿宋" w:hAnsi="仿宋" w:eastAsia="仿宋" w:cs="仿宋"/>
                <w:sz w:val="24"/>
              </w:rPr>
            </w:pPr>
          </w:p>
        </w:tc>
        <w:tc>
          <w:tcPr>
            <w:tcW w:w="900" w:type="dxa"/>
          </w:tcPr>
          <w:p w14:paraId="27A19177">
            <w:pPr>
              <w:pStyle w:val="18"/>
              <w:spacing w:line="240" w:lineRule="atLeast"/>
              <w:ind w:left="1080" w:leftChars="257" w:hanging="540"/>
              <w:rPr>
                <w:rFonts w:ascii="仿宋" w:hAnsi="仿宋" w:eastAsia="仿宋" w:cs="仿宋"/>
                <w:sz w:val="24"/>
              </w:rPr>
            </w:pPr>
          </w:p>
        </w:tc>
        <w:tc>
          <w:tcPr>
            <w:tcW w:w="900" w:type="dxa"/>
          </w:tcPr>
          <w:p w14:paraId="65C7E477">
            <w:pPr>
              <w:pStyle w:val="18"/>
              <w:spacing w:line="240" w:lineRule="atLeast"/>
              <w:ind w:left="1080" w:leftChars="257" w:hanging="540"/>
              <w:rPr>
                <w:rFonts w:ascii="仿宋" w:hAnsi="仿宋" w:eastAsia="仿宋" w:cs="仿宋"/>
                <w:sz w:val="24"/>
              </w:rPr>
            </w:pPr>
          </w:p>
        </w:tc>
      </w:tr>
      <w:tr w14:paraId="1C9ED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8AFEB68">
            <w:pPr>
              <w:pStyle w:val="18"/>
              <w:spacing w:line="240" w:lineRule="atLeast"/>
              <w:ind w:left="1080" w:leftChars="257" w:hanging="540"/>
              <w:rPr>
                <w:rFonts w:ascii="仿宋" w:hAnsi="仿宋" w:eastAsia="仿宋" w:cs="仿宋"/>
                <w:sz w:val="24"/>
              </w:rPr>
            </w:pPr>
          </w:p>
        </w:tc>
        <w:tc>
          <w:tcPr>
            <w:tcW w:w="1260" w:type="dxa"/>
          </w:tcPr>
          <w:p w14:paraId="6C649BB1">
            <w:pPr>
              <w:pStyle w:val="18"/>
              <w:spacing w:line="240" w:lineRule="atLeast"/>
              <w:ind w:left="1080" w:leftChars="257" w:hanging="540"/>
              <w:rPr>
                <w:rFonts w:ascii="仿宋" w:hAnsi="仿宋" w:eastAsia="仿宋" w:cs="仿宋"/>
                <w:sz w:val="24"/>
              </w:rPr>
            </w:pPr>
          </w:p>
        </w:tc>
        <w:tc>
          <w:tcPr>
            <w:tcW w:w="2340" w:type="dxa"/>
          </w:tcPr>
          <w:p w14:paraId="615CB90C">
            <w:pPr>
              <w:pStyle w:val="18"/>
              <w:spacing w:line="240" w:lineRule="atLeast"/>
              <w:ind w:left="1080" w:leftChars="257" w:hanging="540"/>
              <w:rPr>
                <w:rFonts w:ascii="仿宋" w:hAnsi="仿宋" w:eastAsia="仿宋" w:cs="仿宋"/>
                <w:sz w:val="24"/>
              </w:rPr>
            </w:pPr>
          </w:p>
        </w:tc>
        <w:tc>
          <w:tcPr>
            <w:tcW w:w="1260" w:type="dxa"/>
          </w:tcPr>
          <w:p w14:paraId="34457CB3">
            <w:pPr>
              <w:pStyle w:val="18"/>
              <w:spacing w:line="240" w:lineRule="atLeast"/>
              <w:ind w:left="1080" w:leftChars="257" w:hanging="540"/>
              <w:rPr>
                <w:rFonts w:ascii="仿宋" w:hAnsi="仿宋" w:eastAsia="仿宋" w:cs="仿宋"/>
                <w:sz w:val="24"/>
              </w:rPr>
            </w:pPr>
          </w:p>
        </w:tc>
        <w:tc>
          <w:tcPr>
            <w:tcW w:w="1260" w:type="dxa"/>
          </w:tcPr>
          <w:p w14:paraId="3C322BC0">
            <w:pPr>
              <w:pStyle w:val="18"/>
              <w:spacing w:line="240" w:lineRule="atLeast"/>
              <w:ind w:left="1080" w:leftChars="257" w:hanging="540"/>
              <w:rPr>
                <w:rFonts w:ascii="仿宋" w:hAnsi="仿宋" w:eastAsia="仿宋" w:cs="仿宋"/>
                <w:sz w:val="24"/>
              </w:rPr>
            </w:pPr>
          </w:p>
        </w:tc>
        <w:tc>
          <w:tcPr>
            <w:tcW w:w="900" w:type="dxa"/>
          </w:tcPr>
          <w:p w14:paraId="49D7712A">
            <w:pPr>
              <w:pStyle w:val="18"/>
              <w:spacing w:line="240" w:lineRule="atLeast"/>
              <w:ind w:left="1080" w:leftChars="257" w:hanging="540"/>
              <w:rPr>
                <w:rFonts w:ascii="仿宋" w:hAnsi="仿宋" w:eastAsia="仿宋" w:cs="仿宋"/>
                <w:sz w:val="24"/>
              </w:rPr>
            </w:pPr>
          </w:p>
        </w:tc>
        <w:tc>
          <w:tcPr>
            <w:tcW w:w="900" w:type="dxa"/>
          </w:tcPr>
          <w:p w14:paraId="02EE0B9E">
            <w:pPr>
              <w:pStyle w:val="18"/>
              <w:spacing w:line="240" w:lineRule="atLeast"/>
              <w:ind w:left="1080" w:leftChars="257" w:hanging="540"/>
              <w:rPr>
                <w:rFonts w:ascii="仿宋" w:hAnsi="仿宋" w:eastAsia="仿宋" w:cs="仿宋"/>
                <w:sz w:val="24"/>
              </w:rPr>
            </w:pPr>
          </w:p>
        </w:tc>
      </w:tr>
      <w:tr w14:paraId="28AC6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1CEDD99C">
            <w:pPr>
              <w:pStyle w:val="18"/>
              <w:spacing w:line="240" w:lineRule="atLeast"/>
              <w:ind w:left="1080" w:leftChars="257" w:hanging="540"/>
              <w:rPr>
                <w:rFonts w:ascii="仿宋" w:hAnsi="仿宋" w:eastAsia="仿宋" w:cs="仿宋"/>
                <w:sz w:val="24"/>
              </w:rPr>
            </w:pPr>
          </w:p>
        </w:tc>
        <w:tc>
          <w:tcPr>
            <w:tcW w:w="1260" w:type="dxa"/>
          </w:tcPr>
          <w:p w14:paraId="37208E0A">
            <w:pPr>
              <w:pStyle w:val="18"/>
              <w:spacing w:line="240" w:lineRule="atLeast"/>
              <w:ind w:left="1080" w:leftChars="257" w:hanging="540"/>
              <w:rPr>
                <w:rFonts w:ascii="仿宋" w:hAnsi="仿宋" w:eastAsia="仿宋" w:cs="仿宋"/>
                <w:sz w:val="24"/>
              </w:rPr>
            </w:pPr>
          </w:p>
        </w:tc>
        <w:tc>
          <w:tcPr>
            <w:tcW w:w="2340" w:type="dxa"/>
          </w:tcPr>
          <w:p w14:paraId="3DE3BB6C">
            <w:pPr>
              <w:pStyle w:val="18"/>
              <w:spacing w:line="240" w:lineRule="atLeast"/>
              <w:ind w:left="1080" w:leftChars="257" w:hanging="540"/>
              <w:rPr>
                <w:rFonts w:ascii="仿宋" w:hAnsi="仿宋" w:eastAsia="仿宋" w:cs="仿宋"/>
                <w:sz w:val="24"/>
              </w:rPr>
            </w:pPr>
          </w:p>
        </w:tc>
        <w:tc>
          <w:tcPr>
            <w:tcW w:w="1260" w:type="dxa"/>
          </w:tcPr>
          <w:p w14:paraId="6C921FA0">
            <w:pPr>
              <w:pStyle w:val="18"/>
              <w:spacing w:line="240" w:lineRule="atLeast"/>
              <w:ind w:left="1080" w:leftChars="257" w:hanging="540"/>
              <w:rPr>
                <w:rFonts w:ascii="仿宋" w:hAnsi="仿宋" w:eastAsia="仿宋" w:cs="仿宋"/>
                <w:sz w:val="24"/>
              </w:rPr>
            </w:pPr>
          </w:p>
        </w:tc>
        <w:tc>
          <w:tcPr>
            <w:tcW w:w="1260" w:type="dxa"/>
          </w:tcPr>
          <w:p w14:paraId="4F6E1786">
            <w:pPr>
              <w:pStyle w:val="18"/>
              <w:spacing w:line="240" w:lineRule="atLeast"/>
              <w:ind w:left="1080" w:leftChars="257" w:hanging="540"/>
              <w:rPr>
                <w:rFonts w:ascii="仿宋" w:hAnsi="仿宋" w:eastAsia="仿宋" w:cs="仿宋"/>
                <w:sz w:val="24"/>
              </w:rPr>
            </w:pPr>
          </w:p>
        </w:tc>
        <w:tc>
          <w:tcPr>
            <w:tcW w:w="900" w:type="dxa"/>
          </w:tcPr>
          <w:p w14:paraId="2B7046BF">
            <w:pPr>
              <w:pStyle w:val="18"/>
              <w:spacing w:line="240" w:lineRule="atLeast"/>
              <w:ind w:left="1080" w:leftChars="257" w:hanging="540"/>
              <w:rPr>
                <w:rFonts w:ascii="仿宋" w:hAnsi="仿宋" w:eastAsia="仿宋" w:cs="仿宋"/>
                <w:sz w:val="24"/>
              </w:rPr>
            </w:pPr>
          </w:p>
        </w:tc>
        <w:tc>
          <w:tcPr>
            <w:tcW w:w="900" w:type="dxa"/>
          </w:tcPr>
          <w:p w14:paraId="11E1D4D9">
            <w:pPr>
              <w:pStyle w:val="18"/>
              <w:spacing w:line="240" w:lineRule="atLeast"/>
              <w:ind w:left="1080" w:leftChars="257" w:hanging="540"/>
              <w:rPr>
                <w:rFonts w:ascii="仿宋" w:hAnsi="仿宋" w:eastAsia="仿宋" w:cs="仿宋"/>
                <w:sz w:val="24"/>
              </w:rPr>
            </w:pPr>
          </w:p>
        </w:tc>
      </w:tr>
      <w:tr w14:paraId="62D40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390272F">
            <w:pPr>
              <w:pStyle w:val="18"/>
              <w:spacing w:line="240" w:lineRule="atLeast"/>
              <w:ind w:left="1080" w:leftChars="257" w:hanging="540"/>
              <w:rPr>
                <w:rFonts w:ascii="仿宋" w:hAnsi="仿宋" w:eastAsia="仿宋" w:cs="仿宋"/>
                <w:sz w:val="24"/>
              </w:rPr>
            </w:pPr>
          </w:p>
        </w:tc>
        <w:tc>
          <w:tcPr>
            <w:tcW w:w="1260" w:type="dxa"/>
          </w:tcPr>
          <w:p w14:paraId="023061B5">
            <w:pPr>
              <w:pStyle w:val="18"/>
              <w:spacing w:line="240" w:lineRule="atLeast"/>
              <w:ind w:left="1080" w:leftChars="257" w:hanging="540"/>
              <w:rPr>
                <w:rFonts w:ascii="仿宋" w:hAnsi="仿宋" w:eastAsia="仿宋" w:cs="仿宋"/>
                <w:sz w:val="24"/>
              </w:rPr>
            </w:pPr>
          </w:p>
        </w:tc>
        <w:tc>
          <w:tcPr>
            <w:tcW w:w="2340" w:type="dxa"/>
          </w:tcPr>
          <w:p w14:paraId="1DDF0186">
            <w:pPr>
              <w:pStyle w:val="18"/>
              <w:spacing w:line="240" w:lineRule="atLeast"/>
              <w:ind w:left="1080" w:leftChars="257" w:hanging="540"/>
              <w:rPr>
                <w:rFonts w:ascii="仿宋" w:hAnsi="仿宋" w:eastAsia="仿宋" w:cs="仿宋"/>
                <w:sz w:val="24"/>
              </w:rPr>
            </w:pPr>
          </w:p>
        </w:tc>
        <w:tc>
          <w:tcPr>
            <w:tcW w:w="1260" w:type="dxa"/>
          </w:tcPr>
          <w:p w14:paraId="484C3CBD">
            <w:pPr>
              <w:pStyle w:val="18"/>
              <w:spacing w:line="240" w:lineRule="atLeast"/>
              <w:ind w:left="1080" w:leftChars="257" w:hanging="540"/>
              <w:rPr>
                <w:rFonts w:ascii="仿宋" w:hAnsi="仿宋" w:eastAsia="仿宋" w:cs="仿宋"/>
                <w:sz w:val="24"/>
              </w:rPr>
            </w:pPr>
          </w:p>
        </w:tc>
        <w:tc>
          <w:tcPr>
            <w:tcW w:w="1260" w:type="dxa"/>
          </w:tcPr>
          <w:p w14:paraId="15ECFBE7">
            <w:pPr>
              <w:pStyle w:val="18"/>
              <w:spacing w:line="240" w:lineRule="atLeast"/>
              <w:ind w:left="1080" w:leftChars="257" w:hanging="540"/>
              <w:rPr>
                <w:rFonts w:ascii="仿宋" w:hAnsi="仿宋" w:eastAsia="仿宋" w:cs="仿宋"/>
                <w:sz w:val="24"/>
              </w:rPr>
            </w:pPr>
          </w:p>
        </w:tc>
        <w:tc>
          <w:tcPr>
            <w:tcW w:w="900" w:type="dxa"/>
          </w:tcPr>
          <w:p w14:paraId="5A419037">
            <w:pPr>
              <w:pStyle w:val="18"/>
              <w:spacing w:line="240" w:lineRule="atLeast"/>
              <w:ind w:left="1080" w:leftChars="257" w:hanging="540"/>
              <w:rPr>
                <w:rFonts w:ascii="仿宋" w:hAnsi="仿宋" w:eastAsia="仿宋" w:cs="仿宋"/>
                <w:sz w:val="24"/>
              </w:rPr>
            </w:pPr>
          </w:p>
        </w:tc>
        <w:tc>
          <w:tcPr>
            <w:tcW w:w="900" w:type="dxa"/>
          </w:tcPr>
          <w:p w14:paraId="02D477B1">
            <w:pPr>
              <w:pStyle w:val="18"/>
              <w:spacing w:line="240" w:lineRule="atLeast"/>
              <w:ind w:left="1080" w:leftChars="257" w:hanging="540"/>
              <w:rPr>
                <w:rFonts w:ascii="仿宋" w:hAnsi="仿宋" w:eastAsia="仿宋" w:cs="仿宋"/>
                <w:sz w:val="24"/>
              </w:rPr>
            </w:pPr>
          </w:p>
        </w:tc>
      </w:tr>
      <w:tr w14:paraId="6B966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27541276">
            <w:pPr>
              <w:pStyle w:val="18"/>
              <w:spacing w:line="240" w:lineRule="atLeast"/>
              <w:ind w:left="1080" w:leftChars="257" w:hanging="540"/>
              <w:rPr>
                <w:rFonts w:ascii="仿宋" w:hAnsi="仿宋" w:eastAsia="仿宋" w:cs="仿宋"/>
                <w:sz w:val="24"/>
              </w:rPr>
            </w:pPr>
          </w:p>
        </w:tc>
        <w:tc>
          <w:tcPr>
            <w:tcW w:w="1260" w:type="dxa"/>
          </w:tcPr>
          <w:p w14:paraId="2F35A956">
            <w:pPr>
              <w:pStyle w:val="18"/>
              <w:spacing w:line="240" w:lineRule="atLeast"/>
              <w:ind w:left="1080" w:leftChars="257" w:hanging="540"/>
              <w:rPr>
                <w:rFonts w:ascii="仿宋" w:hAnsi="仿宋" w:eastAsia="仿宋" w:cs="仿宋"/>
                <w:sz w:val="24"/>
              </w:rPr>
            </w:pPr>
          </w:p>
        </w:tc>
        <w:tc>
          <w:tcPr>
            <w:tcW w:w="2340" w:type="dxa"/>
          </w:tcPr>
          <w:p w14:paraId="2D7D3D4E">
            <w:pPr>
              <w:pStyle w:val="18"/>
              <w:spacing w:line="240" w:lineRule="atLeast"/>
              <w:ind w:left="1080" w:leftChars="257" w:hanging="540"/>
              <w:rPr>
                <w:rFonts w:ascii="仿宋" w:hAnsi="仿宋" w:eastAsia="仿宋" w:cs="仿宋"/>
                <w:sz w:val="24"/>
              </w:rPr>
            </w:pPr>
          </w:p>
        </w:tc>
        <w:tc>
          <w:tcPr>
            <w:tcW w:w="1260" w:type="dxa"/>
          </w:tcPr>
          <w:p w14:paraId="4396A5CE">
            <w:pPr>
              <w:pStyle w:val="18"/>
              <w:spacing w:line="240" w:lineRule="atLeast"/>
              <w:ind w:left="1080" w:leftChars="257" w:hanging="540"/>
              <w:rPr>
                <w:rFonts w:ascii="仿宋" w:hAnsi="仿宋" w:eastAsia="仿宋" w:cs="仿宋"/>
                <w:sz w:val="24"/>
              </w:rPr>
            </w:pPr>
          </w:p>
        </w:tc>
        <w:tc>
          <w:tcPr>
            <w:tcW w:w="1260" w:type="dxa"/>
          </w:tcPr>
          <w:p w14:paraId="335C7CB0">
            <w:pPr>
              <w:pStyle w:val="18"/>
              <w:spacing w:line="240" w:lineRule="atLeast"/>
              <w:ind w:left="1080" w:leftChars="257" w:hanging="540"/>
              <w:rPr>
                <w:rFonts w:ascii="仿宋" w:hAnsi="仿宋" w:eastAsia="仿宋" w:cs="仿宋"/>
                <w:sz w:val="24"/>
              </w:rPr>
            </w:pPr>
          </w:p>
        </w:tc>
        <w:tc>
          <w:tcPr>
            <w:tcW w:w="900" w:type="dxa"/>
          </w:tcPr>
          <w:p w14:paraId="09479751">
            <w:pPr>
              <w:pStyle w:val="18"/>
              <w:spacing w:line="240" w:lineRule="atLeast"/>
              <w:ind w:left="1080" w:leftChars="257" w:hanging="540"/>
              <w:rPr>
                <w:rFonts w:ascii="仿宋" w:hAnsi="仿宋" w:eastAsia="仿宋" w:cs="仿宋"/>
                <w:sz w:val="24"/>
              </w:rPr>
            </w:pPr>
          </w:p>
        </w:tc>
        <w:tc>
          <w:tcPr>
            <w:tcW w:w="900" w:type="dxa"/>
          </w:tcPr>
          <w:p w14:paraId="7FACE342">
            <w:pPr>
              <w:pStyle w:val="18"/>
              <w:spacing w:line="240" w:lineRule="atLeast"/>
              <w:ind w:left="1080" w:leftChars="257" w:hanging="540"/>
              <w:rPr>
                <w:rFonts w:ascii="仿宋" w:hAnsi="仿宋" w:eastAsia="仿宋" w:cs="仿宋"/>
                <w:sz w:val="24"/>
              </w:rPr>
            </w:pPr>
          </w:p>
        </w:tc>
      </w:tr>
    </w:tbl>
    <w:p w14:paraId="5202DA11">
      <w:pPr>
        <w:pStyle w:val="3"/>
        <w:spacing w:before="0" w:line="240" w:lineRule="atLeast"/>
        <w:ind w:left="1080" w:leftChars="257" w:hanging="540"/>
        <w:rPr>
          <w:rFonts w:ascii="仿宋_GB2312" w:hAnsi="宋体" w:eastAsia="仿宋_GB2312"/>
          <w:sz w:val="24"/>
        </w:rPr>
      </w:pPr>
    </w:p>
    <w:p w14:paraId="6472A035">
      <w:pPr>
        <w:pStyle w:val="3"/>
        <w:spacing w:before="0" w:line="240" w:lineRule="atLeast"/>
        <w:ind w:left="1080" w:leftChars="257" w:hanging="540"/>
        <w:rPr>
          <w:rFonts w:ascii="仿宋_GB2312" w:hAnsi="宋体" w:eastAsia="仿宋_GB2312"/>
          <w:sz w:val="24"/>
        </w:rPr>
      </w:pPr>
    </w:p>
    <w:p w14:paraId="7BC907B9">
      <w:pPr>
        <w:pStyle w:val="3"/>
        <w:spacing w:before="0" w:line="240" w:lineRule="atLeast"/>
        <w:ind w:left="1080" w:leftChars="257" w:hanging="540"/>
        <w:rPr>
          <w:rFonts w:ascii="仿宋_GB2312" w:hAnsi="宋体" w:eastAsia="仿宋_GB2312"/>
          <w:sz w:val="24"/>
        </w:rPr>
      </w:pPr>
    </w:p>
    <w:p w14:paraId="211B93FE">
      <w:pPr>
        <w:pStyle w:val="3"/>
        <w:spacing w:before="0" w:line="240" w:lineRule="atLeast"/>
        <w:ind w:left="1080" w:leftChars="257" w:hanging="540"/>
        <w:rPr>
          <w:rFonts w:ascii="仿宋_GB2312" w:hAnsi="宋体" w:eastAsia="仿宋_GB2312"/>
          <w:sz w:val="24"/>
        </w:rPr>
      </w:pPr>
    </w:p>
    <w:p w14:paraId="2B6F3B4F">
      <w:pPr>
        <w:rPr>
          <w:rFonts w:ascii="仿宋_GB2312" w:hAnsi="宋体" w:eastAsia="仿宋_GB2312"/>
          <w:sz w:val="24"/>
        </w:rPr>
      </w:pPr>
    </w:p>
    <w:p w14:paraId="2F11DF29">
      <w:pPr>
        <w:pStyle w:val="41"/>
        <w:rPr>
          <w:rFonts w:ascii="仿宋_GB2312" w:eastAsia="仿宋_GB2312"/>
          <w:sz w:val="24"/>
        </w:rPr>
      </w:pPr>
    </w:p>
    <w:p w14:paraId="2459929E">
      <w:pPr>
        <w:pStyle w:val="41"/>
        <w:rPr>
          <w:rFonts w:ascii="仿宋_GB2312" w:eastAsia="仿宋_GB2312"/>
          <w:sz w:val="24"/>
        </w:rPr>
      </w:pPr>
    </w:p>
    <w:p w14:paraId="76FB7FA3">
      <w:pPr>
        <w:pStyle w:val="41"/>
        <w:rPr>
          <w:rFonts w:ascii="仿宋_GB2312" w:eastAsia="仿宋_GB2312"/>
          <w:sz w:val="24"/>
        </w:rPr>
      </w:pPr>
    </w:p>
    <w:p w14:paraId="3FF78F8B">
      <w:pPr>
        <w:pStyle w:val="3"/>
        <w:spacing w:before="0" w:line="240" w:lineRule="atLeast"/>
        <w:ind w:left="1080" w:leftChars="257" w:hanging="540"/>
        <w:rPr>
          <w:rFonts w:ascii="仿宋_GB2312" w:hAnsi="宋体" w:eastAsia="仿宋_GB2312"/>
          <w:sz w:val="24"/>
        </w:rPr>
      </w:pPr>
    </w:p>
    <w:p w14:paraId="3A4EABEA">
      <w:pPr>
        <w:pStyle w:val="15"/>
        <w:spacing w:line="420" w:lineRule="atLeast"/>
        <w:ind w:firstLine="420"/>
        <w:jc w:val="center"/>
        <w:rPr>
          <w:rFonts w:ascii="仿宋" w:hAnsi="仿宋" w:eastAsia="仿宋" w:cs="仿宋"/>
          <w:b/>
          <w:bCs/>
        </w:rPr>
      </w:pPr>
      <w:bookmarkStart w:id="317" w:name="_Toc515647823"/>
      <w:bookmarkStart w:id="318" w:name="_Toc21312"/>
      <w:bookmarkStart w:id="319" w:name="_Toc10725"/>
      <w:bookmarkStart w:id="320" w:name="_Toc25608"/>
      <w:bookmarkStart w:id="321" w:name="_Toc10699"/>
      <w:r>
        <w:rPr>
          <w:rFonts w:hint="eastAsia" w:ascii="仿宋" w:hAnsi="仿宋" w:eastAsia="仿宋" w:cs="仿宋"/>
        </w:rPr>
        <w:t xml:space="preserve">6-1 </w:t>
      </w:r>
      <w:bookmarkEnd w:id="317"/>
      <w:bookmarkEnd w:id="318"/>
      <w:bookmarkEnd w:id="319"/>
      <w:r>
        <w:rPr>
          <w:rFonts w:hint="eastAsia" w:ascii="仿宋" w:hAnsi="仿宋" w:eastAsia="仿宋" w:cs="仿宋"/>
        </w:rPr>
        <w:t xml:space="preserve">   </w:t>
      </w:r>
      <w:bookmarkEnd w:id="320"/>
      <w:bookmarkEnd w:id="321"/>
      <w:r>
        <w:rPr>
          <w:rStyle w:val="37"/>
          <w:rFonts w:hint="eastAsia" w:ascii="仿宋" w:hAnsi="仿宋" w:eastAsia="仿宋" w:cs="仿宋"/>
        </w:rPr>
        <w:t>中小企业声明函(工程）</w:t>
      </w:r>
    </w:p>
    <w:p w14:paraId="3C3977FA">
      <w:pPr>
        <w:pStyle w:val="15"/>
        <w:spacing w:line="420" w:lineRule="atLeast"/>
        <w:ind w:firstLine="420"/>
        <w:rPr>
          <w:rFonts w:ascii="仿宋" w:hAnsi="仿宋" w:eastAsia="仿宋" w:cs="仿宋"/>
        </w:rPr>
      </w:pPr>
      <w:r>
        <w:rPr>
          <w:rFonts w:hint="eastAsia" w:ascii="仿宋" w:hAnsi="仿宋" w:eastAsia="仿宋" w:cs="仿宋"/>
        </w:rPr>
        <w:t>本公司（联合体）郑重声明，根据《政府采购促进中小企业发展管理办法》（财库[2020]46号）的规定，本公司（联合体）参加（单位名称）的（项目名称）采购活动，工程的施工单位全部为符合政策要求的中小企业。相关企业（含联合体中的中小企业、签订分包意向协议的中小企业）的具体情况如下：</w:t>
      </w:r>
    </w:p>
    <w:p w14:paraId="6EC75E12">
      <w:pPr>
        <w:pStyle w:val="15"/>
        <w:spacing w:line="420" w:lineRule="atLeast"/>
        <w:ind w:firstLine="420"/>
        <w:rPr>
          <w:rFonts w:ascii="仿宋" w:hAnsi="仿宋" w:eastAsia="仿宋" w:cs="仿宋"/>
        </w:rPr>
      </w:pPr>
      <w:r>
        <w:rPr>
          <w:rFonts w:hint="eastAsia" w:ascii="仿宋" w:hAnsi="仿宋" w:eastAsia="仿宋" w:cs="仿宋"/>
        </w:rPr>
        <w:t>1.</w:t>
      </w:r>
      <w:r>
        <w:rPr>
          <w:rFonts w:hint="eastAsia" w:ascii="仿宋" w:hAnsi="仿宋" w:eastAsia="仿宋" w:cs="仿宋"/>
          <w:u w:val="single"/>
        </w:rPr>
        <w:t>（标的名称）</w:t>
      </w:r>
      <w:r>
        <w:rPr>
          <w:rFonts w:hint="eastAsia" w:ascii="仿宋" w:hAnsi="仿宋" w:eastAsia="仿宋" w:cs="仿宋"/>
        </w:rPr>
        <w:t>，属于</w:t>
      </w:r>
      <w:r>
        <w:rPr>
          <w:rFonts w:hint="eastAsia" w:ascii="仿宋" w:hAnsi="仿宋" w:eastAsia="仿宋" w:cs="仿宋"/>
          <w:u w:val="single"/>
        </w:rPr>
        <w:t>（采购文件中明确的所属行业）</w:t>
      </w:r>
      <w:r>
        <w:rPr>
          <w:rFonts w:hint="eastAsia" w:ascii="仿宋" w:hAnsi="仿宋" w:eastAsia="仿宋" w:cs="仿宋"/>
        </w:rPr>
        <w:t>；承建企业为</w:t>
      </w:r>
      <w:r>
        <w:rPr>
          <w:rFonts w:hint="eastAsia" w:ascii="仿宋" w:hAnsi="仿宋" w:eastAsia="仿宋" w:cs="仿宋"/>
          <w:u w:val="single"/>
        </w:rPr>
        <w:t>（企业名称）</w:t>
      </w:r>
      <w:r>
        <w:rPr>
          <w:rFonts w:hint="eastAsia" w:ascii="仿宋" w:hAnsi="仿宋" w:eastAsia="仿宋" w:cs="仿宋"/>
        </w:rPr>
        <w:t>，从业人员</w:t>
      </w:r>
      <w:r>
        <w:rPr>
          <w:rFonts w:hint="eastAsia" w:ascii="仿宋" w:hAnsi="仿宋" w:eastAsia="仿宋" w:cs="仿宋"/>
          <w:u w:val="single"/>
        </w:rPr>
        <w:t>  </w:t>
      </w:r>
      <w:r>
        <w:rPr>
          <w:rFonts w:hint="eastAsia" w:ascii="仿宋" w:hAnsi="仿宋" w:eastAsia="仿宋" w:cs="仿宋"/>
        </w:rPr>
        <w:t>人，营业收入为</w:t>
      </w:r>
      <w:r>
        <w:rPr>
          <w:rFonts w:hint="eastAsia" w:ascii="仿宋" w:hAnsi="仿宋" w:eastAsia="仿宋" w:cs="仿宋"/>
          <w:u w:val="single"/>
        </w:rPr>
        <w:t>  </w:t>
      </w:r>
      <w:r>
        <w:rPr>
          <w:rFonts w:hint="eastAsia" w:ascii="仿宋" w:hAnsi="仿宋" w:eastAsia="仿宋" w:cs="仿宋"/>
        </w:rPr>
        <w:t>万元，资产总额为</w:t>
      </w:r>
      <w:r>
        <w:rPr>
          <w:rFonts w:hint="eastAsia" w:ascii="仿宋" w:hAnsi="仿宋" w:eastAsia="仿宋" w:cs="仿宋"/>
          <w:u w:val="single"/>
        </w:rPr>
        <w:t>  </w:t>
      </w:r>
      <w:r>
        <w:rPr>
          <w:rFonts w:hint="eastAsia" w:ascii="仿宋" w:hAnsi="仿宋" w:eastAsia="仿宋" w:cs="仿宋"/>
        </w:rPr>
        <w:t>万元，属于</w:t>
      </w:r>
      <w:r>
        <w:rPr>
          <w:rFonts w:hint="eastAsia" w:ascii="仿宋" w:hAnsi="仿宋" w:eastAsia="仿宋" w:cs="仿宋"/>
          <w:u w:val="single"/>
        </w:rPr>
        <w:t>（中型企业、小型企业、微型企业）</w:t>
      </w:r>
      <w:r>
        <w:rPr>
          <w:rFonts w:hint="eastAsia" w:ascii="仿宋" w:hAnsi="仿宋" w:eastAsia="仿宋" w:cs="仿宋"/>
        </w:rPr>
        <w:t>；</w:t>
      </w:r>
    </w:p>
    <w:p w14:paraId="4C0E23B5">
      <w:pPr>
        <w:pStyle w:val="15"/>
        <w:spacing w:line="420" w:lineRule="atLeast"/>
        <w:ind w:firstLine="420"/>
        <w:rPr>
          <w:rFonts w:ascii="仿宋" w:hAnsi="仿宋" w:eastAsia="仿宋" w:cs="仿宋"/>
        </w:rPr>
      </w:pPr>
      <w:r>
        <w:rPr>
          <w:rFonts w:hint="eastAsia" w:ascii="仿宋" w:hAnsi="仿宋" w:eastAsia="仿宋" w:cs="仿宋"/>
        </w:rPr>
        <w:t>2.</w:t>
      </w:r>
      <w:r>
        <w:rPr>
          <w:rFonts w:hint="eastAsia" w:ascii="仿宋" w:hAnsi="仿宋" w:eastAsia="仿宋" w:cs="仿宋"/>
          <w:u w:val="single"/>
        </w:rPr>
        <w:t xml:space="preserve"> （标的名称）</w:t>
      </w:r>
      <w:r>
        <w:rPr>
          <w:rFonts w:hint="eastAsia" w:ascii="仿宋" w:hAnsi="仿宋" w:eastAsia="仿宋" w:cs="仿宋"/>
        </w:rPr>
        <w:t>，属于</w:t>
      </w:r>
      <w:r>
        <w:rPr>
          <w:rFonts w:hint="eastAsia" w:ascii="仿宋" w:hAnsi="仿宋" w:eastAsia="仿宋" w:cs="仿宋"/>
          <w:u w:val="single"/>
        </w:rPr>
        <w:t>（采购文件中明确的所属行业）</w:t>
      </w:r>
      <w:r>
        <w:rPr>
          <w:rFonts w:hint="eastAsia" w:ascii="仿宋" w:hAnsi="仿宋" w:eastAsia="仿宋" w:cs="仿宋"/>
        </w:rPr>
        <w:t>；承建企业为</w:t>
      </w:r>
      <w:r>
        <w:rPr>
          <w:rFonts w:hint="eastAsia" w:ascii="仿宋" w:hAnsi="仿宋" w:eastAsia="仿宋" w:cs="仿宋"/>
          <w:u w:val="single"/>
        </w:rPr>
        <w:t>（企业名称）</w:t>
      </w:r>
      <w:r>
        <w:rPr>
          <w:rFonts w:hint="eastAsia" w:ascii="仿宋" w:hAnsi="仿宋" w:eastAsia="仿宋" w:cs="仿宋"/>
        </w:rPr>
        <w:t>，从业人员</w:t>
      </w:r>
      <w:r>
        <w:rPr>
          <w:rFonts w:hint="eastAsia" w:ascii="仿宋" w:hAnsi="仿宋" w:eastAsia="仿宋" w:cs="仿宋"/>
          <w:u w:val="single"/>
        </w:rPr>
        <w:t>  </w:t>
      </w:r>
      <w:r>
        <w:rPr>
          <w:rFonts w:hint="eastAsia" w:ascii="仿宋" w:hAnsi="仿宋" w:eastAsia="仿宋" w:cs="仿宋"/>
        </w:rPr>
        <w:t>人，营业收入为</w:t>
      </w:r>
      <w:r>
        <w:rPr>
          <w:rFonts w:hint="eastAsia" w:ascii="仿宋" w:hAnsi="仿宋" w:eastAsia="仿宋" w:cs="仿宋"/>
          <w:u w:val="single"/>
        </w:rPr>
        <w:t>  </w:t>
      </w:r>
      <w:r>
        <w:rPr>
          <w:rFonts w:hint="eastAsia" w:ascii="仿宋" w:hAnsi="仿宋" w:eastAsia="仿宋" w:cs="仿宋"/>
        </w:rPr>
        <w:t>万元，资产总额为</w:t>
      </w:r>
      <w:r>
        <w:rPr>
          <w:rFonts w:hint="eastAsia" w:ascii="仿宋" w:hAnsi="仿宋" w:eastAsia="仿宋" w:cs="仿宋"/>
          <w:u w:val="single"/>
        </w:rPr>
        <w:t>  </w:t>
      </w:r>
      <w:r>
        <w:rPr>
          <w:rFonts w:hint="eastAsia" w:ascii="仿宋" w:hAnsi="仿宋" w:eastAsia="仿宋" w:cs="仿宋"/>
        </w:rPr>
        <w:t>万元，属于</w:t>
      </w:r>
      <w:r>
        <w:rPr>
          <w:rFonts w:hint="eastAsia" w:ascii="仿宋" w:hAnsi="仿宋" w:eastAsia="仿宋" w:cs="仿宋"/>
          <w:u w:val="single"/>
        </w:rPr>
        <w:t>（中型企业、小型企业、微型企业）</w:t>
      </w:r>
      <w:r>
        <w:rPr>
          <w:rFonts w:hint="eastAsia" w:ascii="仿宋" w:hAnsi="仿宋" w:eastAsia="仿宋" w:cs="仿宋"/>
        </w:rPr>
        <w:t>；</w:t>
      </w:r>
    </w:p>
    <w:p w14:paraId="3056BF79">
      <w:pPr>
        <w:pStyle w:val="15"/>
        <w:spacing w:line="420" w:lineRule="atLeast"/>
        <w:ind w:firstLine="420"/>
        <w:rPr>
          <w:rFonts w:ascii="仿宋" w:hAnsi="仿宋" w:eastAsia="仿宋" w:cs="仿宋"/>
        </w:rPr>
      </w:pPr>
      <w:r>
        <w:rPr>
          <w:rFonts w:hint="eastAsia" w:ascii="仿宋" w:hAnsi="仿宋" w:eastAsia="仿宋" w:cs="仿宋"/>
        </w:rPr>
        <w:t>……</w:t>
      </w:r>
    </w:p>
    <w:p w14:paraId="290F3177">
      <w:pPr>
        <w:pStyle w:val="15"/>
        <w:spacing w:line="420" w:lineRule="atLeast"/>
        <w:ind w:firstLine="420"/>
        <w:rPr>
          <w:rFonts w:ascii="仿宋" w:hAnsi="仿宋" w:eastAsia="仿宋" w:cs="仿宋"/>
        </w:rPr>
      </w:pPr>
      <w:r>
        <w:rPr>
          <w:rFonts w:hint="eastAsia" w:ascii="仿宋" w:hAnsi="仿宋" w:eastAsia="仿宋" w:cs="仿宋"/>
        </w:rPr>
        <w:t>以上企业，不属于大企业的分支机构，不存在控股股东为大企业的情形，也不存在与大企业的负责人为同一人的情形。</w:t>
      </w:r>
    </w:p>
    <w:p w14:paraId="2C8DB41A">
      <w:pPr>
        <w:pStyle w:val="15"/>
        <w:spacing w:line="420" w:lineRule="atLeast"/>
        <w:ind w:firstLine="420"/>
        <w:rPr>
          <w:rFonts w:ascii="仿宋" w:hAnsi="仿宋" w:eastAsia="仿宋" w:cs="仿宋"/>
        </w:rPr>
      </w:pPr>
      <w:r>
        <w:rPr>
          <w:rFonts w:hint="eastAsia" w:ascii="仿宋" w:hAnsi="仿宋" w:eastAsia="仿宋" w:cs="仿宋"/>
        </w:rPr>
        <w:t>本企业对上述声明内容的真实性负责。如有虚假，将依法承担相应责任。</w:t>
      </w:r>
    </w:p>
    <w:p w14:paraId="1C7BCF46">
      <w:pPr>
        <w:pStyle w:val="15"/>
        <w:spacing w:line="420" w:lineRule="atLeast"/>
        <w:ind w:firstLine="420"/>
        <w:jc w:val="right"/>
        <w:rPr>
          <w:rFonts w:ascii="仿宋" w:hAnsi="仿宋" w:eastAsia="仿宋" w:cs="仿宋"/>
        </w:rPr>
      </w:pPr>
      <w:r>
        <w:rPr>
          <w:rFonts w:hint="eastAsia" w:ascii="仿宋" w:hAnsi="仿宋" w:eastAsia="仿宋" w:cs="仿宋"/>
        </w:rPr>
        <w:t>                      企业名称（盖</w:t>
      </w:r>
      <w:r>
        <w:rPr>
          <w:rFonts w:hint="eastAsia" w:ascii="仿宋" w:hAnsi="仿宋" w:eastAsia="仿宋" w:cs="仿宋"/>
          <w:lang w:val="en-US" w:eastAsia="zh-CN"/>
        </w:rPr>
        <w:t>公</w:t>
      </w:r>
      <w:r>
        <w:rPr>
          <w:rFonts w:hint="eastAsia" w:ascii="仿宋" w:hAnsi="仿宋" w:eastAsia="仿宋" w:cs="仿宋"/>
        </w:rPr>
        <w:t>章）：</w:t>
      </w:r>
    </w:p>
    <w:p w14:paraId="7960795C">
      <w:pPr>
        <w:pStyle w:val="15"/>
        <w:spacing w:line="420" w:lineRule="atLeast"/>
        <w:ind w:firstLine="420"/>
        <w:jc w:val="right"/>
        <w:rPr>
          <w:rFonts w:ascii="微软雅黑" w:hAnsi="微软雅黑" w:eastAsia="微软雅黑" w:cs="微软雅黑"/>
          <w:sz w:val="27"/>
          <w:szCs w:val="27"/>
        </w:rPr>
      </w:pPr>
      <w:r>
        <w:rPr>
          <w:rFonts w:hint="eastAsia" w:ascii="仿宋" w:hAnsi="仿宋" w:eastAsia="仿宋" w:cs="仿宋"/>
        </w:rPr>
        <w:t>                      日期：</w:t>
      </w:r>
      <w:r>
        <w:rPr>
          <w:rFonts w:hint="eastAsia" w:ascii="微软雅黑" w:hAnsi="微软雅黑" w:eastAsia="微软雅黑" w:cs="微软雅黑"/>
          <w:sz w:val="27"/>
          <w:szCs w:val="27"/>
        </w:rPr>
        <w:t> </w:t>
      </w:r>
    </w:p>
    <w:p w14:paraId="5780DCE6">
      <w:pPr>
        <w:pStyle w:val="5"/>
        <w:rPr>
          <w:rFonts w:ascii="仿宋" w:hAnsi="仿宋" w:eastAsia="仿宋" w:cs="仿宋"/>
        </w:rPr>
      </w:pPr>
    </w:p>
    <w:p w14:paraId="0F4F092B">
      <w:pPr>
        <w:pStyle w:val="5"/>
        <w:rPr>
          <w:rFonts w:ascii="仿宋" w:hAnsi="仿宋" w:eastAsia="仿宋" w:cs="仿宋"/>
        </w:rPr>
      </w:pPr>
    </w:p>
    <w:p w14:paraId="1C449BDB">
      <w:pPr>
        <w:pStyle w:val="5"/>
        <w:rPr>
          <w:rFonts w:ascii="仿宋" w:hAnsi="仿宋" w:eastAsia="仿宋" w:cs="仿宋"/>
        </w:rPr>
      </w:pPr>
    </w:p>
    <w:p w14:paraId="6B445166">
      <w:pPr>
        <w:pStyle w:val="5"/>
        <w:rPr>
          <w:rFonts w:ascii="仿宋" w:hAnsi="仿宋" w:eastAsia="仿宋" w:cs="仿宋"/>
        </w:rPr>
      </w:pPr>
    </w:p>
    <w:p w14:paraId="17341763">
      <w:pPr>
        <w:pStyle w:val="5"/>
        <w:rPr>
          <w:rFonts w:ascii="仿宋" w:hAnsi="仿宋" w:eastAsia="仿宋" w:cs="仿宋"/>
        </w:rPr>
      </w:pPr>
    </w:p>
    <w:p w14:paraId="354E6422">
      <w:pPr>
        <w:pStyle w:val="5"/>
        <w:rPr>
          <w:rFonts w:ascii="仿宋" w:hAnsi="仿宋" w:eastAsia="仿宋" w:cs="仿宋"/>
        </w:rPr>
      </w:pPr>
    </w:p>
    <w:p w14:paraId="3FEA5535">
      <w:pPr>
        <w:pStyle w:val="5"/>
        <w:rPr>
          <w:rFonts w:ascii="仿宋" w:hAnsi="仿宋" w:eastAsia="仿宋" w:cs="仿宋"/>
        </w:rPr>
      </w:pPr>
    </w:p>
    <w:p w14:paraId="317EF226">
      <w:pPr>
        <w:pStyle w:val="5"/>
        <w:rPr>
          <w:rFonts w:ascii="仿宋" w:hAnsi="仿宋" w:eastAsia="仿宋" w:cs="仿宋"/>
        </w:rPr>
      </w:pPr>
    </w:p>
    <w:p w14:paraId="47C965F0">
      <w:pPr>
        <w:pStyle w:val="5"/>
        <w:rPr>
          <w:rFonts w:ascii="仿宋" w:hAnsi="仿宋" w:eastAsia="仿宋" w:cs="仿宋"/>
        </w:rPr>
      </w:pPr>
    </w:p>
    <w:p w14:paraId="760EBAEE">
      <w:pPr>
        <w:rPr>
          <w:rFonts w:ascii="仿宋" w:hAnsi="仿宋" w:eastAsia="仿宋" w:cs="仿宋"/>
        </w:rPr>
      </w:pPr>
    </w:p>
    <w:p w14:paraId="513CA5D7">
      <w:pPr>
        <w:rPr>
          <w:rFonts w:ascii="仿宋" w:hAnsi="仿宋" w:eastAsia="仿宋" w:cs="仿宋"/>
        </w:rPr>
      </w:pPr>
    </w:p>
    <w:p w14:paraId="584958CB">
      <w:pPr>
        <w:rPr>
          <w:rFonts w:ascii="仿宋" w:hAnsi="仿宋" w:eastAsia="仿宋" w:cs="仿宋"/>
        </w:rPr>
      </w:pPr>
    </w:p>
    <w:p w14:paraId="35DCADD9">
      <w:pPr>
        <w:rPr>
          <w:rFonts w:ascii="仿宋" w:hAnsi="仿宋" w:eastAsia="仿宋" w:cs="仿宋"/>
        </w:rPr>
      </w:pPr>
    </w:p>
    <w:p w14:paraId="7AC85EC3">
      <w:pPr>
        <w:rPr>
          <w:rFonts w:ascii="仿宋" w:hAnsi="仿宋" w:eastAsia="仿宋" w:cs="仿宋"/>
        </w:rPr>
      </w:pPr>
    </w:p>
    <w:p w14:paraId="7C4EC774">
      <w:pPr>
        <w:rPr>
          <w:rFonts w:ascii="仿宋" w:hAnsi="仿宋" w:eastAsia="仿宋" w:cs="仿宋"/>
        </w:rPr>
      </w:pPr>
    </w:p>
    <w:p w14:paraId="24DD4C7E">
      <w:pPr>
        <w:rPr>
          <w:rFonts w:ascii="仿宋" w:hAnsi="仿宋" w:eastAsia="仿宋" w:cs="仿宋"/>
        </w:rPr>
      </w:pPr>
    </w:p>
    <w:p w14:paraId="2AB0D06C"/>
    <w:p w14:paraId="02B2ED20">
      <w:pPr>
        <w:pStyle w:val="3"/>
        <w:spacing w:before="0" w:line="240" w:lineRule="atLeast"/>
        <w:ind w:firstLine="2168" w:firstLineChars="900"/>
        <w:jc w:val="both"/>
        <w:rPr>
          <w:rFonts w:hint="eastAsia" w:ascii="仿宋" w:hAnsi="仿宋" w:eastAsia="仿宋" w:cs="仿宋"/>
          <w:sz w:val="24"/>
        </w:rPr>
      </w:pPr>
      <w:bookmarkStart w:id="322" w:name="_Toc19284"/>
      <w:bookmarkStart w:id="323" w:name="_Toc515647825"/>
      <w:bookmarkStart w:id="324" w:name="_Toc19937"/>
      <w:bookmarkStart w:id="325" w:name="_Toc23068"/>
      <w:bookmarkStart w:id="326" w:name="_Toc27057"/>
      <w:bookmarkStart w:id="327" w:name="OLE_LINK13"/>
      <w:bookmarkStart w:id="328" w:name="OLE_LINK14"/>
    </w:p>
    <w:p w14:paraId="1F778599">
      <w:pPr>
        <w:pStyle w:val="3"/>
        <w:spacing w:before="0" w:line="240" w:lineRule="atLeast"/>
        <w:ind w:firstLine="2168" w:firstLineChars="900"/>
        <w:jc w:val="both"/>
        <w:rPr>
          <w:rFonts w:hint="eastAsia" w:ascii="仿宋" w:hAnsi="仿宋" w:eastAsia="仿宋" w:cs="仿宋"/>
          <w:sz w:val="24"/>
        </w:rPr>
      </w:pPr>
    </w:p>
    <w:p w14:paraId="41133F34">
      <w:pPr>
        <w:pStyle w:val="3"/>
        <w:spacing w:before="0" w:line="240" w:lineRule="atLeast"/>
        <w:ind w:firstLine="2168" w:firstLineChars="900"/>
        <w:jc w:val="both"/>
        <w:rPr>
          <w:rFonts w:ascii="仿宋" w:hAnsi="仿宋" w:eastAsia="仿宋" w:cs="仿宋"/>
          <w:sz w:val="24"/>
        </w:rPr>
      </w:pPr>
      <w:r>
        <w:rPr>
          <w:rFonts w:hint="eastAsia" w:ascii="仿宋" w:hAnsi="仿宋" w:eastAsia="仿宋" w:cs="仿宋"/>
          <w:sz w:val="24"/>
        </w:rPr>
        <w:t>6-2   残疾人福利性单位声明函（投标文件格式十二）</w:t>
      </w:r>
      <w:bookmarkEnd w:id="322"/>
      <w:bookmarkEnd w:id="323"/>
      <w:bookmarkEnd w:id="324"/>
      <w:bookmarkEnd w:id="325"/>
      <w:bookmarkEnd w:id="326"/>
    </w:p>
    <w:bookmarkEnd w:id="327"/>
    <w:bookmarkEnd w:id="328"/>
    <w:p w14:paraId="33015445">
      <w:pPr>
        <w:spacing w:line="240" w:lineRule="atLeast"/>
        <w:ind w:left="1080" w:leftChars="257" w:hanging="540"/>
        <w:jc w:val="center"/>
        <w:rPr>
          <w:rFonts w:ascii="仿宋" w:hAnsi="仿宋" w:eastAsia="仿宋" w:cs="仿宋"/>
          <w:kern w:val="0"/>
          <w:sz w:val="24"/>
          <w:szCs w:val="20"/>
        </w:rPr>
      </w:pPr>
    </w:p>
    <w:p w14:paraId="03E1A9FF">
      <w:pPr>
        <w:spacing w:line="240" w:lineRule="atLeast"/>
        <w:ind w:firstLine="567"/>
        <w:rPr>
          <w:rFonts w:ascii="仿宋" w:hAnsi="仿宋" w:eastAsia="仿宋" w:cs="仿宋"/>
          <w:kern w:val="0"/>
          <w:sz w:val="24"/>
          <w:szCs w:val="20"/>
        </w:rPr>
      </w:pPr>
      <w:r>
        <w:rPr>
          <w:rFonts w:hint="eastAsia" w:ascii="仿宋" w:hAnsi="仿宋" w:eastAsia="仿宋" w:cs="仿宋"/>
          <w:kern w:val="0"/>
          <w:sz w:val="24"/>
          <w:szCs w:val="20"/>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服务，或者提供其他残疾人福利性单位制造的服务（不包括使用非残疾人福利性单位注册商标的服务）。</w:t>
      </w:r>
    </w:p>
    <w:p w14:paraId="5252D2C9">
      <w:pPr>
        <w:spacing w:line="240" w:lineRule="atLeast"/>
        <w:ind w:left="1080" w:leftChars="257" w:hanging="540"/>
        <w:rPr>
          <w:rFonts w:ascii="仿宋" w:hAnsi="仿宋" w:eastAsia="仿宋" w:cs="仿宋"/>
          <w:kern w:val="0"/>
          <w:sz w:val="24"/>
          <w:szCs w:val="20"/>
        </w:rPr>
      </w:pPr>
      <w:r>
        <w:rPr>
          <w:rFonts w:hint="eastAsia" w:ascii="仿宋" w:hAnsi="仿宋" w:eastAsia="仿宋" w:cs="仿宋"/>
          <w:kern w:val="0"/>
          <w:sz w:val="24"/>
          <w:szCs w:val="20"/>
        </w:rPr>
        <w:t>本单位对上述声明的真实性负责。如有虚假，将依法承担相应责任。</w:t>
      </w:r>
    </w:p>
    <w:p w14:paraId="32CEB0A4">
      <w:pPr>
        <w:spacing w:line="240" w:lineRule="atLeast"/>
        <w:ind w:left="1080" w:leftChars="257" w:hanging="540"/>
        <w:jc w:val="center"/>
        <w:rPr>
          <w:rFonts w:ascii="仿宋" w:hAnsi="仿宋" w:eastAsia="仿宋" w:cs="仿宋"/>
          <w:kern w:val="0"/>
          <w:sz w:val="24"/>
          <w:szCs w:val="20"/>
        </w:rPr>
      </w:pPr>
    </w:p>
    <w:p w14:paraId="6C8D06DA">
      <w:pPr>
        <w:spacing w:line="240" w:lineRule="atLeast"/>
        <w:ind w:left="1080" w:leftChars="257" w:hanging="540"/>
        <w:jc w:val="center"/>
        <w:rPr>
          <w:rFonts w:ascii="仿宋" w:hAnsi="仿宋" w:eastAsia="仿宋" w:cs="仿宋"/>
          <w:kern w:val="0"/>
          <w:sz w:val="24"/>
          <w:szCs w:val="20"/>
        </w:rPr>
      </w:pPr>
    </w:p>
    <w:p w14:paraId="0CD0CD40">
      <w:pPr>
        <w:spacing w:line="240" w:lineRule="atLeast"/>
        <w:ind w:left="1080" w:leftChars="257" w:hanging="540"/>
        <w:jc w:val="center"/>
        <w:rPr>
          <w:rFonts w:ascii="仿宋" w:hAnsi="仿宋" w:eastAsia="仿宋" w:cs="仿宋"/>
          <w:kern w:val="0"/>
          <w:sz w:val="24"/>
          <w:szCs w:val="20"/>
        </w:rPr>
      </w:pPr>
      <w:r>
        <w:rPr>
          <w:rFonts w:hint="eastAsia" w:ascii="仿宋" w:hAnsi="仿宋" w:eastAsia="仿宋" w:cs="仿宋"/>
          <w:kern w:val="0"/>
          <w:sz w:val="24"/>
          <w:szCs w:val="20"/>
        </w:rPr>
        <w:t xml:space="preserve">              残疾人福利性单位名称（</w:t>
      </w:r>
      <w:r>
        <w:rPr>
          <w:rFonts w:hint="eastAsia" w:ascii="仿宋" w:hAnsi="仿宋" w:eastAsia="仿宋" w:cs="仿宋"/>
          <w:kern w:val="0"/>
          <w:sz w:val="24"/>
          <w:szCs w:val="20"/>
          <w:lang w:eastAsia="zh-CN"/>
        </w:rPr>
        <w:t>盖单位公章</w:t>
      </w:r>
      <w:r>
        <w:rPr>
          <w:rFonts w:hint="eastAsia" w:ascii="仿宋" w:hAnsi="仿宋" w:eastAsia="仿宋" w:cs="仿宋"/>
          <w:kern w:val="0"/>
          <w:sz w:val="24"/>
          <w:szCs w:val="20"/>
        </w:rPr>
        <w:t>）：______________</w:t>
      </w:r>
    </w:p>
    <w:p w14:paraId="664AF9DA">
      <w:pPr>
        <w:spacing w:line="240" w:lineRule="atLeast"/>
        <w:ind w:left="1080" w:leftChars="257" w:hanging="540"/>
        <w:jc w:val="center"/>
        <w:rPr>
          <w:rFonts w:ascii="仿宋" w:hAnsi="仿宋" w:eastAsia="仿宋" w:cs="仿宋"/>
          <w:kern w:val="0"/>
          <w:sz w:val="24"/>
          <w:szCs w:val="20"/>
        </w:rPr>
      </w:pPr>
      <w:r>
        <w:rPr>
          <w:rFonts w:hint="eastAsia" w:ascii="仿宋" w:hAnsi="仿宋" w:eastAsia="仿宋" w:cs="仿宋"/>
          <w:kern w:val="0"/>
          <w:sz w:val="24"/>
          <w:szCs w:val="20"/>
        </w:rPr>
        <w:t>日  期：_____________________________________________</w:t>
      </w:r>
    </w:p>
    <w:p w14:paraId="23503B94">
      <w:pPr>
        <w:spacing w:line="240" w:lineRule="atLeast"/>
        <w:ind w:left="1080" w:leftChars="257" w:hanging="540"/>
        <w:jc w:val="center"/>
        <w:rPr>
          <w:rFonts w:ascii="仿宋" w:hAnsi="仿宋" w:eastAsia="仿宋" w:cs="仿宋"/>
          <w:b/>
          <w:kern w:val="0"/>
          <w:sz w:val="24"/>
          <w:szCs w:val="20"/>
        </w:rPr>
      </w:pPr>
    </w:p>
    <w:p w14:paraId="45EC08DC">
      <w:pPr>
        <w:pStyle w:val="3"/>
        <w:spacing w:before="0" w:line="240" w:lineRule="atLeast"/>
        <w:ind w:left="1080" w:leftChars="257" w:hanging="540"/>
        <w:rPr>
          <w:rFonts w:ascii="仿宋_GB2312" w:hAnsi="宋体" w:eastAsia="仿宋_GB2312"/>
          <w:sz w:val="24"/>
        </w:rPr>
      </w:pPr>
    </w:p>
    <w:p w14:paraId="03A3E9EB">
      <w:pPr>
        <w:pStyle w:val="3"/>
        <w:spacing w:before="0" w:line="240" w:lineRule="atLeast"/>
        <w:jc w:val="both"/>
        <w:rPr>
          <w:rFonts w:ascii="仿宋_GB2312" w:hAnsi="宋体" w:eastAsia="仿宋_GB2312"/>
          <w:sz w:val="24"/>
        </w:rPr>
      </w:pPr>
    </w:p>
    <w:p w14:paraId="7C7FAB19">
      <w:pPr>
        <w:pStyle w:val="3"/>
        <w:spacing w:before="0" w:line="240" w:lineRule="atLeast"/>
        <w:ind w:left="1080" w:leftChars="257" w:hanging="540"/>
        <w:rPr>
          <w:rFonts w:ascii="仿宋_GB2312" w:hAnsi="宋体" w:eastAsia="仿宋_GB2312"/>
          <w:sz w:val="24"/>
        </w:rPr>
      </w:pPr>
    </w:p>
    <w:p w14:paraId="41CC58F0">
      <w:pPr>
        <w:pStyle w:val="3"/>
        <w:spacing w:before="0" w:line="240" w:lineRule="atLeast"/>
        <w:ind w:left="1080" w:leftChars="257" w:hanging="540"/>
        <w:rPr>
          <w:rFonts w:ascii="仿宋_GB2312" w:hAnsi="宋体" w:eastAsia="仿宋_GB2312"/>
          <w:sz w:val="24"/>
        </w:rPr>
      </w:pPr>
    </w:p>
    <w:p w14:paraId="0C0FD98C">
      <w:pPr>
        <w:pStyle w:val="3"/>
        <w:spacing w:before="0" w:line="240" w:lineRule="atLeast"/>
        <w:ind w:left="1080" w:leftChars="257" w:hanging="540"/>
        <w:rPr>
          <w:rFonts w:ascii="仿宋_GB2312" w:hAnsi="宋体" w:eastAsia="仿宋_GB2312"/>
          <w:sz w:val="24"/>
        </w:rPr>
      </w:pPr>
    </w:p>
    <w:p w14:paraId="23AE5AB8">
      <w:pPr>
        <w:pStyle w:val="3"/>
        <w:spacing w:before="0" w:line="240" w:lineRule="atLeast"/>
        <w:ind w:left="1080" w:leftChars="257" w:hanging="540"/>
        <w:rPr>
          <w:rFonts w:ascii="仿宋_GB2312" w:hAnsi="宋体" w:eastAsia="仿宋_GB2312"/>
          <w:sz w:val="24"/>
        </w:rPr>
      </w:pPr>
      <w:bookmarkStart w:id="329" w:name="_Toc26016"/>
      <w:r>
        <w:rPr>
          <w:rFonts w:hint="eastAsia" w:ascii="仿宋_GB2312" w:hAnsi="宋体" w:eastAsia="仿宋_GB2312"/>
          <w:sz w:val="24"/>
        </w:rPr>
        <w:t>7、供应商</w:t>
      </w:r>
      <w:r>
        <w:rPr>
          <w:rFonts w:ascii="仿宋_GB2312" w:hAnsi="宋体" w:eastAsia="仿宋_GB2312"/>
          <w:sz w:val="24"/>
        </w:rPr>
        <w:t>关联单位的说明</w:t>
      </w:r>
      <w:bookmarkEnd w:id="312"/>
      <w:bookmarkEnd w:id="313"/>
      <w:bookmarkEnd w:id="314"/>
      <w:bookmarkEnd w:id="315"/>
      <w:bookmarkEnd w:id="329"/>
    </w:p>
    <w:p w14:paraId="6AC00F94">
      <w:pPr>
        <w:pStyle w:val="5"/>
        <w:jc w:val="center"/>
      </w:pPr>
    </w:p>
    <w:p w14:paraId="02AB680E">
      <w:pPr>
        <w:pStyle w:val="5"/>
        <w:ind w:firstLine="480" w:firstLineChars="200"/>
        <w:rPr>
          <w:rFonts w:ascii="仿宋_GB2312" w:hAnsi="宋体" w:eastAsia="仿宋_GB2312"/>
        </w:rPr>
      </w:pPr>
      <w:r>
        <w:rPr>
          <w:rFonts w:hint="eastAsia" w:ascii="仿宋_GB2312" w:hAnsi="宋体" w:eastAsia="仿宋_GB2312"/>
        </w:rPr>
        <w:t>说明</w:t>
      </w:r>
      <w:r>
        <w:rPr>
          <w:rFonts w:ascii="仿宋_GB2312" w:hAnsi="宋体" w:eastAsia="仿宋_GB2312"/>
        </w:rPr>
        <w:t>：</w:t>
      </w:r>
      <w:r>
        <w:rPr>
          <w:rFonts w:hint="eastAsia" w:ascii="仿宋_GB2312" w:hAnsi="宋体" w:eastAsia="仿宋_GB2312"/>
        </w:rPr>
        <w:t>供应商</w:t>
      </w:r>
      <w:r>
        <w:rPr>
          <w:rFonts w:ascii="仿宋_GB2312" w:hAnsi="宋体" w:eastAsia="仿宋_GB2312"/>
        </w:rPr>
        <w:t>应当如实披露与本单位存在下列关联关系的单位名称</w:t>
      </w:r>
      <w:r>
        <w:rPr>
          <w:rFonts w:hint="eastAsia" w:ascii="仿宋_GB2312" w:hAnsi="宋体" w:eastAsia="仿宋_GB2312"/>
        </w:rPr>
        <w:t>：</w:t>
      </w:r>
    </w:p>
    <w:p w14:paraId="04FDB5E1">
      <w:pPr>
        <w:pStyle w:val="5"/>
        <w:ind w:firstLine="480" w:firstLineChars="200"/>
      </w:pPr>
      <w:r>
        <w:rPr>
          <w:rFonts w:ascii="仿宋_GB2312" w:hAnsi="宋体" w:eastAsia="仿宋_GB2312"/>
        </w:rPr>
        <w:t>（1）与</w:t>
      </w:r>
      <w:r>
        <w:rPr>
          <w:rFonts w:hint="eastAsia" w:ascii="仿宋_GB2312" w:hAnsi="宋体" w:eastAsia="仿宋_GB2312"/>
        </w:rPr>
        <w:t>供应商</w:t>
      </w:r>
      <w:r>
        <w:rPr>
          <w:rFonts w:ascii="仿宋_GB2312" w:hAnsi="宋体" w:eastAsia="仿宋_GB2312"/>
        </w:rPr>
        <w:t>单位负责人为同一人的其他</w:t>
      </w:r>
      <w:r>
        <w:rPr>
          <w:rFonts w:hint="eastAsia" w:ascii="仿宋_GB2312" w:hAnsi="宋体" w:eastAsia="仿宋_GB2312"/>
        </w:rPr>
        <w:t>单位</w:t>
      </w:r>
      <w:r>
        <w:rPr>
          <w:rFonts w:ascii="仿宋_GB2312" w:hAnsi="宋体" w:eastAsia="仿宋_GB2312"/>
        </w:rPr>
        <w:t>；</w:t>
      </w:r>
      <w:r>
        <w:rPr>
          <w:rFonts w:ascii="仿宋_GB2312" w:hAnsi="宋体" w:eastAsia="仿宋_GB2312"/>
        </w:rPr>
        <w:br w:type="textWrapping"/>
      </w:r>
      <w:r>
        <w:rPr>
          <w:rFonts w:ascii="仿宋_GB2312" w:hAnsi="宋体" w:eastAsia="仿宋_GB2312"/>
        </w:rPr>
        <w:t xml:space="preserve">    （2）与</w:t>
      </w:r>
      <w:r>
        <w:rPr>
          <w:rFonts w:hint="eastAsia" w:ascii="仿宋_GB2312" w:hAnsi="宋体" w:eastAsia="仿宋_GB2312"/>
        </w:rPr>
        <w:t>供应商</w:t>
      </w:r>
      <w:r>
        <w:rPr>
          <w:rFonts w:ascii="仿宋_GB2312" w:hAnsi="宋体" w:eastAsia="仿宋_GB2312"/>
        </w:rPr>
        <w:t>存在直接控股、管理关系的其他单位</w:t>
      </w:r>
      <w:r>
        <w:rPr>
          <w:rFonts w:hint="eastAsia" w:ascii="仿宋_GB2312" w:hAnsi="宋体" w:eastAsia="仿宋_GB2312"/>
        </w:rPr>
        <w:t>。</w:t>
      </w:r>
    </w:p>
    <w:p w14:paraId="4BBD4950">
      <w:pPr>
        <w:pStyle w:val="5"/>
        <w:ind w:firstLine="0"/>
        <w:rPr>
          <w:rFonts w:ascii="仿宋_GB2312" w:hAnsi="宋体" w:eastAsia="仿宋_GB2312"/>
        </w:rPr>
      </w:pPr>
      <w:bookmarkStart w:id="330" w:name="_Toc515647828"/>
      <w:bookmarkStart w:id="331" w:name="_Toc7414"/>
      <w:bookmarkStart w:id="332" w:name="_Toc17333"/>
    </w:p>
    <w:p w14:paraId="66906864">
      <w:pPr>
        <w:pStyle w:val="5"/>
        <w:ind w:firstLine="0"/>
        <w:rPr>
          <w:rFonts w:ascii="仿宋_GB2312" w:hAnsi="宋体" w:eastAsia="仿宋_GB2312"/>
        </w:rPr>
      </w:pPr>
    </w:p>
    <w:bookmarkEnd w:id="330"/>
    <w:bookmarkEnd w:id="331"/>
    <w:bookmarkEnd w:id="332"/>
    <w:p w14:paraId="42CDBCC9">
      <w:pPr>
        <w:pStyle w:val="5"/>
        <w:ind w:firstLine="0"/>
        <w:jc w:val="both"/>
        <w:rPr>
          <w:rFonts w:ascii="仿宋_GB2312" w:hAnsi="宋体" w:eastAsia="仿宋_GB2312"/>
          <w:b/>
          <w:bCs/>
        </w:rPr>
      </w:pPr>
    </w:p>
    <w:p w14:paraId="5973BD17">
      <w:pPr>
        <w:pStyle w:val="18"/>
        <w:outlineLvl w:val="1"/>
        <w:rPr>
          <w:rFonts w:ascii="仿宋_GB2312" w:hAnsi="宋体" w:eastAsia="仿宋_GB2312"/>
          <w:b/>
          <w:bCs/>
          <w:sz w:val="24"/>
        </w:rPr>
      </w:pPr>
    </w:p>
    <w:p w14:paraId="0DB6766F">
      <w:pPr>
        <w:pStyle w:val="18"/>
        <w:ind w:firstLine="1928" w:firstLineChars="800"/>
        <w:outlineLvl w:val="1"/>
        <w:rPr>
          <w:rFonts w:ascii="仿宋_GB2312" w:hAnsi="宋体" w:eastAsia="仿宋_GB2312"/>
          <w:b/>
          <w:bCs/>
          <w:sz w:val="24"/>
        </w:rPr>
      </w:pPr>
      <w:bookmarkStart w:id="333" w:name="_Toc13451"/>
      <w:r>
        <w:rPr>
          <w:rFonts w:hint="eastAsia" w:ascii="仿宋_GB2312" w:hAnsi="宋体" w:eastAsia="仿宋_GB2312"/>
          <w:b/>
          <w:bCs/>
          <w:sz w:val="24"/>
        </w:rPr>
        <w:t>8、响应文件还应包括供应商须知第10条的所有技术文件</w:t>
      </w:r>
      <w:bookmarkEnd w:id="333"/>
    </w:p>
    <w:p w14:paraId="1A570526">
      <w:pPr>
        <w:pStyle w:val="19"/>
      </w:pPr>
    </w:p>
    <w:p w14:paraId="5CE5E44D">
      <w:pPr>
        <w:pStyle w:val="5"/>
        <w:ind w:firstLine="1440" w:firstLineChars="600"/>
        <w:rPr>
          <w:rFonts w:hint="default" w:eastAsia="宋体"/>
          <w:lang w:val="en-US" w:eastAsia="zh-CN"/>
        </w:rPr>
      </w:pPr>
      <w:r>
        <w:rPr>
          <w:rFonts w:hint="eastAsia"/>
          <w:lang w:val="en-US" w:eastAsia="zh-CN"/>
        </w:rPr>
        <w:t>注：投标有力的其他证明资料</w:t>
      </w:r>
    </w:p>
    <w:p w14:paraId="13F1FB0E"/>
    <w:p w14:paraId="1D056E4F">
      <w:pPr>
        <w:pStyle w:val="5"/>
      </w:pPr>
    </w:p>
    <w:p w14:paraId="234EF3AB"/>
    <w:p w14:paraId="0720F8AC">
      <w:pPr>
        <w:pStyle w:val="5"/>
      </w:pPr>
    </w:p>
    <w:p w14:paraId="585A0E66"/>
    <w:p w14:paraId="7EBB0DAA">
      <w:pPr>
        <w:pStyle w:val="5"/>
      </w:pPr>
    </w:p>
    <w:p w14:paraId="23977EAD"/>
    <w:p w14:paraId="6048987F">
      <w:pPr>
        <w:pStyle w:val="5"/>
      </w:pPr>
    </w:p>
    <w:p w14:paraId="6B5610E8">
      <w:pPr>
        <w:rPr>
          <w:b/>
          <w:bCs/>
        </w:rPr>
      </w:pPr>
    </w:p>
    <w:p w14:paraId="34724F5B">
      <w:pPr>
        <w:pStyle w:val="5"/>
        <w:ind w:firstLine="1446" w:firstLineChars="600"/>
        <w:rPr>
          <w:rFonts w:ascii="仿宋" w:hAnsi="仿宋" w:eastAsia="仿宋" w:cs="仿宋"/>
        </w:rPr>
      </w:pPr>
      <w:r>
        <w:rPr>
          <w:rFonts w:hint="eastAsia"/>
          <w:b/>
          <w:bCs/>
        </w:rPr>
        <w:t xml:space="preserve">            </w:t>
      </w:r>
    </w:p>
    <w:p w14:paraId="48C1F67E">
      <w:pPr>
        <w:pStyle w:val="5"/>
        <w:ind w:firstLine="1440" w:firstLineChars="600"/>
        <w:rPr>
          <w:rFonts w:ascii="仿宋" w:hAnsi="仿宋" w:eastAsia="仿宋" w:cs="仿宋"/>
        </w:rPr>
      </w:pPr>
    </w:p>
    <w:p w14:paraId="43AD371D">
      <w:pPr>
        <w:pStyle w:val="5"/>
        <w:ind w:firstLine="1440" w:firstLineChars="600"/>
        <w:rPr>
          <w:rFonts w:ascii="仿宋" w:hAnsi="仿宋" w:eastAsia="仿宋" w:cs="仿宋"/>
        </w:rPr>
      </w:pPr>
    </w:p>
    <w:p w14:paraId="05B5054D">
      <w:pPr>
        <w:pStyle w:val="5"/>
        <w:ind w:firstLine="1440" w:firstLineChars="600"/>
        <w:rPr>
          <w:rFonts w:ascii="仿宋" w:hAnsi="仿宋" w:eastAsia="仿宋" w:cs="仿宋"/>
        </w:rPr>
      </w:pPr>
    </w:p>
    <w:p w14:paraId="56A74BB7">
      <w:pPr>
        <w:pStyle w:val="5"/>
        <w:ind w:firstLine="1440" w:firstLineChars="600"/>
        <w:rPr>
          <w:rFonts w:ascii="仿宋" w:hAnsi="仿宋" w:eastAsia="仿宋" w:cs="仿宋"/>
        </w:rPr>
      </w:pPr>
    </w:p>
    <w:p w14:paraId="13AB3012">
      <w:pPr>
        <w:pStyle w:val="5"/>
        <w:ind w:firstLine="1440" w:firstLineChars="600"/>
        <w:rPr>
          <w:rFonts w:ascii="仿宋" w:hAnsi="仿宋" w:eastAsia="仿宋" w:cs="仿宋"/>
        </w:rPr>
      </w:pPr>
    </w:p>
    <w:p w14:paraId="66AC49B1">
      <w:pPr>
        <w:pStyle w:val="5"/>
        <w:ind w:firstLine="1440" w:firstLineChars="600"/>
        <w:rPr>
          <w:rFonts w:ascii="仿宋" w:hAnsi="仿宋" w:eastAsia="仿宋" w:cs="仿宋"/>
        </w:rPr>
      </w:pPr>
    </w:p>
    <w:p w14:paraId="6441BECC">
      <w:pPr>
        <w:pStyle w:val="5"/>
        <w:ind w:firstLine="1440" w:firstLineChars="600"/>
        <w:rPr>
          <w:rFonts w:ascii="仿宋" w:hAnsi="仿宋" w:eastAsia="仿宋" w:cs="仿宋"/>
        </w:rPr>
      </w:pPr>
    </w:p>
    <w:p w14:paraId="174988D8">
      <w:pPr>
        <w:pStyle w:val="5"/>
        <w:ind w:firstLine="1440" w:firstLineChars="600"/>
        <w:rPr>
          <w:rFonts w:ascii="仿宋" w:hAnsi="仿宋" w:eastAsia="仿宋" w:cs="仿宋"/>
        </w:rPr>
      </w:pPr>
    </w:p>
    <w:p w14:paraId="43348DD8">
      <w:pPr>
        <w:spacing w:line="400" w:lineRule="atLeast"/>
        <w:jc w:val="left"/>
        <w:rPr>
          <w:rFonts w:ascii="Arial" w:hAnsi="Arial" w:cs="Arial"/>
          <w:b/>
          <w:bCs/>
          <w:sz w:val="24"/>
        </w:rPr>
      </w:pPr>
    </w:p>
    <w:p w14:paraId="33C6621D">
      <w:pPr>
        <w:spacing w:line="400" w:lineRule="atLeast"/>
        <w:jc w:val="left"/>
        <w:rPr>
          <w:rFonts w:ascii="Arial" w:hAnsi="Arial" w:cs="Arial"/>
          <w:b/>
          <w:bCs/>
          <w:sz w:val="24"/>
        </w:rPr>
      </w:pPr>
    </w:p>
    <w:p w14:paraId="57DBA726">
      <w:pPr>
        <w:spacing w:line="400" w:lineRule="atLeast"/>
        <w:jc w:val="left"/>
        <w:rPr>
          <w:rFonts w:ascii="Arial" w:hAnsi="Arial" w:cs="Arial"/>
          <w:b/>
          <w:bCs/>
          <w:sz w:val="24"/>
        </w:rPr>
      </w:pPr>
    </w:p>
    <w:p w14:paraId="1A08F909">
      <w:pPr>
        <w:spacing w:line="400" w:lineRule="atLeast"/>
        <w:jc w:val="left"/>
        <w:rPr>
          <w:rFonts w:ascii="Arial" w:hAnsi="Arial" w:cs="Arial"/>
          <w:b/>
          <w:bCs/>
          <w:sz w:val="24"/>
        </w:rPr>
      </w:pPr>
      <w:r>
        <w:rPr>
          <w:rFonts w:hint="eastAsia" w:ascii="Arial" w:hAnsi="Arial" w:cs="Arial"/>
          <w:b/>
          <w:bCs/>
          <w:sz w:val="24"/>
        </w:rPr>
        <w:t>附件一</w:t>
      </w:r>
    </w:p>
    <w:p w14:paraId="417ACAD8">
      <w:pPr>
        <w:spacing w:line="400" w:lineRule="atLeast"/>
        <w:jc w:val="center"/>
        <w:rPr>
          <w:rFonts w:ascii="仿宋" w:hAnsi="仿宋" w:eastAsia="仿宋" w:cs="仿宋"/>
          <w:sz w:val="24"/>
        </w:rPr>
      </w:pPr>
      <w:r>
        <w:rPr>
          <w:rFonts w:hint="eastAsia" w:ascii="仿宋" w:hAnsi="仿宋" w:eastAsia="仿宋" w:cs="仿宋"/>
          <w:b/>
          <w:bCs/>
          <w:sz w:val="24"/>
        </w:rPr>
        <w:t>拟派项目负责人简历表</w:t>
      </w:r>
    </w:p>
    <w:p w14:paraId="59DAE3E1">
      <w:pPr>
        <w:spacing w:line="400" w:lineRule="atLeast"/>
        <w:jc w:val="center"/>
        <w:rPr>
          <w:rFonts w:ascii="仿宋" w:hAnsi="仿宋" w:eastAsia="仿宋" w:cs="仿宋"/>
          <w:sz w:val="24"/>
        </w:rPr>
      </w:pPr>
    </w:p>
    <w:tbl>
      <w:tblPr>
        <w:tblStyle w:val="34"/>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68"/>
        <w:gridCol w:w="1230"/>
        <w:gridCol w:w="353"/>
        <w:gridCol w:w="1582"/>
        <w:gridCol w:w="1583"/>
        <w:gridCol w:w="1056"/>
      </w:tblGrid>
      <w:tr w14:paraId="52DAC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6728F001">
            <w:pPr>
              <w:spacing w:line="360" w:lineRule="auto"/>
              <w:jc w:val="center"/>
              <w:rPr>
                <w:rFonts w:ascii="仿宋" w:hAnsi="仿宋" w:eastAsia="仿宋" w:cs="仿宋"/>
                <w:sz w:val="24"/>
              </w:rPr>
            </w:pPr>
            <w:r>
              <w:rPr>
                <w:rFonts w:hint="eastAsia" w:ascii="仿宋" w:hAnsi="仿宋" w:eastAsia="仿宋" w:cs="仿宋"/>
                <w:sz w:val="24"/>
              </w:rPr>
              <w:t>姓名</w:t>
            </w:r>
          </w:p>
        </w:tc>
        <w:tc>
          <w:tcPr>
            <w:tcW w:w="2798" w:type="dxa"/>
            <w:gridSpan w:val="2"/>
            <w:vAlign w:val="center"/>
          </w:tcPr>
          <w:p w14:paraId="17FA6E2E">
            <w:pPr>
              <w:spacing w:line="360" w:lineRule="auto"/>
              <w:jc w:val="center"/>
              <w:rPr>
                <w:rFonts w:ascii="仿宋" w:hAnsi="仿宋" w:eastAsia="仿宋" w:cs="仿宋"/>
                <w:sz w:val="24"/>
              </w:rPr>
            </w:pPr>
          </w:p>
        </w:tc>
        <w:tc>
          <w:tcPr>
            <w:tcW w:w="1935" w:type="dxa"/>
            <w:gridSpan w:val="2"/>
            <w:vAlign w:val="center"/>
          </w:tcPr>
          <w:p w14:paraId="1B54DF63">
            <w:pPr>
              <w:spacing w:line="360" w:lineRule="auto"/>
              <w:jc w:val="center"/>
              <w:rPr>
                <w:rFonts w:ascii="仿宋" w:hAnsi="仿宋" w:eastAsia="仿宋" w:cs="仿宋"/>
                <w:sz w:val="24"/>
              </w:rPr>
            </w:pPr>
            <w:r>
              <w:rPr>
                <w:rFonts w:hint="eastAsia" w:ascii="仿宋" w:hAnsi="仿宋" w:eastAsia="仿宋" w:cs="仿宋"/>
                <w:sz w:val="24"/>
              </w:rPr>
              <w:t>性别</w:t>
            </w:r>
          </w:p>
        </w:tc>
        <w:tc>
          <w:tcPr>
            <w:tcW w:w="2639" w:type="dxa"/>
            <w:gridSpan w:val="2"/>
            <w:vAlign w:val="center"/>
          </w:tcPr>
          <w:p w14:paraId="4C105973">
            <w:pPr>
              <w:spacing w:line="360" w:lineRule="auto"/>
              <w:jc w:val="center"/>
              <w:rPr>
                <w:rFonts w:ascii="仿宋" w:hAnsi="仿宋" w:eastAsia="仿宋" w:cs="仿宋"/>
                <w:sz w:val="24"/>
              </w:rPr>
            </w:pPr>
          </w:p>
        </w:tc>
      </w:tr>
      <w:tr w14:paraId="70617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60ECD7EC">
            <w:pPr>
              <w:spacing w:line="360" w:lineRule="auto"/>
              <w:jc w:val="center"/>
              <w:rPr>
                <w:rFonts w:ascii="仿宋" w:hAnsi="仿宋" w:eastAsia="仿宋" w:cs="仿宋"/>
                <w:sz w:val="24"/>
              </w:rPr>
            </w:pPr>
            <w:r>
              <w:rPr>
                <w:rFonts w:hint="eastAsia" w:ascii="仿宋" w:hAnsi="仿宋" w:eastAsia="仿宋" w:cs="仿宋"/>
                <w:sz w:val="24"/>
              </w:rPr>
              <w:t>职称</w:t>
            </w:r>
          </w:p>
        </w:tc>
        <w:tc>
          <w:tcPr>
            <w:tcW w:w="2798" w:type="dxa"/>
            <w:gridSpan w:val="2"/>
            <w:vAlign w:val="center"/>
          </w:tcPr>
          <w:p w14:paraId="741920CD">
            <w:pPr>
              <w:spacing w:line="360" w:lineRule="auto"/>
              <w:jc w:val="center"/>
              <w:rPr>
                <w:rFonts w:ascii="仿宋" w:hAnsi="仿宋" w:eastAsia="仿宋" w:cs="仿宋"/>
                <w:sz w:val="24"/>
              </w:rPr>
            </w:pPr>
          </w:p>
        </w:tc>
        <w:tc>
          <w:tcPr>
            <w:tcW w:w="1935" w:type="dxa"/>
            <w:gridSpan w:val="2"/>
            <w:vAlign w:val="center"/>
          </w:tcPr>
          <w:p w14:paraId="12D7452C">
            <w:pPr>
              <w:spacing w:line="360" w:lineRule="auto"/>
              <w:jc w:val="center"/>
              <w:rPr>
                <w:rFonts w:ascii="仿宋" w:hAnsi="仿宋" w:eastAsia="仿宋" w:cs="仿宋"/>
                <w:sz w:val="24"/>
              </w:rPr>
            </w:pPr>
            <w:r>
              <w:rPr>
                <w:rFonts w:hint="eastAsia" w:ascii="仿宋" w:hAnsi="仿宋" w:eastAsia="仿宋" w:cs="仿宋"/>
                <w:sz w:val="24"/>
              </w:rPr>
              <w:t>学历</w:t>
            </w:r>
          </w:p>
        </w:tc>
        <w:tc>
          <w:tcPr>
            <w:tcW w:w="2639" w:type="dxa"/>
            <w:gridSpan w:val="2"/>
            <w:vAlign w:val="center"/>
          </w:tcPr>
          <w:p w14:paraId="1E4C2DE7">
            <w:pPr>
              <w:spacing w:line="360" w:lineRule="auto"/>
              <w:jc w:val="center"/>
              <w:rPr>
                <w:rFonts w:ascii="仿宋" w:hAnsi="仿宋" w:eastAsia="仿宋" w:cs="仿宋"/>
                <w:sz w:val="24"/>
              </w:rPr>
            </w:pPr>
          </w:p>
        </w:tc>
      </w:tr>
      <w:tr w14:paraId="37A9E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1D41FA61">
            <w:pPr>
              <w:spacing w:line="360" w:lineRule="auto"/>
              <w:jc w:val="center"/>
              <w:rPr>
                <w:rFonts w:ascii="仿宋" w:hAnsi="仿宋" w:eastAsia="仿宋" w:cs="仿宋"/>
                <w:sz w:val="24"/>
              </w:rPr>
            </w:pPr>
            <w:r>
              <w:rPr>
                <w:rFonts w:hint="eastAsia" w:ascii="仿宋" w:hAnsi="仿宋" w:eastAsia="仿宋" w:cs="仿宋"/>
                <w:sz w:val="24"/>
              </w:rPr>
              <w:t>参加工作时间</w:t>
            </w:r>
          </w:p>
        </w:tc>
        <w:tc>
          <w:tcPr>
            <w:tcW w:w="2798" w:type="dxa"/>
            <w:gridSpan w:val="2"/>
            <w:vAlign w:val="center"/>
          </w:tcPr>
          <w:p w14:paraId="33F460D0">
            <w:pPr>
              <w:spacing w:line="360" w:lineRule="auto"/>
              <w:jc w:val="center"/>
              <w:rPr>
                <w:rFonts w:ascii="仿宋" w:hAnsi="仿宋" w:eastAsia="仿宋" w:cs="仿宋"/>
                <w:sz w:val="24"/>
              </w:rPr>
            </w:pPr>
          </w:p>
        </w:tc>
        <w:tc>
          <w:tcPr>
            <w:tcW w:w="1935" w:type="dxa"/>
            <w:gridSpan w:val="2"/>
            <w:vAlign w:val="center"/>
          </w:tcPr>
          <w:p w14:paraId="033651CE">
            <w:pPr>
              <w:spacing w:line="360" w:lineRule="auto"/>
              <w:jc w:val="center"/>
              <w:rPr>
                <w:rFonts w:ascii="仿宋" w:hAnsi="仿宋" w:eastAsia="仿宋" w:cs="仿宋"/>
                <w:sz w:val="24"/>
              </w:rPr>
            </w:pPr>
            <w:r>
              <w:rPr>
                <w:rFonts w:hint="eastAsia" w:ascii="仿宋" w:hAnsi="仿宋" w:eastAsia="仿宋" w:cs="仿宋"/>
                <w:sz w:val="24"/>
              </w:rPr>
              <w:t>从事本职业年限</w:t>
            </w:r>
          </w:p>
        </w:tc>
        <w:tc>
          <w:tcPr>
            <w:tcW w:w="2639" w:type="dxa"/>
            <w:gridSpan w:val="2"/>
            <w:vAlign w:val="center"/>
          </w:tcPr>
          <w:p w14:paraId="7A055011">
            <w:pPr>
              <w:spacing w:line="360" w:lineRule="auto"/>
              <w:jc w:val="center"/>
              <w:rPr>
                <w:rFonts w:ascii="仿宋" w:hAnsi="仿宋" w:eastAsia="仿宋" w:cs="仿宋"/>
                <w:sz w:val="24"/>
              </w:rPr>
            </w:pPr>
          </w:p>
        </w:tc>
      </w:tr>
      <w:tr w14:paraId="3F364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4A29BA41">
            <w:pPr>
              <w:spacing w:line="360" w:lineRule="auto"/>
              <w:jc w:val="center"/>
              <w:rPr>
                <w:rFonts w:ascii="仿宋" w:hAnsi="仿宋" w:eastAsia="仿宋" w:cs="仿宋"/>
                <w:sz w:val="24"/>
              </w:rPr>
            </w:pPr>
            <w:r>
              <w:rPr>
                <w:rFonts w:hint="eastAsia" w:ascii="仿宋" w:hAnsi="仿宋" w:eastAsia="仿宋" w:cs="仿宋"/>
                <w:sz w:val="24"/>
              </w:rPr>
              <w:t>专业</w:t>
            </w:r>
          </w:p>
        </w:tc>
        <w:tc>
          <w:tcPr>
            <w:tcW w:w="2798" w:type="dxa"/>
            <w:gridSpan w:val="2"/>
            <w:vAlign w:val="center"/>
          </w:tcPr>
          <w:p w14:paraId="7865CA21">
            <w:pPr>
              <w:spacing w:line="360" w:lineRule="auto"/>
              <w:jc w:val="center"/>
              <w:rPr>
                <w:rFonts w:ascii="仿宋" w:hAnsi="仿宋" w:eastAsia="仿宋" w:cs="仿宋"/>
                <w:sz w:val="24"/>
              </w:rPr>
            </w:pPr>
          </w:p>
        </w:tc>
        <w:tc>
          <w:tcPr>
            <w:tcW w:w="1935" w:type="dxa"/>
            <w:gridSpan w:val="2"/>
            <w:vAlign w:val="center"/>
          </w:tcPr>
          <w:p w14:paraId="2773A1A1">
            <w:pPr>
              <w:spacing w:line="360" w:lineRule="auto"/>
              <w:jc w:val="center"/>
              <w:rPr>
                <w:rFonts w:ascii="仿宋" w:hAnsi="仿宋" w:eastAsia="仿宋" w:cs="仿宋"/>
                <w:sz w:val="24"/>
              </w:rPr>
            </w:pPr>
            <w:r>
              <w:rPr>
                <w:rFonts w:hint="eastAsia" w:ascii="仿宋" w:hAnsi="仿宋" w:eastAsia="仿宋" w:cs="仿宋"/>
                <w:sz w:val="24"/>
              </w:rPr>
              <w:t>毕业学校</w:t>
            </w:r>
          </w:p>
        </w:tc>
        <w:tc>
          <w:tcPr>
            <w:tcW w:w="2639" w:type="dxa"/>
            <w:gridSpan w:val="2"/>
            <w:vAlign w:val="center"/>
          </w:tcPr>
          <w:p w14:paraId="71802ED6">
            <w:pPr>
              <w:spacing w:line="360" w:lineRule="auto"/>
              <w:jc w:val="center"/>
              <w:rPr>
                <w:rFonts w:ascii="仿宋" w:hAnsi="仿宋" w:eastAsia="仿宋" w:cs="仿宋"/>
                <w:sz w:val="24"/>
              </w:rPr>
            </w:pPr>
          </w:p>
        </w:tc>
      </w:tr>
      <w:tr w14:paraId="5937D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23D1CC5B">
            <w:pPr>
              <w:spacing w:line="360" w:lineRule="auto"/>
              <w:jc w:val="center"/>
              <w:rPr>
                <w:rFonts w:ascii="仿宋" w:hAnsi="仿宋" w:eastAsia="仿宋" w:cs="仿宋"/>
                <w:sz w:val="24"/>
              </w:rPr>
            </w:pPr>
            <w:r>
              <w:rPr>
                <w:rFonts w:hint="eastAsia" w:ascii="仿宋" w:hAnsi="仿宋" w:eastAsia="仿宋" w:cs="仿宋"/>
                <w:sz w:val="24"/>
              </w:rPr>
              <w:t>身份证号码</w:t>
            </w:r>
          </w:p>
        </w:tc>
        <w:tc>
          <w:tcPr>
            <w:tcW w:w="2798" w:type="dxa"/>
            <w:gridSpan w:val="2"/>
            <w:vAlign w:val="center"/>
          </w:tcPr>
          <w:p w14:paraId="1F8C7F0C">
            <w:pPr>
              <w:spacing w:line="360" w:lineRule="auto"/>
              <w:jc w:val="center"/>
              <w:rPr>
                <w:rFonts w:ascii="仿宋" w:hAnsi="仿宋" w:eastAsia="仿宋" w:cs="仿宋"/>
                <w:sz w:val="24"/>
              </w:rPr>
            </w:pPr>
          </w:p>
        </w:tc>
        <w:tc>
          <w:tcPr>
            <w:tcW w:w="1935" w:type="dxa"/>
            <w:gridSpan w:val="2"/>
            <w:vAlign w:val="center"/>
          </w:tcPr>
          <w:p w14:paraId="2DCDEE92">
            <w:pPr>
              <w:spacing w:line="360" w:lineRule="auto"/>
              <w:jc w:val="center"/>
              <w:rPr>
                <w:rFonts w:ascii="仿宋" w:hAnsi="仿宋" w:eastAsia="仿宋" w:cs="仿宋"/>
                <w:sz w:val="24"/>
              </w:rPr>
            </w:pPr>
            <w:r>
              <w:rPr>
                <w:rFonts w:hint="eastAsia" w:ascii="仿宋" w:hAnsi="仿宋" w:eastAsia="仿宋" w:cs="仿宋"/>
                <w:sz w:val="24"/>
              </w:rPr>
              <w:t>在</w:t>
            </w:r>
            <w:r>
              <w:rPr>
                <w:rFonts w:hint="eastAsia" w:ascii="仿宋" w:hAnsi="仿宋" w:eastAsia="仿宋" w:cs="仿宋"/>
                <w:kern w:val="0"/>
                <w:sz w:val="24"/>
              </w:rPr>
              <w:t>单位</w:t>
            </w:r>
            <w:r>
              <w:rPr>
                <w:rFonts w:hint="eastAsia" w:ascii="仿宋" w:hAnsi="仿宋" w:eastAsia="仿宋" w:cs="仿宋"/>
                <w:sz w:val="24"/>
              </w:rPr>
              <w:t>担任职务</w:t>
            </w:r>
          </w:p>
        </w:tc>
        <w:tc>
          <w:tcPr>
            <w:tcW w:w="2639" w:type="dxa"/>
            <w:gridSpan w:val="2"/>
            <w:vAlign w:val="center"/>
          </w:tcPr>
          <w:p w14:paraId="169E682C">
            <w:pPr>
              <w:spacing w:line="360" w:lineRule="auto"/>
              <w:jc w:val="center"/>
              <w:rPr>
                <w:rFonts w:ascii="仿宋" w:hAnsi="仿宋" w:eastAsia="仿宋" w:cs="仿宋"/>
                <w:sz w:val="24"/>
              </w:rPr>
            </w:pPr>
          </w:p>
        </w:tc>
      </w:tr>
      <w:tr w14:paraId="53D8B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7610DA2B">
            <w:pPr>
              <w:spacing w:line="360" w:lineRule="auto"/>
              <w:jc w:val="center"/>
              <w:rPr>
                <w:rFonts w:ascii="仿宋" w:hAnsi="仿宋" w:eastAsia="仿宋" w:cs="仿宋"/>
                <w:sz w:val="24"/>
              </w:rPr>
            </w:pPr>
            <w:r>
              <w:rPr>
                <w:rFonts w:hint="eastAsia" w:ascii="仿宋" w:hAnsi="仿宋" w:eastAsia="仿宋" w:cs="仿宋"/>
                <w:sz w:val="24"/>
              </w:rPr>
              <w:t>执业资格</w:t>
            </w:r>
          </w:p>
        </w:tc>
        <w:tc>
          <w:tcPr>
            <w:tcW w:w="2798" w:type="dxa"/>
            <w:gridSpan w:val="2"/>
            <w:vAlign w:val="center"/>
          </w:tcPr>
          <w:p w14:paraId="14AEF594">
            <w:pPr>
              <w:spacing w:line="360" w:lineRule="auto"/>
              <w:jc w:val="center"/>
              <w:rPr>
                <w:rFonts w:ascii="仿宋" w:hAnsi="仿宋" w:eastAsia="仿宋" w:cs="仿宋"/>
                <w:sz w:val="24"/>
              </w:rPr>
            </w:pPr>
          </w:p>
        </w:tc>
        <w:tc>
          <w:tcPr>
            <w:tcW w:w="1935" w:type="dxa"/>
            <w:gridSpan w:val="2"/>
            <w:vAlign w:val="center"/>
          </w:tcPr>
          <w:p w14:paraId="64ABA049">
            <w:pPr>
              <w:spacing w:line="360" w:lineRule="auto"/>
              <w:jc w:val="center"/>
              <w:rPr>
                <w:rFonts w:ascii="仿宋" w:hAnsi="仿宋" w:eastAsia="仿宋" w:cs="仿宋"/>
                <w:sz w:val="24"/>
              </w:rPr>
            </w:pPr>
            <w:r>
              <w:rPr>
                <w:rFonts w:hint="eastAsia" w:ascii="仿宋" w:hAnsi="仿宋" w:eastAsia="仿宋" w:cs="仿宋"/>
                <w:sz w:val="24"/>
              </w:rPr>
              <w:t>证书编号</w:t>
            </w:r>
          </w:p>
        </w:tc>
        <w:tc>
          <w:tcPr>
            <w:tcW w:w="2639" w:type="dxa"/>
            <w:gridSpan w:val="2"/>
            <w:vAlign w:val="center"/>
          </w:tcPr>
          <w:p w14:paraId="6A9B8313">
            <w:pPr>
              <w:spacing w:line="360" w:lineRule="auto"/>
              <w:jc w:val="center"/>
              <w:rPr>
                <w:rFonts w:ascii="仿宋" w:hAnsi="仿宋" w:eastAsia="仿宋" w:cs="仿宋"/>
                <w:sz w:val="24"/>
              </w:rPr>
            </w:pPr>
          </w:p>
        </w:tc>
      </w:tr>
      <w:tr w14:paraId="7D1F2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1A0063FA">
            <w:pPr>
              <w:spacing w:line="360" w:lineRule="auto"/>
              <w:jc w:val="center"/>
              <w:rPr>
                <w:rFonts w:ascii="仿宋" w:hAnsi="仿宋" w:eastAsia="仿宋" w:cs="仿宋"/>
                <w:sz w:val="24"/>
              </w:rPr>
            </w:pPr>
            <w:r>
              <w:rPr>
                <w:rFonts w:hint="eastAsia" w:ascii="仿宋" w:hAnsi="仿宋" w:eastAsia="仿宋" w:cs="仿宋"/>
                <w:sz w:val="24"/>
              </w:rPr>
              <w:t>固定电话</w:t>
            </w:r>
          </w:p>
        </w:tc>
        <w:tc>
          <w:tcPr>
            <w:tcW w:w="2798" w:type="dxa"/>
            <w:gridSpan w:val="2"/>
            <w:vAlign w:val="center"/>
          </w:tcPr>
          <w:p w14:paraId="010565B2">
            <w:pPr>
              <w:spacing w:line="360" w:lineRule="auto"/>
              <w:jc w:val="center"/>
              <w:rPr>
                <w:rFonts w:ascii="仿宋" w:hAnsi="仿宋" w:eastAsia="仿宋" w:cs="仿宋"/>
                <w:sz w:val="24"/>
              </w:rPr>
            </w:pPr>
          </w:p>
        </w:tc>
        <w:tc>
          <w:tcPr>
            <w:tcW w:w="1935" w:type="dxa"/>
            <w:gridSpan w:val="2"/>
            <w:vAlign w:val="center"/>
          </w:tcPr>
          <w:p w14:paraId="01AFEDCD">
            <w:pPr>
              <w:spacing w:line="360" w:lineRule="auto"/>
              <w:jc w:val="center"/>
              <w:rPr>
                <w:rFonts w:ascii="仿宋" w:hAnsi="仿宋" w:eastAsia="仿宋" w:cs="仿宋"/>
                <w:sz w:val="24"/>
              </w:rPr>
            </w:pPr>
            <w:r>
              <w:rPr>
                <w:rFonts w:hint="eastAsia" w:ascii="仿宋" w:hAnsi="仿宋" w:eastAsia="仿宋" w:cs="仿宋"/>
                <w:sz w:val="24"/>
              </w:rPr>
              <w:t>手机号码</w:t>
            </w:r>
          </w:p>
        </w:tc>
        <w:tc>
          <w:tcPr>
            <w:tcW w:w="2639" w:type="dxa"/>
            <w:gridSpan w:val="2"/>
            <w:vAlign w:val="center"/>
          </w:tcPr>
          <w:p w14:paraId="7E008C87">
            <w:pPr>
              <w:spacing w:line="360" w:lineRule="auto"/>
              <w:jc w:val="center"/>
              <w:rPr>
                <w:rFonts w:ascii="仿宋" w:hAnsi="仿宋" w:eastAsia="仿宋" w:cs="仿宋"/>
                <w:sz w:val="24"/>
              </w:rPr>
            </w:pPr>
          </w:p>
        </w:tc>
      </w:tr>
      <w:tr w14:paraId="044C9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restart"/>
            <w:vAlign w:val="center"/>
          </w:tcPr>
          <w:p w14:paraId="4AD15B39">
            <w:pPr>
              <w:spacing w:line="360" w:lineRule="auto"/>
              <w:jc w:val="center"/>
              <w:rPr>
                <w:rFonts w:ascii="仿宋" w:hAnsi="仿宋" w:eastAsia="仿宋" w:cs="仿宋"/>
                <w:sz w:val="24"/>
              </w:rPr>
            </w:pPr>
            <w:r>
              <w:rPr>
                <w:rFonts w:hint="eastAsia" w:ascii="仿宋" w:hAnsi="仿宋" w:eastAsia="仿宋" w:cs="仿宋"/>
                <w:sz w:val="24"/>
              </w:rPr>
              <w:t>近三年类似业绩</w:t>
            </w:r>
          </w:p>
        </w:tc>
        <w:tc>
          <w:tcPr>
            <w:tcW w:w="1568" w:type="dxa"/>
            <w:vAlign w:val="center"/>
          </w:tcPr>
          <w:p w14:paraId="70147DD1">
            <w:pPr>
              <w:spacing w:line="360" w:lineRule="auto"/>
              <w:jc w:val="center"/>
              <w:rPr>
                <w:rFonts w:ascii="仿宋" w:hAnsi="仿宋" w:eastAsia="仿宋" w:cs="仿宋"/>
                <w:sz w:val="24"/>
              </w:rPr>
            </w:pPr>
            <w:r>
              <w:rPr>
                <w:rFonts w:hint="eastAsia" w:ascii="仿宋" w:hAnsi="仿宋" w:eastAsia="仿宋" w:cs="仿宋"/>
                <w:sz w:val="24"/>
              </w:rPr>
              <w:t>采购单位</w:t>
            </w:r>
          </w:p>
        </w:tc>
        <w:tc>
          <w:tcPr>
            <w:tcW w:w="1583" w:type="dxa"/>
            <w:gridSpan w:val="2"/>
            <w:vAlign w:val="center"/>
          </w:tcPr>
          <w:p w14:paraId="63244FE1">
            <w:pPr>
              <w:spacing w:line="360" w:lineRule="auto"/>
              <w:jc w:val="center"/>
              <w:rPr>
                <w:rFonts w:ascii="仿宋" w:hAnsi="仿宋" w:eastAsia="仿宋" w:cs="仿宋"/>
                <w:sz w:val="24"/>
              </w:rPr>
            </w:pPr>
            <w:r>
              <w:rPr>
                <w:rFonts w:hint="eastAsia" w:ascii="仿宋" w:hAnsi="仿宋" w:eastAsia="仿宋" w:cs="仿宋"/>
                <w:sz w:val="24"/>
              </w:rPr>
              <w:t>项目名称</w:t>
            </w:r>
          </w:p>
        </w:tc>
        <w:tc>
          <w:tcPr>
            <w:tcW w:w="1582" w:type="dxa"/>
            <w:vAlign w:val="center"/>
          </w:tcPr>
          <w:p w14:paraId="432FEFFA">
            <w:pPr>
              <w:spacing w:line="360" w:lineRule="auto"/>
              <w:jc w:val="center"/>
              <w:rPr>
                <w:rFonts w:ascii="仿宋" w:hAnsi="仿宋" w:eastAsia="仿宋" w:cs="仿宋"/>
                <w:sz w:val="24"/>
              </w:rPr>
            </w:pPr>
            <w:r>
              <w:rPr>
                <w:rFonts w:hint="eastAsia" w:ascii="仿宋" w:hAnsi="仿宋" w:eastAsia="仿宋" w:cs="仿宋"/>
                <w:sz w:val="24"/>
              </w:rPr>
              <w:t>服务内容</w:t>
            </w:r>
          </w:p>
        </w:tc>
        <w:tc>
          <w:tcPr>
            <w:tcW w:w="1583" w:type="dxa"/>
            <w:vAlign w:val="center"/>
          </w:tcPr>
          <w:p w14:paraId="526A0F93">
            <w:pPr>
              <w:spacing w:line="360" w:lineRule="auto"/>
              <w:jc w:val="center"/>
              <w:rPr>
                <w:rFonts w:ascii="仿宋" w:hAnsi="仿宋" w:eastAsia="仿宋" w:cs="仿宋"/>
                <w:sz w:val="24"/>
              </w:rPr>
            </w:pPr>
            <w:r>
              <w:rPr>
                <w:rFonts w:hint="eastAsia" w:ascii="仿宋" w:hAnsi="仿宋" w:eastAsia="仿宋" w:cs="仿宋"/>
                <w:sz w:val="24"/>
              </w:rPr>
              <w:t>合同期限</w:t>
            </w:r>
          </w:p>
        </w:tc>
        <w:tc>
          <w:tcPr>
            <w:tcW w:w="1056" w:type="dxa"/>
            <w:vAlign w:val="center"/>
          </w:tcPr>
          <w:p w14:paraId="364111EB">
            <w:pPr>
              <w:spacing w:line="360" w:lineRule="auto"/>
              <w:jc w:val="center"/>
              <w:rPr>
                <w:rFonts w:ascii="仿宋" w:hAnsi="仿宋" w:eastAsia="仿宋" w:cs="仿宋"/>
                <w:sz w:val="24"/>
              </w:rPr>
            </w:pPr>
            <w:r>
              <w:rPr>
                <w:rFonts w:hint="eastAsia" w:ascii="仿宋" w:hAnsi="仿宋" w:eastAsia="仿宋" w:cs="仿宋"/>
                <w:sz w:val="24"/>
              </w:rPr>
              <w:t>备注</w:t>
            </w:r>
          </w:p>
        </w:tc>
      </w:tr>
      <w:tr w14:paraId="51F78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0915A3A9">
            <w:pPr>
              <w:spacing w:line="360" w:lineRule="auto"/>
              <w:jc w:val="center"/>
              <w:rPr>
                <w:rFonts w:ascii="仿宋" w:hAnsi="仿宋" w:eastAsia="仿宋" w:cs="仿宋"/>
                <w:sz w:val="24"/>
              </w:rPr>
            </w:pPr>
          </w:p>
        </w:tc>
        <w:tc>
          <w:tcPr>
            <w:tcW w:w="1568" w:type="dxa"/>
            <w:vAlign w:val="center"/>
          </w:tcPr>
          <w:p w14:paraId="33A82E5D">
            <w:pPr>
              <w:spacing w:line="360" w:lineRule="auto"/>
              <w:jc w:val="center"/>
              <w:rPr>
                <w:rFonts w:ascii="仿宋" w:hAnsi="仿宋" w:eastAsia="仿宋" w:cs="仿宋"/>
                <w:sz w:val="24"/>
              </w:rPr>
            </w:pPr>
          </w:p>
        </w:tc>
        <w:tc>
          <w:tcPr>
            <w:tcW w:w="1583" w:type="dxa"/>
            <w:gridSpan w:val="2"/>
            <w:vAlign w:val="center"/>
          </w:tcPr>
          <w:p w14:paraId="486E81DF">
            <w:pPr>
              <w:spacing w:line="360" w:lineRule="auto"/>
              <w:jc w:val="center"/>
              <w:rPr>
                <w:rFonts w:ascii="仿宋" w:hAnsi="仿宋" w:eastAsia="仿宋" w:cs="仿宋"/>
                <w:sz w:val="24"/>
              </w:rPr>
            </w:pPr>
          </w:p>
        </w:tc>
        <w:tc>
          <w:tcPr>
            <w:tcW w:w="1582" w:type="dxa"/>
            <w:vAlign w:val="center"/>
          </w:tcPr>
          <w:p w14:paraId="4852A428">
            <w:pPr>
              <w:spacing w:line="360" w:lineRule="auto"/>
              <w:jc w:val="center"/>
              <w:rPr>
                <w:rFonts w:ascii="仿宋" w:hAnsi="仿宋" w:eastAsia="仿宋" w:cs="仿宋"/>
                <w:sz w:val="24"/>
              </w:rPr>
            </w:pPr>
          </w:p>
        </w:tc>
        <w:tc>
          <w:tcPr>
            <w:tcW w:w="1583" w:type="dxa"/>
            <w:vAlign w:val="center"/>
          </w:tcPr>
          <w:p w14:paraId="2FFD62C1">
            <w:pPr>
              <w:spacing w:line="360" w:lineRule="auto"/>
              <w:jc w:val="center"/>
              <w:rPr>
                <w:rFonts w:ascii="仿宋" w:hAnsi="仿宋" w:eastAsia="仿宋" w:cs="仿宋"/>
                <w:sz w:val="24"/>
              </w:rPr>
            </w:pPr>
          </w:p>
        </w:tc>
        <w:tc>
          <w:tcPr>
            <w:tcW w:w="1056" w:type="dxa"/>
            <w:vAlign w:val="center"/>
          </w:tcPr>
          <w:p w14:paraId="270D264A">
            <w:pPr>
              <w:spacing w:line="360" w:lineRule="auto"/>
              <w:jc w:val="center"/>
              <w:rPr>
                <w:rFonts w:ascii="仿宋" w:hAnsi="仿宋" w:eastAsia="仿宋" w:cs="仿宋"/>
                <w:sz w:val="24"/>
              </w:rPr>
            </w:pPr>
          </w:p>
        </w:tc>
      </w:tr>
      <w:tr w14:paraId="040A7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6387B973">
            <w:pPr>
              <w:spacing w:line="360" w:lineRule="auto"/>
              <w:jc w:val="center"/>
              <w:rPr>
                <w:rFonts w:ascii="仿宋" w:hAnsi="仿宋" w:eastAsia="仿宋" w:cs="仿宋"/>
                <w:sz w:val="24"/>
              </w:rPr>
            </w:pPr>
          </w:p>
        </w:tc>
        <w:tc>
          <w:tcPr>
            <w:tcW w:w="1568" w:type="dxa"/>
            <w:vAlign w:val="center"/>
          </w:tcPr>
          <w:p w14:paraId="23194F67">
            <w:pPr>
              <w:spacing w:line="360" w:lineRule="auto"/>
              <w:jc w:val="center"/>
              <w:rPr>
                <w:rFonts w:ascii="仿宋" w:hAnsi="仿宋" w:eastAsia="仿宋" w:cs="仿宋"/>
                <w:sz w:val="24"/>
              </w:rPr>
            </w:pPr>
          </w:p>
        </w:tc>
        <w:tc>
          <w:tcPr>
            <w:tcW w:w="1583" w:type="dxa"/>
            <w:gridSpan w:val="2"/>
            <w:vAlign w:val="center"/>
          </w:tcPr>
          <w:p w14:paraId="39F5F0DD">
            <w:pPr>
              <w:spacing w:line="360" w:lineRule="auto"/>
              <w:jc w:val="center"/>
              <w:rPr>
                <w:rFonts w:ascii="仿宋" w:hAnsi="仿宋" w:eastAsia="仿宋" w:cs="仿宋"/>
                <w:sz w:val="24"/>
              </w:rPr>
            </w:pPr>
          </w:p>
        </w:tc>
        <w:tc>
          <w:tcPr>
            <w:tcW w:w="1582" w:type="dxa"/>
            <w:vAlign w:val="center"/>
          </w:tcPr>
          <w:p w14:paraId="796E8CD1">
            <w:pPr>
              <w:spacing w:line="360" w:lineRule="auto"/>
              <w:jc w:val="center"/>
              <w:rPr>
                <w:rFonts w:ascii="仿宋" w:hAnsi="仿宋" w:eastAsia="仿宋" w:cs="仿宋"/>
                <w:sz w:val="24"/>
              </w:rPr>
            </w:pPr>
          </w:p>
        </w:tc>
        <w:tc>
          <w:tcPr>
            <w:tcW w:w="1583" w:type="dxa"/>
            <w:vAlign w:val="center"/>
          </w:tcPr>
          <w:p w14:paraId="58B42766">
            <w:pPr>
              <w:spacing w:line="360" w:lineRule="auto"/>
              <w:jc w:val="center"/>
              <w:rPr>
                <w:rFonts w:ascii="仿宋" w:hAnsi="仿宋" w:eastAsia="仿宋" w:cs="仿宋"/>
                <w:sz w:val="24"/>
              </w:rPr>
            </w:pPr>
          </w:p>
        </w:tc>
        <w:tc>
          <w:tcPr>
            <w:tcW w:w="1056" w:type="dxa"/>
            <w:vAlign w:val="center"/>
          </w:tcPr>
          <w:p w14:paraId="5C072866">
            <w:pPr>
              <w:spacing w:line="360" w:lineRule="auto"/>
              <w:jc w:val="center"/>
              <w:rPr>
                <w:rFonts w:ascii="仿宋" w:hAnsi="仿宋" w:eastAsia="仿宋" w:cs="仿宋"/>
                <w:sz w:val="24"/>
              </w:rPr>
            </w:pPr>
          </w:p>
        </w:tc>
      </w:tr>
      <w:tr w14:paraId="393D8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6C4C9B6C">
            <w:pPr>
              <w:spacing w:line="360" w:lineRule="auto"/>
              <w:jc w:val="center"/>
              <w:rPr>
                <w:rFonts w:ascii="仿宋" w:hAnsi="仿宋" w:eastAsia="仿宋" w:cs="仿宋"/>
                <w:sz w:val="24"/>
              </w:rPr>
            </w:pPr>
          </w:p>
        </w:tc>
        <w:tc>
          <w:tcPr>
            <w:tcW w:w="1568" w:type="dxa"/>
            <w:vAlign w:val="center"/>
          </w:tcPr>
          <w:p w14:paraId="05462C4A">
            <w:pPr>
              <w:spacing w:line="360" w:lineRule="auto"/>
              <w:jc w:val="center"/>
              <w:rPr>
                <w:rFonts w:ascii="仿宋" w:hAnsi="仿宋" w:eastAsia="仿宋" w:cs="仿宋"/>
                <w:sz w:val="24"/>
              </w:rPr>
            </w:pPr>
          </w:p>
        </w:tc>
        <w:tc>
          <w:tcPr>
            <w:tcW w:w="1583" w:type="dxa"/>
            <w:gridSpan w:val="2"/>
            <w:vAlign w:val="center"/>
          </w:tcPr>
          <w:p w14:paraId="71D2B1CC">
            <w:pPr>
              <w:spacing w:line="360" w:lineRule="auto"/>
              <w:jc w:val="center"/>
              <w:rPr>
                <w:rFonts w:ascii="仿宋" w:hAnsi="仿宋" w:eastAsia="仿宋" w:cs="仿宋"/>
                <w:sz w:val="24"/>
              </w:rPr>
            </w:pPr>
          </w:p>
        </w:tc>
        <w:tc>
          <w:tcPr>
            <w:tcW w:w="1582" w:type="dxa"/>
            <w:vAlign w:val="center"/>
          </w:tcPr>
          <w:p w14:paraId="60E08A46">
            <w:pPr>
              <w:spacing w:line="360" w:lineRule="auto"/>
              <w:jc w:val="center"/>
              <w:rPr>
                <w:rFonts w:ascii="仿宋" w:hAnsi="仿宋" w:eastAsia="仿宋" w:cs="仿宋"/>
                <w:sz w:val="24"/>
              </w:rPr>
            </w:pPr>
          </w:p>
        </w:tc>
        <w:tc>
          <w:tcPr>
            <w:tcW w:w="1583" w:type="dxa"/>
            <w:vAlign w:val="center"/>
          </w:tcPr>
          <w:p w14:paraId="369835A7">
            <w:pPr>
              <w:spacing w:line="360" w:lineRule="auto"/>
              <w:jc w:val="center"/>
              <w:rPr>
                <w:rFonts w:ascii="仿宋" w:hAnsi="仿宋" w:eastAsia="仿宋" w:cs="仿宋"/>
                <w:sz w:val="24"/>
              </w:rPr>
            </w:pPr>
          </w:p>
        </w:tc>
        <w:tc>
          <w:tcPr>
            <w:tcW w:w="1056" w:type="dxa"/>
            <w:vAlign w:val="center"/>
          </w:tcPr>
          <w:p w14:paraId="0F52823E">
            <w:pPr>
              <w:spacing w:line="360" w:lineRule="auto"/>
              <w:jc w:val="center"/>
              <w:rPr>
                <w:rFonts w:ascii="仿宋" w:hAnsi="仿宋" w:eastAsia="仿宋" w:cs="仿宋"/>
                <w:sz w:val="24"/>
              </w:rPr>
            </w:pPr>
          </w:p>
        </w:tc>
      </w:tr>
      <w:tr w14:paraId="1B176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5B93519D">
            <w:pPr>
              <w:spacing w:line="360" w:lineRule="auto"/>
              <w:jc w:val="center"/>
              <w:rPr>
                <w:rFonts w:ascii="仿宋" w:hAnsi="仿宋" w:eastAsia="仿宋" w:cs="仿宋"/>
                <w:sz w:val="24"/>
              </w:rPr>
            </w:pPr>
          </w:p>
        </w:tc>
        <w:tc>
          <w:tcPr>
            <w:tcW w:w="1568" w:type="dxa"/>
            <w:vAlign w:val="center"/>
          </w:tcPr>
          <w:p w14:paraId="7BFC0F79">
            <w:pPr>
              <w:spacing w:line="360" w:lineRule="auto"/>
              <w:jc w:val="center"/>
              <w:rPr>
                <w:rFonts w:ascii="仿宋" w:hAnsi="仿宋" w:eastAsia="仿宋" w:cs="仿宋"/>
                <w:sz w:val="24"/>
              </w:rPr>
            </w:pPr>
          </w:p>
        </w:tc>
        <w:tc>
          <w:tcPr>
            <w:tcW w:w="1583" w:type="dxa"/>
            <w:gridSpan w:val="2"/>
            <w:vAlign w:val="center"/>
          </w:tcPr>
          <w:p w14:paraId="51947A12">
            <w:pPr>
              <w:spacing w:line="360" w:lineRule="auto"/>
              <w:jc w:val="center"/>
              <w:rPr>
                <w:rFonts w:ascii="仿宋" w:hAnsi="仿宋" w:eastAsia="仿宋" w:cs="仿宋"/>
                <w:sz w:val="24"/>
              </w:rPr>
            </w:pPr>
          </w:p>
        </w:tc>
        <w:tc>
          <w:tcPr>
            <w:tcW w:w="1582" w:type="dxa"/>
            <w:vAlign w:val="center"/>
          </w:tcPr>
          <w:p w14:paraId="106CCF49">
            <w:pPr>
              <w:spacing w:line="360" w:lineRule="auto"/>
              <w:jc w:val="center"/>
              <w:rPr>
                <w:rFonts w:ascii="仿宋" w:hAnsi="仿宋" w:eastAsia="仿宋" w:cs="仿宋"/>
                <w:sz w:val="24"/>
              </w:rPr>
            </w:pPr>
          </w:p>
        </w:tc>
        <w:tc>
          <w:tcPr>
            <w:tcW w:w="1583" w:type="dxa"/>
            <w:vAlign w:val="center"/>
          </w:tcPr>
          <w:p w14:paraId="28486348">
            <w:pPr>
              <w:spacing w:line="360" w:lineRule="auto"/>
              <w:jc w:val="center"/>
              <w:rPr>
                <w:rFonts w:ascii="仿宋" w:hAnsi="仿宋" w:eastAsia="仿宋" w:cs="仿宋"/>
                <w:sz w:val="24"/>
              </w:rPr>
            </w:pPr>
          </w:p>
        </w:tc>
        <w:tc>
          <w:tcPr>
            <w:tcW w:w="1056" w:type="dxa"/>
            <w:vAlign w:val="center"/>
          </w:tcPr>
          <w:p w14:paraId="3D8C94D4">
            <w:pPr>
              <w:spacing w:line="360" w:lineRule="auto"/>
              <w:jc w:val="center"/>
              <w:rPr>
                <w:rFonts w:ascii="仿宋" w:hAnsi="仿宋" w:eastAsia="仿宋" w:cs="仿宋"/>
                <w:sz w:val="24"/>
              </w:rPr>
            </w:pPr>
          </w:p>
        </w:tc>
      </w:tr>
      <w:tr w14:paraId="78F76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7A1F5CB1">
            <w:pPr>
              <w:spacing w:line="360" w:lineRule="auto"/>
              <w:jc w:val="center"/>
              <w:rPr>
                <w:rFonts w:ascii="仿宋" w:hAnsi="仿宋" w:eastAsia="仿宋" w:cs="仿宋"/>
                <w:sz w:val="24"/>
              </w:rPr>
            </w:pPr>
          </w:p>
        </w:tc>
        <w:tc>
          <w:tcPr>
            <w:tcW w:w="1568" w:type="dxa"/>
            <w:vAlign w:val="center"/>
          </w:tcPr>
          <w:p w14:paraId="6CF1E316">
            <w:pPr>
              <w:spacing w:line="360" w:lineRule="auto"/>
              <w:jc w:val="center"/>
              <w:rPr>
                <w:rFonts w:ascii="仿宋" w:hAnsi="仿宋" w:eastAsia="仿宋" w:cs="仿宋"/>
                <w:sz w:val="24"/>
              </w:rPr>
            </w:pPr>
          </w:p>
        </w:tc>
        <w:tc>
          <w:tcPr>
            <w:tcW w:w="1583" w:type="dxa"/>
            <w:gridSpan w:val="2"/>
            <w:vAlign w:val="center"/>
          </w:tcPr>
          <w:p w14:paraId="43E34818">
            <w:pPr>
              <w:spacing w:line="360" w:lineRule="auto"/>
              <w:jc w:val="center"/>
              <w:rPr>
                <w:rFonts w:ascii="仿宋" w:hAnsi="仿宋" w:eastAsia="仿宋" w:cs="仿宋"/>
                <w:sz w:val="24"/>
              </w:rPr>
            </w:pPr>
          </w:p>
        </w:tc>
        <w:tc>
          <w:tcPr>
            <w:tcW w:w="1582" w:type="dxa"/>
            <w:vAlign w:val="center"/>
          </w:tcPr>
          <w:p w14:paraId="1420E1BB">
            <w:pPr>
              <w:spacing w:line="360" w:lineRule="auto"/>
              <w:jc w:val="center"/>
              <w:rPr>
                <w:rFonts w:ascii="仿宋" w:hAnsi="仿宋" w:eastAsia="仿宋" w:cs="仿宋"/>
                <w:sz w:val="24"/>
              </w:rPr>
            </w:pPr>
          </w:p>
        </w:tc>
        <w:tc>
          <w:tcPr>
            <w:tcW w:w="1583" w:type="dxa"/>
            <w:vAlign w:val="center"/>
          </w:tcPr>
          <w:p w14:paraId="715B4A80">
            <w:pPr>
              <w:spacing w:line="360" w:lineRule="auto"/>
              <w:jc w:val="center"/>
              <w:rPr>
                <w:rFonts w:ascii="仿宋" w:hAnsi="仿宋" w:eastAsia="仿宋" w:cs="仿宋"/>
                <w:sz w:val="24"/>
              </w:rPr>
            </w:pPr>
          </w:p>
        </w:tc>
        <w:tc>
          <w:tcPr>
            <w:tcW w:w="1056" w:type="dxa"/>
            <w:vAlign w:val="center"/>
          </w:tcPr>
          <w:p w14:paraId="646E7112">
            <w:pPr>
              <w:spacing w:line="360" w:lineRule="auto"/>
              <w:jc w:val="center"/>
              <w:rPr>
                <w:rFonts w:ascii="仿宋" w:hAnsi="仿宋" w:eastAsia="仿宋" w:cs="仿宋"/>
                <w:sz w:val="24"/>
              </w:rPr>
            </w:pPr>
          </w:p>
        </w:tc>
      </w:tr>
    </w:tbl>
    <w:p w14:paraId="0F34BBD0">
      <w:pPr>
        <w:pStyle w:val="3"/>
        <w:numPr>
          <w:ilvl w:val="0"/>
          <w:numId w:val="7"/>
        </w:numPr>
        <w:rPr>
          <w:rFonts w:ascii="宋体"/>
          <w:sz w:val="24"/>
        </w:rPr>
      </w:pPr>
      <w:bookmarkStart w:id="334" w:name="_Toc23190"/>
      <w:bookmarkStart w:id="335" w:name="_Toc24259"/>
      <w:bookmarkStart w:id="336" w:name="_Toc11861"/>
      <w:r>
        <w:rPr>
          <w:rFonts w:ascii="宋体"/>
          <w:sz w:val="24"/>
        </w:rPr>
        <w:t>拟派</w:t>
      </w:r>
      <w:r>
        <w:rPr>
          <w:rFonts w:ascii="宋体"/>
          <w:bCs/>
          <w:sz w:val="24"/>
        </w:rPr>
        <w:t>项目负责人</w:t>
      </w:r>
      <w:r>
        <w:rPr>
          <w:rFonts w:ascii="宋体"/>
          <w:sz w:val="24"/>
        </w:rPr>
        <w:t>应附身份证、</w:t>
      </w:r>
      <w:r>
        <w:rPr>
          <w:rFonts w:ascii="宋体" w:hAnsi="宋体"/>
          <w:sz w:val="24"/>
        </w:rPr>
        <w:t>相关执业</w:t>
      </w:r>
      <w:r>
        <w:rPr>
          <w:rFonts w:ascii="宋体" w:hAnsi="宋体" w:cs="宋体"/>
          <w:sz w:val="24"/>
        </w:rPr>
        <w:t>证书、</w:t>
      </w:r>
      <w:r>
        <w:rPr>
          <w:rFonts w:ascii="宋体"/>
          <w:bCs/>
          <w:sz w:val="24"/>
        </w:rPr>
        <w:t>学历证书及其它一切有利于项目负责人的证明材料</w:t>
      </w:r>
      <w:r>
        <w:rPr>
          <w:rFonts w:ascii="宋体"/>
          <w:sz w:val="24"/>
        </w:rPr>
        <w:t>（</w:t>
      </w:r>
      <w:r>
        <w:rPr>
          <w:rFonts w:hint="eastAsia" w:ascii="宋体"/>
          <w:sz w:val="24"/>
        </w:rPr>
        <w:t>提供</w:t>
      </w:r>
      <w:r>
        <w:rPr>
          <w:rFonts w:ascii="宋体"/>
          <w:sz w:val="24"/>
        </w:rPr>
        <w:t>上述材料</w:t>
      </w:r>
      <w:r>
        <w:rPr>
          <w:rFonts w:hint="eastAsia" w:ascii="宋体"/>
          <w:sz w:val="24"/>
        </w:rPr>
        <w:t>彩</w:t>
      </w:r>
      <w:r>
        <w:rPr>
          <w:rFonts w:ascii="宋体"/>
          <w:sz w:val="24"/>
        </w:rPr>
        <w:t>印</w:t>
      </w:r>
      <w:r>
        <w:rPr>
          <w:rFonts w:hint="eastAsia" w:ascii="宋体"/>
          <w:sz w:val="24"/>
        </w:rPr>
        <w:t>件）</w:t>
      </w:r>
      <w:bookmarkEnd w:id="334"/>
      <w:bookmarkEnd w:id="335"/>
      <w:bookmarkEnd w:id="336"/>
    </w:p>
    <w:p w14:paraId="1A72F6A0"/>
    <w:p w14:paraId="016F2A89">
      <w:pPr>
        <w:pStyle w:val="5"/>
      </w:pPr>
    </w:p>
    <w:p w14:paraId="14CE9998"/>
    <w:p w14:paraId="3C31EDE6">
      <w:pPr>
        <w:pStyle w:val="5"/>
      </w:pPr>
    </w:p>
    <w:p w14:paraId="35DE9CEE"/>
    <w:p w14:paraId="02D3AE0F">
      <w:pPr>
        <w:pStyle w:val="5"/>
      </w:pPr>
    </w:p>
    <w:p w14:paraId="4F94A03C"/>
    <w:p w14:paraId="24A18632">
      <w:pPr>
        <w:pStyle w:val="5"/>
      </w:pPr>
    </w:p>
    <w:p w14:paraId="371D2224"/>
    <w:p w14:paraId="1EAAEC5B">
      <w:pPr>
        <w:pStyle w:val="5"/>
      </w:pPr>
    </w:p>
    <w:p w14:paraId="37F7023A"/>
    <w:p w14:paraId="0BBF3180">
      <w:pPr>
        <w:pStyle w:val="5"/>
      </w:pPr>
    </w:p>
    <w:p w14:paraId="64D429ED"/>
    <w:p w14:paraId="5E46026F"/>
    <w:p w14:paraId="18561EEE">
      <w:pPr>
        <w:spacing w:line="400" w:lineRule="atLeast"/>
        <w:jc w:val="left"/>
        <w:rPr>
          <w:rFonts w:ascii="仿宋" w:hAnsi="仿宋" w:eastAsia="仿宋" w:cs="仿宋"/>
          <w:b/>
          <w:bCs/>
          <w:sz w:val="24"/>
        </w:rPr>
      </w:pPr>
      <w:r>
        <w:rPr>
          <w:rFonts w:hint="eastAsia" w:ascii="仿宋" w:hAnsi="仿宋" w:eastAsia="仿宋" w:cs="仿宋"/>
          <w:b/>
          <w:bCs/>
          <w:sz w:val="24"/>
        </w:rPr>
        <w:t>附件二</w:t>
      </w:r>
    </w:p>
    <w:p w14:paraId="23BB9452">
      <w:pPr>
        <w:spacing w:line="400" w:lineRule="atLeast"/>
        <w:jc w:val="center"/>
        <w:rPr>
          <w:rFonts w:ascii="仿宋" w:hAnsi="仿宋" w:eastAsia="仿宋" w:cs="仿宋"/>
          <w:b/>
          <w:bCs/>
          <w:sz w:val="24"/>
        </w:rPr>
      </w:pPr>
      <w:r>
        <w:rPr>
          <w:rFonts w:hint="eastAsia" w:ascii="仿宋" w:hAnsi="仿宋" w:eastAsia="仿宋" w:cs="仿宋"/>
          <w:b/>
          <w:bCs/>
          <w:sz w:val="24"/>
        </w:rPr>
        <w:t>拟派本项目服务人员情况一览表</w:t>
      </w:r>
    </w:p>
    <w:p w14:paraId="26FC4CFD">
      <w:pPr>
        <w:spacing w:line="400" w:lineRule="atLeast"/>
        <w:jc w:val="center"/>
        <w:rPr>
          <w:rFonts w:ascii="仿宋" w:hAnsi="仿宋" w:eastAsia="仿宋" w:cs="仿宋"/>
          <w:sz w:val="24"/>
        </w:rPr>
      </w:pPr>
    </w:p>
    <w:tbl>
      <w:tblPr>
        <w:tblStyle w:val="34"/>
        <w:tblW w:w="9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1523"/>
        <w:gridCol w:w="712"/>
        <w:gridCol w:w="750"/>
        <w:gridCol w:w="1497"/>
        <w:gridCol w:w="1533"/>
        <w:gridCol w:w="674"/>
        <w:gridCol w:w="1290"/>
        <w:gridCol w:w="632"/>
      </w:tblGrid>
      <w:tr w14:paraId="785C7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142F10D0">
            <w:pPr>
              <w:spacing w:line="360" w:lineRule="auto"/>
              <w:jc w:val="center"/>
              <w:rPr>
                <w:rFonts w:ascii="仿宋" w:hAnsi="仿宋" w:eastAsia="仿宋" w:cs="仿宋"/>
                <w:sz w:val="24"/>
              </w:rPr>
            </w:pPr>
            <w:r>
              <w:rPr>
                <w:rFonts w:hint="eastAsia" w:ascii="仿宋" w:hAnsi="仿宋" w:eastAsia="仿宋" w:cs="仿宋"/>
                <w:sz w:val="24"/>
              </w:rPr>
              <w:t>姓名</w:t>
            </w:r>
          </w:p>
        </w:tc>
        <w:tc>
          <w:tcPr>
            <w:tcW w:w="1523" w:type="dxa"/>
            <w:vAlign w:val="center"/>
          </w:tcPr>
          <w:p w14:paraId="12413E45">
            <w:pPr>
              <w:spacing w:line="360" w:lineRule="auto"/>
              <w:jc w:val="center"/>
              <w:rPr>
                <w:rFonts w:ascii="仿宋" w:hAnsi="仿宋" w:eastAsia="仿宋" w:cs="仿宋"/>
                <w:sz w:val="24"/>
              </w:rPr>
            </w:pPr>
            <w:r>
              <w:rPr>
                <w:rFonts w:hint="eastAsia" w:ascii="仿宋" w:hAnsi="仿宋" w:eastAsia="仿宋" w:cs="仿宋"/>
                <w:sz w:val="24"/>
              </w:rPr>
              <w:t>身份证号码</w:t>
            </w:r>
          </w:p>
        </w:tc>
        <w:tc>
          <w:tcPr>
            <w:tcW w:w="712" w:type="dxa"/>
            <w:vAlign w:val="center"/>
          </w:tcPr>
          <w:p w14:paraId="6348536F">
            <w:pPr>
              <w:spacing w:line="360" w:lineRule="auto"/>
              <w:jc w:val="center"/>
              <w:rPr>
                <w:rFonts w:ascii="仿宋" w:hAnsi="仿宋" w:eastAsia="仿宋" w:cs="仿宋"/>
                <w:sz w:val="24"/>
              </w:rPr>
            </w:pPr>
            <w:r>
              <w:rPr>
                <w:rFonts w:hint="eastAsia" w:ascii="仿宋" w:hAnsi="仿宋" w:eastAsia="仿宋" w:cs="仿宋"/>
                <w:sz w:val="24"/>
              </w:rPr>
              <w:t>性别</w:t>
            </w:r>
          </w:p>
        </w:tc>
        <w:tc>
          <w:tcPr>
            <w:tcW w:w="750" w:type="dxa"/>
            <w:vAlign w:val="center"/>
          </w:tcPr>
          <w:p w14:paraId="7C4DE441">
            <w:pPr>
              <w:spacing w:line="360" w:lineRule="auto"/>
              <w:jc w:val="center"/>
              <w:rPr>
                <w:rFonts w:ascii="仿宋" w:hAnsi="仿宋" w:eastAsia="仿宋" w:cs="仿宋"/>
                <w:sz w:val="24"/>
              </w:rPr>
            </w:pPr>
            <w:r>
              <w:rPr>
                <w:rFonts w:hint="eastAsia" w:ascii="仿宋" w:hAnsi="仿宋" w:eastAsia="仿宋" w:cs="仿宋"/>
                <w:sz w:val="24"/>
              </w:rPr>
              <w:t>岗位</w:t>
            </w:r>
          </w:p>
        </w:tc>
        <w:tc>
          <w:tcPr>
            <w:tcW w:w="1497" w:type="dxa"/>
            <w:vAlign w:val="center"/>
          </w:tcPr>
          <w:p w14:paraId="753BC920">
            <w:pPr>
              <w:spacing w:line="360" w:lineRule="auto"/>
              <w:jc w:val="center"/>
              <w:rPr>
                <w:rFonts w:ascii="仿宋" w:hAnsi="仿宋" w:eastAsia="仿宋" w:cs="仿宋"/>
                <w:sz w:val="24"/>
              </w:rPr>
            </w:pPr>
            <w:r>
              <w:rPr>
                <w:rFonts w:hint="eastAsia" w:ascii="仿宋" w:hAnsi="仿宋" w:eastAsia="仿宋" w:cs="仿宋"/>
                <w:sz w:val="24"/>
              </w:rPr>
              <w:t>相关执</w:t>
            </w:r>
          </w:p>
          <w:p w14:paraId="45466EE3">
            <w:pPr>
              <w:spacing w:line="360" w:lineRule="auto"/>
              <w:jc w:val="center"/>
              <w:rPr>
                <w:rFonts w:ascii="仿宋" w:hAnsi="仿宋" w:eastAsia="仿宋" w:cs="仿宋"/>
                <w:sz w:val="24"/>
              </w:rPr>
            </w:pPr>
            <w:r>
              <w:rPr>
                <w:rFonts w:hint="eastAsia" w:ascii="仿宋" w:hAnsi="仿宋" w:eastAsia="仿宋" w:cs="仿宋"/>
                <w:sz w:val="24"/>
              </w:rPr>
              <w:t>业证书</w:t>
            </w:r>
          </w:p>
        </w:tc>
        <w:tc>
          <w:tcPr>
            <w:tcW w:w="1533" w:type="dxa"/>
            <w:vAlign w:val="center"/>
          </w:tcPr>
          <w:p w14:paraId="44B93870">
            <w:pPr>
              <w:spacing w:line="360" w:lineRule="auto"/>
              <w:jc w:val="center"/>
              <w:rPr>
                <w:rFonts w:ascii="仿宋" w:hAnsi="仿宋" w:eastAsia="仿宋" w:cs="仿宋"/>
                <w:sz w:val="24"/>
              </w:rPr>
            </w:pPr>
            <w:r>
              <w:rPr>
                <w:rFonts w:hint="eastAsia" w:ascii="仿宋" w:hAnsi="仿宋" w:eastAsia="仿宋" w:cs="仿宋"/>
                <w:sz w:val="24"/>
              </w:rPr>
              <w:t>学历（如有）</w:t>
            </w:r>
          </w:p>
        </w:tc>
        <w:tc>
          <w:tcPr>
            <w:tcW w:w="674" w:type="dxa"/>
            <w:vAlign w:val="center"/>
          </w:tcPr>
          <w:p w14:paraId="59ACF63E">
            <w:pPr>
              <w:spacing w:line="360" w:lineRule="auto"/>
              <w:jc w:val="center"/>
              <w:rPr>
                <w:rFonts w:ascii="仿宋" w:hAnsi="仿宋" w:eastAsia="仿宋" w:cs="仿宋"/>
                <w:sz w:val="24"/>
              </w:rPr>
            </w:pPr>
            <w:r>
              <w:rPr>
                <w:rFonts w:hint="eastAsia" w:ascii="仿宋" w:hAnsi="仿宋" w:eastAsia="仿宋" w:cs="仿宋"/>
                <w:sz w:val="24"/>
              </w:rPr>
              <w:t>专业</w:t>
            </w:r>
          </w:p>
        </w:tc>
        <w:tc>
          <w:tcPr>
            <w:tcW w:w="1290" w:type="dxa"/>
            <w:vAlign w:val="center"/>
          </w:tcPr>
          <w:p w14:paraId="7687F3FC">
            <w:pPr>
              <w:spacing w:line="360" w:lineRule="auto"/>
              <w:jc w:val="center"/>
              <w:rPr>
                <w:rFonts w:ascii="仿宋" w:hAnsi="仿宋" w:eastAsia="仿宋" w:cs="仿宋"/>
                <w:sz w:val="24"/>
              </w:rPr>
            </w:pPr>
            <w:r>
              <w:rPr>
                <w:rFonts w:hint="eastAsia" w:ascii="仿宋" w:hAnsi="仿宋" w:eastAsia="仿宋" w:cs="仿宋"/>
                <w:sz w:val="24"/>
              </w:rPr>
              <w:t>从事相关</w:t>
            </w:r>
          </w:p>
          <w:p w14:paraId="307BA5C2">
            <w:pPr>
              <w:spacing w:line="360" w:lineRule="auto"/>
              <w:jc w:val="center"/>
              <w:rPr>
                <w:rFonts w:ascii="仿宋" w:hAnsi="仿宋" w:eastAsia="仿宋" w:cs="仿宋"/>
                <w:sz w:val="24"/>
              </w:rPr>
            </w:pPr>
            <w:r>
              <w:rPr>
                <w:rFonts w:hint="eastAsia" w:ascii="仿宋" w:hAnsi="仿宋" w:eastAsia="仿宋" w:cs="仿宋"/>
                <w:sz w:val="24"/>
              </w:rPr>
              <w:t>工作年限</w:t>
            </w:r>
          </w:p>
        </w:tc>
        <w:tc>
          <w:tcPr>
            <w:tcW w:w="632" w:type="dxa"/>
            <w:vAlign w:val="center"/>
          </w:tcPr>
          <w:p w14:paraId="565E80B0">
            <w:pPr>
              <w:spacing w:line="360" w:lineRule="auto"/>
              <w:jc w:val="center"/>
              <w:rPr>
                <w:rFonts w:ascii="仿宋" w:hAnsi="仿宋" w:eastAsia="仿宋" w:cs="仿宋"/>
                <w:sz w:val="24"/>
              </w:rPr>
            </w:pPr>
            <w:r>
              <w:rPr>
                <w:rFonts w:hint="eastAsia" w:ascii="仿宋" w:hAnsi="仿宋" w:eastAsia="仿宋" w:cs="仿宋"/>
                <w:sz w:val="24"/>
              </w:rPr>
              <w:t>备注</w:t>
            </w:r>
          </w:p>
        </w:tc>
      </w:tr>
      <w:tr w14:paraId="43997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7E8D8811">
            <w:pPr>
              <w:spacing w:line="360" w:lineRule="auto"/>
              <w:jc w:val="center"/>
              <w:rPr>
                <w:rFonts w:ascii="仿宋" w:hAnsi="仿宋" w:eastAsia="仿宋" w:cs="仿宋"/>
                <w:sz w:val="24"/>
              </w:rPr>
            </w:pPr>
          </w:p>
        </w:tc>
        <w:tc>
          <w:tcPr>
            <w:tcW w:w="1523" w:type="dxa"/>
            <w:vAlign w:val="center"/>
          </w:tcPr>
          <w:p w14:paraId="093B4497">
            <w:pPr>
              <w:spacing w:line="360" w:lineRule="auto"/>
              <w:jc w:val="center"/>
              <w:rPr>
                <w:rFonts w:ascii="仿宋" w:hAnsi="仿宋" w:eastAsia="仿宋" w:cs="仿宋"/>
                <w:sz w:val="24"/>
              </w:rPr>
            </w:pPr>
          </w:p>
        </w:tc>
        <w:tc>
          <w:tcPr>
            <w:tcW w:w="712" w:type="dxa"/>
            <w:vAlign w:val="center"/>
          </w:tcPr>
          <w:p w14:paraId="0C40640E">
            <w:pPr>
              <w:spacing w:line="360" w:lineRule="auto"/>
              <w:jc w:val="center"/>
              <w:rPr>
                <w:rFonts w:ascii="仿宋" w:hAnsi="仿宋" w:eastAsia="仿宋" w:cs="仿宋"/>
                <w:sz w:val="24"/>
              </w:rPr>
            </w:pPr>
          </w:p>
        </w:tc>
        <w:tc>
          <w:tcPr>
            <w:tcW w:w="750" w:type="dxa"/>
            <w:vAlign w:val="center"/>
          </w:tcPr>
          <w:p w14:paraId="7407AB68">
            <w:pPr>
              <w:spacing w:line="360" w:lineRule="auto"/>
              <w:jc w:val="center"/>
              <w:rPr>
                <w:rFonts w:ascii="仿宋" w:hAnsi="仿宋" w:eastAsia="仿宋" w:cs="仿宋"/>
                <w:sz w:val="24"/>
              </w:rPr>
            </w:pPr>
          </w:p>
        </w:tc>
        <w:tc>
          <w:tcPr>
            <w:tcW w:w="1497" w:type="dxa"/>
            <w:vAlign w:val="center"/>
          </w:tcPr>
          <w:p w14:paraId="48F96E41">
            <w:pPr>
              <w:spacing w:line="360" w:lineRule="auto"/>
              <w:jc w:val="center"/>
              <w:rPr>
                <w:rFonts w:ascii="仿宋" w:hAnsi="仿宋" w:eastAsia="仿宋" w:cs="仿宋"/>
                <w:sz w:val="24"/>
              </w:rPr>
            </w:pPr>
          </w:p>
        </w:tc>
        <w:tc>
          <w:tcPr>
            <w:tcW w:w="1533" w:type="dxa"/>
            <w:vAlign w:val="center"/>
          </w:tcPr>
          <w:p w14:paraId="1C25814B">
            <w:pPr>
              <w:spacing w:line="360" w:lineRule="auto"/>
              <w:jc w:val="center"/>
              <w:rPr>
                <w:rFonts w:ascii="仿宋" w:hAnsi="仿宋" w:eastAsia="仿宋" w:cs="仿宋"/>
                <w:sz w:val="24"/>
              </w:rPr>
            </w:pPr>
          </w:p>
        </w:tc>
        <w:tc>
          <w:tcPr>
            <w:tcW w:w="674" w:type="dxa"/>
            <w:vAlign w:val="center"/>
          </w:tcPr>
          <w:p w14:paraId="6DF0559A">
            <w:pPr>
              <w:spacing w:line="360" w:lineRule="auto"/>
              <w:jc w:val="center"/>
              <w:rPr>
                <w:rFonts w:ascii="仿宋" w:hAnsi="仿宋" w:eastAsia="仿宋" w:cs="仿宋"/>
                <w:sz w:val="24"/>
              </w:rPr>
            </w:pPr>
          </w:p>
        </w:tc>
        <w:tc>
          <w:tcPr>
            <w:tcW w:w="1290" w:type="dxa"/>
            <w:vAlign w:val="center"/>
          </w:tcPr>
          <w:p w14:paraId="0510D8BE">
            <w:pPr>
              <w:spacing w:line="360" w:lineRule="auto"/>
              <w:jc w:val="center"/>
              <w:rPr>
                <w:rFonts w:ascii="仿宋" w:hAnsi="仿宋" w:eastAsia="仿宋" w:cs="仿宋"/>
                <w:sz w:val="24"/>
              </w:rPr>
            </w:pPr>
          </w:p>
        </w:tc>
        <w:tc>
          <w:tcPr>
            <w:tcW w:w="632" w:type="dxa"/>
            <w:vAlign w:val="center"/>
          </w:tcPr>
          <w:p w14:paraId="3616785B">
            <w:pPr>
              <w:spacing w:line="360" w:lineRule="auto"/>
              <w:jc w:val="center"/>
              <w:rPr>
                <w:rFonts w:ascii="仿宋" w:hAnsi="仿宋" w:eastAsia="仿宋" w:cs="仿宋"/>
                <w:sz w:val="24"/>
              </w:rPr>
            </w:pPr>
          </w:p>
        </w:tc>
      </w:tr>
      <w:tr w14:paraId="78AA9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747E8AAC">
            <w:pPr>
              <w:spacing w:line="360" w:lineRule="auto"/>
              <w:jc w:val="center"/>
              <w:rPr>
                <w:rFonts w:ascii="仿宋" w:hAnsi="仿宋" w:eastAsia="仿宋" w:cs="仿宋"/>
                <w:sz w:val="24"/>
              </w:rPr>
            </w:pPr>
          </w:p>
        </w:tc>
        <w:tc>
          <w:tcPr>
            <w:tcW w:w="1523" w:type="dxa"/>
            <w:vAlign w:val="center"/>
          </w:tcPr>
          <w:p w14:paraId="550B5E96">
            <w:pPr>
              <w:spacing w:line="360" w:lineRule="auto"/>
              <w:jc w:val="center"/>
              <w:rPr>
                <w:rFonts w:ascii="仿宋" w:hAnsi="仿宋" w:eastAsia="仿宋" w:cs="仿宋"/>
                <w:sz w:val="24"/>
              </w:rPr>
            </w:pPr>
          </w:p>
        </w:tc>
        <w:tc>
          <w:tcPr>
            <w:tcW w:w="712" w:type="dxa"/>
            <w:vAlign w:val="center"/>
          </w:tcPr>
          <w:p w14:paraId="15E2175F">
            <w:pPr>
              <w:spacing w:line="360" w:lineRule="auto"/>
              <w:jc w:val="center"/>
              <w:rPr>
                <w:rFonts w:ascii="仿宋" w:hAnsi="仿宋" w:eastAsia="仿宋" w:cs="仿宋"/>
                <w:sz w:val="24"/>
              </w:rPr>
            </w:pPr>
          </w:p>
        </w:tc>
        <w:tc>
          <w:tcPr>
            <w:tcW w:w="750" w:type="dxa"/>
            <w:vAlign w:val="center"/>
          </w:tcPr>
          <w:p w14:paraId="68A7DDEF">
            <w:pPr>
              <w:spacing w:line="360" w:lineRule="auto"/>
              <w:jc w:val="center"/>
              <w:rPr>
                <w:rFonts w:ascii="仿宋" w:hAnsi="仿宋" w:eastAsia="仿宋" w:cs="仿宋"/>
                <w:sz w:val="24"/>
              </w:rPr>
            </w:pPr>
          </w:p>
        </w:tc>
        <w:tc>
          <w:tcPr>
            <w:tcW w:w="1497" w:type="dxa"/>
            <w:vAlign w:val="center"/>
          </w:tcPr>
          <w:p w14:paraId="21823B01">
            <w:pPr>
              <w:spacing w:line="360" w:lineRule="auto"/>
              <w:jc w:val="center"/>
              <w:rPr>
                <w:rFonts w:ascii="仿宋" w:hAnsi="仿宋" w:eastAsia="仿宋" w:cs="仿宋"/>
                <w:sz w:val="24"/>
              </w:rPr>
            </w:pPr>
          </w:p>
        </w:tc>
        <w:tc>
          <w:tcPr>
            <w:tcW w:w="1533" w:type="dxa"/>
            <w:vAlign w:val="center"/>
          </w:tcPr>
          <w:p w14:paraId="78543FD1">
            <w:pPr>
              <w:spacing w:line="360" w:lineRule="auto"/>
              <w:jc w:val="center"/>
              <w:rPr>
                <w:rFonts w:ascii="仿宋" w:hAnsi="仿宋" w:eastAsia="仿宋" w:cs="仿宋"/>
                <w:sz w:val="24"/>
              </w:rPr>
            </w:pPr>
          </w:p>
        </w:tc>
        <w:tc>
          <w:tcPr>
            <w:tcW w:w="674" w:type="dxa"/>
            <w:vAlign w:val="center"/>
          </w:tcPr>
          <w:p w14:paraId="2A3534A3">
            <w:pPr>
              <w:spacing w:line="360" w:lineRule="auto"/>
              <w:jc w:val="center"/>
              <w:rPr>
                <w:rFonts w:ascii="仿宋" w:hAnsi="仿宋" w:eastAsia="仿宋" w:cs="仿宋"/>
                <w:sz w:val="24"/>
              </w:rPr>
            </w:pPr>
          </w:p>
        </w:tc>
        <w:tc>
          <w:tcPr>
            <w:tcW w:w="1290" w:type="dxa"/>
            <w:vAlign w:val="center"/>
          </w:tcPr>
          <w:p w14:paraId="0CC7FE6D">
            <w:pPr>
              <w:spacing w:line="360" w:lineRule="auto"/>
              <w:jc w:val="center"/>
              <w:rPr>
                <w:rFonts w:ascii="仿宋" w:hAnsi="仿宋" w:eastAsia="仿宋" w:cs="仿宋"/>
                <w:sz w:val="24"/>
              </w:rPr>
            </w:pPr>
          </w:p>
        </w:tc>
        <w:tc>
          <w:tcPr>
            <w:tcW w:w="632" w:type="dxa"/>
            <w:vAlign w:val="center"/>
          </w:tcPr>
          <w:p w14:paraId="50CEFB7C">
            <w:pPr>
              <w:spacing w:line="360" w:lineRule="auto"/>
              <w:jc w:val="center"/>
              <w:rPr>
                <w:rFonts w:ascii="仿宋" w:hAnsi="仿宋" w:eastAsia="仿宋" w:cs="仿宋"/>
                <w:sz w:val="24"/>
              </w:rPr>
            </w:pPr>
          </w:p>
        </w:tc>
      </w:tr>
      <w:tr w14:paraId="18F68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33E9B897">
            <w:pPr>
              <w:spacing w:line="360" w:lineRule="auto"/>
              <w:jc w:val="center"/>
              <w:rPr>
                <w:rFonts w:ascii="仿宋" w:hAnsi="仿宋" w:eastAsia="仿宋" w:cs="仿宋"/>
                <w:sz w:val="24"/>
              </w:rPr>
            </w:pPr>
          </w:p>
        </w:tc>
        <w:tc>
          <w:tcPr>
            <w:tcW w:w="1523" w:type="dxa"/>
            <w:vAlign w:val="center"/>
          </w:tcPr>
          <w:p w14:paraId="30D8003B">
            <w:pPr>
              <w:spacing w:line="360" w:lineRule="auto"/>
              <w:jc w:val="center"/>
              <w:rPr>
                <w:rFonts w:ascii="仿宋" w:hAnsi="仿宋" w:eastAsia="仿宋" w:cs="仿宋"/>
                <w:sz w:val="24"/>
              </w:rPr>
            </w:pPr>
          </w:p>
        </w:tc>
        <w:tc>
          <w:tcPr>
            <w:tcW w:w="712" w:type="dxa"/>
            <w:vAlign w:val="center"/>
          </w:tcPr>
          <w:p w14:paraId="4F0DA37C">
            <w:pPr>
              <w:spacing w:line="360" w:lineRule="auto"/>
              <w:jc w:val="center"/>
              <w:rPr>
                <w:rFonts w:ascii="仿宋" w:hAnsi="仿宋" w:eastAsia="仿宋" w:cs="仿宋"/>
                <w:sz w:val="24"/>
              </w:rPr>
            </w:pPr>
          </w:p>
        </w:tc>
        <w:tc>
          <w:tcPr>
            <w:tcW w:w="750" w:type="dxa"/>
            <w:vAlign w:val="center"/>
          </w:tcPr>
          <w:p w14:paraId="2ABBDDEA">
            <w:pPr>
              <w:spacing w:line="360" w:lineRule="auto"/>
              <w:jc w:val="center"/>
              <w:rPr>
                <w:rFonts w:ascii="仿宋" w:hAnsi="仿宋" w:eastAsia="仿宋" w:cs="仿宋"/>
                <w:sz w:val="24"/>
              </w:rPr>
            </w:pPr>
          </w:p>
        </w:tc>
        <w:tc>
          <w:tcPr>
            <w:tcW w:w="1497" w:type="dxa"/>
            <w:vAlign w:val="center"/>
          </w:tcPr>
          <w:p w14:paraId="751E5D02">
            <w:pPr>
              <w:spacing w:line="360" w:lineRule="auto"/>
              <w:jc w:val="center"/>
              <w:rPr>
                <w:rFonts w:ascii="仿宋" w:hAnsi="仿宋" w:eastAsia="仿宋" w:cs="仿宋"/>
                <w:sz w:val="24"/>
              </w:rPr>
            </w:pPr>
          </w:p>
        </w:tc>
        <w:tc>
          <w:tcPr>
            <w:tcW w:w="1533" w:type="dxa"/>
            <w:vAlign w:val="center"/>
          </w:tcPr>
          <w:p w14:paraId="123C1AEC">
            <w:pPr>
              <w:spacing w:line="360" w:lineRule="auto"/>
              <w:jc w:val="center"/>
              <w:rPr>
                <w:rFonts w:ascii="仿宋" w:hAnsi="仿宋" w:eastAsia="仿宋" w:cs="仿宋"/>
                <w:sz w:val="24"/>
              </w:rPr>
            </w:pPr>
          </w:p>
        </w:tc>
        <w:tc>
          <w:tcPr>
            <w:tcW w:w="674" w:type="dxa"/>
            <w:vAlign w:val="center"/>
          </w:tcPr>
          <w:p w14:paraId="554461D8">
            <w:pPr>
              <w:spacing w:line="360" w:lineRule="auto"/>
              <w:jc w:val="center"/>
              <w:rPr>
                <w:rFonts w:ascii="仿宋" w:hAnsi="仿宋" w:eastAsia="仿宋" w:cs="仿宋"/>
                <w:sz w:val="24"/>
              </w:rPr>
            </w:pPr>
          </w:p>
        </w:tc>
        <w:tc>
          <w:tcPr>
            <w:tcW w:w="1290" w:type="dxa"/>
            <w:vAlign w:val="center"/>
          </w:tcPr>
          <w:p w14:paraId="2B114F1F">
            <w:pPr>
              <w:spacing w:line="360" w:lineRule="auto"/>
              <w:jc w:val="center"/>
              <w:rPr>
                <w:rFonts w:ascii="仿宋" w:hAnsi="仿宋" w:eastAsia="仿宋" w:cs="仿宋"/>
                <w:sz w:val="24"/>
              </w:rPr>
            </w:pPr>
          </w:p>
        </w:tc>
        <w:tc>
          <w:tcPr>
            <w:tcW w:w="632" w:type="dxa"/>
            <w:vAlign w:val="center"/>
          </w:tcPr>
          <w:p w14:paraId="4E0913E2">
            <w:pPr>
              <w:spacing w:line="360" w:lineRule="auto"/>
              <w:jc w:val="center"/>
              <w:rPr>
                <w:rFonts w:ascii="仿宋" w:hAnsi="仿宋" w:eastAsia="仿宋" w:cs="仿宋"/>
                <w:sz w:val="24"/>
              </w:rPr>
            </w:pPr>
          </w:p>
        </w:tc>
      </w:tr>
      <w:tr w14:paraId="7BBB9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67D67A74">
            <w:pPr>
              <w:spacing w:line="360" w:lineRule="auto"/>
              <w:jc w:val="center"/>
              <w:rPr>
                <w:rFonts w:ascii="仿宋" w:hAnsi="仿宋" w:eastAsia="仿宋" w:cs="仿宋"/>
                <w:sz w:val="24"/>
              </w:rPr>
            </w:pPr>
          </w:p>
        </w:tc>
        <w:tc>
          <w:tcPr>
            <w:tcW w:w="1523" w:type="dxa"/>
            <w:vAlign w:val="center"/>
          </w:tcPr>
          <w:p w14:paraId="025EBDE6">
            <w:pPr>
              <w:spacing w:line="360" w:lineRule="auto"/>
              <w:jc w:val="center"/>
              <w:rPr>
                <w:rFonts w:ascii="仿宋" w:hAnsi="仿宋" w:eastAsia="仿宋" w:cs="仿宋"/>
                <w:sz w:val="24"/>
              </w:rPr>
            </w:pPr>
          </w:p>
        </w:tc>
        <w:tc>
          <w:tcPr>
            <w:tcW w:w="712" w:type="dxa"/>
            <w:vAlign w:val="center"/>
          </w:tcPr>
          <w:p w14:paraId="3C4C7989">
            <w:pPr>
              <w:spacing w:line="360" w:lineRule="auto"/>
              <w:jc w:val="center"/>
              <w:rPr>
                <w:rFonts w:ascii="仿宋" w:hAnsi="仿宋" w:eastAsia="仿宋" w:cs="仿宋"/>
                <w:sz w:val="24"/>
              </w:rPr>
            </w:pPr>
          </w:p>
        </w:tc>
        <w:tc>
          <w:tcPr>
            <w:tcW w:w="750" w:type="dxa"/>
            <w:vAlign w:val="center"/>
          </w:tcPr>
          <w:p w14:paraId="226E2AC2">
            <w:pPr>
              <w:spacing w:line="360" w:lineRule="auto"/>
              <w:jc w:val="center"/>
              <w:rPr>
                <w:rFonts w:ascii="仿宋" w:hAnsi="仿宋" w:eastAsia="仿宋" w:cs="仿宋"/>
                <w:sz w:val="24"/>
              </w:rPr>
            </w:pPr>
          </w:p>
        </w:tc>
        <w:tc>
          <w:tcPr>
            <w:tcW w:w="1497" w:type="dxa"/>
            <w:vAlign w:val="center"/>
          </w:tcPr>
          <w:p w14:paraId="1424C0C7">
            <w:pPr>
              <w:spacing w:line="360" w:lineRule="auto"/>
              <w:jc w:val="center"/>
              <w:rPr>
                <w:rFonts w:ascii="仿宋" w:hAnsi="仿宋" w:eastAsia="仿宋" w:cs="仿宋"/>
                <w:sz w:val="24"/>
              </w:rPr>
            </w:pPr>
          </w:p>
        </w:tc>
        <w:tc>
          <w:tcPr>
            <w:tcW w:w="1533" w:type="dxa"/>
            <w:vAlign w:val="center"/>
          </w:tcPr>
          <w:p w14:paraId="3FC6E9E0">
            <w:pPr>
              <w:spacing w:line="360" w:lineRule="auto"/>
              <w:jc w:val="center"/>
              <w:rPr>
                <w:rFonts w:ascii="仿宋" w:hAnsi="仿宋" w:eastAsia="仿宋" w:cs="仿宋"/>
                <w:sz w:val="24"/>
              </w:rPr>
            </w:pPr>
          </w:p>
        </w:tc>
        <w:tc>
          <w:tcPr>
            <w:tcW w:w="674" w:type="dxa"/>
            <w:vAlign w:val="center"/>
          </w:tcPr>
          <w:p w14:paraId="39649F18">
            <w:pPr>
              <w:spacing w:line="360" w:lineRule="auto"/>
              <w:jc w:val="center"/>
              <w:rPr>
                <w:rFonts w:ascii="仿宋" w:hAnsi="仿宋" w:eastAsia="仿宋" w:cs="仿宋"/>
                <w:sz w:val="24"/>
              </w:rPr>
            </w:pPr>
          </w:p>
        </w:tc>
        <w:tc>
          <w:tcPr>
            <w:tcW w:w="1290" w:type="dxa"/>
            <w:vAlign w:val="center"/>
          </w:tcPr>
          <w:p w14:paraId="15F8DB2B">
            <w:pPr>
              <w:spacing w:line="360" w:lineRule="auto"/>
              <w:jc w:val="center"/>
              <w:rPr>
                <w:rFonts w:ascii="仿宋" w:hAnsi="仿宋" w:eastAsia="仿宋" w:cs="仿宋"/>
                <w:sz w:val="24"/>
              </w:rPr>
            </w:pPr>
          </w:p>
        </w:tc>
        <w:tc>
          <w:tcPr>
            <w:tcW w:w="632" w:type="dxa"/>
            <w:vAlign w:val="center"/>
          </w:tcPr>
          <w:p w14:paraId="56D2CE66">
            <w:pPr>
              <w:spacing w:line="360" w:lineRule="auto"/>
              <w:jc w:val="center"/>
              <w:rPr>
                <w:rFonts w:ascii="仿宋" w:hAnsi="仿宋" w:eastAsia="仿宋" w:cs="仿宋"/>
                <w:sz w:val="24"/>
              </w:rPr>
            </w:pPr>
          </w:p>
        </w:tc>
      </w:tr>
      <w:tr w14:paraId="7E206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1563EE2C">
            <w:pPr>
              <w:spacing w:line="360" w:lineRule="auto"/>
              <w:jc w:val="center"/>
              <w:rPr>
                <w:rFonts w:ascii="仿宋" w:hAnsi="仿宋" w:eastAsia="仿宋" w:cs="仿宋"/>
                <w:sz w:val="24"/>
              </w:rPr>
            </w:pPr>
          </w:p>
        </w:tc>
        <w:tc>
          <w:tcPr>
            <w:tcW w:w="1523" w:type="dxa"/>
            <w:vAlign w:val="center"/>
          </w:tcPr>
          <w:p w14:paraId="03516178">
            <w:pPr>
              <w:spacing w:line="360" w:lineRule="auto"/>
              <w:jc w:val="center"/>
              <w:rPr>
                <w:rFonts w:ascii="仿宋" w:hAnsi="仿宋" w:eastAsia="仿宋" w:cs="仿宋"/>
                <w:sz w:val="24"/>
              </w:rPr>
            </w:pPr>
          </w:p>
        </w:tc>
        <w:tc>
          <w:tcPr>
            <w:tcW w:w="712" w:type="dxa"/>
            <w:vAlign w:val="center"/>
          </w:tcPr>
          <w:p w14:paraId="271E5A9F">
            <w:pPr>
              <w:spacing w:line="360" w:lineRule="auto"/>
              <w:jc w:val="center"/>
              <w:rPr>
                <w:rFonts w:ascii="仿宋" w:hAnsi="仿宋" w:eastAsia="仿宋" w:cs="仿宋"/>
                <w:sz w:val="24"/>
              </w:rPr>
            </w:pPr>
          </w:p>
        </w:tc>
        <w:tc>
          <w:tcPr>
            <w:tcW w:w="750" w:type="dxa"/>
            <w:vAlign w:val="center"/>
          </w:tcPr>
          <w:p w14:paraId="071F2659">
            <w:pPr>
              <w:spacing w:line="360" w:lineRule="auto"/>
              <w:jc w:val="center"/>
              <w:rPr>
                <w:rFonts w:ascii="仿宋" w:hAnsi="仿宋" w:eastAsia="仿宋" w:cs="仿宋"/>
                <w:sz w:val="24"/>
              </w:rPr>
            </w:pPr>
          </w:p>
        </w:tc>
        <w:tc>
          <w:tcPr>
            <w:tcW w:w="1497" w:type="dxa"/>
            <w:vAlign w:val="center"/>
          </w:tcPr>
          <w:p w14:paraId="00102F07">
            <w:pPr>
              <w:spacing w:line="360" w:lineRule="auto"/>
              <w:jc w:val="center"/>
              <w:rPr>
                <w:rFonts w:ascii="仿宋" w:hAnsi="仿宋" w:eastAsia="仿宋" w:cs="仿宋"/>
                <w:sz w:val="24"/>
              </w:rPr>
            </w:pPr>
          </w:p>
        </w:tc>
        <w:tc>
          <w:tcPr>
            <w:tcW w:w="1533" w:type="dxa"/>
            <w:vAlign w:val="center"/>
          </w:tcPr>
          <w:p w14:paraId="5C806B8F">
            <w:pPr>
              <w:spacing w:line="360" w:lineRule="auto"/>
              <w:jc w:val="center"/>
              <w:rPr>
                <w:rFonts w:ascii="仿宋" w:hAnsi="仿宋" w:eastAsia="仿宋" w:cs="仿宋"/>
                <w:sz w:val="24"/>
              </w:rPr>
            </w:pPr>
          </w:p>
        </w:tc>
        <w:tc>
          <w:tcPr>
            <w:tcW w:w="674" w:type="dxa"/>
            <w:vAlign w:val="center"/>
          </w:tcPr>
          <w:p w14:paraId="47748CA0">
            <w:pPr>
              <w:spacing w:line="360" w:lineRule="auto"/>
              <w:jc w:val="center"/>
              <w:rPr>
                <w:rFonts w:ascii="仿宋" w:hAnsi="仿宋" w:eastAsia="仿宋" w:cs="仿宋"/>
                <w:sz w:val="24"/>
              </w:rPr>
            </w:pPr>
          </w:p>
        </w:tc>
        <w:tc>
          <w:tcPr>
            <w:tcW w:w="1290" w:type="dxa"/>
            <w:vAlign w:val="center"/>
          </w:tcPr>
          <w:p w14:paraId="40F28200">
            <w:pPr>
              <w:spacing w:line="360" w:lineRule="auto"/>
              <w:jc w:val="center"/>
              <w:rPr>
                <w:rFonts w:ascii="仿宋" w:hAnsi="仿宋" w:eastAsia="仿宋" w:cs="仿宋"/>
                <w:sz w:val="24"/>
              </w:rPr>
            </w:pPr>
          </w:p>
        </w:tc>
        <w:tc>
          <w:tcPr>
            <w:tcW w:w="632" w:type="dxa"/>
            <w:vAlign w:val="center"/>
          </w:tcPr>
          <w:p w14:paraId="51C14A69">
            <w:pPr>
              <w:spacing w:line="360" w:lineRule="auto"/>
              <w:jc w:val="center"/>
              <w:rPr>
                <w:rFonts w:ascii="仿宋" w:hAnsi="仿宋" w:eastAsia="仿宋" w:cs="仿宋"/>
                <w:sz w:val="24"/>
              </w:rPr>
            </w:pPr>
          </w:p>
        </w:tc>
      </w:tr>
      <w:tr w14:paraId="2208F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076E721E">
            <w:pPr>
              <w:spacing w:line="360" w:lineRule="auto"/>
              <w:jc w:val="center"/>
              <w:rPr>
                <w:rFonts w:ascii="仿宋" w:hAnsi="仿宋" w:eastAsia="仿宋" w:cs="仿宋"/>
                <w:sz w:val="24"/>
              </w:rPr>
            </w:pPr>
          </w:p>
        </w:tc>
        <w:tc>
          <w:tcPr>
            <w:tcW w:w="1523" w:type="dxa"/>
            <w:vAlign w:val="center"/>
          </w:tcPr>
          <w:p w14:paraId="7AA30C8F">
            <w:pPr>
              <w:spacing w:line="360" w:lineRule="auto"/>
              <w:jc w:val="center"/>
              <w:rPr>
                <w:rFonts w:ascii="仿宋" w:hAnsi="仿宋" w:eastAsia="仿宋" w:cs="仿宋"/>
                <w:sz w:val="24"/>
              </w:rPr>
            </w:pPr>
          </w:p>
        </w:tc>
        <w:tc>
          <w:tcPr>
            <w:tcW w:w="712" w:type="dxa"/>
            <w:vAlign w:val="center"/>
          </w:tcPr>
          <w:p w14:paraId="10B8A840">
            <w:pPr>
              <w:spacing w:line="360" w:lineRule="auto"/>
              <w:jc w:val="center"/>
              <w:rPr>
                <w:rFonts w:ascii="仿宋" w:hAnsi="仿宋" w:eastAsia="仿宋" w:cs="仿宋"/>
                <w:sz w:val="24"/>
              </w:rPr>
            </w:pPr>
          </w:p>
        </w:tc>
        <w:tc>
          <w:tcPr>
            <w:tcW w:w="750" w:type="dxa"/>
            <w:vAlign w:val="center"/>
          </w:tcPr>
          <w:p w14:paraId="25E44AB2">
            <w:pPr>
              <w:spacing w:line="360" w:lineRule="auto"/>
              <w:jc w:val="center"/>
              <w:rPr>
                <w:rFonts w:ascii="仿宋" w:hAnsi="仿宋" w:eastAsia="仿宋" w:cs="仿宋"/>
                <w:sz w:val="24"/>
              </w:rPr>
            </w:pPr>
          </w:p>
        </w:tc>
        <w:tc>
          <w:tcPr>
            <w:tcW w:w="1497" w:type="dxa"/>
            <w:vAlign w:val="center"/>
          </w:tcPr>
          <w:p w14:paraId="49410BF7">
            <w:pPr>
              <w:spacing w:line="360" w:lineRule="auto"/>
              <w:jc w:val="center"/>
              <w:rPr>
                <w:rFonts w:ascii="仿宋" w:hAnsi="仿宋" w:eastAsia="仿宋" w:cs="仿宋"/>
                <w:sz w:val="24"/>
              </w:rPr>
            </w:pPr>
          </w:p>
        </w:tc>
        <w:tc>
          <w:tcPr>
            <w:tcW w:w="1533" w:type="dxa"/>
            <w:vAlign w:val="center"/>
          </w:tcPr>
          <w:p w14:paraId="30E47AEC">
            <w:pPr>
              <w:spacing w:line="360" w:lineRule="auto"/>
              <w:jc w:val="center"/>
              <w:rPr>
                <w:rFonts w:ascii="仿宋" w:hAnsi="仿宋" w:eastAsia="仿宋" w:cs="仿宋"/>
                <w:sz w:val="24"/>
              </w:rPr>
            </w:pPr>
          </w:p>
        </w:tc>
        <w:tc>
          <w:tcPr>
            <w:tcW w:w="674" w:type="dxa"/>
            <w:vAlign w:val="center"/>
          </w:tcPr>
          <w:p w14:paraId="189551A3">
            <w:pPr>
              <w:spacing w:line="360" w:lineRule="auto"/>
              <w:jc w:val="center"/>
              <w:rPr>
                <w:rFonts w:ascii="仿宋" w:hAnsi="仿宋" w:eastAsia="仿宋" w:cs="仿宋"/>
                <w:sz w:val="24"/>
              </w:rPr>
            </w:pPr>
          </w:p>
        </w:tc>
        <w:tc>
          <w:tcPr>
            <w:tcW w:w="1290" w:type="dxa"/>
            <w:vAlign w:val="center"/>
          </w:tcPr>
          <w:p w14:paraId="4FBC0C83">
            <w:pPr>
              <w:spacing w:line="360" w:lineRule="auto"/>
              <w:jc w:val="center"/>
              <w:rPr>
                <w:rFonts w:ascii="仿宋" w:hAnsi="仿宋" w:eastAsia="仿宋" w:cs="仿宋"/>
                <w:sz w:val="24"/>
              </w:rPr>
            </w:pPr>
          </w:p>
        </w:tc>
        <w:tc>
          <w:tcPr>
            <w:tcW w:w="632" w:type="dxa"/>
            <w:vAlign w:val="center"/>
          </w:tcPr>
          <w:p w14:paraId="1484C22B">
            <w:pPr>
              <w:spacing w:line="360" w:lineRule="auto"/>
              <w:jc w:val="center"/>
              <w:rPr>
                <w:rFonts w:ascii="仿宋" w:hAnsi="仿宋" w:eastAsia="仿宋" w:cs="仿宋"/>
                <w:sz w:val="24"/>
              </w:rPr>
            </w:pPr>
          </w:p>
        </w:tc>
      </w:tr>
      <w:tr w14:paraId="470C0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446D0E92">
            <w:pPr>
              <w:spacing w:line="360" w:lineRule="auto"/>
              <w:jc w:val="center"/>
              <w:rPr>
                <w:rFonts w:ascii="仿宋" w:hAnsi="仿宋" w:eastAsia="仿宋" w:cs="仿宋"/>
                <w:sz w:val="24"/>
              </w:rPr>
            </w:pPr>
          </w:p>
        </w:tc>
        <w:tc>
          <w:tcPr>
            <w:tcW w:w="1523" w:type="dxa"/>
            <w:vAlign w:val="center"/>
          </w:tcPr>
          <w:p w14:paraId="07C4EE39">
            <w:pPr>
              <w:spacing w:line="360" w:lineRule="auto"/>
              <w:jc w:val="center"/>
              <w:rPr>
                <w:rFonts w:ascii="仿宋" w:hAnsi="仿宋" w:eastAsia="仿宋" w:cs="仿宋"/>
                <w:sz w:val="24"/>
              </w:rPr>
            </w:pPr>
          </w:p>
        </w:tc>
        <w:tc>
          <w:tcPr>
            <w:tcW w:w="712" w:type="dxa"/>
            <w:vAlign w:val="center"/>
          </w:tcPr>
          <w:p w14:paraId="153F1B98">
            <w:pPr>
              <w:spacing w:line="360" w:lineRule="auto"/>
              <w:jc w:val="center"/>
              <w:rPr>
                <w:rFonts w:ascii="仿宋" w:hAnsi="仿宋" w:eastAsia="仿宋" w:cs="仿宋"/>
                <w:sz w:val="24"/>
              </w:rPr>
            </w:pPr>
          </w:p>
        </w:tc>
        <w:tc>
          <w:tcPr>
            <w:tcW w:w="750" w:type="dxa"/>
            <w:vAlign w:val="center"/>
          </w:tcPr>
          <w:p w14:paraId="3F5BE756">
            <w:pPr>
              <w:spacing w:line="360" w:lineRule="auto"/>
              <w:jc w:val="center"/>
              <w:rPr>
                <w:rFonts w:ascii="仿宋" w:hAnsi="仿宋" w:eastAsia="仿宋" w:cs="仿宋"/>
                <w:sz w:val="24"/>
              </w:rPr>
            </w:pPr>
          </w:p>
        </w:tc>
        <w:tc>
          <w:tcPr>
            <w:tcW w:w="1497" w:type="dxa"/>
            <w:vAlign w:val="center"/>
          </w:tcPr>
          <w:p w14:paraId="7D6589EC">
            <w:pPr>
              <w:spacing w:line="360" w:lineRule="auto"/>
              <w:jc w:val="center"/>
              <w:rPr>
                <w:rFonts w:ascii="仿宋" w:hAnsi="仿宋" w:eastAsia="仿宋" w:cs="仿宋"/>
                <w:sz w:val="24"/>
              </w:rPr>
            </w:pPr>
          </w:p>
        </w:tc>
        <w:tc>
          <w:tcPr>
            <w:tcW w:w="1533" w:type="dxa"/>
            <w:vAlign w:val="center"/>
          </w:tcPr>
          <w:p w14:paraId="5135E963">
            <w:pPr>
              <w:spacing w:line="360" w:lineRule="auto"/>
              <w:jc w:val="center"/>
              <w:rPr>
                <w:rFonts w:ascii="仿宋" w:hAnsi="仿宋" w:eastAsia="仿宋" w:cs="仿宋"/>
                <w:sz w:val="24"/>
              </w:rPr>
            </w:pPr>
          </w:p>
        </w:tc>
        <w:tc>
          <w:tcPr>
            <w:tcW w:w="674" w:type="dxa"/>
            <w:vAlign w:val="center"/>
          </w:tcPr>
          <w:p w14:paraId="1DFBB674">
            <w:pPr>
              <w:spacing w:line="360" w:lineRule="auto"/>
              <w:jc w:val="center"/>
              <w:rPr>
                <w:rFonts w:ascii="仿宋" w:hAnsi="仿宋" w:eastAsia="仿宋" w:cs="仿宋"/>
                <w:sz w:val="24"/>
              </w:rPr>
            </w:pPr>
          </w:p>
        </w:tc>
        <w:tc>
          <w:tcPr>
            <w:tcW w:w="1290" w:type="dxa"/>
            <w:vAlign w:val="center"/>
          </w:tcPr>
          <w:p w14:paraId="6BC03D7A">
            <w:pPr>
              <w:spacing w:line="360" w:lineRule="auto"/>
              <w:jc w:val="center"/>
              <w:rPr>
                <w:rFonts w:ascii="仿宋" w:hAnsi="仿宋" w:eastAsia="仿宋" w:cs="仿宋"/>
                <w:sz w:val="24"/>
              </w:rPr>
            </w:pPr>
          </w:p>
        </w:tc>
        <w:tc>
          <w:tcPr>
            <w:tcW w:w="632" w:type="dxa"/>
            <w:vAlign w:val="center"/>
          </w:tcPr>
          <w:p w14:paraId="74BB8988">
            <w:pPr>
              <w:spacing w:line="360" w:lineRule="auto"/>
              <w:jc w:val="center"/>
              <w:rPr>
                <w:rFonts w:ascii="仿宋" w:hAnsi="仿宋" w:eastAsia="仿宋" w:cs="仿宋"/>
                <w:sz w:val="24"/>
              </w:rPr>
            </w:pPr>
          </w:p>
        </w:tc>
      </w:tr>
      <w:tr w14:paraId="0B630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318E7DB2">
            <w:pPr>
              <w:spacing w:line="360" w:lineRule="auto"/>
              <w:jc w:val="center"/>
              <w:rPr>
                <w:rFonts w:ascii="仿宋" w:hAnsi="仿宋" w:eastAsia="仿宋" w:cs="仿宋"/>
                <w:sz w:val="24"/>
              </w:rPr>
            </w:pPr>
          </w:p>
        </w:tc>
        <w:tc>
          <w:tcPr>
            <w:tcW w:w="1523" w:type="dxa"/>
            <w:vAlign w:val="center"/>
          </w:tcPr>
          <w:p w14:paraId="63B79B76">
            <w:pPr>
              <w:spacing w:line="360" w:lineRule="auto"/>
              <w:jc w:val="center"/>
              <w:rPr>
                <w:rFonts w:ascii="仿宋" w:hAnsi="仿宋" w:eastAsia="仿宋" w:cs="仿宋"/>
                <w:sz w:val="24"/>
              </w:rPr>
            </w:pPr>
          </w:p>
        </w:tc>
        <w:tc>
          <w:tcPr>
            <w:tcW w:w="712" w:type="dxa"/>
            <w:vAlign w:val="center"/>
          </w:tcPr>
          <w:p w14:paraId="45FF5B45">
            <w:pPr>
              <w:spacing w:line="360" w:lineRule="auto"/>
              <w:jc w:val="center"/>
              <w:rPr>
                <w:rFonts w:ascii="仿宋" w:hAnsi="仿宋" w:eastAsia="仿宋" w:cs="仿宋"/>
                <w:sz w:val="24"/>
              </w:rPr>
            </w:pPr>
          </w:p>
        </w:tc>
        <w:tc>
          <w:tcPr>
            <w:tcW w:w="750" w:type="dxa"/>
            <w:vAlign w:val="center"/>
          </w:tcPr>
          <w:p w14:paraId="70BD9057">
            <w:pPr>
              <w:spacing w:line="360" w:lineRule="auto"/>
              <w:jc w:val="center"/>
              <w:rPr>
                <w:rFonts w:ascii="仿宋" w:hAnsi="仿宋" w:eastAsia="仿宋" w:cs="仿宋"/>
                <w:sz w:val="24"/>
              </w:rPr>
            </w:pPr>
          </w:p>
        </w:tc>
        <w:tc>
          <w:tcPr>
            <w:tcW w:w="1497" w:type="dxa"/>
            <w:vAlign w:val="center"/>
          </w:tcPr>
          <w:p w14:paraId="5C85EB10">
            <w:pPr>
              <w:spacing w:line="360" w:lineRule="auto"/>
              <w:jc w:val="center"/>
              <w:rPr>
                <w:rFonts w:ascii="仿宋" w:hAnsi="仿宋" w:eastAsia="仿宋" w:cs="仿宋"/>
                <w:sz w:val="24"/>
              </w:rPr>
            </w:pPr>
          </w:p>
        </w:tc>
        <w:tc>
          <w:tcPr>
            <w:tcW w:w="1533" w:type="dxa"/>
            <w:vAlign w:val="center"/>
          </w:tcPr>
          <w:p w14:paraId="1AA94E1E">
            <w:pPr>
              <w:spacing w:line="360" w:lineRule="auto"/>
              <w:jc w:val="center"/>
              <w:rPr>
                <w:rFonts w:ascii="仿宋" w:hAnsi="仿宋" w:eastAsia="仿宋" w:cs="仿宋"/>
                <w:sz w:val="24"/>
              </w:rPr>
            </w:pPr>
          </w:p>
        </w:tc>
        <w:tc>
          <w:tcPr>
            <w:tcW w:w="674" w:type="dxa"/>
            <w:vAlign w:val="center"/>
          </w:tcPr>
          <w:p w14:paraId="01B43210">
            <w:pPr>
              <w:spacing w:line="360" w:lineRule="auto"/>
              <w:jc w:val="center"/>
              <w:rPr>
                <w:rFonts w:ascii="仿宋" w:hAnsi="仿宋" w:eastAsia="仿宋" w:cs="仿宋"/>
                <w:sz w:val="24"/>
              </w:rPr>
            </w:pPr>
          </w:p>
        </w:tc>
        <w:tc>
          <w:tcPr>
            <w:tcW w:w="1290" w:type="dxa"/>
            <w:vAlign w:val="center"/>
          </w:tcPr>
          <w:p w14:paraId="1560133E">
            <w:pPr>
              <w:spacing w:line="360" w:lineRule="auto"/>
              <w:jc w:val="center"/>
              <w:rPr>
                <w:rFonts w:ascii="仿宋" w:hAnsi="仿宋" w:eastAsia="仿宋" w:cs="仿宋"/>
                <w:sz w:val="24"/>
              </w:rPr>
            </w:pPr>
          </w:p>
        </w:tc>
        <w:tc>
          <w:tcPr>
            <w:tcW w:w="632" w:type="dxa"/>
            <w:vAlign w:val="center"/>
          </w:tcPr>
          <w:p w14:paraId="2E24E0CF">
            <w:pPr>
              <w:spacing w:line="360" w:lineRule="auto"/>
              <w:jc w:val="center"/>
              <w:rPr>
                <w:rFonts w:ascii="仿宋" w:hAnsi="仿宋" w:eastAsia="仿宋" w:cs="仿宋"/>
                <w:sz w:val="24"/>
              </w:rPr>
            </w:pPr>
          </w:p>
        </w:tc>
      </w:tr>
      <w:tr w14:paraId="58DD9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26B08938">
            <w:pPr>
              <w:spacing w:line="360" w:lineRule="auto"/>
              <w:jc w:val="center"/>
              <w:rPr>
                <w:rFonts w:ascii="仿宋" w:hAnsi="仿宋" w:eastAsia="仿宋" w:cs="仿宋"/>
                <w:sz w:val="24"/>
              </w:rPr>
            </w:pPr>
          </w:p>
        </w:tc>
        <w:tc>
          <w:tcPr>
            <w:tcW w:w="1523" w:type="dxa"/>
            <w:vAlign w:val="center"/>
          </w:tcPr>
          <w:p w14:paraId="43393B5F">
            <w:pPr>
              <w:spacing w:line="360" w:lineRule="auto"/>
              <w:jc w:val="center"/>
              <w:rPr>
                <w:rFonts w:ascii="仿宋" w:hAnsi="仿宋" w:eastAsia="仿宋" w:cs="仿宋"/>
                <w:sz w:val="24"/>
              </w:rPr>
            </w:pPr>
          </w:p>
        </w:tc>
        <w:tc>
          <w:tcPr>
            <w:tcW w:w="712" w:type="dxa"/>
            <w:vAlign w:val="center"/>
          </w:tcPr>
          <w:p w14:paraId="08545C1A">
            <w:pPr>
              <w:spacing w:line="360" w:lineRule="auto"/>
              <w:jc w:val="center"/>
              <w:rPr>
                <w:rFonts w:ascii="仿宋" w:hAnsi="仿宋" w:eastAsia="仿宋" w:cs="仿宋"/>
                <w:sz w:val="24"/>
              </w:rPr>
            </w:pPr>
          </w:p>
        </w:tc>
        <w:tc>
          <w:tcPr>
            <w:tcW w:w="750" w:type="dxa"/>
            <w:vAlign w:val="center"/>
          </w:tcPr>
          <w:p w14:paraId="348BE487">
            <w:pPr>
              <w:spacing w:line="360" w:lineRule="auto"/>
              <w:jc w:val="center"/>
              <w:rPr>
                <w:rFonts w:ascii="仿宋" w:hAnsi="仿宋" w:eastAsia="仿宋" w:cs="仿宋"/>
                <w:sz w:val="24"/>
              </w:rPr>
            </w:pPr>
          </w:p>
        </w:tc>
        <w:tc>
          <w:tcPr>
            <w:tcW w:w="1497" w:type="dxa"/>
            <w:vAlign w:val="center"/>
          </w:tcPr>
          <w:p w14:paraId="171BF62B">
            <w:pPr>
              <w:spacing w:line="360" w:lineRule="auto"/>
              <w:jc w:val="center"/>
              <w:rPr>
                <w:rFonts w:ascii="仿宋" w:hAnsi="仿宋" w:eastAsia="仿宋" w:cs="仿宋"/>
                <w:sz w:val="24"/>
              </w:rPr>
            </w:pPr>
          </w:p>
        </w:tc>
        <w:tc>
          <w:tcPr>
            <w:tcW w:w="1533" w:type="dxa"/>
            <w:vAlign w:val="center"/>
          </w:tcPr>
          <w:p w14:paraId="6258D281">
            <w:pPr>
              <w:spacing w:line="360" w:lineRule="auto"/>
              <w:jc w:val="center"/>
              <w:rPr>
                <w:rFonts w:ascii="仿宋" w:hAnsi="仿宋" w:eastAsia="仿宋" w:cs="仿宋"/>
                <w:sz w:val="24"/>
              </w:rPr>
            </w:pPr>
          </w:p>
        </w:tc>
        <w:tc>
          <w:tcPr>
            <w:tcW w:w="674" w:type="dxa"/>
            <w:vAlign w:val="center"/>
          </w:tcPr>
          <w:p w14:paraId="656E6AA5">
            <w:pPr>
              <w:spacing w:line="360" w:lineRule="auto"/>
              <w:jc w:val="center"/>
              <w:rPr>
                <w:rFonts w:ascii="仿宋" w:hAnsi="仿宋" w:eastAsia="仿宋" w:cs="仿宋"/>
                <w:sz w:val="24"/>
              </w:rPr>
            </w:pPr>
          </w:p>
        </w:tc>
        <w:tc>
          <w:tcPr>
            <w:tcW w:w="1290" w:type="dxa"/>
            <w:vAlign w:val="center"/>
          </w:tcPr>
          <w:p w14:paraId="048456B5">
            <w:pPr>
              <w:spacing w:line="360" w:lineRule="auto"/>
              <w:jc w:val="center"/>
              <w:rPr>
                <w:rFonts w:ascii="仿宋" w:hAnsi="仿宋" w:eastAsia="仿宋" w:cs="仿宋"/>
                <w:sz w:val="24"/>
              </w:rPr>
            </w:pPr>
          </w:p>
        </w:tc>
        <w:tc>
          <w:tcPr>
            <w:tcW w:w="632" w:type="dxa"/>
            <w:vAlign w:val="center"/>
          </w:tcPr>
          <w:p w14:paraId="56944B12">
            <w:pPr>
              <w:spacing w:line="360" w:lineRule="auto"/>
              <w:jc w:val="center"/>
              <w:rPr>
                <w:rFonts w:ascii="仿宋" w:hAnsi="仿宋" w:eastAsia="仿宋" w:cs="仿宋"/>
                <w:sz w:val="24"/>
              </w:rPr>
            </w:pPr>
          </w:p>
        </w:tc>
      </w:tr>
    </w:tbl>
    <w:p w14:paraId="510AEEC7">
      <w:pPr>
        <w:spacing w:line="360" w:lineRule="auto"/>
        <w:jc w:val="left"/>
        <w:rPr>
          <w:rFonts w:hint="eastAsia" w:ascii="仿宋" w:hAnsi="仿宋" w:eastAsia="仿宋" w:cs="仿宋"/>
          <w:sz w:val="24"/>
        </w:rPr>
      </w:pPr>
      <w:r>
        <w:rPr>
          <w:rFonts w:hint="eastAsia" w:ascii="仿宋" w:hAnsi="仿宋" w:eastAsia="仿宋" w:cs="仿宋"/>
          <w:sz w:val="24"/>
        </w:rPr>
        <w:t>1、项目服务人员由供应商自行确定，但应能够满足本项目的基本需求。</w:t>
      </w:r>
    </w:p>
    <w:p w14:paraId="1D38554B">
      <w:pPr>
        <w:spacing w:line="400" w:lineRule="atLeast"/>
        <w:jc w:val="left"/>
        <w:rPr>
          <w:rFonts w:hint="eastAsia" w:ascii="仿宋" w:hAnsi="仿宋" w:eastAsia="仿宋" w:cs="仿宋"/>
          <w:sz w:val="24"/>
        </w:rPr>
      </w:pPr>
      <w:r>
        <w:rPr>
          <w:rFonts w:hint="eastAsia" w:ascii="仿宋" w:hAnsi="仿宋" w:eastAsia="仿宋" w:cs="仿宋"/>
          <w:sz w:val="24"/>
        </w:rPr>
        <w:t>2、上述人员应附身份证、相关执业证书、</w:t>
      </w:r>
      <w:r>
        <w:rPr>
          <w:rFonts w:hint="eastAsia" w:ascii="仿宋" w:hAnsi="仿宋" w:eastAsia="仿宋" w:cs="仿宋"/>
          <w:bCs/>
          <w:sz w:val="24"/>
        </w:rPr>
        <w:t>学历证书（如有）及其它一切有利于项目服务人员的证明材料</w:t>
      </w:r>
      <w:r>
        <w:rPr>
          <w:rFonts w:hint="eastAsia" w:ascii="仿宋" w:hAnsi="仿宋" w:eastAsia="仿宋" w:cs="仿宋"/>
          <w:sz w:val="24"/>
        </w:rPr>
        <w:t>（提供上述材料彩印件）。</w:t>
      </w:r>
    </w:p>
    <w:p w14:paraId="4608952F">
      <w:pPr>
        <w:pStyle w:val="5"/>
      </w:pPr>
    </w:p>
    <w:p w14:paraId="32420BC9"/>
    <w:p w14:paraId="25C98BA8">
      <w:pPr>
        <w:pStyle w:val="5"/>
      </w:pPr>
    </w:p>
    <w:p w14:paraId="1F4A63DB"/>
    <w:p w14:paraId="1C203F24">
      <w:pPr>
        <w:spacing w:line="360" w:lineRule="auto"/>
        <w:ind w:firstLine="480" w:firstLineChars="200"/>
        <w:jc w:val="center"/>
        <w:rPr>
          <w:rFonts w:ascii="仿宋" w:hAnsi="仿宋" w:eastAsia="仿宋" w:cs="仿宋"/>
          <w:sz w:val="24"/>
        </w:rPr>
      </w:pPr>
      <w:r>
        <w:rPr>
          <w:rFonts w:hint="eastAsia" w:ascii="仿宋" w:hAnsi="仿宋" w:eastAsia="仿宋" w:cs="仿宋"/>
          <w:sz w:val="24"/>
        </w:rPr>
        <w:t>拟投入本项目的专业机械表</w:t>
      </w:r>
    </w:p>
    <w:tbl>
      <w:tblPr>
        <w:tblStyle w:val="34"/>
        <w:tblW w:w="98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2"/>
        <w:gridCol w:w="1751"/>
        <w:gridCol w:w="2353"/>
        <w:gridCol w:w="2236"/>
        <w:gridCol w:w="2075"/>
      </w:tblGrid>
      <w:tr w14:paraId="5209E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jc w:val="center"/>
        </w:trPr>
        <w:tc>
          <w:tcPr>
            <w:tcW w:w="1402" w:type="dxa"/>
            <w:vAlign w:val="center"/>
          </w:tcPr>
          <w:p w14:paraId="467D75B6">
            <w:pPr>
              <w:spacing w:line="440" w:lineRule="exact"/>
              <w:jc w:val="center"/>
              <w:rPr>
                <w:rFonts w:ascii="仿宋" w:hAnsi="仿宋" w:eastAsia="仿宋" w:cs="仿宋"/>
                <w:sz w:val="24"/>
              </w:rPr>
            </w:pPr>
            <w:r>
              <w:rPr>
                <w:rFonts w:hint="eastAsia" w:ascii="仿宋" w:hAnsi="仿宋" w:eastAsia="仿宋" w:cs="仿宋"/>
                <w:sz w:val="24"/>
              </w:rPr>
              <w:t>序号</w:t>
            </w:r>
          </w:p>
        </w:tc>
        <w:tc>
          <w:tcPr>
            <w:tcW w:w="1751" w:type="dxa"/>
            <w:vAlign w:val="center"/>
          </w:tcPr>
          <w:p w14:paraId="0BF1E250">
            <w:pPr>
              <w:spacing w:line="440" w:lineRule="exact"/>
              <w:jc w:val="center"/>
              <w:rPr>
                <w:rFonts w:ascii="仿宋" w:hAnsi="仿宋" w:eastAsia="仿宋" w:cs="仿宋"/>
                <w:sz w:val="24"/>
              </w:rPr>
            </w:pPr>
            <w:r>
              <w:rPr>
                <w:rFonts w:hint="eastAsia" w:ascii="仿宋" w:hAnsi="仿宋" w:eastAsia="仿宋" w:cs="仿宋"/>
                <w:sz w:val="24"/>
              </w:rPr>
              <w:t>机械具名称</w:t>
            </w:r>
          </w:p>
        </w:tc>
        <w:tc>
          <w:tcPr>
            <w:tcW w:w="2353" w:type="dxa"/>
            <w:vAlign w:val="center"/>
          </w:tcPr>
          <w:p w14:paraId="2BDC8C6D">
            <w:pPr>
              <w:spacing w:line="440" w:lineRule="exact"/>
              <w:jc w:val="center"/>
              <w:rPr>
                <w:rFonts w:ascii="仿宋" w:hAnsi="仿宋" w:eastAsia="仿宋" w:cs="仿宋"/>
                <w:sz w:val="24"/>
              </w:rPr>
            </w:pPr>
            <w:r>
              <w:rPr>
                <w:rFonts w:hint="eastAsia" w:ascii="仿宋" w:hAnsi="仿宋" w:eastAsia="仿宋" w:cs="仿宋"/>
                <w:sz w:val="24"/>
              </w:rPr>
              <w:t>用途</w:t>
            </w:r>
          </w:p>
        </w:tc>
        <w:tc>
          <w:tcPr>
            <w:tcW w:w="2236" w:type="dxa"/>
            <w:vAlign w:val="center"/>
          </w:tcPr>
          <w:p w14:paraId="1165105C">
            <w:pPr>
              <w:spacing w:line="440" w:lineRule="exact"/>
              <w:jc w:val="center"/>
              <w:rPr>
                <w:rFonts w:ascii="仿宋" w:hAnsi="仿宋" w:eastAsia="仿宋" w:cs="仿宋"/>
                <w:sz w:val="24"/>
              </w:rPr>
            </w:pPr>
            <w:r>
              <w:rPr>
                <w:rFonts w:hint="eastAsia" w:ascii="仿宋" w:hAnsi="仿宋" w:eastAsia="仿宋" w:cs="仿宋"/>
                <w:sz w:val="24"/>
              </w:rPr>
              <w:t>数量</w:t>
            </w:r>
          </w:p>
        </w:tc>
        <w:tc>
          <w:tcPr>
            <w:tcW w:w="2075" w:type="dxa"/>
            <w:vAlign w:val="center"/>
          </w:tcPr>
          <w:p w14:paraId="7EF74BF4">
            <w:pPr>
              <w:spacing w:line="440" w:lineRule="exact"/>
              <w:jc w:val="center"/>
              <w:rPr>
                <w:rFonts w:ascii="仿宋" w:hAnsi="仿宋" w:eastAsia="仿宋" w:cs="仿宋"/>
                <w:sz w:val="24"/>
              </w:rPr>
            </w:pPr>
            <w:r>
              <w:rPr>
                <w:rFonts w:hint="eastAsia" w:ascii="仿宋" w:hAnsi="仿宋" w:eastAsia="仿宋" w:cs="仿宋"/>
                <w:sz w:val="24"/>
              </w:rPr>
              <w:t>备注</w:t>
            </w:r>
          </w:p>
        </w:tc>
      </w:tr>
      <w:tr w14:paraId="31D5E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jc w:val="center"/>
        </w:trPr>
        <w:tc>
          <w:tcPr>
            <w:tcW w:w="1402" w:type="dxa"/>
          </w:tcPr>
          <w:p w14:paraId="427ED574">
            <w:pPr>
              <w:spacing w:line="440" w:lineRule="exact"/>
              <w:jc w:val="center"/>
              <w:rPr>
                <w:rFonts w:ascii="仿宋" w:hAnsi="仿宋" w:eastAsia="仿宋" w:cs="仿宋"/>
                <w:sz w:val="24"/>
              </w:rPr>
            </w:pPr>
            <w:r>
              <w:rPr>
                <w:rFonts w:hint="eastAsia" w:ascii="仿宋" w:hAnsi="仿宋" w:eastAsia="仿宋" w:cs="仿宋"/>
                <w:sz w:val="24"/>
              </w:rPr>
              <w:t>1</w:t>
            </w:r>
          </w:p>
        </w:tc>
        <w:tc>
          <w:tcPr>
            <w:tcW w:w="1751" w:type="dxa"/>
          </w:tcPr>
          <w:p w14:paraId="1446C2A7">
            <w:pPr>
              <w:spacing w:line="440" w:lineRule="exact"/>
              <w:jc w:val="center"/>
              <w:rPr>
                <w:rFonts w:ascii="仿宋" w:hAnsi="仿宋" w:eastAsia="仿宋" w:cs="仿宋"/>
                <w:sz w:val="24"/>
              </w:rPr>
            </w:pPr>
          </w:p>
        </w:tc>
        <w:tc>
          <w:tcPr>
            <w:tcW w:w="2353" w:type="dxa"/>
          </w:tcPr>
          <w:p w14:paraId="31E80A90">
            <w:pPr>
              <w:spacing w:line="440" w:lineRule="exact"/>
              <w:jc w:val="center"/>
              <w:rPr>
                <w:rFonts w:ascii="仿宋" w:hAnsi="仿宋" w:eastAsia="仿宋" w:cs="仿宋"/>
                <w:sz w:val="24"/>
              </w:rPr>
            </w:pPr>
          </w:p>
        </w:tc>
        <w:tc>
          <w:tcPr>
            <w:tcW w:w="2236" w:type="dxa"/>
          </w:tcPr>
          <w:p w14:paraId="222A8955">
            <w:pPr>
              <w:spacing w:line="440" w:lineRule="exact"/>
              <w:jc w:val="center"/>
              <w:rPr>
                <w:rFonts w:ascii="仿宋" w:hAnsi="仿宋" w:eastAsia="仿宋" w:cs="仿宋"/>
                <w:sz w:val="24"/>
              </w:rPr>
            </w:pPr>
          </w:p>
        </w:tc>
        <w:tc>
          <w:tcPr>
            <w:tcW w:w="2075" w:type="dxa"/>
          </w:tcPr>
          <w:p w14:paraId="3A203B62">
            <w:pPr>
              <w:spacing w:line="440" w:lineRule="exact"/>
              <w:jc w:val="center"/>
              <w:rPr>
                <w:rFonts w:ascii="仿宋" w:hAnsi="仿宋" w:eastAsia="仿宋" w:cs="仿宋"/>
                <w:sz w:val="24"/>
              </w:rPr>
            </w:pPr>
          </w:p>
        </w:tc>
      </w:tr>
      <w:tr w14:paraId="7E7A3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jc w:val="center"/>
        </w:trPr>
        <w:tc>
          <w:tcPr>
            <w:tcW w:w="1402" w:type="dxa"/>
          </w:tcPr>
          <w:p w14:paraId="761207F5">
            <w:pPr>
              <w:spacing w:line="440" w:lineRule="exact"/>
              <w:jc w:val="center"/>
              <w:rPr>
                <w:rFonts w:ascii="仿宋" w:hAnsi="仿宋" w:eastAsia="仿宋" w:cs="仿宋"/>
                <w:sz w:val="24"/>
              </w:rPr>
            </w:pPr>
            <w:r>
              <w:rPr>
                <w:rFonts w:hint="eastAsia" w:ascii="仿宋" w:hAnsi="仿宋" w:eastAsia="仿宋" w:cs="仿宋"/>
                <w:sz w:val="24"/>
              </w:rPr>
              <w:t>2</w:t>
            </w:r>
          </w:p>
        </w:tc>
        <w:tc>
          <w:tcPr>
            <w:tcW w:w="1751" w:type="dxa"/>
          </w:tcPr>
          <w:p w14:paraId="4243ABF8">
            <w:pPr>
              <w:spacing w:line="440" w:lineRule="exact"/>
              <w:jc w:val="center"/>
              <w:rPr>
                <w:rFonts w:ascii="仿宋" w:hAnsi="仿宋" w:eastAsia="仿宋" w:cs="仿宋"/>
                <w:sz w:val="24"/>
              </w:rPr>
            </w:pPr>
          </w:p>
        </w:tc>
        <w:tc>
          <w:tcPr>
            <w:tcW w:w="2353" w:type="dxa"/>
          </w:tcPr>
          <w:p w14:paraId="0C361DCE">
            <w:pPr>
              <w:spacing w:line="440" w:lineRule="exact"/>
              <w:jc w:val="center"/>
              <w:rPr>
                <w:rFonts w:ascii="仿宋" w:hAnsi="仿宋" w:eastAsia="仿宋" w:cs="仿宋"/>
                <w:sz w:val="24"/>
              </w:rPr>
            </w:pPr>
          </w:p>
        </w:tc>
        <w:tc>
          <w:tcPr>
            <w:tcW w:w="2236" w:type="dxa"/>
          </w:tcPr>
          <w:p w14:paraId="567E0370">
            <w:pPr>
              <w:spacing w:line="440" w:lineRule="exact"/>
              <w:jc w:val="center"/>
              <w:rPr>
                <w:rFonts w:ascii="仿宋" w:hAnsi="仿宋" w:eastAsia="仿宋" w:cs="仿宋"/>
                <w:sz w:val="24"/>
              </w:rPr>
            </w:pPr>
          </w:p>
        </w:tc>
        <w:tc>
          <w:tcPr>
            <w:tcW w:w="2075" w:type="dxa"/>
          </w:tcPr>
          <w:p w14:paraId="4A68F8FA">
            <w:pPr>
              <w:spacing w:line="440" w:lineRule="exact"/>
              <w:jc w:val="center"/>
              <w:rPr>
                <w:rFonts w:ascii="仿宋" w:hAnsi="仿宋" w:eastAsia="仿宋" w:cs="仿宋"/>
                <w:sz w:val="24"/>
              </w:rPr>
            </w:pPr>
          </w:p>
        </w:tc>
      </w:tr>
      <w:tr w14:paraId="74180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jc w:val="center"/>
        </w:trPr>
        <w:tc>
          <w:tcPr>
            <w:tcW w:w="1402" w:type="dxa"/>
          </w:tcPr>
          <w:p w14:paraId="06FBE1AF">
            <w:pPr>
              <w:spacing w:line="440" w:lineRule="exact"/>
              <w:jc w:val="center"/>
              <w:rPr>
                <w:rFonts w:ascii="仿宋" w:hAnsi="仿宋" w:eastAsia="仿宋" w:cs="仿宋"/>
                <w:sz w:val="24"/>
              </w:rPr>
            </w:pPr>
            <w:r>
              <w:rPr>
                <w:rFonts w:hint="eastAsia" w:ascii="仿宋" w:hAnsi="仿宋" w:eastAsia="仿宋" w:cs="仿宋"/>
                <w:sz w:val="24"/>
              </w:rPr>
              <w:t>3</w:t>
            </w:r>
          </w:p>
        </w:tc>
        <w:tc>
          <w:tcPr>
            <w:tcW w:w="1751" w:type="dxa"/>
          </w:tcPr>
          <w:p w14:paraId="04BA2D03">
            <w:pPr>
              <w:spacing w:line="440" w:lineRule="exact"/>
              <w:jc w:val="center"/>
              <w:rPr>
                <w:rFonts w:ascii="仿宋" w:hAnsi="仿宋" w:eastAsia="仿宋" w:cs="仿宋"/>
                <w:sz w:val="24"/>
              </w:rPr>
            </w:pPr>
          </w:p>
        </w:tc>
        <w:tc>
          <w:tcPr>
            <w:tcW w:w="2353" w:type="dxa"/>
          </w:tcPr>
          <w:p w14:paraId="6DD6381E">
            <w:pPr>
              <w:spacing w:line="440" w:lineRule="exact"/>
              <w:jc w:val="center"/>
              <w:rPr>
                <w:rFonts w:ascii="仿宋" w:hAnsi="仿宋" w:eastAsia="仿宋" w:cs="仿宋"/>
                <w:sz w:val="24"/>
              </w:rPr>
            </w:pPr>
          </w:p>
        </w:tc>
        <w:tc>
          <w:tcPr>
            <w:tcW w:w="2236" w:type="dxa"/>
          </w:tcPr>
          <w:p w14:paraId="0BA4E091">
            <w:pPr>
              <w:spacing w:line="440" w:lineRule="exact"/>
              <w:jc w:val="center"/>
              <w:rPr>
                <w:rFonts w:ascii="仿宋" w:hAnsi="仿宋" w:eastAsia="仿宋" w:cs="仿宋"/>
                <w:sz w:val="24"/>
              </w:rPr>
            </w:pPr>
          </w:p>
        </w:tc>
        <w:tc>
          <w:tcPr>
            <w:tcW w:w="2075" w:type="dxa"/>
          </w:tcPr>
          <w:p w14:paraId="09115070">
            <w:pPr>
              <w:spacing w:line="440" w:lineRule="exact"/>
              <w:jc w:val="center"/>
              <w:rPr>
                <w:rFonts w:ascii="仿宋" w:hAnsi="仿宋" w:eastAsia="仿宋" w:cs="仿宋"/>
                <w:sz w:val="24"/>
              </w:rPr>
            </w:pPr>
          </w:p>
        </w:tc>
      </w:tr>
      <w:tr w14:paraId="3E8BF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1402" w:type="dxa"/>
          </w:tcPr>
          <w:p w14:paraId="338AA997">
            <w:pPr>
              <w:spacing w:line="440" w:lineRule="exact"/>
              <w:jc w:val="center"/>
              <w:rPr>
                <w:rFonts w:ascii="仿宋" w:hAnsi="仿宋" w:eastAsia="仿宋" w:cs="仿宋"/>
                <w:sz w:val="24"/>
              </w:rPr>
            </w:pPr>
            <w:r>
              <w:rPr>
                <w:rFonts w:hint="eastAsia" w:ascii="仿宋" w:hAnsi="仿宋" w:eastAsia="仿宋" w:cs="仿宋"/>
                <w:sz w:val="24"/>
              </w:rPr>
              <w:t>…</w:t>
            </w:r>
          </w:p>
        </w:tc>
        <w:tc>
          <w:tcPr>
            <w:tcW w:w="1751" w:type="dxa"/>
          </w:tcPr>
          <w:p w14:paraId="783029FD">
            <w:pPr>
              <w:spacing w:line="440" w:lineRule="exact"/>
              <w:jc w:val="center"/>
              <w:rPr>
                <w:rFonts w:ascii="仿宋" w:hAnsi="仿宋" w:eastAsia="仿宋" w:cs="仿宋"/>
                <w:sz w:val="24"/>
              </w:rPr>
            </w:pPr>
          </w:p>
        </w:tc>
        <w:tc>
          <w:tcPr>
            <w:tcW w:w="2353" w:type="dxa"/>
          </w:tcPr>
          <w:p w14:paraId="3849A8A1">
            <w:pPr>
              <w:spacing w:line="440" w:lineRule="exact"/>
              <w:jc w:val="center"/>
              <w:rPr>
                <w:rFonts w:ascii="仿宋" w:hAnsi="仿宋" w:eastAsia="仿宋" w:cs="仿宋"/>
                <w:sz w:val="24"/>
              </w:rPr>
            </w:pPr>
          </w:p>
        </w:tc>
        <w:tc>
          <w:tcPr>
            <w:tcW w:w="2236" w:type="dxa"/>
          </w:tcPr>
          <w:p w14:paraId="440AD554">
            <w:pPr>
              <w:spacing w:line="440" w:lineRule="exact"/>
              <w:jc w:val="center"/>
              <w:rPr>
                <w:rFonts w:ascii="仿宋" w:hAnsi="仿宋" w:eastAsia="仿宋" w:cs="仿宋"/>
                <w:sz w:val="24"/>
              </w:rPr>
            </w:pPr>
          </w:p>
        </w:tc>
        <w:tc>
          <w:tcPr>
            <w:tcW w:w="2075" w:type="dxa"/>
          </w:tcPr>
          <w:p w14:paraId="41D20601">
            <w:pPr>
              <w:spacing w:line="440" w:lineRule="exact"/>
              <w:jc w:val="center"/>
              <w:rPr>
                <w:rFonts w:ascii="仿宋" w:hAnsi="仿宋" w:eastAsia="仿宋" w:cs="仿宋"/>
                <w:sz w:val="24"/>
              </w:rPr>
            </w:pPr>
          </w:p>
        </w:tc>
      </w:tr>
    </w:tbl>
    <w:p w14:paraId="5EAC5658">
      <w:pPr>
        <w:rPr>
          <w:rFonts w:ascii="仿宋" w:hAnsi="仿宋" w:eastAsia="仿宋" w:cs="仿宋"/>
          <w:sz w:val="24"/>
        </w:rPr>
      </w:pPr>
      <w:r>
        <w:rPr>
          <w:rFonts w:hint="eastAsia" w:ascii="仿宋" w:hAnsi="仿宋" w:eastAsia="仿宋" w:cs="仿宋"/>
          <w:sz w:val="24"/>
          <w:lang w:val="zh-CN"/>
        </w:rPr>
        <w:t>注：</w:t>
      </w:r>
      <w:r>
        <w:rPr>
          <w:rFonts w:hint="eastAsia" w:ascii="仿宋" w:hAnsi="仿宋" w:eastAsia="仿宋" w:cs="仿宋"/>
          <w:sz w:val="24"/>
        </w:rPr>
        <w:t>1）</w:t>
      </w:r>
      <w:r>
        <w:rPr>
          <w:rFonts w:hint="eastAsia" w:ascii="仿宋" w:hAnsi="仿宋" w:eastAsia="仿宋" w:cs="仿宋"/>
          <w:sz w:val="24"/>
          <w:lang w:val="zh-CN"/>
        </w:rPr>
        <w:t>在填写时，如本表格不适合供应商的实际情况，可根据本表格式自行制表填</w:t>
      </w:r>
      <w:r>
        <w:rPr>
          <w:rFonts w:hint="eastAsia" w:ascii="仿宋" w:hAnsi="仿宋" w:eastAsia="仿宋" w:cs="仿宋"/>
          <w:sz w:val="24"/>
        </w:rPr>
        <w:t>写</w:t>
      </w:r>
    </w:p>
    <w:p w14:paraId="7FE9D066">
      <w:pPr>
        <w:pStyle w:val="65"/>
        <w:rPr>
          <w:rFonts w:ascii="仿宋" w:hAnsi="仿宋" w:eastAsia="仿宋" w:cs="仿宋"/>
        </w:rPr>
      </w:pPr>
    </w:p>
    <w:p w14:paraId="27E2A625">
      <w:pPr>
        <w:pStyle w:val="5"/>
        <w:sectPr>
          <w:pgSz w:w="11906" w:h="16839"/>
          <w:pgMar w:top="400" w:right="1162" w:bottom="1157" w:left="1088" w:header="0" w:footer="994" w:gutter="0"/>
          <w:cols w:space="720" w:num="1"/>
        </w:sectPr>
      </w:pPr>
    </w:p>
    <w:tbl>
      <w:tblPr>
        <w:tblStyle w:val="34"/>
        <w:tblpPr w:leftFromText="180" w:rightFromText="180" w:vertAnchor="text" w:horzAnchor="page" w:tblpX="1380" w:tblpY="440"/>
        <w:tblOverlap w:val="never"/>
        <w:tblW w:w="0" w:type="auto"/>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10DE00D5">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2842" w:hRule="atLeast"/>
        </w:trPr>
        <w:tc>
          <w:tcPr>
            <w:tcW w:w="9120" w:type="dxa"/>
            <w:shd w:val="clear" w:color="auto" w:fill="FCFEEA"/>
          </w:tcPr>
          <w:p w14:paraId="6E20BC9A">
            <w:pPr>
              <w:pStyle w:val="13"/>
              <w:jc w:val="center"/>
              <w:rPr>
                <w:rFonts w:cs="宋体"/>
                <w:b/>
                <w:bCs/>
                <w:sz w:val="28"/>
                <w:szCs w:val="28"/>
              </w:rPr>
            </w:pPr>
            <w:r>
              <w:rPr>
                <w:rFonts w:hint="eastAsia" w:cs="宋体"/>
                <w:b/>
                <w:bCs/>
                <w:sz w:val="28"/>
                <w:szCs w:val="28"/>
              </w:rPr>
              <w:t xml:space="preserve">                                                </w:t>
            </w:r>
          </w:p>
          <w:p w14:paraId="05A2608B">
            <w:pPr>
              <w:pStyle w:val="13"/>
              <w:ind w:firstLine="2520" w:firstLineChars="900"/>
              <w:rPr>
                <w:rFonts w:ascii="隶书" w:eastAsia="隶书"/>
                <w:b/>
                <w:bCs/>
                <w:sz w:val="28"/>
                <w:szCs w:val="28"/>
              </w:rPr>
            </w:pPr>
            <w:r>
              <w:rPr>
                <w:rFonts w:hint="eastAsia" w:cs="宋体"/>
                <w:b/>
                <w:bCs/>
                <w:sz w:val="28"/>
                <w:szCs w:val="28"/>
              </w:rPr>
              <w:t>***** *** *** *** ***   项目</w:t>
            </w:r>
          </w:p>
          <w:p w14:paraId="0F251070">
            <w:pPr>
              <w:pStyle w:val="13"/>
              <w:jc w:val="center"/>
              <w:rPr>
                <w:rFonts w:ascii="隶书" w:eastAsia="隶书"/>
                <w:b/>
                <w:bCs/>
                <w:sz w:val="21"/>
                <w:szCs w:val="21"/>
              </w:rPr>
            </w:pPr>
          </w:p>
          <w:p w14:paraId="6FD0E13B">
            <w:pPr>
              <w:pStyle w:val="13"/>
              <w:ind w:firstLine="3150" w:firstLineChars="1500"/>
              <w:rPr>
                <w:rFonts w:ascii="隶书" w:eastAsia="隶书"/>
                <w:b/>
                <w:bCs/>
                <w:sz w:val="21"/>
                <w:szCs w:val="21"/>
              </w:rPr>
            </w:pPr>
            <w:r>
              <w:rPr>
                <w:rFonts w:hint="eastAsia" w:ascii="隶书" w:eastAsia="隶书"/>
                <w:b/>
                <w:bCs/>
                <w:sz w:val="21"/>
                <w:szCs w:val="21"/>
              </w:rPr>
              <w:t xml:space="preserve">项目编号 </w:t>
            </w:r>
            <w:r>
              <w:rPr>
                <w:rFonts w:hint="eastAsia" w:cs="宋体"/>
                <w:b/>
                <w:bCs/>
                <w:sz w:val="21"/>
                <w:szCs w:val="21"/>
              </w:rPr>
              <w:t>＊＊＊</w:t>
            </w:r>
          </w:p>
          <w:p w14:paraId="0BCB3E4F">
            <w:pPr>
              <w:pStyle w:val="13"/>
              <w:jc w:val="center"/>
              <w:rPr>
                <w:rFonts w:ascii="隶书" w:eastAsia="隶书"/>
                <w:b/>
                <w:bCs/>
                <w:sz w:val="48"/>
              </w:rPr>
            </w:pPr>
            <w:r>
              <w:rPr>
                <w:rFonts w:hint="eastAsia" w:ascii="隶书" w:eastAsia="隶书"/>
                <w:b/>
                <w:bCs/>
                <w:sz w:val="48"/>
              </w:rPr>
              <w:t>响 应 文 件</w:t>
            </w:r>
          </w:p>
          <w:p w14:paraId="48E8CC05">
            <w:pPr>
              <w:jc w:val="center"/>
              <w:rPr>
                <w:rFonts w:ascii="宋体" w:hAnsi="宋体"/>
                <w:b/>
                <w:sz w:val="32"/>
              </w:rPr>
            </w:pPr>
          </w:p>
          <w:p w14:paraId="5326A9C2">
            <w:pPr>
              <w:pStyle w:val="5"/>
              <w:ind w:firstLine="0"/>
              <w:rPr>
                <w:rFonts w:hAnsi="宋体"/>
                <w:b/>
                <w:sz w:val="32"/>
              </w:rPr>
            </w:pPr>
          </w:p>
          <w:p w14:paraId="732051A8">
            <w:pPr>
              <w:rPr>
                <w:rFonts w:hAnsi="宋体"/>
                <w:b/>
                <w:sz w:val="32"/>
              </w:rPr>
            </w:pPr>
          </w:p>
          <w:p w14:paraId="1EF449FE">
            <w:pPr>
              <w:pStyle w:val="5"/>
              <w:rPr>
                <w:rFonts w:hAnsi="宋体"/>
                <w:b/>
                <w:sz w:val="32"/>
              </w:rPr>
            </w:pPr>
          </w:p>
          <w:p w14:paraId="67EE1B87"/>
          <w:p w14:paraId="720AD0CF">
            <w:pPr>
              <w:spacing w:line="360" w:lineRule="auto"/>
              <w:ind w:left="176" w:leftChars="84" w:firstLine="1470" w:firstLineChars="700"/>
              <w:rPr>
                <w:rFonts w:ascii="宋体" w:hAnsi="宋体"/>
                <w:szCs w:val="21"/>
              </w:rPr>
            </w:pPr>
            <w:r>
              <w:rPr>
                <w:rFonts w:ascii="宋体" w:hAnsi="宋体"/>
                <w:szCs w:val="21"/>
              </w:rPr>
              <w:t>投标</w:t>
            </w:r>
            <w:r>
              <w:rPr>
                <w:rFonts w:hint="eastAsia" w:ascii="宋体" w:hAnsi="宋体"/>
                <w:szCs w:val="21"/>
              </w:rPr>
              <w:t>单位</w:t>
            </w:r>
            <w:r>
              <w:rPr>
                <w:rFonts w:ascii="宋体" w:hAnsi="宋体"/>
                <w:szCs w:val="21"/>
              </w:rPr>
              <w:t>：</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（公章）</w:t>
            </w:r>
          </w:p>
          <w:p w14:paraId="57F1CE6C">
            <w:pPr>
              <w:spacing w:line="360" w:lineRule="auto"/>
              <w:ind w:left="176" w:leftChars="84" w:firstLine="1470" w:firstLineChars="700"/>
              <w:rPr>
                <w:rFonts w:ascii="宋体" w:hAnsi="宋体"/>
                <w:szCs w:val="21"/>
                <w:u w:val="single"/>
              </w:rPr>
            </w:pPr>
            <w:r>
              <w:rPr>
                <w:rFonts w:ascii="宋体" w:hAnsi="宋体"/>
                <w:szCs w:val="21"/>
              </w:rPr>
              <w:t>项目名称：</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p>
          <w:p w14:paraId="0AEEC3DB">
            <w:pPr>
              <w:spacing w:line="360" w:lineRule="auto"/>
              <w:ind w:left="176" w:leftChars="84" w:firstLine="1470" w:firstLineChars="700"/>
              <w:rPr>
                <w:rFonts w:ascii="宋体" w:hAnsi="宋体"/>
                <w:szCs w:val="21"/>
                <w:u w:val="single"/>
              </w:rPr>
            </w:pPr>
            <w:r>
              <w:rPr>
                <w:rFonts w:ascii="宋体" w:hAnsi="宋体"/>
                <w:szCs w:val="21"/>
              </w:rPr>
              <w:t>项目编号：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0F51AB4B">
            <w:pPr>
              <w:spacing w:line="360" w:lineRule="auto"/>
              <w:ind w:left="176" w:leftChars="84" w:firstLine="1470" w:firstLineChars="700"/>
              <w:rPr>
                <w:rFonts w:ascii="宋体" w:hAnsi="宋体"/>
                <w:szCs w:val="21"/>
                <w:u w:val="single"/>
              </w:rPr>
            </w:pPr>
            <w:r>
              <w:rPr>
                <w:rFonts w:hint="eastAsia" w:ascii="宋体" w:hAnsi="宋体"/>
                <w:szCs w:val="21"/>
              </w:rPr>
              <w:t>联 系 人：</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106DD785">
            <w:pPr>
              <w:spacing w:line="360" w:lineRule="auto"/>
              <w:ind w:left="176" w:leftChars="84" w:firstLine="1470" w:firstLineChars="700"/>
              <w:rPr>
                <w:rFonts w:ascii="宋体" w:hAnsi="宋体"/>
                <w:szCs w:val="21"/>
              </w:rPr>
            </w:pPr>
            <w:r>
              <w:rPr>
                <w:rFonts w:hint="eastAsia" w:ascii="宋体" w:hAnsi="宋体"/>
                <w:szCs w:val="21"/>
              </w:rPr>
              <w:t>电    话：</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7C491581">
            <w:pPr>
              <w:spacing w:line="360" w:lineRule="auto"/>
              <w:ind w:left="176" w:leftChars="84" w:firstLine="1470" w:firstLineChars="700"/>
              <w:rPr>
                <w:rFonts w:ascii="宋体" w:hAnsi="宋体"/>
                <w:szCs w:val="21"/>
                <w:u w:val="single"/>
              </w:rPr>
            </w:pPr>
            <w:r>
              <w:rPr>
                <w:rFonts w:hint="eastAsia" w:ascii="宋体" w:hAnsi="宋体"/>
                <w:szCs w:val="21"/>
              </w:rPr>
              <w:t>地    址：</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4200E90E">
            <w:pPr>
              <w:spacing w:line="360" w:lineRule="auto"/>
              <w:ind w:left="176" w:leftChars="84" w:firstLine="960" w:firstLineChars="400"/>
              <w:rPr>
                <w:rFonts w:ascii="宋体" w:hAnsi="宋体"/>
                <w:sz w:val="24"/>
              </w:rPr>
            </w:pPr>
          </w:p>
          <w:p w14:paraId="65DA25CF">
            <w:pPr>
              <w:jc w:val="center"/>
              <w:rPr>
                <w:rFonts w:ascii="宋体" w:hAnsi="宋体"/>
                <w:b/>
                <w:bCs/>
              </w:rPr>
            </w:pPr>
          </w:p>
          <w:p w14:paraId="4EEB5982">
            <w:pPr>
              <w:jc w:val="center"/>
              <w:rPr>
                <w:rFonts w:ascii="宋体" w:hAnsi="宋体"/>
                <w:b/>
                <w:bCs/>
              </w:rPr>
            </w:pPr>
          </w:p>
          <w:p w14:paraId="010E204B">
            <w:pPr>
              <w:jc w:val="center"/>
              <w:rPr>
                <w:rFonts w:ascii="宋体" w:hAnsi="宋体"/>
                <w:b/>
                <w:bCs/>
              </w:rPr>
            </w:pPr>
          </w:p>
          <w:p w14:paraId="404F29B1">
            <w:pPr>
              <w:jc w:val="center"/>
              <w:rPr>
                <w:rFonts w:ascii="宋体" w:hAnsi="宋体"/>
                <w:b/>
                <w:bCs/>
              </w:rPr>
            </w:pPr>
            <w:r>
              <w:rPr>
                <w:rFonts w:hint="eastAsia" w:ascii="宋体" w:hAnsi="宋体"/>
                <w:b/>
                <w:bCs/>
              </w:rPr>
              <w:t xml:space="preserve">注：   </w:t>
            </w:r>
            <w:r>
              <w:rPr>
                <w:rFonts w:ascii="宋体" w:hAnsi="宋体"/>
                <w:b/>
                <w:bCs/>
              </w:rPr>
              <w:t>在</w:t>
            </w:r>
            <w:r>
              <w:rPr>
                <w:rFonts w:hint="eastAsia" w:ascii="宋体" w:hAnsi="宋体"/>
                <w:b/>
                <w:bCs/>
              </w:rPr>
              <w:t>202X</w:t>
            </w:r>
            <w:r>
              <w:rPr>
                <w:rFonts w:ascii="宋体" w:hAnsi="宋体"/>
                <w:b/>
                <w:bCs/>
              </w:rPr>
              <w:t>年</w:t>
            </w:r>
            <w:r>
              <w:rPr>
                <w:rFonts w:hint="eastAsia" w:ascii="宋体" w:hAnsi="宋体"/>
                <w:b/>
                <w:bCs/>
              </w:rPr>
              <w:t xml:space="preserve">   月  日 上午</w:t>
            </w:r>
            <w:r>
              <w:rPr>
                <w:rFonts w:hint="eastAsia" w:ascii="宋体" w:hAnsi="宋体" w:cs="宋体"/>
                <w:kern w:val="0"/>
                <w:szCs w:val="21"/>
              </w:rPr>
              <w:t>XX</w:t>
            </w:r>
            <w:r>
              <w:rPr>
                <w:rFonts w:ascii="宋体" w:hAnsi="宋体"/>
                <w:b/>
                <w:bCs/>
              </w:rPr>
              <w:t>之前不得</w:t>
            </w:r>
            <w:r>
              <w:rPr>
                <w:rFonts w:hint="eastAsia" w:ascii="宋体" w:hAnsi="宋体"/>
                <w:b/>
                <w:bCs/>
                <w:lang w:val="en-US" w:eastAsia="zh-CN"/>
              </w:rPr>
              <w:t>开</w:t>
            </w:r>
            <w:r>
              <w:rPr>
                <w:rFonts w:ascii="宋体" w:hAnsi="宋体"/>
                <w:b/>
                <w:bCs/>
              </w:rPr>
              <w:t>启</w:t>
            </w:r>
          </w:p>
        </w:tc>
      </w:tr>
    </w:tbl>
    <w:p w14:paraId="66A0AE67">
      <w:pPr>
        <w:pStyle w:val="25"/>
        <w:rPr>
          <w:rFonts w:ascii="仿宋" w:hAnsi="仿宋" w:eastAsia="仿宋" w:cs="仿宋"/>
          <w:b/>
          <w:sz w:val="52"/>
          <w:szCs w:val="52"/>
        </w:rPr>
      </w:pPr>
    </w:p>
    <w:p w14:paraId="4ED449E5">
      <w:pPr>
        <w:pStyle w:val="13"/>
      </w:pPr>
    </w:p>
    <w:p w14:paraId="7DABA12A">
      <w:pPr>
        <w:jc w:val="center"/>
        <w:rPr>
          <w:rFonts w:hint="eastAsia" w:ascii="仿宋" w:hAnsi="仿宋" w:eastAsia="仿宋" w:cs="仿宋"/>
          <w:sz w:val="36"/>
          <w:szCs w:val="36"/>
          <w:lang w:eastAsia="zh-CN"/>
        </w:rPr>
      </w:pPr>
      <w:r>
        <w:rPr>
          <w:rFonts w:hint="eastAsia" w:ascii="仿宋" w:hAnsi="仿宋" w:eastAsia="仿宋" w:cs="仿宋"/>
          <w:b/>
          <w:bCs/>
          <w:sz w:val="36"/>
          <w:szCs w:val="36"/>
          <w:lang w:eastAsia="zh-CN"/>
        </w:rPr>
        <w:t>启迪冰雪项目三通一平土方清运采购项目二次</w:t>
      </w:r>
    </w:p>
    <w:p w14:paraId="0EA20757">
      <w:pPr>
        <w:pStyle w:val="25"/>
      </w:pPr>
    </w:p>
    <w:p w14:paraId="29A22E4C">
      <w:pPr>
        <w:pStyle w:val="25"/>
      </w:pPr>
    </w:p>
    <w:p w14:paraId="1FC1598D">
      <w:pPr>
        <w:pStyle w:val="25"/>
      </w:pPr>
    </w:p>
    <w:p w14:paraId="3013993C">
      <w:pPr>
        <w:spacing w:line="240" w:lineRule="atLeast"/>
        <w:ind w:left="1617" w:leftChars="770" w:firstLine="1591" w:firstLineChars="442"/>
        <w:rPr>
          <w:rFonts w:ascii="仿宋" w:hAnsi="仿宋" w:eastAsia="仿宋" w:cs="仿宋"/>
          <w:b/>
          <w:sz w:val="36"/>
          <w:szCs w:val="36"/>
        </w:rPr>
      </w:pPr>
      <w:r>
        <w:rPr>
          <w:rFonts w:hint="eastAsia" w:ascii="仿宋" w:hAnsi="仿宋" w:eastAsia="仿宋" w:cs="仿宋"/>
          <w:b/>
          <w:sz w:val="36"/>
          <w:szCs w:val="36"/>
        </w:rPr>
        <w:t>磋商文件</w:t>
      </w:r>
    </w:p>
    <w:p w14:paraId="5738774B">
      <w:pPr>
        <w:spacing w:line="240" w:lineRule="atLeast"/>
        <w:ind w:firstLine="1500" w:firstLineChars="500"/>
        <w:rPr>
          <w:rFonts w:ascii="仿宋" w:hAnsi="仿宋" w:eastAsia="仿宋" w:cs="仿宋"/>
          <w:b/>
          <w:sz w:val="30"/>
          <w:szCs w:val="30"/>
        </w:rPr>
      </w:pPr>
    </w:p>
    <w:p w14:paraId="5E4F3F1E">
      <w:pPr>
        <w:spacing w:line="240" w:lineRule="atLeast"/>
        <w:ind w:firstLine="1280" w:firstLineChars="400"/>
        <w:jc w:val="left"/>
        <w:rPr>
          <w:rFonts w:hint="default" w:ascii="仿宋" w:hAnsi="仿宋" w:eastAsia="仿宋" w:cs="仿宋"/>
          <w:b/>
          <w:sz w:val="32"/>
          <w:szCs w:val="32"/>
          <w:lang w:val="en-US" w:eastAsia="zh-CN"/>
        </w:rPr>
      </w:pPr>
      <w:r>
        <w:rPr>
          <w:rFonts w:hint="eastAsia" w:ascii="仿宋" w:hAnsi="仿宋" w:eastAsia="仿宋" w:cs="仿宋"/>
          <w:b/>
          <w:sz w:val="32"/>
          <w:szCs w:val="32"/>
        </w:rPr>
        <w:t>项目编号：KSJJKFQZFCG(CS)2025-05</w:t>
      </w:r>
      <w:r>
        <w:rPr>
          <w:rFonts w:hint="eastAsia" w:ascii="仿宋" w:hAnsi="仿宋" w:eastAsia="仿宋" w:cs="仿宋"/>
          <w:b/>
          <w:sz w:val="32"/>
          <w:szCs w:val="32"/>
          <w:lang w:val="en-US" w:eastAsia="zh-CN"/>
        </w:rPr>
        <w:t>-1</w:t>
      </w:r>
    </w:p>
    <w:p w14:paraId="19554F40">
      <w:pPr>
        <w:spacing w:line="240" w:lineRule="atLeast"/>
        <w:rPr>
          <w:rFonts w:ascii="仿宋" w:hAnsi="仿宋" w:eastAsia="仿宋" w:cs="仿宋"/>
          <w:b/>
          <w:sz w:val="28"/>
        </w:rPr>
      </w:pPr>
    </w:p>
    <w:p w14:paraId="5DDBE057">
      <w:pPr>
        <w:pStyle w:val="5"/>
        <w:rPr>
          <w:rFonts w:ascii="仿宋" w:hAnsi="仿宋" w:eastAsia="仿宋" w:cs="仿宋"/>
          <w:b/>
          <w:sz w:val="52"/>
          <w:szCs w:val="52"/>
        </w:rPr>
      </w:pPr>
    </w:p>
    <w:p w14:paraId="350C68ED">
      <w:pPr>
        <w:spacing w:line="240" w:lineRule="atLeast"/>
        <w:ind w:left="1617" w:leftChars="770" w:firstLine="1951" w:firstLineChars="542"/>
        <w:jc w:val="both"/>
        <w:rPr>
          <w:rFonts w:ascii="仿宋" w:hAnsi="仿宋" w:eastAsia="仿宋" w:cs="仿宋"/>
          <w:b/>
          <w:sz w:val="36"/>
          <w:szCs w:val="36"/>
        </w:rPr>
      </w:pPr>
      <w:r>
        <w:rPr>
          <w:rFonts w:hint="eastAsia" w:ascii="仿宋" w:hAnsi="仿宋" w:eastAsia="仿宋" w:cs="仿宋"/>
          <w:b/>
          <w:sz w:val="36"/>
          <w:szCs w:val="36"/>
        </w:rPr>
        <w:t>第二册</w:t>
      </w:r>
    </w:p>
    <w:p w14:paraId="7C323FDB">
      <w:pPr>
        <w:spacing w:line="240" w:lineRule="atLeast"/>
        <w:ind w:left="1079" w:leftChars="257" w:hanging="540"/>
        <w:rPr>
          <w:rFonts w:ascii="仿宋" w:hAnsi="仿宋" w:eastAsia="仿宋" w:cs="仿宋"/>
          <w:b/>
          <w:sz w:val="28"/>
        </w:rPr>
      </w:pPr>
    </w:p>
    <w:p w14:paraId="26793A34">
      <w:pPr>
        <w:pStyle w:val="25"/>
        <w:rPr>
          <w:rFonts w:ascii="仿宋" w:hAnsi="仿宋" w:eastAsia="仿宋" w:cs="仿宋"/>
        </w:rPr>
      </w:pPr>
    </w:p>
    <w:p w14:paraId="332C7552">
      <w:pPr>
        <w:spacing w:line="240" w:lineRule="atLeast"/>
        <w:ind w:left="1079" w:leftChars="257" w:hanging="540"/>
        <w:rPr>
          <w:rFonts w:ascii="仿宋" w:hAnsi="仿宋" w:eastAsia="仿宋" w:cs="仿宋"/>
          <w:b/>
          <w:sz w:val="28"/>
        </w:rPr>
      </w:pPr>
    </w:p>
    <w:p w14:paraId="2EB220F3">
      <w:pPr>
        <w:spacing w:line="240" w:lineRule="atLeast"/>
        <w:ind w:left="1079" w:leftChars="257" w:hanging="540"/>
        <w:rPr>
          <w:rFonts w:ascii="仿宋" w:hAnsi="仿宋" w:eastAsia="仿宋" w:cs="仿宋"/>
          <w:b/>
          <w:sz w:val="28"/>
        </w:rPr>
      </w:pPr>
    </w:p>
    <w:p w14:paraId="1ABD38C1">
      <w:pPr>
        <w:pStyle w:val="25"/>
        <w:rPr>
          <w:rFonts w:ascii="仿宋" w:hAnsi="仿宋" w:eastAsia="仿宋" w:cs="仿宋"/>
          <w:b/>
          <w:sz w:val="28"/>
        </w:rPr>
      </w:pPr>
    </w:p>
    <w:p w14:paraId="2A41BB56">
      <w:pPr>
        <w:pStyle w:val="25"/>
        <w:rPr>
          <w:rFonts w:ascii="仿宋" w:hAnsi="仿宋" w:eastAsia="仿宋" w:cs="仿宋"/>
          <w:b/>
          <w:sz w:val="28"/>
        </w:rPr>
      </w:pPr>
    </w:p>
    <w:p w14:paraId="3B10C622">
      <w:pPr>
        <w:pStyle w:val="25"/>
        <w:rPr>
          <w:rFonts w:ascii="仿宋" w:hAnsi="仿宋" w:eastAsia="仿宋" w:cs="仿宋"/>
          <w:b/>
          <w:sz w:val="28"/>
        </w:rPr>
      </w:pPr>
    </w:p>
    <w:p w14:paraId="38EE9B86">
      <w:pPr>
        <w:pStyle w:val="25"/>
        <w:rPr>
          <w:rFonts w:ascii="仿宋" w:hAnsi="仿宋" w:eastAsia="仿宋" w:cs="仿宋"/>
          <w:b/>
          <w:sz w:val="28"/>
        </w:rPr>
      </w:pPr>
    </w:p>
    <w:p w14:paraId="6F6F9FEF">
      <w:pPr>
        <w:pStyle w:val="25"/>
        <w:rPr>
          <w:rFonts w:ascii="仿宋" w:hAnsi="仿宋" w:eastAsia="仿宋" w:cs="仿宋"/>
          <w:b/>
          <w:sz w:val="28"/>
        </w:rPr>
      </w:pPr>
    </w:p>
    <w:p w14:paraId="4550E2C7">
      <w:pPr>
        <w:spacing w:line="240" w:lineRule="atLeast"/>
        <w:ind w:left="1079" w:leftChars="257" w:hanging="540"/>
        <w:rPr>
          <w:rFonts w:ascii="仿宋" w:hAnsi="仿宋" w:eastAsia="仿宋" w:cs="仿宋"/>
          <w:b/>
          <w:sz w:val="28"/>
        </w:rPr>
      </w:pPr>
    </w:p>
    <w:p w14:paraId="2AF26C7A">
      <w:pPr>
        <w:spacing w:line="240" w:lineRule="atLeast"/>
        <w:ind w:left="1079" w:leftChars="257" w:hanging="540"/>
        <w:jc w:val="center"/>
        <w:rPr>
          <w:rFonts w:ascii="仿宋" w:hAnsi="仿宋" w:eastAsia="仿宋" w:cs="仿宋"/>
          <w:b/>
          <w:sz w:val="52"/>
        </w:rPr>
      </w:pPr>
    </w:p>
    <w:p w14:paraId="70E8564B">
      <w:pPr>
        <w:pStyle w:val="25"/>
        <w:rPr>
          <w:rFonts w:ascii="仿宋" w:hAnsi="仿宋" w:eastAsia="仿宋" w:cs="仿宋"/>
        </w:rPr>
      </w:pPr>
    </w:p>
    <w:p w14:paraId="4B08BD2A">
      <w:pPr>
        <w:pStyle w:val="2"/>
        <w:keepNext w:val="0"/>
        <w:keepLines w:val="0"/>
        <w:widowControl/>
        <w:autoSpaceDE/>
        <w:autoSpaceDN/>
        <w:adjustRightInd/>
        <w:spacing w:line="240" w:lineRule="auto"/>
        <w:jc w:val="both"/>
        <w:rPr>
          <w:rFonts w:ascii="仿宋" w:hAnsi="仿宋" w:eastAsia="仿宋" w:cs="仿宋"/>
          <w:sz w:val="36"/>
          <w:szCs w:val="36"/>
        </w:rPr>
      </w:pPr>
      <w:bookmarkStart w:id="337" w:name="_Toc216582823"/>
      <w:bookmarkStart w:id="338" w:name="_Toc27138"/>
      <w:bookmarkStart w:id="339" w:name="_Toc10488"/>
      <w:bookmarkStart w:id="340" w:name="_Toc507399903"/>
      <w:bookmarkStart w:id="341" w:name="_Toc515647830"/>
      <w:bookmarkStart w:id="342" w:name="_Toc512937850"/>
      <w:bookmarkStart w:id="343" w:name="_Toc31583"/>
      <w:bookmarkStart w:id="344" w:name="_Toc16143"/>
    </w:p>
    <w:p w14:paraId="018C59B5"/>
    <w:p w14:paraId="5DF8D8D7">
      <w:pPr>
        <w:pStyle w:val="2"/>
        <w:keepNext w:val="0"/>
        <w:keepLines w:val="0"/>
        <w:widowControl/>
        <w:autoSpaceDE/>
        <w:autoSpaceDN/>
        <w:adjustRightInd/>
        <w:spacing w:line="240" w:lineRule="auto"/>
        <w:rPr>
          <w:rFonts w:ascii="仿宋" w:hAnsi="仿宋" w:eastAsia="仿宋" w:cs="仿宋"/>
          <w:sz w:val="36"/>
          <w:szCs w:val="36"/>
        </w:rPr>
      </w:pPr>
      <w:bookmarkStart w:id="345" w:name="_Toc20193"/>
      <w:r>
        <w:rPr>
          <w:rFonts w:hint="eastAsia" w:ascii="仿宋" w:hAnsi="仿宋" w:eastAsia="仿宋" w:cs="仿宋"/>
          <w:sz w:val="36"/>
          <w:szCs w:val="36"/>
        </w:rPr>
        <w:t>第三章公告</w:t>
      </w:r>
      <w:bookmarkEnd w:id="345"/>
    </w:p>
    <w:bookmarkEnd w:id="337"/>
    <w:bookmarkEnd w:id="338"/>
    <w:bookmarkEnd w:id="339"/>
    <w:bookmarkEnd w:id="340"/>
    <w:bookmarkEnd w:id="341"/>
    <w:bookmarkEnd w:id="342"/>
    <w:bookmarkEnd w:id="343"/>
    <w:bookmarkEnd w:id="344"/>
    <w:p w14:paraId="243E26B2">
      <w:pPr>
        <w:pStyle w:val="2"/>
        <w:keepNext w:val="0"/>
        <w:keepLines w:val="0"/>
        <w:widowControl/>
        <w:autoSpaceDE/>
        <w:autoSpaceDN/>
        <w:adjustRightInd/>
        <w:spacing w:before="0" w:after="0" w:line="240" w:lineRule="auto"/>
        <w:rPr>
          <w:rFonts w:hint="eastAsia" w:ascii="仿宋" w:hAnsi="仿宋" w:eastAsia="仿宋" w:cs="仿宋"/>
          <w:sz w:val="30"/>
          <w:szCs w:val="30"/>
          <w:lang w:eastAsia="zh-CN"/>
        </w:rPr>
      </w:pPr>
      <w:r>
        <w:rPr>
          <w:rFonts w:hint="eastAsia" w:ascii="仿宋" w:hAnsi="仿宋" w:eastAsia="仿宋" w:cs="仿宋"/>
          <w:sz w:val="30"/>
          <w:szCs w:val="30"/>
          <w:lang w:eastAsia="zh-CN"/>
        </w:rPr>
        <w:t>启迪冰雪项目三通一平土方清运采购项目二次</w:t>
      </w:r>
    </w:p>
    <w:p w14:paraId="1E67BB7E">
      <w:pPr>
        <w:pStyle w:val="2"/>
        <w:keepNext w:val="0"/>
        <w:keepLines w:val="0"/>
        <w:widowControl/>
        <w:autoSpaceDE/>
        <w:autoSpaceDN/>
        <w:adjustRightInd/>
        <w:spacing w:before="0" w:after="0" w:line="240" w:lineRule="auto"/>
      </w:pPr>
      <w:r>
        <w:rPr>
          <w:rFonts w:hint="eastAsia" w:ascii="仿宋" w:hAnsi="仿宋" w:eastAsia="仿宋" w:cs="仿宋"/>
          <w:sz w:val="30"/>
          <w:szCs w:val="30"/>
        </w:rPr>
        <w:t xml:space="preserve"> </w:t>
      </w:r>
      <w:bookmarkStart w:id="346" w:name="_Toc1431"/>
      <w:r>
        <w:rPr>
          <w:rFonts w:hint="eastAsia" w:ascii="仿宋" w:hAnsi="仿宋" w:eastAsia="仿宋" w:cs="仿宋"/>
          <w:sz w:val="30"/>
          <w:szCs w:val="30"/>
        </w:rPr>
        <w:t>竞争性磋商公告</w:t>
      </w:r>
      <w:bookmarkEnd w:id="346"/>
    </w:p>
    <w:tbl>
      <w:tblPr>
        <w:tblStyle w:val="35"/>
        <w:tblW w:w="8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0"/>
      </w:tblGrid>
      <w:tr w14:paraId="1A803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680" w:type="dxa"/>
          </w:tcPr>
          <w:p w14:paraId="19F75DAA">
            <w:pPr>
              <w:pStyle w:val="15"/>
              <w:spacing w:before="75" w:beforeAutospacing="0" w:after="75" w:afterAutospacing="0" w:line="420" w:lineRule="exact"/>
              <w:rPr>
                <w:rFonts w:ascii="仿宋" w:hAnsi="仿宋" w:eastAsia="仿宋" w:cs="仿宋"/>
              </w:rPr>
            </w:pPr>
            <w:r>
              <w:rPr>
                <w:rFonts w:hint="eastAsia" w:ascii="仿宋" w:hAnsi="仿宋" w:eastAsia="仿宋" w:cs="仿宋"/>
              </w:rPr>
              <w:t>项目概况</w:t>
            </w:r>
          </w:p>
          <w:p w14:paraId="042AA80D">
            <w:pPr>
              <w:pStyle w:val="15"/>
              <w:spacing w:before="75" w:beforeAutospacing="0" w:after="75" w:afterAutospacing="0" w:line="420" w:lineRule="exact"/>
              <w:ind w:firstLine="420"/>
              <w:rPr>
                <w:rFonts w:ascii="仿宋" w:hAnsi="仿宋" w:eastAsia="仿宋" w:cs="仿宋"/>
              </w:rPr>
            </w:pPr>
            <w:r>
              <w:fldChar w:fldCharType="begin"/>
            </w:r>
            <w:r>
              <w:instrText xml:space="preserve"> HYPERLINK "mailto:喀什地区消防救援支队食材采购项目的潜在供应商应在新疆喀什地区喀什经济开发区深喀大道浙商大厦14楼1402或项目负责人邮箱312382432@qq.com获取磋商" </w:instrText>
            </w:r>
            <w:r>
              <w:fldChar w:fldCharType="separate"/>
            </w:r>
            <w:r>
              <w:rPr>
                <w:rFonts w:hint="eastAsia" w:ascii="仿宋" w:hAnsi="仿宋" w:eastAsia="仿宋" w:cs="仿宋"/>
                <w:kern w:val="2"/>
                <w:lang w:eastAsia="zh-CN"/>
              </w:rPr>
              <w:t>启迪冰雪项目三通一平土方清运采购项目二次</w:t>
            </w:r>
            <w:r>
              <w:rPr>
                <w:rFonts w:hint="eastAsia" w:ascii="仿宋" w:hAnsi="仿宋" w:eastAsia="仿宋" w:cs="仿宋"/>
                <w:kern w:val="2"/>
              </w:rPr>
              <w:t>的潜在供应商应在新疆政府采购网获取</w:t>
            </w:r>
            <w:r>
              <w:rPr>
                <w:rFonts w:hint="eastAsia" w:ascii="仿宋" w:hAnsi="仿宋" w:eastAsia="仿宋" w:cs="仿宋"/>
                <w:kern w:val="2"/>
              </w:rPr>
              <w:fldChar w:fldCharType="end"/>
            </w:r>
            <w:r>
              <w:rPr>
                <w:rFonts w:hint="eastAsia" w:ascii="仿宋" w:hAnsi="仿宋" w:eastAsia="仿宋" w:cs="仿宋"/>
                <w:kern w:val="2"/>
              </w:rPr>
              <w:t>磋商件，并于202</w:t>
            </w:r>
            <w:r>
              <w:rPr>
                <w:rFonts w:hint="eastAsia" w:ascii="仿宋" w:hAnsi="仿宋" w:eastAsia="仿宋" w:cs="仿宋"/>
                <w:kern w:val="2"/>
                <w:lang w:val="en-US" w:eastAsia="zh-CN"/>
              </w:rPr>
              <w:t>5</w:t>
            </w:r>
            <w:r>
              <w:rPr>
                <w:rFonts w:hint="eastAsia" w:ascii="仿宋" w:hAnsi="仿宋" w:eastAsia="仿宋" w:cs="仿宋"/>
                <w:kern w:val="2"/>
              </w:rPr>
              <w:t>年</w:t>
            </w:r>
            <w:r>
              <w:rPr>
                <w:rFonts w:hint="eastAsia" w:ascii="仿宋" w:hAnsi="仿宋" w:eastAsia="仿宋" w:cs="仿宋"/>
                <w:kern w:val="2"/>
                <w:lang w:val="en-US" w:eastAsia="zh-CN"/>
              </w:rPr>
              <w:t>4</w:t>
            </w:r>
            <w:r>
              <w:rPr>
                <w:rFonts w:hint="eastAsia" w:ascii="仿宋" w:hAnsi="仿宋" w:eastAsia="仿宋" w:cs="仿宋"/>
                <w:kern w:val="2"/>
              </w:rPr>
              <w:t>月</w:t>
            </w:r>
            <w:r>
              <w:rPr>
                <w:rFonts w:hint="eastAsia" w:ascii="仿宋" w:hAnsi="仿宋" w:eastAsia="仿宋" w:cs="仿宋"/>
                <w:kern w:val="2"/>
                <w:lang w:val="en-US" w:eastAsia="zh-CN"/>
              </w:rPr>
              <w:t>1</w:t>
            </w:r>
            <w:r>
              <w:rPr>
                <w:rFonts w:hint="eastAsia" w:ascii="仿宋" w:hAnsi="仿宋" w:eastAsia="仿宋" w:cs="仿宋"/>
                <w:kern w:val="2"/>
              </w:rPr>
              <w:t>日 1</w:t>
            </w:r>
            <w:r>
              <w:rPr>
                <w:rFonts w:hint="eastAsia" w:ascii="仿宋" w:hAnsi="仿宋" w:eastAsia="仿宋" w:cs="仿宋"/>
                <w:kern w:val="2"/>
                <w:lang w:val="en-US" w:eastAsia="zh-CN"/>
              </w:rPr>
              <w:t>5</w:t>
            </w:r>
            <w:r>
              <w:rPr>
                <w:rFonts w:hint="eastAsia" w:ascii="仿宋" w:hAnsi="仿宋" w:eastAsia="仿宋" w:cs="仿宋"/>
                <w:kern w:val="2"/>
              </w:rPr>
              <w:t>点</w:t>
            </w:r>
            <w:r>
              <w:rPr>
                <w:rFonts w:hint="eastAsia" w:ascii="仿宋" w:hAnsi="仿宋" w:eastAsia="仿宋" w:cs="仿宋"/>
                <w:kern w:val="2"/>
                <w:lang w:val="en-US" w:eastAsia="zh-CN"/>
              </w:rPr>
              <w:t>3</w:t>
            </w:r>
            <w:r>
              <w:rPr>
                <w:rFonts w:hint="eastAsia" w:ascii="仿宋" w:hAnsi="仿宋" w:eastAsia="仿宋" w:cs="仿宋"/>
                <w:kern w:val="2"/>
              </w:rPr>
              <w:t>0分前递交响应文件。</w:t>
            </w:r>
          </w:p>
        </w:tc>
      </w:tr>
    </w:tbl>
    <w:p w14:paraId="1663EAA7">
      <w:pPr>
        <w:spacing w:line="400" w:lineRule="exact"/>
        <w:rPr>
          <w:rStyle w:val="37"/>
          <w:rFonts w:ascii="仿宋" w:hAnsi="仿宋" w:eastAsia="仿宋" w:cs="仿宋"/>
          <w:kern w:val="0"/>
          <w:sz w:val="24"/>
        </w:rPr>
      </w:pPr>
      <w:r>
        <w:rPr>
          <w:rStyle w:val="37"/>
          <w:rFonts w:hint="eastAsia" w:ascii="仿宋" w:hAnsi="仿宋" w:eastAsia="仿宋" w:cs="仿宋"/>
          <w:kern w:val="0"/>
          <w:sz w:val="24"/>
        </w:rPr>
        <w:t>一、项目基本情况</w:t>
      </w:r>
    </w:p>
    <w:p w14:paraId="4F41E4B4">
      <w:pPr>
        <w:spacing w:line="400" w:lineRule="exact"/>
        <w:ind w:left="558" w:leftChars="266"/>
        <w:rPr>
          <w:rFonts w:hint="default" w:ascii="仿宋" w:hAnsi="仿宋" w:eastAsia="仿宋" w:cs="仿宋"/>
          <w:sz w:val="24"/>
          <w:lang w:val="en-US" w:eastAsia="zh-CN"/>
        </w:rPr>
      </w:pPr>
      <w:r>
        <w:rPr>
          <w:rFonts w:hint="eastAsia" w:ascii="仿宋" w:hAnsi="仿宋" w:eastAsia="仿宋" w:cs="仿宋"/>
          <w:sz w:val="24"/>
        </w:rPr>
        <w:t>项目编号：KSJJKFQZFCG(CS)2025-05</w:t>
      </w:r>
      <w:r>
        <w:rPr>
          <w:rFonts w:hint="eastAsia" w:ascii="仿宋" w:hAnsi="仿宋" w:eastAsia="仿宋" w:cs="仿宋"/>
          <w:sz w:val="24"/>
          <w:lang w:val="en-US" w:eastAsia="zh-CN"/>
        </w:rPr>
        <w:t>-1</w:t>
      </w:r>
    </w:p>
    <w:p w14:paraId="7CCBA75E">
      <w:pPr>
        <w:spacing w:line="400" w:lineRule="exact"/>
        <w:ind w:left="558" w:leftChars="266"/>
        <w:rPr>
          <w:rFonts w:hint="eastAsia" w:ascii="仿宋" w:hAnsi="仿宋" w:eastAsia="仿宋" w:cs="仿宋"/>
          <w:sz w:val="24"/>
          <w:lang w:eastAsia="zh-CN"/>
        </w:rPr>
      </w:pPr>
      <w:r>
        <w:rPr>
          <w:rFonts w:hint="eastAsia" w:ascii="仿宋" w:hAnsi="仿宋" w:eastAsia="仿宋" w:cs="仿宋"/>
          <w:sz w:val="24"/>
        </w:rPr>
        <w:t>项目名称：</w:t>
      </w:r>
      <w:r>
        <w:rPr>
          <w:rFonts w:hint="eastAsia" w:ascii="仿宋" w:hAnsi="仿宋" w:eastAsia="仿宋" w:cs="仿宋"/>
          <w:sz w:val="24"/>
          <w:lang w:eastAsia="zh-CN"/>
        </w:rPr>
        <w:t>启迪冰雪项目三通一平土方清运采购项目二次</w:t>
      </w:r>
    </w:p>
    <w:p w14:paraId="61CA8CEA">
      <w:pPr>
        <w:spacing w:line="400" w:lineRule="exact"/>
        <w:ind w:left="558" w:leftChars="266"/>
        <w:rPr>
          <w:rFonts w:ascii="仿宋" w:hAnsi="仿宋" w:eastAsia="仿宋" w:cs="仿宋"/>
          <w:sz w:val="24"/>
        </w:rPr>
      </w:pPr>
      <w:r>
        <w:rPr>
          <w:rFonts w:hint="eastAsia" w:ascii="仿宋" w:hAnsi="仿宋" w:eastAsia="仿宋" w:cs="仿宋"/>
          <w:sz w:val="24"/>
        </w:rPr>
        <w:t>采购方式：竞争性磋商</w:t>
      </w:r>
    </w:p>
    <w:p w14:paraId="53BD746C">
      <w:pPr>
        <w:spacing w:line="400" w:lineRule="exact"/>
        <w:ind w:left="558" w:leftChars="266"/>
        <w:rPr>
          <w:rFonts w:ascii="仿宋" w:hAnsi="仿宋" w:eastAsia="仿宋" w:cs="仿宋"/>
          <w:sz w:val="24"/>
        </w:rPr>
      </w:pPr>
      <w:r>
        <w:rPr>
          <w:rFonts w:hint="eastAsia" w:ascii="仿宋" w:hAnsi="仿宋" w:eastAsia="仿宋" w:cs="仿宋"/>
          <w:sz w:val="24"/>
        </w:rPr>
        <w:t>预算金额（元）：</w:t>
      </w:r>
      <w:r>
        <w:rPr>
          <w:rFonts w:hint="eastAsia" w:ascii="仿宋" w:hAnsi="仿宋" w:eastAsia="仿宋" w:cs="仿宋"/>
          <w:sz w:val="24"/>
          <w:lang w:eastAsia="zh-CN"/>
        </w:rPr>
        <w:t>1500000.00</w:t>
      </w:r>
    </w:p>
    <w:p w14:paraId="40981A73">
      <w:pPr>
        <w:spacing w:line="400" w:lineRule="exact"/>
        <w:ind w:left="558" w:leftChars="266"/>
        <w:rPr>
          <w:rFonts w:ascii="仿宋" w:hAnsi="仿宋" w:eastAsia="仿宋" w:cs="仿宋"/>
          <w:sz w:val="24"/>
        </w:rPr>
      </w:pPr>
      <w:r>
        <w:rPr>
          <w:rFonts w:hint="eastAsia" w:ascii="仿宋" w:hAnsi="仿宋" w:eastAsia="仿宋" w:cs="仿宋"/>
          <w:sz w:val="24"/>
        </w:rPr>
        <w:t>最高限价（元）：</w:t>
      </w:r>
      <w:r>
        <w:rPr>
          <w:rFonts w:hint="eastAsia" w:ascii="仿宋" w:hAnsi="仿宋" w:eastAsia="仿宋" w:cs="仿宋"/>
          <w:sz w:val="24"/>
          <w:lang w:eastAsia="zh-CN"/>
        </w:rPr>
        <w:t>1500000.00</w:t>
      </w:r>
    </w:p>
    <w:p w14:paraId="2A2C8BD0">
      <w:pPr>
        <w:spacing w:line="400" w:lineRule="exact"/>
        <w:ind w:left="558" w:leftChars="266"/>
        <w:rPr>
          <w:rFonts w:ascii="仿宋" w:hAnsi="仿宋" w:eastAsia="仿宋" w:cs="仿宋"/>
          <w:sz w:val="24"/>
        </w:rPr>
      </w:pPr>
      <w:r>
        <w:rPr>
          <w:rFonts w:hint="eastAsia" w:ascii="仿宋" w:hAnsi="仿宋" w:eastAsia="仿宋" w:cs="仿宋"/>
          <w:sz w:val="24"/>
        </w:rPr>
        <w:t>采购需求：</w:t>
      </w:r>
    </w:p>
    <w:p w14:paraId="0936C8A4">
      <w:pPr>
        <w:spacing w:line="400" w:lineRule="exact"/>
        <w:ind w:left="558" w:leftChars="266"/>
        <w:rPr>
          <w:rFonts w:ascii="仿宋" w:hAnsi="仿宋" w:eastAsia="仿宋" w:cs="仿宋"/>
          <w:sz w:val="24"/>
        </w:rPr>
      </w:pPr>
      <w:r>
        <w:rPr>
          <w:rFonts w:hint="eastAsia" w:ascii="仿宋" w:hAnsi="仿宋" w:eastAsia="仿宋" w:cs="仿宋"/>
          <w:sz w:val="24"/>
        </w:rPr>
        <w:t>标项一:</w:t>
      </w:r>
      <w:r>
        <w:rPr>
          <w:rFonts w:hint="eastAsia" w:ascii="仿宋" w:hAnsi="仿宋" w:eastAsia="仿宋" w:cs="仿宋"/>
          <w:sz w:val="24"/>
        </w:rPr>
        <w:br w:type="textWrapping"/>
      </w:r>
      <w:r>
        <w:rPr>
          <w:rFonts w:hint="eastAsia" w:ascii="仿宋" w:hAnsi="仿宋" w:eastAsia="仿宋" w:cs="仿宋"/>
          <w:sz w:val="24"/>
        </w:rPr>
        <w:t>标项名称:</w:t>
      </w:r>
      <w:r>
        <w:rPr>
          <w:rFonts w:hint="eastAsia" w:ascii="仿宋" w:hAnsi="仿宋" w:eastAsia="仿宋" w:cs="仿宋"/>
          <w:sz w:val="24"/>
          <w:lang w:eastAsia="zh-CN"/>
        </w:rPr>
        <w:t>启迪冰雪项目三通一平土方清运采购项目二次</w:t>
      </w:r>
    </w:p>
    <w:p w14:paraId="24B721CE">
      <w:pPr>
        <w:spacing w:line="400" w:lineRule="exact"/>
        <w:ind w:left="558" w:leftChars="266"/>
        <w:rPr>
          <w:rFonts w:ascii="仿宋" w:hAnsi="仿宋" w:eastAsia="仿宋" w:cs="仿宋"/>
          <w:sz w:val="24"/>
        </w:rPr>
      </w:pPr>
      <w:r>
        <w:rPr>
          <w:rFonts w:hint="eastAsia" w:ascii="仿宋" w:hAnsi="仿宋" w:eastAsia="仿宋" w:cs="仿宋"/>
          <w:sz w:val="24"/>
        </w:rPr>
        <w:t>数量:1</w:t>
      </w:r>
    </w:p>
    <w:p w14:paraId="20153AD6">
      <w:pPr>
        <w:spacing w:line="400" w:lineRule="exact"/>
        <w:ind w:left="558" w:leftChars="266"/>
        <w:rPr>
          <w:rFonts w:ascii="仿宋" w:hAnsi="仿宋" w:eastAsia="仿宋" w:cs="仿宋"/>
          <w:sz w:val="24"/>
        </w:rPr>
      </w:pPr>
      <w:r>
        <w:rPr>
          <w:rFonts w:hint="eastAsia" w:ascii="仿宋" w:hAnsi="仿宋" w:eastAsia="仿宋" w:cs="仿宋"/>
          <w:sz w:val="24"/>
        </w:rPr>
        <w:t>预算金额（元）:</w:t>
      </w:r>
      <w:r>
        <w:rPr>
          <w:rFonts w:hint="eastAsia" w:ascii="仿宋" w:hAnsi="仿宋" w:eastAsia="仿宋" w:cs="仿宋"/>
          <w:sz w:val="24"/>
          <w:lang w:eastAsia="zh-CN"/>
        </w:rPr>
        <w:t>1500000.00</w:t>
      </w:r>
    </w:p>
    <w:p w14:paraId="58B16FA9">
      <w:pPr>
        <w:pStyle w:val="15"/>
        <w:spacing w:before="75" w:beforeAutospacing="0" w:after="75" w:afterAutospacing="0" w:line="300" w:lineRule="atLeast"/>
        <w:ind w:left="537" w:leftChars="256"/>
        <w:rPr>
          <w:rFonts w:ascii="仿宋" w:hAnsi="仿宋" w:eastAsia="仿宋" w:cs="仿宋"/>
        </w:rPr>
      </w:pPr>
      <w:r>
        <w:rPr>
          <w:rFonts w:hint="eastAsia" w:ascii="仿宋" w:hAnsi="仿宋" w:eastAsia="仿宋" w:cs="仿宋"/>
        </w:rPr>
        <w:t>简要规格描述：土石方运输服务；具体要求详见磋商文件。</w:t>
      </w:r>
    </w:p>
    <w:p w14:paraId="2BD87B5E">
      <w:pPr>
        <w:spacing w:line="400" w:lineRule="exact"/>
        <w:ind w:left="558" w:leftChars="266"/>
        <w:rPr>
          <w:rFonts w:hint="eastAsia" w:ascii="仿宋" w:hAnsi="仿宋" w:eastAsia="仿宋" w:cs="仿宋"/>
          <w:sz w:val="24"/>
        </w:rPr>
      </w:pPr>
    </w:p>
    <w:p w14:paraId="2BF927B6">
      <w:pPr>
        <w:spacing w:line="400" w:lineRule="exact"/>
        <w:ind w:left="558" w:leftChars="266"/>
        <w:rPr>
          <w:rFonts w:ascii="仿宋" w:hAnsi="仿宋" w:eastAsia="仿宋" w:cs="仿宋"/>
          <w:sz w:val="24"/>
        </w:rPr>
      </w:pPr>
      <w:r>
        <w:rPr>
          <w:rFonts w:hint="eastAsia" w:ascii="仿宋" w:hAnsi="仿宋" w:eastAsia="仿宋" w:cs="仿宋"/>
          <w:sz w:val="24"/>
        </w:rPr>
        <w:t>合同履约期限：合同签订之日起服务期</w:t>
      </w:r>
      <w:r>
        <w:rPr>
          <w:rFonts w:hint="eastAsia" w:ascii="仿宋" w:hAnsi="仿宋" w:eastAsia="仿宋" w:cs="仿宋"/>
          <w:sz w:val="24"/>
          <w:lang w:val="en-US" w:eastAsia="zh-CN"/>
        </w:rPr>
        <w:t>14</w:t>
      </w:r>
      <w:r>
        <w:rPr>
          <w:rFonts w:hint="eastAsia" w:ascii="仿宋" w:hAnsi="仿宋" w:eastAsia="仿宋" w:cs="仿宋"/>
          <w:sz w:val="24"/>
        </w:rPr>
        <w:t>天。</w:t>
      </w:r>
    </w:p>
    <w:p w14:paraId="0C59C2F6">
      <w:pPr>
        <w:spacing w:line="400" w:lineRule="exact"/>
        <w:ind w:firstLine="480" w:firstLineChars="200"/>
        <w:rPr>
          <w:rFonts w:ascii="仿宋" w:hAnsi="仿宋" w:eastAsia="仿宋" w:cs="仿宋"/>
          <w:sz w:val="24"/>
        </w:rPr>
      </w:pPr>
      <w:r>
        <w:rPr>
          <w:rFonts w:hint="eastAsia" w:ascii="仿宋" w:hAnsi="仿宋" w:eastAsia="仿宋" w:cs="仿宋"/>
          <w:sz w:val="24"/>
        </w:rPr>
        <w:t>本项目（否）接受联合体投标。</w:t>
      </w:r>
    </w:p>
    <w:p w14:paraId="4F5AEC99">
      <w:pPr>
        <w:pStyle w:val="15"/>
        <w:spacing w:before="75" w:beforeAutospacing="0" w:after="75" w:afterAutospacing="0" w:line="420" w:lineRule="exact"/>
        <w:rPr>
          <w:rFonts w:ascii="仿宋" w:hAnsi="仿宋" w:eastAsia="仿宋" w:cs="仿宋"/>
        </w:rPr>
      </w:pPr>
      <w:r>
        <w:rPr>
          <w:rStyle w:val="37"/>
          <w:rFonts w:hint="eastAsia" w:ascii="仿宋" w:hAnsi="仿宋" w:eastAsia="仿宋" w:cs="仿宋"/>
        </w:rPr>
        <w:t>二、申请人的资格要求：</w:t>
      </w:r>
    </w:p>
    <w:p w14:paraId="5F456E9E">
      <w:pPr>
        <w:pStyle w:val="15"/>
        <w:spacing w:before="75" w:beforeAutospacing="0" w:after="75" w:afterAutospacing="0" w:line="420" w:lineRule="exact"/>
        <w:rPr>
          <w:rFonts w:ascii="仿宋" w:hAnsi="仿宋" w:eastAsia="仿宋" w:cs="仿宋"/>
        </w:rPr>
      </w:pPr>
      <w:r>
        <w:rPr>
          <w:rFonts w:hint="eastAsia" w:ascii="仿宋" w:hAnsi="仿宋" w:eastAsia="仿宋" w:cs="仿宋"/>
        </w:rPr>
        <w:t>1.满足《中华人民共和国政府采购法》第二十二条规定；</w:t>
      </w:r>
    </w:p>
    <w:p w14:paraId="1D1C449B">
      <w:pPr>
        <w:pStyle w:val="15"/>
        <w:spacing w:before="75" w:beforeAutospacing="0" w:after="75" w:afterAutospacing="0" w:line="420" w:lineRule="exact"/>
        <w:rPr>
          <w:rFonts w:ascii="仿宋" w:hAnsi="仿宋" w:eastAsia="仿宋" w:cs="仿宋"/>
        </w:rPr>
      </w:pPr>
      <w:r>
        <w:rPr>
          <w:rFonts w:hint="eastAsia" w:ascii="仿宋" w:hAnsi="仿宋" w:eastAsia="仿宋" w:cs="仿宋"/>
        </w:rPr>
        <w:t>2.落实政府采购政策需满足的资格要求：</w:t>
      </w:r>
      <w:r>
        <w:rPr>
          <w:rFonts w:hint="eastAsia" w:ascii="仿宋" w:hAnsi="仿宋" w:eastAsia="仿宋"/>
          <w:lang w:val="zh-CN"/>
        </w:rPr>
        <w:t>供应商为中小</w:t>
      </w:r>
      <w:r>
        <w:rPr>
          <w:rFonts w:hint="eastAsia" w:ascii="仿宋" w:hAnsi="仿宋" w:eastAsia="仿宋"/>
        </w:rPr>
        <w:t>微</w:t>
      </w:r>
      <w:r>
        <w:rPr>
          <w:rFonts w:hint="eastAsia" w:ascii="仿宋" w:hAnsi="仿宋" w:eastAsia="仿宋"/>
          <w:lang w:val="zh-CN"/>
        </w:rPr>
        <w:t>企业；</w:t>
      </w:r>
    </w:p>
    <w:p w14:paraId="342F7AE2">
      <w:pPr>
        <w:widowControl/>
        <w:spacing w:line="420" w:lineRule="exact"/>
        <w:rPr>
          <w:rFonts w:ascii="仿宋" w:hAnsi="仿宋" w:eastAsia="仿宋" w:cs="仿宋"/>
          <w:sz w:val="24"/>
        </w:rPr>
      </w:pPr>
      <w:r>
        <w:rPr>
          <w:rFonts w:hint="eastAsia" w:ascii="仿宋" w:hAnsi="仿宋" w:eastAsia="仿宋" w:cs="仿宋"/>
          <w:sz w:val="24"/>
        </w:rPr>
        <w:t>3.本项目的特定资格要求：</w:t>
      </w:r>
    </w:p>
    <w:p w14:paraId="559B849B">
      <w:pPr>
        <w:pStyle w:val="15"/>
        <w:spacing w:before="75" w:beforeAutospacing="0" w:after="75" w:afterAutospacing="0" w:line="42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val="zh-CN"/>
        </w:rPr>
        <w:t>）【市政公用工程施工总承包三级】（含三级）以上资质企业；并在人员、设备、资金等方面具有相应的施工能力；</w:t>
      </w:r>
    </w:p>
    <w:p w14:paraId="708948A8">
      <w:pPr>
        <w:pStyle w:val="15"/>
        <w:spacing w:before="75" w:beforeAutospacing="0" w:after="75" w:afterAutospacing="0" w:line="420" w:lineRule="exact"/>
        <w:rPr>
          <w:rFonts w:hint="eastAsia" w:ascii="仿宋" w:hAnsi="仿宋" w:eastAsia="仿宋" w:cs="仿宋"/>
          <w:color w:val="auto"/>
          <w:highlight w:val="none"/>
        </w:rPr>
      </w:pPr>
      <w:r>
        <w:rPr>
          <w:rFonts w:hint="eastAsia" w:ascii="仿宋" w:hAnsi="仿宋" w:eastAsia="仿宋" w:cs="仿宋"/>
          <w:color w:val="auto"/>
          <w:highlight w:val="none"/>
          <w:lang w:val="zh-CN"/>
        </w:rPr>
        <w:t>（</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val="zh-CN"/>
        </w:rPr>
        <w:t>）拟派项目经理具备【市政公用工程二级】（含二级）以上注册建造师执业资格及有效的安全生产考核合格证</w:t>
      </w:r>
      <w:r>
        <w:rPr>
          <w:rFonts w:hint="eastAsia" w:ascii="仿宋" w:hAnsi="仿宋" w:eastAsia="仿宋" w:cs="仿宋"/>
          <w:color w:val="auto"/>
          <w:highlight w:val="none"/>
          <w:lang w:val="en-US" w:eastAsia="zh-CN"/>
        </w:rPr>
        <w:t>B证</w:t>
      </w:r>
      <w:r>
        <w:rPr>
          <w:rFonts w:hint="eastAsia" w:ascii="仿宋" w:hAnsi="仿宋" w:eastAsia="仿宋" w:cs="仿宋"/>
          <w:color w:val="auto"/>
          <w:highlight w:val="none"/>
          <w:lang w:val="zh-CN"/>
        </w:rPr>
        <w:t>；</w:t>
      </w:r>
    </w:p>
    <w:p w14:paraId="3A18EA7B">
      <w:pPr>
        <w:spacing w:line="380" w:lineRule="exact"/>
        <w:rPr>
          <w:rFonts w:ascii="仿宋" w:hAnsi="仿宋" w:eastAsia="仿宋" w:cs="仿宋"/>
          <w:sz w:val="24"/>
        </w:rPr>
      </w:pPr>
      <w:r>
        <w:rPr>
          <w:rStyle w:val="37"/>
          <w:rFonts w:hint="eastAsia" w:ascii="仿宋" w:hAnsi="仿宋" w:eastAsia="仿宋" w:cs="仿宋"/>
          <w:sz w:val="24"/>
        </w:rPr>
        <w:t>三、获取磋商文件</w:t>
      </w:r>
    </w:p>
    <w:p w14:paraId="76757003">
      <w:pPr>
        <w:pStyle w:val="15"/>
        <w:spacing w:before="75" w:beforeAutospacing="0" w:after="75" w:afterAutospacing="0" w:line="420" w:lineRule="exact"/>
        <w:ind w:firstLine="420"/>
        <w:rPr>
          <w:rFonts w:ascii="仿宋" w:hAnsi="仿宋" w:eastAsia="仿宋" w:cs="仿宋"/>
          <w:lang w:bidi="ar"/>
        </w:rPr>
      </w:pPr>
      <w:r>
        <w:rPr>
          <w:rFonts w:hint="eastAsia" w:ascii="仿宋" w:hAnsi="仿宋" w:eastAsia="仿宋" w:cs="仿宋"/>
          <w:lang w:bidi="ar"/>
        </w:rPr>
        <w:t>时间：202</w:t>
      </w:r>
      <w:r>
        <w:rPr>
          <w:rFonts w:hint="eastAsia" w:ascii="仿宋" w:hAnsi="仿宋" w:eastAsia="仿宋" w:cs="仿宋"/>
          <w:lang w:val="en-US" w:eastAsia="zh-CN" w:bidi="ar"/>
        </w:rPr>
        <w:t>5</w:t>
      </w:r>
      <w:r>
        <w:rPr>
          <w:rFonts w:hint="eastAsia" w:ascii="仿宋" w:hAnsi="仿宋" w:eastAsia="仿宋" w:cs="仿宋"/>
          <w:lang w:bidi="ar"/>
        </w:rPr>
        <w:t>年</w:t>
      </w:r>
      <w:r>
        <w:rPr>
          <w:rFonts w:hint="eastAsia" w:ascii="仿宋" w:hAnsi="仿宋" w:eastAsia="仿宋" w:cs="仿宋"/>
          <w:lang w:val="en-US" w:eastAsia="zh-CN" w:bidi="ar"/>
        </w:rPr>
        <w:t>3</w:t>
      </w:r>
      <w:r>
        <w:rPr>
          <w:rFonts w:hint="eastAsia" w:ascii="仿宋" w:hAnsi="仿宋" w:eastAsia="仿宋" w:cs="仿宋"/>
          <w:lang w:bidi="ar"/>
        </w:rPr>
        <w:t>月</w:t>
      </w:r>
      <w:r>
        <w:rPr>
          <w:rFonts w:hint="eastAsia" w:ascii="仿宋" w:hAnsi="仿宋" w:eastAsia="仿宋" w:cs="仿宋"/>
          <w:lang w:val="en-US" w:eastAsia="zh-CN" w:bidi="ar"/>
        </w:rPr>
        <w:t>19</w:t>
      </w:r>
      <w:r>
        <w:rPr>
          <w:rFonts w:hint="eastAsia" w:ascii="仿宋" w:hAnsi="仿宋" w:eastAsia="仿宋" w:cs="仿宋"/>
          <w:lang w:bidi="ar"/>
        </w:rPr>
        <w:t>日至202</w:t>
      </w:r>
      <w:r>
        <w:rPr>
          <w:rFonts w:hint="eastAsia" w:ascii="仿宋" w:hAnsi="仿宋" w:eastAsia="仿宋" w:cs="仿宋"/>
          <w:lang w:val="en-US" w:eastAsia="zh-CN" w:bidi="ar"/>
        </w:rPr>
        <w:t>5</w:t>
      </w:r>
      <w:r>
        <w:rPr>
          <w:rFonts w:hint="eastAsia" w:ascii="仿宋" w:hAnsi="仿宋" w:eastAsia="仿宋" w:cs="仿宋"/>
          <w:lang w:bidi="ar"/>
        </w:rPr>
        <w:t>年</w:t>
      </w:r>
      <w:r>
        <w:rPr>
          <w:rFonts w:hint="eastAsia" w:ascii="仿宋" w:hAnsi="仿宋" w:eastAsia="仿宋" w:cs="仿宋"/>
          <w:lang w:val="en-US" w:eastAsia="zh-CN" w:bidi="ar"/>
        </w:rPr>
        <w:t>3</w:t>
      </w:r>
      <w:r>
        <w:rPr>
          <w:rFonts w:hint="eastAsia" w:ascii="仿宋" w:hAnsi="仿宋" w:eastAsia="仿宋" w:cs="仿宋"/>
          <w:lang w:bidi="ar"/>
        </w:rPr>
        <w:t>月</w:t>
      </w:r>
      <w:r>
        <w:rPr>
          <w:rFonts w:hint="eastAsia" w:ascii="仿宋" w:hAnsi="仿宋" w:eastAsia="仿宋" w:cs="仿宋"/>
          <w:lang w:val="en-US" w:eastAsia="zh-CN" w:bidi="ar"/>
        </w:rPr>
        <w:t>28</w:t>
      </w:r>
      <w:r>
        <w:rPr>
          <w:rFonts w:hint="eastAsia" w:ascii="仿宋" w:hAnsi="仿宋" w:eastAsia="仿宋" w:cs="仿宋"/>
          <w:lang w:bidi="ar"/>
        </w:rPr>
        <w:t>日，每天上午</w:t>
      </w:r>
      <w:r>
        <w:rPr>
          <w:rFonts w:hint="eastAsia" w:ascii="仿宋" w:hAnsi="仿宋" w:eastAsia="仿宋" w:cs="仿宋"/>
          <w:lang w:val="en-US" w:eastAsia="zh-CN" w:bidi="ar"/>
        </w:rPr>
        <w:t>0</w:t>
      </w:r>
      <w:r>
        <w:rPr>
          <w:rFonts w:hint="eastAsia" w:ascii="仿宋" w:hAnsi="仿宋" w:eastAsia="仿宋" w:cs="仿宋"/>
          <w:lang w:bidi="ar"/>
        </w:rPr>
        <w:t>0:00至14:00，下午</w:t>
      </w:r>
      <w:r>
        <w:rPr>
          <w:rFonts w:hint="eastAsia" w:ascii="仿宋" w:hAnsi="仿宋" w:eastAsia="仿宋" w:cs="仿宋"/>
          <w:lang w:val="en-US" w:eastAsia="zh-CN" w:bidi="ar"/>
        </w:rPr>
        <w:t>14</w:t>
      </w:r>
      <w:r>
        <w:rPr>
          <w:rFonts w:hint="eastAsia" w:ascii="仿宋" w:hAnsi="仿宋" w:eastAsia="仿宋" w:cs="仿宋"/>
          <w:lang w:bidi="ar"/>
        </w:rPr>
        <w:t>:</w:t>
      </w:r>
      <w:r>
        <w:rPr>
          <w:rFonts w:hint="eastAsia" w:ascii="仿宋" w:hAnsi="仿宋" w:eastAsia="仿宋" w:cs="仿宋"/>
          <w:lang w:val="en-US" w:eastAsia="zh-CN" w:bidi="ar"/>
        </w:rPr>
        <w:t>00</w:t>
      </w:r>
      <w:r>
        <w:rPr>
          <w:rFonts w:hint="eastAsia" w:ascii="仿宋" w:hAnsi="仿宋" w:eastAsia="仿宋" w:cs="仿宋"/>
          <w:lang w:bidi="ar"/>
        </w:rPr>
        <w:t>至</w:t>
      </w:r>
      <w:r>
        <w:rPr>
          <w:rFonts w:hint="eastAsia" w:ascii="仿宋" w:hAnsi="仿宋" w:eastAsia="仿宋" w:cs="仿宋"/>
          <w:lang w:val="en-US" w:eastAsia="zh-CN" w:bidi="ar"/>
        </w:rPr>
        <w:t>23</w:t>
      </w:r>
      <w:r>
        <w:rPr>
          <w:rFonts w:hint="eastAsia" w:ascii="仿宋" w:hAnsi="仿宋" w:eastAsia="仿宋" w:cs="仿宋"/>
          <w:lang w:bidi="ar"/>
        </w:rPr>
        <w:t>:</w:t>
      </w:r>
      <w:r>
        <w:rPr>
          <w:rFonts w:hint="eastAsia" w:ascii="仿宋" w:hAnsi="仿宋" w:eastAsia="仿宋" w:cs="仿宋"/>
          <w:lang w:val="en-US" w:eastAsia="zh-CN" w:bidi="ar"/>
        </w:rPr>
        <w:t>59</w:t>
      </w:r>
      <w:r>
        <w:rPr>
          <w:rFonts w:hint="eastAsia" w:ascii="仿宋" w:hAnsi="仿宋" w:eastAsia="仿宋" w:cs="仿宋"/>
          <w:lang w:bidi="ar"/>
        </w:rPr>
        <w:t>（法定节假日除外）</w:t>
      </w:r>
    </w:p>
    <w:p w14:paraId="21B5EB03">
      <w:pPr>
        <w:widowControl/>
        <w:spacing w:before="75" w:after="75" w:line="360" w:lineRule="auto"/>
        <w:ind w:firstLine="373"/>
        <w:jc w:val="left"/>
        <w:rPr>
          <w:rFonts w:ascii="仿宋" w:hAnsi="仿宋" w:eastAsia="仿宋" w:cs="仿宋"/>
          <w:kern w:val="0"/>
          <w:sz w:val="24"/>
          <w:lang w:bidi="ar"/>
        </w:rPr>
      </w:pPr>
      <w:r>
        <w:rPr>
          <w:rFonts w:hint="eastAsia" w:ascii="仿宋" w:hAnsi="仿宋" w:eastAsia="仿宋" w:cs="仿宋"/>
          <w:kern w:val="0"/>
          <w:sz w:val="24"/>
          <w:lang w:bidi="ar"/>
        </w:rPr>
        <w:t>地点：新疆政府采购网</w:t>
      </w:r>
    </w:p>
    <w:p w14:paraId="7A7F029D">
      <w:pPr>
        <w:widowControl/>
        <w:spacing w:before="75" w:after="75" w:line="360" w:lineRule="auto"/>
        <w:ind w:firstLine="373"/>
        <w:jc w:val="left"/>
        <w:rPr>
          <w:rFonts w:ascii="仿宋" w:hAnsi="仿宋" w:eastAsia="仿宋" w:cs="仿宋"/>
          <w:kern w:val="0"/>
          <w:sz w:val="24"/>
          <w:lang w:bidi="ar"/>
        </w:rPr>
      </w:pPr>
      <w:r>
        <w:rPr>
          <w:rFonts w:hint="eastAsia" w:ascii="仿宋" w:hAnsi="仿宋" w:eastAsia="仿宋" w:cs="仿宋"/>
          <w:kern w:val="0"/>
          <w:sz w:val="24"/>
          <w:lang w:bidi="ar"/>
        </w:rPr>
        <w:t>获取方式：供应商登陆政采云平台http://www.zcygov.cn/，在线获取磋商文件（登录政府采购云平台→项目采购→获取磋商文件，通过后可获取磋商文件，如有操作性问题，可与政采云在线客服进行咨询，咨询电话：95763） </w:t>
      </w:r>
    </w:p>
    <w:p w14:paraId="24B19288">
      <w:pPr>
        <w:pStyle w:val="15"/>
        <w:spacing w:before="255" w:beforeAutospacing="0" w:after="255" w:afterAutospacing="0" w:line="420" w:lineRule="exact"/>
        <w:jc w:val="both"/>
        <w:rPr>
          <w:rFonts w:ascii="仿宋" w:hAnsi="仿宋" w:eastAsia="仿宋" w:cs="仿宋"/>
        </w:rPr>
      </w:pPr>
      <w:r>
        <w:rPr>
          <w:rStyle w:val="37"/>
          <w:rFonts w:hint="eastAsia" w:ascii="仿宋" w:hAnsi="仿宋" w:eastAsia="仿宋" w:cs="仿宋"/>
        </w:rPr>
        <w:t>四、响应文件截止时间、开标时间和地点</w:t>
      </w:r>
    </w:p>
    <w:p w14:paraId="6BDBA37B">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截止时间：202</w:t>
      </w:r>
      <w:r>
        <w:rPr>
          <w:rFonts w:hint="eastAsia" w:ascii="仿宋" w:hAnsi="仿宋" w:eastAsia="仿宋" w:cs="仿宋"/>
          <w:lang w:val="en-US" w:eastAsia="zh-CN"/>
        </w:rPr>
        <w:t>5</w:t>
      </w:r>
      <w:r>
        <w:rPr>
          <w:rFonts w:hint="eastAsia" w:ascii="仿宋" w:hAnsi="仿宋" w:eastAsia="仿宋" w:cs="仿宋"/>
        </w:rPr>
        <w:t>年</w:t>
      </w:r>
      <w:r>
        <w:rPr>
          <w:rFonts w:hint="eastAsia" w:ascii="仿宋" w:hAnsi="仿宋" w:eastAsia="仿宋" w:cs="仿宋"/>
          <w:lang w:val="en-US" w:eastAsia="zh-CN"/>
        </w:rPr>
        <w:t>4</w:t>
      </w:r>
      <w:r>
        <w:rPr>
          <w:rFonts w:hint="eastAsia" w:ascii="仿宋" w:hAnsi="仿宋" w:eastAsia="仿宋" w:cs="仿宋"/>
        </w:rPr>
        <w:t>月</w:t>
      </w:r>
      <w:r>
        <w:rPr>
          <w:rFonts w:hint="eastAsia" w:ascii="仿宋" w:hAnsi="仿宋" w:eastAsia="仿宋" w:cs="仿宋"/>
          <w:lang w:val="en-US" w:eastAsia="zh-CN"/>
        </w:rPr>
        <w:t>1</w:t>
      </w:r>
      <w:r>
        <w:rPr>
          <w:rFonts w:hint="eastAsia" w:ascii="仿宋" w:hAnsi="仿宋" w:eastAsia="仿宋" w:cs="仿宋"/>
        </w:rPr>
        <w:t>日 1</w:t>
      </w:r>
      <w:r>
        <w:rPr>
          <w:rFonts w:hint="eastAsia" w:ascii="仿宋" w:hAnsi="仿宋" w:eastAsia="仿宋" w:cs="仿宋"/>
          <w:lang w:val="en-US" w:eastAsia="zh-CN"/>
        </w:rPr>
        <w:t>5</w:t>
      </w:r>
      <w:r>
        <w:rPr>
          <w:rFonts w:hint="eastAsia" w:ascii="仿宋" w:hAnsi="仿宋" w:eastAsia="仿宋" w:cs="仿宋"/>
        </w:rPr>
        <w:t>点</w:t>
      </w:r>
      <w:r>
        <w:rPr>
          <w:rFonts w:hint="eastAsia" w:ascii="仿宋" w:hAnsi="仿宋" w:eastAsia="仿宋" w:cs="仿宋"/>
          <w:lang w:val="en-US" w:eastAsia="zh-CN"/>
        </w:rPr>
        <w:t>3</w:t>
      </w:r>
      <w:r>
        <w:rPr>
          <w:rFonts w:hint="eastAsia" w:ascii="仿宋" w:hAnsi="仿宋" w:eastAsia="仿宋" w:cs="仿宋"/>
        </w:rPr>
        <w:t>0（北京时间）</w:t>
      </w:r>
    </w:p>
    <w:p w14:paraId="2B5C74A3">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地点：政采云平台http://www.zcygov.cn</w:t>
      </w:r>
    </w:p>
    <w:p w14:paraId="73CF7546">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五、开启</w:t>
      </w:r>
    </w:p>
    <w:p w14:paraId="05147FFC">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时    间：202</w:t>
      </w:r>
      <w:r>
        <w:rPr>
          <w:rFonts w:hint="eastAsia" w:ascii="仿宋" w:hAnsi="仿宋" w:eastAsia="仿宋" w:cs="仿宋"/>
          <w:lang w:val="en-US" w:eastAsia="zh-CN"/>
        </w:rPr>
        <w:t>5</w:t>
      </w:r>
      <w:r>
        <w:rPr>
          <w:rFonts w:hint="eastAsia" w:ascii="仿宋" w:hAnsi="仿宋" w:eastAsia="仿宋" w:cs="仿宋"/>
        </w:rPr>
        <w:t>年</w:t>
      </w:r>
      <w:r>
        <w:rPr>
          <w:rFonts w:hint="eastAsia" w:ascii="仿宋" w:hAnsi="仿宋" w:eastAsia="仿宋" w:cs="仿宋"/>
          <w:lang w:val="en-US" w:eastAsia="zh-CN"/>
        </w:rPr>
        <w:t>4</w:t>
      </w:r>
      <w:r>
        <w:rPr>
          <w:rFonts w:hint="eastAsia" w:ascii="仿宋" w:hAnsi="仿宋" w:eastAsia="仿宋" w:cs="仿宋"/>
        </w:rPr>
        <w:t>月</w:t>
      </w:r>
      <w:r>
        <w:rPr>
          <w:rFonts w:hint="eastAsia" w:ascii="仿宋" w:hAnsi="仿宋" w:eastAsia="仿宋" w:cs="仿宋"/>
          <w:lang w:val="en-US" w:eastAsia="zh-CN"/>
        </w:rPr>
        <w:t>1</w:t>
      </w:r>
      <w:r>
        <w:rPr>
          <w:rFonts w:hint="eastAsia" w:ascii="仿宋" w:hAnsi="仿宋" w:eastAsia="仿宋" w:cs="仿宋"/>
        </w:rPr>
        <w:t>日 1</w:t>
      </w:r>
      <w:r>
        <w:rPr>
          <w:rFonts w:hint="eastAsia" w:ascii="仿宋" w:hAnsi="仿宋" w:eastAsia="仿宋" w:cs="仿宋"/>
          <w:lang w:val="en-US" w:eastAsia="zh-CN"/>
        </w:rPr>
        <w:t>5</w:t>
      </w:r>
      <w:r>
        <w:rPr>
          <w:rFonts w:hint="eastAsia" w:ascii="仿宋" w:hAnsi="仿宋" w:eastAsia="仿宋" w:cs="仿宋"/>
        </w:rPr>
        <w:t>点</w:t>
      </w:r>
      <w:r>
        <w:rPr>
          <w:rFonts w:hint="eastAsia" w:ascii="仿宋" w:hAnsi="仿宋" w:eastAsia="仿宋" w:cs="仿宋"/>
          <w:lang w:val="en-US" w:eastAsia="zh-CN"/>
        </w:rPr>
        <w:t>3</w:t>
      </w:r>
      <w:r>
        <w:rPr>
          <w:rFonts w:hint="eastAsia" w:ascii="仿宋" w:hAnsi="仿宋" w:eastAsia="仿宋" w:cs="仿宋"/>
        </w:rPr>
        <w:t>0（北京时间）</w:t>
      </w:r>
    </w:p>
    <w:p w14:paraId="725E5ABD">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地点：政采云平台http://www.zcygov.cn</w:t>
      </w:r>
    </w:p>
    <w:p w14:paraId="057A4FB0">
      <w:pPr>
        <w:pStyle w:val="15"/>
        <w:spacing w:before="75" w:beforeAutospacing="0" w:after="75" w:afterAutospacing="0" w:line="420" w:lineRule="exact"/>
        <w:rPr>
          <w:rFonts w:ascii="仿宋" w:hAnsi="仿宋" w:eastAsia="仿宋" w:cs="仿宋"/>
        </w:rPr>
      </w:pPr>
      <w:r>
        <w:rPr>
          <w:rStyle w:val="37"/>
          <w:rFonts w:hint="eastAsia" w:ascii="仿宋" w:hAnsi="仿宋" w:eastAsia="仿宋" w:cs="仿宋"/>
        </w:rPr>
        <w:t>六、公告期限</w:t>
      </w:r>
    </w:p>
    <w:p w14:paraId="0314E4BD">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自本公告发布之日起</w:t>
      </w:r>
      <w:r>
        <w:rPr>
          <w:rFonts w:hint="eastAsia" w:ascii="仿宋" w:hAnsi="仿宋" w:eastAsia="仿宋" w:cs="仿宋"/>
          <w:lang w:val="en-US" w:eastAsia="zh-CN"/>
        </w:rPr>
        <w:t>3</w:t>
      </w:r>
      <w:r>
        <w:rPr>
          <w:rFonts w:hint="eastAsia" w:ascii="仿宋" w:hAnsi="仿宋" w:eastAsia="仿宋" w:cs="仿宋"/>
        </w:rPr>
        <w:t>个工作日。</w:t>
      </w:r>
    </w:p>
    <w:p w14:paraId="7B25F4A3">
      <w:pPr>
        <w:pStyle w:val="15"/>
        <w:spacing w:before="75" w:beforeAutospacing="0" w:after="75" w:afterAutospacing="0" w:line="420" w:lineRule="exact"/>
        <w:rPr>
          <w:rStyle w:val="37"/>
          <w:rFonts w:ascii="仿宋" w:hAnsi="仿宋" w:eastAsia="仿宋" w:cs="仿宋"/>
        </w:rPr>
      </w:pPr>
      <w:r>
        <w:rPr>
          <w:rStyle w:val="37"/>
          <w:rFonts w:hint="eastAsia" w:ascii="仿宋" w:hAnsi="仿宋" w:eastAsia="仿宋" w:cs="仿宋"/>
        </w:rPr>
        <w:t>七、其他补充事宜</w:t>
      </w:r>
    </w:p>
    <w:p w14:paraId="156171AB">
      <w:pPr>
        <w:pStyle w:val="15"/>
        <w:spacing w:before="75" w:beforeAutospacing="0" w:after="75" w:afterAutospacing="0" w:line="420" w:lineRule="exact"/>
        <w:ind w:firstLine="480" w:firstLineChars="200"/>
        <w:rPr>
          <w:rStyle w:val="37"/>
          <w:rFonts w:hint="eastAsia" w:ascii="仿宋" w:hAnsi="仿宋" w:eastAsia="仿宋" w:cs="仿宋"/>
          <w:lang w:val="en-US" w:eastAsia="zh-CN"/>
        </w:rPr>
      </w:pPr>
      <w:r>
        <w:rPr>
          <w:rStyle w:val="37"/>
          <w:rFonts w:hint="eastAsia" w:ascii="仿宋" w:hAnsi="仿宋" w:eastAsia="仿宋" w:cs="仿宋"/>
          <w:lang w:val="en-US" w:eastAsia="zh-CN"/>
        </w:rPr>
        <w:t>无</w:t>
      </w:r>
    </w:p>
    <w:p w14:paraId="6C90CF5A">
      <w:pPr>
        <w:pStyle w:val="15"/>
        <w:spacing w:before="75" w:beforeAutospacing="0" w:after="75" w:afterAutospacing="0" w:line="420" w:lineRule="exact"/>
        <w:rPr>
          <w:rFonts w:ascii="仿宋" w:hAnsi="仿宋" w:eastAsia="仿宋" w:cs="仿宋"/>
        </w:rPr>
      </w:pPr>
      <w:r>
        <w:rPr>
          <w:rStyle w:val="37"/>
          <w:rFonts w:hint="eastAsia" w:ascii="仿宋" w:hAnsi="仿宋" w:eastAsia="仿宋" w:cs="仿宋"/>
        </w:rPr>
        <w:t>八、对本次采购提出询问，请按以下方式联系</w:t>
      </w:r>
    </w:p>
    <w:p w14:paraId="6641949E">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1.采购人信息</w:t>
      </w:r>
    </w:p>
    <w:p w14:paraId="102DC057">
      <w:pPr>
        <w:pStyle w:val="15"/>
        <w:spacing w:before="75" w:beforeAutospacing="0" w:after="75" w:afterAutospacing="0" w:line="420" w:lineRule="exact"/>
        <w:ind w:firstLine="420"/>
        <w:rPr>
          <w:rFonts w:hint="eastAsia" w:ascii="仿宋" w:hAnsi="仿宋" w:eastAsia="仿宋" w:cs="仿宋"/>
          <w:lang w:eastAsia="zh-CN"/>
        </w:rPr>
      </w:pPr>
      <w:r>
        <w:rPr>
          <w:rFonts w:hint="eastAsia" w:ascii="仿宋" w:hAnsi="仿宋" w:eastAsia="仿宋" w:cs="仿宋"/>
        </w:rPr>
        <w:t>采购单位：</w:t>
      </w:r>
      <w:r>
        <w:rPr>
          <w:rFonts w:hint="eastAsia" w:ascii="仿宋" w:hAnsi="仿宋" w:eastAsia="仿宋" w:cs="仿宋"/>
          <w:lang w:eastAsia="zh-CN"/>
        </w:rPr>
        <w:t xml:space="preserve">喀什经济开发区城东金融贸易发展服务中心 </w:t>
      </w:r>
    </w:p>
    <w:p w14:paraId="377588BF">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联系人：</w:t>
      </w:r>
      <w:r>
        <w:rPr>
          <w:rFonts w:hint="eastAsia" w:ascii="仿宋" w:hAnsi="仿宋" w:eastAsia="仿宋" w:cs="仿宋"/>
          <w:lang w:eastAsia="zh-CN"/>
        </w:rPr>
        <w:t>袁鹤林</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联系电话：18699849396</w:t>
      </w:r>
    </w:p>
    <w:p w14:paraId="50A7D1A1">
      <w:pPr>
        <w:pStyle w:val="15"/>
        <w:spacing w:before="75" w:beforeAutospacing="0" w:after="75" w:afterAutospacing="0" w:line="420" w:lineRule="exact"/>
        <w:ind w:firstLine="420"/>
        <w:rPr>
          <w:rFonts w:ascii="仿宋" w:hAnsi="仿宋" w:eastAsia="仿宋" w:cs="仿宋"/>
        </w:rPr>
      </w:pPr>
      <w:r>
        <w:rPr>
          <w:rFonts w:hint="eastAsia" w:ascii="仿宋" w:hAnsi="仿宋" w:eastAsia="仿宋" w:cs="仿宋"/>
        </w:rPr>
        <w:t>2.采购代理机构信息</w:t>
      </w:r>
    </w:p>
    <w:p w14:paraId="303EF7DF">
      <w:pPr>
        <w:pStyle w:val="15"/>
        <w:spacing w:before="75" w:beforeAutospacing="0" w:after="75" w:afterAutospacing="0" w:line="420" w:lineRule="exact"/>
        <w:ind w:firstLine="420"/>
        <w:rPr>
          <w:rFonts w:hint="eastAsia" w:ascii="仿宋" w:hAnsi="仿宋" w:eastAsia="仿宋" w:cs="仿宋"/>
          <w:lang w:eastAsia="zh-CN"/>
        </w:rPr>
      </w:pPr>
      <w:r>
        <w:rPr>
          <w:rFonts w:hint="eastAsia" w:ascii="仿宋" w:hAnsi="仿宋" w:eastAsia="仿宋" w:cs="仿宋"/>
        </w:rPr>
        <w:t>名 称：</w:t>
      </w:r>
      <w:r>
        <w:rPr>
          <w:rFonts w:hint="eastAsia" w:ascii="仿宋" w:hAnsi="仿宋" w:eastAsia="仿宋" w:cs="仿宋"/>
          <w:lang w:eastAsia="zh-CN"/>
        </w:rPr>
        <w:t>智诚达项目管理咨询有限公司</w:t>
      </w:r>
    </w:p>
    <w:p w14:paraId="493366E4">
      <w:pPr>
        <w:pStyle w:val="15"/>
        <w:spacing w:before="75" w:beforeAutospacing="0" w:after="75" w:afterAutospacing="0" w:line="420" w:lineRule="exact"/>
        <w:ind w:left="1438" w:leftChars="228" w:hanging="960" w:hangingChars="400"/>
        <w:rPr>
          <w:rFonts w:hint="eastAsia" w:ascii="仿宋" w:hAnsi="仿宋" w:eastAsia="仿宋" w:cs="仿宋"/>
          <w:lang w:eastAsia="zh-CN"/>
        </w:rPr>
      </w:pPr>
      <w:r>
        <w:rPr>
          <w:rFonts w:hint="eastAsia" w:ascii="仿宋" w:hAnsi="仿宋" w:eastAsia="仿宋" w:cs="仿宋"/>
        </w:rPr>
        <w:t>地 址：</w:t>
      </w:r>
      <w:r>
        <w:rPr>
          <w:rFonts w:hint="eastAsia" w:ascii="仿宋" w:hAnsi="仿宋" w:eastAsia="仿宋" w:cs="仿宋"/>
          <w:lang w:eastAsia="zh-CN"/>
        </w:rPr>
        <w:t>新疆喀什地区喀什市新疆喀什地区喀什经济开发区川渝大厦10层1001号</w:t>
      </w:r>
    </w:p>
    <w:p w14:paraId="05692E97">
      <w:pPr>
        <w:pStyle w:val="5"/>
        <w:rPr>
          <w:rFonts w:hint="eastAsia" w:eastAsia="仿宋"/>
          <w:lang w:eastAsia="zh-CN"/>
        </w:rPr>
      </w:pPr>
      <w:r>
        <w:rPr>
          <w:rFonts w:hint="eastAsia" w:ascii="仿宋" w:hAnsi="仿宋" w:eastAsia="仿宋" w:cs="仿宋"/>
        </w:rPr>
        <w:t>联系人：</w:t>
      </w:r>
      <w:r>
        <w:rPr>
          <w:rFonts w:hint="eastAsia" w:ascii="仿宋" w:hAnsi="仿宋" w:eastAsia="仿宋" w:cs="仿宋"/>
          <w:lang w:eastAsia="zh-CN"/>
        </w:rPr>
        <w:t>乔成江</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联系电话：</w:t>
      </w:r>
      <w:r>
        <w:rPr>
          <w:rFonts w:hint="eastAsia" w:ascii="仿宋" w:hAnsi="仿宋" w:eastAsia="仿宋" w:cs="仿宋"/>
          <w:lang w:eastAsia="zh-CN"/>
        </w:rPr>
        <w:t>15770101983</w:t>
      </w:r>
    </w:p>
    <w:p w14:paraId="062135C0">
      <w:pPr>
        <w:rPr>
          <w:rFonts w:ascii="仿宋" w:hAnsi="仿宋" w:eastAsia="仿宋" w:cs="仿宋"/>
        </w:rPr>
      </w:pPr>
    </w:p>
    <w:p w14:paraId="6F714C0B">
      <w:pPr>
        <w:pStyle w:val="2"/>
        <w:tabs>
          <w:tab w:val="left" w:pos="0"/>
        </w:tabs>
        <w:spacing w:before="0" w:after="0" w:line="240" w:lineRule="atLeast"/>
        <w:ind w:firstLine="2240" w:firstLineChars="700"/>
        <w:jc w:val="both"/>
        <w:rPr>
          <w:rFonts w:ascii="仿宋" w:hAnsi="仿宋" w:eastAsia="仿宋" w:cs="仿宋"/>
        </w:rPr>
      </w:pPr>
    </w:p>
    <w:p w14:paraId="4EDE8732">
      <w:pPr>
        <w:rPr>
          <w:rFonts w:ascii="仿宋" w:hAnsi="仿宋" w:eastAsia="仿宋" w:cs="仿宋"/>
        </w:rPr>
      </w:pPr>
    </w:p>
    <w:p w14:paraId="02F4EEE7">
      <w:pPr>
        <w:pStyle w:val="2"/>
        <w:tabs>
          <w:tab w:val="left" w:pos="0"/>
        </w:tabs>
        <w:spacing w:before="0" w:after="0" w:line="240" w:lineRule="atLeast"/>
        <w:ind w:firstLine="2240" w:firstLineChars="700"/>
        <w:jc w:val="both"/>
        <w:rPr>
          <w:rFonts w:ascii="仿宋" w:hAnsi="仿宋" w:eastAsia="仿宋" w:cs="仿宋"/>
          <w:b w:val="0"/>
          <w:szCs w:val="32"/>
        </w:rPr>
      </w:pPr>
      <w:bookmarkStart w:id="347" w:name="_Toc28903"/>
      <w:r>
        <w:rPr>
          <w:rFonts w:hint="eastAsia" w:ascii="仿宋" w:hAnsi="仿宋" w:eastAsia="仿宋" w:cs="仿宋"/>
        </w:rPr>
        <w:t>第四章  供应商须知资料表</w:t>
      </w:r>
      <w:bookmarkEnd w:id="347"/>
    </w:p>
    <w:p w14:paraId="7C925030">
      <w:pPr>
        <w:spacing w:line="240" w:lineRule="atLeast"/>
        <w:ind w:firstLine="480" w:firstLineChars="200"/>
        <w:rPr>
          <w:rFonts w:ascii="仿宋" w:hAnsi="仿宋" w:eastAsia="仿宋" w:cs="仿宋"/>
          <w:sz w:val="24"/>
        </w:rPr>
      </w:pPr>
      <w:r>
        <w:rPr>
          <w:rFonts w:hint="eastAsia" w:ascii="仿宋" w:hAnsi="仿宋" w:eastAsia="仿宋" w:cs="仿宋"/>
          <w:sz w:val="24"/>
        </w:rPr>
        <w:t>本表是本招标项目的具体资料，是对供应商须知的具体补充和修改，如有矛盾，应以本资料表为准。</w:t>
      </w:r>
    </w:p>
    <w:tbl>
      <w:tblPr>
        <w:tblStyle w:val="34"/>
        <w:tblW w:w="830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44"/>
        <w:gridCol w:w="7364"/>
      </w:tblGrid>
      <w:tr w14:paraId="001F42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944" w:type="dxa"/>
            <w:vAlign w:val="center"/>
          </w:tcPr>
          <w:p w14:paraId="56E2CAE0">
            <w:pPr>
              <w:spacing w:line="240" w:lineRule="atLeast"/>
              <w:rPr>
                <w:rFonts w:ascii="仿宋" w:hAnsi="仿宋" w:eastAsia="仿宋" w:cs="仿宋"/>
                <w:sz w:val="24"/>
              </w:rPr>
            </w:pPr>
            <w:r>
              <w:rPr>
                <w:rFonts w:hint="eastAsia" w:ascii="仿宋" w:hAnsi="仿宋" w:eastAsia="仿宋" w:cs="仿宋"/>
                <w:sz w:val="24"/>
              </w:rPr>
              <w:t>条款号</w:t>
            </w:r>
          </w:p>
        </w:tc>
        <w:tc>
          <w:tcPr>
            <w:tcW w:w="7364" w:type="dxa"/>
            <w:vAlign w:val="center"/>
          </w:tcPr>
          <w:p w14:paraId="47277AEE">
            <w:pPr>
              <w:spacing w:line="240" w:lineRule="atLeast"/>
              <w:rPr>
                <w:rFonts w:ascii="仿宋" w:hAnsi="仿宋" w:eastAsia="仿宋" w:cs="仿宋"/>
                <w:b/>
                <w:sz w:val="24"/>
              </w:rPr>
            </w:pPr>
            <w:r>
              <w:rPr>
                <w:rFonts w:hint="eastAsia" w:ascii="仿宋" w:hAnsi="仿宋" w:eastAsia="仿宋" w:cs="仿宋"/>
                <w:b/>
                <w:sz w:val="24"/>
              </w:rPr>
              <w:t>内      容</w:t>
            </w:r>
          </w:p>
        </w:tc>
      </w:tr>
      <w:tr w14:paraId="0C2126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44" w:type="dxa"/>
            <w:vAlign w:val="center"/>
          </w:tcPr>
          <w:p w14:paraId="53E7FAD7">
            <w:pPr>
              <w:spacing w:line="240" w:lineRule="atLeast"/>
              <w:jc w:val="center"/>
              <w:rPr>
                <w:rFonts w:ascii="仿宋" w:hAnsi="仿宋" w:eastAsia="仿宋" w:cs="仿宋"/>
                <w:sz w:val="24"/>
              </w:rPr>
            </w:pPr>
            <w:r>
              <w:rPr>
                <w:rFonts w:hint="eastAsia" w:ascii="仿宋" w:hAnsi="仿宋" w:eastAsia="仿宋" w:cs="仿宋"/>
                <w:sz w:val="24"/>
              </w:rPr>
              <w:t>1.1</w:t>
            </w:r>
          </w:p>
        </w:tc>
        <w:tc>
          <w:tcPr>
            <w:tcW w:w="7364" w:type="dxa"/>
            <w:vAlign w:val="center"/>
          </w:tcPr>
          <w:p w14:paraId="00822827">
            <w:pPr>
              <w:spacing w:line="240" w:lineRule="atLeast"/>
              <w:rPr>
                <w:rFonts w:ascii="仿宋" w:hAnsi="仿宋" w:eastAsia="仿宋" w:cs="仿宋"/>
                <w:sz w:val="24"/>
              </w:rPr>
            </w:pPr>
            <w:r>
              <w:rPr>
                <w:rFonts w:hint="eastAsia" w:ascii="仿宋" w:hAnsi="仿宋" w:eastAsia="仿宋" w:cs="仿宋"/>
                <w:sz w:val="24"/>
              </w:rPr>
              <w:t>采购人：</w:t>
            </w:r>
            <w:r>
              <w:rPr>
                <w:rFonts w:hint="eastAsia" w:ascii="仿宋" w:hAnsi="仿宋" w:eastAsia="仿宋" w:cs="仿宋"/>
                <w:sz w:val="24"/>
                <w:lang w:eastAsia="zh-CN"/>
              </w:rPr>
              <w:t xml:space="preserve">喀什经济开发区城东金融贸易发展服务中心 </w:t>
            </w:r>
            <w:r>
              <w:rPr>
                <w:rFonts w:hint="eastAsia" w:ascii="仿宋" w:hAnsi="仿宋" w:eastAsia="仿宋" w:cs="仿宋"/>
                <w:sz w:val="24"/>
              </w:rPr>
              <w:t>　</w:t>
            </w:r>
          </w:p>
          <w:p w14:paraId="6DD6009D">
            <w:pPr>
              <w:spacing w:line="240" w:lineRule="atLeast"/>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lang w:eastAsia="zh-CN"/>
              </w:rPr>
              <w:t>袁鹤林</w:t>
            </w:r>
            <w:r>
              <w:rPr>
                <w:rFonts w:hint="eastAsia" w:ascii="仿宋" w:hAnsi="仿宋" w:eastAsia="仿宋" w:cs="仿宋"/>
                <w:sz w:val="24"/>
              </w:rPr>
              <w:t xml:space="preserve">         联系电话：18699849396</w:t>
            </w:r>
          </w:p>
        </w:tc>
      </w:tr>
      <w:tr w14:paraId="3E0735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44" w:type="dxa"/>
            <w:vAlign w:val="center"/>
          </w:tcPr>
          <w:p w14:paraId="25C7142C">
            <w:pPr>
              <w:spacing w:line="240" w:lineRule="atLeast"/>
              <w:jc w:val="center"/>
              <w:rPr>
                <w:rFonts w:ascii="仿宋" w:hAnsi="仿宋" w:eastAsia="仿宋" w:cs="仿宋"/>
                <w:sz w:val="24"/>
              </w:rPr>
            </w:pPr>
            <w:r>
              <w:rPr>
                <w:rFonts w:hint="eastAsia" w:ascii="仿宋" w:hAnsi="仿宋" w:eastAsia="仿宋" w:cs="仿宋"/>
                <w:sz w:val="24"/>
              </w:rPr>
              <w:t>1.2</w:t>
            </w:r>
          </w:p>
        </w:tc>
        <w:tc>
          <w:tcPr>
            <w:tcW w:w="7364" w:type="dxa"/>
            <w:vAlign w:val="center"/>
          </w:tcPr>
          <w:p w14:paraId="3FE1CA71">
            <w:pPr>
              <w:spacing w:line="240" w:lineRule="atLeast"/>
              <w:rPr>
                <w:rFonts w:hint="eastAsia" w:ascii="仿宋" w:hAnsi="仿宋" w:eastAsia="仿宋" w:cs="仿宋"/>
                <w:sz w:val="24"/>
                <w:u w:val="single"/>
                <w:lang w:eastAsia="zh-CN"/>
              </w:rPr>
            </w:pPr>
            <w:r>
              <w:rPr>
                <w:rFonts w:hint="eastAsia" w:ascii="仿宋" w:hAnsi="仿宋" w:eastAsia="仿宋" w:cs="仿宋"/>
                <w:sz w:val="24"/>
              </w:rPr>
              <w:t>采购代理机构：</w:t>
            </w:r>
            <w:r>
              <w:rPr>
                <w:rFonts w:hint="eastAsia" w:ascii="仿宋" w:hAnsi="仿宋" w:eastAsia="仿宋" w:cs="仿宋"/>
                <w:sz w:val="24"/>
                <w:lang w:eastAsia="zh-CN"/>
              </w:rPr>
              <w:t>智诚达项目管理咨询有限公司</w:t>
            </w:r>
          </w:p>
          <w:p w14:paraId="6F851F42">
            <w:pPr>
              <w:spacing w:line="240" w:lineRule="atLeast"/>
              <w:rPr>
                <w:rFonts w:ascii="仿宋" w:hAnsi="仿宋" w:eastAsia="仿宋" w:cs="仿宋"/>
                <w:sz w:val="24"/>
              </w:rPr>
            </w:pPr>
            <w:r>
              <w:rPr>
                <w:rFonts w:hint="eastAsia" w:ascii="仿宋" w:hAnsi="仿宋" w:eastAsia="仿宋" w:cs="仿宋"/>
                <w:sz w:val="24"/>
              </w:rPr>
              <w:t>地址：新疆喀什地区喀什市新疆喀什地区喀什经济开发区川渝大厦10层1001号</w:t>
            </w:r>
          </w:p>
          <w:p w14:paraId="485DFFA0">
            <w:pPr>
              <w:spacing w:line="240" w:lineRule="atLeast"/>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lang w:eastAsia="zh-CN"/>
              </w:rPr>
              <w:t>乔成江</w:t>
            </w:r>
            <w:r>
              <w:rPr>
                <w:rFonts w:hint="eastAsia" w:ascii="仿宋" w:hAnsi="仿宋" w:eastAsia="仿宋" w:cs="仿宋"/>
                <w:sz w:val="24"/>
              </w:rPr>
              <w:t xml:space="preserve">        联系电话：15770101983</w:t>
            </w:r>
          </w:p>
        </w:tc>
      </w:tr>
      <w:tr w14:paraId="407733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42" w:hRule="atLeast"/>
        </w:trPr>
        <w:tc>
          <w:tcPr>
            <w:tcW w:w="944" w:type="dxa"/>
            <w:vAlign w:val="center"/>
          </w:tcPr>
          <w:p w14:paraId="34E4F5C2">
            <w:pPr>
              <w:spacing w:line="240" w:lineRule="atLeast"/>
              <w:jc w:val="center"/>
              <w:rPr>
                <w:rFonts w:ascii="仿宋" w:hAnsi="仿宋" w:eastAsia="仿宋" w:cs="仿宋"/>
                <w:sz w:val="24"/>
              </w:rPr>
            </w:pPr>
            <w:r>
              <w:rPr>
                <w:rFonts w:hint="eastAsia" w:ascii="仿宋" w:hAnsi="仿宋" w:eastAsia="仿宋" w:cs="仿宋"/>
                <w:sz w:val="24"/>
              </w:rPr>
              <w:t>1.3.1</w:t>
            </w:r>
          </w:p>
        </w:tc>
        <w:tc>
          <w:tcPr>
            <w:tcW w:w="7364" w:type="dxa"/>
            <w:vAlign w:val="center"/>
          </w:tcPr>
          <w:p w14:paraId="3B6B706A">
            <w:pPr>
              <w:spacing w:line="240" w:lineRule="atLeast"/>
              <w:rPr>
                <w:rFonts w:ascii="仿宋" w:hAnsi="仿宋" w:eastAsia="仿宋" w:cs="仿宋"/>
                <w:kern w:val="0"/>
                <w:sz w:val="24"/>
              </w:rPr>
            </w:pPr>
            <w:r>
              <w:rPr>
                <w:rFonts w:hint="eastAsia" w:ascii="仿宋" w:hAnsi="仿宋" w:eastAsia="仿宋" w:cs="仿宋"/>
                <w:kern w:val="0"/>
                <w:sz w:val="24"/>
              </w:rPr>
              <w:t>合格供应商的资格要求：</w:t>
            </w:r>
          </w:p>
          <w:p w14:paraId="26291B88">
            <w:pPr>
              <w:spacing w:line="240" w:lineRule="atLeast"/>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kern w:val="0"/>
                <w:sz w:val="24"/>
                <w:lang w:eastAsia="zh-CN"/>
              </w:rPr>
              <w:t>具有有效的营业执照</w:t>
            </w:r>
            <w:r>
              <w:rPr>
                <w:rFonts w:hint="eastAsia" w:ascii="仿宋" w:hAnsi="仿宋" w:eastAsia="仿宋" w:cs="仿宋"/>
                <w:kern w:val="0"/>
                <w:sz w:val="24"/>
              </w:rPr>
              <w:t>；</w:t>
            </w:r>
          </w:p>
          <w:p w14:paraId="656051BE">
            <w:pPr>
              <w:spacing w:line="240" w:lineRule="atLeast"/>
              <w:rPr>
                <w:rFonts w:ascii="仿宋" w:hAnsi="仿宋" w:eastAsia="仿宋" w:cs="仿宋"/>
                <w:kern w:val="0"/>
                <w:sz w:val="24"/>
              </w:rPr>
            </w:pPr>
            <w:r>
              <w:rPr>
                <w:rFonts w:hint="eastAsia" w:ascii="仿宋" w:hAnsi="仿宋" w:eastAsia="仿宋" w:cs="仿宋"/>
                <w:kern w:val="0"/>
                <w:sz w:val="24"/>
              </w:rPr>
              <w:t>2.法定代表人授权委托书及被委托人身份证（法定代表人投标提供法定代表人身份证明及身份证）；</w:t>
            </w:r>
          </w:p>
          <w:p w14:paraId="101AC07C">
            <w:pPr>
              <w:spacing w:line="240" w:lineRule="atLeast"/>
              <w:rPr>
                <w:rFonts w:ascii="仿宋" w:hAnsi="仿宋" w:eastAsia="仿宋" w:cs="仿宋"/>
                <w:kern w:val="0"/>
                <w:sz w:val="24"/>
              </w:rPr>
            </w:pPr>
            <w:r>
              <w:rPr>
                <w:rFonts w:hint="eastAsia" w:ascii="仿宋" w:hAnsi="仿宋" w:eastAsia="仿宋" w:cs="仿宋"/>
                <w:kern w:val="0"/>
                <w:sz w:val="24"/>
              </w:rPr>
              <w:t>3.本单位缴纳的近</w:t>
            </w:r>
            <w:r>
              <w:rPr>
                <w:rFonts w:hint="eastAsia" w:ascii="仿宋" w:hAnsi="仿宋" w:eastAsia="仿宋" w:cs="仿宋"/>
                <w:kern w:val="0"/>
                <w:sz w:val="24"/>
                <w:lang w:val="en-US" w:eastAsia="zh-CN"/>
              </w:rPr>
              <w:t>六</w:t>
            </w:r>
            <w:r>
              <w:rPr>
                <w:rFonts w:hint="eastAsia" w:ascii="仿宋" w:hAnsi="仿宋" w:eastAsia="仿宋" w:cs="仿宋"/>
                <w:kern w:val="0"/>
                <w:sz w:val="24"/>
              </w:rPr>
              <w:t>个月中任意一个月的社保缴纳证明（单位社保缴费汇总和个人明细表）含被授权委托人；</w:t>
            </w:r>
          </w:p>
          <w:p w14:paraId="29D31CEC">
            <w:pPr>
              <w:spacing w:line="240" w:lineRule="atLeast"/>
              <w:rPr>
                <w:rFonts w:ascii="仿宋" w:hAnsi="仿宋" w:eastAsia="仿宋" w:cs="仿宋"/>
                <w:kern w:val="0"/>
                <w:sz w:val="24"/>
              </w:rPr>
            </w:pPr>
            <w:r>
              <w:rPr>
                <w:rFonts w:hint="eastAsia" w:ascii="仿宋" w:hAnsi="仿宋" w:eastAsia="仿宋" w:cs="仿宋"/>
                <w:kern w:val="0"/>
                <w:sz w:val="24"/>
              </w:rPr>
              <w:t>4.具有税务局开具依法缴纳近</w:t>
            </w:r>
            <w:r>
              <w:rPr>
                <w:rFonts w:hint="eastAsia" w:ascii="仿宋" w:hAnsi="仿宋" w:eastAsia="仿宋" w:cs="仿宋"/>
                <w:kern w:val="0"/>
                <w:sz w:val="24"/>
                <w:lang w:val="en-US" w:eastAsia="zh-CN"/>
              </w:rPr>
              <w:t>六</w:t>
            </w:r>
            <w:r>
              <w:rPr>
                <w:rFonts w:hint="eastAsia" w:ascii="仿宋" w:hAnsi="仿宋" w:eastAsia="仿宋" w:cs="仿宋"/>
                <w:kern w:val="0"/>
                <w:sz w:val="24"/>
              </w:rPr>
              <w:t>个月中任意一个月的税收证明的良好记录（完税证明</w:t>
            </w:r>
            <w:r>
              <w:rPr>
                <w:rFonts w:hint="eastAsia" w:ascii="仿宋" w:hAnsi="仿宋" w:eastAsia="仿宋" w:cs="仿宋"/>
                <w:kern w:val="0"/>
                <w:sz w:val="24"/>
                <w:lang w:val="en-US" w:eastAsia="zh-CN"/>
              </w:rPr>
              <w:t>非社保类</w:t>
            </w:r>
            <w:r>
              <w:rPr>
                <w:rFonts w:hint="eastAsia" w:ascii="仿宋" w:hAnsi="仿宋" w:eastAsia="仿宋" w:cs="仿宋"/>
                <w:kern w:val="0"/>
                <w:sz w:val="24"/>
              </w:rPr>
              <w:t>）；</w:t>
            </w:r>
          </w:p>
          <w:p w14:paraId="4374BB6A">
            <w:pPr>
              <w:spacing w:line="240" w:lineRule="atLeast"/>
              <w:rPr>
                <w:rFonts w:ascii="仿宋" w:hAnsi="仿宋" w:eastAsia="仿宋" w:cs="仿宋"/>
                <w:kern w:val="0"/>
                <w:sz w:val="24"/>
              </w:rPr>
            </w:pPr>
            <w:r>
              <w:rPr>
                <w:rFonts w:hint="eastAsia" w:ascii="仿宋" w:hAnsi="仿宋" w:eastAsia="仿宋" w:cs="仿宋"/>
                <w:kern w:val="0"/>
                <w:sz w:val="24"/>
              </w:rPr>
              <w:t>5.具有202</w:t>
            </w:r>
            <w:r>
              <w:rPr>
                <w:rFonts w:hint="eastAsia" w:ascii="仿宋" w:hAnsi="仿宋" w:eastAsia="仿宋" w:cs="仿宋"/>
                <w:kern w:val="0"/>
                <w:sz w:val="24"/>
                <w:lang w:val="en-US" w:eastAsia="zh-CN"/>
              </w:rPr>
              <w:t>3</w:t>
            </w:r>
            <w:r>
              <w:rPr>
                <w:rFonts w:hint="eastAsia" w:ascii="仿宋" w:hAnsi="仿宋" w:eastAsia="仿宋" w:cs="仿宋"/>
                <w:kern w:val="0"/>
                <w:sz w:val="24"/>
              </w:rPr>
              <w:t>年度或202</w:t>
            </w:r>
            <w:r>
              <w:rPr>
                <w:rFonts w:hint="eastAsia" w:ascii="仿宋" w:hAnsi="仿宋" w:eastAsia="仿宋" w:cs="仿宋"/>
                <w:kern w:val="0"/>
                <w:sz w:val="24"/>
                <w:lang w:val="en-US" w:eastAsia="zh-CN"/>
              </w:rPr>
              <w:t>4</w:t>
            </w:r>
            <w:r>
              <w:rPr>
                <w:rFonts w:hint="eastAsia" w:ascii="仿宋" w:hAnsi="仿宋" w:eastAsia="仿宋" w:cs="仿宋"/>
                <w:kern w:val="0"/>
                <w:sz w:val="24"/>
              </w:rPr>
              <w:t>年度的财务审计报告（新成立未满一年的公司提供有效的银行资信证明）；</w:t>
            </w:r>
          </w:p>
          <w:p w14:paraId="40B74247">
            <w:pPr>
              <w:spacing w:line="240" w:lineRule="atLeast"/>
              <w:rPr>
                <w:rFonts w:ascii="仿宋" w:hAnsi="仿宋" w:eastAsia="仿宋" w:cs="仿宋"/>
                <w:kern w:val="0"/>
                <w:sz w:val="24"/>
              </w:rPr>
            </w:pPr>
            <w:r>
              <w:rPr>
                <w:rFonts w:hint="eastAsia" w:ascii="仿宋" w:hAnsi="仿宋" w:eastAsia="仿宋" w:cs="仿宋"/>
                <w:kern w:val="0"/>
                <w:sz w:val="24"/>
              </w:rPr>
              <w:t>6.投标供应商参加项目领取磋商文件及投标环节期间采购活动前3年内，在经营活动中没有重大违法记录的书面承诺书（自拟）；</w:t>
            </w:r>
          </w:p>
          <w:p w14:paraId="739198BA">
            <w:pPr>
              <w:spacing w:line="240" w:lineRule="atLeast"/>
              <w:rPr>
                <w:rFonts w:ascii="仿宋" w:hAnsi="仿宋" w:eastAsia="仿宋" w:cs="仿宋"/>
                <w:kern w:val="0"/>
                <w:sz w:val="24"/>
              </w:rPr>
            </w:pPr>
            <w:r>
              <w:rPr>
                <w:rFonts w:hint="eastAsia" w:ascii="仿宋" w:hAnsi="仿宋" w:eastAsia="仿宋" w:cs="仿宋"/>
                <w:kern w:val="0"/>
                <w:sz w:val="24"/>
              </w:rPr>
              <w:t>7.针对本项目的反商业贿赂承诺书；</w:t>
            </w:r>
          </w:p>
          <w:p w14:paraId="266A50A4">
            <w:pPr>
              <w:spacing w:line="240" w:lineRule="atLeast"/>
              <w:rPr>
                <w:rFonts w:ascii="仿宋" w:hAnsi="仿宋" w:eastAsia="仿宋" w:cs="仿宋"/>
                <w:kern w:val="0"/>
                <w:sz w:val="24"/>
              </w:rPr>
            </w:pPr>
            <w:r>
              <w:rPr>
                <w:rFonts w:hint="eastAsia" w:ascii="仿宋" w:hAnsi="仿宋" w:eastAsia="仿宋" w:cs="仿宋"/>
                <w:kern w:val="0"/>
                <w:sz w:val="24"/>
              </w:rPr>
              <w:t>8.根据《财政部关于在政府采购活动中查询及使用信用记录有关问题的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以资格审查小组开标现场查询为主）。</w:t>
            </w:r>
          </w:p>
          <w:p w14:paraId="2B21FBC8">
            <w:pPr>
              <w:spacing w:line="240" w:lineRule="atLeast"/>
              <w:rPr>
                <w:rFonts w:hint="eastAsia" w:ascii="仿宋" w:hAnsi="仿宋" w:eastAsia="仿宋" w:cs="仿宋"/>
                <w:kern w:val="0"/>
                <w:sz w:val="24"/>
                <w:lang w:val="en-US" w:eastAsia="zh-CN"/>
              </w:rPr>
            </w:pPr>
            <w:r>
              <w:rPr>
                <w:rFonts w:hint="eastAsia" w:ascii="仿宋" w:hAnsi="仿宋" w:eastAsia="仿宋" w:cs="仿宋"/>
                <w:kern w:val="0"/>
                <w:sz w:val="24"/>
              </w:rPr>
              <w:t>9.</w:t>
            </w:r>
            <w:r>
              <w:rPr>
                <w:rFonts w:hint="eastAsia" w:ascii="仿宋" w:hAnsi="仿宋" w:eastAsia="仿宋" w:cs="仿宋"/>
                <w:kern w:val="0"/>
                <w:sz w:val="24"/>
                <w:lang w:val="en-US" w:eastAsia="zh-CN"/>
              </w:rPr>
              <w:t>特定资格要求：</w:t>
            </w:r>
          </w:p>
          <w:p w14:paraId="3D538B45">
            <w:pPr>
              <w:pStyle w:val="13"/>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（1）【市政公用工程施工总承包三级】（含三级）以上资质企业；并在人员、设备、资金等方面具有相应的施工能力；</w:t>
            </w:r>
          </w:p>
          <w:p w14:paraId="72365E68">
            <w:pPr>
              <w:pStyle w:val="13"/>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（2）拟派项目经理具备【市政公用工程二级】（含二级）以上注册建造师执业资格及有效的安全生产考核合格证B证；</w:t>
            </w:r>
          </w:p>
          <w:p w14:paraId="50BF55E6">
            <w:pPr>
              <w:rPr>
                <w:rFonts w:hint="default"/>
                <w:lang w:val="en-US" w:eastAsia="zh-CN"/>
              </w:rPr>
            </w:pPr>
            <w:r>
              <w:rPr>
                <w:rFonts w:hint="eastAsia" w:ascii="仿宋" w:hAnsi="仿宋" w:eastAsia="仿宋" w:cs="仿宋"/>
                <w:kern w:val="0"/>
                <w:sz w:val="24"/>
                <w:lang w:val="en-US" w:eastAsia="zh-CN"/>
              </w:rPr>
              <w:t>10.《中小企业声明函》；</w:t>
            </w:r>
          </w:p>
        </w:tc>
      </w:tr>
      <w:tr w14:paraId="1AADC7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44" w:type="dxa"/>
            <w:vAlign w:val="center"/>
          </w:tcPr>
          <w:p w14:paraId="1EF1BEE9">
            <w:pPr>
              <w:spacing w:line="240" w:lineRule="atLeast"/>
              <w:ind w:left="268" w:leftChars="128"/>
              <w:jc w:val="center"/>
              <w:rPr>
                <w:rFonts w:ascii="仿宋" w:hAnsi="仿宋" w:eastAsia="仿宋" w:cs="仿宋"/>
                <w:sz w:val="24"/>
              </w:rPr>
            </w:pPr>
            <w:r>
              <w:rPr>
                <w:rFonts w:hint="eastAsia" w:ascii="仿宋" w:hAnsi="仿宋" w:eastAsia="仿宋" w:cs="仿宋"/>
                <w:sz w:val="24"/>
              </w:rPr>
              <w:t>1.3.5</w:t>
            </w:r>
          </w:p>
        </w:tc>
        <w:tc>
          <w:tcPr>
            <w:tcW w:w="7364" w:type="dxa"/>
            <w:vAlign w:val="center"/>
          </w:tcPr>
          <w:p w14:paraId="72F3AFBE">
            <w:pPr>
              <w:spacing w:line="240" w:lineRule="atLeast"/>
              <w:rPr>
                <w:rFonts w:ascii="仿宋" w:hAnsi="仿宋" w:eastAsia="仿宋" w:cs="仿宋"/>
                <w:sz w:val="24"/>
              </w:rPr>
            </w:pPr>
            <w:r>
              <w:rPr>
                <w:rFonts w:hint="eastAsia" w:ascii="仿宋" w:hAnsi="仿宋" w:eastAsia="仿宋" w:cs="仿宋"/>
                <w:sz w:val="24"/>
              </w:rPr>
              <w:t>是否允许采购进口产品：</w:t>
            </w:r>
            <w:r>
              <w:rPr>
                <w:rFonts w:hint="eastAsia" w:ascii="仿宋" w:hAnsi="仿宋" w:eastAsia="仿宋" w:cs="仿宋"/>
                <w:sz w:val="24"/>
                <w:u w:val="single"/>
              </w:rPr>
              <w:t>否</w:t>
            </w:r>
            <w:r>
              <w:rPr>
                <w:rFonts w:hint="eastAsia" w:ascii="仿宋" w:hAnsi="仿宋" w:eastAsia="仿宋" w:cs="仿宋"/>
                <w:i/>
                <w:sz w:val="24"/>
              </w:rPr>
              <w:t>（是、否）</w:t>
            </w:r>
          </w:p>
        </w:tc>
      </w:tr>
      <w:tr w14:paraId="4E8E63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0" w:hRule="atLeast"/>
        </w:trPr>
        <w:tc>
          <w:tcPr>
            <w:tcW w:w="944" w:type="dxa"/>
            <w:vAlign w:val="center"/>
          </w:tcPr>
          <w:p w14:paraId="1A53EA84">
            <w:pPr>
              <w:spacing w:line="240" w:lineRule="atLeast"/>
              <w:ind w:left="268" w:leftChars="128"/>
              <w:jc w:val="center"/>
              <w:rPr>
                <w:rFonts w:ascii="仿宋" w:hAnsi="仿宋" w:eastAsia="仿宋" w:cs="仿宋"/>
                <w:sz w:val="24"/>
              </w:rPr>
            </w:pPr>
            <w:r>
              <w:rPr>
                <w:rFonts w:hint="eastAsia" w:ascii="仿宋" w:hAnsi="仿宋" w:eastAsia="仿宋" w:cs="仿宋"/>
                <w:sz w:val="24"/>
              </w:rPr>
              <w:t>1.3.6</w:t>
            </w:r>
          </w:p>
        </w:tc>
        <w:tc>
          <w:tcPr>
            <w:tcW w:w="7364" w:type="dxa"/>
            <w:vAlign w:val="center"/>
          </w:tcPr>
          <w:p w14:paraId="155050F3">
            <w:pPr>
              <w:spacing w:line="240" w:lineRule="atLeast"/>
              <w:rPr>
                <w:rFonts w:hint="eastAsia" w:ascii="仿宋" w:hAnsi="仿宋" w:eastAsia="仿宋" w:cs="仿宋"/>
                <w:b/>
                <w:bCs/>
                <w:sz w:val="24"/>
                <w:szCs w:val="24"/>
              </w:rPr>
            </w:pPr>
            <w:r>
              <w:rPr>
                <w:rFonts w:hint="eastAsia" w:ascii="仿宋" w:hAnsi="仿宋" w:eastAsia="仿宋" w:cs="仿宋"/>
                <w:b/>
                <w:bCs/>
                <w:sz w:val="24"/>
                <w:szCs w:val="24"/>
              </w:rPr>
              <w:t>是否为专门面向中小企业采购：是（是、否）</w:t>
            </w:r>
          </w:p>
          <w:p w14:paraId="3672461C">
            <w:pPr>
              <w:pStyle w:val="25"/>
              <w:rPr>
                <w:rFonts w:ascii="仿宋" w:hAnsi="仿宋" w:eastAsia="仿宋" w:cs="仿宋"/>
                <w:b/>
                <w:bCs/>
                <w:sz w:val="24"/>
              </w:rPr>
            </w:pPr>
            <w:r>
              <w:rPr>
                <w:rFonts w:hint="eastAsia" w:ascii="仿宋" w:hAnsi="仿宋" w:eastAsia="仿宋" w:cs="仿宋"/>
                <w:sz w:val="24"/>
              </w:rPr>
              <w:t>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中小企业声明函》、《残疾人福利性单位声明函》或省级以上监狱管理局、戒毒管理局（含新疆生产建设兵团）出具的属于监狱企业、本地生产企业证明文件的供应商，其投标报价扣除 10 %后参与评审。对于同时属于小微企业、监狱企业残疾人福利性单位的，不重复进行投标报价扣除。</w:t>
            </w:r>
          </w:p>
          <w:p w14:paraId="1D7C2C84">
            <w:pPr>
              <w:pStyle w:val="17"/>
              <w:ind w:left="0" w:leftChars="0"/>
              <w:rPr>
                <w:rFonts w:hint="eastAsia" w:ascii="仿宋" w:hAnsi="仿宋" w:eastAsia="仿宋" w:cs="仿宋"/>
                <w:b/>
                <w:bCs/>
                <w:sz w:val="24"/>
              </w:rPr>
            </w:pPr>
            <w:r>
              <w:rPr>
                <w:rFonts w:hint="eastAsia" w:ascii="仿宋" w:hAnsi="仿宋" w:eastAsia="仿宋" w:cs="仿宋"/>
                <w:b/>
                <w:bCs/>
                <w:sz w:val="24"/>
              </w:rPr>
              <w:t>潜在投标企业属于中小微企业的，请在响应文件中提供“中小企业声明函”，如果未提供或提供虛假的“中小企业声明函”，投标企业将承担由此造成的一切不利后果。</w:t>
            </w:r>
          </w:p>
          <w:p w14:paraId="31A0A701">
            <w:r>
              <w:rPr>
                <w:rFonts w:hint="eastAsia" w:ascii="仿宋" w:hAnsi="仿宋" w:eastAsia="仿宋" w:cs="仿宋"/>
                <w:b/>
                <w:bCs/>
                <w:kern w:val="2"/>
                <w:sz w:val="24"/>
                <w:szCs w:val="24"/>
                <w:lang w:val="en-US" w:eastAsia="zh-CN" w:bidi="ar-SA"/>
              </w:rPr>
              <w:t>本项目属于“其他未列明行业”</w:t>
            </w:r>
          </w:p>
        </w:tc>
      </w:tr>
      <w:tr w14:paraId="0F9CB3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7" w:hRule="atLeast"/>
        </w:trPr>
        <w:tc>
          <w:tcPr>
            <w:tcW w:w="944" w:type="dxa"/>
            <w:vAlign w:val="center"/>
          </w:tcPr>
          <w:p w14:paraId="7F9F497A">
            <w:pPr>
              <w:spacing w:line="240" w:lineRule="atLeast"/>
              <w:jc w:val="center"/>
              <w:rPr>
                <w:rFonts w:ascii="仿宋" w:hAnsi="仿宋" w:eastAsia="仿宋" w:cs="仿宋"/>
                <w:sz w:val="24"/>
              </w:rPr>
            </w:pPr>
            <w:r>
              <w:rPr>
                <w:rFonts w:hint="eastAsia" w:ascii="仿宋" w:hAnsi="仿宋" w:eastAsia="仿宋" w:cs="仿宋"/>
                <w:sz w:val="24"/>
              </w:rPr>
              <w:t>2</w:t>
            </w:r>
          </w:p>
        </w:tc>
        <w:tc>
          <w:tcPr>
            <w:tcW w:w="7364" w:type="dxa"/>
            <w:vAlign w:val="center"/>
          </w:tcPr>
          <w:p w14:paraId="0535767C">
            <w:pPr>
              <w:pStyle w:val="5"/>
              <w:ind w:firstLine="0"/>
              <w:rPr>
                <w:rFonts w:hint="eastAsia" w:eastAsia="仿宋"/>
                <w:lang w:val="en-US" w:eastAsia="zh-CN"/>
              </w:rPr>
            </w:pPr>
            <w:r>
              <w:rPr>
                <w:rFonts w:hint="eastAsia" w:ascii="仿宋" w:hAnsi="仿宋" w:eastAsia="仿宋" w:cs="仿宋"/>
                <w:b/>
                <w:bCs/>
                <w:szCs w:val="24"/>
                <w:lang w:val="en-US" w:eastAsia="zh-CN"/>
              </w:rPr>
              <w:t>预</w:t>
            </w:r>
            <w:r>
              <w:rPr>
                <w:rFonts w:hint="eastAsia" w:ascii="仿宋" w:hAnsi="仿宋" w:eastAsia="仿宋" w:cs="仿宋"/>
                <w:b/>
                <w:bCs/>
                <w:szCs w:val="24"/>
              </w:rPr>
              <w:t>算金额（元）:</w:t>
            </w:r>
            <w:r>
              <w:rPr>
                <w:rFonts w:hint="eastAsia" w:ascii="仿宋" w:hAnsi="仿宋" w:eastAsia="仿宋" w:cs="仿宋"/>
                <w:b/>
                <w:bCs/>
                <w:szCs w:val="24"/>
                <w:lang w:eastAsia="zh-CN"/>
              </w:rPr>
              <w:t>1500000.00</w:t>
            </w:r>
          </w:p>
        </w:tc>
      </w:tr>
      <w:tr w14:paraId="1BD969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944" w:type="dxa"/>
            <w:vAlign w:val="center"/>
          </w:tcPr>
          <w:p w14:paraId="311B9A6D">
            <w:pPr>
              <w:spacing w:line="240" w:lineRule="atLeast"/>
              <w:jc w:val="center"/>
              <w:rPr>
                <w:rFonts w:ascii="仿宋" w:hAnsi="仿宋" w:eastAsia="仿宋" w:cs="仿宋"/>
                <w:sz w:val="24"/>
              </w:rPr>
            </w:pPr>
            <w:r>
              <w:rPr>
                <w:rFonts w:hint="eastAsia" w:ascii="仿宋" w:hAnsi="仿宋" w:eastAsia="仿宋" w:cs="仿宋"/>
                <w:sz w:val="24"/>
              </w:rPr>
              <w:t>3</w:t>
            </w:r>
          </w:p>
        </w:tc>
        <w:tc>
          <w:tcPr>
            <w:tcW w:w="7364" w:type="dxa"/>
            <w:vAlign w:val="center"/>
          </w:tcPr>
          <w:p w14:paraId="43763D22">
            <w:pPr>
              <w:spacing w:line="380" w:lineRule="exact"/>
              <w:rPr>
                <w:rFonts w:ascii="仿宋" w:hAnsi="仿宋" w:eastAsia="仿宋" w:cs="仿宋"/>
                <w:kern w:val="0"/>
                <w:sz w:val="24"/>
              </w:rPr>
            </w:pPr>
            <w:r>
              <w:rPr>
                <w:rFonts w:hint="eastAsia" w:ascii="仿宋" w:hAnsi="仿宋" w:eastAsia="仿宋" w:cs="仿宋"/>
                <w:kern w:val="0"/>
                <w:sz w:val="24"/>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2FC57788">
            <w:pPr>
              <w:spacing w:line="380" w:lineRule="exact"/>
              <w:rPr>
                <w:rFonts w:ascii="仿宋" w:hAnsi="仿宋" w:eastAsia="仿宋" w:cs="仿宋"/>
                <w:kern w:val="0"/>
                <w:sz w:val="24"/>
              </w:rPr>
            </w:pPr>
            <w:r>
              <w:rPr>
                <w:rFonts w:hint="eastAsia" w:ascii="仿宋" w:hAnsi="仿宋" w:eastAsia="仿宋" w:cs="仿宋"/>
                <w:kern w:val="0"/>
                <w:sz w:val="24"/>
              </w:rPr>
              <w:t>2.本项目实行网上投标，采用电子响应文件(供应商须使用CA加密设备通过政采云电子投标客户端制作响应文件)。若供应商参与投标，自行承担投标一切费用。</w:t>
            </w:r>
          </w:p>
          <w:p w14:paraId="3796DC16">
            <w:pPr>
              <w:spacing w:line="380" w:lineRule="exact"/>
              <w:rPr>
                <w:rFonts w:ascii="仿宋" w:hAnsi="仿宋" w:eastAsia="仿宋" w:cs="仿宋"/>
                <w:kern w:val="0"/>
                <w:sz w:val="24"/>
              </w:rPr>
            </w:pPr>
            <w:r>
              <w:rPr>
                <w:rFonts w:hint="eastAsia" w:ascii="仿宋" w:hAnsi="仿宋" w:eastAsia="仿宋" w:cs="仿宋"/>
                <w:kern w:val="0"/>
                <w:sz w:val="24"/>
              </w:rPr>
              <w:t>3.各供应商应在开标前应确保成为新疆政府采购网正式注册入库供应商，并完成CA数字证书申领。因未注册入库、未办理CA数字证书等原因造成无法投标或投标失败等后果由供应商自行承担。</w:t>
            </w:r>
          </w:p>
          <w:p w14:paraId="421838B4">
            <w:pPr>
              <w:spacing w:line="380" w:lineRule="exact"/>
              <w:rPr>
                <w:rFonts w:ascii="仿宋" w:hAnsi="仿宋" w:eastAsia="仿宋" w:cs="仿宋"/>
                <w:kern w:val="0"/>
                <w:sz w:val="24"/>
              </w:rPr>
            </w:pPr>
            <w:r>
              <w:rPr>
                <w:rFonts w:hint="eastAsia" w:ascii="仿宋" w:hAnsi="仿宋" w:eastAsia="仿宋" w:cs="仿宋"/>
                <w:kern w:val="0"/>
                <w:sz w:val="24"/>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kern w:val="0"/>
                <w:sz w:val="24"/>
                <w:lang w:val="en-US" w:eastAsia="zh-CN"/>
              </w:rPr>
              <w:t>95763</w:t>
            </w:r>
            <w:r>
              <w:rPr>
                <w:rFonts w:hint="eastAsia" w:ascii="仿宋" w:hAnsi="仿宋" w:eastAsia="仿宋" w:cs="仿宋"/>
                <w:kern w:val="0"/>
                <w:sz w:val="24"/>
              </w:rPr>
              <w:t>进行咨询。</w:t>
            </w:r>
          </w:p>
          <w:p w14:paraId="0A8E22C3">
            <w:pPr>
              <w:spacing w:line="380" w:lineRule="exact"/>
              <w:rPr>
                <w:rFonts w:ascii="仿宋" w:hAnsi="仿宋" w:eastAsia="仿宋" w:cs="仿宋"/>
                <w:kern w:val="0"/>
                <w:sz w:val="24"/>
              </w:rPr>
            </w:pPr>
            <w:r>
              <w:rPr>
                <w:rFonts w:hint="eastAsia" w:ascii="仿宋" w:hAnsi="仿宋" w:eastAsia="仿宋" w:cs="仿宋"/>
                <w:kern w:val="0"/>
                <w:sz w:val="24"/>
              </w:rPr>
              <w:t>5.供应商在开标时须使用制作加密电子响应文件所使用的CA锁及电脑，电脑须提前配置好浏览器（建议使用谷歌浏览器），以便开标时解锁。</w:t>
            </w:r>
          </w:p>
          <w:p w14:paraId="0E4112E7">
            <w:pPr>
              <w:spacing w:line="380" w:lineRule="exact"/>
              <w:rPr>
                <w:rFonts w:ascii="仿宋" w:hAnsi="仿宋" w:eastAsia="仿宋" w:cs="仿宋"/>
                <w:kern w:val="0"/>
                <w:sz w:val="24"/>
              </w:rPr>
            </w:pPr>
            <w:r>
              <w:rPr>
                <w:rFonts w:hint="eastAsia" w:ascii="仿宋" w:hAnsi="仿宋" w:eastAsia="仿宋" w:cs="仿宋"/>
                <w:kern w:val="0"/>
                <w:sz w:val="24"/>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7532E19E">
            <w:pPr>
              <w:spacing w:line="380" w:lineRule="exact"/>
              <w:rPr>
                <w:rFonts w:ascii="仿宋" w:hAnsi="仿宋" w:eastAsia="仿宋" w:cs="仿宋"/>
                <w:sz w:val="24"/>
              </w:rPr>
            </w:pPr>
            <w:r>
              <w:rPr>
                <w:rFonts w:hint="eastAsia" w:ascii="仿宋" w:hAnsi="仿宋" w:eastAsia="仿宋" w:cs="仿宋"/>
                <w:kern w:val="0"/>
                <w:sz w:val="24"/>
              </w:rPr>
              <w:t xml:space="preserve">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  </w:t>
            </w:r>
          </w:p>
          <w:p w14:paraId="2CF3045C">
            <w:pPr>
              <w:spacing w:line="240" w:lineRule="atLeast"/>
              <w:rPr>
                <w:rFonts w:ascii="仿宋" w:hAnsi="仿宋" w:eastAsia="仿宋" w:cs="仿宋"/>
                <w:sz w:val="24"/>
              </w:rPr>
            </w:pPr>
            <w:r>
              <w:rPr>
                <w:rFonts w:hint="eastAsia" w:ascii="仿宋" w:hAnsi="仿宋" w:eastAsia="仿宋" w:cs="仿宋"/>
                <w:sz w:val="24"/>
              </w:rPr>
              <w:t>（8）各供应商须在投标截止时间前完成在系统上递交电子响应文件。供应商的电子响应文件是经过CA证书加密后上传提交的，任何单位或个人均无法在投标截止时间(即开标时间)之前查看或篡改，不存在泄密风险。（严格按照政采云电子投标流程制作并上传电子响应文件）</w:t>
            </w:r>
          </w:p>
          <w:p w14:paraId="507DB4AF">
            <w:pPr>
              <w:spacing w:line="240" w:lineRule="atLeast"/>
              <w:rPr>
                <w:rFonts w:ascii="仿宋" w:hAnsi="仿宋" w:eastAsia="仿宋" w:cs="仿宋"/>
                <w:sz w:val="24"/>
              </w:rPr>
            </w:pPr>
            <w:r>
              <w:rPr>
                <w:rFonts w:hint="eastAsia" w:ascii="仿宋" w:hAnsi="仿宋" w:eastAsia="仿宋" w:cs="仿宋"/>
                <w:sz w:val="24"/>
              </w:rPr>
              <w:t>（9）各供应商在投标截止时间前将“响应文件”上传至政采云平台。响应文件包括“报价一览表及资格证明文件”与“商务及技术文件”两部分合并成一册。响应文件应按照招标文件规定的格式填写、签署和盖章，并以.jmbs格式上传至政采云开评标平台（响应文件为正本扫描件）。</w:t>
            </w:r>
          </w:p>
          <w:p w14:paraId="0E11736B">
            <w:pPr>
              <w:spacing w:line="240" w:lineRule="atLeast"/>
              <w:rPr>
                <w:rFonts w:ascii="仿宋" w:hAnsi="仿宋" w:eastAsia="仿宋" w:cs="仿宋"/>
                <w:sz w:val="24"/>
              </w:rPr>
            </w:pPr>
            <w:r>
              <w:rPr>
                <w:rFonts w:hint="eastAsia" w:ascii="仿宋" w:hAnsi="仿宋" w:eastAsia="仿宋" w:cs="仿宋"/>
                <w:sz w:val="24"/>
              </w:rPr>
              <w:t>（10）所有供应商应在成交公告公示期结束后5个工作日内将纸质版响应文件邮寄至代理机构备案，纸质版响应文件包括“报价一览表及资格证明文件”和“商务及技术文件”两部分，两部分合订成一册递交。</w:t>
            </w:r>
          </w:p>
          <w:p w14:paraId="21F043D0">
            <w:pPr>
              <w:spacing w:line="240" w:lineRule="atLeast"/>
              <w:rPr>
                <w:rFonts w:ascii="仿宋" w:hAnsi="仿宋" w:eastAsia="仿宋" w:cs="仿宋"/>
                <w:b/>
                <w:bCs/>
                <w:sz w:val="24"/>
              </w:rPr>
            </w:pPr>
            <w:r>
              <w:rPr>
                <w:rFonts w:hint="eastAsia" w:ascii="仿宋" w:hAnsi="仿宋" w:eastAsia="仿宋" w:cs="仿宋"/>
                <w:b/>
                <w:bCs/>
                <w:sz w:val="24"/>
              </w:rPr>
              <w:t>（11）解密时长为30分钟。</w:t>
            </w:r>
          </w:p>
          <w:p w14:paraId="6BE4D3E2">
            <w:pPr>
              <w:spacing w:line="240" w:lineRule="atLeast"/>
              <w:rPr>
                <w:rFonts w:ascii="仿宋" w:hAnsi="仿宋" w:eastAsia="仿宋" w:cs="仿宋"/>
                <w:sz w:val="24"/>
              </w:rPr>
            </w:pPr>
            <w:r>
              <w:rPr>
                <w:rFonts w:hint="eastAsia" w:ascii="仿宋" w:hAnsi="仿宋" w:eastAsia="仿宋" w:cs="仿宋"/>
                <w:b/>
                <w:bCs/>
                <w:sz w:val="24"/>
              </w:rPr>
              <w:t>（12）须供应商提供备份的响应文件。</w:t>
            </w:r>
          </w:p>
        </w:tc>
      </w:tr>
      <w:tr w14:paraId="0B2A17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trPr>
        <w:tc>
          <w:tcPr>
            <w:tcW w:w="944" w:type="dxa"/>
            <w:vAlign w:val="center"/>
          </w:tcPr>
          <w:p w14:paraId="796B6647">
            <w:pPr>
              <w:spacing w:line="240" w:lineRule="atLeast"/>
              <w:jc w:val="center"/>
              <w:rPr>
                <w:rFonts w:ascii="仿宋" w:hAnsi="仿宋" w:eastAsia="仿宋" w:cs="仿宋"/>
                <w:sz w:val="24"/>
              </w:rPr>
            </w:pPr>
            <w:r>
              <w:rPr>
                <w:rFonts w:hint="eastAsia" w:ascii="仿宋" w:hAnsi="仿宋" w:eastAsia="仿宋" w:cs="仿宋"/>
                <w:sz w:val="24"/>
              </w:rPr>
              <w:t>12.1</w:t>
            </w:r>
          </w:p>
        </w:tc>
        <w:tc>
          <w:tcPr>
            <w:tcW w:w="7364" w:type="dxa"/>
            <w:vAlign w:val="center"/>
          </w:tcPr>
          <w:p w14:paraId="7E793EB6">
            <w:pPr>
              <w:spacing w:line="240" w:lineRule="atLeast"/>
              <w:rPr>
                <w:rFonts w:ascii="仿宋" w:hAnsi="仿宋" w:eastAsia="仿宋" w:cs="仿宋"/>
                <w:sz w:val="24"/>
              </w:rPr>
            </w:pPr>
            <w:r>
              <w:rPr>
                <w:rFonts w:hint="eastAsia" w:ascii="仿宋" w:hAnsi="仿宋" w:eastAsia="仿宋" w:cs="仿宋"/>
                <w:b/>
                <w:bCs/>
                <w:sz w:val="24"/>
              </w:rPr>
              <w:t>投标保证金的形式：银行电汇或转账、保函（从投标单位基本账户转入采购人指定账户）</w:t>
            </w:r>
          </w:p>
          <w:p w14:paraId="45F984E2">
            <w:pPr>
              <w:spacing w:line="240" w:lineRule="atLeast"/>
              <w:rPr>
                <w:rFonts w:ascii="仿宋" w:hAnsi="仿宋" w:eastAsia="仿宋" w:cs="仿宋"/>
                <w:b/>
                <w:bCs/>
                <w:sz w:val="24"/>
              </w:rPr>
            </w:pPr>
            <w:r>
              <w:rPr>
                <w:rFonts w:hint="eastAsia" w:ascii="仿宋" w:hAnsi="仿宋" w:eastAsia="仿宋" w:cs="仿宋"/>
                <w:b/>
                <w:bCs/>
                <w:sz w:val="24"/>
              </w:rPr>
              <w:t>投标保证金金额：</w:t>
            </w:r>
            <w:r>
              <w:rPr>
                <w:rFonts w:hint="eastAsia" w:ascii="仿宋" w:hAnsi="仿宋" w:eastAsia="仿宋" w:cs="仿宋"/>
                <w:b/>
                <w:bCs/>
                <w:sz w:val="24"/>
                <w:lang w:val="en-US" w:eastAsia="zh-CN"/>
              </w:rPr>
              <w:t>20</w:t>
            </w:r>
            <w:r>
              <w:rPr>
                <w:rFonts w:hint="eastAsia" w:ascii="仿宋" w:hAnsi="仿宋" w:eastAsia="仿宋" w:cs="仿宋"/>
                <w:b/>
                <w:bCs/>
                <w:sz w:val="24"/>
              </w:rPr>
              <w:t>000.00元(大写：</w:t>
            </w:r>
            <w:r>
              <w:rPr>
                <w:rFonts w:hint="eastAsia" w:ascii="仿宋" w:hAnsi="仿宋" w:eastAsia="仿宋" w:cs="仿宋"/>
                <w:b/>
                <w:bCs/>
                <w:sz w:val="24"/>
                <w:lang w:val="en-US" w:eastAsia="zh-CN"/>
              </w:rPr>
              <w:t>贰万元整</w:t>
            </w:r>
            <w:r>
              <w:rPr>
                <w:rFonts w:hint="eastAsia" w:ascii="仿宋" w:hAnsi="仿宋" w:eastAsia="仿宋" w:cs="仿宋"/>
                <w:b/>
                <w:bCs/>
                <w:sz w:val="24"/>
              </w:rPr>
              <w:t>)</w:t>
            </w:r>
          </w:p>
          <w:p w14:paraId="56E8D110">
            <w:pPr>
              <w:spacing w:line="240" w:lineRule="atLeast"/>
              <w:rPr>
                <w:rFonts w:ascii="仿宋" w:hAnsi="仿宋" w:eastAsia="仿宋" w:cs="仿宋"/>
                <w:sz w:val="24"/>
              </w:rPr>
            </w:pPr>
            <w:r>
              <w:rPr>
                <w:rFonts w:hint="eastAsia" w:ascii="仿宋" w:hAnsi="仿宋" w:eastAsia="仿宋" w:cs="仿宋"/>
                <w:sz w:val="24"/>
              </w:rPr>
              <w:t>（按照控制金额2%以内的整数计算）</w:t>
            </w:r>
          </w:p>
          <w:p w14:paraId="673A2419">
            <w:pPr>
              <w:spacing w:line="240" w:lineRule="atLeast"/>
              <w:rPr>
                <w:rFonts w:ascii="仿宋" w:hAnsi="仿宋" w:eastAsia="仿宋" w:cs="仿宋"/>
                <w:sz w:val="24"/>
              </w:rPr>
            </w:pPr>
            <w:r>
              <w:rPr>
                <w:rFonts w:hint="eastAsia" w:ascii="仿宋" w:hAnsi="仿宋" w:eastAsia="仿宋" w:cs="仿宋"/>
                <w:sz w:val="24"/>
              </w:rPr>
              <w:t>单位名称：</w:t>
            </w:r>
            <w:r>
              <w:rPr>
                <w:rFonts w:hint="eastAsia" w:ascii="仿宋" w:hAnsi="仿宋" w:eastAsia="仿宋" w:cs="仿宋"/>
                <w:sz w:val="24"/>
                <w:lang w:eastAsia="zh-CN"/>
              </w:rPr>
              <w:t>智诚达项目管理咨询有限公司</w:t>
            </w:r>
            <w:r>
              <w:rPr>
                <w:rFonts w:hint="eastAsia" w:ascii="仿宋" w:hAnsi="仿宋" w:eastAsia="仿宋" w:cs="仿宋"/>
                <w:sz w:val="24"/>
              </w:rPr>
              <w:t> </w:t>
            </w:r>
          </w:p>
          <w:p w14:paraId="78239396">
            <w:pPr>
              <w:spacing w:line="240" w:lineRule="atLeast"/>
              <w:rPr>
                <w:rFonts w:ascii="仿宋" w:hAnsi="仿宋" w:eastAsia="仿宋" w:cs="仿宋"/>
                <w:color w:val="auto"/>
                <w:sz w:val="24"/>
              </w:rPr>
            </w:pPr>
            <w:r>
              <w:rPr>
                <w:rFonts w:hint="eastAsia" w:ascii="仿宋" w:hAnsi="仿宋" w:eastAsia="仿宋" w:cs="仿宋"/>
                <w:color w:val="auto"/>
                <w:sz w:val="24"/>
              </w:rPr>
              <w:t>账</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号：86516510110130002000042</w:t>
            </w:r>
          </w:p>
          <w:p w14:paraId="1186A13B">
            <w:pPr>
              <w:spacing w:line="240" w:lineRule="atLeast"/>
              <w:rPr>
                <w:rFonts w:hint="eastAsia" w:ascii="仿宋" w:hAnsi="仿宋" w:eastAsia="仿宋" w:cs="仿宋"/>
                <w:color w:val="auto"/>
                <w:sz w:val="24"/>
              </w:rPr>
            </w:pPr>
            <w:r>
              <w:rPr>
                <w:rFonts w:hint="eastAsia" w:ascii="仿宋" w:hAnsi="仿宋" w:eastAsia="仿宋" w:cs="仿宋"/>
                <w:color w:val="auto"/>
                <w:sz w:val="24"/>
              </w:rPr>
              <w:t>开户行：交通银行乌鲁木齐人民路支行</w:t>
            </w:r>
          </w:p>
          <w:p w14:paraId="753011BE">
            <w:pPr>
              <w:spacing w:line="240" w:lineRule="atLeast"/>
              <w:rPr>
                <w:rFonts w:ascii="仿宋" w:hAnsi="仿宋" w:eastAsia="仿宋" w:cs="仿宋"/>
                <w:color w:val="auto"/>
                <w:sz w:val="24"/>
              </w:rPr>
            </w:pPr>
            <w:r>
              <w:rPr>
                <w:rFonts w:hint="eastAsia" w:ascii="仿宋" w:hAnsi="仿宋" w:eastAsia="仿宋" w:cs="仿宋"/>
                <w:color w:val="auto"/>
                <w:sz w:val="24"/>
              </w:rPr>
              <w:t>行</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号：301881000091   </w:t>
            </w:r>
          </w:p>
          <w:p w14:paraId="4144FDEE">
            <w:pPr>
              <w:spacing w:line="240" w:lineRule="atLeast"/>
              <w:rPr>
                <w:rFonts w:hint="eastAsia" w:ascii="仿宋" w:hAnsi="仿宋" w:eastAsia="仿宋" w:cs="仿宋"/>
                <w:sz w:val="24"/>
                <w:lang w:eastAsia="zh-CN"/>
              </w:rPr>
            </w:pPr>
            <w:r>
              <w:rPr>
                <w:rFonts w:hint="eastAsia" w:ascii="仿宋" w:hAnsi="仿宋" w:eastAsia="仿宋" w:cs="仿宋"/>
                <w:sz w:val="24"/>
              </w:rPr>
              <w:t>联系人：</w:t>
            </w:r>
            <w:r>
              <w:rPr>
                <w:rFonts w:hint="eastAsia" w:ascii="仿宋" w:hAnsi="仿宋" w:eastAsia="仿宋" w:cs="仿宋"/>
                <w:sz w:val="24"/>
                <w:lang w:eastAsia="zh-CN"/>
              </w:rPr>
              <w:t>乔成江</w:t>
            </w:r>
            <w:r>
              <w:rPr>
                <w:rFonts w:hint="eastAsia" w:ascii="仿宋" w:hAnsi="仿宋" w:eastAsia="仿宋" w:cs="仿宋"/>
                <w:sz w:val="24"/>
              </w:rPr>
              <w:t xml:space="preserve">     联系人电话：</w:t>
            </w:r>
            <w:r>
              <w:rPr>
                <w:rFonts w:hint="eastAsia" w:ascii="仿宋" w:hAnsi="仿宋" w:eastAsia="仿宋" w:cs="仿宋"/>
                <w:sz w:val="24"/>
                <w:lang w:eastAsia="zh-CN"/>
              </w:rPr>
              <w:t>15770101983</w:t>
            </w:r>
          </w:p>
          <w:p w14:paraId="4E933EFF">
            <w:pPr>
              <w:spacing w:line="240" w:lineRule="atLeast"/>
            </w:pPr>
            <w:r>
              <w:rPr>
                <w:rFonts w:hint="eastAsia" w:ascii="仿宋" w:hAnsi="仿宋" w:eastAsia="仿宋" w:cs="仿宋"/>
                <w:sz w:val="24"/>
              </w:rPr>
              <w:t>注：根据《政府采购竞争性磋商采购方式管理暂行办法》第三十一条采购人或者采购代理机构应当在采购活动结束后及时退还供应商的磋商保证金，但因供应商自身原因导致无法及时退还的除外。未成交供应商的磋商保证金应当在成交通知书发出后5个工作日内退还，成交供应商的磋商保证金应当在采购合同签订后5个工作日内退还。</w:t>
            </w:r>
          </w:p>
        </w:tc>
      </w:tr>
      <w:tr w14:paraId="5FCDD9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944" w:type="dxa"/>
            <w:vAlign w:val="center"/>
          </w:tcPr>
          <w:p w14:paraId="47728E07">
            <w:pPr>
              <w:spacing w:line="240" w:lineRule="atLeast"/>
              <w:jc w:val="center"/>
              <w:rPr>
                <w:rFonts w:ascii="仿宋" w:hAnsi="仿宋" w:eastAsia="仿宋" w:cs="仿宋"/>
                <w:sz w:val="24"/>
              </w:rPr>
            </w:pPr>
            <w:r>
              <w:rPr>
                <w:rFonts w:hint="eastAsia" w:ascii="仿宋" w:hAnsi="仿宋" w:eastAsia="仿宋" w:cs="仿宋"/>
                <w:sz w:val="24"/>
              </w:rPr>
              <w:t>13</w:t>
            </w:r>
          </w:p>
        </w:tc>
        <w:tc>
          <w:tcPr>
            <w:tcW w:w="7364" w:type="dxa"/>
            <w:vAlign w:val="center"/>
          </w:tcPr>
          <w:p w14:paraId="1187C395">
            <w:pPr>
              <w:spacing w:line="240" w:lineRule="atLeast"/>
              <w:rPr>
                <w:rFonts w:ascii="仿宋" w:hAnsi="仿宋" w:eastAsia="仿宋" w:cs="仿宋"/>
                <w:sz w:val="24"/>
              </w:rPr>
            </w:pPr>
            <w:r>
              <w:rPr>
                <w:rFonts w:hint="eastAsia" w:ascii="仿宋" w:hAnsi="仿宋" w:eastAsia="仿宋" w:cs="仿宋"/>
                <w:sz w:val="24"/>
              </w:rPr>
              <w:t>磋商有效期：90日历日</w:t>
            </w:r>
          </w:p>
        </w:tc>
      </w:tr>
      <w:tr w14:paraId="51E1E1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8" w:hRule="atLeast"/>
        </w:trPr>
        <w:tc>
          <w:tcPr>
            <w:tcW w:w="944" w:type="dxa"/>
            <w:vAlign w:val="center"/>
          </w:tcPr>
          <w:p w14:paraId="1377EDB3">
            <w:pPr>
              <w:spacing w:line="240" w:lineRule="atLeast"/>
              <w:jc w:val="center"/>
              <w:rPr>
                <w:rFonts w:ascii="仿宋" w:hAnsi="仿宋" w:eastAsia="仿宋" w:cs="仿宋"/>
                <w:b/>
                <w:bCs/>
                <w:sz w:val="24"/>
              </w:rPr>
            </w:pPr>
            <w:r>
              <w:rPr>
                <w:rFonts w:hint="eastAsia" w:ascii="仿宋" w:hAnsi="仿宋" w:eastAsia="仿宋" w:cs="仿宋"/>
                <w:sz w:val="24"/>
              </w:rPr>
              <w:t>16</w:t>
            </w:r>
          </w:p>
        </w:tc>
        <w:tc>
          <w:tcPr>
            <w:tcW w:w="7364" w:type="dxa"/>
            <w:vAlign w:val="center"/>
          </w:tcPr>
          <w:p w14:paraId="0C23D47D">
            <w:pPr>
              <w:spacing w:line="240" w:lineRule="atLeast"/>
              <w:rPr>
                <w:rFonts w:ascii="仿宋" w:hAnsi="仿宋" w:eastAsia="仿宋" w:cs="仿宋"/>
                <w:b/>
                <w:bCs/>
                <w:sz w:val="24"/>
              </w:rPr>
            </w:pPr>
            <w:r>
              <w:rPr>
                <w:rFonts w:hint="eastAsia" w:ascii="仿宋" w:hAnsi="仿宋" w:eastAsia="仿宋" w:cs="仿宋"/>
                <w:b/>
                <w:bCs/>
                <w:sz w:val="24"/>
              </w:rPr>
              <w:t>投标截止时间：202</w:t>
            </w:r>
            <w:r>
              <w:rPr>
                <w:rFonts w:hint="eastAsia" w:ascii="仿宋" w:hAnsi="仿宋" w:eastAsia="仿宋" w:cs="仿宋"/>
                <w:b/>
                <w:bCs/>
                <w:sz w:val="24"/>
                <w:lang w:val="en-US" w:eastAsia="zh-CN"/>
              </w:rPr>
              <w:t>5</w:t>
            </w:r>
            <w:r>
              <w:rPr>
                <w:rFonts w:hint="eastAsia" w:ascii="仿宋" w:hAnsi="仿宋" w:eastAsia="仿宋" w:cs="仿宋"/>
                <w:b/>
                <w:bCs/>
                <w:sz w:val="24"/>
              </w:rPr>
              <w:t>年</w:t>
            </w:r>
            <w:r>
              <w:rPr>
                <w:rFonts w:hint="eastAsia" w:ascii="仿宋" w:hAnsi="仿宋" w:eastAsia="仿宋" w:cs="仿宋"/>
                <w:b/>
                <w:bCs/>
                <w:sz w:val="24"/>
                <w:lang w:val="en-US" w:eastAsia="zh-CN"/>
              </w:rPr>
              <w:t>4</w:t>
            </w:r>
            <w:r>
              <w:rPr>
                <w:rFonts w:hint="eastAsia" w:ascii="仿宋" w:hAnsi="仿宋" w:eastAsia="仿宋" w:cs="仿宋"/>
                <w:b/>
                <w:bCs/>
                <w:sz w:val="24"/>
              </w:rPr>
              <w:t>月</w:t>
            </w:r>
            <w:r>
              <w:rPr>
                <w:rFonts w:hint="eastAsia" w:ascii="仿宋" w:hAnsi="仿宋" w:eastAsia="仿宋" w:cs="仿宋"/>
                <w:b/>
                <w:bCs/>
                <w:sz w:val="24"/>
                <w:lang w:val="en-US" w:eastAsia="zh-CN"/>
              </w:rPr>
              <w:t>1</w:t>
            </w:r>
            <w:r>
              <w:rPr>
                <w:rFonts w:hint="eastAsia" w:ascii="仿宋" w:hAnsi="仿宋" w:eastAsia="仿宋" w:cs="仿宋"/>
                <w:b/>
                <w:bCs/>
                <w:sz w:val="24"/>
              </w:rPr>
              <w:t>日 1</w:t>
            </w:r>
            <w:r>
              <w:rPr>
                <w:rFonts w:hint="eastAsia" w:ascii="仿宋" w:hAnsi="仿宋" w:eastAsia="仿宋" w:cs="仿宋"/>
                <w:b/>
                <w:bCs/>
                <w:sz w:val="24"/>
                <w:lang w:val="en-US" w:eastAsia="zh-CN"/>
              </w:rPr>
              <w:t>5</w:t>
            </w:r>
            <w:r>
              <w:rPr>
                <w:rFonts w:hint="eastAsia" w:ascii="仿宋" w:hAnsi="仿宋" w:eastAsia="仿宋" w:cs="仿宋"/>
                <w:b/>
                <w:bCs/>
                <w:sz w:val="24"/>
              </w:rPr>
              <w:t>:</w:t>
            </w:r>
            <w:r>
              <w:rPr>
                <w:rFonts w:hint="eastAsia" w:ascii="仿宋" w:hAnsi="仿宋" w:eastAsia="仿宋" w:cs="仿宋"/>
                <w:b/>
                <w:bCs/>
                <w:sz w:val="24"/>
                <w:lang w:val="en-US" w:eastAsia="zh-CN"/>
              </w:rPr>
              <w:t>3</w:t>
            </w:r>
            <w:r>
              <w:rPr>
                <w:rFonts w:hint="eastAsia" w:ascii="仿宋" w:hAnsi="仿宋" w:eastAsia="仿宋" w:cs="仿宋"/>
                <w:b/>
                <w:bCs/>
                <w:sz w:val="24"/>
              </w:rPr>
              <w:t>0时</w:t>
            </w:r>
          </w:p>
        </w:tc>
      </w:tr>
      <w:tr w14:paraId="675B01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944" w:type="dxa"/>
            <w:vAlign w:val="center"/>
          </w:tcPr>
          <w:p w14:paraId="7C96740E">
            <w:pPr>
              <w:spacing w:line="240" w:lineRule="atLeast"/>
              <w:jc w:val="center"/>
              <w:rPr>
                <w:rFonts w:ascii="仿宋" w:hAnsi="仿宋" w:eastAsia="仿宋" w:cs="仿宋"/>
                <w:sz w:val="24"/>
              </w:rPr>
            </w:pPr>
            <w:r>
              <w:rPr>
                <w:rFonts w:hint="eastAsia" w:ascii="仿宋" w:hAnsi="仿宋" w:eastAsia="仿宋" w:cs="仿宋"/>
                <w:sz w:val="24"/>
              </w:rPr>
              <w:t>16.2</w:t>
            </w:r>
          </w:p>
        </w:tc>
        <w:tc>
          <w:tcPr>
            <w:tcW w:w="7364" w:type="dxa"/>
            <w:vAlign w:val="center"/>
          </w:tcPr>
          <w:p w14:paraId="3DEC669A">
            <w:pPr>
              <w:spacing w:line="240" w:lineRule="atLeast"/>
              <w:rPr>
                <w:rFonts w:ascii="仿宋" w:hAnsi="仿宋" w:eastAsia="仿宋" w:cs="仿宋"/>
                <w:b/>
                <w:bCs/>
              </w:rPr>
            </w:pPr>
            <w:r>
              <w:rPr>
                <w:rFonts w:hint="eastAsia" w:ascii="仿宋" w:hAnsi="仿宋" w:eastAsia="仿宋" w:cs="仿宋"/>
                <w:b/>
                <w:bCs/>
                <w:sz w:val="24"/>
              </w:rPr>
              <w:t>接收磋商文件递交地点：</w:t>
            </w:r>
            <w:r>
              <w:rPr>
                <w:rFonts w:hint="eastAsia" w:ascii="仿宋" w:hAnsi="仿宋" w:eastAsia="仿宋" w:cs="仿宋"/>
                <w:kern w:val="0"/>
                <w:sz w:val="24"/>
                <w:lang w:bidi="ar"/>
              </w:rPr>
              <w:t>政采云平台http://www.zcygov.cn</w:t>
            </w:r>
          </w:p>
        </w:tc>
      </w:tr>
      <w:tr w14:paraId="457E8B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944" w:type="dxa"/>
            <w:vAlign w:val="center"/>
          </w:tcPr>
          <w:p w14:paraId="3B9DCB29">
            <w:pPr>
              <w:spacing w:line="240" w:lineRule="atLeast"/>
              <w:jc w:val="center"/>
              <w:rPr>
                <w:rFonts w:ascii="仿宋" w:hAnsi="仿宋" w:eastAsia="仿宋" w:cs="仿宋"/>
                <w:sz w:val="24"/>
              </w:rPr>
            </w:pPr>
            <w:r>
              <w:rPr>
                <w:rFonts w:hint="eastAsia" w:ascii="仿宋" w:hAnsi="仿宋" w:eastAsia="仿宋" w:cs="仿宋"/>
                <w:sz w:val="24"/>
              </w:rPr>
              <w:t>20.5</w:t>
            </w:r>
          </w:p>
        </w:tc>
        <w:tc>
          <w:tcPr>
            <w:tcW w:w="7364" w:type="dxa"/>
            <w:vAlign w:val="center"/>
          </w:tcPr>
          <w:p w14:paraId="68D7BE20">
            <w:pPr>
              <w:rPr>
                <w:rFonts w:ascii="仿宋" w:hAnsi="仿宋" w:eastAsia="仿宋" w:cs="仿宋"/>
                <w:b/>
                <w:bCs/>
                <w:sz w:val="24"/>
              </w:rPr>
            </w:pPr>
            <w:r>
              <w:rPr>
                <w:rFonts w:hint="eastAsia" w:ascii="仿宋" w:hAnsi="仿宋" w:eastAsia="仿宋" w:cs="仿宋"/>
                <w:sz w:val="24"/>
              </w:rPr>
              <w:t>服务需求：土石方运输服务。</w:t>
            </w:r>
          </w:p>
        </w:tc>
      </w:tr>
      <w:tr w14:paraId="3D4892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944" w:type="dxa"/>
            <w:vAlign w:val="center"/>
          </w:tcPr>
          <w:p w14:paraId="4437BB05">
            <w:pPr>
              <w:spacing w:line="240" w:lineRule="atLeast"/>
              <w:jc w:val="center"/>
              <w:rPr>
                <w:rFonts w:ascii="仿宋" w:hAnsi="仿宋" w:eastAsia="仿宋" w:cs="仿宋"/>
                <w:sz w:val="24"/>
              </w:rPr>
            </w:pPr>
            <w:r>
              <w:rPr>
                <w:rFonts w:hint="eastAsia" w:ascii="仿宋" w:hAnsi="仿宋" w:eastAsia="仿宋" w:cs="仿宋"/>
                <w:sz w:val="24"/>
              </w:rPr>
              <w:t>26</w:t>
            </w:r>
          </w:p>
        </w:tc>
        <w:tc>
          <w:tcPr>
            <w:tcW w:w="7364" w:type="dxa"/>
            <w:vAlign w:val="center"/>
          </w:tcPr>
          <w:p w14:paraId="01A2F236">
            <w:pPr>
              <w:spacing w:line="240" w:lineRule="atLeast"/>
              <w:rPr>
                <w:rFonts w:ascii="仿宋" w:hAnsi="仿宋" w:eastAsia="仿宋" w:cs="仿宋"/>
                <w:sz w:val="24"/>
              </w:rPr>
            </w:pPr>
            <w:r>
              <w:rPr>
                <w:rFonts w:hint="eastAsia" w:ascii="仿宋" w:hAnsi="仿宋" w:eastAsia="仿宋" w:cs="仿宋"/>
                <w:sz w:val="24"/>
              </w:rPr>
              <w:t>评标方法：</w:t>
            </w:r>
            <w:r>
              <w:rPr>
                <w:rFonts w:hint="eastAsia" w:ascii="仿宋" w:hAnsi="仿宋" w:eastAsia="仿宋" w:cs="仿宋"/>
                <w:b/>
                <w:bCs/>
                <w:sz w:val="24"/>
              </w:rPr>
              <w:t>综合评分法</w:t>
            </w:r>
            <w:r>
              <w:rPr>
                <w:rFonts w:hint="eastAsia" w:ascii="仿宋" w:hAnsi="仿宋" w:eastAsia="仿宋" w:cs="仿宋"/>
                <w:sz w:val="24"/>
              </w:rPr>
              <w:t>　　　</w:t>
            </w:r>
          </w:p>
        </w:tc>
      </w:tr>
      <w:tr w14:paraId="40DCA2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944" w:type="dxa"/>
            <w:vAlign w:val="center"/>
          </w:tcPr>
          <w:p w14:paraId="633E9829">
            <w:pPr>
              <w:spacing w:line="240" w:lineRule="atLeast"/>
              <w:jc w:val="center"/>
              <w:rPr>
                <w:rFonts w:ascii="仿宋" w:hAnsi="仿宋" w:eastAsia="仿宋" w:cs="仿宋"/>
                <w:sz w:val="24"/>
              </w:rPr>
            </w:pPr>
            <w:r>
              <w:rPr>
                <w:rFonts w:hint="eastAsia" w:ascii="仿宋" w:hAnsi="仿宋" w:eastAsia="仿宋" w:cs="仿宋"/>
                <w:sz w:val="24"/>
              </w:rPr>
              <w:t>27</w:t>
            </w:r>
          </w:p>
        </w:tc>
        <w:tc>
          <w:tcPr>
            <w:tcW w:w="7364" w:type="dxa"/>
            <w:vAlign w:val="center"/>
          </w:tcPr>
          <w:p w14:paraId="42EAC97E">
            <w:pPr>
              <w:spacing w:line="240" w:lineRule="atLeast"/>
              <w:rPr>
                <w:rFonts w:ascii="仿宋" w:hAnsi="仿宋" w:eastAsia="仿宋" w:cs="仿宋"/>
                <w:i/>
                <w:sz w:val="24"/>
              </w:rPr>
            </w:pPr>
            <w:r>
              <w:rPr>
                <w:rFonts w:hint="eastAsia" w:ascii="仿宋" w:hAnsi="仿宋" w:eastAsia="仿宋" w:cs="仿宋"/>
                <w:sz w:val="24"/>
              </w:rPr>
              <w:t>推荐成交候选供应商的数量：</w:t>
            </w:r>
            <w:r>
              <w:rPr>
                <w:rFonts w:hint="eastAsia" w:ascii="仿宋" w:hAnsi="仿宋" w:eastAsia="仿宋" w:cs="仿宋"/>
                <w:sz w:val="24"/>
                <w:u w:val="single"/>
              </w:rPr>
              <w:t>3个</w:t>
            </w:r>
          </w:p>
        </w:tc>
      </w:tr>
      <w:tr w14:paraId="2398E9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944" w:type="dxa"/>
            <w:vAlign w:val="center"/>
          </w:tcPr>
          <w:p w14:paraId="7892738C">
            <w:pPr>
              <w:spacing w:line="240" w:lineRule="atLeast"/>
              <w:jc w:val="center"/>
              <w:rPr>
                <w:rFonts w:ascii="仿宋" w:hAnsi="仿宋" w:eastAsia="仿宋" w:cs="仿宋"/>
                <w:sz w:val="24"/>
              </w:rPr>
            </w:pPr>
            <w:r>
              <w:rPr>
                <w:rFonts w:hint="eastAsia" w:ascii="仿宋" w:hAnsi="仿宋" w:eastAsia="仿宋" w:cs="仿宋"/>
                <w:sz w:val="24"/>
              </w:rPr>
              <w:t>27</w:t>
            </w:r>
          </w:p>
        </w:tc>
        <w:tc>
          <w:tcPr>
            <w:tcW w:w="7364" w:type="dxa"/>
            <w:vAlign w:val="center"/>
          </w:tcPr>
          <w:p w14:paraId="48E97A0A">
            <w:pPr>
              <w:spacing w:line="240" w:lineRule="atLeast"/>
              <w:rPr>
                <w:rFonts w:ascii="仿宋" w:hAnsi="仿宋" w:eastAsia="仿宋" w:cs="仿宋"/>
                <w:sz w:val="24"/>
              </w:rPr>
            </w:pPr>
            <w:r>
              <w:rPr>
                <w:rFonts w:hint="eastAsia" w:ascii="仿宋" w:hAnsi="仿宋" w:eastAsia="仿宋" w:cs="仿宋"/>
                <w:sz w:val="24"/>
              </w:rPr>
              <w:t>采购人是否委托评标委员会直接确定成交人：</w:t>
            </w:r>
            <w:r>
              <w:rPr>
                <w:rFonts w:hint="eastAsia" w:ascii="仿宋" w:hAnsi="仿宋" w:eastAsia="仿宋" w:cs="仿宋"/>
                <w:sz w:val="24"/>
                <w:u w:val="single"/>
              </w:rPr>
              <w:t>否</w:t>
            </w:r>
            <w:r>
              <w:rPr>
                <w:rFonts w:hint="eastAsia" w:ascii="仿宋" w:hAnsi="仿宋" w:eastAsia="仿宋" w:cs="仿宋"/>
                <w:i/>
                <w:sz w:val="24"/>
              </w:rPr>
              <w:t>（是、否）</w:t>
            </w:r>
          </w:p>
        </w:tc>
      </w:tr>
      <w:tr w14:paraId="5DA76C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944" w:type="dxa"/>
            <w:vAlign w:val="center"/>
          </w:tcPr>
          <w:p w14:paraId="2657F0DD">
            <w:pPr>
              <w:spacing w:line="240" w:lineRule="atLeast"/>
              <w:ind w:firstLine="420" w:firstLineChars="200"/>
              <w:rPr>
                <w:rFonts w:ascii="仿宋" w:hAnsi="仿宋" w:eastAsia="仿宋" w:cs="仿宋"/>
                <w:sz w:val="24"/>
              </w:rPr>
            </w:pPr>
            <w:r>
              <w:rPr>
                <w:rFonts w:hint="eastAsia" w:ascii="仿宋" w:hAnsi="仿宋" w:eastAsia="仿宋" w:cs="仿宋"/>
              </w:rPr>
              <w:t>31</w:t>
            </w:r>
          </w:p>
        </w:tc>
        <w:tc>
          <w:tcPr>
            <w:tcW w:w="7364" w:type="dxa"/>
            <w:vAlign w:val="center"/>
          </w:tcPr>
          <w:p w14:paraId="7E170AC4">
            <w:pPr>
              <w:rPr>
                <w:rFonts w:ascii="仿宋" w:hAnsi="仿宋" w:eastAsia="仿宋" w:cs="仿宋"/>
                <w:sz w:val="24"/>
              </w:rPr>
            </w:pPr>
            <w:r>
              <w:rPr>
                <w:rFonts w:hint="eastAsia" w:ascii="仿宋" w:hAnsi="仿宋" w:eastAsia="仿宋" w:cs="仿宋"/>
              </w:rPr>
              <w:t>履</w:t>
            </w:r>
            <w:r>
              <w:rPr>
                <w:rFonts w:hint="eastAsia" w:ascii="仿宋" w:hAnsi="仿宋" w:eastAsia="仿宋" w:cs="仿宋"/>
                <w:sz w:val="24"/>
              </w:rPr>
              <w:t>约保证金金额：合同总价的5%（不得超过政府采购合同金额的10%）</w:t>
            </w:r>
          </w:p>
          <w:p w14:paraId="0062E9F8">
            <w:pPr>
              <w:rPr>
                <w:rFonts w:ascii="仿宋" w:hAnsi="仿宋" w:eastAsia="仿宋" w:cs="仿宋"/>
                <w:sz w:val="24"/>
              </w:rPr>
            </w:pPr>
            <w:r>
              <w:rPr>
                <w:rFonts w:hint="eastAsia" w:ascii="仿宋" w:hAnsi="仿宋" w:eastAsia="仿宋" w:cs="仿宋"/>
                <w:sz w:val="24"/>
              </w:rPr>
              <w:t>履约保证金形式：电汇、网银、支票、保函</w:t>
            </w:r>
          </w:p>
          <w:p w14:paraId="41642718">
            <w:pPr>
              <w:rPr>
                <w:rFonts w:ascii="仿宋" w:hAnsi="仿宋" w:eastAsia="仿宋" w:cs="仿宋"/>
                <w:sz w:val="24"/>
              </w:rPr>
            </w:pPr>
            <w:r>
              <w:rPr>
                <w:rFonts w:hint="eastAsia" w:ascii="仿宋" w:hAnsi="仿宋" w:eastAsia="仿宋" w:cs="仿宋"/>
                <w:sz w:val="24"/>
              </w:rPr>
              <w:t>提交履约保证金的时间：领取成交通知书3日内（日历日）将履约保函办理完成。</w:t>
            </w:r>
          </w:p>
        </w:tc>
      </w:tr>
      <w:tr w14:paraId="41B781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45" w:hRule="atLeast"/>
        </w:trPr>
        <w:tc>
          <w:tcPr>
            <w:tcW w:w="944" w:type="dxa"/>
            <w:vAlign w:val="center"/>
          </w:tcPr>
          <w:p w14:paraId="212D857B">
            <w:pPr>
              <w:spacing w:line="240" w:lineRule="atLeast"/>
              <w:jc w:val="center"/>
              <w:rPr>
                <w:rFonts w:ascii="仿宋" w:hAnsi="仿宋" w:eastAsia="仿宋" w:cs="仿宋"/>
              </w:rPr>
            </w:pPr>
            <w:r>
              <w:rPr>
                <w:rFonts w:hint="eastAsia" w:ascii="仿宋" w:hAnsi="仿宋" w:eastAsia="仿宋" w:cs="仿宋"/>
                <w:sz w:val="24"/>
              </w:rPr>
              <w:t>32</w:t>
            </w:r>
          </w:p>
        </w:tc>
        <w:tc>
          <w:tcPr>
            <w:tcW w:w="7364" w:type="dxa"/>
            <w:vAlign w:val="center"/>
          </w:tcPr>
          <w:p w14:paraId="105B3594">
            <w:pPr>
              <w:spacing w:line="240" w:lineRule="atLeast"/>
              <w:rPr>
                <w:rFonts w:ascii="仿宋" w:hAnsi="仿宋" w:eastAsia="仿宋" w:cs="仿宋"/>
                <w:sz w:val="24"/>
              </w:rPr>
            </w:pPr>
            <w:r>
              <w:rPr>
                <w:rFonts w:hint="eastAsia" w:ascii="仿宋" w:hAnsi="仿宋" w:eastAsia="仿宋" w:cs="仿宋"/>
                <w:sz w:val="24"/>
              </w:rPr>
              <w:t>代理服务收费标准：参照发改价格【2015】299文，招标代理服务费由采购单位和代理机构协商确定。由成交单位按预算金额</w:t>
            </w:r>
            <w:r>
              <w:rPr>
                <w:rFonts w:ascii="仿宋" w:hAnsi="仿宋" w:eastAsia="仿宋" w:cs="仿宋"/>
                <w:sz w:val="24"/>
              </w:rPr>
              <w:t>差额定率累进法计算，支付费率标准如下：</w:t>
            </w:r>
          </w:p>
          <w:p w14:paraId="6FCE7EA4">
            <w:pPr>
              <w:spacing w:line="240" w:lineRule="atLeast"/>
              <w:rPr>
                <w:rFonts w:ascii="仿宋" w:hAnsi="仿宋" w:eastAsia="仿宋" w:cs="仿宋"/>
                <w:sz w:val="24"/>
              </w:rPr>
            </w:pPr>
            <w:r>
              <w:rPr>
                <w:rFonts w:ascii="仿宋" w:hAnsi="仿宋" w:eastAsia="仿宋" w:cs="仿宋"/>
                <w:sz w:val="24"/>
              </w:rPr>
              <w:t>50万元—100万元</w:t>
            </w:r>
            <w:r>
              <w:rPr>
                <w:rFonts w:hint="eastAsia" w:ascii="仿宋" w:hAnsi="仿宋" w:eastAsia="仿宋" w:cs="仿宋"/>
                <w:sz w:val="24"/>
              </w:rPr>
              <w:t xml:space="preserve">    </w:t>
            </w:r>
            <w:r>
              <w:rPr>
                <w:rFonts w:ascii="仿宋" w:hAnsi="仿宋" w:eastAsia="仿宋" w:cs="仿宋"/>
                <w:sz w:val="24"/>
              </w:rPr>
              <w:t>1.</w:t>
            </w:r>
            <w:r>
              <w:rPr>
                <w:rFonts w:hint="eastAsia" w:ascii="仿宋" w:hAnsi="仿宋" w:eastAsia="仿宋" w:cs="仿宋"/>
                <w:sz w:val="24"/>
                <w:lang w:val="en-US" w:eastAsia="zh-CN"/>
              </w:rPr>
              <w:t>0</w:t>
            </w:r>
            <w:r>
              <w:rPr>
                <w:rFonts w:ascii="仿宋" w:hAnsi="仿宋" w:eastAsia="仿宋" w:cs="仿宋"/>
                <w:sz w:val="24"/>
              </w:rPr>
              <w:t>%</w:t>
            </w:r>
          </w:p>
          <w:p w14:paraId="3F4278D7">
            <w:pPr>
              <w:spacing w:line="240" w:lineRule="atLeast"/>
              <w:rPr>
                <w:rFonts w:ascii="仿宋" w:hAnsi="仿宋" w:eastAsia="仿宋" w:cs="仿宋"/>
                <w:sz w:val="24"/>
              </w:rPr>
            </w:pPr>
            <w:r>
              <w:rPr>
                <w:rFonts w:ascii="仿宋" w:hAnsi="仿宋" w:eastAsia="仿宋" w:cs="仿宋"/>
                <w:sz w:val="24"/>
              </w:rPr>
              <w:t>100万元—300万元</w:t>
            </w:r>
            <w:r>
              <w:rPr>
                <w:rFonts w:hint="eastAsia" w:ascii="仿宋" w:hAnsi="仿宋" w:eastAsia="仿宋" w:cs="仿宋"/>
                <w:sz w:val="24"/>
              </w:rPr>
              <w:t xml:space="preserve">   </w:t>
            </w:r>
            <w:r>
              <w:rPr>
                <w:rFonts w:hint="eastAsia" w:ascii="仿宋" w:hAnsi="仿宋" w:eastAsia="仿宋" w:cs="仿宋"/>
                <w:sz w:val="24"/>
                <w:lang w:val="en-US" w:eastAsia="zh-CN"/>
              </w:rPr>
              <w:t>0.7</w:t>
            </w:r>
            <w:r>
              <w:rPr>
                <w:rFonts w:ascii="仿宋" w:hAnsi="仿宋" w:eastAsia="仿宋" w:cs="仿宋"/>
                <w:sz w:val="24"/>
              </w:rPr>
              <w:t>%</w:t>
            </w:r>
          </w:p>
          <w:p w14:paraId="68FA1BE3">
            <w:pPr>
              <w:rPr>
                <w:rFonts w:ascii="仿宋" w:hAnsi="仿宋" w:eastAsia="仿宋" w:cs="仿宋"/>
                <w:sz w:val="24"/>
              </w:rPr>
            </w:pPr>
            <w:r>
              <w:rPr>
                <w:rFonts w:hint="eastAsia" w:ascii="仿宋" w:hAnsi="仿宋" w:eastAsia="仿宋" w:cs="仿宋"/>
                <w:sz w:val="24"/>
              </w:rPr>
              <w:t>支付形式：电汇、网银、支票</w:t>
            </w:r>
          </w:p>
          <w:p w14:paraId="7BA8733E">
            <w:pPr>
              <w:rPr>
                <w:rFonts w:ascii="仿宋" w:hAnsi="仿宋" w:eastAsia="仿宋" w:cs="仿宋"/>
              </w:rPr>
            </w:pPr>
            <w:r>
              <w:rPr>
                <w:rFonts w:hint="eastAsia" w:ascii="仿宋" w:hAnsi="仿宋" w:eastAsia="仿宋" w:cs="仿宋"/>
                <w:sz w:val="24"/>
              </w:rPr>
              <w:t>支付时间：成交公示后3个工作日内</w:t>
            </w:r>
          </w:p>
        </w:tc>
      </w:tr>
      <w:tr w14:paraId="33EABB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944" w:type="dxa"/>
            <w:vAlign w:val="center"/>
          </w:tcPr>
          <w:p w14:paraId="674F811E">
            <w:pPr>
              <w:spacing w:line="240" w:lineRule="atLeast"/>
              <w:jc w:val="center"/>
              <w:rPr>
                <w:rFonts w:ascii="仿宋" w:hAnsi="仿宋" w:eastAsia="仿宋" w:cs="仿宋"/>
                <w:sz w:val="24"/>
              </w:rPr>
            </w:pPr>
            <w:r>
              <w:rPr>
                <w:rFonts w:hint="eastAsia" w:ascii="仿宋" w:hAnsi="仿宋" w:eastAsia="仿宋" w:cs="仿宋"/>
                <w:sz w:val="24"/>
              </w:rPr>
              <w:t>33.2</w:t>
            </w:r>
          </w:p>
        </w:tc>
        <w:tc>
          <w:tcPr>
            <w:tcW w:w="7364" w:type="dxa"/>
            <w:vAlign w:val="center"/>
          </w:tcPr>
          <w:p w14:paraId="4B444449">
            <w:pPr>
              <w:spacing w:line="240" w:lineRule="atLeast"/>
            </w:pPr>
            <w:r>
              <w:rPr>
                <w:rFonts w:hint="eastAsia" w:ascii="仿宋" w:hAnsi="仿宋" w:eastAsia="仿宋" w:cs="仿宋"/>
                <w:sz w:val="24"/>
              </w:rPr>
              <w:t>本项目是否属于信用担保试点范围：</w:t>
            </w:r>
            <w:r>
              <w:rPr>
                <w:rFonts w:hint="eastAsia" w:ascii="仿宋" w:hAnsi="仿宋" w:eastAsia="仿宋" w:cs="仿宋"/>
                <w:sz w:val="24"/>
                <w:u w:val="single"/>
                <w:lang w:val="en-US" w:eastAsia="zh-CN"/>
              </w:rPr>
              <w:t>是</w:t>
            </w:r>
            <w:r>
              <w:rPr>
                <w:rFonts w:hint="eastAsia" w:ascii="仿宋" w:hAnsi="仿宋" w:eastAsia="仿宋" w:cs="仿宋"/>
                <w:i/>
                <w:sz w:val="24"/>
              </w:rPr>
              <w:t>（是、否）</w:t>
            </w:r>
          </w:p>
        </w:tc>
      </w:tr>
      <w:tr w14:paraId="19C8D9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944" w:type="dxa"/>
            <w:vAlign w:val="center"/>
          </w:tcPr>
          <w:p w14:paraId="3CFCEA5D">
            <w:pPr>
              <w:spacing w:line="240" w:lineRule="atLeast"/>
              <w:jc w:val="center"/>
              <w:rPr>
                <w:rFonts w:ascii="仿宋" w:hAnsi="仿宋" w:eastAsia="仿宋" w:cs="仿宋"/>
                <w:sz w:val="24"/>
              </w:rPr>
            </w:pPr>
          </w:p>
        </w:tc>
        <w:tc>
          <w:tcPr>
            <w:tcW w:w="7364" w:type="dxa"/>
            <w:vAlign w:val="center"/>
          </w:tcPr>
          <w:p w14:paraId="0085CC3E">
            <w:pPr>
              <w:rPr>
                <w:rFonts w:ascii="仿宋" w:hAnsi="仿宋" w:eastAsia="仿宋" w:cs="仿宋"/>
                <w:sz w:val="24"/>
              </w:rPr>
            </w:pPr>
            <w:r>
              <w:rPr>
                <w:rFonts w:hint="eastAsia" w:ascii="仿宋" w:hAnsi="仿宋" w:eastAsia="仿宋" w:cs="仿宋"/>
                <w:sz w:val="24"/>
              </w:rPr>
              <w:t>适用于本供应商须知的额外增加的变动：无</w:t>
            </w:r>
          </w:p>
        </w:tc>
      </w:tr>
      <w:tr w14:paraId="477B6F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0" w:hRule="atLeast"/>
        </w:trPr>
        <w:tc>
          <w:tcPr>
            <w:tcW w:w="944" w:type="dxa"/>
            <w:vAlign w:val="center"/>
          </w:tcPr>
          <w:p w14:paraId="54405417">
            <w:pPr>
              <w:spacing w:line="240" w:lineRule="atLeast"/>
              <w:jc w:val="center"/>
              <w:rPr>
                <w:rFonts w:ascii="仿宋" w:hAnsi="仿宋" w:eastAsia="仿宋" w:cs="仿宋"/>
                <w:sz w:val="24"/>
              </w:rPr>
            </w:pPr>
          </w:p>
        </w:tc>
        <w:tc>
          <w:tcPr>
            <w:tcW w:w="7364" w:type="dxa"/>
            <w:vAlign w:val="center"/>
          </w:tcPr>
          <w:p w14:paraId="3F4CABFD">
            <w:pPr>
              <w:rPr>
                <w:rFonts w:ascii="仿宋" w:hAnsi="仿宋" w:eastAsia="仿宋" w:cs="仿宋"/>
                <w:sz w:val="24"/>
              </w:rPr>
            </w:pPr>
          </w:p>
        </w:tc>
      </w:tr>
    </w:tbl>
    <w:p w14:paraId="3FF52770">
      <w:pPr>
        <w:pStyle w:val="25"/>
        <w:rPr>
          <w:rFonts w:ascii="仿宋" w:hAnsi="仿宋" w:eastAsia="仿宋" w:cs="仿宋"/>
        </w:rPr>
        <w:sectPr>
          <w:headerReference r:id="rId11" w:type="default"/>
          <w:footerReference r:id="rId12" w:type="default"/>
          <w:pgSz w:w="11906" w:h="16838"/>
          <w:pgMar w:top="1440" w:right="1800" w:bottom="1440" w:left="1800" w:header="283" w:footer="992" w:gutter="0"/>
          <w:cols w:space="720" w:num="1"/>
          <w:docGrid w:type="linesAndChars" w:linePitch="312" w:charSpace="0"/>
        </w:sectPr>
      </w:pPr>
      <w:bookmarkStart w:id="348" w:name="_Toc218935351"/>
      <w:bookmarkStart w:id="349" w:name="_Toc219175635"/>
      <w:bookmarkStart w:id="350" w:name="_Toc216582811"/>
      <w:bookmarkStart w:id="351" w:name="_Toc216513787"/>
    </w:p>
    <w:bookmarkEnd w:id="348"/>
    <w:bookmarkEnd w:id="349"/>
    <w:bookmarkEnd w:id="350"/>
    <w:bookmarkEnd w:id="351"/>
    <w:p w14:paraId="7D252AE7">
      <w:pPr>
        <w:pStyle w:val="2"/>
        <w:numPr>
          <w:ilvl w:val="0"/>
          <w:numId w:val="8"/>
        </w:numPr>
        <w:tabs>
          <w:tab w:val="left" w:pos="0"/>
        </w:tabs>
        <w:spacing w:before="0" w:after="0" w:line="240" w:lineRule="atLeast"/>
      </w:pPr>
      <w:bookmarkStart w:id="352" w:name="_Toc507399906"/>
      <w:bookmarkStart w:id="353" w:name="_Toc218935354"/>
      <w:bookmarkStart w:id="354" w:name="_Toc219175638"/>
      <w:bookmarkStart w:id="355" w:name="_Toc515647831"/>
      <w:bookmarkStart w:id="356" w:name="_Toc9887"/>
      <w:bookmarkStart w:id="357" w:name="_Toc9698"/>
      <w:bookmarkStart w:id="358" w:name="_Toc216582825"/>
      <w:bookmarkStart w:id="359" w:name="_Toc512937852"/>
      <w:bookmarkStart w:id="360" w:name="_Toc9032"/>
      <w:r>
        <w:rPr>
          <w:rFonts w:hint="eastAsia" w:ascii="仿宋" w:hAnsi="仿宋" w:eastAsia="仿宋" w:cs="仿宋"/>
        </w:rPr>
        <w:t>服务需求一览表及参数规格</w:t>
      </w:r>
      <w:bookmarkEnd w:id="352"/>
      <w:bookmarkEnd w:id="353"/>
      <w:bookmarkEnd w:id="354"/>
      <w:bookmarkEnd w:id="355"/>
      <w:bookmarkEnd w:id="356"/>
      <w:bookmarkEnd w:id="357"/>
      <w:bookmarkEnd w:id="358"/>
      <w:bookmarkEnd w:id="359"/>
      <w:bookmarkEnd w:id="360"/>
    </w:p>
    <w:p w14:paraId="2A5FBE1B">
      <w:pPr>
        <w:pStyle w:val="5"/>
        <w:ind w:firstLine="0"/>
        <w:rPr>
          <w:b/>
          <w:bCs/>
        </w:rPr>
      </w:pPr>
    </w:p>
    <w:p w14:paraId="55CF5CC5">
      <w:pPr>
        <w:numPr>
          <w:ilvl w:val="0"/>
          <w:numId w:val="9"/>
        </w:numPr>
        <w:rPr>
          <w:rFonts w:ascii="仿宋" w:hAnsi="仿宋" w:eastAsia="仿宋" w:cs="仿宋"/>
          <w:b/>
          <w:bCs/>
          <w:sz w:val="28"/>
          <w:szCs w:val="28"/>
        </w:rPr>
      </w:pPr>
      <w:r>
        <w:rPr>
          <w:rFonts w:hint="eastAsia" w:ascii="仿宋" w:hAnsi="仿宋" w:eastAsia="仿宋" w:cs="仿宋"/>
          <w:b/>
          <w:bCs/>
          <w:sz w:val="28"/>
          <w:szCs w:val="28"/>
        </w:rPr>
        <w:t>项目概况</w:t>
      </w:r>
    </w:p>
    <w:p w14:paraId="2A660DF5">
      <w:pPr>
        <w:pStyle w:val="41"/>
        <w:ind w:firstLine="0" w:firstLineChars="0"/>
        <w:rPr>
          <w:rFonts w:hint="eastAsia" w:ascii="仿宋" w:hAnsi="仿宋" w:eastAsia="仿宋" w:cs="仿宋"/>
          <w:sz w:val="28"/>
          <w:szCs w:val="28"/>
          <w:lang w:eastAsia="zh-CN"/>
        </w:rPr>
      </w:pPr>
      <w:r>
        <w:rPr>
          <w:rFonts w:ascii="仿宋" w:hAnsi="仿宋" w:eastAsia="仿宋" w:cs="仿宋"/>
          <w:sz w:val="28"/>
          <w:szCs w:val="28"/>
        </w:rPr>
        <w:t>项目名称：</w:t>
      </w:r>
      <w:r>
        <w:rPr>
          <w:rFonts w:hint="eastAsia" w:ascii="仿宋" w:hAnsi="仿宋" w:eastAsia="仿宋" w:cs="仿宋"/>
          <w:sz w:val="28"/>
          <w:szCs w:val="28"/>
          <w:lang w:eastAsia="zh-CN"/>
        </w:rPr>
        <w:t>启迪冰雪项目三通一平土方清运采购项目二次</w:t>
      </w:r>
    </w:p>
    <w:p w14:paraId="27E5C128">
      <w:pPr>
        <w:pStyle w:val="41"/>
        <w:ind w:firstLine="0" w:firstLineChars="0"/>
        <w:rPr>
          <w:rFonts w:ascii="仿宋" w:hAnsi="仿宋" w:eastAsia="仿宋" w:cs="仿宋"/>
          <w:sz w:val="28"/>
          <w:szCs w:val="28"/>
        </w:rPr>
      </w:pPr>
      <w:r>
        <w:rPr>
          <w:rFonts w:ascii="仿宋" w:hAnsi="仿宋" w:eastAsia="仿宋" w:cs="仿宋"/>
          <w:sz w:val="28"/>
          <w:szCs w:val="28"/>
        </w:rPr>
        <w:t>采购单位：</w:t>
      </w:r>
      <w:r>
        <w:rPr>
          <w:rFonts w:hint="eastAsia" w:ascii="仿宋" w:hAnsi="仿宋" w:eastAsia="仿宋" w:cs="仿宋"/>
          <w:sz w:val="28"/>
          <w:szCs w:val="28"/>
          <w:lang w:eastAsia="zh-CN"/>
        </w:rPr>
        <w:t xml:space="preserve">喀什经济开发区城东金融贸易发展服务中心 </w:t>
      </w:r>
      <w:r>
        <w:rPr>
          <w:rFonts w:ascii="仿宋" w:hAnsi="仿宋" w:eastAsia="仿宋" w:cs="仿宋"/>
          <w:sz w:val="28"/>
          <w:szCs w:val="28"/>
        </w:rPr>
        <w:t xml:space="preserve">  </w:t>
      </w:r>
    </w:p>
    <w:p w14:paraId="376416C9">
      <w:pPr>
        <w:pStyle w:val="41"/>
        <w:ind w:firstLine="0" w:firstLineChars="0"/>
        <w:rPr>
          <w:rFonts w:ascii="仿宋" w:hAnsi="仿宋" w:eastAsia="仿宋" w:cs="仿宋"/>
          <w:sz w:val="28"/>
          <w:szCs w:val="28"/>
        </w:rPr>
      </w:pPr>
      <w:r>
        <w:rPr>
          <w:rFonts w:ascii="仿宋" w:hAnsi="仿宋" w:eastAsia="仿宋" w:cs="仿宋"/>
          <w:sz w:val="28"/>
          <w:szCs w:val="28"/>
        </w:rPr>
        <w:t>采购内容：</w:t>
      </w:r>
      <w:r>
        <w:rPr>
          <w:rFonts w:hint="eastAsia" w:ascii="仿宋" w:hAnsi="仿宋" w:eastAsia="仿宋" w:cs="仿宋"/>
          <w:sz w:val="28"/>
          <w:szCs w:val="28"/>
        </w:rPr>
        <w:t>土石方运输</w:t>
      </w:r>
      <w:r>
        <w:rPr>
          <w:rFonts w:ascii="仿宋" w:hAnsi="仿宋" w:eastAsia="仿宋" w:cs="仿宋"/>
          <w:sz w:val="28"/>
          <w:szCs w:val="28"/>
        </w:rPr>
        <w:t>服务采购</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具体详见</w:t>
      </w:r>
      <w:r>
        <w:rPr>
          <w:rFonts w:hint="default" w:ascii="仿宋" w:hAnsi="仿宋" w:eastAsia="仿宋" w:cs="仿宋"/>
          <w:b w:val="0"/>
          <w:bCs w:val="0"/>
          <w:color w:val="auto"/>
          <w:kern w:val="2"/>
          <w:sz w:val="28"/>
          <w:szCs w:val="28"/>
          <w:highlight w:val="none"/>
          <w:lang w:val="en-US" w:eastAsia="zh-CN" w:bidi="ar-SA"/>
        </w:rPr>
        <w:t>原始面高程点平面图</w:t>
      </w:r>
      <w:r>
        <w:rPr>
          <w:rFonts w:ascii="仿宋" w:hAnsi="仿宋" w:eastAsia="仿宋" w:cs="仿宋"/>
          <w:sz w:val="28"/>
          <w:szCs w:val="28"/>
        </w:rPr>
        <w:t xml:space="preserve">。 </w:t>
      </w:r>
    </w:p>
    <w:p w14:paraId="20DD2FD7">
      <w:pPr>
        <w:pStyle w:val="41"/>
        <w:ind w:firstLine="0" w:firstLineChars="0"/>
        <w:rPr>
          <w:rFonts w:hint="default" w:ascii="仿宋" w:hAnsi="仿宋" w:eastAsia="仿宋" w:cs="仿宋"/>
          <w:sz w:val="28"/>
          <w:szCs w:val="28"/>
          <w:lang w:val="en-US" w:eastAsia="zh-CN"/>
        </w:rPr>
      </w:pPr>
      <w:r>
        <w:rPr>
          <w:rFonts w:ascii="仿宋" w:hAnsi="仿宋" w:eastAsia="仿宋" w:cs="仿宋"/>
          <w:sz w:val="28"/>
          <w:szCs w:val="28"/>
        </w:rPr>
        <w:t>地理位置：</w:t>
      </w:r>
      <w:r>
        <w:rPr>
          <w:rFonts w:hint="eastAsia" w:ascii="仿宋" w:hAnsi="仿宋" w:eastAsia="仿宋" w:cs="仿宋"/>
          <w:sz w:val="28"/>
          <w:szCs w:val="28"/>
          <w:lang w:val="en-US" w:eastAsia="zh-CN"/>
        </w:rPr>
        <w:t>甲方指定位置</w:t>
      </w:r>
    </w:p>
    <w:p w14:paraId="1F3D40F5">
      <w:pPr>
        <w:pStyle w:val="41"/>
        <w:ind w:firstLine="0" w:firstLineChars="0"/>
      </w:pPr>
      <w:r>
        <w:rPr>
          <w:rFonts w:ascii="仿宋" w:hAnsi="仿宋" w:eastAsia="仿宋" w:cs="仿宋"/>
          <w:sz w:val="28"/>
          <w:szCs w:val="28"/>
        </w:rPr>
        <w:t>采购范围及内容：</w:t>
      </w:r>
      <w:r>
        <w:rPr>
          <w:rFonts w:hint="eastAsia" w:ascii="仿宋" w:hAnsi="仿宋" w:eastAsia="仿宋" w:cs="仿宋"/>
          <w:sz w:val="28"/>
          <w:szCs w:val="28"/>
          <w:lang w:val="en-US" w:eastAsia="zh-CN"/>
        </w:rPr>
        <w:t>以</w:t>
      </w:r>
      <w:r>
        <w:rPr>
          <w:rFonts w:hint="default" w:ascii="仿宋" w:hAnsi="仿宋" w:eastAsia="仿宋" w:cs="仿宋"/>
          <w:b w:val="0"/>
          <w:bCs w:val="0"/>
          <w:color w:val="auto"/>
          <w:kern w:val="2"/>
          <w:sz w:val="28"/>
          <w:szCs w:val="28"/>
          <w:highlight w:val="none"/>
          <w:lang w:val="en-US" w:eastAsia="zh-CN" w:bidi="ar-SA"/>
        </w:rPr>
        <w:t>竞争性磋商文件、原始面高程点平面图所示范围的全部工作内容</w:t>
      </w:r>
      <w:r>
        <w:rPr>
          <w:rFonts w:hint="eastAsia" w:ascii="仿宋" w:hAnsi="仿宋" w:eastAsia="仿宋" w:cs="仿宋"/>
          <w:b w:val="0"/>
          <w:bCs w:val="0"/>
          <w:color w:val="auto"/>
          <w:kern w:val="2"/>
          <w:sz w:val="28"/>
          <w:szCs w:val="28"/>
          <w:highlight w:val="none"/>
          <w:lang w:val="en-US" w:eastAsia="zh-CN" w:bidi="ar-SA"/>
        </w:rPr>
        <w:t>为准</w:t>
      </w:r>
      <w:r>
        <w:rPr>
          <w:rFonts w:hint="default" w:ascii="仿宋" w:hAnsi="仿宋" w:eastAsia="仿宋" w:cs="仿宋"/>
          <w:b w:val="0"/>
          <w:bCs w:val="0"/>
          <w:color w:val="auto"/>
          <w:kern w:val="2"/>
          <w:sz w:val="28"/>
          <w:szCs w:val="28"/>
          <w:highlight w:val="none"/>
          <w:lang w:val="en-US" w:eastAsia="zh-CN" w:bidi="ar-SA"/>
        </w:rPr>
        <w:t>。</w:t>
      </w:r>
    </w:p>
    <w:p w14:paraId="63534E30">
      <w:pPr>
        <w:rPr>
          <w:rFonts w:ascii="仿宋" w:hAnsi="仿宋" w:eastAsia="仿宋" w:cs="仿宋"/>
          <w:b/>
          <w:bCs/>
          <w:sz w:val="28"/>
          <w:szCs w:val="28"/>
        </w:rPr>
      </w:pPr>
      <w:r>
        <w:rPr>
          <w:rFonts w:hint="eastAsia" w:ascii="仿宋" w:hAnsi="仿宋" w:eastAsia="仿宋" w:cs="仿宋"/>
          <w:b/>
          <w:bCs/>
          <w:sz w:val="28"/>
          <w:szCs w:val="28"/>
        </w:rPr>
        <w:t>二、适用规范标准</w:t>
      </w:r>
    </w:p>
    <w:p w14:paraId="4031EF5F">
      <w:pPr>
        <w:rPr>
          <w:rFonts w:ascii="仿宋" w:hAnsi="仿宋" w:eastAsia="仿宋" w:cs="仿宋"/>
          <w:sz w:val="28"/>
          <w:szCs w:val="28"/>
        </w:rPr>
      </w:pPr>
      <w:r>
        <w:rPr>
          <w:rFonts w:hint="eastAsia" w:ascii="仿宋" w:hAnsi="仿宋" w:eastAsia="仿宋" w:cs="仿宋"/>
          <w:sz w:val="28"/>
          <w:szCs w:val="28"/>
        </w:rPr>
        <w:t>1. 国家、行业、项目所在地规范名录</w:t>
      </w:r>
    </w:p>
    <w:p w14:paraId="55563791">
      <w:pPr>
        <w:rPr>
          <w:rFonts w:ascii="仿宋" w:hAnsi="仿宋" w:eastAsia="仿宋" w:cs="仿宋"/>
          <w:sz w:val="28"/>
          <w:szCs w:val="28"/>
        </w:rPr>
      </w:pPr>
      <w:r>
        <w:rPr>
          <w:rFonts w:hint="eastAsia" w:ascii="仿宋" w:hAnsi="仿宋" w:eastAsia="仿宋" w:cs="仿宋"/>
          <w:sz w:val="28"/>
          <w:szCs w:val="28"/>
        </w:rPr>
        <w:t>2. 国家、行业、项目所在地标准名录</w:t>
      </w:r>
    </w:p>
    <w:p w14:paraId="21A9C863">
      <w:pPr>
        <w:rPr>
          <w:rFonts w:ascii="仿宋" w:hAnsi="仿宋" w:eastAsia="仿宋" w:cs="仿宋"/>
          <w:sz w:val="28"/>
          <w:szCs w:val="28"/>
        </w:rPr>
      </w:pPr>
      <w:r>
        <w:rPr>
          <w:rFonts w:hint="eastAsia" w:ascii="仿宋" w:hAnsi="仿宋" w:eastAsia="仿宋" w:cs="仿宋"/>
          <w:sz w:val="28"/>
          <w:szCs w:val="28"/>
        </w:rPr>
        <w:t>3. 国家、行业、项目所在地规程名录</w:t>
      </w:r>
    </w:p>
    <w:p w14:paraId="3DF9067A">
      <w:pPr>
        <w:rPr>
          <w:rFonts w:ascii="仿宋" w:hAnsi="仿宋" w:eastAsia="仿宋" w:cs="仿宋"/>
          <w:b/>
          <w:bCs/>
          <w:sz w:val="28"/>
          <w:szCs w:val="28"/>
        </w:rPr>
      </w:pPr>
      <w:r>
        <w:rPr>
          <w:rFonts w:hint="eastAsia" w:ascii="仿宋" w:hAnsi="仿宋" w:eastAsia="仿宋" w:cs="仿宋"/>
          <w:b/>
          <w:bCs/>
          <w:sz w:val="28"/>
          <w:szCs w:val="28"/>
        </w:rPr>
        <w:t>三、供应商需要自备的工作条件</w:t>
      </w:r>
    </w:p>
    <w:p w14:paraId="1450F504">
      <w:pPr>
        <w:rPr>
          <w:rFonts w:hint="eastAsia" w:ascii="仿宋" w:hAnsi="仿宋" w:eastAsia="仿宋" w:cs="仿宋"/>
          <w:sz w:val="28"/>
          <w:szCs w:val="28"/>
          <w:lang w:eastAsia="zh-CN"/>
        </w:rPr>
      </w:pPr>
      <w:r>
        <w:rPr>
          <w:rFonts w:hint="eastAsia" w:ascii="仿宋" w:hAnsi="仿宋" w:eastAsia="仿宋" w:cs="仿宋"/>
          <w:sz w:val="28"/>
          <w:szCs w:val="28"/>
        </w:rPr>
        <w:t>1. 供应商自备的工作手册：如本项目必备的规范标准、图集等</w:t>
      </w:r>
      <w:r>
        <w:rPr>
          <w:rFonts w:hint="eastAsia" w:ascii="仿宋" w:hAnsi="仿宋" w:eastAsia="仿宋" w:cs="仿宋"/>
          <w:sz w:val="28"/>
          <w:szCs w:val="28"/>
          <w:lang w:eastAsia="zh-CN"/>
        </w:rPr>
        <w:t>。</w:t>
      </w:r>
    </w:p>
    <w:p w14:paraId="7E6D6F7B">
      <w:pPr>
        <w:rPr>
          <w:rFonts w:hint="eastAsia" w:ascii="仿宋" w:hAnsi="仿宋" w:eastAsia="仿宋" w:cs="仿宋"/>
          <w:sz w:val="28"/>
          <w:szCs w:val="28"/>
          <w:lang w:eastAsia="zh-CN"/>
        </w:rPr>
      </w:pPr>
      <w:r>
        <w:rPr>
          <w:rFonts w:hint="eastAsia" w:ascii="仿宋" w:hAnsi="仿宋" w:eastAsia="仿宋" w:cs="仿宋"/>
          <w:sz w:val="28"/>
          <w:szCs w:val="28"/>
        </w:rPr>
        <w:t>2. 供应商自备的办公设备：如电脑、软件、打印机、复印机、照相机等</w:t>
      </w:r>
      <w:r>
        <w:rPr>
          <w:rFonts w:hint="eastAsia" w:ascii="仿宋" w:hAnsi="仿宋" w:eastAsia="仿宋" w:cs="仿宋"/>
          <w:sz w:val="28"/>
          <w:szCs w:val="28"/>
          <w:lang w:eastAsia="zh-CN"/>
        </w:rPr>
        <w:t>。</w:t>
      </w:r>
    </w:p>
    <w:p w14:paraId="569E42F6">
      <w:pPr>
        <w:rPr>
          <w:rFonts w:hint="eastAsia" w:ascii="仿宋" w:hAnsi="仿宋" w:eastAsia="仿宋" w:cs="仿宋"/>
          <w:sz w:val="28"/>
          <w:szCs w:val="28"/>
          <w:lang w:eastAsia="zh-CN"/>
        </w:rPr>
      </w:pPr>
      <w:r>
        <w:rPr>
          <w:rFonts w:hint="eastAsia" w:ascii="仿宋" w:hAnsi="仿宋" w:eastAsia="仿宋" w:cs="仿宋"/>
          <w:sz w:val="28"/>
          <w:szCs w:val="28"/>
        </w:rPr>
        <w:t>3. 供应商自备的交通工具：如出行车辆、设备车辆等</w:t>
      </w:r>
      <w:r>
        <w:rPr>
          <w:rFonts w:hint="eastAsia" w:ascii="仿宋" w:hAnsi="仿宋" w:eastAsia="仿宋" w:cs="仿宋"/>
          <w:sz w:val="28"/>
          <w:szCs w:val="28"/>
          <w:lang w:eastAsia="zh-CN"/>
        </w:rPr>
        <w:t>。</w:t>
      </w:r>
    </w:p>
    <w:p w14:paraId="2D0B5443">
      <w:pPr>
        <w:rPr>
          <w:rFonts w:ascii="仿宋" w:hAnsi="仿宋" w:eastAsia="仿宋" w:cs="仿宋"/>
          <w:sz w:val="28"/>
          <w:szCs w:val="28"/>
        </w:rPr>
      </w:pPr>
      <w:r>
        <w:rPr>
          <w:rFonts w:hint="eastAsia" w:ascii="仿宋" w:hAnsi="仿宋" w:eastAsia="仿宋" w:cs="仿宋"/>
          <w:sz w:val="28"/>
          <w:szCs w:val="28"/>
        </w:rPr>
        <w:t>4. 供应商自备的安全设施：如安全帽、安全带、安全鞋、手电筒等</w:t>
      </w:r>
    </w:p>
    <w:p w14:paraId="6A9B575F">
      <w:pPr>
        <w:rPr>
          <w:rFonts w:hint="default" w:ascii="仿宋" w:hAnsi="仿宋" w:eastAsia="仿宋" w:cs="仿宋"/>
          <w:b/>
          <w:bCs/>
          <w:sz w:val="28"/>
          <w:szCs w:val="28"/>
          <w:highlight w:val="none"/>
          <w:lang w:val="en-US" w:eastAsia="zh-CN"/>
        </w:rPr>
      </w:pPr>
      <w:r>
        <w:rPr>
          <w:rFonts w:hint="eastAsia" w:ascii="仿宋" w:hAnsi="仿宋" w:eastAsia="仿宋" w:cs="仿宋"/>
          <w:sz w:val="28"/>
          <w:szCs w:val="28"/>
          <w:highlight w:val="none"/>
          <w:lang w:val="en-US" w:eastAsia="zh-CN"/>
        </w:rPr>
        <w:t>5. 供应商自行寻找土石方处理地点，如处理不当造成的损失自行负责。</w:t>
      </w:r>
    </w:p>
    <w:p w14:paraId="0FFDBBC5">
      <w:pPr>
        <w:rPr>
          <w:rFonts w:ascii="仿宋" w:hAnsi="仿宋" w:eastAsia="仿宋" w:cs="仿宋"/>
          <w:sz w:val="28"/>
          <w:szCs w:val="28"/>
        </w:rPr>
      </w:pPr>
      <w:r>
        <w:rPr>
          <w:rFonts w:hint="eastAsia" w:ascii="仿宋" w:hAnsi="仿宋" w:eastAsia="仿宋" w:cs="仿宋"/>
          <w:b/>
          <w:bCs/>
          <w:sz w:val="28"/>
          <w:szCs w:val="28"/>
        </w:rPr>
        <w:t>四、服务要求：</w:t>
      </w:r>
      <w:r>
        <w:rPr>
          <w:rFonts w:hint="eastAsia" w:ascii="仿宋" w:hAnsi="仿宋" w:eastAsia="仿宋" w:cs="仿宋"/>
          <w:sz w:val="28"/>
          <w:szCs w:val="28"/>
        </w:rPr>
        <w:t>供应商需在施工期间需做好防尘措施、安全紧急避险措施、尽量避免扰民施工，确保施工人员安全的情况下施工。</w:t>
      </w:r>
      <w:bookmarkStart w:id="1980" w:name="_GoBack"/>
      <w:bookmarkEnd w:id="1980"/>
    </w:p>
    <w:p w14:paraId="34114E98">
      <w:pPr>
        <w:rPr>
          <w:rFonts w:ascii="仿宋" w:hAnsi="仿宋" w:eastAsia="仿宋" w:cs="仿宋"/>
          <w:b/>
          <w:bCs/>
          <w:sz w:val="28"/>
          <w:szCs w:val="28"/>
        </w:rPr>
      </w:pPr>
      <w:r>
        <w:rPr>
          <w:rFonts w:hint="eastAsia" w:ascii="仿宋" w:hAnsi="仿宋" w:eastAsia="仿宋" w:cs="仿宋"/>
          <w:b/>
          <w:bCs/>
          <w:sz w:val="28"/>
          <w:szCs w:val="28"/>
        </w:rPr>
        <w:t>五、</w:t>
      </w:r>
      <w:r>
        <w:rPr>
          <w:rFonts w:hint="eastAsia" w:ascii="仿宋" w:hAnsi="仿宋" w:eastAsia="仿宋" w:cs="仿宋"/>
          <w:b/>
          <w:bCs/>
          <w:sz w:val="28"/>
          <w:szCs w:val="28"/>
          <w:lang w:val="en-US" w:eastAsia="zh-CN"/>
        </w:rPr>
        <w:t>采购人</w:t>
      </w:r>
      <w:r>
        <w:rPr>
          <w:rFonts w:hint="eastAsia" w:ascii="仿宋" w:hAnsi="仿宋" w:eastAsia="仿宋" w:cs="仿宋"/>
          <w:b/>
          <w:bCs/>
          <w:sz w:val="28"/>
          <w:szCs w:val="28"/>
        </w:rPr>
        <w:t>权利和义务</w:t>
      </w:r>
    </w:p>
    <w:p w14:paraId="1654936F">
      <w:pPr>
        <w:rPr>
          <w:rFonts w:ascii="仿宋" w:hAnsi="仿宋" w:eastAsia="仿宋" w:cs="仿宋"/>
          <w:sz w:val="28"/>
          <w:szCs w:val="28"/>
        </w:rPr>
      </w:pPr>
      <w:r>
        <w:rPr>
          <w:rFonts w:hint="eastAsia" w:ascii="仿宋" w:hAnsi="仿宋" w:eastAsia="仿宋" w:cs="仿宋"/>
          <w:sz w:val="28"/>
          <w:szCs w:val="28"/>
        </w:rPr>
        <w:t>1、负责提供土石方运输项目相关资料，指定</w:t>
      </w:r>
      <w:r>
        <w:rPr>
          <w:rFonts w:hint="eastAsia" w:ascii="仿宋" w:hAnsi="仿宋" w:eastAsia="仿宋" w:cs="仿宋"/>
          <w:sz w:val="28"/>
          <w:szCs w:val="28"/>
          <w:lang w:val="en-US" w:eastAsia="zh-CN"/>
        </w:rPr>
        <w:t>土石方清理</w:t>
      </w:r>
      <w:r>
        <w:rPr>
          <w:rFonts w:hint="eastAsia" w:ascii="仿宋" w:hAnsi="仿宋" w:eastAsia="仿宋" w:cs="仿宋"/>
          <w:sz w:val="28"/>
          <w:szCs w:val="28"/>
        </w:rPr>
        <w:t xml:space="preserve">范围。 </w:t>
      </w:r>
    </w:p>
    <w:p w14:paraId="01D7321C">
      <w:pPr>
        <w:rPr>
          <w:rFonts w:ascii="仿宋" w:hAnsi="仿宋" w:eastAsia="仿宋" w:cs="仿宋"/>
          <w:sz w:val="28"/>
          <w:szCs w:val="28"/>
        </w:rPr>
      </w:pPr>
      <w:r>
        <w:rPr>
          <w:rFonts w:hint="eastAsia" w:ascii="仿宋" w:hAnsi="仿宋" w:eastAsia="仿宋" w:cs="仿宋"/>
          <w:sz w:val="28"/>
          <w:szCs w:val="28"/>
        </w:rPr>
        <w:t xml:space="preserve">2、负责对施工现场安全生产运输质量的监督、检查。 </w:t>
      </w:r>
    </w:p>
    <w:p w14:paraId="3A127346">
      <w:pPr>
        <w:rPr>
          <w:rFonts w:ascii="仿宋" w:hAnsi="仿宋" w:eastAsia="仿宋" w:cs="仿宋"/>
          <w:sz w:val="28"/>
          <w:szCs w:val="28"/>
        </w:rPr>
      </w:pPr>
      <w:r>
        <w:rPr>
          <w:rFonts w:hint="eastAsia" w:ascii="仿宋" w:hAnsi="仿宋" w:eastAsia="仿宋" w:cs="仿宋"/>
          <w:sz w:val="28"/>
          <w:szCs w:val="28"/>
        </w:rPr>
        <w:t>3、负责对土石方运输完毕后的地块组织验收工作。</w:t>
      </w:r>
    </w:p>
    <w:p w14:paraId="118CBBCC">
      <w:pPr>
        <w:rPr>
          <w:rFonts w:ascii="仿宋" w:hAnsi="仿宋" w:eastAsia="仿宋" w:cs="仿宋"/>
          <w:b/>
          <w:bCs/>
          <w:sz w:val="28"/>
          <w:szCs w:val="28"/>
        </w:rPr>
      </w:pPr>
      <w:r>
        <w:rPr>
          <w:rFonts w:hint="eastAsia" w:ascii="仿宋" w:hAnsi="仿宋" w:eastAsia="仿宋" w:cs="仿宋"/>
          <w:b/>
          <w:bCs/>
          <w:sz w:val="28"/>
          <w:szCs w:val="28"/>
        </w:rPr>
        <w:t>六、供应商权利和义务</w:t>
      </w:r>
    </w:p>
    <w:p w14:paraId="78BAB2A6">
      <w:pPr>
        <w:rPr>
          <w:rFonts w:ascii="仿宋" w:hAnsi="仿宋" w:eastAsia="仿宋" w:cs="仿宋"/>
          <w:sz w:val="28"/>
          <w:szCs w:val="28"/>
        </w:rPr>
      </w:pPr>
      <w:r>
        <w:rPr>
          <w:rFonts w:hint="eastAsia" w:ascii="仿宋" w:hAnsi="仿宋" w:eastAsia="仿宋" w:cs="仿宋"/>
          <w:sz w:val="28"/>
          <w:szCs w:val="28"/>
        </w:rPr>
        <w:t>1、负责组织施工机械、车辆及人员等按时进入拆除现场，保证工期顺利完成。乙方自备土石方运输所需的施工人员及机械设备。机械设备、人工及垃圾清运手续费等各类费用由乙方自行承担。</w:t>
      </w:r>
    </w:p>
    <w:p w14:paraId="7CC2E6E3">
      <w:pPr>
        <w:rPr>
          <w:rFonts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、应做到文明施工，并按照相关规定，做好围挡、扬尘、噪音等防护措施，确保施工现场、道路及周边环境整洁，因违反有关规定造成的损失和处罚均由乙方承担。</w:t>
      </w:r>
    </w:p>
    <w:p w14:paraId="633461D2">
      <w:pPr>
        <w:rPr>
          <w:rFonts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、乙方不得对工程转包或分包，否则甲方可单方解除本协议且不承担违约责任。</w:t>
      </w:r>
    </w:p>
    <w:p w14:paraId="318893A0">
      <w:pPr>
        <w:rPr>
          <w:rFonts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、乙方主动接受甲方的监督，土石方运输工作结束时，须经甲方验收合格后方可离场。</w:t>
      </w:r>
    </w:p>
    <w:p w14:paraId="516A3C89">
      <w:pPr>
        <w:rPr>
          <w:rFonts w:ascii="仿宋" w:hAnsi="仿宋" w:eastAsia="仿宋" w:cs="仿宋"/>
          <w:b/>
          <w:bCs/>
          <w:sz w:val="28"/>
          <w:szCs w:val="28"/>
        </w:rPr>
      </w:pPr>
      <w:r>
        <w:rPr>
          <w:rFonts w:hint="eastAsia" w:ascii="仿宋" w:hAnsi="仿宋" w:eastAsia="仿宋" w:cs="仿宋"/>
          <w:b/>
          <w:bCs/>
          <w:sz w:val="28"/>
          <w:szCs w:val="28"/>
        </w:rPr>
        <w:t>七、施工安全</w:t>
      </w:r>
    </w:p>
    <w:p w14:paraId="2FBA8312">
      <w:pPr>
        <w:rPr>
          <w:rFonts w:ascii="仿宋" w:hAnsi="仿宋" w:eastAsia="仿宋" w:cs="仿宋"/>
          <w:sz w:val="28"/>
          <w:szCs w:val="28"/>
        </w:rPr>
      </w:pPr>
      <w:r>
        <w:rPr>
          <w:rFonts w:hint="eastAsia" w:ascii="仿宋" w:hAnsi="仿宋" w:eastAsia="仿宋" w:cs="仿宋"/>
          <w:sz w:val="28"/>
          <w:szCs w:val="28"/>
        </w:rPr>
        <w:t>1、乙方应遵守工程建设安全生产有关管理规定，制定安全生产施工措施，严格按安全标准组织施工。随时接受安全检查人员依法实施的监督检查，采取必要的安全防护措施，消除事故隐患。</w:t>
      </w:r>
    </w:p>
    <w:p w14:paraId="365C3783">
      <w:pPr>
        <w:rPr>
          <w:rFonts w:ascii="仿宋" w:hAnsi="仿宋" w:eastAsia="仿宋" w:cs="仿宋"/>
          <w:sz w:val="28"/>
          <w:szCs w:val="28"/>
        </w:rPr>
      </w:pPr>
      <w:r>
        <w:rPr>
          <w:rFonts w:hint="eastAsia" w:ascii="仿宋" w:hAnsi="仿宋" w:eastAsia="仿宋" w:cs="仿宋"/>
          <w:sz w:val="28"/>
          <w:szCs w:val="28"/>
        </w:rPr>
        <w:t>2、乙方在施工过程中所造成的工伤等事故或给第三方造成人身、财产损失，概由乙方负责。</w:t>
      </w:r>
    </w:p>
    <w:p w14:paraId="13D25C5C">
      <w:pPr>
        <w:rPr>
          <w:rFonts w:ascii="仿宋" w:hAnsi="仿宋" w:eastAsia="仿宋" w:cs="仿宋"/>
          <w:sz w:val="28"/>
          <w:szCs w:val="28"/>
        </w:rPr>
      </w:pPr>
      <w:r>
        <w:rPr>
          <w:rFonts w:hint="eastAsia" w:ascii="仿宋" w:hAnsi="仿宋" w:eastAsia="仿宋" w:cs="仿宋"/>
          <w:sz w:val="28"/>
          <w:szCs w:val="28"/>
        </w:rPr>
        <w:t>3、乙方在施工过程中未按照要求</w:t>
      </w:r>
      <w:r>
        <w:rPr>
          <w:rFonts w:hint="eastAsia" w:ascii="仿宋" w:hAnsi="仿宋" w:eastAsia="仿宋" w:cs="仿宋"/>
          <w:sz w:val="28"/>
          <w:szCs w:val="28"/>
          <w:lang w:val="en-US" w:eastAsia="zh-CN"/>
        </w:rPr>
        <w:t>做好防护的对周围</w:t>
      </w:r>
      <w:r>
        <w:rPr>
          <w:rFonts w:hint="eastAsia" w:ascii="仿宋" w:hAnsi="仿宋" w:eastAsia="仿宋" w:cs="仿宋"/>
          <w:sz w:val="28"/>
          <w:szCs w:val="28"/>
        </w:rPr>
        <w:t>建筑物或附属物而造成的损失，由乙方承担。</w:t>
      </w:r>
    </w:p>
    <w:p w14:paraId="5CDDA254">
      <w:pPr>
        <w:rPr>
          <w:rFonts w:ascii="仿宋" w:hAnsi="仿宋" w:eastAsia="仿宋" w:cs="仿宋"/>
          <w:sz w:val="28"/>
          <w:szCs w:val="28"/>
        </w:rPr>
      </w:pPr>
      <w:r>
        <w:rPr>
          <w:rFonts w:hint="eastAsia" w:ascii="仿宋" w:hAnsi="仿宋" w:eastAsia="仿宋" w:cs="仿宋"/>
          <w:sz w:val="28"/>
          <w:szCs w:val="28"/>
        </w:rPr>
        <w:t>4、乙方在土石方运输过程中应做好安全防护工作，如因乙方安全措施不当，造成的一切损失由乙方承担。</w:t>
      </w:r>
    </w:p>
    <w:p w14:paraId="7D912E1F">
      <w:pPr>
        <w:rPr>
          <w:rFonts w:ascii="仿宋" w:hAnsi="仿宋" w:eastAsia="仿宋" w:cs="仿宋"/>
          <w:sz w:val="28"/>
          <w:szCs w:val="28"/>
        </w:rPr>
      </w:pPr>
      <w:r>
        <w:rPr>
          <w:rFonts w:hint="eastAsia" w:ascii="仿宋" w:hAnsi="仿宋" w:eastAsia="仿宋" w:cs="仿宋"/>
          <w:sz w:val="28"/>
          <w:szCs w:val="28"/>
        </w:rPr>
        <w:t>5、乙方按照约定的要求做好施工现场地下管线和邻近建筑物、构筑物的保护工作。</w:t>
      </w:r>
    </w:p>
    <w:p w14:paraId="1CE56951">
      <w:pPr>
        <w:rPr>
          <w:rFonts w:ascii="仿宋" w:hAnsi="仿宋" w:eastAsia="仿宋" w:cs="仿宋"/>
          <w:sz w:val="28"/>
          <w:szCs w:val="28"/>
        </w:rPr>
      </w:pPr>
      <w:r>
        <w:rPr>
          <w:rFonts w:hint="eastAsia" w:ascii="仿宋" w:hAnsi="仿宋" w:eastAsia="仿宋" w:cs="仿宋"/>
          <w:sz w:val="28"/>
          <w:szCs w:val="28"/>
        </w:rPr>
        <w:t>6、乙方应签署土石方运输施工安全责任书。</w:t>
      </w:r>
    </w:p>
    <w:p w14:paraId="4C77A948">
      <w:pPr>
        <w:rPr>
          <w:rFonts w:ascii="仿宋" w:hAnsi="仿宋" w:eastAsia="仿宋" w:cs="仿宋"/>
          <w:b/>
          <w:bCs/>
          <w:sz w:val="28"/>
          <w:szCs w:val="28"/>
        </w:rPr>
      </w:pPr>
      <w:r>
        <w:rPr>
          <w:rFonts w:hint="eastAsia" w:ascii="仿宋" w:hAnsi="仿宋" w:eastAsia="仿宋" w:cs="仿宋"/>
          <w:b/>
          <w:bCs/>
          <w:sz w:val="28"/>
          <w:szCs w:val="28"/>
          <w:lang w:val="en-US" w:eastAsia="zh-CN"/>
        </w:rPr>
        <w:t>八</w:t>
      </w:r>
      <w:r>
        <w:rPr>
          <w:rFonts w:hint="eastAsia" w:ascii="仿宋" w:hAnsi="仿宋" w:eastAsia="仿宋" w:cs="仿宋"/>
          <w:b/>
          <w:bCs/>
          <w:sz w:val="28"/>
          <w:szCs w:val="28"/>
        </w:rPr>
        <w:t xml:space="preserve">、项目商务要求 </w:t>
      </w:r>
    </w:p>
    <w:p w14:paraId="00864D58">
      <w:pPr>
        <w:rPr>
          <w:rFonts w:ascii="仿宋" w:hAnsi="仿宋" w:eastAsia="仿宋" w:cs="仿宋"/>
          <w:sz w:val="28"/>
          <w:szCs w:val="28"/>
        </w:rPr>
      </w:pPr>
      <w:r>
        <w:rPr>
          <w:rFonts w:hint="eastAsia" w:ascii="仿宋" w:hAnsi="仿宋" w:eastAsia="仿宋" w:cs="仿宋"/>
          <w:sz w:val="28"/>
          <w:szCs w:val="28"/>
        </w:rPr>
        <w:t xml:space="preserve">（一）服务时间 </w:t>
      </w:r>
    </w:p>
    <w:p w14:paraId="5740D7A8">
      <w:pPr>
        <w:rPr>
          <w:rFonts w:ascii="仿宋" w:hAnsi="仿宋" w:eastAsia="仿宋" w:cs="仿宋"/>
          <w:sz w:val="28"/>
          <w:szCs w:val="28"/>
        </w:rPr>
      </w:pPr>
      <w:r>
        <w:rPr>
          <w:rFonts w:hint="eastAsia" w:ascii="仿宋" w:hAnsi="仿宋" w:eastAsia="仿宋" w:cs="仿宋"/>
          <w:sz w:val="28"/>
          <w:szCs w:val="28"/>
        </w:rPr>
        <w:t>项目时间由签订合同之日起服务</w:t>
      </w:r>
      <w:r>
        <w:rPr>
          <w:rFonts w:hint="eastAsia" w:ascii="仿宋" w:hAnsi="仿宋" w:eastAsia="仿宋" w:cs="仿宋"/>
          <w:sz w:val="28"/>
          <w:szCs w:val="28"/>
          <w:lang w:val="en-US" w:eastAsia="zh-CN"/>
        </w:rPr>
        <w:t>14</w:t>
      </w:r>
      <w:r>
        <w:rPr>
          <w:rFonts w:hint="eastAsia" w:ascii="仿宋" w:hAnsi="仿宋" w:eastAsia="仿宋" w:cs="仿宋"/>
          <w:sz w:val="28"/>
          <w:szCs w:val="28"/>
        </w:rPr>
        <w:t>天。</w:t>
      </w:r>
    </w:p>
    <w:p w14:paraId="24745575">
      <w:pPr>
        <w:rPr>
          <w:rFonts w:ascii="仿宋" w:hAnsi="仿宋" w:eastAsia="仿宋" w:cs="仿宋"/>
          <w:sz w:val="28"/>
          <w:szCs w:val="28"/>
        </w:rPr>
      </w:pPr>
      <w:r>
        <w:rPr>
          <w:rFonts w:hint="eastAsia" w:ascii="仿宋" w:hAnsi="仿宋" w:eastAsia="仿宋" w:cs="仿宋"/>
          <w:sz w:val="28"/>
          <w:szCs w:val="28"/>
        </w:rPr>
        <w:t xml:space="preserve">（二）服务地点 </w:t>
      </w:r>
    </w:p>
    <w:p w14:paraId="3A82A751">
      <w:pPr>
        <w:rPr>
          <w:rFonts w:ascii="仿宋" w:hAnsi="仿宋" w:eastAsia="仿宋" w:cs="仿宋"/>
          <w:sz w:val="28"/>
          <w:szCs w:val="28"/>
        </w:rPr>
      </w:pPr>
      <w:r>
        <w:rPr>
          <w:rFonts w:hint="eastAsia" w:ascii="仿宋" w:hAnsi="仿宋" w:eastAsia="仿宋" w:cs="仿宋"/>
          <w:sz w:val="28"/>
          <w:szCs w:val="28"/>
        </w:rPr>
        <w:t>实施地点：</w:t>
      </w:r>
      <w:r>
        <w:rPr>
          <w:rFonts w:hint="eastAsia" w:ascii="仿宋" w:hAnsi="仿宋" w:eastAsia="仿宋" w:cs="仿宋"/>
          <w:sz w:val="28"/>
          <w:szCs w:val="28"/>
          <w:lang w:eastAsia="zh-CN"/>
        </w:rPr>
        <w:t xml:space="preserve">  喀什经济开发区城东金融贸易发展服务中心 </w:t>
      </w:r>
      <w:r>
        <w:rPr>
          <w:rFonts w:hint="eastAsia" w:ascii="仿宋" w:hAnsi="仿宋" w:eastAsia="仿宋" w:cs="仿宋"/>
          <w:sz w:val="28"/>
          <w:szCs w:val="28"/>
        </w:rPr>
        <w:t xml:space="preserve">（采购人指定地点） </w:t>
      </w:r>
    </w:p>
    <w:p w14:paraId="5608F171">
      <w:pPr>
        <w:rPr>
          <w:rFonts w:ascii="仿宋" w:hAnsi="仿宋" w:eastAsia="仿宋" w:cs="仿宋"/>
          <w:sz w:val="28"/>
          <w:szCs w:val="28"/>
        </w:rPr>
      </w:pPr>
      <w:r>
        <w:rPr>
          <w:rFonts w:hint="eastAsia" w:ascii="仿宋" w:hAnsi="仿宋" w:eastAsia="仿宋" w:cs="仿宋"/>
          <w:sz w:val="28"/>
          <w:szCs w:val="28"/>
        </w:rPr>
        <w:t xml:space="preserve">（三）报价要求 </w:t>
      </w:r>
    </w:p>
    <w:p w14:paraId="3B7C79CB">
      <w:pPr>
        <w:rPr>
          <w:rFonts w:ascii="仿宋" w:hAnsi="仿宋" w:eastAsia="仿宋" w:cs="仿宋"/>
          <w:sz w:val="28"/>
          <w:szCs w:val="28"/>
        </w:rPr>
      </w:pPr>
      <w:r>
        <w:rPr>
          <w:rFonts w:hint="eastAsia" w:ascii="仿宋" w:hAnsi="仿宋" w:eastAsia="仿宋" w:cs="仿宋"/>
          <w:sz w:val="28"/>
          <w:szCs w:val="28"/>
        </w:rPr>
        <w:t xml:space="preserve">投标报价包括完成本项目所需的成本、人工费、及各种应纳的税费等。因成交供应商自身原因造成的意外事故皆由其自行承担责任，与采购人无关。 </w:t>
      </w:r>
    </w:p>
    <w:p w14:paraId="134AC6DD">
      <w:pPr>
        <w:rPr>
          <w:rFonts w:ascii="仿宋" w:hAnsi="仿宋" w:eastAsia="仿宋" w:cs="仿宋"/>
          <w:sz w:val="28"/>
          <w:szCs w:val="28"/>
        </w:rPr>
      </w:pPr>
      <w:r>
        <w:rPr>
          <w:rFonts w:hint="eastAsia" w:ascii="仿宋" w:hAnsi="仿宋" w:eastAsia="仿宋" w:cs="仿宋"/>
          <w:sz w:val="28"/>
          <w:szCs w:val="28"/>
        </w:rPr>
        <w:t xml:space="preserve"> （四）付款方式：具体按双方合同约定执行。</w:t>
      </w:r>
    </w:p>
    <w:p w14:paraId="7728FF87">
      <w:pPr>
        <w:rPr>
          <w:rFonts w:ascii="仿宋" w:hAnsi="仿宋" w:eastAsia="仿宋" w:cs="仿宋"/>
          <w:sz w:val="28"/>
          <w:szCs w:val="28"/>
        </w:rPr>
      </w:pPr>
      <w:r>
        <w:rPr>
          <w:rFonts w:hint="eastAsia" w:ascii="仿宋" w:hAnsi="仿宋" w:eastAsia="仿宋" w:cs="仿宋"/>
          <w:sz w:val="28"/>
          <w:szCs w:val="28"/>
        </w:rPr>
        <w:t>（五）成交通知书发出后在30日内签订政府采购合同，若第一中标人拒绝签订政府采购合同，将取消中标资格，应当承担相应的法律责任。采购人可以按照评审报告推荐的成交候选人名单排序，确定下一候选人为中标人，也可以重新开展政府采购活动。</w:t>
      </w:r>
    </w:p>
    <w:p w14:paraId="7376AC30">
      <w:pPr>
        <w:rPr>
          <w:rFonts w:ascii="仿宋" w:hAnsi="仿宋" w:eastAsia="仿宋" w:cs="仿宋"/>
          <w:sz w:val="28"/>
          <w:szCs w:val="28"/>
        </w:rPr>
      </w:pPr>
    </w:p>
    <w:p w14:paraId="40688DAD">
      <w:bookmarkStart w:id="361" w:name="_Toc515647832"/>
      <w:bookmarkStart w:id="362" w:name="_Toc32647"/>
      <w:bookmarkStart w:id="363" w:name="_Toc7971"/>
      <w:bookmarkStart w:id="364" w:name="_Toc507399907"/>
      <w:r>
        <w:br w:type="page"/>
      </w:r>
    </w:p>
    <w:p w14:paraId="15BDD190">
      <w:pPr>
        <w:pStyle w:val="2"/>
        <w:tabs>
          <w:tab w:val="left" w:pos="0"/>
        </w:tabs>
        <w:spacing w:before="0" w:after="0" w:line="240" w:lineRule="atLeast"/>
        <w:rPr>
          <w:rFonts w:ascii="仿宋" w:hAnsi="仿宋" w:eastAsia="仿宋" w:cs="仿宋"/>
        </w:rPr>
      </w:pPr>
      <w:bookmarkStart w:id="365" w:name="_Toc21022"/>
      <w:r>
        <w:rPr>
          <w:rFonts w:hint="eastAsia" w:ascii="仿宋" w:hAnsi="仿宋" w:eastAsia="仿宋" w:cs="仿宋"/>
        </w:rPr>
        <w:t>第六章、评标方法和标准</w:t>
      </w:r>
      <w:bookmarkEnd w:id="361"/>
      <w:bookmarkEnd w:id="362"/>
      <w:bookmarkEnd w:id="363"/>
      <w:bookmarkEnd w:id="364"/>
      <w:bookmarkEnd w:id="365"/>
    </w:p>
    <w:p w14:paraId="5EB93CF1">
      <w:pPr>
        <w:pStyle w:val="13"/>
        <w:tabs>
          <w:tab w:val="clear" w:pos="567"/>
        </w:tabs>
        <w:spacing w:before="0" w:line="240" w:lineRule="atLeast"/>
        <w:ind w:firstLine="480" w:firstLineChars="200"/>
        <w:jc w:val="left"/>
        <w:rPr>
          <w:rFonts w:ascii="仿宋" w:hAnsi="仿宋" w:eastAsia="仿宋" w:cs="仿宋"/>
        </w:rPr>
      </w:pPr>
      <w:r>
        <w:rPr>
          <w:rFonts w:hint="eastAsia" w:ascii="仿宋" w:hAnsi="仿宋" w:eastAsia="仿宋" w:cs="仿宋"/>
        </w:rPr>
        <w:t>本项目将按照磋商文件第一章供应商须知中“五 开标及评标”、“六 确定成交”及本章的规定评标。</w:t>
      </w:r>
    </w:p>
    <w:p w14:paraId="61B19DB3">
      <w:pPr>
        <w:rPr>
          <w:rFonts w:ascii="仿宋" w:hAnsi="仿宋" w:eastAsia="仿宋" w:cs="仿宋"/>
          <w:b/>
          <w:bCs/>
          <w:sz w:val="24"/>
        </w:rPr>
      </w:pPr>
      <w:r>
        <w:rPr>
          <w:rFonts w:hint="eastAsia" w:ascii="仿宋" w:hAnsi="仿宋" w:eastAsia="仿宋" w:cs="仿宋"/>
          <w:b/>
          <w:bCs/>
          <w:sz w:val="24"/>
        </w:rPr>
        <w:t>一、</w:t>
      </w:r>
      <w:r>
        <w:rPr>
          <w:rFonts w:hint="eastAsia" w:ascii="仿宋" w:hAnsi="仿宋" w:eastAsia="仿宋" w:cs="仿宋"/>
          <w:b/>
          <w:bCs/>
          <w:kern w:val="0"/>
          <w:sz w:val="24"/>
          <w:lang w:bidi="ar"/>
        </w:rPr>
        <w:t>项目基本情况</w:t>
      </w:r>
    </w:p>
    <w:p w14:paraId="6DCDED8D">
      <w:pPr>
        <w:rPr>
          <w:rFonts w:hint="eastAsia" w:ascii="仿宋" w:hAnsi="仿宋" w:eastAsia="仿宋" w:cs="仿宋"/>
          <w:sz w:val="24"/>
          <w:lang w:eastAsia="zh-CN"/>
        </w:rPr>
      </w:pPr>
      <w:r>
        <w:rPr>
          <w:rFonts w:hint="eastAsia" w:ascii="仿宋" w:hAnsi="仿宋" w:eastAsia="仿宋" w:cs="仿宋"/>
          <w:sz w:val="24"/>
        </w:rPr>
        <w:t>项目名称：</w:t>
      </w:r>
      <w:r>
        <w:rPr>
          <w:rFonts w:hint="eastAsia" w:ascii="仿宋" w:hAnsi="仿宋" w:eastAsia="仿宋" w:cs="仿宋"/>
          <w:sz w:val="24"/>
          <w:lang w:eastAsia="zh-CN"/>
        </w:rPr>
        <w:t>启迪冰雪项目三通一平土方清运采购项目二次</w:t>
      </w:r>
    </w:p>
    <w:p w14:paraId="0B8E6E91">
      <w:pPr>
        <w:rPr>
          <w:rFonts w:ascii="仿宋" w:hAnsi="仿宋" w:eastAsia="仿宋" w:cs="仿宋"/>
          <w:sz w:val="24"/>
        </w:rPr>
      </w:pPr>
      <w:r>
        <w:rPr>
          <w:rFonts w:hint="eastAsia" w:ascii="仿宋" w:hAnsi="仿宋" w:eastAsia="仿宋" w:cs="仿宋"/>
          <w:sz w:val="24"/>
        </w:rPr>
        <w:t>采购方式：竞争性磋商</w:t>
      </w:r>
    </w:p>
    <w:p w14:paraId="3A3C9DFF">
      <w:pPr>
        <w:rPr>
          <w:rFonts w:ascii="仿宋" w:hAnsi="仿宋" w:eastAsia="仿宋" w:cs="仿宋"/>
          <w:sz w:val="24"/>
        </w:rPr>
      </w:pPr>
      <w:r>
        <w:rPr>
          <w:rFonts w:hint="eastAsia" w:ascii="仿宋" w:hAnsi="仿宋" w:eastAsia="仿宋" w:cs="仿宋"/>
          <w:sz w:val="24"/>
        </w:rPr>
        <w:t>评标办法; 综合评分法</w:t>
      </w:r>
    </w:p>
    <w:p w14:paraId="756EBEDB">
      <w:pPr>
        <w:ind w:firstLine="240" w:firstLineChars="100"/>
        <w:rPr>
          <w:rFonts w:ascii="仿宋" w:hAnsi="仿宋" w:eastAsia="仿宋" w:cs="仿宋"/>
          <w:sz w:val="24"/>
        </w:rPr>
      </w:pPr>
      <w:r>
        <w:rPr>
          <w:rFonts w:hint="eastAsia" w:ascii="仿宋" w:hAnsi="仿宋" w:eastAsia="仿宋" w:cs="仿宋"/>
          <w:sz w:val="24"/>
        </w:rPr>
        <w:t>是指响应文件满足招标文件全部实质性要求，且按照评审因素的量化指标评审得分最高的供应商为成交候选人的评标方法。</w:t>
      </w:r>
    </w:p>
    <w:p w14:paraId="269EACEB">
      <w:pPr>
        <w:rPr>
          <w:rFonts w:ascii="仿宋" w:hAnsi="仿宋" w:eastAsia="仿宋" w:cs="仿宋"/>
          <w:sz w:val="24"/>
        </w:rPr>
      </w:pPr>
      <w:r>
        <w:rPr>
          <w:rFonts w:hint="eastAsia" w:ascii="仿宋" w:hAnsi="仿宋" w:eastAsia="仿宋" w:cs="仿宋"/>
          <w:sz w:val="24"/>
        </w:rPr>
        <w:t>响应文件提交截止时间：202</w:t>
      </w:r>
      <w:r>
        <w:rPr>
          <w:rFonts w:hint="eastAsia" w:ascii="仿宋" w:hAnsi="仿宋" w:eastAsia="仿宋" w:cs="仿宋"/>
          <w:sz w:val="24"/>
          <w:lang w:val="en-US" w:eastAsia="zh-CN"/>
        </w:rPr>
        <w:t>5</w:t>
      </w:r>
      <w:r>
        <w:rPr>
          <w:rFonts w:hint="eastAsia" w:ascii="仿宋" w:hAnsi="仿宋" w:eastAsia="仿宋" w:cs="仿宋"/>
          <w:sz w:val="24"/>
        </w:rPr>
        <w:t>年</w:t>
      </w:r>
      <w:r>
        <w:rPr>
          <w:rFonts w:hint="eastAsia" w:ascii="仿宋" w:hAnsi="仿宋" w:eastAsia="仿宋" w:cs="仿宋"/>
          <w:sz w:val="24"/>
          <w:lang w:val="en-US" w:eastAsia="zh-CN"/>
        </w:rPr>
        <w:t>4</w:t>
      </w:r>
      <w:r>
        <w:rPr>
          <w:rFonts w:hint="eastAsia" w:ascii="仿宋" w:hAnsi="仿宋" w:eastAsia="仿宋" w:cs="仿宋"/>
          <w:sz w:val="24"/>
        </w:rPr>
        <w:t>月</w:t>
      </w:r>
      <w:r>
        <w:rPr>
          <w:rFonts w:hint="eastAsia" w:ascii="仿宋" w:hAnsi="仿宋" w:eastAsia="仿宋" w:cs="仿宋"/>
          <w:sz w:val="24"/>
          <w:lang w:val="en-US" w:eastAsia="zh-CN"/>
        </w:rPr>
        <w:t>1</w:t>
      </w:r>
      <w:r>
        <w:rPr>
          <w:rFonts w:hint="eastAsia" w:ascii="仿宋" w:hAnsi="仿宋" w:eastAsia="仿宋" w:cs="仿宋"/>
          <w:sz w:val="24"/>
        </w:rPr>
        <w:t>日 1</w:t>
      </w:r>
      <w:r>
        <w:rPr>
          <w:rFonts w:hint="eastAsia" w:ascii="仿宋" w:hAnsi="仿宋" w:eastAsia="仿宋" w:cs="仿宋"/>
          <w:sz w:val="24"/>
          <w:lang w:val="en-US" w:eastAsia="zh-CN"/>
        </w:rPr>
        <w:t>5</w:t>
      </w: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0</w:t>
      </w:r>
    </w:p>
    <w:p w14:paraId="4D9E2025">
      <w:pPr>
        <w:rPr>
          <w:rFonts w:ascii="仿宋" w:hAnsi="仿宋" w:eastAsia="仿宋" w:cs="仿宋"/>
          <w:sz w:val="24"/>
        </w:rPr>
      </w:pPr>
      <w:r>
        <w:rPr>
          <w:rFonts w:hint="eastAsia" w:ascii="仿宋" w:hAnsi="仿宋" w:eastAsia="仿宋" w:cs="仿宋"/>
          <w:sz w:val="24"/>
        </w:rPr>
        <w:t>地点：政采云平台</w:t>
      </w:r>
    </w:p>
    <w:p w14:paraId="7E4D989C">
      <w:pPr>
        <w:rPr>
          <w:rFonts w:ascii="仿宋" w:hAnsi="仿宋" w:eastAsia="仿宋" w:cs="仿宋"/>
          <w:b/>
          <w:bCs/>
          <w:sz w:val="24"/>
        </w:rPr>
      </w:pPr>
      <w:r>
        <w:rPr>
          <w:rFonts w:hint="eastAsia" w:ascii="仿宋" w:hAnsi="仿宋" w:eastAsia="仿宋" w:cs="仿宋"/>
          <w:b/>
          <w:bCs/>
          <w:sz w:val="24"/>
        </w:rPr>
        <w:t>二、拒绝接收响应文件的情形</w:t>
      </w:r>
    </w:p>
    <w:p w14:paraId="10318F16">
      <w:pPr>
        <w:spacing w:line="360" w:lineRule="exact"/>
        <w:ind w:firstLine="480" w:firstLineChars="200"/>
        <w:rPr>
          <w:rFonts w:ascii="仿宋" w:hAnsi="仿宋" w:eastAsia="仿宋" w:cs="仿宋"/>
          <w:sz w:val="24"/>
        </w:rPr>
      </w:pPr>
      <w:r>
        <w:rPr>
          <w:rFonts w:hint="eastAsia" w:ascii="仿宋" w:hAnsi="仿宋" w:eastAsia="仿宋" w:cs="仿宋"/>
          <w:sz w:val="24"/>
        </w:rPr>
        <w:t>在递交响应文件截止时间后送达的响应文件的，采购人和采购代理机构将拒绝接收。</w:t>
      </w:r>
    </w:p>
    <w:p w14:paraId="4A43206C">
      <w:pPr>
        <w:spacing w:line="360" w:lineRule="exact"/>
        <w:rPr>
          <w:rFonts w:ascii="仿宋" w:hAnsi="仿宋" w:eastAsia="仿宋" w:cs="仿宋"/>
          <w:b/>
          <w:bCs/>
          <w:sz w:val="24"/>
        </w:rPr>
      </w:pPr>
      <w:r>
        <w:rPr>
          <w:rFonts w:hint="eastAsia" w:ascii="仿宋" w:hAnsi="仿宋" w:eastAsia="仿宋" w:cs="仿宋"/>
          <w:b/>
          <w:bCs/>
          <w:sz w:val="24"/>
        </w:rPr>
        <w:t>三、不得开启响应文件的情形</w:t>
      </w:r>
    </w:p>
    <w:p w14:paraId="0A3D706E">
      <w:pPr>
        <w:spacing w:line="360" w:lineRule="exact"/>
        <w:ind w:firstLine="480" w:firstLineChars="200"/>
        <w:rPr>
          <w:rFonts w:ascii="仿宋" w:hAnsi="仿宋" w:eastAsia="仿宋" w:cs="仿宋"/>
        </w:rPr>
      </w:pPr>
      <w:r>
        <w:rPr>
          <w:rFonts w:hint="eastAsia" w:ascii="仿宋" w:hAnsi="仿宋" w:eastAsia="仿宋" w:cs="仿宋"/>
          <w:sz w:val="24"/>
        </w:rPr>
        <w:t>供应商不足3家的，不得开启响应文件。</w:t>
      </w:r>
    </w:p>
    <w:p w14:paraId="0C9F99A7">
      <w:pPr>
        <w:pStyle w:val="13"/>
        <w:tabs>
          <w:tab w:val="clear" w:pos="567"/>
        </w:tabs>
        <w:spacing w:before="0" w:line="240" w:lineRule="atLeast"/>
        <w:rPr>
          <w:rFonts w:ascii="仿宋" w:hAnsi="仿宋" w:eastAsia="仿宋" w:cs="仿宋"/>
          <w:b/>
          <w:bCs/>
        </w:rPr>
      </w:pPr>
      <w:r>
        <w:rPr>
          <w:rFonts w:hint="eastAsia" w:ascii="仿宋" w:hAnsi="仿宋" w:eastAsia="仿宋" w:cs="仿宋"/>
          <w:b/>
          <w:bCs/>
        </w:rPr>
        <w:t>四.响应文件无效的情形：</w:t>
      </w:r>
    </w:p>
    <w:p w14:paraId="3C172814">
      <w:pPr>
        <w:spacing w:line="360" w:lineRule="exact"/>
        <w:ind w:firstLine="480" w:firstLineChars="200"/>
        <w:jc w:val="left"/>
        <w:rPr>
          <w:rFonts w:ascii="仿宋" w:hAnsi="仿宋" w:eastAsia="仿宋" w:cs="仿宋"/>
          <w:sz w:val="24"/>
        </w:rPr>
      </w:pPr>
      <w:r>
        <w:rPr>
          <w:rFonts w:hint="eastAsia" w:ascii="仿宋" w:hAnsi="仿宋" w:eastAsia="仿宋" w:cs="仿宋"/>
          <w:sz w:val="24"/>
        </w:rPr>
        <w:t>1.采购人或采购代理机构将在磋商截止后 1 小时的期间内查询供应商的信用记录。供应商存在不良信用记录的，其磋商资格将被认定为无效。</w:t>
      </w:r>
    </w:p>
    <w:p w14:paraId="355395C4">
      <w:pPr>
        <w:pStyle w:val="54"/>
        <w:adjustRightInd/>
        <w:ind w:firstLine="480" w:firstLineChars="200"/>
        <w:rPr>
          <w:rFonts w:ascii="仿宋" w:hAnsi="仿宋" w:eastAsia="仿宋" w:cs="仿宋"/>
          <w:color w:val="auto"/>
        </w:rPr>
      </w:pPr>
      <w:r>
        <w:rPr>
          <w:rFonts w:hint="eastAsia" w:ascii="仿宋" w:hAnsi="仿宋" w:eastAsia="仿宋" w:cs="仿宋"/>
          <w:color w:val="auto"/>
        </w:rPr>
        <w:t>2.如采购人所采购产品为政府强制采购的节能产品，供应商所投产品的品牌及型号必须为清单中有效期内产品并提供证明文件，否则其磋商资格将被认定为无效。</w:t>
      </w:r>
    </w:p>
    <w:p w14:paraId="29880D91">
      <w:pPr>
        <w:spacing w:line="360" w:lineRule="exact"/>
        <w:ind w:firstLine="480" w:firstLineChars="200"/>
        <w:rPr>
          <w:rFonts w:ascii="仿宋" w:hAnsi="仿宋" w:eastAsia="仿宋" w:cs="仿宋"/>
          <w:sz w:val="24"/>
        </w:rPr>
      </w:pPr>
      <w:r>
        <w:rPr>
          <w:rFonts w:hint="eastAsia" w:ascii="仿宋" w:hAnsi="仿宋" w:eastAsia="仿宋" w:cs="仿宋"/>
          <w:sz w:val="24"/>
        </w:rPr>
        <w:t>3.在比较与评价之前，根据本须知的规定，磋商小组要审查每份响应文件是否实质上响应了磋商文件的要求。实质上响应的磋商应该是与磋商文件要求的全部条款、条件和规格相符，没有重大偏离的响应文件。对关键条款的偏离，将被认定为无效。供应商不得通过修正或撤销不符合要求的偏离，从而使其磋商成为实质上响应的磋商。</w:t>
      </w:r>
    </w:p>
    <w:p w14:paraId="7CE12957">
      <w:pPr>
        <w:spacing w:line="360" w:lineRule="exact"/>
        <w:ind w:firstLine="480" w:firstLineChars="200"/>
        <w:rPr>
          <w:rFonts w:ascii="仿宋" w:hAnsi="仿宋" w:eastAsia="仿宋" w:cs="仿宋"/>
          <w:sz w:val="24"/>
        </w:rPr>
      </w:pPr>
      <w:r>
        <w:rPr>
          <w:rFonts w:hint="eastAsia" w:ascii="仿宋" w:hAnsi="仿宋" w:eastAsia="仿宋" w:cs="仿宋"/>
          <w:sz w:val="24"/>
        </w:rPr>
        <w:t>4.未按磋商文件规定的形式和金额提交磋商保证金的；</w:t>
      </w:r>
    </w:p>
    <w:p w14:paraId="193C8B72">
      <w:pPr>
        <w:tabs>
          <w:tab w:val="left" w:pos="817"/>
        </w:tabs>
        <w:spacing w:line="360" w:lineRule="exact"/>
        <w:ind w:firstLine="480" w:firstLineChars="200"/>
        <w:rPr>
          <w:rFonts w:ascii="仿宋" w:hAnsi="仿宋" w:eastAsia="仿宋" w:cs="仿宋"/>
          <w:sz w:val="24"/>
        </w:rPr>
      </w:pPr>
      <w:r>
        <w:rPr>
          <w:rFonts w:hint="eastAsia" w:ascii="仿宋" w:hAnsi="仿宋" w:eastAsia="仿宋" w:cs="仿宋"/>
          <w:sz w:val="24"/>
        </w:rPr>
        <w:t>5.未按照磋商文件规定要求签署、盖章的；</w:t>
      </w:r>
    </w:p>
    <w:p w14:paraId="1A652370">
      <w:pPr>
        <w:spacing w:line="360" w:lineRule="exact"/>
        <w:ind w:firstLine="480" w:firstLineChars="200"/>
        <w:rPr>
          <w:rFonts w:ascii="仿宋" w:hAnsi="仿宋" w:eastAsia="仿宋" w:cs="仿宋"/>
          <w:sz w:val="24"/>
        </w:rPr>
      </w:pPr>
      <w:r>
        <w:rPr>
          <w:rFonts w:hint="eastAsia" w:ascii="仿宋" w:hAnsi="仿宋" w:eastAsia="仿宋" w:cs="仿宋"/>
          <w:sz w:val="24"/>
        </w:rPr>
        <w:t>6.未满足磋商文件中技术条款的实质性要求；</w:t>
      </w:r>
    </w:p>
    <w:p w14:paraId="131113DA">
      <w:pPr>
        <w:spacing w:line="360" w:lineRule="exact"/>
        <w:ind w:firstLine="480" w:firstLineChars="200"/>
        <w:rPr>
          <w:rFonts w:ascii="仿宋" w:hAnsi="仿宋" w:eastAsia="仿宋" w:cs="仿宋"/>
          <w:sz w:val="24"/>
        </w:rPr>
      </w:pPr>
      <w:r>
        <w:rPr>
          <w:rFonts w:hint="eastAsia" w:ascii="仿宋" w:hAnsi="仿宋" w:eastAsia="仿宋" w:cs="仿宋"/>
          <w:sz w:val="24"/>
        </w:rPr>
        <w:t>7.与其他供应商串通参加磋商，或者与采购人串通参加磋商；</w:t>
      </w:r>
    </w:p>
    <w:p w14:paraId="54DF91FF">
      <w:pPr>
        <w:spacing w:line="360" w:lineRule="exact"/>
        <w:ind w:firstLine="480" w:firstLineChars="200"/>
        <w:rPr>
          <w:rFonts w:ascii="仿宋" w:hAnsi="仿宋" w:eastAsia="仿宋" w:cs="仿宋"/>
          <w:sz w:val="24"/>
        </w:rPr>
      </w:pPr>
      <w:r>
        <w:rPr>
          <w:rFonts w:hint="eastAsia" w:ascii="仿宋" w:hAnsi="仿宋" w:eastAsia="仿宋" w:cs="仿宋"/>
          <w:sz w:val="24"/>
        </w:rPr>
        <w:t>8.属于磋商文件规定的其他无效情形；</w:t>
      </w:r>
    </w:p>
    <w:p w14:paraId="05BB8C9B">
      <w:pPr>
        <w:spacing w:line="360" w:lineRule="exact"/>
        <w:ind w:firstLine="480" w:firstLineChars="200"/>
        <w:rPr>
          <w:rFonts w:ascii="仿宋" w:hAnsi="仿宋" w:eastAsia="仿宋" w:cs="仿宋"/>
          <w:sz w:val="24"/>
        </w:rPr>
      </w:pPr>
      <w:r>
        <w:rPr>
          <w:rFonts w:hint="eastAsia" w:ascii="仿宋" w:hAnsi="仿宋" w:eastAsia="仿宋" w:cs="仿宋"/>
          <w:sz w:val="24"/>
        </w:rPr>
        <w:t>9.磋商小组认为供应商的报价明显低于其他通过符合性检查供应商的报价，有可能影响履约的，且供应商未按照规定证明其报价合理性的；</w:t>
      </w:r>
    </w:p>
    <w:p w14:paraId="3A865E41">
      <w:pPr>
        <w:spacing w:line="360" w:lineRule="exact"/>
        <w:ind w:firstLine="480" w:firstLineChars="200"/>
        <w:rPr>
          <w:rFonts w:ascii="仿宋" w:hAnsi="仿宋" w:eastAsia="仿宋" w:cs="仿宋"/>
          <w:sz w:val="24"/>
        </w:rPr>
      </w:pPr>
      <w:r>
        <w:rPr>
          <w:rFonts w:hint="eastAsia" w:ascii="仿宋" w:hAnsi="仿宋" w:eastAsia="仿宋" w:cs="仿宋"/>
          <w:sz w:val="24"/>
        </w:rPr>
        <w:t>10.响应文件含有采购人不能接受的附加条件的；</w:t>
      </w:r>
    </w:p>
    <w:p w14:paraId="148EE467">
      <w:pPr>
        <w:tabs>
          <w:tab w:val="left" w:pos="0"/>
        </w:tabs>
        <w:spacing w:line="360" w:lineRule="exact"/>
        <w:ind w:firstLine="480" w:firstLineChars="200"/>
        <w:rPr>
          <w:rFonts w:ascii="仿宋" w:hAnsi="仿宋" w:eastAsia="仿宋" w:cs="仿宋"/>
          <w:sz w:val="24"/>
        </w:rPr>
      </w:pPr>
      <w:r>
        <w:rPr>
          <w:rFonts w:hint="eastAsia" w:ascii="仿宋" w:hAnsi="仿宋" w:eastAsia="仿宋" w:cs="仿宋"/>
          <w:sz w:val="24"/>
        </w:rPr>
        <w:t>11.不符合法规和磋商文件中规定的其他实质性要求的。</w:t>
      </w:r>
    </w:p>
    <w:p w14:paraId="63E09139">
      <w:pPr>
        <w:pStyle w:val="54"/>
        <w:rPr>
          <w:rFonts w:ascii="仿宋" w:hAnsi="仿宋" w:eastAsia="仿宋" w:cs="仿宋"/>
          <w:b/>
          <w:bCs/>
          <w:color w:val="auto"/>
        </w:rPr>
      </w:pPr>
      <w:r>
        <w:rPr>
          <w:rFonts w:hint="eastAsia" w:ascii="仿宋" w:hAnsi="仿宋" w:eastAsia="仿宋" w:cs="仿宋"/>
          <w:b/>
          <w:bCs/>
          <w:color w:val="auto"/>
        </w:rPr>
        <w:t>五、响应文件的开启</w:t>
      </w:r>
    </w:p>
    <w:p w14:paraId="3400C89E">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开标</w:t>
      </w:r>
    </w:p>
    <w:p w14:paraId="32E11AE5">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按照磋商文件要求，在投标截止时间之前，开启监控设备，接收供应商递交的响应文件，响应文件截止时间后不再接收供应商递交的响应文件，供应商不足3家的，不得开标。</w:t>
      </w:r>
    </w:p>
    <w:p w14:paraId="634999F3">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第一项：宣布会议会场纪律</w:t>
      </w:r>
    </w:p>
    <w:p w14:paraId="230E7D10">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与会各位代表保持网络畅通，并保持会场纪律，开标会议主持人宣布开标环节正式开始，各供应商员手机时刻保持畅通，评标专家手机调成静音交由代理公司保管，评标期间不得擅自离开。</w:t>
      </w:r>
    </w:p>
    <w:p w14:paraId="3F242B65">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第二项：请投标单位对响应文件进行解密，解密时长为30分钟。</w:t>
      </w:r>
    </w:p>
    <w:p w14:paraId="58F83ED9">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第三项：由采购代理机构开启标书。</w:t>
      </w:r>
    </w:p>
    <w:p w14:paraId="1DE59329">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第四项：由磋商小组推选一名组长，负责组织评标。</w:t>
      </w:r>
    </w:p>
    <w:p w14:paraId="7E39CFE9">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第五项：由采购人或采购代理机构当众宣读供应商名称、投标报价及招标文件规定的内容。对于供应商在投标截止期前递交的投标声明，在开标时当众宣读，评标时有效。</w:t>
      </w:r>
    </w:p>
    <w:p w14:paraId="4CCB0DAA">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第六项：未宣读投标价格、价格折扣等实质内容，评标时不予承认。</w:t>
      </w:r>
    </w:p>
    <w:p w14:paraId="003CAF3D">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第七项：采购人或采购代理机构将对开标过程进行记录，由参加开标的各供应商代表在系统上签字确认，工作人员打印并签字，存档备查。</w:t>
      </w:r>
    </w:p>
    <w:p w14:paraId="2BA6B7C7">
      <w:pPr>
        <w:pStyle w:val="18"/>
        <w:snapToGrid w:val="0"/>
        <w:spacing w:line="360" w:lineRule="exact"/>
        <w:ind w:firstLine="480" w:firstLineChars="200"/>
        <w:rPr>
          <w:rFonts w:ascii="仿宋" w:hAnsi="仿宋" w:eastAsia="仿宋" w:cs="仿宋"/>
          <w:b/>
          <w:bCs/>
          <w:spacing w:val="-4"/>
          <w:sz w:val="24"/>
          <w:szCs w:val="24"/>
        </w:rPr>
      </w:pPr>
      <w:r>
        <w:rPr>
          <w:rFonts w:hint="eastAsia" w:ascii="仿宋" w:hAnsi="仿宋" w:eastAsia="仿宋" w:cs="仿宋"/>
          <w:sz w:val="24"/>
          <w:szCs w:val="24"/>
        </w:rPr>
        <w:t xml:space="preserve">第八项：供应商代表对开标过程和开标记录有疑义，以及认为采购人、采购代理机构相关工作人员有需要回避的情形的，应当场提出询问或者回避申请。  </w:t>
      </w:r>
      <w:r>
        <w:rPr>
          <w:rFonts w:hint="eastAsia" w:ascii="仿宋" w:hAnsi="仿宋" w:eastAsia="仿宋" w:cs="仿宋"/>
          <w:b/>
          <w:bCs/>
          <w:sz w:val="24"/>
          <w:szCs w:val="24"/>
        </w:rPr>
        <w:t xml:space="preserve"> </w:t>
      </w: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r>
        <w:rPr>
          <w:rFonts w:hint="eastAsia" w:ascii="仿宋" w:hAnsi="仿宋" w:eastAsia="仿宋" w:cs="仿宋"/>
          <w:b/>
          <w:bCs/>
          <w:spacing w:val="-4"/>
          <w:sz w:val="24"/>
          <w:szCs w:val="24"/>
        </w:rPr>
        <w:t>六、项目评审专家：</w:t>
      </w:r>
    </w:p>
    <w:p w14:paraId="526752CB">
      <w:pPr>
        <w:pStyle w:val="18"/>
        <w:snapToGrid w:val="0"/>
        <w:spacing w:line="360" w:lineRule="exact"/>
        <w:ind w:firstLine="464" w:firstLineChars="200"/>
        <w:rPr>
          <w:rFonts w:ascii="仿宋" w:hAnsi="仿宋" w:eastAsia="仿宋" w:cs="仿宋"/>
          <w:spacing w:val="-4"/>
          <w:sz w:val="24"/>
          <w:szCs w:val="24"/>
        </w:rPr>
      </w:pPr>
      <w:r>
        <w:rPr>
          <w:rFonts w:hint="eastAsia" w:ascii="仿宋" w:hAnsi="仿宋" w:eastAsia="仿宋" w:cs="仿宋"/>
          <w:spacing w:val="-4"/>
          <w:sz w:val="24"/>
          <w:szCs w:val="24"/>
        </w:rPr>
        <w:t>按照《中华人民共和国政府采购法》、《中华人民共和国政府采购法实施条例》、</w:t>
      </w:r>
      <w:r>
        <w:rPr>
          <w:rFonts w:hint="eastAsia" w:ascii="仿宋_GB2312" w:eastAsia="仿宋_GB2312"/>
          <w:sz w:val="24"/>
        </w:rPr>
        <w:t>《政府采购竞争性磋商采购方式管理暂行办法》</w:t>
      </w:r>
      <w:r>
        <w:rPr>
          <w:rFonts w:hint="eastAsia" w:ascii="仿宋" w:hAnsi="仿宋" w:eastAsia="仿宋" w:cs="仿宋"/>
          <w:spacing w:val="-4"/>
          <w:sz w:val="24"/>
          <w:szCs w:val="24"/>
        </w:rPr>
        <w:t>及本项目本级和上级财政部门的有关规定依法组建的评审小组，负责评审工作；本项目评审专家由3人组成。</w:t>
      </w:r>
    </w:p>
    <w:p w14:paraId="59FAFA5D">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评审专家要求：</w:t>
      </w:r>
    </w:p>
    <w:p w14:paraId="1933921E">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1.组织评标委员会推选评标组长，采购人代表不得担任组长；</w:t>
      </w:r>
    </w:p>
    <w:p w14:paraId="102FB3EE">
      <w:pPr>
        <w:pStyle w:val="18"/>
        <w:snapToGrid w:val="0"/>
        <w:spacing w:line="360" w:lineRule="exact"/>
        <w:rPr>
          <w:rFonts w:ascii="黑体" w:hAnsi="黑体" w:eastAsia="黑体" w:cs="黑体"/>
          <w:sz w:val="32"/>
          <w:szCs w:val="32"/>
        </w:rPr>
      </w:pPr>
      <w:r>
        <w:rPr>
          <w:rFonts w:hint="eastAsia" w:ascii="仿宋" w:hAnsi="仿宋" w:eastAsia="仿宋" w:cs="仿宋"/>
          <w:spacing w:val="-4"/>
          <w:sz w:val="24"/>
          <w:szCs w:val="24"/>
        </w:rPr>
        <w:t>　　2.在评标期间采取必要的通讯管理措施，保证评标活动不受外界干扰，将手机关闭或调成静音交友现场项目监督人员统一保管；</w:t>
      </w:r>
    </w:p>
    <w:p w14:paraId="15476A34">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3.审查、评价响应文件是否符合招标文件的商务、技术等实质性要求；</w:t>
      </w:r>
    </w:p>
    <w:p w14:paraId="4A1EA9C3">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4.要求供应商对响应文件有关事项作出澄清或者说明；</w:t>
      </w:r>
    </w:p>
    <w:p w14:paraId="31948C7A">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5.对响应文件进行比较和评价；</w:t>
      </w:r>
    </w:p>
    <w:p w14:paraId="7474D43B">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6.确定成交候选人名单，以及根据采购人委托直接确定成交人；</w:t>
      </w:r>
    </w:p>
    <w:p w14:paraId="56020DAE">
      <w:pPr>
        <w:pStyle w:val="18"/>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7.向采购人、采购代理机构或者有关部门报告评标中发现的违法行为。</w:t>
      </w:r>
    </w:p>
    <w:p w14:paraId="57E74E55">
      <w:pPr>
        <w:pStyle w:val="13"/>
        <w:tabs>
          <w:tab w:val="clear" w:pos="567"/>
        </w:tabs>
        <w:spacing w:before="0" w:line="360" w:lineRule="auto"/>
        <w:rPr>
          <w:rFonts w:ascii="仿宋" w:hAnsi="仿宋" w:eastAsia="仿宋" w:cs="仿宋"/>
          <w:b/>
          <w:bCs/>
        </w:rPr>
      </w:pPr>
      <w:r>
        <w:rPr>
          <w:rFonts w:hint="eastAsia" w:ascii="仿宋" w:hAnsi="仿宋" w:eastAsia="仿宋" w:cs="仿宋"/>
          <w:b/>
          <w:bCs/>
        </w:rPr>
        <w:t>七、评标</w:t>
      </w:r>
    </w:p>
    <w:p w14:paraId="2389DDD3">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1、评标的依据为磋商文件和响应文件；</w:t>
      </w:r>
    </w:p>
    <w:p w14:paraId="500AF1DB">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2、本项目采用综合评分法：总分100分，其中报价分值</w:t>
      </w:r>
      <w:r>
        <w:rPr>
          <w:rFonts w:hint="eastAsia" w:ascii="仿宋" w:hAnsi="仿宋" w:eastAsia="仿宋" w:cs="仿宋"/>
          <w:lang w:val="en-US" w:eastAsia="zh-CN"/>
        </w:rPr>
        <w:t>20</w:t>
      </w:r>
      <w:r>
        <w:rPr>
          <w:rFonts w:hint="eastAsia" w:ascii="仿宋" w:hAnsi="仿宋" w:eastAsia="仿宋" w:cs="仿宋"/>
        </w:rPr>
        <w:t>分，技术及商务分值</w:t>
      </w:r>
      <w:r>
        <w:rPr>
          <w:rFonts w:hint="eastAsia" w:ascii="仿宋" w:hAnsi="仿宋" w:eastAsia="仿宋" w:cs="仿宋"/>
          <w:lang w:val="en-US" w:eastAsia="zh-CN"/>
        </w:rPr>
        <w:t>80</w:t>
      </w:r>
      <w:r>
        <w:rPr>
          <w:rFonts w:hint="eastAsia" w:ascii="仿宋" w:hAnsi="仿宋" w:eastAsia="仿宋" w:cs="仿宋"/>
        </w:rPr>
        <w:t>分。</w:t>
      </w:r>
    </w:p>
    <w:p w14:paraId="3CA09E78">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3、评标小组成员到齐后，推选评标小组组长。依据招标文件和响应文件进行认真查阅。审查响文件是否完整，是否有计算错误，要求的磋商保证金是否提供，文件是否恰当地签署；</w:t>
      </w:r>
    </w:p>
    <w:p w14:paraId="7E5EF745">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4、在对响应文件进行详细评估前，依据投标方提供的资格证明文件审查投标方的财务、技术和服务能力。如果确定投标方无资格履行合同，其投标将被拒绝；</w:t>
      </w:r>
    </w:p>
    <w:p w14:paraId="7CE9C91F">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5、评标小组将确定每一供应商是否对磋商文件的要求做出了实质性的响应，而没有重大偏离。实质性响应的响应是指投标符合磋商文件的所有条款、条件和规定且没有重大偏离或保留。重大偏离或保留系指影响到磋商文件规定的供货范围、服务和性能，或限制了买方的权利和投标方的义务的规定，而纠正这些偏离将影响到其他提交实质性投标的投标方的公平竞争地位。</w:t>
      </w:r>
    </w:p>
    <w:p w14:paraId="743335C1">
      <w:pPr>
        <w:pStyle w:val="13"/>
        <w:tabs>
          <w:tab w:val="clear" w:pos="567"/>
        </w:tabs>
        <w:spacing w:before="0" w:line="360" w:lineRule="auto"/>
        <w:rPr>
          <w:rFonts w:ascii="仿宋" w:hAnsi="仿宋" w:eastAsia="仿宋" w:cs="仿宋"/>
          <w:b/>
          <w:bCs/>
        </w:rPr>
      </w:pPr>
      <w:r>
        <w:rPr>
          <w:rFonts w:hint="eastAsia" w:ascii="仿宋" w:hAnsi="仿宋" w:eastAsia="仿宋" w:cs="仿宋"/>
          <w:b/>
          <w:bCs/>
        </w:rPr>
        <w:t>对响应文件的评估和比较：</w:t>
      </w:r>
    </w:p>
    <w:p w14:paraId="07B8E0C7">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对响应文件的评估和比较分为两步进行，评标小组首先按照磋商文件要求对响应文件中的供应商资格、供应商资格证明文件、重要技术指标以及技术和商务上要求的其它重要内容进行审核，审核合格后即视为实质性响应的响应文件，除考虑投标价格外，还应考虑以下因素：响应文件中所提交的服务的报价及履约能力；</w:t>
      </w:r>
      <w:r>
        <w:rPr>
          <w:rFonts w:hint="eastAsia" w:ascii="仿宋" w:hAnsi="仿宋" w:eastAsia="仿宋" w:cs="仿宋"/>
          <w:kern w:val="0"/>
        </w:rPr>
        <w:t>人员配备、</w:t>
      </w:r>
      <w:r>
        <w:rPr>
          <w:rFonts w:hint="eastAsia" w:ascii="仿宋" w:hAnsi="仿宋" w:eastAsia="仿宋" w:cs="仿宋"/>
        </w:rPr>
        <w:t>类似经验业绩；为项目后续实施进展顺利所进行的项目实施方案、突发情况应急预案、现场文明施工措施、施工进度计划、                     拟投入主要施工机械设备总体情况、施工现场扬尘防治方案（施工组织计划）等各项因素；磋商文件中所要求的有关服务费用；成本、人工费各种应纳的税费等。其他特殊要求因素（如安全和环保等）。</w:t>
      </w:r>
    </w:p>
    <w:p w14:paraId="1548EB1E">
      <w:pPr>
        <w:pStyle w:val="13"/>
        <w:tabs>
          <w:tab w:val="clear" w:pos="567"/>
        </w:tabs>
        <w:spacing w:before="0" w:line="360" w:lineRule="auto"/>
        <w:rPr>
          <w:rFonts w:ascii="仿宋" w:hAnsi="仿宋" w:eastAsia="仿宋" w:cs="仿宋"/>
          <w:b/>
          <w:bCs/>
        </w:rPr>
      </w:pPr>
      <w:r>
        <w:rPr>
          <w:rFonts w:hint="eastAsia" w:ascii="仿宋" w:hAnsi="仿宋" w:eastAsia="仿宋" w:cs="仿宋"/>
          <w:b/>
          <w:bCs/>
        </w:rPr>
        <w:t>初步评审</w:t>
      </w:r>
    </w:p>
    <w:p w14:paraId="5138FC17">
      <w:pPr>
        <w:pStyle w:val="13"/>
        <w:tabs>
          <w:tab w:val="clear" w:pos="567"/>
        </w:tabs>
        <w:spacing w:before="0" w:line="360" w:lineRule="auto"/>
        <w:rPr>
          <w:rFonts w:ascii="仿宋" w:hAnsi="仿宋" w:eastAsia="仿宋" w:cs="仿宋"/>
        </w:rPr>
      </w:pPr>
      <w:r>
        <w:rPr>
          <w:rFonts w:hint="eastAsia" w:ascii="仿宋" w:hAnsi="仿宋" w:eastAsia="仿宋" w:cs="仿宋"/>
        </w:rPr>
        <w:t xml:space="preserve">    评标委员会应当对供应商提交的响应文件进行初步审查。初审分为资格性检查和符合性检查</w:t>
      </w:r>
    </w:p>
    <w:p w14:paraId="2714FE8A">
      <w:pPr>
        <w:pStyle w:val="13"/>
        <w:tabs>
          <w:tab w:val="clear" w:pos="567"/>
        </w:tabs>
        <w:spacing w:before="0" w:line="360" w:lineRule="auto"/>
        <w:rPr>
          <w:rFonts w:ascii="仿宋" w:hAnsi="仿宋" w:eastAsia="仿宋" w:cs="仿宋"/>
          <w:b/>
          <w:bCs/>
        </w:rPr>
      </w:pPr>
      <w:r>
        <w:rPr>
          <w:rFonts w:hint="eastAsia" w:ascii="仿宋" w:hAnsi="仿宋" w:eastAsia="仿宋" w:cs="仿宋"/>
          <w:b/>
          <w:bCs/>
        </w:rPr>
        <w:t>资格性审查</w:t>
      </w:r>
    </w:p>
    <w:p w14:paraId="2FC232B9">
      <w:pPr>
        <w:pStyle w:val="13"/>
        <w:tabs>
          <w:tab w:val="clear" w:pos="567"/>
        </w:tabs>
        <w:spacing w:before="0" w:line="360" w:lineRule="auto"/>
        <w:rPr>
          <w:rFonts w:ascii="仿宋" w:hAnsi="仿宋" w:eastAsia="仿宋" w:cs="仿宋"/>
        </w:rPr>
      </w:pPr>
      <w:r>
        <w:rPr>
          <w:rFonts w:hint="eastAsia" w:ascii="仿宋" w:hAnsi="仿宋" w:eastAsia="仿宋" w:cs="仿宋"/>
        </w:rPr>
        <w:t>依据法律法规和招标文件的规定，对响应文件中的资格证明进行审查，以确定供应商是否具备投标资格。</w:t>
      </w:r>
    </w:p>
    <w:p w14:paraId="4BC66A47">
      <w:pPr>
        <w:pStyle w:val="13"/>
        <w:tabs>
          <w:tab w:val="clear" w:pos="567"/>
        </w:tabs>
        <w:spacing w:before="0" w:line="360" w:lineRule="auto"/>
        <w:rPr>
          <w:rFonts w:ascii="仿宋" w:hAnsi="仿宋" w:eastAsia="仿宋" w:cs="仿宋"/>
          <w:b/>
          <w:bCs/>
        </w:rPr>
      </w:pPr>
      <w:r>
        <w:rPr>
          <w:rFonts w:hint="eastAsia" w:ascii="仿宋" w:hAnsi="仿宋" w:eastAsia="仿宋" w:cs="仿宋"/>
          <w:b/>
          <w:bCs/>
        </w:rPr>
        <w:t>符合性审查</w:t>
      </w:r>
    </w:p>
    <w:p w14:paraId="7AEEE573">
      <w:pPr>
        <w:pStyle w:val="13"/>
        <w:tabs>
          <w:tab w:val="clear" w:pos="567"/>
        </w:tabs>
        <w:spacing w:before="0" w:line="360" w:lineRule="auto"/>
        <w:rPr>
          <w:rFonts w:ascii="仿宋" w:hAnsi="仿宋" w:eastAsia="仿宋" w:cs="仿宋"/>
        </w:rPr>
      </w:pPr>
      <w:r>
        <w:rPr>
          <w:rFonts w:hint="eastAsia" w:ascii="仿宋" w:hAnsi="仿宋" w:eastAsia="仿宋" w:cs="仿宋"/>
        </w:rPr>
        <w:t xml:space="preserve">    响应文件是否实质性响应磋商文件要求由评标小组依据磋商文件规定认定。评标小组决定响应文件的实质性只根据响应文件本身的真实无误的内容，而不依据外部的证据。依据磋商文件的规定，从响应文件的有效性、完整性和对磋商文件的响应程度进行审查，以确定是否对磋商文件的实质性要求作出响应。</w:t>
      </w:r>
    </w:p>
    <w:p w14:paraId="0EF96EBD">
      <w:pPr>
        <w:pStyle w:val="13"/>
        <w:tabs>
          <w:tab w:val="clear" w:pos="567"/>
        </w:tabs>
        <w:spacing w:before="0" w:line="360" w:lineRule="auto"/>
        <w:rPr>
          <w:rFonts w:ascii="仿宋" w:hAnsi="仿宋" w:eastAsia="仿宋" w:cs="仿宋"/>
        </w:rPr>
      </w:pPr>
      <w:r>
        <w:rPr>
          <w:rFonts w:hint="eastAsia" w:ascii="仿宋" w:hAnsi="仿宋" w:eastAsia="仿宋" w:cs="仿宋"/>
        </w:rPr>
        <w:t>1.未按规定由供应商的法定代表人或投标供应商代表签字，或未加盖投标供应商公章的，或签字人未经法定代表人有效授权委托的。</w:t>
      </w:r>
    </w:p>
    <w:p w14:paraId="68A7EFB7">
      <w:pPr>
        <w:pStyle w:val="13"/>
        <w:tabs>
          <w:tab w:val="clear" w:pos="567"/>
        </w:tabs>
        <w:spacing w:before="0" w:line="360" w:lineRule="auto"/>
        <w:rPr>
          <w:rFonts w:ascii="仿宋" w:hAnsi="仿宋" w:eastAsia="仿宋" w:cs="仿宋"/>
        </w:rPr>
      </w:pPr>
      <w:r>
        <w:rPr>
          <w:rFonts w:hint="eastAsia" w:ascii="仿宋" w:hAnsi="仿宋" w:eastAsia="仿宋" w:cs="仿宋"/>
        </w:rPr>
        <w:t>2.投标有效期不满足磋商文件要求的；</w:t>
      </w:r>
    </w:p>
    <w:p w14:paraId="23D8773B">
      <w:pPr>
        <w:pStyle w:val="13"/>
        <w:tabs>
          <w:tab w:val="clear" w:pos="567"/>
        </w:tabs>
        <w:spacing w:before="0" w:line="360" w:lineRule="auto"/>
        <w:rPr>
          <w:rFonts w:ascii="仿宋" w:hAnsi="仿宋" w:eastAsia="仿宋" w:cs="仿宋"/>
        </w:rPr>
      </w:pPr>
      <w:r>
        <w:rPr>
          <w:rFonts w:hint="eastAsia" w:ascii="仿宋" w:hAnsi="仿宋" w:eastAsia="仿宋" w:cs="仿宋"/>
        </w:rPr>
        <w:t xml:space="preserve">3.供应商提交的投标报价高于最高投标限价的； </w:t>
      </w:r>
    </w:p>
    <w:p w14:paraId="05E6229C">
      <w:pPr>
        <w:pStyle w:val="13"/>
        <w:tabs>
          <w:tab w:val="clear" w:pos="567"/>
        </w:tabs>
        <w:spacing w:before="0" w:line="360" w:lineRule="auto"/>
        <w:rPr>
          <w:rFonts w:ascii="仿宋" w:hAnsi="仿宋" w:eastAsia="仿宋" w:cs="仿宋"/>
        </w:rPr>
      </w:pPr>
      <w:r>
        <w:rPr>
          <w:rFonts w:hint="eastAsia" w:ascii="仿宋" w:hAnsi="仿宋" w:eastAsia="仿宋" w:cs="仿宋"/>
        </w:rPr>
        <w:t>4.响应文件付款方式不能满足磋商文件要求的；</w:t>
      </w:r>
    </w:p>
    <w:p w14:paraId="1C5EC2F0">
      <w:pPr>
        <w:pStyle w:val="13"/>
        <w:tabs>
          <w:tab w:val="clear" w:pos="567"/>
        </w:tabs>
        <w:spacing w:before="0" w:line="360" w:lineRule="auto"/>
        <w:rPr>
          <w:rFonts w:ascii="仿宋" w:hAnsi="仿宋" w:eastAsia="仿宋" w:cs="仿宋"/>
        </w:rPr>
      </w:pPr>
      <w:r>
        <w:rPr>
          <w:rFonts w:hint="eastAsia" w:ascii="仿宋" w:hAnsi="仿宋" w:eastAsia="仿宋" w:cs="仿宋"/>
        </w:rPr>
        <w:t>5.响应文件的关键内容字迹模糊、无法辨认的,或者响应文件中经修正的内容字迹模糊难以辩认或者修改处未按规定签名盖章的；</w:t>
      </w:r>
    </w:p>
    <w:p w14:paraId="7A4680CB">
      <w:pPr>
        <w:pStyle w:val="13"/>
        <w:tabs>
          <w:tab w:val="clear" w:pos="567"/>
        </w:tabs>
        <w:spacing w:before="0" w:line="360" w:lineRule="auto"/>
        <w:rPr>
          <w:rFonts w:ascii="仿宋" w:hAnsi="仿宋" w:eastAsia="仿宋" w:cs="仿宋"/>
        </w:rPr>
      </w:pPr>
      <w:r>
        <w:rPr>
          <w:rFonts w:hint="eastAsia" w:ascii="仿宋" w:hAnsi="仿宋" w:eastAsia="仿宋" w:cs="仿宋"/>
        </w:rPr>
        <w:t>6.投标有效期、交货期、供货范围等商务条款不能满足磋商文件要求的；</w:t>
      </w:r>
    </w:p>
    <w:p w14:paraId="249BD6B4">
      <w:pPr>
        <w:pStyle w:val="13"/>
        <w:tabs>
          <w:tab w:val="clear" w:pos="567"/>
        </w:tabs>
        <w:spacing w:before="0" w:line="360" w:lineRule="auto"/>
        <w:rPr>
          <w:rFonts w:ascii="仿宋" w:hAnsi="仿宋" w:eastAsia="仿宋" w:cs="仿宋"/>
        </w:rPr>
      </w:pPr>
      <w:r>
        <w:rPr>
          <w:rFonts w:hint="eastAsia" w:ascii="仿宋" w:hAnsi="仿宋" w:eastAsia="仿宋" w:cs="仿宋"/>
        </w:rPr>
        <w:t>7.未实质性响应或者擅自改变招标文件要求或者响应文件有招标方不能接受的附加条件的。</w:t>
      </w:r>
    </w:p>
    <w:p w14:paraId="539F9523">
      <w:pPr>
        <w:pStyle w:val="13"/>
        <w:tabs>
          <w:tab w:val="clear" w:pos="567"/>
        </w:tabs>
        <w:spacing w:before="0" w:line="360" w:lineRule="auto"/>
        <w:rPr>
          <w:rFonts w:ascii="仿宋" w:hAnsi="仿宋" w:eastAsia="仿宋" w:cs="仿宋"/>
          <w:b/>
          <w:bCs/>
        </w:rPr>
      </w:pPr>
      <w:r>
        <w:rPr>
          <w:rFonts w:hint="eastAsia" w:ascii="仿宋" w:hAnsi="仿宋" w:eastAsia="仿宋" w:cs="仿宋"/>
          <w:b/>
          <w:bCs/>
        </w:rPr>
        <w:t>详细评审</w:t>
      </w:r>
    </w:p>
    <w:p w14:paraId="66AEB2E0">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1、经初步评审合格的响应文件，评标小组应当根据本文件确定的评标标准和方法，对其技术和商务部分作进一步的评审和比较。磋商小组所有成员应当集中与单一供应商分别进行磋商，并给予所有参加磋商的供应商平等的磋商机会。在磋商中，磋商的任何一方不得透露与磋商有关的其他供应商的技术资料、价格和其他信息。磋商文件有实质性变动的，磋商小组应当以书面形式通知所有参加磋商的供应商。</w:t>
      </w:r>
    </w:p>
    <w:p w14:paraId="3098BBA6">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2、磋商结束后，评标小组应当要求所有实质性响应的供应商在规定时间内提交最终报价，经磋商确定最终采购需求和提交最后报价的供应商后，由评标小组采用综合评分法对提交最终报价的供应商的响应文件和最终报价进行综合评分。</w:t>
      </w:r>
    </w:p>
    <w:p w14:paraId="3D503FDE">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3、采用综合评分法，即响应文件满足招标文件全部实质性要求，且按照评审因素的量化指标评审得分最高的供应商为成交候选人。</w:t>
      </w:r>
    </w:p>
    <w:p w14:paraId="505BC4F9">
      <w:pPr>
        <w:pStyle w:val="13"/>
        <w:tabs>
          <w:tab w:val="clear" w:pos="567"/>
        </w:tabs>
        <w:spacing w:before="0" w:line="360" w:lineRule="auto"/>
        <w:rPr>
          <w:rFonts w:ascii="仿宋" w:hAnsi="仿宋" w:eastAsia="仿宋" w:cs="仿宋"/>
          <w:b/>
          <w:bCs/>
        </w:rPr>
      </w:pPr>
      <w:r>
        <w:rPr>
          <w:rFonts w:hint="eastAsia" w:ascii="仿宋" w:hAnsi="仿宋" w:eastAsia="仿宋" w:cs="仿宋"/>
          <w:b/>
          <w:bCs/>
        </w:rPr>
        <w:t>评标的保密性</w:t>
      </w:r>
    </w:p>
    <w:p w14:paraId="72C839AF">
      <w:pPr>
        <w:pStyle w:val="13"/>
        <w:tabs>
          <w:tab w:val="clear" w:pos="567"/>
        </w:tabs>
        <w:spacing w:before="0" w:line="360" w:lineRule="auto"/>
        <w:rPr>
          <w:rFonts w:ascii="仿宋" w:hAnsi="仿宋" w:eastAsia="仿宋" w:cs="仿宋"/>
        </w:rPr>
      </w:pPr>
      <w:r>
        <w:rPr>
          <w:rFonts w:hint="eastAsia" w:ascii="仿宋" w:hAnsi="仿宋" w:eastAsia="仿宋" w:cs="仿宋"/>
        </w:rPr>
        <w:t>1、开标后，直到授予投标商合同为止，凡属于审查、澄清、评价和比较的有关资料以及授标建议等磋商小组成员或参与评标的有关工作人员均不得向投标商或其他无关人员透露，违者给予警告、取消担任磋商小组成员的资格，不得再参加任何项目的评标。</w:t>
      </w:r>
    </w:p>
    <w:p w14:paraId="26B9B529">
      <w:pPr>
        <w:pStyle w:val="13"/>
        <w:tabs>
          <w:tab w:val="clear" w:pos="567"/>
        </w:tabs>
        <w:spacing w:before="0" w:line="360" w:lineRule="auto"/>
        <w:rPr>
          <w:rFonts w:ascii="仿宋" w:hAnsi="仿宋" w:eastAsia="仿宋" w:cs="仿宋"/>
        </w:rPr>
      </w:pPr>
      <w:r>
        <w:rPr>
          <w:rFonts w:hint="eastAsia" w:ascii="仿宋" w:hAnsi="仿宋" w:eastAsia="仿宋" w:cs="仿宋"/>
        </w:rPr>
        <w:t>2、投标商在评标过程中，所进行的力图影响评标结果的不符合《中华人民共和国政府采购法》、《政府采购竞争性磋商采购方式管理暂行办法》及本次项目中有关规定的活动，将被取消成交资格。</w:t>
      </w:r>
    </w:p>
    <w:p w14:paraId="721C0FCB">
      <w:pPr>
        <w:pStyle w:val="13"/>
        <w:tabs>
          <w:tab w:val="clear" w:pos="567"/>
        </w:tabs>
        <w:spacing w:before="0" w:line="360" w:lineRule="auto"/>
        <w:rPr>
          <w:rFonts w:ascii="仿宋" w:hAnsi="仿宋" w:eastAsia="仿宋" w:cs="仿宋"/>
          <w:b/>
          <w:bCs/>
        </w:rPr>
      </w:pPr>
      <w:r>
        <w:rPr>
          <w:rFonts w:hint="eastAsia" w:ascii="仿宋" w:hAnsi="仿宋" w:eastAsia="仿宋" w:cs="仿宋"/>
          <w:b/>
          <w:bCs/>
        </w:rPr>
        <w:t>八、定标</w:t>
      </w:r>
    </w:p>
    <w:p w14:paraId="39E98BFF">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1.定标标准</w:t>
      </w:r>
    </w:p>
    <w:p w14:paraId="7EB8040D">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（一）原则：采购人将依据本项目根据评标小组推荐的成交候选人名单，按顺序确定成交人。</w:t>
      </w:r>
    </w:p>
    <w:p w14:paraId="120715FE">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（二）程序：</w:t>
      </w:r>
    </w:p>
    <w:p w14:paraId="23222DD9">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1、采购代理机构在评审结束后2个工作日内将评审报告送采购人确认。</w:t>
      </w:r>
    </w:p>
    <w:p w14:paraId="02850A37">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采购人或者采购代理机构应当在成交供应商确定后2个工作日内，在省级以上财政部门指定的政府采购信息发布媒体上公告成交结果，同时向成交供应商发出成交通知书，并将磋商文件随成交结果同时公告。 采购人与成交供应商应当在成交通知书发出之日起30日内，按照磋商文件确定的合同文本以及采购标的、规格型号、采购金额、采购数量、技术和服务要求等事项签订政府采购合同。</w:t>
      </w:r>
    </w:p>
    <w:p w14:paraId="0A5776E6">
      <w:pPr>
        <w:pStyle w:val="13"/>
        <w:tabs>
          <w:tab w:val="clear" w:pos="567"/>
        </w:tabs>
        <w:spacing w:before="0" w:line="360" w:lineRule="auto"/>
        <w:ind w:firstLine="480" w:firstLineChars="200"/>
        <w:rPr>
          <w:rFonts w:ascii="仿宋" w:hAnsi="仿宋" w:eastAsia="仿宋" w:cs="仿宋"/>
        </w:rPr>
      </w:pPr>
      <w:r>
        <w:rPr>
          <w:rFonts w:hint="eastAsia" w:ascii="仿宋" w:hAnsi="仿宋" w:eastAsia="仿宋" w:cs="仿宋"/>
        </w:rPr>
        <w:t>3、采购单位不退回供应商响应文件和其他资料。</w:t>
      </w:r>
    </w:p>
    <w:p w14:paraId="69B461C9">
      <w:pPr>
        <w:pStyle w:val="13"/>
        <w:tabs>
          <w:tab w:val="clear" w:pos="567"/>
        </w:tabs>
        <w:spacing w:before="0" w:line="360" w:lineRule="auto"/>
        <w:rPr>
          <w:rFonts w:ascii="仿宋" w:hAnsi="仿宋" w:eastAsia="仿宋" w:cs="仿宋"/>
        </w:rPr>
      </w:pPr>
      <w:r>
        <w:rPr>
          <w:rFonts w:hint="eastAsia" w:ascii="仿宋" w:hAnsi="仿宋" w:eastAsia="仿宋" w:cs="仿宋"/>
          <w:b/>
          <w:bCs/>
        </w:rPr>
        <w:t>成交候选人并列式时的处理方式：</w:t>
      </w:r>
      <w:r>
        <w:rPr>
          <w:rFonts w:hint="eastAsia" w:ascii="仿宋" w:hAnsi="仿宋" w:eastAsia="仿宋" w:cs="仿宋"/>
        </w:rPr>
        <w:t xml:space="preserve">   </w:t>
      </w:r>
    </w:p>
    <w:p w14:paraId="62FE922B">
      <w:pPr>
        <w:pStyle w:val="13"/>
        <w:tabs>
          <w:tab w:val="clear" w:pos="567"/>
        </w:tabs>
        <w:spacing w:before="0" w:line="360" w:lineRule="auto"/>
        <w:ind w:firstLine="480" w:firstLineChars="200"/>
        <w:rPr>
          <w:rFonts w:ascii="仿宋" w:hAnsi="仿宋" w:eastAsia="仿宋" w:cs="仿宋"/>
          <w:u w:val="single"/>
        </w:rPr>
      </w:pPr>
      <w:r>
        <w:rPr>
          <w:rFonts w:hint="eastAsia" w:ascii="仿宋" w:hAnsi="仿宋" w:eastAsia="仿宋" w:cs="仿宋"/>
        </w:rPr>
        <w:t>采用综合评标法，则：</w:t>
      </w:r>
      <w:r>
        <w:rPr>
          <w:rFonts w:hint="eastAsia" w:ascii="仿宋" w:hAnsi="仿宋" w:eastAsia="仿宋" w:cs="仿宋"/>
          <w:u w:val="single"/>
        </w:rPr>
        <w:t xml:space="preserve">（1）评标结果按评审后得分由高到低顺序排列。得分相同的，按投标报价由低到高顺序排列。得分且投标报价相同的并列。响应文件满足招标文件全部实质性要求，且按照评审因素的量化指标评审得分最高的供应商为排名第一的成交候选人。  </w:t>
      </w:r>
    </w:p>
    <w:p w14:paraId="2112F028">
      <w:pPr>
        <w:pStyle w:val="13"/>
        <w:tabs>
          <w:tab w:val="clear" w:pos="567"/>
        </w:tabs>
        <w:spacing w:before="0" w:line="360" w:lineRule="auto"/>
        <w:ind w:firstLine="480" w:firstLineChars="200"/>
        <w:rPr>
          <w:rFonts w:ascii="仿宋" w:hAnsi="仿宋" w:eastAsia="仿宋" w:cs="仿宋"/>
          <w:u w:val="single"/>
        </w:rPr>
      </w:pPr>
      <w:r>
        <w:rPr>
          <w:rFonts w:hint="eastAsia" w:ascii="仿宋" w:hAnsi="仿宋" w:eastAsia="仿宋" w:cs="仿宋"/>
        </w:rPr>
        <w:t>（2）</w:t>
      </w:r>
      <w:r>
        <w:rPr>
          <w:rFonts w:hint="eastAsia" w:ascii="仿宋" w:hAnsi="仿宋" w:eastAsia="仿宋" w:cs="仿宋"/>
          <w:u w:val="single"/>
        </w:rPr>
        <w:t>评标结果按评审后得分由高到低顺序排列。得分不同的，最高分供应商为排名第一的成交候选人。</w:t>
      </w:r>
    </w:p>
    <w:p w14:paraId="2E0314E9">
      <w:pPr>
        <w:pStyle w:val="13"/>
        <w:numPr>
          <w:ilvl w:val="0"/>
          <w:numId w:val="10"/>
        </w:numPr>
        <w:tabs>
          <w:tab w:val="clear" w:pos="567"/>
        </w:tabs>
        <w:spacing w:before="0" w:line="240" w:lineRule="atLeast"/>
      </w:pPr>
      <w:r>
        <w:rPr>
          <w:rFonts w:hint="eastAsia" w:ascii="仿宋" w:hAnsi="仿宋" w:eastAsia="仿宋" w:cs="仿宋"/>
          <w:b/>
          <w:bCs/>
        </w:rPr>
        <w:t>中小企业落实政策</w:t>
      </w:r>
    </w:p>
    <w:p w14:paraId="324122C7">
      <w:pPr>
        <w:pStyle w:val="13"/>
        <w:tabs>
          <w:tab w:val="clear" w:pos="567"/>
        </w:tabs>
        <w:spacing w:before="0" w:line="240" w:lineRule="atLeast"/>
        <w:ind w:firstLine="480" w:firstLineChars="200"/>
        <w:rPr>
          <w:rFonts w:ascii="仿宋" w:hAnsi="仿宋" w:eastAsia="仿宋" w:cs="仿宋"/>
        </w:rPr>
      </w:pPr>
      <w:r>
        <w:rPr>
          <w:rFonts w:hint="eastAsia" w:ascii="仿宋" w:hAnsi="仿宋" w:eastAsia="仿宋" w:cs="仿宋"/>
        </w:rPr>
        <w:t>1.根据《政府采购促进中小企业发展管理办法》（财库〔2020〕46号）、《财政部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供应商企业类型声明函》、《残疾人福利性单位声明函》或省级以上监狱管理局、戒毒管理局（含新疆生产建设兵团）出具的属于监狱企业、本地生产企业证明文件的供应商，其投标报价扣除</w:t>
      </w:r>
      <w:r>
        <w:rPr>
          <w:rFonts w:hint="eastAsia" w:ascii="仿宋" w:hAnsi="仿宋" w:eastAsia="仿宋" w:cs="仿宋"/>
          <w:u w:val="single"/>
        </w:rPr>
        <w:t xml:space="preserve"> 10% </w:t>
      </w:r>
      <w:r>
        <w:rPr>
          <w:rFonts w:hint="eastAsia" w:ascii="仿宋" w:hAnsi="仿宋" w:eastAsia="仿宋" w:cs="仿宋"/>
        </w:rPr>
        <w:t>后参与评审。对于同时属于小微企业、监狱企业残疾人福利性单位的，不重复进行投标报价扣除。</w:t>
      </w:r>
    </w:p>
    <w:p w14:paraId="6FCBB112">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2.联合协议中约定，小型、微型企业和监狱企业的协议合同金额占到联合体协议合同总金额30%以上的，可给予联合体</w:t>
      </w:r>
      <w:r>
        <w:rPr>
          <w:rFonts w:hint="eastAsia" w:ascii="仿宋" w:hAnsi="仿宋" w:eastAsia="仿宋" w:cs="仿宋"/>
          <w:sz w:val="24"/>
          <w:u w:val="single"/>
        </w:rPr>
        <w:t xml:space="preserve">  /  </w:t>
      </w:r>
      <w:r>
        <w:rPr>
          <w:rFonts w:hint="eastAsia" w:ascii="仿宋" w:hAnsi="仿宋" w:eastAsia="仿宋" w:cs="仿宋"/>
          <w:sz w:val="24"/>
        </w:rPr>
        <w:t>%的价格扣除。</w:t>
      </w:r>
    </w:p>
    <w:p w14:paraId="29D76757">
      <w:pPr>
        <w:widowControl/>
        <w:spacing w:line="360" w:lineRule="auto"/>
        <w:jc w:val="left"/>
        <w:rPr>
          <w:rFonts w:ascii="仿宋" w:hAnsi="仿宋" w:eastAsia="仿宋" w:cs="仿宋"/>
          <w:sz w:val="24"/>
        </w:rPr>
      </w:pPr>
      <w:r>
        <w:rPr>
          <w:rFonts w:hint="eastAsia" w:ascii="仿宋" w:hAnsi="仿宋" w:eastAsia="仿宋" w:cs="仿宋"/>
          <w:sz w:val="24"/>
        </w:rPr>
        <w:t>联合体各方均为小型、微型企业和监狱企业的，联合体视同为小型、微型企业和监狱企业。</w:t>
      </w:r>
    </w:p>
    <w:p w14:paraId="1E644B61">
      <w:pPr>
        <w:pStyle w:val="13"/>
        <w:tabs>
          <w:tab w:val="clear" w:pos="567"/>
        </w:tabs>
        <w:spacing w:before="0" w:line="360" w:lineRule="auto"/>
        <w:ind w:firstLine="480" w:firstLineChars="200"/>
        <w:rPr>
          <w:rFonts w:ascii="仿宋" w:hAnsi="仿宋" w:eastAsia="仿宋" w:cs="仿宋"/>
          <w:u w:val="single"/>
        </w:rPr>
      </w:pPr>
      <w:r>
        <w:rPr>
          <w:rFonts w:hint="eastAsia" w:ascii="仿宋" w:hAnsi="仿宋" w:eastAsia="仿宋" w:cs="仿宋"/>
        </w:rPr>
        <w:t>3.供应商所投产品如被列入财政部与国家主管部门颁发的节能产品目录或环境标志产品目录或无线局域网产品目录，应提供相关证明，在评标时予以优先采购，具体优惠措施为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u w:val="single"/>
        </w:rPr>
        <w:t xml:space="preserve">：   无        </w:t>
      </w:r>
    </w:p>
    <w:p w14:paraId="335AE361">
      <w:pPr>
        <w:pStyle w:val="13"/>
        <w:tabs>
          <w:tab w:val="clear" w:pos="567"/>
        </w:tabs>
        <w:spacing w:before="0" w:line="360" w:lineRule="auto"/>
        <w:ind w:left="-180" w:leftChars="-86" w:firstLine="660" w:firstLineChars="275"/>
        <w:rPr>
          <w:rFonts w:ascii="仿宋" w:hAnsi="仿宋" w:eastAsia="仿宋" w:cs="仿宋"/>
        </w:rPr>
      </w:pPr>
      <w:r>
        <w:rPr>
          <w:rFonts w:hint="eastAsia" w:ascii="仿宋" w:hAnsi="仿宋" w:eastAsia="仿宋" w:cs="仿宋"/>
        </w:rPr>
        <w:t>4.如采购人所采购产品为政府强制采购的节能产品，供应商所投产品的品牌及型号必须为清单中有效期内产品并提供证明文件，否则其投标将被认定为投标无效。</w:t>
      </w:r>
    </w:p>
    <w:p w14:paraId="64364AA9">
      <w:pPr>
        <w:pStyle w:val="13"/>
        <w:tabs>
          <w:tab w:val="clear" w:pos="567"/>
        </w:tabs>
        <w:spacing w:before="0" w:line="360" w:lineRule="auto"/>
        <w:ind w:left="-180" w:leftChars="-86" w:firstLine="660" w:firstLineChars="275"/>
        <w:rPr>
          <w:rFonts w:ascii="仿宋" w:hAnsi="仿宋" w:eastAsia="仿宋" w:cs="仿宋"/>
        </w:rPr>
      </w:pPr>
      <w:r>
        <w:rPr>
          <w:rFonts w:hint="eastAsia" w:ascii="仿宋" w:hAnsi="仿宋" w:eastAsia="仿宋" w:cs="仿宋"/>
        </w:rPr>
        <w:t>5.对创新产品或创新性企业的优惠措施为</w:t>
      </w:r>
      <w:r>
        <w:rPr>
          <w:rFonts w:hint="eastAsia" w:ascii="仿宋" w:hAnsi="仿宋" w:eastAsia="仿宋" w:cs="仿宋"/>
          <w:u w:val="single"/>
        </w:rPr>
        <w:t xml:space="preserve">：          无             </w:t>
      </w:r>
    </w:p>
    <w:p w14:paraId="051F3E3D">
      <w:pPr>
        <w:rPr>
          <w:rFonts w:ascii="仿宋" w:hAnsi="仿宋" w:eastAsia="仿宋" w:cs="仿宋"/>
          <w:b/>
          <w:bCs/>
        </w:rPr>
      </w:pPr>
    </w:p>
    <w:p w14:paraId="55ACB5F6">
      <w:pPr>
        <w:spacing w:line="300" w:lineRule="auto"/>
        <w:jc w:val="center"/>
        <w:rPr>
          <w:rFonts w:ascii="仿宋" w:hAnsi="仿宋" w:eastAsia="仿宋" w:cs="仿宋"/>
          <w:b/>
          <w:bCs/>
          <w:sz w:val="28"/>
          <w:szCs w:val="32"/>
        </w:rPr>
      </w:pPr>
    </w:p>
    <w:p w14:paraId="2BDFC286">
      <w:pPr>
        <w:spacing w:line="300" w:lineRule="auto"/>
        <w:jc w:val="center"/>
        <w:rPr>
          <w:rFonts w:ascii="仿宋" w:hAnsi="仿宋" w:eastAsia="仿宋" w:cs="仿宋"/>
          <w:b/>
          <w:bCs/>
          <w:sz w:val="28"/>
          <w:szCs w:val="32"/>
        </w:rPr>
      </w:pPr>
    </w:p>
    <w:p w14:paraId="68278232">
      <w:pPr>
        <w:spacing w:line="300" w:lineRule="auto"/>
        <w:jc w:val="center"/>
        <w:rPr>
          <w:rFonts w:ascii="仿宋" w:hAnsi="仿宋" w:eastAsia="仿宋" w:cs="仿宋"/>
          <w:b/>
          <w:bCs/>
          <w:sz w:val="28"/>
          <w:szCs w:val="32"/>
        </w:rPr>
      </w:pPr>
    </w:p>
    <w:p w14:paraId="01C2A89E">
      <w:pPr>
        <w:pStyle w:val="17"/>
        <w:rPr>
          <w:rFonts w:ascii="仿宋" w:hAnsi="仿宋" w:eastAsia="仿宋" w:cs="仿宋"/>
          <w:b/>
          <w:bCs/>
          <w:sz w:val="28"/>
          <w:szCs w:val="32"/>
        </w:rPr>
      </w:pPr>
    </w:p>
    <w:p w14:paraId="41402C42"/>
    <w:p w14:paraId="7C6ED67E">
      <w:pPr>
        <w:pStyle w:val="41"/>
        <w:ind w:firstLine="420"/>
      </w:pPr>
    </w:p>
    <w:p w14:paraId="2B44FA1C">
      <w:pPr>
        <w:pStyle w:val="41"/>
        <w:ind w:firstLine="420"/>
      </w:pPr>
    </w:p>
    <w:p w14:paraId="7487A883">
      <w:pPr>
        <w:pStyle w:val="41"/>
        <w:ind w:firstLine="420"/>
      </w:pPr>
    </w:p>
    <w:p w14:paraId="27C4D068">
      <w:pPr>
        <w:pStyle w:val="41"/>
        <w:ind w:firstLine="420"/>
      </w:pPr>
    </w:p>
    <w:p w14:paraId="0DA78AB1">
      <w:pPr>
        <w:spacing w:line="300" w:lineRule="auto"/>
        <w:jc w:val="center"/>
        <w:rPr>
          <w:rFonts w:ascii="仿宋" w:hAnsi="仿宋" w:eastAsia="仿宋" w:cs="仿宋"/>
          <w:b/>
          <w:bCs/>
        </w:rPr>
      </w:pPr>
      <w:r>
        <w:rPr>
          <w:rFonts w:hint="eastAsia" w:ascii="仿宋" w:hAnsi="仿宋" w:eastAsia="仿宋" w:cs="仿宋"/>
          <w:b/>
          <w:bCs/>
          <w:sz w:val="28"/>
          <w:szCs w:val="32"/>
        </w:rPr>
        <w:t>初步评审—资格性审查表</w:t>
      </w:r>
    </w:p>
    <w:tbl>
      <w:tblPr>
        <w:tblStyle w:val="34"/>
        <w:tblpPr w:leftFromText="180" w:rightFromText="180" w:vertAnchor="text" w:horzAnchor="page" w:tblpXSpec="center" w:tblpY="316"/>
        <w:tblOverlap w:val="never"/>
        <w:tblW w:w="10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7041"/>
        <w:gridCol w:w="720"/>
        <w:gridCol w:w="714"/>
        <w:gridCol w:w="818"/>
      </w:tblGrid>
      <w:tr w14:paraId="56D1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914" w:type="dxa"/>
            <w:vMerge w:val="restart"/>
            <w:vAlign w:val="center"/>
          </w:tcPr>
          <w:p w14:paraId="228B6B8C">
            <w:pPr>
              <w:spacing w:line="300" w:lineRule="auto"/>
              <w:jc w:val="center"/>
              <w:rPr>
                <w:rFonts w:ascii="仿宋" w:hAnsi="仿宋" w:eastAsia="仿宋" w:cs="仿宋"/>
                <w:b/>
                <w:sz w:val="24"/>
              </w:rPr>
            </w:pPr>
            <w:r>
              <w:rPr>
                <w:rFonts w:hint="eastAsia" w:ascii="仿宋" w:hAnsi="仿宋" w:eastAsia="仿宋" w:cs="仿宋"/>
                <w:b/>
                <w:sz w:val="24"/>
              </w:rPr>
              <w:t>序号</w:t>
            </w:r>
          </w:p>
        </w:tc>
        <w:tc>
          <w:tcPr>
            <w:tcW w:w="7041" w:type="dxa"/>
            <w:vMerge w:val="restart"/>
            <w:vAlign w:val="center"/>
          </w:tcPr>
          <w:p w14:paraId="68E574B4">
            <w:pPr>
              <w:spacing w:line="300" w:lineRule="auto"/>
              <w:jc w:val="center"/>
              <w:rPr>
                <w:rFonts w:ascii="仿宋" w:hAnsi="仿宋" w:eastAsia="仿宋" w:cs="仿宋"/>
                <w:b/>
                <w:sz w:val="24"/>
              </w:rPr>
            </w:pPr>
            <w:r>
              <w:rPr>
                <w:rFonts w:hint="eastAsia" w:ascii="仿宋" w:hAnsi="仿宋" w:eastAsia="仿宋" w:cs="仿宋"/>
                <w:b/>
                <w:sz w:val="24"/>
              </w:rPr>
              <w:t>评审内容</w:t>
            </w:r>
          </w:p>
        </w:tc>
        <w:tc>
          <w:tcPr>
            <w:tcW w:w="2252" w:type="dxa"/>
            <w:gridSpan w:val="3"/>
            <w:vAlign w:val="center"/>
          </w:tcPr>
          <w:p w14:paraId="37F750A1">
            <w:pPr>
              <w:spacing w:line="300" w:lineRule="auto"/>
              <w:jc w:val="center"/>
              <w:rPr>
                <w:rFonts w:ascii="仿宋" w:hAnsi="仿宋" w:eastAsia="仿宋" w:cs="仿宋"/>
                <w:b/>
                <w:sz w:val="24"/>
              </w:rPr>
            </w:pPr>
            <w:r>
              <w:rPr>
                <w:rFonts w:hint="eastAsia" w:ascii="仿宋" w:hAnsi="仿宋" w:eastAsia="仿宋" w:cs="仿宋"/>
                <w:b/>
                <w:sz w:val="24"/>
              </w:rPr>
              <w:t>供应商</w:t>
            </w:r>
          </w:p>
        </w:tc>
      </w:tr>
      <w:tr w14:paraId="6A75E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14" w:type="dxa"/>
            <w:vMerge w:val="continue"/>
            <w:vAlign w:val="center"/>
          </w:tcPr>
          <w:p w14:paraId="3B8EAC08">
            <w:pPr>
              <w:spacing w:line="300" w:lineRule="auto"/>
              <w:jc w:val="center"/>
              <w:rPr>
                <w:rFonts w:ascii="仿宋" w:hAnsi="仿宋" w:eastAsia="仿宋" w:cs="仿宋"/>
                <w:b/>
                <w:sz w:val="24"/>
              </w:rPr>
            </w:pPr>
          </w:p>
        </w:tc>
        <w:tc>
          <w:tcPr>
            <w:tcW w:w="7041" w:type="dxa"/>
            <w:vMerge w:val="continue"/>
            <w:vAlign w:val="center"/>
          </w:tcPr>
          <w:p w14:paraId="4D125137">
            <w:pPr>
              <w:spacing w:line="300" w:lineRule="auto"/>
              <w:jc w:val="center"/>
              <w:rPr>
                <w:rFonts w:ascii="仿宋" w:hAnsi="仿宋" w:eastAsia="仿宋" w:cs="仿宋"/>
                <w:b/>
                <w:sz w:val="24"/>
              </w:rPr>
            </w:pPr>
          </w:p>
        </w:tc>
        <w:tc>
          <w:tcPr>
            <w:tcW w:w="720" w:type="dxa"/>
            <w:vAlign w:val="center"/>
          </w:tcPr>
          <w:p w14:paraId="2BCEEE29">
            <w:pPr>
              <w:spacing w:line="300" w:lineRule="auto"/>
              <w:jc w:val="center"/>
              <w:rPr>
                <w:rFonts w:ascii="仿宋" w:hAnsi="仿宋" w:eastAsia="仿宋" w:cs="仿宋"/>
                <w:sz w:val="24"/>
              </w:rPr>
            </w:pPr>
            <w:r>
              <w:rPr>
                <w:rFonts w:hint="eastAsia" w:ascii="仿宋" w:hAnsi="仿宋" w:eastAsia="仿宋" w:cs="仿宋"/>
                <w:sz w:val="24"/>
              </w:rPr>
              <w:t>是否合格</w:t>
            </w:r>
          </w:p>
        </w:tc>
        <w:tc>
          <w:tcPr>
            <w:tcW w:w="714" w:type="dxa"/>
            <w:vAlign w:val="center"/>
          </w:tcPr>
          <w:p w14:paraId="64A1D5A9">
            <w:pPr>
              <w:spacing w:line="300" w:lineRule="auto"/>
              <w:jc w:val="center"/>
              <w:rPr>
                <w:rFonts w:ascii="仿宋" w:hAnsi="仿宋" w:eastAsia="仿宋" w:cs="仿宋"/>
                <w:sz w:val="24"/>
              </w:rPr>
            </w:pPr>
            <w:r>
              <w:rPr>
                <w:rFonts w:hint="eastAsia" w:ascii="仿宋" w:hAnsi="仿宋" w:eastAsia="仿宋" w:cs="仿宋"/>
                <w:sz w:val="24"/>
              </w:rPr>
              <w:t>是否合格</w:t>
            </w:r>
          </w:p>
        </w:tc>
        <w:tc>
          <w:tcPr>
            <w:tcW w:w="818" w:type="dxa"/>
            <w:vAlign w:val="center"/>
          </w:tcPr>
          <w:p w14:paraId="4CBEBF12">
            <w:pPr>
              <w:spacing w:line="300" w:lineRule="auto"/>
              <w:jc w:val="center"/>
              <w:rPr>
                <w:rFonts w:ascii="仿宋" w:hAnsi="仿宋" w:eastAsia="仿宋" w:cs="仿宋"/>
                <w:sz w:val="24"/>
              </w:rPr>
            </w:pPr>
            <w:r>
              <w:rPr>
                <w:rFonts w:hint="eastAsia" w:ascii="仿宋" w:hAnsi="仿宋" w:eastAsia="仿宋" w:cs="仿宋"/>
                <w:sz w:val="24"/>
              </w:rPr>
              <w:t>是否合格</w:t>
            </w:r>
          </w:p>
        </w:tc>
      </w:tr>
      <w:tr w14:paraId="51CC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14" w:type="dxa"/>
            <w:vAlign w:val="center"/>
          </w:tcPr>
          <w:p w14:paraId="43C146CA">
            <w:pPr>
              <w:spacing w:line="300" w:lineRule="auto"/>
              <w:jc w:val="center"/>
              <w:rPr>
                <w:rFonts w:ascii="仿宋" w:hAnsi="仿宋" w:eastAsia="仿宋" w:cs="仿宋"/>
                <w:sz w:val="24"/>
              </w:rPr>
            </w:pPr>
            <w:r>
              <w:rPr>
                <w:rFonts w:hint="eastAsia" w:ascii="仿宋" w:hAnsi="仿宋" w:eastAsia="仿宋" w:cs="仿宋"/>
                <w:sz w:val="24"/>
              </w:rPr>
              <w:t>1</w:t>
            </w:r>
          </w:p>
        </w:tc>
        <w:tc>
          <w:tcPr>
            <w:tcW w:w="7041" w:type="dxa"/>
            <w:vAlign w:val="center"/>
          </w:tcPr>
          <w:p w14:paraId="678054B6">
            <w:pPr>
              <w:spacing w:line="300" w:lineRule="auto"/>
              <w:rPr>
                <w:rFonts w:ascii="仿宋" w:hAnsi="仿宋" w:eastAsia="仿宋" w:cs="仿宋"/>
                <w:sz w:val="24"/>
              </w:rPr>
            </w:pPr>
            <w:r>
              <w:rPr>
                <w:rFonts w:hint="eastAsia" w:ascii="仿宋" w:hAnsi="仿宋" w:eastAsia="仿宋" w:cs="仿宋"/>
                <w:sz w:val="24"/>
                <w:lang w:eastAsia="zh-CN"/>
              </w:rPr>
              <w:t>具有有效的营业执照</w:t>
            </w:r>
            <w:r>
              <w:rPr>
                <w:rFonts w:hint="eastAsia" w:ascii="仿宋" w:hAnsi="仿宋" w:eastAsia="仿宋" w:cs="仿宋"/>
                <w:sz w:val="24"/>
              </w:rPr>
              <w:t>；</w:t>
            </w:r>
          </w:p>
        </w:tc>
        <w:tc>
          <w:tcPr>
            <w:tcW w:w="720" w:type="dxa"/>
          </w:tcPr>
          <w:p w14:paraId="73EFEA63">
            <w:pPr>
              <w:spacing w:line="300" w:lineRule="auto"/>
              <w:rPr>
                <w:rFonts w:ascii="仿宋" w:hAnsi="仿宋" w:eastAsia="仿宋" w:cs="仿宋"/>
                <w:sz w:val="24"/>
              </w:rPr>
            </w:pPr>
          </w:p>
        </w:tc>
        <w:tc>
          <w:tcPr>
            <w:tcW w:w="714" w:type="dxa"/>
          </w:tcPr>
          <w:p w14:paraId="3DC06AAB">
            <w:pPr>
              <w:spacing w:line="300" w:lineRule="auto"/>
              <w:rPr>
                <w:rFonts w:ascii="仿宋" w:hAnsi="仿宋" w:eastAsia="仿宋" w:cs="仿宋"/>
                <w:sz w:val="24"/>
              </w:rPr>
            </w:pPr>
          </w:p>
        </w:tc>
        <w:tc>
          <w:tcPr>
            <w:tcW w:w="818" w:type="dxa"/>
          </w:tcPr>
          <w:p w14:paraId="6092379A">
            <w:pPr>
              <w:spacing w:line="300" w:lineRule="auto"/>
              <w:rPr>
                <w:rFonts w:ascii="仿宋" w:hAnsi="仿宋" w:eastAsia="仿宋" w:cs="仿宋"/>
                <w:sz w:val="24"/>
              </w:rPr>
            </w:pPr>
          </w:p>
        </w:tc>
      </w:tr>
      <w:tr w14:paraId="21F25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914" w:type="dxa"/>
            <w:vAlign w:val="center"/>
          </w:tcPr>
          <w:p w14:paraId="1F470CCD">
            <w:pPr>
              <w:spacing w:line="300" w:lineRule="auto"/>
              <w:jc w:val="center"/>
              <w:rPr>
                <w:rFonts w:ascii="仿宋" w:hAnsi="仿宋" w:eastAsia="仿宋" w:cs="仿宋"/>
                <w:sz w:val="24"/>
              </w:rPr>
            </w:pPr>
            <w:r>
              <w:rPr>
                <w:rFonts w:hint="eastAsia" w:ascii="仿宋" w:hAnsi="仿宋" w:eastAsia="仿宋" w:cs="仿宋"/>
                <w:sz w:val="24"/>
              </w:rPr>
              <w:t>2</w:t>
            </w:r>
          </w:p>
        </w:tc>
        <w:tc>
          <w:tcPr>
            <w:tcW w:w="7041" w:type="dxa"/>
            <w:vAlign w:val="center"/>
          </w:tcPr>
          <w:p w14:paraId="49DF66E6">
            <w:pPr>
              <w:spacing w:line="380" w:lineRule="exact"/>
              <w:rPr>
                <w:rFonts w:ascii="仿宋" w:hAnsi="仿宋" w:eastAsia="仿宋" w:cs="仿宋"/>
                <w:sz w:val="24"/>
              </w:rPr>
            </w:pPr>
            <w:r>
              <w:rPr>
                <w:rFonts w:hint="eastAsia" w:ascii="仿宋" w:hAnsi="仿宋" w:eastAsia="仿宋" w:cs="仿宋"/>
                <w:sz w:val="24"/>
              </w:rPr>
              <w:t>法定代表人授权委托书及被委托人身份证（法定代表人投标提供法定代表人身份证明及身份证）；</w:t>
            </w:r>
          </w:p>
        </w:tc>
        <w:tc>
          <w:tcPr>
            <w:tcW w:w="720" w:type="dxa"/>
          </w:tcPr>
          <w:p w14:paraId="313D053D">
            <w:pPr>
              <w:spacing w:line="300" w:lineRule="auto"/>
              <w:rPr>
                <w:rFonts w:ascii="仿宋" w:hAnsi="仿宋" w:eastAsia="仿宋" w:cs="仿宋"/>
                <w:sz w:val="24"/>
              </w:rPr>
            </w:pPr>
          </w:p>
        </w:tc>
        <w:tc>
          <w:tcPr>
            <w:tcW w:w="714" w:type="dxa"/>
          </w:tcPr>
          <w:p w14:paraId="4C33F940">
            <w:pPr>
              <w:spacing w:line="300" w:lineRule="auto"/>
              <w:rPr>
                <w:rFonts w:ascii="仿宋" w:hAnsi="仿宋" w:eastAsia="仿宋" w:cs="仿宋"/>
                <w:sz w:val="24"/>
              </w:rPr>
            </w:pPr>
          </w:p>
        </w:tc>
        <w:tc>
          <w:tcPr>
            <w:tcW w:w="818" w:type="dxa"/>
          </w:tcPr>
          <w:p w14:paraId="3A53229A">
            <w:pPr>
              <w:spacing w:line="300" w:lineRule="auto"/>
              <w:rPr>
                <w:rFonts w:ascii="仿宋" w:hAnsi="仿宋" w:eastAsia="仿宋" w:cs="仿宋"/>
                <w:sz w:val="24"/>
              </w:rPr>
            </w:pPr>
          </w:p>
        </w:tc>
      </w:tr>
      <w:tr w14:paraId="3184D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4" w:type="dxa"/>
            <w:vAlign w:val="center"/>
          </w:tcPr>
          <w:p w14:paraId="0F4AC6D0">
            <w:pPr>
              <w:spacing w:line="300" w:lineRule="auto"/>
              <w:jc w:val="center"/>
              <w:rPr>
                <w:rFonts w:ascii="仿宋" w:hAnsi="仿宋" w:eastAsia="仿宋" w:cs="仿宋"/>
                <w:sz w:val="24"/>
              </w:rPr>
            </w:pPr>
            <w:r>
              <w:rPr>
                <w:rFonts w:hint="eastAsia" w:ascii="仿宋" w:hAnsi="仿宋" w:eastAsia="仿宋" w:cs="仿宋"/>
                <w:sz w:val="24"/>
              </w:rPr>
              <w:t>3</w:t>
            </w:r>
          </w:p>
        </w:tc>
        <w:tc>
          <w:tcPr>
            <w:tcW w:w="7041" w:type="dxa"/>
            <w:vAlign w:val="center"/>
          </w:tcPr>
          <w:p w14:paraId="30F6056F">
            <w:pPr>
              <w:spacing w:line="380" w:lineRule="exact"/>
              <w:rPr>
                <w:rFonts w:ascii="仿宋" w:hAnsi="仿宋" w:eastAsia="仿宋" w:cs="仿宋"/>
                <w:sz w:val="24"/>
              </w:rPr>
            </w:pPr>
            <w:r>
              <w:rPr>
                <w:rFonts w:hint="eastAsia" w:ascii="仿宋" w:hAnsi="仿宋" w:eastAsia="仿宋" w:cs="仿宋"/>
                <w:sz w:val="24"/>
              </w:rPr>
              <w:t>本单位缴纳的近</w:t>
            </w:r>
            <w:r>
              <w:rPr>
                <w:rFonts w:hint="eastAsia" w:ascii="仿宋" w:hAnsi="仿宋" w:eastAsia="仿宋" w:cs="仿宋"/>
                <w:sz w:val="24"/>
                <w:lang w:val="en-US" w:eastAsia="zh-CN"/>
              </w:rPr>
              <w:t>六</w:t>
            </w:r>
            <w:r>
              <w:rPr>
                <w:rFonts w:hint="eastAsia" w:ascii="仿宋" w:hAnsi="仿宋" w:eastAsia="仿宋" w:cs="仿宋"/>
                <w:sz w:val="24"/>
              </w:rPr>
              <w:t>个月中任意一个月的社保缴纳证明（单位社保缴费汇总和个人明细表）含被授权委托人；</w:t>
            </w:r>
          </w:p>
        </w:tc>
        <w:tc>
          <w:tcPr>
            <w:tcW w:w="720" w:type="dxa"/>
          </w:tcPr>
          <w:p w14:paraId="1ECE008A">
            <w:pPr>
              <w:spacing w:line="300" w:lineRule="auto"/>
              <w:rPr>
                <w:rFonts w:ascii="仿宋" w:hAnsi="仿宋" w:eastAsia="仿宋" w:cs="仿宋"/>
                <w:sz w:val="24"/>
              </w:rPr>
            </w:pPr>
          </w:p>
        </w:tc>
        <w:tc>
          <w:tcPr>
            <w:tcW w:w="714" w:type="dxa"/>
          </w:tcPr>
          <w:p w14:paraId="655A518C">
            <w:pPr>
              <w:spacing w:line="300" w:lineRule="auto"/>
              <w:rPr>
                <w:rFonts w:ascii="仿宋" w:hAnsi="仿宋" w:eastAsia="仿宋" w:cs="仿宋"/>
                <w:sz w:val="24"/>
              </w:rPr>
            </w:pPr>
          </w:p>
        </w:tc>
        <w:tc>
          <w:tcPr>
            <w:tcW w:w="818" w:type="dxa"/>
          </w:tcPr>
          <w:p w14:paraId="07845273">
            <w:pPr>
              <w:spacing w:line="300" w:lineRule="auto"/>
              <w:rPr>
                <w:rFonts w:ascii="仿宋" w:hAnsi="仿宋" w:eastAsia="仿宋" w:cs="仿宋"/>
                <w:sz w:val="24"/>
              </w:rPr>
            </w:pPr>
          </w:p>
        </w:tc>
      </w:tr>
      <w:tr w14:paraId="07E35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4" w:type="dxa"/>
            <w:vAlign w:val="center"/>
          </w:tcPr>
          <w:p w14:paraId="033B252F">
            <w:pPr>
              <w:spacing w:line="300" w:lineRule="auto"/>
              <w:jc w:val="center"/>
              <w:rPr>
                <w:rFonts w:ascii="仿宋" w:hAnsi="仿宋" w:eastAsia="仿宋" w:cs="仿宋"/>
                <w:sz w:val="24"/>
              </w:rPr>
            </w:pPr>
            <w:r>
              <w:rPr>
                <w:rFonts w:hint="eastAsia" w:ascii="仿宋" w:hAnsi="仿宋" w:eastAsia="仿宋" w:cs="仿宋"/>
                <w:sz w:val="24"/>
              </w:rPr>
              <w:t>4</w:t>
            </w:r>
          </w:p>
        </w:tc>
        <w:tc>
          <w:tcPr>
            <w:tcW w:w="7041" w:type="dxa"/>
            <w:vAlign w:val="center"/>
          </w:tcPr>
          <w:p w14:paraId="71DF2D13">
            <w:pPr>
              <w:spacing w:line="380" w:lineRule="exact"/>
              <w:rPr>
                <w:rFonts w:ascii="仿宋" w:hAnsi="仿宋" w:eastAsia="仿宋" w:cs="仿宋"/>
                <w:sz w:val="24"/>
              </w:rPr>
            </w:pPr>
            <w:r>
              <w:rPr>
                <w:rFonts w:hint="eastAsia" w:ascii="仿宋" w:hAnsi="仿宋" w:eastAsia="仿宋" w:cs="仿宋"/>
                <w:sz w:val="24"/>
              </w:rPr>
              <w:t>具有税务局开具依法缴纳近</w:t>
            </w:r>
            <w:r>
              <w:rPr>
                <w:rFonts w:hint="eastAsia" w:ascii="仿宋" w:hAnsi="仿宋" w:eastAsia="仿宋" w:cs="仿宋"/>
                <w:sz w:val="24"/>
                <w:lang w:val="en-US" w:eastAsia="zh-CN"/>
              </w:rPr>
              <w:t>六</w:t>
            </w:r>
            <w:r>
              <w:rPr>
                <w:rFonts w:hint="eastAsia" w:ascii="仿宋" w:hAnsi="仿宋" w:eastAsia="仿宋" w:cs="仿宋"/>
                <w:sz w:val="24"/>
              </w:rPr>
              <w:t>个月中任意一个月的税收证明的良好记录（完税证明</w:t>
            </w:r>
            <w:r>
              <w:rPr>
                <w:rFonts w:hint="eastAsia" w:ascii="仿宋" w:hAnsi="仿宋" w:eastAsia="仿宋" w:cs="仿宋"/>
                <w:sz w:val="24"/>
                <w:lang w:val="en-US" w:eastAsia="zh-CN"/>
              </w:rPr>
              <w:t>非社保类</w:t>
            </w:r>
            <w:r>
              <w:rPr>
                <w:rFonts w:hint="eastAsia" w:ascii="仿宋" w:hAnsi="仿宋" w:eastAsia="仿宋" w:cs="仿宋"/>
                <w:sz w:val="24"/>
              </w:rPr>
              <w:t>）；</w:t>
            </w:r>
          </w:p>
        </w:tc>
        <w:tc>
          <w:tcPr>
            <w:tcW w:w="720" w:type="dxa"/>
          </w:tcPr>
          <w:p w14:paraId="6C14650B">
            <w:pPr>
              <w:spacing w:line="300" w:lineRule="auto"/>
              <w:rPr>
                <w:rFonts w:ascii="仿宋" w:hAnsi="仿宋" w:eastAsia="仿宋" w:cs="仿宋"/>
                <w:sz w:val="24"/>
              </w:rPr>
            </w:pPr>
          </w:p>
        </w:tc>
        <w:tc>
          <w:tcPr>
            <w:tcW w:w="714" w:type="dxa"/>
          </w:tcPr>
          <w:p w14:paraId="3FB46CEB">
            <w:pPr>
              <w:spacing w:line="300" w:lineRule="auto"/>
              <w:rPr>
                <w:rFonts w:ascii="仿宋" w:hAnsi="仿宋" w:eastAsia="仿宋" w:cs="仿宋"/>
                <w:sz w:val="24"/>
              </w:rPr>
            </w:pPr>
          </w:p>
        </w:tc>
        <w:tc>
          <w:tcPr>
            <w:tcW w:w="818" w:type="dxa"/>
          </w:tcPr>
          <w:p w14:paraId="450A99C1">
            <w:pPr>
              <w:spacing w:line="300" w:lineRule="auto"/>
              <w:rPr>
                <w:rFonts w:ascii="仿宋" w:hAnsi="仿宋" w:eastAsia="仿宋" w:cs="仿宋"/>
                <w:sz w:val="24"/>
              </w:rPr>
            </w:pPr>
          </w:p>
        </w:tc>
      </w:tr>
      <w:tr w14:paraId="65BA5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14" w:type="dxa"/>
            <w:vAlign w:val="center"/>
          </w:tcPr>
          <w:p w14:paraId="4FE5B76A">
            <w:pPr>
              <w:spacing w:line="300" w:lineRule="auto"/>
              <w:jc w:val="center"/>
              <w:rPr>
                <w:rFonts w:ascii="仿宋" w:hAnsi="仿宋" w:eastAsia="仿宋" w:cs="仿宋"/>
                <w:sz w:val="24"/>
              </w:rPr>
            </w:pPr>
            <w:r>
              <w:rPr>
                <w:rFonts w:hint="eastAsia" w:ascii="仿宋" w:hAnsi="仿宋" w:eastAsia="仿宋" w:cs="仿宋"/>
                <w:sz w:val="24"/>
              </w:rPr>
              <w:t>5</w:t>
            </w:r>
          </w:p>
        </w:tc>
        <w:tc>
          <w:tcPr>
            <w:tcW w:w="7041" w:type="dxa"/>
            <w:vAlign w:val="center"/>
          </w:tcPr>
          <w:p w14:paraId="619FB3AA">
            <w:pPr>
              <w:spacing w:line="380" w:lineRule="exact"/>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lang w:val="en-US" w:eastAsia="zh-CN"/>
              </w:rPr>
              <w:t>3</w:t>
            </w:r>
            <w:r>
              <w:rPr>
                <w:rFonts w:hint="eastAsia" w:ascii="仿宋" w:hAnsi="仿宋" w:eastAsia="仿宋" w:cs="仿宋"/>
                <w:sz w:val="24"/>
              </w:rPr>
              <w:t>年度或202</w:t>
            </w:r>
            <w:r>
              <w:rPr>
                <w:rFonts w:hint="eastAsia" w:ascii="仿宋" w:hAnsi="仿宋" w:eastAsia="仿宋" w:cs="仿宋"/>
                <w:sz w:val="24"/>
                <w:lang w:val="en-US" w:eastAsia="zh-CN"/>
              </w:rPr>
              <w:t>4</w:t>
            </w:r>
            <w:r>
              <w:rPr>
                <w:rFonts w:hint="eastAsia" w:ascii="仿宋" w:hAnsi="仿宋" w:eastAsia="仿宋" w:cs="仿宋"/>
                <w:sz w:val="24"/>
              </w:rPr>
              <w:t xml:space="preserve">年度的财务审计报告（新成立未满一年的公司提供有效的银行资信证明）；   </w:t>
            </w:r>
          </w:p>
        </w:tc>
        <w:tc>
          <w:tcPr>
            <w:tcW w:w="720" w:type="dxa"/>
          </w:tcPr>
          <w:p w14:paraId="3187C41C">
            <w:pPr>
              <w:spacing w:line="300" w:lineRule="auto"/>
              <w:rPr>
                <w:rFonts w:ascii="仿宋" w:hAnsi="仿宋" w:eastAsia="仿宋" w:cs="仿宋"/>
                <w:sz w:val="24"/>
              </w:rPr>
            </w:pPr>
          </w:p>
        </w:tc>
        <w:tc>
          <w:tcPr>
            <w:tcW w:w="714" w:type="dxa"/>
          </w:tcPr>
          <w:p w14:paraId="6D9224A5">
            <w:pPr>
              <w:spacing w:line="300" w:lineRule="auto"/>
              <w:rPr>
                <w:rFonts w:ascii="仿宋" w:hAnsi="仿宋" w:eastAsia="仿宋" w:cs="仿宋"/>
                <w:sz w:val="24"/>
              </w:rPr>
            </w:pPr>
          </w:p>
        </w:tc>
        <w:tc>
          <w:tcPr>
            <w:tcW w:w="818" w:type="dxa"/>
          </w:tcPr>
          <w:p w14:paraId="59D9A2C5">
            <w:pPr>
              <w:spacing w:line="300" w:lineRule="auto"/>
              <w:rPr>
                <w:rFonts w:ascii="仿宋" w:hAnsi="仿宋" w:eastAsia="仿宋" w:cs="仿宋"/>
                <w:sz w:val="24"/>
              </w:rPr>
            </w:pPr>
          </w:p>
        </w:tc>
      </w:tr>
      <w:tr w14:paraId="36ED9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914" w:type="dxa"/>
            <w:vAlign w:val="center"/>
          </w:tcPr>
          <w:p w14:paraId="572DA3C6">
            <w:pPr>
              <w:spacing w:line="300" w:lineRule="auto"/>
              <w:jc w:val="center"/>
              <w:rPr>
                <w:rFonts w:ascii="仿宋" w:hAnsi="仿宋" w:eastAsia="仿宋" w:cs="仿宋"/>
                <w:sz w:val="24"/>
              </w:rPr>
            </w:pPr>
            <w:r>
              <w:rPr>
                <w:rFonts w:hint="eastAsia" w:ascii="仿宋" w:hAnsi="仿宋" w:eastAsia="仿宋" w:cs="仿宋"/>
                <w:sz w:val="24"/>
              </w:rPr>
              <w:t>6</w:t>
            </w:r>
          </w:p>
        </w:tc>
        <w:tc>
          <w:tcPr>
            <w:tcW w:w="7041" w:type="dxa"/>
            <w:vAlign w:val="center"/>
          </w:tcPr>
          <w:p w14:paraId="0CBD8BC1">
            <w:pPr>
              <w:spacing w:line="300" w:lineRule="auto"/>
              <w:rPr>
                <w:rFonts w:ascii="仿宋" w:hAnsi="仿宋" w:eastAsia="仿宋" w:cs="仿宋"/>
                <w:sz w:val="24"/>
              </w:rPr>
            </w:pPr>
            <w:r>
              <w:rPr>
                <w:rFonts w:hint="eastAsia" w:ascii="仿宋" w:hAnsi="仿宋" w:eastAsia="仿宋" w:cs="仿宋"/>
                <w:sz w:val="24"/>
              </w:rPr>
              <w:t>投标供应商参加项目领取磋商文件及投标环节期间采购活动前3年内，在经营活动中没有重大违法记录的书面承诺书；</w:t>
            </w:r>
          </w:p>
        </w:tc>
        <w:tc>
          <w:tcPr>
            <w:tcW w:w="720" w:type="dxa"/>
          </w:tcPr>
          <w:p w14:paraId="509ED440">
            <w:pPr>
              <w:spacing w:line="300" w:lineRule="auto"/>
              <w:rPr>
                <w:rFonts w:ascii="仿宋" w:hAnsi="仿宋" w:eastAsia="仿宋" w:cs="仿宋"/>
                <w:sz w:val="24"/>
              </w:rPr>
            </w:pPr>
          </w:p>
        </w:tc>
        <w:tc>
          <w:tcPr>
            <w:tcW w:w="714" w:type="dxa"/>
          </w:tcPr>
          <w:p w14:paraId="569DE5F8">
            <w:pPr>
              <w:spacing w:line="300" w:lineRule="auto"/>
              <w:rPr>
                <w:rFonts w:ascii="仿宋" w:hAnsi="仿宋" w:eastAsia="仿宋" w:cs="仿宋"/>
                <w:sz w:val="24"/>
              </w:rPr>
            </w:pPr>
          </w:p>
        </w:tc>
        <w:tc>
          <w:tcPr>
            <w:tcW w:w="818" w:type="dxa"/>
          </w:tcPr>
          <w:p w14:paraId="2903F076">
            <w:pPr>
              <w:spacing w:line="300" w:lineRule="auto"/>
              <w:rPr>
                <w:rFonts w:ascii="仿宋" w:hAnsi="仿宋" w:eastAsia="仿宋" w:cs="仿宋"/>
                <w:sz w:val="24"/>
              </w:rPr>
            </w:pPr>
          </w:p>
        </w:tc>
      </w:tr>
      <w:tr w14:paraId="55D43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14" w:type="dxa"/>
            <w:vAlign w:val="center"/>
          </w:tcPr>
          <w:p w14:paraId="1B9FF5C5">
            <w:pPr>
              <w:spacing w:line="300" w:lineRule="auto"/>
              <w:jc w:val="center"/>
              <w:rPr>
                <w:rFonts w:ascii="仿宋" w:hAnsi="仿宋" w:eastAsia="仿宋" w:cs="仿宋"/>
                <w:sz w:val="24"/>
              </w:rPr>
            </w:pPr>
            <w:r>
              <w:rPr>
                <w:rFonts w:hint="eastAsia" w:ascii="仿宋" w:hAnsi="仿宋" w:eastAsia="仿宋" w:cs="仿宋"/>
                <w:sz w:val="24"/>
              </w:rPr>
              <w:t>7</w:t>
            </w:r>
          </w:p>
        </w:tc>
        <w:tc>
          <w:tcPr>
            <w:tcW w:w="7041" w:type="dxa"/>
            <w:vAlign w:val="center"/>
          </w:tcPr>
          <w:p w14:paraId="4608996E">
            <w:pPr>
              <w:spacing w:line="300" w:lineRule="auto"/>
              <w:rPr>
                <w:rFonts w:ascii="仿宋" w:hAnsi="仿宋" w:eastAsia="仿宋" w:cs="仿宋"/>
                <w:sz w:val="24"/>
              </w:rPr>
            </w:pPr>
            <w:r>
              <w:rPr>
                <w:rFonts w:hint="eastAsia" w:ascii="仿宋" w:hAnsi="仿宋" w:eastAsia="仿宋" w:cs="仿宋"/>
                <w:sz w:val="24"/>
              </w:rPr>
              <w:t>针对本项目的反商业贿赂承诺书；</w:t>
            </w:r>
          </w:p>
        </w:tc>
        <w:tc>
          <w:tcPr>
            <w:tcW w:w="720" w:type="dxa"/>
          </w:tcPr>
          <w:p w14:paraId="15EF2BE8">
            <w:pPr>
              <w:spacing w:line="300" w:lineRule="auto"/>
              <w:rPr>
                <w:rFonts w:ascii="仿宋" w:hAnsi="仿宋" w:eastAsia="仿宋" w:cs="仿宋"/>
                <w:sz w:val="24"/>
              </w:rPr>
            </w:pPr>
          </w:p>
        </w:tc>
        <w:tc>
          <w:tcPr>
            <w:tcW w:w="714" w:type="dxa"/>
          </w:tcPr>
          <w:p w14:paraId="79860C57">
            <w:pPr>
              <w:spacing w:line="300" w:lineRule="auto"/>
              <w:rPr>
                <w:rFonts w:ascii="仿宋" w:hAnsi="仿宋" w:eastAsia="仿宋" w:cs="仿宋"/>
                <w:sz w:val="24"/>
              </w:rPr>
            </w:pPr>
          </w:p>
        </w:tc>
        <w:tc>
          <w:tcPr>
            <w:tcW w:w="818" w:type="dxa"/>
          </w:tcPr>
          <w:p w14:paraId="0A65251D">
            <w:pPr>
              <w:spacing w:line="300" w:lineRule="auto"/>
              <w:rPr>
                <w:rFonts w:ascii="仿宋" w:hAnsi="仿宋" w:eastAsia="仿宋" w:cs="仿宋"/>
                <w:sz w:val="24"/>
              </w:rPr>
            </w:pPr>
          </w:p>
        </w:tc>
      </w:tr>
      <w:tr w14:paraId="6D2E2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914" w:type="dxa"/>
            <w:vAlign w:val="center"/>
          </w:tcPr>
          <w:p w14:paraId="10802DF5">
            <w:pPr>
              <w:spacing w:line="300" w:lineRule="auto"/>
              <w:jc w:val="center"/>
              <w:rPr>
                <w:rFonts w:ascii="仿宋" w:hAnsi="仿宋" w:eastAsia="仿宋" w:cs="仿宋"/>
                <w:sz w:val="24"/>
              </w:rPr>
            </w:pPr>
            <w:r>
              <w:rPr>
                <w:rFonts w:hint="eastAsia" w:ascii="仿宋" w:hAnsi="仿宋" w:eastAsia="仿宋" w:cs="仿宋"/>
                <w:sz w:val="24"/>
              </w:rPr>
              <w:t>8</w:t>
            </w:r>
          </w:p>
        </w:tc>
        <w:tc>
          <w:tcPr>
            <w:tcW w:w="7041" w:type="dxa"/>
            <w:vAlign w:val="center"/>
          </w:tcPr>
          <w:p w14:paraId="5E40461D">
            <w:pPr>
              <w:spacing w:line="240" w:lineRule="atLeast"/>
              <w:rPr>
                <w:rFonts w:ascii="仿宋" w:hAnsi="仿宋" w:eastAsia="仿宋" w:cs="仿宋"/>
                <w:sz w:val="24"/>
              </w:rPr>
            </w:pPr>
            <w:r>
              <w:rPr>
                <w:rStyle w:val="37"/>
                <w:rFonts w:hint="eastAsia" w:ascii="仿宋" w:hAnsi="仿宋" w:eastAsia="仿宋" w:cs="仿宋"/>
                <w:b w:val="0"/>
                <w:bCs/>
                <w:sz w:val="24"/>
              </w:rPr>
              <w:t>根据《财政部关于在政府采购活动中查询及使用信用记录有关问题的通知》（财库﹝2016﹞125 号）的要求，凡拟参加本次招标项目的供应商，如在“信用中国”网站（ www.creditchina.gov.cn） 被列入失信被执行人、重大税收违法案件当事人名单(信用服务-失信惩戒对象查询-搜索栏输入单位全称-截图)、中国政府采购网（http://www.ccgp.gov.cn/search/cr/）严重违法 失信行为记录名单的（尚在处罚期内的），“国家企业信用信息公示系统 （http://www.gsxt.gov.cn）”列入严重违法失信企业名单（黑名单）信息及企业信用信息公示报告；将拒绝其参加本次招标活动</w:t>
            </w:r>
            <w:r>
              <w:rPr>
                <w:rFonts w:hint="eastAsia" w:ascii="仿宋" w:hAnsi="仿宋" w:eastAsia="仿宋" w:cs="仿宋"/>
                <w:kern w:val="0"/>
                <w:sz w:val="24"/>
              </w:rPr>
              <w:t>（以资格审查小组开标现场查询为主）。</w:t>
            </w:r>
          </w:p>
        </w:tc>
        <w:tc>
          <w:tcPr>
            <w:tcW w:w="720" w:type="dxa"/>
          </w:tcPr>
          <w:p w14:paraId="06C13D8E">
            <w:pPr>
              <w:spacing w:line="300" w:lineRule="auto"/>
              <w:rPr>
                <w:rFonts w:ascii="仿宋" w:hAnsi="仿宋" w:eastAsia="仿宋" w:cs="仿宋"/>
                <w:sz w:val="24"/>
              </w:rPr>
            </w:pPr>
          </w:p>
        </w:tc>
        <w:tc>
          <w:tcPr>
            <w:tcW w:w="714" w:type="dxa"/>
          </w:tcPr>
          <w:p w14:paraId="45FDF9EB">
            <w:pPr>
              <w:spacing w:line="300" w:lineRule="auto"/>
              <w:rPr>
                <w:rFonts w:ascii="仿宋" w:hAnsi="仿宋" w:eastAsia="仿宋" w:cs="仿宋"/>
                <w:sz w:val="24"/>
              </w:rPr>
            </w:pPr>
          </w:p>
        </w:tc>
        <w:tc>
          <w:tcPr>
            <w:tcW w:w="818" w:type="dxa"/>
          </w:tcPr>
          <w:p w14:paraId="4BD4C74B">
            <w:pPr>
              <w:spacing w:line="300" w:lineRule="auto"/>
              <w:rPr>
                <w:rFonts w:ascii="仿宋" w:hAnsi="仿宋" w:eastAsia="仿宋" w:cs="仿宋"/>
                <w:sz w:val="24"/>
              </w:rPr>
            </w:pPr>
          </w:p>
        </w:tc>
      </w:tr>
      <w:tr w14:paraId="6B9A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0665904B">
            <w:pPr>
              <w:spacing w:line="300" w:lineRule="auto"/>
              <w:jc w:val="center"/>
              <w:rPr>
                <w:rFonts w:ascii="仿宋" w:hAnsi="仿宋" w:eastAsia="仿宋" w:cs="仿宋"/>
                <w:sz w:val="24"/>
              </w:rPr>
            </w:pPr>
            <w:r>
              <w:rPr>
                <w:rFonts w:hint="eastAsia" w:ascii="仿宋" w:hAnsi="仿宋" w:eastAsia="仿宋" w:cs="仿宋"/>
                <w:sz w:val="24"/>
              </w:rPr>
              <w:t>9</w:t>
            </w:r>
          </w:p>
        </w:tc>
        <w:tc>
          <w:tcPr>
            <w:tcW w:w="7041" w:type="dxa"/>
            <w:vAlign w:val="center"/>
          </w:tcPr>
          <w:p w14:paraId="3CCA4D54">
            <w:pPr>
              <w:spacing w:line="300" w:lineRule="auto"/>
              <w:rPr>
                <w:rFonts w:ascii="仿宋" w:hAnsi="仿宋" w:eastAsia="仿宋" w:cs="仿宋"/>
                <w:sz w:val="22"/>
                <w:szCs w:val="22"/>
              </w:rPr>
            </w:pPr>
            <w:r>
              <w:rPr>
                <w:rFonts w:hint="eastAsia" w:ascii="仿宋" w:hAnsi="仿宋" w:eastAsia="仿宋" w:cs="仿宋"/>
                <w:sz w:val="22"/>
                <w:szCs w:val="22"/>
              </w:rPr>
              <w:t>磋商保证金</w:t>
            </w:r>
            <w:r>
              <w:rPr>
                <w:rFonts w:hint="eastAsia" w:ascii="仿宋" w:hAnsi="仿宋" w:eastAsia="仿宋" w:cs="仿宋"/>
                <w:sz w:val="24"/>
              </w:rPr>
              <w:t>有效缴纳凭证</w:t>
            </w:r>
            <w:r>
              <w:rPr>
                <w:rFonts w:hint="eastAsia" w:ascii="仿宋" w:hAnsi="仿宋" w:eastAsia="仿宋" w:cs="仿宋"/>
                <w:sz w:val="24"/>
                <w:lang w:val="en-US" w:eastAsia="zh-CN"/>
              </w:rPr>
              <w:t>或磋商保函</w:t>
            </w:r>
            <w:r>
              <w:rPr>
                <w:rFonts w:hint="eastAsia" w:ascii="仿宋" w:hAnsi="仿宋" w:eastAsia="仿宋" w:cs="仿宋"/>
                <w:sz w:val="24"/>
              </w:rPr>
              <w:t>；</w:t>
            </w:r>
          </w:p>
        </w:tc>
        <w:tc>
          <w:tcPr>
            <w:tcW w:w="720" w:type="dxa"/>
          </w:tcPr>
          <w:p w14:paraId="598127CA">
            <w:pPr>
              <w:spacing w:line="300" w:lineRule="auto"/>
              <w:rPr>
                <w:rFonts w:ascii="仿宋" w:hAnsi="仿宋" w:eastAsia="仿宋" w:cs="仿宋"/>
                <w:sz w:val="24"/>
              </w:rPr>
            </w:pPr>
          </w:p>
        </w:tc>
        <w:tc>
          <w:tcPr>
            <w:tcW w:w="714" w:type="dxa"/>
          </w:tcPr>
          <w:p w14:paraId="757A043E">
            <w:pPr>
              <w:spacing w:line="300" w:lineRule="auto"/>
              <w:rPr>
                <w:rFonts w:ascii="仿宋" w:hAnsi="仿宋" w:eastAsia="仿宋" w:cs="仿宋"/>
                <w:sz w:val="24"/>
              </w:rPr>
            </w:pPr>
          </w:p>
        </w:tc>
        <w:tc>
          <w:tcPr>
            <w:tcW w:w="818" w:type="dxa"/>
          </w:tcPr>
          <w:p w14:paraId="0E4B0EE5">
            <w:pPr>
              <w:spacing w:line="300" w:lineRule="auto"/>
              <w:rPr>
                <w:rFonts w:ascii="仿宋" w:hAnsi="仿宋" w:eastAsia="仿宋" w:cs="仿宋"/>
                <w:sz w:val="24"/>
              </w:rPr>
            </w:pPr>
          </w:p>
        </w:tc>
      </w:tr>
      <w:tr w14:paraId="6ED0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109DD466">
            <w:pPr>
              <w:spacing w:line="300" w:lineRule="auto"/>
              <w:ind w:firstLine="240" w:firstLineChars="100"/>
              <w:rPr>
                <w:rFonts w:hint="default" w:ascii="仿宋" w:hAnsi="仿宋" w:eastAsia="仿宋" w:cs="仿宋"/>
                <w:sz w:val="24"/>
                <w:lang w:val="en-US" w:eastAsia="zh-CN"/>
              </w:rPr>
            </w:pPr>
            <w:r>
              <w:rPr>
                <w:rFonts w:hint="eastAsia" w:ascii="仿宋" w:hAnsi="仿宋" w:eastAsia="仿宋" w:cs="仿宋"/>
                <w:sz w:val="24"/>
              </w:rPr>
              <w:t>10</w:t>
            </w:r>
          </w:p>
        </w:tc>
        <w:tc>
          <w:tcPr>
            <w:tcW w:w="7041" w:type="dxa"/>
            <w:vAlign w:val="center"/>
          </w:tcPr>
          <w:p w14:paraId="7552EAE1">
            <w:pPr>
              <w:numPr>
                <w:ilvl w:val="0"/>
                <w:numId w:val="0"/>
              </w:numPr>
              <w:spacing w:line="300" w:lineRule="auto"/>
              <w:rPr>
                <w:rFonts w:hint="eastAsia" w:ascii="仿宋" w:hAnsi="仿宋" w:eastAsia="仿宋" w:cs="仿宋"/>
                <w:bCs/>
                <w:sz w:val="24"/>
                <w:lang w:val="en-US" w:eastAsia="zh-CN"/>
              </w:rPr>
            </w:pPr>
            <w:r>
              <w:rPr>
                <w:rFonts w:hint="eastAsia" w:ascii="仿宋" w:hAnsi="仿宋" w:eastAsia="仿宋" w:cs="仿宋"/>
                <w:bCs/>
                <w:sz w:val="24"/>
                <w:lang w:val="en-US" w:eastAsia="zh-CN"/>
              </w:rPr>
              <w:t>特定资格要求：</w:t>
            </w:r>
          </w:p>
          <w:p w14:paraId="381ED5DE">
            <w:pPr>
              <w:pStyle w:val="15"/>
              <w:spacing w:before="75" w:beforeAutospacing="0" w:after="75" w:afterAutospacing="0" w:line="420" w:lineRule="exac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val="zh-CN"/>
              </w:rPr>
              <w:t>）【市政公用工程施工总承包三级】（含三级）以上资质企业；并在人员、设备、资金等方面具有相应的施工能力；</w:t>
            </w:r>
          </w:p>
          <w:p w14:paraId="330E5D09">
            <w:pPr>
              <w:pStyle w:val="15"/>
              <w:spacing w:before="75" w:beforeAutospacing="0" w:after="75" w:afterAutospacing="0" w:line="420" w:lineRule="exact"/>
              <w:rPr>
                <w:rFonts w:ascii="仿宋" w:hAnsi="仿宋" w:eastAsia="仿宋" w:cs="仿宋"/>
                <w:sz w:val="24"/>
              </w:rPr>
            </w:pPr>
            <w:r>
              <w:rPr>
                <w:rFonts w:hint="eastAsia" w:ascii="仿宋" w:hAnsi="仿宋" w:eastAsia="仿宋" w:cs="仿宋"/>
                <w:color w:val="auto"/>
                <w:highlight w:val="none"/>
                <w:lang w:val="zh-CN"/>
              </w:rPr>
              <w:t>（</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val="zh-CN"/>
              </w:rPr>
              <w:t>）拟派项目经理具备【市政公用工程二级】（含二级）以上注册建造师执业资格及有效的安全生产考核合格证</w:t>
            </w:r>
            <w:r>
              <w:rPr>
                <w:rFonts w:hint="eastAsia" w:ascii="仿宋" w:hAnsi="仿宋" w:eastAsia="仿宋" w:cs="仿宋"/>
                <w:color w:val="auto"/>
                <w:highlight w:val="none"/>
                <w:lang w:val="en-US" w:eastAsia="zh-CN"/>
              </w:rPr>
              <w:t>B证</w:t>
            </w:r>
            <w:r>
              <w:rPr>
                <w:rFonts w:hint="eastAsia" w:ascii="仿宋" w:hAnsi="仿宋" w:eastAsia="仿宋" w:cs="仿宋"/>
                <w:color w:val="auto"/>
                <w:highlight w:val="none"/>
                <w:lang w:val="zh-CN"/>
              </w:rPr>
              <w:t>；</w:t>
            </w:r>
          </w:p>
        </w:tc>
        <w:tc>
          <w:tcPr>
            <w:tcW w:w="720" w:type="dxa"/>
          </w:tcPr>
          <w:p w14:paraId="1537955C">
            <w:pPr>
              <w:spacing w:line="300" w:lineRule="auto"/>
              <w:rPr>
                <w:rFonts w:ascii="仿宋" w:hAnsi="仿宋" w:eastAsia="仿宋" w:cs="仿宋"/>
                <w:sz w:val="24"/>
              </w:rPr>
            </w:pPr>
          </w:p>
        </w:tc>
        <w:tc>
          <w:tcPr>
            <w:tcW w:w="714" w:type="dxa"/>
          </w:tcPr>
          <w:p w14:paraId="39F44AE6">
            <w:pPr>
              <w:spacing w:line="300" w:lineRule="auto"/>
              <w:rPr>
                <w:rFonts w:ascii="仿宋" w:hAnsi="仿宋" w:eastAsia="仿宋" w:cs="仿宋"/>
                <w:sz w:val="24"/>
              </w:rPr>
            </w:pPr>
          </w:p>
        </w:tc>
        <w:tc>
          <w:tcPr>
            <w:tcW w:w="818" w:type="dxa"/>
          </w:tcPr>
          <w:p w14:paraId="61C1F17A">
            <w:pPr>
              <w:spacing w:line="300" w:lineRule="auto"/>
              <w:rPr>
                <w:rFonts w:ascii="仿宋" w:hAnsi="仿宋" w:eastAsia="仿宋" w:cs="仿宋"/>
                <w:sz w:val="24"/>
              </w:rPr>
            </w:pPr>
          </w:p>
        </w:tc>
      </w:tr>
      <w:tr w14:paraId="21410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0D1791E7">
            <w:pPr>
              <w:spacing w:line="300" w:lineRule="auto"/>
              <w:rPr>
                <w:rFonts w:hint="default" w:ascii="仿宋" w:hAnsi="仿宋" w:eastAsia="仿宋" w:cs="仿宋"/>
                <w:sz w:val="24"/>
                <w:lang w:val="en-US" w:eastAsia="zh-CN"/>
              </w:rPr>
            </w:pPr>
            <w:r>
              <w:rPr>
                <w:rFonts w:hint="eastAsia" w:ascii="仿宋" w:hAnsi="仿宋" w:eastAsia="仿宋" w:cs="仿宋"/>
                <w:sz w:val="24"/>
              </w:rPr>
              <w:t xml:space="preserve">  </w:t>
            </w:r>
            <w:r>
              <w:rPr>
                <w:rFonts w:hint="eastAsia" w:ascii="仿宋" w:hAnsi="仿宋" w:eastAsia="仿宋" w:cs="仿宋"/>
                <w:sz w:val="24"/>
                <w:lang w:val="en-US" w:eastAsia="zh-CN"/>
              </w:rPr>
              <w:t>11</w:t>
            </w:r>
          </w:p>
        </w:tc>
        <w:tc>
          <w:tcPr>
            <w:tcW w:w="7041" w:type="dxa"/>
            <w:vAlign w:val="center"/>
          </w:tcPr>
          <w:p w14:paraId="41C1B438">
            <w:pPr>
              <w:widowControl/>
              <w:spacing w:line="420" w:lineRule="exact"/>
              <w:rPr>
                <w:rFonts w:hint="eastAsia" w:ascii="仿宋" w:hAnsi="仿宋" w:eastAsia="仿宋" w:cs="仿宋"/>
                <w:sz w:val="24"/>
              </w:rPr>
            </w:pPr>
            <w:r>
              <w:rPr>
                <w:rFonts w:hint="eastAsia" w:ascii="仿宋" w:hAnsi="仿宋" w:eastAsia="仿宋"/>
                <w:bCs/>
                <w:sz w:val="24"/>
                <w:lang w:eastAsia="zh-CN"/>
              </w:rPr>
              <w:t>《</w:t>
            </w:r>
            <w:r>
              <w:rPr>
                <w:rFonts w:hint="eastAsia" w:ascii="仿宋" w:hAnsi="仿宋" w:eastAsia="仿宋"/>
                <w:bCs/>
                <w:sz w:val="24"/>
              </w:rPr>
              <w:t>中小企业声明函》；</w:t>
            </w:r>
          </w:p>
        </w:tc>
        <w:tc>
          <w:tcPr>
            <w:tcW w:w="720" w:type="dxa"/>
          </w:tcPr>
          <w:p w14:paraId="0237298B">
            <w:pPr>
              <w:spacing w:line="300" w:lineRule="auto"/>
              <w:rPr>
                <w:rFonts w:ascii="仿宋" w:hAnsi="仿宋" w:eastAsia="仿宋" w:cs="仿宋"/>
                <w:sz w:val="24"/>
              </w:rPr>
            </w:pPr>
          </w:p>
        </w:tc>
        <w:tc>
          <w:tcPr>
            <w:tcW w:w="714" w:type="dxa"/>
          </w:tcPr>
          <w:p w14:paraId="3EDC7D92">
            <w:pPr>
              <w:spacing w:line="300" w:lineRule="auto"/>
              <w:rPr>
                <w:rFonts w:ascii="仿宋" w:hAnsi="仿宋" w:eastAsia="仿宋" w:cs="仿宋"/>
                <w:sz w:val="24"/>
              </w:rPr>
            </w:pPr>
          </w:p>
        </w:tc>
        <w:tc>
          <w:tcPr>
            <w:tcW w:w="818" w:type="dxa"/>
          </w:tcPr>
          <w:p w14:paraId="10D30D8D">
            <w:pPr>
              <w:spacing w:line="300" w:lineRule="auto"/>
              <w:rPr>
                <w:rFonts w:ascii="仿宋" w:hAnsi="仿宋" w:eastAsia="仿宋" w:cs="仿宋"/>
                <w:sz w:val="24"/>
              </w:rPr>
            </w:pPr>
          </w:p>
        </w:tc>
      </w:tr>
      <w:tr w14:paraId="0135C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56D720E7">
            <w:pPr>
              <w:spacing w:line="300" w:lineRule="auto"/>
              <w:rPr>
                <w:rFonts w:ascii="仿宋" w:hAnsi="仿宋" w:eastAsia="仿宋" w:cs="仿宋"/>
                <w:sz w:val="24"/>
              </w:rPr>
            </w:pPr>
          </w:p>
        </w:tc>
        <w:tc>
          <w:tcPr>
            <w:tcW w:w="7041" w:type="dxa"/>
            <w:vAlign w:val="center"/>
          </w:tcPr>
          <w:p w14:paraId="77436ED4">
            <w:pPr>
              <w:spacing w:line="300" w:lineRule="auto"/>
              <w:rPr>
                <w:rFonts w:ascii="仿宋" w:hAnsi="仿宋" w:eastAsia="仿宋" w:cs="仿宋"/>
                <w:sz w:val="24"/>
              </w:rPr>
            </w:pPr>
            <w:r>
              <w:rPr>
                <w:rFonts w:hint="eastAsia" w:ascii="仿宋" w:hAnsi="仿宋" w:eastAsia="仿宋" w:cs="仿宋"/>
                <w:sz w:val="24"/>
              </w:rPr>
              <w:t>结论：</w:t>
            </w:r>
            <w:r>
              <w:rPr>
                <w:rFonts w:hint="eastAsia" w:ascii="仿宋" w:hAnsi="仿宋" w:eastAsia="仿宋" w:cs="仿宋"/>
                <w:spacing w:val="-2"/>
                <w:sz w:val="24"/>
              </w:rPr>
              <w:t>通过评审打“√”，未通过评审打“×”</w:t>
            </w:r>
          </w:p>
        </w:tc>
        <w:tc>
          <w:tcPr>
            <w:tcW w:w="720" w:type="dxa"/>
          </w:tcPr>
          <w:p w14:paraId="3FE8A4E9">
            <w:pPr>
              <w:spacing w:line="300" w:lineRule="auto"/>
              <w:rPr>
                <w:rFonts w:ascii="仿宋" w:hAnsi="仿宋" w:eastAsia="仿宋" w:cs="仿宋"/>
                <w:sz w:val="24"/>
              </w:rPr>
            </w:pPr>
          </w:p>
        </w:tc>
        <w:tc>
          <w:tcPr>
            <w:tcW w:w="714" w:type="dxa"/>
          </w:tcPr>
          <w:p w14:paraId="6998E61E">
            <w:pPr>
              <w:spacing w:line="300" w:lineRule="auto"/>
              <w:rPr>
                <w:rFonts w:ascii="仿宋" w:hAnsi="仿宋" w:eastAsia="仿宋" w:cs="仿宋"/>
                <w:sz w:val="24"/>
              </w:rPr>
            </w:pPr>
          </w:p>
        </w:tc>
        <w:tc>
          <w:tcPr>
            <w:tcW w:w="818" w:type="dxa"/>
          </w:tcPr>
          <w:p w14:paraId="07524FB1">
            <w:pPr>
              <w:spacing w:line="300" w:lineRule="auto"/>
              <w:rPr>
                <w:rFonts w:ascii="仿宋" w:hAnsi="仿宋" w:eastAsia="仿宋" w:cs="仿宋"/>
                <w:sz w:val="24"/>
              </w:rPr>
            </w:pPr>
          </w:p>
        </w:tc>
      </w:tr>
    </w:tbl>
    <w:p w14:paraId="49F6F7AB">
      <w:pPr>
        <w:spacing w:line="360" w:lineRule="auto"/>
        <w:rPr>
          <w:rFonts w:ascii="仿宋" w:hAnsi="仿宋" w:eastAsia="仿宋" w:cs="仿宋"/>
          <w:b/>
          <w:bCs/>
          <w:sz w:val="24"/>
        </w:rPr>
      </w:pPr>
      <w:r>
        <w:rPr>
          <w:rFonts w:hint="eastAsia" w:ascii="仿宋" w:hAnsi="仿宋" w:eastAsia="仿宋" w:cs="仿宋"/>
          <w:sz w:val="24"/>
        </w:rPr>
        <w:t>注：★</w:t>
      </w:r>
      <w:r>
        <w:rPr>
          <w:rFonts w:hint="eastAsia" w:ascii="仿宋" w:hAnsi="仿宋" w:eastAsia="仿宋" w:cs="仿宋"/>
          <w:b/>
          <w:bCs/>
          <w:sz w:val="24"/>
        </w:rPr>
        <w:t>备注：如果响应文件中有一项未通过上述审查标准，评标委员会将认定整个响应文件未响应磋商文件而予以废标处理。</w:t>
      </w:r>
    </w:p>
    <w:p w14:paraId="4E124983">
      <w:pPr>
        <w:numPr>
          <w:ilvl w:val="0"/>
          <w:numId w:val="11"/>
        </w:numPr>
        <w:spacing w:line="360" w:lineRule="auto"/>
        <w:rPr>
          <w:rFonts w:ascii="仿宋" w:hAnsi="仿宋" w:eastAsia="仿宋" w:cs="仿宋"/>
          <w:bCs/>
          <w:sz w:val="24"/>
        </w:rPr>
      </w:pPr>
      <w:r>
        <w:rPr>
          <w:rFonts w:hint="eastAsia" w:ascii="仿宋" w:hAnsi="仿宋" w:eastAsia="仿宋" w:cs="仿宋"/>
          <w:bCs/>
          <w:sz w:val="24"/>
        </w:rPr>
        <w:t>《中华人民共和国政府采购法》</w:t>
      </w:r>
    </w:p>
    <w:p w14:paraId="792F87B2">
      <w:pPr>
        <w:numPr>
          <w:ilvl w:val="0"/>
          <w:numId w:val="11"/>
        </w:numPr>
        <w:spacing w:line="360" w:lineRule="auto"/>
        <w:rPr>
          <w:rFonts w:ascii="仿宋" w:hAnsi="仿宋" w:eastAsia="仿宋" w:cs="仿宋"/>
        </w:rPr>
      </w:pPr>
      <w:r>
        <w:rPr>
          <w:rFonts w:hint="eastAsia" w:ascii="仿宋" w:hAnsi="仿宋" w:eastAsia="仿宋" w:cs="仿宋"/>
        </w:rPr>
        <w:t>财政部第87号令《政府采购货物和服务招标投标管理办法》</w:t>
      </w:r>
      <w:bookmarkStart w:id="366" w:name="_Toc507399904"/>
    </w:p>
    <w:p w14:paraId="71034710">
      <w:pPr>
        <w:spacing w:line="360" w:lineRule="auto"/>
        <w:jc w:val="center"/>
        <w:rPr>
          <w:rFonts w:ascii="仿宋" w:hAnsi="仿宋" w:eastAsia="仿宋" w:cs="仿宋"/>
          <w:b/>
          <w:sz w:val="28"/>
          <w:szCs w:val="28"/>
        </w:rPr>
      </w:pPr>
      <w:r>
        <w:rPr>
          <w:rFonts w:hint="eastAsia" w:ascii="仿宋" w:hAnsi="仿宋" w:eastAsia="仿宋" w:cs="仿宋"/>
          <w:b/>
          <w:sz w:val="28"/>
          <w:szCs w:val="28"/>
        </w:rPr>
        <w:t>初步评审—符合性审查表</w:t>
      </w:r>
    </w:p>
    <w:tbl>
      <w:tblPr>
        <w:tblStyle w:val="34"/>
        <w:tblpPr w:leftFromText="180" w:rightFromText="180" w:vertAnchor="text" w:horzAnchor="page" w:tblpXSpec="center" w:tblpY="154"/>
        <w:tblOverlap w:val="never"/>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6915"/>
        <w:gridCol w:w="1276"/>
      </w:tblGrid>
      <w:tr w14:paraId="61F61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763" w:type="dxa"/>
            <w:gridSpan w:val="2"/>
            <w:vAlign w:val="center"/>
          </w:tcPr>
          <w:p w14:paraId="702DEF8F">
            <w:pPr>
              <w:spacing w:line="300" w:lineRule="auto"/>
              <w:jc w:val="center"/>
              <w:rPr>
                <w:rFonts w:ascii="仿宋" w:hAnsi="仿宋" w:eastAsia="仿宋" w:cs="仿宋"/>
                <w:b/>
                <w:spacing w:val="-2"/>
                <w:sz w:val="24"/>
              </w:rPr>
            </w:pPr>
            <w:r>
              <w:rPr>
                <w:rFonts w:hint="eastAsia" w:ascii="仿宋" w:hAnsi="仿宋" w:eastAsia="仿宋" w:cs="仿宋"/>
                <w:b/>
                <w:spacing w:val="-2"/>
                <w:sz w:val="24"/>
              </w:rPr>
              <w:t>评审内容</w:t>
            </w:r>
          </w:p>
        </w:tc>
        <w:tc>
          <w:tcPr>
            <w:tcW w:w="1276" w:type="dxa"/>
            <w:vAlign w:val="center"/>
          </w:tcPr>
          <w:p w14:paraId="19AF2EA5">
            <w:pPr>
              <w:spacing w:line="300" w:lineRule="auto"/>
              <w:jc w:val="center"/>
              <w:rPr>
                <w:rFonts w:ascii="仿宋" w:hAnsi="仿宋" w:eastAsia="仿宋" w:cs="仿宋"/>
                <w:spacing w:val="-2"/>
                <w:sz w:val="24"/>
              </w:rPr>
            </w:pPr>
            <w:r>
              <w:rPr>
                <w:rFonts w:hint="eastAsia" w:ascii="仿宋" w:hAnsi="仿宋" w:eastAsia="仿宋" w:cs="仿宋"/>
                <w:b/>
                <w:sz w:val="24"/>
              </w:rPr>
              <w:t>评审意见</w:t>
            </w:r>
          </w:p>
        </w:tc>
      </w:tr>
      <w:tr w14:paraId="2028A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48" w:type="dxa"/>
            <w:vAlign w:val="center"/>
          </w:tcPr>
          <w:p w14:paraId="1DC95226">
            <w:pPr>
              <w:spacing w:line="300" w:lineRule="auto"/>
              <w:jc w:val="center"/>
              <w:rPr>
                <w:rFonts w:ascii="仿宋" w:hAnsi="仿宋" w:eastAsia="仿宋" w:cs="仿宋"/>
                <w:sz w:val="24"/>
              </w:rPr>
            </w:pPr>
            <w:r>
              <w:rPr>
                <w:rFonts w:hint="eastAsia" w:ascii="仿宋" w:hAnsi="仿宋" w:eastAsia="仿宋" w:cs="仿宋"/>
                <w:sz w:val="24"/>
              </w:rPr>
              <w:t>序号</w:t>
            </w:r>
          </w:p>
        </w:tc>
        <w:tc>
          <w:tcPr>
            <w:tcW w:w="6915" w:type="dxa"/>
            <w:vAlign w:val="center"/>
          </w:tcPr>
          <w:p w14:paraId="3C8ABAD2">
            <w:pPr>
              <w:spacing w:line="300" w:lineRule="auto"/>
              <w:rPr>
                <w:rFonts w:ascii="仿宋" w:hAnsi="仿宋" w:eastAsia="仿宋" w:cs="仿宋"/>
                <w:spacing w:val="-2"/>
                <w:sz w:val="24"/>
              </w:rPr>
            </w:pPr>
          </w:p>
        </w:tc>
        <w:tc>
          <w:tcPr>
            <w:tcW w:w="1276" w:type="dxa"/>
            <w:vAlign w:val="center"/>
          </w:tcPr>
          <w:p w14:paraId="26236C37">
            <w:pPr>
              <w:spacing w:line="300" w:lineRule="auto"/>
              <w:jc w:val="center"/>
              <w:rPr>
                <w:rFonts w:ascii="仿宋" w:hAnsi="仿宋" w:eastAsia="仿宋" w:cs="仿宋"/>
                <w:spacing w:val="-2"/>
                <w:sz w:val="24"/>
              </w:rPr>
            </w:pPr>
            <w:r>
              <w:rPr>
                <w:rFonts w:hint="eastAsia" w:ascii="仿宋" w:hAnsi="仿宋" w:eastAsia="仿宋" w:cs="仿宋"/>
                <w:spacing w:val="-2"/>
                <w:sz w:val="24"/>
              </w:rPr>
              <w:t>是否合格</w:t>
            </w:r>
          </w:p>
        </w:tc>
      </w:tr>
      <w:tr w14:paraId="62C9D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20976CEB">
            <w:pPr>
              <w:spacing w:line="300" w:lineRule="auto"/>
              <w:jc w:val="center"/>
              <w:rPr>
                <w:rFonts w:ascii="仿宋" w:hAnsi="仿宋" w:eastAsia="仿宋" w:cs="仿宋"/>
                <w:sz w:val="24"/>
              </w:rPr>
            </w:pPr>
            <w:r>
              <w:rPr>
                <w:rFonts w:hint="eastAsia" w:ascii="仿宋" w:hAnsi="仿宋" w:eastAsia="仿宋" w:cs="仿宋"/>
                <w:sz w:val="24"/>
              </w:rPr>
              <w:t>1</w:t>
            </w:r>
          </w:p>
        </w:tc>
        <w:tc>
          <w:tcPr>
            <w:tcW w:w="6915" w:type="dxa"/>
            <w:vAlign w:val="center"/>
          </w:tcPr>
          <w:p w14:paraId="1FA2DDEF">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投标报价高于预算金额；</w:t>
            </w:r>
          </w:p>
        </w:tc>
        <w:tc>
          <w:tcPr>
            <w:tcW w:w="1276" w:type="dxa"/>
            <w:vAlign w:val="center"/>
          </w:tcPr>
          <w:p w14:paraId="2553B27D">
            <w:pPr>
              <w:spacing w:line="300" w:lineRule="auto"/>
              <w:rPr>
                <w:rFonts w:ascii="仿宋" w:hAnsi="仿宋" w:eastAsia="仿宋" w:cs="仿宋"/>
                <w:spacing w:val="-2"/>
                <w:sz w:val="24"/>
              </w:rPr>
            </w:pPr>
          </w:p>
        </w:tc>
      </w:tr>
      <w:tr w14:paraId="68861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48" w:type="dxa"/>
            <w:vAlign w:val="center"/>
          </w:tcPr>
          <w:p w14:paraId="7735CB84">
            <w:pPr>
              <w:spacing w:line="300" w:lineRule="auto"/>
              <w:jc w:val="center"/>
              <w:rPr>
                <w:rFonts w:ascii="仿宋" w:hAnsi="仿宋" w:eastAsia="仿宋" w:cs="仿宋"/>
                <w:sz w:val="24"/>
              </w:rPr>
            </w:pPr>
            <w:r>
              <w:rPr>
                <w:rFonts w:hint="eastAsia" w:ascii="仿宋" w:hAnsi="仿宋" w:eastAsia="仿宋" w:cs="仿宋"/>
                <w:sz w:val="24"/>
              </w:rPr>
              <w:t>2</w:t>
            </w:r>
          </w:p>
        </w:tc>
        <w:tc>
          <w:tcPr>
            <w:tcW w:w="6915" w:type="dxa"/>
            <w:vAlign w:val="center"/>
          </w:tcPr>
          <w:p w14:paraId="6EE4E043">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供应商之间或者供应商与采购人串通投标的；</w:t>
            </w:r>
          </w:p>
        </w:tc>
        <w:tc>
          <w:tcPr>
            <w:tcW w:w="1276" w:type="dxa"/>
            <w:vAlign w:val="center"/>
          </w:tcPr>
          <w:p w14:paraId="3E59B2F3">
            <w:pPr>
              <w:spacing w:line="300" w:lineRule="auto"/>
              <w:rPr>
                <w:rFonts w:ascii="仿宋" w:hAnsi="仿宋" w:eastAsia="仿宋" w:cs="仿宋"/>
                <w:spacing w:val="-2"/>
                <w:sz w:val="24"/>
              </w:rPr>
            </w:pPr>
          </w:p>
        </w:tc>
      </w:tr>
      <w:tr w14:paraId="094B2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48" w:type="dxa"/>
            <w:vAlign w:val="center"/>
          </w:tcPr>
          <w:p w14:paraId="73A97542">
            <w:pPr>
              <w:spacing w:line="300" w:lineRule="auto"/>
              <w:jc w:val="center"/>
              <w:rPr>
                <w:rFonts w:ascii="仿宋" w:hAnsi="仿宋" w:eastAsia="仿宋" w:cs="仿宋"/>
                <w:sz w:val="24"/>
              </w:rPr>
            </w:pPr>
            <w:r>
              <w:rPr>
                <w:rFonts w:hint="eastAsia" w:ascii="仿宋" w:hAnsi="仿宋" w:eastAsia="仿宋" w:cs="仿宋"/>
                <w:sz w:val="24"/>
              </w:rPr>
              <w:t>3</w:t>
            </w:r>
          </w:p>
        </w:tc>
        <w:tc>
          <w:tcPr>
            <w:tcW w:w="6915" w:type="dxa"/>
            <w:vAlign w:val="center"/>
          </w:tcPr>
          <w:p w14:paraId="02BED86B">
            <w:pPr>
              <w:widowControl/>
              <w:spacing w:line="300" w:lineRule="auto"/>
              <w:jc w:val="left"/>
              <w:textAlignment w:val="center"/>
              <w:rPr>
                <w:rFonts w:ascii="仿宋" w:hAnsi="仿宋" w:eastAsia="仿宋" w:cs="仿宋"/>
                <w:sz w:val="24"/>
              </w:rPr>
            </w:pPr>
            <w:r>
              <w:rPr>
                <w:rFonts w:hint="eastAsia" w:ascii="仿宋" w:hAnsi="仿宋" w:eastAsia="仿宋" w:cs="仿宋"/>
                <w:kern w:val="0"/>
                <w:sz w:val="24"/>
              </w:rPr>
              <w:t>以行贿手段谋取成交或者以其他弄虚作假方式投标的；</w:t>
            </w:r>
          </w:p>
        </w:tc>
        <w:tc>
          <w:tcPr>
            <w:tcW w:w="1276" w:type="dxa"/>
            <w:vAlign w:val="center"/>
          </w:tcPr>
          <w:p w14:paraId="45D82AA4">
            <w:pPr>
              <w:spacing w:line="300" w:lineRule="auto"/>
              <w:rPr>
                <w:rFonts w:ascii="仿宋" w:hAnsi="仿宋" w:eastAsia="仿宋" w:cs="仿宋"/>
                <w:sz w:val="24"/>
              </w:rPr>
            </w:pPr>
          </w:p>
        </w:tc>
      </w:tr>
      <w:tr w14:paraId="6D297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3C163673">
            <w:pPr>
              <w:spacing w:line="300" w:lineRule="auto"/>
              <w:jc w:val="center"/>
              <w:rPr>
                <w:rFonts w:ascii="仿宋" w:hAnsi="仿宋" w:eastAsia="仿宋" w:cs="仿宋"/>
                <w:sz w:val="24"/>
              </w:rPr>
            </w:pPr>
            <w:r>
              <w:rPr>
                <w:rFonts w:hint="eastAsia" w:ascii="仿宋" w:hAnsi="仿宋" w:eastAsia="仿宋" w:cs="仿宋"/>
                <w:sz w:val="24"/>
              </w:rPr>
              <w:t>4</w:t>
            </w:r>
          </w:p>
        </w:tc>
        <w:tc>
          <w:tcPr>
            <w:tcW w:w="6915" w:type="dxa"/>
            <w:vAlign w:val="center"/>
          </w:tcPr>
          <w:p w14:paraId="6163146B">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评标委员会共同确定有实质上不响应磋商文件要求的；</w:t>
            </w:r>
          </w:p>
        </w:tc>
        <w:tc>
          <w:tcPr>
            <w:tcW w:w="1276" w:type="dxa"/>
            <w:vAlign w:val="center"/>
          </w:tcPr>
          <w:p w14:paraId="75992725">
            <w:pPr>
              <w:spacing w:line="300" w:lineRule="auto"/>
              <w:rPr>
                <w:rFonts w:ascii="仿宋" w:hAnsi="仿宋" w:eastAsia="仿宋" w:cs="仿宋"/>
                <w:spacing w:val="-2"/>
                <w:sz w:val="24"/>
              </w:rPr>
            </w:pPr>
          </w:p>
        </w:tc>
      </w:tr>
      <w:tr w14:paraId="7FB7E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848" w:type="dxa"/>
            <w:vAlign w:val="center"/>
          </w:tcPr>
          <w:p w14:paraId="713799E9">
            <w:pPr>
              <w:spacing w:line="300" w:lineRule="auto"/>
              <w:jc w:val="center"/>
              <w:rPr>
                <w:rFonts w:ascii="仿宋" w:hAnsi="仿宋" w:eastAsia="仿宋" w:cs="仿宋"/>
                <w:sz w:val="24"/>
              </w:rPr>
            </w:pPr>
            <w:r>
              <w:rPr>
                <w:rFonts w:hint="eastAsia" w:ascii="仿宋" w:hAnsi="仿宋" w:eastAsia="仿宋" w:cs="仿宋"/>
                <w:sz w:val="24"/>
              </w:rPr>
              <w:t>5</w:t>
            </w:r>
          </w:p>
        </w:tc>
        <w:tc>
          <w:tcPr>
            <w:tcW w:w="6915" w:type="dxa"/>
            <w:vAlign w:val="center"/>
          </w:tcPr>
          <w:p w14:paraId="368EB13A">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响应文件没有投标单位法定代表人或其授权代表签字（章）和加盖投标单位公章的；</w:t>
            </w:r>
          </w:p>
        </w:tc>
        <w:tc>
          <w:tcPr>
            <w:tcW w:w="1276" w:type="dxa"/>
            <w:vAlign w:val="center"/>
          </w:tcPr>
          <w:p w14:paraId="146F5C96">
            <w:pPr>
              <w:spacing w:line="300" w:lineRule="auto"/>
              <w:rPr>
                <w:rFonts w:ascii="仿宋" w:hAnsi="仿宋" w:eastAsia="仿宋" w:cs="仿宋"/>
                <w:spacing w:val="-2"/>
                <w:sz w:val="24"/>
              </w:rPr>
            </w:pPr>
          </w:p>
        </w:tc>
      </w:tr>
      <w:tr w14:paraId="325C9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3A81230B">
            <w:pPr>
              <w:spacing w:line="300" w:lineRule="auto"/>
              <w:jc w:val="center"/>
              <w:rPr>
                <w:rFonts w:ascii="仿宋" w:hAnsi="仿宋" w:eastAsia="仿宋" w:cs="仿宋"/>
                <w:sz w:val="24"/>
              </w:rPr>
            </w:pPr>
            <w:r>
              <w:rPr>
                <w:rFonts w:hint="eastAsia" w:ascii="仿宋" w:hAnsi="仿宋" w:eastAsia="仿宋" w:cs="仿宋"/>
                <w:sz w:val="24"/>
              </w:rPr>
              <w:t>6</w:t>
            </w:r>
          </w:p>
        </w:tc>
        <w:tc>
          <w:tcPr>
            <w:tcW w:w="6915" w:type="dxa"/>
            <w:vAlign w:val="center"/>
          </w:tcPr>
          <w:p w14:paraId="45963733">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投标的政府采购项目完成期限超过磋商文件规定期限的；</w:t>
            </w:r>
          </w:p>
        </w:tc>
        <w:tc>
          <w:tcPr>
            <w:tcW w:w="1276" w:type="dxa"/>
            <w:vAlign w:val="center"/>
          </w:tcPr>
          <w:p w14:paraId="51365199">
            <w:pPr>
              <w:spacing w:line="300" w:lineRule="auto"/>
              <w:rPr>
                <w:rFonts w:ascii="仿宋" w:hAnsi="仿宋" w:eastAsia="仿宋" w:cs="仿宋"/>
                <w:spacing w:val="-2"/>
                <w:sz w:val="24"/>
              </w:rPr>
            </w:pPr>
          </w:p>
        </w:tc>
      </w:tr>
      <w:tr w14:paraId="70755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848" w:type="dxa"/>
            <w:vAlign w:val="center"/>
          </w:tcPr>
          <w:p w14:paraId="278DB36D">
            <w:pPr>
              <w:spacing w:line="300" w:lineRule="auto"/>
              <w:jc w:val="center"/>
              <w:rPr>
                <w:rFonts w:ascii="仿宋" w:hAnsi="仿宋" w:eastAsia="仿宋" w:cs="仿宋"/>
                <w:sz w:val="24"/>
              </w:rPr>
            </w:pPr>
            <w:r>
              <w:rPr>
                <w:rFonts w:hint="eastAsia" w:ascii="仿宋" w:hAnsi="仿宋" w:eastAsia="仿宋" w:cs="仿宋"/>
                <w:sz w:val="24"/>
              </w:rPr>
              <w:t>7</w:t>
            </w:r>
          </w:p>
        </w:tc>
        <w:tc>
          <w:tcPr>
            <w:tcW w:w="6915" w:type="dxa"/>
            <w:vAlign w:val="center"/>
          </w:tcPr>
          <w:p w14:paraId="0C1BC386">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响应文件载明的技术规格、技术标准、货物包装方式、检验标准和方法等，不符合磋商文件要求的；</w:t>
            </w:r>
          </w:p>
        </w:tc>
        <w:tc>
          <w:tcPr>
            <w:tcW w:w="1276" w:type="dxa"/>
            <w:vAlign w:val="center"/>
          </w:tcPr>
          <w:p w14:paraId="1B3E31FE">
            <w:pPr>
              <w:spacing w:line="300" w:lineRule="auto"/>
              <w:rPr>
                <w:rFonts w:ascii="仿宋" w:hAnsi="仿宋" w:eastAsia="仿宋" w:cs="仿宋"/>
                <w:spacing w:val="-2"/>
                <w:sz w:val="24"/>
              </w:rPr>
            </w:pPr>
          </w:p>
        </w:tc>
      </w:tr>
      <w:tr w14:paraId="6CF2D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0FB1AEEB">
            <w:pPr>
              <w:spacing w:line="300" w:lineRule="auto"/>
              <w:jc w:val="center"/>
              <w:rPr>
                <w:rFonts w:ascii="仿宋" w:hAnsi="仿宋" w:eastAsia="仿宋" w:cs="仿宋"/>
                <w:sz w:val="24"/>
              </w:rPr>
            </w:pPr>
            <w:r>
              <w:rPr>
                <w:rFonts w:hint="eastAsia" w:ascii="仿宋" w:hAnsi="仿宋" w:eastAsia="仿宋" w:cs="仿宋"/>
                <w:sz w:val="24"/>
              </w:rPr>
              <w:t>8</w:t>
            </w:r>
          </w:p>
        </w:tc>
        <w:tc>
          <w:tcPr>
            <w:tcW w:w="6915" w:type="dxa"/>
            <w:vAlign w:val="center"/>
          </w:tcPr>
          <w:p w14:paraId="1E8BDCA8">
            <w:pPr>
              <w:widowControl/>
              <w:spacing w:line="300" w:lineRule="auto"/>
              <w:textAlignment w:val="center"/>
              <w:rPr>
                <w:rFonts w:ascii="仿宋" w:hAnsi="仿宋" w:eastAsia="仿宋" w:cs="仿宋"/>
                <w:sz w:val="24"/>
              </w:rPr>
            </w:pPr>
            <w:r>
              <w:rPr>
                <w:rFonts w:hint="eastAsia" w:ascii="仿宋" w:hAnsi="仿宋" w:eastAsia="仿宋" w:cs="仿宋"/>
                <w:kern w:val="0"/>
                <w:sz w:val="24"/>
              </w:rPr>
              <w:t>响应文件附有采购人不能接受条件的；</w:t>
            </w:r>
          </w:p>
        </w:tc>
        <w:tc>
          <w:tcPr>
            <w:tcW w:w="1276" w:type="dxa"/>
            <w:vAlign w:val="center"/>
          </w:tcPr>
          <w:p w14:paraId="27D24F06">
            <w:pPr>
              <w:spacing w:line="300" w:lineRule="auto"/>
              <w:rPr>
                <w:rFonts w:ascii="仿宋" w:hAnsi="仿宋" w:eastAsia="仿宋" w:cs="仿宋"/>
                <w:sz w:val="24"/>
              </w:rPr>
            </w:pPr>
          </w:p>
        </w:tc>
      </w:tr>
      <w:tr w14:paraId="5DC96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848" w:type="dxa"/>
            <w:vAlign w:val="center"/>
          </w:tcPr>
          <w:p w14:paraId="377DCE0D">
            <w:pPr>
              <w:spacing w:line="300" w:lineRule="auto"/>
              <w:jc w:val="center"/>
              <w:rPr>
                <w:rFonts w:ascii="仿宋" w:hAnsi="仿宋" w:eastAsia="仿宋" w:cs="仿宋"/>
                <w:sz w:val="24"/>
              </w:rPr>
            </w:pPr>
            <w:r>
              <w:rPr>
                <w:rFonts w:hint="eastAsia" w:ascii="仿宋" w:hAnsi="仿宋" w:eastAsia="仿宋" w:cs="仿宋"/>
                <w:sz w:val="24"/>
              </w:rPr>
              <w:t>9</w:t>
            </w:r>
          </w:p>
        </w:tc>
        <w:tc>
          <w:tcPr>
            <w:tcW w:w="6915" w:type="dxa"/>
            <w:vAlign w:val="center"/>
          </w:tcPr>
          <w:p w14:paraId="7E64E9C9">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不满足磋商文件实质性要求的其他情形.</w:t>
            </w:r>
          </w:p>
        </w:tc>
        <w:tc>
          <w:tcPr>
            <w:tcW w:w="1276" w:type="dxa"/>
            <w:vAlign w:val="center"/>
          </w:tcPr>
          <w:p w14:paraId="5FC1606F">
            <w:pPr>
              <w:spacing w:line="300" w:lineRule="auto"/>
              <w:rPr>
                <w:rFonts w:ascii="仿宋" w:hAnsi="仿宋" w:eastAsia="仿宋" w:cs="仿宋"/>
                <w:spacing w:val="-2"/>
                <w:sz w:val="24"/>
              </w:rPr>
            </w:pPr>
          </w:p>
        </w:tc>
      </w:tr>
      <w:tr w14:paraId="07C7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63" w:type="dxa"/>
            <w:gridSpan w:val="2"/>
            <w:vAlign w:val="center"/>
          </w:tcPr>
          <w:p w14:paraId="33244D7C">
            <w:pPr>
              <w:spacing w:line="300" w:lineRule="auto"/>
              <w:ind w:firstLine="424" w:firstLineChars="180"/>
              <w:rPr>
                <w:rFonts w:ascii="仿宋" w:hAnsi="仿宋" w:eastAsia="仿宋" w:cs="仿宋"/>
                <w:spacing w:val="-2"/>
                <w:sz w:val="24"/>
              </w:rPr>
            </w:pPr>
            <w:r>
              <w:rPr>
                <w:rFonts w:hint="eastAsia" w:ascii="仿宋" w:hAnsi="仿宋" w:eastAsia="仿宋" w:cs="仿宋"/>
                <w:spacing w:val="-2"/>
                <w:sz w:val="24"/>
              </w:rPr>
              <w:t>结论：通过评审打“√”，未通过评审打“×”</w:t>
            </w:r>
          </w:p>
        </w:tc>
        <w:tc>
          <w:tcPr>
            <w:tcW w:w="1276" w:type="dxa"/>
            <w:vAlign w:val="center"/>
          </w:tcPr>
          <w:p w14:paraId="03788DC9">
            <w:pPr>
              <w:spacing w:line="300" w:lineRule="auto"/>
              <w:ind w:firstLine="424" w:firstLineChars="180"/>
              <w:rPr>
                <w:rFonts w:ascii="仿宋" w:hAnsi="仿宋" w:eastAsia="仿宋" w:cs="仿宋"/>
                <w:spacing w:val="-2"/>
                <w:sz w:val="24"/>
              </w:rPr>
            </w:pPr>
          </w:p>
        </w:tc>
      </w:tr>
    </w:tbl>
    <w:p w14:paraId="4B9EBEEE">
      <w:pPr>
        <w:spacing w:line="360" w:lineRule="exact"/>
        <w:rPr>
          <w:rFonts w:ascii="仿宋" w:hAnsi="仿宋" w:eastAsia="仿宋" w:cs="仿宋"/>
          <w:sz w:val="24"/>
        </w:rPr>
      </w:pPr>
      <w:r>
        <w:rPr>
          <w:rFonts w:hint="eastAsia" w:ascii="仿宋" w:hAnsi="仿宋" w:eastAsia="仿宋" w:cs="仿宋"/>
          <w:sz w:val="24"/>
        </w:rPr>
        <w:t>说明：</w:t>
      </w:r>
    </w:p>
    <w:p w14:paraId="54AE4AC2">
      <w:pPr>
        <w:spacing w:line="360" w:lineRule="exact"/>
        <w:rPr>
          <w:rFonts w:ascii="仿宋" w:hAnsi="仿宋" w:eastAsia="仿宋" w:cs="仿宋"/>
          <w:sz w:val="24"/>
        </w:rPr>
      </w:pPr>
      <w:r>
        <w:rPr>
          <w:rFonts w:hint="eastAsia" w:ascii="仿宋" w:hAnsi="仿宋" w:eastAsia="仿宋" w:cs="仿宋"/>
          <w:sz w:val="24"/>
        </w:rPr>
        <w:t>（1）上述各项中用“√”表示通过，“×”表示不通过；</w:t>
      </w:r>
    </w:p>
    <w:p w14:paraId="51A2FF49">
      <w:pPr>
        <w:spacing w:line="360" w:lineRule="exact"/>
        <w:rPr>
          <w:rFonts w:ascii="仿宋" w:hAnsi="仿宋" w:eastAsia="仿宋" w:cs="仿宋"/>
          <w:sz w:val="24"/>
        </w:rPr>
      </w:pPr>
      <w:r>
        <w:rPr>
          <w:rFonts w:hint="eastAsia" w:ascii="仿宋" w:hAnsi="仿宋" w:eastAsia="仿宋" w:cs="仿宋"/>
          <w:sz w:val="24"/>
        </w:rPr>
        <w:t>（2）上述各项中如有一项为“×”，则结论为“×”，表示该响应文件中存在重大偏差，不能通过初步评审；评委对某一分项评审认为不合格时，必须要写明原因。</w:t>
      </w:r>
    </w:p>
    <w:p w14:paraId="2A365EFC">
      <w:pPr>
        <w:spacing w:line="360" w:lineRule="exact"/>
        <w:rPr>
          <w:rFonts w:eastAsia="仿宋"/>
        </w:rPr>
      </w:pPr>
      <w:r>
        <w:rPr>
          <w:rFonts w:hint="eastAsia" w:ascii="仿宋" w:hAnsi="仿宋" w:eastAsia="仿宋" w:cs="仿宋"/>
          <w:sz w:val="24"/>
        </w:rPr>
        <w:t>（3）响应文件最终合格与否，以所有评委的评审意见中少数服从多数为原则定论。</w:t>
      </w:r>
    </w:p>
    <w:p w14:paraId="0BFFC9B7">
      <w:pPr>
        <w:spacing w:line="360" w:lineRule="auto"/>
        <w:rPr>
          <w:rFonts w:ascii="仿宋" w:hAnsi="仿宋" w:eastAsia="仿宋" w:cs="仿宋"/>
          <w:b/>
          <w:bCs/>
          <w:sz w:val="24"/>
        </w:rPr>
      </w:pPr>
      <w:r>
        <w:rPr>
          <w:rFonts w:hint="eastAsia" w:ascii="仿宋" w:hAnsi="仿宋" w:eastAsia="仿宋" w:cs="仿宋"/>
          <w:sz w:val="24"/>
        </w:rPr>
        <w:t>★</w:t>
      </w:r>
      <w:r>
        <w:rPr>
          <w:rFonts w:hint="eastAsia" w:ascii="仿宋" w:hAnsi="仿宋" w:eastAsia="仿宋" w:cs="仿宋"/>
          <w:b/>
          <w:bCs/>
          <w:sz w:val="24"/>
        </w:rPr>
        <w:t>备注：如果响应文件中有一项未通过上述审查标准，评标委员会将认定整个响应文件未响应磋商文件而予以废标处理。</w:t>
      </w:r>
    </w:p>
    <w:p w14:paraId="40868813">
      <w:r>
        <w:rPr>
          <w:rFonts w:hint="eastAsia" w:ascii="仿宋" w:hAnsi="仿宋" w:eastAsia="仿宋" w:cs="仿宋"/>
          <w:b/>
          <w:bCs/>
          <w:sz w:val="24"/>
        </w:rPr>
        <w:br w:type="page"/>
      </w:r>
    </w:p>
    <w:tbl>
      <w:tblPr>
        <w:tblStyle w:val="34"/>
        <w:tblW w:w="9456" w:type="dxa"/>
        <w:tblInd w:w="-461" w:type="dxa"/>
        <w:tblLayout w:type="fixed"/>
        <w:tblCellMar>
          <w:top w:w="0" w:type="dxa"/>
          <w:left w:w="108" w:type="dxa"/>
          <w:bottom w:w="0" w:type="dxa"/>
          <w:right w:w="108" w:type="dxa"/>
        </w:tblCellMar>
      </w:tblPr>
      <w:tblGrid>
        <w:gridCol w:w="3168"/>
        <w:gridCol w:w="4872"/>
        <w:gridCol w:w="516"/>
        <w:gridCol w:w="468"/>
        <w:gridCol w:w="432"/>
      </w:tblGrid>
      <w:tr w14:paraId="4BA0380F">
        <w:tblPrEx>
          <w:tblCellMar>
            <w:top w:w="0" w:type="dxa"/>
            <w:left w:w="108" w:type="dxa"/>
            <w:bottom w:w="0" w:type="dxa"/>
            <w:right w:w="108" w:type="dxa"/>
          </w:tblCellMar>
        </w:tblPrEx>
        <w:trPr>
          <w:trHeight w:val="530" w:hRule="atLeast"/>
        </w:trPr>
        <w:tc>
          <w:tcPr>
            <w:tcW w:w="9456" w:type="dxa"/>
            <w:gridSpan w:val="5"/>
            <w:tcBorders>
              <w:top w:val="nil"/>
              <w:left w:val="nil"/>
              <w:bottom w:val="single" w:color="auto" w:sz="4" w:space="0"/>
              <w:right w:val="nil"/>
            </w:tcBorders>
            <w:vAlign w:val="center"/>
          </w:tcPr>
          <w:p w14:paraId="7113C169">
            <w:pPr>
              <w:widowControl/>
              <w:jc w:val="center"/>
              <w:rPr>
                <w:rFonts w:ascii="仿宋" w:hAnsi="仿宋" w:eastAsia="仿宋" w:cs="仿宋"/>
                <w:b/>
                <w:bCs/>
                <w:kern w:val="0"/>
                <w:sz w:val="28"/>
                <w:szCs w:val="28"/>
              </w:rPr>
            </w:pPr>
            <w:r>
              <w:rPr>
                <w:rFonts w:hint="eastAsia" w:ascii="仿宋" w:hAnsi="仿宋" w:eastAsia="仿宋" w:cs="仿宋"/>
                <w:b/>
                <w:bCs/>
                <w:kern w:val="0"/>
                <w:sz w:val="28"/>
                <w:szCs w:val="28"/>
              </w:rPr>
              <w:t>商务符合性审查表</w:t>
            </w:r>
          </w:p>
        </w:tc>
      </w:tr>
      <w:tr w14:paraId="534849F5">
        <w:tblPrEx>
          <w:tblCellMar>
            <w:top w:w="0" w:type="dxa"/>
            <w:left w:w="108" w:type="dxa"/>
            <w:bottom w:w="0" w:type="dxa"/>
            <w:right w:w="108" w:type="dxa"/>
          </w:tblCellMar>
        </w:tblPrEx>
        <w:trPr>
          <w:trHeight w:val="566" w:hRule="atLeast"/>
        </w:trPr>
        <w:tc>
          <w:tcPr>
            <w:tcW w:w="8040" w:type="dxa"/>
            <w:gridSpan w:val="2"/>
            <w:tcBorders>
              <w:top w:val="single" w:color="auto" w:sz="4" w:space="0"/>
              <w:left w:val="single" w:color="auto" w:sz="4" w:space="0"/>
              <w:bottom w:val="single" w:color="auto" w:sz="4" w:space="0"/>
              <w:right w:val="single" w:color="auto" w:sz="4" w:space="0"/>
            </w:tcBorders>
            <w:vAlign w:val="center"/>
          </w:tcPr>
          <w:p w14:paraId="11E92E4D">
            <w:pPr>
              <w:widowControl/>
              <w:jc w:val="center"/>
              <w:rPr>
                <w:rFonts w:ascii="仿宋" w:hAnsi="仿宋" w:eastAsia="仿宋" w:cs="仿宋"/>
                <w:b/>
                <w:kern w:val="0"/>
                <w:sz w:val="22"/>
                <w:szCs w:val="22"/>
              </w:rPr>
            </w:pPr>
            <w:r>
              <w:rPr>
                <w:rFonts w:hint="eastAsia" w:ascii="仿宋" w:hAnsi="仿宋" w:eastAsia="仿宋" w:cs="仿宋"/>
                <w:b/>
                <w:kern w:val="0"/>
                <w:sz w:val="22"/>
                <w:szCs w:val="22"/>
              </w:rPr>
              <w:t>审查事项</w:t>
            </w:r>
          </w:p>
        </w:tc>
        <w:tc>
          <w:tcPr>
            <w:tcW w:w="1416" w:type="dxa"/>
            <w:gridSpan w:val="3"/>
            <w:tcBorders>
              <w:top w:val="single" w:color="auto" w:sz="4" w:space="0"/>
              <w:left w:val="single" w:color="auto" w:sz="4" w:space="0"/>
              <w:bottom w:val="single" w:color="auto" w:sz="4" w:space="0"/>
              <w:right w:val="single" w:color="auto" w:sz="4" w:space="0"/>
            </w:tcBorders>
            <w:vAlign w:val="center"/>
          </w:tcPr>
          <w:p w14:paraId="7D1C1FEA">
            <w:pPr>
              <w:widowControl/>
              <w:jc w:val="center"/>
              <w:rPr>
                <w:rFonts w:ascii="仿宋" w:hAnsi="仿宋" w:eastAsia="仿宋" w:cs="仿宋"/>
                <w:b/>
                <w:kern w:val="0"/>
                <w:sz w:val="22"/>
                <w:szCs w:val="22"/>
              </w:rPr>
            </w:pPr>
            <w:r>
              <w:rPr>
                <w:rFonts w:hint="eastAsia" w:ascii="仿宋" w:hAnsi="仿宋" w:eastAsia="仿宋" w:cs="仿宋"/>
                <w:b/>
                <w:kern w:val="0"/>
                <w:sz w:val="22"/>
                <w:szCs w:val="22"/>
              </w:rPr>
              <w:t>供应商名称及审查情况</w:t>
            </w:r>
          </w:p>
        </w:tc>
      </w:tr>
      <w:tr w14:paraId="42AA8B64">
        <w:tblPrEx>
          <w:tblCellMar>
            <w:top w:w="0" w:type="dxa"/>
            <w:left w:w="108" w:type="dxa"/>
            <w:bottom w:w="0" w:type="dxa"/>
            <w:right w:w="108" w:type="dxa"/>
          </w:tblCellMar>
        </w:tblPrEx>
        <w:trPr>
          <w:trHeight w:val="570" w:hRule="atLeast"/>
        </w:trPr>
        <w:tc>
          <w:tcPr>
            <w:tcW w:w="3168" w:type="dxa"/>
            <w:tcBorders>
              <w:top w:val="single" w:color="auto" w:sz="4" w:space="0"/>
              <w:left w:val="single" w:color="auto" w:sz="4" w:space="0"/>
              <w:bottom w:val="single" w:color="auto" w:sz="4" w:space="0"/>
              <w:right w:val="single" w:color="auto" w:sz="4" w:space="0"/>
            </w:tcBorders>
            <w:vAlign w:val="center"/>
          </w:tcPr>
          <w:p w14:paraId="213F2E8F">
            <w:pPr>
              <w:widowControl/>
              <w:jc w:val="left"/>
              <w:rPr>
                <w:rFonts w:ascii="仿宋" w:hAnsi="仿宋" w:eastAsia="仿宋" w:cs="仿宋"/>
                <w:b/>
                <w:kern w:val="0"/>
                <w:sz w:val="22"/>
                <w:szCs w:val="22"/>
              </w:rPr>
            </w:pPr>
            <w:r>
              <w:rPr>
                <w:rFonts w:hint="eastAsia" w:ascii="仿宋" w:hAnsi="仿宋" w:eastAsia="仿宋" w:cs="仿宋"/>
                <w:b/>
                <w:kern w:val="0"/>
                <w:sz w:val="22"/>
                <w:szCs w:val="22"/>
              </w:rPr>
              <w:t>磋商文件条款（供应商须知、供应商须知资料表条款号）</w:t>
            </w:r>
          </w:p>
        </w:tc>
        <w:tc>
          <w:tcPr>
            <w:tcW w:w="4872" w:type="dxa"/>
            <w:tcBorders>
              <w:top w:val="single" w:color="auto" w:sz="4" w:space="0"/>
              <w:left w:val="single" w:color="auto" w:sz="4" w:space="0"/>
              <w:bottom w:val="single" w:color="auto" w:sz="4" w:space="0"/>
              <w:right w:val="single" w:color="auto" w:sz="4" w:space="0"/>
            </w:tcBorders>
            <w:vAlign w:val="center"/>
          </w:tcPr>
          <w:p w14:paraId="5F123BB3">
            <w:pPr>
              <w:widowControl/>
              <w:jc w:val="center"/>
              <w:rPr>
                <w:rFonts w:ascii="仿宋" w:hAnsi="仿宋" w:eastAsia="仿宋" w:cs="仿宋"/>
                <w:b/>
                <w:kern w:val="0"/>
                <w:sz w:val="22"/>
                <w:szCs w:val="22"/>
              </w:rPr>
            </w:pPr>
            <w:r>
              <w:rPr>
                <w:rFonts w:hint="eastAsia" w:ascii="仿宋" w:hAnsi="仿宋" w:eastAsia="仿宋" w:cs="仿宋"/>
                <w:b/>
                <w:kern w:val="0"/>
                <w:sz w:val="22"/>
                <w:szCs w:val="22"/>
              </w:rPr>
              <w:t>本项目要求</w:t>
            </w:r>
          </w:p>
        </w:tc>
        <w:tc>
          <w:tcPr>
            <w:tcW w:w="516" w:type="dxa"/>
            <w:tcBorders>
              <w:top w:val="single" w:color="auto" w:sz="4" w:space="0"/>
              <w:left w:val="single" w:color="auto" w:sz="4" w:space="0"/>
              <w:bottom w:val="single" w:color="auto" w:sz="4" w:space="0"/>
              <w:right w:val="single" w:color="auto" w:sz="4" w:space="0"/>
            </w:tcBorders>
            <w:vAlign w:val="center"/>
          </w:tcPr>
          <w:p w14:paraId="644A10B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31A1493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0F4F462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5CCFF63A">
        <w:tblPrEx>
          <w:tblCellMar>
            <w:top w:w="0" w:type="dxa"/>
            <w:left w:w="108" w:type="dxa"/>
            <w:bottom w:w="0" w:type="dxa"/>
            <w:right w:w="108" w:type="dxa"/>
          </w:tblCellMar>
        </w:tblPrEx>
        <w:trPr>
          <w:trHeight w:val="514" w:hRule="atLeast"/>
        </w:trPr>
        <w:tc>
          <w:tcPr>
            <w:tcW w:w="3168" w:type="dxa"/>
            <w:tcBorders>
              <w:top w:val="single" w:color="auto" w:sz="4" w:space="0"/>
              <w:left w:val="single" w:color="auto" w:sz="4" w:space="0"/>
              <w:bottom w:val="single" w:color="auto" w:sz="4" w:space="0"/>
              <w:right w:val="single" w:color="auto" w:sz="4" w:space="0"/>
            </w:tcBorders>
            <w:vAlign w:val="center"/>
          </w:tcPr>
          <w:p w14:paraId="50044115">
            <w:pPr>
              <w:widowControl/>
              <w:jc w:val="center"/>
              <w:rPr>
                <w:rFonts w:ascii="仿宋" w:hAnsi="仿宋" w:eastAsia="仿宋" w:cs="仿宋"/>
                <w:kern w:val="0"/>
                <w:sz w:val="22"/>
                <w:szCs w:val="22"/>
              </w:rPr>
            </w:pPr>
            <w:r>
              <w:rPr>
                <w:rFonts w:hint="eastAsia" w:ascii="仿宋" w:hAnsi="仿宋" w:eastAsia="仿宋" w:cs="仿宋"/>
                <w:kern w:val="0"/>
                <w:sz w:val="22"/>
                <w:szCs w:val="22"/>
              </w:rPr>
              <w:t>中小企业投标要求（1.3.6）</w:t>
            </w:r>
          </w:p>
        </w:tc>
        <w:tc>
          <w:tcPr>
            <w:tcW w:w="4872" w:type="dxa"/>
            <w:tcBorders>
              <w:top w:val="single" w:color="auto" w:sz="4" w:space="0"/>
              <w:left w:val="nil"/>
              <w:bottom w:val="single" w:color="auto" w:sz="4" w:space="0"/>
              <w:right w:val="single" w:color="auto" w:sz="4" w:space="0"/>
            </w:tcBorders>
            <w:vAlign w:val="center"/>
          </w:tcPr>
          <w:p w14:paraId="431361C9">
            <w:pPr>
              <w:widowControl/>
              <w:jc w:val="center"/>
              <w:rPr>
                <w:rFonts w:ascii="仿宋" w:hAnsi="仿宋" w:eastAsia="仿宋" w:cs="仿宋"/>
                <w:kern w:val="0"/>
                <w:szCs w:val="21"/>
              </w:rPr>
            </w:pPr>
            <w:r>
              <w:rPr>
                <w:rFonts w:hint="eastAsia" w:ascii="仿宋" w:hAnsi="仿宋" w:eastAsia="仿宋" w:cs="仿宋"/>
                <w:kern w:val="0"/>
                <w:szCs w:val="21"/>
              </w:rPr>
              <w:t>本项目</w:t>
            </w:r>
            <w:r>
              <w:rPr>
                <w:rFonts w:hint="eastAsia" w:ascii="仿宋" w:hAnsi="仿宋" w:eastAsia="仿宋" w:cs="仿宋"/>
                <w:i/>
                <w:iCs/>
                <w:kern w:val="0"/>
                <w:szCs w:val="21"/>
                <w:u w:val="single"/>
              </w:rPr>
              <w:t>适用</w:t>
            </w:r>
          </w:p>
        </w:tc>
        <w:tc>
          <w:tcPr>
            <w:tcW w:w="516" w:type="dxa"/>
            <w:tcBorders>
              <w:top w:val="single" w:color="auto" w:sz="4" w:space="0"/>
              <w:left w:val="nil"/>
              <w:bottom w:val="single" w:color="auto" w:sz="4" w:space="0"/>
              <w:right w:val="single" w:color="auto" w:sz="4" w:space="0"/>
            </w:tcBorders>
            <w:vAlign w:val="center"/>
          </w:tcPr>
          <w:p w14:paraId="13272A5D">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63BE0CA2">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64CBC123">
            <w:pPr>
              <w:widowControl/>
              <w:jc w:val="left"/>
              <w:rPr>
                <w:rFonts w:ascii="仿宋" w:hAnsi="仿宋" w:eastAsia="仿宋" w:cs="仿宋"/>
                <w:kern w:val="0"/>
                <w:sz w:val="22"/>
                <w:szCs w:val="22"/>
              </w:rPr>
            </w:pPr>
          </w:p>
        </w:tc>
      </w:tr>
      <w:tr w14:paraId="1835AB9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A5DEFE1">
            <w:pPr>
              <w:widowControl/>
              <w:jc w:val="center"/>
              <w:rPr>
                <w:rFonts w:ascii="仿宋" w:hAnsi="仿宋" w:eastAsia="仿宋" w:cs="仿宋"/>
                <w:kern w:val="0"/>
                <w:sz w:val="22"/>
                <w:szCs w:val="22"/>
              </w:rPr>
            </w:pPr>
            <w:r>
              <w:rPr>
                <w:rFonts w:hint="eastAsia" w:ascii="仿宋" w:hAnsi="仿宋" w:eastAsia="仿宋" w:cs="仿宋"/>
                <w:kern w:val="0"/>
                <w:sz w:val="22"/>
                <w:szCs w:val="22"/>
              </w:rPr>
              <w:t>联合体投标规定（1.4）</w:t>
            </w:r>
          </w:p>
        </w:tc>
        <w:tc>
          <w:tcPr>
            <w:tcW w:w="4872" w:type="dxa"/>
            <w:tcBorders>
              <w:top w:val="single" w:color="auto" w:sz="4" w:space="0"/>
              <w:left w:val="nil"/>
              <w:bottom w:val="single" w:color="auto" w:sz="4" w:space="0"/>
              <w:right w:val="single" w:color="auto" w:sz="4" w:space="0"/>
            </w:tcBorders>
            <w:vAlign w:val="center"/>
          </w:tcPr>
          <w:p w14:paraId="7B182DC8">
            <w:pPr>
              <w:widowControl/>
              <w:jc w:val="center"/>
              <w:rPr>
                <w:rFonts w:ascii="仿宋" w:hAnsi="仿宋" w:eastAsia="仿宋" w:cs="仿宋"/>
                <w:kern w:val="0"/>
                <w:szCs w:val="21"/>
              </w:rPr>
            </w:pPr>
            <w:r>
              <w:rPr>
                <w:rFonts w:hint="eastAsia" w:ascii="仿宋" w:hAnsi="仿宋" w:eastAsia="仿宋" w:cs="仿宋"/>
                <w:kern w:val="0"/>
                <w:szCs w:val="21"/>
              </w:rPr>
              <w:t>本项目不</w:t>
            </w:r>
            <w:r>
              <w:rPr>
                <w:rFonts w:hint="eastAsia" w:ascii="仿宋" w:hAnsi="仿宋" w:eastAsia="仿宋" w:cs="仿宋"/>
                <w:i/>
                <w:iCs/>
                <w:kern w:val="0"/>
                <w:szCs w:val="21"/>
                <w:u w:val="single"/>
              </w:rPr>
              <w:t>接受</w:t>
            </w:r>
            <w:r>
              <w:rPr>
                <w:rFonts w:hint="eastAsia" w:ascii="仿宋" w:hAnsi="仿宋" w:eastAsia="仿宋" w:cs="仿宋"/>
                <w:kern w:val="0"/>
                <w:szCs w:val="21"/>
              </w:rPr>
              <w:t>联合体投标</w:t>
            </w:r>
          </w:p>
        </w:tc>
        <w:tc>
          <w:tcPr>
            <w:tcW w:w="516" w:type="dxa"/>
            <w:tcBorders>
              <w:top w:val="single" w:color="auto" w:sz="4" w:space="0"/>
              <w:left w:val="nil"/>
              <w:bottom w:val="single" w:color="auto" w:sz="4" w:space="0"/>
              <w:right w:val="single" w:color="auto" w:sz="4" w:space="0"/>
            </w:tcBorders>
            <w:vAlign w:val="center"/>
          </w:tcPr>
          <w:p w14:paraId="518E1C2F">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123930C6">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5234644E">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64448FFC">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C5C0771">
            <w:pPr>
              <w:widowControl/>
              <w:jc w:val="center"/>
              <w:rPr>
                <w:rFonts w:ascii="仿宋" w:hAnsi="仿宋" w:eastAsia="仿宋" w:cs="仿宋"/>
                <w:kern w:val="0"/>
                <w:sz w:val="22"/>
                <w:szCs w:val="22"/>
              </w:rPr>
            </w:pPr>
            <w:r>
              <w:rPr>
                <w:rFonts w:hint="eastAsia" w:ascii="仿宋" w:hAnsi="仿宋" w:eastAsia="仿宋" w:cs="仿宋"/>
                <w:kern w:val="0"/>
                <w:sz w:val="22"/>
                <w:szCs w:val="22"/>
              </w:rPr>
              <w:t>供应商的关联性</w:t>
            </w:r>
          </w:p>
          <w:p w14:paraId="79BDCF07">
            <w:pPr>
              <w:widowControl/>
              <w:jc w:val="center"/>
              <w:rPr>
                <w:rFonts w:ascii="仿宋" w:hAnsi="仿宋" w:eastAsia="仿宋" w:cs="仿宋"/>
                <w:kern w:val="0"/>
                <w:sz w:val="22"/>
                <w:szCs w:val="22"/>
              </w:rPr>
            </w:pPr>
            <w:r>
              <w:rPr>
                <w:rFonts w:hint="eastAsia" w:ascii="仿宋" w:hAnsi="仿宋" w:eastAsia="仿宋" w:cs="仿宋"/>
                <w:kern w:val="0"/>
                <w:sz w:val="22"/>
                <w:szCs w:val="22"/>
              </w:rPr>
              <w:t>（1.5）</w:t>
            </w:r>
          </w:p>
        </w:tc>
        <w:tc>
          <w:tcPr>
            <w:tcW w:w="4872" w:type="dxa"/>
            <w:tcBorders>
              <w:top w:val="single" w:color="auto" w:sz="4" w:space="0"/>
              <w:left w:val="nil"/>
              <w:bottom w:val="single" w:color="auto" w:sz="4" w:space="0"/>
              <w:right w:val="single" w:color="auto" w:sz="4" w:space="0"/>
            </w:tcBorders>
            <w:vAlign w:val="center"/>
          </w:tcPr>
          <w:p w14:paraId="467FD777">
            <w:pPr>
              <w:widowControl/>
              <w:jc w:val="center"/>
              <w:rPr>
                <w:rFonts w:ascii="仿宋" w:hAnsi="仿宋" w:eastAsia="仿宋" w:cs="仿宋"/>
                <w:kern w:val="0"/>
                <w:szCs w:val="21"/>
              </w:rPr>
            </w:pPr>
            <w:r>
              <w:rPr>
                <w:rFonts w:hint="eastAsia" w:ascii="仿宋" w:hAnsi="仿宋" w:eastAsia="仿宋" w:cs="仿宋"/>
                <w:kern w:val="0"/>
                <w:szCs w:val="21"/>
              </w:rPr>
              <w:t>在同一标包内，单位负责人为非同一人或者不存在直接控股、管理关系的不同供应商。</w:t>
            </w:r>
          </w:p>
        </w:tc>
        <w:tc>
          <w:tcPr>
            <w:tcW w:w="516" w:type="dxa"/>
            <w:tcBorders>
              <w:top w:val="single" w:color="auto" w:sz="4" w:space="0"/>
              <w:left w:val="nil"/>
              <w:bottom w:val="single" w:color="auto" w:sz="4" w:space="0"/>
              <w:right w:val="single" w:color="auto" w:sz="4" w:space="0"/>
            </w:tcBorders>
            <w:vAlign w:val="center"/>
          </w:tcPr>
          <w:p w14:paraId="52445C1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0775404E">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118EC30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0743719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36A1A11">
            <w:pPr>
              <w:widowControl/>
              <w:jc w:val="center"/>
              <w:rPr>
                <w:rFonts w:ascii="仿宋" w:hAnsi="仿宋" w:eastAsia="仿宋" w:cs="仿宋"/>
                <w:kern w:val="0"/>
                <w:sz w:val="22"/>
                <w:szCs w:val="22"/>
              </w:rPr>
            </w:pPr>
            <w:r>
              <w:rPr>
                <w:rFonts w:hint="eastAsia" w:ascii="仿宋" w:hAnsi="仿宋" w:eastAsia="仿宋" w:cs="仿宋"/>
                <w:kern w:val="0"/>
                <w:sz w:val="22"/>
                <w:szCs w:val="22"/>
              </w:rPr>
              <w:t>未发现影响采购人决策行为（1.5）</w:t>
            </w:r>
          </w:p>
        </w:tc>
        <w:tc>
          <w:tcPr>
            <w:tcW w:w="4872" w:type="dxa"/>
            <w:tcBorders>
              <w:top w:val="single" w:color="auto" w:sz="4" w:space="0"/>
              <w:left w:val="nil"/>
              <w:bottom w:val="single" w:color="auto" w:sz="4" w:space="0"/>
              <w:right w:val="single" w:color="auto" w:sz="4" w:space="0"/>
            </w:tcBorders>
            <w:vAlign w:val="center"/>
          </w:tcPr>
          <w:p w14:paraId="7E9F97C0">
            <w:pPr>
              <w:widowControl/>
              <w:jc w:val="center"/>
              <w:rPr>
                <w:rFonts w:ascii="仿宋" w:hAnsi="仿宋" w:eastAsia="仿宋" w:cs="仿宋"/>
                <w:kern w:val="0"/>
                <w:szCs w:val="21"/>
              </w:rPr>
            </w:pPr>
            <w:r>
              <w:rPr>
                <w:rFonts w:hint="eastAsia" w:ascii="仿宋" w:hAnsi="仿宋" w:eastAsia="仿宋" w:cs="仿宋"/>
                <w:szCs w:val="21"/>
              </w:rPr>
              <w:t>供应商在投标过程中未向采购人提供、给予任何有价值的物品，影响其正常决策行为。</w:t>
            </w:r>
          </w:p>
        </w:tc>
        <w:tc>
          <w:tcPr>
            <w:tcW w:w="516" w:type="dxa"/>
            <w:tcBorders>
              <w:top w:val="single" w:color="auto" w:sz="4" w:space="0"/>
              <w:left w:val="nil"/>
              <w:bottom w:val="single" w:color="auto" w:sz="4" w:space="0"/>
              <w:right w:val="single" w:color="auto" w:sz="4" w:space="0"/>
            </w:tcBorders>
            <w:vAlign w:val="center"/>
          </w:tcPr>
          <w:p w14:paraId="435A86B9">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2C3D1463">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5091ACFD">
            <w:pPr>
              <w:widowControl/>
              <w:jc w:val="left"/>
              <w:rPr>
                <w:rFonts w:ascii="仿宋" w:hAnsi="仿宋" w:eastAsia="仿宋" w:cs="仿宋"/>
                <w:kern w:val="0"/>
                <w:sz w:val="22"/>
                <w:szCs w:val="22"/>
              </w:rPr>
            </w:pPr>
          </w:p>
        </w:tc>
      </w:tr>
      <w:tr w14:paraId="59440E55">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720C94BD">
            <w:pPr>
              <w:widowControl/>
              <w:jc w:val="center"/>
              <w:rPr>
                <w:rFonts w:ascii="仿宋" w:hAnsi="仿宋" w:eastAsia="仿宋" w:cs="仿宋"/>
                <w:kern w:val="0"/>
                <w:sz w:val="22"/>
                <w:szCs w:val="22"/>
              </w:rPr>
            </w:pPr>
            <w:r>
              <w:rPr>
                <w:rFonts w:hint="eastAsia" w:ascii="仿宋" w:hAnsi="仿宋" w:eastAsia="仿宋" w:cs="仿宋"/>
                <w:kern w:val="0"/>
                <w:sz w:val="22"/>
                <w:szCs w:val="22"/>
              </w:rPr>
              <w:t>满足投标范围的完整性要求</w:t>
            </w:r>
          </w:p>
          <w:p w14:paraId="42B77920">
            <w:pPr>
              <w:widowControl/>
              <w:jc w:val="center"/>
              <w:rPr>
                <w:rFonts w:ascii="仿宋" w:hAnsi="仿宋" w:eastAsia="仿宋" w:cs="仿宋"/>
                <w:kern w:val="0"/>
                <w:sz w:val="22"/>
                <w:szCs w:val="22"/>
              </w:rPr>
            </w:pPr>
            <w:r>
              <w:rPr>
                <w:rFonts w:hint="eastAsia" w:ascii="仿宋" w:hAnsi="仿宋" w:eastAsia="仿宋" w:cs="仿宋"/>
                <w:kern w:val="0"/>
                <w:sz w:val="22"/>
                <w:szCs w:val="22"/>
              </w:rPr>
              <w:t>（8.1）</w:t>
            </w:r>
          </w:p>
        </w:tc>
        <w:tc>
          <w:tcPr>
            <w:tcW w:w="4872" w:type="dxa"/>
            <w:tcBorders>
              <w:top w:val="single" w:color="auto" w:sz="4" w:space="0"/>
              <w:left w:val="nil"/>
              <w:bottom w:val="single" w:color="auto" w:sz="4" w:space="0"/>
              <w:right w:val="single" w:color="auto" w:sz="4" w:space="0"/>
            </w:tcBorders>
            <w:vAlign w:val="center"/>
          </w:tcPr>
          <w:p w14:paraId="42FD1B7D">
            <w:pPr>
              <w:widowControl/>
              <w:jc w:val="center"/>
              <w:rPr>
                <w:rFonts w:ascii="仿宋" w:hAnsi="仿宋" w:eastAsia="仿宋" w:cs="仿宋"/>
                <w:kern w:val="0"/>
                <w:szCs w:val="21"/>
              </w:rPr>
            </w:pPr>
            <w:r>
              <w:rPr>
                <w:rFonts w:hint="eastAsia" w:ascii="仿宋" w:hAnsi="仿宋" w:eastAsia="仿宋" w:cs="仿宋"/>
                <w:szCs w:val="21"/>
              </w:rPr>
              <w:t>供应商对所投分包响应文件中所列的所有内容进行投标。</w:t>
            </w:r>
          </w:p>
        </w:tc>
        <w:tc>
          <w:tcPr>
            <w:tcW w:w="516" w:type="dxa"/>
            <w:tcBorders>
              <w:top w:val="single" w:color="auto" w:sz="4" w:space="0"/>
              <w:left w:val="nil"/>
              <w:bottom w:val="single" w:color="auto" w:sz="4" w:space="0"/>
              <w:right w:val="single" w:color="auto" w:sz="4" w:space="0"/>
            </w:tcBorders>
            <w:vAlign w:val="center"/>
          </w:tcPr>
          <w:p w14:paraId="6FB796C9">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36639D00">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6E774C03">
            <w:pPr>
              <w:widowControl/>
              <w:jc w:val="left"/>
              <w:rPr>
                <w:rFonts w:ascii="仿宋" w:hAnsi="仿宋" w:eastAsia="仿宋" w:cs="仿宋"/>
                <w:kern w:val="0"/>
                <w:sz w:val="22"/>
                <w:szCs w:val="22"/>
              </w:rPr>
            </w:pPr>
          </w:p>
        </w:tc>
      </w:tr>
      <w:tr w14:paraId="6DA4E797">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6132360C">
            <w:pPr>
              <w:widowControl/>
              <w:jc w:val="center"/>
              <w:rPr>
                <w:rFonts w:ascii="仿宋" w:hAnsi="仿宋" w:eastAsia="仿宋" w:cs="仿宋"/>
                <w:kern w:val="0"/>
                <w:sz w:val="22"/>
                <w:szCs w:val="22"/>
              </w:rPr>
            </w:pPr>
            <w:r>
              <w:rPr>
                <w:rFonts w:hint="eastAsia" w:ascii="仿宋" w:hAnsi="仿宋" w:eastAsia="仿宋" w:cs="仿宋"/>
                <w:kern w:val="0"/>
                <w:sz w:val="22"/>
                <w:szCs w:val="22"/>
              </w:rPr>
              <w:t>未包含价格调整要求</w:t>
            </w:r>
          </w:p>
          <w:p w14:paraId="7E4D7709">
            <w:pPr>
              <w:widowControl/>
              <w:jc w:val="center"/>
              <w:rPr>
                <w:rFonts w:ascii="仿宋" w:hAnsi="仿宋" w:eastAsia="仿宋" w:cs="仿宋"/>
                <w:kern w:val="0"/>
                <w:sz w:val="22"/>
                <w:szCs w:val="22"/>
              </w:rPr>
            </w:pPr>
            <w:r>
              <w:rPr>
                <w:rFonts w:hint="eastAsia" w:ascii="仿宋" w:hAnsi="仿宋" w:eastAsia="仿宋" w:cs="仿宋"/>
                <w:kern w:val="0"/>
                <w:sz w:val="22"/>
                <w:szCs w:val="22"/>
              </w:rPr>
              <w:t>（11.4）</w:t>
            </w:r>
          </w:p>
        </w:tc>
        <w:tc>
          <w:tcPr>
            <w:tcW w:w="4872" w:type="dxa"/>
            <w:tcBorders>
              <w:top w:val="single" w:color="auto" w:sz="4" w:space="0"/>
              <w:left w:val="nil"/>
              <w:bottom w:val="single" w:color="auto" w:sz="4" w:space="0"/>
              <w:right w:val="single" w:color="auto" w:sz="4" w:space="0"/>
            </w:tcBorders>
            <w:vAlign w:val="center"/>
          </w:tcPr>
          <w:p w14:paraId="3C99279E">
            <w:pPr>
              <w:widowControl/>
              <w:jc w:val="center"/>
              <w:rPr>
                <w:rFonts w:ascii="仿宋" w:hAnsi="仿宋" w:eastAsia="仿宋" w:cs="仿宋"/>
                <w:kern w:val="0"/>
                <w:szCs w:val="21"/>
              </w:rPr>
            </w:pPr>
            <w:r>
              <w:rPr>
                <w:rFonts w:hint="eastAsia" w:ascii="仿宋" w:hAnsi="仿宋" w:eastAsia="仿宋" w:cs="仿宋"/>
                <w:szCs w:val="21"/>
              </w:rPr>
              <w:t>供应商所报的各分项投标报价在合同履行过程中是固定不变的，不得以任何理由予以变更。</w:t>
            </w:r>
          </w:p>
        </w:tc>
        <w:tc>
          <w:tcPr>
            <w:tcW w:w="516" w:type="dxa"/>
            <w:tcBorders>
              <w:top w:val="single" w:color="auto" w:sz="4" w:space="0"/>
              <w:left w:val="nil"/>
              <w:bottom w:val="single" w:color="auto" w:sz="4" w:space="0"/>
              <w:right w:val="single" w:color="auto" w:sz="4" w:space="0"/>
            </w:tcBorders>
            <w:vAlign w:val="center"/>
          </w:tcPr>
          <w:p w14:paraId="181F386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3413B750">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20D75CB1">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29A49716">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BD9C57E">
            <w:pPr>
              <w:widowControl/>
              <w:jc w:val="center"/>
              <w:rPr>
                <w:rFonts w:ascii="仿宋" w:hAnsi="仿宋" w:eastAsia="仿宋" w:cs="仿宋"/>
                <w:kern w:val="0"/>
                <w:sz w:val="22"/>
                <w:szCs w:val="22"/>
              </w:rPr>
            </w:pPr>
            <w:r>
              <w:rPr>
                <w:rFonts w:hint="eastAsia" w:ascii="仿宋" w:hAnsi="仿宋" w:eastAsia="仿宋" w:cs="仿宋"/>
                <w:kern w:val="0"/>
                <w:sz w:val="22"/>
                <w:szCs w:val="22"/>
              </w:rPr>
              <w:t>投标保证金（12.1）</w:t>
            </w:r>
          </w:p>
        </w:tc>
        <w:tc>
          <w:tcPr>
            <w:tcW w:w="4872" w:type="dxa"/>
            <w:tcBorders>
              <w:top w:val="single" w:color="auto" w:sz="4" w:space="0"/>
              <w:left w:val="nil"/>
              <w:bottom w:val="single" w:color="auto" w:sz="4" w:space="0"/>
              <w:right w:val="single" w:color="auto" w:sz="4" w:space="0"/>
            </w:tcBorders>
            <w:vAlign w:val="center"/>
          </w:tcPr>
          <w:p w14:paraId="38E22B5B">
            <w:pPr>
              <w:widowControl/>
              <w:jc w:val="center"/>
              <w:rPr>
                <w:rFonts w:ascii="仿宋" w:hAnsi="仿宋" w:eastAsia="仿宋" w:cs="仿宋"/>
                <w:szCs w:val="21"/>
              </w:rPr>
            </w:pPr>
            <w:r>
              <w:rPr>
                <w:rFonts w:hint="eastAsia" w:ascii="仿宋" w:hAnsi="仿宋" w:eastAsia="仿宋" w:cs="仿宋"/>
                <w:szCs w:val="21"/>
              </w:rPr>
              <w:t>符合磋商文件要求</w:t>
            </w:r>
          </w:p>
        </w:tc>
        <w:tc>
          <w:tcPr>
            <w:tcW w:w="516" w:type="dxa"/>
            <w:tcBorders>
              <w:top w:val="single" w:color="auto" w:sz="4" w:space="0"/>
              <w:left w:val="nil"/>
              <w:bottom w:val="single" w:color="auto" w:sz="4" w:space="0"/>
              <w:right w:val="single" w:color="auto" w:sz="4" w:space="0"/>
            </w:tcBorders>
            <w:vAlign w:val="center"/>
          </w:tcPr>
          <w:p w14:paraId="2C8A01CF">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2A20BA8A">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7DB9298C">
            <w:pPr>
              <w:widowControl/>
              <w:jc w:val="left"/>
              <w:rPr>
                <w:rFonts w:ascii="仿宋" w:hAnsi="仿宋" w:eastAsia="仿宋" w:cs="仿宋"/>
                <w:kern w:val="0"/>
                <w:sz w:val="22"/>
                <w:szCs w:val="22"/>
              </w:rPr>
            </w:pPr>
          </w:p>
        </w:tc>
      </w:tr>
      <w:tr w14:paraId="51CC13A1">
        <w:tblPrEx>
          <w:tblCellMar>
            <w:top w:w="0" w:type="dxa"/>
            <w:left w:w="108" w:type="dxa"/>
            <w:bottom w:w="0" w:type="dxa"/>
            <w:right w:w="108" w:type="dxa"/>
          </w:tblCellMar>
        </w:tblPrEx>
        <w:trPr>
          <w:trHeight w:val="499" w:hRule="atLeast"/>
        </w:trPr>
        <w:tc>
          <w:tcPr>
            <w:tcW w:w="3168" w:type="dxa"/>
            <w:tcBorders>
              <w:top w:val="single" w:color="auto" w:sz="4" w:space="0"/>
              <w:left w:val="single" w:color="auto" w:sz="4" w:space="0"/>
              <w:bottom w:val="single" w:color="auto" w:sz="4" w:space="0"/>
              <w:right w:val="single" w:color="auto" w:sz="4" w:space="0"/>
            </w:tcBorders>
            <w:vAlign w:val="center"/>
          </w:tcPr>
          <w:p w14:paraId="0867BC31">
            <w:pPr>
              <w:widowControl/>
              <w:jc w:val="center"/>
              <w:rPr>
                <w:rFonts w:ascii="仿宋" w:hAnsi="仿宋" w:eastAsia="仿宋" w:cs="仿宋"/>
                <w:kern w:val="0"/>
                <w:sz w:val="22"/>
                <w:szCs w:val="22"/>
              </w:rPr>
            </w:pPr>
            <w:r>
              <w:rPr>
                <w:rFonts w:hint="eastAsia" w:ascii="仿宋" w:hAnsi="仿宋" w:eastAsia="仿宋" w:cs="仿宋"/>
                <w:kern w:val="0"/>
                <w:sz w:val="22"/>
                <w:szCs w:val="22"/>
              </w:rPr>
              <w:t>磋商有效期满足要求（13.1）</w:t>
            </w:r>
          </w:p>
        </w:tc>
        <w:tc>
          <w:tcPr>
            <w:tcW w:w="4872" w:type="dxa"/>
            <w:tcBorders>
              <w:top w:val="single" w:color="auto" w:sz="4" w:space="0"/>
              <w:left w:val="nil"/>
              <w:bottom w:val="single" w:color="auto" w:sz="4" w:space="0"/>
              <w:right w:val="single" w:color="auto" w:sz="4" w:space="0"/>
            </w:tcBorders>
            <w:vAlign w:val="center"/>
          </w:tcPr>
          <w:p w14:paraId="74202691">
            <w:pPr>
              <w:widowControl/>
              <w:jc w:val="center"/>
              <w:rPr>
                <w:rFonts w:ascii="仿宋" w:hAnsi="仿宋" w:eastAsia="仿宋" w:cs="仿宋"/>
                <w:kern w:val="0"/>
                <w:szCs w:val="21"/>
              </w:rPr>
            </w:pPr>
            <w:r>
              <w:rPr>
                <w:rFonts w:hint="eastAsia" w:ascii="仿宋" w:hAnsi="仿宋" w:eastAsia="仿宋" w:cs="仿宋"/>
                <w:szCs w:val="21"/>
              </w:rPr>
              <w:t>自提交响应文件截止之日起</w:t>
            </w:r>
            <w:r>
              <w:rPr>
                <w:rFonts w:hint="eastAsia" w:ascii="仿宋" w:hAnsi="仿宋" w:eastAsia="仿宋" w:cs="仿宋"/>
                <w:szCs w:val="21"/>
                <w:u w:val="single"/>
              </w:rPr>
              <w:t xml:space="preserve"> 90日</w:t>
            </w:r>
            <w:r>
              <w:rPr>
                <w:rFonts w:hint="eastAsia" w:ascii="仿宋" w:hAnsi="仿宋" w:eastAsia="仿宋" w:cs="仿宋"/>
                <w:szCs w:val="21"/>
              </w:rPr>
              <w:t>历日内</w:t>
            </w:r>
          </w:p>
        </w:tc>
        <w:tc>
          <w:tcPr>
            <w:tcW w:w="516" w:type="dxa"/>
            <w:tcBorders>
              <w:top w:val="single" w:color="auto" w:sz="4" w:space="0"/>
              <w:left w:val="nil"/>
              <w:bottom w:val="single" w:color="auto" w:sz="4" w:space="0"/>
              <w:right w:val="single" w:color="auto" w:sz="4" w:space="0"/>
            </w:tcBorders>
            <w:vAlign w:val="center"/>
          </w:tcPr>
          <w:p w14:paraId="14CA5277">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5C07B6B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6022A7E7">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6DEE5E24">
        <w:tblPrEx>
          <w:tblCellMar>
            <w:top w:w="0" w:type="dxa"/>
            <w:left w:w="108" w:type="dxa"/>
            <w:bottom w:w="0" w:type="dxa"/>
            <w:right w:w="108" w:type="dxa"/>
          </w:tblCellMar>
        </w:tblPrEx>
        <w:trPr>
          <w:trHeight w:val="570" w:hRule="atLeast"/>
        </w:trPr>
        <w:tc>
          <w:tcPr>
            <w:tcW w:w="3168" w:type="dxa"/>
            <w:tcBorders>
              <w:top w:val="single" w:color="auto" w:sz="4" w:space="0"/>
              <w:left w:val="single" w:color="auto" w:sz="4" w:space="0"/>
              <w:bottom w:val="single" w:color="auto" w:sz="4" w:space="0"/>
              <w:right w:val="single" w:color="auto" w:sz="4" w:space="0"/>
            </w:tcBorders>
            <w:vAlign w:val="center"/>
          </w:tcPr>
          <w:p w14:paraId="7E728C9C">
            <w:pPr>
              <w:widowControl/>
              <w:jc w:val="center"/>
              <w:rPr>
                <w:rFonts w:ascii="仿宋" w:hAnsi="仿宋" w:eastAsia="仿宋" w:cs="仿宋"/>
                <w:kern w:val="0"/>
                <w:sz w:val="22"/>
                <w:szCs w:val="22"/>
              </w:rPr>
            </w:pPr>
            <w:r>
              <w:rPr>
                <w:rFonts w:hint="eastAsia" w:ascii="仿宋" w:hAnsi="仿宋" w:eastAsia="仿宋" w:cs="仿宋"/>
                <w:kern w:val="0"/>
                <w:sz w:val="22"/>
                <w:szCs w:val="22"/>
              </w:rPr>
              <w:t>响应文件的签署和盖章符合要求（14.2、14.4）</w:t>
            </w:r>
          </w:p>
        </w:tc>
        <w:tc>
          <w:tcPr>
            <w:tcW w:w="4872" w:type="dxa"/>
            <w:tcBorders>
              <w:top w:val="single" w:color="auto" w:sz="4" w:space="0"/>
              <w:left w:val="nil"/>
              <w:bottom w:val="single" w:color="auto" w:sz="4" w:space="0"/>
              <w:right w:val="single" w:color="auto" w:sz="4" w:space="0"/>
            </w:tcBorders>
            <w:vAlign w:val="center"/>
          </w:tcPr>
          <w:p w14:paraId="189A886F">
            <w:pPr>
              <w:widowControl/>
              <w:jc w:val="center"/>
              <w:rPr>
                <w:rFonts w:ascii="仿宋" w:hAnsi="仿宋" w:eastAsia="仿宋" w:cs="仿宋"/>
                <w:szCs w:val="21"/>
              </w:rPr>
            </w:pPr>
            <w:r>
              <w:rPr>
                <w:rFonts w:hint="eastAsia" w:ascii="仿宋" w:hAnsi="仿宋" w:eastAsia="仿宋" w:cs="仿宋"/>
                <w:szCs w:val="21"/>
              </w:rPr>
              <w:t>按照响应文件规定要求签署、盖章。</w:t>
            </w:r>
          </w:p>
        </w:tc>
        <w:tc>
          <w:tcPr>
            <w:tcW w:w="516" w:type="dxa"/>
            <w:tcBorders>
              <w:top w:val="single" w:color="auto" w:sz="4" w:space="0"/>
              <w:left w:val="nil"/>
              <w:bottom w:val="single" w:color="auto" w:sz="4" w:space="0"/>
              <w:right w:val="single" w:color="auto" w:sz="4" w:space="0"/>
            </w:tcBorders>
            <w:vAlign w:val="center"/>
          </w:tcPr>
          <w:p w14:paraId="7F3CAE67">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3BE47C1E">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25BCED67">
            <w:pPr>
              <w:widowControl/>
              <w:jc w:val="left"/>
              <w:rPr>
                <w:rFonts w:ascii="仿宋" w:hAnsi="仿宋" w:eastAsia="仿宋" w:cs="仿宋"/>
                <w:kern w:val="0"/>
                <w:sz w:val="22"/>
                <w:szCs w:val="22"/>
              </w:rPr>
            </w:pPr>
          </w:p>
        </w:tc>
      </w:tr>
      <w:tr w14:paraId="7E15F8A8">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016137D2">
            <w:pPr>
              <w:widowControl/>
              <w:jc w:val="center"/>
              <w:rPr>
                <w:rFonts w:ascii="仿宋" w:hAnsi="仿宋" w:eastAsia="仿宋" w:cs="仿宋"/>
                <w:kern w:val="0"/>
                <w:sz w:val="22"/>
                <w:szCs w:val="22"/>
              </w:rPr>
            </w:pPr>
            <w:r>
              <w:rPr>
                <w:rFonts w:hint="eastAsia" w:ascii="仿宋" w:hAnsi="仿宋" w:eastAsia="仿宋" w:cs="仿宋"/>
                <w:kern w:val="0"/>
                <w:sz w:val="22"/>
                <w:szCs w:val="22"/>
              </w:rPr>
              <w:t>接受价格的算术修正</w:t>
            </w:r>
          </w:p>
          <w:p w14:paraId="305FDD73">
            <w:pPr>
              <w:widowControl/>
              <w:jc w:val="center"/>
              <w:rPr>
                <w:rFonts w:ascii="仿宋" w:hAnsi="仿宋" w:eastAsia="仿宋" w:cs="仿宋"/>
                <w:kern w:val="0"/>
                <w:sz w:val="22"/>
                <w:szCs w:val="22"/>
              </w:rPr>
            </w:pPr>
            <w:r>
              <w:rPr>
                <w:rFonts w:hint="eastAsia" w:ascii="仿宋" w:hAnsi="仿宋" w:eastAsia="仿宋" w:cs="仿宋"/>
                <w:kern w:val="0"/>
                <w:sz w:val="22"/>
                <w:szCs w:val="22"/>
              </w:rPr>
              <w:t>（20.3）</w:t>
            </w:r>
          </w:p>
        </w:tc>
        <w:tc>
          <w:tcPr>
            <w:tcW w:w="4872" w:type="dxa"/>
            <w:tcBorders>
              <w:top w:val="single" w:color="auto" w:sz="4" w:space="0"/>
              <w:left w:val="nil"/>
              <w:bottom w:val="single" w:color="auto" w:sz="4" w:space="0"/>
              <w:right w:val="single" w:color="auto" w:sz="4" w:space="0"/>
            </w:tcBorders>
            <w:vAlign w:val="center"/>
          </w:tcPr>
          <w:p w14:paraId="06D95047">
            <w:pPr>
              <w:widowControl/>
              <w:jc w:val="center"/>
              <w:rPr>
                <w:rFonts w:ascii="仿宋" w:hAnsi="仿宋" w:eastAsia="仿宋" w:cs="仿宋"/>
                <w:kern w:val="0"/>
                <w:szCs w:val="21"/>
              </w:rPr>
            </w:pPr>
            <w:r>
              <w:rPr>
                <w:rFonts w:hint="eastAsia" w:ascii="仿宋" w:hAnsi="仿宋" w:eastAsia="仿宋" w:cs="仿宋"/>
                <w:szCs w:val="21"/>
              </w:rPr>
              <w:t>响应文件报价出现前后不一致的，应按照磋商文件规定的顺序修正。修正后的报价经供应商确认后产生约束力。</w:t>
            </w:r>
          </w:p>
        </w:tc>
        <w:tc>
          <w:tcPr>
            <w:tcW w:w="516" w:type="dxa"/>
            <w:tcBorders>
              <w:top w:val="single" w:color="auto" w:sz="4" w:space="0"/>
              <w:left w:val="nil"/>
              <w:bottom w:val="single" w:color="auto" w:sz="4" w:space="0"/>
              <w:right w:val="single" w:color="auto" w:sz="4" w:space="0"/>
            </w:tcBorders>
            <w:vAlign w:val="center"/>
          </w:tcPr>
          <w:p w14:paraId="38982C29">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42929AD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19C62C1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38B074AB">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7B05EB5">
            <w:pPr>
              <w:widowControl/>
              <w:jc w:val="center"/>
              <w:rPr>
                <w:rFonts w:ascii="仿宋" w:hAnsi="仿宋" w:eastAsia="仿宋" w:cs="仿宋"/>
                <w:kern w:val="0"/>
                <w:sz w:val="22"/>
                <w:szCs w:val="22"/>
              </w:rPr>
            </w:pPr>
            <w:r>
              <w:rPr>
                <w:rFonts w:hint="eastAsia" w:ascii="仿宋" w:hAnsi="仿宋" w:eastAsia="仿宋" w:cs="仿宋"/>
                <w:kern w:val="0"/>
                <w:sz w:val="22"/>
                <w:szCs w:val="22"/>
              </w:rPr>
              <w:t>符合强制采购节能产品要求（20.6）</w:t>
            </w:r>
          </w:p>
        </w:tc>
        <w:tc>
          <w:tcPr>
            <w:tcW w:w="4872" w:type="dxa"/>
            <w:tcBorders>
              <w:top w:val="single" w:color="auto" w:sz="4" w:space="0"/>
              <w:left w:val="nil"/>
              <w:bottom w:val="single" w:color="auto" w:sz="4" w:space="0"/>
              <w:right w:val="single" w:color="auto" w:sz="4" w:space="0"/>
            </w:tcBorders>
            <w:vAlign w:val="center"/>
          </w:tcPr>
          <w:p w14:paraId="48B7A71C">
            <w:pPr>
              <w:widowControl/>
              <w:jc w:val="center"/>
              <w:rPr>
                <w:rFonts w:ascii="仿宋" w:hAnsi="仿宋" w:eastAsia="仿宋" w:cs="仿宋"/>
                <w:kern w:val="0"/>
                <w:szCs w:val="21"/>
              </w:rPr>
            </w:pPr>
            <w:r>
              <w:rPr>
                <w:rFonts w:hint="eastAsia" w:ascii="仿宋" w:hAnsi="仿宋" w:eastAsia="仿宋" w:cs="仿宋"/>
                <w:kern w:val="0"/>
                <w:szCs w:val="21"/>
              </w:rPr>
              <w:t>本项目不</w:t>
            </w:r>
            <w:r>
              <w:rPr>
                <w:rFonts w:hint="eastAsia" w:ascii="仿宋" w:hAnsi="仿宋" w:eastAsia="仿宋" w:cs="仿宋"/>
                <w:i/>
                <w:iCs/>
                <w:kern w:val="0"/>
                <w:szCs w:val="21"/>
                <w:u w:val="single"/>
              </w:rPr>
              <w:t>适用</w:t>
            </w:r>
          </w:p>
        </w:tc>
        <w:tc>
          <w:tcPr>
            <w:tcW w:w="516" w:type="dxa"/>
            <w:tcBorders>
              <w:top w:val="single" w:color="auto" w:sz="4" w:space="0"/>
              <w:left w:val="nil"/>
              <w:bottom w:val="single" w:color="auto" w:sz="4" w:space="0"/>
              <w:right w:val="single" w:color="auto" w:sz="4" w:space="0"/>
            </w:tcBorders>
            <w:vAlign w:val="center"/>
          </w:tcPr>
          <w:p w14:paraId="6083472F">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6A0F1BC0">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7A2F5A5D">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24173C8C">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F2DFE23">
            <w:pPr>
              <w:widowControl/>
              <w:jc w:val="center"/>
              <w:rPr>
                <w:rFonts w:ascii="仿宋" w:hAnsi="仿宋" w:eastAsia="仿宋" w:cs="仿宋"/>
                <w:kern w:val="0"/>
                <w:sz w:val="22"/>
                <w:szCs w:val="22"/>
              </w:rPr>
            </w:pPr>
            <w:r>
              <w:rPr>
                <w:rFonts w:hint="eastAsia" w:ascii="仿宋" w:hAnsi="仿宋" w:eastAsia="仿宋" w:cs="仿宋"/>
                <w:kern w:val="0"/>
                <w:sz w:val="22"/>
                <w:szCs w:val="22"/>
              </w:rPr>
              <w:t>未发现串通投标（22.2）</w:t>
            </w:r>
          </w:p>
        </w:tc>
        <w:tc>
          <w:tcPr>
            <w:tcW w:w="4872" w:type="dxa"/>
            <w:tcBorders>
              <w:top w:val="single" w:color="auto" w:sz="4" w:space="0"/>
              <w:left w:val="nil"/>
              <w:bottom w:val="single" w:color="auto" w:sz="4" w:space="0"/>
              <w:right w:val="single" w:color="auto" w:sz="4" w:space="0"/>
            </w:tcBorders>
            <w:vAlign w:val="center"/>
          </w:tcPr>
          <w:p w14:paraId="2D174DFC">
            <w:pPr>
              <w:widowControl/>
              <w:jc w:val="center"/>
              <w:rPr>
                <w:rFonts w:ascii="仿宋" w:hAnsi="仿宋" w:eastAsia="仿宋" w:cs="仿宋"/>
                <w:kern w:val="0"/>
                <w:szCs w:val="21"/>
              </w:rPr>
            </w:pPr>
            <w:r>
              <w:rPr>
                <w:rFonts w:hint="eastAsia" w:ascii="仿宋" w:hAnsi="仿宋" w:eastAsia="仿宋" w:cs="仿宋"/>
                <w:szCs w:val="21"/>
              </w:rPr>
              <w:t>未与其他供应商串通投标，或者与采购人串通投标。</w:t>
            </w:r>
          </w:p>
        </w:tc>
        <w:tc>
          <w:tcPr>
            <w:tcW w:w="516" w:type="dxa"/>
            <w:tcBorders>
              <w:top w:val="single" w:color="auto" w:sz="4" w:space="0"/>
              <w:left w:val="nil"/>
              <w:bottom w:val="single" w:color="auto" w:sz="4" w:space="0"/>
              <w:right w:val="single" w:color="auto" w:sz="4" w:space="0"/>
            </w:tcBorders>
            <w:vAlign w:val="center"/>
          </w:tcPr>
          <w:p w14:paraId="4E994A9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49B7F22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62CD4150">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732E8148">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32EAB13">
            <w:pPr>
              <w:widowControl/>
              <w:jc w:val="center"/>
              <w:rPr>
                <w:rFonts w:ascii="仿宋" w:hAnsi="仿宋" w:eastAsia="仿宋" w:cs="仿宋"/>
                <w:kern w:val="0"/>
                <w:sz w:val="22"/>
                <w:szCs w:val="22"/>
              </w:rPr>
            </w:pPr>
            <w:r>
              <w:rPr>
                <w:rFonts w:hint="eastAsia" w:ascii="仿宋" w:hAnsi="仿宋" w:eastAsia="仿宋" w:cs="仿宋"/>
                <w:kern w:val="0"/>
                <w:sz w:val="22"/>
                <w:szCs w:val="22"/>
              </w:rPr>
              <w:t>报价说明可以接受（22.2）</w:t>
            </w:r>
          </w:p>
        </w:tc>
        <w:tc>
          <w:tcPr>
            <w:tcW w:w="4872" w:type="dxa"/>
            <w:tcBorders>
              <w:top w:val="single" w:color="auto" w:sz="4" w:space="0"/>
              <w:left w:val="nil"/>
              <w:bottom w:val="single" w:color="auto" w:sz="4" w:space="0"/>
              <w:right w:val="single" w:color="auto" w:sz="4" w:space="0"/>
            </w:tcBorders>
            <w:vAlign w:val="center"/>
          </w:tcPr>
          <w:p w14:paraId="58711AF7">
            <w:pPr>
              <w:widowControl/>
              <w:jc w:val="center"/>
              <w:rPr>
                <w:rFonts w:ascii="仿宋" w:hAnsi="仿宋" w:eastAsia="仿宋" w:cs="仿宋"/>
                <w:kern w:val="0"/>
                <w:szCs w:val="21"/>
              </w:rPr>
            </w:pPr>
            <w:r>
              <w:rPr>
                <w:rFonts w:hint="eastAsia" w:ascii="仿宋" w:hAnsi="仿宋" w:eastAsia="仿宋" w:cs="仿宋"/>
                <w:szCs w:val="21"/>
              </w:rPr>
              <w:t>供应商的报价明显低于其他通过符合性检查供应商的报价，有可能影响履约的，供应商能按照规定证明其报价合理性。</w:t>
            </w:r>
          </w:p>
        </w:tc>
        <w:tc>
          <w:tcPr>
            <w:tcW w:w="516" w:type="dxa"/>
            <w:tcBorders>
              <w:top w:val="single" w:color="auto" w:sz="4" w:space="0"/>
              <w:left w:val="nil"/>
              <w:bottom w:val="single" w:color="auto" w:sz="4" w:space="0"/>
              <w:right w:val="single" w:color="auto" w:sz="4" w:space="0"/>
            </w:tcBorders>
            <w:vAlign w:val="center"/>
          </w:tcPr>
          <w:p w14:paraId="37EFE2E1">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6EF082B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570EFD51">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6EC9FB5A">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33805E1B">
            <w:pPr>
              <w:widowControl/>
              <w:jc w:val="center"/>
              <w:rPr>
                <w:rFonts w:ascii="仿宋" w:hAnsi="仿宋" w:eastAsia="仿宋" w:cs="仿宋"/>
                <w:kern w:val="0"/>
                <w:sz w:val="22"/>
                <w:szCs w:val="22"/>
              </w:rPr>
            </w:pPr>
            <w:r>
              <w:rPr>
                <w:rFonts w:hint="eastAsia" w:ascii="仿宋" w:hAnsi="仿宋" w:eastAsia="仿宋" w:cs="仿宋"/>
                <w:sz w:val="22"/>
                <w:szCs w:val="22"/>
              </w:rPr>
              <w:t>无采购人不能接受的附加条件（22.2）</w:t>
            </w:r>
          </w:p>
        </w:tc>
        <w:tc>
          <w:tcPr>
            <w:tcW w:w="4872" w:type="dxa"/>
            <w:tcBorders>
              <w:top w:val="single" w:color="auto" w:sz="4" w:space="0"/>
              <w:left w:val="nil"/>
              <w:bottom w:val="single" w:color="auto" w:sz="4" w:space="0"/>
              <w:right w:val="single" w:color="auto" w:sz="4" w:space="0"/>
            </w:tcBorders>
            <w:vAlign w:val="center"/>
          </w:tcPr>
          <w:p w14:paraId="7003A1AC">
            <w:pPr>
              <w:widowControl/>
              <w:jc w:val="center"/>
              <w:rPr>
                <w:rFonts w:ascii="仿宋" w:hAnsi="仿宋" w:eastAsia="仿宋" w:cs="仿宋"/>
                <w:kern w:val="0"/>
                <w:szCs w:val="21"/>
              </w:rPr>
            </w:pPr>
            <w:r>
              <w:rPr>
                <w:rFonts w:hint="eastAsia" w:ascii="仿宋" w:hAnsi="仿宋" w:eastAsia="仿宋" w:cs="仿宋"/>
                <w:szCs w:val="21"/>
              </w:rPr>
              <w:t>响应文件未含有采购人不能接受的附加条件。</w:t>
            </w:r>
          </w:p>
        </w:tc>
        <w:tc>
          <w:tcPr>
            <w:tcW w:w="516" w:type="dxa"/>
            <w:tcBorders>
              <w:top w:val="single" w:color="auto" w:sz="4" w:space="0"/>
              <w:left w:val="nil"/>
              <w:bottom w:val="single" w:color="auto" w:sz="4" w:space="0"/>
              <w:right w:val="single" w:color="auto" w:sz="4" w:space="0"/>
            </w:tcBorders>
            <w:vAlign w:val="center"/>
          </w:tcPr>
          <w:p w14:paraId="2D799B36">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0A3E398E">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1839552E">
            <w:pPr>
              <w:widowControl/>
              <w:jc w:val="left"/>
              <w:rPr>
                <w:rFonts w:ascii="仿宋" w:hAnsi="仿宋" w:eastAsia="仿宋" w:cs="仿宋"/>
                <w:kern w:val="0"/>
                <w:sz w:val="22"/>
                <w:szCs w:val="22"/>
              </w:rPr>
            </w:pPr>
          </w:p>
        </w:tc>
      </w:tr>
      <w:tr w14:paraId="2D730470">
        <w:tblPrEx>
          <w:tblCellMar>
            <w:top w:w="0" w:type="dxa"/>
            <w:left w:w="108" w:type="dxa"/>
            <w:bottom w:w="0" w:type="dxa"/>
            <w:right w:w="108" w:type="dxa"/>
          </w:tblCellMar>
        </w:tblPrEx>
        <w:trPr>
          <w:trHeight w:val="316" w:hRule="atLeast"/>
        </w:trPr>
        <w:tc>
          <w:tcPr>
            <w:tcW w:w="8040" w:type="dxa"/>
            <w:gridSpan w:val="2"/>
            <w:tcBorders>
              <w:top w:val="single" w:color="auto" w:sz="4" w:space="0"/>
              <w:left w:val="single" w:color="auto" w:sz="4" w:space="0"/>
              <w:bottom w:val="single" w:color="auto" w:sz="4" w:space="0"/>
              <w:right w:val="single" w:color="auto" w:sz="4" w:space="0"/>
            </w:tcBorders>
            <w:vAlign w:val="center"/>
          </w:tcPr>
          <w:p w14:paraId="246B543F">
            <w:pPr>
              <w:widowControl/>
              <w:jc w:val="left"/>
              <w:rPr>
                <w:rFonts w:ascii="仿宋" w:hAnsi="仿宋" w:eastAsia="仿宋" w:cs="仿宋"/>
                <w:b/>
                <w:szCs w:val="21"/>
              </w:rPr>
            </w:pPr>
            <w:r>
              <w:rPr>
                <w:rFonts w:hint="eastAsia" w:ascii="仿宋" w:hAnsi="仿宋" w:eastAsia="仿宋" w:cs="仿宋"/>
                <w:b/>
                <w:kern w:val="0"/>
                <w:sz w:val="22"/>
                <w:szCs w:val="22"/>
              </w:rPr>
              <w:t>结论：</w:t>
            </w:r>
            <w:r>
              <w:rPr>
                <w:rFonts w:hint="eastAsia" w:ascii="仿宋" w:hAnsi="仿宋" w:eastAsia="仿宋" w:cs="仿宋"/>
                <w:b/>
                <w:bCs/>
                <w:spacing w:val="-2"/>
                <w:sz w:val="24"/>
              </w:rPr>
              <w:t>通过评审打“√”，未通过评审打“×”</w:t>
            </w:r>
          </w:p>
        </w:tc>
        <w:tc>
          <w:tcPr>
            <w:tcW w:w="516" w:type="dxa"/>
            <w:tcBorders>
              <w:top w:val="single" w:color="auto" w:sz="4" w:space="0"/>
              <w:left w:val="nil"/>
              <w:bottom w:val="single" w:color="auto" w:sz="4" w:space="0"/>
              <w:right w:val="single" w:color="auto" w:sz="4" w:space="0"/>
            </w:tcBorders>
            <w:vAlign w:val="center"/>
          </w:tcPr>
          <w:p w14:paraId="1949CCC3">
            <w:pPr>
              <w:widowControl/>
              <w:jc w:val="center"/>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6B50AFDD">
            <w:pPr>
              <w:widowControl/>
              <w:jc w:val="center"/>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6F878617">
            <w:pPr>
              <w:widowControl/>
              <w:jc w:val="center"/>
              <w:rPr>
                <w:rFonts w:ascii="仿宋" w:hAnsi="仿宋" w:eastAsia="仿宋" w:cs="仿宋"/>
                <w:kern w:val="0"/>
                <w:sz w:val="22"/>
                <w:szCs w:val="22"/>
              </w:rPr>
            </w:pPr>
          </w:p>
        </w:tc>
      </w:tr>
    </w:tbl>
    <w:p w14:paraId="69C1DBDF">
      <w:pPr>
        <w:pStyle w:val="10"/>
        <w:ind w:left="0" w:leftChars="0"/>
      </w:pPr>
    </w:p>
    <w:p w14:paraId="5C805B50">
      <w:pPr>
        <w:spacing w:line="360" w:lineRule="auto"/>
      </w:pPr>
      <w:r>
        <w:rPr>
          <w:rFonts w:hint="eastAsia" w:ascii="仿宋" w:hAnsi="仿宋" w:eastAsia="仿宋" w:cs="仿宋"/>
          <w:sz w:val="24"/>
        </w:rPr>
        <w:t>★</w:t>
      </w:r>
      <w:r>
        <w:rPr>
          <w:rFonts w:hint="eastAsia" w:ascii="仿宋" w:hAnsi="仿宋" w:eastAsia="仿宋" w:cs="仿宋"/>
          <w:b/>
          <w:bCs/>
          <w:sz w:val="24"/>
        </w:rPr>
        <w:t>备注：如果响应文件中有一项未通过上述审查标准，评标委员会将认定整个响应文件未响应磋商文件而予以废标处理。</w:t>
      </w:r>
    </w:p>
    <w:p w14:paraId="2CF0D152">
      <w:pPr>
        <w:spacing w:line="300" w:lineRule="auto"/>
        <w:jc w:val="center"/>
        <w:rPr>
          <w:rFonts w:ascii="仿宋" w:hAnsi="仿宋" w:eastAsia="仿宋" w:cs="仿宋"/>
          <w:b/>
          <w:bCs/>
          <w:kern w:val="0"/>
          <w:sz w:val="28"/>
          <w:szCs w:val="28"/>
        </w:rPr>
      </w:pPr>
    </w:p>
    <w:p w14:paraId="19B4834A">
      <w:pPr>
        <w:pStyle w:val="41"/>
        <w:ind w:firstLine="420"/>
      </w:pPr>
    </w:p>
    <w:p w14:paraId="3C92374C">
      <w:pPr>
        <w:spacing w:line="300" w:lineRule="auto"/>
        <w:jc w:val="center"/>
        <w:rPr>
          <w:rFonts w:ascii="仿宋" w:hAnsi="仿宋" w:eastAsia="仿宋" w:cs="仿宋"/>
          <w:b/>
          <w:bCs/>
          <w:kern w:val="0"/>
          <w:sz w:val="28"/>
          <w:szCs w:val="28"/>
        </w:rPr>
      </w:pPr>
      <w:r>
        <w:rPr>
          <w:rFonts w:hint="eastAsia" w:ascii="仿宋" w:hAnsi="仿宋" w:eastAsia="仿宋" w:cs="仿宋"/>
          <w:b/>
          <w:bCs/>
          <w:kern w:val="0"/>
          <w:sz w:val="28"/>
          <w:szCs w:val="28"/>
        </w:rPr>
        <w:t>技术符合性审查表</w:t>
      </w:r>
    </w:p>
    <w:tbl>
      <w:tblPr>
        <w:tblStyle w:val="34"/>
        <w:tblW w:w="8480" w:type="dxa"/>
        <w:tblInd w:w="0" w:type="dxa"/>
        <w:tblLayout w:type="fixed"/>
        <w:tblCellMar>
          <w:top w:w="15" w:type="dxa"/>
          <w:left w:w="15" w:type="dxa"/>
          <w:bottom w:w="15" w:type="dxa"/>
          <w:right w:w="15" w:type="dxa"/>
        </w:tblCellMar>
      </w:tblPr>
      <w:tblGrid>
        <w:gridCol w:w="1694"/>
        <w:gridCol w:w="1698"/>
        <w:gridCol w:w="1696"/>
        <w:gridCol w:w="1696"/>
        <w:gridCol w:w="1696"/>
      </w:tblGrid>
      <w:tr w14:paraId="306819AF">
        <w:tblPrEx>
          <w:tblCellMar>
            <w:top w:w="15" w:type="dxa"/>
            <w:left w:w="15" w:type="dxa"/>
            <w:bottom w:w="15" w:type="dxa"/>
            <w:right w:w="15" w:type="dxa"/>
          </w:tblCellMar>
        </w:tblPrEx>
        <w:trPr>
          <w:trHeight w:val="576" w:hRule="atLeast"/>
        </w:trPr>
        <w:tc>
          <w:tcPr>
            <w:tcW w:w="3392" w:type="dxa"/>
            <w:gridSpan w:val="2"/>
            <w:tcBorders>
              <w:top w:val="single" w:color="000000" w:sz="4" w:space="0"/>
              <w:left w:val="single" w:color="000000" w:sz="4" w:space="0"/>
              <w:bottom w:val="single" w:color="000000" w:sz="4" w:space="0"/>
              <w:right w:val="single" w:color="000000" w:sz="4" w:space="0"/>
            </w:tcBorders>
            <w:vAlign w:val="center"/>
          </w:tcPr>
          <w:p w14:paraId="4913F770">
            <w:pPr>
              <w:widowControl/>
              <w:jc w:val="center"/>
              <w:textAlignment w:val="center"/>
              <w:rPr>
                <w:rFonts w:ascii="仿宋" w:hAnsi="仿宋" w:eastAsia="仿宋" w:cs="仿宋"/>
                <w:sz w:val="22"/>
                <w:szCs w:val="22"/>
              </w:rPr>
            </w:pPr>
            <w:r>
              <w:rPr>
                <w:rFonts w:hint="eastAsia" w:ascii="仿宋" w:hAnsi="仿宋" w:eastAsia="仿宋" w:cs="仿宋"/>
                <w:kern w:val="0"/>
                <w:sz w:val="22"/>
                <w:szCs w:val="22"/>
              </w:rPr>
              <w:t>审查事项</w:t>
            </w:r>
          </w:p>
        </w:tc>
        <w:tc>
          <w:tcPr>
            <w:tcW w:w="1696" w:type="dxa"/>
            <w:vMerge w:val="restart"/>
            <w:tcBorders>
              <w:top w:val="single" w:color="000000" w:sz="4" w:space="0"/>
              <w:left w:val="single" w:color="000000" w:sz="4" w:space="0"/>
              <w:right w:val="single" w:color="000000" w:sz="4" w:space="0"/>
            </w:tcBorders>
            <w:vAlign w:val="center"/>
          </w:tcPr>
          <w:p w14:paraId="1379EF96">
            <w:pPr>
              <w:widowControl/>
              <w:jc w:val="center"/>
              <w:textAlignment w:val="center"/>
              <w:rPr>
                <w:rFonts w:ascii="仿宋" w:hAnsi="仿宋" w:eastAsia="仿宋" w:cs="仿宋"/>
                <w:sz w:val="22"/>
                <w:szCs w:val="22"/>
              </w:rPr>
            </w:pPr>
            <w:r>
              <w:rPr>
                <w:rFonts w:hint="eastAsia" w:ascii="仿宋" w:hAnsi="仿宋" w:eastAsia="仿宋" w:cs="仿宋"/>
                <w:kern w:val="0"/>
                <w:sz w:val="22"/>
                <w:szCs w:val="22"/>
              </w:rPr>
              <w:t>供应商名称</w:t>
            </w:r>
          </w:p>
        </w:tc>
        <w:tc>
          <w:tcPr>
            <w:tcW w:w="1696" w:type="dxa"/>
            <w:vMerge w:val="restart"/>
            <w:tcBorders>
              <w:top w:val="single" w:color="000000" w:sz="4" w:space="0"/>
              <w:left w:val="single" w:color="000000" w:sz="4" w:space="0"/>
              <w:right w:val="single" w:color="000000" w:sz="4" w:space="0"/>
            </w:tcBorders>
            <w:vAlign w:val="center"/>
          </w:tcPr>
          <w:p w14:paraId="4D644495">
            <w:pPr>
              <w:widowControl/>
              <w:jc w:val="center"/>
              <w:textAlignment w:val="center"/>
              <w:rPr>
                <w:rFonts w:ascii="仿宋" w:hAnsi="仿宋" w:eastAsia="仿宋" w:cs="仿宋"/>
                <w:sz w:val="22"/>
                <w:szCs w:val="22"/>
              </w:rPr>
            </w:pPr>
            <w:r>
              <w:rPr>
                <w:rFonts w:hint="eastAsia" w:ascii="仿宋" w:hAnsi="仿宋" w:eastAsia="仿宋" w:cs="仿宋"/>
                <w:kern w:val="0"/>
                <w:sz w:val="22"/>
                <w:szCs w:val="22"/>
              </w:rPr>
              <w:t>供应商名称</w:t>
            </w:r>
          </w:p>
        </w:tc>
        <w:tc>
          <w:tcPr>
            <w:tcW w:w="1696" w:type="dxa"/>
            <w:vMerge w:val="restart"/>
            <w:tcBorders>
              <w:top w:val="single" w:color="000000" w:sz="4" w:space="0"/>
              <w:left w:val="single" w:color="000000" w:sz="4" w:space="0"/>
              <w:right w:val="single" w:color="000000" w:sz="4" w:space="0"/>
            </w:tcBorders>
            <w:vAlign w:val="center"/>
          </w:tcPr>
          <w:p w14:paraId="64CF122D">
            <w:pPr>
              <w:widowControl/>
              <w:jc w:val="center"/>
              <w:textAlignment w:val="center"/>
              <w:rPr>
                <w:rFonts w:ascii="仿宋" w:hAnsi="仿宋" w:eastAsia="仿宋" w:cs="仿宋"/>
                <w:sz w:val="22"/>
                <w:szCs w:val="22"/>
              </w:rPr>
            </w:pPr>
            <w:r>
              <w:rPr>
                <w:rFonts w:hint="eastAsia" w:ascii="仿宋" w:hAnsi="仿宋" w:eastAsia="仿宋" w:cs="仿宋"/>
                <w:kern w:val="0"/>
                <w:sz w:val="22"/>
                <w:szCs w:val="22"/>
              </w:rPr>
              <w:t>供应商名称</w:t>
            </w:r>
          </w:p>
        </w:tc>
      </w:tr>
      <w:tr w14:paraId="5AF34C7A">
        <w:tblPrEx>
          <w:tblCellMar>
            <w:top w:w="15" w:type="dxa"/>
            <w:left w:w="15" w:type="dxa"/>
            <w:bottom w:w="15" w:type="dxa"/>
            <w:right w:w="15" w:type="dxa"/>
          </w:tblCellMar>
        </w:tblPrEx>
        <w:trPr>
          <w:trHeight w:val="576"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52085863">
            <w:pPr>
              <w:widowControl/>
              <w:jc w:val="center"/>
              <w:textAlignment w:val="center"/>
              <w:rPr>
                <w:rFonts w:ascii="仿宋" w:hAnsi="仿宋" w:eastAsia="仿宋" w:cs="仿宋"/>
                <w:kern w:val="0"/>
                <w:sz w:val="22"/>
                <w:szCs w:val="22"/>
              </w:rPr>
            </w:pPr>
            <w:r>
              <w:rPr>
                <w:rFonts w:hint="eastAsia" w:ascii="仿宋" w:hAnsi="仿宋" w:eastAsia="仿宋" w:cs="仿宋"/>
                <w:kern w:val="0"/>
                <w:sz w:val="22"/>
                <w:szCs w:val="22"/>
              </w:rPr>
              <w:t>磋商文件要求</w:t>
            </w:r>
          </w:p>
        </w:tc>
        <w:tc>
          <w:tcPr>
            <w:tcW w:w="1698" w:type="dxa"/>
            <w:tcBorders>
              <w:top w:val="single" w:color="000000" w:sz="4" w:space="0"/>
              <w:left w:val="single" w:color="000000" w:sz="4" w:space="0"/>
              <w:bottom w:val="single" w:color="000000" w:sz="4" w:space="0"/>
              <w:right w:val="single" w:color="000000" w:sz="4" w:space="0"/>
            </w:tcBorders>
            <w:vAlign w:val="center"/>
          </w:tcPr>
          <w:p w14:paraId="50A764F3">
            <w:pPr>
              <w:widowControl/>
              <w:jc w:val="center"/>
              <w:textAlignment w:val="center"/>
              <w:rPr>
                <w:rFonts w:ascii="仿宋" w:hAnsi="仿宋" w:eastAsia="仿宋" w:cs="仿宋"/>
                <w:kern w:val="0"/>
                <w:sz w:val="22"/>
                <w:szCs w:val="22"/>
              </w:rPr>
            </w:pPr>
            <w:r>
              <w:rPr>
                <w:rFonts w:hint="eastAsia" w:ascii="仿宋" w:hAnsi="仿宋" w:eastAsia="仿宋" w:cs="仿宋"/>
                <w:kern w:val="0"/>
                <w:sz w:val="22"/>
                <w:szCs w:val="22"/>
              </w:rPr>
              <w:t>条款号</w:t>
            </w:r>
          </w:p>
        </w:tc>
        <w:tc>
          <w:tcPr>
            <w:tcW w:w="1696" w:type="dxa"/>
            <w:vMerge w:val="continue"/>
            <w:tcBorders>
              <w:left w:val="single" w:color="000000" w:sz="4" w:space="0"/>
              <w:bottom w:val="single" w:color="000000" w:sz="4" w:space="0"/>
              <w:right w:val="single" w:color="000000" w:sz="4" w:space="0"/>
            </w:tcBorders>
            <w:vAlign w:val="center"/>
          </w:tcPr>
          <w:p w14:paraId="2C43F7FE">
            <w:pPr>
              <w:widowControl/>
              <w:jc w:val="center"/>
              <w:textAlignment w:val="center"/>
              <w:rPr>
                <w:rFonts w:ascii="仿宋" w:hAnsi="仿宋" w:eastAsia="仿宋" w:cs="仿宋"/>
                <w:kern w:val="0"/>
                <w:sz w:val="22"/>
                <w:szCs w:val="22"/>
              </w:rPr>
            </w:pPr>
          </w:p>
        </w:tc>
        <w:tc>
          <w:tcPr>
            <w:tcW w:w="1696" w:type="dxa"/>
            <w:vMerge w:val="continue"/>
            <w:tcBorders>
              <w:left w:val="single" w:color="000000" w:sz="4" w:space="0"/>
              <w:bottom w:val="single" w:color="000000" w:sz="4" w:space="0"/>
              <w:right w:val="single" w:color="000000" w:sz="4" w:space="0"/>
            </w:tcBorders>
            <w:vAlign w:val="center"/>
          </w:tcPr>
          <w:p w14:paraId="4F495E1E">
            <w:pPr>
              <w:widowControl/>
              <w:jc w:val="center"/>
              <w:textAlignment w:val="center"/>
              <w:rPr>
                <w:rFonts w:ascii="仿宋" w:hAnsi="仿宋" w:eastAsia="仿宋" w:cs="仿宋"/>
                <w:kern w:val="0"/>
                <w:sz w:val="22"/>
                <w:szCs w:val="22"/>
              </w:rPr>
            </w:pPr>
          </w:p>
        </w:tc>
        <w:tc>
          <w:tcPr>
            <w:tcW w:w="1696" w:type="dxa"/>
            <w:vMerge w:val="continue"/>
            <w:tcBorders>
              <w:left w:val="single" w:color="000000" w:sz="4" w:space="0"/>
              <w:bottom w:val="single" w:color="000000" w:sz="4" w:space="0"/>
              <w:right w:val="single" w:color="000000" w:sz="4" w:space="0"/>
            </w:tcBorders>
            <w:vAlign w:val="center"/>
          </w:tcPr>
          <w:p w14:paraId="7BED0E5F">
            <w:pPr>
              <w:widowControl/>
              <w:jc w:val="center"/>
              <w:textAlignment w:val="center"/>
              <w:rPr>
                <w:rFonts w:ascii="仿宋" w:hAnsi="仿宋" w:eastAsia="仿宋" w:cs="仿宋"/>
                <w:kern w:val="0"/>
                <w:sz w:val="22"/>
                <w:szCs w:val="22"/>
              </w:rPr>
            </w:pPr>
          </w:p>
        </w:tc>
      </w:tr>
      <w:tr w14:paraId="669751BC">
        <w:tblPrEx>
          <w:tblCellMar>
            <w:top w:w="15" w:type="dxa"/>
            <w:left w:w="15" w:type="dxa"/>
            <w:bottom w:w="15" w:type="dxa"/>
            <w:right w:w="15" w:type="dxa"/>
          </w:tblCellMar>
        </w:tblPrEx>
        <w:trPr>
          <w:trHeight w:val="418"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6D261E2C">
            <w:pPr>
              <w:widowControl/>
              <w:spacing w:line="360" w:lineRule="exact"/>
              <w:jc w:val="center"/>
              <w:rPr>
                <w:rFonts w:ascii="仿宋" w:hAnsi="仿宋" w:eastAsia="仿宋" w:cs="仿宋"/>
                <w:sz w:val="22"/>
                <w:szCs w:val="22"/>
              </w:rPr>
            </w:pPr>
            <w:r>
              <w:rPr>
                <w:rFonts w:hint="eastAsia" w:ascii="仿宋" w:hAnsi="仿宋" w:eastAsia="仿宋" w:cs="仿宋"/>
                <w:kern w:val="0"/>
                <w:sz w:val="22"/>
                <w:szCs w:val="22"/>
              </w:rPr>
              <w:t>服务需求一览表</w:t>
            </w:r>
          </w:p>
        </w:tc>
        <w:tc>
          <w:tcPr>
            <w:tcW w:w="1698" w:type="dxa"/>
            <w:tcBorders>
              <w:top w:val="single" w:color="000000" w:sz="4" w:space="0"/>
              <w:left w:val="single" w:color="000000" w:sz="4" w:space="0"/>
              <w:bottom w:val="single" w:color="000000" w:sz="4" w:space="0"/>
              <w:right w:val="single" w:color="000000" w:sz="4" w:space="0"/>
            </w:tcBorders>
            <w:vAlign w:val="center"/>
          </w:tcPr>
          <w:p w14:paraId="3B2CC66B">
            <w:pPr>
              <w:widowControl/>
              <w:spacing w:line="360" w:lineRule="exact"/>
              <w:jc w:val="center"/>
              <w:rPr>
                <w:rFonts w:ascii="仿宋" w:hAnsi="仿宋" w:eastAsia="仿宋" w:cs="仿宋"/>
                <w:sz w:val="22"/>
                <w:szCs w:val="22"/>
              </w:rPr>
            </w:pPr>
            <w:r>
              <w:rPr>
                <w:rFonts w:hint="eastAsia" w:ascii="仿宋" w:hAnsi="仿宋" w:eastAsia="仿宋" w:cs="仿宋"/>
                <w:kern w:val="0"/>
                <w:sz w:val="22"/>
                <w:szCs w:val="22"/>
              </w:rPr>
              <w:t>第5章</w:t>
            </w:r>
          </w:p>
        </w:tc>
        <w:tc>
          <w:tcPr>
            <w:tcW w:w="1696" w:type="dxa"/>
            <w:tcBorders>
              <w:top w:val="single" w:color="000000" w:sz="4" w:space="0"/>
              <w:left w:val="single" w:color="000000" w:sz="4" w:space="0"/>
              <w:bottom w:val="single" w:color="000000" w:sz="4" w:space="0"/>
              <w:right w:val="single" w:color="000000" w:sz="4" w:space="0"/>
            </w:tcBorders>
            <w:vAlign w:val="center"/>
          </w:tcPr>
          <w:p w14:paraId="1A570A9F">
            <w:pPr>
              <w:jc w:val="left"/>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80068C2">
            <w:pPr>
              <w:jc w:val="left"/>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397E1DB">
            <w:pPr>
              <w:jc w:val="left"/>
              <w:rPr>
                <w:rFonts w:ascii="仿宋" w:hAnsi="仿宋" w:eastAsia="仿宋" w:cs="仿宋"/>
                <w:sz w:val="22"/>
                <w:szCs w:val="22"/>
              </w:rPr>
            </w:pPr>
          </w:p>
        </w:tc>
      </w:tr>
      <w:tr w14:paraId="7530EC22">
        <w:tblPrEx>
          <w:tblCellMar>
            <w:top w:w="15" w:type="dxa"/>
            <w:left w:w="15" w:type="dxa"/>
            <w:bottom w:w="15" w:type="dxa"/>
            <w:right w:w="15" w:type="dxa"/>
          </w:tblCellMar>
        </w:tblPrEx>
        <w:trPr>
          <w:trHeight w:val="385"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2DC4EA31">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26D1A10A">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64F980C2">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EF27865">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1464E0D">
            <w:pPr>
              <w:rPr>
                <w:rFonts w:ascii="仿宋" w:hAnsi="仿宋" w:eastAsia="仿宋" w:cs="仿宋"/>
                <w:sz w:val="22"/>
                <w:szCs w:val="22"/>
              </w:rPr>
            </w:pPr>
          </w:p>
        </w:tc>
      </w:tr>
      <w:tr w14:paraId="678632E5">
        <w:tblPrEx>
          <w:tblCellMar>
            <w:top w:w="15" w:type="dxa"/>
            <w:left w:w="15" w:type="dxa"/>
            <w:bottom w:w="15" w:type="dxa"/>
            <w:right w:w="15" w:type="dxa"/>
          </w:tblCellMar>
        </w:tblPrEx>
        <w:trPr>
          <w:trHeight w:val="42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72991336">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7FFC673E">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D947F4B">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6CC08AE">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D0566FE">
            <w:pPr>
              <w:rPr>
                <w:rFonts w:ascii="仿宋" w:hAnsi="仿宋" w:eastAsia="仿宋" w:cs="仿宋"/>
                <w:sz w:val="22"/>
                <w:szCs w:val="22"/>
              </w:rPr>
            </w:pPr>
          </w:p>
        </w:tc>
      </w:tr>
      <w:tr w14:paraId="34881EB0">
        <w:tblPrEx>
          <w:tblCellMar>
            <w:top w:w="15" w:type="dxa"/>
            <w:left w:w="15" w:type="dxa"/>
            <w:bottom w:w="15" w:type="dxa"/>
            <w:right w:w="15" w:type="dxa"/>
          </w:tblCellMar>
        </w:tblPrEx>
        <w:trPr>
          <w:trHeight w:val="39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30B9EBEE">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70EAF613">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AB0AFB7">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0691C1B">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2B3AFBC">
            <w:pPr>
              <w:rPr>
                <w:rFonts w:ascii="仿宋" w:hAnsi="仿宋" w:eastAsia="仿宋" w:cs="仿宋"/>
                <w:sz w:val="22"/>
                <w:szCs w:val="22"/>
              </w:rPr>
            </w:pPr>
          </w:p>
        </w:tc>
      </w:tr>
      <w:tr w14:paraId="79F17730">
        <w:tblPrEx>
          <w:tblCellMar>
            <w:top w:w="15" w:type="dxa"/>
            <w:left w:w="15" w:type="dxa"/>
            <w:bottom w:w="15" w:type="dxa"/>
            <w:right w:w="15" w:type="dxa"/>
          </w:tblCellMar>
        </w:tblPrEx>
        <w:trPr>
          <w:trHeight w:val="355"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482892DF">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74FA649C">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CFDA5D5">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C7068C3">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7CF6715">
            <w:pPr>
              <w:rPr>
                <w:rFonts w:ascii="仿宋" w:hAnsi="仿宋" w:eastAsia="仿宋" w:cs="仿宋"/>
                <w:sz w:val="22"/>
                <w:szCs w:val="22"/>
              </w:rPr>
            </w:pPr>
          </w:p>
        </w:tc>
      </w:tr>
      <w:tr w14:paraId="1FA5E9F5">
        <w:tblPrEx>
          <w:tblCellMar>
            <w:top w:w="15" w:type="dxa"/>
            <w:left w:w="15" w:type="dxa"/>
            <w:bottom w:w="15" w:type="dxa"/>
            <w:right w:w="15" w:type="dxa"/>
          </w:tblCellMar>
        </w:tblPrEx>
        <w:trPr>
          <w:trHeight w:val="35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05B6767D">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3A014424">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EC5006C">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64F6BA08">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57A7B0C">
            <w:pPr>
              <w:rPr>
                <w:rFonts w:ascii="仿宋" w:hAnsi="仿宋" w:eastAsia="仿宋" w:cs="仿宋"/>
                <w:sz w:val="22"/>
                <w:szCs w:val="22"/>
              </w:rPr>
            </w:pPr>
          </w:p>
        </w:tc>
      </w:tr>
      <w:tr w14:paraId="2D6EDC8D">
        <w:tblPrEx>
          <w:tblCellMar>
            <w:top w:w="15" w:type="dxa"/>
            <w:left w:w="15" w:type="dxa"/>
            <w:bottom w:w="15" w:type="dxa"/>
            <w:right w:w="15" w:type="dxa"/>
          </w:tblCellMar>
        </w:tblPrEx>
        <w:trPr>
          <w:trHeight w:val="355"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67F05FE5">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00FEA085">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6E78406">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841A5BF">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63F6B32">
            <w:pPr>
              <w:rPr>
                <w:rFonts w:ascii="仿宋" w:hAnsi="仿宋" w:eastAsia="仿宋" w:cs="仿宋"/>
                <w:sz w:val="22"/>
                <w:szCs w:val="22"/>
              </w:rPr>
            </w:pPr>
          </w:p>
        </w:tc>
      </w:tr>
      <w:tr w14:paraId="22927329">
        <w:tblPrEx>
          <w:tblCellMar>
            <w:top w:w="15" w:type="dxa"/>
            <w:left w:w="15" w:type="dxa"/>
            <w:bottom w:w="15" w:type="dxa"/>
            <w:right w:w="15" w:type="dxa"/>
          </w:tblCellMar>
        </w:tblPrEx>
        <w:trPr>
          <w:trHeight w:val="395"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6E0AB1E5">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0DEB5743">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2465301">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A5CE535">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8456DD0">
            <w:pPr>
              <w:rPr>
                <w:rFonts w:ascii="仿宋" w:hAnsi="仿宋" w:eastAsia="仿宋" w:cs="仿宋"/>
                <w:sz w:val="22"/>
                <w:szCs w:val="22"/>
              </w:rPr>
            </w:pPr>
          </w:p>
        </w:tc>
      </w:tr>
      <w:tr w14:paraId="4B91EDCE">
        <w:tblPrEx>
          <w:tblCellMar>
            <w:top w:w="15" w:type="dxa"/>
            <w:left w:w="15" w:type="dxa"/>
            <w:bottom w:w="15" w:type="dxa"/>
            <w:right w:w="15" w:type="dxa"/>
          </w:tblCellMar>
        </w:tblPrEx>
        <w:trPr>
          <w:trHeight w:val="39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21A79D59">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6A1F8E27">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BB7ED99">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E0533C0">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B5AE7DC">
            <w:pPr>
              <w:rPr>
                <w:rFonts w:ascii="仿宋" w:hAnsi="仿宋" w:eastAsia="仿宋" w:cs="仿宋"/>
                <w:sz w:val="22"/>
                <w:szCs w:val="22"/>
              </w:rPr>
            </w:pPr>
          </w:p>
        </w:tc>
      </w:tr>
      <w:tr w14:paraId="79D630B3">
        <w:tblPrEx>
          <w:tblCellMar>
            <w:top w:w="15" w:type="dxa"/>
            <w:left w:w="15" w:type="dxa"/>
            <w:bottom w:w="15" w:type="dxa"/>
            <w:right w:w="15" w:type="dxa"/>
          </w:tblCellMar>
        </w:tblPrEx>
        <w:trPr>
          <w:trHeight w:val="39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3DF15E7C">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5B856FB8">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570AF82">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9CD2F2E">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414B84E3">
            <w:pPr>
              <w:rPr>
                <w:rFonts w:ascii="仿宋" w:hAnsi="仿宋" w:eastAsia="仿宋" w:cs="仿宋"/>
                <w:sz w:val="22"/>
                <w:szCs w:val="22"/>
              </w:rPr>
            </w:pPr>
          </w:p>
        </w:tc>
      </w:tr>
      <w:tr w14:paraId="563E4255">
        <w:tblPrEx>
          <w:tblCellMar>
            <w:top w:w="15" w:type="dxa"/>
            <w:left w:w="15" w:type="dxa"/>
            <w:bottom w:w="15" w:type="dxa"/>
            <w:right w:w="15" w:type="dxa"/>
          </w:tblCellMar>
        </w:tblPrEx>
        <w:trPr>
          <w:trHeight w:val="39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779D30AE">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193991E6">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4431FC32">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91138B3">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763844E">
            <w:pPr>
              <w:rPr>
                <w:rFonts w:ascii="仿宋" w:hAnsi="仿宋" w:eastAsia="仿宋" w:cs="仿宋"/>
                <w:sz w:val="22"/>
                <w:szCs w:val="22"/>
              </w:rPr>
            </w:pPr>
          </w:p>
        </w:tc>
      </w:tr>
      <w:tr w14:paraId="17A0876F">
        <w:tblPrEx>
          <w:tblCellMar>
            <w:top w:w="15" w:type="dxa"/>
            <w:left w:w="15" w:type="dxa"/>
            <w:bottom w:w="15" w:type="dxa"/>
            <w:right w:w="15" w:type="dxa"/>
          </w:tblCellMar>
        </w:tblPrEx>
        <w:trPr>
          <w:trHeight w:val="42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480B26C7">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38F67B41">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F53CFDE">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82810D9">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DFAECA4">
            <w:pPr>
              <w:rPr>
                <w:rFonts w:ascii="仿宋" w:hAnsi="仿宋" w:eastAsia="仿宋" w:cs="仿宋"/>
                <w:sz w:val="22"/>
                <w:szCs w:val="22"/>
              </w:rPr>
            </w:pPr>
          </w:p>
        </w:tc>
      </w:tr>
      <w:tr w14:paraId="360093AE">
        <w:tblPrEx>
          <w:tblCellMar>
            <w:top w:w="15" w:type="dxa"/>
            <w:left w:w="15" w:type="dxa"/>
            <w:bottom w:w="15" w:type="dxa"/>
            <w:right w:w="15" w:type="dxa"/>
          </w:tblCellMar>
        </w:tblPrEx>
        <w:trPr>
          <w:trHeight w:val="35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2C803BE7">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3F2983B7">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26E68EA">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64E0994">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00DB7E2">
            <w:pPr>
              <w:rPr>
                <w:rFonts w:ascii="仿宋" w:hAnsi="仿宋" w:eastAsia="仿宋" w:cs="仿宋"/>
                <w:sz w:val="22"/>
                <w:szCs w:val="22"/>
              </w:rPr>
            </w:pPr>
          </w:p>
        </w:tc>
      </w:tr>
      <w:tr w14:paraId="469CCCD2">
        <w:tblPrEx>
          <w:tblCellMar>
            <w:top w:w="15" w:type="dxa"/>
            <w:left w:w="15" w:type="dxa"/>
            <w:bottom w:w="15" w:type="dxa"/>
            <w:right w:w="15" w:type="dxa"/>
          </w:tblCellMar>
        </w:tblPrEx>
        <w:trPr>
          <w:trHeight w:val="37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20EAC049">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14BEB97F">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089B3DE">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BCF30D9">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460C239">
            <w:pPr>
              <w:rPr>
                <w:rFonts w:ascii="仿宋" w:hAnsi="仿宋" w:eastAsia="仿宋" w:cs="仿宋"/>
                <w:sz w:val="22"/>
                <w:szCs w:val="22"/>
              </w:rPr>
            </w:pPr>
          </w:p>
        </w:tc>
      </w:tr>
      <w:tr w14:paraId="3142D7B6">
        <w:tblPrEx>
          <w:tblCellMar>
            <w:top w:w="15" w:type="dxa"/>
            <w:left w:w="15" w:type="dxa"/>
            <w:bottom w:w="15" w:type="dxa"/>
            <w:right w:w="15" w:type="dxa"/>
          </w:tblCellMar>
        </w:tblPrEx>
        <w:trPr>
          <w:trHeight w:val="43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24DBD4A9">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137D15DA">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6358D9A">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47D8DB0D">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70944AF6">
            <w:pPr>
              <w:rPr>
                <w:rFonts w:ascii="仿宋" w:hAnsi="仿宋" w:eastAsia="仿宋" w:cs="仿宋"/>
                <w:sz w:val="22"/>
                <w:szCs w:val="22"/>
              </w:rPr>
            </w:pPr>
          </w:p>
        </w:tc>
      </w:tr>
      <w:tr w14:paraId="1B94BE04">
        <w:tblPrEx>
          <w:tblCellMar>
            <w:top w:w="15" w:type="dxa"/>
            <w:left w:w="15" w:type="dxa"/>
            <w:bottom w:w="15" w:type="dxa"/>
            <w:right w:w="15" w:type="dxa"/>
          </w:tblCellMar>
        </w:tblPrEx>
        <w:trPr>
          <w:trHeight w:val="39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0D95D9BD">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55F19361">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3C3E1014">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4E34627B">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2F4730D">
            <w:pPr>
              <w:rPr>
                <w:rFonts w:ascii="仿宋" w:hAnsi="仿宋" w:eastAsia="仿宋" w:cs="仿宋"/>
                <w:sz w:val="22"/>
                <w:szCs w:val="22"/>
              </w:rPr>
            </w:pPr>
          </w:p>
        </w:tc>
      </w:tr>
      <w:tr w14:paraId="5722EB6E">
        <w:tblPrEx>
          <w:tblCellMar>
            <w:top w:w="15" w:type="dxa"/>
            <w:left w:w="15" w:type="dxa"/>
            <w:bottom w:w="15" w:type="dxa"/>
            <w:right w:w="15" w:type="dxa"/>
          </w:tblCellMar>
        </w:tblPrEx>
        <w:trPr>
          <w:trHeight w:val="413"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4AA61B1C">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093FEFAD">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1E39CE1">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50E80749">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DAB0390">
            <w:pPr>
              <w:rPr>
                <w:rFonts w:ascii="仿宋" w:hAnsi="仿宋" w:eastAsia="仿宋" w:cs="仿宋"/>
                <w:sz w:val="22"/>
                <w:szCs w:val="22"/>
              </w:rPr>
            </w:pPr>
          </w:p>
        </w:tc>
      </w:tr>
      <w:tr w14:paraId="3EA3E9AF">
        <w:tblPrEx>
          <w:tblCellMar>
            <w:top w:w="15" w:type="dxa"/>
            <w:left w:w="15" w:type="dxa"/>
            <w:bottom w:w="15" w:type="dxa"/>
            <w:right w:w="15" w:type="dxa"/>
          </w:tblCellMar>
        </w:tblPrEx>
        <w:trPr>
          <w:trHeight w:val="325"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625E30D8">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171C0DC7">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AC4D791">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1CC06B76">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97A633D">
            <w:pPr>
              <w:rPr>
                <w:rFonts w:ascii="仿宋" w:hAnsi="仿宋" w:eastAsia="仿宋" w:cs="仿宋"/>
                <w:sz w:val="22"/>
                <w:szCs w:val="22"/>
              </w:rPr>
            </w:pPr>
          </w:p>
        </w:tc>
      </w:tr>
      <w:tr w14:paraId="692CCC2D">
        <w:tblPrEx>
          <w:tblCellMar>
            <w:top w:w="15" w:type="dxa"/>
            <w:left w:w="15" w:type="dxa"/>
            <w:bottom w:w="15" w:type="dxa"/>
            <w:right w:w="15" w:type="dxa"/>
          </w:tblCellMar>
        </w:tblPrEx>
        <w:trPr>
          <w:trHeight w:val="354" w:hRule="atLeast"/>
        </w:trPr>
        <w:tc>
          <w:tcPr>
            <w:tcW w:w="1694" w:type="dxa"/>
            <w:tcBorders>
              <w:top w:val="single" w:color="000000" w:sz="4" w:space="0"/>
              <w:left w:val="single" w:color="000000" w:sz="4" w:space="0"/>
              <w:bottom w:val="single" w:color="000000" w:sz="4" w:space="0"/>
              <w:right w:val="single" w:color="000000" w:sz="4" w:space="0"/>
            </w:tcBorders>
            <w:vAlign w:val="center"/>
          </w:tcPr>
          <w:p w14:paraId="03CBCB04">
            <w:pPr>
              <w:rPr>
                <w:rFonts w:ascii="仿宋" w:hAnsi="仿宋" w:eastAsia="仿宋" w:cs="仿宋"/>
                <w:sz w:val="22"/>
                <w:szCs w:val="22"/>
              </w:rPr>
            </w:pPr>
          </w:p>
        </w:tc>
        <w:tc>
          <w:tcPr>
            <w:tcW w:w="1698" w:type="dxa"/>
            <w:tcBorders>
              <w:top w:val="single" w:color="000000" w:sz="4" w:space="0"/>
              <w:left w:val="single" w:color="000000" w:sz="4" w:space="0"/>
              <w:bottom w:val="single" w:color="000000" w:sz="4" w:space="0"/>
              <w:right w:val="single" w:color="000000" w:sz="4" w:space="0"/>
            </w:tcBorders>
            <w:vAlign w:val="center"/>
          </w:tcPr>
          <w:p w14:paraId="3F775B3F">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45A5AE04">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21DDD7F">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493A479E">
            <w:pPr>
              <w:rPr>
                <w:rFonts w:ascii="仿宋" w:hAnsi="仿宋" w:eastAsia="仿宋" w:cs="仿宋"/>
                <w:sz w:val="22"/>
                <w:szCs w:val="22"/>
              </w:rPr>
            </w:pPr>
          </w:p>
        </w:tc>
      </w:tr>
      <w:tr w14:paraId="61162764">
        <w:tblPrEx>
          <w:tblCellMar>
            <w:top w:w="15" w:type="dxa"/>
            <w:left w:w="15" w:type="dxa"/>
            <w:bottom w:w="15" w:type="dxa"/>
            <w:right w:w="15" w:type="dxa"/>
          </w:tblCellMar>
        </w:tblPrEx>
        <w:trPr>
          <w:trHeight w:val="433" w:hRule="atLeast"/>
        </w:trPr>
        <w:tc>
          <w:tcPr>
            <w:tcW w:w="3392" w:type="dxa"/>
            <w:gridSpan w:val="2"/>
            <w:tcBorders>
              <w:top w:val="single" w:color="000000" w:sz="4" w:space="0"/>
              <w:left w:val="single" w:color="000000" w:sz="4" w:space="0"/>
              <w:bottom w:val="single" w:color="000000" w:sz="4" w:space="0"/>
              <w:right w:val="single" w:color="000000" w:sz="4" w:space="0"/>
            </w:tcBorders>
            <w:vAlign w:val="center"/>
          </w:tcPr>
          <w:p w14:paraId="76DB8DC0">
            <w:pPr>
              <w:jc w:val="center"/>
              <w:rPr>
                <w:rFonts w:ascii="仿宋" w:hAnsi="仿宋" w:eastAsia="仿宋" w:cs="仿宋"/>
                <w:sz w:val="22"/>
                <w:szCs w:val="22"/>
              </w:rPr>
            </w:pPr>
            <w:r>
              <w:rPr>
                <w:rFonts w:hint="eastAsia" w:ascii="仿宋" w:hAnsi="仿宋" w:eastAsia="仿宋" w:cs="仿宋"/>
                <w:sz w:val="22"/>
                <w:szCs w:val="22"/>
              </w:rPr>
              <w:t>结    论</w:t>
            </w:r>
          </w:p>
        </w:tc>
        <w:tc>
          <w:tcPr>
            <w:tcW w:w="1696" w:type="dxa"/>
            <w:tcBorders>
              <w:top w:val="single" w:color="000000" w:sz="4" w:space="0"/>
              <w:left w:val="single" w:color="000000" w:sz="4" w:space="0"/>
              <w:bottom w:val="single" w:color="000000" w:sz="4" w:space="0"/>
              <w:right w:val="single" w:color="000000" w:sz="4" w:space="0"/>
            </w:tcBorders>
            <w:vAlign w:val="center"/>
          </w:tcPr>
          <w:p w14:paraId="17DBFB74">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09E88630">
            <w:pPr>
              <w:rPr>
                <w:rFonts w:ascii="仿宋" w:hAnsi="仿宋" w:eastAsia="仿宋" w:cs="仿宋"/>
                <w:sz w:val="22"/>
                <w:szCs w:val="22"/>
              </w:rPr>
            </w:pPr>
          </w:p>
        </w:tc>
        <w:tc>
          <w:tcPr>
            <w:tcW w:w="1696" w:type="dxa"/>
            <w:tcBorders>
              <w:top w:val="single" w:color="000000" w:sz="4" w:space="0"/>
              <w:left w:val="single" w:color="000000" w:sz="4" w:space="0"/>
              <w:bottom w:val="single" w:color="000000" w:sz="4" w:space="0"/>
              <w:right w:val="single" w:color="000000" w:sz="4" w:space="0"/>
            </w:tcBorders>
            <w:vAlign w:val="center"/>
          </w:tcPr>
          <w:p w14:paraId="2F20DA84">
            <w:pPr>
              <w:rPr>
                <w:rFonts w:ascii="仿宋" w:hAnsi="仿宋" w:eastAsia="仿宋" w:cs="仿宋"/>
                <w:sz w:val="22"/>
                <w:szCs w:val="22"/>
              </w:rPr>
            </w:pPr>
          </w:p>
        </w:tc>
      </w:tr>
    </w:tbl>
    <w:p w14:paraId="07130B4E">
      <w:pPr>
        <w:pStyle w:val="13"/>
        <w:tabs>
          <w:tab w:val="clear" w:pos="567"/>
        </w:tabs>
        <w:spacing w:before="0" w:line="360" w:lineRule="auto"/>
        <w:rPr>
          <w:rFonts w:ascii="仿宋" w:hAnsi="仿宋" w:eastAsia="仿宋" w:cs="仿宋"/>
          <w:b/>
          <w:bCs/>
        </w:rPr>
      </w:pPr>
    </w:p>
    <w:p w14:paraId="3A2DE489">
      <w:pPr>
        <w:pStyle w:val="13"/>
        <w:tabs>
          <w:tab w:val="clear" w:pos="567"/>
        </w:tabs>
        <w:spacing w:before="0" w:line="360" w:lineRule="auto"/>
        <w:rPr>
          <w:rFonts w:ascii="仿宋" w:hAnsi="仿宋" w:eastAsia="仿宋" w:cs="仿宋"/>
          <w:b/>
          <w:bCs/>
        </w:rPr>
      </w:pPr>
    </w:p>
    <w:p w14:paraId="11B3678D">
      <w:pPr>
        <w:pStyle w:val="13"/>
        <w:tabs>
          <w:tab w:val="clear" w:pos="567"/>
        </w:tabs>
        <w:spacing w:before="0" w:line="360" w:lineRule="auto"/>
        <w:rPr>
          <w:rFonts w:ascii="仿宋" w:hAnsi="仿宋" w:eastAsia="仿宋" w:cs="仿宋"/>
          <w:b/>
          <w:bCs/>
        </w:rPr>
        <w:sectPr>
          <w:pgSz w:w="11906" w:h="16838"/>
          <w:pgMar w:top="1440" w:right="1800" w:bottom="1440" w:left="1800" w:header="283" w:footer="992" w:gutter="0"/>
          <w:cols w:space="720" w:num="1"/>
          <w:docGrid w:type="linesAndChars" w:linePitch="312" w:charSpace="0"/>
        </w:sectPr>
      </w:pPr>
    </w:p>
    <w:p w14:paraId="1E4A7C9F">
      <w:pPr>
        <w:pStyle w:val="13"/>
        <w:tabs>
          <w:tab w:val="clear" w:pos="567"/>
        </w:tabs>
        <w:spacing w:before="0" w:line="360" w:lineRule="auto"/>
        <w:ind w:firstLine="1807" w:firstLineChars="600"/>
        <w:rPr>
          <w:rFonts w:ascii="仿宋" w:hAnsi="仿宋" w:eastAsia="仿宋" w:cs="仿宋"/>
          <w:b/>
          <w:bCs/>
        </w:rPr>
      </w:pPr>
      <w:r>
        <w:rPr>
          <w:rFonts w:hint="eastAsia" w:ascii="仿宋" w:hAnsi="仿宋" w:eastAsia="仿宋" w:cs="仿宋"/>
          <w:b/>
          <w:bCs/>
          <w:sz w:val="30"/>
          <w:szCs w:val="30"/>
        </w:rPr>
        <w:t>评分方法（综合评分法）及评分标准</w:t>
      </w:r>
    </w:p>
    <w:tbl>
      <w:tblPr>
        <w:tblStyle w:val="34"/>
        <w:tblW w:w="107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247"/>
        <w:gridCol w:w="7861"/>
        <w:gridCol w:w="863"/>
      </w:tblGrid>
      <w:tr w14:paraId="11982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42" w:type="dxa"/>
            <w:vAlign w:val="center"/>
          </w:tcPr>
          <w:p w14:paraId="1067973D">
            <w:pPr>
              <w:pStyle w:val="51"/>
              <w:rPr>
                <w:rFonts w:ascii="仿宋" w:hAnsi="仿宋" w:eastAsia="仿宋" w:cs="仿宋"/>
                <w:b/>
                <w:bCs/>
                <w:sz w:val="24"/>
                <w:szCs w:val="24"/>
              </w:rPr>
            </w:pPr>
            <w:r>
              <w:rPr>
                <w:rFonts w:hint="eastAsia" w:ascii="仿宋" w:hAnsi="仿宋" w:eastAsia="仿宋" w:cs="仿宋"/>
                <w:b/>
                <w:bCs/>
                <w:sz w:val="24"/>
                <w:szCs w:val="24"/>
              </w:rPr>
              <w:t>评审项目</w:t>
            </w:r>
          </w:p>
        </w:tc>
        <w:tc>
          <w:tcPr>
            <w:tcW w:w="1247" w:type="dxa"/>
            <w:vAlign w:val="center"/>
          </w:tcPr>
          <w:p w14:paraId="7F495175">
            <w:pPr>
              <w:pStyle w:val="51"/>
              <w:jc w:val="center"/>
              <w:rPr>
                <w:rFonts w:ascii="仿宋" w:hAnsi="仿宋" w:eastAsia="仿宋" w:cs="仿宋"/>
                <w:b/>
                <w:bCs/>
                <w:sz w:val="24"/>
                <w:szCs w:val="24"/>
              </w:rPr>
            </w:pPr>
            <w:r>
              <w:rPr>
                <w:rFonts w:hint="eastAsia" w:ascii="仿宋" w:hAnsi="仿宋" w:eastAsia="仿宋" w:cs="仿宋"/>
                <w:b/>
                <w:bCs/>
                <w:sz w:val="24"/>
                <w:szCs w:val="24"/>
              </w:rPr>
              <w:t>评审分项</w:t>
            </w:r>
          </w:p>
        </w:tc>
        <w:tc>
          <w:tcPr>
            <w:tcW w:w="7861" w:type="dxa"/>
            <w:vAlign w:val="center"/>
          </w:tcPr>
          <w:p w14:paraId="55EB118A">
            <w:pPr>
              <w:pStyle w:val="51"/>
              <w:jc w:val="center"/>
              <w:rPr>
                <w:rFonts w:ascii="仿宋" w:hAnsi="仿宋" w:eastAsia="仿宋" w:cs="仿宋"/>
                <w:b/>
                <w:bCs/>
                <w:sz w:val="24"/>
                <w:szCs w:val="24"/>
              </w:rPr>
            </w:pPr>
            <w:r>
              <w:rPr>
                <w:rFonts w:hint="eastAsia" w:ascii="仿宋" w:hAnsi="仿宋" w:eastAsia="仿宋" w:cs="仿宋"/>
                <w:b/>
                <w:bCs/>
                <w:sz w:val="24"/>
                <w:szCs w:val="24"/>
              </w:rPr>
              <w:t>项目及分值</w:t>
            </w:r>
          </w:p>
        </w:tc>
        <w:tc>
          <w:tcPr>
            <w:tcW w:w="863" w:type="dxa"/>
            <w:vAlign w:val="center"/>
          </w:tcPr>
          <w:p w14:paraId="78FC5D49">
            <w:pPr>
              <w:pStyle w:val="51"/>
              <w:rPr>
                <w:rFonts w:ascii="仿宋" w:hAnsi="仿宋" w:eastAsia="仿宋" w:cs="仿宋"/>
                <w:b/>
                <w:bCs/>
                <w:sz w:val="24"/>
                <w:szCs w:val="24"/>
              </w:rPr>
            </w:pPr>
            <w:r>
              <w:rPr>
                <w:rFonts w:hint="eastAsia" w:ascii="仿宋" w:hAnsi="仿宋" w:eastAsia="仿宋" w:cs="仿宋"/>
                <w:b/>
                <w:bCs/>
                <w:sz w:val="24"/>
                <w:szCs w:val="24"/>
              </w:rPr>
              <w:t>备注</w:t>
            </w:r>
          </w:p>
        </w:tc>
      </w:tr>
      <w:tr w14:paraId="7886D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2" w:type="dxa"/>
            <w:vAlign w:val="center"/>
          </w:tcPr>
          <w:p w14:paraId="567E23B0">
            <w:pPr>
              <w:pStyle w:val="51"/>
              <w:jc w:val="center"/>
              <w:rPr>
                <w:rFonts w:ascii="仿宋" w:hAnsi="仿宋" w:eastAsia="仿宋" w:cs="仿宋"/>
                <w:sz w:val="24"/>
                <w:szCs w:val="24"/>
              </w:rPr>
            </w:pPr>
            <w:r>
              <w:rPr>
                <w:rFonts w:hint="eastAsia" w:ascii="仿宋" w:hAnsi="仿宋" w:eastAsia="仿宋" w:cs="仿宋"/>
                <w:sz w:val="24"/>
                <w:szCs w:val="24"/>
              </w:rPr>
              <w:t>价格评分（</w:t>
            </w:r>
            <w:r>
              <w:rPr>
                <w:rFonts w:hint="eastAsia" w:ascii="仿宋" w:hAnsi="仿宋" w:eastAsia="仿宋" w:cs="仿宋"/>
                <w:sz w:val="24"/>
                <w:szCs w:val="24"/>
                <w:lang w:val="en-US" w:eastAsia="zh-CN"/>
              </w:rPr>
              <w:t>20</w:t>
            </w:r>
            <w:r>
              <w:rPr>
                <w:rFonts w:hint="eastAsia" w:ascii="仿宋" w:hAnsi="仿宋" w:eastAsia="仿宋" w:cs="仿宋"/>
                <w:sz w:val="24"/>
                <w:szCs w:val="24"/>
              </w:rPr>
              <w:t>分）</w:t>
            </w:r>
          </w:p>
        </w:tc>
        <w:tc>
          <w:tcPr>
            <w:tcW w:w="1247" w:type="dxa"/>
            <w:vAlign w:val="center"/>
          </w:tcPr>
          <w:p w14:paraId="1E4C7826">
            <w:pPr>
              <w:pStyle w:val="51"/>
              <w:jc w:val="center"/>
              <w:rPr>
                <w:rFonts w:ascii="仿宋" w:hAnsi="仿宋" w:eastAsia="仿宋" w:cs="仿宋"/>
                <w:sz w:val="24"/>
                <w:szCs w:val="24"/>
              </w:rPr>
            </w:pPr>
            <w:r>
              <w:rPr>
                <w:rFonts w:hint="eastAsia" w:ascii="仿宋" w:hAnsi="仿宋" w:eastAsia="仿宋" w:cs="仿宋"/>
                <w:sz w:val="24"/>
                <w:szCs w:val="24"/>
              </w:rPr>
              <w:t>投标报价</w:t>
            </w:r>
          </w:p>
          <w:p w14:paraId="2DD404F0">
            <w:pPr>
              <w:pStyle w:val="51"/>
              <w:jc w:val="center"/>
              <w:rPr>
                <w:rFonts w:ascii="仿宋" w:hAnsi="仿宋" w:eastAsia="仿宋" w:cs="仿宋"/>
                <w:sz w:val="24"/>
                <w:szCs w:val="24"/>
              </w:rPr>
            </w:pPr>
            <w:r>
              <w:rPr>
                <w:rFonts w:hint="eastAsia" w:ascii="仿宋" w:hAnsi="仿宋" w:eastAsia="仿宋" w:cs="仿宋"/>
                <w:sz w:val="24"/>
                <w:szCs w:val="24"/>
                <w:lang w:val="en-US" w:eastAsia="zh-CN"/>
              </w:rPr>
              <w:t>20</w:t>
            </w:r>
            <w:r>
              <w:rPr>
                <w:rFonts w:hint="eastAsia" w:ascii="仿宋" w:hAnsi="仿宋" w:eastAsia="仿宋" w:cs="仿宋"/>
                <w:sz w:val="24"/>
                <w:szCs w:val="24"/>
              </w:rPr>
              <w:t>分</w:t>
            </w:r>
          </w:p>
        </w:tc>
        <w:tc>
          <w:tcPr>
            <w:tcW w:w="7861" w:type="dxa"/>
            <w:vAlign w:val="center"/>
          </w:tcPr>
          <w:p w14:paraId="58923843">
            <w:pPr>
              <w:pStyle w:val="51"/>
              <w:spacing w:line="276" w:lineRule="auto"/>
              <w:jc w:val="left"/>
              <w:rPr>
                <w:rFonts w:ascii="仿宋" w:hAnsi="仿宋" w:eastAsia="仿宋" w:cs="仿宋"/>
                <w:sz w:val="24"/>
                <w:szCs w:val="24"/>
              </w:rPr>
            </w:pPr>
            <w:r>
              <w:rPr>
                <w:rFonts w:hint="eastAsia" w:ascii="仿宋" w:hAnsi="仿宋" w:eastAsia="仿宋" w:cs="仿宋"/>
                <w:sz w:val="24"/>
                <w:szCs w:val="24"/>
              </w:rPr>
              <w:t>价格分应当采用低价优先法计算，满足磋商文件要求且报价最低的为评审基准价，价格得分=（评审基准价/投标报价）×价格权值*100</w:t>
            </w:r>
          </w:p>
          <w:p w14:paraId="777B1A06">
            <w:pPr>
              <w:pStyle w:val="11"/>
              <w:rPr>
                <w:rFonts w:ascii="仿宋" w:hAnsi="仿宋" w:eastAsia="仿宋" w:cs="仿宋"/>
              </w:rPr>
            </w:pPr>
            <w:r>
              <w:rPr>
                <w:rFonts w:hint="eastAsia" w:ascii="仿宋" w:hAnsi="仿宋" w:eastAsia="仿宋" w:cs="仿宋"/>
              </w:rPr>
              <w:t>1、有效投标报价为通过资格性审查及符合性审查的供应商报价。（注若为中小企业，其投标报价扣除10％后参与评审，提供相关证明资料，否则无效。）</w:t>
            </w:r>
          </w:p>
          <w:p w14:paraId="28FF1E9A">
            <w:pPr>
              <w:pStyle w:val="11"/>
            </w:pPr>
            <w:r>
              <w:rPr>
                <w:rFonts w:hint="eastAsia" w:ascii="仿宋" w:hAnsi="仿宋" w:eastAsia="仿宋" w:cs="仿宋"/>
              </w:rPr>
              <w:t>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2022〕22号）的规定，对满足价格扣除条件且在响应文件中提交了《中小企业声明函》、《残疾人福利性单位声明函》或省级以上监狱管理局、戒毒管理局（含新疆生产建设兵团）出具的属于监狱企业、本地生产企业证明文件的供应商，其投标报价扣除 10 %后参与评审。对于同时属于小微企业、监狱企业残疾人福利性单位的，不重复进行投标报价扣除。</w:t>
            </w:r>
          </w:p>
        </w:tc>
        <w:tc>
          <w:tcPr>
            <w:tcW w:w="863" w:type="dxa"/>
            <w:vAlign w:val="center"/>
          </w:tcPr>
          <w:p w14:paraId="0269C86E">
            <w:pPr>
              <w:pStyle w:val="11"/>
              <w:rPr>
                <w:rFonts w:ascii="仿宋" w:hAnsi="仿宋" w:eastAsia="仿宋" w:cs="仿宋"/>
              </w:rPr>
            </w:pPr>
          </w:p>
        </w:tc>
      </w:tr>
      <w:tr w14:paraId="54F58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jc w:val="center"/>
        </w:trPr>
        <w:tc>
          <w:tcPr>
            <w:tcW w:w="742" w:type="dxa"/>
            <w:vMerge w:val="restart"/>
            <w:vAlign w:val="center"/>
          </w:tcPr>
          <w:p w14:paraId="2826235A">
            <w:pPr>
              <w:pStyle w:val="51"/>
              <w:jc w:val="center"/>
              <w:rPr>
                <w:rFonts w:ascii="仿宋" w:hAnsi="仿宋" w:eastAsia="仿宋" w:cs="仿宋"/>
                <w:sz w:val="24"/>
                <w:szCs w:val="24"/>
              </w:rPr>
            </w:pPr>
            <w:r>
              <w:rPr>
                <w:rFonts w:hint="eastAsia" w:ascii="仿宋" w:hAnsi="仿宋" w:eastAsia="仿宋" w:cs="仿宋"/>
                <w:sz w:val="24"/>
                <w:szCs w:val="24"/>
              </w:rPr>
              <w:t>商务部分（</w:t>
            </w:r>
            <w:r>
              <w:rPr>
                <w:rFonts w:hint="eastAsia" w:ascii="仿宋" w:hAnsi="仿宋" w:eastAsia="仿宋" w:cs="仿宋"/>
                <w:sz w:val="24"/>
                <w:szCs w:val="24"/>
                <w:lang w:val="en-US" w:eastAsia="zh-CN"/>
              </w:rPr>
              <w:t>20</w:t>
            </w:r>
            <w:r>
              <w:rPr>
                <w:rFonts w:hint="eastAsia" w:ascii="仿宋" w:hAnsi="仿宋" w:eastAsia="仿宋" w:cs="仿宋"/>
                <w:sz w:val="24"/>
                <w:szCs w:val="24"/>
              </w:rPr>
              <w:t>分）</w:t>
            </w:r>
          </w:p>
        </w:tc>
        <w:tc>
          <w:tcPr>
            <w:tcW w:w="1247" w:type="dxa"/>
            <w:vAlign w:val="center"/>
          </w:tcPr>
          <w:p w14:paraId="351C592C">
            <w:pPr>
              <w:snapToGrid w:val="0"/>
              <w:jc w:val="center"/>
              <w:rPr>
                <w:rFonts w:ascii="仿宋" w:hAnsi="仿宋" w:eastAsia="仿宋" w:cs="仿宋"/>
                <w:sz w:val="24"/>
              </w:rPr>
            </w:pPr>
            <w:r>
              <w:rPr>
                <w:rFonts w:hint="eastAsia" w:ascii="仿宋" w:hAnsi="仿宋" w:eastAsia="仿宋" w:cs="仿宋"/>
                <w:kern w:val="0"/>
                <w:sz w:val="24"/>
              </w:rPr>
              <w:t>人员配备（</w:t>
            </w:r>
            <w:r>
              <w:rPr>
                <w:rFonts w:hint="eastAsia" w:ascii="仿宋" w:hAnsi="仿宋" w:eastAsia="仿宋" w:cs="仿宋"/>
                <w:kern w:val="0"/>
                <w:sz w:val="24"/>
                <w:lang w:val="en-US" w:eastAsia="zh-CN"/>
              </w:rPr>
              <w:t>12</w:t>
            </w:r>
            <w:r>
              <w:rPr>
                <w:rFonts w:hint="eastAsia" w:ascii="仿宋" w:hAnsi="仿宋" w:eastAsia="仿宋" w:cs="仿宋"/>
                <w:kern w:val="0"/>
                <w:sz w:val="24"/>
              </w:rPr>
              <w:t>分）</w:t>
            </w:r>
          </w:p>
        </w:tc>
        <w:tc>
          <w:tcPr>
            <w:tcW w:w="7861" w:type="dxa"/>
            <w:vAlign w:val="center"/>
          </w:tcPr>
          <w:p w14:paraId="09047103">
            <w:pPr>
              <w:snapToGrid w:val="0"/>
              <w:rPr>
                <w:rFonts w:ascii="仿宋" w:hAnsi="仿宋" w:eastAsia="仿宋" w:cs="仿宋"/>
                <w:color w:val="auto"/>
                <w:sz w:val="24"/>
                <w:highlight w:val="none"/>
              </w:rPr>
            </w:pPr>
            <w:r>
              <w:rPr>
                <w:rFonts w:ascii="仿宋" w:hAnsi="仿宋" w:eastAsia="仿宋" w:cs="仿宋"/>
                <w:color w:val="auto"/>
                <w:sz w:val="24"/>
                <w:highlight w:val="none"/>
                <w:lang w:val="en-US" w:eastAsia="zh-CN"/>
              </w:rPr>
              <w:t xml:space="preserve">1.技术负责人具备工程师职称证；施工员、质检员 、安全员 、 </w:t>
            </w:r>
            <w:r>
              <w:rPr>
                <w:rFonts w:hint="default" w:ascii="仿宋" w:hAnsi="仿宋" w:eastAsia="仿宋" w:cs="仿宋"/>
                <w:color w:val="auto"/>
                <w:sz w:val="24"/>
                <w:highlight w:val="none"/>
                <w:lang w:val="en-US" w:eastAsia="zh-CN"/>
              </w:rPr>
              <w:t>机械员 、</w:t>
            </w:r>
            <w:r>
              <w:rPr>
                <w:rFonts w:hint="eastAsia" w:ascii="仿宋" w:hAnsi="仿宋" w:eastAsia="仿宋" w:cs="仿宋"/>
                <w:color w:val="auto"/>
                <w:sz w:val="24"/>
                <w:highlight w:val="none"/>
                <w:lang w:val="en-US" w:eastAsia="zh-CN"/>
              </w:rPr>
              <w:t>造价</w:t>
            </w:r>
            <w:r>
              <w:rPr>
                <w:rFonts w:hint="default" w:ascii="仿宋" w:hAnsi="仿宋" w:eastAsia="仿宋" w:cs="仿宋"/>
                <w:color w:val="auto"/>
                <w:sz w:val="24"/>
                <w:highlight w:val="none"/>
                <w:lang w:val="en-US" w:eastAsia="zh-CN"/>
              </w:rPr>
              <w:t>员 、其他人员岗位证书（每个</w:t>
            </w:r>
            <w:r>
              <w:rPr>
                <w:rFonts w:hint="eastAsia" w:ascii="仿宋" w:hAnsi="仿宋" w:eastAsia="仿宋" w:cs="仿宋"/>
                <w:color w:val="auto"/>
                <w:sz w:val="24"/>
                <w:highlight w:val="none"/>
                <w:lang w:val="en-US" w:eastAsia="zh-CN"/>
              </w:rPr>
              <w:t>工种提供1个</w:t>
            </w:r>
            <w:r>
              <w:rPr>
                <w:rFonts w:hint="default" w:ascii="仿宋" w:hAnsi="仿宋" w:eastAsia="仿宋" w:cs="仿宋"/>
                <w:color w:val="auto"/>
                <w:sz w:val="24"/>
                <w:highlight w:val="none"/>
                <w:lang w:val="en-US" w:eastAsia="zh-CN"/>
              </w:rPr>
              <w:t xml:space="preserve">得 1 分，最多得7分）；  </w:t>
            </w:r>
          </w:p>
          <w:p w14:paraId="07A2F3A9">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default" w:ascii="仿宋" w:hAnsi="仿宋" w:eastAsia="仿宋" w:cs="仿宋"/>
                <w:color w:val="auto"/>
                <w:sz w:val="24"/>
                <w:highlight w:val="none"/>
                <w:lang w:val="en-US" w:eastAsia="zh-CN"/>
              </w:rPr>
              <w:t>.团队中有中级职称的一个得 1 分，满分 2 分（提供证件</w:t>
            </w:r>
            <w:r>
              <w:rPr>
                <w:rFonts w:hint="eastAsia" w:ascii="仿宋" w:hAnsi="仿宋" w:eastAsia="仿宋" w:cs="仿宋"/>
                <w:color w:val="auto"/>
                <w:sz w:val="24"/>
                <w:highlight w:val="none"/>
                <w:lang w:val="en-US" w:eastAsia="zh-CN"/>
              </w:rPr>
              <w:t>证明材料</w:t>
            </w:r>
            <w:r>
              <w:rPr>
                <w:rFonts w:hint="default" w:ascii="仿宋" w:hAnsi="仿宋" w:eastAsia="仿宋" w:cs="仿宋"/>
                <w:color w:val="auto"/>
                <w:sz w:val="24"/>
                <w:highlight w:val="none"/>
                <w:lang w:val="en-US" w:eastAsia="zh-CN"/>
              </w:rPr>
              <w:t>加盖公章）</w:t>
            </w:r>
          </w:p>
          <w:p w14:paraId="4530D407">
            <w:pPr>
              <w:snapToGrid w:val="0"/>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项目负责人有</w:t>
            </w:r>
            <w:r>
              <w:rPr>
                <w:rFonts w:hint="eastAsia" w:ascii="仿宋" w:hAnsi="仿宋" w:eastAsia="仿宋" w:cs="仿宋"/>
                <w:color w:val="auto"/>
                <w:sz w:val="24"/>
                <w:highlight w:val="none"/>
                <w:lang w:val="en-US" w:eastAsia="zh-CN"/>
              </w:rPr>
              <w:t>中</w:t>
            </w:r>
            <w:r>
              <w:rPr>
                <w:rFonts w:hint="default" w:ascii="仿宋" w:hAnsi="仿宋" w:eastAsia="仿宋" w:cs="仿宋"/>
                <w:color w:val="auto"/>
                <w:sz w:val="24"/>
                <w:highlight w:val="none"/>
                <w:lang w:val="en-US" w:eastAsia="zh-CN"/>
              </w:rPr>
              <w:t>级职称</w:t>
            </w:r>
            <w:r>
              <w:rPr>
                <w:rFonts w:hint="eastAsia" w:ascii="仿宋" w:hAnsi="仿宋" w:eastAsia="仿宋" w:cs="仿宋"/>
                <w:color w:val="auto"/>
                <w:sz w:val="24"/>
                <w:highlight w:val="none"/>
                <w:lang w:val="en-US" w:eastAsia="zh-CN"/>
              </w:rPr>
              <w:t>且</w:t>
            </w:r>
            <w:r>
              <w:rPr>
                <w:rFonts w:hint="eastAsia" w:ascii="仿宋" w:hAnsi="仿宋" w:eastAsia="仿宋" w:cs="仿宋"/>
                <w:sz w:val="24"/>
              </w:rPr>
              <w:t>有类似项目经验，得</w:t>
            </w:r>
            <w:r>
              <w:rPr>
                <w:rFonts w:hint="eastAsia" w:ascii="仿宋" w:hAnsi="仿宋" w:eastAsia="仿宋" w:cs="仿宋"/>
                <w:sz w:val="24"/>
                <w:lang w:val="en-US" w:eastAsia="zh-CN"/>
              </w:rPr>
              <w:t>2</w:t>
            </w:r>
            <w:r>
              <w:rPr>
                <w:rFonts w:hint="eastAsia" w:ascii="仿宋" w:hAnsi="仿宋" w:eastAsia="仿宋" w:cs="仿宋"/>
                <w:sz w:val="24"/>
              </w:rPr>
              <w:t>分</w:t>
            </w:r>
            <w:r>
              <w:rPr>
                <w:rFonts w:hint="eastAsia" w:ascii="仿宋" w:hAnsi="仿宋" w:eastAsia="仿宋" w:cs="仿宋"/>
                <w:sz w:val="24"/>
                <w:lang w:eastAsia="zh-CN"/>
              </w:rPr>
              <w:t>；</w:t>
            </w:r>
            <w:r>
              <w:rPr>
                <w:rFonts w:hint="default" w:ascii="仿宋" w:hAnsi="仿宋" w:eastAsia="仿宋" w:cs="仿宋"/>
                <w:color w:val="auto"/>
                <w:sz w:val="24"/>
                <w:highlight w:val="none"/>
                <w:lang w:val="en-US" w:eastAsia="zh-CN"/>
              </w:rPr>
              <w:t>项目负责人有</w:t>
            </w:r>
            <w:r>
              <w:rPr>
                <w:rFonts w:hint="eastAsia" w:ascii="仿宋" w:hAnsi="仿宋" w:eastAsia="仿宋" w:cs="仿宋"/>
                <w:color w:val="auto"/>
                <w:sz w:val="24"/>
                <w:highlight w:val="none"/>
                <w:lang w:val="en-US" w:eastAsia="zh-CN"/>
              </w:rPr>
              <w:t>高</w:t>
            </w:r>
            <w:r>
              <w:rPr>
                <w:rFonts w:hint="default" w:ascii="仿宋" w:hAnsi="仿宋" w:eastAsia="仿宋" w:cs="仿宋"/>
                <w:color w:val="auto"/>
                <w:sz w:val="24"/>
                <w:highlight w:val="none"/>
                <w:lang w:val="en-US" w:eastAsia="zh-CN"/>
              </w:rPr>
              <w:t>级职称</w:t>
            </w:r>
            <w:r>
              <w:rPr>
                <w:rFonts w:hint="eastAsia" w:ascii="仿宋" w:hAnsi="仿宋" w:eastAsia="仿宋" w:cs="仿宋"/>
                <w:color w:val="auto"/>
                <w:sz w:val="24"/>
                <w:highlight w:val="none"/>
                <w:lang w:val="en-US" w:eastAsia="zh-CN"/>
              </w:rPr>
              <w:t>且</w:t>
            </w:r>
            <w:r>
              <w:rPr>
                <w:rFonts w:hint="eastAsia" w:ascii="仿宋" w:hAnsi="仿宋" w:eastAsia="仿宋" w:cs="仿宋"/>
                <w:sz w:val="24"/>
              </w:rPr>
              <w:t>有类似项目经验</w:t>
            </w:r>
            <w:r>
              <w:rPr>
                <w:rFonts w:hint="eastAsia" w:ascii="仿宋" w:hAnsi="仿宋" w:eastAsia="仿宋" w:cs="仿宋"/>
                <w:sz w:val="24"/>
                <w:lang w:eastAsia="zh-CN"/>
              </w:rPr>
              <w:t>，</w:t>
            </w:r>
            <w:r>
              <w:rPr>
                <w:rFonts w:hint="eastAsia" w:ascii="仿宋" w:hAnsi="仿宋" w:eastAsia="仿宋" w:cs="仿宋"/>
                <w:sz w:val="24"/>
                <w:lang w:val="en-US" w:eastAsia="zh-CN"/>
              </w:rPr>
              <w:t>得3分</w:t>
            </w:r>
            <w:r>
              <w:rPr>
                <w:rFonts w:hint="default" w:ascii="仿宋" w:hAnsi="仿宋" w:eastAsia="仿宋" w:cs="仿宋"/>
                <w:color w:val="auto"/>
                <w:sz w:val="24"/>
                <w:highlight w:val="none"/>
                <w:lang w:val="en-US" w:eastAsia="zh-CN"/>
              </w:rPr>
              <w:t>（提供证件</w:t>
            </w:r>
            <w:r>
              <w:rPr>
                <w:rFonts w:hint="eastAsia" w:ascii="仿宋" w:hAnsi="仿宋" w:eastAsia="仿宋" w:cs="仿宋"/>
                <w:color w:val="auto"/>
                <w:sz w:val="24"/>
                <w:highlight w:val="none"/>
                <w:lang w:val="en-US" w:eastAsia="zh-CN"/>
              </w:rPr>
              <w:t>证明材料</w:t>
            </w:r>
            <w:r>
              <w:rPr>
                <w:rFonts w:hint="default" w:ascii="仿宋" w:hAnsi="仿宋" w:eastAsia="仿宋" w:cs="仿宋"/>
                <w:color w:val="auto"/>
                <w:sz w:val="24"/>
                <w:highlight w:val="none"/>
                <w:lang w:val="en-US" w:eastAsia="zh-CN"/>
              </w:rPr>
              <w:t>加盖公章）</w:t>
            </w:r>
            <w:r>
              <w:rPr>
                <w:rFonts w:hint="eastAsia" w:ascii="仿宋" w:hAnsi="仿宋" w:eastAsia="仿宋" w:cs="仿宋"/>
                <w:color w:val="auto"/>
                <w:sz w:val="24"/>
                <w:highlight w:val="none"/>
                <w:lang w:val="en-US" w:eastAsia="zh-CN"/>
              </w:rPr>
              <w:t>。</w:t>
            </w:r>
          </w:p>
          <w:p w14:paraId="1F3B2E0F">
            <w:pPr>
              <w:numPr>
                <w:ilvl w:val="0"/>
                <w:numId w:val="0"/>
              </w:numPr>
              <w:snapToGrid w:val="0"/>
              <w:ind w:leftChars="0"/>
            </w:pPr>
          </w:p>
        </w:tc>
        <w:tc>
          <w:tcPr>
            <w:tcW w:w="863" w:type="dxa"/>
            <w:vMerge w:val="restart"/>
            <w:vAlign w:val="center"/>
          </w:tcPr>
          <w:p w14:paraId="1771858A">
            <w:pPr>
              <w:pStyle w:val="51"/>
              <w:rPr>
                <w:rFonts w:ascii="仿宋" w:hAnsi="仿宋" w:eastAsia="仿宋" w:cs="仿宋"/>
                <w:sz w:val="24"/>
                <w:szCs w:val="24"/>
              </w:rPr>
            </w:pPr>
          </w:p>
        </w:tc>
      </w:tr>
      <w:tr w14:paraId="28B63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2" w:type="dxa"/>
            <w:vMerge w:val="continue"/>
            <w:vAlign w:val="center"/>
          </w:tcPr>
          <w:p w14:paraId="235AB453">
            <w:pPr>
              <w:widowControl/>
              <w:jc w:val="left"/>
              <w:rPr>
                <w:rFonts w:ascii="仿宋" w:hAnsi="仿宋" w:eastAsia="仿宋" w:cs="仿宋"/>
                <w:sz w:val="24"/>
              </w:rPr>
            </w:pPr>
          </w:p>
        </w:tc>
        <w:tc>
          <w:tcPr>
            <w:tcW w:w="1247" w:type="dxa"/>
            <w:vAlign w:val="center"/>
          </w:tcPr>
          <w:p w14:paraId="26E1D101">
            <w:pPr>
              <w:pStyle w:val="51"/>
              <w:jc w:val="center"/>
              <w:rPr>
                <w:rFonts w:hint="eastAsia" w:ascii="仿宋" w:hAnsi="仿宋" w:eastAsia="仿宋" w:cs="仿宋"/>
                <w:sz w:val="24"/>
                <w:szCs w:val="24"/>
              </w:rPr>
            </w:pPr>
            <w:r>
              <w:rPr>
                <w:rFonts w:hint="eastAsia" w:ascii="仿宋" w:hAnsi="仿宋" w:eastAsia="仿宋" w:cs="仿宋"/>
                <w:color w:val="auto"/>
                <w:sz w:val="24"/>
                <w:szCs w:val="24"/>
                <w:highlight w:val="none"/>
              </w:rPr>
              <w:t>履约能力（</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7861" w:type="dxa"/>
            <w:vAlign w:val="center"/>
          </w:tcPr>
          <w:p w14:paraId="0DD0B61D">
            <w:pPr>
              <w:rPr>
                <w:rFonts w:hint="eastAsia" w:ascii="仿宋" w:hAnsi="仿宋" w:eastAsia="仿宋" w:cs="仿宋"/>
                <w:sz w:val="24"/>
              </w:rPr>
            </w:pPr>
            <w:r>
              <w:rPr>
                <w:rFonts w:hint="eastAsia" w:ascii="仿宋" w:hAnsi="仿宋" w:eastAsia="仿宋" w:cs="仿宋"/>
                <w:color w:val="auto"/>
                <w:kern w:val="2"/>
                <w:sz w:val="24"/>
                <w:szCs w:val="24"/>
                <w:highlight w:val="none"/>
                <w:lang w:val="en-US" w:eastAsia="zh-CN" w:bidi="ar-SA"/>
              </w:rPr>
              <w:t>提供按期保质保量完工的承诺函得3分，不提供不得分。</w:t>
            </w:r>
          </w:p>
        </w:tc>
        <w:tc>
          <w:tcPr>
            <w:tcW w:w="863" w:type="dxa"/>
            <w:vMerge w:val="continue"/>
            <w:vAlign w:val="center"/>
          </w:tcPr>
          <w:p w14:paraId="19172420">
            <w:pPr>
              <w:pStyle w:val="51"/>
              <w:rPr>
                <w:rFonts w:ascii="仿宋" w:hAnsi="仿宋" w:eastAsia="仿宋" w:cs="仿宋"/>
                <w:sz w:val="24"/>
                <w:szCs w:val="24"/>
              </w:rPr>
            </w:pPr>
          </w:p>
        </w:tc>
      </w:tr>
      <w:tr w14:paraId="68C50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2" w:type="dxa"/>
            <w:vMerge w:val="continue"/>
            <w:vAlign w:val="center"/>
          </w:tcPr>
          <w:p w14:paraId="6A16F128">
            <w:pPr>
              <w:widowControl/>
              <w:jc w:val="left"/>
              <w:rPr>
                <w:rFonts w:ascii="仿宋" w:hAnsi="仿宋" w:eastAsia="仿宋" w:cs="仿宋"/>
                <w:sz w:val="24"/>
              </w:rPr>
            </w:pPr>
          </w:p>
        </w:tc>
        <w:tc>
          <w:tcPr>
            <w:tcW w:w="1247" w:type="dxa"/>
            <w:vAlign w:val="center"/>
          </w:tcPr>
          <w:p w14:paraId="09B51D6D">
            <w:pPr>
              <w:pStyle w:val="51"/>
              <w:jc w:val="center"/>
              <w:rPr>
                <w:rFonts w:ascii="仿宋" w:hAnsi="仿宋" w:eastAsia="仿宋" w:cs="仿宋"/>
                <w:sz w:val="24"/>
                <w:szCs w:val="24"/>
              </w:rPr>
            </w:pPr>
            <w:r>
              <w:rPr>
                <w:rFonts w:hint="eastAsia" w:ascii="仿宋" w:hAnsi="仿宋" w:eastAsia="仿宋" w:cs="仿宋"/>
                <w:sz w:val="24"/>
                <w:szCs w:val="24"/>
              </w:rPr>
              <w:t>业绩（</w:t>
            </w: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c>
          <w:tcPr>
            <w:tcW w:w="7861" w:type="dxa"/>
            <w:vAlign w:val="center"/>
          </w:tcPr>
          <w:p w14:paraId="7A8F71D5">
            <w:pPr>
              <w:widowControl/>
              <w:adjustRightInd w:val="0"/>
              <w:snapToGrid w:val="0"/>
              <w:jc w:val="left"/>
              <w:rPr>
                <w:rFonts w:ascii="宋体" w:hAnsi="宋体" w:cs="宋体"/>
                <w:kern w:val="0"/>
                <w:sz w:val="24"/>
              </w:rPr>
            </w:pPr>
            <w:r>
              <w:rPr>
                <w:rFonts w:hint="eastAsia" w:ascii="仿宋" w:hAnsi="仿宋" w:eastAsia="仿宋" w:cs="仿宋"/>
                <w:sz w:val="24"/>
              </w:rPr>
              <w:t>供应商提供承担过的类似服务项目业绩证明材料中标通知书或合同</w:t>
            </w:r>
            <w:r>
              <w:rPr>
                <w:rFonts w:hint="eastAsia" w:ascii="仿宋" w:hAnsi="仿宋" w:eastAsia="仿宋" w:cs="仿宋"/>
                <w:sz w:val="24"/>
                <w:lang w:eastAsia="zh-CN"/>
              </w:rPr>
              <w:t>（</w:t>
            </w:r>
            <w:r>
              <w:rPr>
                <w:rFonts w:hint="eastAsia" w:ascii="仿宋" w:hAnsi="仿宋" w:eastAsia="仿宋" w:cs="仿宋"/>
                <w:sz w:val="24"/>
              </w:rPr>
              <w:t>加盖公章</w:t>
            </w:r>
            <w:r>
              <w:rPr>
                <w:rFonts w:hint="eastAsia" w:ascii="仿宋" w:hAnsi="仿宋" w:eastAsia="仿宋" w:cs="仿宋"/>
                <w:sz w:val="24"/>
                <w:lang w:eastAsia="zh-CN"/>
              </w:rPr>
              <w:t>）</w:t>
            </w:r>
            <w:r>
              <w:rPr>
                <w:rFonts w:hint="eastAsia" w:ascii="仿宋" w:hAnsi="仿宋" w:eastAsia="仿宋" w:cs="仿宋"/>
                <w:sz w:val="24"/>
              </w:rPr>
              <w:t>，每提供1份项目合同得2</w:t>
            </w:r>
            <w:r>
              <w:rPr>
                <w:rFonts w:hint="eastAsia" w:ascii="仿宋" w:hAnsi="仿宋" w:eastAsia="仿宋" w:cs="仿宋"/>
                <w:sz w:val="24"/>
                <w:lang w:val="en-US" w:eastAsia="zh-CN"/>
              </w:rPr>
              <w:t>.5</w:t>
            </w:r>
            <w:r>
              <w:rPr>
                <w:rFonts w:hint="eastAsia" w:ascii="仿宋" w:hAnsi="仿宋" w:eastAsia="仿宋" w:cs="仿宋"/>
                <w:sz w:val="24"/>
              </w:rPr>
              <w:t>分，最多得</w:t>
            </w:r>
            <w:r>
              <w:rPr>
                <w:rFonts w:hint="eastAsia" w:ascii="仿宋" w:hAnsi="仿宋" w:eastAsia="仿宋" w:cs="仿宋"/>
                <w:sz w:val="24"/>
                <w:lang w:val="en-US" w:eastAsia="zh-CN"/>
              </w:rPr>
              <w:t>5</w:t>
            </w:r>
            <w:r>
              <w:rPr>
                <w:rFonts w:hint="eastAsia" w:ascii="仿宋" w:hAnsi="仿宋" w:eastAsia="仿宋" w:cs="仿宋"/>
                <w:sz w:val="24"/>
              </w:rPr>
              <w:t>分</w:t>
            </w:r>
            <w:r>
              <w:rPr>
                <w:rFonts w:hint="eastAsia" w:ascii="仿宋" w:hAnsi="仿宋" w:eastAsia="仿宋" w:cs="仿宋"/>
                <w:sz w:val="24"/>
                <w:lang w:eastAsia="zh-CN"/>
              </w:rPr>
              <w:t>；</w:t>
            </w:r>
            <w:r>
              <w:rPr>
                <w:rFonts w:ascii="仿宋" w:hAnsi="仿宋" w:eastAsia="仿宋" w:cs="仿宋"/>
                <w:sz w:val="24"/>
              </w:rPr>
              <w:t>不提供不得分。</w:t>
            </w:r>
          </w:p>
        </w:tc>
        <w:tc>
          <w:tcPr>
            <w:tcW w:w="863" w:type="dxa"/>
            <w:vMerge w:val="continue"/>
            <w:vAlign w:val="center"/>
          </w:tcPr>
          <w:p w14:paraId="4326A055">
            <w:pPr>
              <w:pStyle w:val="51"/>
              <w:rPr>
                <w:rFonts w:ascii="仿宋" w:hAnsi="仿宋" w:eastAsia="仿宋" w:cs="仿宋"/>
                <w:sz w:val="24"/>
                <w:szCs w:val="24"/>
              </w:rPr>
            </w:pPr>
          </w:p>
        </w:tc>
      </w:tr>
      <w:tr w14:paraId="72873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9" w:hRule="atLeast"/>
          <w:jc w:val="center"/>
        </w:trPr>
        <w:tc>
          <w:tcPr>
            <w:tcW w:w="742" w:type="dxa"/>
            <w:vMerge w:val="restart"/>
            <w:vAlign w:val="center"/>
          </w:tcPr>
          <w:p w14:paraId="6FE0F31D">
            <w:pPr>
              <w:widowControl/>
              <w:jc w:val="left"/>
              <w:rPr>
                <w:rFonts w:ascii="仿宋" w:hAnsi="仿宋" w:eastAsia="仿宋" w:cs="仿宋"/>
                <w:sz w:val="24"/>
              </w:rPr>
            </w:pPr>
          </w:p>
          <w:p w14:paraId="78E25D6E">
            <w:pPr>
              <w:widowControl/>
              <w:jc w:val="left"/>
              <w:rPr>
                <w:rFonts w:ascii="仿宋" w:hAnsi="仿宋" w:eastAsia="仿宋" w:cs="仿宋"/>
                <w:sz w:val="24"/>
              </w:rPr>
            </w:pPr>
          </w:p>
          <w:p w14:paraId="057B8CC2">
            <w:pPr>
              <w:widowControl/>
              <w:jc w:val="left"/>
              <w:rPr>
                <w:rFonts w:ascii="仿宋" w:hAnsi="仿宋" w:eastAsia="仿宋" w:cs="仿宋"/>
                <w:sz w:val="24"/>
              </w:rPr>
            </w:pPr>
          </w:p>
          <w:p w14:paraId="4792FC95">
            <w:pPr>
              <w:widowControl/>
              <w:jc w:val="left"/>
              <w:rPr>
                <w:rFonts w:ascii="仿宋" w:hAnsi="仿宋" w:eastAsia="仿宋" w:cs="仿宋"/>
                <w:sz w:val="24"/>
              </w:rPr>
            </w:pPr>
            <w:r>
              <w:rPr>
                <w:rFonts w:hint="eastAsia" w:ascii="仿宋" w:hAnsi="仿宋" w:eastAsia="仿宋" w:cs="仿宋"/>
                <w:sz w:val="24"/>
              </w:rPr>
              <w:t>技</w:t>
            </w:r>
          </w:p>
          <w:p w14:paraId="136CFB26">
            <w:pPr>
              <w:widowControl/>
              <w:jc w:val="left"/>
              <w:rPr>
                <w:rFonts w:ascii="仿宋" w:hAnsi="仿宋" w:eastAsia="仿宋" w:cs="仿宋"/>
                <w:sz w:val="24"/>
              </w:rPr>
            </w:pPr>
          </w:p>
          <w:p w14:paraId="6A0BAC86">
            <w:pPr>
              <w:widowControl/>
              <w:jc w:val="left"/>
              <w:rPr>
                <w:rFonts w:ascii="仿宋" w:hAnsi="仿宋" w:eastAsia="仿宋" w:cs="仿宋"/>
                <w:sz w:val="24"/>
              </w:rPr>
            </w:pPr>
          </w:p>
          <w:p w14:paraId="1B86A6C6">
            <w:pPr>
              <w:widowControl/>
              <w:jc w:val="left"/>
              <w:rPr>
                <w:rFonts w:ascii="仿宋" w:hAnsi="仿宋" w:eastAsia="仿宋" w:cs="仿宋"/>
                <w:sz w:val="24"/>
              </w:rPr>
            </w:pPr>
          </w:p>
          <w:p w14:paraId="0E04C13F">
            <w:pPr>
              <w:widowControl/>
              <w:jc w:val="left"/>
              <w:rPr>
                <w:rFonts w:ascii="仿宋" w:hAnsi="仿宋" w:eastAsia="仿宋" w:cs="仿宋"/>
                <w:sz w:val="24"/>
              </w:rPr>
            </w:pPr>
          </w:p>
          <w:p w14:paraId="4378AAA4">
            <w:pPr>
              <w:widowControl/>
              <w:jc w:val="left"/>
              <w:rPr>
                <w:rFonts w:ascii="仿宋" w:hAnsi="仿宋" w:eastAsia="仿宋" w:cs="仿宋"/>
                <w:sz w:val="24"/>
              </w:rPr>
            </w:pPr>
            <w:r>
              <w:rPr>
                <w:rFonts w:hint="eastAsia" w:ascii="仿宋" w:hAnsi="仿宋" w:eastAsia="仿宋" w:cs="仿宋"/>
                <w:sz w:val="24"/>
              </w:rPr>
              <w:t>术</w:t>
            </w:r>
          </w:p>
          <w:p w14:paraId="0E01C973">
            <w:pPr>
              <w:widowControl/>
              <w:jc w:val="left"/>
              <w:rPr>
                <w:rFonts w:ascii="仿宋" w:hAnsi="仿宋" w:eastAsia="仿宋" w:cs="仿宋"/>
                <w:sz w:val="24"/>
              </w:rPr>
            </w:pPr>
          </w:p>
          <w:p w14:paraId="2C510557">
            <w:pPr>
              <w:widowControl/>
              <w:jc w:val="left"/>
              <w:rPr>
                <w:rFonts w:ascii="仿宋" w:hAnsi="仿宋" w:eastAsia="仿宋" w:cs="仿宋"/>
                <w:sz w:val="24"/>
              </w:rPr>
            </w:pPr>
          </w:p>
          <w:p w14:paraId="194A849E">
            <w:pPr>
              <w:widowControl/>
              <w:jc w:val="left"/>
              <w:rPr>
                <w:rFonts w:ascii="仿宋" w:hAnsi="仿宋" w:eastAsia="仿宋" w:cs="仿宋"/>
                <w:sz w:val="24"/>
              </w:rPr>
            </w:pPr>
          </w:p>
          <w:p w14:paraId="2781A4D3">
            <w:pPr>
              <w:widowControl/>
              <w:jc w:val="left"/>
              <w:rPr>
                <w:rFonts w:ascii="仿宋" w:hAnsi="仿宋" w:eastAsia="仿宋" w:cs="仿宋"/>
                <w:sz w:val="24"/>
              </w:rPr>
            </w:pPr>
          </w:p>
          <w:p w14:paraId="2A001047">
            <w:pPr>
              <w:widowControl/>
              <w:jc w:val="left"/>
              <w:rPr>
                <w:rFonts w:ascii="仿宋" w:hAnsi="仿宋" w:eastAsia="仿宋" w:cs="仿宋"/>
                <w:sz w:val="24"/>
              </w:rPr>
            </w:pPr>
          </w:p>
          <w:p w14:paraId="51750FAB">
            <w:pPr>
              <w:widowControl/>
              <w:jc w:val="left"/>
              <w:rPr>
                <w:rFonts w:ascii="仿宋" w:hAnsi="仿宋" w:eastAsia="仿宋" w:cs="仿宋"/>
                <w:sz w:val="24"/>
              </w:rPr>
            </w:pPr>
          </w:p>
          <w:p w14:paraId="18584979">
            <w:pPr>
              <w:widowControl/>
              <w:jc w:val="left"/>
              <w:rPr>
                <w:rFonts w:ascii="仿宋" w:hAnsi="仿宋" w:eastAsia="仿宋" w:cs="仿宋"/>
                <w:sz w:val="24"/>
              </w:rPr>
            </w:pPr>
          </w:p>
          <w:p w14:paraId="13B0E13F">
            <w:pPr>
              <w:widowControl/>
              <w:jc w:val="left"/>
              <w:rPr>
                <w:rFonts w:ascii="仿宋" w:hAnsi="仿宋" w:eastAsia="仿宋" w:cs="仿宋"/>
                <w:sz w:val="24"/>
              </w:rPr>
            </w:pPr>
          </w:p>
          <w:p w14:paraId="4DCEAEE5">
            <w:pPr>
              <w:widowControl/>
              <w:jc w:val="left"/>
              <w:rPr>
                <w:rFonts w:ascii="仿宋" w:hAnsi="仿宋" w:eastAsia="仿宋" w:cs="仿宋"/>
                <w:sz w:val="24"/>
              </w:rPr>
            </w:pPr>
            <w:r>
              <w:rPr>
                <w:rFonts w:hint="eastAsia" w:ascii="仿宋" w:hAnsi="仿宋" w:eastAsia="仿宋" w:cs="仿宋"/>
                <w:sz w:val="24"/>
              </w:rPr>
              <w:t>部</w:t>
            </w:r>
          </w:p>
          <w:p w14:paraId="43A75032">
            <w:pPr>
              <w:widowControl/>
              <w:jc w:val="left"/>
              <w:rPr>
                <w:rFonts w:ascii="仿宋" w:hAnsi="仿宋" w:eastAsia="仿宋" w:cs="仿宋"/>
                <w:sz w:val="24"/>
              </w:rPr>
            </w:pPr>
            <w:r>
              <w:rPr>
                <w:rFonts w:hint="eastAsia" w:ascii="仿宋" w:hAnsi="仿宋" w:eastAsia="仿宋" w:cs="仿宋"/>
                <w:sz w:val="24"/>
              </w:rPr>
              <w:t>分（</w:t>
            </w:r>
            <w:r>
              <w:rPr>
                <w:rFonts w:hint="eastAsia" w:ascii="仿宋" w:hAnsi="仿宋" w:eastAsia="仿宋" w:cs="仿宋"/>
                <w:sz w:val="24"/>
                <w:lang w:val="en-US" w:eastAsia="zh-CN"/>
              </w:rPr>
              <w:t>60</w:t>
            </w:r>
            <w:r>
              <w:rPr>
                <w:rFonts w:hint="eastAsia" w:ascii="仿宋" w:hAnsi="仿宋" w:eastAsia="仿宋" w:cs="仿宋"/>
                <w:sz w:val="24"/>
              </w:rPr>
              <w:t>分）</w:t>
            </w:r>
          </w:p>
        </w:tc>
        <w:tc>
          <w:tcPr>
            <w:tcW w:w="1247" w:type="dxa"/>
            <w:vAlign w:val="center"/>
          </w:tcPr>
          <w:p w14:paraId="39CA5DBB">
            <w:pPr>
              <w:pStyle w:val="51"/>
              <w:jc w:val="left"/>
              <w:rPr>
                <w:rFonts w:ascii="仿宋" w:hAnsi="仿宋" w:eastAsia="仿宋" w:cs="仿宋"/>
                <w:kern w:val="0"/>
                <w:sz w:val="24"/>
                <w:szCs w:val="24"/>
                <w:lang w:bidi="ar"/>
              </w:rPr>
            </w:pPr>
            <w:r>
              <w:rPr>
                <w:rFonts w:hint="eastAsia" w:ascii="仿宋" w:hAnsi="仿宋" w:eastAsia="仿宋" w:cs="仿宋"/>
                <w:kern w:val="0"/>
                <w:sz w:val="24"/>
              </w:rPr>
              <w:t>项目实施方案（</w:t>
            </w:r>
            <w:r>
              <w:rPr>
                <w:rFonts w:hint="eastAsia" w:ascii="仿宋" w:hAnsi="仿宋" w:eastAsia="仿宋" w:cs="仿宋"/>
                <w:kern w:val="0"/>
                <w:sz w:val="24"/>
                <w:lang w:val="en-US" w:eastAsia="zh-CN"/>
              </w:rPr>
              <w:t>20</w:t>
            </w:r>
            <w:r>
              <w:rPr>
                <w:rFonts w:hint="eastAsia" w:ascii="仿宋" w:hAnsi="仿宋" w:eastAsia="仿宋" w:cs="仿宋"/>
                <w:kern w:val="0"/>
                <w:sz w:val="24"/>
              </w:rPr>
              <w:t>分）</w:t>
            </w:r>
          </w:p>
        </w:tc>
        <w:tc>
          <w:tcPr>
            <w:tcW w:w="7861" w:type="dxa"/>
            <w:vAlign w:val="center"/>
          </w:tcPr>
          <w:p w14:paraId="3A57B1AE">
            <w:pPr>
              <w:pStyle w:val="5"/>
              <w:numPr>
                <w:ilvl w:val="0"/>
                <w:numId w:val="0"/>
              </w:numPr>
              <w:rPr>
                <w:rFonts w:hint="eastAsia" w:ascii="仿宋" w:hAnsi="仿宋" w:eastAsia="仿宋" w:cs="仿宋"/>
                <w:color w:val="auto"/>
                <w:sz w:val="24"/>
                <w:lang w:val="en-US" w:eastAsia="zh-CN"/>
              </w:rPr>
            </w:pPr>
            <w:r>
              <w:rPr>
                <w:rFonts w:hint="default" w:ascii="仿宋" w:hAnsi="仿宋" w:eastAsia="仿宋" w:cs="仿宋"/>
                <w:color w:val="auto"/>
                <w:sz w:val="24"/>
                <w:lang w:val="en-US" w:eastAsia="zh-CN"/>
              </w:rPr>
              <w:t>投标人提供本项目的实施方案</w:t>
            </w:r>
            <w:r>
              <w:rPr>
                <w:rFonts w:hint="default" w:ascii="仿宋" w:hAnsi="仿宋" w:eastAsia="仿宋" w:cs="仿宋"/>
                <w:color w:val="auto"/>
                <w:sz w:val="24"/>
                <w:highlight w:val="none"/>
                <w:lang w:val="en-US" w:eastAsia="zh-CN"/>
              </w:rPr>
              <w:t>内容</w:t>
            </w:r>
            <w:r>
              <w:rPr>
                <w:rFonts w:hint="default" w:ascii="仿宋" w:hAnsi="仿宋" w:eastAsia="仿宋" w:cs="仿宋"/>
                <w:color w:val="auto"/>
                <w:sz w:val="24"/>
                <w:lang w:val="en-US" w:eastAsia="zh-CN"/>
              </w:rPr>
              <w:t>及质量保证措施，</w:t>
            </w:r>
            <w:r>
              <w:rPr>
                <w:rFonts w:hint="eastAsia" w:ascii="仿宋" w:hAnsi="仿宋" w:eastAsia="仿宋" w:cs="仿宋"/>
                <w:color w:val="auto"/>
                <w:sz w:val="24"/>
                <w:lang w:val="en-US" w:eastAsia="zh-CN"/>
              </w:rPr>
              <w:t>根据以下响应情况进行赋分：</w:t>
            </w:r>
          </w:p>
          <w:p w14:paraId="61CEA547">
            <w:pPr>
              <w:pStyle w:val="5"/>
              <w:numPr>
                <w:ilvl w:val="0"/>
                <w:numId w:val="0"/>
              </w:numPr>
              <w:rPr>
                <w:rFonts w:hint="default" w:ascii="仿宋" w:hAnsi="仿宋" w:eastAsia="仿宋" w:cs="仿宋"/>
                <w:color w:val="auto"/>
                <w:sz w:val="24"/>
                <w:lang w:val="en-US" w:eastAsia="zh-CN"/>
              </w:rPr>
            </w:pPr>
            <w:r>
              <w:rPr>
                <w:rFonts w:hint="default" w:ascii="仿宋" w:hAnsi="仿宋" w:eastAsia="仿宋" w:cs="仿宋"/>
                <w:color w:val="auto"/>
                <w:sz w:val="24"/>
                <w:lang w:val="en-US" w:eastAsia="zh-CN"/>
              </w:rPr>
              <w:t>①实施准备计划内容全面、完整、完全符合项目实际需求</w:t>
            </w:r>
            <w:r>
              <w:rPr>
                <w:rFonts w:hint="eastAsia" w:ascii="仿宋" w:hAnsi="仿宋" w:eastAsia="仿宋" w:cs="仿宋"/>
                <w:color w:val="auto"/>
                <w:sz w:val="24"/>
                <w:lang w:val="en-US" w:eastAsia="zh-CN"/>
              </w:rPr>
              <w:t>，可得5分。</w:t>
            </w:r>
          </w:p>
          <w:p w14:paraId="39449EC8">
            <w:pPr>
              <w:pStyle w:val="5"/>
              <w:numPr>
                <w:ilvl w:val="0"/>
                <w:numId w:val="0"/>
              </w:numPr>
              <w:rPr>
                <w:rFonts w:hint="default" w:ascii="仿宋" w:hAnsi="仿宋" w:eastAsia="仿宋" w:cs="仿宋"/>
                <w:color w:val="auto"/>
                <w:sz w:val="24"/>
                <w:lang w:val="en-US" w:eastAsia="zh-CN"/>
              </w:rPr>
            </w:pPr>
            <w:r>
              <w:rPr>
                <w:rFonts w:hint="default" w:ascii="仿宋" w:hAnsi="仿宋" w:eastAsia="仿宋" w:cs="仿宋"/>
                <w:color w:val="auto"/>
                <w:sz w:val="24"/>
                <w:lang w:val="en-US" w:eastAsia="zh-CN"/>
              </w:rPr>
              <w:t>②总体布置及工期安排计划优于招标文件要求，</w:t>
            </w:r>
            <w:r>
              <w:rPr>
                <w:rFonts w:hint="eastAsia" w:ascii="仿宋" w:hAnsi="仿宋" w:eastAsia="仿宋" w:cs="仿宋"/>
                <w:color w:val="auto"/>
                <w:sz w:val="24"/>
                <w:lang w:val="en-US" w:eastAsia="zh-CN"/>
              </w:rPr>
              <w:t>可得5分。</w:t>
            </w:r>
          </w:p>
          <w:p w14:paraId="3FDC1610">
            <w:pPr>
              <w:pStyle w:val="5"/>
              <w:numPr>
                <w:ilvl w:val="0"/>
                <w:numId w:val="0"/>
              </w:numPr>
              <w:rPr>
                <w:rFonts w:hint="default" w:ascii="仿宋" w:hAnsi="仿宋" w:eastAsia="仿宋" w:cs="仿宋"/>
                <w:color w:val="auto"/>
                <w:sz w:val="24"/>
                <w:lang w:val="en-US" w:eastAsia="zh-CN"/>
              </w:rPr>
            </w:pPr>
            <w:r>
              <w:rPr>
                <w:rFonts w:hint="default" w:ascii="仿宋" w:hAnsi="仿宋" w:eastAsia="仿宋" w:cs="仿宋"/>
                <w:color w:val="auto"/>
                <w:sz w:val="24"/>
                <w:lang w:val="en-US" w:eastAsia="zh-CN"/>
              </w:rPr>
              <w:t>③实施过程中的协调沟通、实施进度计划内容全面、完整</w:t>
            </w:r>
            <w:r>
              <w:rPr>
                <w:rFonts w:hint="eastAsia" w:ascii="仿宋" w:hAnsi="仿宋" w:eastAsia="仿宋" w:cs="仿宋"/>
                <w:color w:val="auto"/>
                <w:sz w:val="24"/>
                <w:lang w:val="en-US" w:eastAsia="zh-CN"/>
              </w:rPr>
              <w:t>，</w:t>
            </w:r>
            <w:r>
              <w:rPr>
                <w:rFonts w:hint="default" w:ascii="仿宋" w:hAnsi="仿宋" w:eastAsia="仿宋" w:cs="仿宋"/>
                <w:color w:val="auto"/>
                <w:sz w:val="24"/>
                <w:lang w:val="en-US" w:eastAsia="zh-CN"/>
              </w:rPr>
              <w:t>符合项目实际需求</w:t>
            </w:r>
            <w:r>
              <w:rPr>
                <w:rFonts w:hint="eastAsia" w:ascii="仿宋" w:hAnsi="仿宋" w:eastAsia="仿宋" w:cs="仿宋"/>
                <w:color w:val="auto"/>
                <w:sz w:val="24"/>
                <w:lang w:val="en-US" w:eastAsia="zh-CN"/>
              </w:rPr>
              <w:t>，可得5分。</w:t>
            </w:r>
          </w:p>
          <w:p w14:paraId="41CA8545">
            <w:pPr>
              <w:pStyle w:val="5"/>
              <w:numPr>
                <w:ilvl w:val="0"/>
                <w:numId w:val="0"/>
              </w:numPr>
              <w:rPr>
                <w:rFonts w:hint="default" w:ascii="仿宋" w:hAnsi="仿宋" w:eastAsia="仿宋" w:cs="仿宋"/>
                <w:color w:val="auto"/>
                <w:sz w:val="24"/>
                <w:lang w:val="en-US" w:eastAsia="zh-CN"/>
              </w:rPr>
            </w:pPr>
            <w:r>
              <w:rPr>
                <w:rFonts w:hint="default" w:ascii="仿宋" w:hAnsi="仿宋" w:eastAsia="仿宋" w:cs="仿宋"/>
                <w:color w:val="auto"/>
                <w:sz w:val="24"/>
                <w:lang w:val="en-US" w:eastAsia="zh-CN"/>
              </w:rPr>
              <w:t>④安全保证措施和体系等内容全面、完整、完全符合项目实际需求</w:t>
            </w:r>
            <w:r>
              <w:rPr>
                <w:rFonts w:hint="eastAsia" w:ascii="仿宋" w:hAnsi="仿宋" w:eastAsia="仿宋" w:cs="仿宋"/>
                <w:color w:val="auto"/>
                <w:sz w:val="24"/>
                <w:lang w:val="en-US" w:eastAsia="zh-CN"/>
              </w:rPr>
              <w:t>，可得5分。</w:t>
            </w:r>
          </w:p>
          <w:p w14:paraId="397312EF">
            <w:pPr>
              <w:widowControl/>
              <w:jc w:val="left"/>
              <w:rPr>
                <w:rFonts w:ascii="宋体" w:hAnsi="宋体" w:cs="宋体"/>
                <w:b/>
                <w:bCs/>
                <w:kern w:val="0"/>
                <w:sz w:val="24"/>
              </w:rPr>
            </w:pPr>
            <w:r>
              <w:rPr>
                <w:rFonts w:hint="default" w:ascii="仿宋" w:hAnsi="仿宋" w:eastAsia="仿宋" w:cs="仿宋"/>
                <w:color w:val="auto"/>
                <w:sz w:val="24"/>
                <w:lang w:val="en-US" w:eastAsia="zh-CN"/>
              </w:rPr>
              <w:t>以上内容满足采购方需求</w:t>
            </w:r>
            <w:r>
              <w:rPr>
                <w:rFonts w:hint="eastAsia" w:ascii="仿宋" w:hAnsi="仿宋" w:eastAsia="仿宋" w:cs="仿宋"/>
                <w:color w:val="auto"/>
                <w:sz w:val="24"/>
                <w:lang w:val="en-US" w:eastAsia="zh-CN"/>
              </w:rPr>
              <w:t>总共</w:t>
            </w:r>
            <w:r>
              <w:rPr>
                <w:rFonts w:hint="default" w:ascii="仿宋" w:hAnsi="仿宋" w:eastAsia="仿宋" w:cs="仿宋"/>
                <w:color w:val="auto"/>
                <w:sz w:val="24"/>
                <w:lang w:val="en-US" w:eastAsia="zh-CN"/>
              </w:rPr>
              <w:t>得</w:t>
            </w:r>
            <w:r>
              <w:rPr>
                <w:rFonts w:hint="eastAsia" w:ascii="仿宋" w:hAnsi="仿宋" w:eastAsia="仿宋" w:cs="仿宋"/>
                <w:color w:val="auto"/>
                <w:sz w:val="24"/>
                <w:lang w:val="en-US" w:eastAsia="zh-CN"/>
              </w:rPr>
              <w:t>20</w:t>
            </w:r>
            <w:r>
              <w:rPr>
                <w:rFonts w:hint="default" w:ascii="仿宋" w:hAnsi="仿宋" w:eastAsia="仿宋" w:cs="仿宋"/>
                <w:color w:val="auto"/>
                <w:sz w:val="24"/>
                <w:lang w:val="en-US" w:eastAsia="zh-CN"/>
              </w:rPr>
              <w:t>分，每有一项内容</w:t>
            </w:r>
            <w:r>
              <w:rPr>
                <w:rFonts w:hint="eastAsia" w:ascii="仿宋" w:hAnsi="仿宋" w:eastAsia="仿宋" w:cs="仿宋"/>
                <w:color w:val="auto"/>
                <w:sz w:val="24"/>
                <w:lang w:val="en-US" w:eastAsia="zh-CN"/>
              </w:rPr>
              <w:t>无响应或</w:t>
            </w:r>
            <w:r>
              <w:rPr>
                <w:rFonts w:hint="default" w:ascii="仿宋" w:hAnsi="仿宋" w:eastAsia="仿宋" w:cs="仿宋"/>
                <w:color w:val="auto"/>
                <w:sz w:val="24"/>
                <w:lang w:val="en-US" w:eastAsia="zh-CN"/>
              </w:rPr>
              <w:t>缺失的扣</w:t>
            </w:r>
            <w:r>
              <w:rPr>
                <w:rFonts w:hint="eastAsia" w:ascii="仿宋" w:hAnsi="仿宋" w:eastAsia="仿宋" w:cs="仿宋"/>
                <w:color w:val="auto"/>
                <w:sz w:val="24"/>
                <w:lang w:val="en-US" w:eastAsia="zh-CN"/>
              </w:rPr>
              <w:t>5</w:t>
            </w:r>
            <w:r>
              <w:rPr>
                <w:rFonts w:hint="default" w:ascii="仿宋" w:hAnsi="仿宋" w:eastAsia="仿宋" w:cs="仿宋"/>
                <w:color w:val="auto"/>
                <w:sz w:val="24"/>
                <w:lang w:val="en-US" w:eastAsia="zh-CN"/>
              </w:rPr>
              <w:t xml:space="preserve">分；每有一项内容阐述不全面、不符合项目实际情况、无法满足采购需求的扣 </w:t>
            </w:r>
            <w:r>
              <w:rPr>
                <w:rFonts w:hint="eastAsia" w:ascii="仿宋" w:hAnsi="仿宋" w:eastAsia="仿宋" w:cs="仿宋"/>
                <w:color w:val="auto"/>
                <w:sz w:val="24"/>
                <w:lang w:val="en-US" w:eastAsia="zh-CN"/>
              </w:rPr>
              <w:t>2</w:t>
            </w:r>
            <w:r>
              <w:rPr>
                <w:rFonts w:hint="default" w:ascii="仿宋" w:hAnsi="仿宋" w:eastAsia="仿宋" w:cs="仿宋"/>
                <w:color w:val="auto"/>
                <w:sz w:val="24"/>
                <w:lang w:val="en-US" w:eastAsia="zh-CN"/>
              </w:rPr>
              <w:t>分，</w:t>
            </w:r>
            <w:r>
              <w:rPr>
                <w:rFonts w:hint="eastAsia" w:ascii="仿宋" w:hAnsi="仿宋" w:eastAsia="仿宋" w:cs="仿宋"/>
                <w:color w:val="auto"/>
                <w:kern w:val="2"/>
                <w:sz w:val="24"/>
                <w:szCs w:val="24"/>
                <w:highlight w:val="none"/>
                <w:lang w:val="en-US" w:eastAsia="zh-CN" w:bidi="ar-SA"/>
              </w:rPr>
              <w:t>不提供</w:t>
            </w:r>
            <w:r>
              <w:rPr>
                <w:rFonts w:hint="eastAsia" w:ascii="仿宋" w:hAnsi="仿宋" w:eastAsia="仿宋" w:cs="仿宋"/>
                <w:color w:val="auto"/>
                <w:sz w:val="24"/>
                <w:lang w:val="en-US" w:eastAsia="zh-CN"/>
              </w:rPr>
              <w:t>者不得分。</w:t>
            </w:r>
          </w:p>
        </w:tc>
        <w:tc>
          <w:tcPr>
            <w:tcW w:w="863" w:type="dxa"/>
            <w:vMerge w:val="restart"/>
            <w:vAlign w:val="center"/>
          </w:tcPr>
          <w:p w14:paraId="76E8CC9A">
            <w:pPr>
              <w:pStyle w:val="51"/>
              <w:rPr>
                <w:rFonts w:ascii="仿宋" w:hAnsi="仿宋" w:eastAsia="仿宋" w:cs="仿宋"/>
                <w:b/>
                <w:bCs/>
                <w:sz w:val="24"/>
                <w:szCs w:val="24"/>
              </w:rPr>
            </w:pPr>
          </w:p>
          <w:p w14:paraId="7D348167">
            <w:pPr>
              <w:pStyle w:val="51"/>
              <w:rPr>
                <w:rFonts w:ascii="仿宋" w:hAnsi="仿宋" w:eastAsia="仿宋" w:cs="仿宋"/>
                <w:b/>
                <w:bCs/>
                <w:sz w:val="24"/>
                <w:szCs w:val="24"/>
              </w:rPr>
            </w:pPr>
          </w:p>
          <w:p w14:paraId="686C44C2">
            <w:pPr>
              <w:pStyle w:val="51"/>
              <w:rPr>
                <w:rFonts w:ascii="仿宋" w:hAnsi="仿宋" w:eastAsia="仿宋" w:cs="仿宋"/>
                <w:b/>
                <w:bCs/>
                <w:sz w:val="24"/>
                <w:szCs w:val="24"/>
              </w:rPr>
            </w:pPr>
          </w:p>
          <w:p w14:paraId="645BD112">
            <w:pPr>
              <w:pStyle w:val="51"/>
              <w:rPr>
                <w:rFonts w:ascii="仿宋" w:hAnsi="仿宋" w:eastAsia="仿宋" w:cs="仿宋"/>
                <w:b/>
                <w:bCs/>
                <w:sz w:val="24"/>
                <w:szCs w:val="24"/>
              </w:rPr>
            </w:pPr>
          </w:p>
          <w:p w14:paraId="22866A9B">
            <w:pPr>
              <w:pStyle w:val="51"/>
              <w:rPr>
                <w:rFonts w:ascii="仿宋" w:hAnsi="仿宋" w:eastAsia="仿宋" w:cs="仿宋"/>
                <w:sz w:val="24"/>
                <w:szCs w:val="24"/>
              </w:rPr>
            </w:pPr>
          </w:p>
        </w:tc>
      </w:tr>
      <w:tr w14:paraId="03593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2" w:type="dxa"/>
            <w:vMerge w:val="continue"/>
            <w:vAlign w:val="center"/>
          </w:tcPr>
          <w:p w14:paraId="69CC31EB">
            <w:pPr>
              <w:widowControl/>
              <w:jc w:val="left"/>
              <w:rPr>
                <w:rFonts w:ascii="仿宋" w:hAnsi="仿宋" w:eastAsia="仿宋" w:cs="仿宋"/>
                <w:sz w:val="24"/>
              </w:rPr>
            </w:pPr>
          </w:p>
        </w:tc>
        <w:tc>
          <w:tcPr>
            <w:tcW w:w="1247" w:type="dxa"/>
            <w:vAlign w:val="center"/>
          </w:tcPr>
          <w:p w14:paraId="10A7B5D2">
            <w:pPr>
              <w:pStyle w:val="51"/>
              <w:jc w:val="center"/>
              <w:rPr>
                <w:rFonts w:ascii="仿宋" w:hAnsi="仿宋" w:eastAsia="仿宋" w:cs="仿宋"/>
                <w:sz w:val="24"/>
              </w:rPr>
            </w:pPr>
            <w:r>
              <w:rPr>
                <w:rFonts w:hint="eastAsia" w:ascii="仿宋" w:hAnsi="仿宋" w:eastAsia="仿宋" w:cs="仿宋"/>
                <w:sz w:val="24"/>
              </w:rPr>
              <w:t>突发情况应急预案（</w:t>
            </w:r>
            <w:r>
              <w:rPr>
                <w:rFonts w:hint="eastAsia" w:ascii="仿宋" w:hAnsi="仿宋" w:eastAsia="仿宋" w:cs="仿宋"/>
                <w:sz w:val="24"/>
                <w:lang w:val="en-US" w:eastAsia="zh-CN"/>
              </w:rPr>
              <w:t>10</w:t>
            </w:r>
            <w:r>
              <w:rPr>
                <w:rFonts w:hint="eastAsia" w:ascii="仿宋" w:hAnsi="仿宋" w:eastAsia="仿宋" w:cs="仿宋"/>
                <w:sz w:val="24"/>
              </w:rPr>
              <w:t>分）</w:t>
            </w:r>
          </w:p>
        </w:tc>
        <w:tc>
          <w:tcPr>
            <w:tcW w:w="7861" w:type="dxa"/>
            <w:vAlign w:val="center"/>
          </w:tcPr>
          <w:p w14:paraId="6912C39F">
            <w:pPr>
              <w:rPr>
                <w:rFonts w:ascii="仿宋" w:hAnsi="仿宋" w:eastAsia="仿宋" w:cs="仿宋"/>
                <w:sz w:val="24"/>
              </w:rPr>
            </w:pPr>
            <w:r>
              <w:rPr>
                <w:rFonts w:ascii="仿宋" w:hAnsi="仿宋" w:eastAsia="仿宋" w:cs="仿宋"/>
                <w:sz w:val="24"/>
              </w:rPr>
              <w:t>根据供应商对项目发生突发事件的应急处理预案等进行评审。</w:t>
            </w:r>
          </w:p>
          <w:p w14:paraId="65F30925">
            <w:pPr>
              <w:rPr>
                <w:rFonts w:ascii="仿宋" w:hAnsi="仿宋" w:eastAsia="仿宋" w:cs="仿宋"/>
                <w:sz w:val="24"/>
              </w:rPr>
            </w:pPr>
            <w:r>
              <w:rPr>
                <w:rFonts w:ascii="仿宋" w:hAnsi="仿宋" w:eastAsia="仿宋" w:cs="仿宋"/>
                <w:sz w:val="24"/>
              </w:rPr>
              <w:t>（1）具有健全、科学、完整、合理、可操作性强的突发事件的应急处理预案，应急经验丰富的，得</w:t>
            </w:r>
            <w:r>
              <w:rPr>
                <w:rFonts w:hint="eastAsia" w:ascii="仿宋" w:hAnsi="仿宋" w:eastAsia="仿宋" w:cs="仿宋"/>
                <w:sz w:val="24"/>
                <w:lang w:val="en-US" w:eastAsia="zh-CN"/>
              </w:rPr>
              <w:t>10</w:t>
            </w:r>
            <w:r>
              <w:rPr>
                <w:rFonts w:ascii="仿宋" w:hAnsi="仿宋" w:eastAsia="仿宋" w:cs="仿宋"/>
                <w:sz w:val="24"/>
              </w:rPr>
              <w:t>分；</w:t>
            </w:r>
          </w:p>
          <w:p w14:paraId="1B6E56C3">
            <w:pPr>
              <w:rPr>
                <w:rFonts w:ascii="仿宋" w:hAnsi="仿宋" w:eastAsia="仿宋" w:cs="仿宋"/>
                <w:sz w:val="24"/>
              </w:rPr>
            </w:pPr>
            <w:r>
              <w:rPr>
                <w:rFonts w:ascii="仿宋" w:hAnsi="仿宋" w:eastAsia="仿宋" w:cs="仿宋"/>
                <w:sz w:val="24"/>
              </w:rPr>
              <w:t>（2）具有较健全、科学、完整、合理、可操作性较强的突发事件的应急处理预案，应急经验</w:t>
            </w:r>
            <w:r>
              <w:rPr>
                <w:rFonts w:hint="eastAsia" w:ascii="仿宋" w:hAnsi="仿宋" w:eastAsia="仿宋" w:cs="仿宋"/>
                <w:sz w:val="24"/>
              </w:rPr>
              <w:t>基本合理</w:t>
            </w:r>
            <w:r>
              <w:rPr>
                <w:rFonts w:ascii="仿宋" w:hAnsi="仿宋" w:eastAsia="仿宋" w:cs="仿宋"/>
                <w:sz w:val="24"/>
              </w:rPr>
              <w:t>，得</w:t>
            </w:r>
            <w:r>
              <w:rPr>
                <w:rFonts w:hint="eastAsia" w:ascii="仿宋" w:hAnsi="仿宋" w:eastAsia="仿宋" w:cs="仿宋"/>
                <w:sz w:val="24"/>
                <w:lang w:val="en-US" w:eastAsia="zh-CN"/>
              </w:rPr>
              <w:t>5</w:t>
            </w:r>
            <w:r>
              <w:rPr>
                <w:rFonts w:ascii="仿宋" w:hAnsi="仿宋" w:eastAsia="仿宋" w:cs="仿宋"/>
                <w:sz w:val="24"/>
              </w:rPr>
              <w:t>分；</w:t>
            </w:r>
          </w:p>
          <w:p w14:paraId="38517767">
            <w:pPr>
              <w:rPr>
                <w:rFonts w:ascii="仿宋" w:hAnsi="仿宋" w:eastAsia="仿宋" w:cs="仿宋"/>
                <w:sz w:val="24"/>
              </w:rPr>
            </w:pPr>
            <w:r>
              <w:rPr>
                <w:rFonts w:ascii="仿宋" w:hAnsi="仿宋" w:eastAsia="仿宋" w:cs="仿宋"/>
                <w:sz w:val="24"/>
              </w:rPr>
              <w:t>（3）突发事件的应急处理预案描述不完整、不合理的得2分。</w:t>
            </w:r>
          </w:p>
          <w:p w14:paraId="20CA3A19">
            <w:pPr>
              <w:rPr>
                <w:rFonts w:ascii="仿宋" w:hAnsi="仿宋" w:eastAsia="仿宋" w:cs="仿宋"/>
                <w:sz w:val="24"/>
              </w:rPr>
            </w:pPr>
            <w:r>
              <w:rPr>
                <w:rFonts w:ascii="仿宋" w:hAnsi="仿宋" w:eastAsia="仿宋" w:cs="仿宋"/>
                <w:sz w:val="24"/>
              </w:rPr>
              <w:t>（4）不提供不得分。</w:t>
            </w:r>
          </w:p>
        </w:tc>
        <w:tc>
          <w:tcPr>
            <w:tcW w:w="863" w:type="dxa"/>
            <w:vMerge w:val="continue"/>
            <w:vAlign w:val="center"/>
          </w:tcPr>
          <w:p w14:paraId="0ADEE526">
            <w:pPr>
              <w:pStyle w:val="51"/>
              <w:rPr>
                <w:rFonts w:ascii="仿宋" w:hAnsi="仿宋" w:eastAsia="仿宋" w:cs="仿宋"/>
                <w:b/>
                <w:bCs/>
                <w:sz w:val="24"/>
                <w:szCs w:val="24"/>
              </w:rPr>
            </w:pPr>
          </w:p>
        </w:tc>
      </w:tr>
      <w:tr w14:paraId="1103D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742" w:type="dxa"/>
            <w:vMerge w:val="continue"/>
            <w:vAlign w:val="center"/>
          </w:tcPr>
          <w:p w14:paraId="74EE6AC5">
            <w:pPr>
              <w:widowControl/>
              <w:jc w:val="left"/>
              <w:rPr>
                <w:rFonts w:ascii="仿宋" w:hAnsi="仿宋" w:eastAsia="仿宋" w:cs="仿宋"/>
                <w:sz w:val="24"/>
              </w:rPr>
            </w:pPr>
          </w:p>
        </w:tc>
        <w:tc>
          <w:tcPr>
            <w:tcW w:w="1247" w:type="dxa"/>
            <w:vAlign w:val="center"/>
          </w:tcPr>
          <w:p w14:paraId="68568F8B">
            <w:pPr>
              <w:pStyle w:val="51"/>
              <w:jc w:val="center"/>
              <w:rPr>
                <w:rFonts w:ascii="仿宋" w:hAnsi="仿宋" w:eastAsia="仿宋" w:cs="仿宋"/>
                <w:kern w:val="0"/>
                <w:sz w:val="24"/>
                <w:szCs w:val="24"/>
                <w:lang w:bidi="ar"/>
              </w:rPr>
            </w:pPr>
            <w:r>
              <w:rPr>
                <w:rFonts w:hint="eastAsia" w:ascii="仿宋" w:hAnsi="仿宋" w:eastAsia="仿宋" w:cs="仿宋"/>
                <w:kern w:val="0"/>
                <w:sz w:val="24"/>
                <w:szCs w:val="24"/>
                <w:lang w:bidi="ar"/>
              </w:rPr>
              <w:t>现场文明施工措施（</w:t>
            </w:r>
            <w:r>
              <w:rPr>
                <w:rFonts w:hint="eastAsia" w:ascii="仿宋" w:hAnsi="仿宋" w:eastAsia="仿宋" w:cs="仿宋"/>
                <w:kern w:val="0"/>
                <w:sz w:val="24"/>
                <w:szCs w:val="24"/>
                <w:lang w:val="en-US" w:eastAsia="zh-CN" w:bidi="ar"/>
              </w:rPr>
              <w:t>7</w:t>
            </w:r>
            <w:r>
              <w:rPr>
                <w:rFonts w:hint="eastAsia" w:ascii="仿宋" w:hAnsi="仿宋" w:eastAsia="仿宋" w:cs="仿宋"/>
                <w:kern w:val="0"/>
                <w:sz w:val="24"/>
                <w:szCs w:val="24"/>
                <w:lang w:bidi="ar"/>
              </w:rPr>
              <w:t>分）</w:t>
            </w:r>
          </w:p>
        </w:tc>
        <w:tc>
          <w:tcPr>
            <w:tcW w:w="7861" w:type="dxa"/>
            <w:vAlign w:val="center"/>
          </w:tcPr>
          <w:p w14:paraId="2BEE711B">
            <w:pPr>
              <w:pStyle w:val="51"/>
              <w:rPr>
                <w:rFonts w:ascii="仿宋" w:hAnsi="仿宋" w:eastAsia="仿宋" w:cs="仿宋"/>
                <w:sz w:val="24"/>
                <w:szCs w:val="24"/>
              </w:rPr>
            </w:pPr>
            <w:r>
              <w:rPr>
                <w:rFonts w:ascii="仿宋" w:hAnsi="仿宋" w:eastAsia="仿宋" w:cs="仿宋"/>
                <w:sz w:val="24"/>
                <w:szCs w:val="24"/>
              </w:rPr>
              <w:t>措施应符合工程实际情况，切实可行。</w:t>
            </w:r>
          </w:p>
          <w:p w14:paraId="75C2397F">
            <w:pPr>
              <w:pStyle w:val="51"/>
              <w:rPr>
                <w:rFonts w:ascii="仿宋" w:hAnsi="仿宋" w:eastAsia="仿宋" w:cs="仿宋"/>
                <w:sz w:val="24"/>
                <w:szCs w:val="24"/>
              </w:rPr>
            </w:pPr>
            <w:r>
              <w:rPr>
                <w:rFonts w:ascii="仿宋" w:hAnsi="仿宋" w:eastAsia="仿宋" w:cs="仿宋"/>
                <w:sz w:val="24"/>
                <w:szCs w:val="24"/>
              </w:rPr>
              <w:t>现场文明施工措施科学、可行性高、效果显著得</w:t>
            </w:r>
            <w:r>
              <w:rPr>
                <w:rFonts w:hint="eastAsia" w:ascii="仿宋" w:hAnsi="仿宋" w:eastAsia="仿宋" w:cs="仿宋"/>
                <w:sz w:val="24"/>
                <w:szCs w:val="24"/>
                <w:lang w:val="en-US" w:eastAsia="zh-CN"/>
              </w:rPr>
              <w:t>7</w:t>
            </w:r>
            <w:r>
              <w:rPr>
                <w:rFonts w:ascii="仿宋" w:hAnsi="仿宋" w:eastAsia="仿宋" w:cs="仿宋"/>
                <w:sz w:val="24"/>
                <w:szCs w:val="24"/>
              </w:rPr>
              <w:t>分；</w:t>
            </w:r>
          </w:p>
          <w:p w14:paraId="6B5228FF">
            <w:pPr>
              <w:pStyle w:val="51"/>
              <w:rPr>
                <w:rFonts w:ascii="仿宋" w:hAnsi="仿宋" w:eastAsia="仿宋" w:cs="仿宋"/>
                <w:sz w:val="24"/>
                <w:szCs w:val="24"/>
              </w:rPr>
            </w:pPr>
            <w:r>
              <w:rPr>
                <w:rFonts w:ascii="仿宋" w:hAnsi="仿宋" w:eastAsia="仿宋" w:cs="仿宋"/>
                <w:sz w:val="24"/>
                <w:szCs w:val="24"/>
              </w:rPr>
              <w:t>现场文明施工措施基本满足工程需求得3分；</w:t>
            </w:r>
          </w:p>
          <w:p w14:paraId="3F336FC1">
            <w:pPr>
              <w:pStyle w:val="51"/>
            </w:pPr>
            <w:r>
              <w:rPr>
                <w:rFonts w:ascii="仿宋" w:hAnsi="仿宋" w:eastAsia="仿宋" w:cs="仿宋"/>
                <w:sz w:val="24"/>
                <w:szCs w:val="24"/>
              </w:rPr>
              <w:t>提供部分措施内容得</w:t>
            </w:r>
            <w:r>
              <w:rPr>
                <w:rFonts w:hint="eastAsia" w:ascii="仿宋" w:hAnsi="仿宋" w:eastAsia="仿宋" w:cs="仿宋"/>
                <w:sz w:val="24"/>
                <w:szCs w:val="24"/>
              </w:rPr>
              <w:t>1</w:t>
            </w:r>
            <w:r>
              <w:rPr>
                <w:rFonts w:ascii="仿宋" w:hAnsi="仿宋" w:eastAsia="仿宋" w:cs="仿宋"/>
                <w:sz w:val="24"/>
                <w:szCs w:val="24"/>
              </w:rPr>
              <w:t>分</w:t>
            </w:r>
            <w:r>
              <w:rPr>
                <w:rFonts w:hint="eastAsia" w:ascii="仿宋" w:hAnsi="仿宋" w:eastAsia="仿宋" w:cs="仿宋"/>
                <w:sz w:val="24"/>
                <w:szCs w:val="24"/>
              </w:rPr>
              <w:t>；不提供不得分。</w:t>
            </w:r>
          </w:p>
        </w:tc>
        <w:tc>
          <w:tcPr>
            <w:tcW w:w="863" w:type="dxa"/>
            <w:vMerge w:val="continue"/>
            <w:vAlign w:val="center"/>
          </w:tcPr>
          <w:p w14:paraId="531AB1D1">
            <w:pPr>
              <w:pStyle w:val="51"/>
              <w:rPr>
                <w:rFonts w:ascii="仿宋" w:hAnsi="仿宋" w:eastAsia="仿宋" w:cs="仿宋"/>
                <w:sz w:val="24"/>
                <w:szCs w:val="24"/>
              </w:rPr>
            </w:pPr>
          </w:p>
        </w:tc>
      </w:tr>
      <w:tr w14:paraId="670F7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742" w:type="dxa"/>
            <w:vMerge w:val="continue"/>
            <w:vAlign w:val="center"/>
          </w:tcPr>
          <w:p w14:paraId="0A84BB5D">
            <w:pPr>
              <w:widowControl/>
              <w:jc w:val="left"/>
              <w:rPr>
                <w:rFonts w:ascii="仿宋" w:hAnsi="仿宋" w:eastAsia="仿宋" w:cs="仿宋"/>
                <w:sz w:val="24"/>
              </w:rPr>
            </w:pPr>
          </w:p>
        </w:tc>
        <w:tc>
          <w:tcPr>
            <w:tcW w:w="1247" w:type="dxa"/>
            <w:vAlign w:val="center"/>
          </w:tcPr>
          <w:p w14:paraId="695206A6">
            <w:pPr>
              <w:pStyle w:val="51"/>
              <w:jc w:val="center"/>
              <w:rPr>
                <w:rFonts w:ascii="仿宋" w:hAnsi="仿宋" w:eastAsia="仿宋" w:cs="仿宋"/>
                <w:kern w:val="0"/>
                <w:sz w:val="24"/>
                <w:szCs w:val="24"/>
                <w:lang w:bidi="ar"/>
              </w:rPr>
            </w:pPr>
            <w:r>
              <w:rPr>
                <w:rFonts w:hint="eastAsia" w:ascii="仿宋" w:hAnsi="仿宋" w:eastAsia="仿宋" w:cs="仿宋"/>
                <w:kern w:val="0"/>
                <w:sz w:val="24"/>
                <w:szCs w:val="24"/>
                <w:lang w:bidi="ar"/>
              </w:rPr>
              <w:t>施工进度计划（</w:t>
            </w:r>
            <w:r>
              <w:rPr>
                <w:rFonts w:hint="eastAsia" w:ascii="仿宋" w:hAnsi="仿宋" w:eastAsia="仿宋" w:cs="仿宋"/>
                <w:kern w:val="0"/>
                <w:sz w:val="24"/>
                <w:szCs w:val="24"/>
                <w:lang w:val="en-US" w:eastAsia="zh-CN" w:bidi="ar"/>
              </w:rPr>
              <w:t>10</w:t>
            </w:r>
            <w:r>
              <w:rPr>
                <w:rFonts w:hint="eastAsia" w:ascii="仿宋" w:hAnsi="仿宋" w:eastAsia="仿宋" w:cs="仿宋"/>
                <w:kern w:val="0"/>
                <w:sz w:val="24"/>
                <w:szCs w:val="24"/>
                <w:lang w:bidi="ar"/>
              </w:rPr>
              <w:t>分）</w:t>
            </w:r>
          </w:p>
        </w:tc>
        <w:tc>
          <w:tcPr>
            <w:tcW w:w="7861" w:type="dxa"/>
            <w:vAlign w:val="center"/>
          </w:tcPr>
          <w:p w14:paraId="78E169AF">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进度计划应在空间和时间上做合理的统筹安排且符合施工的科学规律。</w:t>
            </w:r>
          </w:p>
          <w:p w14:paraId="0A1A10CE">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能充分满足工程需求得</w:t>
            </w:r>
            <w:r>
              <w:rPr>
                <w:rFonts w:hint="eastAsia" w:ascii="仿宋" w:hAnsi="仿宋" w:eastAsia="仿宋" w:cs="仿宋"/>
                <w:kern w:val="0"/>
                <w:sz w:val="24"/>
                <w:szCs w:val="24"/>
                <w:lang w:val="en-US" w:eastAsia="zh-CN" w:bidi="ar"/>
              </w:rPr>
              <w:t>10</w:t>
            </w:r>
            <w:r>
              <w:rPr>
                <w:rFonts w:hint="eastAsia" w:ascii="仿宋" w:hAnsi="仿宋" w:eastAsia="仿宋" w:cs="仿宋"/>
                <w:kern w:val="0"/>
                <w:sz w:val="24"/>
                <w:szCs w:val="24"/>
                <w:lang w:bidi="ar"/>
              </w:rPr>
              <w:t>分；</w:t>
            </w:r>
          </w:p>
          <w:p w14:paraId="44C43E3B">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进度计划基本满足工程需求得</w:t>
            </w:r>
            <w:r>
              <w:rPr>
                <w:rFonts w:hint="eastAsia" w:ascii="仿宋" w:hAnsi="仿宋" w:eastAsia="仿宋" w:cs="仿宋"/>
                <w:kern w:val="0"/>
                <w:sz w:val="24"/>
                <w:szCs w:val="24"/>
                <w:lang w:val="en-US" w:eastAsia="zh-CN" w:bidi="ar"/>
              </w:rPr>
              <w:t>5</w:t>
            </w:r>
            <w:r>
              <w:rPr>
                <w:rFonts w:hint="eastAsia" w:ascii="仿宋" w:hAnsi="仿宋" w:eastAsia="仿宋" w:cs="仿宋"/>
                <w:kern w:val="0"/>
                <w:sz w:val="24"/>
                <w:szCs w:val="24"/>
                <w:lang w:bidi="ar"/>
              </w:rPr>
              <w:t>分；</w:t>
            </w:r>
          </w:p>
          <w:p w14:paraId="74C639A5">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进度计划不科学，有缺项</w:t>
            </w:r>
            <w:r>
              <w:rPr>
                <w:rFonts w:hint="eastAsia" w:ascii="仿宋" w:hAnsi="仿宋" w:eastAsia="仿宋" w:cs="仿宋"/>
                <w:kern w:val="0"/>
                <w:sz w:val="24"/>
                <w:szCs w:val="24"/>
                <w:lang w:val="en-US" w:eastAsia="zh-CN" w:bidi="ar"/>
              </w:rPr>
              <w:t>得1</w:t>
            </w:r>
            <w:r>
              <w:rPr>
                <w:rFonts w:hint="eastAsia" w:ascii="仿宋" w:hAnsi="仿宋" w:eastAsia="仿宋" w:cs="仿宋"/>
                <w:kern w:val="0"/>
                <w:sz w:val="24"/>
                <w:szCs w:val="24"/>
                <w:lang w:bidi="ar"/>
              </w:rPr>
              <w:t>分；</w:t>
            </w:r>
          </w:p>
          <w:p w14:paraId="0B195C97">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未提供的不得分。</w:t>
            </w:r>
          </w:p>
        </w:tc>
        <w:tc>
          <w:tcPr>
            <w:tcW w:w="863" w:type="dxa"/>
            <w:vMerge w:val="continue"/>
            <w:vAlign w:val="center"/>
          </w:tcPr>
          <w:p w14:paraId="1C3EB2E9">
            <w:pPr>
              <w:pStyle w:val="51"/>
              <w:rPr>
                <w:rFonts w:ascii="仿宋" w:hAnsi="仿宋" w:eastAsia="仿宋" w:cs="仿宋"/>
                <w:sz w:val="24"/>
                <w:szCs w:val="24"/>
              </w:rPr>
            </w:pPr>
          </w:p>
        </w:tc>
      </w:tr>
      <w:tr w14:paraId="5C830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742" w:type="dxa"/>
            <w:vMerge w:val="continue"/>
            <w:vAlign w:val="center"/>
          </w:tcPr>
          <w:p w14:paraId="37CC05E7">
            <w:pPr>
              <w:widowControl/>
              <w:jc w:val="left"/>
              <w:rPr>
                <w:rFonts w:ascii="仿宋" w:hAnsi="仿宋" w:eastAsia="仿宋" w:cs="仿宋"/>
                <w:sz w:val="24"/>
              </w:rPr>
            </w:pPr>
          </w:p>
        </w:tc>
        <w:tc>
          <w:tcPr>
            <w:tcW w:w="1247" w:type="dxa"/>
            <w:vAlign w:val="center"/>
          </w:tcPr>
          <w:p w14:paraId="0F373289">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拟投入主要施工机械设备总体情况（</w:t>
            </w:r>
            <w:r>
              <w:rPr>
                <w:rFonts w:hint="eastAsia" w:ascii="仿宋" w:hAnsi="仿宋" w:eastAsia="仿宋" w:cs="仿宋"/>
                <w:kern w:val="0"/>
                <w:sz w:val="24"/>
                <w:szCs w:val="24"/>
                <w:lang w:val="en-US" w:eastAsia="zh-CN" w:bidi="ar"/>
              </w:rPr>
              <w:t>8</w:t>
            </w:r>
            <w:r>
              <w:rPr>
                <w:rFonts w:hint="eastAsia" w:ascii="仿宋" w:hAnsi="仿宋" w:eastAsia="仿宋" w:cs="仿宋"/>
                <w:kern w:val="0"/>
                <w:sz w:val="24"/>
                <w:szCs w:val="24"/>
                <w:lang w:bidi="ar"/>
              </w:rPr>
              <w:t>）</w:t>
            </w:r>
          </w:p>
        </w:tc>
        <w:tc>
          <w:tcPr>
            <w:tcW w:w="7861" w:type="dxa"/>
            <w:vAlign w:val="center"/>
          </w:tcPr>
          <w:p w14:paraId="108712C9">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主要施工机械设备的数量、型号、中小型设备规格品种，配置合理，满足工程施工需要得</w:t>
            </w:r>
            <w:r>
              <w:rPr>
                <w:rFonts w:hint="eastAsia" w:ascii="仿宋" w:hAnsi="仿宋" w:eastAsia="仿宋" w:cs="仿宋"/>
                <w:kern w:val="0"/>
                <w:sz w:val="24"/>
                <w:szCs w:val="24"/>
                <w:lang w:val="en-US" w:eastAsia="zh-CN" w:bidi="ar"/>
              </w:rPr>
              <w:t>8</w:t>
            </w:r>
            <w:r>
              <w:rPr>
                <w:rFonts w:hint="eastAsia" w:ascii="仿宋" w:hAnsi="仿宋" w:eastAsia="仿宋" w:cs="仿宋"/>
                <w:kern w:val="0"/>
                <w:sz w:val="24"/>
                <w:szCs w:val="24"/>
                <w:lang w:bidi="ar"/>
              </w:rPr>
              <w:t>分；</w:t>
            </w:r>
          </w:p>
          <w:p w14:paraId="4CAAFC4A">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主要施工机械设备的数量、型号、中小型设备规格品种，配置基本合理，基本满足工程施工需要得</w:t>
            </w:r>
            <w:r>
              <w:rPr>
                <w:rFonts w:hint="eastAsia" w:ascii="仿宋" w:hAnsi="仿宋" w:eastAsia="仿宋" w:cs="仿宋"/>
                <w:kern w:val="0"/>
                <w:sz w:val="24"/>
                <w:szCs w:val="24"/>
                <w:lang w:val="en-US" w:eastAsia="zh-CN" w:bidi="ar"/>
              </w:rPr>
              <w:t>4</w:t>
            </w:r>
            <w:r>
              <w:rPr>
                <w:rFonts w:hint="eastAsia" w:ascii="仿宋" w:hAnsi="仿宋" w:eastAsia="仿宋" w:cs="仿宋"/>
                <w:kern w:val="0"/>
                <w:sz w:val="24"/>
                <w:szCs w:val="24"/>
                <w:lang w:bidi="ar"/>
              </w:rPr>
              <w:t>分；</w:t>
            </w:r>
          </w:p>
          <w:p w14:paraId="228F8C8F">
            <w:pPr>
              <w:pStyle w:val="51"/>
              <w:rPr>
                <w:rFonts w:hint="eastAsia" w:ascii="仿宋" w:hAnsi="仿宋" w:eastAsia="仿宋" w:cs="仿宋"/>
                <w:kern w:val="0"/>
                <w:sz w:val="24"/>
                <w:szCs w:val="24"/>
                <w:lang w:bidi="ar"/>
              </w:rPr>
            </w:pPr>
            <w:r>
              <w:rPr>
                <w:rFonts w:hint="eastAsia" w:ascii="仿宋" w:hAnsi="仿宋" w:eastAsia="仿宋" w:cs="仿宋"/>
                <w:kern w:val="0"/>
                <w:sz w:val="24"/>
                <w:szCs w:val="24"/>
                <w:lang w:bidi="ar"/>
              </w:rPr>
              <w:t>主要施工机械设备的数量、型号、中 小型设备规格品种，配置欠合理或者来源存在不确定性得1分；</w:t>
            </w:r>
          </w:p>
          <w:p w14:paraId="570AD9ED">
            <w:pPr>
              <w:pStyle w:val="51"/>
              <w:rPr>
                <w:rFonts w:hint="default" w:ascii="仿宋" w:hAnsi="仿宋" w:eastAsia="仿宋" w:cs="仿宋"/>
                <w:kern w:val="0"/>
                <w:sz w:val="24"/>
                <w:szCs w:val="24"/>
                <w:lang w:val="en-US" w:eastAsia="zh-CN" w:bidi="ar"/>
              </w:rPr>
            </w:pPr>
            <w:r>
              <w:rPr>
                <w:rFonts w:hint="eastAsia" w:ascii="仿宋" w:hAnsi="仿宋" w:eastAsia="仿宋" w:cs="仿宋"/>
                <w:b w:val="0"/>
                <w:bCs w:val="0"/>
                <w:kern w:val="0"/>
                <w:sz w:val="24"/>
                <w:szCs w:val="24"/>
                <w:lang w:val="en-US" w:eastAsia="zh-CN" w:bidi="ar"/>
              </w:rPr>
              <w:t>注：提供相应的图片证明材料，不提供不得分。</w:t>
            </w:r>
          </w:p>
        </w:tc>
        <w:tc>
          <w:tcPr>
            <w:tcW w:w="863" w:type="dxa"/>
            <w:vMerge w:val="restart"/>
            <w:vAlign w:val="center"/>
          </w:tcPr>
          <w:p w14:paraId="5EBD9AD0">
            <w:pPr>
              <w:pStyle w:val="51"/>
              <w:rPr>
                <w:rFonts w:ascii="仿宋" w:hAnsi="仿宋" w:eastAsia="仿宋" w:cs="仿宋"/>
                <w:sz w:val="24"/>
                <w:szCs w:val="24"/>
              </w:rPr>
            </w:pPr>
          </w:p>
        </w:tc>
      </w:tr>
      <w:tr w14:paraId="0A0D2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742" w:type="dxa"/>
            <w:vMerge w:val="continue"/>
            <w:vAlign w:val="center"/>
          </w:tcPr>
          <w:p w14:paraId="3E8AC873">
            <w:pPr>
              <w:widowControl/>
              <w:jc w:val="left"/>
              <w:rPr>
                <w:rFonts w:ascii="仿宋" w:hAnsi="仿宋" w:eastAsia="仿宋" w:cs="仿宋"/>
                <w:sz w:val="24"/>
              </w:rPr>
            </w:pPr>
          </w:p>
        </w:tc>
        <w:tc>
          <w:tcPr>
            <w:tcW w:w="1247" w:type="dxa"/>
            <w:vAlign w:val="center"/>
          </w:tcPr>
          <w:p w14:paraId="657EDBFB">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施工现场扬尘防治方案（</w:t>
            </w:r>
            <w:r>
              <w:rPr>
                <w:rFonts w:hint="eastAsia" w:ascii="仿宋" w:hAnsi="仿宋" w:eastAsia="仿宋" w:cs="仿宋"/>
                <w:kern w:val="0"/>
                <w:sz w:val="24"/>
                <w:szCs w:val="24"/>
                <w:lang w:val="en-US" w:eastAsia="zh-CN" w:bidi="ar"/>
              </w:rPr>
              <w:t>5</w:t>
            </w:r>
            <w:r>
              <w:rPr>
                <w:rFonts w:hint="eastAsia" w:ascii="仿宋" w:hAnsi="仿宋" w:eastAsia="仿宋" w:cs="仿宋"/>
                <w:kern w:val="0"/>
                <w:sz w:val="24"/>
                <w:szCs w:val="24"/>
                <w:lang w:bidi="ar"/>
              </w:rPr>
              <w:t>）</w:t>
            </w:r>
          </w:p>
        </w:tc>
        <w:tc>
          <w:tcPr>
            <w:tcW w:w="7861" w:type="dxa"/>
            <w:vAlign w:val="center"/>
          </w:tcPr>
          <w:p w14:paraId="765A8491">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施工现场扬尘防治方案应根据自治区《建筑工程施工现场扬尘污染防治标准》文件要求编制。</w:t>
            </w:r>
          </w:p>
          <w:p w14:paraId="73C3FE3A">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扬尘防治方案科学、可行性高、效果显著得</w:t>
            </w:r>
            <w:r>
              <w:rPr>
                <w:rFonts w:hint="eastAsia" w:ascii="仿宋" w:hAnsi="仿宋" w:eastAsia="仿宋" w:cs="仿宋"/>
                <w:kern w:val="0"/>
                <w:sz w:val="24"/>
                <w:szCs w:val="24"/>
                <w:lang w:val="en-US" w:eastAsia="zh-CN" w:bidi="ar"/>
              </w:rPr>
              <w:t>5</w:t>
            </w:r>
            <w:r>
              <w:rPr>
                <w:rFonts w:hint="eastAsia" w:ascii="仿宋" w:hAnsi="仿宋" w:eastAsia="仿宋" w:cs="仿宋"/>
                <w:kern w:val="0"/>
                <w:sz w:val="24"/>
                <w:szCs w:val="24"/>
                <w:lang w:bidi="ar"/>
              </w:rPr>
              <w:t>分；</w:t>
            </w:r>
          </w:p>
          <w:p w14:paraId="7A157F48">
            <w:pPr>
              <w:pStyle w:val="51"/>
              <w:rPr>
                <w:rFonts w:ascii="仿宋" w:hAnsi="仿宋" w:eastAsia="仿宋" w:cs="仿宋"/>
                <w:kern w:val="0"/>
                <w:sz w:val="24"/>
                <w:szCs w:val="24"/>
                <w:lang w:bidi="ar"/>
              </w:rPr>
            </w:pPr>
            <w:r>
              <w:rPr>
                <w:rFonts w:hint="eastAsia" w:ascii="仿宋" w:hAnsi="仿宋" w:eastAsia="仿宋" w:cs="仿宋"/>
                <w:kern w:val="0"/>
                <w:sz w:val="24"/>
                <w:szCs w:val="24"/>
                <w:lang w:bidi="ar"/>
              </w:rPr>
              <w:t>扬尘防治方案基本满足工程需求得</w:t>
            </w:r>
            <w:r>
              <w:rPr>
                <w:rFonts w:hint="eastAsia" w:ascii="仿宋" w:hAnsi="仿宋" w:eastAsia="仿宋" w:cs="仿宋"/>
                <w:kern w:val="0"/>
                <w:sz w:val="24"/>
                <w:szCs w:val="24"/>
                <w:lang w:val="en-US" w:eastAsia="zh-CN" w:bidi="ar"/>
              </w:rPr>
              <w:t>2</w:t>
            </w:r>
            <w:r>
              <w:rPr>
                <w:rFonts w:hint="eastAsia" w:ascii="仿宋" w:hAnsi="仿宋" w:eastAsia="仿宋" w:cs="仿宋"/>
                <w:kern w:val="0"/>
                <w:sz w:val="24"/>
                <w:szCs w:val="24"/>
                <w:lang w:bidi="ar"/>
              </w:rPr>
              <w:t>分；</w:t>
            </w:r>
          </w:p>
          <w:p w14:paraId="7D010443">
            <w:pPr>
              <w:pStyle w:val="51"/>
              <w:rPr>
                <w:rFonts w:ascii="宋体" w:hAnsi="宋体" w:cs="宋体"/>
                <w:szCs w:val="21"/>
              </w:rPr>
            </w:pPr>
            <w:r>
              <w:rPr>
                <w:rFonts w:hint="eastAsia" w:ascii="仿宋" w:hAnsi="仿宋" w:eastAsia="仿宋" w:cs="仿宋"/>
                <w:kern w:val="0"/>
                <w:sz w:val="24"/>
                <w:szCs w:val="24"/>
                <w:lang w:bidi="ar"/>
              </w:rPr>
              <w:t>提供部分方案内容得1分。</w:t>
            </w:r>
          </w:p>
        </w:tc>
        <w:tc>
          <w:tcPr>
            <w:tcW w:w="863" w:type="dxa"/>
            <w:vMerge w:val="continue"/>
            <w:vAlign w:val="center"/>
          </w:tcPr>
          <w:p w14:paraId="5D817B92">
            <w:pPr>
              <w:pStyle w:val="51"/>
              <w:rPr>
                <w:rFonts w:ascii="仿宋" w:hAnsi="仿宋" w:eastAsia="仿宋" w:cs="仿宋"/>
                <w:sz w:val="24"/>
                <w:szCs w:val="24"/>
              </w:rPr>
            </w:pPr>
          </w:p>
        </w:tc>
      </w:tr>
    </w:tbl>
    <w:p w14:paraId="1B404442">
      <w:pPr>
        <w:spacing w:line="400" w:lineRule="exact"/>
        <w:rPr>
          <w:rFonts w:ascii="仿宋" w:hAnsi="仿宋" w:eastAsia="仿宋" w:cs="仿宋"/>
          <w:b/>
          <w:bCs/>
          <w:sz w:val="24"/>
        </w:rPr>
      </w:pPr>
    </w:p>
    <w:p w14:paraId="0692166F">
      <w:pPr>
        <w:spacing w:line="400" w:lineRule="exact"/>
        <w:rPr>
          <w:rFonts w:ascii="仿宋" w:hAnsi="仿宋" w:eastAsia="仿宋" w:cs="仿宋"/>
          <w:b/>
          <w:bCs/>
          <w:sz w:val="24"/>
        </w:rPr>
      </w:pPr>
    </w:p>
    <w:p w14:paraId="12A31232">
      <w:pPr>
        <w:spacing w:line="400" w:lineRule="exact"/>
        <w:rPr>
          <w:rFonts w:ascii="仿宋" w:hAnsi="仿宋" w:eastAsia="仿宋" w:cs="仿宋"/>
          <w:b/>
          <w:bCs/>
          <w:sz w:val="24"/>
        </w:rPr>
      </w:pPr>
    </w:p>
    <w:p w14:paraId="154B302C">
      <w:pPr>
        <w:spacing w:line="400" w:lineRule="exact"/>
        <w:rPr>
          <w:rFonts w:ascii="仿宋" w:hAnsi="仿宋" w:eastAsia="仿宋" w:cs="仿宋"/>
          <w:b/>
          <w:bCs/>
          <w:sz w:val="24"/>
        </w:rPr>
      </w:pPr>
    </w:p>
    <w:p w14:paraId="368582B3">
      <w:pPr>
        <w:spacing w:line="400" w:lineRule="exact"/>
        <w:rPr>
          <w:rFonts w:ascii="仿宋" w:hAnsi="仿宋" w:eastAsia="仿宋" w:cs="仿宋"/>
          <w:b/>
          <w:bCs/>
          <w:sz w:val="24"/>
        </w:rPr>
      </w:pPr>
    </w:p>
    <w:p w14:paraId="157EA92B">
      <w:pPr>
        <w:spacing w:line="400" w:lineRule="exact"/>
        <w:rPr>
          <w:rFonts w:ascii="仿宋" w:hAnsi="仿宋" w:eastAsia="仿宋" w:cs="仿宋"/>
          <w:b/>
          <w:bCs/>
          <w:sz w:val="24"/>
        </w:rPr>
      </w:pPr>
    </w:p>
    <w:p w14:paraId="2971C708">
      <w:pPr>
        <w:spacing w:line="400" w:lineRule="exact"/>
        <w:rPr>
          <w:rFonts w:ascii="仿宋" w:hAnsi="仿宋" w:eastAsia="仿宋" w:cs="仿宋"/>
          <w:b/>
          <w:bCs/>
          <w:sz w:val="24"/>
        </w:rPr>
      </w:pPr>
    </w:p>
    <w:p w14:paraId="71038D64">
      <w:pPr>
        <w:spacing w:line="400" w:lineRule="exact"/>
        <w:rPr>
          <w:rFonts w:ascii="仿宋" w:hAnsi="仿宋" w:eastAsia="仿宋" w:cs="仿宋"/>
          <w:b/>
          <w:bCs/>
          <w:sz w:val="24"/>
        </w:rPr>
      </w:pPr>
    </w:p>
    <w:p w14:paraId="556FEFB9">
      <w:pPr>
        <w:spacing w:line="400" w:lineRule="exact"/>
        <w:rPr>
          <w:rFonts w:ascii="仿宋" w:hAnsi="仿宋" w:eastAsia="仿宋" w:cs="仿宋"/>
          <w:b/>
          <w:bCs/>
          <w:sz w:val="24"/>
        </w:rPr>
      </w:pPr>
    </w:p>
    <w:p w14:paraId="4967159E">
      <w:pPr>
        <w:spacing w:line="400" w:lineRule="exact"/>
        <w:rPr>
          <w:rFonts w:ascii="仿宋" w:hAnsi="仿宋" w:eastAsia="仿宋" w:cs="仿宋"/>
          <w:b/>
          <w:bCs/>
          <w:sz w:val="24"/>
        </w:rPr>
      </w:pPr>
    </w:p>
    <w:p w14:paraId="6296AE1E">
      <w:pPr>
        <w:spacing w:line="400" w:lineRule="exact"/>
        <w:rPr>
          <w:rFonts w:ascii="仿宋" w:hAnsi="仿宋" w:eastAsia="仿宋" w:cs="仿宋"/>
          <w:b/>
          <w:bCs/>
          <w:sz w:val="24"/>
        </w:rPr>
      </w:pPr>
    </w:p>
    <w:p w14:paraId="751DC40E">
      <w:pPr>
        <w:spacing w:line="400" w:lineRule="exact"/>
        <w:rPr>
          <w:rFonts w:ascii="仿宋" w:hAnsi="仿宋" w:eastAsia="仿宋" w:cs="仿宋"/>
          <w:b/>
          <w:bCs/>
          <w:sz w:val="24"/>
        </w:rPr>
      </w:pPr>
    </w:p>
    <w:p w14:paraId="4B18FF68">
      <w:pPr>
        <w:spacing w:line="400" w:lineRule="exact"/>
        <w:rPr>
          <w:rFonts w:hint="eastAsia" w:ascii="仿宋" w:hAnsi="仿宋" w:eastAsia="仿宋" w:cs="仿宋"/>
          <w:b/>
          <w:bCs/>
          <w:sz w:val="24"/>
        </w:rPr>
      </w:pPr>
    </w:p>
    <w:p w14:paraId="2C9F2B72">
      <w:pPr>
        <w:pStyle w:val="5"/>
        <w:ind w:firstLine="1084" w:firstLineChars="300"/>
        <w:jc w:val="both"/>
        <w:rPr>
          <w:rFonts w:hint="eastAsia" w:ascii="仿宋" w:hAnsi="仿宋" w:eastAsia="仿宋" w:cs="仿宋"/>
          <w:b/>
          <w:bCs/>
          <w:sz w:val="36"/>
          <w:szCs w:val="36"/>
          <w:lang w:eastAsia="zh-CN"/>
        </w:rPr>
      </w:pPr>
    </w:p>
    <w:p w14:paraId="06337CAC">
      <w:pPr>
        <w:pStyle w:val="5"/>
        <w:ind w:firstLine="1084" w:firstLineChars="300"/>
        <w:jc w:val="both"/>
        <w:rPr>
          <w:rFonts w:hint="eastAsia" w:ascii="仿宋" w:hAnsi="仿宋" w:eastAsia="仿宋" w:cs="仿宋"/>
          <w:b/>
          <w:bCs/>
          <w:sz w:val="36"/>
          <w:szCs w:val="36"/>
          <w:lang w:eastAsia="zh-CN"/>
        </w:rPr>
      </w:pPr>
    </w:p>
    <w:p w14:paraId="10E75C6C">
      <w:pPr>
        <w:pStyle w:val="5"/>
        <w:jc w:val="both"/>
        <w:rPr>
          <w:rFonts w:hint="eastAsia" w:ascii="仿宋" w:hAnsi="仿宋" w:eastAsia="仿宋" w:cs="仿宋"/>
          <w:sz w:val="36"/>
          <w:szCs w:val="36"/>
          <w:lang w:eastAsia="zh-CN"/>
        </w:rPr>
      </w:pPr>
      <w:r>
        <w:rPr>
          <w:rFonts w:hint="eastAsia" w:ascii="仿宋" w:hAnsi="仿宋" w:eastAsia="仿宋" w:cs="仿宋"/>
          <w:b/>
          <w:bCs/>
          <w:sz w:val="36"/>
          <w:szCs w:val="36"/>
          <w:lang w:eastAsia="zh-CN"/>
        </w:rPr>
        <w:t>启迪冰雪项目三通一平土方清运采购项目二次</w:t>
      </w:r>
    </w:p>
    <w:p w14:paraId="0177E9F0">
      <w:pPr>
        <w:rPr>
          <w:rFonts w:hint="eastAsia" w:ascii="仿宋" w:hAnsi="仿宋" w:eastAsia="仿宋" w:cs="仿宋"/>
        </w:rPr>
      </w:pPr>
    </w:p>
    <w:p w14:paraId="3D1FF395">
      <w:pPr>
        <w:pStyle w:val="5"/>
        <w:rPr>
          <w:rFonts w:hint="eastAsia" w:ascii="仿宋" w:hAnsi="仿宋" w:eastAsia="仿宋" w:cs="仿宋"/>
        </w:rPr>
      </w:pPr>
    </w:p>
    <w:p w14:paraId="05ABA71C">
      <w:pPr>
        <w:spacing w:line="240" w:lineRule="atLeast"/>
        <w:ind w:left="1080" w:leftChars="257" w:hanging="540"/>
        <w:jc w:val="center"/>
        <w:rPr>
          <w:rFonts w:ascii="仿宋" w:hAnsi="仿宋" w:eastAsia="仿宋" w:cs="仿宋"/>
          <w:b/>
          <w:sz w:val="36"/>
          <w:szCs w:val="36"/>
        </w:rPr>
      </w:pPr>
      <w:r>
        <w:rPr>
          <w:rFonts w:hint="eastAsia" w:ascii="仿宋" w:hAnsi="仿宋" w:eastAsia="仿宋" w:cs="仿宋"/>
          <w:b/>
          <w:sz w:val="36"/>
          <w:szCs w:val="36"/>
        </w:rPr>
        <w:t>磋商文件</w:t>
      </w:r>
    </w:p>
    <w:p w14:paraId="110390CC">
      <w:pPr>
        <w:spacing w:line="240" w:lineRule="atLeast"/>
        <w:ind w:firstLine="1506" w:firstLineChars="500"/>
        <w:rPr>
          <w:rFonts w:ascii="仿宋" w:hAnsi="仿宋" w:eastAsia="仿宋" w:cs="仿宋"/>
          <w:b/>
          <w:sz w:val="30"/>
          <w:szCs w:val="30"/>
        </w:rPr>
      </w:pPr>
    </w:p>
    <w:p w14:paraId="0348EEE3">
      <w:pPr>
        <w:spacing w:line="240" w:lineRule="atLeast"/>
        <w:ind w:left="1080" w:leftChars="257" w:hanging="540"/>
        <w:jc w:val="center"/>
        <w:rPr>
          <w:rFonts w:hint="eastAsia" w:ascii="仿宋" w:hAnsi="仿宋" w:eastAsia="仿宋" w:cs="仿宋"/>
          <w:b/>
          <w:sz w:val="32"/>
          <w:szCs w:val="32"/>
        </w:rPr>
      </w:pPr>
    </w:p>
    <w:p w14:paraId="4282A8FF">
      <w:pPr>
        <w:spacing w:line="240" w:lineRule="atLeast"/>
        <w:ind w:left="1080" w:leftChars="257" w:hanging="540"/>
        <w:jc w:val="center"/>
        <w:rPr>
          <w:rFonts w:hint="default" w:ascii="仿宋" w:hAnsi="仿宋" w:eastAsia="仿宋" w:cs="仿宋"/>
          <w:b/>
          <w:sz w:val="32"/>
          <w:szCs w:val="32"/>
          <w:lang w:val="en-US" w:eastAsia="zh-CN"/>
        </w:rPr>
      </w:pPr>
      <w:r>
        <w:rPr>
          <w:rFonts w:hint="eastAsia" w:ascii="仿宋" w:hAnsi="仿宋" w:eastAsia="仿宋" w:cs="仿宋"/>
          <w:b/>
          <w:sz w:val="32"/>
          <w:szCs w:val="32"/>
        </w:rPr>
        <w:t>项目编号：KSJJKFQZFCG(CS)2025-05</w:t>
      </w:r>
      <w:r>
        <w:rPr>
          <w:rFonts w:hint="eastAsia" w:ascii="仿宋" w:hAnsi="仿宋" w:eastAsia="仿宋" w:cs="仿宋"/>
          <w:b/>
          <w:sz w:val="32"/>
          <w:szCs w:val="32"/>
          <w:lang w:val="en-US" w:eastAsia="zh-CN"/>
        </w:rPr>
        <w:t>-1</w:t>
      </w:r>
    </w:p>
    <w:p w14:paraId="6EB68F58">
      <w:pPr>
        <w:spacing w:line="240" w:lineRule="atLeast"/>
        <w:ind w:left="1080" w:leftChars="257" w:hanging="540"/>
        <w:rPr>
          <w:rFonts w:ascii="仿宋" w:hAnsi="仿宋" w:eastAsia="仿宋" w:cs="仿宋"/>
          <w:b/>
          <w:sz w:val="28"/>
        </w:rPr>
      </w:pPr>
    </w:p>
    <w:p w14:paraId="4692452B">
      <w:pPr>
        <w:spacing w:line="240" w:lineRule="atLeast"/>
        <w:ind w:left="1080" w:leftChars="257" w:hanging="540"/>
        <w:jc w:val="center"/>
        <w:rPr>
          <w:rFonts w:hint="eastAsia" w:ascii="仿宋" w:hAnsi="仿宋" w:eastAsia="仿宋" w:cs="仿宋"/>
          <w:b/>
          <w:sz w:val="36"/>
          <w:szCs w:val="36"/>
        </w:rPr>
      </w:pPr>
    </w:p>
    <w:p w14:paraId="1125C1FA">
      <w:pPr>
        <w:spacing w:line="240" w:lineRule="atLeast"/>
        <w:ind w:left="1080" w:leftChars="257" w:hanging="540"/>
        <w:jc w:val="center"/>
        <w:rPr>
          <w:rFonts w:hint="eastAsia" w:ascii="仿宋" w:hAnsi="仿宋" w:eastAsia="仿宋" w:cs="仿宋"/>
          <w:b/>
          <w:sz w:val="36"/>
          <w:szCs w:val="36"/>
        </w:rPr>
      </w:pPr>
    </w:p>
    <w:p w14:paraId="47C3941B">
      <w:pPr>
        <w:spacing w:line="240" w:lineRule="atLeast"/>
        <w:ind w:left="1080" w:leftChars="257" w:hanging="540"/>
        <w:jc w:val="center"/>
        <w:rPr>
          <w:rFonts w:ascii="仿宋" w:hAnsi="仿宋" w:eastAsia="仿宋" w:cs="仿宋"/>
          <w:b/>
          <w:sz w:val="36"/>
          <w:szCs w:val="36"/>
        </w:rPr>
      </w:pPr>
      <w:r>
        <w:rPr>
          <w:rFonts w:hint="eastAsia" w:ascii="仿宋" w:hAnsi="仿宋" w:eastAsia="仿宋" w:cs="仿宋"/>
          <w:b/>
          <w:sz w:val="36"/>
          <w:szCs w:val="36"/>
        </w:rPr>
        <w:t>第三册</w:t>
      </w:r>
    </w:p>
    <w:p w14:paraId="2EBED482">
      <w:pPr>
        <w:spacing w:line="240" w:lineRule="atLeast"/>
        <w:ind w:left="1080" w:leftChars="257" w:hanging="540"/>
        <w:jc w:val="center"/>
        <w:rPr>
          <w:rFonts w:ascii="仿宋" w:hAnsi="仿宋" w:eastAsia="仿宋" w:cs="仿宋"/>
          <w:b/>
          <w:sz w:val="52"/>
        </w:rPr>
      </w:pPr>
    </w:p>
    <w:p w14:paraId="532F71AF">
      <w:pPr>
        <w:spacing w:line="240" w:lineRule="atLeast"/>
        <w:ind w:left="1080" w:leftChars="257" w:hanging="540"/>
        <w:jc w:val="center"/>
        <w:rPr>
          <w:rFonts w:ascii="仿宋" w:hAnsi="仿宋" w:eastAsia="仿宋" w:cs="仿宋"/>
          <w:b/>
          <w:sz w:val="52"/>
        </w:rPr>
      </w:pPr>
    </w:p>
    <w:p w14:paraId="7F165F5F">
      <w:pPr>
        <w:spacing w:line="240" w:lineRule="atLeast"/>
        <w:ind w:left="1080" w:leftChars="257" w:hanging="540"/>
        <w:jc w:val="center"/>
        <w:rPr>
          <w:rFonts w:ascii="仿宋" w:hAnsi="仿宋" w:eastAsia="仿宋" w:cs="仿宋"/>
          <w:b/>
          <w:sz w:val="52"/>
        </w:rPr>
      </w:pPr>
    </w:p>
    <w:p w14:paraId="65483C6C">
      <w:pPr>
        <w:spacing w:line="240" w:lineRule="atLeast"/>
        <w:ind w:left="1080" w:leftChars="257" w:hanging="540"/>
        <w:jc w:val="center"/>
        <w:rPr>
          <w:rFonts w:ascii="仿宋" w:hAnsi="仿宋" w:eastAsia="仿宋" w:cs="仿宋"/>
          <w:b/>
          <w:sz w:val="52"/>
        </w:rPr>
      </w:pPr>
    </w:p>
    <w:p w14:paraId="445300D1">
      <w:pPr>
        <w:spacing w:line="240" w:lineRule="atLeast"/>
        <w:ind w:left="1080" w:leftChars="257" w:hanging="540"/>
        <w:jc w:val="center"/>
        <w:rPr>
          <w:rFonts w:ascii="仿宋" w:hAnsi="仿宋" w:eastAsia="仿宋" w:cs="仿宋"/>
          <w:b/>
          <w:sz w:val="52"/>
        </w:rPr>
      </w:pPr>
    </w:p>
    <w:p w14:paraId="7726E107">
      <w:pPr>
        <w:spacing w:line="240" w:lineRule="atLeast"/>
        <w:ind w:left="1080" w:leftChars="257" w:hanging="540"/>
        <w:jc w:val="center"/>
        <w:rPr>
          <w:rFonts w:ascii="仿宋" w:hAnsi="仿宋" w:eastAsia="仿宋" w:cs="仿宋"/>
          <w:b/>
          <w:sz w:val="52"/>
        </w:rPr>
      </w:pPr>
    </w:p>
    <w:p w14:paraId="3B5AA2E7">
      <w:pPr>
        <w:spacing w:line="240" w:lineRule="atLeast"/>
        <w:ind w:left="1080" w:leftChars="257" w:hanging="540"/>
        <w:jc w:val="center"/>
        <w:rPr>
          <w:rFonts w:ascii="仿宋" w:hAnsi="仿宋" w:eastAsia="仿宋" w:cs="仿宋"/>
        </w:rPr>
      </w:pPr>
      <w:r>
        <w:rPr>
          <w:rFonts w:hint="eastAsia" w:ascii="仿宋" w:hAnsi="仿宋" w:eastAsia="仿宋" w:cs="仿宋"/>
          <w:b/>
          <w:sz w:val="52"/>
        </w:rPr>
        <w:t xml:space="preserve">  </w:t>
      </w:r>
      <w:r>
        <w:rPr>
          <w:rFonts w:hint="eastAsia" w:ascii="仿宋" w:hAnsi="仿宋" w:eastAsia="仿宋" w:cs="仿宋"/>
          <w:b/>
          <w:sz w:val="52"/>
        </w:rPr>
        <w:br w:type="page"/>
      </w:r>
    </w:p>
    <w:bookmarkEnd w:id="366"/>
    <w:p w14:paraId="667805D5">
      <w:pPr>
        <w:pStyle w:val="2"/>
        <w:rPr>
          <w:rFonts w:hint="eastAsia" w:ascii="仿宋" w:hAnsi="仿宋" w:eastAsia="仿宋" w:cs="仿宋"/>
          <w:lang w:eastAsia="zh-CN"/>
        </w:rPr>
      </w:pPr>
      <w:bookmarkStart w:id="367" w:name="_Toc11579"/>
      <w:bookmarkStart w:id="368" w:name="_Toc7184"/>
      <w:bookmarkStart w:id="369" w:name="_Toc6234"/>
      <w:r>
        <w:rPr>
          <w:rFonts w:hint="eastAsia" w:ascii="仿宋" w:hAnsi="仿宋" w:eastAsia="仿宋" w:cs="仿宋"/>
        </w:rPr>
        <w:t>第七章  合同</w:t>
      </w:r>
      <w:bookmarkEnd w:id="367"/>
      <w:bookmarkEnd w:id="368"/>
      <w:bookmarkEnd w:id="369"/>
      <w:r>
        <w:rPr>
          <w:rFonts w:hint="eastAsia" w:ascii="仿宋" w:hAnsi="仿宋" w:eastAsia="仿宋" w:cs="仿宋"/>
          <w:lang w:eastAsia="zh-CN"/>
        </w:rPr>
        <w:t>（</w:t>
      </w:r>
      <w:r>
        <w:rPr>
          <w:rFonts w:hint="eastAsia" w:ascii="仿宋" w:hAnsi="仿宋" w:eastAsia="仿宋" w:cs="仿宋"/>
          <w:lang w:val="en-US" w:eastAsia="zh-CN"/>
        </w:rPr>
        <w:t>仅供参考</w:t>
      </w:r>
      <w:r>
        <w:rPr>
          <w:rFonts w:hint="eastAsia" w:ascii="仿宋" w:hAnsi="仿宋" w:eastAsia="仿宋" w:cs="仿宋"/>
          <w:lang w:eastAsia="zh-CN"/>
        </w:rPr>
        <w:t>）</w:t>
      </w:r>
    </w:p>
    <w:p w14:paraId="706948AB">
      <w:pPr>
        <w:spacing w:line="240" w:lineRule="atLeast"/>
        <w:rPr>
          <w:rFonts w:ascii="仿宋" w:hAnsi="仿宋" w:eastAsia="仿宋" w:cs="仿宋"/>
          <w:b/>
          <w:kern w:val="44"/>
          <w:sz w:val="32"/>
          <w:szCs w:val="20"/>
        </w:rPr>
      </w:pPr>
    </w:p>
    <w:p w14:paraId="13D6FA6B">
      <w:pPr>
        <w:spacing w:line="440" w:lineRule="exact"/>
        <w:jc w:val="left"/>
        <w:rPr>
          <w:rFonts w:hint="eastAsia" w:ascii="宋体" w:hAnsi="宋体" w:cs="宋体"/>
          <w:bCs/>
          <w:color w:val="000000"/>
          <w:sz w:val="32"/>
          <w:szCs w:val="32"/>
        </w:rPr>
      </w:pPr>
      <w:bookmarkStart w:id="370" w:name="_Toc296503025"/>
      <w:bookmarkStart w:id="371" w:name="_Toc296890982"/>
      <w:r>
        <w:rPr>
          <w:rFonts w:hint="eastAsia" w:ascii="宋体" w:hAnsi="宋体" w:cs="宋体"/>
          <w:bCs/>
          <w:color w:val="000000"/>
          <w:sz w:val="32"/>
          <w:szCs w:val="32"/>
        </w:rPr>
        <w:t>（GF—2017—0201）</w:t>
      </w:r>
    </w:p>
    <w:p w14:paraId="27A6415B">
      <w:pPr>
        <w:spacing w:line="440" w:lineRule="exact"/>
        <w:jc w:val="center"/>
        <w:rPr>
          <w:rFonts w:hint="eastAsia" w:ascii="宋体" w:hAnsi="宋体" w:cs="宋体"/>
          <w:b/>
          <w:color w:val="000000"/>
          <w:sz w:val="32"/>
          <w:szCs w:val="32"/>
        </w:rPr>
      </w:pPr>
    </w:p>
    <w:p w14:paraId="41C53451">
      <w:pPr>
        <w:spacing w:line="440" w:lineRule="exact"/>
        <w:jc w:val="center"/>
        <w:rPr>
          <w:rFonts w:hint="eastAsia" w:ascii="宋体" w:hAnsi="宋体" w:cs="宋体"/>
          <w:b/>
          <w:color w:val="000000"/>
          <w:sz w:val="32"/>
          <w:szCs w:val="32"/>
        </w:rPr>
      </w:pPr>
    </w:p>
    <w:p w14:paraId="6B60174E">
      <w:pPr>
        <w:spacing w:line="440" w:lineRule="exact"/>
        <w:jc w:val="center"/>
        <w:rPr>
          <w:rFonts w:hint="eastAsia" w:ascii="宋体" w:hAnsi="宋体" w:cs="宋体"/>
          <w:b/>
          <w:color w:val="000000"/>
          <w:sz w:val="32"/>
          <w:szCs w:val="32"/>
        </w:rPr>
      </w:pPr>
    </w:p>
    <w:p w14:paraId="3500CF3D">
      <w:pPr>
        <w:spacing w:line="440" w:lineRule="exact"/>
        <w:jc w:val="center"/>
        <w:rPr>
          <w:rFonts w:hint="eastAsia" w:ascii="宋体" w:hAnsi="宋体" w:cs="宋体"/>
          <w:b/>
          <w:color w:val="000000"/>
          <w:sz w:val="32"/>
          <w:szCs w:val="32"/>
        </w:rPr>
      </w:pPr>
    </w:p>
    <w:p w14:paraId="3ADDA572">
      <w:pPr>
        <w:spacing w:line="440" w:lineRule="exact"/>
        <w:jc w:val="center"/>
        <w:rPr>
          <w:rFonts w:hint="eastAsia" w:ascii="宋体" w:hAnsi="宋体" w:cs="宋体"/>
          <w:b/>
          <w:color w:val="000000"/>
          <w:sz w:val="32"/>
          <w:szCs w:val="32"/>
        </w:rPr>
      </w:pPr>
    </w:p>
    <w:p w14:paraId="24FDF762">
      <w:pPr>
        <w:spacing w:line="440" w:lineRule="exact"/>
        <w:jc w:val="center"/>
        <w:rPr>
          <w:rFonts w:hint="eastAsia" w:ascii="宋体" w:hAnsi="宋体" w:cs="宋体"/>
          <w:b/>
          <w:color w:val="000000"/>
          <w:sz w:val="32"/>
          <w:szCs w:val="32"/>
        </w:rPr>
      </w:pPr>
    </w:p>
    <w:p w14:paraId="1C835439">
      <w:pPr>
        <w:spacing w:line="440" w:lineRule="exact"/>
        <w:jc w:val="center"/>
        <w:rPr>
          <w:rFonts w:hint="eastAsia" w:ascii="宋体" w:hAnsi="宋体" w:cs="宋体"/>
          <w:b/>
          <w:color w:val="000000"/>
          <w:sz w:val="32"/>
          <w:szCs w:val="32"/>
        </w:rPr>
      </w:pPr>
      <w:r>
        <w:rPr>
          <w:rFonts w:hint="eastAsia" w:ascii="宋体" w:hAnsi="宋体" w:cs="宋体"/>
          <w:b/>
          <w:color w:val="000000"/>
          <w:sz w:val="32"/>
          <w:szCs w:val="32"/>
        </w:rPr>
        <w:t>建设工程施工合同</w:t>
      </w:r>
    </w:p>
    <w:p w14:paraId="182AF08A">
      <w:pPr>
        <w:spacing w:line="440" w:lineRule="exact"/>
        <w:jc w:val="center"/>
        <w:rPr>
          <w:rFonts w:hint="eastAsia" w:ascii="宋体" w:hAnsi="宋体" w:cs="宋体"/>
          <w:b/>
          <w:color w:val="000000"/>
          <w:sz w:val="32"/>
          <w:szCs w:val="32"/>
        </w:rPr>
      </w:pPr>
      <w:r>
        <w:rPr>
          <w:rFonts w:hint="eastAsia" w:ascii="宋体" w:hAnsi="宋体" w:cs="宋体"/>
          <w:b/>
          <w:color w:val="000000"/>
          <w:sz w:val="32"/>
          <w:szCs w:val="32"/>
        </w:rPr>
        <w:t>（示范文本）</w:t>
      </w:r>
    </w:p>
    <w:p w14:paraId="7FCAC51D">
      <w:pPr>
        <w:spacing w:line="440" w:lineRule="exact"/>
        <w:rPr>
          <w:rFonts w:hint="eastAsia" w:ascii="宋体" w:hAnsi="宋体" w:cs="宋体"/>
          <w:b/>
          <w:color w:val="000000"/>
          <w:sz w:val="32"/>
          <w:szCs w:val="32"/>
        </w:rPr>
      </w:pPr>
    </w:p>
    <w:p w14:paraId="2CBB63D2">
      <w:pPr>
        <w:spacing w:line="440" w:lineRule="exact"/>
        <w:rPr>
          <w:rFonts w:hint="eastAsia" w:ascii="宋体" w:hAnsi="宋体" w:cs="宋体"/>
          <w:b/>
          <w:color w:val="000000"/>
          <w:sz w:val="32"/>
          <w:szCs w:val="32"/>
        </w:rPr>
      </w:pPr>
    </w:p>
    <w:p w14:paraId="73526CBB">
      <w:pPr>
        <w:spacing w:line="440" w:lineRule="exact"/>
        <w:rPr>
          <w:rFonts w:hint="eastAsia" w:ascii="宋体" w:hAnsi="宋体" w:cs="宋体"/>
          <w:b/>
          <w:color w:val="000000"/>
          <w:sz w:val="32"/>
          <w:szCs w:val="32"/>
        </w:rPr>
      </w:pPr>
    </w:p>
    <w:p w14:paraId="7CA84EF0">
      <w:pPr>
        <w:spacing w:line="440" w:lineRule="exact"/>
        <w:rPr>
          <w:rFonts w:hint="eastAsia" w:ascii="宋体" w:hAnsi="宋体" w:cs="宋体"/>
          <w:b/>
          <w:color w:val="000000"/>
          <w:sz w:val="32"/>
          <w:szCs w:val="32"/>
        </w:rPr>
      </w:pPr>
    </w:p>
    <w:p w14:paraId="364F4473">
      <w:pPr>
        <w:spacing w:line="440" w:lineRule="exact"/>
        <w:rPr>
          <w:rFonts w:hint="eastAsia" w:ascii="宋体" w:hAnsi="宋体" w:cs="宋体"/>
          <w:b/>
          <w:color w:val="000000"/>
          <w:sz w:val="32"/>
          <w:szCs w:val="32"/>
        </w:rPr>
      </w:pPr>
    </w:p>
    <w:p w14:paraId="66E60F1C">
      <w:pPr>
        <w:spacing w:line="440" w:lineRule="exact"/>
        <w:ind w:right="2719" w:rightChars="1295"/>
        <w:jc w:val="distribute"/>
        <w:rPr>
          <w:rFonts w:hint="eastAsia" w:ascii="宋体" w:hAnsi="宋体" w:cs="宋体"/>
          <w:b/>
          <w:color w:val="000000"/>
          <w:sz w:val="32"/>
          <w:szCs w:val="32"/>
        </w:rPr>
      </w:pPr>
    </w:p>
    <w:p w14:paraId="1AFD1DF8">
      <w:pPr>
        <w:spacing w:before="240" w:line="440" w:lineRule="exact"/>
        <w:rPr>
          <w:rFonts w:hint="eastAsia" w:ascii="宋体" w:hAnsi="宋体" w:cs="宋体"/>
          <w:b/>
          <w:color w:val="000000"/>
          <w:sz w:val="32"/>
          <w:szCs w:val="32"/>
        </w:rPr>
      </w:pPr>
    </w:p>
    <w:p w14:paraId="00D1E684">
      <w:pPr>
        <w:spacing w:before="240" w:line="440" w:lineRule="exact"/>
        <w:rPr>
          <w:rFonts w:hint="eastAsia" w:ascii="宋体" w:hAnsi="宋体" w:cs="宋体"/>
          <w:b/>
          <w:color w:val="000000"/>
          <w:sz w:val="32"/>
          <w:szCs w:val="32"/>
        </w:rPr>
      </w:pPr>
    </w:p>
    <w:p w14:paraId="11F817CC">
      <w:pPr>
        <w:spacing w:before="240" w:line="440" w:lineRule="exact"/>
        <w:rPr>
          <w:rFonts w:hint="eastAsia" w:ascii="宋体" w:hAnsi="宋体" w:cs="宋体"/>
          <w:b/>
          <w:color w:val="000000"/>
          <w:sz w:val="32"/>
          <w:szCs w:val="32"/>
        </w:rPr>
      </w:pPr>
    </w:p>
    <w:p w14:paraId="2730A945">
      <w:pPr>
        <w:spacing w:before="240" w:line="440" w:lineRule="exact"/>
        <w:rPr>
          <w:rFonts w:hint="eastAsia" w:ascii="宋体" w:hAnsi="宋体" w:cs="宋体"/>
          <w:b/>
          <w:color w:val="000000"/>
          <w:sz w:val="32"/>
          <w:szCs w:val="32"/>
        </w:rPr>
      </w:pPr>
    </w:p>
    <w:p w14:paraId="1BC26612">
      <w:pPr>
        <w:spacing w:before="240" w:line="440" w:lineRule="exact"/>
        <w:rPr>
          <w:rFonts w:hint="eastAsia" w:ascii="宋体" w:hAnsi="宋体" w:cs="宋体"/>
          <w:b/>
          <w:color w:val="000000"/>
          <w:sz w:val="32"/>
          <w:szCs w:val="32"/>
        </w:rPr>
      </w:pPr>
    </w:p>
    <w:p w14:paraId="590FBB2C">
      <w:pPr>
        <w:spacing w:line="440" w:lineRule="exact"/>
        <w:ind w:right="2719" w:rightChars="1295"/>
        <w:jc w:val="distribute"/>
        <w:rPr>
          <w:rFonts w:hint="eastAsia" w:ascii="宋体" w:hAnsi="宋体" w:cs="宋体"/>
          <w:b/>
          <w:color w:val="000000"/>
          <w:sz w:val="32"/>
          <w:szCs w:val="32"/>
        </w:rPr>
      </w:pPr>
    </w:p>
    <w:p w14:paraId="738F4158">
      <w:pPr>
        <w:spacing w:line="440" w:lineRule="exact"/>
        <w:ind w:right="2719" w:rightChars="1295"/>
        <w:jc w:val="center"/>
        <w:rPr>
          <w:rFonts w:hint="eastAsia" w:ascii="宋体" w:hAnsi="宋体" w:cs="宋体"/>
          <w:b/>
          <w:color w:val="000000"/>
          <w:sz w:val="32"/>
          <w:szCs w:val="32"/>
        </w:rPr>
      </w:pPr>
      <w:r>
        <w:rPr>
          <w:rFonts w:hint="eastAsia" w:ascii="宋体" w:hAnsi="宋体" w:eastAsia="宋体" w:cs="宋体"/>
          <w:sz w:val="32"/>
          <w:szCs w:val="32"/>
        </w:rPr>
        <mc:AlternateContent>
          <mc:Choice Requires="wps">
            <w:drawing>
              <wp:anchor distT="0" distB="0" distL="114300" distR="114300" simplePos="0" relativeHeight="251670528" behindDoc="0" locked="0" layoutInCell="1" allowOverlap="1">
                <wp:simplePos x="0" y="0"/>
                <wp:positionH relativeFrom="column">
                  <wp:posOffset>3945890</wp:posOffset>
                </wp:positionH>
                <wp:positionV relativeFrom="paragraph">
                  <wp:posOffset>71120</wp:posOffset>
                </wp:positionV>
                <wp:extent cx="675005" cy="457200"/>
                <wp:effectExtent l="4445" t="4445" r="6350" b="10795"/>
                <wp:wrapNone/>
                <wp:docPr id="13" name="文本框 13"/>
                <wp:cNvGraphicFramePr/>
                <a:graphic xmlns:a="http://schemas.openxmlformats.org/drawingml/2006/main">
                  <a:graphicData uri="http://schemas.microsoft.com/office/word/2010/wordprocessingShape">
                    <wps:wsp>
                      <wps:cNvSpPr txBox="1"/>
                      <wps:spPr>
                        <a:xfrm>
                          <a:off x="0" y="0"/>
                          <a:ext cx="675005" cy="457200"/>
                        </a:xfrm>
                        <a:prstGeom prst="rect">
                          <a:avLst/>
                        </a:prstGeom>
                        <a:noFill/>
                        <a:ln w="9525" cap="flat" cmpd="sng">
                          <a:solidFill>
                            <a:srgbClr val="FFFFFF"/>
                          </a:solidFill>
                          <a:prstDash val="solid"/>
                          <a:miter/>
                          <a:headEnd type="none" w="med" len="med"/>
                          <a:tailEnd type="none" w="med" len="med"/>
                        </a:ln>
                      </wps:spPr>
                      <wps:txbx>
                        <w:txbxContent>
                          <w:p w14:paraId="2C71CF8B">
                            <w:pPr>
                              <w:rPr>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0.7pt;margin-top:5.6pt;height:36pt;width:53.15pt;z-index:251670528;mso-width-relative:page;mso-height-relative:page;" filled="f" stroked="t" coordsize="21600,21600" o:gfxdata="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sZ1d2NgAAAAJAQAADwAAAAAAAAABACAAAAAiAAAAZHJz&#10;L2Rvd25yZXYueG1sUEsBAhQAFAAAAAgAh07iQLHfKkgEAgAADgQAAA4AAAAAAAAAAQAgAAAAJwEA&#10;AGRycy9lMm9Eb2MueG1sUEsFBgAAAAAGAAYAWQEAAJ0FAAAAAA==&#10;">
                <v:fill on="f" focussize="0,0"/>
                <v:stroke color="#FFFFFF" joinstyle="miter"/>
                <v:imagedata o:title=""/>
                <o:lock v:ext="edit" aspectratio="f"/>
                <v:textbox>
                  <w:txbxContent>
                    <w:p w14:paraId="2C71CF8B">
                      <w:pPr>
                        <w:rPr>
                          <w:b/>
                          <w:bCs/>
                          <w:sz w:val="32"/>
                        </w:rPr>
                      </w:pPr>
                      <w:r>
                        <w:rPr>
                          <w:rFonts w:hint="eastAsia"/>
                          <w:b/>
                          <w:bCs/>
                          <w:sz w:val="32"/>
                        </w:rPr>
                        <w:t>制定</w:t>
                      </w:r>
                    </w:p>
                  </w:txbxContent>
                </v:textbox>
              </v:shape>
            </w:pict>
          </mc:Fallback>
        </mc:AlternateContent>
      </w:r>
      <w:r>
        <w:rPr>
          <w:rFonts w:hint="eastAsia" w:ascii="宋体" w:hAnsi="宋体" w:cs="宋体"/>
          <w:b/>
          <w:color w:val="000000"/>
          <w:sz w:val="32"/>
          <w:szCs w:val="32"/>
        </w:rPr>
        <w:t>住房城乡建设部</w:t>
      </w:r>
    </w:p>
    <w:p w14:paraId="7ECA0F34">
      <w:pPr>
        <w:spacing w:line="440" w:lineRule="exact"/>
        <w:ind w:right="2719" w:rightChars="1295"/>
        <w:jc w:val="center"/>
        <w:rPr>
          <w:rFonts w:hint="eastAsia" w:ascii="宋体" w:hAnsi="宋体" w:cs="宋体"/>
          <w:b/>
          <w:color w:val="000000"/>
          <w:sz w:val="32"/>
          <w:szCs w:val="32"/>
        </w:rPr>
      </w:pPr>
      <w:r>
        <w:rPr>
          <w:rFonts w:hint="eastAsia" w:ascii="宋体" w:hAnsi="宋体" w:cs="宋体"/>
          <w:b/>
          <w:color w:val="000000"/>
          <w:sz w:val="32"/>
          <w:szCs w:val="32"/>
        </w:rPr>
        <w:t>国家工商行政管理总局</w:t>
      </w:r>
    </w:p>
    <w:p w14:paraId="0E6B5DC8">
      <w:pPr>
        <w:widowControl/>
        <w:spacing w:line="440" w:lineRule="exact"/>
        <w:jc w:val="center"/>
        <w:rPr>
          <w:rFonts w:hint="eastAsia" w:ascii="宋体" w:hAnsi="宋体" w:cs="宋体"/>
          <w:color w:val="000000"/>
          <w:kern w:val="0"/>
          <w:sz w:val="32"/>
          <w:szCs w:val="32"/>
        </w:rPr>
      </w:pPr>
    </w:p>
    <w:p w14:paraId="1A58F32C">
      <w:pPr>
        <w:spacing w:line="440" w:lineRule="exact"/>
        <w:rPr>
          <w:rFonts w:hint="eastAsia" w:ascii="宋体" w:hAnsi="宋体" w:cs="宋体"/>
          <w:sz w:val="32"/>
          <w:szCs w:val="32"/>
          <w:lang w:val="zh-CN"/>
        </w:rPr>
      </w:pPr>
      <w:r>
        <w:rPr>
          <w:rFonts w:hint="eastAsia" w:ascii="宋体" w:hAnsi="宋体" w:cs="宋体"/>
          <w:sz w:val="32"/>
          <w:szCs w:val="32"/>
          <w:lang w:val="zh-CN"/>
        </w:rPr>
        <w:br w:type="page"/>
      </w:r>
    </w:p>
    <w:p w14:paraId="7D2C5C79">
      <w:pPr>
        <w:pStyle w:val="66"/>
        <w:spacing w:line="440" w:lineRule="exact"/>
        <w:jc w:val="center"/>
        <w:rPr>
          <w:rFonts w:hint="eastAsia" w:ascii="宋体" w:hAnsi="宋体" w:eastAsia="宋体" w:cs="宋体"/>
          <w:szCs w:val="32"/>
          <w:lang w:val="zh-CN"/>
        </w:rPr>
      </w:pPr>
      <w:r>
        <w:rPr>
          <w:rFonts w:hint="eastAsia" w:ascii="宋体" w:hAnsi="宋体" w:eastAsia="宋体" w:cs="宋体"/>
          <w:szCs w:val="32"/>
          <w:lang w:val="zh-CN"/>
        </w:rPr>
        <w:t>说明</w:t>
      </w:r>
    </w:p>
    <w:p w14:paraId="66CBCF1C">
      <w:pPr>
        <w:spacing w:line="440" w:lineRule="exact"/>
        <w:ind w:firstLine="640" w:firstLineChars="200"/>
        <w:rPr>
          <w:rFonts w:hint="eastAsia" w:ascii="宋体" w:hAnsi="宋体" w:cs="宋体"/>
          <w:sz w:val="32"/>
          <w:szCs w:val="32"/>
        </w:rPr>
      </w:pPr>
      <w:r>
        <w:rPr>
          <w:rFonts w:hint="eastAsia" w:ascii="宋体" w:hAnsi="宋体" w:cs="宋体"/>
          <w:sz w:val="32"/>
          <w:szCs w:val="32"/>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734B4497">
      <w:pPr>
        <w:spacing w:line="440" w:lineRule="exact"/>
        <w:ind w:firstLine="643" w:firstLineChars="200"/>
        <w:outlineLvl w:val="0"/>
        <w:rPr>
          <w:rFonts w:hint="eastAsia" w:ascii="宋体" w:hAnsi="宋体" w:cs="宋体"/>
          <w:b/>
          <w:sz w:val="32"/>
          <w:szCs w:val="32"/>
        </w:rPr>
      </w:pPr>
      <w:bookmarkStart w:id="372" w:name="_Toc256000023_1"/>
      <w:bookmarkStart w:id="373" w:name="_Toc2058"/>
      <w:bookmarkStart w:id="374" w:name="_Toc256000023"/>
      <w:bookmarkStart w:id="375" w:name="_Toc26548"/>
      <w:bookmarkStart w:id="376" w:name="_Toc256000220"/>
      <w:bookmarkStart w:id="377" w:name="_Toc256000023_0"/>
      <w:r>
        <w:rPr>
          <w:rFonts w:hint="eastAsia" w:ascii="宋体" w:hAnsi="宋体" w:cs="宋体"/>
          <w:b/>
          <w:sz w:val="32"/>
          <w:szCs w:val="32"/>
        </w:rPr>
        <w:t>一、《示范文本》的组成</w:t>
      </w:r>
      <w:bookmarkEnd w:id="372"/>
      <w:bookmarkEnd w:id="373"/>
      <w:bookmarkEnd w:id="374"/>
      <w:bookmarkEnd w:id="375"/>
      <w:bookmarkEnd w:id="376"/>
      <w:bookmarkEnd w:id="377"/>
    </w:p>
    <w:p w14:paraId="2D09B065">
      <w:pPr>
        <w:spacing w:line="440" w:lineRule="exact"/>
        <w:ind w:firstLine="640" w:firstLineChars="200"/>
        <w:rPr>
          <w:rFonts w:hint="eastAsia" w:ascii="宋体" w:hAnsi="宋体" w:cs="宋体"/>
          <w:sz w:val="32"/>
          <w:szCs w:val="32"/>
        </w:rPr>
      </w:pPr>
      <w:r>
        <w:rPr>
          <w:rFonts w:hint="eastAsia" w:ascii="宋体" w:hAnsi="宋体" w:cs="宋体"/>
          <w:sz w:val="32"/>
          <w:szCs w:val="32"/>
        </w:rPr>
        <w:t>《示范文本》由合同协议书、通用合同条款和专用合同条款三部分组成。</w:t>
      </w:r>
    </w:p>
    <w:p w14:paraId="7081A6E8">
      <w:pPr>
        <w:spacing w:line="440" w:lineRule="exact"/>
        <w:ind w:firstLine="640" w:firstLineChars="200"/>
        <w:outlineLvl w:val="0"/>
        <w:rPr>
          <w:rFonts w:hint="eastAsia" w:ascii="宋体" w:hAnsi="宋体" w:cs="宋体"/>
          <w:sz w:val="32"/>
          <w:szCs w:val="32"/>
        </w:rPr>
      </w:pPr>
      <w:bookmarkStart w:id="378" w:name="_Toc256000024_1"/>
      <w:bookmarkStart w:id="379" w:name="_Toc256000024_0"/>
      <w:bookmarkStart w:id="380" w:name="_Toc256000221"/>
      <w:bookmarkStart w:id="381" w:name="_Toc256000024"/>
      <w:bookmarkStart w:id="382" w:name="_Toc26904"/>
      <w:r>
        <w:rPr>
          <w:rFonts w:hint="eastAsia" w:ascii="宋体" w:hAnsi="宋体" w:cs="宋体"/>
          <w:sz w:val="32"/>
          <w:szCs w:val="32"/>
        </w:rPr>
        <w:t>（一）合同协议书</w:t>
      </w:r>
      <w:bookmarkEnd w:id="378"/>
      <w:bookmarkEnd w:id="379"/>
      <w:bookmarkEnd w:id="380"/>
      <w:bookmarkEnd w:id="381"/>
      <w:bookmarkEnd w:id="382"/>
    </w:p>
    <w:p w14:paraId="654B2062">
      <w:pPr>
        <w:spacing w:line="440" w:lineRule="exact"/>
        <w:ind w:firstLine="640" w:firstLineChars="200"/>
        <w:rPr>
          <w:rFonts w:hint="eastAsia" w:ascii="宋体" w:hAnsi="宋体" w:cs="宋体"/>
          <w:sz w:val="32"/>
          <w:szCs w:val="32"/>
        </w:rPr>
      </w:pPr>
      <w:r>
        <w:rPr>
          <w:rFonts w:hint="eastAsia" w:ascii="宋体" w:hAnsi="宋体" w:cs="宋体"/>
          <w:sz w:val="32"/>
          <w:szCs w:val="32"/>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68EC7A3E">
      <w:pPr>
        <w:spacing w:line="440" w:lineRule="exact"/>
        <w:ind w:firstLine="640" w:firstLineChars="200"/>
        <w:outlineLvl w:val="0"/>
        <w:rPr>
          <w:rFonts w:hint="eastAsia" w:ascii="宋体" w:hAnsi="宋体" w:cs="宋体"/>
          <w:sz w:val="32"/>
          <w:szCs w:val="32"/>
        </w:rPr>
      </w:pPr>
      <w:bookmarkStart w:id="383" w:name="_Toc256000025_0"/>
      <w:bookmarkStart w:id="384" w:name="_Toc256000025_1"/>
      <w:bookmarkStart w:id="385" w:name="_Toc3536"/>
      <w:bookmarkStart w:id="386" w:name="_Toc256000222"/>
      <w:bookmarkStart w:id="387" w:name="_Toc256000025"/>
      <w:bookmarkStart w:id="388" w:name="_Toc23175"/>
      <w:r>
        <w:rPr>
          <w:rFonts w:hint="eastAsia" w:ascii="宋体" w:hAnsi="宋体" w:cs="宋体"/>
          <w:sz w:val="32"/>
          <w:szCs w:val="32"/>
        </w:rPr>
        <w:t>（二）通用合同条款</w:t>
      </w:r>
      <w:bookmarkEnd w:id="383"/>
      <w:bookmarkEnd w:id="384"/>
      <w:bookmarkEnd w:id="385"/>
      <w:bookmarkEnd w:id="386"/>
      <w:bookmarkEnd w:id="387"/>
      <w:bookmarkEnd w:id="388"/>
    </w:p>
    <w:p w14:paraId="2D785964">
      <w:pPr>
        <w:spacing w:line="440" w:lineRule="exact"/>
        <w:ind w:firstLine="640" w:firstLineChars="200"/>
        <w:rPr>
          <w:rFonts w:hint="eastAsia" w:ascii="宋体" w:hAnsi="宋体" w:cs="宋体"/>
          <w:sz w:val="32"/>
          <w:szCs w:val="32"/>
        </w:rPr>
      </w:pPr>
      <w:r>
        <w:rPr>
          <w:rFonts w:hint="eastAsia" w:ascii="宋体" w:hAnsi="宋体" w:cs="宋体"/>
          <w:sz w:val="32"/>
          <w:szCs w:val="32"/>
        </w:rPr>
        <w:t>通用合同条款是合同当事人根据《中华人民共和国建筑法》、《中华人民共和国合同法》等法律法规的规定，就工程建设的实施及相关事项，对合同当事人的权利义务作出的原则性约定。</w:t>
      </w:r>
    </w:p>
    <w:p w14:paraId="2634AACC">
      <w:pPr>
        <w:spacing w:line="440" w:lineRule="exact"/>
        <w:ind w:firstLine="640" w:firstLineChars="200"/>
        <w:rPr>
          <w:rFonts w:hint="eastAsia" w:ascii="宋体" w:hAnsi="宋体" w:cs="宋体"/>
          <w:sz w:val="32"/>
          <w:szCs w:val="32"/>
        </w:rPr>
      </w:pPr>
      <w:r>
        <w:rPr>
          <w:rFonts w:hint="eastAsia" w:ascii="宋体" w:hAnsi="宋体" w:cs="宋体"/>
          <w:sz w:val="32"/>
          <w:szCs w:val="32"/>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12068C26">
      <w:pPr>
        <w:spacing w:line="440" w:lineRule="exact"/>
        <w:ind w:firstLine="640" w:firstLineChars="200"/>
        <w:outlineLvl w:val="0"/>
        <w:rPr>
          <w:rFonts w:hint="eastAsia" w:ascii="宋体" w:hAnsi="宋体" w:cs="宋体"/>
          <w:sz w:val="32"/>
          <w:szCs w:val="32"/>
        </w:rPr>
      </w:pPr>
      <w:bookmarkStart w:id="389" w:name="_Toc15474"/>
      <w:bookmarkStart w:id="390" w:name="_Toc256000026_0"/>
      <w:bookmarkStart w:id="391" w:name="_Toc256000223"/>
      <w:bookmarkStart w:id="392" w:name="_Toc256000026"/>
      <w:bookmarkStart w:id="393" w:name="_Toc12822"/>
      <w:bookmarkStart w:id="394" w:name="_Toc256000026_1"/>
      <w:r>
        <w:rPr>
          <w:rFonts w:hint="eastAsia" w:ascii="宋体" w:hAnsi="宋体" w:cs="宋体"/>
          <w:sz w:val="32"/>
          <w:szCs w:val="32"/>
        </w:rPr>
        <w:t>（三）专用合同条款</w:t>
      </w:r>
      <w:bookmarkEnd w:id="389"/>
      <w:bookmarkEnd w:id="390"/>
      <w:bookmarkEnd w:id="391"/>
      <w:bookmarkEnd w:id="392"/>
      <w:bookmarkEnd w:id="393"/>
      <w:bookmarkEnd w:id="394"/>
    </w:p>
    <w:p w14:paraId="60B78301">
      <w:pPr>
        <w:spacing w:line="440" w:lineRule="exact"/>
        <w:ind w:firstLine="640" w:firstLineChars="200"/>
        <w:rPr>
          <w:rFonts w:hint="eastAsia" w:ascii="宋体" w:hAnsi="宋体" w:cs="宋体"/>
          <w:sz w:val="32"/>
          <w:szCs w:val="32"/>
        </w:rPr>
      </w:pPr>
      <w:r>
        <w:rPr>
          <w:rFonts w:hint="eastAsia" w:ascii="宋体" w:hAnsi="宋体" w:cs="宋体"/>
          <w:sz w:val="32"/>
          <w:szCs w:val="32"/>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2E0EA8B8">
      <w:pPr>
        <w:spacing w:line="440" w:lineRule="exact"/>
        <w:ind w:firstLine="640" w:firstLineChars="200"/>
        <w:rPr>
          <w:rFonts w:hint="eastAsia" w:ascii="宋体" w:hAnsi="宋体" w:cs="宋体"/>
          <w:sz w:val="32"/>
          <w:szCs w:val="32"/>
        </w:rPr>
      </w:pPr>
      <w:r>
        <w:rPr>
          <w:rFonts w:hint="eastAsia" w:ascii="宋体" w:hAnsi="宋体" w:cs="宋体"/>
          <w:sz w:val="32"/>
          <w:szCs w:val="32"/>
        </w:rPr>
        <w:t>1.专用合同条款的编号应与相应的通用合同条款的编号一致；</w:t>
      </w:r>
    </w:p>
    <w:p w14:paraId="097D1A6B">
      <w:pPr>
        <w:spacing w:line="440" w:lineRule="exact"/>
        <w:ind w:firstLine="640" w:firstLineChars="200"/>
        <w:rPr>
          <w:rFonts w:hint="eastAsia" w:ascii="宋体" w:hAnsi="宋体" w:cs="宋体"/>
          <w:sz w:val="32"/>
          <w:szCs w:val="32"/>
        </w:rPr>
      </w:pPr>
      <w:r>
        <w:rPr>
          <w:rFonts w:hint="eastAsia" w:ascii="宋体" w:hAnsi="宋体" w:cs="宋体"/>
          <w:sz w:val="32"/>
          <w:szCs w:val="32"/>
        </w:rPr>
        <w:t>2.合同当事人可以通过对专用合同条款的修改，满足具体建设工程的特殊要求，避免直接修改通用合同条款；</w:t>
      </w:r>
    </w:p>
    <w:p w14:paraId="3443CA64">
      <w:pPr>
        <w:spacing w:line="440" w:lineRule="exact"/>
        <w:ind w:firstLine="640" w:firstLineChars="200"/>
        <w:rPr>
          <w:rFonts w:hint="eastAsia" w:ascii="宋体" w:hAnsi="宋体" w:cs="宋体"/>
          <w:sz w:val="32"/>
          <w:szCs w:val="32"/>
        </w:rPr>
      </w:pPr>
      <w:r>
        <w:rPr>
          <w:rFonts w:hint="eastAsia" w:ascii="宋体" w:hAnsi="宋体" w:cs="宋体"/>
          <w:sz w:val="32"/>
          <w:szCs w:val="32"/>
        </w:rPr>
        <w:t>3.在专用合同条款中有横道线的地方，合同当事人可针对相应的通用合同条款进行细化、完善、补充、修改或另行约定；如无细化、完善、补充、修改或另行约定，则填写“无”或划“/”。</w:t>
      </w:r>
    </w:p>
    <w:p w14:paraId="743850F3">
      <w:pPr>
        <w:spacing w:line="440" w:lineRule="exact"/>
        <w:ind w:firstLine="640" w:firstLineChars="200"/>
        <w:outlineLvl w:val="0"/>
        <w:rPr>
          <w:rFonts w:hint="eastAsia" w:ascii="宋体" w:hAnsi="宋体" w:cs="宋体"/>
          <w:b/>
          <w:sz w:val="32"/>
          <w:szCs w:val="32"/>
        </w:rPr>
      </w:pPr>
      <w:bookmarkStart w:id="395" w:name="_Toc256000027"/>
      <w:bookmarkStart w:id="396" w:name="_Toc256000224"/>
      <w:bookmarkStart w:id="397" w:name="_Toc16832"/>
      <w:bookmarkStart w:id="398" w:name="_Toc256000027_0"/>
      <w:bookmarkStart w:id="399" w:name="_Toc256000027_1"/>
      <w:bookmarkStart w:id="400" w:name="_Toc15601"/>
      <w:r>
        <w:rPr>
          <w:rFonts w:hint="eastAsia" w:ascii="宋体" w:hAnsi="宋体" w:cs="宋体"/>
          <w:bCs/>
          <w:sz w:val="32"/>
          <w:szCs w:val="32"/>
        </w:rPr>
        <w:t>二、《示范文本》的性质和适用范围</w:t>
      </w:r>
      <w:bookmarkEnd w:id="395"/>
      <w:bookmarkEnd w:id="396"/>
      <w:bookmarkEnd w:id="397"/>
      <w:bookmarkEnd w:id="398"/>
      <w:bookmarkEnd w:id="399"/>
      <w:bookmarkEnd w:id="400"/>
    </w:p>
    <w:p w14:paraId="0011B7D8">
      <w:pPr>
        <w:spacing w:line="440" w:lineRule="exact"/>
        <w:ind w:firstLine="640" w:firstLineChars="200"/>
        <w:rPr>
          <w:rFonts w:hint="eastAsia" w:ascii="宋体" w:hAnsi="宋体" w:cs="宋体"/>
          <w:sz w:val="32"/>
          <w:szCs w:val="32"/>
        </w:rPr>
      </w:pPr>
      <w:r>
        <w:rPr>
          <w:rFonts w:hint="eastAsia" w:ascii="宋体" w:hAnsi="宋体" w:cs="宋体"/>
          <w:sz w:val="32"/>
          <w:szCs w:val="32"/>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bookmarkEnd w:id="370"/>
    <w:bookmarkEnd w:id="371"/>
    <w:p w14:paraId="71F0870D">
      <w:pPr>
        <w:rPr>
          <w:rFonts w:hint="eastAsia" w:ascii="宋体" w:hAnsi="宋体" w:cs="宋体"/>
          <w:sz w:val="32"/>
          <w:szCs w:val="32"/>
        </w:rPr>
      </w:pPr>
      <w:bookmarkStart w:id="401" w:name="_Toc256000028"/>
      <w:bookmarkStart w:id="402" w:name="_Toc256000089"/>
      <w:bookmarkStart w:id="403" w:name="_Toc256000079"/>
      <w:bookmarkStart w:id="404" w:name="_Toc351203480"/>
      <w:r>
        <w:rPr>
          <w:rFonts w:hint="eastAsia" w:ascii="宋体" w:hAnsi="宋体" w:cs="宋体"/>
          <w:sz w:val="32"/>
          <w:szCs w:val="32"/>
        </w:rPr>
        <w:br w:type="page"/>
      </w:r>
    </w:p>
    <w:p w14:paraId="6F82DFB5">
      <w:pPr>
        <w:keepNext/>
        <w:keepLines/>
        <w:spacing w:line="440" w:lineRule="exact"/>
        <w:ind w:firstLine="643" w:firstLineChars="200"/>
        <w:jc w:val="center"/>
        <w:outlineLvl w:val="2"/>
        <w:rPr>
          <w:rFonts w:hint="eastAsia" w:ascii="宋体" w:hAnsi="宋体" w:cs="宋体"/>
          <w:bCs/>
          <w:sz w:val="32"/>
          <w:szCs w:val="32"/>
        </w:rPr>
      </w:pPr>
      <w:bookmarkStart w:id="405" w:name="_Toc16880"/>
      <w:bookmarkStart w:id="406" w:name="_Toc256000225"/>
      <w:bookmarkStart w:id="407" w:name="_Toc27889"/>
      <w:r>
        <w:rPr>
          <w:rFonts w:hint="eastAsia" w:ascii="宋体" w:hAnsi="宋体" w:cs="宋体"/>
          <w:b/>
          <w:bCs/>
          <w:sz w:val="32"/>
          <w:szCs w:val="32"/>
        </w:rPr>
        <w:t>第一部分合同协议书</w:t>
      </w:r>
      <w:bookmarkEnd w:id="401"/>
      <w:bookmarkEnd w:id="402"/>
      <w:bookmarkEnd w:id="403"/>
      <w:bookmarkEnd w:id="404"/>
      <w:bookmarkEnd w:id="405"/>
      <w:bookmarkEnd w:id="406"/>
      <w:bookmarkEnd w:id="407"/>
    </w:p>
    <w:p w14:paraId="5AA137E8">
      <w:pPr>
        <w:spacing w:line="440" w:lineRule="exact"/>
        <w:ind w:left="3208" w:leftChars="304" w:hanging="2570" w:hangingChars="800"/>
        <w:rPr>
          <w:rFonts w:hint="eastAsia" w:ascii="宋体" w:hAnsi="宋体" w:cs="宋体"/>
          <w:b/>
          <w:sz w:val="32"/>
          <w:szCs w:val="32"/>
          <w:u w:val="single"/>
        </w:rPr>
      </w:pPr>
      <w:r>
        <w:rPr>
          <w:rFonts w:hint="eastAsia" w:ascii="宋体" w:hAnsi="宋体" w:cs="宋体"/>
          <w:b/>
          <w:sz w:val="32"/>
          <w:szCs w:val="32"/>
        </w:rPr>
        <w:t>发包人（全称）：</w:t>
      </w:r>
      <w:r>
        <w:rPr>
          <w:rFonts w:hint="eastAsia" w:ascii="Times New Roman" w:hAnsi="Times New Roman" w:cs="宋体"/>
          <w:bCs/>
          <w:sz w:val="32"/>
          <w:szCs w:val="32"/>
          <w:u w:val="single"/>
          <w:lang w:eastAsia="zh-CN"/>
        </w:rPr>
        <w:t>喀什经济开发区城东金融贸易发展服务中心</w:t>
      </w:r>
    </w:p>
    <w:p w14:paraId="12E81FA3">
      <w:pPr>
        <w:spacing w:line="440" w:lineRule="exact"/>
        <w:ind w:firstLine="643" w:firstLineChars="200"/>
        <w:rPr>
          <w:rFonts w:hint="eastAsia" w:ascii="宋体" w:hAnsi="宋体" w:cs="宋体"/>
          <w:bCs/>
          <w:sz w:val="32"/>
          <w:szCs w:val="32"/>
          <w:u w:val="single"/>
        </w:rPr>
      </w:pPr>
      <w:r>
        <w:rPr>
          <w:rFonts w:hint="eastAsia" w:ascii="宋体" w:hAnsi="宋体" w:cs="宋体"/>
          <w:b/>
          <w:sz w:val="32"/>
          <w:szCs w:val="32"/>
        </w:rPr>
        <w:t>承包人（全称）：</w:t>
      </w:r>
      <w:r>
        <w:rPr>
          <w:rFonts w:ascii="Times New Roman" w:hAnsi="Times New Roman" w:cs="宋体"/>
          <w:bCs/>
          <w:sz w:val="32"/>
          <w:szCs w:val="32"/>
          <w:u w:val="single"/>
        </w:rPr>
        <w:sym w:font="Times New Roman" w:char="E5E5"/>
      </w:r>
      <w:r>
        <w:rPr>
          <w:rFonts w:ascii="Times New Roman" w:hAnsi="Times New Roman" w:cs="宋体"/>
          <w:bCs/>
          <w:sz w:val="32"/>
          <w:szCs w:val="32"/>
          <w:u w:val="single"/>
        </w:rPr>
        <w:sym w:font="Times New Roman" w:char="E5E5"/>
      </w:r>
      <w:r>
        <w:rPr>
          <w:rFonts w:hint="eastAsia" w:ascii="宋体" w:hAnsi="宋体" w:cs="宋体"/>
          <w:bCs/>
          <w:sz w:val="32"/>
          <w:szCs w:val="32"/>
          <w:u w:val="single"/>
        </w:rPr>
        <w:t></w:t>
      </w:r>
      <w:r>
        <w:rPr>
          <w:rFonts w:ascii="Times New Roman" w:hAnsi="Times New Roman" w:cs="宋体"/>
          <w:bCs/>
          <w:sz w:val="32"/>
          <w:szCs w:val="32"/>
          <w:u w:val="single"/>
        </w:rPr>
        <w:sym w:font="Times New Roman" w:char="E5E5"/>
      </w:r>
    </w:p>
    <w:p w14:paraId="2FFA9262">
      <w:pPr>
        <w:spacing w:line="440" w:lineRule="exact"/>
        <w:ind w:firstLine="640" w:firstLineChars="200"/>
        <w:rPr>
          <w:rFonts w:hint="eastAsia" w:ascii="宋体" w:hAnsi="宋体" w:cs="宋体"/>
          <w:sz w:val="32"/>
          <w:szCs w:val="32"/>
        </w:rPr>
      </w:pPr>
      <w:r>
        <w:rPr>
          <w:rFonts w:hint="eastAsia" w:ascii="宋体" w:hAnsi="宋体" w:cs="宋体"/>
          <w:sz w:val="32"/>
          <w:szCs w:val="32"/>
        </w:rPr>
        <w:t>根据《中华人民共和国合同法》、《中华人民共和国建筑法》及有关法律规定，遵循平等、自愿、公平和诚实信用的原则，双方就</w:t>
      </w:r>
      <w:r>
        <w:rPr>
          <w:rFonts w:hint="eastAsia" w:ascii="宋体" w:hAnsi="宋体" w:cs="宋体"/>
          <w:sz w:val="32"/>
          <w:szCs w:val="32"/>
          <w:u w:val="single"/>
          <w:lang w:eastAsia="zh-CN"/>
        </w:rPr>
        <w:t>启迪冰雪项目三通一平土方清运采购项目二次</w:t>
      </w:r>
      <w:r>
        <w:rPr>
          <w:rFonts w:hint="eastAsia" w:ascii="宋体" w:hAnsi="宋体" w:cs="宋体"/>
          <w:sz w:val="32"/>
          <w:szCs w:val="32"/>
        </w:rPr>
        <w:t>施工及有关事项协商一致，共同达成如下协议：</w:t>
      </w:r>
    </w:p>
    <w:p w14:paraId="44ECBF42">
      <w:pPr>
        <w:keepNext/>
        <w:keepLines/>
        <w:spacing w:line="440" w:lineRule="exact"/>
        <w:ind w:firstLine="640" w:firstLineChars="200"/>
        <w:outlineLvl w:val="3"/>
        <w:rPr>
          <w:rFonts w:hint="eastAsia" w:ascii="宋体" w:hAnsi="宋体" w:cs="宋体"/>
          <w:b/>
          <w:sz w:val="32"/>
          <w:szCs w:val="32"/>
        </w:rPr>
      </w:pPr>
      <w:bookmarkStart w:id="408" w:name="_Toc1127"/>
      <w:bookmarkStart w:id="409" w:name="_Toc7501"/>
      <w:bookmarkStart w:id="410" w:name="_Toc351203481"/>
      <w:r>
        <w:rPr>
          <w:rFonts w:hint="eastAsia" w:ascii="宋体" w:hAnsi="宋体" w:cs="宋体"/>
          <w:bCs/>
          <w:sz w:val="32"/>
          <w:szCs w:val="32"/>
        </w:rPr>
        <w:t>一、工程概况</w:t>
      </w:r>
      <w:bookmarkEnd w:id="408"/>
      <w:bookmarkEnd w:id="409"/>
      <w:bookmarkEnd w:id="410"/>
    </w:p>
    <w:p w14:paraId="20C15DE4">
      <w:pPr>
        <w:spacing w:line="440" w:lineRule="exact"/>
        <w:ind w:firstLine="640" w:firstLineChars="200"/>
        <w:rPr>
          <w:rFonts w:hint="eastAsia" w:ascii="宋体" w:hAnsi="宋体" w:cs="宋体"/>
          <w:sz w:val="32"/>
          <w:szCs w:val="32"/>
          <w:u w:val="single"/>
        </w:rPr>
      </w:pPr>
      <w:r>
        <w:rPr>
          <w:rFonts w:hint="eastAsia" w:ascii="宋体" w:hAnsi="宋体" w:cs="宋体"/>
          <w:bCs/>
          <w:sz w:val="32"/>
          <w:szCs w:val="32"/>
        </w:rPr>
        <w:t>1.工程名称</w:t>
      </w:r>
      <w:r>
        <w:rPr>
          <w:rFonts w:hint="eastAsia" w:ascii="宋体" w:hAnsi="宋体" w:cs="宋体"/>
          <w:sz w:val="32"/>
          <w:szCs w:val="32"/>
        </w:rPr>
        <w:t>：</w:t>
      </w:r>
      <w:r>
        <w:rPr>
          <w:rFonts w:hint="eastAsia" w:cs="宋体"/>
          <w:sz w:val="32"/>
          <w:szCs w:val="32"/>
          <w:u w:val="single"/>
          <w:lang w:eastAsia="zh-CN"/>
        </w:rPr>
        <w:t>启迪冰雪项目三通一平土方清运采购项目二次</w:t>
      </w:r>
      <w:r>
        <w:rPr>
          <w:rFonts w:hint="eastAsia" w:ascii="宋体" w:hAnsi="宋体" w:cs="宋体"/>
          <w:sz w:val="32"/>
          <w:szCs w:val="32"/>
        </w:rPr>
        <w:t>。</w:t>
      </w:r>
    </w:p>
    <w:p w14:paraId="6E3E011A">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2.工程地点：</w:t>
      </w:r>
      <w:r>
        <w:rPr>
          <w:rFonts w:hint="eastAsia" w:ascii="Times New Roman" w:hAnsi="Times New Roman" w:cs="宋体"/>
          <w:sz w:val="32"/>
          <w:szCs w:val="32"/>
          <w:u w:val="single"/>
        </w:rPr>
        <w:t>甲方指定位置</w:t>
      </w:r>
      <w:r>
        <w:rPr>
          <w:rFonts w:hint="eastAsia" w:ascii="宋体" w:hAnsi="宋体" w:cs="宋体"/>
          <w:sz w:val="32"/>
          <w:szCs w:val="32"/>
        </w:rPr>
        <w:t>。</w:t>
      </w:r>
    </w:p>
    <w:p w14:paraId="14F70406">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3.工程立项批准文号：</w:t>
      </w:r>
      <w:r>
        <w:rPr>
          <w:rFonts w:ascii="Times New Roman" w:hAnsi="Times New Roman" w:cs="宋体"/>
          <w:sz w:val="32"/>
          <w:szCs w:val="32"/>
          <w:u w:val="single"/>
        </w:rPr>
        <w:sym w:font="Times New Roman" w:char="E5E5"/>
      </w:r>
      <w:r>
        <w:rPr>
          <w:rFonts w:hint="eastAsia" w:ascii="宋体" w:hAnsi="宋体" w:cs="宋体"/>
          <w:bCs/>
          <w:sz w:val="32"/>
          <w:szCs w:val="32"/>
        </w:rPr>
        <w:t>。</w:t>
      </w:r>
    </w:p>
    <w:p w14:paraId="7233D61F">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4.资金来源：</w:t>
      </w:r>
      <w:r>
        <w:rPr>
          <w:rFonts w:hint="eastAsia" w:ascii="宋体" w:hAnsi="宋体" w:cs="宋体"/>
          <w:spacing w:val="5"/>
          <w:sz w:val="32"/>
          <w:szCs w:val="32"/>
          <w:u w:val="single"/>
          <w:lang w:val="en-US" w:eastAsia="zh-CN"/>
        </w:rPr>
        <w:t>财政预算</w:t>
      </w:r>
      <w:r>
        <w:rPr>
          <w:rFonts w:hint="eastAsia" w:ascii="宋体" w:hAnsi="宋体" w:cs="宋体"/>
          <w:spacing w:val="5"/>
          <w:sz w:val="32"/>
          <w:szCs w:val="32"/>
          <w:u w:val="single"/>
        </w:rPr>
        <w:t>资金</w:t>
      </w:r>
      <w:r>
        <w:rPr>
          <w:rFonts w:ascii="Times New Roman" w:hAnsi="Times New Roman" w:cs="宋体"/>
          <w:sz w:val="32"/>
          <w:szCs w:val="32"/>
          <w:u w:val="single"/>
        </w:rPr>
        <w:sym w:font="Times New Roman" w:char="E5E5"/>
      </w:r>
      <w:r>
        <w:rPr>
          <w:rFonts w:hint="eastAsia" w:ascii="宋体" w:hAnsi="宋体" w:cs="宋体"/>
          <w:bCs/>
          <w:sz w:val="32"/>
          <w:szCs w:val="32"/>
        </w:rPr>
        <w:t>。</w:t>
      </w:r>
    </w:p>
    <w:p w14:paraId="004673AE">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5.工程内容：</w:t>
      </w:r>
      <w:r>
        <w:rPr>
          <w:rFonts w:hint="eastAsia" w:ascii="宋体" w:hAnsi="宋体" w:cs="宋体"/>
          <w:bCs/>
          <w:sz w:val="32"/>
          <w:szCs w:val="32"/>
          <w:u w:val="single"/>
        </w:rPr>
        <w:t>原始面高程点平面图所示范围的全部工作内容为准。</w:t>
      </w:r>
      <w:r>
        <w:rPr>
          <w:rFonts w:hint="eastAsia" w:ascii="宋体" w:hAnsi="宋体" w:cs="宋体"/>
          <w:sz w:val="32"/>
          <w:szCs w:val="32"/>
        </w:rPr>
        <w:t>群体工程应附《承包人承揽工程项目一览表》（附件1）。</w:t>
      </w:r>
    </w:p>
    <w:p w14:paraId="31874DFE">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6.工程承包范围：</w:t>
      </w:r>
    </w:p>
    <w:p w14:paraId="2CFCB586">
      <w:pPr>
        <w:spacing w:line="440" w:lineRule="exact"/>
        <w:ind w:firstLine="640" w:firstLineChars="200"/>
        <w:rPr>
          <w:rFonts w:hint="eastAsia" w:ascii="宋体" w:hAnsi="宋体" w:cs="宋体"/>
          <w:sz w:val="32"/>
          <w:szCs w:val="32"/>
        </w:rPr>
      </w:pP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5C19716A">
      <w:pPr>
        <w:keepNext/>
        <w:keepLines/>
        <w:spacing w:line="440" w:lineRule="exact"/>
        <w:ind w:firstLine="640" w:firstLineChars="200"/>
        <w:outlineLvl w:val="3"/>
        <w:rPr>
          <w:rFonts w:hint="eastAsia" w:ascii="宋体" w:hAnsi="宋体" w:cs="宋体"/>
          <w:bCs/>
          <w:sz w:val="32"/>
          <w:szCs w:val="32"/>
        </w:rPr>
      </w:pPr>
      <w:bookmarkStart w:id="411" w:name="_Toc351203482"/>
      <w:bookmarkStart w:id="412" w:name="_Toc31517"/>
      <w:bookmarkStart w:id="413" w:name="_Toc21462"/>
      <w:r>
        <w:rPr>
          <w:rFonts w:hint="eastAsia" w:ascii="宋体" w:hAnsi="宋体" w:cs="宋体"/>
          <w:bCs/>
          <w:sz w:val="32"/>
          <w:szCs w:val="32"/>
        </w:rPr>
        <w:t>二、合同工期</w:t>
      </w:r>
      <w:bookmarkEnd w:id="411"/>
      <w:bookmarkEnd w:id="412"/>
      <w:bookmarkEnd w:id="413"/>
    </w:p>
    <w:p w14:paraId="521C2731">
      <w:pPr>
        <w:spacing w:line="440" w:lineRule="exact"/>
        <w:ind w:firstLine="640" w:firstLineChars="200"/>
        <w:rPr>
          <w:rFonts w:hint="eastAsia" w:ascii="宋体" w:hAnsi="宋体" w:cs="宋体"/>
          <w:sz w:val="32"/>
          <w:szCs w:val="32"/>
        </w:rPr>
      </w:pPr>
      <w:r>
        <w:rPr>
          <w:rFonts w:hint="eastAsia" w:ascii="宋体" w:hAnsi="宋体" w:cs="宋体"/>
          <w:sz w:val="32"/>
          <w:szCs w:val="32"/>
        </w:rPr>
        <w:t>计划开工日期：</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年</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月</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日。</w:t>
      </w:r>
    </w:p>
    <w:p w14:paraId="1523F9DB">
      <w:pPr>
        <w:spacing w:line="440" w:lineRule="exact"/>
        <w:ind w:firstLine="640" w:firstLineChars="200"/>
        <w:rPr>
          <w:rFonts w:hint="eastAsia" w:ascii="宋体" w:hAnsi="宋体" w:cs="宋体"/>
          <w:sz w:val="32"/>
          <w:szCs w:val="32"/>
        </w:rPr>
      </w:pPr>
      <w:r>
        <w:rPr>
          <w:rFonts w:hint="eastAsia" w:ascii="宋体" w:hAnsi="宋体" w:cs="宋体"/>
          <w:sz w:val="32"/>
          <w:szCs w:val="32"/>
        </w:rPr>
        <w:t>计划竣工日期：</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年</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月</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日。</w:t>
      </w:r>
    </w:p>
    <w:p w14:paraId="5A117B66">
      <w:pPr>
        <w:spacing w:line="440" w:lineRule="exact"/>
        <w:ind w:firstLine="640" w:firstLineChars="200"/>
        <w:rPr>
          <w:rFonts w:hint="eastAsia" w:ascii="宋体" w:hAnsi="宋体" w:cs="宋体"/>
          <w:sz w:val="32"/>
          <w:szCs w:val="32"/>
        </w:rPr>
      </w:pPr>
      <w:r>
        <w:rPr>
          <w:rFonts w:hint="eastAsia" w:ascii="宋体" w:hAnsi="宋体" w:cs="宋体"/>
          <w:sz w:val="32"/>
          <w:szCs w:val="32"/>
        </w:rPr>
        <w:t>工期总日历天数：</w:t>
      </w:r>
      <w:r>
        <w:rPr>
          <w:rFonts w:hint="eastAsia" w:ascii="Times New Roman" w:hAnsi="Times New Roman" w:cs="宋体"/>
          <w:sz w:val="32"/>
          <w:szCs w:val="32"/>
          <w:u w:val="single"/>
          <w:lang w:val="en-US" w:eastAsia="zh-CN"/>
        </w:rPr>
        <w:t>14</w:t>
      </w:r>
      <w:r>
        <w:rPr>
          <w:rFonts w:hint="eastAsia" w:ascii="宋体" w:hAnsi="宋体" w:cs="宋体"/>
          <w:sz w:val="32"/>
          <w:szCs w:val="32"/>
        </w:rPr>
        <w:t>天。工期总日历天数与根据前述计划开竣工日期计算的工期天数不一致的，以工期总日历天数为准。</w:t>
      </w:r>
    </w:p>
    <w:p w14:paraId="25FAD5BD">
      <w:pPr>
        <w:keepNext/>
        <w:keepLines/>
        <w:spacing w:line="440" w:lineRule="exact"/>
        <w:ind w:firstLine="640" w:firstLineChars="200"/>
        <w:outlineLvl w:val="3"/>
        <w:rPr>
          <w:rFonts w:hint="eastAsia" w:ascii="宋体" w:hAnsi="宋体" w:cs="宋体"/>
          <w:b/>
          <w:sz w:val="32"/>
          <w:szCs w:val="32"/>
        </w:rPr>
      </w:pPr>
      <w:bookmarkStart w:id="414" w:name="_Toc351203483"/>
      <w:bookmarkStart w:id="415" w:name="_Toc16264"/>
      <w:bookmarkStart w:id="416" w:name="_Toc18148"/>
      <w:r>
        <w:rPr>
          <w:rFonts w:hint="eastAsia" w:ascii="宋体" w:hAnsi="宋体" w:cs="宋体"/>
          <w:bCs/>
          <w:sz w:val="32"/>
          <w:szCs w:val="32"/>
        </w:rPr>
        <w:t>三、质量标准</w:t>
      </w:r>
      <w:bookmarkEnd w:id="414"/>
      <w:bookmarkEnd w:id="415"/>
      <w:bookmarkEnd w:id="416"/>
    </w:p>
    <w:p w14:paraId="371AC0B4">
      <w:pPr>
        <w:spacing w:line="440" w:lineRule="exact"/>
        <w:ind w:firstLine="640" w:firstLineChars="200"/>
        <w:rPr>
          <w:rFonts w:hint="eastAsia" w:ascii="宋体" w:hAnsi="宋体" w:cs="宋体"/>
          <w:sz w:val="32"/>
          <w:szCs w:val="32"/>
        </w:rPr>
      </w:pPr>
      <w:r>
        <w:rPr>
          <w:rFonts w:hint="eastAsia" w:ascii="宋体" w:hAnsi="宋体" w:cs="宋体"/>
          <w:sz w:val="32"/>
          <w:szCs w:val="32"/>
        </w:rPr>
        <w:t>工程质量符合</w:t>
      </w:r>
      <w:r>
        <w:rPr>
          <w:rFonts w:hint="eastAsia" w:ascii="宋体" w:hAnsi="宋体" w:cs="宋体"/>
          <w:sz w:val="32"/>
          <w:szCs w:val="32"/>
          <w:u w:val="single"/>
          <w:lang w:val="en-US" w:eastAsia="zh-CN"/>
        </w:rPr>
        <w:t xml:space="preserve">  </w:t>
      </w:r>
      <w:r>
        <w:rPr>
          <w:rFonts w:hint="eastAsia" w:ascii="宋体" w:hAnsi="宋体" w:cs="宋体"/>
          <w:sz w:val="32"/>
          <w:szCs w:val="32"/>
          <w:u w:val="single"/>
        </w:rPr>
        <w:t>合格</w:t>
      </w:r>
      <w:r>
        <w:rPr>
          <w:rFonts w:ascii="Times New Roman" w:hAnsi="Times New Roman" w:cs="宋体"/>
          <w:sz w:val="32"/>
          <w:szCs w:val="32"/>
          <w:u w:val="single"/>
        </w:rPr>
        <w:sym w:font="Times New Roman" w:char="E5E5"/>
      </w:r>
      <w:r>
        <w:rPr>
          <w:rFonts w:hint="eastAsia" w:ascii="宋体" w:hAnsi="宋体" w:cs="宋体"/>
          <w:sz w:val="32"/>
          <w:szCs w:val="32"/>
        </w:rPr>
        <w:t>标准。</w:t>
      </w:r>
    </w:p>
    <w:p w14:paraId="5D0F69E8">
      <w:pPr>
        <w:keepNext/>
        <w:keepLines/>
        <w:spacing w:line="440" w:lineRule="exact"/>
        <w:ind w:firstLine="640" w:firstLineChars="200"/>
        <w:outlineLvl w:val="3"/>
        <w:rPr>
          <w:rFonts w:hint="eastAsia" w:ascii="宋体" w:hAnsi="宋体" w:cs="宋体"/>
          <w:b/>
          <w:sz w:val="32"/>
          <w:szCs w:val="32"/>
        </w:rPr>
      </w:pPr>
      <w:bookmarkStart w:id="417" w:name="_Toc23587"/>
      <w:bookmarkStart w:id="418" w:name="_Toc351203484"/>
      <w:bookmarkStart w:id="419" w:name="_Toc21788"/>
      <w:r>
        <w:rPr>
          <w:rFonts w:hint="eastAsia" w:ascii="宋体" w:hAnsi="宋体" w:cs="宋体"/>
          <w:bCs/>
          <w:sz w:val="32"/>
          <w:szCs w:val="32"/>
        </w:rPr>
        <w:t>四、签约合同价与合同价格形式</w:t>
      </w:r>
      <w:bookmarkEnd w:id="417"/>
      <w:bookmarkEnd w:id="418"/>
      <w:bookmarkEnd w:id="419"/>
      <w:r>
        <w:rPr>
          <w:rFonts w:hint="eastAsia" w:ascii="宋体" w:hAnsi="宋体" w:cs="宋体"/>
          <w:bCs/>
          <w:sz w:val="32"/>
          <w:szCs w:val="32"/>
        </w:rPr>
        <w:tab/>
      </w:r>
    </w:p>
    <w:p w14:paraId="5524E118">
      <w:pPr>
        <w:spacing w:line="440" w:lineRule="exact"/>
        <w:ind w:firstLine="640" w:firstLineChars="200"/>
        <w:rPr>
          <w:rFonts w:hint="eastAsia" w:ascii="宋体" w:hAnsi="宋体" w:cs="宋体"/>
          <w:sz w:val="32"/>
          <w:szCs w:val="32"/>
        </w:rPr>
      </w:pPr>
      <w:r>
        <w:rPr>
          <w:rFonts w:hint="eastAsia" w:ascii="宋体" w:hAnsi="宋体" w:cs="宋体"/>
          <w:sz w:val="32"/>
          <w:szCs w:val="32"/>
        </w:rPr>
        <w:t>1.签约合同价为：</w:t>
      </w:r>
    </w:p>
    <w:p w14:paraId="094025F4">
      <w:pPr>
        <w:spacing w:line="440" w:lineRule="exact"/>
        <w:ind w:firstLine="640" w:firstLineChars="200"/>
        <w:rPr>
          <w:rFonts w:hint="eastAsia" w:ascii="宋体" w:hAnsi="宋体" w:cs="宋体"/>
          <w:sz w:val="32"/>
          <w:szCs w:val="32"/>
        </w:rPr>
      </w:pPr>
      <w:r>
        <w:rPr>
          <w:rFonts w:hint="eastAsia" w:ascii="宋体" w:hAnsi="宋体" w:cs="宋体"/>
          <w:sz w:val="32"/>
          <w:szCs w:val="32"/>
        </w:rPr>
        <w:t>人民币（大写）(¥元)；</w:t>
      </w:r>
    </w:p>
    <w:p w14:paraId="3A3B30F6">
      <w:pPr>
        <w:spacing w:line="440" w:lineRule="exact"/>
        <w:ind w:firstLine="640" w:firstLineChars="200"/>
        <w:rPr>
          <w:rFonts w:hint="eastAsia" w:ascii="宋体" w:hAnsi="宋体" w:cs="宋体"/>
          <w:sz w:val="32"/>
          <w:szCs w:val="32"/>
        </w:rPr>
      </w:pPr>
      <w:r>
        <w:rPr>
          <w:rFonts w:hint="eastAsia" w:ascii="宋体" w:hAnsi="宋体" w:cs="宋体"/>
          <w:sz w:val="32"/>
          <w:szCs w:val="32"/>
        </w:rPr>
        <w:t>其中：</w:t>
      </w:r>
    </w:p>
    <w:p w14:paraId="5BC44D6A">
      <w:pPr>
        <w:spacing w:line="440" w:lineRule="exact"/>
        <w:ind w:firstLine="640" w:firstLineChars="200"/>
        <w:rPr>
          <w:rFonts w:hint="eastAsia" w:ascii="宋体" w:hAnsi="宋体" w:cs="宋体"/>
          <w:sz w:val="32"/>
          <w:szCs w:val="32"/>
        </w:rPr>
      </w:pPr>
      <w:r>
        <w:rPr>
          <w:rFonts w:hint="eastAsia" w:ascii="宋体" w:hAnsi="宋体" w:cs="宋体"/>
          <w:sz w:val="32"/>
          <w:szCs w:val="32"/>
        </w:rPr>
        <w:t>（1）安全文明施工费：</w:t>
      </w:r>
    </w:p>
    <w:p w14:paraId="655A2E75">
      <w:pPr>
        <w:spacing w:line="440" w:lineRule="exact"/>
        <w:ind w:firstLine="640" w:firstLineChars="200"/>
        <w:rPr>
          <w:rFonts w:hint="eastAsia" w:ascii="宋体" w:hAnsi="宋体" w:cs="宋体"/>
          <w:sz w:val="32"/>
          <w:szCs w:val="32"/>
        </w:rPr>
      </w:pPr>
      <w:r>
        <w:rPr>
          <w:rFonts w:hint="eastAsia" w:ascii="宋体" w:hAnsi="宋体" w:cs="宋体"/>
          <w:sz w:val="32"/>
          <w:szCs w:val="32"/>
        </w:rPr>
        <w:t>人民币（大写）(¥元)；</w:t>
      </w:r>
    </w:p>
    <w:p w14:paraId="5677FFD8">
      <w:pPr>
        <w:spacing w:line="440" w:lineRule="exact"/>
        <w:ind w:firstLine="640" w:firstLineChars="200"/>
        <w:rPr>
          <w:rFonts w:hint="eastAsia" w:ascii="宋体" w:hAnsi="宋体" w:cs="宋体"/>
          <w:sz w:val="32"/>
          <w:szCs w:val="32"/>
        </w:rPr>
      </w:pPr>
      <w:r>
        <w:rPr>
          <w:rFonts w:hint="eastAsia" w:ascii="宋体" w:hAnsi="宋体" w:cs="宋体"/>
          <w:sz w:val="32"/>
          <w:szCs w:val="32"/>
        </w:rPr>
        <w:t>（2）材料和工程设备暂估价金额：</w:t>
      </w:r>
    </w:p>
    <w:p w14:paraId="60C8C894">
      <w:pPr>
        <w:spacing w:line="440" w:lineRule="exact"/>
        <w:ind w:firstLine="640" w:firstLineChars="200"/>
        <w:rPr>
          <w:rFonts w:hint="eastAsia" w:ascii="宋体" w:hAnsi="宋体" w:cs="宋体"/>
          <w:sz w:val="32"/>
          <w:szCs w:val="32"/>
        </w:rPr>
      </w:pPr>
      <w:r>
        <w:rPr>
          <w:rFonts w:hint="eastAsia" w:ascii="宋体" w:hAnsi="宋体" w:cs="宋体"/>
          <w:sz w:val="32"/>
          <w:szCs w:val="32"/>
        </w:rPr>
        <w:t>人民币（大写）(¥元)；</w:t>
      </w:r>
    </w:p>
    <w:p w14:paraId="7D6D1377">
      <w:pPr>
        <w:spacing w:line="440" w:lineRule="exact"/>
        <w:ind w:firstLine="640" w:firstLineChars="200"/>
        <w:rPr>
          <w:rFonts w:hint="eastAsia" w:ascii="宋体" w:hAnsi="宋体" w:cs="宋体"/>
          <w:sz w:val="32"/>
          <w:szCs w:val="32"/>
        </w:rPr>
      </w:pPr>
      <w:r>
        <w:rPr>
          <w:rFonts w:hint="eastAsia" w:ascii="宋体" w:hAnsi="宋体" w:cs="宋体"/>
          <w:sz w:val="32"/>
          <w:szCs w:val="32"/>
        </w:rPr>
        <w:t>（3）专业工程暂估价金额：</w:t>
      </w:r>
    </w:p>
    <w:p w14:paraId="22F681F9">
      <w:pPr>
        <w:spacing w:line="440" w:lineRule="exact"/>
        <w:ind w:firstLine="640" w:firstLineChars="200"/>
        <w:rPr>
          <w:rFonts w:hint="eastAsia" w:ascii="宋体" w:hAnsi="宋体" w:cs="宋体"/>
          <w:sz w:val="32"/>
          <w:szCs w:val="32"/>
        </w:rPr>
      </w:pPr>
      <w:r>
        <w:rPr>
          <w:rFonts w:hint="eastAsia" w:ascii="宋体" w:hAnsi="宋体" w:cs="宋体"/>
          <w:sz w:val="32"/>
          <w:szCs w:val="32"/>
        </w:rPr>
        <w:t>人民币（大写）(¥元)；</w:t>
      </w:r>
    </w:p>
    <w:p w14:paraId="011E9B03">
      <w:pPr>
        <w:spacing w:line="440" w:lineRule="exact"/>
        <w:ind w:firstLine="640" w:firstLineChars="200"/>
        <w:rPr>
          <w:rFonts w:hint="eastAsia" w:ascii="宋体" w:hAnsi="宋体" w:cs="宋体"/>
          <w:sz w:val="32"/>
          <w:szCs w:val="32"/>
        </w:rPr>
      </w:pPr>
      <w:r>
        <w:rPr>
          <w:rFonts w:hint="eastAsia" w:ascii="宋体" w:hAnsi="宋体" w:cs="宋体"/>
          <w:sz w:val="32"/>
          <w:szCs w:val="32"/>
        </w:rPr>
        <w:t>（4）暂列金额：</w:t>
      </w:r>
    </w:p>
    <w:p w14:paraId="65DB26D6">
      <w:pPr>
        <w:spacing w:line="440" w:lineRule="exact"/>
        <w:ind w:firstLine="640" w:firstLineChars="200"/>
        <w:rPr>
          <w:rFonts w:hint="eastAsia" w:ascii="宋体" w:hAnsi="宋体" w:cs="宋体"/>
          <w:sz w:val="32"/>
          <w:szCs w:val="32"/>
        </w:rPr>
      </w:pPr>
      <w:r>
        <w:rPr>
          <w:rFonts w:hint="eastAsia" w:ascii="宋体" w:hAnsi="宋体" w:cs="宋体"/>
          <w:sz w:val="32"/>
          <w:szCs w:val="32"/>
        </w:rPr>
        <w:t>人民币（大写）(¥元)。</w:t>
      </w:r>
    </w:p>
    <w:p w14:paraId="691B8189">
      <w:pPr>
        <w:spacing w:line="440" w:lineRule="exact"/>
        <w:ind w:firstLine="640" w:firstLineChars="200"/>
        <w:rPr>
          <w:rFonts w:hint="eastAsia" w:ascii="宋体" w:hAnsi="宋体" w:cs="宋体"/>
          <w:sz w:val="32"/>
          <w:szCs w:val="32"/>
        </w:rPr>
      </w:pPr>
      <w:r>
        <w:rPr>
          <w:rFonts w:hint="eastAsia" w:ascii="宋体" w:hAnsi="宋体" w:cs="宋体"/>
          <w:sz w:val="32"/>
          <w:szCs w:val="32"/>
        </w:rPr>
        <w:t>2.合同价格形式：</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2836324E">
      <w:pPr>
        <w:keepNext/>
        <w:keepLines/>
        <w:spacing w:line="440" w:lineRule="exact"/>
        <w:ind w:firstLine="640" w:firstLineChars="200"/>
        <w:outlineLvl w:val="3"/>
        <w:rPr>
          <w:rFonts w:hint="eastAsia" w:ascii="宋体" w:hAnsi="宋体" w:cs="宋体"/>
          <w:bCs/>
          <w:sz w:val="32"/>
          <w:szCs w:val="32"/>
        </w:rPr>
      </w:pPr>
      <w:bookmarkStart w:id="420" w:name="_Toc351203485"/>
      <w:bookmarkStart w:id="421" w:name="_Toc24110"/>
      <w:bookmarkStart w:id="422" w:name="_Toc12863"/>
      <w:r>
        <w:rPr>
          <w:rFonts w:hint="eastAsia" w:ascii="宋体" w:hAnsi="宋体" w:cs="宋体"/>
          <w:bCs/>
          <w:sz w:val="32"/>
          <w:szCs w:val="32"/>
        </w:rPr>
        <w:t>五、</w:t>
      </w:r>
      <w:bookmarkEnd w:id="420"/>
      <w:r>
        <w:rPr>
          <w:rFonts w:hint="eastAsia" w:ascii="宋体" w:hAnsi="宋体" w:cs="宋体"/>
          <w:bCs/>
          <w:sz w:val="32"/>
          <w:szCs w:val="32"/>
        </w:rPr>
        <w:t>项目经理</w:t>
      </w:r>
      <w:bookmarkEnd w:id="421"/>
      <w:bookmarkEnd w:id="422"/>
    </w:p>
    <w:p w14:paraId="7E7DD9F8">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承包人项目经理：</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3E7E9E4F">
      <w:pPr>
        <w:keepNext/>
        <w:keepLines/>
        <w:spacing w:line="440" w:lineRule="exact"/>
        <w:ind w:firstLine="640" w:firstLineChars="200"/>
        <w:outlineLvl w:val="3"/>
        <w:rPr>
          <w:rFonts w:hint="eastAsia" w:ascii="宋体" w:hAnsi="宋体" w:cs="宋体"/>
          <w:b/>
          <w:sz w:val="32"/>
          <w:szCs w:val="32"/>
        </w:rPr>
      </w:pPr>
      <w:bookmarkStart w:id="423" w:name="_Toc351203486"/>
      <w:bookmarkStart w:id="424" w:name="_Toc11174"/>
      <w:bookmarkStart w:id="425" w:name="_Toc11811"/>
      <w:r>
        <w:rPr>
          <w:rFonts w:hint="eastAsia" w:ascii="宋体" w:hAnsi="宋体" w:cs="宋体"/>
          <w:bCs/>
          <w:sz w:val="32"/>
          <w:szCs w:val="32"/>
        </w:rPr>
        <w:t>六、合同文件构成</w:t>
      </w:r>
      <w:bookmarkEnd w:id="423"/>
      <w:bookmarkEnd w:id="424"/>
      <w:bookmarkEnd w:id="425"/>
    </w:p>
    <w:p w14:paraId="45196B39">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本协议书与下列文件一起构成合同文件：</w:t>
      </w:r>
    </w:p>
    <w:p w14:paraId="43CA4AAD">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（1）中标通知书（如果有）；</w:t>
      </w:r>
    </w:p>
    <w:p w14:paraId="5C6E45AD">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（2）投标函及其附录（如果有）；</w:t>
      </w:r>
    </w:p>
    <w:p w14:paraId="075F25C8">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（3）专用合同条款及其附件；</w:t>
      </w:r>
    </w:p>
    <w:p w14:paraId="74C4CBED">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（4）通用合同条款；</w:t>
      </w:r>
    </w:p>
    <w:p w14:paraId="051C41F2">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（5）技术标准和要求；</w:t>
      </w:r>
    </w:p>
    <w:p w14:paraId="0457E8B9">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（6）图纸；</w:t>
      </w:r>
    </w:p>
    <w:p w14:paraId="68725683">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（7）已标价工程量清单或预算书；</w:t>
      </w:r>
    </w:p>
    <w:p w14:paraId="77A3BC59">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（8）其他合同文件。</w:t>
      </w:r>
    </w:p>
    <w:p w14:paraId="7988AF3D">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在合同订立及履行过程中形成的与合同有关的文件均构成合同文件组成部分。</w:t>
      </w:r>
    </w:p>
    <w:p w14:paraId="3F9B0688">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上述各项合同文件包括合同当事人就该项合同文件所作出的补充和修改，属于同一类内容的文件，应以最新签署的为准。专用合同条款及其附件须经合同当事人签字或盖章。</w:t>
      </w:r>
    </w:p>
    <w:p w14:paraId="21F28405">
      <w:pPr>
        <w:keepNext/>
        <w:keepLines/>
        <w:spacing w:line="440" w:lineRule="exact"/>
        <w:ind w:firstLine="640" w:firstLineChars="200"/>
        <w:outlineLvl w:val="3"/>
        <w:rPr>
          <w:rFonts w:hint="eastAsia" w:ascii="宋体" w:hAnsi="宋体" w:cs="宋体"/>
          <w:sz w:val="32"/>
          <w:szCs w:val="32"/>
        </w:rPr>
      </w:pPr>
      <w:bookmarkStart w:id="426" w:name="_Toc351203487"/>
      <w:bookmarkStart w:id="427" w:name="_Toc16505"/>
      <w:bookmarkStart w:id="428" w:name="_Toc30436"/>
      <w:r>
        <w:rPr>
          <w:rFonts w:hint="eastAsia" w:ascii="宋体" w:hAnsi="宋体" w:cs="宋体"/>
          <w:bCs/>
          <w:sz w:val="32"/>
          <w:szCs w:val="32"/>
        </w:rPr>
        <w:t>七、承诺</w:t>
      </w:r>
      <w:bookmarkEnd w:id="426"/>
      <w:bookmarkEnd w:id="427"/>
      <w:bookmarkEnd w:id="428"/>
    </w:p>
    <w:p w14:paraId="28149B43">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1.发包人承诺按照法律规定履行项目审批手续、筹集工程建设资金并按照合同约定的期限和方式支付合同价款。</w:t>
      </w:r>
    </w:p>
    <w:p w14:paraId="50BF9900">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2.承包人承诺按照法律规定及合同约定组织完成工程施工，确保工程质量和安全，不进行转包及违法分包，并在缺陷责任期及保修期内承担相应的工程维修责任。</w:t>
      </w:r>
    </w:p>
    <w:p w14:paraId="41B6B0F6">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3.发包人和承包人通过招投标形式签订合同的，双方理解并承诺不再就同一工程另行签订与合同实质性内容相背离的协议。</w:t>
      </w:r>
    </w:p>
    <w:p w14:paraId="3D33E9DB">
      <w:pPr>
        <w:spacing w:line="440" w:lineRule="exact"/>
        <w:ind w:firstLine="643" w:firstLineChars="200"/>
        <w:rPr>
          <w:rFonts w:hint="eastAsia" w:ascii="宋体" w:hAnsi="宋体" w:cs="宋体"/>
          <w:bCs/>
          <w:sz w:val="32"/>
          <w:szCs w:val="32"/>
        </w:rPr>
      </w:pPr>
      <w:bookmarkStart w:id="429" w:name="_Toc351203488"/>
      <w:r>
        <w:rPr>
          <w:rFonts w:hint="eastAsia" w:ascii="宋体" w:hAnsi="宋体" w:cs="宋体"/>
          <w:b/>
          <w:sz w:val="32"/>
          <w:szCs w:val="32"/>
        </w:rPr>
        <w:t>八、词语含义</w:t>
      </w:r>
      <w:bookmarkEnd w:id="429"/>
    </w:p>
    <w:p w14:paraId="5208B50B">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本协议书中词语含义与第二部分通用合同条款中赋予的含义相同。</w:t>
      </w:r>
    </w:p>
    <w:p w14:paraId="3AFAE309">
      <w:pPr>
        <w:keepNext/>
        <w:keepLines/>
        <w:spacing w:line="440" w:lineRule="exact"/>
        <w:ind w:firstLine="640" w:firstLineChars="200"/>
        <w:outlineLvl w:val="3"/>
        <w:rPr>
          <w:rFonts w:hint="eastAsia" w:ascii="宋体" w:hAnsi="宋体" w:cs="宋体"/>
          <w:b/>
          <w:sz w:val="32"/>
          <w:szCs w:val="32"/>
        </w:rPr>
      </w:pPr>
      <w:bookmarkStart w:id="430" w:name="_Toc12011"/>
      <w:bookmarkStart w:id="431" w:name="_Toc30625"/>
      <w:bookmarkStart w:id="432" w:name="_Toc351203489"/>
      <w:r>
        <w:rPr>
          <w:rFonts w:hint="eastAsia" w:ascii="宋体" w:hAnsi="宋体" w:cs="宋体"/>
          <w:bCs/>
          <w:sz w:val="32"/>
          <w:szCs w:val="32"/>
        </w:rPr>
        <w:t>九、签订时间</w:t>
      </w:r>
      <w:bookmarkEnd w:id="430"/>
      <w:bookmarkEnd w:id="431"/>
      <w:bookmarkEnd w:id="432"/>
    </w:p>
    <w:p w14:paraId="1E053553">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本合同于年月日签订。</w:t>
      </w:r>
    </w:p>
    <w:p w14:paraId="1FA0AB89">
      <w:pPr>
        <w:keepNext/>
        <w:keepLines/>
        <w:spacing w:line="440" w:lineRule="exact"/>
        <w:ind w:firstLine="640" w:firstLineChars="200"/>
        <w:outlineLvl w:val="3"/>
        <w:rPr>
          <w:rFonts w:hint="eastAsia" w:ascii="宋体" w:hAnsi="宋体" w:cs="宋体"/>
          <w:b/>
          <w:sz w:val="32"/>
          <w:szCs w:val="32"/>
        </w:rPr>
      </w:pPr>
      <w:bookmarkStart w:id="433" w:name="_Toc351203490"/>
      <w:bookmarkStart w:id="434" w:name="_Toc18207"/>
      <w:bookmarkStart w:id="435" w:name="_Toc23430"/>
      <w:r>
        <w:rPr>
          <w:rFonts w:hint="eastAsia" w:ascii="宋体" w:hAnsi="宋体" w:cs="宋体"/>
          <w:bCs/>
          <w:sz w:val="32"/>
          <w:szCs w:val="32"/>
        </w:rPr>
        <w:t>十、签订地点</w:t>
      </w:r>
      <w:bookmarkEnd w:id="433"/>
      <w:bookmarkEnd w:id="434"/>
      <w:bookmarkEnd w:id="435"/>
    </w:p>
    <w:p w14:paraId="17176212">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本合同在签订。</w:t>
      </w:r>
    </w:p>
    <w:p w14:paraId="1528EB30">
      <w:pPr>
        <w:keepNext/>
        <w:keepLines/>
        <w:spacing w:line="440" w:lineRule="exact"/>
        <w:ind w:firstLine="640" w:firstLineChars="200"/>
        <w:outlineLvl w:val="3"/>
        <w:rPr>
          <w:rFonts w:hint="eastAsia" w:ascii="宋体" w:hAnsi="宋体" w:cs="宋体"/>
          <w:b/>
          <w:sz w:val="32"/>
          <w:szCs w:val="32"/>
        </w:rPr>
      </w:pPr>
      <w:bookmarkStart w:id="436" w:name="_Toc12753"/>
      <w:bookmarkStart w:id="437" w:name="_Toc351203491"/>
      <w:bookmarkStart w:id="438" w:name="_Toc31606"/>
      <w:r>
        <w:rPr>
          <w:rFonts w:hint="eastAsia" w:ascii="宋体" w:hAnsi="宋体" w:cs="宋体"/>
          <w:bCs/>
          <w:sz w:val="32"/>
          <w:szCs w:val="32"/>
        </w:rPr>
        <w:t>十一、补充协议</w:t>
      </w:r>
      <w:bookmarkEnd w:id="436"/>
      <w:bookmarkEnd w:id="437"/>
      <w:bookmarkEnd w:id="438"/>
    </w:p>
    <w:p w14:paraId="6198DF3A">
      <w:pPr>
        <w:spacing w:line="440" w:lineRule="exact"/>
        <w:ind w:firstLine="640" w:firstLineChars="200"/>
        <w:rPr>
          <w:rFonts w:hint="eastAsia" w:ascii="宋体" w:hAnsi="宋体" w:cs="宋体"/>
          <w:b/>
          <w:bCs/>
          <w:sz w:val="32"/>
          <w:szCs w:val="32"/>
        </w:rPr>
      </w:pPr>
      <w:r>
        <w:rPr>
          <w:rFonts w:hint="eastAsia" w:ascii="宋体" w:hAnsi="宋体" w:cs="宋体"/>
          <w:bCs/>
          <w:sz w:val="32"/>
          <w:szCs w:val="32"/>
        </w:rPr>
        <w:t>合同未尽事宜，合同当事人另行签订补充协议，补充协议是合同的组成部分。</w:t>
      </w:r>
    </w:p>
    <w:p w14:paraId="35D23243">
      <w:pPr>
        <w:keepNext/>
        <w:keepLines/>
        <w:spacing w:line="440" w:lineRule="exact"/>
        <w:ind w:firstLine="640" w:firstLineChars="200"/>
        <w:outlineLvl w:val="3"/>
        <w:rPr>
          <w:rFonts w:hint="eastAsia" w:ascii="宋体" w:hAnsi="宋体" w:cs="宋体"/>
          <w:b/>
          <w:sz w:val="32"/>
          <w:szCs w:val="32"/>
        </w:rPr>
      </w:pPr>
      <w:bookmarkStart w:id="439" w:name="_Toc351203492"/>
      <w:bookmarkStart w:id="440" w:name="_Toc12522"/>
      <w:bookmarkStart w:id="441" w:name="_Toc19465"/>
      <w:r>
        <w:rPr>
          <w:rFonts w:hint="eastAsia" w:ascii="宋体" w:hAnsi="宋体" w:cs="宋体"/>
          <w:bCs/>
          <w:sz w:val="32"/>
          <w:szCs w:val="32"/>
        </w:rPr>
        <w:t>十二、合同生效</w:t>
      </w:r>
      <w:bookmarkEnd w:id="439"/>
      <w:bookmarkEnd w:id="440"/>
      <w:bookmarkEnd w:id="441"/>
    </w:p>
    <w:p w14:paraId="0EBF2F67">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本合同自生效。</w:t>
      </w:r>
    </w:p>
    <w:p w14:paraId="4E6AA54C">
      <w:pPr>
        <w:keepNext/>
        <w:keepLines/>
        <w:spacing w:line="440" w:lineRule="exact"/>
        <w:ind w:firstLine="640" w:firstLineChars="200"/>
        <w:outlineLvl w:val="3"/>
        <w:rPr>
          <w:rFonts w:hint="eastAsia" w:ascii="宋体" w:hAnsi="宋体" w:cs="宋体"/>
          <w:b/>
          <w:sz w:val="32"/>
          <w:szCs w:val="32"/>
        </w:rPr>
      </w:pPr>
      <w:bookmarkStart w:id="442" w:name="_Toc20938"/>
      <w:bookmarkStart w:id="443" w:name="_Toc351203493"/>
      <w:bookmarkStart w:id="444" w:name="_Toc10320"/>
      <w:r>
        <w:rPr>
          <w:rFonts w:hint="eastAsia" w:ascii="宋体" w:hAnsi="宋体" w:cs="宋体"/>
          <w:bCs/>
          <w:sz w:val="32"/>
          <w:szCs w:val="32"/>
        </w:rPr>
        <w:t>十三、合同份数</w:t>
      </w:r>
      <w:bookmarkEnd w:id="442"/>
      <w:bookmarkEnd w:id="443"/>
      <w:bookmarkEnd w:id="444"/>
    </w:p>
    <w:p w14:paraId="398D409C">
      <w:pPr>
        <w:spacing w:line="440" w:lineRule="exact"/>
        <w:ind w:firstLine="640" w:firstLineChars="200"/>
        <w:rPr>
          <w:rFonts w:hint="eastAsia" w:ascii="宋体" w:hAnsi="宋体" w:cs="宋体"/>
          <w:bCs/>
          <w:sz w:val="32"/>
          <w:szCs w:val="32"/>
        </w:rPr>
      </w:pPr>
      <w:r>
        <w:rPr>
          <w:rFonts w:hint="eastAsia" w:ascii="宋体" w:hAnsi="宋体" w:cs="宋体"/>
          <w:bCs/>
          <w:sz w:val="32"/>
          <w:szCs w:val="32"/>
        </w:rPr>
        <w:t>本合同一式</w:t>
      </w:r>
      <w:r>
        <w:rPr>
          <w:rFonts w:hint="eastAsia" w:ascii="宋体" w:hAnsi="宋体" w:cs="宋体"/>
          <w:bCs/>
          <w:sz w:val="32"/>
          <w:szCs w:val="32"/>
          <w:u w:val="single"/>
        </w:rPr>
        <w:t>10</w:t>
      </w:r>
      <w:r>
        <w:rPr>
          <w:rFonts w:hint="eastAsia" w:ascii="宋体" w:hAnsi="宋体" w:cs="宋体"/>
          <w:bCs/>
          <w:sz w:val="32"/>
          <w:szCs w:val="32"/>
        </w:rPr>
        <w:t>份，均具有同等法律效力，发包人执</w:t>
      </w:r>
      <w:r>
        <w:rPr>
          <w:rFonts w:hint="eastAsia" w:ascii="宋体" w:hAnsi="宋体" w:cs="宋体"/>
          <w:bCs/>
          <w:sz w:val="32"/>
          <w:szCs w:val="32"/>
          <w:u w:val="single"/>
        </w:rPr>
        <w:t>5</w:t>
      </w:r>
      <w:r>
        <w:rPr>
          <w:rFonts w:hint="eastAsia" w:ascii="宋体" w:hAnsi="宋体" w:cs="宋体"/>
          <w:bCs/>
          <w:sz w:val="32"/>
          <w:szCs w:val="32"/>
        </w:rPr>
        <w:t>份，承包人执</w:t>
      </w:r>
      <w:r>
        <w:rPr>
          <w:rFonts w:hint="eastAsia" w:ascii="宋体" w:hAnsi="宋体" w:cs="宋体"/>
          <w:bCs/>
          <w:sz w:val="32"/>
          <w:szCs w:val="32"/>
          <w:u w:val="single"/>
        </w:rPr>
        <w:t>5</w:t>
      </w:r>
      <w:r>
        <w:rPr>
          <w:rFonts w:hint="eastAsia" w:ascii="宋体" w:hAnsi="宋体" w:cs="宋体"/>
          <w:bCs/>
          <w:sz w:val="32"/>
          <w:szCs w:val="32"/>
        </w:rPr>
        <w:t>份。</w:t>
      </w:r>
    </w:p>
    <w:p w14:paraId="6121365F">
      <w:pPr>
        <w:spacing w:line="440" w:lineRule="exact"/>
        <w:ind w:firstLine="640" w:firstLineChars="200"/>
        <w:rPr>
          <w:rFonts w:hint="eastAsia" w:ascii="宋体" w:hAnsi="宋体" w:cs="宋体"/>
          <w:bCs/>
          <w:sz w:val="32"/>
          <w:szCs w:val="32"/>
        </w:rPr>
      </w:pPr>
    </w:p>
    <w:p w14:paraId="6CA67B3F">
      <w:pPr>
        <w:tabs>
          <w:tab w:val="left" w:pos="3990"/>
        </w:tabs>
        <w:spacing w:line="440" w:lineRule="exact"/>
        <w:ind w:firstLine="640" w:firstLineChars="200"/>
        <w:rPr>
          <w:rFonts w:hint="eastAsia" w:ascii="宋体" w:hAnsi="宋体" w:cs="宋体"/>
          <w:sz w:val="32"/>
          <w:szCs w:val="32"/>
        </w:rPr>
      </w:pPr>
      <w:r>
        <w:rPr>
          <w:rFonts w:hint="eastAsia" w:ascii="宋体" w:hAnsi="宋体" w:cs="宋体"/>
          <w:sz w:val="32"/>
          <w:szCs w:val="32"/>
        </w:rPr>
        <w:t>发包人：(公章)承包人：(公章)</w:t>
      </w:r>
    </w:p>
    <w:p w14:paraId="03CC487B">
      <w:pPr>
        <w:spacing w:line="440" w:lineRule="exact"/>
        <w:ind w:firstLine="640" w:firstLineChars="200"/>
        <w:rPr>
          <w:rFonts w:hint="eastAsia" w:ascii="宋体" w:hAnsi="宋体" w:cs="宋体"/>
          <w:sz w:val="32"/>
          <w:szCs w:val="32"/>
          <w:u w:val="single"/>
        </w:rPr>
      </w:pPr>
    </w:p>
    <w:p w14:paraId="1DAF00B6">
      <w:pPr>
        <w:spacing w:line="440" w:lineRule="exact"/>
        <w:ind w:firstLine="640" w:firstLineChars="200"/>
        <w:rPr>
          <w:rFonts w:hint="eastAsia" w:ascii="宋体" w:hAnsi="宋体" w:cs="宋体"/>
          <w:sz w:val="32"/>
          <w:szCs w:val="32"/>
        </w:rPr>
      </w:pPr>
      <w:r>
        <w:rPr>
          <w:rFonts w:hint="eastAsia" w:ascii="宋体" w:hAnsi="宋体" w:cs="宋体"/>
          <w:sz w:val="32"/>
          <w:szCs w:val="32"/>
        </w:rPr>
        <w:t>法定代表人或其委托代理人：法定代表人或其委托代理人：</w:t>
      </w:r>
    </w:p>
    <w:p w14:paraId="2E4A01BD">
      <w:pPr>
        <w:spacing w:line="440" w:lineRule="exact"/>
        <w:ind w:firstLine="640" w:firstLineChars="200"/>
        <w:rPr>
          <w:rFonts w:hint="eastAsia" w:ascii="宋体" w:hAnsi="宋体" w:cs="宋体"/>
          <w:sz w:val="32"/>
          <w:szCs w:val="32"/>
        </w:rPr>
      </w:pPr>
      <w:r>
        <w:rPr>
          <w:rFonts w:hint="eastAsia" w:ascii="宋体" w:hAnsi="宋体" w:cs="宋体"/>
          <w:sz w:val="32"/>
          <w:szCs w:val="32"/>
        </w:rPr>
        <w:t>（签字）（签字）</w:t>
      </w:r>
    </w:p>
    <w:p w14:paraId="5646565B">
      <w:pPr>
        <w:spacing w:line="440" w:lineRule="exact"/>
        <w:ind w:firstLine="640" w:firstLineChars="200"/>
        <w:rPr>
          <w:rFonts w:hint="eastAsia" w:ascii="宋体" w:hAnsi="宋体" w:cs="宋体"/>
          <w:sz w:val="32"/>
          <w:szCs w:val="32"/>
          <w:u w:val="single"/>
        </w:rPr>
      </w:pPr>
    </w:p>
    <w:p w14:paraId="69D60FD0">
      <w:pPr>
        <w:tabs>
          <w:tab w:val="left" w:pos="4410"/>
        </w:tabs>
        <w:spacing w:line="440" w:lineRule="exact"/>
        <w:ind w:firstLine="640" w:firstLineChars="200"/>
        <w:rPr>
          <w:rFonts w:hint="eastAsia" w:ascii="宋体" w:hAnsi="宋体" w:cs="宋体"/>
          <w:sz w:val="32"/>
          <w:szCs w:val="32"/>
        </w:rPr>
      </w:pPr>
      <w:r>
        <w:rPr>
          <w:rFonts w:hint="eastAsia" w:ascii="宋体" w:hAnsi="宋体" w:cs="宋体"/>
          <w:sz w:val="32"/>
          <w:szCs w:val="32"/>
        </w:rPr>
        <w:t>组织机构代码：</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组织机构代码：</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5AC340BC">
      <w:pPr>
        <w:spacing w:line="440" w:lineRule="exact"/>
        <w:ind w:firstLine="640" w:firstLineChars="200"/>
        <w:rPr>
          <w:rFonts w:hint="eastAsia" w:ascii="宋体" w:hAnsi="宋体" w:cs="宋体"/>
          <w:sz w:val="32"/>
          <w:szCs w:val="32"/>
        </w:rPr>
      </w:pPr>
      <w:r>
        <w:rPr>
          <w:rFonts w:hint="eastAsia" w:ascii="宋体" w:hAnsi="宋体" w:cs="宋体"/>
          <w:sz w:val="32"/>
          <w:szCs w:val="32"/>
        </w:rPr>
        <w:t>地址：</w:t>
      </w:r>
      <w:r>
        <w:rPr>
          <w:rFonts w:hint="eastAsia" w:ascii="宋体" w:hAnsi="宋体" w:cs="宋体"/>
          <w:sz w:val="32"/>
          <w:szCs w:val="32"/>
          <w:u w:val="single"/>
        </w:rPr>
        <w:t></w:t>
      </w:r>
      <w:r>
        <w:rPr>
          <w:rFonts w:hint="eastAsia" w:ascii="宋体" w:hAnsi="宋体" w:cs="宋体"/>
          <w:sz w:val="32"/>
          <w:szCs w:val="32"/>
        </w:rPr>
        <w:t>地址：</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170E404A">
      <w:pPr>
        <w:spacing w:line="440" w:lineRule="exact"/>
        <w:ind w:firstLine="640" w:firstLineChars="200"/>
        <w:rPr>
          <w:rFonts w:hint="eastAsia" w:ascii="宋体" w:hAnsi="宋体" w:cs="宋体"/>
          <w:sz w:val="32"/>
          <w:szCs w:val="32"/>
        </w:rPr>
      </w:pPr>
      <w:r>
        <w:rPr>
          <w:rFonts w:hint="eastAsia" w:ascii="宋体" w:hAnsi="宋体" w:cs="宋体"/>
          <w:sz w:val="32"/>
          <w:szCs w:val="32"/>
        </w:rPr>
        <w:t>邮政编码：</w:t>
      </w:r>
      <w:r>
        <w:rPr>
          <w:rFonts w:hint="eastAsia" w:ascii="宋体" w:hAnsi="宋体" w:cs="宋体"/>
          <w:sz w:val="32"/>
          <w:szCs w:val="32"/>
          <w:u w:val="single"/>
        </w:rPr>
        <w:t></w:t>
      </w:r>
      <w:r>
        <w:rPr>
          <w:rFonts w:hint="eastAsia" w:ascii="宋体" w:hAnsi="宋体" w:cs="宋体"/>
          <w:sz w:val="32"/>
          <w:szCs w:val="32"/>
        </w:rPr>
        <w:t>邮政编码：</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1882DC96">
      <w:pPr>
        <w:spacing w:line="440" w:lineRule="exact"/>
        <w:ind w:firstLine="640" w:firstLineChars="200"/>
        <w:rPr>
          <w:rFonts w:hint="eastAsia" w:ascii="宋体" w:hAnsi="宋体" w:cs="宋体"/>
          <w:sz w:val="32"/>
          <w:szCs w:val="32"/>
        </w:rPr>
      </w:pPr>
      <w:r>
        <w:rPr>
          <w:rFonts w:hint="eastAsia" w:ascii="宋体" w:hAnsi="宋体" w:cs="宋体"/>
          <w:sz w:val="32"/>
          <w:szCs w:val="32"/>
        </w:rPr>
        <w:t>法定代表人：</w:t>
      </w:r>
      <w:r>
        <w:rPr>
          <w:rFonts w:ascii="Times New Roman" w:hAnsi="Times New Roman" w:cs="宋体"/>
          <w:sz w:val="32"/>
          <w:szCs w:val="32"/>
          <w:u w:val="single"/>
        </w:rPr>
        <w:sym w:font="Times New Roman" w:char="E5E5"/>
      </w:r>
      <w:r>
        <w:rPr>
          <w:rFonts w:hint="eastAsia" w:ascii="宋体" w:hAnsi="宋体" w:cs="宋体"/>
          <w:sz w:val="32"/>
          <w:szCs w:val="32"/>
        </w:rPr>
        <w:t>法定代表人：</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3342C2BB">
      <w:pPr>
        <w:spacing w:line="440" w:lineRule="exact"/>
        <w:ind w:firstLine="640" w:firstLineChars="200"/>
        <w:rPr>
          <w:rFonts w:hint="eastAsia" w:ascii="宋体" w:hAnsi="宋体" w:cs="宋体"/>
          <w:sz w:val="32"/>
          <w:szCs w:val="32"/>
        </w:rPr>
      </w:pPr>
      <w:r>
        <w:rPr>
          <w:rFonts w:hint="eastAsia" w:ascii="宋体" w:hAnsi="宋体" w:cs="宋体"/>
          <w:sz w:val="32"/>
          <w:szCs w:val="32"/>
        </w:rPr>
        <w:t>委托代理人：</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委托代理人：</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2E7DC15C">
      <w:pPr>
        <w:spacing w:line="440" w:lineRule="exact"/>
        <w:ind w:firstLine="640" w:firstLineChars="200"/>
        <w:rPr>
          <w:rFonts w:hint="eastAsia" w:ascii="宋体" w:hAnsi="宋体" w:cs="宋体"/>
          <w:sz w:val="32"/>
          <w:szCs w:val="32"/>
        </w:rPr>
      </w:pPr>
      <w:r>
        <w:rPr>
          <w:rFonts w:hint="eastAsia" w:ascii="宋体" w:hAnsi="宋体" w:cs="宋体"/>
          <w:sz w:val="32"/>
          <w:szCs w:val="32"/>
        </w:rPr>
        <w:t>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093FCBCC">
      <w:pPr>
        <w:spacing w:line="440" w:lineRule="exact"/>
        <w:ind w:firstLine="640" w:firstLineChars="200"/>
        <w:rPr>
          <w:rFonts w:hint="eastAsia" w:ascii="宋体" w:hAnsi="宋体" w:cs="宋体"/>
          <w:sz w:val="32"/>
          <w:szCs w:val="32"/>
        </w:rPr>
      </w:pPr>
      <w:r>
        <w:rPr>
          <w:rFonts w:hint="eastAsia" w:ascii="宋体" w:hAnsi="宋体" w:cs="宋体"/>
          <w:sz w:val="32"/>
          <w:szCs w:val="32"/>
        </w:rPr>
        <w:t>传真：</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传真：</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4D6135F4">
      <w:pPr>
        <w:spacing w:line="440" w:lineRule="exact"/>
        <w:ind w:firstLine="640" w:firstLineChars="200"/>
        <w:rPr>
          <w:rFonts w:hint="eastAsia" w:ascii="宋体" w:hAnsi="宋体" w:cs="宋体"/>
          <w:sz w:val="32"/>
          <w:szCs w:val="32"/>
        </w:rPr>
      </w:pPr>
      <w:r>
        <w:rPr>
          <w:rFonts w:hint="eastAsia" w:ascii="宋体" w:hAnsi="宋体" w:cs="宋体"/>
          <w:sz w:val="32"/>
          <w:szCs w:val="32"/>
        </w:rPr>
        <w:t>电子信箱：电子信箱：</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7DADBB2B">
      <w:pPr>
        <w:spacing w:line="440" w:lineRule="exact"/>
        <w:ind w:firstLine="640" w:firstLineChars="200"/>
        <w:rPr>
          <w:rFonts w:hint="eastAsia" w:ascii="宋体" w:hAnsi="宋体" w:cs="宋体"/>
          <w:sz w:val="32"/>
          <w:szCs w:val="32"/>
        </w:rPr>
      </w:pPr>
      <w:r>
        <w:rPr>
          <w:rFonts w:hint="eastAsia" w:ascii="宋体" w:hAnsi="宋体" w:cs="宋体"/>
          <w:sz w:val="32"/>
          <w:szCs w:val="32"/>
        </w:rPr>
        <w:t>开户银行：</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开户银行：</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1BC484EE">
      <w:pPr>
        <w:spacing w:line="440" w:lineRule="exact"/>
        <w:ind w:firstLine="640" w:firstLineChars="200"/>
        <w:rPr>
          <w:rFonts w:hint="eastAsia" w:ascii="宋体" w:hAnsi="宋体" w:cs="宋体"/>
          <w:sz w:val="32"/>
          <w:szCs w:val="32"/>
        </w:rPr>
      </w:pPr>
      <w:r>
        <w:rPr>
          <w:rFonts w:hint="eastAsia" w:ascii="宋体" w:hAnsi="宋体" w:cs="宋体"/>
          <w:sz w:val="32"/>
          <w:szCs w:val="32"/>
        </w:rPr>
        <w:t>账号：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账号：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p>
    <w:p w14:paraId="00FC595B">
      <w:pPr>
        <w:keepNext/>
        <w:keepLines/>
        <w:spacing w:line="440" w:lineRule="exact"/>
        <w:ind w:firstLine="643" w:firstLineChars="200"/>
        <w:jc w:val="center"/>
        <w:outlineLvl w:val="2"/>
        <w:rPr>
          <w:rFonts w:hint="eastAsia" w:ascii="宋体" w:hAnsi="宋体" w:cs="宋体"/>
          <w:b/>
          <w:bCs/>
          <w:sz w:val="32"/>
          <w:szCs w:val="32"/>
        </w:rPr>
      </w:pPr>
      <w:r>
        <w:rPr>
          <w:rFonts w:hint="eastAsia" w:ascii="宋体" w:hAnsi="宋体" w:cs="宋体"/>
          <w:b/>
          <w:bCs/>
          <w:sz w:val="32"/>
          <w:szCs w:val="32"/>
        </w:rPr>
        <w:br w:type="page"/>
      </w:r>
      <w:bookmarkStart w:id="445" w:name="_Toc256000080"/>
      <w:bookmarkStart w:id="446" w:name="_Toc256000090"/>
      <w:bookmarkStart w:id="447" w:name="_Toc57"/>
      <w:bookmarkStart w:id="448" w:name="_Toc256000029"/>
      <w:bookmarkStart w:id="449" w:name="_Toc3401"/>
      <w:bookmarkStart w:id="450" w:name="_Toc351203494"/>
      <w:bookmarkStart w:id="451" w:name="_Toc256000226"/>
      <w:r>
        <w:rPr>
          <w:rFonts w:hint="eastAsia" w:ascii="宋体" w:hAnsi="宋体" w:cs="宋体"/>
          <w:b/>
          <w:bCs/>
          <w:sz w:val="32"/>
          <w:szCs w:val="32"/>
        </w:rPr>
        <w:t>第二部分通用合同条款</w:t>
      </w:r>
      <w:bookmarkEnd w:id="445"/>
      <w:bookmarkEnd w:id="446"/>
      <w:bookmarkEnd w:id="447"/>
      <w:bookmarkEnd w:id="448"/>
      <w:bookmarkEnd w:id="449"/>
      <w:bookmarkEnd w:id="450"/>
      <w:bookmarkEnd w:id="451"/>
      <w:bookmarkStart w:id="452" w:name="_Toc337558727"/>
    </w:p>
    <w:p w14:paraId="1A02EF85">
      <w:pPr>
        <w:keepNext/>
        <w:keepLines/>
        <w:spacing w:line="440" w:lineRule="exact"/>
        <w:ind w:firstLine="640" w:firstLineChars="200"/>
        <w:outlineLvl w:val="3"/>
        <w:rPr>
          <w:rFonts w:hint="eastAsia" w:ascii="宋体" w:hAnsi="宋体" w:cs="宋体"/>
          <w:bCs/>
          <w:sz w:val="32"/>
          <w:szCs w:val="32"/>
        </w:rPr>
      </w:pPr>
      <w:bookmarkStart w:id="453" w:name="_Toc16136"/>
      <w:bookmarkStart w:id="454" w:name="_Toc1425"/>
      <w:bookmarkStart w:id="455" w:name="_Toc351203495"/>
      <w:r>
        <w:rPr>
          <w:rFonts w:hint="eastAsia" w:ascii="宋体" w:hAnsi="宋体" w:cs="宋体"/>
          <w:bCs/>
          <w:sz w:val="32"/>
          <w:szCs w:val="32"/>
        </w:rPr>
        <w:t>1.</w:t>
      </w:r>
      <w:bookmarkStart w:id="456" w:name="_Toc303538974"/>
      <w:bookmarkEnd w:id="456"/>
      <w:bookmarkStart w:id="457" w:name="_Toc303538975"/>
      <w:bookmarkEnd w:id="457"/>
      <w:bookmarkStart w:id="458" w:name="_Toc303538976"/>
      <w:bookmarkEnd w:id="458"/>
      <w:bookmarkStart w:id="459" w:name="_Toc303538973"/>
      <w:bookmarkEnd w:id="459"/>
      <w:bookmarkStart w:id="460" w:name="_Toc303538972"/>
      <w:bookmarkEnd w:id="460"/>
      <w:bookmarkStart w:id="461" w:name="_Toc296503027"/>
      <w:bookmarkStart w:id="462" w:name="_Toc296346528"/>
      <w:r>
        <w:rPr>
          <w:rFonts w:hint="eastAsia" w:ascii="宋体" w:hAnsi="宋体" w:cs="宋体"/>
          <w:bCs/>
          <w:sz w:val="32"/>
          <w:szCs w:val="32"/>
        </w:rPr>
        <w:t>一般约定</w:t>
      </w:r>
      <w:bookmarkEnd w:id="452"/>
      <w:bookmarkEnd w:id="453"/>
      <w:bookmarkEnd w:id="454"/>
      <w:bookmarkEnd w:id="455"/>
      <w:bookmarkEnd w:id="461"/>
      <w:bookmarkEnd w:id="462"/>
    </w:p>
    <w:p w14:paraId="6FCC25F8">
      <w:pPr>
        <w:keepNext/>
        <w:keepLines/>
        <w:spacing w:line="440" w:lineRule="exact"/>
        <w:ind w:firstLine="640" w:firstLineChars="200"/>
        <w:outlineLvl w:val="4"/>
        <w:rPr>
          <w:rFonts w:hint="eastAsia" w:ascii="宋体" w:hAnsi="宋体" w:cs="宋体"/>
          <w:bCs/>
          <w:sz w:val="32"/>
          <w:szCs w:val="32"/>
        </w:rPr>
      </w:pPr>
      <w:bookmarkStart w:id="463" w:name="_Toc337558728"/>
      <w:bookmarkStart w:id="464" w:name="_Toc296346529"/>
      <w:bookmarkStart w:id="465" w:name="_Toc296503028"/>
      <w:bookmarkStart w:id="466" w:name="_Toc19734"/>
      <w:bookmarkStart w:id="467" w:name="_Toc351203496"/>
      <w:bookmarkStart w:id="468" w:name="_Toc18609"/>
      <w:r>
        <w:rPr>
          <w:rFonts w:hint="eastAsia" w:ascii="宋体" w:hAnsi="宋体" w:cs="宋体"/>
          <w:bCs/>
          <w:sz w:val="32"/>
          <w:szCs w:val="32"/>
        </w:rPr>
        <w:t>1.1词语定义</w:t>
      </w:r>
      <w:bookmarkEnd w:id="463"/>
      <w:bookmarkEnd w:id="464"/>
      <w:bookmarkEnd w:id="465"/>
      <w:r>
        <w:rPr>
          <w:rFonts w:hint="eastAsia" w:ascii="宋体" w:hAnsi="宋体" w:cs="宋体"/>
          <w:bCs/>
          <w:sz w:val="32"/>
          <w:szCs w:val="32"/>
        </w:rPr>
        <w:t>与解释</w:t>
      </w:r>
      <w:bookmarkEnd w:id="466"/>
      <w:bookmarkEnd w:id="467"/>
      <w:bookmarkEnd w:id="468"/>
    </w:p>
    <w:p w14:paraId="4E4AA15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合同协议书、通用合同条款、专用合同条款中的下列词语具有本款所赋予的含义：</w:t>
      </w:r>
    </w:p>
    <w:p w14:paraId="7A68641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1.1.1合同</w:t>
      </w:r>
    </w:p>
    <w:p w14:paraId="19EDCB9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1.1.1.1合同：是指根据法律规定和合同当事人约定具有约束力的文件，构成合同的文件包括合同协议书、中标通知书（如果有）、投标函及其附录（如果有）、专用合同条款</w:t>
      </w:r>
      <w:r>
        <w:rPr>
          <w:rFonts w:hint="eastAsia" w:ascii="宋体" w:hAnsi="宋体" w:cs="宋体"/>
          <w:sz w:val="32"/>
          <w:szCs w:val="32"/>
        </w:rPr>
        <w:t>及其附件</w:t>
      </w:r>
      <w:r>
        <w:rPr>
          <w:rFonts w:hint="eastAsia" w:ascii="宋体" w:hAnsi="宋体" w:cs="宋体"/>
          <w:kern w:val="0"/>
          <w:sz w:val="32"/>
          <w:szCs w:val="32"/>
        </w:rPr>
        <w:t>、通用合同条款、技术标准和要求、图纸、已标价工程量清单或预算书以及其他合同文件。</w:t>
      </w:r>
    </w:p>
    <w:p w14:paraId="6CF4886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1.1.1.2合同协议书：是指构成合同的由发包人和承包人共同签署的称为“合同协议书”的书面文件。</w:t>
      </w:r>
    </w:p>
    <w:p w14:paraId="2F52A21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1.1.1.3中标通知书：是指构成合同的由发包人通知承包人中标的书面文件。</w:t>
      </w:r>
    </w:p>
    <w:p w14:paraId="142CA3C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1.1.1.4投标函：是指构成合同的由承包人填写并签署的用于投标的称为“投标函”的文件。</w:t>
      </w:r>
    </w:p>
    <w:p w14:paraId="06D5452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1.1.1.5投标函附录：是指构成合同的附在投标函后的称为“投标函附录”的文件。</w:t>
      </w:r>
    </w:p>
    <w:p w14:paraId="798E00C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1.1.1.6技术标准和要求：是指构成合同的施工应当遵守的或指导施工的国家、行业或地方的技术标准和要求，以及合同约定的技术标准和要求。</w:t>
      </w:r>
    </w:p>
    <w:p w14:paraId="4DFDA90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1.1.1.7图纸：是指构成合同的图纸，包括由发包人按照合同约定提供或经发包人批准的设计文件、施工图、鸟瞰图及模型等，以及在合同履行过程中形成的图纸文件。图纸应当按照法律规定审查合格。</w:t>
      </w:r>
    </w:p>
    <w:p w14:paraId="600643A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1.1.1.8已标价工程量清单：是指构成合同的由承包人按照规定的格式和要求填写并标明价格的工程量清单，包括说明和表格。</w:t>
      </w:r>
    </w:p>
    <w:p w14:paraId="69F3FE3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1.1.1.9预算书：是指构成合同的由承包人按照发包人规定的格式和要求编制的工程预算文件。</w:t>
      </w:r>
    </w:p>
    <w:p w14:paraId="36E3205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1.1.1.10其他合同文件：是指经合同当事人约定的与工程施工有关的具有合同约束力的文件或书面协议。合同当事人可以在专用合同条款中进行约定。</w:t>
      </w:r>
    </w:p>
    <w:p w14:paraId="67339F2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1.1.2合同当事人及其他相关方</w:t>
      </w:r>
    </w:p>
    <w:p w14:paraId="1F2E0C4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1.1.2.1合同当事人：是指发包人和（或）承包人。</w:t>
      </w:r>
    </w:p>
    <w:p w14:paraId="2F094D0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1.1.2.2发包人：是指与承包人签订合同协议书的当事人及取得该当事人资格的合法继承人。</w:t>
      </w:r>
    </w:p>
    <w:p w14:paraId="0C5B93C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1.1.2.3承包人：是指与发包人签订合同协议书的，具有相应工程施工承包资质的当事人及取得该当事人资格的合法继承人。</w:t>
      </w:r>
    </w:p>
    <w:p w14:paraId="77810C6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1.1.2.4监理人：是指在专用合同条款中指明的，受发包人委托按照法律规定进行工程监督管理的法人或其他组织。</w:t>
      </w:r>
    </w:p>
    <w:p w14:paraId="5A0B625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1.1.2.5设计人：是指在专用合同条款中指明的，受发包人委托负责工程设计并具备相应工程设计资质的法人或其他组织。</w:t>
      </w:r>
    </w:p>
    <w:p w14:paraId="1B07F6A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1.1.2.6分包人：</w:t>
      </w:r>
      <w:bookmarkStart w:id="469" w:name="#go5"/>
      <w:bookmarkEnd w:id="469"/>
      <w:r>
        <w:rPr>
          <w:rFonts w:hint="eastAsia" w:ascii="宋体" w:hAnsi="宋体" w:cs="宋体"/>
          <w:kern w:val="0"/>
          <w:sz w:val="32"/>
          <w:szCs w:val="32"/>
        </w:rPr>
        <w:t>是指按照法律规定和合同约定，分包部分工程或工作，并与承包人签订分包合同的具有相应资质的法人。</w:t>
      </w:r>
    </w:p>
    <w:p w14:paraId="09E1A19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1.1.2.7发包人代表：是指由发包人任命并派驻施工现场在发包人授权范围内行使发包人权利的人。</w:t>
      </w:r>
    </w:p>
    <w:p w14:paraId="4496F95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1.1.2.8项目经理：是指由承包人任命并派驻施工现场，在承包人授权范围内负责合同履行，且按照法律规定具有相应资格的项目负责人。</w:t>
      </w:r>
    </w:p>
    <w:p w14:paraId="70F0087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1.1.2.9总监理工程师：是指由监理人任命并派驻施工现场进行工程监理的总负责人。</w:t>
      </w:r>
    </w:p>
    <w:p w14:paraId="468F669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1.1.3工程和设备</w:t>
      </w:r>
    </w:p>
    <w:p w14:paraId="6A10348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1.1.3.1工程：是指与合同协议书中工程承包范围对应的永久工程和（或）临时工程。</w:t>
      </w:r>
    </w:p>
    <w:p w14:paraId="145983C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1.1.3.2永久工程：是指按合同约定建造并移交给发包人的工程，包括工程设备。</w:t>
      </w:r>
    </w:p>
    <w:p w14:paraId="79B1DF3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1.1.3.3临时工程：是指为完成合同约定的永久工程所修建的各类临时性工程，不包括施工设备。</w:t>
      </w:r>
    </w:p>
    <w:p w14:paraId="4EF1590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1.1.3.4单位工程：是指在合同协议书中指明的，具备独立施工条件并能形成独立使用功能的永久工程。</w:t>
      </w:r>
    </w:p>
    <w:p w14:paraId="0EFD946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1.1.3.5工程设备：是指构成永久工程的机电设备、金属结构设备、仪器及其他类似的设备和装置。</w:t>
      </w:r>
    </w:p>
    <w:p w14:paraId="32C5975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1.1.3.6施工设备：是指为完成合同约定的各项工作所需的设备、器具和其他物品，但不包括工程设备、临时工程和材料。</w:t>
      </w:r>
    </w:p>
    <w:p w14:paraId="4960FF2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1.1.3.7施工现场：是指用于工程施工的场所，以及在专用合同条款中指明作为施工场所组成部分的其他场所，包括永久占地和临时占地。</w:t>
      </w:r>
    </w:p>
    <w:p w14:paraId="568D85E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1.1.3.8临时设施：是指为完成合同约定的各项工作所服务的临时性生产和生活设施。</w:t>
      </w:r>
    </w:p>
    <w:p w14:paraId="3ED29E5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1.1.3.9永久占地：是指专用合同条款中指明为实施工程需永久占用的土地。</w:t>
      </w:r>
    </w:p>
    <w:p w14:paraId="54CF497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1.1.3.10临时占地：是指专用合同条款中指明为实施工程需要临时占用的土地。</w:t>
      </w:r>
    </w:p>
    <w:p w14:paraId="21B0951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1.1.4日期和期限</w:t>
      </w:r>
    </w:p>
    <w:p w14:paraId="1A81E0B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1.1.4.1开工日期：包括计划开工日期和实际开工日期。计划开工日期是指合同协议书约定的开工日期；实际开工日期是指监理人按照第7.3.2项〔开工通知〕约定发出的符合法律规定的开工通知中载明的开工日期。</w:t>
      </w:r>
    </w:p>
    <w:p w14:paraId="49F3E63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1.1.4.2竣工日期：包括计划竣工日期和实际竣工日期。计划竣工日期是指合同协议书约定的竣工日期；实际竣工日期按照第13.2.3项〔竣工日期〕的约定确定。</w:t>
      </w:r>
    </w:p>
    <w:p w14:paraId="64126D0A">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1.1.4.3工期：是指在合同协议书约定的承包人完成工程所需的期限，包括按照合同约定所作的期限变更。</w:t>
      </w:r>
    </w:p>
    <w:p w14:paraId="132AFF7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1.1.4.4缺陷责任期：是指承包人按照合同约定承担缺陷修复义务，且发包人预留质量保证金（已缴纳履约保证金的除外）的期限，自工程实际竣工日期起计算。</w:t>
      </w:r>
    </w:p>
    <w:p w14:paraId="002A96D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1.1.4.5保修期：是指承包人按照合同约定对工程承担保修责任的期限，从工程竣工验收合格之日起计算。</w:t>
      </w:r>
    </w:p>
    <w:p w14:paraId="3950458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1.1.4.6基准日期：招标发包的工程以投标截止日前28天的日期为基准日期，直接发包的工程以合同签订日前28天的日期为基准日期。</w:t>
      </w:r>
    </w:p>
    <w:p w14:paraId="5641BC3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1.1.4.7天：除特别指明外，均指日历天。合同中按天计算时间的，开始当天不计入，从次日开始计算，期限最后一天的截止时间为当天24:00时。</w:t>
      </w:r>
    </w:p>
    <w:p w14:paraId="5C336FD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1.1.5合同价格和费用</w:t>
      </w:r>
    </w:p>
    <w:p w14:paraId="7DF969AE">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1.1.5.1签约合同价：是指</w:t>
      </w:r>
      <w:r>
        <w:rPr>
          <w:rFonts w:hint="eastAsia" w:ascii="宋体" w:hAnsi="宋体" w:cs="宋体"/>
          <w:sz w:val="32"/>
          <w:szCs w:val="32"/>
        </w:rPr>
        <w:t>发包人和承包人在合同协议书中确定的总金额，包括安全文明施工费、暂估价及暂列金额等。</w:t>
      </w:r>
    </w:p>
    <w:p w14:paraId="3D4F7E6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1.1.5.2合同价格：是指发包人用于支付承包人按照合同约定完成承包范围内全部工作的金额，包括合同履行过程中按合同约定发生的价格变化。</w:t>
      </w:r>
    </w:p>
    <w:p w14:paraId="61F8A24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1.1.5.3费用：是指为履行合同所发生的或将要发生的所有必需的开支，包括管理费和应分摊的其他费用，但不包括利润。</w:t>
      </w:r>
    </w:p>
    <w:p w14:paraId="3CBD747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1.1.5.4暂估价：是指发包人在工程量清单或预算书中提供的用于支付必然发生但暂时不能确定价格的材料、工程设备的单价、专业工程以及服务工作的金额。</w:t>
      </w:r>
    </w:p>
    <w:p w14:paraId="76872BE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1.1.5.5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44A60F4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1.1.5.6计日工：是指合同履行过程中，承包人完成发包人提出的零星工作或需要采用计日工计价的变更工作时，按合同中约定的单价计价的一种方式。</w:t>
      </w:r>
    </w:p>
    <w:p w14:paraId="2E2E15CC">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1.1.5.7质量保证金</w:t>
      </w:r>
      <w:bookmarkStart w:id="470" w:name="#go2"/>
      <w:bookmarkEnd w:id="470"/>
      <w:r>
        <w:rPr>
          <w:rFonts w:hint="eastAsia" w:ascii="宋体" w:hAnsi="宋体" w:cs="宋体"/>
          <w:kern w:val="0"/>
          <w:sz w:val="32"/>
          <w:szCs w:val="32"/>
        </w:rPr>
        <w:t>：是指按照第15.3款〔质量保证金〕约定承包人用于保证其在缺陷责任期内履行缺陷修补义务的担保</w:t>
      </w:r>
      <w:r>
        <w:rPr>
          <w:rFonts w:hint="eastAsia" w:ascii="宋体" w:hAnsi="宋体" w:cs="宋体"/>
          <w:sz w:val="32"/>
          <w:szCs w:val="32"/>
        </w:rPr>
        <w:t>。</w:t>
      </w:r>
    </w:p>
    <w:p w14:paraId="71E21DE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1.1.5.8总价项目：是指在现行国家、行业以及地方的计量规则中无工程量计算规则，在已标价工程量清单或预算书中以总价或以费率形式计算的项目。</w:t>
      </w:r>
    </w:p>
    <w:p w14:paraId="28D919A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1.1.6其他</w:t>
      </w:r>
    </w:p>
    <w:p w14:paraId="07A5CD7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1.1.6.1书面形式：是指合同文件、信函、电报、传真等可以有形地表现所载内容的形式。</w:t>
      </w:r>
    </w:p>
    <w:p w14:paraId="1F57A77B">
      <w:pPr>
        <w:keepNext/>
        <w:keepLines/>
        <w:spacing w:line="440" w:lineRule="exact"/>
        <w:ind w:firstLine="640" w:firstLineChars="200"/>
        <w:outlineLvl w:val="4"/>
        <w:rPr>
          <w:rFonts w:hint="eastAsia" w:ascii="宋体" w:hAnsi="宋体" w:cs="宋体"/>
          <w:bCs/>
          <w:sz w:val="32"/>
          <w:szCs w:val="32"/>
        </w:rPr>
      </w:pPr>
      <w:bookmarkStart w:id="471" w:name="_Toc337558729"/>
      <w:bookmarkStart w:id="472" w:name="_Toc296503029"/>
      <w:bookmarkStart w:id="473" w:name="_Toc351203497"/>
      <w:bookmarkStart w:id="474" w:name="_Toc296346530"/>
      <w:bookmarkStart w:id="475" w:name="_Toc11304"/>
      <w:bookmarkStart w:id="476" w:name="_Toc13212"/>
      <w:r>
        <w:rPr>
          <w:rFonts w:hint="eastAsia" w:ascii="宋体" w:hAnsi="宋体" w:cs="宋体"/>
          <w:bCs/>
          <w:sz w:val="32"/>
          <w:szCs w:val="32"/>
        </w:rPr>
        <w:t>1.2语言文字</w:t>
      </w:r>
      <w:bookmarkEnd w:id="471"/>
      <w:bookmarkEnd w:id="472"/>
      <w:bookmarkEnd w:id="473"/>
      <w:bookmarkEnd w:id="474"/>
      <w:bookmarkEnd w:id="475"/>
      <w:bookmarkEnd w:id="476"/>
    </w:p>
    <w:p w14:paraId="2AE499C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合同以中国的汉语简体文字编写、解释和说明。合同当事人在专用合同条款中约定使用两种以上语言时，汉语为优先解释和说明合同的语言。</w:t>
      </w:r>
    </w:p>
    <w:p w14:paraId="0B83F591">
      <w:pPr>
        <w:keepNext/>
        <w:keepLines/>
        <w:spacing w:line="440" w:lineRule="exact"/>
        <w:ind w:firstLine="640" w:firstLineChars="200"/>
        <w:outlineLvl w:val="4"/>
        <w:rPr>
          <w:rFonts w:hint="eastAsia" w:ascii="宋体" w:hAnsi="宋体" w:cs="宋体"/>
          <w:bCs/>
          <w:sz w:val="32"/>
          <w:szCs w:val="32"/>
        </w:rPr>
      </w:pPr>
      <w:bookmarkStart w:id="477" w:name="_Toc296503030"/>
      <w:bookmarkStart w:id="478" w:name="_Toc296346531"/>
      <w:bookmarkStart w:id="479" w:name="_Toc351203498"/>
      <w:bookmarkStart w:id="480" w:name="_Toc7736"/>
      <w:bookmarkStart w:id="481" w:name="_Toc18526"/>
      <w:bookmarkStart w:id="482" w:name="_Toc337558730"/>
      <w:r>
        <w:rPr>
          <w:rFonts w:hint="eastAsia" w:ascii="宋体" w:hAnsi="宋体" w:cs="宋体"/>
          <w:bCs/>
          <w:sz w:val="32"/>
          <w:szCs w:val="32"/>
        </w:rPr>
        <w:t>1.3法律</w:t>
      </w:r>
      <w:bookmarkEnd w:id="477"/>
      <w:bookmarkEnd w:id="478"/>
      <w:bookmarkEnd w:id="479"/>
      <w:bookmarkEnd w:id="480"/>
      <w:bookmarkEnd w:id="481"/>
      <w:bookmarkEnd w:id="482"/>
    </w:p>
    <w:p w14:paraId="10B9734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合同所称法律是指中华人民共和国法律、行政法规、部门规章，以及工程所在地的地方性法规、自治条例、单行条例和地方政府规章等。</w:t>
      </w:r>
    </w:p>
    <w:p w14:paraId="654EDE6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合同当事人可以在专用合同条款中约定合同适用的其他规范性文件。</w:t>
      </w:r>
    </w:p>
    <w:p w14:paraId="5F3CACB5">
      <w:pPr>
        <w:keepNext/>
        <w:keepLines/>
        <w:spacing w:line="440" w:lineRule="exact"/>
        <w:ind w:firstLine="640" w:firstLineChars="200"/>
        <w:outlineLvl w:val="4"/>
        <w:rPr>
          <w:rFonts w:hint="eastAsia" w:ascii="宋体" w:hAnsi="宋体" w:cs="宋体"/>
          <w:bCs/>
          <w:sz w:val="32"/>
          <w:szCs w:val="32"/>
        </w:rPr>
      </w:pPr>
      <w:bookmarkStart w:id="483" w:name="_Toc17295"/>
      <w:bookmarkStart w:id="484" w:name="_Toc351203499"/>
      <w:bookmarkStart w:id="485" w:name="_Toc2072"/>
      <w:r>
        <w:rPr>
          <w:rFonts w:hint="eastAsia" w:ascii="宋体" w:hAnsi="宋体" w:cs="宋体"/>
          <w:bCs/>
          <w:sz w:val="32"/>
          <w:szCs w:val="32"/>
        </w:rPr>
        <w:t>1.4标准和规范</w:t>
      </w:r>
      <w:bookmarkEnd w:id="483"/>
      <w:bookmarkEnd w:id="484"/>
      <w:bookmarkEnd w:id="485"/>
    </w:p>
    <w:p w14:paraId="07E388F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1.4.1适用于工程的国家标准、行业标准、工程所在地的地方性标准，以及相应的规范、规程等，合同当事人有特别要求的，应在专用合同条款中约定。</w:t>
      </w:r>
    </w:p>
    <w:p w14:paraId="021FFD7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1.4.2发包人要求使用国外标准、规范的，发包人负责提供原文版本和中文译本，并在专用合同条款中约定提供标准规范的名称、份数和时间。</w:t>
      </w:r>
    </w:p>
    <w:p w14:paraId="4A637AA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1.4.3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298E99C8">
      <w:pPr>
        <w:keepNext/>
        <w:keepLines/>
        <w:spacing w:line="440" w:lineRule="exact"/>
        <w:ind w:firstLine="640" w:firstLineChars="200"/>
        <w:outlineLvl w:val="4"/>
        <w:rPr>
          <w:rFonts w:hint="eastAsia" w:ascii="宋体" w:hAnsi="宋体" w:cs="宋体"/>
          <w:bCs/>
          <w:sz w:val="32"/>
          <w:szCs w:val="32"/>
        </w:rPr>
      </w:pPr>
      <w:bookmarkStart w:id="486" w:name="_Toc351203500"/>
      <w:bookmarkStart w:id="487" w:name="_Toc9462"/>
      <w:bookmarkStart w:id="488" w:name="_Toc4937"/>
      <w:r>
        <w:rPr>
          <w:rFonts w:hint="eastAsia" w:ascii="宋体" w:hAnsi="宋体" w:cs="宋体"/>
          <w:bCs/>
          <w:sz w:val="32"/>
          <w:szCs w:val="32"/>
        </w:rPr>
        <w:t>1</w:t>
      </w:r>
      <w:bookmarkStart w:id="489" w:name="_Toc296346532"/>
      <w:bookmarkStart w:id="490" w:name="_Toc337558731"/>
      <w:bookmarkStart w:id="491" w:name="_Toc296503031"/>
      <w:r>
        <w:rPr>
          <w:rFonts w:hint="eastAsia" w:ascii="宋体" w:hAnsi="宋体" w:cs="宋体"/>
          <w:bCs/>
          <w:sz w:val="32"/>
          <w:szCs w:val="32"/>
        </w:rPr>
        <w:t>.5合同文件的优先顺序</w:t>
      </w:r>
      <w:bookmarkEnd w:id="486"/>
      <w:bookmarkEnd w:id="487"/>
      <w:bookmarkEnd w:id="488"/>
    </w:p>
    <w:bookmarkEnd w:id="489"/>
    <w:bookmarkEnd w:id="490"/>
    <w:bookmarkEnd w:id="491"/>
    <w:p w14:paraId="5EC8D6F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组成合同的各项文件应互相解释，互为说明。除专用合同条款另有约定外，解释合同文件的优先顺序如下：</w:t>
      </w:r>
    </w:p>
    <w:p w14:paraId="7FA9251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（1）合同协议书；</w:t>
      </w:r>
    </w:p>
    <w:p w14:paraId="1F0158B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（2）中标通知书（如果有）；</w:t>
      </w:r>
    </w:p>
    <w:p w14:paraId="1E89EEF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（3）投标函及其附录（如果有）；</w:t>
      </w:r>
    </w:p>
    <w:p w14:paraId="090F4E2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（4）专用合同条款</w:t>
      </w:r>
      <w:r>
        <w:rPr>
          <w:rFonts w:hint="eastAsia" w:ascii="宋体" w:hAnsi="宋体" w:cs="宋体"/>
          <w:sz w:val="32"/>
          <w:szCs w:val="32"/>
        </w:rPr>
        <w:t>及其附件</w:t>
      </w:r>
      <w:r>
        <w:rPr>
          <w:rFonts w:hint="eastAsia" w:ascii="宋体" w:hAnsi="宋体" w:cs="宋体"/>
          <w:kern w:val="0"/>
          <w:sz w:val="32"/>
          <w:szCs w:val="32"/>
        </w:rPr>
        <w:t>；</w:t>
      </w:r>
    </w:p>
    <w:p w14:paraId="56146BF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（5）通用合同条款；</w:t>
      </w:r>
    </w:p>
    <w:p w14:paraId="4869905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（6）技术标准和要求；</w:t>
      </w:r>
    </w:p>
    <w:p w14:paraId="15DEA2A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（7）图纸；</w:t>
      </w:r>
    </w:p>
    <w:p w14:paraId="3454F92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（8）已标价工程量清单或预算书；</w:t>
      </w:r>
    </w:p>
    <w:p w14:paraId="34801B30">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（9）其他合同文件。</w:t>
      </w:r>
    </w:p>
    <w:p w14:paraId="7E0099CC">
      <w:pPr>
        <w:spacing w:line="440" w:lineRule="exact"/>
        <w:ind w:firstLine="640" w:firstLineChars="200"/>
        <w:rPr>
          <w:rFonts w:hint="eastAsia" w:ascii="宋体" w:hAnsi="宋体" w:cs="宋体"/>
          <w:sz w:val="32"/>
          <w:szCs w:val="32"/>
        </w:rPr>
      </w:pPr>
      <w:r>
        <w:rPr>
          <w:rFonts w:hint="eastAsia" w:ascii="宋体" w:hAnsi="宋体" w:cs="宋体"/>
          <w:sz w:val="32"/>
          <w:szCs w:val="32"/>
        </w:rPr>
        <w:t>上述各项合同文件包括合同当事人就该项合同文件所作出的补充和修改，属于同一类内容的文件，应以最新签署的为准。</w:t>
      </w:r>
    </w:p>
    <w:p w14:paraId="0E54E2FF">
      <w:pPr>
        <w:spacing w:line="440" w:lineRule="exact"/>
        <w:ind w:firstLine="640" w:firstLineChars="200"/>
        <w:rPr>
          <w:rFonts w:hint="eastAsia" w:ascii="宋体" w:hAnsi="宋体" w:cs="宋体"/>
          <w:sz w:val="32"/>
          <w:szCs w:val="32"/>
        </w:rPr>
      </w:pPr>
      <w:r>
        <w:rPr>
          <w:rFonts w:hint="eastAsia" w:ascii="宋体" w:hAnsi="宋体" w:cs="宋体"/>
          <w:sz w:val="32"/>
          <w:szCs w:val="32"/>
        </w:rPr>
        <w:t>在合同订立及履行过程中形成的与合同有关的文件均构成合同文件组成部分，并根据其性质确定优先解释顺序。</w:t>
      </w:r>
    </w:p>
    <w:p w14:paraId="15B44644">
      <w:pPr>
        <w:keepNext/>
        <w:keepLines/>
        <w:spacing w:line="440" w:lineRule="exact"/>
        <w:ind w:firstLine="640" w:firstLineChars="200"/>
        <w:outlineLvl w:val="4"/>
        <w:rPr>
          <w:rFonts w:hint="eastAsia" w:ascii="宋体" w:hAnsi="宋体" w:cs="宋体"/>
          <w:bCs/>
          <w:sz w:val="32"/>
          <w:szCs w:val="32"/>
        </w:rPr>
      </w:pPr>
      <w:bookmarkStart w:id="492" w:name="_Toc15433"/>
      <w:bookmarkStart w:id="493" w:name="_Toc351203501"/>
      <w:bookmarkStart w:id="494" w:name="_Toc18857"/>
      <w:r>
        <w:rPr>
          <w:rFonts w:hint="eastAsia" w:ascii="宋体" w:hAnsi="宋体" w:cs="宋体"/>
          <w:bCs/>
          <w:sz w:val="32"/>
          <w:szCs w:val="32"/>
        </w:rPr>
        <w:t>1</w:t>
      </w:r>
      <w:bookmarkStart w:id="495" w:name="_Toc296346533"/>
      <w:bookmarkStart w:id="496" w:name="_Toc337558732"/>
      <w:bookmarkStart w:id="497" w:name="_Toc296503032"/>
      <w:r>
        <w:rPr>
          <w:rFonts w:hint="eastAsia" w:ascii="宋体" w:hAnsi="宋体" w:cs="宋体"/>
          <w:bCs/>
          <w:sz w:val="32"/>
          <w:szCs w:val="32"/>
        </w:rPr>
        <w:t>.6图纸和承包人文件</w:t>
      </w:r>
      <w:bookmarkEnd w:id="492"/>
      <w:bookmarkEnd w:id="493"/>
      <w:bookmarkEnd w:id="494"/>
    </w:p>
    <w:bookmarkEnd w:id="495"/>
    <w:bookmarkEnd w:id="496"/>
    <w:bookmarkEnd w:id="497"/>
    <w:p w14:paraId="72B8475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1.6.1图纸的提供和交底</w:t>
      </w:r>
    </w:p>
    <w:p w14:paraId="23EAC20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14:paraId="15AA133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因发包人未按合同约定提供图纸导致承包人费用增加和（或）工期延误的，按照第7.5.1项〔因发包人原因导致工期延误〕约定办理。</w:t>
      </w:r>
    </w:p>
    <w:p w14:paraId="103924B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1.6.2图纸的错误</w:t>
      </w:r>
    </w:p>
    <w:p w14:paraId="462C039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04CFC31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1.6.3图纸的修改和补充</w:t>
      </w:r>
    </w:p>
    <w:p w14:paraId="2DE353D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图纸需要修改和补充的，应经图纸原设计人及审批部门同意，并由监理人在工程或工程相应部位施工前将修改后的图纸或补充图纸提交给承包人，承包人应按修改或补充后的图纸施工。</w:t>
      </w:r>
    </w:p>
    <w:p w14:paraId="71E6A79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1.6.4承包人文件</w:t>
      </w:r>
    </w:p>
    <w:p w14:paraId="3A5F4E9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承包人应按照专用合同条款的约定提供应当由其编制的与工程施工有关的文件，并按照专用合同条款约定的期限、数量和形式提交监理人，并由监理人报送发包人。</w:t>
      </w:r>
    </w:p>
    <w:p w14:paraId="3632724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0035961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1.6.5图纸和承包人文件的保管</w:t>
      </w:r>
    </w:p>
    <w:p w14:paraId="6A94687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除专用合同条款另有约定外，承包人应在施工现场另外保存一套完整的图纸和承包人文件，供发包人、监理人及有关人员进行工程检查时使用。</w:t>
      </w:r>
    </w:p>
    <w:p w14:paraId="7F3FB5FA">
      <w:pPr>
        <w:keepNext/>
        <w:keepLines/>
        <w:spacing w:line="440" w:lineRule="exact"/>
        <w:ind w:firstLine="640" w:firstLineChars="200"/>
        <w:outlineLvl w:val="4"/>
        <w:rPr>
          <w:rFonts w:hint="eastAsia" w:ascii="宋体" w:hAnsi="宋体" w:cs="宋体"/>
          <w:bCs/>
          <w:sz w:val="32"/>
          <w:szCs w:val="32"/>
        </w:rPr>
      </w:pPr>
      <w:bookmarkStart w:id="498" w:name="_Toc2379"/>
      <w:bookmarkStart w:id="499" w:name="_Toc351203502"/>
      <w:bookmarkStart w:id="500" w:name="_Toc9341"/>
      <w:r>
        <w:rPr>
          <w:rFonts w:hint="eastAsia" w:ascii="宋体" w:hAnsi="宋体" w:cs="宋体"/>
          <w:bCs/>
          <w:sz w:val="32"/>
          <w:szCs w:val="32"/>
        </w:rPr>
        <w:t>1</w:t>
      </w:r>
      <w:bookmarkStart w:id="501" w:name="_Toc337558733"/>
      <w:bookmarkStart w:id="502" w:name="_Toc296503033"/>
      <w:bookmarkStart w:id="503" w:name="_Toc296346534"/>
      <w:r>
        <w:rPr>
          <w:rFonts w:hint="eastAsia" w:ascii="宋体" w:hAnsi="宋体" w:cs="宋体"/>
          <w:bCs/>
          <w:sz w:val="32"/>
          <w:szCs w:val="32"/>
        </w:rPr>
        <w:t>.7联络</w:t>
      </w:r>
      <w:bookmarkEnd w:id="498"/>
      <w:bookmarkEnd w:id="499"/>
      <w:bookmarkEnd w:id="500"/>
    </w:p>
    <w:bookmarkEnd w:id="501"/>
    <w:bookmarkEnd w:id="502"/>
    <w:bookmarkEnd w:id="503"/>
    <w:p w14:paraId="53882B3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1.7.1与合同有关的通知、批准、证明、证书、指示、指令、要求、请求、同意、意见、确定和决定等，均应采用书面形式，并应在合同约定的期限内送达接收人和送达地点。</w:t>
      </w:r>
    </w:p>
    <w:p w14:paraId="4A8BBB5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1.7.2发包人和承包人应在专用合同条款中约定各自的送达接收人和送达地点。任何一方合同当事人指定的接收人或送达地点发生变动的，应提前3天以书面形式通知对方。</w:t>
      </w:r>
    </w:p>
    <w:p w14:paraId="714F93D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1.7.3发包人和承包人应当及时签收另一方送达至送达地点和指定接收人的来往信函。拒不签收的，由此增加的费用和（或）延误的工期由拒绝接收一方承担。</w:t>
      </w:r>
    </w:p>
    <w:p w14:paraId="44430250">
      <w:pPr>
        <w:keepNext/>
        <w:keepLines/>
        <w:spacing w:line="440" w:lineRule="exact"/>
        <w:ind w:firstLine="640" w:firstLineChars="200"/>
        <w:outlineLvl w:val="4"/>
        <w:rPr>
          <w:rFonts w:hint="eastAsia" w:ascii="宋体" w:hAnsi="宋体" w:cs="宋体"/>
          <w:bCs/>
          <w:sz w:val="32"/>
          <w:szCs w:val="32"/>
        </w:rPr>
      </w:pPr>
      <w:bookmarkStart w:id="504" w:name="_Toc26598"/>
      <w:bookmarkStart w:id="505" w:name="_Toc14711"/>
      <w:bookmarkStart w:id="506" w:name="_Toc351203503"/>
      <w:r>
        <w:rPr>
          <w:rFonts w:hint="eastAsia" w:ascii="宋体" w:hAnsi="宋体" w:cs="宋体"/>
          <w:bCs/>
          <w:sz w:val="32"/>
          <w:szCs w:val="32"/>
        </w:rPr>
        <w:t>1</w:t>
      </w:r>
      <w:bookmarkStart w:id="507" w:name="_Toc296503035"/>
      <w:bookmarkStart w:id="508" w:name="_Toc296346536"/>
      <w:bookmarkStart w:id="509" w:name="_Toc337558734"/>
      <w:r>
        <w:rPr>
          <w:rFonts w:hint="eastAsia" w:ascii="宋体" w:hAnsi="宋体" w:cs="宋体"/>
          <w:bCs/>
          <w:sz w:val="32"/>
          <w:szCs w:val="32"/>
        </w:rPr>
        <w:t>.8严禁贿赂</w:t>
      </w:r>
      <w:bookmarkEnd w:id="504"/>
      <w:bookmarkEnd w:id="505"/>
      <w:bookmarkEnd w:id="506"/>
    </w:p>
    <w:bookmarkEnd w:id="507"/>
    <w:bookmarkEnd w:id="508"/>
    <w:bookmarkEnd w:id="509"/>
    <w:p w14:paraId="7EE694F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合同当事人不得以贿赂或变相贿赂的方式，谋取非法利益或损害对方权益。因一方合同当事人的贿赂造成对方损失的，应赔偿损失，并承担相应的法律责任。</w:t>
      </w:r>
    </w:p>
    <w:p w14:paraId="7245C33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承包人不得与监理人或发包人聘请的第三方串通损害发包人利益。未经发包人书面同意，承包人不得为监理人提供合同约定以外的通讯设备、交通工具及其他任何形式的利益，不得向监理人支付报酬。</w:t>
      </w:r>
    </w:p>
    <w:p w14:paraId="553CE39C">
      <w:pPr>
        <w:keepNext/>
        <w:keepLines/>
        <w:spacing w:line="440" w:lineRule="exact"/>
        <w:ind w:firstLine="640" w:firstLineChars="200"/>
        <w:outlineLvl w:val="4"/>
        <w:rPr>
          <w:rFonts w:hint="eastAsia" w:ascii="宋体" w:hAnsi="宋体" w:cs="宋体"/>
          <w:bCs/>
          <w:sz w:val="32"/>
          <w:szCs w:val="32"/>
        </w:rPr>
      </w:pPr>
      <w:bookmarkStart w:id="510" w:name="_Toc16256"/>
      <w:bookmarkStart w:id="511" w:name="_Toc27709"/>
      <w:bookmarkStart w:id="512" w:name="_Toc351203504"/>
      <w:r>
        <w:rPr>
          <w:rFonts w:hint="eastAsia" w:ascii="宋体" w:hAnsi="宋体" w:cs="宋体"/>
          <w:bCs/>
          <w:sz w:val="32"/>
          <w:szCs w:val="32"/>
        </w:rPr>
        <w:t>1</w:t>
      </w:r>
      <w:bookmarkStart w:id="513" w:name="_Toc296346537"/>
      <w:bookmarkStart w:id="514" w:name="_Toc337558735"/>
      <w:bookmarkStart w:id="515" w:name="_Toc296503036"/>
      <w:r>
        <w:rPr>
          <w:rFonts w:hint="eastAsia" w:ascii="宋体" w:hAnsi="宋体" w:cs="宋体"/>
          <w:bCs/>
          <w:sz w:val="32"/>
          <w:szCs w:val="32"/>
        </w:rPr>
        <w:t>.9化石、文物</w:t>
      </w:r>
      <w:bookmarkEnd w:id="510"/>
      <w:bookmarkEnd w:id="511"/>
      <w:bookmarkEnd w:id="512"/>
    </w:p>
    <w:bookmarkEnd w:id="513"/>
    <w:bookmarkEnd w:id="514"/>
    <w:bookmarkEnd w:id="515"/>
    <w:p w14:paraId="13370CD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5A72181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发包人、监理人和承包人应按有关政府行政管理部门要求采取妥善的保护措施，由此增加的费用和（或）延误的工期由发包人承担。</w:t>
      </w:r>
    </w:p>
    <w:p w14:paraId="156F9AF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承包人发现文物后不及时报告或隐瞒不报，致使文物丢失或损坏的，应赔偿损失，并承担相应的法律责任。</w:t>
      </w:r>
    </w:p>
    <w:p w14:paraId="57CFD599">
      <w:pPr>
        <w:keepNext/>
        <w:keepLines/>
        <w:spacing w:line="440" w:lineRule="exact"/>
        <w:ind w:firstLine="640" w:firstLineChars="200"/>
        <w:outlineLvl w:val="4"/>
        <w:rPr>
          <w:rFonts w:hint="eastAsia" w:ascii="宋体" w:hAnsi="宋体" w:cs="宋体"/>
          <w:bCs/>
          <w:sz w:val="32"/>
          <w:szCs w:val="32"/>
        </w:rPr>
      </w:pPr>
      <w:bookmarkStart w:id="516" w:name="_Toc15013"/>
      <w:bookmarkStart w:id="517" w:name="_Toc351203505"/>
      <w:bookmarkStart w:id="518" w:name="_Toc12158"/>
      <w:r>
        <w:rPr>
          <w:rFonts w:hint="eastAsia" w:ascii="宋体" w:hAnsi="宋体" w:cs="宋体"/>
          <w:bCs/>
          <w:sz w:val="32"/>
          <w:szCs w:val="32"/>
        </w:rPr>
        <w:t>1</w:t>
      </w:r>
      <w:bookmarkStart w:id="519" w:name="_Toc337558736"/>
      <w:r>
        <w:rPr>
          <w:rFonts w:hint="eastAsia" w:ascii="宋体" w:hAnsi="宋体" w:cs="宋体"/>
          <w:bCs/>
          <w:sz w:val="32"/>
          <w:szCs w:val="32"/>
        </w:rPr>
        <w:t>.10交通运输</w:t>
      </w:r>
      <w:bookmarkEnd w:id="516"/>
      <w:bookmarkEnd w:id="517"/>
      <w:bookmarkEnd w:id="518"/>
    </w:p>
    <w:bookmarkEnd w:id="519"/>
    <w:p w14:paraId="38C83A9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1.10.1出入现场的权利</w:t>
      </w:r>
    </w:p>
    <w:p w14:paraId="37010E7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3073018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承包人应在订立合同前查勘施工现场，并根据工程规模及技术参数合理预见工程施工所需的进出施工现场的方式、手段、路径等。因承包人未合理预见所增加的费用和（或）延误的工期由承包人承担。</w:t>
      </w:r>
    </w:p>
    <w:p w14:paraId="71492CA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1.10.2场外交通</w:t>
      </w:r>
    </w:p>
    <w:p w14:paraId="16D492A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5167F9F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1.10.3场内交通</w:t>
      </w:r>
    </w:p>
    <w:p w14:paraId="646185C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2F625F8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4B0E950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场外交通和场内交通的边界由合同当事人在专用合同条款中约定。</w:t>
      </w:r>
    </w:p>
    <w:p w14:paraId="3E6AC2F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1.10.4超大件和超重件的运输</w:t>
      </w:r>
    </w:p>
    <w:p w14:paraId="4B25A1B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85EDEC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1.10.5道路和桥梁的损坏责任</w:t>
      </w:r>
    </w:p>
    <w:p w14:paraId="78E2ECE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因承包人运输造成施工场地内外公共道路和桥梁损坏的，由承包人承担修复损坏的全部费用和可能引起的赔偿。</w:t>
      </w:r>
    </w:p>
    <w:p w14:paraId="09D89ED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1.10.6水路和航空运输</w:t>
      </w:r>
    </w:p>
    <w:p w14:paraId="5705ADC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本款前述各项的内容适用于水路运输和航空运输，其中“道路”一词的涵义包括河道、航线、船闸、机场、码头、堤防以及水路或航空运输中其他相似结构物；“车辆”一词的涵义包括船舶和飞机等。</w:t>
      </w:r>
    </w:p>
    <w:p w14:paraId="03D56140">
      <w:pPr>
        <w:keepNext/>
        <w:keepLines/>
        <w:spacing w:line="440" w:lineRule="exact"/>
        <w:ind w:firstLine="640" w:firstLineChars="200"/>
        <w:outlineLvl w:val="4"/>
        <w:rPr>
          <w:rFonts w:hint="eastAsia" w:ascii="宋体" w:hAnsi="宋体" w:cs="宋体"/>
          <w:bCs/>
          <w:sz w:val="32"/>
          <w:szCs w:val="32"/>
        </w:rPr>
      </w:pPr>
      <w:bookmarkStart w:id="520" w:name="_Toc243"/>
      <w:bookmarkStart w:id="521" w:name="_Toc28361"/>
      <w:bookmarkStart w:id="522" w:name="_Toc351203506"/>
      <w:r>
        <w:rPr>
          <w:rFonts w:hint="eastAsia" w:ascii="宋体" w:hAnsi="宋体" w:cs="宋体"/>
          <w:bCs/>
          <w:sz w:val="32"/>
          <w:szCs w:val="32"/>
        </w:rPr>
        <w:t>1</w:t>
      </w:r>
      <w:bookmarkStart w:id="523" w:name="_Toc337558737"/>
      <w:bookmarkStart w:id="524" w:name="_Toc296503037"/>
      <w:bookmarkStart w:id="525" w:name="_Toc296346538"/>
      <w:r>
        <w:rPr>
          <w:rFonts w:hint="eastAsia" w:ascii="宋体" w:hAnsi="宋体" w:cs="宋体"/>
          <w:bCs/>
          <w:sz w:val="32"/>
          <w:szCs w:val="32"/>
        </w:rPr>
        <w:t>.11知识产权</w:t>
      </w:r>
      <w:bookmarkEnd w:id="520"/>
      <w:bookmarkEnd w:id="521"/>
      <w:bookmarkEnd w:id="522"/>
      <w:bookmarkEnd w:id="523"/>
    </w:p>
    <w:bookmarkEnd w:id="524"/>
    <w:bookmarkEnd w:id="525"/>
    <w:p w14:paraId="1E5CDF5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1.11.1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19670CD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1.11.2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70C524B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1.11.3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28831856">
      <w:pPr>
        <w:spacing w:line="440" w:lineRule="exact"/>
        <w:ind w:firstLine="640" w:firstLineChars="200"/>
        <w:rPr>
          <w:rFonts w:hint="eastAsia" w:ascii="宋体" w:hAnsi="宋体" w:cs="宋体"/>
          <w:sz w:val="32"/>
          <w:szCs w:val="32"/>
        </w:rPr>
      </w:pPr>
      <w:r>
        <w:rPr>
          <w:rFonts w:hint="eastAsia" w:ascii="宋体" w:hAnsi="宋体" w:cs="宋体"/>
          <w:sz w:val="32"/>
          <w:szCs w:val="32"/>
        </w:rPr>
        <w:t>1.11.4除专用合同条款另有约定外，承包人在合同签订前和签订时已确定采用的专利、专有技术、技术秘密的使用费已包含在签约合同价中。</w:t>
      </w:r>
    </w:p>
    <w:p w14:paraId="36CE742B">
      <w:pPr>
        <w:keepNext/>
        <w:keepLines/>
        <w:spacing w:line="440" w:lineRule="exact"/>
        <w:ind w:firstLine="640" w:firstLineChars="200"/>
        <w:outlineLvl w:val="4"/>
        <w:rPr>
          <w:rFonts w:hint="eastAsia" w:ascii="宋体" w:hAnsi="宋体" w:cs="宋体"/>
          <w:bCs/>
          <w:sz w:val="32"/>
          <w:szCs w:val="32"/>
        </w:rPr>
      </w:pPr>
      <w:bookmarkStart w:id="526" w:name="_Toc28956"/>
      <w:bookmarkStart w:id="527" w:name="_Toc351203507"/>
      <w:bookmarkStart w:id="528" w:name="_Toc8017"/>
      <w:r>
        <w:rPr>
          <w:rFonts w:hint="eastAsia" w:ascii="宋体" w:hAnsi="宋体" w:cs="宋体"/>
          <w:bCs/>
          <w:sz w:val="32"/>
          <w:szCs w:val="32"/>
        </w:rPr>
        <w:t>1</w:t>
      </w:r>
      <w:bookmarkStart w:id="529" w:name="_Toc337558738"/>
      <w:r>
        <w:rPr>
          <w:rFonts w:hint="eastAsia" w:ascii="宋体" w:hAnsi="宋体" w:cs="宋体"/>
          <w:bCs/>
          <w:sz w:val="32"/>
          <w:szCs w:val="32"/>
        </w:rPr>
        <w:t>.12保密</w:t>
      </w:r>
      <w:bookmarkEnd w:id="526"/>
      <w:bookmarkEnd w:id="527"/>
      <w:bookmarkEnd w:id="528"/>
    </w:p>
    <w:bookmarkEnd w:id="529"/>
    <w:p w14:paraId="0C1ED29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除法律规定或合同另有约定外，未经发包人同意，承包人不得将发包人提供的图纸、文件以及声明需要保密的资料信息等商业秘密泄露给第三方。</w:t>
      </w:r>
    </w:p>
    <w:p w14:paraId="1DB121F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除法律规定或合同另有约定外，未经承包人同意，发包人不得将承包人提供的技术秘密及声明需要保密的资料信息等商业秘密泄露给第三方。</w:t>
      </w:r>
    </w:p>
    <w:p w14:paraId="6B174403">
      <w:pPr>
        <w:keepNext/>
        <w:keepLines/>
        <w:spacing w:line="440" w:lineRule="exact"/>
        <w:ind w:firstLine="640" w:firstLineChars="200"/>
        <w:outlineLvl w:val="4"/>
        <w:rPr>
          <w:rFonts w:hint="eastAsia" w:ascii="宋体" w:hAnsi="宋体" w:cs="宋体"/>
          <w:bCs/>
          <w:sz w:val="32"/>
          <w:szCs w:val="32"/>
        </w:rPr>
      </w:pPr>
      <w:bookmarkStart w:id="530" w:name="_Toc11723"/>
      <w:bookmarkStart w:id="531" w:name="_Toc351203508"/>
      <w:bookmarkStart w:id="532" w:name="_Toc4213"/>
      <w:r>
        <w:rPr>
          <w:rFonts w:hint="eastAsia" w:ascii="宋体" w:hAnsi="宋体" w:cs="宋体"/>
          <w:bCs/>
          <w:sz w:val="32"/>
          <w:szCs w:val="32"/>
        </w:rPr>
        <w:t>1.13工程量清单错误的修正</w:t>
      </w:r>
      <w:bookmarkEnd w:id="530"/>
      <w:bookmarkEnd w:id="531"/>
      <w:bookmarkEnd w:id="532"/>
    </w:p>
    <w:p w14:paraId="432E52F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除专用合同条款另有约定外，发包人提供的工程量清单，应被认为是准确的和完整的。出现下列情形之一时，发包人应予以修正，并相应调整合同价格：</w:t>
      </w:r>
    </w:p>
    <w:p w14:paraId="04DD7E5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（1）工程量清单存在缺项、漏项的；</w:t>
      </w:r>
    </w:p>
    <w:p w14:paraId="049827E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（2）工程量清单偏差超出专用合同条款约定的工程量偏差范围的；</w:t>
      </w:r>
    </w:p>
    <w:p w14:paraId="576BF0B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（3）未按照国家现行计量规范强制性规定计量的。</w:t>
      </w:r>
    </w:p>
    <w:p w14:paraId="4A0C5D96">
      <w:pPr>
        <w:keepNext/>
        <w:keepLines/>
        <w:spacing w:line="440" w:lineRule="exact"/>
        <w:ind w:firstLine="640" w:firstLineChars="200"/>
        <w:outlineLvl w:val="3"/>
        <w:rPr>
          <w:rFonts w:hint="eastAsia" w:ascii="宋体" w:hAnsi="宋体" w:cs="宋体"/>
          <w:bCs/>
          <w:sz w:val="32"/>
          <w:szCs w:val="32"/>
        </w:rPr>
      </w:pPr>
      <w:bookmarkStart w:id="533" w:name="_Toc351203509"/>
      <w:bookmarkStart w:id="534" w:name="_Toc19803"/>
      <w:bookmarkStart w:id="535" w:name="_Toc19096"/>
      <w:r>
        <w:rPr>
          <w:rFonts w:hint="eastAsia" w:ascii="宋体" w:hAnsi="宋体" w:cs="宋体"/>
          <w:bCs/>
          <w:sz w:val="32"/>
          <w:szCs w:val="32"/>
        </w:rPr>
        <w:t>2</w:t>
      </w:r>
      <w:bookmarkStart w:id="536" w:name="_Toc296346539"/>
      <w:bookmarkStart w:id="537" w:name="_Toc296503038"/>
      <w:bookmarkStart w:id="538" w:name="_Toc337558739"/>
      <w:bookmarkStart w:id="539" w:name="OLE_LINK2"/>
      <w:bookmarkStart w:id="540" w:name="OLE_LINK1"/>
      <w:r>
        <w:rPr>
          <w:rFonts w:hint="eastAsia" w:ascii="宋体" w:hAnsi="宋体" w:cs="宋体"/>
          <w:bCs/>
          <w:sz w:val="32"/>
          <w:szCs w:val="32"/>
        </w:rPr>
        <w:t>.发包人</w:t>
      </w:r>
      <w:bookmarkEnd w:id="533"/>
      <w:bookmarkEnd w:id="534"/>
      <w:bookmarkEnd w:id="535"/>
    </w:p>
    <w:bookmarkEnd w:id="536"/>
    <w:bookmarkEnd w:id="537"/>
    <w:bookmarkEnd w:id="538"/>
    <w:p w14:paraId="207913F0">
      <w:pPr>
        <w:keepNext/>
        <w:keepLines/>
        <w:spacing w:line="440" w:lineRule="exact"/>
        <w:ind w:firstLine="640" w:firstLineChars="200"/>
        <w:outlineLvl w:val="4"/>
        <w:rPr>
          <w:rFonts w:hint="eastAsia" w:ascii="宋体" w:hAnsi="宋体" w:cs="宋体"/>
          <w:bCs/>
          <w:sz w:val="32"/>
          <w:szCs w:val="32"/>
        </w:rPr>
      </w:pPr>
      <w:bookmarkStart w:id="541" w:name="_Toc351203510"/>
      <w:bookmarkStart w:id="542" w:name="_Toc19492"/>
      <w:bookmarkStart w:id="543" w:name="_Toc23703"/>
      <w:r>
        <w:rPr>
          <w:rFonts w:hint="eastAsia" w:ascii="宋体" w:hAnsi="宋体" w:cs="宋体"/>
          <w:bCs/>
          <w:sz w:val="32"/>
          <w:szCs w:val="32"/>
        </w:rPr>
        <w:t>2</w:t>
      </w:r>
      <w:bookmarkStart w:id="544" w:name="_Toc296346540"/>
      <w:bookmarkStart w:id="545" w:name="_Toc296503039"/>
      <w:bookmarkStart w:id="546" w:name="_Toc337558740"/>
      <w:r>
        <w:rPr>
          <w:rFonts w:hint="eastAsia" w:ascii="宋体" w:hAnsi="宋体" w:cs="宋体"/>
          <w:bCs/>
          <w:sz w:val="32"/>
          <w:szCs w:val="32"/>
        </w:rPr>
        <w:t>.1许可或批准</w:t>
      </w:r>
      <w:bookmarkEnd w:id="541"/>
      <w:bookmarkEnd w:id="542"/>
      <w:bookmarkEnd w:id="543"/>
    </w:p>
    <w:p w14:paraId="7FC7248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754B181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因发包人原因未能及时办理完毕前述许可、批准或备案，由发包人承担由此增加的费用和（或）延误的工期，并支付承包人合理的利润。</w:t>
      </w:r>
    </w:p>
    <w:p w14:paraId="000B9775">
      <w:pPr>
        <w:keepNext/>
        <w:keepLines/>
        <w:spacing w:line="440" w:lineRule="exact"/>
        <w:ind w:firstLine="640" w:firstLineChars="200"/>
        <w:outlineLvl w:val="4"/>
        <w:rPr>
          <w:rFonts w:hint="eastAsia" w:ascii="宋体" w:hAnsi="宋体" w:cs="宋体"/>
          <w:bCs/>
          <w:sz w:val="32"/>
          <w:szCs w:val="32"/>
        </w:rPr>
      </w:pPr>
      <w:bookmarkStart w:id="547" w:name="_Toc15374"/>
      <w:bookmarkStart w:id="548" w:name="_Toc351203511"/>
      <w:bookmarkStart w:id="549" w:name="_Toc2708"/>
      <w:r>
        <w:rPr>
          <w:rFonts w:hint="eastAsia" w:ascii="宋体" w:hAnsi="宋体" w:cs="宋体"/>
          <w:bCs/>
          <w:sz w:val="32"/>
          <w:szCs w:val="32"/>
        </w:rPr>
        <w:t>2.2发包人代表</w:t>
      </w:r>
      <w:bookmarkEnd w:id="547"/>
      <w:bookmarkEnd w:id="548"/>
      <w:bookmarkEnd w:id="549"/>
    </w:p>
    <w:p w14:paraId="5FF25BC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6236EA39">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发包人代表不能按照合同约定履行其职责及义务，并导致合同无法继续正常履行的，承包人可以要求发包人撤换发包人代表。</w:t>
      </w:r>
    </w:p>
    <w:p w14:paraId="527A790F">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不属于法定必须监理的工程，监理人的职权可以由发包人代表或发包人指定的其他人员行使。</w:t>
      </w:r>
    </w:p>
    <w:p w14:paraId="6A8BEACC">
      <w:pPr>
        <w:keepNext/>
        <w:keepLines/>
        <w:spacing w:line="440" w:lineRule="exact"/>
        <w:ind w:firstLine="640" w:firstLineChars="200"/>
        <w:outlineLvl w:val="4"/>
        <w:rPr>
          <w:rFonts w:hint="eastAsia" w:ascii="宋体" w:hAnsi="宋体" w:cs="宋体"/>
          <w:bCs/>
          <w:sz w:val="32"/>
          <w:szCs w:val="32"/>
        </w:rPr>
      </w:pPr>
      <w:bookmarkStart w:id="550" w:name="_Toc351203512"/>
      <w:bookmarkStart w:id="551" w:name="_Toc22899"/>
      <w:bookmarkStart w:id="552" w:name="_Toc9504"/>
      <w:r>
        <w:rPr>
          <w:rFonts w:hint="eastAsia" w:ascii="宋体" w:hAnsi="宋体" w:cs="宋体"/>
          <w:bCs/>
          <w:sz w:val="32"/>
          <w:szCs w:val="32"/>
        </w:rPr>
        <w:t>2.3发包人人员</w:t>
      </w:r>
      <w:bookmarkEnd w:id="550"/>
      <w:bookmarkEnd w:id="551"/>
      <w:bookmarkEnd w:id="552"/>
    </w:p>
    <w:p w14:paraId="60DC2F8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发包人应要求在施工现场的发包人人员遵守法律及有关安全、质量、环境保护、文明施工等规定，并保障承包人免于承受因发包人人员未遵守上述要求给承包人造成的损失和责任。</w:t>
      </w:r>
    </w:p>
    <w:p w14:paraId="367E736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发包人人员包括发包人代表及其他由发包人派驻施工现场的人员。</w:t>
      </w:r>
      <w:bookmarkEnd w:id="544"/>
      <w:bookmarkEnd w:id="545"/>
      <w:bookmarkEnd w:id="546"/>
    </w:p>
    <w:p w14:paraId="7E3E9181">
      <w:pPr>
        <w:keepNext/>
        <w:keepLines/>
        <w:spacing w:line="440" w:lineRule="exact"/>
        <w:ind w:firstLine="640" w:firstLineChars="200"/>
        <w:outlineLvl w:val="4"/>
        <w:rPr>
          <w:rFonts w:hint="eastAsia" w:ascii="宋体" w:hAnsi="宋体" w:cs="宋体"/>
          <w:bCs/>
          <w:sz w:val="32"/>
          <w:szCs w:val="32"/>
        </w:rPr>
      </w:pPr>
      <w:bookmarkStart w:id="553" w:name="_Toc13986"/>
      <w:bookmarkStart w:id="554" w:name="_Toc351203513"/>
      <w:bookmarkStart w:id="555" w:name="_Toc25605"/>
      <w:r>
        <w:rPr>
          <w:rFonts w:hint="eastAsia" w:ascii="宋体" w:hAnsi="宋体" w:cs="宋体"/>
          <w:bCs/>
          <w:sz w:val="32"/>
          <w:szCs w:val="32"/>
        </w:rPr>
        <w:t>2</w:t>
      </w:r>
      <w:bookmarkStart w:id="556" w:name="_Toc337558741"/>
      <w:bookmarkStart w:id="557" w:name="_Toc296503040"/>
      <w:bookmarkStart w:id="558" w:name="_Toc296346541"/>
      <w:r>
        <w:rPr>
          <w:rFonts w:hint="eastAsia" w:ascii="宋体" w:hAnsi="宋体" w:cs="宋体"/>
          <w:bCs/>
          <w:sz w:val="32"/>
          <w:szCs w:val="32"/>
        </w:rPr>
        <w:t>.4施工现场、施工条件和基础资料的提供</w:t>
      </w:r>
      <w:bookmarkEnd w:id="553"/>
      <w:bookmarkEnd w:id="554"/>
      <w:bookmarkEnd w:id="555"/>
      <w:bookmarkEnd w:id="556"/>
      <w:bookmarkEnd w:id="557"/>
      <w:bookmarkEnd w:id="558"/>
    </w:p>
    <w:p w14:paraId="199AEE5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2.4.1提供施工现场</w:t>
      </w:r>
    </w:p>
    <w:p w14:paraId="650305E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w:t>
      </w:r>
      <w:bookmarkEnd w:id="539"/>
      <w:bookmarkEnd w:id="540"/>
      <w:r>
        <w:rPr>
          <w:rFonts w:hint="eastAsia" w:ascii="宋体" w:hAnsi="宋体" w:cs="宋体"/>
          <w:kern w:val="0"/>
          <w:sz w:val="32"/>
          <w:szCs w:val="32"/>
        </w:rPr>
        <w:t>专用合同条款另有约定外，发包人应最迟于开工日期7天前向承包人移交施工现场。</w:t>
      </w:r>
    </w:p>
    <w:p w14:paraId="0B49912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2.4.2提供施工条件</w:t>
      </w:r>
    </w:p>
    <w:p w14:paraId="42463AB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除专用合同条款另有约定外，发包人应负责提供施工所需要的条件，包括：</w:t>
      </w:r>
    </w:p>
    <w:p w14:paraId="4C8895C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（1）将施工用水、电力、通讯线路等施工所必需的条件接至施工现场内；</w:t>
      </w:r>
    </w:p>
    <w:p w14:paraId="198F0B4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（2）保证向承包人提供正常施工所需要的进入施工现场的交通条件；</w:t>
      </w:r>
    </w:p>
    <w:p w14:paraId="44B83C4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（3）协调处理施工现场周围地下管线和邻近建筑物、构筑物、古树名木的保护工作，并承担相关费用；</w:t>
      </w:r>
    </w:p>
    <w:p w14:paraId="7E55991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（4）按照专用合同条款约定应提供的其他设施和条件。</w:t>
      </w:r>
    </w:p>
    <w:p w14:paraId="510BA5A8">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2.4.3提供基础资料</w:t>
      </w:r>
    </w:p>
    <w:p w14:paraId="224ADC0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1EC1AF5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按照法律规定确需在开工后方能提供的基础资料，发包人应尽其努力及时地在相应工程施工前的合理期限内提供，合理期限应以不影响承包人的正常施工为限。</w:t>
      </w:r>
    </w:p>
    <w:p w14:paraId="22A1A01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2.4.4逾期提供的责任</w:t>
      </w:r>
    </w:p>
    <w:p w14:paraId="40C6AA1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因发包人原因未能按合同约定及时向承包人提供施工现场、施工条件、基础资料的，由发包人承担由此增加的费用和（或）延误的工期。</w:t>
      </w:r>
    </w:p>
    <w:p w14:paraId="7D1A4708">
      <w:pPr>
        <w:keepNext/>
        <w:keepLines/>
        <w:spacing w:line="440" w:lineRule="exact"/>
        <w:ind w:firstLine="640" w:firstLineChars="200"/>
        <w:outlineLvl w:val="4"/>
        <w:rPr>
          <w:rFonts w:hint="eastAsia" w:ascii="宋体" w:hAnsi="宋体" w:cs="宋体"/>
          <w:bCs/>
          <w:sz w:val="32"/>
          <w:szCs w:val="32"/>
        </w:rPr>
      </w:pPr>
      <w:bookmarkStart w:id="559" w:name="_Toc23930"/>
      <w:bookmarkStart w:id="560" w:name="_Toc12957"/>
      <w:bookmarkStart w:id="561" w:name="_Toc351203514"/>
      <w:r>
        <w:rPr>
          <w:rFonts w:hint="eastAsia" w:ascii="宋体" w:hAnsi="宋体" w:cs="宋体"/>
          <w:bCs/>
          <w:sz w:val="32"/>
          <w:szCs w:val="32"/>
        </w:rPr>
        <w:t>2</w:t>
      </w:r>
      <w:bookmarkStart w:id="562" w:name="_Toc337558745"/>
      <w:bookmarkStart w:id="563" w:name="_Toc296503042"/>
      <w:bookmarkStart w:id="564" w:name="_Toc296346543"/>
      <w:r>
        <w:rPr>
          <w:rFonts w:hint="eastAsia" w:ascii="宋体" w:hAnsi="宋体" w:cs="宋体"/>
          <w:bCs/>
          <w:sz w:val="32"/>
          <w:szCs w:val="32"/>
        </w:rPr>
        <w:t>.5资</w:t>
      </w:r>
      <w:bookmarkEnd w:id="562"/>
      <w:bookmarkEnd w:id="563"/>
      <w:bookmarkEnd w:id="564"/>
      <w:r>
        <w:rPr>
          <w:rFonts w:hint="eastAsia" w:ascii="宋体" w:hAnsi="宋体" w:cs="宋体"/>
          <w:bCs/>
          <w:sz w:val="32"/>
          <w:szCs w:val="32"/>
        </w:rPr>
        <w:t>金来源证明及支付担保</w:t>
      </w:r>
      <w:bookmarkEnd w:id="559"/>
      <w:bookmarkEnd w:id="560"/>
      <w:bookmarkEnd w:id="561"/>
    </w:p>
    <w:p w14:paraId="7FC8F44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除专用合同条款另有约定外，发包人应在收到承包人要求提供资金来源证明的书面通知后28天内，向承包人提供能够按照合同约定支付合同价款的相应资金来源证明。</w:t>
      </w:r>
    </w:p>
    <w:p w14:paraId="7451CAD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除专用合同条款另有约定外，发包人要求承包人提供履约担保的，发包人应当向承包人提供支付担保。支付担保可以采用银行保函或担保公司担保等形式，具体由合同当事人在专用合同条款中约定。</w:t>
      </w:r>
    </w:p>
    <w:p w14:paraId="24A4C085">
      <w:pPr>
        <w:keepNext/>
        <w:keepLines/>
        <w:spacing w:line="440" w:lineRule="exact"/>
        <w:ind w:firstLine="640" w:firstLineChars="200"/>
        <w:outlineLvl w:val="4"/>
        <w:rPr>
          <w:rFonts w:hint="eastAsia" w:ascii="宋体" w:hAnsi="宋体" w:cs="宋体"/>
          <w:bCs/>
          <w:sz w:val="32"/>
          <w:szCs w:val="32"/>
        </w:rPr>
      </w:pPr>
      <w:bookmarkStart w:id="565" w:name="_Toc8522"/>
      <w:bookmarkStart w:id="566" w:name="_Toc351203515"/>
      <w:bookmarkStart w:id="567" w:name="_Toc29011"/>
      <w:r>
        <w:rPr>
          <w:rFonts w:hint="eastAsia" w:ascii="宋体" w:hAnsi="宋体" w:cs="宋体"/>
          <w:bCs/>
          <w:sz w:val="32"/>
          <w:szCs w:val="32"/>
        </w:rPr>
        <w:t>2.6支付合同价款</w:t>
      </w:r>
      <w:bookmarkEnd w:id="565"/>
      <w:bookmarkEnd w:id="566"/>
      <w:bookmarkEnd w:id="567"/>
    </w:p>
    <w:p w14:paraId="0E02B3D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发包人应按合同约定向承包人及时支付合同价款。</w:t>
      </w:r>
    </w:p>
    <w:p w14:paraId="2457735F">
      <w:pPr>
        <w:keepNext/>
        <w:keepLines/>
        <w:spacing w:line="440" w:lineRule="exact"/>
        <w:ind w:firstLine="640" w:firstLineChars="200"/>
        <w:outlineLvl w:val="4"/>
        <w:rPr>
          <w:rFonts w:hint="eastAsia" w:ascii="宋体" w:hAnsi="宋体" w:cs="宋体"/>
          <w:bCs/>
          <w:sz w:val="32"/>
          <w:szCs w:val="32"/>
        </w:rPr>
      </w:pPr>
      <w:bookmarkStart w:id="568" w:name="_Toc4272"/>
      <w:bookmarkStart w:id="569" w:name="_Toc351203516"/>
      <w:bookmarkStart w:id="570" w:name="_Toc4671"/>
      <w:r>
        <w:rPr>
          <w:rFonts w:hint="eastAsia" w:ascii="宋体" w:hAnsi="宋体" w:cs="宋体"/>
          <w:bCs/>
          <w:sz w:val="32"/>
          <w:szCs w:val="32"/>
        </w:rPr>
        <w:t>2.7组织竣工验收</w:t>
      </w:r>
      <w:bookmarkEnd w:id="568"/>
      <w:bookmarkEnd w:id="569"/>
      <w:bookmarkEnd w:id="570"/>
    </w:p>
    <w:p w14:paraId="248415A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发包人应按合同约定及时组织竣工验收。</w:t>
      </w:r>
    </w:p>
    <w:p w14:paraId="2475CE91">
      <w:pPr>
        <w:keepNext/>
        <w:keepLines/>
        <w:spacing w:line="440" w:lineRule="exact"/>
        <w:ind w:firstLine="640" w:firstLineChars="200"/>
        <w:outlineLvl w:val="4"/>
        <w:rPr>
          <w:rFonts w:hint="eastAsia" w:ascii="宋体" w:hAnsi="宋体" w:cs="宋体"/>
          <w:bCs/>
          <w:sz w:val="32"/>
          <w:szCs w:val="32"/>
        </w:rPr>
      </w:pPr>
      <w:bookmarkStart w:id="571" w:name="_Toc25442"/>
      <w:bookmarkStart w:id="572" w:name="_Toc351203517"/>
      <w:bookmarkStart w:id="573" w:name="_Toc1488"/>
      <w:r>
        <w:rPr>
          <w:rFonts w:hint="eastAsia" w:ascii="宋体" w:hAnsi="宋体" w:cs="宋体"/>
          <w:bCs/>
          <w:sz w:val="32"/>
          <w:szCs w:val="32"/>
        </w:rPr>
        <w:t>2.8现场统一管理协议</w:t>
      </w:r>
      <w:bookmarkEnd w:id="571"/>
      <w:bookmarkEnd w:id="572"/>
      <w:bookmarkEnd w:id="573"/>
    </w:p>
    <w:p w14:paraId="758BAAC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发包人应与承包人、由发包人直接发包的专业工程的承包人签订施工现场统一管理协议，明确各方的权利义务。施工现场统一管理协议作为专用合同条款的附件。</w:t>
      </w:r>
    </w:p>
    <w:p w14:paraId="34E84C2F">
      <w:pPr>
        <w:keepNext/>
        <w:keepLines/>
        <w:spacing w:line="440" w:lineRule="exact"/>
        <w:ind w:firstLine="640" w:firstLineChars="200"/>
        <w:outlineLvl w:val="3"/>
        <w:rPr>
          <w:rFonts w:hint="eastAsia" w:ascii="宋体" w:hAnsi="宋体" w:cs="宋体"/>
          <w:bCs/>
          <w:sz w:val="32"/>
          <w:szCs w:val="32"/>
        </w:rPr>
      </w:pPr>
      <w:bookmarkStart w:id="574" w:name="_Toc15291"/>
      <w:bookmarkStart w:id="575" w:name="_Toc14433"/>
      <w:bookmarkStart w:id="576" w:name="_Toc351203518"/>
      <w:r>
        <w:rPr>
          <w:rFonts w:hint="eastAsia" w:ascii="宋体" w:hAnsi="宋体" w:cs="宋体"/>
          <w:bCs/>
          <w:sz w:val="32"/>
          <w:szCs w:val="32"/>
        </w:rPr>
        <w:t>3</w:t>
      </w:r>
      <w:bookmarkStart w:id="577" w:name="_Toc337558746"/>
      <w:bookmarkStart w:id="578" w:name="_Toc296346546"/>
      <w:bookmarkStart w:id="579" w:name="_Toc296503045"/>
      <w:r>
        <w:rPr>
          <w:rFonts w:hint="eastAsia" w:ascii="宋体" w:hAnsi="宋体" w:cs="宋体"/>
          <w:bCs/>
          <w:sz w:val="32"/>
          <w:szCs w:val="32"/>
        </w:rPr>
        <w:t>.承包人</w:t>
      </w:r>
      <w:bookmarkEnd w:id="574"/>
      <w:bookmarkEnd w:id="575"/>
      <w:bookmarkEnd w:id="576"/>
    </w:p>
    <w:bookmarkEnd w:id="577"/>
    <w:bookmarkEnd w:id="578"/>
    <w:bookmarkEnd w:id="579"/>
    <w:p w14:paraId="33B89826">
      <w:pPr>
        <w:keepNext/>
        <w:keepLines/>
        <w:spacing w:line="440" w:lineRule="exact"/>
        <w:ind w:firstLine="640" w:firstLineChars="200"/>
        <w:outlineLvl w:val="4"/>
        <w:rPr>
          <w:rFonts w:hint="eastAsia" w:ascii="宋体" w:hAnsi="宋体" w:cs="宋体"/>
          <w:bCs/>
          <w:sz w:val="32"/>
          <w:szCs w:val="32"/>
        </w:rPr>
      </w:pPr>
      <w:bookmarkStart w:id="580" w:name="_Toc351203519"/>
      <w:bookmarkStart w:id="581" w:name="_Toc730"/>
      <w:bookmarkStart w:id="582" w:name="_Toc27976"/>
      <w:r>
        <w:rPr>
          <w:rFonts w:hint="eastAsia" w:ascii="宋体" w:hAnsi="宋体" w:cs="宋体"/>
          <w:bCs/>
          <w:sz w:val="32"/>
          <w:szCs w:val="32"/>
        </w:rPr>
        <w:t>3</w:t>
      </w:r>
      <w:bookmarkStart w:id="583" w:name="_Toc296346547"/>
      <w:bookmarkStart w:id="584" w:name="_Toc337558747"/>
      <w:bookmarkStart w:id="585" w:name="_Toc296503046"/>
      <w:r>
        <w:rPr>
          <w:rFonts w:hint="eastAsia" w:ascii="宋体" w:hAnsi="宋体" w:cs="宋体"/>
          <w:bCs/>
          <w:sz w:val="32"/>
          <w:szCs w:val="32"/>
        </w:rPr>
        <w:t>.1承包人的一般义务</w:t>
      </w:r>
      <w:bookmarkEnd w:id="580"/>
      <w:bookmarkEnd w:id="581"/>
      <w:bookmarkEnd w:id="582"/>
    </w:p>
    <w:bookmarkEnd w:id="583"/>
    <w:bookmarkEnd w:id="584"/>
    <w:bookmarkEnd w:id="585"/>
    <w:p w14:paraId="49CA5FC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承包人在履行合同过程中应遵守法律和工程建设标准规范，并履行以下义务：</w:t>
      </w:r>
    </w:p>
    <w:p w14:paraId="62EC8E31">
      <w:pPr>
        <w:numPr>
          <w:ilvl w:val="0"/>
          <w:numId w:val="12"/>
        </w:num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办理法律规定应由承包人办理的许可和批准，并将办理结果书面报送发包人留存；</w:t>
      </w:r>
    </w:p>
    <w:p w14:paraId="5DC26EF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（2）按法律规定和合同约定完成工程，并在保修期内承担保修义务；</w:t>
      </w:r>
    </w:p>
    <w:p w14:paraId="4DD4CF7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（3）按法律规定和合同约定采取施工安全和环境保护措施，办理工伤保险，确保工程及人员、材料、设备和设施的安全；</w:t>
      </w:r>
    </w:p>
    <w:p w14:paraId="2BDF809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（4）按合同约定的工作内容和施工进度要求，编制施工组织设计和施工措施计划，并对所有施工作业和施工方法的完备性和安全可靠性负责；</w:t>
      </w:r>
    </w:p>
    <w:p w14:paraId="3155275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2411581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（6）按照第6.3款〔环境保护〕约定负责施工场地及其周边环境与生态的保护工作；</w:t>
      </w:r>
    </w:p>
    <w:p w14:paraId="2DC951B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（7）按第6.1款〔安全文明施工〕约定采取施工安全措施，确保工程及其人员、材料、设备和设施的安全，防止因工程施工造成的人身伤害和财产损失；</w:t>
      </w:r>
    </w:p>
    <w:p w14:paraId="0D6C60F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（8）将发包人按合同约定支付的各项价款专用于合同工程，且应及时支付其雇用人员工资，并及时向分包人支付合同价款；</w:t>
      </w:r>
    </w:p>
    <w:p w14:paraId="2053A40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（9）按照法律规定和合同约定编制竣工资料，完成竣工资料立卷及归档，并按专用合同条款约定的竣工资料的套数、内容、时间等要求移交发包人；</w:t>
      </w:r>
    </w:p>
    <w:p w14:paraId="5F92479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（10）应履行的其他义务。</w:t>
      </w:r>
    </w:p>
    <w:p w14:paraId="4DF6926B">
      <w:pPr>
        <w:keepNext/>
        <w:keepLines/>
        <w:spacing w:line="440" w:lineRule="exact"/>
        <w:ind w:firstLine="640" w:firstLineChars="200"/>
        <w:outlineLvl w:val="4"/>
        <w:rPr>
          <w:rFonts w:hint="eastAsia" w:ascii="宋体" w:hAnsi="宋体" w:cs="宋体"/>
          <w:bCs/>
          <w:sz w:val="32"/>
          <w:szCs w:val="32"/>
        </w:rPr>
      </w:pPr>
      <w:bookmarkStart w:id="586" w:name="_Toc351203520"/>
      <w:bookmarkStart w:id="587" w:name="_Toc25893"/>
      <w:bookmarkStart w:id="588" w:name="_Toc7937"/>
      <w:r>
        <w:rPr>
          <w:rFonts w:hint="eastAsia" w:ascii="宋体" w:hAnsi="宋体" w:cs="宋体"/>
          <w:bCs/>
          <w:sz w:val="32"/>
          <w:szCs w:val="32"/>
        </w:rPr>
        <w:t>3</w:t>
      </w:r>
      <w:bookmarkStart w:id="589" w:name="_Toc296503047"/>
      <w:bookmarkStart w:id="590" w:name="_Toc296346548"/>
      <w:bookmarkStart w:id="591" w:name="_Toc337558748"/>
      <w:r>
        <w:rPr>
          <w:rFonts w:hint="eastAsia" w:ascii="宋体" w:hAnsi="宋体" w:cs="宋体"/>
          <w:bCs/>
          <w:sz w:val="32"/>
          <w:szCs w:val="32"/>
        </w:rPr>
        <w:t>.2</w:t>
      </w:r>
      <w:bookmarkEnd w:id="586"/>
      <w:r>
        <w:rPr>
          <w:rFonts w:hint="eastAsia" w:ascii="宋体" w:hAnsi="宋体" w:cs="宋体"/>
          <w:bCs/>
          <w:sz w:val="32"/>
          <w:szCs w:val="32"/>
        </w:rPr>
        <w:t>项目经理</w:t>
      </w:r>
      <w:bookmarkEnd w:id="587"/>
      <w:bookmarkEnd w:id="588"/>
    </w:p>
    <w:bookmarkEnd w:id="589"/>
    <w:bookmarkEnd w:id="590"/>
    <w:bookmarkEnd w:id="591"/>
    <w:p w14:paraId="35E95DA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3.2.1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7BAF189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51B1C48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承包人违反上述约定的，应按照专用合同条款的约定，承担违约责任。</w:t>
      </w:r>
    </w:p>
    <w:p w14:paraId="2DE113F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3.2.2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26B8A1E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3.2.3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7FFBAB5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3.2.4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14:paraId="5D62938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3.2.5项目经理因特殊情况授权其下属人员履行其某项工作职责的，该下属人员应具备履行相应职责的能力，并应提前7天将上述人员的姓名和授权范围书面通知监理人，并征得发包人书面同意。</w:t>
      </w:r>
    </w:p>
    <w:p w14:paraId="3924A7BD">
      <w:pPr>
        <w:keepNext/>
        <w:keepLines/>
        <w:spacing w:line="440" w:lineRule="exact"/>
        <w:ind w:firstLine="640" w:firstLineChars="200"/>
        <w:outlineLvl w:val="4"/>
        <w:rPr>
          <w:rFonts w:hint="eastAsia" w:ascii="宋体" w:hAnsi="宋体" w:cs="宋体"/>
          <w:bCs/>
          <w:sz w:val="32"/>
          <w:szCs w:val="32"/>
        </w:rPr>
      </w:pPr>
      <w:bookmarkStart w:id="592" w:name="_Toc1202"/>
      <w:bookmarkStart w:id="593" w:name="_Toc4105"/>
      <w:bookmarkStart w:id="594" w:name="_Toc351203521"/>
      <w:r>
        <w:rPr>
          <w:rFonts w:hint="eastAsia" w:ascii="宋体" w:hAnsi="宋体" w:cs="宋体"/>
          <w:bCs/>
          <w:sz w:val="32"/>
          <w:szCs w:val="32"/>
        </w:rPr>
        <w:t>3</w:t>
      </w:r>
      <w:bookmarkStart w:id="595" w:name="_Toc296346549"/>
      <w:bookmarkStart w:id="596" w:name="_Toc296503048"/>
      <w:bookmarkStart w:id="597" w:name="_Toc337558749"/>
      <w:r>
        <w:rPr>
          <w:rFonts w:hint="eastAsia" w:ascii="宋体" w:hAnsi="宋体" w:cs="宋体"/>
          <w:bCs/>
          <w:sz w:val="32"/>
          <w:szCs w:val="32"/>
        </w:rPr>
        <w:t>.3</w:t>
      </w:r>
      <w:bookmarkEnd w:id="595"/>
      <w:bookmarkEnd w:id="596"/>
      <w:r>
        <w:rPr>
          <w:rFonts w:hint="eastAsia" w:ascii="宋体" w:hAnsi="宋体" w:cs="宋体"/>
          <w:bCs/>
          <w:sz w:val="32"/>
          <w:szCs w:val="32"/>
        </w:rPr>
        <w:t>承包人人员</w:t>
      </w:r>
      <w:bookmarkEnd w:id="592"/>
      <w:bookmarkEnd w:id="593"/>
      <w:bookmarkEnd w:id="594"/>
    </w:p>
    <w:bookmarkEnd w:id="597"/>
    <w:p w14:paraId="11A63CE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3.3.1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4A82272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3.3.2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14:paraId="6D66CDD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特殊工种作业人员均应持有相应的资格证明，监理人可以随时检查。</w:t>
      </w:r>
    </w:p>
    <w:p w14:paraId="6475E38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3.3.3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36C881F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3.3.4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1573F41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3.3.5承包人擅自更换主要施工管理人员，或前述人员未经监理人或发包人同意擅自离开施工现场的，应按照专用合同条款约定承担违约责任。</w:t>
      </w:r>
    </w:p>
    <w:p w14:paraId="0EDCB235">
      <w:pPr>
        <w:keepNext/>
        <w:keepLines/>
        <w:spacing w:line="440" w:lineRule="exact"/>
        <w:ind w:firstLine="640" w:firstLineChars="200"/>
        <w:outlineLvl w:val="4"/>
        <w:rPr>
          <w:rFonts w:hint="eastAsia" w:ascii="宋体" w:hAnsi="宋体" w:cs="宋体"/>
          <w:bCs/>
          <w:sz w:val="32"/>
          <w:szCs w:val="32"/>
        </w:rPr>
      </w:pPr>
      <w:bookmarkStart w:id="598" w:name="_Toc19083"/>
      <w:bookmarkStart w:id="599" w:name="_Toc996"/>
      <w:bookmarkStart w:id="600" w:name="_Toc351203522"/>
      <w:r>
        <w:rPr>
          <w:rFonts w:hint="eastAsia" w:ascii="宋体" w:hAnsi="宋体" w:cs="宋体"/>
          <w:bCs/>
          <w:sz w:val="32"/>
          <w:szCs w:val="32"/>
        </w:rPr>
        <w:t>3</w:t>
      </w:r>
      <w:bookmarkStart w:id="601" w:name="_Toc296346551"/>
      <w:bookmarkStart w:id="602" w:name="_Toc296503050"/>
      <w:bookmarkStart w:id="603" w:name="_Toc337558750"/>
      <w:r>
        <w:rPr>
          <w:rFonts w:hint="eastAsia" w:ascii="宋体" w:hAnsi="宋体" w:cs="宋体"/>
          <w:bCs/>
          <w:sz w:val="32"/>
          <w:szCs w:val="32"/>
        </w:rPr>
        <w:t>.4承包人现场查勘</w:t>
      </w:r>
      <w:bookmarkEnd w:id="598"/>
      <w:bookmarkEnd w:id="599"/>
      <w:bookmarkEnd w:id="600"/>
    </w:p>
    <w:bookmarkEnd w:id="601"/>
    <w:bookmarkEnd w:id="602"/>
    <w:bookmarkEnd w:id="603"/>
    <w:p w14:paraId="79C3475E">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承包人应对基于发包人按照第2.4.3项〔提供基础资料〕提交的基础资料所做出的解释和推断负责，但因基础资料存在错误、遗漏导致承包人解释或推断失实的，由发包人承担责任。</w:t>
      </w:r>
    </w:p>
    <w:p w14:paraId="070EC69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6DFE6FC4">
      <w:pPr>
        <w:keepNext/>
        <w:keepLines/>
        <w:spacing w:line="440" w:lineRule="exact"/>
        <w:ind w:firstLine="640" w:firstLineChars="200"/>
        <w:outlineLvl w:val="4"/>
        <w:rPr>
          <w:rFonts w:hint="eastAsia" w:ascii="宋体" w:hAnsi="宋体" w:cs="宋体"/>
          <w:bCs/>
          <w:sz w:val="32"/>
          <w:szCs w:val="32"/>
        </w:rPr>
      </w:pPr>
      <w:bookmarkStart w:id="604" w:name="_Toc7604"/>
      <w:bookmarkStart w:id="605" w:name="_Toc351203523"/>
      <w:bookmarkStart w:id="606" w:name="_Toc19755"/>
      <w:r>
        <w:rPr>
          <w:rFonts w:hint="eastAsia" w:ascii="宋体" w:hAnsi="宋体" w:cs="宋体"/>
          <w:bCs/>
          <w:sz w:val="32"/>
          <w:szCs w:val="32"/>
        </w:rPr>
        <w:t>3</w:t>
      </w:r>
      <w:bookmarkStart w:id="607" w:name="_Toc296503051"/>
      <w:bookmarkStart w:id="608" w:name="_Toc296346552"/>
      <w:bookmarkStart w:id="609" w:name="_Toc337558751"/>
      <w:r>
        <w:rPr>
          <w:rFonts w:hint="eastAsia" w:ascii="宋体" w:hAnsi="宋体" w:cs="宋体"/>
          <w:bCs/>
          <w:sz w:val="32"/>
          <w:szCs w:val="32"/>
        </w:rPr>
        <w:t>.5分包</w:t>
      </w:r>
      <w:bookmarkEnd w:id="604"/>
      <w:bookmarkEnd w:id="605"/>
      <w:bookmarkEnd w:id="606"/>
    </w:p>
    <w:bookmarkEnd w:id="607"/>
    <w:bookmarkEnd w:id="608"/>
    <w:bookmarkEnd w:id="609"/>
    <w:p w14:paraId="6DA2978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3.5.1分包的一般约定</w:t>
      </w:r>
    </w:p>
    <w:p w14:paraId="22B46CD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781B784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承包人不得以劳务分包的名义转包或违法分包工程。</w:t>
      </w:r>
    </w:p>
    <w:p w14:paraId="77E0195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3.5.2分包的确定</w:t>
      </w:r>
    </w:p>
    <w:p w14:paraId="15FE493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70C0F45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3.5.3分包管理</w:t>
      </w:r>
    </w:p>
    <w:p w14:paraId="358BBBD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承包人应向监理人提交分包人的主要施工管理人员表，并对分包人的施工人员进行实名制管理，包括但不限于进出场管理、登记造册以及各种证照的办理。</w:t>
      </w:r>
    </w:p>
    <w:p w14:paraId="072F83B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3.5.4分包合同价款</w:t>
      </w:r>
    </w:p>
    <w:p w14:paraId="6FC1117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（1）除本项第（2）目约定的情况或专用合同条款另有约定外，分包合同价款由承包人与分包人结算，未经承包人同意，发包人不得向分包人支付分包工程价款；</w:t>
      </w:r>
    </w:p>
    <w:p w14:paraId="4F7940B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（2）生效法律文书要求发包人向分包人支付分包合同价款的，发包人有权从应付承包人工程款中扣除该部分款项。</w:t>
      </w:r>
    </w:p>
    <w:p w14:paraId="24268CF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3.5.5分包合同权益的转让</w:t>
      </w:r>
    </w:p>
    <w:p w14:paraId="091B268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610" w:name="_Toc351203524"/>
    </w:p>
    <w:p w14:paraId="1BBA86B3">
      <w:pPr>
        <w:keepNext/>
        <w:keepLines/>
        <w:spacing w:line="440" w:lineRule="exact"/>
        <w:ind w:firstLine="640" w:firstLineChars="200"/>
        <w:outlineLvl w:val="4"/>
        <w:rPr>
          <w:rFonts w:hint="eastAsia" w:ascii="宋体" w:hAnsi="宋体" w:cs="宋体"/>
          <w:bCs/>
          <w:sz w:val="32"/>
          <w:szCs w:val="32"/>
        </w:rPr>
      </w:pPr>
      <w:bookmarkStart w:id="611" w:name="_Toc21950"/>
      <w:bookmarkStart w:id="612" w:name="_Toc16271"/>
      <w:r>
        <w:rPr>
          <w:rFonts w:hint="eastAsia" w:ascii="宋体" w:hAnsi="宋体" w:cs="宋体"/>
          <w:bCs/>
          <w:sz w:val="32"/>
          <w:szCs w:val="32"/>
        </w:rPr>
        <w:t>3.6工程照管与成品、半成品保护</w:t>
      </w:r>
      <w:bookmarkEnd w:id="610"/>
      <w:bookmarkEnd w:id="611"/>
      <w:bookmarkEnd w:id="612"/>
    </w:p>
    <w:p w14:paraId="1EBAF9C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（1）除专用合同条款另有约定外，自发包人向承包人移交施工现场之日起，承包人应负责照管工程及工程相关的材料、工程设备，直到颁发工程接收证书之日止。</w:t>
      </w:r>
    </w:p>
    <w:p w14:paraId="2FC747C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（2）在承包人负责照管期间，因承包人原因造成工程、材料、工程设备损坏的，由承包人负责修复或更换，并承担由此增加的费用和（或）延误的工期。</w:t>
      </w:r>
    </w:p>
    <w:p w14:paraId="142F269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（3）对合同内分期完成的成品和半成品，在工程接收证书颁发前，由承包人承担保护责任。因承包人原因造成成品或半成品损坏的，由承包人负责修复或更换，并承担由此增加的费用和（或）延误的工期。</w:t>
      </w:r>
    </w:p>
    <w:p w14:paraId="5B793C2D">
      <w:pPr>
        <w:keepNext/>
        <w:keepLines/>
        <w:spacing w:line="440" w:lineRule="exact"/>
        <w:ind w:firstLine="640" w:firstLineChars="200"/>
        <w:outlineLvl w:val="4"/>
        <w:rPr>
          <w:rFonts w:hint="eastAsia" w:ascii="宋体" w:hAnsi="宋体" w:cs="宋体"/>
          <w:bCs/>
          <w:sz w:val="32"/>
          <w:szCs w:val="32"/>
        </w:rPr>
      </w:pPr>
      <w:bookmarkStart w:id="613" w:name="_Toc22013"/>
      <w:bookmarkStart w:id="614" w:name="_Toc351203525"/>
      <w:bookmarkStart w:id="615" w:name="_Toc11181"/>
      <w:r>
        <w:rPr>
          <w:rFonts w:hint="eastAsia" w:ascii="宋体" w:hAnsi="宋体" w:cs="宋体"/>
          <w:bCs/>
          <w:sz w:val="32"/>
          <w:szCs w:val="32"/>
        </w:rPr>
        <w:t>3</w:t>
      </w:r>
      <w:bookmarkStart w:id="616" w:name="_Toc337558752"/>
      <w:bookmarkStart w:id="617" w:name="_Toc296503052"/>
      <w:bookmarkStart w:id="618" w:name="_Toc296346553"/>
      <w:r>
        <w:rPr>
          <w:rFonts w:hint="eastAsia" w:ascii="宋体" w:hAnsi="宋体" w:cs="宋体"/>
          <w:bCs/>
          <w:sz w:val="32"/>
          <w:szCs w:val="32"/>
        </w:rPr>
        <w:t>.7履约担保</w:t>
      </w:r>
      <w:bookmarkEnd w:id="613"/>
      <w:bookmarkEnd w:id="614"/>
      <w:bookmarkEnd w:id="615"/>
    </w:p>
    <w:bookmarkEnd w:id="616"/>
    <w:bookmarkEnd w:id="617"/>
    <w:bookmarkEnd w:id="618"/>
    <w:p w14:paraId="6548B2F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发包人需要承包人提供履约担保的，由合同当事人在专用合同条款中约定履约担保的方式、金额及期限等。履约担保可以采用当地银行保函形式，具体由合同当事人在专用合同条款中约定。</w:t>
      </w:r>
    </w:p>
    <w:p w14:paraId="5A7C40A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因承包人原因导致工期延长的，继续提供履约担保所增加的费用由承包人承担；非因承包人原因导致工期延长的，继续提供履约担保所增加的费用由发包人承担。</w:t>
      </w:r>
    </w:p>
    <w:p w14:paraId="3790A2FE">
      <w:pPr>
        <w:keepNext/>
        <w:keepLines/>
        <w:spacing w:line="440" w:lineRule="exact"/>
        <w:ind w:firstLine="640" w:firstLineChars="200"/>
        <w:outlineLvl w:val="4"/>
        <w:rPr>
          <w:rFonts w:hint="eastAsia" w:ascii="宋体" w:hAnsi="宋体" w:cs="宋体"/>
          <w:bCs/>
          <w:sz w:val="32"/>
          <w:szCs w:val="32"/>
        </w:rPr>
      </w:pPr>
      <w:bookmarkStart w:id="619" w:name="_Toc29129"/>
      <w:bookmarkStart w:id="620" w:name="_Toc351203526"/>
      <w:bookmarkStart w:id="621" w:name="_Toc18225"/>
      <w:r>
        <w:rPr>
          <w:rFonts w:hint="eastAsia" w:ascii="宋体" w:hAnsi="宋体" w:cs="宋体"/>
          <w:bCs/>
          <w:sz w:val="32"/>
          <w:szCs w:val="32"/>
        </w:rPr>
        <w:t>3.8联合体</w:t>
      </w:r>
      <w:bookmarkEnd w:id="619"/>
      <w:bookmarkEnd w:id="620"/>
      <w:bookmarkEnd w:id="621"/>
    </w:p>
    <w:p w14:paraId="1E642A6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3.8.1联合体各方应共同与发包人签订合同协议书。联合体各方应为履行合同向发包人承担连带责任。</w:t>
      </w:r>
    </w:p>
    <w:p w14:paraId="16CD736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3.8.2联合体协议经发包人确认后作为合同附件。在履行合同过程中，未经发包人同意，不得修改联合体协议。</w:t>
      </w:r>
    </w:p>
    <w:p w14:paraId="6CB4648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3.8.3联合体牵头人负责与发包人和监理人联系，并接受指示，负责组织联合体各成员全面履行合同。</w:t>
      </w:r>
    </w:p>
    <w:p w14:paraId="370C5060">
      <w:pPr>
        <w:keepNext/>
        <w:keepLines/>
        <w:spacing w:line="440" w:lineRule="exact"/>
        <w:ind w:firstLine="640" w:firstLineChars="200"/>
        <w:outlineLvl w:val="3"/>
        <w:rPr>
          <w:rFonts w:hint="eastAsia" w:ascii="宋体" w:hAnsi="宋体" w:cs="宋体"/>
          <w:bCs/>
          <w:sz w:val="32"/>
          <w:szCs w:val="32"/>
        </w:rPr>
      </w:pPr>
      <w:bookmarkStart w:id="622" w:name="_Toc18812"/>
      <w:bookmarkStart w:id="623" w:name="_Toc351203527"/>
      <w:bookmarkStart w:id="624" w:name="_Toc5691"/>
      <w:r>
        <w:rPr>
          <w:rFonts w:hint="eastAsia" w:ascii="宋体" w:hAnsi="宋体" w:cs="宋体"/>
          <w:bCs/>
          <w:sz w:val="32"/>
          <w:szCs w:val="32"/>
        </w:rPr>
        <w:t>4</w:t>
      </w:r>
      <w:bookmarkStart w:id="625" w:name="_Toc296346554"/>
      <w:bookmarkStart w:id="626" w:name="_Toc296503053"/>
      <w:bookmarkStart w:id="627" w:name="_Toc337558753"/>
      <w:r>
        <w:rPr>
          <w:rFonts w:hint="eastAsia" w:ascii="宋体" w:hAnsi="宋体" w:cs="宋体"/>
          <w:bCs/>
          <w:sz w:val="32"/>
          <w:szCs w:val="32"/>
        </w:rPr>
        <w:t>.监</w:t>
      </w:r>
      <w:bookmarkEnd w:id="625"/>
      <w:bookmarkEnd w:id="626"/>
      <w:r>
        <w:rPr>
          <w:rFonts w:hint="eastAsia" w:ascii="宋体" w:hAnsi="宋体" w:cs="宋体"/>
          <w:bCs/>
          <w:sz w:val="32"/>
          <w:szCs w:val="32"/>
        </w:rPr>
        <w:t>理人</w:t>
      </w:r>
      <w:bookmarkEnd w:id="622"/>
      <w:bookmarkEnd w:id="623"/>
      <w:bookmarkEnd w:id="624"/>
    </w:p>
    <w:bookmarkEnd w:id="627"/>
    <w:p w14:paraId="024A4529">
      <w:pPr>
        <w:keepNext/>
        <w:keepLines/>
        <w:spacing w:line="440" w:lineRule="exact"/>
        <w:ind w:firstLine="640" w:firstLineChars="200"/>
        <w:outlineLvl w:val="4"/>
        <w:rPr>
          <w:rFonts w:hint="eastAsia" w:ascii="宋体" w:hAnsi="宋体" w:cs="宋体"/>
          <w:bCs/>
          <w:sz w:val="32"/>
          <w:szCs w:val="32"/>
        </w:rPr>
      </w:pPr>
      <w:bookmarkStart w:id="628" w:name="_Toc351203528"/>
      <w:bookmarkStart w:id="629" w:name="_Toc16590"/>
      <w:bookmarkStart w:id="630" w:name="_Toc32527"/>
      <w:r>
        <w:rPr>
          <w:rFonts w:hint="eastAsia" w:ascii="宋体" w:hAnsi="宋体" w:cs="宋体"/>
          <w:bCs/>
          <w:sz w:val="32"/>
          <w:szCs w:val="32"/>
        </w:rPr>
        <w:t>4</w:t>
      </w:r>
      <w:bookmarkStart w:id="631" w:name="_Toc337558754"/>
      <w:bookmarkStart w:id="632" w:name="_Toc296503054"/>
      <w:bookmarkStart w:id="633" w:name="_Toc296346555"/>
      <w:r>
        <w:rPr>
          <w:rFonts w:hint="eastAsia" w:ascii="宋体" w:hAnsi="宋体" w:cs="宋体"/>
          <w:bCs/>
          <w:sz w:val="32"/>
          <w:szCs w:val="32"/>
        </w:rPr>
        <w:t>.1监理人的一般规定</w:t>
      </w:r>
      <w:bookmarkEnd w:id="628"/>
      <w:bookmarkEnd w:id="629"/>
      <w:bookmarkEnd w:id="630"/>
    </w:p>
    <w:bookmarkEnd w:id="631"/>
    <w:bookmarkEnd w:id="632"/>
    <w:bookmarkEnd w:id="633"/>
    <w:p w14:paraId="4F7CDBE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5A785DA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除专用合同条款另有约定外，监理人在施工现场的办公场所、生活场所由承包人提供，所发生的费用由发包人承担。</w:t>
      </w:r>
    </w:p>
    <w:p w14:paraId="001F8AF3">
      <w:pPr>
        <w:keepNext/>
        <w:keepLines/>
        <w:spacing w:line="440" w:lineRule="exact"/>
        <w:ind w:firstLine="640" w:firstLineChars="200"/>
        <w:outlineLvl w:val="4"/>
        <w:rPr>
          <w:rFonts w:hint="eastAsia" w:ascii="宋体" w:hAnsi="宋体" w:cs="宋体"/>
          <w:bCs/>
          <w:sz w:val="32"/>
          <w:szCs w:val="32"/>
        </w:rPr>
      </w:pPr>
      <w:bookmarkStart w:id="634" w:name="_Toc17580"/>
      <w:bookmarkStart w:id="635" w:name="_Toc11905"/>
      <w:bookmarkStart w:id="636" w:name="_Toc351203529"/>
      <w:r>
        <w:rPr>
          <w:rFonts w:hint="eastAsia" w:ascii="宋体" w:hAnsi="宋体" w:cs="宋体"/>
          <w:bCs/>
          <w:sz w:val="32"/>
          <w:szCs w:val="32"/>
        </w:rPr>
        <w:t>4</w:t>
      </w:r>
      <w:bookmarkStart w:id="637" w:name="_Toc337558755"/>
      <w:r>
        <w:rPr>
          <w:rFonts w:hint="eastAsia" w:ascii="宋体" w:hAnsi="宋体" w:cs="宋体"/>
          <w:bCs/>
          <w:sz w:val="32"/>
          <w:szCs w:val="32"/>
        </w:rPr>
        <w:t>.2监理人员</w:t>
      </w:r>
      <w:bookmarkEnd w:id="634"/>
      <w:bookmarkEnd w:id="635"/>
      <w:bookmarkEnd w:id="636"/>
    </w:p>
    <w:bookmarkEnd w:id="637"/>
    <w:p w14:paraId="45346CD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1D178179">
      <w:pPr>
        <w:keepNext/>
        <w:keepLines/>
        <w:spacing w:line="440" w:lineRule="exact"/>
        <w:ind w:firstLine="640" w:firstLineChars="200"/>
        <w:outlineLvl w:val="4"/>
        <w:rPr>
          <w:rFonts w:hint="eastAsia" w:ascii="宋体" w:hAnsi="宋体" w:cs="宋体"/>
          <w:bCs/>
          <w:sz w:val="32"/>
          <w:szCs w:val="32"/>
        </w:rPr>
      </w:pPr>
      <w:bookmarkStart w:id="638" w:name="_Toc351203530"/>
      <w:bookmarkStart w:id="639" w:name="_Toc3645"/>
      <w:bookmarkStart w:id="640" w:name="_Toc23830"/>
      <w:r>
        <w:rPr>
          <w:rFonts w:hint="eastAsia" w:ascii="宋体" w:hAnsi="宋体" w:cs="宋体"/>
          <w:bCs/>
          <w:sz w:val="32"/>
          <w:szCs w:val="32"/>
        </w:rPr>
        <w:t>4</w:t>
      </w:r>
      <w:bookmarkStart w:id="641" w:name="_Toc296503055"/>
      <w:bookmarkStart w:id="642" w:name="_Toc296346556"/>
      <w:bookmarkStart w:id="643" w:name="_Toc337558756"/>
      <w:r>
        <w:rPr>
          <w:rFonts w:hint="eastAsia" w:ascii="宋体" w:hAnsi="宋体" w:cs="宋体"/>
          <w:bCs/>
          <w:sz w:val="32"/>
          <w:szCs w:val="32"/>
        </w:rPr>
        <w:t>.3</w:t>
      </w:r>
      <w:bookmarkEnd w:id="641"/>
      <w:bookmarkEnd w:id="642"/>
      <w:r>
        <w:rPr>
          <w:rFonts w:hint="eastAsia" w:ascii="宋体" w:hAnsi="宋体" w:cs="宋体"/>
          <w:bCs/>
          <w:sz w:val="32"/>
          <w:szCs w:val="32"/>
        </w:rPr>
        <w:t>监理人的指</w:t>
      </w:r>
      <w:bookmarkEnd w:id="643"/>
      <w:r>
        <w:rPr>
          <w:rFonts w:hint="eastAsia" w:ascii="宋体" w:hAnsi="宋体" w:cs="宋体"/>
          <w:bCs/>
          <w:sz w:val="32"/>
          <w:szCs w:val="32"/>
        </w:rPr>
        <w:t>示</w:t>
      </w:r>
      <w:bookmarkEnd w:id="638"/>
      <w:bookmarkEnd w:id="639"/>
      <w:bookmarkEnd w:id="640"/>
    </w:p>
    <w:p w14:paraId="272C700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752FA3D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33DF415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承包人对监理人发出的指示有疑问的，应向监理人提出书面异议，监理人应在48小时内对该指示予以确认、更改或撤销，监理人逾期未回复的，承包人有权拒绝执行上述指示。</w:t>
      </w:r>
    </w:p>
    <w:p w14:paraId="78C0764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监理人对承包人的任何工作、工程或其采用的材料和工程设备未在约定的或合理期限内提出意见的，视为批准，但不免除或减轻承包人对该工作、工程、材料、工程设备等应承担的责任和义务。</w:t>
      </w:r>
    </w:p>
    <w:p w14:paraId="31FA514F">
      <w:pPr>
        <w:keepNext/>
        <w:keepLines/>
        <w:spacing w:line="440" w:lineRule="exact"/>
        <w:ind w:firstLine="640" w:firstLineChars="200"/>
        <w:outlineLvl w:val="3"/>
        <w:rPr>
          <w:rFonts w:hint="eastAsia" w:ascii="宋体" w:hAnsi="宋体" w:cs="宋体"/>
          <w:bCs/>
          <w:sz w:val="32"/>
          <w:szCs w:val="32"/>
        </w:rPr>
      </w:pPr>
      <w:bookmarkStart w:id="644" w:name="_Toc351203531"/>
      <w:bookmarkStart w:id="645" w:name="_Toc21052"/>
      <w:bookmarkStart w:id="646" w:name="_Toc21066"/>
      <w:r>
        <w:rPr>
          <w:rFonts w:hint="eastAsia" w:ascii="宋体" w:hAnsi="宋体" w:cs="宋体"/>
          <w:bCs/>
          <w:sz w:val="32"/>
          <w:szCs w:val="32"/>
        </w:rPr>
        <w:t>4</w:t>
      </w:r>
      <w:bookmarkStart w:id="647" w:name="_Toc296346558"/>
      <w:bookmarkStart w:id="648" w:name="_Toc296503057"/>
      <w:bookmarkStart w:id="649" w:name="_Toc337558757"/>
      <w:r>
        <w:rPr>
          <w:rFonts w:hint="eastAsia" w:ascii="宋体" w:hAnsi="宋体" w:cs="宋体"/>
          <w:bCs/>
          <w:sz w:val="32"/>
          <w:szCs w:val="32"/>
        </w:rPr>
        <w:t>.4商定或确定</w:t>
      </w:r>
      <w:bookmarkEnd w:id="644"/>
      <w:bookmarkEnd w:id="645"/>
      <w:bookmarkEnd w:id="646"/>
    </w:p>
    <w:bookmarkEnd w:id="647"/>
    <w:bookmarkEnd w:id="648"/>
    <w:bookmarkEnd w:id="649"/>
    <w:p w14:paraId="1F63416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合同当事人进行商定或确定时，总监理工程师应当会同合同当事人尽量通过协商达成一致，不能达成一致的，由总监理工程师按照合同约定审慎做出公正的确定。</w:t>
      </w:r>
    </w:p>
    <w:p w14:paraId="0F46C83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14:paraId="4D7DEB3C">
      <w:pPr>
        <w:keepNext/>
        <w:keepLines/>
        <w:spacing w:line="440" w:lineRule="exact"/>
        <w:ind w:firstLine="640" w:firstLineChars="200"/>
        <w:outlineLvl w:val="3"/>
        <w:rPr>
          <w:rFonts w:hint="eastAsia" w:ascii="宋体" w:hAnsi="宋体" w:cs="宋体"/>
          <w:bCs/>
          <w:sz w:val="32"/>
          <w:szCs w:val="32"/>
        </w:rPr>
      </w:pPr>
      <w:bookmarkStart w:id="650" w:name="_Toc925"/>
      <w:bookmarkStart w:id="651" w:name="_Toc2247"/>
      <w:bookmarkStart w:id="652" w:name="_Toc351203532"/>
      <w:r>
        <w:rPr>
          <w:rFonts w:hint="eastAsia" w:ascii="宋体" w:hAnsi="宋体" w:cs="宋体"/>
          <w:bCs/>
          <w:sz w:val="32"/>
          <w:szCs w:val="32"/>
        </w:rPr>
        <w:t>5</w:t>
      </w:r>
      <w:bookmarkStart w:id="653" w:name="_Toc337558758"/>
      <w:r>
        <w:rPr>
          <w:rFonts w:hint="eastAsia" w:ascii="宋体" w:hAnsi="宋体" w:cs="宋体"/>
          <w:bCs/>
          <w:sz w:val="32"/>
          <w:szCs w:val="32"/>
        </w:rPr>
        <w:t>.工程质量</w:t>
      </w:r>
      <w:bookmarkEnd w:id="650"/>
      <w:bookmarkEnd w:id="651"/>
      <w:bookmarkEnd w:id="652"/>
    </w:p>
    <w:bookmarkEnd w:id="653"/>
    <w:p w14:paraId="197165E0">
      <w:pPr>
        <w:keepNext/>
        <w:keepLines/>
        <w:spacing w:line="440" w:lineRule="exact"/>
        <w:ind w:firstLine="640" w:firstLineChars="200"/>
        <w:outlineLvl w:val="4"/>
        <w:rPr>
          <w:rFonts w:hint="eastAsia" w:ascii="宋体" w:hAnsi="宋体" w:cs="宋体"/>
          <w:bCs/>
          <w:sz w:val="32"/>
          <w:szCs w:val="32"/>
        </w:rPr>
      </w:pPr>
      <w:bookmarkStart w:id="654" w:name="_Toc6190"/>
      <w:bookmarkStart w:id="655" w:name="_Toc6419"/>
      <w:bookmarkStart w:id="656" w:name="_Toc351203533"/>
      <w:r>
        <w:rPr>
          <w:rFonts w:hint="eastAsia" w:ascii="宋体" w:hAnsi="宋体" w:cs="宋体"/>
          <w:bCs/>
          <w:sz w:val="32"/>
          <w:szCs w:val="32"/>
        </w:rPr>
        <w:t>5</w:t>
      </w:r>
      <w:bookmarkStart w:id="657" w:name="_Toc337558759"/>
      <w:r>
        <w:rPr>
          <w:rFonts w:hint="eastAsia" w:ascii="宋体" w:hAnsi="宋体" w:cs="宋体"/>
          <w:bCs/>
          <w:sz w:val="32"/>
          <w:szCs w:val="32"/>
        </w:rPr>
        <w:t>.1质量要求</w:t>
      </w:r>
      <w:bookmarkEnd w:id="654"/>
      <w:bookmarkEnd w:id="655"/>
      <w:bookmarkEnd w:id="656"/>
    </w:p>
    <w:bookmarkEnd w:id="657"/>
    <w:p w14:paraId="25FA92E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5.1.1工程质量标准必须符合现行国家有关工程施工质量验收规范和标准的要求。有关工程质量的特殊标准或要求由合同当事人在专用合同条款中约定。</w:t>
      </w:r>
    </w:p>
    <w:p w14:paraId="6236431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5.1.2因发包人原因造成工程质量未达到合同约定标准的，由发包人承担由此增加的费用和（或）延误的工期，并支付承包人合理的利润。</w:t>
      </w:r>
    </w:p>
    <w:p w14:paraId="46F400F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5.1.3因承包人原因造成工程质量未达到合同约定标准的，发包人有权要求承包人返工直至工程质量达到合同约定的标准为止，并由承包人承担由此增加的费用和（或）延误的工期。</w:t>
      </w:r>
    </w:p>
    <w:p w14:paraId="12E6A65E">
      <w:pPr>
        <w:keepNext/>
        <w:keepLines/>
        <w:spacing w:line="440" w:lineRule="exact"/>
        <w:ind w:firstLine="640" w:firstLineChars="200"/>
        <w:outlineLvl w:val="4"/>
        <w:rPr>
          <w:rFonts w:hint="eastAsia" w:ascii="宋体" w:hAnsi="宋体" w:cs="宋体"/>
          <w:bCs/>
          <w:sz w:val="32"/>
          <w:szCs w:val="32"/>
        </w:rPr>
      </w:pPr>
      <w:bookmarkStart w:id="658" w:name="_Toc351203534"/>
      <w:bookmarkStart w:id="659" w:name="_Toc12755"/>
      <w:bookmarkStart w:id="660" w:name="_Toc14035"/>
      <w:r>
        <w:rPr>
          <w:rFonts w:hint="eastAsia" w:ascii="宋体" w:hAnsi="宋体" w:cs="宋体"/>
          <w:bCs/>
          <w:sz w:val="32"/>
          <w:szCs w:val="32"/>
        </w:rPr>
        <w:t>5</w:t>
      </w:r>
      <w:bookmarkStart w:id="661" w:name="_Toc337558760"/>
      <w:r>
        <w:rPr>
          <w:rFonts w:hint="eastAsia" w:ascii="宋体" w:hAnsi="宋体" w:cs="宋体"/>
          <w:bCs/>
          <w:sz w:val="32"/>
          <w:szCs w:val="32"/>
        </w:rPr>
        <w:t>.2质量保证措施</w:t>
      </w:r>
      <w:bookmarkEnd w:id="658"/>
      <w:bookmarkEnd w:id="659"/>
      <w:bookmarkEnd w:id="660"/>
    </w:p>
    <w:bookmarkEnd w:id="661"/>
    <w:p w14:paraId="3F75556F">
      <w:pPr>
        <w:autoSpaceDE w:val="0"/>
        <w:autoSpaceDN w:val="0"/>
        <w:adjustRightInd w:val="0"/>
        <w:spacing w:line="440" w:lineRule="exact"/>
        <w:ind w:firstLine="640" w:firstLineChars="200"/>
        <w:jc w:val="left"/>
        <w:outlineLvl w:val="0"/>
        <w:rPr>
          <w:rFonts w:hint="eastAsia" w:ascii="宋体" w:hAnsi="宋体" w:cs="宋体"/>
          <w:kern w:val="0"/>
          <w:sz w:val="32"/>
          <w:szCs w:val="32"/>
        </w:rPr>
      </w:pPr>
      <w:bookmarkStart w:id="662" w:name="_Toc11276"/>
      <w:bookmarkStart w:id="663" w:name="_Toc256000091"/>
      <w:bookmarkStart w:id="664" w:name="_Toc256000030"/>
      <w:bookmarkStart w:id="665" w:name="_Toc256000227"/>
      <w:bookmarkStart w:id="666" w:name="_Toc256000081"/>
      <w:bookmarkStart w:id="667" w:name="_Toc29278"/>
      <w:r>
        <w:rPr>
          <w:rFonts w:hint="eastAsia" w:ascii="宋体" w:hAnsi="宋体" w:cs="宋体"/>
          <w:kern w:val="0"/>
          <w:sz w:val="32"/>
          <w:szCs w:val="32"/>
        </w:rPr>
        <w:t>5.2.1发包人的质量管理</w:t>
      </w:r>
      <w:bookmarkEnd w:id="662"/>
      <w:bookmarkEnd w:id="663"/>
      <w:bookmarkEnd w:id="664"/>
      <w:bookmarkEnd w:id="665"/>
      <w:bookmarkEnd w:id="666"/>
      <w:bookmarkEnd w:id="667"/>
    </w:p>
    <w:p w14:paraId="51B19AB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发包人应按照法律规定及合同约定完成与工程质量有关的各项工作。</w:t>
      </w:r>
    </w:p>
    <w:p w14:paraId="3B120E4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5.2.2承包人的质量管理</w:t>
      </w:r>
    </w:p>
    <w:p w14:paraId="016798B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7921E64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承包人应对施工人员进行质量教育和技术培训，定期考核施工人员的劳动技能，严格执行施工规范和操作规程。</w:t>
      </w:r>
    </w:p>
    <w:p w14:paraId="165AA6C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6E8432F7">
      <w:pPr>
        <w:autoSpaceDE w:val="0"/>
        <w:autoSpaceDN w:val="0"/>
        <w:adjustRightInd w:val="0"/>
        <w:spacing w:line="440" w:lineRule="exact"/>
        <w:ind w:firstLine="640" w:firstLineChars="200"/>
        <w:jc w:val="left"/>
        <w:outlineLvl w:val="0"/>
        <w:rPr>
          <w:rFonts w:hint="eastAsia" w:ascii="宋体" w:hAnsi="宋体" w:cs="宋体"/>
          <w:kern w:val="0"/>
          <w:sz w:val="32"/>
          <w:szCs w:val="32"/>
        </w:rPr>
      </w:pPr>
      <w:bookmarkStart w:id="668" w:name="_Toc256000228"/>
      <w:bookmarkStart w:id="669" w:name="_Toc13263"/>
      <w:bookmarkStart w:id="670" w:name="_Toc19414"/>
      <w:bookmarkStart w:id="671" w:name="_Toc256000092"/>
      <w:bookmarkStart w:id="672" w:name="_Toc256000031"/>
      <w:bookmarkStart w:id="673" w:name="_Toc256000082"/>
      <w:r>
        <w:rPr>
          <w:rFonts w:hint="eastAsia" w:ascii="宋体" w:hAnsi="宋体" w:cs="宋体"/>
          <w:kern w:val="0"/>
          <w:sz w:val="32"/>
          <w:szCs w:val="32"/>
        </w:rPr>
        <w:t>5.2.3监理人的质量检查和检验</w:t>
      </w:r>
      <w:bookmarkEnd w:id="668"/>
      <w:bookmarkEnd w:id="669"/>
      <w:bookmarkEnd w:id="670"/>
      <w:bookmarkEnd w:id="671"/>
      <w:bookmarkEnd w:id="672"/>
      <w:bookmarkEnd w:id="673"/>
    </w:p>
    <w:p w14:paraId="33D5E7A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0FA258F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2A69A0A6">
      <w:pPr>
        <w:keepNext/>
        <w:keepLines/>
        <w:spacing w:line="440" w:lineRule="exact"/>
        <w:ind w:firstLine="640" w:firstLineChars="200"/>
        <w:outlineLvl w:val="4"/>
        <w:rPr>
          <w:rFonts w:hint="eastAsia" w:ascii="宋体" w:hAnsi="宋体" w:cs="宋体"/>
          <w:bCs/>
          <w:sz w:val="32"/>
          <w:szCs w:val="32"/>
        </w:rPr>
      </w:pPr>
      <w:bookmarkStart w:id="674" w:name="_Toc21826"/>
      <w:bookmarkStart w:id="675" w:name="_Toc15349"/>
      <w:bookmarkStart w:id="676" w:name="_Toc351203535"/>
      <w:r>
        <w:rPr>
          <w:rFonts w:hint="eastAsia" w:ascii="宋体" w:hAnsi="宋体" w:cs="宋体"/>
          <w:bCs/>
          <w:sz w:val="32"/>
          <w:szCs w:val="32"/>
        </w:rPr>
        <w:t>5</w:t>
      </w:r>
      <w:bookmarkStart w:id="677" w:name="_Toc337558761"/>
      <w:r>
        <w:rPr>
          <w:rFonts w:hint="eastAsia" w:ascii="宋体" w:hAnsi="宋体" w:cs="宋体"/>
          <w:bCs/>
          <w:sz w:val="32"/>
          <w:szCs w:val="32"/>
        </w:rPr>
        <w:t>.3隐蔽工程检查</w:t>
      </w:r>
      <w:bookmarkEnd w:id="674"/>
      <w:bookmarkEnd w:id="675"/>
      <w:bookmarkEnd w:id="676"/>
    </w:p>
    <w:bookmarkEnd w:id="677"/>
    <w:p w14:paraId="3DB7DAF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5.3.1承包人自检</w:t>
      </w:r>
    </w:p>
    <w:p w14:paraId="084220C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承包人应当对工程隐蔽部位进行自检，并经自检确认是否具备覆盖条件。</w:t>
      </w:r>
    </w:p>
    <w:p w14:paraId="2AD402A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5.3.2检查程序</w:t>
      </w:r>
    </w:p>
    <w:p w14:paraId="603C021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14:paraId="0964DAC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2D8C2EF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14:paraId="4D5C8F6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5.3.3重新检查</w:t>
      </w:r>
    </w:p>
    <w:p w14:paraId="2A4941B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466497F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5.3.4承包人私自覆盖</w:t>
      </w:r>
    </w:p>
    <w:p w14:paraId="58D9E4D5">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承包人未通知监理人到场检查，私自将工程隐蔽部位覆盖的，监理人有权指示承包人钻孔探测或揭开检查，无论工程隐蔽部位质量是否合格，由此增加的费用和（或）延误的工期均由承包人承担。</w:t>
      </w:r>
    </w:p>
    <w:p w14:paraId="5F18A763">
      <w:pPr>
        <w:keepNext/>
        <w:keepLines/>
        <w:spacing w:line="440" w:lineRule="exact"/>
        <w:ind w:firstLine="640" w:firstLineChars="200"/>
        <w:outlineLvl w:val="4"/>
        <w:rPr>
          <w:rFonts w:hint="eastAsia" w:ascii="宋体" w:hAnsi="宋体" w:cs="宋体"/>
          <w:bCs/>
          <w:sz w:val="32"/>
          <w:szCs w:val="32"/>
        </w:rPr>
      </w:pPr>
      <w:bookmarkStart w:id="678" w:name="_Toc1033"/>
      <w:bookmarkStart w:id="679" w:name="_Toc351203536"/>
      <w:bookmarkStart w:id="680" w:name="_Toc528"/>
      <w:r>
        <w:rPr>
          <w:rFonts w:hint="eastAsia" w:ascii="宋体" w:hAnsi="宋体" w:cs="宋体"/>
          <w:bCs/>
          <w:sz w:val="32"/>
          <w:szCs w:val="32"/>
        </w:rPr>
        <w:t>5</w:t>
      </w:r>
      <w:bookmarkStart w:id="681" w:name="_Toc337558762"/>
      <w:r>
        <w:rPr>
          <w:rFonts w:hint="eastAsia" w:ascii="宋体" w:hAnsi="宋体" w:cs="宋体"/>
          <w:bCs/>
          <w:sz w:val="32"/>
          <w:szCs w:val="32"/>
        </w:rPr>
        <w:t>.4不合格工程的处理</w:t>
      </w:r>
      <w:bookmarkEnd w:id="678"/>
      <w:bookmarkEnd w:id="679"/>
      <w:bookmarkEnd w:id="680"/>
    </w:p>
    <w:bookmarkEnd w:id="681"/>
    <w:p w14:paraId="5449E08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5.4.1因承包人原因造成工程不合格的，发包人有权随时要求承包人采取补救措施，直至达到合同要求的质量标准，由此增加的费用和（或）延误的工期由承包人承担。无法补救的，按照第13.2.4项〔拒绝接收全部或部分工程〕约定执行。</w:t>
      </w:r>
    </w:p>
    <w:p w14:paraId="7FB36B3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5.4.2因发包人原因造成工程不合格的，由此增加的费用和（或）延误的工期由发包人承担，并支付承包人合理的利润。</w:t>
      </w:r>
    </w:p>
    <w:p w14:paraId="0C68FD06">
      <w:pPr>
        <w:keepNext/>
        <w:keepLines/>
        <w:spacing w:line="440" w:lineRule="exact"/>
        <w:ind w:firstLine="640" w:firstLineChars="200"/>
        <w:outlineLvl w:val="4"/>
        <w:rPr>
          <w:rFonts w:hint="eastAsia" w:ascii="宋体" w:hAnsi="宋体" w:cs="宋体"/>
          <w:bCs/>
          <w:sz w:val="32"/>
          <w:szCs w:val="32"/>
        </w:rPr>
      </w:pPr>
      <w:bookmarkStart w:id="682" w:name="_Toc351203537"/>
      <w:bookmarkStart w:id="683" w:name="_Toc22049"/>
      <w:bookmarkStart w:id="684" w:name="_Toc30827"/>
      <w:r>
        <w:rPr>
          <w:rFonts w:hint="eastAsia" w:ascii="宋体" w:hAnsi="宋体" w:cs="宋体"/>
          <w:bCs/>
          <w:sz w:val="32"/>
          <w:szCs w:val="32"/>
        </w:rPr>
        <w:t>5.5质量争议检测</w:t>
      </w:r>
      <w:bookmarkEnd w:id="682"/>
      <w:bookmarkEnd w:id="683"/>
      <w:bookmarkEnd w:id="684"/>
    </w:p>
    <w:p w14:paraId="5F23156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合同当事人对工程质量有争议的，由双方协商确定的工程质量检测机构鉴定，由此产生的费用及因此造成的损失，由责任方承担。</w:t>
      </w:r>
    </w:p>
    <w:p w14:paraId="614C0EE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合同当事人均有责任的，由双方根据其责任分别承担。合同当事人无法达成一致的，按照第4.4款〔商定或确定〕执行。</w:t>
      </w:r>
    </w:p>
    <w:p w14:paraId="2254D03A">
      <w:pPr>
        <w:keepNext/>
        <w:keepLines/>
        <w:spacing w:line="440" w:lineRule="exact"/>
        <w:ind w:firstLine="640" w:firstLineChars="200"/>
        <w:outlineLvl w:val="3"/>
        <w:rPr>
          <w:rFonts w:hint="eastAsia" w:ascii="宋体" w:hAnsi="宋体" w:cs="宋体"/>
          <w:bCs/>
          <w:sz w:val="32"/>
          <w:szCs w:val="32"/>
        </w:rPr>
      </w:pPr>
      <w:bookmarkStart w:id="685" w:name="_Toc26990"/>
      <w:bookmarkStart w:id="686" w:name="_Toc10967"/>
      <w:bookmarkStart w:id="687" w:name="_Toc351203538"/>
      <w:r>
        <w:rPr>
          <w:rFonts w:hint="eastAsia" w:ascii="宋体" w:hAnsi="宋体" w:cs="宋体"/>
          <w:bCs/>
          <w:sz w:val="32"/>
          <w:szCs w:val="32"/>
        </w:rPr>
        <w:t>6</w:t>
      </w:r>
      <w:bookmarkStart w:id="688" w:name="_Toc337558763"/>
      <w:r>
        <w:rPr>
          <w:rFonts w:hint="eastAsia" w:ascii="宋体" w:hAnsi="宋体" w:cs="宋体"/>
          <w:bCs/>
          <w:sz w:val="32"/>
          <w:szCs w:val="32"/>
        </w:rPr>
        <w:t>.安全文明施工与环境保护</w:t>
      </w:r>
      <w:bookmarkEnd w:id="685"/>
      <w:bookmarkEnd w:id="686"/>
      <w:bookmarkEnd w:id="687"/>
    </w:p>
    <w:bookmarkEnd w:id="688"/>
    <w:p w14:paraId="2804D94F">
      <w:pPr>
        <w:keepNext/>
        <w:keepLines/>
        <w:spacing w:line="440" w:lineRule="exact"/>
        <w:ind w:firstLine="640" w:firstLineChars="200"/>
        <w:outlineLvl w:val="4"/>
        <w:rPr>
          <w:rFonts w:hint="eastAsia" w:ascii="宋体" w:hAnsi="宋体" w:cs="宋体"/>
          <w:bCs/>
          <w:sz w:val="32"/>
          <w:szCs w:val="32"/>
        </w:rPr>
      </w:pPr>
      <w:bookmarkStart w:id="689" w:name="_Toc25659"/>
      <w:bookmarkStart w:id="690" w:name="_Toc351203539"/>
      <w:bookmarkStart w:id="691" w:name="_Toc17542"/>
      <w:r>
        <w:rPr>
          <w:rFonts w:hint="eastAsia" w:ascii="宋体" w:hAnsi="宋体" w:cs="宋体"/>
          <w:bCs/>
          <w:sz w:val="32"/>
          <w:szCs w:val="32"/>
        </w:rPr>
        <w:t>6</w:t>
      </w:r>
      <w:bookmarkStart w:id="692" w:name="_Toc337558764"/>
      <w:r>
        <w:rPr>
          <w:rFonts w:hint="eastAsia" w:ascii="宋体" w:hAnsi="宋体" w:cs="宋体"/>
          <w:bCs/>
          <w:sz w:val="32"/>
          <w:szCs w:val="32"/>
        </w:rPr>
        <w:t>.1安全文明施工</w:t>
      </w:r>
      <w:bookmarkEnd w:id="689"/>
      <w:bookmarkEnd w:id="690"/>
      <w:bookmarkEnd w:id="691"/>
    </w:p>
    <w:bookmarkEnd w:id="692"/>
    <w:p w14:paraId="33534726">
      <w:pPr>
        <w:spacing w:line="440" w:lineRule="exact"/>
        <w:ind w:firstLine="640" w:firstLineChars="200"/>
        <w:rPr>
          <w:rFonts w:hint="eastAsia" w:ascii="宋体" w:hAnsi="宋体" w:cs="宋体"/>
          <w:sz w:val="32"/>
          <w:szCs w:val="32"/>
        </w:rPr>
      </w:pPr>
      <w:r>
        <w:rPr>
          <w:rFonts w:hint="eastAsia" w:ascii="宋体" w:hAnsi="宋体" w:cs="宋体"/>
          <w:sz w:val="32"/>
          <w:szCs w:val="32"/>
        </w:rPr>
        <w:t>6.1.1安全生产要求</w:t>
      </w:r>
    </w:p>
    <w:p w14:paraId="05651EDD">
      <w:pPr>
        <w:spacing w:line="440" w:lineRule="exact"/>
        <w:ind w:firstLine="640" w:firstLineChars="200"/>
        <w:rPr>
          <w:rFonts w:hint="eastAsia" w:ascii="宋体" w:hAnsi="宋体" w:cs="宋体"/>
          <w:sz w:val="32"/>
          <w:szCs w:val="32"/>
        </w:rPr>
      </w:pPr>
      <w:r>
        <w:rPr>
          <w:rFonts w:hint="eastAsia" w:ascii="宋体" w:hAnsi="宋体" w:cs="宋体"/>
          <w:sz w:val="32"/>
          <w:szCs w:val="32"/>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2010FC7D">
      <w:pPr>
        <w:spacing w:line="440" w:lineRule="exact"/>
        <w:ind w:firstLine="640" w:firstLineChars="200"/>
        <w:rPr>
          <w:rFonts w:hint="eastAsia" w:ascii="宋体" w:hAnsi="宋体" w:cs="宋体"/>
          <w:sz w:val="32"/>
          <w:szCs w:val="32"/>
        </w:rPr>
      </w:pPr>
      <w:r>
        <w:rPr>
          <w:rFonts w:hint="eastAsia" w:ascii="宋体" w:hAnsi="宋体" w:cs="宋体"/>
          <w:sz w:val="32"/>
          <w:szCs w:val="32"/>
        </w:rPr>
        <w:t>在施工过程中，如遇到突发的地质变动、事先未知的地下施工障碍等影响施工安全的紧急情况，承包人应及时报告监理人和发包人，发包人应当及时下令停工并报</w:t>
      </w:r>
      <w:r>
        <w:rPr>
          <w:rFonts w:hint="eastAsia" w:ascii="宋体" w:hAnsi="宋体" w:cs="宋体"/>
          <w:kern w:val="0"/>
          <w:sz w:val="32"/>
          <w:szCs w:val="32"/>
        </w:rPr>
        <w:t>政府有关行政管理部门</w:t>
      </w:r>
      <w:r>
        <w:rPr>
          <w:rFonts w:hint="eastAsia" w:ascii="宋体" w:hAnsi="宋体" w:cs="宋体"/>
          <w:sz w:val="32"/>
          <w:szCs w:val="32"/>
        </w:rPr>
        <w:t>采取应急措施。</w:t>
      </w:r>
    </w:p>
    <w:p w14:paraId="364AE9A3">
      <w:pPr>
        <w:spacing w:line="440" w:lineRule="exact"/>
        <w:ind w:firstLine="640" w:firstLineChars="200"/>
        <w:rPr>
          <w:rFonts w:hint="eastAsia" w:ascii="宋体" w:hAnsi="宋体" w:cs="宋体"/>
          <w:sz w:val="32"/>
          <w:szCs w:val="32"/>
        </w:rPr>
      </w:pPr>
      <w:r>
        <w:rPr>
          <w:rFonts w:hint="eastAsia" w:ascii="宋体" w:hAnsi="宋体" w:cs="宋体"/>
          <w:sz w:val="32"/>
          <w:szCs w:val="32"/>
        </w:rPr>
        <w:t>因安全生产需要暂停施工的，按照第7.8款〔暂停施工〕的约定执行。</w:t>
      </w:r>
    </w:p>
    <w:p w14:paraId="200C4902">
      <w:pPr>
        <w:spacing w:line="440" w:lineRule="exact"/>
        <w:ind w:firstLine="640" w:firstLineChars="200"/>
        <w:rPr>
          <w:rFonts w:hint="eastAsia" w:ascii="宋体" w:hAnsi="宋体" w:cs="宋体"/>
          <w:sz w:val="32"/>
          <w:szCs w:val="32"/>
        </w:rPr>
      </w:pPr>
      <w:r>
        <w:rPr>
          <w:rFonts w:hint="eastAsia" w:ascii="宋体" w:hAnsi="宋体" w:cs="宋体"/>
          <w:sz w:val="32"/>
          <w:szCs w:val="32"/>
        </w:rPr>
        <w:t>6.1.2安全生产保证措施</w:t>
      </w:r>
    </w:p>
    <w:p w14:paraId="1D58D58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承包人应当按照有关</w:t>
      </w:r>
      <w:r>
        <w:rPr>
          <w:rFonts w:hint="eastAsia" w:ascii="宋体" w:hAnsi="宋体" w:cs="宋体"/>
          <w:kern w:val="0"/>
          <w:sz w:val="32"/>
          <w:szCs w:val="32"/>
        </w:rPr>
        <w:t>规定编制安全技术措施或者专项施工方案，</w:t>
      </w:r>
      <w:r>
        <w:rPr>
          <w:rFonts w:hint="eastAsia" w:ascii="宋体" w:hAnsi="宋体" w:cs="宋体"/>
          <w:sz w:val="32"/>
          <w:szCs w:val="32"/>
        </w:rPr>
        <w:t>建立安全生产责任制度、治安保卫制度及安全生产教育培训制度，并</w:t>
      </w:r>
      <w:r>
        <w:rPr>
          <w:rFonts w:hint="eastAsia" w:ascii="宋体" w:hAnsi="宋体" w:cs="宋体"/>
          <w:kern w:val="0"/>
          <w:sz w:val="32"/>
          <w:szCs w:val="32"/>
        </w:rPr>
        <w:t>按安全生产法律规定及合同约定履行安全职责，如实</w:t>
      </w:r>
      <w:r>
        <w:rPr>
          <w:rFonts w:hint="eastAsia" w:ascii="宋体" w:hAnsi="宋体" w:cs="宋体"/>
          <w:sz w:val="32"/>
          <w:szCs w:val="32"/>
        </w:rPr>
        <w:t>编制工程安全生产的有关记录，</w:t>
      </w:r>
      <w:r>
        <w:rPr>
          <w:rFonts w:hint="eastAsia" w:ascii="宋体" w:hAnsi="宋体" w:cs="宋体"/>
          <w:kern w:val="0"/>
          <w:sz w:val="32"/>
          <w:szCs w:val="32"/>
        </w:rPr>
        <w:t>接受发包人、监理人及政府安全监督部门的检查与监督。</w:t>
      </w:r>
    </w:p>
    <w:p w14:paraId="5FE40AF4">
      <w:pPr>
        <w:spacing w:line="440" w:lineRule="exact"/>
        <w:ind w:firstLine="640" w:firstLineChars="200"/>
        <w:rPr>
          <w:rFonts w:hint="eastAsia" w:ascii="宋体" w:hAnsi="宋体" w:cs="宋体"/>
          <w:sz w:val="32"/>
          <w:szCs w:val="32"/>
        </w:rPr>
      </w:pPr>
      <w:r>
        <w:rPr>
          <w:rFonts w:hint="eastAsia" w:ascii="宋体" w:hAnsi="宋体" w:cs="宋体"/>
          <w:sz w:val="32"/>
          <w:szCs w:val="32"/>
        </w:rPr>
        <w:t>6.1.3特别安全生产事项</w:t>
      </w:r>
    </w:p>
    <w:p w14:paraId="0CA64DC3">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54AB6399">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承包人在动力设备、输电线路、地下管道、密封防震车间、易燃易爆地段以及临街交通要道附近施工时，施工开始前应向发包人和监理人提出安全防护措施，经发包人认可后实施。</w:t>
      </w:r>
    </w:p>
    <w:p w14:paraId="248874A3">
      <w:pPr>
        <w:spacing w:line="440" w:lineRule="exact"/>
        <w:ind w:firstLine="640" w:firstLineChars="200"/>
        <w:rPr>
          <w:rFonts w:hint="eastAsia" w:ascii="宋体" w:hAnsi="宋体" w:cs="宋体"/>
          <w:sz w:val="32"/>
          <w:szCs w:val="32"/>
        </w:rPr>
      </w:pPr>
      <w:r>
        <w:rPr>
          <w:rFonts w:hint="eastAsia" w:ascii="宋体" w:hAnsi="宋体" w:cs="宋体"/>
          <w:sz w:val="32"/>
          <w:szCs w:val="32"/>
        </w:rPr>
        <w:t>实施爆破作业，在放射、毒害性环境中施工（含储存、运输、使用）及使用毒害性、腐蚀性物品施工时，承包人应在施工前7天以书面通知发包人和监理人，并报送相应的安全防护措施，经发包人认可后实施。</w:t>
      </w:r>
    </w:p>
    <w:p w14:paraId="1FD4C767">
      <w:pPr>
        <w:spacing w:line="440" w:lineRule="exact"/>
        <w:ind w:firstLine="640" w:firstLineChars="200"/>
        <w:rPr>
          <w:rFonts w:hint="eastAsia" w:ascii="宋体" w:hAnsi="宋体" w:cs="宋体"/>
          <w:sz w:val="32"/>
          <w:szCs w:val="32"/>
        </w:rPr>
      </w:pPr>
      <w:r>
        <w:rPr>
          <w:rFonts w:hint="eastAsia" w:ascii="宋体" w:hAnsi="宋体" w:cs="宋体"/>
          <w:sz w:val="32"/>
          <w:szCs w:val="32"/>
        </w:rPr>
        <w:t>需单独编制危险性较大分部分项专项工程施工方案的，及要求进行专家论证的超过一定规模的危险性较大的分部分项工程，承包人应及时编制和组织论证。</w:t>
      </w:r>
    </w:p>
    <w:p w14:paraId="3B9A3ABF">
      <w:pPr>
        <w:spacing w:line="440" w:lineRule="exact"/>
        <w:ind w:firstLine="640" w:firstLineChars="200"/>
        <w:rPr>
          <w:rFonts w:hint="eastAsia" w:ascii="宋体" w:hAnsi="宋体" w:cs="宋体"/>
          <w:sz w:val="32"/>
          <w:szCs w:val="32"/>
        </w:rPr>
      </w:pPr>
      <w:r>
        <w:rPr>
          <w:rFonts w:hint="eastAsia" w:ascii="宋体" w:hAnsi="宋体" w:cs="宋体"/>
          <w:sz w:val="32"/>
          <w:szCs w:val="32"/>
        </w:rPr>
        <w:t>6.1.4治安保卫</w:t>
      </w:r>
    </w:p>
    <w:p w14:paraId="54C0A72A">
      <w:pPr>
        <w:spacing w:line="440" w:lineRule="exact"/>
        <w:ind w:firstLine="640" w:firstLineChars="200"/>
        <w:rPr>
          <w:rFonts w:hint="eastAsia" w:ascii="宋体" w:hAnsi="宋体" w:cs="宋体"/>
          <w:sz w:val="32"/>
          <w:szCs w:val="32"/>
        </w:rPr>
      </w:pPr>
      <w:r>
        <w:rPr>
          <w:rFonts w:hint="eastAsia" w:ascii="宋体" w:hAnsi="宋体" w:cs="宋体"/>
          <w:sz w:val="32"/>
          <w:szCs w:val="32"/>
        </w:rPr>
        <w:t>除专用合同条款另有约定外，发包人应与当地公安部门协商，在现场建立治安管理机构或联防组织，统一管理施工场地的治安保卫事项，履行合同工程的治安保卫职责。</w:t>
      </w:r>
    </w:p>
    <w:p w14:paraId="1A5FEC14">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发包人和承包人除应协助现场治安管理机构或联防组织维护施工场地的社会治安外，还应做好包括生活区在内的各自管辖区的治安保卫工作。</w:t>
      </w:r>
    </w:p>
    <w:p w14:paraId="246C2E98">
      <w:pPr>
        <w:spacing w:line="440" w:lineRule="exact"/>
        <w:ind w:firstLine="640" w:firstLineChars="200"/>
        <w:rPr>
          <w:rFonts w:hint="eastAsia" w:ascii="宋体" w:hAnsi="宋体" w:cs="宋体"/>
          <w:sz w:val="32"/>
          <w:szCs w:val="32"/>
        </w:rPr>
      </w:pPr>
      <w:r>
        <w:rPr>
          <w:rFonts w:hint="eastAsia" w:ascii="宋体" w:hAnsi="宋体" w:cs="宋体"/>
          <w:sz w:val="32"/>
          <w:szCs w:val="32"/>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25E28DF5">
      <w:pPr>
        <w:spacing w:line="440" w:lineRule="exact"/>
        <w:ind w:firstLine="640" w:firstLineChars="200"/>
        <w:rPr>
          <w:rFonts w:hint="eastAsia" w:ascii="宋体" w:hAnsi="宋体" w:cs="宋体"/>
          <w:kern w:val="0"/>
          <w:sz w:val="32"/>
          <w:szCs w:val="32"/>
        </w:rPr>
      </w:pPr>
      <w:r>
        <w:rPr>
          <w:rFonts w:hint="eastAsia" w:ascii="宋体" w:hAnsi="宋体" w:cs="宋体"/>
          <w:sz w:val="32"/>
          <w:szCs w:val="32"/>
        </w:rPr>
        <w:t>6.1.5文明施工</w:t>
      </w:r>
    </w:p>
    <w:p w14:paraId="224771E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0340B69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47FFC2AF">
      <w:pPr>
        <w:spacing w:line="440" w:lineRule="exact"/>
        <w:ind w:firstLine="640" w:firstLineChars="200"/>
        <w:rPr>
          <w:rFonts w:hint="eastAsia" w:ascii="宋体" w:hAnsi="宋体" w:cs="宋体"/>
          <w:sz w:val="32"/>
          <w:szCs w:val="32"/>
        </w:rPr>
      </w:pPr>
      <w:r>
        <w:rPr>
          <w:rFonts w:hint="eastAsia" w:ascii="宋体" w:hAnsi="宋体" w:cs="宋体"/>
          <w:sz w:val="32"/>
          <w:szCs w:val="32"/>
        </w:rPr>
        <w:t>6.1.6安全文明施工费</w:t>
      </w:r>
    </w:p>
    <w:p w14:paraId="465CC57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安全文明施工费由发包人承担，发包人不得以任何形式扣减该部分费用。因基准日期后合同所适用的法律或政府有关规定发生变化，增加的安全文明施工费由发包人承担。</w:t>
      </w:r>
    </w:p>
    <w:p w14:paraId="4C342A1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0CB773F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14:paraId="0FFC1AB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13E044C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6.1.7紧急情况处理</w:t>
      </w:r>
    </w:p>
    <w:p w14:paraId="5A7A670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6507FE2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6.1.8事故处理</w:t>
      </w:r>
    </w:p>
    <w:p w14:paraId="7373FF0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78443A7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6.1.9安全生产责任</w:t>
      </w:r>
    </w:p>
    <w:p w14:paraId="736EA14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6.1.9.1发包人的安全责任</w:t>
      </w:r>
    </w:p>
    <w:p w14:paraId="3766911C">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发包人应负责赔偿以下各种情况造成的损失：</w:t>
      </w:r>
    </w:p>
    <w:p w14:paraId="14FFA3A6">
      <w:pPr>
        <w:spacing w:line="440" w:lineRule="exact"/>
        <w:ind w:firstLine="640" w:firstLineChars="200"/>
        <w:rPr>
          <w:rFonts w:hint="eastAsia" w:ascii="宋体" w:hAnsi="宋体" w:cs="宋体"/>
          <w:sz w:val="32"/>
          <w:szCs w:val="32"/>
        </w:rPr>
      </w:pPr>
      <w:r>
        <w:rPr>
          <w:rFonts w:hint="eastAsia" w:ascii="宋体" w:hAnsi="宋体" w:cs="宋体"/>
          <w:sz w:val="32"/>
          <w:szCs w:val="32"/>
        </w:rPr>
        <w:t>（1）工程或工程的任何部分对土地的占用所造成的第三者财产损失；</w:t>
      </w:r>
    </w:p>
    <w:p w14:paraId="105939DD">
      <w:pPr>
        <w:spacing w:line="440" w:lineRule="exact"/>
        <w:ind w:firstLine="640" w:firstLineChars="200"/>
        <w:rPr>
          <w:rFonts w:hint="eastAsia" w:ascii="宋体" w:hAnsi="宋体" w:cs="宋体"/>
          <w:sz w:val="32"/>
          <w:szCs w:val="32"/>
        </w:rPr>
      </w:pPr>
      <w:r>
        <w:rPr>
          <w:rFonts w:hint="eastAsia" w:ascii="宋体" w:hAnsi="宋体" w:cs="宋体"/>
          <w:sz w:val="32"/>
          <w:szCs w:val="32"/>
        </w:rPr>
        <w:t>（2）由于发包人原因在施工场地及其毗邻地带造成的第三者人身伤亡和财产损失；</w:t>
      </w:r>
    </w:p>
    <w:p w14:paraId="3EEF294B">
      <w:pPr>
        <w:spacing w:line="440" w:lineRule="exact"/>
        <w:ind w:firstLine="640" w:firstLineChars="200"/>
        <w:rPr>
          <w:rFonts w:hint="eastAsia" w:ascii="宋体" w:hAnsi="宋体" w:cs="宋体"/>
          <w:sz w:val="32"/>
          <w:szCs w:val="32"/>
        </w:rPr>
      </w:pPr>
      <w:r>
        <w:rPr>
          <w:rFonts w:hint="eastAsia" w:ascii="宋体" w:hAnsi="宋体" w:cs="宋体"/>
          <w:sz w:val="32"/>
          <w:szCs w:val="32"/>
        </w:rPr>
        <w:t>（3）由于发包人原因对承包人、监理人造成的人员人身伤亡和财产损失；</w:t>
      </w:r>
    </w:p>
    <w:p w14:paraId="25286B8F">
      <w:pPr>
        <w:spacing w:line="440" w:lineRule="exact"/>
        <w:ind w:firstLine="640" w:firstLineChars="200"/>
        <w:rPr>
          <w:rFonts w:hint="eastAsia" w:ascii="宋体" w:hAnsi="宋体" w:cs="宋体"/>
          <w:sz w:val="32"/>
          <w:szCs w:val="32"/>
        </w:rPr>
      </w:pPr>
      <w:r>
        <w:rPr>
          <w:rFonts w:hint="eastAsia" w:ascii="宋体" w:hAnsi="宋体" w:cs="宋体"/>
          <w:sz w:val="32"/>
          <w:szCs w:val="32"/>
        </w:rPr>
        <w:t>（4）由于发包人原因造成的发包人自身人员的人身伤害以及财产损失。</w:t>
      </w:r>
    </w:p>
    <w:p w14:paraId="3322638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6.1.9.2承包人的安全责任</w:t>
      </w:r>
    </w:p>
    <w:p w14:paraId="6896F92D">
      <w:pPr>
        <w:spacing w:line="440" w:lineRule="exact"/>
        <w:ind w:firstLine="640" w:firstLineChars="200"/>
        <w:rPr>
          <w:rFonts w:hint="eastAsia" w:ascii="宋体" w:hAnsi="宋体" w:cs="宋体"/>
          <w:kern w:val="0"/>
          <w:sz w:val="32"/>
          <w:szCs w:val="32"/>
        </w:rPr>
      </w:pPr>
      <w:r>
        <w:rPr>
          <w:rFonts w:hint="eastAsia" w:ascii="宋体" w:hAnsi="宋体" w:cs="宋体"/>
          <w:sz w:val="32"/>
          <w:szCs w:val="32"/>
        </w:rPr>
        <w:t>由于承包人原因在施工场地内及其毗邻地带造成的发包人、监理人以及第三者人员伤亡和财产损失，由承包人负责赔偿。</w:t>
      </w:r>
    </w:p>
    <w:p w14:paraId="39AD0DDC">
      <w:pPr>
        <w:keepNext/>
        <w:keepLines/>
        <w:spacing w:line="440" w:lineRule="exact"/>
        <w:ind w:firstLine="640" w:firstLineChars="200"/>
        <w:outlineLvl w:val="4"/>
        <w:rPr>
          <w:rFonts w:hint="eastAsia" w:ascii="宋体" w:hAnsi="宋体" w:cs="宋体"/>
          <w:bCs/>
          <w:sz w:val="32"/>
          <w:szCs w:val="32"/>
        </w:rPr>
      </w:pPr>
      <w:bookmarkStart w:id="693" w:name="_Toc351203540"/>
      <w:bookmarkStart w:id="694" w:name="_Toc1424"/>
      <w:bookmarkStart w:id="695" w:name="_Toc27690"/>
      <w:r>
        <w:rPr>
          <w:rFonts w:hint="eastAsia" w:ascii="宋体" w:hAnsi="宋体" w:cs="宋体"/>
          <w:bCs/>
          <w:sz w:val="32"/>
          <w:szCs w:val="32"/>
        </w:rPr>
        <w:t>6</w:t>
      </w:r>
      <w:bookmarkStart w:id="696" w:name="_Toc337558765"/>
      <w:r>
        <w:rPr>
          <w:rFonts w:hint="eastAsia" w:ascii="宋体" w:hAnsi="宋体" w:cs="宋体"/>
          <w:bCs/>
          <w:sz w:val="32"/>
          <w:szCs w:val="32"/>
        </w:rPr>
        <w:t>.2职业健康</w:t>
      </w:r>
      <w:bookmarkEnd w:id="693"/>
      <w:bookmarkEnd w:id="694"/>
      <w:bookmarkEnd w:id="695"/>
    </w:p>
    <w:bookmarkEnd w:id="696"/>
    <w:p w14:paraId="2B32C17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6.2.1劳动保护</w:t>
      </w:r>
    </w:p>
    <w:p w14:paraId="348CF63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5987321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39C039E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承包人应按法律规定安排工作时间，保证其雇佣人员享有休息和休假的权利。因工程施工的特殊需要占用休假日或延长工作时间的，应不超过法律规定的限度，并按法律规定给予补休或付酬。</w:t>
      </w:r>
    </w:p>
    <w:p w14:paraId="5CF25DD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6.2.2生活条件</w:t>
      </w:r>
    </w:p>
    <w:p w14:paraId="3121848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为其履行合同所雇用的人员提供必要的膳宿条件和生活环境；承包人应采取有效措施预防传染病，保证施工人员的健康，并定期对施工现场、施工人员生活基地和工程进行防疫和卫生的专业检查和处理,在远离城镇的施工场地，还应配备必要的伤病防治和急救的医务人员与医疗设施。</w:t>
      </w:r>
    </w:p>
    <w:p w14:paraId="358A9811">
      <w:pPr>
        <w:keepNext/>
        <w:keepLines/>
        <w:spacing w:line="440" w:lineRule="exact"/>
        <w:ind w:firstLine="640" w:firstLineChars="200"/>
        <w:outlineLvl w:val="4"/>
        <w:rPr>
          <w:rFonts w:hint="eastAsia" w:ascii="宋体" w:hAnsi="宋体" w:cs="宋体"/>
          <w:bCs/>
          <w:sz w:val="32"/>
          <w:szCs w:val="32"/>
        </w:rPr>
      </w:pPr>
      <w:bookmarkStart w:id="697" w:name="_Toc26631"/>
      <w:bookmarkStart w:id="698" w:name="_Toc30050"/>
      <w:bookmarkStart w:id="699" w:name="_Toc351203541"/>
      <w:r>
        <w:rPr>
          <w:rFonts w:hint="eastAsia" w:ascii="宋体" w:hAnsi="宋体" w:cs="宋体"/>
          <w:bCs/>
          <w:sz w:val="32"/>
          <w:szCs w:val="32"/>
        </w:rPr>
        <w:t>6</w:t>
      </w:r>
      <w:bookmarkStart w:id="700" w:name="_Toc337558766"/>
      <w:r>
        <w:rPr>
          <w:rFonts w:hint="eastAsia" w:ascii="宋体" w:hAnsi="宋体" w:cs="宋体"/>
          <w:bCs/>
          <w:sz w:val="32"/>
          <w:szCs w:val="32"/>
        </w:rPr>
        <w:t>.3环境保护</w:t>
      </w:r>
      <w:bookmarkEnd w:id="697"/>
      <w:bookmarkEnd w:id="698"/>
      <w:bookmarkEnd w:id="699"/>
    </w:p>
    <w:bookmarkEnd w:id="700"/>
    <w:p w14:paraId="052EDA5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152CE49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承包人应当承担因其原因引起的环境污染侵权损害赔偿责任，因上述环境污染引起纠纷而导致暂停施工的，由此增加的费用和（或）延误的工期由承包人承担。</w:t>
      </w:r>
    </w:p>
    <w:p w14:paraId="540D6CC9">
      <w:pPr>
        <w:keepNext/>
        <w:keepLines/>
        <w:spacing w:line="440" w:lineRule="exact"/>
        <w:ind w:firstLine="640" w:firstLineChars="200"/>
        <w:outlineLvl w:val="3"/>
        <w:rPr>
          <w:rFonts w:hint="eastAsia" w:ascii="宋体" w:hAnsi="宋体" w:cs="宋体"/>
          <w:bCs/>
          <w:sz w:val="32"/>
          <w:szCs w:val="32"/>
        </w:rPr>
      </w:pPr>
      <w:bookmarkStart w:id="701" w:name="_Toc351203542"/>
      <w:bookmarkStart w:id="702" w:name="_Toc13710"/>
      <w:bookmarkStart w:id="703" w:name="_Toc868"/>
      <w:r>
        <w:rPr>
          <w:rFonts w:hint="eastAsia" w:ascii="宋体" w:hAnsi="宋体" w:cs="宋体"/>
          <w:bCs/>
          <w:sz w:val="32"/>
          <w:szCs w:val="32"/>
        </w:rPr>
        <w:t>7</w:t>
      </w:r>
      <w:bookmarkStart w:id="704" w:name="_Toc337558767"/>
      <w:r>
        <w:rPr>
          <w:rFonts w:hint="eastAsia" w:ascii="宋体" w:hAnsi="宋体" w:cs="宋体"/>
          <w:bCs/>
          <w:sz w:val="32"/>
          <w:szCs w:val="32"/>
        </w:rPr>
        <w:t>.工期和进度</w:t>
      </w:r>
      <w:bookmarkEnd w:id="701"/>
      <w:bookmarkEnd w:id="702"/>
      <w:bookmarkEnd w:id="703"/>
    </w:p>
    <w:bookmarkEnd w:id="704"/>
    <w:p w14:paraId="4E348B27">
      <w:pPr>
        <w:keepNext/>
        <w:keepLines/>
        <w:spacing w:line="440" w:lineRule="exact"/>
        <w:ind w:firstLine="640" w:firstLineChars="200"/>
        <w:outlineLvl w:val="4"/>
        <w:rPr>
          <w:rFonts w:hint="eastAsia" w:ascii="宋体" w:hAnsi="宋体" w:cs="宋体"/>
          <w:bCs/>
          <w:sz w:val="32"/>
          <w:szCs w:val="32"/>
        </w:rPr>
      </w:pPr>
      <w:bookmarkStart w:id="705" w:name="_Toc351203543"/>
      <w:bookmarkStart w:id="706" w:name="_Toc3283"/>
      <w:bookmarkStart w:id="707" w:name="_Toc26277"/>
      <w:r>
        <w:rPr>
          <w:rFonts w:hint="eastAsia" w:ascii="宋体" w:hAnsi="宋体" w:cs="宋体"/>
          <w:bCs/>
          <w:sz w:val="32"/>
          <w:szCs w:val="32"/>
        </w:rPr>
        <w:t>7</w:t>
      </w:r>
      <w:bookmarkStart w:id="708" w:name="_Toc337558768"/>
      <w:bookmarkStart w:id="709" w:name="_Toc296503066"/>
      <w:bookmarkStart w:id="710" w:name="_Toc296346567"/>
      <w:r>
        <w:rPr>
          <w:rFonts w:hint="eastAsia" w:ascii="宋体" w:hAnsi="宋体" w:cs="宋体"/>
          <w:bCs/>
          <w:sz w:val="32"/>
          <w:szCs w:val="32"/>
        </w:rPr>
        <w:t>.1施工组织设计</w:t>
      </w:r>
      <w:bookmarkEnd w:id="705"/>
      <w:bookmarkEnd w:id="706"/>
      <w:bookmarkEnd w:id="707"/>
    </w:p>
    <w:bookmarkEnd w:id="708"/>
    <w:p w14:paraId="78527CD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7.1.1</w:t>
      </w:r>
      <w:r>
        <w:rPr>
          <w:rFonts w:hint="eastAsia" w:ascii="宋体" w:hAnsi="宋体" w:cs="宋体"/>
          <w:kern w:val="0"/>
          <w:sz w:val="32"/>
          <w:szCs w:val="32"/>
        </w:rPr>
        <w:t>施工组织设计的内容</w:t>
      </w:r>
    </w:p>
    <w:p w14:paraId="05D3192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施工组织设计应包含以下内容：</w:t>
      </w:r>
    </w:p>
    <w:p w14:paraId="3E9EC6E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（1）施工方案；</w:t>
      </w:r>
    </w:p>
    <w:p w14:paraId="1669858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（2）施工现场平面布置图；</w:t>
      </w:r>
    </w:p>
    <w:p w14:paraId="1E89FC7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（3）施工进度计划和保证措施；</w:t>
      </w:r>
    </w:p>
    <w:p w14:paraId="6D01C6F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（4）劳动力及材料供应计划；</w:t>
      </w:r>
    </w:p>
    <w:p w14:paraId="37E84E9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（5）施工机械设备的选用；</w:t>
      </w:r>
    </w:p>
    <w:p w14:paraId="2E36BA7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（6）质量保证体系及措施；</w:t>
      </w:r>
    </w:p>
    <w:p w14:paraId="5E888B0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（7）安全生产、文明施工措施；</w:t>
      </w:r>
    </w:p>
    <w:p w14:paraId="3DA2E30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（8）环境保护、成本控制措施；</w:t>
      </w:r>
    </w:p>
    <w:p w14:paraId="4C80DA3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（9）合同当事人约定的其他内容。</w:t>
      </w:r>
    </w:p>
    <w:p w14:paraId="00E6DBB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7.1.2</w:t>
      </w:r>
      <w:r>
        <w:rPr>
          <w:rFonts w:hint="eastAsia" w:ascii="宋体" w:hAnsi="宋体" w:cs="宋体"/>
          <w:kern w:val="0"/>
          <w:sz w:val="32"/>
          <w:szCs w:val="32"/>
        </w:rPr>
        <w:t>施工组织设计的提交和修改</w:t>
      </w:r>
    </w:p>
    <w:p w14:paraId="5292495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7710795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施工进度计划的编制和修改按照第7.2款〔施工进度计划〕执行。</w:t>
      </w:r>
    </w:p>
    <w:p w14:paraId="4A8D585B">
      <w:pPr>
        <w:keepNext/>
        <w:keepLines/>
        <w:spacing w:line="440" w:lineRule="exact"/>
        <w:ind w:firstLine="640" w:firstLineChars="200"/>
        <w:outlineLvl w:val="4"/>
        <w:rPr>
          <w:rFonts w:hint="eastAsia" w:ascii="宋体" w:hAnsi="宋体" w:cs="宋体"/>
          <w:bCs/>
          <w:sz w:val="32"/>
          <w:szCs w:val="32"/>
        </w:rPr>
      </w:pPr>
      <w:bookmarkStart w:id="711" w:name="_Toc13899"/>
      <w:bookmarkStart w:id="712" w:name="_Toc351203544"/>
      <w:bookmarkStart w:id="713" w:name="_Toc11159"/>
      <w:r>
        <w:rPr>
          <w:rFonts w:hint="eastAsia" w:ascii="宋体" w:hAnsi="宋体" w:cs="宋体"/>
          <w:bCs/>
          <w:sz w:val="32"/>
          <w:szCs w:val="32"/>
        </w:rPr>
        <w:t>7</w:t>
      </w:r>
      <w:bookmarkStart w:id="714" w:name="_Toc337558769"/>
      <w:r>
        <w:rPr>
          <w:rFonts w:hint="eastAsia" w:ascii="宋体" w:hAnsi="宋体" w:cs="宋体"/>
          <w:bCs/>
          <w:sz w:val="32"/>
          <w:szCs w:val="32"/>
        </w:rPr>
        <w:t>.2施工进度计划</w:t>
      </w:r>
      <w:bookmarkEnd w:id="711"/>
      <w:bookmarkEnd w:id="712"/>
      <w:bookmarkEnd w:id="713"/>
    </w:p>
    <w:bookmarkEnd w:id="714"/>
    <w:p w14:paraId="25D7301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7.2.1施工进度计划的编制</w:t>
      </w:r>
    </w:p>
    <w:p w14:paraId="379BDCF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319DF28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7.2.2施工进度计划的修订</w:t>
      </w:r>
    </w:p>
    <w:p w14:paraId="3B8D614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3EB17044">
      <w:pPr>
        <w:keepNext/>
        <w:keepLines/>
        <w:spacing w:line="440" w:lineRule="exact"/>
        <w:ind w:firstLine="640" w:firstLineChars="200"/>
        <w:outlineLvl w:val="4"/>
        <w:rPr>
          <w:rFonts w:hint="eastAsia" w:ascii="宋体" w:hAnsi="宋体" w:cs="宋体"/>
          <w:bCs/>
          <w:sz w:val="32"/>
          <w:szCs w:val="32"/>
        </w:rPr>
      </w:pPr>
      <w:bookmarkStart w:id="715" w:name="_Toc20173"/>
      <w:bookmarkStart w:id="716" w:name="_Toc24007"/>
      <w:bookmarkStart w:id="717" w:name="_Toc351203545"/>
      <w:r>
        <w:rPr>
          <w:rFonts w:hint="eastAsia" w:ascii="宋体" w:hAnsi="宋体" w:cs="宋体"/>
          <w:bCs/>
          <w:sz w:val="32"/>
          <w:szCs w:val="32"/>
        </w:rPr>
        <w:t>7</w:t>
      </w:r>
      <w:bookmarkStart w:id="718" w:name="_Toc337558770"/>
      <w:r>
        <w:rPr>
          <w:rFonts w:hint="eastAsia" w:ascii="宋体" w:hAnsi="宋体" w:cs="宋体"/>
          <w:bCs/>
          <w:sz w:val="32"/>
          <w:szCs w:val="32"/>
        </w:rPr>
        <w:t>.3开工</w:t>
      </w:r>
      <w:bookmarkEnd w:id="715"/>
      <w:bookmarkEnd w:id="716"/>
      <w:bookmarkEnd w:id="717"/>
    </w:p>
    <w:p w14:paraId="1685B12A">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7.3.1开工准备</w:t>
      </w:r>
    </w:p>
    <w:p w14:paraId="618BD90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72CD7D8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除专用合同条款另有约定外，合同当事人应按约定完成开工准备工作。</w:t>
      </w:r>
    </w:p>
    <w:p w14:paraId="530A0FD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7.3.2开工通知</w:t>
      </w:r>
    </w:p>
    <w:bookmarkEnd w:id="718"/>
    <w:p w14:paraId="39F5965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41A39DF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3F3DCE8C">
      <w:pPr>
        <w:keepNext/>
        <w:keepLines/>
        <w:spacing w:line="440" w:lineRule="exact"/>
        <w:ind w:firstLine="640" w:firstLineChars="200"/>
        <w:outlineLvl w:val="4"/>
        <w:rPr>
          <w:rFonts w:hint="eastAsia" w:ascii="宋体" w:hAnsi="宋体" w:cs="宋体"/>
          <w:bCs/>
          <w:sz w:val="32"/>
          <w:szCs w:val="32"/>
        </w:rPr>
      </w:pPr>
      <w:bookmarkStart w:id="719" w:name="_Toc351203546"/>
      <w:bookmarkStart w:id="720" w:name="_Toc21464"/>
      <w:bookmarkStart w:id="721" w:name="_Toc26417"/>
      <w:r>
        <w:rPr>
          <w:rFonts w:hint="eastAsia" w:ascii="宋体" w:hAnsi="宋体" w:cs="宋体"/>
          <w:bCs/>
          <w:sz w:val="32"/>
          <w:szCs w:val="32"/>
        </w:rPr>
        <w:t>7.4测量放线</w:t>
      </w:r>
      <w:bookmarkEnd w:id="719"/>
      <w:bookmarkEnd w:id="720"/>
      <w:bookmarkEnd w:id="721"/>
    </w:p>
    <w:p w14:paraId="32FDD39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7.4.1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14:paraId="222182A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048A19A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7.4.2承包人负责施工过程中的全部施工测量放线工作，并配置具有相应资质的人员、合格的仪器、设备和其他物品。承包人应矫正工程的位置、标高、尺寸或准线中出现的任何差错，并对工程各部分的定位负责。</w:t>
      </w:r>
    </w:p>
    <w:p w14:paraId="4265D91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施工过程中对施工现场内水准点等测量标志物的保护工作由承包人负责。</w:t>
      </w:r>
      <w:bookmarkStart w:id="722" w:name="_Toc351203547"/>
    </w:p>
    <w:p w14:paraId="12B43719">
      <w:pPr>
        <w:keepNext/>
        <w:keepLines/>
        <w:spacing w:line="440" w:lineRule="exact"/>
        <w:ind w:firstLine="640" w:firstLineChars="200"/>
        <w:outlineLvl w:val="4"/>
        <w:rPr>
          <w:rFonts w:hint="eastAsia" w:ascii="宋体" w:hAnsi="宋体" w:cs="宋体"/>
          <w:bCs/>
          <w:sz w:val="32"/>
          <w:szCs w:val="32"/>
        </w:rPr>
      </w:pPr>
      <w:bookmarkStart w:id="723" w:name="_Toc27184"/>
      <w:bookmarkStart w:id="724" w:name="_Toc18608"/>
      <w:r>
        <w:rPr>
          <w:rFonts w:hint="eastAsia" w:ascii="宋体" w:hAnsi="宋体" w:cs="宋体"/>
          <w:bCs/>
          <w:sz w:val="32"/>
          <w:szCs w:val="32"/>
        </w:rPr>
        <w:t>7</w:t>
      </w:r>
      <w:bookmarkEnd w:id="709"/>
      <w:bookmarkEnd w:id="710"/>
      <w:bookmarkStart w:id="725" w:name="_Toc296346574"/>
      <w:bookmarkStart w:id="726" w:name="_Toc337558772"/>
      <w:bookmarkStart w:id="727" w:name="_Toc296503073"/>
      <w:r>
        <w:rPr>
          <w:rFonts w:hint="eastAsia" w:ascii="宋体" w:hAnsi="宋体" w:cs="宋体"/>
          <w:bCs/>
          <w:sz w:val="32"/>
          <w:szCs w:val="32"/>
        </w:rPr>
        <w:t>.5工期延误</w:t>
      </w:r>
      <w:bookmarkEnd w:id="722"/>
      <w:bookmarkEnd w:id="723"/>
      <w:bookmarkEnd w:id="724"/>
    </w:p>
    <w:bookmarkEnd w:id="725"/>
    <w:bookmarkEnd w:id="726"/>
    <w:bookmarkEnd w:id="727"/>
    <w:p w14:paraId="1A89699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7.5.1因发包人原因导致工期延误</w:t>
      </w:r>
    </w:p>
    <w:p w14:paraId="35E7250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在合同履行过程中，因下列情况导致工期延误和（或）费用增加的，由发包人承担由此延误的工期和（或）增加的费用，且发包人应支付承包人合理的利润：</w:t>
      </w:r>
    </w:p>
    <w:p w14:paraId="5B60B36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（1）发包人未能按合同约定提供图纸或所提供图纸不符合合同约定的；</w:t>
      </w:r>
    </w:p>
    <w:p w14:paraId="632DF9F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（2）发包人未能按合同约定提供施工现场、施工条件、基础资料、许可、批准等开工条件的；</w:t>
      </w:r>
    </w:p>
    <w:p w14:paraId="3E0E8AE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（3）发包人提供的测量基准点、基准线和水准点及其书面资料存在错误或疏漏的；</w:t>
      </w:r>
    </w:p>
    <w:p w14:paraId="0759103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（4）发包人未能在计划开工日期之日起7天内同意下达开工通知的；</w:t>
      </w:r>
    </w:p>
    <w:p w14:paraId="742B6A2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（5）发包人未能按合同约定日期支付工程预付款、进度款或竣工结算款的；</w:t>
      </w:r>
    </w:p>
    <w:p w14:paraId="101729D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（6）监理人未按合同约定发出指示、批准等文件的；</w:t>
      </w:r>
    </w:p>
    <w:p w14:paraId="5466C1E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（7）专用合同条款中约定的其他情形。</w:t>
      </w:r>
    </w:p>
    <w:p w14:paraId="4D22FA6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14:paraId="7145B420">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7.5.2因承包人原因导致工期延误</w:t>
      </w:r>
    </w:p>
    <w:p w14:paraId="2F44B005">
      <w:pPr>
        <w:autoSpaceDE w:val="0"/>
        <w:autoSpaceDN w:val="0"/>
        <w:adjustRightInd w:val="0"/>
        <w:spacing w:line="440" w:lineRule="exact"/>
        <w:ind w:firstLine="640" w:firstLineChars="200"/>
        <w:jc w:val="left"/>
        <w:rPr>
          <w:rFonts w:hint="eastAsia" w:ascii="宋体" w:hAnsi="宋体" w:cs="宋体"/>
          <w:kern w:val="0"/>
          <w:sz w:val="32"/>
          <w:szCs w:val="32"/>
        </w:rPr>
      </w:pPr>
      <w:bookmarkStart w:id="728" w:name="_Toc296503076"/>
      <w:bookmarkStart w:id="729" w:name="_Toc296346577"/>
      <w:r>
        <w:rPr>
          <w:rFonts w:hint="eastAsia" w:ascii="宋体" w:hAnsi="宋体" w:cs="宋体"/>
          <w:kern w:val="0"/>
          <w:sz w:val="32"/>
          <w:szCs w:val="32"/>
        </w:rPr>
        <w:t>因</w:t>
      </w:r>
      <w:bookmarkEnd w:id="728"/>
      <w:bookmarkEnd w:id="729"/>
      <w:r>
        <w:rPr>
          <w:rFonts w:hint="eastAsia" w:ascii="宋体" w:hAnsi="宋体" w:cs="宋体"/>
          <w:kern w:val="0"/>
          <w:sz w:val="32"/>
          <w:szCs w:val="32"/>
        </w:rPr>
        <w:t>承包人原因造成工期延误的，可以在专用合同条款中约定逾期竣工违约金的计算方法和逾期竣工违约金的上限。承包人支付逾期竣工违约金后，不免除承包人继续完成工程及修补缺陷的义务。</w:t>
      </w:r>
    </w:p>
    <w:p w14:paraId="13687AAB">
      <w:pPr>
        <w:keepNext/>
        <w:keepLines/>
        <w:spacing w:line="440" w:lineRule="exact"/>
        <w:ind w:firstLine="640" w:firstLineChars="200"/>
        <w:outlineLvl w:val="4"/>
        <w:rPr>
          <w:rFonts w:hint="eastAsia" w:ascii="宋体" w:hAnsi="宋体" w:cs="宋体"/>
          <w:bCs/>
          <w:sz w:val="32"/>
          <w:szCs w:val="32"/>
        </w:rPr>
      </w:pPr>
      <w:bookmarkStart w:id="730" w:name="_Toc20972"/>
      <w:bookmarkStart w:id="731" w:name="_Toc17200"/>
      <w:bookmarkStart w:id="732" w:name="_Toc351203548"/>
      <w:r>
        <w:rPr>
          <w:rFonts w:hint="eastAsia" w:ascii="宋体" w:hAnsi="宋体" w:cs="宋体"/>
          <w:bCs/>
          <w:sz w:val="32"/>
          <w:szCs w:val="32"/>
        </w:rPr>
        <w:t>7</w:t>
      </w:r>
      <w:bookmarkStart w:id="733" w:name="_Toc296503074"/>
      <w:bookmarkStart w:id="734" w:name="_Toc296346575"/>
      <w:bookmarkStart w:id="735" w:name="_Toc337558773"/>
      <w:bookmarkStart w:id="736" w:name="_Toc296503077"/>
      <w:bookmarkStart w:id="737" w:name="_Toc296346578"/>
      <w:r>
        <w:rPr>
          <w:rFonts w:hint="eastAsia" w:ascii="宋体" w:hAnsi="宋体" w:cs="宋体"/>
          <w:bCs/>
          <w:sz w:val="32"/>
          <w:szCs w:val="32"/>
        </w:rPr>
        <w:t>.6不利物质条件</w:t>
      </w:r>
      <w:bookmarkEnd w:id="730"/>
      <w:bookmarkEnd w:id="731"/>
      <w:bookmarkEnd w:id="732"/>
    </w:p>
    <w:bookmarkEnd w:id="733"/>
    <w:bookmarkEnd w:id="734"/>
    <w:bookmarkEnd w:id="735"/>
    <w:p w14:paraId="5581F43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01C6C92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14:paraId="521E8BD9">
      <w:pPr>
        <w:keepNext/>
        <w:keepLines/>
        <w:spacing w:line="440" w:lineRule="exact"/>
        <w:ind w:firstLine="640" w:firstLineChars="200"/>
        <w:outlineLvl w:val="4"/>
        <w:rPr>
          <w:rFonts w:hint="eastAsia" w:ascii="宋体" w:hAnsi="宋体" w:cs="宋体"/>
          <w:bCs/>
          <w:sz w:val="32"/>
          <w:szCs w:val="32"/>
        </w:rPr>
      </w:pPr>
      <w:bookmarkStart w:id="738" w:name="_Toc351203549"/>
      <w:bookmarkStart w:id="739" w:name="_Toc30782"/>
      <w:bookmarkStart w:id="740" w:name="_Toc32459"/>
      <w:r>
        <w:rPr>
          <w:rFonts w:hint="eastAsia" w:ascii="宋体" w:hAnsi="宋体" w:cs="宋体"/>
          <w:bCs/>
          <w:sz w:val="32"/>
          <w:szCs w:val="32"/>
        </w:rPr>
        <w:t>7</w:t>
      </w:r>
      <w:bookmarkStart w:id="741" w:name="_Toc296346576"/>
      <w:bookmarkStart w:id="742" w:name="_Toc296503075"/>
      <w:bookmarkStart w:id="743" w:name="_Toc337558774"/>
      <w:r>
        <w:rPr>
          <w:rFonts w:hint="eastAsia" w:ascii="宋体" w:hAnsi="宋体" w:cs="宋体"/>
          <w:bCs/>
          <w:sz w:val="32"/>
          <w:szCs w:val="32"/>
        </w:rPr>
        <w:t>.7异常恶劣的气候条件</w:t>
      </w:r>
      <w:bookmarkEnd w:id="738"/>
      <w:bookmarkEnd w:id="739"/>
      <w:bookmarkEnd w:id="740"/>
    </w:p>
    <w:bookmarkEnd w:id="741"/>
    <w:bookmarkEnd w:id="742"/>
    <w:bookmarkEnd w:id="743"/>
    <w:p w14:paraId="53E2C78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34FB0BC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744" w:name="_Toc351203550"/>
    </w:p>
    <w:p w14:paraId="5567F361">
      <w:pPr>
        <w:autoSpaceDE w:val="0"/>
        <w:autoSpaceDN w:val="0"/>
        <w:adjustRightInd w:val="0"/>
        <w:spacing w:line="440" w:lineRule="exact"/>
        <w:ind w:firstLine="640" w:firstLineChars="200"/>
        <w:jc w:val="left"/>
        <w:outlineLvl w:val="0"/>
        <w:rPr>
          <w:rFonts w:hint="eastAsia" w:ascii="宋体" w:hAnsi="宋体" w:cs="宋体"/>
          <w:bCs/>
          <w:sz w:val="32"/>
          <w:szCs w:val="32"/>
        </w:rPr>
      </w:pPr>
      <w:bookmarkStart w:id="745" w:name="_Toc256000032"/>
      <w:bookmarkStart w:id="746" w:name="_Toc256000229"/>
      <w:bookmarkStart w:id="747" w:name="_Toc256000093"/>
      <w:bookmarkStart w:id="748" w:name="_Toc26648"/>
      <w:bookmarkStart w:id="749" w:name="_Toc256000083"/>
      <w:r>
        <w:rPr>
          <w:rFonts w:hint="eastAsia" w:ascii="宋体" w:hAnsi="宋体" w:cs="宋体"/>
          <w:bCs/>
          <w:sz w:val="32"/>
          <w:szCs w:val="32"/>
        </w:rPr>
        <w:t>7</w:t>
      </w:r>
      <w:bookmarkStart w:id="750" w:name="_Toc337558775"/>
      <w:r>
        <w:rPr>
          <w:rFonts w:hint="eastAsia" w:ascii="宋体" w:hAnsi="宋体" w:cs="宋体"/>
          <w:bCs/>
          <w:sz w:val="32"/>
          <w:szCs w:val="32"/>
        </w:rPr>
        <w:t>.8暂停施工</w:t>
      </w:r>
      <w:bookmarkEnd w:id="744"/>
      <w:bookmarkEnd w:id="745"/>
      <w:bookmarkEnd w:id="746"/>
      <w:bookmarkEnd w:id="747"/>
      <w:bookmarkEnd w:id="748"/>
      <w:bookmarkEnd w:id="749"/>
    </w:p>
    <w:bookmarkEnd w:id="736"/>
    <w:bookmarkEnd w:id="737"/>
    <w:bookmarkEnd w:id="750"/>
    <w:p w14:paraId="4D0B2AE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7.8.1发包人原因引起的暂停施工</w:t>
      </w:r>
    </w:p>
    <w:p w14:paraId="0962296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因发包人原因引起暂停施工的，监理人经发包人同意后，应及时下达暂停施工指示。情况紧急且监理人未及时下达暂停施工指示的，按照第7.8.4项〔紧急情况下的暂停施工〕执行。</w:t>
      </w:r>
    </w:p>
    <w:p w14:paraId="011E399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因发包人原因引起的暂停施工，发包人应承担由此增加的费用和（或）延误的工期，并支付承包人合理的利润。</w:t>
      </w:r>
    </w:p>
    <w:p w14:paraId="35AE81E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7.8.2承包人原因引起的暂停施工</w:t>
      </w:r>
    </w:p>
    <w:p w14:paraId="672C3C1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14:paraId="5FD755E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7.8.3指示暂停施工</w:t>
      </w:r>
    </w:p>
    <w:p w14:paraId="61A0985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监理人认为有必要时，并经发包人批准后，可向承包人作出暂停施工的指示，承包人应按监理人指示暂停施工。</w:t>
      </w:r>
    </w:p>
    <w:p w14:paraId="1498DD4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7.8.4紧急情况下的暂停施工</w:t>
      </w:r>
    </w:p>
    <w:p w14:paraId="3454285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14:paraId="4753665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7.8.5暂停施工后的复工</w:t>
      </w:r>
    </w:p>
    <w:p w14:paraId="2D97620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6FEF957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承包人无故拖延和拒绝复工的，承包人承担由此增加的费用和（或）延误的工期；因发包人原因无法按时复工的，按照第7.5.1项〔因发包人原因导致工期延误〕约定办理。</w:t>
      </w:r>
    </w:p>
    <w:p w14:paraId="7783292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7.8.6暂停施工持续56天以上</w:t>
      </w:r>
    </w:p>
    <w:p w14:paraId="0178377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14:paraId="2BFAB65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14:paraId="3E58ADD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7.8.7暂停施工期间的工程照管</w:t>
      </w:r>
    </w:p>
    <w:p w14:paraId="36A8C1A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暂停施工期间，承包人应负责妥善照管工程并提供安全保障，由此增加的费用由责任方承担。</w:t>
      </w:r>
    </w:p>
    <w:p w14:paraId="0C68184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7.8.8暂停施工的措施</w:t>
      </w:r>
    </w:p>
    <w:p w14:paraId="02BF25E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暂停施工期间，发包人和承包人均应采取必要的措施确保工程质量及安全，防止因暂停施工扩大损失。</w:t>
      </w:r>
    </w:p>
    <w:p w14:paraId="78DF7FBA">
      <w:pPr>
        <w:keepNext/>
        <w:keepLines/>
        <w:spacing w:line="440" w:lineRule="exact"/>
        <w:ind w:firstLine="640" w:firstLineChars="200"/>
        <w:outlineLvl w:val="4"/>
        <w:rPr>
          <w:rFonts w:hint="eastAsia" w:ascii="宋体" w:hAnsi="宋体" w:cs="宋体"/>
          <w:bCs/>
          <w:sz w:val="32"/>
          <w:szCs w:val="32"/>
        </w:rPr>
      </w:pPr>
      <w:bookmarkStart w:id="751" w:name="_Toc351203551"/>
      <w:bookmarkStart w:id="752" w:name="_Toc2290"/>
      <w:bookmarkStart w:id="753" w:name="_Toc18437"/>
      <w:r>
        <w:rPr>
          <w:rFonts w:hint="eastAsia" w:ascii="宋体" w:hAnsi="宋体" w:cs="宋体"/>
          <w:bCs/>
          <w:sz w:val="32"/>
          <w:szCs w:val="32"/>
        </w:rPr>
        <w:t>7.9提前竣工</w:t>
      </w:r>
      <w:bookmarkEnd w:id="751"/>
      <w:bookmarkEnd w:id="752"/>
      <w:bookmarkEnd w:id="753"/>
    </w:p>
    <w:p w14:paraId="36E79DC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7.9.1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14:paraId="3319C98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7.9.2发包人要求承包人提前竣工，或承包人提出提前竣工的建议能够给发包人带来效益的，合同当事人可以在专用合同条款中约定提前竣工的奖励。</w:t>
      </w:r>
    </w:p>
    <w:p w14:paraId="72E2CBF5">
      <w:pPr>
        <w:keepNext/>
        <w:keepLines/>
        <w:spacing w:line="440" w:lineRule="exact"/>
        <w:ind w:firstLine="640" w:firstLineChars="200"/>
        <w:outlineLvl w:val="3"/>
        <w:rPr>
          <w:rFonts w:hint="eastAsia" w:ascii="宋体" w:hAnsi="宋体" w:cs="宋体"/>
          <w:bCs/>
          <w:sz w:val="32"/>
          <w:szCs w:val="32"/>
        </w:rPr>
      </w:pPr>
      <w:bookmarkStart w:id="754" w:name="_Toc17455"/>
      <w:bookmarkStart w:id="755" w:name="_Toc351203552"/>
      <w:bookmarkStart w:id="756" w:name="_Toc1636"/>
      <w:r>
        <w:rPr>
          <w:rFonts w:hint="eastAsia" w:ascii="宋体" w:hAnsi="宋体" w:cs="宋体"/>
          <w:bCs/>
          <w:sz w:val="32"/>
          <w:szCs w:val="32"/>
        </w:rPr>
        <w:t>8</w:t>
      </w:r>
      <w:bookmarkStart w:id="757" w:name="_Toc337558776"/>
      <w:bookmarkStart w:id="758" w:name="_Toc296503058"/>
      <w:bookmarkStart w:id="759" w:name="_Toc296346559"/>
      <w:r>
        <w:rPr>
          <w:rFonts w:hint="eastAsia" w:ascii="宋体" w:hAnsi="宋体" w:cs="宋体"/>
          <w:bCs/>
          <w:sz w:val="32"/>
          <w:szCs w:val="32"/>
        </w:rPr>
        <w:t>.材料与设备</w:t>
      </w:r>
      <w:bookmarkEnd w:id="754"/>
      <w:bookmarkEnd w:id="755"/>
      <w:bookmarkEnd w:id="756"/>
    </w:p>
    <w:bookmarkEnd w:id="757"/>
    <w:bookmarkEnd w:id="758"/>
    <w:bookmarkEnd w:id="759"/>
    <w:p w14:paraId="5AC7CBF2">
      <w:pPr>
        <w:keepNext/>
        <w:keepLines/>
        <w:spacing w:line="440" w:lineRule="exact"/>
        <w:ind w:firstLine="640" w:firstLineChars="200"/>
        <w:outlineLvl w:val="4"/>
        <w:rPr>
          <w:rFonts w:hint="eastAsia" w:ascii="宋体" w:hAnsi="宋体" w:cs="宋体"/>
          <w:bCs/>
          <w:sz w:val="32"/>
          <w:szCs w:val="32"/>
        </w:rPr>
      </w:pPr>
      <w:bookmarkStart w:id="760" w:name="_Toc351203553"/>
      <w:bookmarkStart w:id="761" w:name="_Toc6744"/>
      <w:bookmarkStart w:id="762" w:name="_Toc28048"/>
      <w:r>
        <w:rPr>
          <w:rFonts w:hint="eastAsia" w:ascii="宋体" w:hAnsi="宋体" w:cs="宋体"/>
          <w:bCs/>
          <w:sz w:val="32"/>
          <w:szCs w:val="32"/>
        </w:rPr>
        <w:t>8</w:t>
      </w:r>
      <w:bookmarkStart w:id="763" w:name="_Toc337558777"/>
      <w:bookmarkStart w:id="764" w:name="_Toc296346560"/>
      <w:bookmarkStart w:id="765" w:name="_Toc296503059"/>
      <w:bookmarkStart w:id="766" w:name="_Toc468936960"/>
      <w:r>
        <w:rPr>
          <w:rFonts w:hint="eastAsia" w:ascii="宋体" w:hAnsi="宋体" w:cs="宋体"/>
          <w:bCs/>
          <w:sz w:val="32"/>
          <w:szCs w:val="32"/>
        </w:rPr>
        <w:t>.1发包人供应材料与工程设备</w:t>
      </w:r>
      <w:bookmarkEnd w:id="760"/>
      <w:bookmarkEnd w:id="761"/>
      <w:bookmarkEnd w:id="762"/>
    </w:p>
    <w:bookmarkEnd w:id="763"/>
    <w:bookmarkEnd w:id="764"/>
    <w:bookmarkEnd w:id="765"/>
    <w:p w14:paraId="130F8A5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发包人自行供应材料、工程设备的，应在签订合同时在专用合同条款的附件《发包人供应材料设备一览表》中明确材料、工程设备的品种、规格、型号、数量、单价、质量等级和送达地点。</w:t>
      </w:r>
    </w:p>
    <w:p w14:paraId="6B9A97F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14:paraId="6E8423D8">
      <w:pPr>
        <w:keepNext/>
        <w:keepLines/>
        <w:spacing w:line="440" w:lineRule="exact"/>
        <w:ind w:firstLine="640" w:firstLineChars="200"/>
        <w:outlineLvl w:val="4"/>
        <w:rPr>
          <w:rFonts w:hint="eastAsia" w:ascii="宋体" w:hAnsi="宋体" w:cs="宋体"/>
          <w:b/>
          <w:bCs/>
          <w:sz w:val="32"/>
          <w:szCs w:val="32"/>
        </w:rPr>
      </w:pPr>
      <w:bookmarkStart w:id="767" w:name="_Toc706"/>
      <w:bookmarkStart w:id="768" w:name="_Toc6928"/>
      <w:bookmarkStart w:id="769" w:name="_Toc351203554"/>
      <w:r>
        <w:rPr>
          <w:rFonts w:hint="eastAsia" w:ascii="宋体" w:hAnsi="宋体" w:cs="宋体"/>
          <w:bCs/>
          <w:sz w:val="32"/>
          <w:szCs w:val="32"/>
        </w:rPr>
        <w:t>8</w:t>
      </w:r>
      <w:bookmarkStart w:id="770" w:name="_Toc296503060"/>
      <w:bookmarkStart w:id="771" w:name="_Toc296346561"/>
      <w:bookmarkStart w:id="772" w:name="_Toc337558778"/>
      <w:r>
        <w:rPr>
          <w:rFonts w:hint="eastAsia" w:ascii="宋体" w:hAnsi="宋体" w:cs="宋体"/>
          <w:bCs/>
          <w:sz w:val="32"/>
          <w:szCs w:val="32"/>
        </w:rPr>
        <w:t>.2承包人采购材料与工程设备</w:t>
      </w:r>
      <w:bookmarkEnd w:id="767"/>
      <w:bookmarkEnd w:id="768"/>
      <w:bookmarkEnd w:id="769"/>
    </w:p>
    <w:bookmarkEnd w:id="770"/>
    <w:bookmarkEnd w:id="771"/>
    <w:bookmarkEnd w:id="772"/>
    <w:p w14:paraId="4E66803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3A85BE7A">
      <w:pPr>
        <w:keepNext/>
        <w:keepLines/>
        <w:spacing w:line="440" w:lineRule="exact"/>
        <w:ind w:firstLine="640" w:firstLineChars="200"/>
        <w:outlineLvl w:val="4"/>
        <w:rPr>
          <w:rFonts w:hint="eastAsia" w:ascii="宋体" w:hAnsi="宋体" w:cs="宋体"/>
          <w:bCs/>
          <w:sz w:val="32"/>
          <w:szCs w:val="32"/>
        </w:rPr>
      </w:pPr>
      <w:bookmarkStart w:id="773" w:name="_Toc32479"/>
      <w:bookmarkStart w:id="774" w:name="_Toc3674"/>
      <w:bookmarkStart w:id="775" w:name="_Toc351203555"/>
      <w:r>
        <w:rPr>
          <w:rFonts w:hint="eastAsia" w:ascii="宋体" w:hAnsi="宋体" w:cs="宋体"/>
          <w:bCs/>
          <w:sz w:val="32"/>
          <w:szCs w:val="32"/>
        </w:rPr>
        <w:t>8</w:t>
      </w:r>
      <w:bookmarkStart w:id="776" w:name="_Toc296346562"/>
      <w:bookmarkStart w:id="777" w:name="_Toc337558779"/>
      <w:bookmarkStart w:id="778" w:name="_Toc296503061"/>
      <w:r>
        <w:rPr>
          <w:rFonts w:hint="eastAsia" w:ascii="宋体" w:hAnsi="宋体" w:cs="宋体"/>
          <w:bCs/>
          <w:sz w:val="32"/>
          <w:szCs w:val="32"/>
        </w:rPr>
        <w:t>.3材料与工程设备的接收与拒收</w:t>
      </w:r>
      <w:bookmarkEnd w:id="773"/>
      <w:bookmarkEnd w:id="774"/>
      <w:bookmarkEnd w:id="775"/>
    </w:p>
    <w:bookmarkEnd w:id="776"/>
    <w:bookmarkEnd w:id="777"/>
    <w:bookmarkEnd w:id="778"/>
    <w:p w14:paraId="22726AB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8.3.1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4A733C9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发包人提供的材料和工程设备的规格、数量或质量不符合合同约定的，或因发包人原因导致交货日期延误或交货地点变更等情况的，按照第16.1款〔发包人违约〕约定办理。</w:t>
      </w:r>
    </w:p>
    <w:p w14:paraId="2463A74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8.3.2承包人采购的材料和工程设备，应保证产品质量合格，承包人应在材料和工程设备到货前24小时通知监理人检验。承</w:t>
      </w:r>
      <w:bookmarkStart w:id="779" w:name="_Toc250655469"/>
      <w:r>
        <w:rPr>
          <w:rFonts w:hint="eastAsia" w:ascii="宋体" w:hAnsi="宋体" w:cs="宋体"/>
          <w:kern w:val="0"/>
          <w:sz w:val="32"/>
          <w:szCs w:val="32"/>
        </w:rPr>
        <w:t>包人进行永久设备、材料的制造和生产的，应符合相关质量标准，并向监理人提交材料的样本以及有关资料，并应在使用该材料或工程设备之前获得监理人同意。</w:t>
      </w:r>
    </w:p>
    <w:bookmarkEnd w:id="779"/>
    <w:p w14:paraId="5C05852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0111E4DA">
      <w:pPr>
        <w:keepNext/>
        <w:keepLines/>
        <w:spacing w:line="440" w:lineRule="exact"/>
        <w:ind w:firstLine="640" w:firstLineChars="200"/>
        <w:outlineLvl w:val="4"/>
        <w:rPr>
          <w:rFonts w:hint="eastAsia" w:ascii="宋体" w:hAnsi="宋体" w:cs="宋体"/>
          <w:bCs/>
          <w:sz w:val="32"/>
          <w:szCs w:val="32"/>
        </w:rPr>
      </w:pPr>
      <w:bookmarkStart w:id="780" w:name="_Toc351203556"/>
      <w:bookmarkStart w:id="781" w:name="_Toc3710"/>
      <w:bookmarkStart w:id="782" w:name="_Toc19576"/>
      <w:r>
        <w:rPr>
          <w:rFonts w:hint="eastAsia" w:ascii="宋体" w:hAnsi="宋体" w:cs="宋体"/>
          <w:bCs/>
          <w:sz w:val="32"/>
          <w:szCs w:val="32"/>
        </w:rPr>
        <w:t>8</w:t>
      </w:r>
      <w:bookmarkStart w:id="783" w:name="_Toc296346563"/>
      <w:bookmarkStart w:id="784" w:name="_Toc296503062"/>
      <w:bookmarkStart w:id="785" w:name="_Toc337558780"/>
      <w:r>
        <w:rPr>
          <w:rFonts w:hint="eastAsia" w:ascii="宋体" w:hAnsi="宋体" w:cs="宋体"/>
          <w:bCs/>
          <w:sz w:val="32"/>
          <w:szCs w:val="32"/>
        </w:rPr>
        <w:t>.4材料与工程设备的保管与使用</w:t>
      </w:r>
      <w:bookmarkEnd w:id="780"/>
      <w:bookmarkEnd w:id="781"/>
      <w:bookmarkEnd w:id="782"/>
    </w:p>
    <w:bookmarkEnd w:id="783"/>
    <w:bookmarkEnd w:id="784"/>
    <w:bookmarkEnd w:id="785"/>
    <w:p w14:paraId="7ACB59D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8.4.1发包人供应</w:t>
      </w:r>
      <w:r>
        <w:rPr>
          <w:rFonts w:hint="eastAsia" w:ascii="宋体" w:hAnsi="宋体" w:cs="宋体"/>
          <w:sz w:val="32"/>
          <w:szCs w:val="32"/>
        </w:rPr>
        <w:t>材料与</w:t>
      </w:r>
      <w:r>
        <w:rPr>
          <w:rFonts w:hint="eastAsia" w:ascii="宋体" w:hAnsi="宋体" w:cs="宋体"/>
          <w:kern w:val="0"/>
          <w:sz w:val="32"/>
          <w:szCs w:val="32"/>
        </w:rPr>
        <w:t>工程</w:t>
      </w:r>
      <w:r>
        <w:rPr>
          <w:rFonts w:hint="eastAsia" w:ascii="宋体" w:hAnsi="宋体" w:cs="宋体"/>
          <w:sz w:val="32"/>
          <w:szCs w:val="32"/>
        </w:rPr>
        <w:t>设备的保管与使用</w:t>
      </w:r>
    </w:p>
    <w:p w14:paraId="38EB15E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00ACDE8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发包人供应的材料和工程设备使用前，由承包人负责检验，检验费用由发包人承担，不合格的不得使用。</w:t>
      </w:r>
    </w:p>
    <w:p w14:paraId="4E75574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8.4.2承包人采购</w:t>
      </w:r>
      <w:r>
        <w:rPr>
          <w:rFonts w:hint="eastAsia" w:ascii="宋体" w:hAnsi="宋体" w:cs="宋体"/>
          <w:sz w:val="32"/>
          <w:szCs w:val="32"/>
        </w:rPr>
        <w:t>材料与</w:t>
      </w:r>
      <w:r>
        <w:rPr>
          <w:rFonts w:hint="eastAsia" w:ascii="宋体" w:hAnsi="宋体" w:cs="宋体"/>
          <w:kern w:val="0"/>
          <w:sz w:val="32"/>
          <w:szCs w:val="32"/>
        </w:rPr>
        <w:t>工程</w:t>
      </w:r>
      <w:r>
        <w:rPr>
          <w:rFonts w:hint="eastAsia" w:ascii="宋体" w:hAnsi="宋体" w:cs="宋体"/>
          <w:sz w:val="32"/>
          <w:szCs w:val="32"/>
        </w:rPr>
        <w:t>设备的保管与使用</w:t>
      </w:r>
    </w:p>
    <w:p w14:paraId="42DA6EF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298E95B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发包人或监理人发现承包人使用不符合设计或有关标准要求的材料和工程设备时，有权要求承包人进行修复、拆除或重新采购，由此增加的费用和（或）延误的工期，由承包人承担。</w:t>
      </w:r>
    </w:p>
    <w:p w14:paraId="777FEFA7">
      <w:pPr>
        <w:keepNext/>
        <w:keepLines/>
        <w:spacing w:line="440" w:lineRule="exact"/>
        <w:ind w:firstLine="640" w:firstLineChars="200"/>
        <w:outlineLvl w:val="4"/>
        <w:rPr>
          <w:rFonts w:hint="eastAsia" w:ascii="宋体" w:hAnsi="宋体" w:cs="宋体"/>
          <w:bCs/>
          <w:sz w:val="32"/>
          <w:szCs w:val="32"/>
        </w:rPr>
      </w:pPr>
      <w:bookmarkStart w:id="786" w:name="_Toc10157"/>
      <w:bookmarkStart w:id="787" w:name="_Toc26652"/>
      <w:bookmarkStart w:id="788" w:name="_Toc351203557"/>
      <w:r>
        <w:rPr>
          <w:rFonts w:hint="eastAsia" w:ascii="宋体" w:hAnsi="宋体" w:cs="宋体"/>
          <w:bCs/>
          <w:sz w:val="32"/>
          <w:szCs w:val="32"/>
        </w:rPr>
        <w:t>8.5禁止使用不合格的材料和工程设备</w:t>
      </w:r>
      <w:bookmarkEnd w:id="786"/>
      <w:bookmarkEnd w:id="787"/>
      <w:bookmarkEnd w:id="788"/>
    </w:p>
    <w:p w14:paraId="06D0126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8.5.1监理人有权拒绝承包人提供的不合格材料或工程设备，并要求承包人立即进行更换。监理人应在更换后再次进行检查和检验，由此增加的费用和（或）延误的工期由承包人承担。</w:t>
      </w:r>
    </w:p>
    <w:p w14:paraId="2F0EFBA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8.5.2监理人发现承包人使用了不合格的材料和工程设备，承包人应按照监理人的指示立即改正，并禁止在工程中继续使用不合格的材料和工程设备。</w:t>
      </w:r>
    </w:p>
    <w:p w14:paraId="28B091C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8.5.3发包人提供的材料或工程设备不符合合同要求的，承包人有权拒绝，并可要求发包人更换，由此增加的费用和（或）延误的工期由发包人承担，并支付承包人合理的利润。</w:t>
      </w:r>
    </w:p>
    <w:p w14:paraId="05416BBA">
      <w:pPr>
        <w:keepNext/>
        <w:keepLines/>
        <w:spacing w:line="440" w:lineRule="exact"/>
        <w:ind w:firstLine="640" w:firstLineChars="200"/>
        <w:outlineLvl w:val="4"/>
        <w:rPr>
          <w:rFonts w:hint="eastAsia" w:ascii="宋体" w:hAnsi="宋体" w:cs="宋体"/>
          <w:bCs/>
          <w:sz w:val="32"/>
          <w:szCs w:val="32"/>
        </w:rPr>
      </w:pPr>
      <w:bookmarkStart w:id="789" w:name="_Toc351203558"/>
      <w:bookmarkStart w:id="790" w:name="_Toc26921"/>
      <w:bookmarkStart w:id="791" w:name="_Toc22640"/>
      <w:r>
        <w:rPr>
          <w:rFonts w:hint="eastAsia" w:ascii="宋体" w:hAnsi="宋体" w:cs="宋体"/>
          <w:bCs/>
          <w:sz w:val="32"/>
          <w:szCs w:val="32"/>
        </w:rPr>
        <w:t>8.6样品</w:t>
      </w:r>
      <w:bookmarkEnd w:id="789"/>
      <w:bookmarkEnd w:id="790"/>
      <w:bookmarkEnd w:id="791"/>
    </w:p>
    <w:p w14:paraId="1784EFF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8.6.1</w:t>
      </w:r>
      <w:r>
        <w:rPr>
          <w:rFonts w:hint="eastAsia" w:ascii="宋体" w:hAnsi="宋体" w:cs="宋体"/>
          <w:kern w:val="0"/>
          <w:sz w:val="32"/>
          <w:szCs w:val="32"/>
        </w:rPr>
        <w:tab/>
      </w:r>
      <w:r>
        <w:rPr>
          <w:rFonts w:hint="eastAsia" w:ascii="宋体" w:hAnsi="宋体" w:cs="宋体"/>
          <w:kern w:val="0"/>
          <w:sz w:val="32"/>
          <w:szCs w:val="32"/>
        </w:rPr>
        <w:t>样品的报送与封存</w:t>
      </w:r>
    </w:p>
    <w:p w14:paraId="1874CCA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需要承包人报送样品的材料或工程设备，样品的种类、名称、规格、数量等要求均应在专用合同条款中约定。样品的报送程序如下：</w:t>
      </w:r>
    </w:p>
    <w:p w14:paraId="52F874C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61FE70B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7B653E7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（3）经发包人和监理人审批确认的样品应按约定的方法封样，封存的样品作为检验工程相关部分的标准之一。承包人在施工过程中不得使用与样品不符的材料或工程设备。</w:t>
      </w:r>
    </w:p>
    <w:p w14:paraId="2F90D1C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5F87DC5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8.6.2样品的保管</w:t>
      </w:r>
    </w:p>
    <w:p w14:paraId="2E80F31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经批准的样品应由监理人负责封存于现场，承包人应在现场为保存样品提供适当和固定的场所并保持适当和良好的存储环境条件。</w:t>
      </w:r>
    </w:p>
    <w:p w14:paraId="03B6499D">
      <w:pPr>
        <w:keepNext/>
        <w:keepLines/>
        <w:spacing w:line="440" w:lineRule="exact"/>
        <w:ind w:firstLine="640" w:firstLineChars="200"/>
        <w:outlineLvl w:val="4"/>
        <w:rPr>
          <w:rFonts w:hint="eastAsia" w:ascii="宋体" w:hAnsi="宋体" w:cs="宋体"/>
          <w:bCs/>
          <w:sz w:val="32"/>
          <w:szCs w:val="32"/>
        </w:rPr>
      </w:pPr>
      <w:bookmarkStart w:id="792" w:name="_Toc10308"/>
      <w:bookmarkStart w:id="793" w:name="_Toc351203559"/>
      <w:bookmarkStart w:id="794" w:name="_Toc5091"/>
      <w:r>
        <w:rPr>
          <w:rFonts w:hint="eastAsia" w:ascii="宋体" w:hAnsi="宋体" w:cs="宋体"/>
          <w:bCs/>
          <w:sz w:val="32"/>
          <w:szCs w:val="32"/>
        </w:rPr>
        <w:t>8.7材料与工程设备的替代</w:t>
      </w:r>
      <w:bookmarkEnd w:id="792"/>
      <w:bookmarkEnd w:id="793"/>
      <w:bookmarkEnd w:id="794"/>
    </w:p>
    <w:p w14:paraId="15DFA95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8.7.1出现下列情况需要使用替代材料和工程设备的，承包人应按照第8.7.2项约定的程序执行：</w:t>
      </w:r>
    </w:p>
    <w:p w14:paraId="677F5C1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（1）基准日期后生效的法律规定禁止使用的；</w:t>
      </w:r>
    </w:p>
    <w:p w14:paraId="24B5F3A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（2）发包人要求使用替代品的；</w:t>
      </w:r>
    </w:p>
    <w:p w14:paraId="012725A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（3）因其他原因必须使用替代品的。</w:t>
      </w:r>
    </w:p>
    <w:p w14:paraId="583D9BE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8.7.2承包人应在使用替代材料和工程设备28天前书面通知监理人，并附下列文件：</w:t>
      </w:r>
    </w:p>
    <w:p w14:paraId="4707469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（1）被替代的材料和工程设备的名称、数量、规格、型号、品牌、性能、价格及其他相关资料；</w:t>
      </w:r>
    </w:p>
    <w:p w14:paraId="2D7530A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（2）替代品的名称、数量、规格、型号、品牌、性能、价格及其他相关资料；</w:t>
      </w:r>
    </w:p>
    <w:p w14:paraId="14B3F77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（3）替代品与被替代产品之间的差异以及使用替代品可能对工程产生的影响；</w:t>
      </w:r>
    </w:p>
    <w:p w14:paraId="7E6B5EE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（4）替代品与被替代产品的价格差异；</w:t>
      </w:r>
    </w:p>
    <w:p w14:paraId="1D8D6B1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（5）使用替代品的理由和原因说明；</w:t>
      </w:r>
    </w:p>
    <w:p w14:paraId="24B6548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（6）监理人要求的其他文件。</w:t>
      </w:r>
    </w:p>
    <w:p w14:paraId="3D41310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监理人应在收到通知后14天内向承包人发出经发包人签认的书面指示；监理人逾期发出书面指示的，视为发包人和监理人同意使用替代品。</w:t>
      </w:r>
    </w:p>
    <w:p w14:paraId="34D1EA5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8.7.3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14:paraId="7EC30D26">
      <w:pPr>
        <w:keepNext/>
        <w:keepLines/>
        <w:spacing w:line="440" w:lineRule="exact"/>
        <w:ind w:firstLine="640" w:firstLineChars="200"/>
        <w:outlineLvl w:val="4"/>
        <w:rPr>
          <w:rFonts w:hint="eastAsia" w:ascii="宋体" w:hAnsi="宋体" w:cs="宋体"/>
          <w:bCs/>
          <w:sz w:val="32"/>
          <w:szCs w:val="32"/>
        </w:rPr>
      </w:pPr>
      <w:bookmarkStart w:id="795" w:name="_Toc10651"/>
      <w:bookmarkStart w:id="796" w:name="_Toc351203560"/>
      <w:bookmarkStart w:id="797" w:name="_Toc28739"/>
      <w:r>
        <w:rPr>
          <w:rFonts w:hint="eastAsia" w:ascii="宋体" w:hAnsi="宋体" w:cs="宋体"/>
          <w:bCs/>
          <w:sz w:val="32"/>
          <w:szCs w:val="32"/>
        </w:rPr>
        <w:t>8.8施工设备和临时设施</w:t>
      </w:r>
      <w:bookmarkEnd w:id="795"/>
      <w:bookmarkEnd w:id="796"/>
      <w:bookmarkEnd w:id="797"/>
    </w:p>
    <w:p w14:paraId="44B9F88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8.8.1承包人提供的施工设备和临时设施</w:t>
      </w:r>
    </w:p>
    <w:p w14:paraId="62F2E8F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承包人应按合同进度计划的要求，及时配置施工设备和修建临时设施。进入施工场地的承包人设备需经监理人核查后才能投入使用。承包人更换合同约定的承包人设备的，应报监理人批准。</w:t>
      </w:r>
    </w:p>
    <w:p w14:paraId="3B643F7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除专用合同条款另有约定外，承包人应自行承担修建临时设施的费用，需要临时占地的，应由发包人办理申请手续并承担相应费用。</w:t>
      </w:r>
    </w:p>
    <w:p w14:paraId="34BDBD2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8.8.2发包人提供的施工设备和临时设施</w:t>
      </w:r>
    </w:p>
    <w:p w14:paraId="2603920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发包人提供的施工设备或临时设施在专用合同条款中约定。</w:t>
      </w:r>
    </w:p>
    <w:p w14:paraId="30F027F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8.8.3要求承包人增加或更换施工设备</w:t>
      </w:r>
    </w:p>
    <w:p w14:paraId="18D6180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承包人使用的施工设备不能满足合同进度计划和（或）质量要求时，监理人有权要求承包人增加或更换施工设备，承包人应及时增加或更换，由此增加的费用和（或）延误的工期由承包人承担。</w:t>
      </w:r>
    </w:p>
    <w:p w14:paraId="5328E527">
      <w:pPr>
        <w:keepNext/>
        <w:keepLines/>
        <w:spacing w:line="440" w:lineRule="exact"/>
        <w:ind w:firstLine="640" w:firstLineChars="200"/>
        <w:outlineLvl w:val="4"/>
        <w:rPr>
          <w:rFonts w:hint="eastAsia" w:ascii="宋体" w:hAnsi="宋体" w:cs="宋体"/>
          <w:bCs/>
          <w:sz w:val="32"/>
          <w:szCs w:val="32"/>
        </w:rPr>
      </w:pPr>
      <w:bookmarkStart w:id="798" w:name="_Toc351203561"/>
      <w:bookmarkStart w:id="799" w:name="_Toc6480"/>
      <w:bookmarkStart w:id="800" w:name="_Toc1835"/>
      <w:r>
        <w:rPr>
          <w:rFonts w:hint="eastAsia" w:ascii="宋体" w:hAnsi="宋体" w:cs="宋体"/>
          <w:bCs/>
          <w:sz w:val="32"/>
          <w:szCs w:val="32"/>
        </w:rPr>
        <w:t>8</w:t>
      </w:r>
      <w:bookmarkStart w:id="801" w:name="_Toc296503063"/>
      <w:bookmarkStart w:id="802" w:name="_Toc337558781"/>
      <w:bookmarkStart w:id="803" w:name="_Toc296346564"/>
      <w:r>
        <w:rPr>
          <w:rFonts w:hint="eastAsia" w:ascii="宋体" w:hAnsi="宋体" w:cs="宋体"/>
          <w:bCs/>
          <w:sz w:val="32"/>
          <w:szCs w:val="32"/>
        </w:rPr>
        <w:t>.9材料与设备专用</w:t>
      </w:r>
      <w:bookmarkEnd w:id="798"/>
      <w:r>
        <w:rPr>
          <w:rFonts w:hint="eastAsia" w:ascii="宋体" w:hAnsi="宋体" w:cs="宋体"/>
          <w:bCs/>
          <w:sz w:val="32"/>
          <w:szCs w:val="32"/>
        </w:rPr>
        <w:t>要求</w:t>
      </w:r>
      <w:bookmarkEnd w:id="799"/>
      <w:bookmarkEnd w:id="800"/>
    </w:p>
    <w:bookmarkEnd w:id="801"/>
    <w:bookmarkEnd w:id="802"/>
    <w:bookmarkEnd w:id="803"/>
    <w:p w14:paraId="2CCD23E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承包人运入施工现场的材料、工程设备、施工设备以及在施工场地建设的临时设施，包括备品备件、安装工具与资料，必须专用于工程。未经发包人批准，承包人不得运出施工现场或挪作他用；</w:t>
      </w:r>
      <w:bookmarkEnd w:id="766"/>
      <w:r>
        <w:rPr>
          <w:rFonts w:hint="eastAsia" w:ascii="宋体" w:hAnsi="宋体" w:cs="宋体"/>
          <w:kern w:val="0"/>
          <w:sz w:val="32"/>
          <w:szCs w:val="32"/>
        </w:rPr>
        <w:t>经发包人批准，承包人可以根据施工进度计划撤走闲置的施工设备和其他物品。</w:t>
      </w:r>
    </w:p>
    <w:p w14:paraId="4276579A">
      <w:pPr>
        <w:keepNext/>
        <w:keepLines/>
        <w:spacing w:line="440" w:lineRule="exact"/>
        <w:ind w:firstLine="640" w:firstLineChars="200"/>
        <w:outlineLvl w:val="3"/>
        <w:rPr>
          <w:rFonts w:hint="eastAsia" w:ascii="宋体" w:hAnsi="宋体" w:cs="宋体"/>
          <w:bCs/>
          <w:sz w:val="32"/>
          <w:szCs w:val="32"/>
        </w:rPr>
      </w:pPr>
      <w:bookmarkStart w:id="804" w:name="_Toc351203562"/>
      <w:bookmarkStart w:id="805" w:name="_Toc30158"/>
      <w:bookmarkStart w:id="806" w:name="_Toc8186"/>
      <w:r>
        <w:rPr>
          <w:rFonts w:hint="eastAsia" w:ascii="宋体" w:hAnsi="宋体" w:cs="宋体"/>
          <w:bCs/>
          <w:sz w:val="32"/>
          <w:szCs w:val="32"/>
        </w:rPr>
        <w:t>9</w:t>
      </w:r>
      <w:bookmarkStart w:id="807" w:name="_Toc337558782"/>
      <w:bookmarkStart w:id="808" w:name="_Toc296503083"/>
      <w:bookmarkStart w:id="809" w:name="_Toc296346584"/>
      <w:r>
        <w:rPr>
          <w:rFonts w:hint="eastAsia" w:ascii="宋体" w:hAnsi="宋体" w:cs="宋体"/>
          <w:bCs/>
          <w:sz w:val="32"/>
          <w:szCs w:val="32"/>
        </w:rPr>
        <w:t>.试验与检验</w:t>
      </w:r>
      <w:bookmarkEnd w:id="804"/>
      <w:bookmarkEnd w:id="805"/>
      <w:bookmarkEnd w:id="806"/>
    </w:p>
    <w:bookmarkEnd w:id="807"/>
    <w:p w14:paraId="6B85F68E">
      <w:pPr>
        <w:keepNext/>
        <w:keepLines/>
        <w:spacing w:line="440" w:lineRule="exact"/>
        <w:ind w:firstLine="640" w:firstLineChars="200"/>
        <w:outlineLvl w:val="4"/>
        <w:rPr>
          <w:rFonts w:hint="eastAsia" w:ascii="宋体" w:hAnsi="宋体" w:cs="宋体"/>
          <w:bCs/>
          <w:sz w:val="32"/>
          <w:szCs w:val="32"/>
        </w:rPr>
      </w:pPr>
      <w:bookmarkStart w:id="810" w:name="_Toc14285"/>
      <w:bookmarkStart w:id="811" w:name="_Toc351203563"/>
      <w:bookmarkStart w:id="812" w:name="_Toc10629"/>
      <w:r>
        <w:rPr>
          <w:rFonts w:hint="eastAsia" w:ascii="宋体" w:hAnsi="宋体" w:cs="宋体"/>
          <w:bCs/>
          <w:sz w:val="32"/>
          <w:szCs w:val="32"/>
        </w:rPr>
        <w:t>9</w:t>
      </w:r>
      <w:bookmarkStart w:id="813" w:name="_Toc337558783"/>
      <w:r>
        <w:rPr>
          <w:rFonts w:hint="eastAsia" w:ascii="宋体" w:hAnsi="宋体" w:cs="宋体"/>
          <w:bCs/>
          <w:sz w:val="32"/>
          <w:szCs w:val="32"/>
        </w:rPr>
        <w:t>.1试验设备与试验人员</w:t>
      </w:r>
      <w:bookmarkEnd w:id="810"/>
      <w:bookmarkEnd w:id="811"/>
      <w:bookmarkEnd w:id="812"/>
    </w:p>
    <w:bookmarkEnd w:id="813"/>
    <w:p w14:paraId="138D867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9.1.1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1B11326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9.1.2承包人应按专用合同条款的约定提供试验设备、取样装置、试验场所和试验条件，并向监理人提交相应进场计划表。</w:t>
      </w:r>
    </w:p>
    <w:p w14:paraId="54F9653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承包人配置的试验设备要符合相应试验规程的要求并经过具有资质的检测单位检测，且在正式使用该试验设备前，需要经过监理人与承包人共同校定。</w:t>
      </w:r>
    </w:p>
    <w:p w14:paraId="3351594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9.1.3承包人应向监理人提交试验人员的名单及其岗位、资格等证明资料，试验人员必须能够熟练进行相应的检测试验，承包人对试验人员的试验程序和试验结果的正确性负责。</w:t>
      </w:r>
    </w:p>
    <w:p w14:paraId="44881743">
      <w:pPr>
        <w:keepNext/>
        <w:keepLines/>
        <w:spacing w:line="440" w:lineRule="exact"/>
        <w:ind w:firstLine="640" w:firstLineChars="200"/>
        <w:outlineLvl w:val="4"/>
        <w:rPr>
          <w:rFonts w:hint="eastAsia" w:ascii="宋体" w:hAnsi="宋体" w:cs="宋体"/>
          <w:bCs/>
          <w:sz w:val="32"/>
          <w:szCs w:val="32"/>
        </w:rPr>
      </w:pPr>
      <w:bookmarkStart w:id="814" w:name="_Toc9546"/>
      <w:bookmarkStart w:id="815" w:name="_Toc351203564"/>
      <w:bookmarkStart w:id="816" w:name="_Toc624"/>
      <w:r>
        <w:rPr>
          <w:rFonts w:hint="eastAsia" w:ascii="宋体" w:hAnsi="宋体" w:cs="宋体"/>
          <w:bCs/>
          <w:sz w:val="32"/>
          <w:szCs w:val="32"/>
        </w:rPr>
        <w:t>9</w:t>
      </w:r>
      <w:bookmarkStart w:id="817" w:name="_Toc337558784"/>
      <w:r>
        <w:rPr>
          <w:rFonts w:hint="eastAsia" w:ascii="宋体" w:hAnsi="宋体" w:cs="宋体"/>
          <w:bCs/>
          <w:sz w:val="32"/>
          <w:szCs w:val="32"/>
        </w:rPr>
        <w:t>.2取样</w:t>
      </w:r>
      <w:bookmarkEnd w:id="814"/>
      <w:bookmarkEnd w:id="815"/>
      <w:bookmarkEnd w:id="816"/>
    </w:p>
    <w:bookmarkEnd w:id="817"/>
    <w:p w14:paraId="5C6DEA3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试验属于自检性质的，承包人可以单独取样。试验属于监理人抽检性质的，可由监理人取样，也可由承包人的试验人员在监理人的监督下取样。</w:t>
      </w:r>
    </w:p>
    <w:p w14:paraId="01EFB899">
      <w:pPr>
        <w:keepNext/>
        <w:keepLines/>
        <w:spacing w:line="440" w:lineRule="exact"/>
        <w:ind w:firstLine="640" w:firstLineChars="200"/>
        <w:outlineLvl w:val="4"/>
        <w:rPr>
          <w:rFonts w:hint="eastAsia" w:ascii="宋体" w:hAnsi="宋体" w:cs="宋体"/>
          <w:bCs/>
          <w:sz w:val="32"/>
          <w:szCs w:val="32"/>
        </w:rPr>
      </w:pPr>
      <w:bookmarkStart w:id="818" w:name="_Toc685"/>
      <w:bookmarkStart w:id="819" w:name="_Toc21666"/>
      <w:bookmarkStart w:id="820" w:name="_Toc351203565"/>
      <w:r>
        <w:rPr>
          <w:rFonts w:hint="eastAsia" w:ascii="宋体" w:hAnsi="宋体" w:cs="宋体"/>
          <w:bCs/>
          <w:sz w:val="32"/>
          <w:szCs w:val="32"/>
        </w:rPr>
        <w:t>9</w:t>
      </w:r>
      <w:bookmarkStart w:id="821" w:name="_Toc337558785"/>
      <w:r>
        <w:rPr>
          <w:rFonts w:hint="eastAsia" w:ascii="宋体" w:hAnsi="宋体" w:cs="宋体"/>
          <w:bCs/>
          <w:sz w:val="32"/>
          <w:szCs w:val="32"/>
        </w:rPr>
        <w:t>.3材料、工程设备和工程的试验和检验</w:t>
      </w:r>
      <w:bookmarkEnd w:id="818"/>
      <w:bookmarkEnd w:id="819"/>
      <w:bookmarkEnd w:id="820"/>
    </w:p>
    <w:bookmarkEnd w:id="821"/>
    <w:p w14:paraId="502F37C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6354168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794DF47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321B6F16">
      <w:pPr>
        <w:keepNext/>
        <w:keepLines/>
        <w:spacing w:line="440" w:lineRule="exact"/>
        <w:ind w:firstLine="640" w:firstLineChars="200"/>
        <w:outlineLvl w:val="4"/>
        <w:rPr>
          <w:rFonts w:hint="eastAsia" w:ascii="宋体" w:hAnsi="宋体" w:cs="宋体"/>
          <w:bCs/>
          <w:sz w:val="32"/>
          <w:szCs w:val="32"/>
        </w:rPr>
      </w:pPr>
      <w:bookmarkStart w:id="822" w:name="_Toc23328"/>
      <w:bookmarkStart w:id="823" w:name="_Toc27495"/>
      <w:bookmarkStart w:id="824" w:name="_Toc351203566"/>
      <w:r>
        <w:rPr>
          <w:rFonts w:hint="eastAsia" w:ascii="宋体" w:hAnsi="宋体" w:cs="宋体"/>
          <w:bCs/>
          <w:sz w:val="32"/>
          <w:szCs w:val="32"/>
        </w:rPr>
        <w:t>9</w:t>
      </w:r>
      <w:bookmarkStart w:id="825" w:name="_Toc337558786"/>
      <w:r>
        <w:rPr>
          <w:rFonts w:hint="eastAsia" w:ascii="宋体" w:hAnsi="宋体" w:cs="宋体"/>
          <w:bCs/>
          <w:sz w:val="32"/>
          <w:szCs w:val="32"/>
        </w:rPr>
        <w:t>.4现场工艺试验</w:t>
      </w:r>
      <w:bookmarkEnd w:id="822"/>
      <w:bookmarkEnd w:id="823"/>
      <w:bookmarkEnd w:id="824"/>
    </w:p>
    <w:bookmarkEnd w:id="825"/>
    <w:p w14:paraId="00F8497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承包人应按合同约定或监理人指示进行现场工艺试验。对大型的现场工艺试验，监理人认为必要时，承包人应根据监理人提出的工艺试验要求，编制工艺试验措施计划，报送监理人审查。</w:t>
      </w:r>
    </w:p>
    <w:p w14:paraId="5DFD59ED">
      <w:pPr>
        <w:keepNext/>
        <w:keepLines/>
        <w:spacing w:line="440" w:lineRule="exact"/>
        <w:ind w:firstLine="640" w:firstLineChars="200"/>
        <w:outlineLvl w:val="3"/>
        <w:rPr>
          <w:rFonts w:hint="eastAsia" w:ascii="宋体" w:hAnsi="宋体" w:cs="宋体"/>
          <w:bCs/>
          <w:sz w:val="32"/>
          <w:szCs w:val="32"/>
        </w:rPr>
      </w:pPr>
      <w:bookmarkStart w:id="826" w:name="_Toc5528"/>
      <w:bookmarkStart w:id="827" w:name="_Toc351203567"/>
      <w:bookmarkStart w:id="828" w:name="_Toc22087"/>
      <w:r>
        <w:rPr>
          <w:rFonts w:hint="eastAsia" w:ascii="宋体" w:hAnsi="宋体" w:cs="宋体"/>
          <w:bCs/>
          <w:sz w:val="32"/>
          <w:szCs w:val="32"/>
        </w:rPr>
        <w:t>1</w:t>
      </w:r>
      <w:bookmarkStart w:id="829" w:name="_Toc337558787"/>
      <w:r>
        <w:rPr>
          <w:rFonts w:hint="eastAsia" w:ascii="宋体" w:hAnsi="宋体" w:cs="宋体"/>
          <w:bCs/>
          <w:sz w:val="32"/>
          <w:szCs w:val="32"/>
        </w:rPr>
        <w:t>0.变更</w:t>
      </w:r>
      <w:bookmarkEnd w:id="808"/>
      <w:bookmarkEnd w:id="809"/>
      <w:bookmarkEnd w:id="826"/>
      <w:bookmarkEnd w:id="827"/>
      <w:bookmarkEnd w:id="828"/>
    </w:p>
    <w:bookmarkEnd w:id="829"/>
    <w:p w14:paraId="309287E9">
      <w:pPr>
        <w:keepNext/>
        <w:keepLines/>
        <w:spacing w:line="440" w:lineRule="exact"/>
        <w:ind w:firstLine="640" w:firstLineChars="200"/>
        <w:outlineLvl w:val="4"/>
        <w:rPr>
          <w:rFonts w:hint="eastAsia" w:ascii="宋体" w:hAnsi="宋体" w:cs="宋体"/>
          <w:bCs/>
          <w:sz w:val="32"/>
          <w:szCs w:val="32"/>
        </w:rPr>
      </w:pPr>
      <w:bookmarkStart w:id="830" w:name="_Toc351203568"/>
      <w:bookmarkStart w:id="831" w:name="_Toc5216"/>
      <w:bookmarkStart w:id="832" w:name="_Toc18391"/>
      <w:r>
        <w:rPr>
          <w:rFonts w:hint="eastAsia" w:ascii="宋体" w:hAnsi="宋体" w:cs="宋体"/>
          <w:bCs/>
          <w:sz w:val="32"/>
          <w:szCs w:val="32"/>
        </w:rPr>
        <w:t>1</w:t>
      </w:r>
      <w:bookmarkStart w:id="833" w:name="_Toc296503084"/>
      <w:bookmarkStart w:id="834" w:name="_Toc337558788"/>
      <w:bookmarkStart w:id="835" w:name="_Toc296346585"/>
      <w:r>
        <w:rPr>
          <w:rFonts w:hint="eastAsia" w:ascii="宋体" w:hAnsi="宋体" w:cs="宋体"/>
          <w:bCs/>
          <w:sz w:val="32"/>
          <w:szCs w:val="32"/>
        </w:rPr>
        <w:t>0.1变更的范围</w:t>
      </w:r>
      <w:bookmarkEnd w:id="830"/>
      <w:bookmarkEnd w:id="831"/>
      <w:bookmarkEnd w:id="832"/>
    </w:p>
    <w:bookmarkEnd w:id="833"/>
    <w:bookmarkEnd w:id="834"/>
    <w:bookmarkEnd w:id="835"/>
    <w:p w14:paraId="4CDB88E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除专用合同条款另有约定外，合同履行过程中发生以下情形的，应按照本条约定进行变更：</w:t>
      </w:r>
    </w:p>
    <w:p w14:paraId="1B94952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（1）增加或减少合同中任何工作，或追加额外的工作；</w:t>
      </w:r>
    </w:p>
    <w:p w14:paraId="04BBECC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（2）取消合同中任何工作，但转由他人实施的工作除外；</w:t>
      </w:r>
    </w:p>
    <w:p w14:paraId="2A65309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（3）改变合同中任何工作的质量标准或其他特性；</w:t>
      </w:r>
    </w:p>
    <w:p w14:paraId="2DB4B20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（4）改变工程的基线、标高、位置和尺寸；</w:t>
      </w:r>
    </w:p>
    <w:p w14:paraId="052F9D4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（5）改变工程的时间安排或实施顺序。</w:t>
      </w:r>
    </w:p>
    <w:p w14:paraId="182B3145">
      <w:pPr>
        <w:keepNext/>
        <w:keepLines/>
        <w:spacing w:line="440" w:lineRule="exact"/>
        <w:ind w:firstLine="640" w:firstLineChars="200"/>
        <w:outlineLvl w:val="4"/>
        <w:rPr>
          <w:rFonts w:hint="eastAsia" w:ascii="宋体" w:hAnsi="宋体" w:cs="宋体"/>
          <w:bCs/>
          <w:sz w:val="32"/>
          <w:szCs w:val="32"/>
        </w:rPr>
      </w:pPr>
      <w:bookmarkStart w:id="836" w:name="_Toc17615"/>
      <w:bookmarkStart w:id="837" w:name="_Toc351203569"/>
      <w:bookmarkStart w:id="838" w:name="_Toc30997"/>
      <w:r>
        <w:rPr>
          <w:rFonts w:hint="eastAsia" w:ascii="宋体" w:hAnsi="宋体" w:cs="宋体"/>
          <w:bCs/>
          <w:sz w:val="32"/>
          <w:szCs w:val="32"/>
        </w:rPr>
        <w:t>1</w:t>
      </w:r>
      <w:bookmarkStart w:id="839" w:name="_Toc296346586"/>
      <w:bookmarkStart w:id="840" w:name="_Toc337558789"/>
      <w:bookmarkStart w:id="841" w:name="_Toc296503085"/>
      <w:r>
        <w:rPr>
          <w:rFonts w:hint="eastAsia" w:ascii="宋体" w:hAnsi="宋体" w:cs="宋体"/>
          <w:bCs/>
          <w:sz w:val="32"/>
          <w:szCs w:val="32"/>
        </w:rPr>
        <w:t>0.2变更权</w:t>
      </w:r>
      <w:bookmarkEnd w:id="836"/>
      <w:bookmarkEnd w:id="837"/>
      <w:bookmarkEnd w:id="838"/>
    </w:p>
    <w:bookmarkEnd w:id="839"/>
    <w:bookmarkEnd w:id="840"/>
    <w:bookmarkEnd w:id="841"/>
    <w:p w14:paraId="21FAF9F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765DA03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涉及设计变更的，应由设计人提供变更后的图纸和说明。如变更超过原设计标准或批准的建设规模时，发包人应及时办理规划、设计变更等审批手续。</w:t>
      </w:r>
    </w:p>
    <w:p w14:paraId="3B54C706">
      <w:pPr>
        <w:keepNext/>
        <w:keepLines/>
        <w:spacing w:line="440" w:lineRule="exact"/>
        <w:ind w:firstLine="640" w:firstLineChars="200"/>
        <w:outlineLvl w:val="4"/>
        <w:rPr>
          <w:rFonts w:hint="eastAsia" w:ascii="宋体" w:hAnsi="宋体" w:cs="宋体"/>
          <w:bCs/>
          <w:sz w:val="32"/>
          <w:szCs w:val="32"/>
        </w:rPr>
      </w:pPr>
      <w:bookmarkStart w:id="842" w:name="_Toc24633"/>
      <w:bookmarkStart w:id="843" w:name="_Toc351203570"/>
      <w:bookmarkStart w:id="844" w:name="_Toc9444"/>
      <w:r>
        <w:rPr>
          <w:rFonts w:hint="eastAsia" w:ascii="宋体" w:hAnsi="宋体" w:cs="宋体"/>
          <w:bCs/>
          <w:sz w:val="32"/>
          <w:szCs w:val="32"/>
        </w:rPr>
        <w:t>1</w:t>
      </w:r>
      <w:bookmarkStart w:id="845" w:name="_Toc296503086"/>
      <w:bookmarkStart w:id="846" w:name="_Toc296346587"/>
      <w:bookmarkStart w:id="847" w:name="_Toc337558790"/>
      <w:r>
        <w:rPr>
          <w:rFonts w:hint="eastAsia" w:ascii="宋体" w:hAnsi="宋体" w:cs="宋体"/>
          <w:bCs/>
          <w:sz w:val="32"/>
          <w:szCs w:val="32"/>
        </w:rPr>
        <w:t>0.3变更程序</w:t>
      </w:r>
      <w:bookmarkEnd w:id="842"/>
      <w:bookmarkEnd w:id="843"/>
      <w:bookmarkEnd w:id="844"/>
    </w:p>
    <w:bookmarkEnd w:id="845"/>
    <w:bookmarkEnd w:id="846"/>
    <w:bookmarkEnd w:id="847"/>
    <w:p w14:paraId="2383440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10</w:t>
      </w:r>
      <w:r>
        <w:rPr>
          <w:rFonts w:hint="eastAsia" w:ascii="宋体" w:hAnsi="宋体" w:cs="宋体"/>
          <w:kern w:val="0"/>
          <w:sz w:val="32"/>
          <w:szCs w:val="32"/>
        </w:rPr>
        <w:t>.3.1发包人提出变更</w:t>
      </w:r>
    </w:p>
    <w:p w14:paraId="5511D5B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发包人提出变更的，应通过监理人向承包人发出变更指示，变更指示应说明计划变更的工程范围和变更的内容。</w:t>
      </w:r>
    </w:p>
    <w:p w14:paraId="7F35292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10</w:t>
      </w:r>
      <w:r>
        <w:rPr>
          <w:rFonts w:hint="eastAsia" w:ascii="宋体" w:hAnsi="宋体" w:cs="宋体"/>
          <w:kern w:val="0"/>
          <w:sz w:val="32"/>
          <w:szCs w:val="32"/>
        </w:rPr>
        <w:t>.3.2监理人提出变更建议</w:t>
      </w:r>
    </w:p>
    <w:p w14:paraId="2D5F989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52824030">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10.3.3变更执行</w:t>
      </w:r>
    </w:p>
    <w:p w14:paraId="2D113D6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14:paraId="176A539A">
      <w:pPr>
        <w:keepNext/>
        <w:keepLines/>
        <w:spacing w:line="440" w:lineRule="exact"/>
        <w:ind w:firstLine="640" w:firstLineChars="200"/>
        <w:outlineLvl w:val="4"/>
        <w:rPr>
          <w:rFonts w:hint="eastAsia" w:ascii="宋体" w:hAnsi="宋体" w:cs="宋体"/>
          <w:bCs/>
          <w:sz w:val="32"/>
          <w:szCs w:val="32"/>
        </w:rPr>
      </w:pPr>
      <w:bookmarkStart w:id="848" w:name="_Toc12000"/>
      <w:bookmarkStart w:id="849" w:name="_Toc11958"/>
      <w:bookmarkStart w:id="850" w:name="_Toc351203571"/>
      <w:r>
        <w:rPr>
          <w:rFonts w:hint="eastAsia" w:ascii="宋体" w:hAnsi="宋体" w:cs="宋体"/>
          <w:bCs/>
          <w:sz w:val="32"/>
          <w:szCs w:val="32"/>
        </w:rPr>
        <w:t>1</w:t>
      </w:r>
      <w:bookmarkStart w:id="851" w:name="_Toc296503087"/>
      <w:bookmarkStart w:id="852" w:name="_Toc296346588"/>
      <w:bookmarkStart w:id="853" w:name="_Toc337558791"/>
      <w:r>
        <w:rPr>
          <w:rFonts w:hint="eastAsia" w:ascii="宋体" w:hAnsi="宋体" w:cs="宋体"/>
          <w:bCs/>
          <w:sz w:val="32"/>
          <w:szCs w:val="32"/>
        </w:rPr>
        <w:t>0.4变更估价</w:t>
      </w:r>
      <w:bookmarkEnd w:id="848"/>
      <w:bookmarkEnd w:id="849"/>
      <w:bookmarkEnd w:id="850"/>
    </w:p>
    <w:bookmarkEnd w:id="851"/>
    <w:bookmarkEnd w:id="852"/>
    <w:bookmarkEnd w:id="853"/>
    <w:p w14:paraId="7D5ED6A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10.4.1变更估价原则</w:t>
      </w:r>
    </w:p>
    <w:p w14:paraId="028A258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除专用合同条款另有约定外，变更估价按照本款约定处理：</w:t>
      </w:r>
    </w:p>
    <w:p w14:paraId="5019DD3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（1）已标价工程量清单或预算书有相同项目的，按照相同项目单价认定；</w:t>
      </w:r>
    </w:p>
    <w:p w14:paraId="561A016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（2）已标价工程量清单或预算书中无相同项目，但有类似项目的，参照类似项目的单价认定；</w:t>
      </w:r>
    </w:p>
    <w:p w14:paraId="61F3CCD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14:paraId="59CB1F3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10.4.2变更估价程序</w:t>
      </w:r>
    </w:p>
    <w:p w14:paraId="1041781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1872094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因变更引起的价格调整应计入最近一期的进度款中支付。</w:t>
      </w:r>
    </w:p>
    <w:p w14:paraId="0DB16A1C">
      <w:pPr>
        <w:keepNext/>
        <w:keepLines/>
        <w:spacing w:line="440" w:lineRule="exact"/>
        <w:ind w:firstLine="640" w:firstLineChars="200"/>
        <w:outlineLvl w:val="4"/>
        <w:rPr>
          <w:rFonts w:hint="eastAsia" w:ascii="宋体" w:hAnsi="宋体" w:cs="宋体"/>
          <w:bCs/>
          <w:sz w:val="32"/>
          <w:szCs w:val="32"/>
        </w:rPr>
      </w:pPr>
      <w:bookmarkStart w:id="854" w:name="_Toc6659"/>
      <w:bookmarkStart w:id="855" w:name="_Toc22307"/>
      <w:bookmarkStart w:id="856" w:name="_Toc351203572"/>
      <w:r>
        <w:rPr>
          <w:rFonts w:hint="eastAsia" w:ascii="宋体" w:hAnsi="宋体" w:cs="宋体"/>
          <w:bCs/>
          <w:sz w:val="32"/>
          <w:szCs w:val="32"/>
        </w:rPr>
        <w:t>1</w:t>
      </w:r>
      <w:bookmarkStart w:id="857" w:name="_Toc296503094"/>
      <w:bookmarkStart w:id="858" w:name="_Toc296346595"/>
      <w:bookmarkStart w:id="859" w:name="_Toc337558792"/>
      <w:r>
        <w:rPr>
          <w:rFonts w:hint="eastAsia" w:ascii="宋体" w:hAnsi="宋体" w:cs="宋体"/>
          <w:bCs/>
          <w:sz w:val="32"/>
          <w:szCs w:val="32"/>
        </w:rPr>
        <w:t>0.5承包人的合理化建议</w:t>
      </w:r>
      <w:bookmarkEnd w:id="854"/>
      <w:bookmarkEnd w:id="855"/>
      <w:bookmarkEnd w:id="856"/>
    </w:p>
    <w:bookmarkEnd w:id="857"/>
    <w:bookmarkEnd w:id="858"/>
    <w:bookmarkEnd w:id="859"/>
    <w:p w14:paraId="5855CDA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承包人提出合理化建议的，应向监理人提交合理化建议说明，说明建议的内容和理由，以及实施该建议对合同价格和工期的影响。</w:t>
      </w:r>
    </w:p>
    <w:p w14:paraId="3AAA54E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14:paraId="629AF47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合理化建议降低了合同价格或者提高了工程经济效益的，发包人可对承包人给予奖励，奖励的方法和金额在专用合同条款中约定。</w:t>
      </w:r>
    </w:p>
    <w:p w14:paraId="2C9E4614">
      <w:pPr>
        <w:keepNext/>
        <w:keepLines/>
        <w:spacing w:line="440" w:lineRule="exact"/>
        <w:ind w:firstLine="640" w:firstLineChars="200"/>
        <w:outlineLvl w:val="4"/>
        <w:rPr>
          <w:rFonts w:hint="eastAsia" w:ascii="宋体" w:hAnsi="宋体" w:cs="宋体"/>
          <w:b/>
          <w:bCs/>
          <w:sz w:val="32"/>
          <w:szCs w:val="32"/>
        </w:rPr>
      </w:pPr>
      <w:bookmarkStart w:id="860" w:name="_Toc26881"/>
      <w:bookmarkStart w:id="861" w:name="_Toc351203573"/>
      <w:bookmarkStart w:id="862" w:name="_Toc105"/>
      <w:r>
        <w:rPr>
          <w:rFonts w:hint="eastAsia" w:ascii="宋体" w:hAnsi="宋体" w:cs="宋体"/>
          <w:bCs/>
          <w:sz w:val="32"/>
          <w:szCs w:val="32"/>
        </w:rPr>
        <w:t>1</w:t>
      </w:r>
      <w:bookmarkStart w:id="863" w:name="_Toc337558793"/>
      <w:r>
        <w:rPr>
          <w:rFonts w:hint="eastAsia" w:ascii="宋体" w:hAnsi="宋体" w:cs="宋体"/>
          <w:bCs/>
          <w:sz w:val="32"/>
          <w:szCs w:val="32"/>
        </w:rPr>
        <w:t>0.6变更引起的工期调整</w:t>
      </w:r>
      <w:bookmarkEnd w:id="860"/>
      <w:bookmarkEnd w:id="861"/>
      <w:bookmarkEnd w:id="862"/>
      <w:bookmarkEnd w:id="863"/>
    </w:p>
    <w:p w14:paraId="54562BE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因变更引起工期变化的，合同当事人均可要求调整合同工期，由合同当事人按照第4.4款〔商定或确定〕并参考工程所在地的工期定额标准确定增减工期天数。</w:t>
      </w:r>
    </w:p>
    <w:p w14:paraId="36AEB1C0">
      <w:pPr>
        <w:keepNext/>
        <w:keepLines/>
        <w:spacing w:line="440" w:lineRule="exact"/>
        <w:ind w:firstLine="640" w:firstLineChars="200"/>
        <w:outlineLvl w:val="4"/>
        <w:rPr>
          <w:rFonts w:hint="eastAsia" w:ascii="宋体" w:hAnsi="宋体" w:cs="宋体"/>
          <w:bCs/>
          <w:sz w:val="32"/>
          <w:szCs w:val="32"/>
        </w:rPr>
      </w:pPr>
      <w:bookmarkStart w:id="864" w:name="_Toc18885"/>
      <w:bookmarkStart w:id="865" w:name="_Toc89"/>
      <w:bookmarkStart w:id="866" w:name="_Toc351203574"/>
      <w:r>
        <w:rPr>
          <w:rFonts w:hint="eastAsia" w:ascii="宋体" w:hAnsi="宋体" w:cs="宋体"/>
          <w:bCs/>
          <w:sz w:val="32"/>
          <w:szCs w:val="32"/>
        </w:rPr>
        <w:t>10.7暂估价</w:t>
      </w:r>
      <w:bookmarkEnd w:id="864"/>
      <w:bookmarkEnd w:id="865"/>
      <w:bookmarkEnd w:id="866"/>
    </w:p>
    <w:p w14:paraId="6D484D6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暂估价专业分包工程、服务、材料和工程设备的明细由合同当事人在专用合同条款中约定。</w:t>
      </w:r>
    </w:p>
    <w:p w14:paraId="202C9314">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10.7.1</w:t>
      </w:r>
      <w:r>
        <w:rPr>
          <w:rFonts w:hint="eastAsia" w:ascii="宋体" w:hAnsi="宋体" w:cs="宋体"/>
          <w:kern w:val="0"/>
          <w:sz w:val="32"/>
          <w:szCs w:val="32"/>
        </w:rPr>
        <w:t>依法必须招标的暂估价项目</w:t>
      </w:r>
    </w:p>
    <w:p w14:paraId="71A0949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对于依法必须招标的暂估价项目，采取以下第1种方式确定。合同当事人也可以在专用合同条款中选择其他招标方式。</w:t>
      </w:r>
    </w:p>
    <w:p w14:paraId="1E83D26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第1种方式：对于依法必须招标的暂估价项目，由承包人招标，对该暂估价项目的确认和批准按照以下约定执行：</w:t>
      </w:r>
    </w:p>
    <w:p w14:paraId="212A61E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3D93706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应当根据施工进度计划，提前14天将招标文件通过监理人报送发包人审批，发包人应当在收到承包人报送的相关文件后7天内完成审批或提出修改意见；发包人有权确定招标控制价并按照法律规定参加评标；</w:t>
      </w:r>
    </w:p>
    <w:p w14:paraId="4DB9316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0A6652D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6A065C10">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10.7.2</w:t>
      </w:r>
      <w:r>
        <w:rPr>
          <w:rFonts w:hint="eastAsia" w:ascii="宋体" w:hAnsi="宋体" w:cs="宋体"/>
          <w:kern w:val="0"/>
          <w:sz w:val="32"/>
          <w:szCs w:val="32"/>
        </w:rPr>
        <w:t>不属于依法必须招标的暂估价项目</w:t>
      </w:r>
    </w:p>
    <w:p w14:paraId="1AAF666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除专用合同条款另有约定外，对于不属于依法必须招标的暂估价项目，采取以下第1种方式确定：</w:t>
      </w:r>
    </w:p>
    <w:p w14:paraId="54B07B4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第1种方式：对于不属于依法必须招标的暂估价项目，按本项约定确认和批准：</w:t>
      </w:r>
    </w:p>
    <w:p w14:paraId="739573A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7F26FA1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（2）发包人认为承包人确定的供应商、分包人无法满足工程质量或合同要求的，发包人可以要求承包人重新确定暂估价项目的供应商、分包人;</w:t>
      </w:r>
    </w:p>
    <w:p w14:paraId="2E629AA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（3）承包人应当在签订暂估价合同后7天内，将暂估价合同副本报送发包人留存。</w:t>
      </w:r>
    </w:p>
    <w:p w14:paraId="4BE3759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第2种方式：承包人按照第10.7.1项〔依法必须招标的暂估价项目〕约定的第1种方式确定暂估价项目。</w:t>
      </w:r>
    </w:p>
    <w:p w14:paraId="15F79608">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第3种方式：</w:t>
      </w:r>
      <w:r>
        <w:rPr>
          <w:rFonts w:hint="eastAsia" w:ascii="宋体" w:hAnsi="宋体" w:cs="宋体"/>
          <w:kern w:val="0"/>
          <w:sz w:val="32"/>
          <w:szCs w:val="32"/>
        </w:rPr>
        <w:t>承包人直接实施的暂估价项目</w:t>
      </w:r>
    </w:p>
    <w:p w14:paraId="2DF1666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承包人具备实施暂估价项目的资格和条件的，经发包人和承包人协商一致后，可由承包人自行实施暂估价项目，合同当事人可以在专用合同条款约定具体事项。</w:t>
      </w:r>
    </w:p>
    <w:p w14:paraId="1D43C0E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10.7.3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3E2B7496">
      <w:pPr>
        <w:keepNext/>
        <w:keepLines/>
        <w:spacing w:line="440" w:lineRule="exact"/>
        <w:ind w:firstLine="640" w:firstLineChars="200"/>
        <w:outlineLvl w:val="4"/>
        <w:rPr>
          <w:rFonts w:hint="eastAsia" w:ascii="宋体" w:hAnsi="宋体" w:cs="宋体"/>
          <w:bCs/>
          <w:sz w:val="32"/>
          <w:szCs w:val="32"/>
        </w:rPr>
      </w:pPr>
      <w:bookmarkStart w:id="867" w:name="_Toc10102"/>
      <w:bookmarkStart w:id="868" w:name="_Toc351203575"/>
      <w:bookmarkStart w:id="869" w:name="_Toc31978"/>
      <w:r>
        <w:rPr>
          <w:rFonts w:hint="eastAsia" w:ascii="宋体" w:hAnsi="宋体" w:cs="宋体"/>
          <w:bCs/>
          <w:sz w:val="32"/>
          <w:szCs w:val="32"/>
        </w:rPr>
        <w:t>1</w:t>
      </w:r>
      <w:bookmarkStart w:id="870" w:name="_Toc337558794"/>
      <w:bookmarkStart w:id="871" w:name="_Toc322522561"/>
      <w:bookmarkStart w:id="872" w:name="_Toc296503090"/>
      <w:bookmarkStart w:id="873" w:name="_Toc296346591"/>
      <w:r>
        <w:rPr>
          <w:rFonts w:hint="eastAsia" w:ascii="宋体" w:hAnsi="宋体" w:cs="宋体"/>
          <w:bCs/>
          <w:sz w:val="32"/>
          <w:szCs w:val="32"/>
        </w:rPr>
        <w:t>0.8暂列金额</w:t>
      </w:r>
      <w:bookmarkEnd w:id="867"/>
      <w:bookmarkEnd w:id="868"/>
      <w:bookmarkEnd w:id="869"/>
    </w:p>
    <w:bookmarkEnd w:id="870"/>
    <w:p w14:paraId="743B064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暂列金额应按照发包人的要求使用，发包人的要求应通过监理人发出。合同当事人可以在专用合同条款中协商确定有关事项。</w:t>
      </w:r>
    </w:p>
    <w:bookmarkEnd w:id="871"/>
    <w:bookmarkEnd w:id="872"/>
    <w:bookmarkEnd w:id="873"/>
    <w:p w14:paraId="1366BB6F">
      <w:pPr>
        <w:keepNext/>
        <w:keepLines/>
        <w:spacing w:line="440" w:lineRule="exact"/>
        <w:ind w:firstLine="640" w:firstLineChars="200"/>
        <w:outlineLvl w:val="4"/>
        <w:rPr>
          <w:rFonts w:hint="eastAsia" w:ascii="宋体" w:hAnsi="宋体" w:cs="宋体"/>
          <w:bCs/>
          <w:sz w:val="32"/>
          <w:szCs w:val="32"/>
        </w:rPr>
      </w:pPr>
      <w:bookmarkStart w:id="874" w:name="_Toc351203576"/>
      <w:bookmarkStart w:id="875" w:name="_Toc26395"/>
      <w:bookmarkStart w:id="876" w:name="_Toc11974"/>
      <w:r>
        <w:rPr>
          <w:rFonts w:hint="eastAsia" w:ascii="宋体" w:hAnsi="宋体" w:cs="宋体"/>
          <w:bCs/>
          <w:sz w:val="32"/>
          <w:szCs w:val="32"/>
        </w:rPr>
        <w:t>1</w:t>
      </w:r>
      <w:bookmarkStart w:id="877" w:name="_Toc337558796"/>
      <w:bookmarkStart w:id="878" w:name="_Toc296346592"/>
      <w:bookmarkStart w:id="879" w:name="_Toc296503091"/>
      <w:r>
        <w:rPr>
          <w:rFonts w:hint="eastAsia" w:ascii="宋体" w:hAnsi="宋体" w:cs="宋体"/>
          <w:bCs/>
          <w:sz w:val="32"/>
          <w:szCs w:val="32"/>
        </w:rPr>
        <w:t>0.9计日工</w:t>
      </w:r>
      <w:bookmarkEnd w:id="874"/>
      <w:bookmarkEnd w:id="875"/>
      <w:bookmarkEnd w:id="876"/>
      <w:bookmarkEnd w:id="877"/>
      <w:bookmarkEnd w:id="878"/>
      <w:bookmarkEnd w:id="879"/>
    </w:p>
    <w:p w14:paraId="3F31266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14:paraId="32B8883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采用计日工计价的任何一项工作，承包人应在该项工作实施过程中，每天提交以下报表和有关凭证报送监理人审查：</w:t>
      </w:r>
    </w:p>
    <w:p w14:paraId="273F69D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（1）工作名称、内容和数量；</w:t>
      </w:r>
    </w:p>
    <w:p w14:paraId="7FF3FDA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（2）投入该工作的所有人员的姓名、专业、工种、级别和耗用工时；</w:t>
      </w:r>
    </w:p>
    <w:p w14:paraId="1420C0A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（3）投入该工作的材料类别和数量；</w:t>
      </w:r>
    </w:p>
    <w:p w14:paraId="7896E42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（4）投入该工作的施工设备型号、台数和耗用台时；</w:t>
      </w:r>
    </w:p>
    <w:p w14:paraId="0807464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（5）其他有关资料和凭证。</w:t>
      </w:r>
    </w:p>
    <w:p w14:paraId="3E06937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计日工由承包人汇总后，列入最近一期进度付款申请单，由监理人审查并经发包人批准后列入进度付款。</w:t>
      </w:r>
    </w:p>
    <w:p w14:paraId="3B851B9E">
      <w:pPr>
        <w:keepNext/>
        <w:keepLines/>
        <w:spacing w:line="440" w:lineRule="exact"/>
        <w:ind w:firstLine="640" w:firstLineChars="200"/>
        <w:outlineLvl w:val="3"/>
        <w:rPr>
          <w:rFonts w:hint="eastAsia" w:ascii="宋体" w:hAnsi="宋体" w:cs="宋体"/>
          <w:bCs/>
          <w:sz w:val="32"/>
          <w:szCs w:val="32"/>
        </w:rPr>
      </w:pPr>
      <w:bookmarkStart w:id="880" w:name="_Toc3726"/>
      <w:bookmarkStart w:id="881" w:name="_Toc351203577"/>
      <w:bookmarkStart w:id="882" w:name="_Toc20955"/>
      <w:r>
        <w:rPr>
          <w:rFonts w:hint="eastAsia" w:ascii="宋体" w:hAnsi="宋体" w:cs="宋体"/>
          <w:bCs/>
          <w:sz w:val="32"/>
          <w:szCs w:val="32"/>
        </w:rPr>
        <w:t>11.价格调整</w:t>
      </w:r>
      <w:bookmarkEnd w:id="880"/>
      <w:bookmarkEnd w:id="881"/>
      <w:bookmarkEnd w:id="882"/>
    </w:p>
    <w:p w14:paraId="3717AF9E">
      <w:pPr>
        <w:keepNext/>
        <w:keepLines/>
        <w:spacing w:line="440" w:lineRule="exact"/>
        <w:ind w:firstLine="640" w:firstLineChars="200"/>
        <w:outlineLvl w:val="4"/>
        <w:rPr>
          <w:rFonts w:hint="eastAsia" w:ascii="宋体" w:hAnsi="宋体" w:cs="宋体"/>
          <w:bCs/>
          <w:sz w:val="32"/>
          <w:szCs w:val="32"/>
        </w:rPr>
      </w:pPr>
      <w:bookmarkStart w:id="883" w:name="_Toc351203578"/>
      <w:bookmarkStart w:id="884" w:name="_Toc14612"/>
      <w:bookmarkStart w:id="885" w:name="_Toc2807"/>
      <w:bookmarkStart w:id="886" w:name="_Toc337558797"/>
      <w:bookmarkStart w:id="887" w:name="_Toc296346593"/>
      <w:bookmarkStart w:id="888" w:name="_Toc296503092"/>
      <w:r>
        <w:rPr>
          <w:rFonts w:hint="eastAsia" w:ascii="宋体" w:hAnsi="宋体" w:cs="宋体"/>
          <w:bCs/>
          <w:sz w:val="32"/>
          <w:szCs w:val="32"/>
        </w:rPr>
        <w:t>11.1市场价格波动引起的调整</w:t>
      </w:r>
      <w:bookmarkEnd w:id="883"/>
      <w:bookmarkEnd w:id="884"/>
      <w:bookmarkEnd w:id="885"/>
    </w:p>
    <w:bookmarkEnd w:id="886"/>
    <w:bookmarkEnd w:id="887"/>
    <w:bookmarkEnd w:id="888"/>
    <w:p w14:paraId="3B21E78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除专用合同条款另有约定外，市场价格波动超过合同当事人约定的范围，合同价格应当调整。合同当事人可以在专用合同条款中约定选择以下一种方式对合同价格进行调整：</w:t>
      </w:r>
    </w:p>
    <w:p w14:paraId="4853FA66">
      <w:pPr>
        <w:spacing w:line="440" w:lineRule="exact"/>
        <w:ind w:firstLine="640" w:firstLineChars="200"/>
        <w:rPr>
          <w:rFonts w:hint="eastAsia" w:ascii="宋体" w:hAnsi="宋体" w:cs="宋体"/>
          <w:sz w:val="32"/>
          <w:szCs w:val="32"/>
        </w:rPr>
      </w:pPr>
      <w:r>
        <w:rPr>
          <w:rFonts w:hint="eastAsia" w:ascii="宋体" w:hAnsi="宋体" w:cs="宋体"/>
          <w:sz w:val="32"/>
          <w:szCs w:val="32"/>
        </w:rPr>
        <w:t>第1种方式：采用价格指数进行价格调整。</w:t>
      </w:r>
    </w:p>
    <w:p w14:paraId="1F888F2E">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（1）价格调整公式</w:t>
      </w:r>
    </w:p>
    <w:p w14:paraId="283EB929">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因人工、材料和设备等价格波动影响合同价格时，根据专用合同条款中约定的数据，按以下公式计算差额并调整合同价格：</w:t>
      </w:r>
    </w:p>
    <w:p w14:paraId="042C8BD8">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eastAsia="宋体" w:cs="宋体"/>
          <w:color w:val="auto"/>
          <w:position w:val="-30"/>
          <w:sz w:val="32"/>
          <w:szCs w:val="32"/>
        </w:rPr>
        <w:object>
          <v:shape id="_x0000_i1025" o:spt="75" type="#_x0000_t75" style="height:43.9pt;width:359.85pt;" o:ole="t" filled="f" stroked="f" coordsize="21600,21600">
            <v:path/>
            <v:fill on="f" focussize="0,0"/>
            <v:stroke on="f"/>
            <v:imagedata r:id="rId17" o:title=""/>
            <o:lock v:ext="edit" grouping="f" rotation="f" text="f" aspectratio="t"/>
            <w10:wrap type="none"/>
            <w10:anchorlock/>
          </v:shape>
          <o:OLEObject Type="Embed" ProgID="Equation.KSEE3" ShapeID="_x0000_i1025" DrawAspect="Content" ObjectID="_1468075725" r:id="rId16">
            <o:LockedField>false</o:LockedField>
          </o:OLEObject>
        </w:object>
      </w:r>
    </w:p>
    <w:p w14:paraId="1B5EBB8E">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公式中：ΔP——需调整的价格差额；</w:t>
      </w:r>
    </w:p>
    <w:p w14:paraId="75B004BE">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eastAsia="宋体" w:cs="宋体"/>
          <w:color w:val="auto"/>
          <w:position w:val="-6"/>
          <w:sz w:val="32"/>
          <w:szCs w:val="32"/>
        </w:rPr>
        <w:object>
          <v:shape id="_x0000_i1026" o:spt="75" type="#_x0000_t75" style="height:17.95pt;width:17.95pt;" o:ole="t" filled="f" stroked="f" coordsize="21600,21600">
            <v:path/>
            <v:fill on="f" focussize="0,0"/>
            <v:stroke on="f"/>
            <v:imagedata r:id="rId19" o:title=""/>
            <o:lock v:ext="edit" grouping="f" rotation="f" text="f" aspectratio="t"/>
            <w10:wrap type="none"/>
            <w10:anchorlock/>
          </v:shape>
          <o:OLEObject Type="Embed" ProgID="Equation.KSEE3" ShapeID="_x0000_i1026" DrawAspect="Content" ObjectID="_1468075726" r:id="rId18">
            <o:LockedField>false</o:LockedField>
          </o:OLEObject>
        </w:object>
      </w:r>
      <w:r>
        <w:rPr>
          <w:rFonts w:hint="eastAsia" w:ascii="宋体" w:hAnsi="宋体" w:cs="宋体"/>
          <w:sz w:val="32"/>
          <w:szCs w:val="32"/>
        </w:rPr>
        <w:t>——约定的付款证书中承包人应得到的已完成工程量的金额。此项金额应不包括价格调整、不计质量保证金的扣留和支付、预付款的支付和扣回。约定的变更及其他金额已按现行价格计价的，也不计在内；</w:t>
      </w:r>
    </w:p>
    <w:p w14:paraId="08B12FDA">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A——定值权重（即不调部分的权重）；</w:t>
      </w:r>
    </w:p>
    <w:p w14:paraId="23CB756B">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eastAsia="宋体" w:cs="宋体"/>
          <w:color w:val="auto"/>
          <w:position w:val="-10"/>
          <w:sz w:val="32"/>
          <w:szCs w:val="32"/>
        </w:rPr>
        <w:object>
          <v:shape id="_x0000_i1027" o:spt="75" type="#_x0000_t75" style="height:21.05pt;width:101pt;" o:ole="t" filled="f" stroked="f" coordsize="21600,21600">
            <v:path/>
            <v:fill on="f" focussize="0,0"/>
            <v:stroke on="f"/>
            <v:imagedata r:id="rId21" o:title=""/>
            <o:lock v:ext="edit" grouping="f" rotation="f" text="f" aspectratio="t"/>
            <w10:wrap type="none"/>
            <w10:anchorlock/>
          </v:shape>
          <o:OLEObject Type="Embed" ProgID="Equation.KSEE3" ShapeID="_x0000_i1027" DrawAspect="Content" ObjectID="_1468075727" r:id="rId20">
            <o:LockedField>false</o:LockedField>
          </o:OLEObject>
        </w:object>
      </w:r>
      <w:r>
        <w:rPr>
          <w:rFonts w:hint="eastAsia" w:ascii="宋体" w:hAnsi="宋体" w:cs="宋体"/>
          <w:sz w:val="32"/>
          <w:szCs w:val="32"/>
        </w:rPr>
        <w:t>——各可调因子的变值权重（即可调部分的权重），为各可调因子在签约合同价中所占的比例；</w:t>
      </w:r>
    </w:p>
    <w:p w14:paraId="5E2E89BA">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eastAsia="宋体" w:cs="宋体"/>
          <w:color w:val="auto"/>
          <w:position w:val="-10"/>
          <w:sz w:val="32"/>
          <w:szCs w:val="32"/>
        </w:rPr>
        <w:object>
          <v:shape id="_x0000_i1028" o:spt="75" type="#_x0000_t75" style="height:20.6pt;width:102.05pt;" o:ole="t" filled="f" stroked="f" coordsize="21600,21600">
            <v:path/>
            <v:fill on="f" focussize="0,0"/>
            <v:stroke on="f"/>
            <v:imagedata r:id="rId23" o:title=""/>
            <o:lock v:ext="edit" grouping="f" rotation="f" text="f" aspectratio="t"/>
            <w10:wrap type="none"/>
            <w10:anchorlock/>
          </v:shape>
          <o:OLEObject Type="Embed" ProgID="Equation.KSEE3" ShapeID="_x0000_i1028" DrawAspect="Content" ObjectID="_1468075728" r:id="rId22">
            <o:LockedField>false</o:LockedField>
          </o:OLEObject>
        </w:object>
      </w:r>
      <w:r>
        <w:rPr>
          <w:rFonts w:hint="eastAsia" w:ascii="宋体" w:hAnsi="宋体" w:cs="宋体"/>
          <w:sz w:val="32"/>
          <w:szCs w:val="32"/>
        </w:rPr>
        <w:t>——各可调因子的现行价格指数，指约定的付款证书相关周期最后一天的前42天的各可调因子的价格指数；</w:t>
      </w:r>
    </w:p>
    <w:p w14:paraId="2DD4CA68">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eastAsia="宋体" w:cs="宋体"/>
          <w:color w:val="auto"/>
          <w:position w:val="-10"/>
          <w:sz w:val="32"/>
          <w:szCs w:val="32"/>
        </w:rPr>
        <w:object>
          <v:shape id="_x0000_i1029" o:spt="75" type="#_x0000_t75" style="height:20.2pt;width:108pt;" o:ole="t" filled="f" stroked="f" coordsize="21600,21600">
            <v:path/>
            <v:fill on="f" focussize="0,0"/>
            <v:stroke on="f"/>
            <v:imagedata r:id="rId25" o:title=""/>
            <o:lock v:ext="edit" grouping="f" rotation="f" text="f" aspectratio="t"/>
            <w10:wrap type="none"/>
            <w10:anchorlock/>
          </v:shape>
          <o:OLEObject Type="Embed" ProgID="Equation.KSEE3" ShapeID="_x0000_i1029" DrawAspect="Content" ObjectID="_1468075729" r:id="rId24">
            <o:LockedField>false</o:LockedField>
          </o:OLEObject>
        </w:object>
      </w:r>
      <w:r>
        <w:rPr>
          <w:rFonts w:hint="eastAsia" w:ascii="宋体" w:hAnsi="宋体" w:cs="宋体"/>
          <w:sz w:val="32"/>
          <w:szCs w:val="32"/>
        </w:rPr>
        <w:t>——各可调因子的基本价格指数，指基准日期的各可调因子的价格指数。</w:t>
      </w:r>
    </w:p>
    <w:p w14:paraId="1E0DB56A">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4298C327">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（2）暂时确定调整差额</w:t>
      </w:r>
    </w:p>
    <w:p w14:paraId="1A1C6B7E">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在计算调整差额时无现行价格指数的，合同当事人同意暂用前次价格指数计算。实际价格指数有调整的，合同当事人进行相应调整。</w:t>
      </w:r>
    </w:p>
    <w:p w14:paraId="1B5C2AA4">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（3）权重的调整</w:t>
      </w:r>
    </w:p>
    <w:p w14:paraId="4938E58B">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因变更导致合同约定的权重不合理时，按照第4.4款〔商定或确定〕执行。</w:t>
      </w:r>
    </w:p>
    <w:p w14:paraId="05327615">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（4）因承包人原因工期延误后的价格调整</w:t>
      </w:r>
    </w:p>
    <w:p w14:paraId="55A1C66D">
      <w:pPr>
        <w:tabs>
          <w:tab w:val="left" w:pos="0"/>
          <w:tab w:val="left" w:pos="360"/>
          <w:tab w:val="left" w:pos="540"/>
        </w:tabs>
        <w:spacing w:line="440" w:lineRule="exact"/>
        <w:ind w:firstLine="640" w:firstLineChars="200"/>
        <w:rPr>
          <w:rFonts w:hint="eastAsia" w:ascii="宋体" w:hAnsi="宋体" w:cs="宋体"/>
          <w:sz w:val="32"/>
          <w:szCs w:val="32"/>
        </w:rPr>
      </w:pPr>
      <w:r>
        <w:rPr>
          <w:rFonts w:hint="eastAsia" w:ascii="宋体" w:hAnsi="宋体" w:cs="宋体"/>
          <w:sz w:val="32"/>
          <w:szCs w:val="32"/>
        </w:rPr>
        <w:t>因承包人原因未按期竣工的，对合同约定的竣工日期后继续施工的工程，在使用价格调整公式时，应采用计划竣工日期与实际竣工日期的两个价格指数中较低的一个作为现行价格指数。</w:t>
      </w:r>
    </w:p>
    <w:p w14:paraId="17C40259">
      <w:pPr>
        <w:spacing w:line="440" w:lineRule="exact"/>
        <w:ind w:firstLine="640" w:firstLineChars="200"/>
        <w:rPr>
          <w:rFonts w:hint="eastAsia" w:ascii="宋体" w:hAnsi="宋体" w:cs="宋体"/>
          <w:sz w:val="32"/>
          <w:szCs w:val="32"/>
        </w:rPr>
      </w:pPr>
      <w:r>
        <w:rPr>
          <w:rFonts w:hint="eastAsia" w:ascii="宋体" w:hAnsi="宋体" w:cs="宋体"/>
          <w:sz w:val="32"/>
          <w:szCs w:val="32"/>
        </w:rPr>
        <w:t>第2种方式：采用造价信息进行价格调整。</w:t>
      </w:r>
    </w:p>
    <w:p w14:paraId="2FA38F31">
      <w:pPr>
        <w:spacing w:line="440" w:lineRule="exact"/>
        <w:ind w:firstLine="640" w:firstLineChars="200"/>
        <w:rPr>
          <w:rFonts w:hint="eastAsia" w:ascii="宋体" w:hAnsi="宋体" w:cs="宋体"/>
          <w:sz w:val="32"/>
          <w:szCs w:val="32"/>
        </w:rPr>
      </w:pPr>
      <w:r>
        <w:rPr>
          <w:rFonts w:hint="eastAsia" w:ascii="宋体" w:hAnsi="宋体" w:cs="宋体"/>
          <w:sz w:val="32"/>
          <w:szCs w:val="32"/>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53319941">
      <w:pPr>
        <w:spacing w:line="440" w:lineRule="exact"/>
        <w:ind w:firstLine="640" w:firstLineChars="200"/>
        <w:rPr>
          <w:rFonts w:hint="eastAsia" w:ascii="宋体" w:hAnsi="宋体" w:cs="宋体"/>
          <w:sz w:val="32"/>
          <w:szCs w:val="32"/>
        </w:rPr>
      </w:pPr>
      <w:r>
        <w:rPr>
          <w:rFonts w:hint="eastAsia" w:ascii="宋体" w:hAnsi="宋体" w:cs="宋体"/>
          <w:sz w:val="32"/>
          <w:szCs w:val="32"/>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48B542F6">
      <w:pPr>
        <w:spacing w:line="440" w:lineRule="exact"/>
        <w:ind w:firstLine="640" w:firstLineChars="200"/>
        <w:rPr>
          <w:rFonts w:hint="eastAsia" w:ascii="宋体" w:hAnsi="宋体" w:cs="宋体"/>
          <w:sz w:val="32"/>
          <w:szCs w:val="32"/>
        </w:rPr>
      </w:pPr>
      <w:r>
        <w:rPr>
          <w:rFonts w:hint="eastAsia" w:ascii="宋体" w:hAnsi="宋体" w:cs="宋体"/>
          <w:sz w:val="32"/>
          <w:szCs w:val="32"/>
        </w:rPr>
        <w:t>（2）材料、工程设备价格变化的价款调整按照发包人提供的基准价格，按以下风险范围规定执行:</w:t>
      </w:r>
    </w:p>
    <w:p w14:paraId="5AA1789A">
      <w:pPr>
        <w:spacing w:line="440" w:lineRule="exact"/>
        <w:ind w:firstLine="640" w:firstLineChars="200"/>
        <w:rPr>
          <w:rFonts w:hint="eastAsia" w:ascii="宋体" w:hAnsi="宋体" w:cs="宋体"/>
          <w:sz w:val="32"/>
          <w:szCs w:val="32"/>
        </w:rPr>
      </w:pPr>
      <w:r>
        <w:rPr>
          <w:rFonts w:hint="eastAsia" w:ascii="宋体" w:hAnsi="宋体" w:cs="宋体"/>
          <w:sz w:val="32"/>
          <w:szCs w:val="32"/>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117FDF79">
      <w:pPr>
        <w:spacing w:line="440" w:lineRule="exact"/>
        <w:ind w:firstLine="640" w:firstLineChars="200"/>
        <w:rPr>
          <w:rFonts w:hint="eastAsia" w:ascii="宋体" w:hAnsi="宋体" w:cs="宋体"/>
          <w:sz w:val="32"/>
          <w:szCs w:val="32"/>
        </w:rPr>
      </w:pPr>
      <w:r>
        <w:rPr>
          <w:rFonts w:hint="eastAsia" w:ascii="宋体" w:hAnsi="宋体" w:cs="宋体"/>
          <w:sz w:val="32"/>
          <w:szCs w:val="32"/>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5B55C1AE">
      <w:pPr>
        <w:spacing w:line="440" w:lineRule="exact"/>
        <w:ind w:firstLine="640" w:firstLineChars="200"/>
        <w:rPr>
          <w:rFonts w:hint="eastAsia" w:ascii="宋体" w:hAnsi="宋体" w:cs="宋体"/>
          <w:sz w:val="32"/>
          <w:szCs w:val="32"/>
        </w:rPr>
      </w:pPr>
      <w:r>
        <w:rPr>
          <w:rFonts w:hint="eastAsia" w:ascii="宋体" w:hAnsi="宋体" w:cs="宋体"/>
          <w:sz w:val="32"/>
          <w:szCs w:val="32"/>
        </w:rPr>
        <w:t>③承包人在已标价工程量清单或预算书中载明材料单价等于基准价格的：除专用合同条款另有约定外，合同履行期间材料单价涨跌幅以基准价格为基础超过±5%时，其超过部分据实调整。</w:t>
      </w:r>
    </w:p>
    <w:p w14:paraId="0F20AF97">
      <w:pPr>
        <w:spacing w:line="440" w:lineRule="exact"/>
        <w:ind w:firstLine="640" w:firstLineChars="200"/>
        <w:rPr>
          <w:rFonts w:hint="eastAsia" w:ascii="宋体" w:hAnsi="宋体" w:cs="宋体"/>
          <w:sz w:val="32"/>
          <w:szCs w:val="32"/>
        </w:rPr>
      </w:pPr>
      <w:r>
        <w:rPr>
          <w:rFonts w:hint="eastAsia" w:ascii="宋体" w:hAnsi="宋体" w:cs="宋体"/>
          <w:sz w:val="32"/>
          <w:szCs w:val="32"/>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7826F808">
      <w:pPr>
        <w:spacing w:line="440" w:lineRule="exact"/>
        <w:ind w:firstLine="640" w:firstLineChars="200"/>
        <w:rPr>
          <w:rFonts w:hint="eastAsia" w:ascii="宋体" w:hAnsi="宋体" w:cs="宋体"/>
          <w:sz w:val="32"/>
          <w:szCs w:val="32"/>
        </w:rPr>
      </w:pPr>
      <w:bookmarkStart w:id="889" w:name="OLE_LINK3"/>
      <w:r>
        <w:rPr>
          <w:rFonts w:hint="eastAsia" w:ascii="宋体" w:hAnsi="宋体" w:cs="宋体"/>
          <w:sz w:val="32"/>
          <w:szCs w:val="32"/>
        </w:rPr>
        <w:t>前述基准价格是指由发包人在招标文件或专用合同条款中给定的材料、工程设备的价格，该价格原则上应当按照省级或行业建设主管部门或其授权的工程造价管理机构发布的信息价编制。</w:t>
      </w:r>
    </w:p>
    <w:p w14:paraId="2330B9F1">
      <w:pPr>
        <w:spacing w:line="440" w:lineRule="exact"/>
        <w:ind w:firstLine="640" w:firstLineChars="200"/>
        <w:rPr>
          <w:rFonts w:hint="eastAsia" w:ascii="宋体" w:hAnsi="宋体" w:cs="宋体"/>
          <w:sz w:val="32"/>
          <w:szCs w:val="32"/>
        </w:rPr>
      </w:pPr>
      <w:r>
        <w:rPr>
          <w:rFonts w:hint="eastAsia" w:ascii="宋体" w:hAnsi="宋体" w:cs="宋体"/>
          <w:sz w:val="32"/>
          <w:szCs w:val="32"/>
        </w:rPr>
        <w:t>（3）施工机械台班单价或施工机械使用费发生变化超过省级或行业建设主管部门或其授权的工程造价管理机构规定的范围时，按规定调整合同价格。</w:t>
      </w:r>
    </w:p>
    <w:p w14:paraId="7C5BF9F1">
      <w:pPr>
        <w:spacing w:line="440" w:lineRule="exact"/>
        <w:ind w:firstLine="640" w:firstLineChars="200"/>
        <w:rPr>
          <w:rFonts w:hint="eastAsia" w:ascii="宋体" w:hAnsi="宋体" w:cs="宋体"/>
          <w:sz w:val="32"/>
          <w:szCs w:val="32"/>
        </w:rPr>
      </w:pPr>
      <w:r>
        <w:rPr>
          <w:rFonts w:hint="eastAsia" w:ascii="宋体" w:hAnsi="宋体" w:cs="宋体"/>
          <w:sz w:val="32"/>
          <w:szCs w:val="32"/>
        </w:rPr>
        <w:t>第3种方式：专用合同条款约定的其他方式。</w:t>
      </w:r>
    </w:p>
    <w:p w14:paraId="7F4F1AAE">
      <w:pPr>
        <w:keepNext/>
        <w:keepLines/>
        <w:spacing w:line="440" w:lineRule="exact"/>
        <w:ind w:firstLine="640" w:firstLineChars="200"/>
        <w:outlineLvl w:val="4"/>
        <w:rPr>
          <w:rFonts w:hint="eastAsia" w:ascii="宋体" w:hAnsi="宋体" w:cs="宋体"/>
          <w:bCs/>
          <w:sz w:val="32"/>
          <w:szCs w:val="32"/>
        </w:rPr>
      </w:pPr>
      <w:bookmarkStart w:id="890" w:name="_Toc351203579"/>
      <w:bookmarkStart w:id="891" w:name="_Toc2988"/>
      <w:bookmarkStart w:id="892" w:name="_Toc25261"/>
      <w:bookmarkStart w:id="893" w:name="_Toc337558798"/>
      <w:bookmarkStart w:id="894" w:name="_Toc296503093"/>
      <w:bookmarkStart w:id="895" w:name="_Toc296346594"/>
      <w:r>
        <w:rPr>
          <w:rFonts w:hint="eastAsia" w:ascii="宋体" w:hAnsi="宋体" w:cs="宋体"/>
          <w:bCs/>
          <w:sz w:val="32"/>
          <w:szCs w:val="32"/>
        </w:rPr>
        <w:t>11.2法律变化引起的调整</w:t>
      </w:r>
      <w:bookmarkEnd w:id="890"/>
      <w:bookmarkEnd w:id="891"/>
      <w:bookmarkEnd w:id="892"/>
    </w:p>
    <w:bookmarkEnd w:id="893"/>
    <w:bookmarkEnd w:id="894"/>
    <w:bookmarkEnd w:id="895"/>
    <w:p w14:paraId="7310215E">
      <w:pPr>
        <w:spacing w:line="440" w:lineRule="exact"/>
        <w:ind w:firstLine="640" w:firstLineChars="200"/>
        <w:rPr>
          <w:rFonts w:hint="eastAsia" w:ascii="宋体" w:hAnsi="宋体" w:cs="宋体"/>
          <w:sz w:val="32"/>
          <w:szCs w:val="32"/>
        </w:rPr>
      </w:pPr>
      <w:r>
        <w:rPr>
          <w:rFonts w:hint="eastAsia" w:ascii="宋体" w:hAnsi="宋体" w:cs="宋体"/>
          <w:sz w:val="32"/>
          <w:szCs w:val="32"/>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14:paraId="79B48AF7">
      <w:pPr>
        <w:spacing w:line="440" w:lineRule="exact"/>
        <w:ind w:firstLine="640" w:firstLineChars="200"/>
        <w:rPr>
          <w:rFonts w:hint="eastAsia" w:ascii="宋体" w:hAnsi="宋体" w:cs="宋体"/>
          <w:sz w:val="32"/>
          <w:szCs w:val="32"/>
        </w:rPr>
      </w:pPr>
      <w:r>
        <w:rPr>
          <w:rFonts w:hint="eastAsia" w:ascii="宋体" w:hAnsi="宋体" w:cs="宋体"/>
          <w:sz w:val="32"/>
          <w:szCs w:val="32"/>
        </w:rPr>
        <w:t>因法律变化引起的合同价格和工期调整，合同当事人无法达成一致的，由总监理工程师按第4.4款〔商定或确定〕的约定处理。</w:t>
      </w:r>
    </w:p>
    <w:p w14:paraId="4D7FC857">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因承包人原因造成工期延误，在工期延误期间出现法律变化的，由此增加的费用和（或）延误的工期由承包人承担。</w:t>
      </w:r>
    </w:p>
    <w:p w14:paraId="588C8432">
      <w:pPr>
        <w:keepNext/>
        <w:keepLines/>
        <w:spacing w:line="440" w:lineRule="exact"/>
        <w:ind w:firstLine="640" w:firstLineChars="200"/>
        <w:outlineLvl w:val="3"/>
        <w:rPr>
          <w:rFonts w:hint="eastAsia" w:ascii="宋体" w:hAnsi="宋体" w:cs="宋体"/>
          <w:bCs/>
          <w:sz w:val="32"/>
          <w:szCs w:val="32"/>
        </w:rPr>
      </w:pPr>
      <w:bookmarkStart w:id="896" w:name="_Toc1800"/>
      <w:bookmarkStart w:id="897" w:name="_Toc351203580"/>
      <w:bookmarkStart w:id="898" w:name="_Toc3123"/>
      <w:bookmarkStart w:id="899" w:name="_Toc337558799"/>
      <w:bookmarkStart w:id="900" w:name="_Toc296503096"/>
      <w:bookmarkStart w:id="901" w:name="_Toc296346597"/>
      <w:r>
        <w:rPr>
          <w:rFonts w:hint="eastAsia" w:ascii="宋体" w:hAnsi="宋体" w:cs="宋体"/>
          <w:bCs/>
          <w:sz w:val="32"/>
          <w:szCs w:val="32"/>
        </w:rPr>
        <w:t>12.合同价格、计量与支付</w:t>
      </w:r>
      <w:bookmarkEnd w:id="896"/>
      <w:bookmarkEnd w:id="897"/>
      <w:bookmarkEnd w:id="898"/>
    </w:p>
    <w:bookmarkEnd w:id="899"/>
    <w:p w14:paraId="2965E09B">
      <w:pPr>
        <w:keepNext/>
        <w:keepLines/>
        <w:spacing w:line="440" w:lineRule="exact"/>
        <w:ind w:firstLine="640" w:firstLineChars="200"/>
        <w:outlineLvl w:val="4"/>
        <w:rPr>
          <w:rFonts w:hint="eastAsia" w:ascii="宋体" w:hAnsi="宋体" w:cs="宋体"/>
          <w:bCs/>
          <w:sz w:val="32"/>
          <w:szCs w:val="32"/>
        </w:rPr>
      </w:pPr>
      <w:bookmarkStart w:id="902" w:name="_Toc5471"/>
      <w:bookmarkStart w:id="903" w:name="_Toc14769"/>
      <w:bookmarkStart w:id="904" w:name="_Toc351203581"/>
      <w:bookmarkStart w:id="905" w:name="_Toc337558800"/>
      <w:r>
        <w:rPr>
          <w:rFonts w:hint="eastAsia" w:ascii="宋体" w:hAnsi="宋体" w:cs="宋体"/>
          <w:bCs/>
          <w:sz w:val="32"/>
          <w:szCs w:val="32"/>
        </w:rPr>
        <w:t>12.1合同价</w:t>
      </w:r>
      <w:bookmarkEnd w:id="900"/>
      <w:bookmarkEnd w:id="901"/>
      <w:r>
        <w:rPr>
          <w:rFonts w:hint="eastAsia" w:ascii="宋体" w:hAnsi="宋体" w:cs="宋体"/>
          <w:bCs/>
          <w:sz w:val="32"/>
          <w:szCs w:val="32"/>
        </w:rPr>
        <w:t>格形式</w:t>
      </w:r>
      <w:bookmarkEnd w:id="902"/>
      <w:bookmarkEnd w:id="903"/>
      <w:bookmarkEnd w:id="904"/>
    </w:p>
    <w:bookmarkEnd w:id="905"/>
    <w:p w14:paraId="7637E08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发包人和承包人应在合同协议书中选择下列一种合同价格形式：</w:t>
      </w:r>
    </w:p>
    <w:p w14:paraId="01A3585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1.单价合同</w:t>
      </w:r>
    </w:p>
    <w:p w14:paraId="40C5FC3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单价合同是指合同当事人约定以工程量清单及其综合单价进行合同价格计算、调整和确认的建设工程施工合同，</w:t>
      </w:r>
      <w:r>
        <w:rPr>
          <w:rFonts w:hint="eastAsia" w:ascii="宋体" w:hAnsi="宋体" w:cs="宋体"/>
          <w:sz w:val="32"/>
          <w:szCs w:val="32"/>
        </w:rPr>
        <w:t>在约定的范围内合同单价不作调整</w:t>
      </w:r>
      <w:r>
        <w:rPr>
          <w:rFonts w:hint="eastAsia" w:ascii="宋体" w:hAnsi="宋体" w:cs="宋体"/>
          <w:kern w:val="0"/>
          <w:sz w:val="32"/>
          <w:szCs w:val="32"/>
        </w:rPr>
        <w:t>。合同当事人应在专用合同条款中约定综合单价包含的风险范围和风险费用的计算方法</w:t>
      </w:r>
      <w:r>
        <w:rPr>
          <w:rFonts w:hint="eastAsia" w:ascii="宋体" w:hAnsi="宋体" w:cs="宋体"/>
          <w:sz w:val="32"/>
          <w:szCs w:val="32"/>
        </w:rPr>
        <w:t>，</w:t>
      </w:r>
      <w:r>
        <w:rPr>
          <w:rFonts w:hint="eastAsia" w:ascii="宋体" w:hAnsi="宋体" w:cs="宋体"/>
          <w:kern w:val="0"/>
          <w:sz w:val="32"/>
          <w:szCs w:val="32"/>
        </w:rPr>
        <w:t>并约定风险范围以外的合同价格的调整方法，其中因市场价格波动引起的调整按第11.1款〔市场价格波动引起的调整〕约定执行。</w:t>
      </w:r>
    </w:p>
    <w:p w14:paraId="02A53FF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2.总价合同</w:t>
      </w:r>
    </w:p>
    <w:p w14:paraId="078FA50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总价合同是指合同当事人约定以施工图、已标价工程量清单或预算书及有关条件进行合同价格计算、调整和确认的建设工程施工合同，</w:t>
      </w:r>
      <w:r>
        <w:rPr>
          <w:rFonts w:hint="eastAsia" w:ascii="宋体" w:hAnsi="宋体" w:cs="宋体"/>
          <w:sz w:val="32"/>
          <w:szCs w:val="32"/>
        </w:rPr>
        <w:t>在约定的范围内合同总价不作调整</w:t>
      </w:r>
      <w:r>
        <w:rPr>
          <w:rFonts w:hint="eastAsia" w:ascii="宋体" w:hAnsi="宋体" w:cs="宋体"/>
          <w:kern w:val="0"/>
          <w:sz w:val="32"/>
          <w:szCs w:val="32"/>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14:paraId="1ECDC27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3.其它价格形式</w:t>
      </w:r>
    </w:p>
    <w:p w14:paraId="7A87997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合同当事人可在专用合同条款中约定其他合同价格形式。</w:t>
      </w:r>
    </w:p>
    <w:p w14:paraId="4EEB13A8">
      <w:pPr>
        <w:keepNext/>
        <w:keepLines/>
        <w:spacing w:line="440" w:lineRule="exact"/>
        <w:ind w:firstLine="640" w:firstLineChars="200"/>
        <w:outlineLvl w:val="4"/>
        <w:rPr>
          <w:rFonts w:hint="eastAsia" w:ascii="宋体" w:hAnsi="宋体" w:cs="宋体"/>
          <w:bCs/>
          <w:sz w:val="32"/>
          <w:szCs w:val="32"/>
        </w:rPr>
      </w:pPr>
      <w:bookmarkStart w:id="906" w:name="_Toc296503097"/>
      <w:bookmarkStart w:id="907" w:name="_Toc296346598"/>
      <w:bookmarkStart w:id="908" w:name="_Toc30968"/>
      <w:bookmarkStart w:id="909" w:name="_Toc24966"/>
      <w:bookmarkStart w:id="910" w:name="_Toc351203582"/>
      <w:bookmarkStart w:id="911" w:name="_Toc337558801"/>
      <w:r>
        <w:rPr>
          <w:rFonts w:hint="eastAsia" w:ascii="宋体" w:hAnsi="宋体" w:cs="宋体"/>
          <w:bCs/>
          <w:sz w:val="32"/>
          <w:szCs w:val="32"/>
        </w:rPr>
        <w:t>12.2预</w:t>
      </w:r>
      <w:bookmarkEnd w:id="906"/>
      <w:bookmarkEnd w:id="907"/>
      <w:bookmarkStart w:id="912" w:name="_Toc296346601"/>
      <w:bookmarkStart w:id="913" w:name="_Toc296503100"/>
      <w:r>
        <w:rPr>
          <w:rFonts w:hint="eastAsia" w:ascii="宋体" w:hAnsi="宋体" w:cs="宋体"/>
          <w:bCs/>
          <w:sz w:val="32"/>
          <w:szCs w:val="32"/>
        </w:rPr>
        <w:t>付款</w:t>
      </w:r>
      <w:bookmarkEnd w:id="908"/>
      <w:bookmarkEnd w:id="909"/>
      <w:bookmarkEnd w:id="910"/>
    </w:p>
    <w:bookmarkEnd w:id="911"/>
    <w:bookmarkEnd w:id="912"/>
    <w:bookmarkEnd w:id="913"/>
    <w:p w14:paraId="70155F44">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12.2.</w:t>
      </w:r>
      <w:r>
        <w:rPr>
          <w:rFonts w:hint="eastAsia" w:ascii="宋体" w:hAnsi="宋体" w:cs="宋体"/>
          <w:kern w:val="0"/>
          <w:sz w:val="32"/>
          <w:szCs w:val="32"/>
        </w:rPr>
        <w:t>1预付款的支付</w:t>
      </w:r>
    </w:p>
    <w:p w14:paraId="0AC77C5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预付款的支付按照专用合同条款约定执行，但至迟应在开工通知载明的开工日期7天前支付。预付款应当用于材料、工程设备、施工设备的采购及修建临时工程、组织施工队伍进场等。</w:t>
      </w:r>
    </w:p>
    <w:p w14:paraId="143896A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除专用合同条款另有约定外，预付款在进度付款中同比例扣回。</w:t>
      </w:r>
      <w:bookmarkEnd w:id="889"/>
      <w:r>
        <w:rPr>
          <w:rFonts w:hint="eastAsia" w:ascii="宋体" w:hAnsi="宋体" w:cs="宋体"/>
          <w:kern w:val="0"/>
          <w:sz w:val="32"/>
          <w:szCs w:val="32"/>
        </w:rPr>
        <w:t>在颁发工程接收证书前，提前解除合同的，尚未扣完的预付款应与合同价款一并结算。</w:t>
      </w:r>
    </w:p>
    <w:p w14:paraId="40ACB0D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发包人逾期支付预付款超过7天的，承包人有权向发包人发出要求预付的催告通知，发包人收到通知后7天内仍未支付的，承包人有权暂停施工，并按第16.1.1项〔发包人违约的情形〕执行。</w:t>
      </w:r>
    </w:p>
    <w:p w14:paraId="66A64E5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12.2.2预付款担保</w:t>
      </w:r>
    </w:p>
    <w:p w14:paraId="4C61B00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0D13BA4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发包人在工程款中逐期扣回预付款后，预付款担保额度应相应减少，但剩余的预付款担保金额不得低于未被扣回的预付款金额。</w:t>
      </w:r>
    </w:p>
    <w:p w14:paraId="1E966E3E">
      <w:pPr>
        <w:keepNext/>
        <w:keepLines/>
        <w:spacing w:line="440" w:lineRule="exact"/>
        <w:ind w:firstLine="640" w:firstLineChars="200"/>
        <w:outlineLvl w:val="4"/>
        <w:rPr>
          <w:rFonts w:hint="eastAsia" w:ascii="宋体" w:hAnsi="宋体" w:cs="宋体"/>
          <w:bCs/>
          <w:sz w:val="32"/>
          <w:szCs w:val="32"/>
        </w:rPr>
      </w:pPr>
      <w:bookmarkStart w:id="914" w:name="_Toc351203583"/>
      <w:bookmarkStart w:id="915" w:name="_Toc21012"/>
      <w:bookmarkStart w:id="916" w:name="_Toc28221"/>
      <w:bookmarkStart w:id="917" w:name="_Toc337558802"/>
      <w:r>
        <w:rPr>
          <w:rFonts w:hint="eastAsia" w:ascii="宋体" w:hAnsi="宋体" w:cs="宋体"/>
          <w:bCs/>
          <w:sz w:val="32"/>
          <w:szCs w:val="32"/>
        </w:rPr>
        <w:t>12.3计量</w:t>
      </w:r>
      <w:bookmarkEnd w:id="914"/>
      <w:bookmarkEnd w:id="915"/>
      <w:bookmarkEnd w:id="916"/>
    </w:p>
    <w:bookmarkEnd w:id="917"/>
    <w:p w14:paraId="4115EB9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12.3.1计量原则</w:t>
      </w:r>
    </w:p>
    <w:p w14:paraId="05C906C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工程量计量按照合同约定的工程量计算规则、图纸及变更指示等进行计量。工程量计算规则应以相关的国家标准、行业标准等为依据，由合同当事人在专用合同条款中约定。</w:t>
      </w:r>
    </w:p>
    <w:p w14:paraId="3574E5E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12.3.2计量周期</w:t>
      </w:r>
    </w:p>
    <w:p w14:paraId="1612FA7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除专用合同条款另有约定外，工程量的计量按月进行。</w:t>
      </w:r>
    </w:p>
    <w:p w14:paraId="5A8619A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12.3.3单价合同的计量</w:t>
      </w:r>
    </w:p>
    <w:p w14:paraId="663FFB3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除专用合同条款另有约定外，单价合同的计量按照本项约定执行：</w:t>
      </w:r>
    </w:p>
    <w:p w14:paraId="566AE1A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（1）承包人应于每月25日向监理人报送上月20日至当月19日已完成的工程量报告，并附具进度付款申请单、已完成工程量报表和有关资料。</w:t>
      </w:r>
    </w:p>
    <w:p w14:paraId="251476F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6D061A6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（3）监理人未在收到承包人提交的工程量报表后的7天内完成审核的，承包人报送的工程量报告中的工程量视为承包人实际完成的工程量，据此计算工程价款。</w:t>
      </w:r>
    </w:p>
    <w:p w14:paraId="5AE25D6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12.3.4总价合同的计量</w:t>
      </w:r>
    </w:p>
    <w:p w14:paraId="0E1774E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除专用合同条款另有约定外，按月计量支付的总价合同，按照本项约定执行：</w:t>
      </w:r>
    </w:p>
    <w:p w14:paraId="3481BE7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（1）承包人应于每月25日向监理人报送上月20日至当月19日已完成的工程量报告，并附具进度付款申请单、已完成工程量报表和有关资料。</w:t>
      </w:r>
    </w:p>
    <w:p w14:paraId="5EB3D3F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53B4E6D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（3）监理人未在收到承包人提交的工程量报表后的7天内完成复核的，承包人提交的工程量报告中的工程量视为承包人实际完成的工程量。</w:t>
      </w:r>
    </w:p>
    <w:p w14:paraId="6D2A4CF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12.3.5总价合同采用支付分解表计量支付的，可以按照第12.3.4项〔总价合同的计量〕约定进行计量，但合同价款按照支付分解表进行支付。</w:t>
      </w:r>
    </w:p>
    <w:p w14:paraId="3228BDF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12.3.6其他价格形式合同的计量</w:t>
      </w:r>
    </w:p>
    <w:p w14:paraId="52AEED2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合同当事人可在专用合同条款中约定其他价格形式合同的计量方式和程序。</w:t>
      </w:r>
    </w:p>
    <w:p w14:paraId="2896A435">
      <w:pPr>
        <w:keepNext/>
        <w:keepLines/>
        <w:spacing w:line="440" w:lineRule="exact"/>
        <w:ind w:firstLine="640" w:firstLineChars="200"/>
        <w:outlineLvl w:val="4"/>
        <w:rPr>
          <w:rFonts w:hint="eastAsia" w:ascii="宋体" w:hAnsi="宋体" w:cs="宋体"/>
          <w:bCs/>
          <w:sz w:val="32"/>
          <w:szCs w:val="32"/>
        </w:rPr>
      </w:pPr>
      <w:bookmarkStart w:id="918" w:name="_Toc296503101"/>
      <w:bookmarkStart w:id="919" w:name="_Toc296346602"/>
      <w:bookmarkStart w:id="920" w:name="_Toc15367"/>
      <w:bookmarkStart w:id="921" w:name="_Toc27610"/>
      <w:bookmarkStart w:id="922" w:name="_Toc351203584"/>
      <w:bookmarkStart w:id="923" w:name="_Toc337558803"/>
      <w:r>
        <w:rPr>
          <w:rFonts w:hint="eastAsia" w:ascii="宋体" w:hAnsi="宋体" w:cs="宋体"/>
          <w:bCs/>
          <w:sz w:val="32"/>
          <w:szCs w:val="32"/>
        </w:rPr>
        <w:t>12.4工程进度款支</w:t>
      </w:r>
      <w:bookmarkEnd w:id="918"/>
      <w:bookmarkEnd w:id="919"/>
      <w:r>
        <w:rPr>
          <w:rFonts w:hint="eastAsia" w:ascii="宋体" w:hAnsi="宋体" w:cs="宋体"/>
          <w:bCs/>
          <w:sz w:val="32"/>
          <w:szCs w:val="32"/>
        </w:rPr>
        <w:t>付</w:t>
      </w:r>
      <w:bookmarkEnd w:id="920"/>
      <w:bookmarkEnd w:id="921"/>
      <w:bookmarkEnd w:id="922"/>
    </w:p>
    <w:bookmarkEnd w:id="923"/>
    <w:p w14:paraId="5082A6B4">
      <w:pPr>
        <w:autoSpaceDE w:val="0"/>
        <w:autoSpaceDN w:val="0"/>
        <w:adjustRightInd w:val="0"/>
        <w:spacing w:line="440" w:lineRule="exact"/>
        <w:ind w:firstLine="640" w:firstLineChars="200"/>
        <w:jc w:val="left"/>
        <w:outlineLvl w:val="0"/>
        <w:rPr>
          <w:rFonts w:hint="eastAsia" w:ascii="宋体" w:hAnsi="宋体" w:cs="宋体"/>
          <w:kern w:val="0"/>
          <w:sz w:val="32"/>
          <w:szCs w:val="32"/>
        </w:rPr>
      </w:pPr>
      <w:bookmarkStart w:id="924" w:name="_Toc12646"/>
      <w:bookmarkStart w:id="925" w:name="_Toc256000084"/>
      <w:bookmarkStart w:id="926" w:name="_Toc24717"/>
      <w:bookmarkStart w:id="927" w:name="_Toc256000033"/>
      <w:bookmarkStart w:id="928" w:name="_Toc256000094"/>
      <w:bookmarkStart w:id="929" w:name="_Toc256000230"/>
      <w:r>
        <w:rPr>
          <w:rFonts w:hint="eastAsia" w:ascii="宋体" w:hAnsi="宋体" w:cs="宋体"/>
          <w:sz w:val="32"/>
          <w:szCs w:val="32"/>
        </w:rPr>
        <w:t>12.4</w:t>
      </w:r>
      <w:r>
        <w:rPr>
          <w:rFonts w:hint="eastAsia" w:ascii="宋体" w:hAnsi="宋体" w:cs="宋体"/>
          <w:kern w:val="0"/>
          <w:sz w:val="32"/>
          <w:szCs w:val="32"/>
        </w:rPr>
        <w:t>.1付款周期</w:t>
      </w:r>
      <w:bookmarkEnd w:id="924"/>
      <w:bookmarkEnd w:id="925"/>
      <w:bookmarkEnd w:id="926"/>
      <w:bookmarkEnd w:id="927"/>
      <w:bookmarkEnd w:id="928"/>
      <w:bookmarkEnd w:id="929"/>
    </w:p>
    <w:p w14:paraId="01A2900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除专用合同条款另有约定外，付款周期应按照第12.3.2项〔计量周期〕的约定与计量周期保持一致。</w:t>
      </w:r>
    </w:p>
    <w:p w14:paraId="16FD1E3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12.4</w:t>
      </w:r>
      <w:r>
        <w:rPr>
          <w:rFonts w:hint="eastAsia" w:ascii="宋体" w:hAnsi="宋体" w:cs="宋体"/>
          <w:kern w:val="0"/>
          <w:sz w:val="32"/>
          <w:szCs w:val="32"/>
        </w:rPr>
        <w:t>.2进度付款申请单的编制</w:t>
      </w:r>
    </w:p>
    <w:p w14:paraId="38FC0F6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除专用合同条款另有约定外，进度付款申请单应包括下列内容：</w:t>
      </w:r>
    </w:p>
    <w:p w14:paraId="27FD2AE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（1）截至本次付款周期已完成工作对应的金额；</w:t>
      </w:r>
    </w:p>
    <w:p w14:paraId="1BB47B4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（2）根据第10条〔变更〕应增加和扣减的变更金额；</w:t>
      </w:r>
    </w:p>
    <w:p w14:paraId="7DA5043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（3）根据第12.2款〔预付款〕约定应支付的预付款和扣减的返还预付款；</w:t>
      </w:r>
    </w:p>
    <w:p w14:paraId="09E00AB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（4）根据第15.3款〔质量保证金〕约定应扣减的质量保证金；</w:t>
      </w:r>
    </w:p>
    <w:p w14:paraId="6F083B4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（5）根据第19条〔索赔〕应增加和扣减的索赔金额；</w:t>
      </w:r>
    </w:p>
    <w:p w14:paraId="658C8EE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（6）对已签发的进度款支付证书中出现错误的修正，应在本次进度付款中支付或扣除的金额；</w:t>
      </w:r>
    </w:p>
    <w:p w14:paraId="483F1F4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（7）根据合同约定应增加和扣减的其他金额。</w:t>
      </w:r>
    </w:p>
    <w:p w14:paraId="451DABD0">
      <w:pPr>
        <w:autoSpaceDE w:val="0"/>
        <w:autoSpaceDN w:val="0"/>
        <w:adjustRightInd w:val="0"/>
        <w:spacing w:line="440" w:lineRule="exact"/>
        <w:ind w:firstLine="640" w:firstLineChars="200"/>
        <w:jc w:val="left"/>
        <w:outlineLvl w:val="0"/>
        <w:rPr>
          <w:rFonts w:hint="eastAsia" w:ascii="宋体" w:hAnsi="宋体" w:cs="宋体"/>
          <w:kern w:val="0"/>
          <w:sz w:val="32"/>
          <w:szCs w:val="32"/>
        </w:rPr>
      </w:pPr>
      <w:bookmarkStart w:id="930" w:name="_Toc256000095"/>
      <w:bookmarkStart w:id="931" w:name="_Toc24980"/>
      <w:bookmarkStart w:id="932" w:name="_Toc256000231"/>
      <w:bookmarkStart w:id="933" w:name="_Toc19518"/>
      <w:bookmarkStart w:id="934" w:name="_Toc256000034"/>
      <w:bookmarkStart w:id="935" w:name="_Toc256000085"/>
      <w:r>
        <w:rPr>
          <w:rFonts w:hint="eastAsia" w:ascii="宋体" w:hAnsi="宋体" w:cs="宋体"/>
          <w:kern w:val="0"/>
          <w:sz w:val="32"/>
          <w:szCs w:val="32"/>
        </w:rPr>
        <w:t>12.4.3进度付款申请单的提交</w:t>
      </w:r>
      <w:bookmarkEnd w:id="930"/>
      <w:bookmarkEnd w:id="931"/>
      <w:bookmarkEnd w:id="932"/>
      <w:bookmarkEnd w:id="933"/>
      <w:bookmarkEnd w:id="934"/>
      <w:bookmarkEnd w:id="935"/>
    </w:p>
    <w:p w14:paraId="797DFA0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（1）单价合同进度付款申请单的提交</w:t>
      </w:r>
    </w:p>
    <w:p w14:paraId="480DCAC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单价合同的进度付款申请单，按照第12.3.3项〔单价合同的计量〕约定的时间按月向监理人提交，并附上已完成工程量报表和有关资料。单价合同中的总价项目按月进行支付分解，并汇总列入当期进度付款申请单。</w:t>
      </w:r>
    </w:p>
    <w:p w14:paraId="331D4D9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（2）总价合同进度付款申请单的提交</w:t>
      </w:r>
    </w:p>
    <w:p w14:paraId="749B66B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总价合同按月计量支付的，承包人按照第12.3.4项〔总价合同的计量〕约定的时间按月向监理人提交进度付款申请单，并附上已完成工程量报表和有关资料。</w:t>
      </w:r>
    </w:p>
    <w:p w14:paraId="054CD65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总价合同按支付分解表支付的，承包人应按照第12.4.6项〔支付分解表〕及第12.4.2项〔进度付款申请单的编制〕的约定向监理人提交进度付款申请单。</w:t>
      </w:r>
    </w:p>
    <w:p w14:paraId="38E0AC5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（3）其他价格形式合同的进度付款申请单的提交</w:t>
      </w:r>
    </w:p>
    <w:p w14:paraId="3603609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合同当事人可在专用合同条款中约定其他价格形式合同的进度付款申请单的编制和提交程序。</w:t>
      </w:r>
    </w:p>
    <w:p w14:paraId="2829EC0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12.4</w:t>
      </w:r>
      <w:r>
        <w:rPr>
          <w:rFonts w:hint="eastAsia" w:ascii="宋体" w:hAnsi="宋体" w:cs="宋体"/>
          <w:kern w:val="0"/>
          <w:sz w:val="32"/>
          <w:szCs w:val="32"/>
        </w:rPr>
        <w:t>.4进度款审核和支付</w:t>
      </w:r>
    </w:p>
    <w:p w14:paraId="3E3BEC1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14:paraId="09F6D2B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14:paraId="0A71E60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（2）除专用合同条款另有约定外，发包人应在进度款支付证书或临时进度款支付证书签发后14天内完成支付，发包人逾期支付进度款的，应按照中国人民银行发布的同期同类贷款基准利率支付违约金。</w:t>
      </w:r>
    </w:p>
    <w:p w14:paraId="29723A5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（3）发包人签发进度款支付证书或临时进度款支付证书，不表明发包人已同意、批准或接受了承包人完成的相应部分的工作。</w:t>
      </w:r>
    </w:p>
    <w:p w14:paraId="5FFDFD6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12.4.5进度付款的修正</w:t>
      </w:r>
    </w:p>
    <w:p w14:paraId="702239D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在对已签发的进度款支付证书进行阶段汇总和复核中发现错误、遗漏或重复的，发包人和承包人均有权提出修正申请。经发包人和承包人同意的修正，应在下期进度付款中支付或扣除。</w:t>
      </w:r>
    </w:p>
    <w:p w14:paraId="795F27F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12.4.6支付分解表</w:t>
      </w:r>
    </w:p>
    <w:p w14:paraId="774B7EE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1.支付分解表的编制要求</w:t>
      </w:r>
    </w:p>
    <w:p w14:paraId="217F60A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（1）支付分解表中所列的每期付款金额，应为第12.4.2项〔进度付款申请单的编制〕第（1）目的估算金额；</w:t>
      </w:r>
    </w:p>
    <w:p w14:paraId="7C2D367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（2）实际进度与施工进度计划不一致的，合同当事人可按照第4.4款〔商定或确定〕修改支付分解表；</w:t>
      </w:r>
    </w:p>
    <w:p w14:paraId="54FFBAD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（3）不采用支付分解表的，承包人应向发包人和监理人提交按季度编制的支付估算分解表，用于支付参考。</w:t>
      </w:r>
    </w:p>
    <w:p w14:paraId="22C0E1E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2.总价合同支付分解表的编制与审批</w:t>
      </w:r>
    </w:p>
    <w:p w14:paraId="23E303C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5524722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（2）监理人应在收到支付分解表后7天内完成审核并报送发包人。发包人应在收到经监理人审核的支付分解表后7天内完成审批，经发包人批准的支付分解表为有约束力的支付分解表。</w:t>
      </w:r>
    </w:p>
    <w:p w14:paraId="26D7FCB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（3）发包人逾期未完成支付分解表审批的，也未及时要求承包人进行修正和提供补充资料的，则承包人提交的支付分解表视为已经获得发包人批准。</w:t>
      </w:r>
    </w:p>
    <w:p w14:paraId="093D02D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3.单价合同的总价项目支付分解表的编制与审批</w:t>
      </w:r>
    </w:p>
    <w:p w14:paraId="58F20AF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4D26543D">
      <w:pPr>
        <w:keepNext/>
        <w:keepLines/>
        <w:spacing w:line="440" w:lineRule="exact"/>
        <w:ind w:firstLine="640" w:firstLineChars="200"/>
        <w:outlineLvl w:val="4"/>
        <w:rPr>
          <w:rFonts w:hint="eastAsia" w:ascii="宋体" w:hAnsi="宋体" w:cs="宋体"/>
          <w:bCs/>
          <w:sz w:val="32"/>
          <w:szCs w:val="32"/>
        </w:rPr>
      </w:pPr>
      <w:bookmarkStart w:id="936" w:name="_Toc25159"/>
      <w:bookmarkStart w:id="937" w:name="_Toc13456"/>
      <w:bookmarkStart w:id="938" w:name="_Toc351203585"/>
      <w:r>
        <w:rPr>
          <w:rFonts w:hint="eastAsia" w:ascii="宋体" w:hAnsi="宋体" w:cs="宋体"/>
          <w:bCs/>
          <w:sz w:val="32"/>
          <w:szCs w:val="32"/>
        </w:rPr>
        <w:t>12.5支付账户</w:t>
      </w:r>
      <w:bookmarkEnd w:id="936"/>
      <w:bookmarkEnd w:id="937"/>
      <w:bookmarkEnd w:id="938"/>
    </w:p>
    <w:p w14:paraId="77EAF49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发包人应将合同价款支付至合同协议书中约定的承包人账户。</w:t>
      </w:r>
    </w:p>
    <w:p w14:paraId="4091307C">
      <w:pPr>
        <w:keepNext/>
        <w:keepLines/>
        <w:spacing w:line="440" w:lineRule="exact"/>
        <w:ind w:firstLine="640" w:firstLineChars="200"/>
        <w:outlineLvl w:val="3"/>
        <w:rPr>
          <w:rFonts w:hint="eastAsia" w:ascii="宋体" w:hAnsi="宋体" w:cs="宋体"/>
          <w:bCs/>
          <w:sz w:val="32"/>
          <w:szCs w:val="32"/>
        </w:rPr>
      </w:pPr>
      <w:bookmarkStart w:id="939" w:name="_Toc5085"/>
      <w:bookmarkStart w:id="940" w:name="_Toc12648"/>
      <w:bookmarkStart w:id="941" w:name="_Toc351203586"/>
      <w:bookmarkStart w:id="942" w:name="_Toc296503106"/>
      <w:bookmarkStart w:id="943" w:name="_Toc337558804"/>
      <w:bookmarkStart w:id="944" w:name="_Toc296346607"/>
      <w:bookmarkStart w:id="945" w:name="_Toc322522574"/>
      <w:r>
        <w:rPr>
          <w:rFonts w:hint="eastAsia" w:ascii="宋体" w:hAnsi="宋体" w:cs="宋体"/>
          <w:bCs/>
          <w:sz w:val="32"/>
          <w:szCs w:val="32"/>
        </w:rPr>
        <w:t>13.验收和工程试车</w:t>
      </w:r>
      <w:bookmarkEnd w:id="939"/>
      <w:bookmarkEnd w:id="940"/>
      <w:bookmarkEnd w:id="941"/>
    </w:p>
    <w:bookmarkEnd w:id="942"/>
    <w:bookmarkEnd w:id="943"/>
    <w:bookmarkEnd w:id="944"/>
    <w:bookmarkEnd w:id="945"/>
    <w:p w14:paraId="76E279CA">
      <w:pPr>
        <w:keepNext/>
        <w:keepLines/>
        <w:spacing w:line="440" w:lineRule="exact"/>
        <w:ind w:firstLine="640" w:firstLineChars="200"/>
        <w:outlineLvl w:val="4"/>
        <w:rPr>
          <w:rFonts w:hint="eastAsia" w:ascii="宋体" w:hAnsi="宋体" w:cs="宋体"/>
          <w:bCs/>
          <w:sz w:val="32"/>
          <w:szCs w:val="32"/>
        </w:rPr>
      </w:pPr>
      <w:bookmarkStart w:id="946" w:name="_Toc7641"/>
      <w:bookmarkStart w:id="947" w:name="_Toc389"/>
      <w:bookmarkStart w:id="948" w:name="_Toc351203587"/>
      <w:bookmarkStart w:id="949" w:name="_Toc337558805"/>
      <w:bookmarkStart w:id="950" w:name="_Toc296346611"/>
      <w:bookmarkStart w:id="951" w:name="_Toc296503110"/>
      <w:r>
        <w:rPr>
          <w:rFonts w:hint="eastAsia" w:ascii="宋体" w:hAnsi="宋体" w:cs="宋体"/>
          <w:bCs/>
          <w:sz w:val="32"/>
          <w:szCs w:val="32"/>
        </w:rPr>
        <w:t>13.1分部分项工程验收</w:t>
      </w:r>
      <w:bookmarkEnd w:id="946"/>
      <w:bookmarkEnd w:id="947"/>
      <w:bookmarkEnd w:id="948"/>
    </w:p>
    <w:bookmarkEnd w:id="949"/>
    <w:p w14:paraId="37EF9145">
      <w:pPr>
        <w:spacing w:line="440" w:lineRule="exact"/>
        <w:ind w:firstLine="640" w:firstLineChars="200"/>
        <w:rPr>
          <w:rFonts w:hint="eastAsia" w:ascii="宋体" w:hAnsi="宋体" w:cs="宋体"/>
          <w:sz w:val="32"/>
          <w:szCs w:val="32"/>
        </w:rPr>
      </w:pPr>
      <w:r>
        <w:rPr>
          <w:rFonts w:hint="eastAsia" w:ascii="宋体" w:hAnsi="宋体" w:cs="宋体"/>
          <w:sz w:val="32"/>
          <w:szCs w:val="32"/>
        </w:rPr>
        <w:t>13.1.1分部分项工程质量应符合国家有关工程施工验收规范、标准及合同约定，承包人应按照施工组织设计的要求完成分部分项工程施工。</w:t>
      </w:r>
    </w:p>
    <w:p w14:paraId="113A55FF">
      <w:pPr>
        <w:spacing w:line="440" w:lineRule="exact"/>
        <w:ind w:firstLine="640" w:firstLineChars="200"/>
        <w:rPr>
          <w:rFonts w:hint="eastAsia" w:ascii="宋体" w:hAnsi="宋体" w:cs="宋体"/>
          <w:sz w:val="32"/>
          <w:szCs w:val="32"/>
        </w:rPr>
      </w:pPr>
      <w:r>
        <w:rPr>
          <w:rFonts w:hint="eastAsia" w:ascii="宋体" w:hAnsi="宋体" w:cs="宋体"/>
          <w:sz w:val="32"/>
          <w:szCs w:val="32"/>
        </w:rPr>
        <w:t>13.1.2除专用合同条款另有约定外，分部分项工程经承包人自检合格并具备验收条件的，承包人应提前48小时通知监理人进行验收。</w:t>
      </w:r>
      <w:r>
        <w:rPr>
          <w:rFonts w:hint="eastAsia" w:ascii="宋体" w:hAnsi="宋体" w:cs="宋体"/>
          <w:kern w:val="0"/>
          <w:sz w:val="32"/>
          <w:szCs w:val="32"/>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宋体" w:hAnsi="宋体" w:cs="宋体"/>
          <w:sz w:val="32"/>
          <w:szCs w:val="32"/>
        </w:rPr>
        <w:t>分部分项工程未经验收的，不得进入下一道工序施工。</w:t>
      </w:r>
    </w:p>
    <w:p w14:paraId="1ACC9957">
      <w:pPr>
        <w:spacing w:line="440" w:lineRule="exact"/>
        <w:ind w:firstLine="640" w:firstLineChars="200"/>
        <w:rPr>
          <w:rFonts w:hint="eastAsia" w:ascii="宋体" w:hAnsi="宋体" w:cs="宋体"/>
          <w:sz w:val="32"/>
          <w:szCs w:val="32"/>
        </w:rPr>
      </w:pPr>
      <w:r>
        <w:rPr>
          <w:rFonts w:hint="eastAsia" w:ascii="宋体" w:hAnsi="宋体" w:cs="宋体"/>
          <w:sz w:val="32"/>
          <w:szCs w:val="32"/>
        </w:rPr>
        <w:t>分部分项工程的验收资料应当作为竣工资料的组成部分。</w:t>
      </w:r>
    </w:p>
    <w:p w14:paraId="5DC9F092">
      <w:pPr>
        <w:keepNext/>
        <w:keepLines/>
        <w:spacing w:line="440" w:lineRule="exact"/>
        <w:ind w:firstLine="640" w:firstLineChars="200"/>
        <w:outlineLvl w:val="4"/>
        <w:rPr>
          <w:rFonts w:hint="eastAsia" w:ascii="宋体" w:hAnsi="宋体" w:cs="宋体"/>
          <w:bCs/>
          <w:sz w:val="32"/>
          <w:szCs w:val="32"/>
        </w:rPr>
      </w:pPr>
      <w:bookmarkStart w:id="952" w:name="_Toc1310"/>
      <w:bookmarkStart w:id="953" w:name="_Toc351203588"/>
      <w:bookmarkStart w:id="954" w:name="_Toc30252"/>
      <w:bookmarkStart w:id="955" w:name="_Toc337558806"/>
      <w:r>
        <w:rPr>
          <w:rFonts w:hint="eastAsia" w:ascii="宋体" w:hAnsi="宋体" w:cs="宋体"/>
          <w:bCs/>
          <w:sz w:val="32"/>
          <w:szCs w:val="32"/>
        </w:rPr>
        <w:t>13.2竣工验收</w:t>
      </w:r>
      <w:bookmarkEnd w:id="952"/>
      <w:bookmarkEnd w:id="953"/>
      <w:bookmarkEnd w:id="954"/>
    </w:p>
    <w:bookmarkEnd w:id="950"/>
    <w:bookmarkEnd w:id="951"/>
    <w:bookmarkEnd w:id="955"/>
    <w:p w14:paraId="21987BD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13.2.1竣工验收条件</w:t>
      </w:r>
    </w:p>
    <w:p w14:paraId="0B57774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工程具备以下条件的，承包人可以申请竣工验收：</w:t>
      </w:r>
    </w:p>
    <w:p w14:paraId="72F962C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（1）除发包人同意的甩项工作和缺陷修补工作外，合同范围内的全部工程以及有关工作，包括合同要求的试验、试运行以及检验均已完成，并符合合同要求；</w:t>
      </w:r>
    </w:p>
    <w:p w14:paraId="526CDDF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（2）已按合同约定编制了甩项工作和缺陷修补工作清单以及相应的施工计划；</w:t>
      </w:r>
    </w:p>
    <w:p w14:paraId="1418E75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（3）已按合同约定的内容和份数备齐竣工资料。</w:t>
      </w:r>
    </w:p>
    <w:p w14:paraId="3F64D49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13.2.2竣工验收程序</w:t>
      </w:r>
    </w:p>
    <w:p w14:paraId="18C7A95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除专用合同条款另有约定外，承包人申请竣工验收的，应当按照以下程序进行：</w:t>
      </w:r>
    </w:p>
    <w:p w14:paraId="45DDCA8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481FD99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（2）监理人审查后认为已具备竣工验收条件的，应将竣工验收申请报告提交发包人，发包人应在收到经监理人审核的竣工验收申请报告后28天内审批完毕并组织监理人、承包人、设计人等相关单位完成竣工验收。</w:t>
      </w:r>
    </w:p>
    <w:p w14:paraId="32C1558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（3）竣工验收合格的，发包人应在验收合格后14天内向承包人签发工程接收证书。发包人无正当理由逾期不颁发工程接收证书的，自验收合格后第15天起视为已颁发工程接收证书。</w:t>
      </w:r>
    </w:p>
    <w:p w14:paraId="4A59088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3AF7B80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0B76DAC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除专用合同条款另有约定外，发包人不按照本项约定组织竣工验收、颁发工程接收证书的，每逾期一天，应以签约合同价为基数，按照中国人民银行发布的同期同类贷款基准利率支付违约金。</w:t>
      </w:r>
    </w:p>
    <w:p w14:paraId="599B2D0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13.2.3竣工日期</w:t>
      </w:r>
    </w:p>
    <w:p w14:paraId="7C28667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956" w:name="#go14"/>
      <w:bookmarkEnd w:id="956"/>
      <w:r>
        <w:rPr>
          <w:rFonts w:hint="eastAsia" w:ascii="宋体" w:hAnsi="宋体" w:cs="宋体"/>
          <w:kern w:val="0"/>
          <w:sz w:val="32"/>
          <w:szCs w:val="32"/>
        </w:rPr>
        <w:t>收申请报告的日期为实际竣工日期；工程未经竣工验收，发包人擅自使用的，以转移占有工程之日为实际竣工日期。</w:t>
      </w:r>
    </w:p>
    <w:p w14:paraId="2DA32F38">
      <w:pPr>
        <w:spacing w:line="440" w:lineRule="exact"/>
        <w:ind w:firstLine="640" w:firstLineChars="200"/>
        <w:jc w:val="left"/>
        <w:outlineLvl w:val="0"/>
        <w:rPr>
          <w:rFonts w:hint="eastAsia" w:ascii="宋体" w:hAnsi="宋体" w:cs="宋体"/>
          <w:kern w:val="0"/>
          <w:sz w:val="32"/>
          <w:szCs w:val="32"/>
        </w:rPr>
      </w:pPr>
      <w:bookmarkStart w:id="957" w:name="_Toc256000035"/>
      <w:bookmarkStart w:id="958" w:name="_Toc256000232"/>
      <w:bookmarkStart w:id="959" w:name="_Toc22837"/>
      <w:bookmarkStart w:id="960" w:name="_Toc141"/>
      <w:bookmarkStart w:id="961" w:name="_Toc256000096"/>
      <w:bookmarkStart w:id="962" w:name="_Toc256000086"/>
      <w:r>
        <w:rPr>
          <w:rFonts w:hint="eastAsia" w:ascii="宋体" w:hAnsi="宋体" w:cs="宋体"/>
          <w:kern w:val="0"/>
          <w:sz w:val="32"/>
          <w:szCs w:val="32"/>
        </w:rPr>
        <w:t>13.2.4拒绝接收全部或部分工程</w:t>
      </w:r>
      <w:bookmarkEnd w:id="957"/>
      <w:bookmarkEnd w:id="958"/>
      <w:bookmarkEnd w:id="959"/>
      <w:bookmarkEnd w:id="960"/>
      <w:bookmarkEnd w:id="961"/>
      <w:bookmarkEnd w:id="962"/>
    </w:p>
    <w:p w14:paraId="77B6752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3FAFDB9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13.2.5移交、接收全部与部分工程</w:t>
      </w:r>
    </w:p>
    <w:p w14:paraId="655AF2B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除专用合同条款另有约定外，合同当事人应当在颁发工程接收证书后7天内完成工程的移交。</w:t>
      </w:r>
    </w:p>
    <w:p w14:paraId="7FC1419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发包人无正当理由不接收工程的，发包人自应当接收工程之日起，承担工程照管、成品保护、保管等与工程有关的各项费用，合同当事人可以在专用合同条款中另行约定发包人逾期接收工程的违约责任。</w:t>
      </w:r>
    </w:p>
    <w:p w14:paraId="4C95621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承包人无正当理由不移交工程的，承包人应承担工程照管、成品保护、保管等与工程有关的各项费用，合同当事人可以在专用合同条款中另行约定承包人无正当理由不移交工程的违约责任。</w:t>
      </w:r>
    </w:p>
    <w:p w14:paraId="64754990">
      <w:pPr>
        <w:keepNext/>
        <w:keepLines/>
        <w:spacing w:line="440" w:lineRule="exact"/>
        <w:ind w:firstLine="640" w:firstLineChars="200"/>
        <w:outlineLvl w:val="4"/>
        <w:rPr>
          <w:rFonts w:hint="eastAsia" w:ascii="宋体" w:hAnsi="宋体" w:cs="宋体"/>
          <w:bCs/>
          <w:sz w:val="32"/>
          <w:szCs w:val="32"/>
        </w:rPr>
      </w:pPr>
      <w:bookmarkStart w:id="963" w:name="_Toc1231"/>
      <w:bookmarkStart w:id="964" w:name="_Toc20535"/>
      <w:bookmarkStart w:id="965" w:name="_Toc351203589"/>
      <w:bookmarkStart w:id="966" w:name="_Toc337558807"/>
      <w:bookmarkStart w:id="967" w:name="_Toc296346612"/>
      <w:bookmarkStart w:id="968" w:name="_Toc296503111"/>
      <w:r>
        <w:rPr>
          <w:rFonts w:hint="eastAsia" w:ascii="宋体" w:hAnsi="宋体" w:cs="宋体"/>
          <w:bCs/>
          <w:sz w:val="32"/>
          <w:szCs w:val="32"/>
        </w:rPr>
        <w:t>13.3工程试车</w:t>
      </w:r>
      <w:bookmarkEnd w:id="963"/>
      <w:bookmarkEnd w:id="964"/>
      <w:bookmarkEnd w:id="965"/>
    </w:p>
    <w:bookmarkEnd w:id="966"/>
    <w:bookmarkEnd w:id="967"/>
    <w:bookmarkEnd w:id="968"/>
    <w:p w14:paraId="3B50674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13.3.1试车程序</w:t>
      </w:r>
    </w:p>
    <w:p w14:paraId="34254E9D">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工程需要试车的，除专用合同条款另有约定外，试车内容应与承包人承包范围相一致，试车费用由承包人承担。工程试车应按如下程序进行：</w:t>
      </w:r>
    </w:p>
    <w:p w14:paraId="3E1522B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6847B71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7A6AE84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5001F18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13.3.2试车中的责任</w:t>
      </w:r>
    </w:p>
    <w:p w14:paraId="130ED6B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6226C4B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3AD2151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13.3.3投料试车</w:t>
      </w:r>
    </w:p>
    <w:p w14:paraId="3A31345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如需进行投料试车的，发包人应在工程竣工验收后组织投料试车。发包人要求在工程竣工验收前进行或需要承包人配合时，应征得承包人同意，并在专用合同条款中约定有关事项。</w:t>
      </w:r>
    </w:p>
    <w:p w14:paraId="05E4CD8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5A1134ED">
      <w:pPr>
        <w:keepNext/>
        <w:keepLines/>
        <w:spacing w:line="440" w:lineRule="exact"/>
        <w:ind w:firstLine="640" w:firstLineChars="200"/>
        <w:outlineLvl w:val="4"/>
        <w:rPr>
          <w:rFonts w:hint="eastAsia" w:ascii="宋体" w:hAnsi="宋体" w:cs="宋体"/>
          <w:bCs/>
          <w:sz w:val="32"/>
          <w:szCs w:val="32"/>
        </w:rPr>
      </w:pPr>
      <w:bookmarkStart w:id="969" w:name="_Toc351203590"/>
      <w:bookmarkStart w:id="970" w:name="_Toc8589"/>
      <w:bookmarkStart w:id="971" w:name="_Toc13703"/>
      <w:bookmarkStart w:id="972" w:name="_Toc337558808"/>
      <w:r>
        <w:rPr>
          <w:rFonts w:hint="eastAsia" w:ascii="宋体" w:hAnsi="宋体" w:cs="宋体"/>
          <w:bCs/>
          <w:sz w:val="32"/>
          <w:szCs w:val="32"/>
        </w:rPr>
        <w:t>13.4提前交付单位工程的验收</w:t>
      </w:r>
      <w:bookmarkEnd w:id="969"/>
      <w:bookmarkEnd w:id="970"/>
      <w:bookmarkEnd w:id="971"/>
    </w:p>
    <w:bookmarkEnd w:id="972"/>
    <w:p w14:paraId="56D4158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13.4.1发包人需要在工程竣工前使用单位工程的，或承包人提出提前交付已经竣工的单位工程且经发包人同意的，可进行单位工程验收，验收的程序按照第13.2款〔竣工验收〕的约定进行。</w:t>
      </w:r>
    </w:p>
    <w:p w14:paraId="56F6C06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验收合格后，由监理人向承包人出具经发包人签认的单位工程接收证书。已签发单位工程接收证书的单位工程由发包人负责照管。单位工程的验收成果和结论作为整体工程竣工验收申请报告的附件。</w:t>
      </w:r>
    </w:p>
    <w:p w14:paraId="552C378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13.4.2发包人要求在工程竣工前交付单位工程，由此导致承包人费用增加和（或）工期延误的，由发包人承担由此增加的费用和（或）延误的工期，并支付承包人合理的利润。</w:t>
      </w:r>
    </w:p>
    <w:p w14:paraId="2C631E85">
      <w:pPr>
        <w:keepNext/>
        <w:keepLines/>
        <w:spacing w:line="440" w:lineRule="exact"/>
        <w:ind w:firstLine="640" w:firstLineChars="200"/>
        <w:outlineLvl w:val="4"/>
        <w:rPr>
          <w:rFonts w:hint="eastAsia" w:ascii="宋体" w:hAnsi="宋体" w:cs="宋体"/>
          <w:bCs/>
          <w:sz w:val="32"/>
          <w:szCs w:val="32"/>
        </w:rPr>
      </w:pPr>
      <w:bookmarkStart w:id="973" w:name="_Toc6628"/>
      <w:bookmarkStart w:id="974" w:name="_Toc351203591"/>
      <w:bookmarkStart w:id="975" w:name="_Toc13271"/>
      <w:r>
        <w:rPr>
          <w:rFonts w:hint="eastAsia" w:ascii="宋体" w:hAnsi="宋体" w:cs="宋体"/>
          <w:bCs/>
          <w:sz w:val="32"/>
          <w:szCs w:val="32"/>
        </w:rPr>
        <w:t>13.5施工期运行</w:t>
      </w:r>
      <w:bookmarkEnd w:id="973"/>
      <w:bookmarkEnd w:id="974"/>
      <w:bookmarkEnd w:id="975"/>
    </w:p>
    <w:p w14:paraId="2DD0923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13.5.1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14:paraId="6E02B7E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13.5.2在施工期运行中发现工程或工程设备损坏或存在缺陷的，由承包人按第15.2款〔缺陷责任期〕约定进行修复。</w:t>
      </w:r>
    </w:p>
    <w:p w14:paraId="012CFE26">
      <w:pPr>
        <w:keepNext/>
        <w:keepLines/>
        <w:spacing w:line="440" w:lineRule="exact"/>
        <w:ind w:firstLine="640" w:firstLineChars="200"/>
        <w:outlineLvl w:val="4"/>
        <w:rPr>
          <w:rFonts w:hint="eastAsia" w:ascii="宋体" w:hAnsi="宋体" w:cs="宋体"/>
          <w:bCs/>
          <w:sz w:val="32"/>
          <w:szCs w:val="32"/>
        </w:rPr>
      </w:pPr>
      <w:bookmarkStart w:id="976" w:name="_Toc296346613"/>
      <w:bookmarkStart w:id="977" w:name="_Toc296503112"/>
      <w:bookmarkStart w:id="978" w:name="_Toc32134"/>
      <w:bookmarkStart w:id="979" w:name="_Toc351203592"/>
      <w:bookmarkStart w:id="980" w:name="_Toc27824"/>
      <w:bookmarkStart w:id="981" w:name="_Toc337558809"/>
      <w:r>
        <w:rPr>
          <w:rFonts w:hint="eastAsia" w:ascii="宋体" w:hAnsi="宋体" w:cs="宋体"/>
          <w:bCs/>
          <w:sz w:val="32"/>
          <w:szCs w:val="32"/>
        </w:rPr>
        <w:t>13.6竣工退</w:t>
      </w:r>
      <w:bookmarkEnd w:id="976"/>
      <w:bookmarkEnd w:id="977"/>
      <w:r>
        <w:rPr>
          <w:rFonts w:hint="eastAsia" w:ascii="宋体" w:hAnsi="宋体" w:cs="宋体"/>
          <w:bCs/>
          <w:sz w:val="32"/>
          <w:szCs w:val="32"/>
        </w:rPr>
        <w:t>场</w:t>
      </w:r>
      <w:bookmarkEnd w:id="978"/>
      <w:bookmarkEnd w:id="979"/>
      <w:bookmarkEnd w:id="980"/>
    </w:p>
    <w:bookmarkEnd w:id="981"/>
    <w:p w14:paraId="21847D9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13.6.1竣工退场</w:t>
      </w:r>
    </w:p>
    <w:p w14:paraId="4A7583E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颁发工程接收证书后，承包人应按以下要求对施工现场进行清理：</w:t>
      </w:r>
    </w:p>
    <w:p w14:paraId="3C307AD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（1）施工现场内残留的垃圾已全部清除出场；</w:t>
      </w:r>
    </w:p>
    <w:p w14:paraId="26EFD7A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（2）临时工程已拆除，场地已进行清理、平整或复原；</w:t>
      </w:r>
    </w:p>
    <w:p w14:paraId="46ED3BC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（3）按合同约定应撤离的人员、承包人施工设备和剩余的材料，包括废弃的施工设备和材料，已按计划撤离施工现场；</w:t>
      </w:r>
    </w:p>
    <w:p w14:paraId="621252E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（4）施工现场周边及其附近道路、河道的施工堆积物，已全部清理；</w:t>
      </w:r>
    </w:p>
    <w:p w14:paraId="17B9DA4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（5）施工现场其他场地清理工作已全部完成。</w:t>
      </w:r>
    </w:p>
    <w:p w14:paraId="2A7145A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779EA64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13.6.2地表还原</w:t>
      </w:r>
    </w:p>
    <w:p w14:paraId="0DBE2A8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承包人应按发包人要求恢复临时占地及清理场地，承包人未按发包人的要求恢复临时占地，或者场地清理未达到合同约定要求的，发包人有权委托其他人恢复或清理，所发生的费用由承包人承担。</w:t>
      </w:r>
    </w:p>
    <w:p w14:paraId="718B4FF6">
      <w:pPr>
        <w:keepNext/>
        <w:keepLines/>
        <w:spacing w:line="440" w:lineRule="exact"/>
        <w:ind w:firstLine="640" w:firstLineChars="200"/>
        <w:outlineLvl w:val="3"/>
        <w:rPr>
          <w:rFonts w:hint="eastAsia" w:ascii="宋体" w:hAnsi="宋体" w:cs="宋体"/>
          <w:bCs/>
          <w:sz w:val="32"/>
          <w:szCs w:val="32"/>
        </w:rPr>
      </w:pPr>
      <w:bookmarkStart w:id="982" w:name="_Toc30622"/>
      <w:bookmarkStart w:id="983" w:name="_Toc351203593"/>
      <w:bookmarkStart w:id="984" w:name="_Toc337558810"/>
      <w:bookmarkStart w:id="985" w:name="_Toc296503113"/>
      <w:bookmarkStart w:id="986" w:name="_Toc296346614"/>
      <w:r>
        <w:rPr>
          <w:rFonts w:hint="eastAsia" w:ascii="宋体" w:hAnsi="宋体" w:cs="宋体"/>
          <w:bCs/>
          <w:sz w:val="32"/>
          <w:szCs w:val="32"/>
        </w:rPr>
        <w:t>14.竣工结算</w:t>
      </w:r>
      <w:bookmarkEnd w:id="982"/>
      <w:bookmarkEnd w:id="983"/>
    </w:p>
    <w:bookmarkEnd w:id="984"/>
    <w:p w14:paraId="3AB37D16">
      <w:pPr>
        <w:keepNext/>
        <w:keepLines/>
        <w:spacing w:line="440" w:lineRule="exact"/>
        <w:ind w:firstLine="640" w:firstLineChars="200"/>
        <w:outlineLvl w:val="4"/>
        <w:rPr>
          <w:rFonts w:hint="eastAsia" w:ascii="宋体" w:hAnsi="宋体" w:cs="宋体"/>
          <w:bCs/>
          <w:sz w:val="32"/>
          <w:szCs w:val="32"/>
        </w:rPr>
      </w:pPr>
      <w:bookmarkStart w:id="987" w:name="_Toc351203594"/>
      <w:bookmarkStart w:id="988" w:name="_Toc1807"/>
      <w:bookmarkStart w:id="989" w:name="_Toc14733"/>
      <w:bookmarkStart w:id="990" w:name="_Toc337558811"/>
      <w:r>
        <w:rPr>
          <w:rFonts w:hint="eastAsia" w:ascii="宋体" w:hAnsi="宋体" w:cs="宋体"/>
          <w:bCs/>
          <w:sz w:val="32"/>
          <w:szCs w:val="32"/>
        </w:rPr>
        <w:t>14.1竣工结算申请</w:t>
      </w:r>
      <w:bookmarkEnd w:id="987"/>
      <w:bookmarkEnd w:id="988"/>
      <w:bookmarkEnd w:id="989"/>
    </w:p>
    <w:bookmarkEnd w:id="990"/>
    <w:p w14:paraId="574EB764">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除专用合同条款另有约定外，</w:t>
      </w:r>
      <w:r>
        <w:rPr>
          <w:rFonts w:hint="eastAsia" w:ascii="宋体" w:hAnsi="宋体" w:cs="宋体"/>
          <w:sz w:val="32"/>
          <w:szCs w:val="32"/>
        </w:rPr>
        <w:t>承包人应在工程竣工验收合格后28天内向发包人和监理人提交竣工结算申请单，并提交完整的结算资料，有关竣工结算申请单的资料清单和份数等要求由合同当事人在专用合同条款中约定。</w:t>
      </w:r>
    </w:p>
    <w:p w14:paraId="1CB64F60">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除专用合同条款另有约定外，竣工结算申请单应包括以下内容：</w:t>
      </w:r>
    </w:p>
    <w:p w14:paraId="326E96BC">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（1）竣工结算合同价格；</w:t>
      </w:r>
    </w:p>
    <w:p w14:paraId="485A8E6E">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（2）发包人已支付承包人的款项；</w:t>
      </w:r>
    </w:p>
    <w:p w14:paraId="3BDA1094">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（3）应扣留的质量保证金。已缴纳履约保证金的或提供其他工程质量担保方式的除外；</w:t>
      </w:r>
    </w:p>
    <w:p w14:paraId="59D504A7">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（4）发包人应支付承包人的合同价款。</w:t>
      </w:r>
    </w:p>
    <w:p w14:paraId="05F8471B">
      <w:pPr>
        <w:keepNext/>
        <w:keepLines/>
        <w:spacing w:line="440" w:lineRule="exact"/>
        <w:ind w:firstLine="640" w:firstLineChars="200"/>
        <w:outlineLvl w:val="4"/>
        <w:rPr>
          <w:rFonts w:hint="eastAsia" w:ascii="宋体" w:hAnsi="宋体" w:cs="宋体"/>
          <w:bCs/>
          <w:sz w:val="32"/>
          <w:szCs w:val="32"/>
        </w:rPr>
      </w:pPr>
      <w:bookmarkStart w:id="991" w:name="_Toc7460"/>
      <w:bookmarkStart w:id="992" w:name="_Toc17805"/>
      <w:bookmarkStart w:id="993" w:name="_Toc351203595"/>
      <w:bookmarkStart w:id="994" w:name="_Toc337558812"/>
      <w:r>
        <w:rPr>
          <w:rFonts w:hint="eastAsia" w:ascii="宋体" w:hAnsi="宋体" w:cs="宋体"/>
          <w:bCs/>
          <w:sz w:val="32"/>
          <w:szCs w:val="32"/>
        </w:rPr>
        <w:t>14.2竣工结算审核</w:t>
      </w:r>
      <w:bookmarkEnd w:id="991"/>
      <w:bookmarkEnd w:id="992"/>
      <w:bookmarkEnd w:id="993"/>
    </w:p>
    <w:bookmarkEnd w:id="994"/>
    <w:p w14:paraId="0EC54CD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宋体" w:hAnsi="宋体" w:cs="宋体"/>
          <w:sz w:val="32"/>
          <w:szCs w:val="32"/>
        </w:rPr>
        <w:t>发包人对竣工</w:t>
      </w:r>
      <w:r>
        <w:rPr>
          <w:rFonts w:hint="eastAsia" w:ascii="宋体" w:hAnsi="宋体" w:cs="宋体"/>
          <w:kern w:val="0"/>
          <w:sz w:val="32"/>
          <w:szCs w:val="32"/>
        </w:rPr>
        <w:t>结算</w:t>
      </w:r>
      <w:r>
        <w:rPr>
          <w:rFonts w:hint="eastAsia" w:ascii="宋体" w:hAnsi="宋体" w:cs="宋体"/>
          <w:sz w:val="32"/>
          <w:szCs w:val="32"/>
        </w:rPr>
        <w:t>申请单有异议的，有权要求承包人进行修正和提供补充资料，承包人应提交修正后的竣工</w:t>
      </w:r>
      <w:r>
        <w:rPr>
          <w:rFonts w:hint="eastAsia" w:ascii="宋体" w:hAnsi="宋体" w:cs="宋体"/>
          <w:kern w:val="0"/>
          <w:sz w:val="32"/>
          <w:szCs w:val="32"/>
        </w:rPr>
        <w:t>结算</w:t>
      </w:r>
      <w:r>
        <w:rPr>
          <w:rFonts w:hint="eastAsia" w:ascii="宋体" w:hAnsi="宋体" w:cs="宋体"/>
          <w:sz w:val="32"/>
          <w:szCs w:val="32"/>
        </w:rPr>
        <w:t>申请单。</w:t>
      </w:r>
    </w:p>
    <w:p w14:paraId="2A00CE0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1E4F880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除专用合同条款另有约定外，发包人应在签发竣工付款证书后的14天内，完成对承包人的竣工付款。发包人逾期支付的，按照中国人民银行发布的同期同类贷款基准利率支付违约金；逾期支付超过56天的，按照中国人民银行发布的同期同类贷款基准利率的两倍支付违约金。</w:t>
      </w:r>
    </w:p>
    <w:p w14:paraId="7808242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14:paraId="445F0D0B">
      <w:pPr>
        <w:keepNext/>
        <w:keepLines/>
        <w:spacing w:line="440" w:lineRule="exact"/>
        <w:ind w:firstLine="640" w:firstLineChars="200"/>
        <w:outlineLvl w:val="4"/>
        <w:rPr>
          <w:rFonts w:hint="eastAsia" w:ascii="宋体" w:hAnsi="宋体" w:cs="宋体"/>
          <w:bCs/>
          <w:sz w:val="32"/>
          <w:szCs w:val="32"/>
        </w:rPr>
      </w:pPr>
      <w:bookmarkStart w:id="995" w:name="_Toc20059"/>
      <w:bookmarkStart w:id="996" w:name="_Toc17617"/>
      <w:bookmarkStart w:id="997" w:name="_Toc351203596"/>
      <w:bookmarkStart w:id="998" w:name="_Toc337558813"/>
      <w:r>
        <w:rPr>
          <w:rFonts w:hint="eastAsia" w:ascii="宋体" w:hAnsi="宋体" w:cs="宋体"/>
          <w:bCs/>
          <w:sz w:val="32"/>
          <w:szCs w:val="32"/>
        </w:rPr>
        <w:t>14.3甩项竣工协议</w:t>
      </w:r>
      <w:bookmarkEnd w:id="995"/>
      <w:bookmarkEnd w:id="996"/>
      <w:bookmarkEnd w:id="997"/>
    </w:p>
    <w:bookmarkEnd w:id="998"/>
    <w:p w14:paraId="37DA333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发包人要求甩项竣工的，合同当事人应签订甩项竣工协议。在甩项竣工协议中应明确，合同当事人按照第14.1款〔竣工结算申请〕及14.2款〔竣工结算审核〕的约定，对已完合格工程进行结算，并支付相应合同价款。</w:t>
      </w:r>
    </w:p>
    <w:p w14:paraId="47277A16">
      <w:pPr>
        <w:keepNext/>
        <w:keepLines/>
        <w:spacing w:line="440" w:lineRule="exact"/>
        <w:ind w:firstLine="640" w:firstLineChars="200"/>
        <w:outlineLvl w:val="4"/>
        <w:rPr>
          <w:rFonts w:hint="eastAsia" w:ascii="宋体" w:hAnsi="宋体" w:cs="宋体"/>
          <w:bCs/>
          <w:sz w:val="32"/>
          <w:szCs w:val="32"/>
        </w:rPr>
      </w:pPr>
      <w:bookmarkStart w:id="999" w:name="_Toc351203597"/>
      <w:bookmarkStart w:id="1000" w:name="_Toc21287"/>
      <w:bookmarkStart w:id="1001" w:name="_Toc5058"/>
      <w:bookmarkStart w:id="1002" w:name="_Toc337558814"/>
      <w:r>
        <w:rPr>
          <w:rFonts w:hint="eastAsia" w:ascii="宋体" w:hAnsi="宋体" w:cs="宋体"/>
          <w:bCs/>
          <w:sz w:val="32"/>
          <w:szCs w:val="32"/>
        </w:rPr>
        <w:t>14.4最终结清</w:t>
      </w:r>
      <w:bookmarkEnd w:id="999"/>
      <w:bookmarkEnd w:id="1000"/>
      <w:bookmarkEnd w:id="1001"/>
    </w:p>
    <w:bookmarkEnd w:id="1002"/>
    <w:p w14:paraId="23FCC78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14.4.1最终结清申请单</w:t>
      </w:r>
    </w:p>
    <w:p w14:paraId="12E6503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（1）除专用合同条款另有约定外，承包人应在缺陷责任期终止证书颁发后7天内，按专用合同条款约定的份数向发包人提交最终结清申请单，并提供相关证明材料。</w:t>
      </w:r>
    </w:p>
    <w:p w14:paraId="2DBC5289">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除专用合同条款另有约定外，</w:t>
      </w:r>
      <w:r>
        <w:rPr>
          <w:rFonts w:hint="eastAsia" w:ascii="宋体" w:hAnsi="宋体" w:cs="宋体"/>
          <w:kern w:val="0"/>
          <w:sz w:val="32"/>
          <w:szCs w:val="32"/>
        </w:rPr>
        <w:t>最终结清申请单</w:t>
      </w:r>
      <w:r>
        <w:rPr>
          <w:rFonts w:hint="eastAsia" w:ascii="宋体" w:hAnsi="宋体" w:cs="宋体"/>
          <w:sz w:val="32"/>
          <w:szCs w:val="32"/>
        </w:rPr>
        <w:t>应列明质量保证金、应扣除的质量保证金、缺陷责任期内发生的增减费用。</w:t>
      </w:r>
    </w:p>
    <w:p w14:paraId="21728A0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（2）发包人对最终结清申请单内容有异议的，有权要求承包人进行修正和提供补充资料，承包人应向发包人提交修正后的最终结清申请单。</w:t>
      </w:r>
    </w:p>
    <w:p w14:paraId="1C9F5A9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14.4.2最终结清证书和支付</w:t>
      </w:r>
    </w:p>
    <w:p w14:paraId="1810413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75A99D8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62C0A75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（3）承包人对发包人颁发的最终结清证书有异议的，按第20条〔争议解决〕的约定办理。</w:t>
      </w:r>
    </w:p>
    <w:p w14:paraId="0F4ACF03">
      <w:pPr>
        <w:keepNext/>
        <w:keepLines/>
        <w:spacing w:line="440" w:lineRule="exact"/>
        <w:ind w:firstLine="640" w:firstLineChars="200"/>
        <w:outlineLvl w:val="3"/>
        <w:rPr>
          <w:rFonts w:hint="eastAsia" w:ascii="宋体" w:hAnsi="宋体" w:cs="宋体"/>
          <w:bCs/>
          <w:sz w:val="32"/>
          <w:szCs w:val="32"/>
        </w:rPr>
      </w:pPr>
      <w:bookmarkStart w:id="1003" w:name="_Toc25073"/>
      <w:bookmarkStart w:id="1004" w:name="_Toc351203598"/>
      <w:bookmarkStart w:id="1005" w:name="_Toc24085"/>
      <w:bookmarkStart w:id="1006" w:name="_Toc337558815"/>
      <w:r>
        <w:rPr>
          <w:rFonts w:hint="eastAsia" w:ascii="宋体" w:hAnsi="宋体" w:cs="宋体"/>
          <w:bCs/>
          <w:sz w:val="32"/>
          <w:szCs w:val="32"/>
        </w:rPr>
        <w:t>15.缺陷责任与保修</w:t>
      </w:r>
      <w:bookmarkEnd w:id="1003"/>
      <w:bookmarkEnd w:id="1004"/>
      <w:bookmarkEnd w:id="1005"/>
    </w:p>
    <w:bookmarkEnd w:id="985"/>
    <w:bookmarkEnd w:id="986"/>
    <w:bookmarkEnd w:id="1006"/>
    <w:p w14:paraId="34B1B618">
      <w:pPr>
        <w:keepNext/>
        <w:keepLines/>
        <w:spacing w:line="440" w:lineRule="exact"/>
        <w:ind w:firstLine="640" w:firstLineChars="200"/>
        <w:outlineLvl w:val="4"/>
        <w:rPr>
          <w:rFonts w:hint="eastAsia" w:ascii="宋体" w:hAnsi="宋体" w:cs="宋体"/>
          <w:bCs/>
          <w:sz w:val="32"/>
          <w:szCs w:val="32"/>
        </w:rPr>
      </w:pPr>
      <w:bookmarkStart w:id="1007" w:name="_Toc351203599"/>
      <w:bookmarkStart w:id="1008" w:name="_Toc11682"/>
      <w:bookmarkStart w:id="1009" w:name="_Toc32375"/>
      <w:bookmarkStart w:id="1010" w:name="_Toc337558816"/>
      <w:bookmarkStart w:id="1011" w:name="_Toc296503114"/>
      <w:bookmarkStart w:id="1012" w:name="_Toc296346615"/>
      <w:r>
        <w:rPr>
          <w:rFonts w:hint="eastAsia" w:ascii="宋体" w:hAnsi="宋体" w:cs="宋体"/>
          <w:bCs/>
          <w:sz w:val="32"/>
          <w:szCs w:val="32"/>
        </w:rPr>
        <w:t>15.1工程保修的原则</w:t>
      </w:r>
      <w:bookmarkEnd w:id="1007"/>
      <w:bookmarkEnd w:id="1008"/>
      <w:bookmarkEnd w:id="1009"/>
    </w:p>
    <w:bookmarkEnd w:id="1010"/>
    <w:p w14:paraId="1862C96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在工程移交发包人后，因承包人原因产生的质量缺陷，承包人应承担质量缺陷责任和保修义务。缺陷责任期届满，承包人仍应按合同约定的工程各部位保修年限承担保修义务。</w:t>
      </w:r>
    </w:p>
    <w:p w14:paraId="6BB1D772">
      <w:pPr>
        <w:keepNext/>
        <w:keepLines/>
        <w:spacing w:line="440" w:lineRule="exact"/>
        <w:ind w:firstLine="640" w:firstLineChars="200"/>
        <w:outlineLvl w:val="4"/>
        <w:rPr>
          <w:rFonts w:hint="eastAsia" w:ascii="宋体" w:hAnsi="宋体" w:cs="宋体"/>
          <w:bCs/>
          <w:sz w:val="32"/>
          <w:szCs w:val="32"/>
        </w:rPr>
      </w:pPr>
      <w:bookmarkStart w:id="1013" w:name="_Toc351203600"/>
      <w:bookmarkStart w:id="1014" w:name="_Toc29297"/>
      <w:bookmarkStart w:id="1015" w:name="_Toc12816"/>
      <w:bookmarkStart w:id="1016" w:name="_Toc337558817"/>
      <w:r>
        <w:rPr>
          <w:rFonts w:hint="eastAsia" w:ascii="宋体" w:hAnsi="宋体" w:cs="宋体"/>
          <w:bCs/>
          <w:sz w:val="32"/>
          <w:szCs w:val="32"/>
        </w:rPr>
        <w:t>15.2缺陷责任期</w:t>
      </w:r>
      <w:bookmarkEnd w:id="1011"/>
      <w:bookmarkEnd w:id="1012"/>
      <w:bookmarkEnd w:id="1013"/>
      <w:bookmarkEnd w:id="1014"/>
      <w:bookmarkEnd w:id="1015"/>
    </w:p>
    <w:bookmarkEnd w:id="1016"/>
    <w:p w14:paraId="45A53D9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15.2.1缺陷责任期从工程通过竣工验收之日起计算，合同当事人应在专用合同条款约定缺陷责任期的具体期限，但该期限最长不超过24个月。</w:t>
      </w:r>
    </w:p>
    <w:p w14:paraId="24AE4DD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14:paraId="472AE3B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w:t>
      </w:r>
      <w:r>
        <w:rPr>
          <w:rFonts w:hint="eastAsia" w:ascii="宋体" w:hAnsi="宋体" w:cs="宋体"/>
          <w:bCs/>
          <w:sz w:val="32"/>
          <w:szCs w:val="32"/>
        </w:rPr>
        <w:t>包人延长缺陷责任期，</w:t>
      </w:r>
      <w:r>
        <w:rPr>
          <w:rFonts w:hint="eastAsia" w:ascii="宋体" w:hAnsi="宋体" w:cs="宋体"/>
          <w:kern w:val="0"/>
          <w:sz w:val="32"/>
          <w:szCs w:val="32"/>
        </w:rPr>
        <w:t>并应在原缺陷责任期届满前发出延长通知。</w:t>
      </w:r>
      <w:r>
        <w:rPr>
          <w:rFonts w:hint="eastAsia" w:ascii="宋体" w:hAnsi="宋体" w:cs="宋体"/>
          <w:bCs/>
          <w:sz w:val="32"/>
          <w:szCs w:val="32"/>
        </w:rPr>
        <w:t>但缺陷责任期（含延长部分）最长</w:t>
      </w:r>
      <w:r>
        <w:rPr>
          <w:rFonts w:hint="eastAsia" w:ascii="宋体" w:hAnsi="宋体" w:cs="宋体"/>
          <w:kern w:val="0"/>
          <w:sz w:val="32"/>
          <w:szCs w:val="32"/>
        </w:rPr>
        <w:t>不能超过24个月。</w:t>
      </w:r>
    </w:p>
    <w:p w14:paraId="197C4D4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由他人原因造成的缺陷，发包人负责组织维修，承包人不承担费用，且发包人不得从保证金中扣除费用。</w:t>
      </w:r>
    </w:p>
    <w:p w14:paraId="569EF30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15.2.3任何一项缺陷或损坏修复后，经检查证明其影响了工程或工程设备的使用性能，承包人应重新进行合同约定的试验和试运行，试验和试运行的全部费用应由责任方承担。</w:t>
      </w:r>
    </w:p>
    <w:p w14:paraId="2FA20FB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15.2.4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14:paraId="0D3BB175">
      <w:pPr>
        <w:keepNext/>
        <w:keepLines/>
        <w:spacing w:line="440" w:lineRule="exact"/>
        <w:ind w:firstLine="640" w:firstLineChars="200"/>
        <w:outlineLvl w:val="4"/>
        <w:rPr>
          <w:rFonts w:hint="eastAsia" w:ascii="宋体" w:hAnsi="宋体" w:cs="宋体"/>
          <w:bCs/>
          <w:sz w:val="32"/>
          <w:szCs w:val="32"/>
        </w:rPr>
      </w:pPr>
      <w:bookmarkStart w:id="1017" w:name="_Toc16183"/>
      <w:bookmarkStart w:id="1018" w:name="_Toc351203601"/>
      <w:bookmarkStart w:id="1019" w:name="_Toc23958"/>
      <w:bookmarkStart w:id="1020" w:name="_Toc337558818"/>
      <w:bookmarkStart w:id="1021" w:name="_Toc296346616"/>
      <w:bookmarkStart w:id="1022" w:name="_Toc296503115"/>
      <w:r>
        <w:rPr>
          <w:rFonts w:hint="eastAsia" w:ascii="宋体" w:hAnsi="宋体" w:cs="宋体"/>
          <w:bCs/>
          <w:sz w:val="32"/>
          <w:szCs w:val="32"/>
        </w:rPr>
        <w:t>15.3质量保证金</w:t>
      </w:r>
      <w:bookmarkEnd w:id="1017"/>
      <w:bookmarkEnd w:id="1018"/>
      <w:bookmarkEnd w:id="1019"/>
    </w:p>
    <w:bookmarkEnd w:id="1020"/>
    <w:p w14:paraId="6DB82C8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经合同当事人协商一致扣留质量保证金的，应在专用合同条款中予以明确。</w:t>
      </w:r>
    </w:p>
    <w:p w14:paraId="771D7698">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在工程项目竣工前，承包人已经提供履约担保的，发包人不得同时预留工程质量保证金。</w:t>
      </w:r>
    </w:p>
    <w:p w14:paraId="280FEAAF">
      <w:pPr>
        <w:autoSpaceDE w:val="0"/>
        <w:autoSpaceDN w:val="0"/>
        <w:adjustRightInd w:val="0"/>
        <w:spacing w:line="440" w:lineRule="exact"/>
        <w:ind w:firstLine="640" w:firstLineChars="200"/>
        <w:jc w:val="left"/>
        <w:rPr>
          <w:rFonts w:hint="eastAsia" w:ascii="宋体" w:hAnsi="宋体" w:cs="宋体"/>
          <w:kern w:val="0"/>
          <w:sz w:val="32"/>
          <w:szCs w:val="32"/>
        </w:rPr>
      </w:pPr>
    </w:p>
    <w:p w14:paraId="5629CA8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15.3.1承包人提供质量保证金的方式</w:t>
      </w:r>
    </w:p>
    <w:p w14:paraId="0F578D7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承包人提供质量保证金有以下三种方式：</w:t>
      </w:r>
    </w:p>
    <w:p w14:paraId="0E23E1A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（1）质量保证金保函；</w:t>
      </w:r>
    </w:p>
    <w:p w14:paraId="21240F9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（2）相应比例的工程款；</w:t>
      </w:r>
    </w:p>
    <w:p w14:paraId="7E4FC67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（3）双方约定的其他方式。</w:t>
      </w:r>
    </w:p>
    <w:p w14:paraId="7941FC7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除专用合同条款另有约定外，质量保证金原则上采用上述第（1）种方式。</w:t>
      </w:r>
    </w:p>
    <w:p w14:paraId="26EDBC3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15.3.2质量保证金的扣留</w:t>
      </w:r>
    </w:p>
    <w:p w14:paraId="55CA425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质量保证金的扣留有以下三种方式：</w:t>
      </w:r>
    </w:p>
    <w:p w14:paraId="697D36D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（1）在支付工程进度款时逐次扣留，在此情形下，质量保证金的计算基数不包括预付款的支付、扣回以及价格调整的金额；</w:t>
      </w:r>
    </w:p>
    <w:p w14:paraId="4071457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（2）工</w:t>
      </w:r>
      <w:bookmarkStart w:id="1023" w:name="#go6"/>
      <w:bookmarkEnd w:id="1023"/>
      <w:r>
        <w:rPr>
          <w:rFonts w:hint="eastAsia" w:ascii="宋体" w:hAnsi="宋体" w:cs="宋体"/>
          <w:kern w:val="0"/>
          <w:sz w:val="32"/>
          <w:szCs w:val="32"/>
        </w:rPr>
        <w:t>程竣工结算时一次性扣留质量保证金；</w:t>
      </w:r>
    </w:p>
    <w:p w14:paraId="20E2878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（3）双方约定的其他扣留方式。</w:t>
      </w:r>
    </w:p>
    <w:p w14:paraId="7627821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除专用合同条款另有约定外，质量保证金的扣留原则上采用上述第（1）种方式。</w:t>
      </w:r>
    </w:p>
    <w:p w14:paraId="43BF31F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w:t>
      </w:r>
      <w:bookmarkStart w:id="1024" w:name="#go4"/>
      <w:bookmarkEnd w:id="1024"/>
      <w:r>
        <w:rPr>
          <w:rFonts w:hint="eastAsia" w:ascii="宋体" w:hAnsi="宋体" w:cs="宋体"/>
          <w:kern w:val="0"/>
          <w:sz w:val="32"/>
          <w:szCs w:val="32"/>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14:paraId="329F392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发包人在退还质量保证金的同时按照中国人民银行发布的同期同类贷款基准利率支付利息。</w:t>
      </w:r>
    </w:p>
    <w:p w14:paraId="598E33E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15.3.3</w:t>
      </w:r>
      <w:r>
        <w:rPr>
          <w:rFonts w:hint="eastAsia" w:ascii="宋体" w:hAnsi="宋体" w:cs="宋体"/>
          <w:sz w:val="32"/>
          <w:szCs w:val="32"/>
        </w:rPr>
        <w:t>质量保证金</w:t>
      </w:r>
      <w:r>
        <w:rPr>
          <w:rFonts w:hint="eastAsia" w:ascii="宋体" w:hAnsi="宋体" w:cs="宋体"/>
          <w:kern w:val="0"/>
          <w:sz w:val="32"/>
          <w:szCs w:val="32"/>
        </w:rPr>
        <w:t>的退还</w:t>
      </w:r>
    </w:p>
    <w:p w14:paraId="620342E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缺陷责任期内，承包人认真履行合同约定的责任，到期后，承包人可向发包人申请返还保证金。</w:t>
      </w:r>
    </w:p>
    <w:p w14:paraId="0C64EEB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5DC40A4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发包人和承包人对保证金预留、返还以及工程维修质量、费用有争议的，按本合同第20条约定的争议和纠纷解决程序处理。</w:t>
      </w:r>
    </w:p>
    <w:p w14:paraId="1F43474B">
      <w:pPr>
        <w:keepNext/>
        <w:keepLines/>
        <w:spacing w:line="440" w:lineRule="exact"/>
        <w:ind w:firstLine="640" w:firstLineChars="200"/>
        <w:outlineLvl w:val="4"/>
        <w:rPr>
          <w:rFonts w:hint="eastAsia" w:ascii="宋体" w:hAnsi="宋体" w:cs="宋体"/>
          <w:bCs/>
          <w:sz w:val="32"/>
          <w:szCs w:val="32"/>
        </w:rPr>
      </w:pPr>
      <w:bookmarkStart w:id="1025" w:name="_Toc351203602"/>
      <w:bookmarkStart w:id="1026" w:name="_Toc13211"/>
      <w:bookmarkStart w:id="1027" w:name="_Toc5532"/>
      <w:bookmarkStart w:id="1028" w:name="_Toc337558819"/>
      <w:r>
        <w:rPr>
          <w:rFonts w:hint="eastAsia" w:ascii="宋体" w:hAnsi="宋体" w:cs="宋体"/>
          <w:bCs/>
          <w:sz w:val="32"/>
          <w:szCs w:val="32"/>
        </w:rPr>
        <w:t>15.4保修</w:t>
      </w:r>
      <w:bookmarkEnd w:id="1025"/>
      <w:bookmarkEnd w:id="1026"/>
      <w:bookmarkEnd w:id="1027"/>
    </w:p>
    <w:bookmarkEnd w:id="1021"/>
    <w:bookmarkEnd w:id="1022"/>
    <w:bookmarkEnd w:id="1028"/>
    <w:p w14:paraId="7A65ACF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15.4.1保修责任</w:t>
      </w:r>
    </w:p>
    <w:p w14:paraId="2F29AB3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3A89A22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发包人未经竣工验收擅自使用工程的，保修期自</w:t>
      </w:r>
      <w:r>
        <w:rPr>
          <w:rFonts w:hint="eastAsia" w:ascii="宋体" w:hAnsi="宋体" w:cs="宋体"/>
          <w:kern w:val="0"/>
          <w:sz w:val="32"/>
          <w:szCs w:val="32"/>
        </w:rPr>
        <w:t>转移占有之日起算</w:t>
      </w:r>
      <w:r>
        <w:rPr>
          <w:rFonts w:hint="eastAsia" w:ascii="宋体" w:hAnsi="宋体" w:cs="宋体"/>
          <w:sz w:val="32"/>
          <w:szCs w:val="32"/>
        </w:rPr>
        <w:t>。</w:t>
      </w:r>
    </w:p>
    <w:p w14:paraId="7C9B09B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15.4.2修复费用</w:t>
      </w:r>
    </w:p>
    <w:p w14:paraId="2FA651B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保修期内，修复的费用按照以下约定处理：</w:t>
      </w:r>
    </w:p>
    <w:p w14:paraId="3B89CE2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（1）保修期内，因承包人原因造成工程的缺陷、损坏，承包人应负责修复，并承担修复的费用以及因工程的缺陷、损坏造成的人身伤害和财产损失；</w:t>
      </w:r>
    </w:p>
    <w:p w14:paraId="391CD1D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（2）保修期内，因发包人使用不当造成工程的缺陷、损坏，可以委托承包人修复，但发包人应承担修复的费用，并支付承包人合理利润；</w:t>
      </w:r>
    </w:p>
    <w:p w14:paraId="72D2A99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（3）因其他原因造成工程的缺陷、损坏，可以委托承包人修复，发包人应承担修复的费用，并支付承包人合理的利润，因工程的缺陷、损坏造成的人身伤害和财产损失由责任方承担。</w:t>
      </w:r>
    </w:p>
    <w:p w14:paraId="31F03DB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15.4.3修复通知</w:t>
      </w:r>
    </w:p>
    <w:p w14:paraId="6B9AA1D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7E2F965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15.4.4未能修复</w:t>
      </w:r>
    </w:p>
    <w:p w14:paraId="16366B0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62C58BF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15.4.5承包人出入权</w:t>
      </w:r>
    </w:p>
    <w:p w14:paraId="10BFE69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331270DA">
      <w:pPr>
        <w:keepNext/>
        <w:keepLines/>
        <w:spacing w:line="440" w:lineRule="exact"/>
        <w:ind w:firstLine="640" w:firstLineChars="200"/>
        <w:outlineLvl w:val="3"/>
        <w:rPr>
          <w:rFonts w:hint="eastAsia" w:ascii="宋体" w:hAnsi="宋体" w:cs="宋体"/>
          <w:bCs/>
          <w:sz w:val="32"/>
          <w:szCs w:val="32"/>
        </w:rPr>
      </w:pPr>
      <w:bookmarkStart w:id="1029" w:name="_Toc351203603"/>
      <w:bookmarkStart w:id="1030" w:name="_Toc25883"/>
      <w:bookmarkStart w:id="1031" w:name="_Toc29005"/>
      <w:bookmarkStart w:id="1032" w:name="_Toc337558820"/>
      <w:r>
        <w:rPr>
          <w:rFonts w:hint="eastAsia" w:ascii="宋体" w:hAnsi="宋体" w:cs="宋体"/>
          <w:bCs/>
          <w:sz w:val="32"/>
          <w:szCs w:val="32"/>
        </w:rPr>
        <w:t>16.违约</w:t>
      </w:r>
      <w:bookmarkEnd w:id="1029"/>
      <w:bookmarkEnd w:id="1030"/>
      <w:bookmarkEnd w:id="1031"/>
    </w:p>
    <w:bookmarkEnd w:id="1032"/>
    <w:p w14:paraId="50781D1E">
      <w:pPr>
        <w:keepNext/>
        <w:keepLines/>
        <w:spacing w:line="440" w:lineRule="exact"/>
        <w:ind w:firstLine="640" w:firstLineChars="200"/>
        <w:outlineLvl w:val="4"/>
        <w:rPr>
          <w:rFonts w:hint="eastAsia" w:ascii="宋体" w:hAnsi="宋体" w:cs="宋体"/>
          <w:bCs/>
          <w:sz w:val="32"/>
          <w:szCs w:val="32"/>
        </w:rPr>
      </w:pPr>
      <w:bookmarkStart w:id="1033" w:name="_Toc296346630"/>
      <w:bookmarkStart w:id="1034" w:name="_Toc296503129"/>
      <w:bookmarkStart w:id="1035" w:name="_Toc30801"/>
      <w:bookmarkStart w:id="1036" w:name="_Toc351203604"/>
      <w:bookmarkStart w:id="1037" w:name="_Toc2080"/>
      <w:bookmarkStart w:id="1038" w:name="_Toc337558821"/>
      <w:r>
        <w:rPr>
          <w:rFonts w:hint="eastAsia" w:ascii="宋体" w:hAnsi="宋体" w:cs="宋体"/>
          <w:bCs/>
          <w:sz w:val="32"/>
          <w:szCs w:val="32"/>
        </w:rPr>
        <w:t>16.1发</w:t>
      </w:r>
      <w:bookmarkEnd w:id="1033"/>
      <w:bookmarkEnd w:id="1034"/>
      <w:r>
        <w:rPr>
          <w:rFonts w:hint="eastAsia" w:ascii="宋体" w:hAnsi="宋体" w:cs="宋体"/>
          <w:bCs/>
          <w:sz w:val="32"/>
          <w:szCs w:val="32"/>
        </w:rPr>
        <w:t>包人违约</w:t>
      </w:r>
      <w:bookmarkEnd w:id="1035"/>
      <w:bookmarkEnd w:id="1036"/>
      <w:bookmarkEnd w:id="1037"/>
    </w:p>
    <w:bookmarkEnd w:id="1038"/>
    <w:p w14:paraId="3F1034D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16.1.1发包人违约的情形</w:t>
      </w:r>
    </w:p>
    <w:p w14:paraId="4215322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在合同履行过程中发生的下列情形，属于发包人违约：</w:t>
      </w:r>
    </w:p>
    <w:p w14:paraId="5894D2C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（1）因发包人原因未能在计划开工日期前7天内下达开工通知的；</w:t>
      </w:r>
    </w:p>
    <w:p w14:paraId="523A8BE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（2）因发包人原因未能按合同约定支付合同价款的；</w:t>
      </w:r>
    </w:p>
    <w:p w14:paraId="448562E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（3）发包人违反第10.1款〔变更的范围〕第（2）项约定，自行实施被取消的工作或转由他人实施的；</w:t>
      </w:r>
    </w:p>
    <w:p w14:paraId="5744BF9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（4）发包人提供的材料、工程设备的规格、数量或质量不符合合同约定，或因发包人原因导致交货日期延误或交货地点变更等情况的；</w:t>
      </w:r>
    </w:p>
    <w:p w14:paraId="494AB46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（5）因发包人违反合同约定造成暂停施工的；</w:t>
      </w:r>
    </w:p>
    <w:p w14:paraId="3144C73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（6）发包人无正当理由没有在约定期限内发出复工指示，导致承包人无法复工的；</w:t>
      </w:r>
    </w:p>
    <w:p w14:paraId="10E5A0F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（7）发包人明确表示或者以其行为表明不履行合同主要义务的；</w:t>
      </w:r>
    </w:p>
    <w:p w14:paraId="606ACED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（8）发包人未能按照合同约定履行其他义务的。</w:t>
      </w:r>
    </w:p>
    <w:p w14:paraId="4008FD8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3C542B2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16.1.2发包人违约的责任</w:t>
      </w:r>
    </w:p>
    <w:p w14:paraId="5E9BA81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发包人应承担因其违约给承包人增加的费用和（或）延误的工期，并支付承包人合理的利润。此外，合同当事人可在专用合同条款中另行约定发包人违约责任的承担方式和计算方法。</w:t>
      </w:r>
    </w:p>
    <w:p w14:paraId="01C2DEB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16.1.3因发包人违约解除合同</w:t>
      </w:r>
    </w:p>
    <w:p w14:paraId="3BD646F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14:paraId="1007BAB2">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16.1.4因发包人违约解除合同后的付款</w:t>
      </w:r>
    </w:p>
    <w:p w14:paraId="510CB89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承包人按照本款约定解除合同的，发包人应在解除合同后28天内支付下列款项，并解除履约担保：</w:t>
      </w:r>
    </w:p>
    <w:p w14:paraId="5C5FE97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（1）合同解除前所完成工作的价款；</w:t>
      </w:r>
    </w:p>
    <w:p w14:paraId="7C63818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（2）承包人为工程施工订购并已付款的材料、工程设备和其他物品的价款；</w:t>
      </w:r>
    </w:p>
    <w:p w14:paraId="186D7D9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（3）承包人撤离施工现场以及遣散承包人人员的款项；</w:t>
      </w:r>
    </w:p>
    <w:p w14:paraId="339AB98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（4）按照合同约定在合同解除前应支付的违约金；</w:t>
      </w:r>
    </w:p>
    <w:p w14:paraId="60D64C5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（5）按照合同约定应当支付给承包人的其他款项；</w:t>
      </w:r>
    </w:p>
    <w:p w14:paraId="213296E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（6）按照合同约定应退还的质量保证金；</w:t>
      </w:r>
    </w:p>
    <w:p w14:paraId="60EEC1E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（7）因解除合同给承包人造成的损失。</w:t>
      </w:r>
    </w:p>
    <w:p w14:paraId="714E6CC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合同当事人未能就解除合同后的结清达成一致的，按照第20条〔争议解决〕的约定处理。</w:t>
      </w:r>
    </w:p>
    <w:p w14:paraId="61FE7D5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承包人应妥善做好已完工程和与工程有关的已购材料、工程设备的保护和移交工作，并将施工设备和人员撤出施工现场，发包人应为承包人撤出提供必要条件。</w:t>
      </w:r>
    </w:p>
    <w:p w14:paraId="48251630">
      <w:pPr>
        <w:keepNext/>
        <w:keepLines/>
        <w:spacing w:line="440" w:lineRule="exact"/>
        <w:ind w:firstLine="640" w:firstLineChars="200"/>
        <w:outlineLvl w:val="4"/>
        <w:rPr>
          <w:rFonts w:hint="eastAsia" w:ascii="宋体" w:hAnsi="宋体" w:cs="宋体"/>
          <w:bCs/>
          <w:sz w:val="32"/>
          <w:szCs w:val="32"/>
        </w:rPr>
      </w:pPr>
      <w:bookmarkStart w:id="1039" w:name="_Toc12530"/>
      <w:bookmarkStart w:id="1040" w:name="_Toc351203605"/>
      <w:bookmarkStart w:id="1041" w:name="_Toc16885"/>
      <w:bookmarkStart w:id="1042" w:name="_Toc296503131"/>
      <w:bookmarkStart w:id="1043" w:name="_Toc296346632"/>
      <w:bookmarkStart w:id="1044" w:name="_Toc337558822"/>
      <w:r>
        <w:rPr>
          <w:rFonts w:hint="eastAsia" w:ascii="宋体" w:hAnsi="宋体" w:cs="宋体"/>
          <w:bCs/>
          <w:sz w:val="32"/>
          <w:szCs w:val="32"/>
        </w:rPr>
        <w:t>16.2承包人违约</w:t>
      </w:r>
      <w:bookmarkEnd w:id="1039"/>
      <w:bookmarkEnd w:id="1040"/>
      <w:bookmarkEnd w:id="1041"/>
    </w:p>
    <w:bookmarkEnd w:id="1042"/>
    <w:bookmarkEnd w:id="1043"/>
    <w:bookmarkEnd w:id="1044"/>
    <w:p w14:paraId="01ECAA1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16.2.1承包人违约的情形</w:t>
      </w:r>
    </w:p>
    <w:p w14:paraId="67E1796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在合同履行过程中发生的下列情形，属于承包人违约：</w:t>
      </w:r>
    </w:p>
    <w:p w14:paraId="1E34689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（1）承包人违反合同约定进行转包或违法分包的；</w:t>
      </w:r>
    </w:p>
    <w:p w14:paraId="2564704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（2）承包人违反合同约定采购和使用不合格的材料和工程设备的；</w:t>
      </w:r>
    </w:p>
    <w:p w14:paraId="68D31F0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（3）因承包人原因导致工程质量不符合合同要求的；</w:t>
      </w:r>
    </w:p>
    <w:p w14:paraId="3A807FC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（4）承包人违反第8.9款〔材料与设备专用要求〕的约定，未经批准，私自将已按照合同约定进入施工现场的材料或设备撤离施工现场的；</w:t>
      </w:r>
    </w:p>
    <w:p w14:paraId="382A877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（5）承包人未能按施工进度计划及时完成合同约定的工作，造成工期延误的；</w:t>
      </w:r>
    </w:p>
    <w:p w14:paraId="7897B9C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（6）承包人在缺陷责任期及保修期内，未能在合理期限对工程缺陷进行修复，或拒绝按发包人要求进行修复的；</w:t>
      </w:r>
    </w:p>
    <w:p w14:paraId="07A9DA0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（7）承包人明确表示或者以其行为表明不履行合同主要义务的；</w:t>
      </w:r>
    </w:p>
    <w:p w14:paraId="20E9BD0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（8）承包人未能按照合同约定履行其他义务的。</w:t>
      </w:r>
    </w:p>
    <w:p w14:paraId="17E4A3B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承包人发生除本项第（7）目约定以外的其他违约情况时，监理人可向承包人发出整改通知，要求其在指定的期限内改正。</w:t>
      </w:r>
    </w:p>
    <w:p w14:paraId="3AAFECA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16.2.2承包人违约的责任</w:t>
      </w:r>
    </w:p>
    <w:p w14:paraId="5B85F63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承包人应承担因其违约行为而增加的费用和（或）延误的工期。此外，合同当事人可在专用合同条款中另行约定承包人违约责任的承担方式和计算方法。</w:t>
      </w:r>
    </w:p>
    <w:p w14:paraId="026BE86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16.2.3因承包人违约解除合同</w:t>
      </w:r>
    </w:p>
    <w:p w14:paraId="485A9A5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734CA01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16.2.4因承包人违约解除合同后的处理</w:t>
      </w:r>
    </w:p>
    <w:p w14:paraId="75AB429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因承包人原因导致合同解除的，则合同当事人应在合同解除后28天内完成估价、付款和清算，并按以下约定执行：</w:t>
      </w:r>
    </w:p>
    <w:p w14:paraId="388DE8C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（1）合同解除后，按第4.4款〔商定或确定〕商定或确定承包人实际完成工作对应的合同价款，以及承包人已提供的材料、工程设备、施工设备和临时工程等的价值；</w:t>
      </w:r>
    </w:p>
    <w:p w14:paraId="63C671D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（2）合同解除后，承包人应支付的违约金；</w:t>
      </w:r>
    </w:p>
    <w:p w14:paraId="1871411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（3）合同解除后，因解除合同给发包人造成的损失；</w:t>
      </w:r>
    </w:p>
    <w:p w14:paraId="527E7F1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（4）合同解除后，承包人应按照发包人要求和监理人的指示完成现场的清理和撤离；</w:t>
      </w:r>
    </w:p>
    <w:p w14:paraId="47D8EFC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（5）发包人和承包人应在合同解除后进行清算，出具最终结清付款证书，结清全部款项。</w:t>
      </w:r>
    </w:p>
    <w:p w14:paraId="5C905FBC">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因承包人违约解除合同的，发包人有权暂停对承包人的付款，查清各项付款和已扣款项。发包人和承包人未能就合同解除后的清算和款项支付达成一致的，按照第20条〔争议解决〕的约定处理。</w:t>
      </w:r>
    </w:p>
    <w:p w14:paraId="617B695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16.2.5采购合同权益转让</w:t>
      </w:r>
    </w:p>
    <w:p w14:paraId="6CAEB31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1F1399B1">
      <w:pPr>
        <w:keepNext/>
        <w:keepLines/>
        <w:spacing w:line="440" w:lineRule="exact"/>
        <w:ind w:firstLine="640" w:firstLineChars="200"/>
        <w:outlineLvl w:val="4"/>
        <w:rPr>
          <w:rFonts w:hint="eastAsia" w:ascii="宋体" w:hAnsi="宋体" w:cs="宋体"/>
          <w:bCs/>
          <w:sz w:val="32"/>
          <w:szCs w:val="32"/>
        </w:rPr>
      </w:pPr>
      <w:bookmarkStart w:id="1045" w:name="_Toc2615"/>
      <w:bookmarkStart w:id="1046" w:name="_Toc351203606"/>
      <w:bookmarkStart w:id="1047" w:name="_Toc3958"/>
      <w:r>
        <w:rPr>
          <w:rFonts w:hint="eastAsia" w:ascii="宋体" w:hAnsi="宋体" w:cs="宋体"/>
          <w:bCs/>
          <w:sz w:val="32"/>
          <w:szCs w:val="32"/>
        </w:rPr>
        <w:t>16.3第三人造成的违约</w:t>
      </w:r>
      <w:bookmarkEnd w:id="1045"/>
      <w:bookmarkEnd w:id="1046"/>
      <w:bookmarkEnd w:id="1047"/>
    </w:p>
    <w:p w14:paraId="5F329F5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在履行合同过程中，一方当事人因第三人的原因造成违约的，应当向对方当事人承担违约责任。一方当事人和第三人之间的纠纷，依照法律规定或者按照约定解决。</w:t>
      </w:r>
    </w:p>
    <w:p w14:paraId="3B69D41A">
      <w:pPr>
        <w:keepNext/>
        <w:keepLines/>
        <w:spacing w:line="440" w:lineRule="exact"/>
        <w:ind w:firstLine="640" w:firstLineChars="200"/>
        <w:outlineLvl w:val="3"/>
        <w:rPr>
          <w:rFonts w:hint="eastAsia" w:ascii="宋体" w:hAnsi="宋体" w:cs="宋体"/>
          <w:bCs/>
          <w:sz w:val="32"/>
          <w:szCs w:val="32"/>
        </w:rPr>
      </w:pPr>
      <w:bookmarkStart w:id="1048" w:name="_Toc19172"/>
      <w:bookmarkStart w:id="1049" w:name="_Toc296503116"/>
      <w:bookmarkStart w:id="1050" w:name="_Toc337558823"/>
      <w:bookmarkStart w:id="1051" w:name="_Toc28768"/>
      <w:bookmarkStart w:id="1052" w:name="_Toc351203607"/>
      <w:bookmarkStart w:id="1053" w:name="_Toc296346617"/>
      <w:r>
        <w:rPr>
          <w:rFonts w:hint="eastAsia" w:ascii="宋体" w:hAnsi="宋体" w:cs="宋体"/>
          <w:bCs/>
          <w:sz w:val="32"/>
          <w:szCs w:val="32"/>
        </w:rPr>
        <w:t>17.不可抗力</w:t>
      </w:r>
      <w:bookmarkEnd w:id="1048"/>
      <w:bookmarkEnd w:id="1049"/>
      <w:bookmarkEnd w:id="1050"/>
      <w:bookmarkEnd w:id="1051"/>
      <w:bookmarkEnd w:id="1052"/>
      <w:bookmarkEnd w:id="1053"/>
    </w:p>
    <w:p w14:paraId="03D0D05C">
      <w:pPr>
        <w:keepNext/>
        <w:keepLines/>
        <w:spacing w:line="440" w:lineRule="exact"/>
        <w:ind w:firstLine="640" w:firstLineChars="200"/>
        <w:outlineLvl w:val="4"/>
        <w:rPr>
          <w:rFonts w:hint="eastAsia" w:ascii="宋体" w:hAnsi="宋体" w:cs="宋体"/>
          <w:bCs/>
          <w:sz w:val="32"/>
          <w:szCs w:val="32"/>
        </w:rPr>
      </w:pPr>
      <w:bookmarkStart w:id="1054" w:name="_Toc351203608"/>
      <w:bookmarkStart w:id="1055" w:name="_Toc11774"/>
      <w:bookmarkStart w:id="1056" w:name="_Toc13742"/>
      <w:bookmarkStart w:id="1057" w:name="_Toc337558824"/>
      <w:bookmarkStart w:id="1058" w:name="_Toc296346618"/>
      <w:bookmarkStart w:id="1059" w:name="_Toc296503117"/>
      <w:r>
        <w:rPr>
          <w:rFonts w:hint="eastAsia" w:ascii="宋体" w:hAnsi="宋体" w:cs="宋体"/>
          <w:bCs/>
          <w:sz w:val="32"/>
          <w:szCs w:val="32"/>
        </w:rPr>
        <w:t>17.1不可抗力的确认</w:t>
      </w:r>
      <w:bookmarkEnd w:id="1054"/>
      <w:bookmarkEnd w:id="1055"/>
      <w:bookmarkEnd w:id="1056"/>
    </w:p>
    <w:bookmarkEnd w:id="1057"/>
    <w:bookmarkEnd w:id="1058"/>
    <w:bookmarkEnd w:id="1059"/>
    <w:p w14:paraId="4127BB9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不可抗力是指合同当事人在签订合同时不可预见，在合同履行过程中不可避免且不能克服的自然灾害和社会性突发事件，如地震、海啸、瘟疫、骚乱、戒严、暴动、战争和专用合同条款中约定的其他情形。</w:t>
      </w:r>
    </w:p>
    <w:p w14:paraId="6D139A2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14:paraId="4F492172">
      <w:pPr>
        <w:keepNext/>
        <w:keepLines/>
        <w:spacing w:line="440" w:lineRule="exact"/>
        <w:ind w:firstLine="640" w:firstLineChars="200"/>
        <w:outlineLvl w:val="4"/>
        <w:rPr>
          <w:rFonts w:hint="eastAsia" w:ascii="宋体" w:hAnsi="宋体" w:cs="宋体"/>
          <w:bCs/>
          <w:sz w:val="32"/>
          <w:szCs w:val="32"/>
        </w:rPr>
      </w:pPr>
      <w:bookmarkStart w:id="1060" w:name="_Toc351203609"/>
      <w:bookmarkStart w:id="1061" w:name="_Toc21849"/>
      <w:bookmarkStart w:id="1062" w:name="_Toc242"/>
      <w:bookmarkStart w:id="1063" w:name="_Toc296503118"/>
      <w:bookmarkStart w:id="1064" w:name="_Toc296346619"/>
      <w:bookmarkStart w:id="1065" w:name="_Toc337558825"/>
      <w:r>
        <w:rPr>
          <w:rFonts w:hint="eastAsia" w:ascii="宋体" w:hAnsi="宋体" w:cs="宋体"/>
          <w:bCs/>
          <w:sz w:val="32"/>
          <w:szCs w:val="32"/>
        </w:rPr>
        <w:t>17.2不可抗力的通知</w:t>
      </w:r>
      <w:bookmarkEnd w:id="1060"/>
      <w:bookmarkEnd w:id="1061"/>
      <w:bookmarkEnd w:id="1062"/>
    </w:p>
    <w:bookmarkEnd w:id="1063"/>
    <w:bookmarkEnd w:id="1064"/>
    <w:bookmarkEnd w:id="1065"/>
    <w:p w14:paraId="001EB01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合同一方当事人遇到不可抗力事件，使其履行合同义务受到阻碍时，应立即通知合同另一方当事人和监理人，书面说明不可抗力和受阻碍的详细情况，并提供必要的证明。</w:t>
      </w:r>
    </w:p>
    <w:p w14:paraId="02443F5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不可抗力持续发生的，合同一方当事人应及时向合同另一方当事人和监理人提交中间报告，说明不可抗力和履行合同受阻的情况，并于不可抗力事件结束后28天内提交最终报告及有关资料。</w:t>
      </w:r>
    </w:p>
    <w:p w14:paraId="4E52D7DF">
      <w:pPr>
        <w:keepNext/>
        <w:keepLines/>
        <w:spacing w:line="440" w:lineRule="exact"/>
        <w:ind w:firstLine="640" w:firstLineChars="200"/>
        <w:outlineLvl w:val="4"/>
        <w:rPr>
          <w:rFonts w:hint="eastAsia" w:ascii="宋体" w:hAnsi="宋体" w:cs="宋体"/>
          <w:bCs/>
          <w:sz w:val="32"/>
          <w:szCs w:val="32"/>
        </w:rPr>
      </w:pPr>
      <w:bookmarkStart w:id="1066" w:name="_Toc351203610"/>
      <w:bookmarkStart w:id="1067" w:name="_Toc7678"/>
      <w:bookmarkStart w:id="1068" w:name="_Toc25288"/>
      <w:bookmarkStart w:id="1069" w:name="_Toc296503119"/>
      <w:bookmarkStart w:id="1070" w:name="_Toc296346620"/>
      <w:bookmarkStart w:id="1071" w:name="_Toc337558826"/>
      <w:r>
        <w:rPr>
          <w:rFonts w:hint="eastAsia" w:ascii="宋体" w:hAnsi="宋体" w:cs="宋体"/>
          <w:bCs/>
          <w:sz w:val="32"/>
          <w:szCs w:val="32"/>
        </w:rPr>
        <w:t>17.3不可抗力后果的承担</w:t>
      </w:r>
      <w:bookmarkEnd w:id="1066"/>
      <w:bookmarkEnd w:id="1067"/>
      <w:bookmarkEnd w:id="1068"/>
    </w:p>
    <w:bookmarkEnd w:id="1069"/>
    <w:bookmarkEnd w:id="1070"/>
    <w:bookmarkEnd w:id="1071"/>
    <w:p w14:paraId="4A75987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17.3.1不可抗力引起的后果及造成的损失由合同当事人按照法律规定及合同约定各自承担。不可抗力发生前已完成的工程应当按照合同约定进行计量支付。</w:t>
      </w:r>
    </w:p>
    <w:p w14:paraId="6E00DC2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17.3.2不可抗力导致的人员伤亡、财产损失、费用增加和（或）工期延误等后果，由合同当事人按以下原则承担：</w:t>
      </w:r>
    </w:p>
    <w:p w14:paraId="22D09BB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（1）永久工程、已运至施工现场的材料和工程设备的损坏，以及因工程损坏造成的第三人人员伤亡和财产损失由发包人承担；</w:t>
      </w:r>
    </w:p>
    <w:p w14:paraId="36A1E1D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（2）承包人施工设备的损坏由承包人承担；</w:t>
      </w:r>
    </w:p>
    <w:p w14:paraId="05219A8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（3）发包人和承包人承担各自人员伤亡和财产的损失；</w:t>
      </w:r>
    </w:p>
    <w:p w14:paraId="09EA313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（4）因不可抗力影响承包人履行合同约定的义务，已经引起或将引起工期延误的，应当顺延工期，由此导致承包人停工的费用损失由发包人和承包人合理分担，停工期间必须支付的工人工资由发包人承担；</w:t>
      </w:r>
    </w:p>
    <w:p w14:paraId="33E6D16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（5）因不可抗力引起或将引起工期延误，发包人要求赶工的，由此增加的赶工费用由发包人承担；</w:t>
      </w:r>
    </w:p>
    <w:p w14:paraId="1753DAB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（6）承包人在停工期间按照发包人要求照管、清理和修复工程的费用由发包人承担。</w:t>
      </w:r>
    </w:p>
    <w:p w14:paraId="2BDA23E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不可抗力发生后，合同当事人均应采取措施尽量避免和减少损失的扩大，任何一方当事人没有采取有效措施导致损失扩大的，应对扩大的损失承担责任。</w:t>
      </w:r>
    </w:p>
    <w:p w14:paraId="16F8D725">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因合同一方迟延履行合同义务，在迟延履行期间遭遇不可抗力的，不免除其违约责任。</w:t>
      </w:r>
    </w:p>
    <w:p w14:paraId="0203C672">
      <w:pPr>
        <w:keepNext/>
        <w:keepLines/>
        <w:spacing w:line="440" w:lineRule="exact"/>
        <w:ind w:firstLine="640" w:firstLineChars="200"/>
        <w:outlineLvl w:val="4"/>
        <w:rPr>
          <w:rFonts w:hint="eastAsia" w:ascii="宋体" w:hAnsi="宋体" w:cs="宋体"/>
          <w:bCs/>
          <w:sz w:val="32"/>
          <w:szCs w:val="32"/>
        </w:rPr>
      </w:pPr>
      <w:bookmarkStart w:id="1072" w:name="_Toc351203611"/>
      <w:bookmarkStart w:id="1073" w:name="_Toc920"/>
      <w:bookmarkStart w:id="1074" w:name="_Toc9490"/>
      <w:bookmarkStart w:id="1075" w:name="_Toc337558827"/>
      <w:r>
        <w:rPr>
          <w:rFonts w:hint="eastAsia" w:ascii="宋体" w:hAnsi="宋体" w:cs="宋体"/>
          <w:bCs/>
          <w:sz w:val="32"/>
          <w:szCs w:val="32"/>
        </w:rPr>
        <w:t>17.4因不可抗力解除合同</w:t>
      </w:r>
      <w:bookmarkEnd w:id="1072"/>
      <w:bookmarkEnd w:id="1073"/>
      <w:bookmarkEnd w:id="1074"/>
    </w:p>
    <w:bookmarkEnd w:id="1075"/>
    <w:p w14:paraId="338429C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因不可抗力导致合同无法履行连续超过84天或累计超过140天的，发包人和承包人均有权解除合同。合同解除后，由双方当事人按照第4.4款〔商定或确定〕商定或确定发包人应支付的款项，该款项包括：</w:t>
      </w:r>
    </w:p>
    <w:p w14:paraId="6C444D0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（1）合同解除前承包人已完成工作的价款；</w:t>
      </w:r>
    </w:p>
    <w:p w14:paraId="62E2506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（2）承包人为工程订购的并已交付给承包人，或承包人有责任接受交付的材料、工程设备和其他物品的价款；</w:t>
      </w:r>
    </w:p>
    <w:p w14:paraId="4F4D249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（3）发包人要求承包人退货或解除订货合同而产生的费用，或因不能退货或解除合同而产生的损失；</w:t>
      </w:r>
    </w:p>
    <w:p w14:paraId="733327D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（4）承包人撤离施工现场以及遣散承包人人员的费用；</w:t>
      </w:r>
    </w:p>
    <w:p w14:paraId="6C9A971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（5）按照合同约定在合同解除前应支付给承包人的其他款项；</w:t>
      </w:r>
    </w:p>
    <w:p w14:paraId="300E516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（6）扣减承包人按照合同约定应向发包人支付的款项；</w:t>
      </w:r>
    </w:p>
    <w:p w14:paraId="38119F2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（7）双方商定或确定的其他款项。</w:t>
      </w:r>
    </w:p>
    <w:p w14:paraId="0101A22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除专用合同条款另有约定外，合同解除后，发包人应在商定或确定上述款项后28天内完成上述款项的支付。</w:t>
      </w:r>
    </w:p>
    <w:p w14:paraId="468C19CD">
      <w:pPr>
        <w:keepNext/>
        <w:keepLines/>
        <w:spacing w:line="440" w:lineRule="exact"/>
        <w:ind w:firstLine="640" w:firstLineChars="200"/>
        <w:outlineLvl w:val="3"/>
        <w:rPr>
          <w:rFonts w:hint="eastAsia" w:ascii="宋体" w:hAnsi="宋体" w:cs="宋体"/>
          <w:bCs/>
          <w:sz w:val="32"/>
          <w:szCs w:val="32"/>
        </w:rPr>
      </w:pPr>
      <w:bookmarkStart w:id="1076" w:name="_Toc351203612"/>
      <w:bookmarkStart w:id="1077" w:name="_Toc23166"/>
      <w:bookmarkStart w:id="1078" w:name="_Toc21848"/>
      <w:bookmarkStart w:id="1079" w:name="_Toc337558828"/>
      <w:bookmarkStart w:id="1080" w:name="_Toc296503120"/>
      <w:bookmarkStart w:id="1081" w:name="_Toc296346621"/>
      <w:r>
        <w:rPr>
          <w:rFonts w:hint="eastAsia" w:ascii="宋体" w:hAnsi="宋体" w:cs="宋体"/>
          <w:bCs/>
          <w:sz w:val="32"/>
          <w:szCs w:val="32"/>
        </w:rPr>
        <w:t>18.保险</w:t>
      </w:r>
      <w:bookmarkEnd w:id="1076"/>
      <w:bookmarkEnd w:id="1077"/>
      <w:bookmarkEnd w:id="1078"/>
    </w:p>
    <w:bookmarkEnd w:id="1079"/>
    <w:bookmarkEnd w:id="1080"/>
    <w:bookmarkEnd w:id="1081"/>
    <w:p w14:paraId="00B44D39">
      <w:pPr>
        <w:keepNext/>
        <w:keepLines/>
        <w:spacing w:line="440" w:lineRule="exact"/>
        <w:ind w:firstLine="640" w:firstLineChars="200"/>
        <w:outlineLvl w:val="4"/>
        <w:rPr>
          <w:rFonts w:hint="eastAsia" w:ascii="宋体" w:hAnsi="宋体" w:cs="宋体"/>
          <w:bCs/>
          <w:sz w:val="32"/>
          <w:szCs w:val="32"/>
        </w:rPr>
      </w:pPr>
      <w:bookmarkStart w:id="1082" w:name="_Toc4980"/>
      <w:bookmarkStart w:id="1083" w:name="_Toc351203613"/>
      <w:bookmarkStart w:id="1084" w:name="_Toc11189"/>
      <w:bookmarkStart w:id="1085" w:name="_Toc337558829"/>
      <w:bookmarkStart w:id="1086" w:name="_Toc296503121"/>
      <w:bookmarkStart w:id="1087" w:name="_Toc296346622"/>
      <w:r>
        <w:rPr>
          <w:rFonts w:hint="eastAsia" w:ascii="宋体" w:hAnsi="宋体" w:cs="宋体"/>
          <w:bCs/>
          <w:sz w:val="32"/>
          <w:szCs w:val="32"/>
        </w:rPr>
        <w:t>18.1工程保险</w:t>
      </w:r>
      <w:bookmarkEnd w:id="1082"/>
      <w:bookmarkEnd w:id="1083"/>
      <w:bookmarkEnd w:id="1084"/>
    </w:p>
    <w:bookmarkEnd w:id="1085"/>
    <w:bookmarkEnd w:id="1086"/>
    <w:bookmarkEnd w:id="1087"/>
    <w:p w14:paraId="6F516D5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除专用合同条款另有约定外，发包人应投保建筑工程一切险或安装工程一切险；发包人委托承包人投保的，因投保产生的保险费和其他相关费用由发包人承担。</w:t>
      </w:r>
    </w:p>
    <w:p w14:paraId="36C9CAE3">
      <w:pPr>
        <w:keepNext/>
        <w:keepLines/>
        <w:spacing w:line="440" w:lineRule="exact"/>
        <w:ind w:firstLine="640" w:firstLineChars="200"/>
        <w:outlineLvl w:val="4"/>
        <w:rPr>
          <w:rFonts w:hint="eastAsia" w:ascii="宋体" w:hAnsi="宋体" w:cs="宋体"/>
          <w:bCs/>
          <w:sz w:val="32"/>
          <w:szCs w:val="32"/>
        </w:rPr>
      </w:pPr>
      <w:bookmarkStart w:id="1088" w:name="_Toc351203614"/>
      <w:bookmarkStart w:id="1089" w:name="_Toc19978"/>
      <w:bookmarkStart w:id="1090" w:name="_Toc28806"/>
      <w:bookmarkStart w:id="1091" w:name="_Toc296503122"/>
      <w:bookmarkStart w:id="1092" w:name="_Toc337558830"/>
      <w:bookmarkStart w:id="1093" w:name="_Toc296346623"/>
      <w:r>
        <w:rPr>
          <w:rFonts w:hint="eastAsia" w:ascii="宋体" w:hAnsi="宋体" w:cs="宋体"/>
          <w:bCs/>
          <w:sz w:val="32"/>
          <w:szCs w:val="32"/>
        </w:rPr>
        <w:t>18.2工伤保险</w:t>
      </w:r>
      <w:bookmarkEnd w:id="1088"/>
      <w:bookmarkEnd w:id="1089"/>
      <w:bookmarkEnd w:id="1090"/>
    </w:p>
    <w:bookmarkEnd w:id="1091"/>
    <w:bookmarkEnd w:id="1092"/>
    <w:bookmarkEnd w:id="1093"/>
    <w:p w14:paraId="5630A53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18.2.1发包人应依照法律规定参加工伤保险，并为在施工现场的全部员工办理工伤保险，缴纳工伤保险费，并要求监理人及由发包人为履行合同聘请的第三方依法参加工伤保险。</w:t>
      </w:r>
    </w:p>
    <w:p w14:paraId="73AB9CF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18.2.2承包人应依照法律规定参加工伤保险，并为其履行合同的全部员工办理工伤保险，缴纳工伤保险费，并要求分包人及由承包人为履行合同聘请的第三方依法参加工伤保险。</w:t>
      </w:r>
    </w:p>
    <w:p w14:paraId="13D31039">
      <w:pPr>
        <w:keepNext/>
        <w:keepLines/>
        <w:spacing w:line="440" w:lineRule="exact"/>
        <w:ind w:firstLine="640" w:firstLineChars="200"/>
        <w:outlineLvl w:val="4"/>
        <w:rPr>
          <w:rFonts w:hint="eastAsia" w:ascii="宋体" w:hAnsi="宋体" w:cs="宋体"/>
          <w:bCs/>
          <w:sz w:val="32"/>
          <w:szCs w:val="32"/>
        </w:rPr>
      </w:pPr>
      <w:bookmarkStart w:id="1094" w:name="_Toc2596"/>
      <w:bookmarkStart w:id="1095" w:name="_Toc23161"/>
      <w:bookmarkStart w:id="1096" w:name="_Toc351203615"/>
      <w:bookmarkStart w:id="1097" w:name="_Toc337558831"/>
      <w:bookmarkStart w:id="1098" w:name="_Toc296346626"/>
      <w:bookmarkStart w:id="1099" w:name="_Toc296503125"/>
      <w:r>
        <w:rPr>
          <w:rFonts w:hint="eastAsia" w:ascii="宋体" w:hAnsi="宋体" w:cs="宋体"/>
          <w:bCs/>
          <w:sz w:val="32"/>
          <w:szCs w:val="32"/>
        </w:rPr>
        <w:t>18.3其他保险</w:t>
      </w:r>
      <w:bookmarkEnd w:id="1094"/>
      <w:bookmarkEnd w:id="1095"/>
      <w:bookmarkEnd w:id="1096"/>
    </w:p>
    <w:bookmarkEnd w:id="1097"/>
    <w:bookmarkEnd w:id="1098"/>
    <w:bookmarkEnd w:id="1099"/>
    <w:p w14:paraId="18601FB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发包人和承包人可以为其施工现场的全部人员办理意外伤害保险并支付保险费，包括其员工及为履行合同聘请的第三方的人员，具体事项由合同当事人在专用合同条款约定。</w:t>
      </w:r>
    </w:p>
    <w:p w14:paraId="5552859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除专用合同条款另有约定外，承包人应为其施工设备等办理财产保险。</w:t>
      </w:r>
    </w:p>
    <w:p w14:paraId="11D7D959">
      <w:pPr>
        <w:keepNext/>
        <w:keepLines/>
        <w:spacing w:line="440" w:lineRule="exact"/>
        <w:ind w:firstLine="640" w:firstLineChars="200"/>
        <w:outlineLvl w:val="4"/>
        <w:rPr>
          <w:rFonts w:hint="eastAsia" w:ascii="宋体" w:hAnsi="宋体" w:cs="宋体"/>
          <w:bCs/>
          <w:sz w:val="32"/>
          <w:szCs w:val="32"/>
        </w:rPr>
      </w:pPr>
      <w:bookmarkStart w:id="1100" w:name="_Toc351203616"/>
      <w:bookmarkStart w:id="1101" w:name="_Toc4301"/>
      <w:bookmarkStart w:id="1102" w:name="_Toc28614"/>
      <w:r>
        <w:rPr>
          <w:rFonts w:hint="eastAsia" w:ascii="宋体" w:hAnsi="宋体" w:cs="宋体"/>
          <w:bCs/>
          <w:sz w:val="32"/>
          <w:szCs w:val="32"/>
        </w:rPr>
        <w:t>18.4持续保险</w:t>
      </w:r>
      <w:bookmarkEnd w:id="1100"/>
      <w:bookmarkEnd w:id="1101"/>
      <w:bookmarkEnd w:id="1102"/>
    </w:p>
    <w:p w14:paraId="04D609C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合同当事人应与保险人保持联系，使保险人能够随时了解工程实施中的变动，并确保按保险合同条款要求持续保险。</w:t>
      </w:r>
    </w:p>
    <w:p w14:paraId="480CB1E5">
      <w:pPr>
        <w:keepNext/>
        <w:keepLines/>
        <w:spacing w:line="440" w:lineRule="exact"/>
        <w:ind w:firstLine="640" w:firstLineChars="200"/>
        <w:outlineLvl w:val="4"/>
        <w:rPr>
          <w:rFonts w:hint="eastAsia" w:ascii="宋体" w:hAnsi="宋体" w:cs="宋体"/>
          <w:bCs/>
          <w:sz w:val="32"/>
          <w:szCs w:val="32"/>
        </w:rPr>
      </w:pPr>
      <w:bookmarkStart w:id="1103" w:name="_Toc29312"/>
      <w:bookmarkStart w:id="1104" w:name="_Toc351203617"/>
      <w:bookmarkStart w:id="1105" w:name="_Toc7993"/>
      <w:bookmarkStart w:id="1106" w:name="_Toc296503126"/>
      <w:bookmarkStart w:id="1107" w:name="_Toc296346627"/>
      <w:bookmarkStart w:id="1108" w:name="_Toc337558832"/>
      <w:r>
        <w:rPr>
          <w:rFonts w:hint="eastAsia" w:ascii="宋体" w:hAnsi="宋体" w:cs="宋体"/>
          <w:bCs/>
          <w:sz w:val="32"/>
          <w:szCs w:val="32"/>
        </w:rPr>
        <w:t>18.5保险凭证</w:t>
      </w:r>
      <w:bookmarkEnd w:id="1103"/>
      <w:bookmarkEnd w:id="1104"/>
      <w:bookmarkEnd w:id="1105"/>
    </w:p>
    <w:bookmarkEnd w:id="1106"/>
    <w:bookmarkEnd w:id="1107"/>
    <w:bookmarkEnd w:id="1108"/>
    <w:p w14:paraId="447ECE67">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合同当事人应及时向另一方当事人提交其已投保的各项保险的凭证和保险单复印件。</w:t>
      </w:r>
    </w:p>
    <w:p w14:paraId="3AEB0BF7">
      <w:pPr>
        <w:keepNext/>
        <w:keepLines/>
        <w:spacing w:line="440" w:lineRule="exact"/>
        <w:ind w:firstLine="640" w:firstLineChars="200"/>
        <w:outlineLvl w:val="4"/>
        <w:rPr>
          <w:rFonts w:hint="eastAsia" w:ascii="宋体" w:hAnsi="宋体" w:cs="宋体"/>
          <w:bCs/>
          <w:sz w:val="32"/>
          <w:szCs w:val="32"/>
        </w:rPr>
      </w:pPr>
      <w:bookmarkStart w:id="1109" w:name="_Toc2844"/>
      <w:bookmarkStart w:id="1110" w:name="_Toc30188"/>
      <w:bookmarkStart w:id="1111" w:name="_Toc351203618"/>
      <w:bookmarkStart w:id="1112" w:name="_Toc296346628"/>
      <w:bookmarkStart w:id="1113" w:name="_Toc296503127"/>
      <w:bookmarkStart w:id="1114" w:name="_Toc337558833"/>
      <w:r>
        <w:rPr>
          <w:rFonts w:hint="eastAsia" w:ascii="宋体" w:hAnsi="宋体" w:cs="宋体"/>
          <w:bCs/>
          <w:sz w:val="32"/>
          <w:szCs w:val="32"/>
        </w:rPr>
        <w:t>18.6未按约定投保的补救</w:t>
      </w:r>
      <w:bookmarkEnd w:id="1109"/>
      <w:bookmarkEnd w:id="1110"/>
      <w:bookmarkEnd w:id="1111"/>
    </w:p>
    <w:bookmarkEnd w:id="1112"/>
    <w:bookmarkEnd w:id="1113"/>
    <w:bookmarkEnd w:id="1114"/>
    <w:p w14:paraId="302DA6B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18.6.1发包人未按合同约定办理保险，或未能使保险持续有效的，则承包人可代为办理，所需费用由发包人承担。发包人未按合同约定办理保险，导致未能得到足额赔偿的，由发包人负责补足。</w:t>
      </w:r>
    </w:p>
    <w:p w14:paraId="6F5AE05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18.6.2承包人未按合同约定办理保险，或未能使保险持续有效的，则发包人可代为办理，所需费用由承包人承担。承包人未按合同约定办理保险，导致未能得到足额赔偿的，由承包人负责补足。</w:t>
      </w:r>
    </w:p>
    <w:p w14:paraId="0FA120C9">
      <w:pPr>
        <w:keepNext/>
        <w:keepLines/>
        <w:spacing w:line="440" w:lineRule="exact"/>
        <w:ind w:firstLine="640" w:firstLineChars="200"/>
        <w:outlineLvl w:val="4"/>
        <w:rPr>
          <w:rFonts w:hint="eastAsia" w:ascii="宋体" w:hAnsi="宋体" w:cs="宋体"/>
          <w:bCs/>
          <w:sz w:val="32"/>
          <w:szCs w:val="32"/>
        </w:rPr>
      </w:pPr>
      <w:bookmarkStart w:id="1115" w:name="_Toc25823"/>
      <w:bookmarkStart w:id="1116" w:name="_Toc28769"/>
      <w:bookmarkStart w:id="1117" w:name="_Toc351203619"/>
      <w:bookmarkStart w:id="1118" w:name="_Toc337558834"/>
      <w:r>
        <w:rPr>
          <w:rFonts w:hint="eastAsia" w:ascii="宋体" w:hAnsi="宋体" w:cs="宋体"/>
          <w:bCs/>
          <w:sz w:val="32"/>
          <w:szCs w:val="32"/>
        </w:rPr>
        <w:t>18.7通知义务</w:t>
      </w:r>
      <w:bookmarkEnd w:id="1115"/>
      <w:bookmarkEnd w:id="1116"/>
      <w:bookmarkEnd w:id="1117"/>
    </w:p>
    <w:bookmarkEnd w:id="1118"/>
    <w:p w14:paraId="42CE78F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除专用合同条款另有约定外，发包人变更除工伤保险之外的保险合同时，应事先征得承包人同意，并通知监理人；承包人变更除工伤保险之外的保险合同时，应事先征得发包人同意，并通知监理人。</w:t>
      </w:r>
    </w:p>
    <w:p w14:paraId="2AEFCD0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保险事故发生时，投保人应按照保险合同规定的条件和期限及时向保险人报告。发包人和承包人应当在知道保险事故发生后及时通知对方。</w:t>
      </w:r>
    </w:p>
    <w:p w14:paraId="26C53D6E">
      <w:pPr>
        <w:keepNext/>
        <w:keepLines/>
        <w:spacing w:line="440" w:lineRule="exact"/>
        <w:ind w:firstLine="640" w:firstLineChars="200"/>
        <w:outlineLvl w:val="3"/>
        <w:rPr>
          <w:rFonts w:hint="eastAsia" w:ascii="宋体" w:hAnsi="宋体" w:cs="宋体"/>
          <w:bCs/>
          <w:sz w:val="32"/>
          <w:szCs w:val="32"/>
        </w:rPr>
      </w:pPr>
      <w:bookmarkStart w:id="1119" w:name="_Toc351203620"/>
      <w:bookmarkStart w:id="1120" w:name="_Toc14346"/>
      <w:bookmarkStart w:id="1121" w:name="_Toc6915"/>
      <w:bookmarkStart w:id="1122" w:name="_Toc337558835"/>
      <w:bookmarkStart w:id="1123" w:name="_Toc296346641"/>
      <w:bookmarkStart w:id="1124" w:name="_Toc296503140"/>
      <w:r>
        <w:rPr>
          <w:rFonts w:hint="eastAsia" w:ascii="宋体" w:hAnsi="宋体" w:cs="宋体"/>
          <w:bCs/>
          <w:sz w:val="32"/>
          <w:szCs w:val="32"/>
        </w:rPr>
        <w:t>19.索赔</w:t>
      </w:r>
      <w:bookmarkEnd w:id="1119"/>
      <w:bookmarkEnd w:id="1120"/>
      <w:bookmarkEnd w:id="1121"/>
    </w:p>
    <w:bookmarkEnd w:id="1122"/>
    <w:bookmarkEnd w:id="1123"/>
    <w:bookmarkEnd w:id="1124"/>
    <w:p w14:paraId="3B8D9E03">
      <w:pPr>
        <w:keepNext/>
        <w:keepLines/>
        <w:spacing w:line="440" w:lineRule="exact"/>
        <w:ind w:firstLine="640" w:firstLineChars="200"/>
        <w:outlineLvl w:val="4"/>
        <w:rPr>
          <w:rFonts w:hint="eastAsia" w:ascii="宋体" w:hAnsi="宋体" w:cs="宋体"/>
          <w:bCs/>
          <w:sz w:val="32"/>
          <w:szCs w:val="32"/>
        </w:rPr>
      </w:pPr>
      <w:bookmarkStart w:id="1125" w:name="_Toc351203621"/>
      <w:bookmarkStart w:id="1126" w:name="_Toc25531"/>
      <w:bookmarkStart w:id="1127" w:name="_Toc25571"/>
      <w:bookmarkStart w:id="1128" w:name="_Toc296346642"/>
      <w:bookmarkStart w:id="1129" w:name="_Toc296503141"/>
      <w:bookmarkStart w:id="1130" w:name="_Toc337558836"/>
      <w:r>
        <w:rPr>
          <w:rFonts w:hint="eastAsia" w:ascii="宋体" w:hAnsi="宋体" w:cs="宋体"/>
          <w:bCs/>
          <w:sz w:val="32"/>
          <w:szCs w:val="32"/>
        </w:rPr>
        <w:t>19.1承包人的索赔</w:t>
      </w:r>
      <w:bookmarkEnd w:id="1125"/>
      <w:bookmarkEnd w:id="1126"/>
      <w:bookmarkEnd w:id="1127"/>
    </w:p>
    <w:bookmarkEnd w:id="1128"/>
    <w:bookmarkEnd w:id="1129"/>
    <w:bookmarkEnd w:id="1130"/>
    <w:p w14:paraId="0D064CC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根据合同约定，承包人认为有权得到追加付款和（或）延长工期的，应按以下程序向发包人提出索赔：</w:t>
      </w:r>
    </w:p>
    <w:p w14:paraId="7D2191D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24B1BA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（2）承包人应在发出索赔意向通知书后28天内，向监理人正式递交索赔报告；索赔报告应详细说明索赔理由以及要求追加的付款金额和（或）延长的工期，并附必要的记录和证明材料；</w:t>
      </w:r>
    </w:p>
    <w:p w14:paraId="5ACE388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（3）索赔事件具有持续影响的，承包人应按合理时间间隔继续递交延续索赔通知，说明持续影响的实际情况和记录，列出累计的追加付款金额和（或）工期延长天数；</w:t>
      </w:r>
    </w:p>
    <w:p w14:paraId="46F035D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（4）在索赔事件影响结束后28天内，承包人应向监理人递交最终索赔报告，说明最终要求索赔的追加付款金额和（或）延长的工期，并附必要的记录和证明材料。</w:t>
      </w:r>
    </w:p>
    <w:p w14:paraId="7DA7BD8D">
      <w:pPr>
        <w:keepNext/>
        <w:keepLines/>
        <w:spacing w:line="440" w:lineRule="exact"/>
        <w:ind w:firstLine="640" w:firstLineChars="200"/>
        <w:outlineLvl w:val="4"/>
        <w:rPr>
          <w:rFonts w:hint="eastAsia" w:ascii="宋体" w:hAnsi="宋体" w:cs="宋体"/>
          <w:bCs/>
          <w:sz w:val="32"/>
          <w:szCs w:val="32"/>
        </w:rPr>
      </w:pPr>
      <w:bookmarkStart w:id="1131" w:name="_Toc351203622"/>
      <w:bookmarkStart w:id="1132" w:name="_Toc26584"/>
      <w:bookmarkStart w:id="1133" w:name="_Toc8204"/>
      <w:bookmarkStart w:id="1134" w:name="_Toc296346643"/>
      <w:bookmarkStart w:id="1135" w:name="_Toc337558837"/>
      <w:bookmarkStart w:id="1136" w:name="_Toc296503142"/>
      <w:r>
        <w:rPr>
          <w:rFonts w:hint="eastAsia" w:ascii="宋体" w:hAnsi="宋体" w:cs="宋体"/>
          <w:bCs/>
          <w:sz w:val="32"/>
          <w:szCs w:val="32"/>
        </w:rPr>
        <w:t>19.2对承包人索赔的处理</w:t>
      </w:r>
      <w:bookmarkEnd w:id="1131"/>
      <w:bookmarkEnd w:id="1132"/>
      <w:bookmarkEnd w:id="1133"/>
    </w:p>
    <w:bookmarkEnd w:id="1134"/>
    <w:bookmarkEnd w:id="1135"/>
    <w:bookmarkEnd w:id="1136"/>
    <w:p w14:paraId="39A33AE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对承包人索赔的处理如下：</w:t>
      </w:r>
    </w:p>
    <w:p w14:paraId="2B85E05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（1）监理人应在收到索赔报告后14天内完成审查并报送发包人。监理人对索赔报告存在异议的，有权要求承包人提交全部原始记录副本；</w:t>
      </w:r>
    </w:p>
    <w:p w14:paraId="20877EC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（2）发包人应在监理人收到索赔报告或有关索赔的进一步证明材料后的28天内，由监理人向承包人出具经发包人签认的索赔处理结果。发包人逾期答复的，则视为认可承包人的索赔要求；</w:t>
      </w:r>
    </w:p>
    <w:p w14:paraId="3644873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（3）承包人接受索赔处理结果的，索赔款项在当期进度款中进行支付；承包人不接受索赔处理结果的，按照第20条〔争议解决〕约定处理。</w:t>
      </w:r>
    </w:p>
    <w:p w14:paraId="0C7CC4E6">
      <w:pPr>
        <w:keepNext/>
        <w:keepLines/>
        <w:spacing w:line="440" w:lineRule="exact"/>
        <w:ind w:firstLine="640" w:firstLineChars="200"/>
        <w:outlineLvl w:val="4"/>
        <w:rPr>
          <w:rFonts w:hint="eastAsia" w:ascii="宋体" w:hAnsi="宋体" w:cs="宋体"/>
          <w:bCs/>
          <w:sz w:val="32"/>
          <w:szCs w:val="32"/>
        </w:rPr>
      </w:pPr>
      <w:bookmarkStart w:id="1137" w:name="_Toc8614"/>
      <w:bookmarkStart w:id="1138" w:name="_Toc351203623"/>
      <w:bookmarkStart w:id="1139" w:name="_Toc5096"/>
      <w:bookmarkStart w:id="1140" w:name="_Toc296346644"/>
      <w:bookmarkStart w:id="1141" w:name="_Toc337558838"/>
      <w:bookmarkStart w:id="1142" w:name="_Toc296503143"/>
      <w:r>
        <w:rPr>
          <w:rFonts w:hint="eastAsia" w:ascii="宋体" w:hAnsi="宋体" w:cs="宋体"/>
          <w:bCs/>
          <w:sz w:val="32"/>
          <w:szCs w:val="32"/>
        </w:rPr>
        <w:t>19.3发包人的索赔</w:t>
      </w:r>
      <w:bookmarkEnd w:id="1137"/>
      <w:bookmarkEnd w:id="1138"/>
      <w:bookmarkEnd w:id="1139"/>
    </w:p>
    <w:bookmarkEnd w:id="1140"/>
    <w:bookmarkEnd w:id="1141"/>
    <w:bookmarkEnd w:id="1142"/>
    <w:p w14:paraId="0133AB0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根据合同约定，发包人认为有权得到赔付金额和（或）延长缺陷责任期的，监理人应向承包人发出通知并附有详细的证明。</w:t>
      </w:r>
    </w:p>
    <w:p w14:paraId="30AFEA4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117AD120">
      <w:pPr>
        <w:keepNext/>
        <w:keepLines/>
        <w:spacing w:line="440" w:lineRule="exact"/>
        <w:ind w:firstLine="640" w:firstLineChars="200"/>
        <w:outlineLvl w:val="4"/>
        <w:rPr>
          <w:rFonts w:hint="eastAsia" w:ascii="宋体" w:hAnsi="宋体" w:cs="宋体"/>
          <w:bCs/>
          <w:sz w:val="32"/>
          <w:szCs w:val="32"/>
        </w:rPr>
      </w:pPr>
      <w:bookmarkStart w:id="1143" w:name="_Toc351203624"/>
      <w:bookmarkStart w:id="1144" w:name="_Toc18688"/>
      <w:bookmarkStart w:id="1145" w:name="_Toc16124"/>
      <w:bookmarkStart w:id="1146" w:name="_Toc296503144"/>
      <w:bookmarkStart w:id="1147" w:name="_Toc337558839"/>
      <w:bookmarkStart w:id="1148" w:name="_Toc296346645"/>
      <w:r>
        <w:rPr>
          <w:rFonts w:hint="eastAsia" w:ascii="宋体" w:hAnsi="宋体" w:cs="宋体"/>
          <w:bCs/>
          <w:sz w:val="32"/>
          <w:szCs w:val="32"/>
        </w:rPr>
        <w:t>19.4对发包人索赔的处理</w:t>
      </w:r>
      <w:bookmarkEnd w:id="1143"/>
      <w:bookmarkEnd w:id="1144"/>
      <w:bookmarkEnd w:id="1145"/>
    </w:p>
    <w:bookmarkEnd w:id="1146"/>
    <w:bookmarkEnd w:id="1147"/>
    <w:bookmarkEnd w:id="1148"/>
    <w:p w14:paraId="53E413E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对发包人索赔的处理如下：</w:t>
      </w:r>
    </w:p>
    <w:p w14:paraId="5B4A888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（1）承包人收到发包人提交的索赔报告后，应及时审查索赔报告的内容、查验发包人证明材料；</w:t>
      </w:r>
    </w:p>
    <w:p w14:paraId="302BDE9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（2）承包人应在收到索赔报告或有关索赔的进一步证明材料后28天内，将索赔处理结果答复发包人。如果承包人未在上述期限内作出答复的，则视为对发包人索赔要求的认可；</w:t>
      </w:r>
    </w:p>
    <w:p w14:paraId="613A6C0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（3）承包人接受索赔处理结果的，发包人可从应支付给承包人的合同价款中扣除赔付的金额或延长缺陷责任期；发包人不接受索赔处理结果的，按第20条〔争议解决〕约定处理。</w:t>
      </w:r>
    </w:p>
    <w:p w14:paraId="3F10C604">
      <w:pPr>
        <w:keepNext/>
        <w:keepLines/>
        <w:spacing w:line="440" w:lineRule="exact"/>
        <w:ind w:firstLine="640" w:firstLineChars="200"/>
        <w:outlineLvl w:val="4"/>
        <w:rPr>
          <w:rFonts w:hint="eastAsia" w:ascii="宋体" w:hAnsi="宋体" w:cs="宋体"/>
          <w:bCs/>
          <w:sz w:val="32"/>
          <w:szCs w:val="32"/>
        </w:rPr>
      </w:pPr>
      <w:bookmarkStart w:id="1149" w:name="_Toc6819"/>
      <w:bookmarkStart w:id="1150" w:name="_Toc351203625"/>
      <w:bookmarkStart w:id="1151" w:name="_Toc28458"/>
      <w:r>
        <w:rPr>
          <w:rFonts w:hint="eastAsia" w:ascii="宋体" w:hAnsi="宋体" w:cs="宋体"/>
          <w:bCs/>
          <w:sz w:val="32"/>
          <w:szCs w:val="32"/>
        </w:rPr>
        <w:t>19.5提出索赔的期限</w:t>
      </w:r>
      <w:bookmarkEnd w:id="1149"/>
      <w:bookmarkEnd w:id="1150"/>
      <w:bookmarkEnd w:id="1151"/>
    </w:p>
    <w:p w14:paraId="3E646865">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（1）承包人按第14.2款〔竣工结算审核〕约定接收竣工付款证书后，应被视为已无权再提出在工程接收证书颁发前所发生的任何索赔。</w:t>
      </w:r>
    </w:p>
    <w:p w14:paraId="6B7FBB70">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（2）承包人按第14.4款〔最终结清〕提交的最终结清申请单中，只限于提出工程接收证书颁发后发生的索赔。提出索赔的期限自接受最终结清证书时终止。</w:t>
      </w:r>
    </w:p>
    <w:p w14:paraId="2A5562C3">
      <w:pPr>
        <w:keepNext/>
        <w:keepLines/>
        <w:spacing w:line="440" w:lineRule="exact"/>
        <w:ind w:firstLine="640" w:firstLineChars="200"/>
        <w:outlineLvl w:val="3"/>
        <w:rPr>
          <w:rFonts w:hint="eastAsia" w:ascii="宋体" w:hAnsi="宋体" w:cs="宋体"/>
          <w:bCs/>
          <w:sz w:val="32"/>
          <w:szCs w:val="32"/>
        </w:rPr>
      </w:pPr>
      <w:bookmarkStart w:id="1152" w:name="_Toc10790"/>
      <w:bookmarkStart w:id="1153" w:name="_Toc351203626"/>
      <w:bookmarkStart w:id="1154" w:name="_Toc19643"/>
      <w:r>
        <w:rPr>
          <w:rFonts w:hint="eastAsia" w:ascii="宋体" w:hAnsi="宋体" w:cs="宋体"/>
          <w:bCs/>
          <w:sz w:val="32"/>
          <w:szCs w:val="32"/>
        </w:rPr>
        <w:t>20</w:t>
      </w:r>
      <w:bookmarkStart w:id="1155" w:name="_Toc296503146"/>
      <w:bookmarkStart w:id="1156" w:name="_Toc296346647"/>
      <w:bookmarkStart w:id="1157" w:name="_Toc337558840"/>
      <w:r>
        <w:rPr>
          <w:rFonts w:hint="eastAsia" w:ascii="宋体" w:hAnsi="宋体" w:cs="宋体"/>
          <w:bCs/>
          <w:sz w:val="32"/>
          <w:szCs w:val="32"/>
        </w:rPr>
        <w:t>.争议解决</w:t>
      </w:r>
      <w:bookmarkEnd w:id="1152"/>
      <w:bookmarkEnd w:id="1153"/>
      <w:bookmarkEnd w:id="1154"/>
    </w:p>
    <w:bookmarkEnd w:id="1155"/>
    <w:bookmarkEnd w:id="1156"/>
    <w:bookmarkEnd w:id="1157"/>
    <w:p w14:paraId="0BE63141">
      <w:pPr>
        <w:keepNext/>
        <w:keepLines/>
        <w:spacing w:line="440" w:lineRule="exact"/>
        <w:ind w:firstLine="640" w:firstLineChars="200"/>
        <w:outlineLvl w:val="4"/>
        <w:rPr>
          <w:rFonts w:hint="eastAsia" w:ascii="宋体" w:hAnsi="宋体" w:cs="宋体"/>
          <w:bCs/>
          <w:sz w:val="32"/>
          <w:szCs w:val="32"/>
        </w:rPr>
      </w:pPr>
      <w:bookmarkStart w:id="1158" w:name="_Toc5547"/>
      <w:bookmarkStart w:id="1159" w:name="_Toc351203627"/>
      <w:bookmarkStart w:id="1160" w:name="_Toc10442"/>
      <w:bookmarkStart w:id="1161" w:name="_Toc296503147"/>
      <w:bookmarkStart w:id="1162" w:name="_Toc296346648"/>
      <w:bookmarkStart w:id="1163" w:name="_Toc337558841"/>
      <w:r>
        <w:rPr>
          <w:rFonts w:hint="eastAsia" w:ascii="宋体" w:hAnsi="宋体" w:cs="宋体"/>
          <w:bCs/>
          <w:sz w:val="32"/>
          <w:szCs w:val="32"/>
        </w:rPr>
        <w:t>20.1和解</w:t>
      </w:r>
      <w:bookmarkEnd w:id="1158"/>
      <w:bookmarkEnd w:id="1159"/>
      <w:bookmarkEnd w:id="1160"/>
    </w:p>
    <w:bookmarkEnd w:id="1161"/>
    <w:bookmarkEnd w:id="1162"/>
    <w:bookmarkEnd w:id="1163"/>
    <w:p w14:paraId="4D2EF18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合同当事人可以就争议自行和解，自行和解达成协议的经双方签字并盖章后作为合同补充文件，双方均应遵照执行。</w:t>
      </w:r>
    </w:p>
    <w:p w14:paraId="7616568F">
      <w:pPr>
        <w:keepNext/>
        <w:keepLines/>
        <w:spacing w:line="440" w:lineRule="exact"/>
        <w:ind w:firstLine="640" w:firstLineChars="200"/>
        <w:outlineLvl w:val="4"/>
        <w:rPr>
          <w:rFonts w:hint="eastAsia" w:ascii="宋体" w:hAnsi="宋体" w:cs="宋体"/>
          <w:bCs/>
          <w:sz w:val="32"/>
          <w:szCs w:val="32"/>
        </w:rPr>
      </w:pPr>
      <w:bookmarkStart w:id="1164" w:name="_Toc21031"/>
      <w:bookmarkStart w:id="1165" w:name="_Toc351203628"/>
      <w:bookmarkStart w:id="1166" w:name="_Toc13832"/>
      <w:r>
        <w:rPr>
          <w:rFonts w:hint="eastAsia" w:ascii="宋体" w:hAnsi="宋体" w:cs="宋体"/>
          <w:bCs/>
          <w:sz w:val="32"/>
          <w:szCs w:val="32"/>
        </w:rPr>
        <w:t>20</w:t>
      </w:r>
      <w:bookmarkStart w:id="1167" w:name="_Toc296503148"/>
      <w:bookmarkStart w:id="1168" w:name="_Toc337558842"/>
      <w:bookmarkStart w:id="1169" w:name="_Toc296346649"/>
      <w:r>
        <w:rPr>
          <w:rFonts w:hint="eastAsia" w:ascii="宋体" w:hAnsi="宋体" w:cs="宋体"/>
          <w:bCs/>
          <w:sz w:val="32"/>
          <w:szCs w:val="32"/>
        </w:rPr>
        <w:t>.2调解</w:t>
      </w:r>
      <w:bookmarkEnd w:id="1164"/>
      <w:bookmarkEnd w:id="1165"/>
      <w:bookmarkEnd w:id="1166"/>
    </w:p>
    <w:bookmarkEnd w:id="1167"/>
    <w:bookmarkEnd w:id="1168"/>
    <w:bookmarkEnd w:id="1169"/>
    <w:p w14:paraId="1F9B167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合同当事人可以就争议请求建设行政主管部门、行业协会或其他第三方进行调解，调解达成协议的，经双方签字并盖章后作为合同补充文件，双方均应遵照执行。</w:t>
      </w:r>
    </w:p>
    <w:p w14:paraId="095B83FD">
      <w:pPr>
        <w:keepNext/>
        <w:keepLines/>
        <w:spacing w:line="440" w:lineRule="exact"/>
        <w:ind w:firstLine="640" w:firstLineChars="200"/>
        <w:outlineLvl w:val="4"/>
        <w:rPr>
          <w:rFonts w:hint="eastAsia" w:ascii="宋体" w:hAnsi="宋体" w:cs="宋体"/>
          <w:bCs/>
          <w:sz w:val="32"/>
          <w:szCs w:val="32"/>
        </w:rPr>
      </w:pPr>
      <w:bookmarkStart w:id="1170" w:name="_Toc351203629"/>
      <w:bookmarkStart w:id="1171" w:name="_Toc25149"/>
      <w:bookmarkStart w:id="1172" w:name="_Toc191"/>
      <w:bookmarkStart w:id="1173" w:name="_Toc337558843"/>
      <w:bookmarkStart w:id="1174" w:name="_Toc296503149"/>
      <w:bookmarkStart w:id="1175" w:name="_Toc296346650"/>
      <w:r>
        <w:rPr>
          <w:rFonts w:hint="eastAsia" w:ascii="宋体" w:hAnsi="宋体" w:cs="宋体"/>
          <w:bCs/>
          <w:sz w:val="32"/>
          <w:szCs w:val="32"/>
        </w:rPr>
        <w:t>20.3争议评审</w:t>
      </w:r>
      <w:bookmarkEnd w:id="1170"/>
      <w:bookmarkEnd w:id="1171"/>
      <w:bookmarkEnd w:id="1172"/>
    </w:p>
    <w:bookmarkEnd w:id="1173"/>
    <w:bookmarkEnd w:id="1174"/>
    <w:bookmarkEnd w:id="1175"/>
    <w:p w14:paraId="1AF63039">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合同当事人在专用合同条款中约定采取争议评审方式解决争议以及评审规则，并按下列约定执行：</w:t>
      </w:r>
    </w:p>
    <w:p w14:paraId="4C3E647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20.3.1争议评审小组的确定</w:t>
      </w:r>
    </w:p>
    <w:p w14:paraId="70E3206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合同当事人可以共同选择一名或三名争议评审员，组成争议评审小组。除专用合同条款另有约定外，合同当事人应当自合同签订后28天内，或者争议发生后14天内，选定争议评审员。</w:t>
      </w:r>
    </w:p>
    <w:p w14:paraId="06A38C16">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w:t>
      </w:r>
    </w:p>
    <w:p w14:paraId="1E98D26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除专用合同条款另有约定外，评审员报酬由发包人和承包人各承担一半。</w:t>
      </w:r>
    </w:p>
    <w:p w14:paraId="05E14E4E">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20.3.2争议评审小组的决定</w:t>
      </w:r>
    </w:p>
    <w:p w14:paraId="32960D31">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554BB75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20.3.3争议评审小组决定的效力</w:t>
      </w:r>
    </w:p>
    <w:p w14:paraId="10E20F2C">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争议评审小组作出的书面决定经合同当事人签字确认后，对双方具有约束力，双方应遵照执行。</w:t>
      </w:r>
    </w:p>
    <w:p w14:paraId="5F42D18A">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任何一方当事人不接受争议评审小组决定或不履行争议评审小组决定的，双方可选择采用其他争议解决方式。</w:t>
      </w:r>
    </w:p>
    <w:p w14:paraId="76EC101E">
      <w:pPr>
        <w:keepNext/>
        <w:keepLines/>
        <w:spacing w:line="440" w:lineRule="exact"/>
        <w:ind w:firstLine="640" w:firstLineChars="200"/>
        <w:outlineLvl w:val="4"/>
        <w:rPr>
          <w:rFonts w:hint="eastAsia" w:ascii="宋体" w:hAnsi="宋体" w:cs="宋体"/>
          <w:bCs/>
          <w:sz w:val="32"/>
          <w:szCs w:val="32"/>
        </w:rPr>
      </w:pPr>
      <w:bookmarkStart w:id="1176" w:name="_Toc32521"/>
      <w:bookmarkStart w:id="1177" w:name="_Toc24441"/>
      <w:bookmarkStart w:id="1178" w:name="_Toc351203630"/>
      <w:bookmarkStart w:id="1179" w:name="_Toc296346651"/>
      <w:bookmarkStart w:id="1180" w:name="_Toc296503150"/>
      <w:bookmarkStart w:id="1181" w:name="_Toc337558844"/>
      <w:r>
        <w:rPr>
          <w:rFonts w:hint="eastAsia" w:ascii="宋体" w:hAnsi="宋体" w:cs="宋体"/>
          <w:bCs/>
          <w:sz w:val="32"/>
          <w:szCs w:val="32"/>
        </w:rPr>
        <w:t>20.4仲裁或诉讼</w:t>
      </w:r>
      <w:bookmarkEnd w:id="1176"/>
      <w:bookmarkEnd w:id="1177"/>
      <w:bookmarkEnd w:id="1178"/>
    </w:p>
    <w:bookmarkEnd w:id="1179"/>
    <w:bookmarkEnd w:id="1180"/>
    <w:bookmarkEnd w:id="1181"/>
    <w:p w14:paraId="4547C05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因合同及合同有关事项产生的争议，合同当事人可以在专用合同条款中约定以下一种方式解决争议：</w:t>
      </w:r>
    </w:p>
    <w:p w14:paraId="32DA47E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（1）向约定的仲裁委员会申请仲裁；</w:t>
      </w:r>
    </w:p>
    <w:p w14:paraId="0ECDF92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（2）向有管辖权的人民法院起诉。</w:t>
      </w:r>
    </w:p>
    <w:p w14:paraId="139F62A3">
      <w:pPr>
        <w:keepNext/>
        <w:keepLines/>
        <w:spacing w:line="440" w:lineRule="exact"/>
        <w:ind w:firstLine="640" w:firstLineChars="200"/>
        <w:outlineLvl w:val="4"/>
        <w:rPr>
          <w:rFonts w:hint="eastAsia" w:ascii="宋体" w:hAnsi="宋体" w:cs="宋体"/>
          <w:bCs/>
          <w:sz w:val="32"/>
          <w:szCs w:val="32"/>
        </w:rPr>
      </w:pPr>
      <w:bookmarkStart w:id="1182" w:name="_Toc1050"/>
      <w:bookmarkStart w:id="1183" w:name="_Toc351203631"/>
      <w:bookmarkStart w:id="1184" w:name="_Toc337558845"/>
      <w:bookmarkStart w:id="1185" w:name="_Toc296503152"/>
      <w:bookmarkStart w:id="1186" w:name="_Toc296346653"/>
      <w:r>
        <w:rPr>
          <w:rFonts w:hint="eastAsia" w:ascii="宋体" w:hAnsi="宋体" w:cs="宋体"/>
          <w:bCs/>
          <w:sz w:val="32"/>
          <w:szCs w:val="32"/>
        </w:rPr>
        <w:t>20.5争议解决条款效力</w:t>
      </w:r>
      <w:bookmarkEnd w:id="1182"/>
      <w:bookmarkEnd w:id="1183"/>
    </w:p>
    <w:bookmarkEnd w:id="1184"/>
    <w:bookmarkEnd w:id="1185"/>
    <w:bookmarkEnd w:id="1186"/>
    <w:p w14:paraId="59318F9B">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合同有关争议解决的条款独立存在，合同的变更、解除、终止、无效或者被撤销均不影响其效力。</w:t>
      </w:r>
    </w:p>
    <w:p w14:paraId="195F936A">
      <w:pPr>
        <w:keepNext/>
        <w:keepLines/>
        <w:spacing w:line="440" w:lineRule="exact"/>
        <w:ind w:firstLine="643" w:firstLineChars="200"/>
        <w:jc w:val="center"/>
        <w:outlineLvl w:val="2"/>
        <w:rPr>
          <w:rFonts w:hint="eastAsia" w:ascii="宋体" w:hAnsi="宋体" w:cs="宋体"/>
          <w:b/>
          <w:bCs/>
          <w:sz w:val="32"/>
          <w:szCs w:val="32"/>
        </w:rPr>
      </w:pPr>
      <w:bookmarkStart w:id="1187" w:name="_Toc351203632"/>
      <w:r>
        <w:rPr>
          <w:rFonts w:hint="eastAsia" w:ascii="宋体" w:hAnsi="宋体" w:cs="宋体"/>
          <w:b/>
          <w:bCs/>
          <w:sz w:val="32"/>
          <w:szCs w:val="32"/>
        </w:rPr>
        <w:br w:type="page"/>
      </w:r>
      <w:bookmarkStart w:id="1188" w:name="_Toc256000233"/>
      <w:bookmarkStart w:id="1189" w:name="_Toc256000036"/>
      <w:bookmarkStart w:id="1190" w:name="_Toc14358"/>
      <w:bookmarkStart w:id="1191" w:name="_Toc7036"/>
      <w:bookmarkStart w:id="1192" w:name="_Toc256000087"/>
      <w:bookmarkStart w:id="1193" w:name="_Toc256000097"/>
      <w:r>
        <w:rPr>
          <w:rFonts w:hint="eastAsia" w:ascii="宋体" w:hAnsi="宋体" w:cs="宋体"/>
          <w:b/>
          <w:bCs/>
          <w:sz w:val="32"/>
          <w:szCs w:val="32"/>
        </w:rPr>
        <w:t>第三部分专用合同条款</w:t>
      </w:r>
      <w:bookmarkEnd w:id="1187"/>
      <w:bookmarkEnd w:id="1188"/>
      <w:bookmarkEnd w:id="1189"/>
      <w:bookmarkEnd w:id="1190"/>
      <w:bookmarkEnd w:id="1191"/>
      <w:bookmarkEnd w:id="1192"/>
      <w:bookmarkEnd w:id="1193"/>
    </w:p>
    <w:p w14:paraId="7A89B38F">
      <w:pPr>
        <w:keepNext/>
        <w:keepLines/>
        <w:spacing w:line="440" w:lineRule="exact"/>
        <w:ind w:firstLine="640" w:firstLineChars="200"/>
        <w:outlineLvl w:val="3"/>
        <w:rPr>
          <w:rFonts w:hint="eastAsia" w:ascii="宋体" w:hAnsi="宋体" w:cs="宋体"/>
          <w:bCs/>
          <w:sz w:val="32"/>
          <w:szCs w:val="32"/>
        </w:rPr>
      </w:pPr>
      <w:bookmarkStart w:id="1194" w:name="_Toc11894"/>
      <w:bookmarkStart w:id="1195" w:name="_Toc1036"/>
      <w:bookmarkStart w:id="1196" w:name="_Toc351203633"/>
      <w:r>
        <w:rPr>
          <w:rFonts w:hint="eastAsia" w:ascii="宋体" w:hAnsi="宋体" w:cs="宋体"/>
          <w:bCs/>
          <w:sz w:val="32"/>
          <w:szCs w:val="32"/>
        </w:rPr>
        <w:t>1</w:t>
      </w:r>
      <w:bookmarkStart w:id="1197" w:name="_Toc292559361"/>
      <w:bookmarkStart w:id="1198" w:name="_Toc297120456"/>
      <w:bookmarkStart w:id="1199" w:name="_Toc296891196"/>
      <w:bookmarkStart w:id="1200" w:name="_Toc296944495"/>
      <w:bookmarkStart w:id="1201" w:name="_Toc296503156"/>
      <w:bookmarkStart w:id="1202" w:name="_Toc297048342"/>
      <w:bookmarkStart w:id="1203" w:name="_Toc292559866"/>
      <w:bookmarkStart w:id="1204" w:name="_Toc296346657"/>
      <w:bookmarkStart w:id="1205" w:name="_Toc296890984"/>
      <w:bookmarkStart w:id="1206" w:name="_Toc296347155"/>
      <w:r>
        <w:rPr>
          <w:rFonts w:hint="eastAsia" w:ascii="宋体" w:hAnsi="宋体" w:cs="宋体"/>
          <w:bCs/>
          <w:sz w:val="32"/>
          <w:szCs w:val="32"/>
        </w:rPr>
        <w:t>.一般约定</w:t>
      </w:r>
      <w:bookmarkEnd w:id="1194"/>
      <w:bookmarkEnd w:id="1195"/>
      <w:bookmarkEnd w:id="1196"/>
    </w:p>
    <w:bookmarkEnd w:id="1197"/>
    <w:bookmarkEnd w:id="1198"/>
    <w:bookmarkEnd w:id="1199"/>
    <w:bookmarkEnd w:id="1200"/>
    <w:bookmarkEnd w:id="1201"/>
    <w:bookmarkEnd w:id="1202"/>
    <w:bookmarkEnd w:id="1203"/>
    <w:bookmarkEnd w:id="1204"/>
    <w:bookmarkEnd w:id="1205"/>
    <w:bookmarkEnd w:id="1206"/>
    <w:p w14:paraId="1FE2FC5F">
      <w:pPr>
        <w:spacing w:line="440" w:lineRule="exact"/>
        <w:ind w:firstLine="640" w:firstLineChars="200"/>
        <w:outlineLvl w:val="0"/>
        <w:rPr>
          <w:rFonts w:hint="eastAsia" w:ascii="宋体" w:hAnsi="宋体" w:cs="宋体"/>
          <w:sz w:val="32"/>
          <w:szCs w:val="32"/>
        </w:rPr>
      </w:pPr>
      <w:bookmarkStart w:id="1207" w:name="_Toc5127"/>
      <w:bookmarkStart w:id="1208" w:name="_Toc256000037"/>
      <w:bookmarkStart w:id="1209" w:name="_Toc256000234"/>
      <w:bookmarkStart w:id="1210" w:name="_Toc256000098"/>
      <w:bookmarkStart w:id="1211" w:name="_Toc256000088"/>
      <w:bookmarkStart w:id="1212" w:name="_Toc28505"/>
      <w:r>
        <w:rPr>
          <w:rFonts w:hint="eastAsia" w:ascii="宋体" w:hAnsi="宋体" w:cs="宋体"/>
          <w:sz w:val="32"/>
          <w:szCs w:val="32"/>
        </w:rPr>
        <w:t>1.1词语定义</w:t>
      </w:r>
      <w:bookmarkEnd w:id="1207"/>
      <w:bookmarkEnd w:id="1208"/>
      <w:bookmarkEnd w:id="1209"/>
      <w:bookmarkEnd w:id="1210"/>
      <w:bookmarkEnd w:id="1211"/>
      <w:bookmarkEnd w:id="1212"/>
    </w:p>
    <w:p w14:paraId="4D960E26">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1.1.1合同</w:t>
      </w:r>
    </w:p>
    <w:p w14:paraId="449D5092">
      <w:pPr>
        <w:spacing w:line="440" w:lineRule="exact"/>
        <w:ind w:firstLine="640" w:firstLineChars="200"/>
        <w:rPr>
          <w:rFonts w:hint="eastAsia" w:ascii="宋体" w:hAnsi="宋体" w:cs="宋体"/>
          <w:sz w:val="32"/>
          <w:szCs w:val="32"/>
          <w:u w:val="single"/>
        </w:rPr>
      </w:pPr>
      <w:r>
        <w:rPr>
          <w:rFonts w:hint="eastAsia" w:ascii="宋体" w:hAnsi="宋体" w:cs="宋体"/>
          <w:kern w:val="0"/>
          <w:sz w:val="32"/>
          <w:szCs w:val="32"/>
        </w:rPr>
        <w:t>1.1.1.10其他合同文件包括：</w:t>
      </w:r>
      <w:r>
        <w:rPr>
          <w:rFonts w:ascii="Times New Roman" w:hAnsi="Times New Roman" w:cs="宋体"/>
          <w:sz w:val="32"/>
          <w:szCs w:val="32"/>
          <w:u w:val="single"/>
        </w:rPr>
        <w:sym w:font="Times New Roman" w:char="E5E5"/>
      </w:r>
      <w:r>
        <w:rPr>
          <w:rFonts w:hint="eastAsia" w:ascii="宋体" w:hAnsi="宋体" w:cs="宋体"/>
          <w:sz w:val="32"/>
          <w:szCs w:val="32"/>
          <w:u w:val="single"/>
        </w:rPr>
        <w:t>（1）本合同协议书；（2）中标通知书；（3）投标书及其附件；（4）本合同专用条款；（5）本合同通用条款；（6）标准、规范及有关技术文件；（7）图纸；（8）工程量清单；（9）工程报价单或预算书。</w:t>
      </w:r>
    </w:p>
    <w:p w14:paraId="6C566A27">
      <w:pPr>
        <w:spacing w:line="440" w:lineRule="exact"/>
        <w:ind w:firstLine="640" w:firstLineChars="200"/>
        <w:rPr>
          <w:rFonts w:hint="eastAsia" w:ascii="宋体" w:hAnsi="宋体" w:cs="宋体"/>
          <w:sz w:val="32"/>
          <w:szCs w:val="32"/>
        </w:rPr>
      </w:pPr>
      <w:r>
        <w:rPr>
          <w:rFonts w:hint="eastAsia" w:ascii="宋体" w:hAnsi="宋体" w:cs="宋体"/>
          <w:sz w:val="32"/>
          <w:szCs w:val="32"/>
        </w:rPr>
        <w:t>1.1.2合同当事人及其他相关方</w:t>
      </w:r>
    </w:p>
    <w:p w14:paraId="3556FC0E">
      <w:pPr>
        <w:spacing w:line="440" w:lineRule="exact"/>
        <w:ind w:firstLine="640" w:firstLineChars="200"/>
        <w:rPr>
          <w:rFonts w:hint="eastAsia" w:ascii="宋体" w:hAnsi="宋体" w:cs="宋体"/>
          <w:sz w:val="32"/>
          <w:szCs w:val="32"/>
        </w:rPr>
      </w:pPr>
      <w:r>
        <w:rPr>
          <w:rFonts w:hint="eastAsia" w:ascii="宋体" w:hAnsi="宋体" w:cs="宋体"/>
          <w:sz w:val="32"/>
          <w:szCs w:val="32"/>
        </w:rPr>
        <w:t>1.1.2.4监理人：</w:t>
      </w:r>
    </w:p>
    <w:p w14:paraId="08A378C5">
      <w:pPr>
        <w:spacing w:line="440" w:lineRule="exact"/>
        <w:ind w:firstLine="640" w:firstLineChars="200"/>
        <w:rPr>
          <w:rFonts w:hint="eastAsia" w:ascii="宋体" w:hAnsi="宋体" w:cs="宋体"/>
          <w:sz w:val="32"/>
          <w:szCs w:val="32"/>
        </w:rPr>
      </w:pPr>
      <w:r>
        <w:rPr>
          <w:rFonts w:hint="eastAsia" w:ascii="宋体" w:hAnsi="宋体" w:cs="宋体"/>
          <w:sz w:val="32"/>
          <w:szCs w:val="32"/>
        </w:rPr>
        <w:t>名称：</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52A9CDB4">
      <w:pPr>
        <w:spacing w:line="440" w:lineRule="exact"/>
        <w:ind w:firstLine="640" w:firstLineChars="200"/>
        <w:rPr>
          <w:rFonts w:hint="eastAsia" w:ascii="宋体" w:hAnsi="宋体" w:cs="宋体"/>
          <w:sz w:val="32"/>
          <w:szCs w:val="32"/>
        </w:rPr>
      </w:pPr>
      <w:r>
        <w:rPr>
          <w:rFonts w:hint="eastAsia" w:ascii="宋体" w:hAnsi="宋体" w:cs="宋体"/>
          <w:sz w:val="32"/>
          <w:szCs w:val="32"/>
        </w:rPr>
        <w:t>资质类别和等级：</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01C22087">
      <w:pPr>
        <w:spacing w:line="440" w:lineRule="exact"/>
        <w:ind w:firstLine="640" w:firstLineChars="200"/>
        <w:rPr>
          <w:rFonts w:hint="eastAsia" w:ascii="宋体" w:hAnsi="宋体" w:cs="宋体"/>
          <w:sz w:val="32"/>
          <w:szCs w:val="32"/>
        </w:rPr>
      </w:pPr>
      <w:r>
        <w:rPr>
          <w:rFonts w:hint="eastAsia" w:ascii="宋体" w:hAnsi="宋体" w:cs="宋体"/>
          <w:sz w:val="32"/>
          <w:szCs w:val="32"/>
        </w:rPr>
        <w:t>联系电话：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2EBA1B13">
      <w:pPr>
        <w:spacing w:line="440" w:lineRule="exact"/>
        <w:ind w:firstLine="640" w:firstLineChars="200"/>
        <w:rPr>
          <w:rFonts w:hint="eastAsia" w:ascii="宋体" w:hAnsi="宋体" w:cs="宋体"/>
          <w:sz w:val="32"/>
          <w:szCs w:val="32"/>
        </w:rPr>
      </w:pPr>
      <w:r>
        <w:rPr>
          <w:rFonts w:hint="eastAsia" w:ascii="宋体" w:hAnsi="宋体" w:cs="宋体"/>
          <w:sz w:val="32"/>
          <w:szCs w:val="32"/>
        </w:rPr>
        <w:t>电子信箱：</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5A4CDB6C">
      <w:pPr>
        <w:spacing w:line="440" w:lineRule="exact"/>
        <w:ind w:firstLine="640" w:firstLineChars="200"/>
        <w:rPr>
          <w:rFonts w:hint="eastAsia" w:ascii="宋体" w:hAnsi="宋体" w:cs="宋体"/>
          <w:sz w:val="32"/>
          <w:szCs w:val="32"/>
        </w:rPr>
      </w:pPr>
      <w:r>
        <w:rPr>
          <w:rFonts w:hint="eastAsia" w:ascii="宋体" w:hAnsi="宋体" w:cs="宋体"/>
          <w:sz w:val="32"/>
          <w:szCs w:val="32"/>
        </w:rPr>
        <w:t>通信地址：</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0016533B">
      <w:pPr>
        <w:spacing w:line="440" w:lineRule="exact"/>
        <w:ind w:firstLine="640" w:firstLineChars="200"/>
        <w:rPr>
          <w:rFonts w:hint="eastAsia" w:ascii="宋体" w:hAnsi="宋体" w:cs="宋体"/>
          <w:sz w:val="32"/>
          <w:szCs w:val="32"/>
        </w:rPr>
      </w:pPr>
      <w:r>
        <w:rPr>
          <w:rFonts w:hint="eastAsia" w:ascii="宋体" w:hAnsi="宋体" w:cs="宋体"/>
          <w:sz w:val="32"/>
          <w:szCs w:val="32"/>
        </w:rPr>
        <w:t>1.1.2.5设计人：</w:t>
      </w:r>
    </w:p>
    <w:p w14:paraId="204A1FDA">
      <w:pPr>
        <w:spacing w:line="440" w:lineRule="exact"/>
        <w:ind w:firstLine="640" w:firstLineChars="200"/>
        <w:rPr>
          <w:rFonts w:hint="eastAsia" w:ascii="宋体" w:hAnsi="宋体" w:cs="宋体"/>
          <w:sz w:val="32"/>
          <w:szCs w:val="32"/>
        </w:rPr>
      </w:pPr>
      <w:r>
        <w:rPr>
          <w:rFonts w:hint="eastAsia" w:ascii="宋体" w:hAnsi="宋体" w:cs="宋体"/>
          <w:sz w:val="32"/>
          <w:szCs w:val="32"/>
        </w:rPr>
        <w:t>名称：</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1A7D52A9">
      <w:pPr>
        <w:spacing w:line="440" w:lineRule="exact"/>
        <w:ind w:firstLine="640" w:firstLineChars="200"/>
        <w:rPr>
          <w:rFonts w:hint="eastAsia" w:ascii="宋体" w:hAnsi="宋体" w:cs="宋体"/>
          <w:sz w:val="32"/>
          <w:szCs w:val="32"/>
        </w:rPr>
      </w:pPr>
      <w:r>
        <w:rPr>
          <w:rFonts w:hint="eastAsia" w:ascii="宋体" w:hAnsi="宋体" w:cs="宋体"/>
          <w:sz w:val="32"/>
          <w:szCs w:val="32"/>
        </w:rPr>
        <w:t>资质类别和等级：</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50B432BE">
      <w:pPr>
        <w:spacing w:line="440" w:lineRule="exact"/>
        <w:ind w:firstLine="640" w:firstLineChars="200"/>
        <w:rPr>
          <w:rFonts w:hint="eastAsia" w:ascii="宋体" w:hAnsi="宋体" w:cs="宋体"/>
          <w:sz w:val="32"/>
          <w:szCs w:val="32"/>
        </w:rPr>
      </w:pPr>
      <w:r>
        <w:rPr>
          <w:rFonts w:hint="eastAsia" w:ascii="宋体" w:hAnsi="宋体" w:cs="宋体"/>
          <w:sz w:val="32"/>
          <w:szCs w:val="32"/>
        </w:rPr>
        <w:t>联系电话：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6EAF99A7">
      <w:pPr>
        <w:spacing w:line="440" w:lineRule="exact"/>
        <w:ind w:firstLine="640" w:firstLineChars="200"/>
        <w:rPr>
          <w:rFonts w:hint="eastAsia" w:ascii="宋体" w:hAnsi="宋体" w:cs="宋体"/>
          <w:sz w:val="32"/>
          <w:szCs w:val="32"/>
        </w:rPr>
      </w:pPr>
      <w:r>
        <w:rPr>
          <w:rFonts w:hint="eastAsia" w:ascii="宋体" w:hAnsi="宋体" w:cs="宋体"/>
          <w:sz w:val="32"/>
          <w:szCs w:val="32"/>
        </w:rPr>
        <w:t>电子信箱：</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0AF90286">
      <w:pPr>
        <w:spacing w:line="440" w:lineRule="exact"/>
        <w:ind w:firstLine="640" w:firstLineChars="200"/>
        <w:rPr>
          <w:rFonts w:hint="eastAsia" w:ascii="宋体" w:hAnsi="宋体" w:cs="宋体"/>
          <w:sz w:val="32"/>
          <w:szCs w:val="32"/>
        </w:rPr>
      </w:pPr>
      <w:r>
        <w:rPr>
          <w:rFonts w:hint="eastAsia" w:ascii="宋体" w:hAnsi="宋体" w:cs="宋体"/>
          <w:sz w:val="32"/>
          <w:szCs w:val="32"/>
        </w:rPr>
        <w:t>通信地址：</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3EC1BADF">
      <w:pPr>
        <w:spacing w:line="440" w:lineRule="exact"/>
        <w:ind w:firstLine="640" w:firstLineChars="200"/>
        <w:rPr>
          <w:rFonts w:hint="eastAsia" w:ascii="宋体" w:hAnsi="宋体" w:cs="宋体"/>
          <w:sz w:val="32"/>
          <w:szCs w:val="32"/>
        </w:rPr>
      </w:pPr>
      <w:r>
        <w:rPr>
          <w:rFonts w:hint="eastAsia" w:ascii="宋体" w:hAnsi="宋体" w:cs="宋体"/>
          <w:sz w:val="32"/>
          <w:szCs w:val="32"/>
        </w:rPr>
        <w:t>1.1.3工程和设备</w:t>
      </w:r>
    </w:p>
    <w:p w14:paraId="2C9A1C9F">
      <w:pPr>
        <w:spacing w:line="440" w:lineRule="exact"/>
        <w:ind w:firstLine="640" w:firstLineChars="200"/>
        <w:rPr>
          <w:rFonts w:hint="eastAsia" w:ascii="宋体" w:hAnsi="宋体" w:cs="宋体"/>
          <w:sz w:val="32"/>
          <w:szCs w:val="32"/>
        </w:rPr>
      </w:pPr>
      <w:r>
        <w:rPr>
          <w:rFonts w:hint="eastAsia" w:ascii="宋体" w:hAnsi="宋体" w:cs="宋体"/>
          <w:sz w:val="32"/>
          <w:szCs w:val="32"/>
        </w:rPr>
        <w:t>1.1.3.7作为施工现场组成部分的其他场所包括：</w:t>
      </w:r>
      <w:r>
        <w:rPr>
          <w:rFonts w:hint="eastAsia" w:ascii="宋体" w:hAnsi="宋体" w:cs="宋体"/>
          <w:sz w:val="32"/>
          <w:szCs w:val="32"/>
          <w:u w:val="single"/>
        </w:rPr>
        <w:t>施工场地、办公场所、生活区及其它与施工相关的场所</w:t>
      </w:r>
      <w:r>
        <w:rPr>
          <w:rFonts w:hint="eastAsia" w:ascii="宋体" w:hAnsi="宋体" w:cs="宋体"/>
          <w:sz w:val="32"/>
          <w:szCs w:val="32"/>
        </w:rPr>
        <w:t>。</w:t>
      </w:r>
    </w:p>
    <w:p w14:paraId="21D27B9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1.1.3.9永久占地包括：</w:t>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kern w:val="0"/>
          <w:sz w:val="32"/>
          <w:szCs w:val="32"/>
        </w:rPr>
        <w:t>。</w:t>
      </w:r>
    </w:p>
    <w:p w14:paraId="19EC1441">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1.1.3.10临时占地包括：</w:t>
      </w:r>
      <w:r>
        <w:rPr>
          <w:rFonts w:hint="eastAsia" w:ascii="宋体" w:hAnsi="宋体" w:cs="宋体"/>
          <w:sz w:val="32"/>
          <w:szCs w:val="32"/>
          <w:u w:val="single"/>
        </w:rPr>
        <w:t>施工材料堆放及加工场地、办公及生活区</w:t>
      </w:r>
      <w:r>
        <w:rPr>
          <w:rFonts w:hint="eastAsia" w:ascii="宋体" w:hAnsi="宋体" w:cs="宋体"/>
          <w:kern w:val="0"/>
          <w:sz w:val="32"/>
          <w:szCs w:val="32"/>
        </w:rPr>
        <w:t>。</w:t>
      </w:r>
    </w:p>
    <w:p w14:paraId="639231AD">
      <w:pPr>
        <w:spacing w:line="440" w:lineRule="exact"/>
        <w:ind w:firstLine="640" w:firstLineChars="200"/>
        <w:rPr>
          <w:rFonts w:hint="eastAsia" w:ascii="宋体" w:hAnsi="宋体" w:cs="宋体"/>
          <w:sz w:val="32"/>
          <w:szCs w:val="32"/>
        </w:rPr>
      </w:pPr>
      <w:r>
        <w:rPr>
          <w:rFonts w:hint="eastAsia" w:ascii="宋体" w:hAnsi="宋体" w:cs="宋体"/>
          <w:sz w:val="32"/>
          <w:szCs w:val="32"/>
        </w:rPr>
        <w:t>1.3法律</w:t>
      </w:r>
    </w:p>
    <w:p w14:paraId="5A2A91BB">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适用于合同的其他规范性文件：</w:t>
      </w:r>
      <w:r>
        <w:rPr>
          <w:rFonts w:ascii="Times New Roman" w:hAnsi="Times New Roman" w:cs="宋体"/>
          <w:sz w:val="32"/>
          <w:szCs w:val="32"/>
          <w:u w:val="single"/>
        </w:rPr>
        <w:sym w:font="Times New Roman" w:char="E5E5"/>
      </w:r>
      <w:r>
        <w:rPr>
          <w:rFonts w:hint="eastAsia" w:ascii="宋体" w:hAnsi="宋体" w:cs="宋体"/>
          <w:sz w:val="32"/>
          <w:szCs w:val="32"/>
          <w:u w:val="single"/>
        </w:rPr>
        <w:t>《中华人民共和国民法典》、《中华人民共和国建筑法》、《建设工程质量管理条例》、《建设工程安全生产管理条例》及现行法规、部门规章、自治区颁布的现行法律法规</w:t>
      </w:r>
      <w:r>
        <w:rPr>
          <w:rFonts w:hint="eastAsia" w:ascii="宋体" w:hAnsi="宋体" w:cs="宋体"/>
          <w:sz w:val="32"/>
          <w:szCs w:val="32"/>
        </w:rPr>
        <w:t>。</w:t>
      </w:r>
    </w:p>
    <w:p w14:paraId="23838DFC">
      <w:pPr>
        <w:spacing w:line="440" w:lineRule="exact"/>
        <w:ind w:firstLine="640" w:firstLineChars="200"/>
        <w:rPr>
          <w:rFonts w:hint="eastAsia" w:ascii="宋体" w:hAnsi="宋体" w:cs="宋体"/>
          <w:sz w:val="32"/>
          <w:szCs w:val="32"/>
        </w:rPr>
      </w:pPr>
      <w:r>
        <w:rPr>
          <w:rFonts w:hint="eastAsia" w:ascii="宋体" w:hAnsi="宋体" w:cs="宋体"/>
          <w:sz w:val="32"/>
          <w:szCs w:val="32"/>
        </w:rPr>
        <w:t>1.4标准和规范</w:t>
      </w:r>
    </w:p>
    <w:p w14:paraId="50A7F8A2">
      <w:pPr>
        <w:spacing w:line="440" w:lineRule="exact"/>
        <w:ind w:firstLine="640" w:firstLineChars="200"/>
        <w:rPr>
          <w:rFonts w:hint="eastAsia" w:ascii="宋体" w:hAnsi="宋体" w:cs="宋体"/>
          <w:sz w:val="32"/>
          <w:szCs w:val="32"/>
        </w:rPr>
      </w:pPr>
      <w:r>
        <w:rPr>
          <w:rFonts w:hint="eastAsia" w:ascii="宋体" w:hAnsi="宋体" w:cs="宋体"/>
          <w:sz w:val="32"/>
          <w:szCs w:val="32"/>
        </w:rPr>
        <w:t>1.4.1适用于工程的标准规范包括：</w:t>
      </w:r>
      <w:r>
        <w:rPr>
          <w:rFonts w:ascii="Times New Roman" w:hAnsi="Times New Roman" w:cs="宋体"/>
          <w:sz w:val="32"/>
          <w:szCs w:val="32"/>
          <w:u w:val="single"/>
        </w:rPr>
        <w:sym w:font="Times New Roman" w:char="E5E5"/>
      </w:r>
      <w:r>
        <w:rPr>
          <w:rFonts w:hint="eastAsia" w:ascii="宋体" w:hAnsi="宋体" w:cs="宋体"/>
          <w:sz w:val="32"/>
          <w:szCs w:val="32"/>
          <w:u w:val="single"/>
        </w:rPr>
        <w:t>现行《建筑工程施工质量验收统一标准》和现行相关专业《工程施工质量验收规范》</w:t>
      </w:r>
      <w:r>
        <w:rPr>
          <w:rFonts w:hint="eastAsia" w:ascii="宋体" w:hAnsi="宋体" w:cs="宋体"/>
          <w:sz w:val="32"/>
          <w:szCs w:val="32"/>
        </w:rPr>
        <w:t>。</w:t>
      </w:r>
    </w:p>
    <w:p w14:paraId="36075656">
      <w:pPr>
        <w:spacing w:line="440" w:lineRule="exact"/>
        <w:ind w:firstLine="640" w:firstLineChars="200"/>
        <w:outlineLvl w:val="0"/>
        <w:rPr>
          <w:rFonts w:hint="eastAsia" w:ascii="宋体" w:hAnsi="宋体" w:cs="宋体"/>
          <w:kern w:val="0"/>
          <w:sz w:val="32"/>
          <w:szCs w:val="32"/>
          <w:u w:val="single"/>
        </w:rPr>
      </w:pPr>
      <w:bookmarkStart w:id="1213" w:name="_Toc256000235"/>
      <w:bookmarkStart w:id="1214" w:name="_Toc256000038"/>
      <w:bookmarkStart w:id="1215" w:name="_Toc256000140"/>
      <w:bookmarkStart w:id="1216" w:name="_Toc256000099"/>
      <w:bookmarkStart w:id="1217" w:name="_Toc6770"/>
      <w:bookmarkStart w:id="1218" w:name="_Toc28588"/>
      <w:r>
        <w:rPr>
          <w:rFonts w:hint="eastAsia" w:ascii="宋体" w:hAnsi="宋体" w:cs="宋体"/>
          <w:kern w:val="0"/>
          <w:sz w:val="32"/>
          <w:szCs w:val="32"/>
        </w:rPr>
        <w:t>1.4.2发包人提供国外标准、规范的名称：</w:t>
      </w:r>
      <w:bookmarkEnd w:id="1213"/>
      <w:bookmarkEnd w:id="1214"/>
      <w:bookmarkEnd w:id="1215"/>
      <w:bookmarkEnd w:id="1216"/>
      <w:bookmarkEnd w:id="1217"/>
      <w:bookmarkEnd w:id="1218"/>
    </w:p>
    <w:p w14:paraId="7DDFBD30">
      <w:pPr>
        <w:spacing w:line="440" w:lineRule="exact"/>
        <w:rPr>
          <w:rFonts w:hint="eastAsia" w:ascii="宋体" w:hAnsi="宋体" w:cs="宋体"/>
          <w:kern w:val="0"/>
          <w:sz w:val="32"/>
          <w:szCs w:val="32"/>
        </w:rPr>
      </w:pPr>
      <w:r>
        <w:rPr>
          <w:rFonts w:hint="eastAsia" w:ascii="宋体" w:hAnsi="宋体" w:cs="宋体"/>
          <w:kern w:val="0"/>
          <w:sz w:val="32"/>
          <w:szCs w:val="32"/>
        </w:rPr>
        <w:t>；</w:t>
      </w:r>
    </w:p>
    <w:p w14:paraId="0EFCEF5D">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发包人提供国外标准、规范的份数：；</w:t>
      </w:r>
    </w:p>
    <w:p w14:paraId="7C3A5B5F">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发包人提供国外标准、规范的名称：。</w:t>
      </w:r>
    </w:p>
    <w:p w14:paraId="0AEF0E3F">
      <w:pPr>
        <w:spacing w:line="440" w:lineRule="exact"/>
        <w:ind w:firstLine="640" w:firstLineChars="200"/>
        <w:rPr>
          <w:rFonts w:hint="eastAsia" w:ascii="宋体" w:hAnsi="宋体" w:cs="宋体"/>
          <w:sz w:val="32"/>
          <w:szCs w:val="32"/>
        </w:rPr>
      </w:pPr>
      <w:r>
        <w:rPr>
          <w:rFonts w:hint="eastAsia" w:ascii="宋体" w:hAnsi="宋体" w:cs="宋体"/>
          <w:sz w:val="32"/>
          <w:szCs w:val="32"/>
        </w:rPr>
        <w:t>1.4.3发包人对工程的技术标准和功能要求的特殊要求：</w:t>
      </w:r>
    </w:p>
    <w:p w14:paraId="7034BA1B">
      <w:pPr>
        <w:spacing w:line="440" w:lineRule="exact"/>
        <w:rPr>
          <w:rFonts w:hint="eastAsia" w:ascii="宋体" w:hAnsi="宋体" w:cs="宋体"/>
          <w:sz w:val="32"/>
          <w:szCs w:val="32"/>
        </w:rPr>
      </w:pP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57BDA257">
      <w:pPr>
        <w:spacing w:line="440" w:lineRule="exact"/>
        <w:ind w:firstLine="640" w:firstLineChars="200"/>
        <w:outlineLvl w:val="0"/>
        <w:rPr>
          <w:rFonts w:hint="eastAsia" w:ascii="宋体" w:hAnsi="宋体" w:cs="宋体"/>
          <w:sz w:val="32"/>
          <w:szCs w:val="32"/>
        </w:rPr>
      </w:pPr>
      <w:bookmarkStart w:id="1219" w:name="_Toc256000039"/>
      <w:bookmarkStart w:id="1220" w:name="_Toc256000141"/>
      <w:bookmarkStart w:id="1221" w:name="_Toc28236"/>
      <w:bookmarkStart w:id="1222" w:name="_Toc256000100"/>
      <w:bookmarkStart w:id="1223" w:name="_Toc256000236"/>
      <w:bookmarkStart w:id="1224" w:name="_Toc21614"/>
      <w:r>
        <w:rPr>
          <w:rFonts w:hint="eastAsia" w:ascii="宋体" w:hAnsi="宋体" w:cs="宋体"/>
          <w:sz w:val="32"/>
          <w:szCs w:val="32"/>
        </w:rPr>
        <w:t>1.5合同文件的优先顺序</w:t>
      </w:r>
      <w:bookmarkEnd w:id="1219"/>
      <w:bookmarkEnd w:id="1220"/>
      <w:bookmarkEnd w:id="1221"/>
      <w:bookmarkEnd w:id="1222"/>
      <w:bookmarkEnd w:id="1223"/>
      <w:bookmarkEnd w:id="1224"/>
    </w:p>
    <w:p w14:paraId="7600AE97">
      <w:pPr>
        <w:spacing w:line="440" w:lineRule="exact"/>
        <w:ind w:firstLine="640" w:firstLineChars="200"/>
        <w:rPr>
          <w:rFonts w:hint="eastAsia" w:ascii="宋体" w:hAnsi="宋体" w:cs="宋体"/>
          <w:sz w:val="32"/>
          <w:szCs w:val="32"/>
        </w:rPr>
      </w:pPr>
      <w:r>
        <w:rPr>
          <w:rFonts w:hint="eastAsia" w:ascii="宋体" w:hAnsi="宋体" w:cs="宋体"/>
          <w:sz w:val="32"/>
          <w:szCs w:val="32"/>
        </w:rPr>
        <w:t>合同文件组成及优先顺序为：</w:t>
      </w:r>
      <w:r>
        <w:rPr>
          <w:rFonts w:ascii="Times New Roman" w:hAnsi="Times New Roman" w:cs="宋体"/>
          <w:sz w:val="32"/>
          <w:szCs w:val="32"/>
          <w:u w:val="single"/>
        </w:rPr>
        <w:sym w:font="Times New Roman" w:char="E5E5"/>
      </w:r>
      <w:r>
        <w:rPr>
          <w:rFonts w:hint="eastAsia" w:ascii="宋体" w:hAnsi="宋体" w:cs="宋体"/>
          <w:sz w:val="32"/>
          <w:szCs w:val="32"/>
          <w:u w:val="single"/>
        </w:rPr>
        <w:t>（1）本合同协议书；（2）中标通知书；（3）投标书及其附件；（4）本合同专用条款；（5）本合同通用条款；（6）标准、规范及有关技术文件；（7）图纸；（8）工程量清单；（9）双方有关工程的洽商、变更等书面协议或文件视为本合同的组成部分</w:t>
      </w:r>
      <w:r>
        <w:rPr>
          <w:rFonts w:hint="eastAsia" w:ascii="宋体" w:hAnsi="宋体" w:cs="宋体"/>
          <w:sz w:val="32"/>
          <w:szCs w:val="32"/>
        </w:rPr>
        <w:t>。</w:t>
      </w:r>
    </w:p>
    <w:p w14:paraId="4694F4AF">
      <w:pPr>
        <w:spacing w:line="440" w:lineRule="exact"/>
        <w:ind w:firstLine="640" w:firstLineChars="200"/>
        <w:outlineLvl w:val="0"/>
        <w:rPr>
          <w:rFonts w:hint="eastAsia" w:ascii="宋体" w:hAnsi="宋体" w:cs="宋体"/>
          <w:sz w:val="32"/>
          <w:szCs w:val="32"/>
        </w:rPr>
      </w:pPr>
      <w:bookmarkStart w:id="1225" w:name="_Toc256000237"/>
      <w:bookmarkStart w:id="1226" w:name="_Toc24288"/>
      <w:bookmarkStart w:id="1227" w:name="_Toc256000142"/>
      <w:bookmarkStart w:id="1228" w:name="_Toc256000040"/>
      <w:bookmarkStart w:id="1229" w:name="_Toc10468"/>
      <w:bookmarkStart w:id="1230" w:name="_Toc256000101"/>
      <w:r>
        <w:rPr>
          <w:rFonts w:hint="eastAsia" w:ascii="宋体" w:hAnsi="宋体" w:cs="宋体"/>
          <w:sz w:val="32"/>
          <w:szCs w:val="32"/>
        </w:rPr>
        <w:t>1.6图纸和承包人文件</w:t>
      </w:r>
      <w:bookmarkEnd w:id="1225"/>
      <w:bookmarkEnd w:id="1226"/>
      <w:bookmarkEnd w:id="1227"/>
      <w:bookmarkEnd w:id="1228"/>
      <w:bookmarkEnd w:id="1229"/>
      <w:bookmarkEnd w:id="1230"/>
      <w:r>
        <w:rPr>
          <w:rFonts w:hint="eastAsia" w:ascii="宋体" w:hAnsi="宋体" w:cs="宋体"/>
          <w:sz w:val="32"/>
          <w:szCs w:val="32"/>
        </w:rPr>
        <w:tab/>
      </w:r>
    </w:p>
    <w:p w14:paraId="0236F93E">
      <w:pPr>
        <w:spacing w:line="440" w:lineRule="exact"/>
        <w:ind w:firstLine="640" w:firstLineChars="200"/>
        <w:rPr>
          <w:rFonts w:hint="eastAsia" w:ascii="宋体" w:hAnsi="宋体" w:cs="宋体"/>
          <w:sz w:val="32"/>
          <w:szCs w:val="32"/>
        </w:rPr>
      </w:pPr>
      <w:r>
        <w:rPr>
          <w:rFonts w:hint="eastAsia" w:ascii="宋体" w:hAnsi="宋体" w:cs="宋体"/>
          <w:sz w:val="32"/>
          <w:szCs w:val="32"/>
        </w:rPr>
        <w:t>1.6.1图纸的提供</w:t>
      </w:r>
    </w:p>
    <w:p w14:paraId="57C19CE8">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发包人向承包人提供图纸的期限：</w:t>
      </w:r>
      <w:r>
        <w:rPr>
          <w:rFonts w:ascii="Times New Roman" w:hAnsi="Times New Roman" w:cs="宋体"/>
          <w:sz w:val="32"/>
          <w:szCs w:val="32"/>
          <w:u w:val="single"/>
        </w:rPr>
        <w:sym w:font="Times New Roman" w:char="E5E5"/>
      </w:r>
      <w:r>
        <w:rPr>
          <w:rFonts w:hint="eastAsia" w:ascii="宋体" w:hAnsi="宋体" w:cs="宋体"/>
          <w:sz w:val="32"/>
          <w:szCs w:val="32"/>
          <w:u w:val="single"/>
        </w:rPr>
        <w:t>开工前五天内提供</w:t>
      </w:r>
      <w:r>
        <w:rPr>
          <w:rFonts w:hint="eastAsia" w:ascii="宋体" w:hAnsi="宋体" w:cs="宋体"/>
          <w:sz w:val="32"/>
          <w:szCs w:val="32"/>
        </w:rPr>
        <w:t>；</w:t>
      </w:r>
    </w:p>
    <w:p w14:paraId="7D728A43">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发包人向承包人提供图纸的数量：</w:t>
      </w:r>
      <w:r>
        <w:rPr>
          <w:rFonts w:ascii="Times New Roman" w:hAnsi="Times New Roman" w:cs="宋体"/>
          <w:sz w:val="32"/>
          <w:szCs w:val="32"/>
          <w:u w:val="single"/>
        </w:rPr>
        <w:sym w:font="Times New Roman" w:char="E5E5"/>
      </w:r>
      <w:r>
        <w:rPr>
          <w:rFonts w:hint="eastAsia" w:ascii="宋体" w:hAnsi="宋体" w:cs="宋体"/>
          <w:sz w:val="32"/>
          <w:szCs w:val="32"/>
          <w:u w:val="single"/>
        </w:rPr>
        <w:t>贰套施工图纸</w:t>
      </w:r>
      <w:r>
        <w:rPr>
          <w:rFonts w:hint="eastAsia" w:ascii="宋体" w:hAnsi="宋体" w:cs="宋体"/>
          <w:sz w:val="32"/>
          <w:szCs w:val="32"/>
        </w:rPr>
        <w:t>；</w:t>
      </w:r>
    </w:p>
    <w:p w14:paraId="7C499489">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发包人向承包人提供图纸的内容：</w:t>
      </w:r>
      <w:r>
        <w:rPr>
          <w:rFonts w:ascii="Times New Roman" w:hAnsi="Times New Roman" w:cs="宋体"/>
          <w:sz w:val="32"/>
          <w:szCs w:val="32"/>
          <w:u w:val="single"/>
        </w:rPr>
        <w:sym w:font="Times New Roman" w:char="E5E5"/>
      </w:r>
      <w:r>
        <w:rPr>
          <w:rFonts w:hint="eastAsia" w:ascii="宋体" w:hAnsi="宋体" w:cs="宋体"/>
          <w:sz w:val="32"/>
          <w:szCs w:val="32"/>
          <w:u w:val="single"/>
        </w:rPr>
        <w:t>全套施工图纸</w:t>
      </w:r>
      <w:r>
        <w:rPr>
          <w:rFonts w:hint="eastAsia" w:ascii="宋体" w:hAnsi="宋体" w:cs="宋体"/>
          <w:sz w:val="32"/>
          <w:szCs w:val="32"/>
        </w:rPr>
        <w:t>。</w:t>
      </w:r>
    </w:p>
    <w:p w14:paraId="74316E3A">
      <w:pPr>
        <w:spacing w:line="440" w:lineRule="exact"/>
        <w:ind w:firstLine="640" w:firstLineChars="200"/>
        <w:rPr>
          <w:rFonts w:hint="eastAsia" w:ascii="宋体" w:hAnsi="宋体" w:cs="宋体"/>
          <w:sz w:val="32"/>
          <w:szCs w:val="32"/>
        </w:rPr>
      </w:pPr>
      <w:r>
        <w:rPr>
          <w:rFonts w:hint="eastAsia" w:ascii="宋体" w:hAnsi="宋体" w:cs="宋体"/>
          <w:sz w:val="32"/>
          <w:szCs w:val="32"/>
        </w:rPr>
        <w:t>1.6.4承包人文件</w:t>
      </w:r>
    </w:p>
    <w:p w14:paraId="3366381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需要由承包人提供的文件，包括：</w:t>
      </w:r>
      <w:r>
        <w:rPr>
          <w:rFonts w:ascii="Times New Roman" w:hAnsi="Times New Roman" w:cs="宋体"/>
          <w:sz w:val="32"/>
          <w:szCs w:val="32"/>
          <w:u w:val="single"/>
        </w:rPr>
        <w:sym w:font="Times New Roman" w:char="E5E5"/>
      </w:r>
      <w:r>
        <w:rPr>
          <w:rFonts w:hint="eastAsia" w:ascii="宋体" w:hAnsi="宋体" w:cs="宋体"/>
          <w:sz w:val="32"/>
          <w:szCs w:val="32"/>
          <w:u w:val="single"/>
        </w:rPr>
        <w:t>包括：施工组织设计、相关专项施工方案、单位工程施工进度计划、单位工程月施工进度计划、施工准备阶段工作计划、竣工验收阶段工作计划、安全文明施工费用使用计划、单位工程主要工种施工人员进场计划、工程主要材料、设备构配件采购进场计划；</w:t>
      </w:r>
      <w:r>
        <w:rPr>
          <w:rFonts w:hint="eastAsia" w:ascii="宋体" w:hAnsi="宋体" w:cs="宋体"/>
          <w:sz w:val="32"/>
          <w:szCs w:val="32"/>
        </w:rPr>
        <w:t>；</w:t>
      </w:r>
    </w:p>
    <w:p w14:paraId="45EA95D3">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承包人提供的文件的期限为：</w:t>
      </w:r>
      <w:r>
        <w:rPr>
          <w:rFonts w:ascii="Times New Roman" w:hAnsi="Times New Roman" w:cs="宋体"/>
          <w:sz w:val="32"/>
          <w:szCs w:val="32"/>
          <w:u w:val="single"/>
        </w:rPr>
        <w:sym w:font="Times New Roman" w:char="E5E5"/>
      </w:r>
      <w:r>
        <w:rPr>
          <w:rFonts w:hint="eastAsia" w:ascii="宋体" w:hAnsi="宋体" w:cs="宋体"/>
          <w:sz w:val="32"/>
          <w:szCs w:val="32"/>
          <w:u w:val="single"/>
        </w:rPr>
        <w:t>接到全套施工图一周内</w:t>
      </w:r>
      <w:r>
        <w:rPr>
          <w:rFonts w:hint="eastAsia" w:ascii="宋体" w:hAnsi="宋体" w:cs="宋体"/>
          <w:sz w:val="32"/>
          <w:szCs w:val="32"/>
        </w:rPr>
        <w:t>；</w:t>
      </w:r>
    </w:p>
    <w:p w14:paraId="0C0FC752">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承包人提供的文件的数量为：</w:t>
      </w:r>
      <w:r>
        <w:rPr>
          <w:rFonts w:ascii="Times New Roman" w:hAnsi="Times New Roman" w:cs="宋体"/>
          <w:sz w:val="32"/>
          <w:szCs w:val="32"/>
          <w:u w:val="single"/>
        </w:rPr>
        <w:sym w:font="Times New Roman" w:char="E5E5"/>
      </w:r>
      <w:r>
        <w:rPr>
          <w:rFonts w:hint="eastAsia" w:ascii="宋体" w:hAnsi="宋体" w:cs="宋体"/>
          <w:sz w:val="32"/>
          <w:szCs w:val="32"/>
          <w:u w:val="single"/>
        </w:rPr>
        <w:t>二份</w:t>
      </w:r>
      <w:r>
        <w:rPr>
          <w:rFonts w:ascii="Times New Roman" w:hAnsi="Times New Roman" w:cs="宋体"/>
          <w:sz w:val="32"/>
          <w:szCs w:val="32"/>
          <w:u w:val="single"/>
        </w:rPr>
        <w:sym w:font="Times New Roman" w:char="E5E5"/>
      </w:r>
      <w:r>
        <w:rPr>
          <w:rFonts w:hint="eastAsia" w:ascii="宋体" w:hAnsi="宋体" w:cs="宋体"/>
          <w:sz w:val="32"/>
          <w:szCs w:val="32"/>
        </w:rPr>
        <w:t>；</w:t>
      </w:r>
    </w:p>
    <w:p w14:paraId="0224EFA6">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承包人提供的文件的形式为：</w:t>
      </w:r>
      <w:r>
        <w:rPr>
          <w:rFonts w:ascii="Times New Roman" w:hAnsi="Times New Roman" w:cs="宋体"/>
          <w:sz w:val="32"/>
          <w:szCs w:val="32"/>
          <w:u w:val="single"/>
        </w:rPr>
        <w:sym w:font="Times New Roman" w:char="E5E5"/>
      </w:r>
      <w:r>
        <w:rPr>
          <w:rFonts w:hint="eastAsia" w:ascii="宋体" w:hAnsi="宋体" w:cs="宋体"/>
          <w:sz w:val="32"/>
          <w:szCs w:val="32"/>
          <w:u w:val="single"/>
        </w:rPr>
        <w:t>纸质</w:t>
      </w:r>
      <w:r>
        <w:rPr>
          <w:rFonts w:ascii="Times New Roman" w:hAnsi="Times New Roman" w:cs="宋体"/>
          <w:sz w:val="32"/>
          <w:szCs w:val="32"/>
          <w:u w:val="single"/>
        </w:rPr>
        <w:sym w:font="Times New Roman" w:char="E5E5"/>
      </w:r>
      <w:r>
        <w:rPr>
          <w:rFonts w:hint="eastAsia" w:ascii="宋体" w:hAnsi="宋体" w:cs="宋体"/>
          <w:sz w:val="32"/>
          <w:szCs w:val="32"/>
        </w:rPr>
        <w:t>；</w:t>
      </w:r>
    </w:p>
    <w:p w14:paraId="3807C368">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发包人审批承包人文件的期限：</w:t>
      </w:r>
      <w:r>
        <w:rPr>
          <w:rFonts w:ascii="Times New Roman" w:hAnsi="Times New Roman" w:cs="宋体"/>
          <w:sz w:val="32"/>
          <w:szCs w:val="32"/>
          <w:u w:val="single"/>
        </w:rPr>
        <w:sym w:font="Times New Roman" w:char="E5E5"/>
      </w:r>
      <w:r>
        <w:rPr>
          <w:rFonts w:hint="eastAsia" w:ascii="宋体" w:hAnsi="宋体" w:cs="宋体"/>
          <w:sz w:val="32"/>
          <w:szCs w:val="32"/>
          <w:u w:val="single"/>
        </w:rPr>
        <w:t>签收后三日内予以确认</w:t>
      </w:r>
      <w:r>
        <w:rPr>
          <w:rFonts w:ascii="Times New Roman" w:hAnsi="Times New Roman" w:cs="宋体"/>
          <w:sz w:val="32"/>
          <w:szCs w:val="32"/>
          <w:u w:val="single"/>
        </w:rPr>
        <w:sym w:font="Times New Roman" w:char="E5E5"/>
      </w:r>
      <w:r>
        <w:rPr>
          <w:rFonts w:hint="eastAsia" w:ascii="宋体" w:hAnsi="宋体" w:cs="宋体"/>
          <w:sz w:val="32"/>
          <w:szCs w:val="32"/>
        </w:rPr>
        <w:t>。</w:t>
      </w:r>
    </w:p>
    <w:p w14:paraId="405914E3">
      <w:pPr>
        <w:spacing w:line="440" w:lineRule="exact"/>
        <w:ind w:firstLine="640" w:firstLineChars="200"/>
        <w:rPr>
          <w:rFonts w:hint="eastAsia" w:ascii="宋体" w:hAnsi="宋体" w:cs="宋体"/>
          <w:sz w:val="32"/>
          <w:szCs w:val="32"/>
        </w:rPr>
      </w:pPr>
      <w:r>
        <w:rPr>
          <w:rFonts w:hint="eastAsia" w:ascii="宋体" w:hAnsi="宋体" w:cs="宋体"/>
          <w:sz w:val="32"/>
          <w:szCs w:val="32"/>
        </w:rPr>
        <w:t>1.6.5现场图纸准备</w:t>
      </w:r>
    </w:p>
    <w:p w14:paraId="100869CB">
      <w:pPr>
        <w:spacing w:line="440" w:lineRule="exact"/>
        <w:ind w:firstLine="640" w:firstLineChars="200"/>
        <w:rPr>
          <w:rFonts w:hint="eastAsia" w:ascii="宋体" w:hAnsi="宋体" w:cs="宋体"/>
          <w:sz w:val="32"/>
          <w:szCs w:val="32"/>
        </w:rPr>
      </w:pPr>
      <w:r>
        <w:rPr>
          <w:rFonts w:hint="eastAsia" w:ascii="宋体" w:hAnsi="宋体" w:cs="宋体"/>
          <w:sz w:val="32"/>
          <w:szCs w:val="32"/>
        </w:rPr>
        <w:t>关于现场图纸准备的约定：</w:t>
      </w:r>
      <w:r>
        <w:rPr>
          <w:rFonts w:ascii="Times New Roman" w:hAnsi="Times New Roman" w:cs="宋体"/>
          <w:sz w:val="32"/>
          <w:szCs w:val="32"/>
          <w:u w:val="single"/>
        </w:rPr>
        <w:sym w:font="Times New Roman" w:char="E5E5"/>
      </w:r>
      <w:r>
        <w:rPr>
          <w:rFonts w:hint="eastAsia" w:ascii="宋体" w:hAnsi="宋体" w:cs="宋体"/>
          <w:sz w:val="32"/>
          <w:szCs w:val="32"/>
          <w:u w:val="single"/>
        </w:rPr>
        <w:t>承包人应在施工现场另外保存一套完整的图纸和承包人文件，供发包人、监理人及有关人员进行工程检查时使用</w:t>
      </w:r>
      <w:r>
        <w:rPr>
          <w:rFonts w:hint="eastAsia" w:ascii="宋体" w:hAnsi="宋体" w:cs="宋体"/>
          <w:sz w:val="32"/>
          <w:szCs w:val="32"/>
        </w:rPr>
        <w:t>。</w:t>
      </w:r>
    </w:p>
    <w:p w14:paraId="47A5BE7F">
      <w:pPr>
        <w:spacing w:line="440" w:lineRule="exact"/>
        <w:ind w:firstLine="640" w:firstLineChars="200"/>
        <w:outlineLvl w:val="0"/>
        <w:rPr>
          <w:rFonts w:hint="eastAsia" w:ascii="宋体" w:hAnsi="宋体" w:cs="宋体"/>
          <w:sz w:val="32"/>
          <w:szCs w:val="32"/>
        </w:rPr>
      </w:pPr>
      <w:bookmarkStart w:id="1231" w:name="_Toc18306"/>
      <w:bookmarkStart w:id="1232" w:name="_Toc256000041"/>
      <w:bookmarkStart w:id="1233" w:name="_Toc256000238"/>
      <w:bookmarkStart w:id="1234" w:name="_Toc256000143"/>
      <w:bookmarkStart w:id="1235" w:name="_Toc9323"/>
      <w:bookmarkStart w:id="1236" w:name="_Toc256000102"/>
      <w:r>
        <w:rPr>
          <w:rFonts w:hint="eastAsia" w:ascii="宋体" w:hAnsi="宋体" w:cs="宋体"/>
          <w:sz w:val="32"/>
          <w:szCs w:val="32"/>
        </w:rPr>
        <w:t>1.7联络</w:t>
      </w:r>
      <w:bookmarkEnd w:id="1231"/>
      <w:bookmarkEnd w:id="1232"/>
      <w:bookmarkEnd w:id="1233"/>
      <w:bookmarkEnd w:id="1234"/>
      <w:bookmarkEnd w:id="1235"/>
      <w:bookmarkEnd w:id="1236"/>
    </w:p>
    <w:p w14:paraId="77956003">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1.7.1发包人和承包人应当在</w:t>
      </w:r>
      <w:r>
        <w:rPr>
          <w:rFonts w:ascii="Times New Roman" w:hAnsi="Times New Roman" w:cs="宋体"/>
          <w:sz w:val="32"/>
          <w:szCs w:val="32"/>
          <w:u w:val="single"/>
        </w:rPr>
        <w:sym w:font="Times New Roman" w:char="E5E5"/>
      </w:r>
      <w:r>
        <w:rPr>
          <w:rFonts w:hint="eastAsia" w:ascii="宋体" w:hAnsi="宋体" w:cs="宋体"/>
          <w:sz w:val="32"/>
          <w:szCs w:val="32"/>
          <w:u w:val="single"/>
        </w:rPr>
        <w:t>3</w:t>
      </w:r>
      <w:r>
        <w:rPr>
          <w:rFonts w:hint="eastAsia" w:ascii="宋体" w:hAnsi="宋体" w:cs="宋体"/>
          <w:kern w:val="0"/>
          <w:sz w:val="32"/>
          <w:szCs w:val="32"/>
        </w:rPr>
        <w:t>天内将与合同有关的通知、批准、证明、证书、指示、指令、要求、请求、同意、意见、确定和决定等书面函件送达对方当事人。</w:t>
      </w:r>
    </w:p>
    <w:p w14:paraId="121EB26E">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1.7.2发包人接收文件的地点：</w:t>
      </w:r>
      <w:r>
        <w:rPr>
          <w:rFonts w:ascii="Times New Roman" w:hAnsi="Times New Roman" w:cs="宋体"/>
          <w:sz w:val="32"/>
          <w:szCs w:val="32"/>
          <w:u w:val="single"/>
        </w:rPr>
        <w:sym w:font="Times New Roman" w:char="E5E5"/>
      </w:r>
      <w:r>
        <w:rPr>
          <w:rFonts w:hint="eastAsia" w:ascii="宋体" w:hAnsi="宋体" w:cs="宋体"/>
          <w:sz w:val="32"/>
          <w:szCs w:val="32"/>
          <w:u w:val="single"/>
        </w:rPr>
        <w:t>施工现场办公室</w:t>
      </w:r>
      <w:r>
        <w:rPr>
          <w:rFonts w:hint="eastAsia" w:ascii="宋体" w:hAnsi="宋体" w:cs="宋体"/>
          <w:kern w:val="0"/>
          <w:sz w:val="32"/>
          <w:szCs w:val="32"/>
        </w:rPr>
        <w:t>；</w:t>
      </w:r>
    </w:p>
    <w:p w14:paraId="052D248E">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发包人指定的接收人为：</w:t>
      </w:r>
      <w:r>
        <w:rPr>
          <w:rFonts w:ascii="Times New Roman" w:hAnsi="Times New Roman" w:cs="宋体"/>
          <w:sz w:val="32"/>
          <w:szCs w:val="32"/>
          <w:u w:val="single"/>
        </w:rPr>
        <w:sym w:font="Times New Roman" w:char="E5E5"/>
      </w:r>
      <w:r>
        <w:rPr>
          <w:rFonts w:hint="eastAsia" w:ascii="宋体" w:hAnsi="宋体" w:cs="宋体"/>
          <w:sz w:val="32"/>
          <w:szCs w:val="32"/>
          <w:u w:val="single"/>
        </w:rPr>
        <w:t>发包人代表指派的专人</w:t>
      </w:r>
      <w:r>
        <w:rPr>
          <w:rFonts w:hint="eastAsia" w:ascii="宋体" w:hAnsi="宋体" w:cs="宋体"/>
          <w:kern w:val="0"/>
          <w:sz w:val="32"/>
          <w:szCs w:val="32"/>
        </w:rPr>
        <w:t>。</w:t>
      </w:r>
    </w:p>
    <w:p w14:paraId="110BAEB2">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承包人接收文件的地点：</w:t>
      </w:r>
      <w:r>
        <w:rPr>
          <w:rFonts w:ascii="Times New Roman" w:hAnsi="Times New Roman" w:cs="宋体"/>
          <w:sz w:val="32"/>
          <w:szCs w:val="32"/>
          <w:u w:val="single"/>
        </w:rPr>
        <w:sym w:font="Times New Roman" w:char="E5E5"/>
      </w:r>
      <w:r>
        <w:rPr>
          <w:rFonts w:hint="eastAsia" w:ascii="宋体" w:hAnsi="宋体" w:cs="宋体"/>
          <w:sz w:val="32"/>
          <w:szCs w:val="32"/>
          <w:u w:val="single"/>
        </w:rPr>
        <w:t>施工现场办公室</w:t>
      </w:r>
      <w:r>
        <w:rPr>
          <w:rFonts w:ascii="Times New Roman" w:hAnsi="Times New Roman" w:cs="宋体"/>
          <w:sz w:val="32"/>
          <w:szCs w:val="32"/>
          <w:u w:val="single"/>
        </w:rPr>
        <w:sym w:font="Times New Roman" w:char="E5E5"/>
      </w:r>
      <w:r>
        <w:rPr>
          <w:rFonts w:hint="eastAsia" w:ascii="宋体" w:hAnsi="宋体" w:cs="宋体"/>
          <w:kern w:val="0"/>
          <w:sz w:val="32"/>
          <w:szCs w:val="32"/>
        </w:rPr>
        <w:t>；</w:t>
      </w:r>
    </w:p>
    <w:p w14:paraId="3C4D02C9">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承包人指定的接收人为：</w:t>
      </w:r>
      <w:r>
        <w:rPr>
          <w:rFonts w:ascii="Times New Roman" w:hAnsi="Times New Roman" w:cs="宋体"/>
          <w:sz w:val="32"/>
          <w:szCs w:val="32"/>
          <w:u w:val="single"/>
        </w:rPr>
        <w:sym w:font="Times New Roman" w:char="E5E5"/>
      </w:r>
      <w:r>
        <w:rPr>
          <w:rFonts w:hint="eastAsia" w:ascii="宋体" w:hAnsi="宋体" w:cs="宋体"/>
          <w:sz w:val="32"/>
          <w:szCs w:val="32"/>
          <w:u w:val="single"/>
        </w:rPr>
        <w:t>项目经理或指定专人</w:t>
      </w:r>
      <w:r>
        <w:rPr>
          <w:rFonts w:hint="eastAsia" w:ascii="宋体" w:hAnsi="宋体" w:cs="宋体"/>
          <w:kern w:val="0"/>
          <w:sz w:val="32"/>
          <w:szCs w:val="32"/>
        </w:rPr>
        <w:t>。</w:t>
      </w:r>
    </w:p>
    <w:p w14:paraId="6E77B602">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监理人接收文件的地点：</w:t>
      </w:r>
      <w:r>
        <w:rPr>
          <w:rFonts w:ascii="Times New Roman" w:hAnsi="Times New Roman" w:cs="宋体"/>
          <w:sz w:val="32"/>
          <w:szCs w:val="32"/>
          <w:u w:val="single"/>
        </w:rPr>
        <w:sym w:font="Times New Roman" w:char="E5E5"/>
      </w:r>
      <w:r>
        <w:rPr>
          <w:rFonts w:hint="eastAsia" w:ascii="宋体" w:hAnsi="宋体" w:cs="宋体"/>
          <w:sz w:val="32"/>
          <w:szCs w:val="32"/>
          <w:u w:val="single"/>
        </w:rPr>
        <w:t>施工现场办公室</w:t>
      </w:r>
      <w:r>
        <w:rPr>
          <w:rFonts w:hint="eastAsia" w:ascii="宋体" w:hAnsi="宋体" w:cs="宋体"/>
          <w:kern w:val="0"/>
          <w:sz w:val="32"/>
          <w:szCs w:val="32"/>
        </w:rPr>
        <w:t>；</w:t>
      </w:r>
    </w:p>
    <w:p w14:paraId="75A4E833">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监理人指定的接收人为：</w:t>
      </w:r>
      <w:r>
        <w:rPr>
          <w:rFonts w:ascii="Times New Roman" w:hAnsi="Times New Roman" w:cs="宋体"/>
          <w:sz w:val="32"/>
          <w:szCs w:val="32"/>
          <w:u w:val="single"/>
        </w:rPr>
        <w:sym w:font="Times New Roman" w:char="E5E5"/>
      </w:r>
      <w:r>
        <w:rPr>
          <w:rFonts w:hint="eastAsia" w:ascii="宋体" w:hAnsi="宋体" w:cs="宋体"/>
          <w:sz w:val="32"/>
          <w:szCs w:val="32"/>
          <w:u w:val="single"/>
        </w:rPr>
        <w:t>监理工程师或指定专人</w:t>
      </w:r>
      <w:r>
        <w:rPr>
          <w:rFonts w:ascii="Times New Roman" w:hAnsi="Times New Roman" w:cs="宋体"/>
          <w:sz w:val="32"/>
          <w:szCs w:val="32"/>
          <w:u w:val="single"/>
        </w:rPr>
        <w:sym w:font="Times New Roman" w:char="E5E5"/>
      </w:r>
      <w:r>
        <w:rPr>
          <w:rFonts w:hint="eastAsia" w:ascii="宋体" w:hAnsi="宋体" w:cs="宋体"/>
          <w:kern w:val="0"/>
          <w:sz w:val="32"/>
          <w:szCs w:val="32"/>
        </w:rPr>
        <w:t>。</w:t>
      </w:r>
    </w:p>
    <w:p w14:paraId="1B3C7B2B">
      <w:pPr>
        <w:spacing w:line="440" w:lineRule="exact"/>
        <w:ind w:firstLine="640" w:firstLineChars="200"/>
        <w:outlineLvl w:val="0"/>
        <w:rPr>
          <w:rFonts w:hint="eastAsia" w:ascii="宋体" w:hAnsi="宋体" w:cs="宋体"/>
          <w:sz w:val="32"/>
          <w:szCs w:val="32"/>
        </w:rPr>
      </w:pPr>
      <w:bookmarkStart w:id="1237" w:name="_Toc256000239"/>
      <w:bookmarkStart w:id="1238" w:name="_Toc256000144"/>
      <w:bookmarkStart w:id="1239" w:name="_Toc27421"/>
      <w:bookmarkStart w:id="1240" w:name="_Toc15078"/>
      <w:bookmarkStart w:id="1241" w:name="_Toc256000042"/>
      <w:bookmarkStart w:id="1242" w:name="_Toc256000103"/>
      <w:r>
        <w:rPr>
          <w:rFonts w:hint="eastAsia" w:ascii="宋体" w:hAnsi="宋体" w:cs="宋体"/>
          <w:sz w:val="32"/>
          <w:szCs w:val="32"/>
        </w:rPr>
        <w:t>1.10交通运输</w:t>
      </w:r>
      <w:bookmarkEnd w:id="1237"/>
      <w:bookmarkEnd w:id="1238"/>
      <w:bookmarkEnd w:id="1239"/>
      <w:bookmarkEnd w:id="1240"/>
      <w:bookmarkEnd w:id="1241"/>
      <w:bookmarkEnd w:id="1242"/>
    </w:p>
    <w:p w14:paraId="2C15A904">
      <w:pPr>
        <w:spacing w:line="440" w:lineRule="exact"/>
        <w:ind w:firstLine="640" w:firstLineChars="200"/>
        <w:outlineLvl w:val="0"/>
        <w:rPr>
          <w:rFonts w:hint="eastAsia" w:ascii="宋体" w:hAnsi="宋体" w:cs="宋体"/>
          <w:sz w:val="32"/>
          <w:szCs w:val="32"/>
        </w:rPr>
      </w:pPr>
      <w:bookmarkStart w:id="1243" w:name="_Toc31567"/>
      <w:bookmarkStart w:id="1244" w:name="_Toc18330"/>
      <w:bookmarkStart w:id="1245" w:name="_Toc256000240"/>
      <w:bookmarkStart w:id="1246" w:name="_Toc256000104"/>
      <w:bookmarkStart w:id="1247" w:name="_Toc256000043"/>
      <w:bookmarkStart w:id="1248" w:name="_Toc256000145"/>
      <w:r>
        <w:rPr>
          <w:rFonts w:hint="eastAsia" w:ascii="宋体" w:hAnsi="宋体" w:cs="宋体"/>
          <w:sz w:val="32"/>
          <w:szCs w:val="32"/>
        </w:rPr>
        <w:t>1</w:t>
      </w:r>
      <w:bookmarkStart w:id="1249" w:name="_Toc318581155"/>
      <w:bookmarkStart w:id="1250" w:name="_Toc300934943"/>
      <w:bookmarkStart w:id="1251" w:name="_Toc303539100"/>
      <w:bookmarkStart w:id="1252" w:name="_Toc312677986"/>
      <w:bookmarkStart w:id="1253" w:name="_Toc304295521"/>
      <w:r>
        <w:rPr>
          <w:rFonts w:hint="eastAsia" w:ascii="宋体" w:hAnsi="宋体" w:cs="宋体"/>
          <w:sz w:val="32"/>
          <w:szCs w:val="32"/>
        </w:rPr>
        <w:t>.10.1出入现场的权利</w:t>
      </w:r>
      <w:bookmarkEnd w:id="1243"/>
      <w:bookmarkEnd w:id="1244"/>
      <w:bookmarkEnd w:id="1245"/>
      <w:bookmarkEnd w:id="1246"/>
      <w:bookmarkEnd w:id="1247"/>
      <w:bookmarkEnd w:id="1248"/>
    </w:p>
    <w:p w14:paraId="4B9324A3">
      <w:pPr>
        <w:spacing w:line="440" w:lineRule="exact"/>
        <w:ind w:firstLine="640" w:firstLineChars="200"/>
        <w:rPr>
          <w:rFonts w:hint="eastAsia" w:ascii="宋体" w:hAnsi="宋体" w:cs="宋体"/>
          <w:sz w:val="32"/>
          <w:szCs w:val="32"/>
        </w:rPr>
      </w:pPr>
      <w:r>
        <w:rPr>
          <w:rFonts w:hint="eastAsia" w:ascii="宋体" w:hAnsi="宋体" w:cs="宋体"/>
          <w:sz w:val="32"/>
          <w:szCs w:val="32"/>
        </w:rPr>
        <w:t>关于出入现场的权利的约定：</w:t>
      </w:r>
      <w:r>
        <w:rPr>
          <w:rFonts w:ascii="Times New Roman" w:hAnsi="Times New Roman" w:cs="宋体"/>
          <w:sz w:val="32"/>
          <w:szCs w:val="32"/>
          <w:u w:val="single"/>
        </w:rPr>
        <w:sym w:font="Times New Roman" w:char="E5E5"/>
      </w:r>
      <w:r>
        <w:rPr>
          <w:rFonts w:hint="eastAsia" w:ascii="宋体" w:hAnsi="宋体" w:cs="宋体"/>
          <w:sz w:val="32"/>
          <w:szCs w:val="32"/>
          <w:u w:val="single"/>
        </w:rPr>
        <w:t>发包人应根据施工需要，负责取得出入施工现场所需的批准手续和全部权利，承包人协助发包人办理手续</w:t>
      </w:r>
      <w:r>
        <w:rPr>
          <w:rFonts w:hint="eastAsia" w:ascii="宋体" w:hAnsi="宋体" w:cs="宋体"/>
          <w:sz w:val="32"/>
          <w:szCs w:val="32"/>
        </w:rPr>
        <w:t>。</w:t>
      </w:r>
    </w:p>
    <w:bookmarkEnd w:id="1249"/>
    <w:bookmarkEnd w:id="1250"/>
    <w:bookmarkEnd w:id="1251"/>
    <w:bookmarkEnd w:id="1252"/>
    <w:bookmarkEnd w:id="1253"/>
    <w:p w14:paraId="76363DB5">
      <w:pPr>
        <w:spacing w:line="440" w:lineRule="exact"/>
        <w:ind w:firstLine="640" w:firstLineChars="200"/>
        <w:jc w:val="left"/>
        <w:outlineLvl w:val="0"/>
        <w:rPr>
          <w:rFonts w:hint="eastAsia" w:ascii="宋体" w:hAnsi="宋体" w:cs="宋体"/>
          <w:sz w:val="32"/>
          <w:szCs w:val="32"/>
        </w:rPr>
      </w:pPr>
      <w:bookmarkStart w:id="1254" w:name="_Toc19237"/>
      <w:bookmarkStart w:id="1255" w:name="_Toc256000241"/>
      <w:bookmarkStart w:id="1256" w:name="_Toc256000146"/>
      <w:bookmarkStart w:id="1257" w:name="_Toc17141"/>
      <w:bookmarkStart w:id="1258" w:name="_Toc256000044"/>
      <w:bookmarkStart w:id="1259" w:name="_Toc256000105"/>
      <w:r>
        <w:rPr>
          <w:rFonts w:hint="eastAsia" w:ascii="宋体" w:hAnsi="宋体" w:cs="宋体"/>
          <w:sz w:val="32"/>
          <w:szCs w:val="32"/>
        </w:rPr>
        <w:t>1</w:t>
      </w:r>
      <w:bookmarkStart w:id="1260" w:name="_Toc303539101"/>
      <w:bookmarkStart w:id="1261" w:name="_Toc300934944"/>
      <w:bookmarkStart w:id="1262" w:name="_Toc318581156"/>
      <w:bookmarkStart w:id="1263" w:name="_Toc312677987"/>
      <w:bookmarkStart w:id="1264" w:name="_Toc304295522"/>
      <w:r>
        <w:rPr>
          <w:rFonts w:hint="eastAsia" w:ascii="宋体" w:hAnsi="宋体" w:cs="宋体"/>
          <w:sz w:val="32"/>
          <w:szCs w:val="32"/>
        </w:rPr>
        <w:t>.10.3场内交通</w:t>
      </w:r>
      <w:bookmarkEnd w:id="1254"/>
      <w:bookmarkEnd w:id="1255"/>
      <w:bookmarkEnd w:id="1256"/>
      <w:bookmarkEnd w:id="1257"/>
      <w:bookmarkEnd w:id="1258"/>
      <w:bookmarkEnd w:id="1259"/>
    </w:p>
    <w:p w14:paraId="7834CCF1">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关于场外交通和场内交通的边界的约定：</w:t>
      </w:r>
      <w:r>
        <w:rPr>
          <w:rFonts w:ascii="Times New Roman" w:hAnsi="Times New Roman" w:cs="宋体"/>
          <w:sz w:val="32"/>
          <w:szCs w:val="32"/>
          <w:u w:val="single"/>
        </w:rPr>
        <w:sym w:font="Times New Roman" w:char="E5E5"/>
      </w:r>
      <w:r>
        <w:rPr>
          <w:rFonts w:hint="eastAsia" w:ascii="宋体" w:hAnsi="宋体" w:cs="宋体"/>
          <w:sz w:val="32"/>
          <w:szCs w:val="32"/>
          <w:u w:val="single"/>
        </w:rPr>
        <w:t>合同双方当事人另行协商</w:t>
      </w:r>
      <w:r>
        <w:rPr>
          <w:rFonts w:hint="eastAsia" w:ascii="宋体" w:hAnsi="宋体" w:cs="宋体"/>
          <w:sz w:val="32"/>
          <w:szCs w:val="32"/>
        </w:rPr>
        <w:t>。</w:t>
      </w:r>
    </w:p>
    <w:p w14:paraId="429CFB3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关于发包人向承包人免费提供满足工程施工需要的场内道路和交通设施的约定：</w:t>
      </w:r>
      <w:r>
        <w:rPr>
          <w:rFonts w:ascii="Times New Roman" w:hAnsi="Times New Roman" w:cs="宋体"/>
          <w:sz w:val="32"/>
          <w:szCs w:val="32"/>
          <w:u w:val="single"/>
        </w:rPr>
        <w:sym w:font="Times New Roman" w:char="E5E5"/>
      </w:r>
      <w:r>
        <w:rPr>
          <w:rFonts w:hint="eastAsia" w:ascii="宋体" w:hAnsi="宋体" w:cs="宋体"/>
          <w:sz w:val="32"/>
          <w:szCs w:val="32"/>
          <w:u w:val="single"/>
        </w:rPr>
        <w:t>开工前五日完成施工准备工作以便具备开工条件</w:t>
      </w:r>
      <w:r>
        <w:rPr>
          <w:rFonts w:ascii="Times New Roman" w:hAnsi="Times New Roman" w:cs="宋体"/>
          <w:sz w:val="32"/>
          <w:szCs w:val="32"/>
          <w:u w:val="single"/>
        </w:rPr>
        <w:sym w:font="Times New Roman" w:char="E5E5"/>
      </w:r>
      <w:r>
        <w:rPr>
          <w:rFonts w:hint="eastAsia" w:ascii="宋体" w:hAnsi="宋体" w:cs="宋体"/>
          <w:sz w:val="32"/>
          <w:szCs w:val="32"/>
        </w:rPr>
        <w:t>。</w:t>
      </w:r>
      <w:bookmarkEnd w:id="1260"/>
      <w:bookmarkEnd w:id="1261"/>
      <w:bookmarkEnd w:id="1262"/>
      <w:bookmarkEnd w:id="1263"/>
      <w:bookmarkEnd w:id="1264"/>
      <w:bookmarkStart w:id="1265" w:name="_Toc318581157"/>
    </w:p>
    <w:p w14:paraId="584427C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1.10.4超大件和超重件的运输</w:t>
      </w:r>
    </w:p>
    <w:p w14:paraId="4880889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运输超大件或超重件所需的道路和桥梁临时加固改造费用和其他有关费用由</w:t>
      </w:r>
      <w:r>
        <w:rPr>
          <w:rFonts w:hint="eastAsia" w:ascii="宋体" w:hAnsi="宋体" w:cs="宋体"/>
          <w:sz w:val="32"/>
          <w:szCs w:val="32"/>
          <w:u w:val="single"/>
        </w:rPr>
        <w:t>承包人</w:t>
      </w:r>
      <w:r>
        <w:rPr>
          <w:rFonts w:hint="eastAsia" w:ascii="宋体" w:hAnsi="宋体" w:cs="宋体"/>
          <w:sz w:val="32"/>
          <w:szCs w:val="32"/>
        </w:rPr>
        <w:t>承担。</w:t>
      </w:r>
    </w:p>
    <w:bookmarkEnd w:id="1265"/>
    <w:p w14:paraId="582BCA74">
      <w:pPr>
        <w:spacing w:line="440" w:lineRule="exact"/>
        <w:ind w:firstLine="640" w:firstLineChars="200"/>
        <w:outlineLvl w:val="0"/>
        <w:rPr>
          <w:rFonts w:hint="eastAsia" w:ascii="宋体" w:hAnsi="宋体" w:cs="宋体"/>
          <w:sz w:val="32"/>
          <w:szCs w:val="32"/>
        </w:rPr>
      </w:pPr>
      <w:bookmarkStart w:id="1266" w:name="_Toc26796"/>
      <w:bookmarkStart w:id="1267" w:name="_Toc256000045"/>
      <w:bookmarkStart w:id="1268" w:name="_Toc256000147"/>
      <w:bookmarkStart w:id="1269" w:name="_Toc256000242"/>
      <w:bookmarkStart w:id="1270" w:name="_Toc21521"/>
      <w:bookmarkStart w:id="1271" w:name="_Toc256000106"/>
      <w:r>
        <w:rPr>
          <w:rFonts w:hint="eastAsia" w:ascii="宋体" w:hAnsi="宋体" w:cs="宋体"/>
          <w:sz w:val="32"/>
          <w:szCs w:val="32"/>
        </w:rPr>
        <w:t>1.11知识产权</w:t>
      </w:r>
      <w:bookmarkEnd w:id="1266"/>
      <w:bookmarkEnd w:id="1267"/>
      <w:bookmarkEnd w:id="1268"/>
      <w:bookmarkEnd w:id="1269"/>
      <w:bookmarkEnd w:id="1270"/>
      <w:bookmarkEnd w:id="1271"/>
    </w:p>
    <w:p w14:paraId="4AE6FCE7">
      <w:pPr>
        <w:spacing w:line="440" w:lineRule="exact"/>
        <w:ind w:firstLine="640" w:firstLineChars="200"/>
        <w:rPr>
          <w:rFonts w:hint="eastAsia" w:ascii="宋体" w:hAnsi="宋体" w:cs="宋体"/>
          <w:sz w:val="32"/>
          <w:szCs w:val="32"/>
        </w:rPr>
      </w:pPr>
      <w:r>
        <w:rPr>
          <w:rFonts w:hint="eastAsia" w:ascii="宋体" w:hAnsi="宋体" w:cs="宋体"/>
          <w:sz w:val="32"/>
          <w:szCs w:val="32"/>
        </w:rPr>
        <w:t>1.11.1关于发包人提供给承包人的图纸、发包人为实施工程自行编制或委托编制的技术规范以及反映发包人关于合同要求或其他类似性质的文件的著作权的归属：</w:t>
      </w:r>
      <w:r>
        <w:rPr>
          <w:rFonts w:ascii="Times New Roman" w:hAnsi="Times New Roman" w:cs="宋体"/>
          <w:sz w:val="32"/>
          <w:szCs w:val="32"/>
          <w:u w:val="single"/>
        </w:rPr>
        <w:sym w:font="Times New Roman" w:char="E5E5"/>
      </w:r>
      <w:r>
        <w:rPr>
          <w:rFonts w:hint="eastAsia" w:ascii="宋体" w:hAnsi="宋体" w:cs="宋体"/>
          <w:sz w:val="32"/>
          <w:szCs w:val="32"/>
          <w:u w:val="single"/>
        </w:rPr>
        <w:t>属于发包人</w:t>
      </w:r>
      <w:r>
        <w:rPr>
          <w:rFonts w:hint="eastAsia" w:ascii="宋体" w:hAnsi="宋体" w:cs="宋体"/>
          <w:sz w:val="32"/>
          <w:szCs w:val="32"/>
        </w:rPr>
        <w:t>。</w:t>
      </w:r>
    </w:p>
    <w:p w14:paraId="13EA6DAE">
      <w:pPr>
        <w:spacing w:line="440" w:lineRule="exact"/>
        <w:ind w:firstLine="640" w:firstLineChars="200"/>
        <w:rPr>
          <w:rFonts w:hint="eastAsia" w:ascii="宋体" w:hAnsi="宋体" w:cs="宋体"/>
          <w:sz w:val="32"/>
          <w:szCs w:val="32"/>
        </w:rPr>
      </w:pPr>
      <w:r>
        <w:rPr>
          <w:rFonts w:hint="eastAsia" w:ascii="宋体" w:hAnsi="宋体" w:cs="宋体"/>
          <w:sz w:val="32"/>
          <w:szCs w:val="32"/>
        </w:rPr>
        <w:t>关于发包人提供的上述文件的使用限制的要求：</w:t>
      </w:r>
      <w:r>
        <w:rPr>
          <w:rFonts w:hint="eastAsia" w:ascii="宋体" w:hAnsi="宋体" w:cs="宋体"/>
          <w:sz w:val="32"/>
          <w:szCs w:val="32"/>
          <w:u w:val="single"/>
        </w:rPr>
        <w:t>不能用于与合同无关的其他事项</w:t>
      </w:r>
      <w:r>
        <w:rPr>
          <w:rFonts w:hint="eastAsia" w:ascii="宋体" w:hAnsi="宋体" w:cs="宋体"/>
          <w:sz w:val="32"/>
          <w:szCs w:val="32"/>
        </w:rPr>
        <w:t>。</w:t>
      </w:r>
    </w:p>
    <w:p w14:paraId="34C64B71">
      <w:pPr>
        <w:spacing w:line="440" w:lineRule="exact"/>
        <w:ind w:firstLine="640" w:firstLineChars="200"/>
        <w:rPr>
          <w:rFonts w:hint="eastAsia" w:ascii="宋体" w:hAnsi="宋体" w:cs="宋体"/>
          <w:sz w:val="32"/>
          <w:szCs w:val="32"/>
        </w:rPr>
      </w:pPr>
      <w:r>
        <w:rPr>
          <w:rFonts w:hint="eastAsia" w:ascii="宋体" w:hAnsi="宋体" w:cs="宋体"/>
          <w:sz w:val="32"/>
          <w:szCs w:val="32"/>
        </w:rPr>
        <w:t>1.11.2关于承包人为实施工程所编制文件的著作权的归属：</w:t>
      </w:r>
      <w:r>
        <w:rPr>
          <w:rFonts w:hint="eastAsia" w:ascii="宋体" w:hAnsi="宋体" w:cs="宋体"/>
          <w:sz w:val="32"/>
          <w:szCs w:val="32"/>
          <w:u w:val="single"/>
        </w:rPr>
        <w:t>除署名权以外的著作权属于发包方</w:t>
      </w:r>
      <w:r>
        <w:rPr>
          <w:rFonts w:ascii="Times New Roman" w:hAnsi="Times New Roman" w:cs="宋体"/>
          <w:sz w:val="32"/>
          <w:szCs w:val="32"/>
          <w:u w:val="single"/>
        </w:rPr>
        <w:sym w:font="Times New Roman" w:char="E5E5"/>
      </w:r>
      <w:r>
        <w:rPr>
          <w:rFonts w:hint="eastAsia" w:ascii="宋体" w:hAnsi="宋体" w:cs="宋体"/>
          <w:sz w:val="32"/>
          <w:szCs w:val="32"/>
        </w:rPr>
        <w:t>。</w:t>
      </w:r>
    </w:p>
    <w:p w14:paraId="791A6FDB">
      <w:pPr>
        <w:spacing w:line="440" w:lineRule="exact"/>
        <w:ind w:firstLine="640" w:firstLineChars="200"/>
        <w:rPr>
          <w:rFonts w:hint="eastAsia" w:ascii="宋体" w:hAnsi="宋体" w:cs="宋体"/>
          <w:sz w:val="32"/>
          <w:szCs w:val="32"/>
        </w:rPr>
      </w:pPr>
      <w:r>
        <w:rPr>
          <w:rFonts w:hint="eastAsia" w:ascii="宋体" w:hAnsi="宋体" w:cs="宋体"/>
          <w:sz w:val="32"/>
          <w:szCs w:val="32"/>
        </w:rPr>
        <w:t>关于承包人提供的上述文件的使用限制的要求：</w:t>
      </w:r>
      <w:r>
        <w:rPr>
          <w:rFonts w:ascii="Times New Roman" w:hAnsi="Times New Roman" w:cs="宋体"/>
          <w:sz w:val="32"/>
          <w:szCs w:val="32"/>
          <w:u w:val="single"/>
        </w:rPr>
        <w:sym w:font="Times New Roman" w:char="E5E5"/>
      </w:r>
      <w:r>
        <w:rPr>
          <w:rFonts w:hint="eastAsia" w:ascii="宋体" w:hAnsi="宋体" w:cs="宋体"/>
          <w:sz w:val="32"/>
          <w:szCs w:val="32"/>
          <w:u w:val="single"/>
        </w:rPr>
        <w:t>承包人可因实施工程的运行、调试、维修、改造等目的而复制、使用此类文件，但不能用于与合同无关的其他事项。未经发包人书面同意，承包人不得为了合同以外的目的而复制、使用上述文件或将之提供给任何第三方</w:t>
      </w:r>
      <w:r>
        <w:rPr>
          <w:rFonts w:hint="eastAsia" w:ascii="宋体" w:hAnsi="宋体" w:cs="宋体"/>
          <w:sz w:val="32"/>
          <w:szCs w:val="32"/>
        </w:rPr>
        <w:t>。</w:t>
      </w:r>
    </w:p>
    <w:p w14:paraId="5A01857B">
      <w:pPr>
        <w:spacing w:line="440" w:lineRule="exact"/>
        <w:ind w:firstLine="640" w:firstLineChars="200"/>
        <w:outlineLvl w:val="0"/>
        <w:rPr>
          <w:rFonts w:hint="eastAsia" w:ascii="宋体" w:hAnsi="宋体" w:cs="宋体"/>
          <w:kern w:val="0"/>
          <w:sz w:val="32"/>
          <w:szCs w:val="32"/>
        </w:rPr>
      </w:pPr>
      <w:bookmarkStart w:id="1272" w:name="_Toc256000148"/>
      <w:bookmarkStart w:id="1273" w:name="_Toc256000243"/>
      <w:bookmarkStart w:id="1274" w:name="_Toc8326"/>
      <w:bookmarkStart w:id="1275" w:name="_Toc256000107"/>
      <w:bookmarkStart w:id="1276" w:name="_Toc256000046"/>
      <w:bookmarkStart w:id="1277" w:name="_Toc32275"/>
      <w:r>
        <w:rPr>
          <w:rFonts w:hint="eastAsia" w:ascii="宋体" w:hAnsi="宋体" w:cs="宋体"/>
          <w:sz w:val="32"/>
          <w:szCs w:val="32"/>
        </w:rPr>
        <w:t>1.11.4承包人在施工过程中所采用的专利、专有技术、技术秘密的使用费的承担方式：</w:t>
      </w:r>
      <w:r>
        <w:rPr>
          <w:rFonts w:ascii="Times New Roman" w:hAnsi="Times New Roman" w:cs="宋体"/>
          <w:sz w:val="32"/>
          <w:szCs w:val="32"/>
          <w:u w:val="single"/>
        </w:rPr>
        <w:sym w:font="Times New Roman" w:char="E5E5"/>
      </w:r>
      <w:r>
        <w:rPr>
          <w:rFonts w:hint="eastAsia" w:ascii="宋体" w:hAnsi="宋体" w:cs="宋体"/>
          <w:sz w:val="32"/>
          <w:szCs w:val="32"/>
          <w:u w:val="single"/>
        </w:rPr>
        <w:t>包含在签约合同价中</w:t>
      </w:r>
      <w:r>
        <w:rPr>
          <w:rFonts w:hint="eastAsia" w:ascii="宋体" w:hAnsi="宋体" w:cs="宋体"/>
          <w:kern w:val="0"/>
          <w:sz w:val="32"/>
          <w:szCs w:val="32"/>
        </w:rPr>
        <w:t>。</w:t>
      </w:r>
      <w:bookmarkEnd w:id="1272"/>
      <w:bookmarkEnd w:id="1273"/>
      <w:bookmarkEnd w:id="1274"/>
      <w:bookmarkEnd w:id="1275"/>
      <w:bookmarkEnd w:id="1276"/>
      <w:bookmarkEnd w:id="1277"/>
    </w:p>
    <w:p w14:paraId="3A8A03E1">
      <w:pPr>
        <w:spacing w:line="440" w:lineRule="exact"/>
        <w:ind w:firstLine="640" w:firstLineChars="200"/>
        <w:rPr>
          <w:rFonts w:hint="eastAsia" w:ascii="宋体" w:hAnsi="宋体" w:cs="宋体"/>
          <w:sz w:val="32"/>
          <w:szCs w:val="32"/>
        </w:rPr>
      </w:pPr>
      <w:r>
        <w:rPr>
          <w:rFonts w:hint="eastAsia" w:ascii="宋体" w:hAnsi="宋体" w:cs="宋体"/>
          <w:sz w:val="32"/>
          <w:szCs w:val="32"/>
        </w:rPr>
        <w:t>1.13工程量清单错误的修正</w:t>
      </w:r>
    </w:p>
    <w:p w14:paraId="1FB8725E">
      <w:pPr>
        <w:spacing w:line="440" w:lineRule="exact"/>
        <w:ind w:firstLine="643" w:firstLineChars="200"/>
        <w:rPr>
          <w:rFonts w:hint="eastAsia" w:ascii="宋体" w:hAnsi="宋体" w:cs="宋体"/>
          <w:b/>
          <w:bCs/>
          <w:sz w:val="32"/>
          <w:szCs w:val="32"/>
        </w:rPr>
      </w:pPr>
      <w:r>
        <w:rPr>
          <w:rFonts w:hint="eastAsia" w:ascii="宋体" w:hAnsi="宋体" w:cs="宋体"/>
          <w:b/>
          <w:bCs/>
          <w:sz w:val="32"/>
          <w:szCs w:val="32"/>
        </w:rPr>
        <w:t>出现工程量清单错误时，是否调整合同价格：</w:t>
      </w:r>
      <w:r>
        <w:rPr>
          <w:rFonts w:hint="eastAsia" w:ascii="宋体" w:hAnsi="宋体" w:cs="宋体"/>
          <w:b/>
          <w:bCs/>
          <w:sz w:val="32"/>
          <w:szCs w:val="32"/>
          <w:u w:val="single"/>
        </w:rPr>
        <w:t>否</w:t>
      </w:r>
      <w:r>
        <w:rPr>
          <w:rFonts w:hint="eastAsia" w:ascii="宋体" w:hAnsi="宋体" w:cs="宋体"/>
          <w:b/>
          <w:bCs/>
          <w:kern w:val="0"/>
          <w:sz w:val="32"/>
          <w:szCs w:val="32"/>
        </w:rPr>
        <w:t>。</w:t>
      </w:r>
    </w:p>
    <w:p w14:paraId="6238F613">
      <w:pPr>
        <w:spacing w:line="440" w:lineRule="exact"/>
        <w:ind w:firstLine="643" w:firstLineChars="200"/>
        <w:rPr>
          <w:rFonts w:hint="eastAsia" w:ascii="宋体" w:hAnsi="宋体" w:cs="宋体"/>
          <w:sz w:val="32"/>
          <w:szCs w:val="32"/>
        </w:rPr>
      </w:pPr>
      <w:r>
        <w:rPr>
          <w:rFonts w:hint="eastAsia" w:ascii="宋体" w:hAnsi="宋体" w:cs="宋体"/>
          <w:b/>
          <w:bCs/>
          <w:sz w:val="32"/>
          <w:szCs w:val="32"/>
        </w:rPr>
        <w:t>允许调整合同价格的工程量偏差范围：</w:t>
      </w:r>
      <w:r>
        <w:rPr>
          <w:rFonts w:ascii="Times New Roman" w:hAnsi="Times New Roman" w:cs="宋体"/>
          <w:b/>
          <w:bCs/>
          <w:sz w:val="32"/>
          <w:szCs w:val="32"/>
          <w:u w:val="single"/>
        </w:rPr>
        <w:sym w:font="Times New Roman" w:char="E5E5"/>
      </w:r>
      <w:r>
        <w:rPr>
          <w:rFonts w:hint="eastAsia" w:ascii="宋体" w:hAnsi="宋体" w:cs="宋体"/>
          <w:b/>
          <w:bCs/>
          <w:sz w:val="32"/>
          <w:szCs w:val="32"/>
          <w:u w:val="single"/>
        </w:rPr>
        <w:t>/</w:t>
      </w:r>
      <w:r>
        <w:rPr>
          <w:rFonts w:hint="eastAsia" w:ascii="宋体" w:hAnsi="宋体" w:cs="宋体"/>
          <w:kern w:val="0"/>
          <w:sz w:val="32"/>
          <w:szCs w:val="32"/>
        </w:rPr>
        <w:t>。</w:t>
      </w:r>
    </w:p>
    <w:p w14:paraId="14C913D5">
      <w:pPr>
        <w:keepNext/>
        <w:keepLines/>
        <w:spacing w:line="440" w:lineRule="exact"/>
        <w:ind w:firstLine="640" w:firstLineChars="200"/>
        <w:outlineLvl w:val="3"/>
        <w:rPr>
          <w:rFonts w:hint="eastAsia" w:ascii="宋体" w:hAnsi="宋体" w:cs="宋体"/>
          <w:bCs/>
          <w:sz w:val="32"/>
          <w:szCs w:val="32"/>
        </w:rPr>
      </w:pPr>
      <w:bookmarkStart w:id="1278" w:name="_Toc154"/>
      <w:bookmarkStart w:id="1279" w:name="_Toc21503"/>
      <w:bookmarkStart w:id="1280" w:name="_Toc351203634"/>
      <w:r>
        <w:rPr>
          <w:rFonts w:hint="eastAsia" w:ascii="宋体" w:hAnsi="宋体" w:cs="宋体"/>
          <w:bCs/>
          <w:sz w:val="32"/>
          <w:szCs w:val="32"/>
        </w:rPr>
        <w:t>2</w:t>
      </w:r>
      <w:bookmarkStart w:id="1281" w:name="_Toc296347156"/>
      <w:bookmarkStart w:id="1282" w:name="_Toc296503157"/>
      <w:bookmarkStart w:id="1283" w:name="_Toc296346658"/>
      <w:bookmarkStart w:id="1284" w:name="_Toc296890985"/>
      <w:bookmarkStart w:id="1285" w:name="_Toc297048343"/>
      <w:bookmarkStart w:id="1286" w:name="_Toc296944496"/>
      <w:bookmarkStart w:id="1287" w:name="_Toc292559867"/>
      <w:bookmarkStart w:id="1288" w:name="_Toc296891197"/>
      <w:bookmarkStart w:id="1289" w:name="_Toc297120457"/>
      <w:bookmarkStart w:id="1290" w:name="_Toc292559362"/>
      <w:r>
        <w:rPr>
          <w:rFonts w:hint="eastAsia" w:ascii="宋体" w:hAnsi="宋体" w:cs="宋体"/>
          <w:bCs/>
          <w:sz w:val="32"/>
          <w:szCs w:val="32"/>
        </w:rPr>
        <w:t>.发包人</w:t>
      </w:r>
      <w:bookmarkEnd w:id="1278"/>
      <w:bookmarkEnd w:id="1279"/>
      <w:bookmarkEnd w:id="1280"/>
    </w:p>
    <w:bookmarkEnd w:id="1281"/>
    <w:bookmarkEnd w:id="1282"/>
    <w:bookmarkEnd w:id="1283"/>
    <w:bookmarkEnd w:id="1284"/>
    <w:bookmarkEnd w:id="1285"/>
    <w:bookmarkEnd w:id="1286"/>
    <w:bookmarkEnd w:id="1287"/>
    <w:bookmarkEnd w:id="1288"/>
    <w:bookmarkEnd w:id="1289"/>
    <w:bookmarkEnd w:id="1290"/>
    <w:p w14:paraId="052994BF">
      <w:pPr>
        <w:spacing w:line="440" w:lineRule="exact"/>
        <w:ind w:firstLine="640" w:firstLineChars="200"/>
        <w:outlineLvl w:val="0"/>
        <w:rPr>
          <w:rFonts w:hint="eastAsia" w:ascii="宋体" w:hAnsi="宋体" w:cs="宋体"/>
          <w:sz w:val="32"/>
          <w:szCs w:val="32"/>
        </w:rPr>
      </w:pPr>
      <w:bookmarkStart w:id="1291" w:name="_Toc256000244"/>
      <w:bookmarkStart w:id="1292" w:name="_Toc256000047"/>
      <w:bookmarkStart w:id="1293" w:name="_Toc256000149"/>
      <w:bookmarkStart w:id="1294" w:name="_Toc256000108"/>
      <w:bookmarkStart w:id="1295" w:name="_Toc26238"/>
      <w:bookmarkStart w:id="1296" w:name="_Toc19133"/>
      <w:r>
        <w:rPr>
          <w:rFonts w:hint="eastAsia" w:ascii="宋体" w:hAnsi="宋体" w:cs="宋体"/>
          <w:sz w:val="32"/>
          <w:szCs w:val="32"/>
        </w:rPr>
        <w:t>2.2发包人代表</w:t>
      </w:r>
      <w:bookmarkEnd w:id="1291"/>
      <w:bookmarkEnd w:id="1292"/>
      <w:bookmarkEnd w:id="1293"/>
      <w:bookmarkEnd w:id="1294"/>
      <w:bookmarkEnd w:id="1295"/>
      <w:bookmarkEnd w:id="1296"/>
    </w:p>
    <w:p w14:paraId="4E8EB12F">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发包人代表：</w:t>
      </w:r>
    </w:p>
    <w:p w14:paraId="63CFFA34">
      <w:pPr>
        <w:spacing w:line="440" w:lineRule="exact"/>
        <w:ind w:firstLine="640" w:firstLineChars="200"/>
        <w:rPr>
          <w:rFonts w:hint="eastAsia" w:ascii="宋体" w:hAnsi="宋体" w:cs="宋体"/>
          <w:sz w:val="32"/>
          <w:szCs w:val="32"/>
        </w:rPr>
      </w:pPr>
      <w:r>
        <w:rPr>
          <w:rFonts w:hint="eastAsia" w:ascii="宋体" w:hAnsi="宋体" w:cs="宋体"/>
          <w:sz w:val="32"/>
          <w:szCs w:val="32"/>
        </w:rPr>
        <w:t>姓名：</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2475242C">
      <w:pPr>
        <w:spacing w:line="440" w:lineRule="exact"/>
        <w:ind w:firstLine="640" w:firstLineChars="200"/>
        <w:rPr>
          <w:rFonts w:hint="eastAsia" w:ascii="宋体" w:hAnsi="宋体" w:cs="宋体"/>
          <w:sz w:val="32"/>
          <w:szCs w:val="32"/>
        </w:rPr>
      </w:pPr>
      <w:r>
        <w:rPr>
          <w:rFonts w:hint="eastAsia" w:ascii="宋体" w:hAnsi="宋体" w:cs="宋体"/>
          <w:sz w:val="32"/>
          <w:szCs w:val="32"/>
        </w:rPr>
        <w:t>身份证号：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58202B0F">
      <w:pPr>
        <w:spacing w:line="440" w:lineRule="exact"/>
        <w:ind w:firstLine="640" w:firstLineChars="200"/>
        <w:rPr>
          <w:rFonts w:hint="eastAsia" w:ascii="宋体" w:hAnsi="宋体" w:cs="宋体"/>
          <w:sz w:val="32"/>
          <w:szCs w:val="32"/>
        </w:rPr>
      </w:pPr>
      <w:r>
        <w:rPr>
          <w:rFonts w:hint="eastAsia" w:ascii="宋体" w:hAnsi="宋体" w:cs="宋体"/>
          <w:sz w:val="32"/>
          <w:szCs w:val="32"/>
        </w:rPr>
        <w:t>职务：</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34DE5A06">
      <w:pPr>
        <w:spacing w:line="440" w:lineRule="exact"/>
        <w:ind w:firstLine="640" w:firstLineChars="200"/>
        <w:rPr>
          <w:rFonts w:hint="eastAsia" w:ascii="宋体" w:hAnsi="宋体" w:cs="宋体"/>
          <w:sz w:val="32"/>
          <w:szCs w:val="32"/>
        </w:rPr>
      </w:pPr>
      <w:r>
        <w:rPr>
          <w:rFonts w:hint="eastAsia" w:ascii="宋体" w:hAnsi="宋体" w:cs="宋体"/>
          <w:sz w:val="32"/>
          <w:szCs w:val="32"/>
        </w:rPr>
        <w:t>联系电话：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03FDEFAF">
      <w:pPr>
        <w:spacing w:line="440" w:lineRule="exact"/>
        <w:ind w:firstLine="640" w:firstLineChars="200"/>
        <w:rPr>
          <w:rFonts w:hint="eastAsia" w:ascii="宋体" w:hAnsi="宋体" w:cs="宋体"/>
          <w:sz w:val="32"/>
          <w:szCs w:val="32"/>
        </w:rPr>
      </w:pPr>
      <w:r>
        <w:rPr>
          <w:rFonts w:hint="eastAsia" w:ascii="宋体" w:hAnsi="宋体" w:cs="宋体"/>
          <w:sz w:val="32"/>
          <w:szCs w:val="32"/>
        </w:rPr>
        <w:t>电子信箱：</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278850AC">
      <w:pPr>
        <w:spacing w:line="440" w:lineRule="exact"/>
        <w:ind w:firstLine="640" w:firstLineChars="200"/>
        <w:rPr>
          <w:rFonts w:hint="eastAsia" w:ascii="宋体" w:hAnsi="宋体" w:cs="宋体"/>
          <w:sz w:val="32"/>
          <w:szCs w:val="32"/>
        </w:rPr>
      </w:pPr>
      <w:r>
        <w:rPr>
          <w:rFonts w:hint="eastAsia" w:ascii="宋体" w:hAnsi="宋体" w:cs="宋体"/>
          <w:sz w:val="32"/>
          <w:szCs w:val="32"/>
        </w:rPr>
        <w:t>通信地址：</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799A9635">
      <w:pPr>
        <w:spacing w:line="440" w:lineRule="exact"/>
        <w:ind w:firstLine="640" w:firstLineChars="200"/>
        <w:rPr>
          <w:rFonts w:hint="eastAsia" w:ascii="宋体" w:hAnsi="宋体" w:cs="宋体"/>
          <w:b/>
          <w:sz w:val="32"/>
          <w:szCs w:val="32"/>
        </w:rPr>
      </w:pPr>
      <w:r>
        <w:rPr>
          <w:rFonts w:hint="eastAsia" w:ascii="宋体" w:hAnsi="宋体" w:cs="宋体"/>
          <w:sz w:val="32"/>
          <w:szCs w:val="32"/>
        </w:rPr>
        <w:t>发包人对发包人代表的授权范围如下：</w:t>
      </w:r>
      <w:r>
        <w:rPr>
          <w:rFonts w:ascii="Times New Roman" w:hAnsi="Times New Roman" w:cs="宋体"/>
          <w:sz w:val="32"/>
          <w:szCs w:val="32"/>
          <w:u w:val="single"/>
        </w:rPr>
        <w:sym w:font="Times New Roman" w:char="E5E5"/>
      </w:r>
      <w:r>
        <w:rPr>
          <w:rFonts w:hint="eastAsia" w:ascii="宋体" w:hAnsi="宋体" w:cs="宋体"/>
          <w:sz w:val="32"/>
          <w:szCs w:val="32"/>
          <w:u w:val="single"/>
        </w:rPr>
        <w:t>负责处理合同履行过程中与本项目有关的具体事宜，发包人代表在授权范围内的行为由发包人承担法律责任</w:t>
      </w:r>
      <w:r>
        <w:rPr>
          <w:rFonts w:hint="eastAsia" w:ascii="宋体" w:hAnsi="宋体" w:cs="宋体"/>
          <w:sz w:val="32"/>
          <w:szCs w:val="32"/>
        </w:rPr>
        <w:t>。</w:t>
      </w:r>
    </w:p>
    <w:p w14:paraId="6BDE047C">
      <w:pPr>
        <w:spacing w:line="440" w:lineRule="exact"/>
        <w:ind w:firstLine="640" w:firstLineChars="200"/>
        <w:outlineLvl w:val="0"/>
        <w:rPr>
          <w:rFonts w:hint="eastAsia" w:ascii="宋体" w:hAnsi="宋体" w:cs="宋体"/>
          <w:sz w:val="32"/>
          <w:szCs w:val="32"/>
        </w:rPr>
      </w:pPr>
      <w:bookmarkStart w:id="1297" w:name="_Toc256000245"/>
      <w:bookmarkStart w:id="1298" w:name="_Toc256000048"/>
      <w:bookmarkStart w:id="1299" w:name="_Toc495"/>
      <w:bookmarkStart w:id="1300" w:name="_Toc26975"/>
      <w:bookmarkStart w:id="1301" w:name="_Toc256000150"/>
      <w:bookmarkStart w:id="1302" w:name="_Toc256000109"/>
      <w:r>
        <w:rPr>
          <w:rFonts w:hint="eastAsia" w:ascii="宋体" w:hAnsi="宋体" w:cs="宋体"/>
          <w:sz w:val="32"/>
          <w:szCs w:val="32"/>
        </w:rPr>
        <w:t>2.4施工现场、施工条件和基础资料的提供</w:t>
      </w:r>
      <w:bookmarkEnd w:id="1297"/>
      <w:bookmarkEnd w:id="1298"/>
      <w:bookmarkEnd w:id="1299"/>
      <w:bookmarkEnd w:id="1300"/>
      <w:bookmarkEnd w:id="1301"/>
      <w:bookmarkEnd w:id="1302"/>
    </w:p>
    <w:p w14:paraId="21BC8190">
      <w:pPr>
        <w:spacing w:line="440" w:lineRule="exact"/>
        <w:ind w:firstLine="640" w:firstLineChars="200"/>
        <w:rPr>
          <w:rFonts w:hint="eastAsia" w:ascii="宋体" w:hAnsi="宋体" w:cs="宋体"/>
          <w:sz w:val="32"/>
          <w:szCs w:val="32"/>
        </w:rPr>
      </w:pPr>
      <w:r>
        <w:rPr>
          <w:rFonts w:hint="eastAsia" w:ascii="宋体" w:hAnsi="宋体" w:cs="宋体"/>
          <w:sz w:val="32"/>
          <w:szCs w:val="32"/>
        </w:rPr>
        <w:t>2.4.1提供施工现场</w:t>
      </w:r>
    </w:p>
    <w:p w14:paraId="71C7361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关于发包人移交施工现场的期限要求：</w:t>
      </w:r>
      <w:r>
        <w:rPr>
          <w:rFonts w:ascii="Times New Roman" w:hAnsi="Times New Roman" w:cs="宋体"/>
          <w:sz w:val="32"/>
          <w:szCs w:val="32"/>
          <w:u w:val="single"/>
        </w:rPr>
        <w:sym w:font="Times New Roman" w:char="E5E5"/>
      </w:r>
      <w:r>
        <w:rPr>
          <w:rFonts w:hint="eastAsia" w:ascii="宋体" w:hAnsi="宋体" w:cs="宋体"/>
          <w:sz w:val="32"/>
          <w:szCs w:val="32"/>
          <w:u w:val="single"/>
        </w:rPr>
        <w:t>发包人应在开工前7日内向承包人移交施工现场</w:t>
      </w:r>
      <w:r>
        <w:rPr>
          <w:rFonts w:hint="eastAsia" w:ascii="宋体" w:hAnsi="宋体" w:cs="宋体"/>
          <w:sz w:val="32"/>
          <w:szCs w:val="32"/>
        </w:rPr>
        <w:t>。</w:t>
      </w:r>
    </w:p>
    <w:p w14:paraId="7B2367EE">
      <w:pPr>
        <w:spacing w:line="440" w:lineRule="exact"/>
        <w:ind w:firstLine="640" w:firstLineChars="200"/>
        <w:rPr>
          <w:rFonts w:hint="eastAsia" w:ascii="宋体" w:hAnsi="宋体" w:cs="宋体"/>
          <w:sz w:val="32"/>
          <w:szCs w:val="32"/>
        </w:rPr>
      </w:pPr>
      <w:r>
        <w:rPr>
          <w:rFonts w:hint="eastAsia" w:ascii="宋体" w:hAnsi="宋体" w:cs="宋体"/>
          <w:sz w:val="32"/>
          <w:szCs w:val="32"/>
        </w:rPr>
        <w:t>2.4.2提供施工条件</w:t>
      </w:r>
    </w:p>
    <w:p w14:paraId="5452A2AE">
      <w:pPr>
        <w:spacing w:line="440" w:lineRule="exact"/>
        <w:ind w:firstLine="640" w:firstLineChars="200"/>
        <w:rPr>
          <w:rFonts w:hint="eastAsia" w:ascii="宋体" w:hAnsi="宋体" w:cs="宋体"/>
          <w:sz w:val="32"/>
          <w:szCs w:val="32"/>
          <w:u w:val="single"/>
        </w:rPr>
      </w:pPr>
      <w:r>
        <w:rPr>
          <w:rFonts w:hint="eastAsia" w:ascii="宋体" w:hAnsi="宋体" w:cs="宋体"/>
          <w:sz w:val="32"/>
          <w:szCs w:val="32"/>
        </w:rPr>
        <w:t>关于发包人应负责提供施工所需要的条件，包括：</w:t>
      </w:r>
      <w:r>
        <w:rPr>
          <w:rFonts w:hint="eastAsia" w:ascii="宋体" w:hAnsi="宋体" w:cs="宋体"/>
          <w:sz w:val="32"/>
          <w:szCs w:val="32"/>
          <w:u w:val="single"/>
        </w:rPr>
        <w:t>1.向承包人提供正常施工所需的进入施工现场的交通条件；2提前告知施工现场周围地下管线，最大可能保护原有地下管线，经告知后，损坏原有地下管线，发生的费用由乙方承担；3.按照专用合同条款约定应提供的其他设施和条件</w:t>
      </w:r>
      <w:r>
        <w:rPr>
          <w:rFonts w:hint="eastAsia" w:ascii="宋体" w:hAnsi="宋体" w:cs="宋体"/>
          <w:sz w:val="32"/>
          <w:szCs w:val="32"/>
        </w:rPr>
        <w:t>。</w:t>
      </w:r>
    </w:p>
    <w:p w14:paraId="61F06600">
      <w:pPr>
        <w:spacing w:line="440" w:lineRule="exact"/>
        <w:ind w:firstLine="640" w:firstLineChars="200"/>
        <w:outlineLvl w:val="0"/>
        <w:rPr>
          <w:rFonts w:hint="eastAsia" w:ascii="宋体" w:hAnsi="宋体" w:cs="宋体"/>
          <w:sz w:val="32"/>
          <w:szCs w:val="32"/>
        </w:rPr>
      </w:pPr>
      <w:bookmarkStart w:id="1303" w:name="_Toc256000110"/>
      <w:bookmarkStart w:id="1304" w:name="_Toc256000151"/>
      <w:bookmarkStart w:id="1305" w:name="_Toc27068"/>
      <w:bookmarkStart w:id="1306" w:name="_Toc256000246"/>
      <w:bookmarkStart w:id="1307" w:name="_Toc32710"/>
      <w:bookmarkStart w:id="1308" w:name="_Toc256000049"/>
      <w:r>
        <w:rPr>
          <w:rFonts w:hint="eastAsia" w:ascii="宋体" w:hAnsi="宋体" w:cs="宋体"/>
          <w:sz w:val="32"/>
          <w:szCs w:val="32"/>
        </w:rPr>
        <w:t>2.5资金来源证明及支付担保</w:t>
      </w:r>
      <w:bookmarkEnd w:id="1303"/>
      <w:bookmarkEnd w:id="1304"/>
      <w:bookmarkEnd w:id="1305"/>
      <w:bookmarkEnd w:id="1306"/>
      <w:bookmarkEnd w:id="1307"/>
      <w:bookmarkEnd w:id="1308"/>
    </w:p>
    <w:p w14:paraId="3914092B">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发包人提供资金来源证明的期限要求：</w:t>
      </w:r>
      <w:r>
        <w:rPr>
          <w:rFonts w:ascii="Times New Roman" w:hAnsi="Times New Roman" w:cs="宋体"/>
          <w:sz w:val="32"/>
          <w:szCs w:val="32"/>
          <w:u w:val="single"/>
        </w:rPr>
        <w:sym w:font="Times New Roman" w:char="E5E5"/>
      </w:r>
      <w:r>
        <w:rPr>
          <w:rFonts w:hint="eastAsia" w:ascii="宋体" w:hAnsi="宋体" w:cs="宋体"/>
          <w:sz w:val="32"/>
          <w:szCs w:val="32"/>
          <w:u w:val="single"/>
        </w:rPr>
        <w:t>双方协商</w:t>
      </w:r>
      <w:r>
        <w:rPr>
          <w:rFonts w:hint="eastAsia" w:ascii="宋体" w:hAnsi="宋体" w:cs="宋体"/>
          <w:sz w:val="32"/>
          <w:szCs w:val="32"/>
        </w:rPr>
        <w:t>。</w:t>
      </w:r>
    </w:p>
    <w:p w14:paraId="0BD04616">
      <w:pPr>
        <w:spacing w:line="440" w:lineRule="exact"/>
        <w:ind w:firstLine="640" w:firstLineChars="200"/>
        <w:rPr>
          <w:rFonts w:hint="eastAsia" w:ascii="宋体" w:hAnsi="宋体" w:cs="宋体"/>
          <w:sz w:val="32"/>
          <w:szCs w:val="32"/>
        </w:rPr>
      </w:pPr>
      <w:r>
        <w:rPr>
          <w:rFonts w:hint="eastAsia" w:ascii="宋体" w:hAnsi="宋体" w:cs="宋体"/>
          <w:sz w:val="32"/>
          <w:szCs w:val="32"/>
        </w:rPr>
        <w:t>发包人是否提供支付担保：</w:t>
      </w:r>
      <w:r>
        <w:rPr>
          <w:rFonts w:ascii="Times New Roman" w:hAnsi="Times New Roman" w:cs="宋体"/>
          <w:sz w:val="32"/>
          <w:szCs w:val="32"/>
          <w:u w:val="single"/>
        </w:rPr>
        <w:sym w:font="Times New Roman" w:char="E5E5"/>
      </w:r>
      <w:r>
        <w:rPr>
          <w:rFonts w:hint="eastAsia" w:ascii="宋体" w:hAnsi="宋体" w:cs="宋体"/>
          <w:sz w:val="32"/>
          <w:szCs w:val="32"/>
          <w:u w:val="single"/>
        </w:rPr>
        <w:t>双方协商</w:t>
      </w:r>
      <w:r>
        <w:rPr>
          <w:rFonts w:hint="eastAsia" w:ascii="宋体" w:hAnsi="宋体" w:cs="宋体"/>
          <w:sz w:val="32"/>
          <w:szCs w:val="32"/>
        </w:rPr>
        <w:t>。</w:t>
      </w:r>
    </w:p>
    <w:p w14:paraId="32A70C3A">
      <w:pPr>
        <w:spacing w:line="440" w:lineRule="exact"/>
        <w:ind w:firstLine="640" w:firstLineChars="200"/>
        <w:rPr>
          <w:rFonts w:hint="eastAsia" w:ascii="宋体" w:hAnsi="宋体" w:cs="宋体"/>
          <w:sz w:val="32"/>
          <w:szCs w:val="32"/>
          <w:u w:val="single"/>
        </w:rPr>
      </w:pPr>
      <w:r>
        <w:rPr>
          <w:rFonts w:hint="eastAsia" w:ascii="宋体" w:hAnsi="宋体" w:cs="宋体"/>
          <w:sz w:val="32"/>
          <w:szCs w:val="32"/>
        </w:rPr>
        <w:t>发包人提供支付担保的形式：</w:t>
      </w:r>
      <w:r>
        <w:rPr>
          <w:rFonts w:ascii="Times New Roman" w:hAnsi="Times New Roman" w:cs="宋体"/>
          <w:sz w:val="32"/>
          <w:szCs w:val="32"/>
          <w:u w:val="single"/>
        </w:rPr>
        <w:sym w:font="Times New Roman" w:char="E5E5"/>
      </w:r>
      <w:r>
        <w:rPr>
          <w:rFonts w:hint="eastAsia" w:ascii="宋体" w:hAnsi="宋体" w:cs="宋体"/>
          <w:sz w:val="32"/>
          <w:szCs w:val="32"/>
          <w:u w:val="single"/>
        </w:rPr>
        <w:t>双方协商</w:t>
      </w:r>
      <w:r>
        <w:rPr>
          <w:rFonts w:ascii="Times New Roman" w:hAnsi="Times New Roman" w:cs="宋体"/>
          <w:sz w:val="32"/>
          <w:szCs w:val="32"/>
          <w:u w:val="single"/>
        </w:rPr>
        <w:sym w:font="Times New Roman" w:char="E5E5"/>
      </w:r>
      <w:r>
        <w:rPr>
          <w:rFonts w:hint="eastAsia" w:ascii="宋体" w:hAnsi="宋体" w:cs="宋体"/>
          <w:sz w:val="32"/>
          <w:szCs w:val="32"/>
        </w:rPr>
        <w:t>。</w:t>
      </w:r>
    </w:p>
    <w:p w14:paraId="3AC01D4F">
      <w:pPr>
        <w:keepNext/>
        <w:keepLines/>
        <w:spacing w:line="440" w:lineRule="exact"/>
        <w:ind w:firstLine="640" w:firstLineChars="200"/>
        <w:outlineLvl w:val="3"/>
        <w:rPr>
          <w:rFonts w:hint="eastAsia" w:ascii="宋体" w:hAnsi="宋体" w:cs="宋体"/>
          <w:bCs/>
          <w:sz w:val="32"/>
          <w:szCs w:val="32"/>
        </w:rPr>
      </w:pPr>
      <w:bookmarkStart w:id="1309" w:name="_Toc351203635"/>
      <w:bookmarkStart w:id="1310" w:name="_Toc11045"/>
      <w:bookmarkStart w:id="1311" w:name="_Toc26969"/>
      <w:r>
        <w:rPr>
          <w:rFonts w:hint="eastAsia" w:ascii="宋体" w:hAnsi="宋体" w:cs="宋体"/>
          <w:bCs/>
          <w:sz w:val="32"/>
          <w:szCs w:val="32"/>
        </w:rPr>
        <w:t>3</w:t>
      </w:r>
      <w:bookmarkStart w:id="1312" w:name="_Toc296891198"/>
      <w:bookmarkStart w:id="1313" w:name="_Toc296890986"/>
      <w:bookmarkStart w:id="1314" w:name="_Toc292559868"/>
      <w:bookmarkStart w:id="1315" w:name="_Toc296346659"/>
      <w:bookmarkStart w:id="1316" w:name="_Toc297120458"/>
      <w:bookmarkStart w:id="1317" w:name="_Toc297048344"/>
      <w:bookmarkStart w:id="1318" w:name="_Toc296944497"/>
      <w:bookmarkStart w:id="1319" w:name="_Toc292559363"/>
      <w:bookmarkStart w:id="1320" w:name="_Toc296503158"/>
      <w:bookmarkStart w:id="1321" w:name="_Toc296347157"/>
      <w:r>
        <w:rPr>
          <w:rFonts w:hint="eastAsia" w:ascii="宋体" w:hAnsi="宋体" w:cs="宋体"/>
          <w:bCs/>
          <w:sz w:val="32"/>
          <w:szCs w:val="32"/>
        </w:rPr>
        <w:t>.承包人</w:t>
      </w:r>
      <w:bookmarkEnd w:id="1309"/>
      <w:bookmarkEnd w:id="1310"/>
      <w:bookmarkEnd w:id="1311"/>
    </w:p>
    <w:bookmarkEnd w:id="1312"/>
    <w:bookmarkEnd w:id="1313"/>
    <w:bookmarkEnd w:id="1314"/>
    <w:bookmarkEnd w:id="1315"/>
    <w:bookmarkEnd w:id="1316"/>
    <w:bookmarkEnd w:id="1317"/>
    <w:bookmarkEnd w:id="1318"/>
    <w:bookmarkEnd w:id="1319"/>
    <w:bookmarkEnd w:id="1320"/>
    <w:bookmarkEnd w:id="1321"/>
    <w:p w14:paraId="250557F3">
      <w:pPr>
        <w:spacing w:line="440" w:lineRule="exact"/>
        <w:ind w:firstLine="640" w:firstLineChars="200"/>
        <w:rPr>
          <w:rFonts w:hint="eastAsia" w:ascii="宋体" w:hAnsi="宋体" w:cs="宋体"/>
          <w:sz w:val="32"/>
          <w:szCs w:val="32"/>
        </w:rPr>
      </w:pPr>
      <w:r>
        <w:rPr>
          <w:rFonts w:hint="eastAsia" w:ascii="宋体" w:hAnsi="宋体" w:cs="宋体"/>
          <w:sz w:val="32"/>
          <w:szCs w:val="32"/>
        </w:rPr>
        <w:t>3.1承包人的一般义务</w:t>
      </w:r>
    </w:p>
    <w:p w14:paraId="67B19E66">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（9）</w:t>
      </w:r>
      <w:r>
        <w:rPr>
          <w:rFonts w:hint="eastAsia" w:ascii="宋体" w:hAnsi="宋体" w:cs="宋体"/>
          <w:sz w:val="32"/>
          <w:szCs w:val="32"/>
        </w:rPr>
        <w:t>承包人提交的竣工资料的内容：</w:t>
      </w:r>
      <w:r>
        <w:rPr>
          <w:rFonts w:hint="eastAsia" w:ascii="宋体" w:hAnsi="宋体" w:cs="宋体"/>
          <w:sz w:val="32"/>
          <w:szCs w:val="32"/>
          <w:u w:val="single"/>
        </w:rPr>
        <w:t>承包人承担</w:t>
      </w:r>
      <w:r>
        <w:rPr>
          <w:rFonts w:hint="eastAsia" w:ascii="宋体" w:hAnsi="宋体" w:cs="宋体"/>
          <w:sz w:val="32"/>
          <w:szCs w:val="32"/>
        </w:rPr>
        <w:t>。</w:t>
      </w:r>
    </w:p>
    <w:p w14:paraId="1E0B7CE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承包人需要提交的竣工资料套数：</w:t>
      </w:r>
      <w:r>
        <w:rPr>
          <w:rFonts w:hint="eastAsia" w:ascii="宋体" w:hAnsi="宋体" w:cs="宋体"/>
          <w:sz w:val="32"/>
          <w:szCs w:val="32"/>
          <w:u w:val="single"/>
        </w:rPr>
        <w:t>叁套</w:t>
      </w:r>
      <w:r>
        <w:rPr>
          <w:rFonts w:hint="eastAsia" w:ascii="宋体" w:hAnsi="宋体" w:cs="宋体"/>
          <w:sz w:val="32"/>
          <w:szCs w:val="32"/>
        </w:rPr>
        <w:t>。</w:t>
      </w:r>
    </w:p>
    <w:p w14:paraId="7080EB57">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承包人提交的竣工资料的费用承担：</w:t>
      </w:r>
      <w:r>
        <w:rPr>
          <w:rFonts w:hint="eastAsia" w:ascii="宋体" w:hAnsi="宋体" w:cs="宋体"/>
          <w:sz w:val="32"/>
          <w:szCs w:val="32"/>
          <w:u w:val="single"/>
        </w:rPr>
        <w:t>承包人承担</w:t>
      </w:r>
      <w:r>
        <w:rPr>
          <w:rFonts w:hint="eastAsia" w:ascii="宋体" w:hAnsi="宋体" w:cs="宋体"/>
          <w:sz w:val="32"/>
          <w:szCs w:val="32"/>
        </w:rPr>
        <w:t>。</w:t>
      </w:r>
    </w:p>
    <w:p w14:paraId="63DB403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承包人提交的竣工资料移交时间：</w:t>
      </w:r>
      <w:r>
        <w:rPr>
          <w:rFonts w:hint="eastAsia" w:ascii="宋体" w:hAnsi="宋体" w:cs="宋体"/>
          <w:sz w:val="32"/>
          <w:szCs w:val="32"/>
          <w:u w:val="single"/>
        </w:rPr>
        <w:t>工程竣工验收合格后</w:t>
      </w:r>
      <w:r>
        <w:rPr>
          <w:rFonts w:hint="eastAsia" w:ascii="宋体" w:hAnsi="宋体" w:cs="宋体"/>
          <w:sz w:val="32"/>
          <w:szCs w:val="32"/>
        </w:rPr>
        <w:t>。</w:t>
      </w:r>
    </w:p>
    <w:p w14:paraId="370AAE98">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承包人提交的竣工资料形式要求：</w:t>
      </w:r>
      <w:r>
        <w:rPr>
          <w:rFonts w:hint="eastAsia" w:ascii="宋体" w:hAnsi="宋体" w:cs="宋体"/>
          <w:sz w:val="32"/>
          <w:szCs w:val="32"/>
          <w:u w:val="single"/>
        </w:rPr>
        <w:t>按照档案资料模式装订成册</w:t>
      </w:r>
      <w:r>
        <w:rPr>
          <w:rFonts w:hint="eastAsia" w:ascii="宋体" w:hAnsi="宋体" w:cs="宋体"/>
          <w:sz w:val="32"/>
          <w:szCs w:val="32"/>
        </w:rPr>
        <w:t>。</w:t>
      </w:r>
    </w:p>
    <w:p w14:paraId="598ACC16">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（10）承包人应履行的其他义务：</w:t>
      </w:r>
      <w:r>
        <w:rPr>
          <w:rFonts w:ascii="Times New Roman" w:hAnsi="Times New Roman" w:cs="宋体"/>
          <w:sz w:val="32"/>
          <w:szCs w:val="32"/>
          <w:u w:val="single"/>
        </w:rPr>
        <w:sym w:font="Times New Roman" w:char="E5E5"/>
      </w:r>
      <w:r>
        <w:rPr>
          <w:rFonts w:hint="eastAsia" w:ascii="宋体" w:hAnsi="宋体" w:cs="宋体"/>
          <w:sz w:val="32"/>
          <w:szCs w:val="32"/>
          <w:u w:val="single"/>
        </w:rPr>
        <w:t>/</w:t>
      </w:r>
      <w:r>
        <w:rPr>
          <w:rFonts w:hint="eastAsia" w:ascii="宋体" w:hAnsi="宋体" w:cs="宋体"/>
          <w:sz w:val="32"/>
          <w:szCs w:val="32"/>
        </w:rPr>
        <w:t>。</w:t>
      </w:r>
    </w:p>
    <w:p w14:paraId="3FE0BBDF">
      <w:pPr>
        <w:spacing w:line="440" w:lineRule="exact"/>
        <w:ind w:firstLine="640" w:firstLineChars="200"/>
        <w:rPr>
          <w:rFonts w:hint="eastAsia" w:ascii="宋体" w:hAnsi="宋体" w:cs="宋体"/>
          <w:sz w:val="32"/>
          <w:szCs w:val="32"/>
        </w:rPr>
      </w:pPr>
      <w:r>
        <w:rPr>
          <w:rFonts w:hint="eastAsia" w:ascii="宋体" w:hAnsi="宋体" w:cs="宋体"/>
          <w:sz w:val="32"/>
          <w:szCs w:val="32"/>
        </w:rPr>
        <w:t>3.2项目经理</w:t>
      </w:r>
    </w:p>
    <w:p w14:paraId="07BE1C4E">
      <w:pPr>
        <w:spacing w:line="440" w:lineRule="exact"/>
        <w:ind w:firstLine="640" w:firstLineChars="200"/>
        <w:rPr>
          <w:rFonts w:hint="eastAsia" w:ascii="宋体" w:hAnsi="宋体" w:cs="宋体"/>
          <w:sz w:val="32"/>
          <w:szCs w:val="32"/>
        </w:rPr>
      </w:pPr>
      <w:r>
        <w:rPr>
          <w:rFonts w:hint="eastAsia" w:ascii="宋体" w:hAnsi="宋体" w:cs="宋体"/>
          <w:kern w:val="0"/>
          <w:sz w:val="32"/>
          <w:szCs w:val="32"/>
        </w:rPr>
        <w:t>3.2.1</w:t>
      </w:r>
      <w:r>
        <w:rPr>
          <w:rFonts w:hint="eastAsia" w:ascii="宋体" w:hAnsi="宋体" w:cs="宋体"/>
          <w:sz w:val="32"/>
          <w:szCs w:val="32"/>
        </w:rPr>
        <w:t>项目经理：</w:t>
      </w:r>
    </w:p>
    <w:p w14:paraId="2426D306">
      <w:pPr>
        <w:spacing w:line="440" w:lineRule="exact"/>
        <w:ind w:firstLine="640" w:firstLineChars="200"/>
        <w:rPr>
          <w:rFonts w:hint="eastAsia" w:ascii="宋体" w:hAnsi="宋体" w:cs="宋体"/>
          <w:sz w:val="32"/>
          <w:szCs w:val="32"/>
        </w:rPr>
      </w:pPr>
      <w:r>
        <w:rPr>
          <w:rFonts w:hint="eastAsia" w:ascii="宋体" w:hAnsi="宋体" w:cs="宋体"/>
          <w:sz w:val="32"/>
          <w:szCs w:val="32"/>
        </w:rPr>
        <w:t>姓名：</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7BA42A55">
      <w:pPr>
        <w:spacing w:line="440" w:lineRule="exact"/>
        <w:ind w:firstLine="640" w:firstLineChars="200"/>
        <w:rPr>
          <w:rFonts w:hint="eastAsia" w:ascii="宋体" w:hAnsi="宋体" w:cs="宋体"/>
          <w:sz w:val="32"/>
          <w:szCs w:val="32"/>
        </w:rPr>
      </w:pPr>
      <w:r>
        <w:rPr>
          <w:rFonts w:hint="eastAsia" w:ascii="宋体" w:hAnsi="宋体" w:cs="宋体"/>
          <w:sz w:val="32"/>
          <w:szCs w:val="32"/>
        </w:rPr>
        <w:t>身份证号：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2C3F159C">
      <w:pPr>
        <w:spacing w:line="440" w:lineRule="exact"/>
        <w:ind w:firstLine="640" w:firstLineChars="200"/>
        <w:rPr>
          <w:rFonts w:hint="eastAsia" w:ascii="宋体" w:hAnsi="宋体" w:cs="宋体"/>
          <w:sz w:val="32"/>
          <w:szCs w:val="32"/>
        </w:rPr>
      </w:pPr>
      <w:r>
        <w:rPr>
          <w:rFonts w:hint="eastAsia" w:ascii="宋体" w:hAnsi="宋体" w:cs="宋体"/>
          <w:sz w:val="32"/>
          <w:szCs w:val="32"/>
        </w:rPr>
        <w:t>建造师执业资格等级：</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77B2958B">
      <w:pPr>
        <w:spacing w:line="440" w:lineRule="exact"/>
        <w:ind w:firstLine="640" w:firstLineChars="200"/>
        <w:rPr>
          <w:rFonts w:hint="eastAsia" w:ascii="宋体" w:hAnsi="宋体" w:cs="宋体"/>
          <w:sz w:val="32"/>
          <w:szCs w:val="32"/>
        </w:rPr>
      </w:pPr>
      <w:r>
        <w:rPr>
          <w:rFonts w:hint="eastAsia" w:ascii="宋体" w:hAnsi="宋体" w:cs="宋体"/>
          <w:sz w:val="32"/>
          <w:szCs w:val="32"/>
        </w:rPr>
        <w:t>建造师注册证书号：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36FA6826">
      <w:pPr>
        <w:spacing w:line="440" w:lineRule="exact"/>
        <w:ind w:firstLine="640" w:firstLineChars="200"/>
        <w:rPr>
          <w:rFonts w:hint="eastAsia" w:ascii="宋体" w:hAnsi="宋体" w:cs="宋体"/>
          <w:sz w:val="32"/>
          <w:szCs w:val="32"/>
        </w:rPr>
      </w:pPr>
      <w:r>
        <w:rPr>
          <w:rFonts w:hint="eastAsia" w:ascii="宋体" w:hAnsi="宋体" w:cs="宋体"/>
          <w:sz w:val="32"/>
          <w:szCs w:val="32"/>
        </w:rPr>
        <w:t>建造师执业印章号：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74FDC6EB">
      <w:pPr>
        <w:spacing w:line="440" w:lineRule="exact"/>
        <w:ind w:firstLine="640" w:firstLineChars="200"/>
        <w:rPr>
          <w:rFonts w:hint="eastAsia" w:ascii="宋体" w:hAnsi="宋体" w:cs="宋体"/>
          <w:sz w:val="32"/>
          <w:szCs w:val="32"/>
        </w:rPr>
      </w:pPr>
      <w:r>
        <w:rPr>
          <w:rFonts w:hint="eastAsia" w:ascii="宋体" w:hAnsi="宋体" w:cs="宋体"/>
          <w:sz w:val="32"/>
          <w:szCs w:val="32"/>
        </w:rPr>
        <w:t>安全生产考核合格证书号：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2A4F443E">
      <w:pPr>
        <w:spacing w:line="440" w:lineRule="exact"/>
        <w:ind w:firstLine="640" w:firstLineChars="200"/>
        <w:rPr>
          <w:rFonts w:hint="eastAsia" w:ascii="宋体" w:hAnsi="宋体" w:cs="宋体"/>
          <w:sz w:val="32"/>
          <w:szCs w:val="32"/>
        </w:rPr>
      </w:pPr>
      <w:r>
        <w:rPr>
          <w:rFonts w:hint="eastAsia" w:ascii="宋体" w:hAnsi="宋体" w:cs="宋体"/>
          <w:sz w:val="32"/>
          <w:szCs w:val="32"/>
        </w:rPr>
        <w:t>联系电话：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2F1F7AC5">
      <w:pPr>
        <w:spacing w:line="440" w:lineRule="exact"/>
        <w:ind w:firstLine="640" w:firstLineChars="200"/>
        <w:rPr>
          <w:rFonts w:hint="eastAsia" w:ascii="宋体" w:hAnsi="宋体" w:cs="宋体"/>
          <w:sz w:val="32"/>
          <w:szCs w:val="32"/>
        </w:rPr>
      </w:pPr>
      <w:r>
        <w:rPr>
          <w:rFonts w:hint="eastAsia" w:ascii="宋体" w:hAnsi="宋体" w:cs="宋体"/>
          <w:sz w:val="32"/>
          <w:szCs w:val="32"/>
        </w:rPr>
        <w:t>电子信箱：</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7D70B839">
      <w:pPr>
        <w:spacing w:line="440" w:lineRule="exact"/>
        <w:ind w:firstLine="640" w:firstLineChars="200"/>
        <w:rPr>
          <w:rFonts w:hint="eastAsia" w:ascii="宋体" w:hAnsi="宋体" w:cs="宋体"/>
          <w:sz w:val="32"/>
          <w:szCs w:val="32"/>
        </w:rPr>
      </w:pPr>
      <w:r>
        <w:rPr>
          <w:rFonts w:hint="eastAsia" w:ascii="宋体" w:hAnsi="宋体" w:cs="宋体"/>
          <w:sz w:val="32"/>
          <w:szCs w:val="32"/>
        </w:rPr>
        <w:t>通信地址：</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0E49137F">
      <w:pPr>
        <w:spacing w:line="440" w:lineRule="exact"/>
        <w:ind w:firstLine="640" w:firstLineChars="200"/>
        <w:rPr>
          <w:rFonts w:hint="eastAsia" w:ascii="宋体" w:hAnsi="宋体" w:cs="宋体"/>
          <w:sz w:val="32"/>
          <w:szCs w:val="32"/>
        </w:rPr>
      </w:pPr>
      <w:r>
        <w:rPr>
          <w:rFonts w:hint="eastAsia" w:ascii="宋体" w:hAnsi="宋体" w:cs="宋体"/>
          <w:sz w:val="32"/>
          <w:szCs w:val="32"/>
        </w:rPr>
        <w:t>承包人对项目经理的授权范围如下：</w:t>
      </w:r>
      <w:r>
        <w:rPr>
          <w:rFonts w:ascii="Times New Roman" w:hAnsi="Times New Roman" w:cs="宋体"/>
          <w:sz w:val="32"/>
          <w:szCs w:val="32"/>
          <w:u w:val="single"/>
        </w:rPr>
        <w:sym w:font="Times New Roman" w:char="E5E5"/>
      </w:r>
      <w:r>
        <w:rPr>
          <w:rFonts w:hint="eastAsia" w:ascii="宋体" w:hAnsi="宋体" w:cs="宋体"/>
          <w:sz w:val="32"/>
          <w:szCs w:val="32"/>
          <w:u w:val="single"/>
        </w:rPr>
        <w:t>全面履行施工合同约定的责任义务，代表企业实施本工程项目管理及施工、组建项目经理部、选择聘任管理人员及明确管理人员的职责、参与工程竣工验收及结算工作</w:t>
      </w:r>
      <w:r>
        <w:rPr>
          <w:rFonts w:hint="eastAsia" w:ascii="宋体" w:hAnsi="宋体" w:cs="宋体"/>
          <w:sz w:val="32"/>
          <w:szCs w:val="32"/>
        </w:rPr>
        <w:t>。</w:t>
      </w:r>
    </w:p>
    <w:p w14:paraId="71561340">
      <w:pPr>
        <w:spacing w:line="440" w:lineRule="exact"/>
        <w:ind w:firstLine="640" w:firstLineChars="200"/>
        <w:jc w:val="left"/>
        <w:rPr>
          <w:rFonts w:hint="eastAsia" w:ascii="宋体" w:hAnsi="宋体" w:cs="宋体"/>
          <w:color w:val="auto"/>
          <w:kern w:val="0"/>
          <w:sz w:val="32"/>
          <w:szCs w:val="32"/>
        </w:rPr>
      </w:pPr>
      <w:r>
        <w:rPr>
          <w:rFonts w:hint="eastAsia" w:ascii="宋体" w:hAnsi="宋体" w:cs="宋体"/>
          <w:kern w:val="0"/>
          <w:sz w:val="32"/>
          <w:szCs w:val="32"/>
        </w:rPr>
        <w:t>关于项目经理每</w:t>
      </w:r>
      <w:r>
        <w:rPr>
          <w:rFonts w:hint="eastAsia" w:ascii="宋体" w:hAnsi="宋体" w:cs="宋体"/>
          <w:kern w:val="0"/>
          <w:sz w:val="32"/>
          <w:szCs w:val="32"/>
          <w:lang w:val="en-US" w:eastAsia="zh-CN"/>
        </w:rPr>
        <w:t>天</w:t>
      </w:r>
      <w:r>
        <w:rPr>
          <w:rFonts w:hint="eastAsia" w:ascii="宋体" w:hAnsi="宋体" w:cs="宋体"/>
          <w:kern w:val="0"/>
          <w:sz w:val="32"/>
          <w:szCs w:val="32"/>
        </w:rPr>
        <w:t>在施工现场的时</w:t>
      </w:r>
      <w:r>
        <w:rPr>
          <w:rFonts w:hint="eastAsia" w:ascii="宋体" w:hAnsi="宋体" w:cs="宋体"/>
          <w:color w:val="auto"/>
          <w:kern w:val="0"/>
          <w:sz w:val="32"/>
          <w:szCs w:val="32"/>
        </w:rPr>
        <w:t>间要求：</w:t>
      </w:r>
      <w:r>
        <w:rPr>
          <w:rFonts w:hint="eastAsia" w:ascii="宋体" w:hAnsi="宋体" w:cs="宋体"/>
          <w:color w:val="auto"/>
          <w:sz w:val="32"/>
          <w:szCs w:val="32"/>
          <w:u w:val="single"/>
        </w:rPr>
        <w:t>每</w:t>
      </w:r>
      <w:r>
        <w:rPr>
          <w:rFonts w:hint="eastAsia" w:ascii="宋体" w:hAnsi="宋体" w:cs="宋体"/>
          <w:color w:val="auto"/>
          <w:sz w:val="32"/>
          <w:szCs w:val="32"/>
          <w:u w:val="single"/>
          <w:lang w:val="en-US" w:eastAsia="zh-CN"/>
        </w:rPr>
        <w:t>天</w:t>
      </w:r>
      <w:r>
        <w:rPr>
          <w:rFonts w:hint="eastAsia" w:ascii="宋体" w:hAnsi="宋体" w:cs="宋体"/>
          <w:color w:val="auto"/>
          <w:sz w:val="32"/>
          <w:szCs w:val="32"/>
          <w:u w:val="single"/>
        </w:rPr>
        <w:t>在场天数不得少于</w:t>
      </w:r>
      <w:r>
        <w:rPr>
          <w:rFonts w:hint="eastAsia" w:ascii="宋体" w:hAnsi="宋体" w:cs="宋体"/>
          <w:color w:val="auto"/>
          <w:sz w:val="32"/>
          <w:szCs w:val="32"/>
          <w:u w:val="single"/>
          <w:lang w:val="en-US" w:eastAsia="zh-CN"/>
        </w:rPr>
        <w:t>5小时</w:t>
      </w:r>
      <w:r>
        <w:rPr>
          <w:rFonts w:hint="eastAsia" w:ascii="宋体" w:hAnsi="宋体" w:cs="宋体"/>
          <w:color w:val="auto"/>
          <w:sz w:val="32"/>
          <w:szCs w:val="32"/>
        </w:rPr>
        <w:t>。</w:t>
      </w:r>
    </w:p>
    <w:p w14:paraId="173501A6">
      <w:pPr>
        <w:spacing w:line="440" w:lineRule="exact"/>
        <w:ind w:firstLine="640" w:firstLineChars="200"/>
        <w:rPr>
          <w:rFonts w:hint="eastAsia" w:ascii="宋体" w:hAnsi="宋体" w:cs="宋体"/>
          <w:color w:val="auto"/>
          <w:kern w:val="0"/>
          <w:sz w:val="32"/>
          <w:szCs w:val="32"/>
        </w:rPr>
      </w:pPr>
      <w:r>
        <w:rPr>
          <w:rFonts w:hint="eastAsia" w:ascii="宋体" w:hAnsi="宋体" w:cs="宋体"/>
          <w:color w:val="auto"/>
          <w:kern w:val="0"/>
          <w:sz w:val="32"/>
          <w:szCs w:val="32"/>
        </w:rPr>
        <w:t>承包人未提交劳动合同，以及没有为项目经理缴纳社会保险证明的违约责任：</w:t>
      </w:r>
      <w:r>
        <w:rPr>
          <w:rFonts w:hint="eastAsia" w:ascii="宋体" w:hAnsi="宋体" w:cs="宋体"/>
          <w:color w:val="auto"/>
          <w:sz w:val="32"/>
          <w:szCs w:val="32"/>
          <w:u w:val="single"/>
        </w:rPr>
        <w:t>发包人有权提出更换履职不到位的建造师（项目经理），由此增加的费用和（或）延误的工期承包人承担</w:t>
      </w:r>
      <w:r>
        <w:rPr>
          <w:rFonts w:hint="eastAsia" w:ascii="宋体" w:hAnsi="宋体" w:cs="宋体"/>
          <w:color w:val="auto"/>
          <w:sz w:val="32"/>
          <w:szCs w:val="32"/>
        </w:rPr>
        <w:t>。</w:t>
      </w:r>
    </w:p>
    <w:p w14:paraId="4EA79B0C">
      <w:pPr>
        <w:spacing w:line="440" w:lineRule="exact"/>
        <w:ind w:firstLine="640" w:firstLineChars="200"/>
        <w:rPr>
          <w:rFonts w:hint="eastAsia" w:ascii="宋体" w:hAnsi="宋体" w:cs="宋体"/>
          <w:sz w:val="32"/>
          <w:szCs w:val="32"/>
          <w:u w:val="single"/>
        </w:rPr>
      </w:pPr>
      <w:r>
        <w:rPr>
          <w:rFonts w:hint="eastAsia" w:ascii="宋体" w:hAnsi="宋体" w:cs="宋体"/>
          <w:kern w:val="0"/>
          <w:sz w:val="32"/>
          <w:szCs w:val="32"/>
        </w:rPr>
        <w:t>项目经理未经批准，擅自离开施工现场的违约责任：</w:t>
      </w:r>
      <w:r>
        <w:rPr>
          <w:rFonts w:hint="eastAsia" w:ascii="宋体" w:hAnsi="宋体" w:cs="宋体"/>
          <w:sz w:val="32"/>
          <w:szCs w:val="32"/>
          <w:u w:val="single"/>
        </w:rPr>
        <w:t>项目负责人不按工程开工时间进入施工现场和开工后无故不到现场，每延误（或不到现场）一天，承包人须向发包人缴纳3000元违约金；未经发包人同意不参加工地例会的，每次处罚1000元</w:t>
      </w:r>
      <w:r>
        <w:rPr>
          <w:rFonts w:hint="eastAsia" w:ascii="宋体" w:hAnsi="宋体" w:cs="宋体"/>
          <w:sz w:val="32"/>
          <w:szCs w:val="32"/>
        </w:rPr>
        <w:t>。</w:t>
      </w:r>
    </w:p>
    <w:p w14:paraId="0629635E">
      <w:pPr>
        <w:spacing w:line="440" w:lineRule="exact"/>
        <w:ind w:firstLine="640" w:firstLineChars="200"/>
        <w:rPr>
          <w:rFonts w:hint="eastAsia" w:ascii="宋体" w:hAnsi="宋体" w:cs="宋体"/>
          <w:sz w:val="32"/>
          <w:szCs w:val="32"/>
        </w:rPr>
      </w:pPr>
      <w:r>
        <w:rPr>
          <w:rFonts w:hint="eastAsia" w:ascii="宋体" w:hAnsi="宋体" w:cs="宋体"/>
          <w:sz w:val="32"/>
          <w:szCs w:val="32"/>
        </w:rPr>
        <w:t>3.2.3承包人擅自更换项目经理的违约责任：</w:t>
      </w:r>
      <w:r>
        <w:rPr>
          <w:rFonts w:hint="eastAsia" w:ascii="宋体" w:hAnsi="宋体" w:cs="宋体"/>
          <w:sz w:val="32"/>
          <w:szCs w:val="32"/>
          <w:u w:val="single"/>
        </w:rPr>
        <w:t>承包人若需要更换本工程的建造师（项目经理）时须经发包人书面同意。未经发包人书面同意，承包人擅自更换建造师（项目经理），承包人应承担违约责任</w:t>
      </w:r>
      <w:r>
        <w:rPr>
          <w:rFonts w:hint="eastAsia" w:ascii="宋体" w:hAnsi="宋体" w:cs="宋体"/>
          <w:sz w:val="32"/>
          <w:szCs w:val="32"/>
        </w:rPr>
        <w:t>。</w:t>
      </w:r>
    </w:p>
    <w:p w14:paraId="13F89826">
      <w:pPr>
        <w:spacing w:line="440" w:lineRule="exact"/>
        <w:ind w:firstLine="640" w:firstLineChars="200"/>
        <w:outlineLvl w:val="0"/>
        <w:rPr>
          <w:rFonts w:hint="eastAsia" w:ascii="宋体" w:hAnsi="宋体" w:cs="宋体"/>
          <w:color w:val="000000"/>
          <w:sz w:val="32"/>
          <w:szCs w:val="32"/>
        </w:rPr>
      </w:pPr>
      <w:bookmarkStart w:id="1322" w:name="_Toc256000050"/>
      <w:bookmarkStart w:id="1323" w:name="_Toc23351"/>
      <w:bookmarkStart w:id="1324" w:name="_Toc256000111"/>
      <w:bookmarkStart w:id="1325" w:name="_Toc256000152"/>
      <w:bookmarkStart w:id="1326" w:name="_Toc18154"/>
      <w:bookmarkStart w:id="1327" w:name="_Toc256000247"/>
      <w:r>
        <w:rPr>
          <w:rFonts w:hint="eastAsia" w:ascii="宋体" w:hAnsi="宋体" w:cs="宋体"/>
          <w:sz w:val="32"/>
          <w:szCs w:val="32"/>
        </w:rPr>
        <w:t>3.2.4承包人无正当理由拒绝更换项目经理的</w:t>
      </w:r>
      <w:r>
        <w:rPr>
          <w:rFonts w:hint="eastAsia" w:ascii="宋体" w:hAnsi="宋体" w:cs="宋体"/>
          <w:color w:val="000000"/>
          <w:sz w:val="32"/>
          <w:szCs w:val="32"/>
        </w:rPr>
        <w:t>违约责任：</w:t>
      </w:r>
      <w:r>
        <w:rPr>
          <w:rFonts w:hint="eastAsia" w:ascii="宋体" w:hAnsi="宋体" w:cs="宋体"/>
          <w:color w:val="000000"/>
          <w:sz w:val="32"/>
          <w:szCs w:val="32"/>
          <w:u w:val="single"/>
        </w:rPr>
        <w:t>由发包人提出更换履职不到位的建造师（项目经理）时，承包人拒绝更换，承包人应承担违约责任，并承担相应的处罚</w:t>
      </w:r>
      <w:r>
        <w:rPr>
          <w:rFonts w:hint="eastAsia" w:ascii="宋体" w:hAnsi="宋体" w:cs="宋体"/>
          <w:color w:val="000000"/>
          <w:sz w:val="32"/>
          <w:szCs w:val="32"/>
        </w:rPr>
        <w:t>。</w:t>
      </w:r>
      <w:bookmarkEnd w:id="1322"/>
      <w:bookmarkEnd w:id="1323"/>
      <w:bookmarkEnd w:id="1324"/>
      <w:bookmarkEnd w:id="1325"/>
      <w:bookmarkEnd w:id="1326"/>
      <w:bookmarkEnd w:id="1327"/>
    </w:p>
    <w:p w14:paraId="6F631368">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3.3承包人人员</w:t>
      </w:r>
    </w:p>
    <w:p w14:paraId="1D126407">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3.3.1承包人提交项目管理机构及施工现场管理人员安排报告的期限：</w:t>
      </w:r>
      <w:r>
        <w:rPr>
          <w:rFonts w:hint="eastAsia" w:ascii="宋体" w:hAnsi="宋体" w:cs="宋体"/>
          <w:color w:val="000000"/>
          <w:sz w:val="32"/>
          <w:szCs w:val="32"/>
          <w:u w:val="single"/>
        </w:rPr>
        <w:t>承包人接到开工通知后7日内</w:t>
      </w:r>
      <w:r>
        <w:rPr>
          <w:rFonts w:hint="eastAsia" w:ascii="宋体" w:hAnsi="宋体" w:cs="宋体"/>
          <w:color w:val="000000"/>
          <w:sz w:val="32"/>
          <w:szCs w:val="32"/>
        </w:rPr>
        <w:t>。</w:t>
      </w:r>
    </w:p>
    <w:p w14:paraId="51F2A8A2">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3.3.3承包人无正当理由拒绝撤换主要施工管理人员的违约责任：</w:t>
      </w:r>
      <w:r>
        <w:rPr>
          <w:rFonts w:hint="eastAsia" w:ascii="宋体" w:hAnsi="宋体" w:cs="宋体"/>
          <w:color w:val="000000"/>
          <w:sz w:val="32"/>
          <w:szCs w:val="32"/>
          <w:u w:val="single"/>
        </w:rPr>
        <w:t>承担违约给发包人造成的一切损失</w:t>
      </w:r>
      <w:r>
        <w:rPr>
          <w:rFonts w:hint="eastAsia" w:ascii="宋体" w:hAnsi="宋体" w:cs="宋体"/>
          <w:color w:val="000000"/>
          <w:sz w:val="32"/>
          <w:szCs w:val="32"/>
        </w:rPr>
        <w:t>。</w:t>
      </w:r>
    </w:p>
    <w:p w14:paraId="09B4784F">
      <w:pPr>
        <w:spacing w:line="440" w:lineRule="exact"/>
        <w:ind w:firstLine="640" w:firstLineChars="200"/>
        <w:rPr>
          <w:rFonts w:hint="eastAsia" w:ascii="宋体" w:hAnsi="宋体" w:cs="宋体"/>
          <w:color w:val="000000"/>
          <w:sz w:val="32"/>
          <w:szCs w:val="32"/>
          <w:u w:val="single"/>
        </w:rPr>
      </w:pPr>
      <w:r>
        <w:rPr>
          <w:rFonts w:hint="eastAsia" w:ascii="宋体" w:hAnsi="宋体" w:cs="宋体"/>
          <w:color w:val="000000"/>
          <w:sz w:val="32"/>
          <w:szCs w:val="32"/>
        </w:rPr>
        <w:t>3.3.4承包人主要施工管理人员离开施工现场的批准要求：</w:t>
      </w:r>
      <w:r>
        <w:rPr>
          <w:rFonts w:ascii="Times New Roman" w:hAnsi="Times New Roman" w:cs="宋体"/>
          <w:color w:val="000000"/>
          <w:sz w:val="32"/>
          <w:szCs w:val="32"/>
          <w:u w:val="single"/>
        </w:rPr>
        <w:sym w:font="Times New Roman" w:char="E5E5"/>
      </w:r>
      <w:r>
        <w:rPr>
          <w:rFonts w:hint="eastAsia" w:ascii="宋体" w:hAnsi="宋体" w:cs="宋体"/>
          <w:color w:val="000000"/>
          <w:sz w:val="32"/>
          <w:szCs w:val="32"/>
          <w:u w:val="single"/>
        </w:rPr>
        <w:t>由监理人批准，发包人认可后方可离开</w:t>
      </w:r>
      <w:r>
        <w:rPr>
          <w:rFonts w:hint="eastAsia" w:ascii="宋体" w:hAnsi="宋体" w:cs="宋体"/>
          <w:color w:val="000000"/>
          <w:sz w:val="32"/>
          <w:szCs w:val="32"/>
        </w:rPr>
        <w:t>。</w:t>
      </w:r>
    </w:p>
    <w:p w14:paraId="1481A5BA">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3.3.5承包人擅自更换主要施工管理人员的违约责任：</w:t>
      </w:r>
      <w:r>
        <w:rPr>
          <w:rFonts w:hint="eastAsia" w:ascii="宋体" w:hAnsi="宋体" w:cs="宋体"/>
          <w:color w:val="000000"/>
          <w:sz w:val="32"/>
          <w:szCs w:val="32"/>
          <w:u w:val="single"/>
        </w:rPr>
        <w:t>未经发包人同意，不得擅自更换：项目技术负责人及主要管理人员；由于承包人原因造成项目技术负责人及主要管理人员更换，即使得到发包人同意，承包人（每更换一名）也须向发包人缴纳1000元的违约金</w:t>
      </w:r>
      <w:r>
        <w:rPr>
          <w:rFonts w:hint="eastAsia" w:ascii="宋体" w:hAnsi="宋体" w:cs="宋体"/>
          <w:color w:val="000000"/>
          <w:sz w:val="32"/>
          <w:szCs w:val="32"/>
        </w:rPr>
        <w:t>。</w:t>
      </w:r>
    </w:p>
    <w:p w14:paraId="17D4A130">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承包人主要施工管理人员擅自离开施工现场的违约责任：</w:t>
      </w:r>
      <w:r>
        <w:rPr>
          <w:rFonts w:hint="eastAsia" w:ascii="宋体" w:hAnsi="宋体" w:cs="宋体"/>
          <w:color w:val="000000"/>
          <w:sz w:val="32"/>
          <w:szCs w:val="32"/>
          <w:u w:val="single"/>
        </w:rPr>
        <w:t>主要项目管理人员不按工程开工时间进入施工现场或开工后无故不到现场，每人每延误（或不到现场）一天承包人须向发包人缴纳1000元违约金</w:t>
      </w:r>
      <w:r>
        <w:rPr>
          <w:rFonts w:hint="eastAsia" w:ascii="宋体" w:hAnsi="宋体" w:cs="宋体"/>
          <w:color w:val="000000"/>
          <w:sz w:val="32"/>
          <w:szCs w:val="32"/>
        </w:rPr>
        <w:t>。</w:t>
      </w:r>
    </w:p>
    <w:p w14:paraId="54C33365">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w:t>
      </w:r>
      <w:bookmarkStart w:id="1328" w:name="_Toc300934945"/>
      <w:bookmarkStart w:id="1329" w:name="_Toc296944498"/>
      <w:bookmarkStart w:id="1330" w:name="_Toc297123492"/>
      <w:bookmarkStart w:id="1331" w:name="_Toc297216151"/>
      <w:bookmarkStart w:id="1332" w:name="_Toc303539102"/>
      <w:bookmarkStart w:id="1333" w:name="_Toc296346660"/>
      <w:bookmarkStart w:id="1334" w:name="_Toc296503159"/>
      <w:bookmarkStart w:id="1335" w:name="_Toc296347158"/>
      <w:bookmarkStart w:id="1336" w:name="_Toc297120459"/>
      <w:bookmarkStart w:id="1337" w:name="_Toc297048345"/>
      <w:bookmarkStart w:id="1338" w:name="_Toc312677988"/>
      <w:bookmarkStart w:id="1339" w:name="_Toc296891199"/>
      <w:bookmarkStart w:id="1340" w:name="_Toc292559364"/>
      <w:bookmarkStart w:id="1341" w:name="_Toc304295523"/>
      <w:bookmarkStart w:id="1342" w:name="_Toc296890987"/>
      <w:bookmarkStart w:id="1343" w:name="_Toc292559869"/>
      <w:r>
        <w:rPr>
          <w:rFonts w:hint="eastAsia" w:ascii="宋体" w:hAnsi="宋体" w:cs="宋体"/>
          <w:color w:val="000000"/>
          <w:sz w:val="32"/>
          <w:szCs w:val="32"/>
        </w:rPr>
        <w:t>.5分包</w:t>
      </w:r>
    </w:p>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p w14:paraId="29721C5A">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w:t>
      </w:r>
      <w:bookmarkStart w:id="1344" w:name="_Toc297120460"/>
      <w:bookmarkStart w:id="1345" w:name="_Toc296503160"/>
      <w:bookmarkStart w:id="1346" w:name="_Toc297123493"/>
      <w:bookmarkStart w:id="1347" w:name="_Toc304295524"/>
      <w:bookmarkStart w:id="1348" w:name="_Toc296890988"/>
      <w:bookmarkStart w:id="1349" w:name="_Toc303539103"/>
      <w:bookmarkStart w:id="1350" w:name="_Toc297216152"/>
      <w:bookmarkStart w:id="1351" w:name="_Toc296347159"/>
      <w:bookmarkStart w:id="1352" w:name="_Toc296346661"/>
      <w:bookmarkStart w:id="1353" w:name="_Toc292559870"/>
      <w:bookmarkStart w:id="1354" w:name="_Toc297048346"/>
      <w:bookmarkStart w:id="1355" w:name="_Toc296891200"/>
      <w:bookmarkStart w:id="1356" w:name="_Toc292559365"/>
      <w:bookmarkStart w:id="1357" w:name="_Toc296944499"/>
      <w:bookmarkStart w:id="1358" w:name="_Toc300934946"/>
      <w:bookmarkStart w:id="1359" w:name="_Toc312677989"/>
      <w:bookmarkStart w:id="1360" w:name="_Toc318581158"/>
      <w:r>
        <w:rPr>
          <w:rFonts w:hint="eastAsia" w:ascii="宋体" w:hAnsi="宋体" w:cs="宋体"/>
          <w:color w:val="000000"/>
          <w:sz w:val="32"/>
          <w:szCs w:val="32"/>
        </w:rPr>
        <w:t>.5.1分包的一般约定</w:t>
      </w:r>
    </w:p>
    <w:p w14:paraId="7879250A">
      <w:pPr>
        <w:spacing w:line="440" w:lineRule="exact"/>
        <w:ind w:firstLine="640" w:firstLineChars="200"/>
        <w:jc w:val="left"/>
        <w:rPr>
          <w:rFonts w:hint="eastAsia" w:ascii="宋体" w:hAnsi="宋体" w:cs="宋体"/>
          <w:color w:val="000000"/>
          <w:sz w:val="32"/>
          <w:szCs w:val="32"/>
        </w:rPr>
      </w:pPr>
      <w:r>
        <w:rPr>
          <w:rFonts w:hint="eastAsia" w:ascii="宋体" w:hAnsi="宋体" w:cs="宋体"/>
          <w:color w:val="000000"/>
          <w:sz w:val="32"/>
          <w:szCs w:val="32"/>
        </w:rPr>
        <w:t>禁止分包的工程包括：</w:t>
      </w:r>
      <w:r>
        <w:rPr>
          <w:rFonts w:hint="eastAsia" w:ascii="宋体" w:hAnsi="宋体" w:cs="宋体"/>
          <w:color w:val="000000"/>
          <w:sz w:val="32"/>
          <w:szCs w:val="32"/>
          <w:u w:val="single"/>
        </w:rPr>
        <w:t>/</w:t>
      </w:r>
      <w:r>
        <w:rPr>
          <w:rFonts w:hint="eastAsia" w:ascii="宋体" w:hAnsi="宋体" w:cs="宋体"/>
          <w:color w:val="000000"/>
          <w:sz w:val="32"/>
          <w:szCs w:val="32"/>
        </w:rPr>
        <w:t>。</w:t>
      </w:r>
    </w:p>
    <w:p w14:paraId="70A375A1">
      <w:pPr>
        <w:spacing w:line="440" w:lineRule="exact"/>
        <w:ind w:firstLine="640" w:firstLineChars="200"/>
        <w:jc w:val="left"/>
        <w:rPr>
          <w:rFonts w:hint="eastAsia" w:ascii="宋体" w:hAnsi="宋体" w:cs="宋体"/>
          <w:color w:val="000000"/>
          <w:sz w:val="32"/>
          <w:szCs w:val="32"/>
          <w:u w:val="single"/>
        </w:rPr>
      </w:pPr>
      <w:r>
        <w:rPr>
          <w:rFonts w:hint="eastAsia" w:ascii="宋体" w:hAnsi="宋体" w:cs="宋体"/>
          <w:color w:val="000000"/>
          <w:sz w:val="32"/>
          <w:szCs w:val="32"/>
        </w:rPr>
        <w:t>主体结构、关键性工作的范围：</w:t>
      </w:r>
      <w:r>
        <w:rPr>
          <w:rFonts w:hint="eastAsia" w:ascii="宋体" w:hAnsi="宋体" w:cs="宋体"/>
          <w:color w:val="000000"/>
          <w:sz w:val="32"/>
          <w:szCs w:val="32"/>
          <w:u w:val="single"/>
        </w:rPr>
        <w:t>/</w:t>
      </w:r>
      <w:r>
        <w:rPr>
          <w:rFonts w:hint="eastAsia" w:ascii="宋体" w:hAnsi="宋体" w:cs="宋体"/>
          <w:color w:val="000000"/>
          <w:sz w:val="32"/>
          <w:szCs w:val="32"/>
        </w:rPr>
        <w:t>。</w:t>
      </w:r>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Start w:id="1361" w:name="_Toc296891201"/>
      <w:bookmarkStart w:id="1362" w:name="_Toc297048347"/>
      <w:bookmarkStart w:id="1363" w:name="_Toc296890989"/>
      <w:bookmarkStart w:id="1364" w:name="_Toc296503161"/>
      <w:bookmarkStart w:id="1365" w:name="_Toc297216153"/>
      <w:bookmarkStart w:id="1366" w:name="_Toc300934947"/>
      <w:bookmarkStart w:id="1367" w:name="_Toc297120461"/>
      <w:bookmarkStart w:id="1368" w:name="_Toc296944500"/>
      <w:bookmarkStart w:id="1369" w:name="_Toc296346662"/>
      <w:bookmarkStart w:id="1370" w:name="_Toc304295525"/>
      <w:bookmarkStart w:id="1371" w:name="_Toc296347160"/>
      <w:bookmarkStart w:id="1372" w:name="_Toc297123494"/>
      <w:bookmarkStart w:id="1373" w:name="_Toc303539104"/>
    </w:p>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p w14:paraId="22E86020">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3</w:t>
      </w:r>
      <w:bookmarkStart w:id="1374" w:name="_Toc312677990"/>
      <w:bookmarkStart w:id="1375" w:name="_Toc318581159"/>
      <w:r>
        <w:rPr>
          <w:rFonts w:hint="eastAsia" w:ascii="宋体" w:hAnsi="宋体" w:cs="宋体"/>
          <w:color w:val="000000"/>
          <w:sz w:val="32"/>
          <w:szCs w:val="32"/>
        </w:rPr>
        <w:t>.5.2分包的确定</w:t>
      </w:r>
    </w:p>
    <w:p w14:paraId="28693E54">
      <w:pPr>
        <w:spacing w:line="440" w:lineRule="exact"/>
        <w:ind w:firstLine="640" w:firstLineChars="200"/>
        <w:rPr>
          <w:rFonts w:hint="eastAsia" w:ascii="宋体" w:hAnsi="宋体" w:cs="宋体"/>
          <w:color w:val="000000"/>
          <w:sz w:val="32"/>
          <w:szCs w:val="32"/>
          <w:u w:val="single"/>
        </w:rPr>
      </w:pPr>
      <w:r>
        <w:rPr>
          <w:rFonts w:hint="eastAsia" w:ascii="宋体" w:hAnsi="宋体" w:cs="宋体"/>
          <w:color w:val="000000"/>
          <w:sz w:val="32"/>
          <w:szCs w:val="32"/>
        </w:rPr>
        <w:t>允许分包的专业工程包括：</w:t>
      </w:r>
      <w:r>
        <w:rPr>
          <w:rFonts w:hint="eastAsia" w:ascii="宋体" w:hAnsi="宋体" w:cs="宋体"/>
          <w:color w:val="000000"/>
          <w:sz w:val="32"/>
          <w:szCs w:val="32"/>
          <w:u w:val="single"/>
        </w:rPr>
        <w:t>/</w:t>
      </w:r>
      <w:r>
        <w:rPr>
          <w:rFonts w:hint="eastAsia" w:ascii="宋体" w:hAnsi="宋体" w:cs="宋体"/>
          <w:color w:val="000000"/>
          <w:sz w:val="32"/>
          <w:szCs w:val="32"/>
        </w:rPr>
        <w:t>。</w:t>
      </w:r>
    </w:p>
    <w:p w14:paraId="43011A6A">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其他关于分包的约定：</w:t>
      </w:r>
      <w:r>
        <w:rPr>
          <w:rFonts w:hint="eastAsia" w:ascii="宋体" w:hAnsi="宋体" w:cs="宋体"/>
          <w:color w:val="000000"/>
          <w:sz w:val="32"/>
          <w:szCs w:val="32"/>
          <w:u w:val="single"/>
        </w:rPr>
        <w:t>/</w:t>
      </w:r>
      <w:r>
        <w:rPr>
          <w:rFonts w:hint="eastAsia" w:ascii="宋体" w:hAnsi="宋体" w:cs="宋体"/>
          <w:color w:val="000000"/>
          <w:sz w:val="32"/>
          <w:szCs w:val="32"/>
        </w:rPr>
        <w:t>。</w:t>
      </w:r>
    </w:p>
    <w:p w14:paraId="4830DE7F">
      <w:pPr>
        <w:spacing w:line="440" w:lineRule="exact"/>
        <w:ind w:firstLine="640" w:firstLineChars="200"/>
        <w:rPr>
          <w:rFonts w:hint="eastAsia" w:ascii="宋体" w:hAnsi="宋体" w:cs="宋体"/>
          <w:sz w:val="32"/>
          <w:szCs w:val="32"/>
        </w:rPr>
      </w:pPr>
      <w:r>
        <w:rPr>
          <w:rFonts w:hint="eastAsia" w:ascii="宋体" w:hAnsi="宋体" w:cs="宋体"/>
          <w:sz w:val="32"/>
          <w:szCs w:val="32"/>
        </w:rPr>
        <w:t>3.5.4分包合同价款</w:t>
      </w:r>
    </w:p>
    <w:p w14:paraId="0CB6F19D">
      <w:pPr>
        <w:spacing w:line="440" w:lineRule="exact"/>
        <w:ind w:firstLine="640" w:firstLineChars="200"/>
        <w:rPr>
          <w:rFonts w:hint="eastAsia" w:ascii="宋体" w:hAnsi="宋体" w:cs="宋体"/>
          <w:sz w:val="32"/>
          <w:szCs w:val="32"/>
        </w:rPr>
      </w:pPr>
      <w:r>
        <w:rPr>
          <w:rFonts w:hint="eastAsia" w:ascii="宋体" w:hAnsi="宋体" w:cs="宋体"/>
          <w:sz w:val="32"/>
          <w:szCs w:val="32"/>
        </w:rPr>
        <w:t>关于分包合同价款支付的约定：</w:t>
      </w:r>
      <w:r>
        <w:rPr>
          <w:rFonts w:hint="eastAsia" w:ascii="宋体" w:hAnsi="宋体" w:cs="宋体"/>
          <w:sz w:val="32"/>
          <w:szCs w:val="32"/>
          <w:u w:val="single"/>
        </w:rPr>
        <w:t>/</w:t>
      </w:r>
      <w:r>
        <w:rPr>
          <w:rFonts w:hint="eastAsia" w:ascii="宋体" w:hAnsi="宋体" w:cs="宋体"/>
          <w:sz w:val="32"/>
          <w:szCs w:val="32"/>
        </w:rPr>
        <w:t>。</w:t>
      </w:r>
    </w:p>
    <w:bookmarkEnd w:id="1374"/>
    <w:bookmarkEnd w:id="1375"/>
    <w:p w14:paraId="38492A33">
      <w:pPr>
        <w:spacing w:line="440" w:lineRule="exact"/>
        <w:ind w:firstLine="640" w:firstLineChars="200"/>
        <w:rPr>
          <w:rFonts w:hint="eastAsia" w:ascii="宋体" w:hAnsi="宋体" w:cs="宋体"/>
          <w:sz w:val="32"/>
          <w:szCs w:val="32"/>
        </w:rPr>
      </w:pPr>
      <w:r>
        <w:rPr>
          <w:rFonts w:hint="eastAsia" w:ascii="宋体" w:hAnsi="宋体" w:cs="宋体"/>
          <w:sz w:val="32"/>
          <w:szCs w:val="32"/>
        </w:rPr>
        <w:t>3.6工程照管与成品、半成品保护</w:t>
      </w:r>
    </w:p>
    <w:p w14:paraId="6CD79EF8">
      <w:pPr>
        <w:spacing w:line="440" w:lineRule="exact"/>
        <w:ind w:firstLine="640" w:firstLineChars="200"/>
        <w:rPr>
          <w:rFonts w:hint="eastAsia" w:ascii="宋体" w:hAnsi="宋体" w:cs="宋体"/>
          <w:kern w:val="0"/>
          <w:sz w:val="32"/>
          <w:szCs w:val="32"/>
          <w:u w:val="single"/>
        </w:rPr>
      </w:pPr>
      <w:r>
        <w:rPr>
          <w:rFonts w:hint="eastAsia" w:ascii="宋体" w:hAnsi="宋体" w:cs="宋体"/>
          <w:kern w:val="0"/>
          <w:sz w:val="32"/>
          <w:szCs w:val="32"/>
        </w:rPr>
        <w:t>承包人负责照管工程及工程相关的材料、工程设备的起始时间：</w:t>
      </w:r>
      <w:r>
        <w:rPr>
          <w:rFonts w:hint="eastAsia" w:ascii="宋体" w:hAnsi="宋体" w:cs="宋体"/>
          <w:kern w:val="0"/>
          <w:sz w:val="32"/>
          <w:szCs w:val="32"/>
          <w:u w:val="single"/>
        </w:rPr>
        <w:t>自发包人向承包人移交施工现场之日起直到颁发工程接受证书之日止</w:t>
      </w:r>
      <w:r>
        <w:rPr>
          <w:rFonts w:hint="eastAsia" w:ascii="宋体" w:hAnsi="宋体" w:cs="宋体"/>
          <w:kern w:val="0"/>
          <w:sz w:val="32"/>
          <w:szCs w:val="32"/>
        </w:rPr>
        <w:t>。</w:t>
      </w:r>
    </w:p>
    <w:p w14:paraId="4741FE4F">
      <w:pPr>
        <w:spacing w:line="440" w:lineRule="exact"/>
        <w:ind w:firstLine="640" w:firstLineChars="200"/>
        <w:rPr>
          <w:rFonts w:hint="eastAsia" w:ascii="宋体" w:hAnsi="宋体" w:cs="宋体"/>
          <w:sz w:val="32"/>
          <w:szCs w:val="32"/>
        </w:rPr>
      </w:pPr>
      <w:r>
        <w:rPr>
          <w:rFonts w:hint="eastAsia" w:ascii="宋体" w:hAnsi="宋体" w:cs="宋体"/>
          <w:sz w:val="32"/>
          <w:szCs w:val="32"/>
        </w:rPr>
        <w:t>3.7履约担保</w:t>
      </w:r>
    </w:p>
    <w:p w14:paraId="03AEF508">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承包人是否提供履约担保：</w:t>
      </w:r>
      <w:r>
        <w:rPr>
          <w:rFonts w:hint="eastAsia" w:ascii="宋体" w:hAnsi="宋体" w:cs="宋体"/>
          <w:sz w:val="32"/>
          <w:szCs w:val="32"/>
          <w:u w:val="single"/>
        </w:rPr>
        <w:t>是</w:t>
      </w:r>
      <w:r>
        <w:rPr>
          <w:rFonts w:hint="eastAsia" w:ascii="宋体" w:hAnsi="宋体" w:cs="宋体"/>
          <w:sz w:val="32"/>
          <w:szCs w:val="32"/>
        </w:rPr>
        <w:t>。</w:t>
      </w:r>
    </w:p>
    <w:p w14:paraId="4549A58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承包人提供履约担保的形式、金额及期限的：</w:t>
      </w:r>
      <w:r>
        <w:rPr>
          <w:rFonts w:hint="eastAsia" w:ascii="宋体" w:hAnsi="宋体" w:cs="宋体"/>
          <w:sz w:val="32"/>
          <w:szCs w:val="32"/>
          <w:u w:val="single"/>
        </w:rPr>
        <w:t>转账或保函，发包人不得以任何理由限制承包人提供履约担保的形式；合同价的10%；与施工总工期相同，如因不可抗力因素导致总工期发生变动，履约担保的期限相应进行调整</w:t>
      </w:r>
      <w:r>
        <w:rPr>
          <w:rFonts w:hint="eastAsia" w:ascii="宋体" w:hAnsi="宋体" w:cs="宋体"/>
          <w:sz w:val="32"/>
          <w:szCs w:val="32"/>
        </w:rPr>
        <w:t>。</w:t>
      </w:r>
    </w:p>
    <w:p w14:paraId="3E9FA780">
      <w:pPr>
        <w:keepNext/>
        <w:keepLines/>
        <w:spacing w:line="440" w:lineRule="exact"/>
        <w:ind w:firstLine="640" w:firstLineChars="200"/>
        <w:outlineLvl w:val="3"/>
        <w:rPr>
          <w:rFonts w:hint="eastAsia" w:ascii="宋体" w:hAnsi="宋体" w:cs="宋体"/>
          <w:bCs/>
          <w:sz w:val="32"/>
          <w:szCs w:val="32"/>
        </w:rPr>
      </w:pPr>
      <w:bookmarkStart w:id="1376" w:name="_Toc13387"/>
      <w:bookmarkStart w:id="1377" w:name="_Toc351203636"/>
      <w:bookmarkStart w:id="1378" w:name="_Toc6921"/>
      <w:r>
        <w:rPr>
          <w:rFonts w:hint="eastAsia" w:ascii="宋体" w:hAnsi="宋体" w:cs="宋体"/>
          <w:bCs/>
          <w:sz w:val="32"/>
          <w:szCs w:val="32"/>
        </w:rPr>
        <w:t>4</w:t>
      </w:r>
      <w:bookmarkStart w:id="1379" w:name="_Toc296890990"/>
      <w:bookmarkStart w:id="1380" w:name="_Toc296347161"/>
      <w:bookmarkStart w:id="1381" w:name="_Toc292559366"/>
      <w:bookmarkStart w:id="1382" w:name="_Toc267251413"/>
      <w:bookmarkStart w:id="1383" w:name="_Toc292559871"/>
      <w:bookmarkStart w:id="1384" w:name="_Toc297120462"/>
      <w:bookmarkStart w:id="1385" w:name="_Toc296346663"/>
      <w:bookmarkStart w:id="1386" w:name="_Toc296503162"/>
      <w:bookmarkStart w:id="1387" w:name="_Toc296891202"/>
      <w:bookmarkStart w:id="1388" w:name="_Toc297048348"/>
      <w:bookmarkStart w:id="1389" w:name="_Toc296944501"/>
      <w:r>
        <w:rPr>
          <w:rFonts w:hint="eastAsia" w:ascii="宋体" w:hAnsi="宋体" w:cs="宋体"/>
          <w:bCs/>
          <w:sz w:val="32"/>
          <w:szCs w:val="32"/>
        </w:rPr>
        <w:t>.监</w:t>
      </w:r>
      <w:bookmarkEnd w:id="1379"/>
      <w:bookmarkEnd w:id="1380"/>
      <w:bookmarkEnd w:id="1381"/>
      <w:bookmarkEnd w:id="1382"/>
      <w:bookmarkEnd w:id="1383"/>
      <w:bookmarkEnd w:id="1384"/>
      <w:bookmarkEnd w:id="1385"/>
      <w:bookmarkEnd w:id="1386"/>
      <w:bookmarkEnd w:id="1387"/>
      <w:bookmarkEnd w:id="1388"/>
      <w:bookmarkEnd w:id="1389"/>
      <w:r>
        <w:rPr>
          <w:rFonts w:hint="eastAsia" w:ascii="宋体" w:hAnsi="宋体" w:cs="宋体"/>
          <w:bCs/>
          <w:sz w:val="32"/>
          <w:szCs w:val="32"/>
        </w:rPr>
        <w:t>理人</w:t>
      </w:r>
      <w:bookmarkEnd w:id="1376"/>
      <w:bookmarkEnd w:id="1377"/>
      <w:bookmarkEnd w:id="1378"/>
    </w:p>
    <w:p w14:paraId="480406C6">
      <w:pPr>
        <w:spacing w:line="440" w:lineRule="exact"/>
        <w:ind w:firstLine="640" w:firstLineChars="200"/>
        <w:rPr>
          <w:rFonts w:hint="eastAsia" w:ascii="宋体" w:hAnsi="宋体" w:cs="宋体"/>
          <w:sz w:val="32"/>
          <w:szCs w:val="32"/>
        </w:rPr>
      </w:pPr>
      <w:r>
        <w:rPr>
          <w:rFonts w:hint="eastAsia" w:ascii="宋体" w:hAnsi="宋体" w:cs="宋体"/>
          <w:sz w:val="32"/>
          <w:szCs w:val="32"/>
        </w:rPr>
        <w:t>4.1监理人的一般规定</w:t>
      </w:r>
    </w:p>
    <w:p w14:paraId="4C0D2D9B">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关于监理人的监理内容：</w:t>
      </w:r>
      <w:r>
        <w:rPr>
          <w:rFonts w:hint="eastAsia" w:ascii="宋体" w:hAnsi="宋体" w:cs="宋体"/>
          <w:sz w:val="32"/>
          <w:szCs w:val="32"/>
          <w:u w:val="single"/>
        </w:rPr>
        <w:t>代表发包人对工程相关事项进行检查、查验、审核、验收；并签发相关指示</w:t>
      </w:r>
      <w:r>
        <w:rPr>
          <w:rFonts w:hint="eastAsia" w:ascii="宋体" w:hAnsi="宋体" w:cs="宋体"/>
          <w:sz w:val="32"/>
          <w:szCs w:val="32"/>
        </w:rPr>
        <w:t>。</w:t>
      </w:r>
    </w:p>
    <w:p w14:paraId="0E64691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关于监理人的监理权限：</w:t>
      </w:r>
      <w:r>
        <w:rPr>
          <w:rFonts w:hint="eastAsia" w:ascii="宋体" w:hAnsi="宋体" w:cs="宋体"/>
          <w:sz w:val="32"/>
          <w:szCs w:val="32"/>
          <w:u w:val="single"/>
        </w:rPr>
        <w:t>依据《建设工程监理规范》对工程质量、工期进度、工程投资进行控制，对施工合同、安全文明施工、工程信息进行管理、负责协调施工现场内合同相关方有关事宜</w:t>
      </w:r>
      <w:r>
        <w:rPr>
          <w:rFonts w:hint="eastAsia" w:ascii="宋体" w:hAnsi="宋体" w:cs="宋体"/>
          <w:sz w:val="32"/>
          <w:szCs w:val="32"/>
        </w:rPr>
        <w:t>。</w:t>
      </w:r>
    </w:p>
    <w:p w14:paraId="78D5CE3B">
      <w:pPr>
        <w:spacing w:line="440" w:lineRule="exact"/>
        <w:ind w:firstLine="640" w:firstLineChars="200"/>
        <w:rPr>
          <w:rFonts w:hint="eastAsia" w:ascii="宋体" w:hAnsi="宋体" w:cs="宋体"/>
          <w:sz w:val="32"/>
          <w:szCs w:val="32"/>
        </w:rPr>
      </w:pPr>
      <w:r>
        <w:rPr>
          <w:rFonts w:hint="eastAsia" w:ascii="宋体" w:hAnsi="宋体" w:cs="宋体"/>
          <w:sz w:val="32"/>
          <w:szCs w:val="32"/>
        </w:rPr>
        <w:t>关于监理人在施工现场的办公场所、生活场所的提供和费用承担的</w:t>
      </w:r>
      <w:r>
        <w:rPr>
          <w:rFonts w:hint="eastAsia" w:ascii="宋体" w:hAnsi="宋体" w:cs="宋体"/>
          <w:color w:val="000000"/>
          <w:sz w:val="32"/>
          <w:szCs w:val="32"/>
        </w:rPr>
        <w:t>约定：</w:t>
      </w:r>
      <w:r>
        <w:rPr>
          <w:rFonts w:hint="eastAsia" w:ascii="宋体" w:hAnsi="宋体" w:cs="宋体"/>
          <w:color w:val="000000"/>
          <w:sz w:val="32"/>
          <w:szCs w:val="32"/>
          <w:u w:val="single"/>
        </w:rPr>
        <w:t>依据通用条款执行</w:t>
      </w:r>
      <w:r>
        <w:rPr>
          <w:rFonts w:hint="eastAsia" w:ascii="宋体" w:hAnsi="宋体" w:cs="宋体"/>
          <w:color w:val="000000"/>
          <w:sz w:val="32"/>
          <w:szCs w:val="32"/>
        </w:rPr>
        <w:t>。</w:t>
      </w:r>
    </w:p>
    <w:p w14:paraId="6BDADEC4">
      <w:pPr>
        <w:spacing w:line="440" w:lineRule="exact"/>
        <w:ind w:firstLine="640" w:firstLineChars="200"/>
        <w:rPr>
          <w:rFonts w:hint="eastAsia" w:ascii="宋体" w:hAnsi="宋体" w:cs="宋体"/>
          <w:sz w:val="32"/>
          <w:szCs w:val="32"/>
        </w:rPr>
      </w:pPr>
      <w:r>
        <w:rPr>
          <w:rFonts w:hint="eastAsia" w:ascii="宋体" w:hAnsi="宋体" w:cs="宋体"/>
          <w:sz w:val="32"/>
          <w:szCs w:val="32"/>
        </w:rPr>
        <w:t>4.2监理人员</w:t>
      </w:r>
    </w:p>
    <w:p w14:paraId="2958FC96">
      <w:pPr>
        <w:spacing w:line="440" w:lineRule="exact"/>
        <w:ind w:firstLine="640" w:firstLineChars="200"/>
        <w:rPr>
          <w:rFonts w:hint="eastAsia" w:ascii="宋体" w:hAnsi="宋体" w:cs="宋体"/>
          <w:sz w:val="32"/>
          <w:szCs w:val="32"/>
        </w:rPr>
      </w:pPr>
      <w:r>
        <w:rPr>
          <w:rFonts w:hint="eastAsia" w:ascii="宋体" w:hAnsi="宋体" w:cs="宋体"/>
          <w:sz w:val="32"/>
          <w:szCs w:val="32"/>
        </w:rPr>
        <w:t>总监理工程师：</w:t>
      </w:r>
    </w:p>
    <w:p w14:paraId="7F7569A6">
      <w:pPr>
        <w:spacing w:line="440" w:lineRule="exact"/>
        <w:ind w:firstLine="640" w:firstLineChars="200"/>
        <w:rPr>
          <w:rFonts w:hint="eastAsia" w:ascii="宋体" w:hAnsi="宋体" w:cs="宋体"/>
          <w:sz w:val="32"/>
          <w:szCs w:val="32"/>
        </w:rPr>
      </w:pPr>
      <w:r>
        <w:rPr>
          <w:rFonts w:hint="eastAsia" w:ascii="宋体" w:hAnsi="宋体" w:cs="宋体"/>
          <w:sz w:val="32"/>
          <w:szCs w:val="32"/>
        </w:rPr>
        <w:t>姓名：</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7B530830">
      <w:pPr>
        <w:spacing w:line="440" w:lineRule="exact"/>
        <w:ind w:firstLine="640" w:firstLineChars="200"/>
        <w:rPr>
          <w:rFonts w:hint="eastAsia" w:ascii="宋体" w:hAnsi="宋体" w:cs="宋体"/>
          <w:sz w:val="32"/>
          <w:szCs w:val="32"/>
        </w:rPr>
      </w:pPr>
      <w:r>
        <w:rPr>
          <w:rFonts w:hint="eastAsia" w:ascii="宋体" w:hAnsi="宋体" w:cs="宋体"/>
          <w:sz w:val="32"/>
          <w:szCs w:val="32"/>
        </w:rPr>
        <w:t>职务：</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061721AB">
      <w:pPr>
        <w:spacing w:line="440" w:lineRule="exact"/>
        <w:ind w:firstLine="640" w:firstLineChars="200"/>
        <w:rPr>
          <w:rFonts w:hint="eastAsia" w:ascii="宋体" w:hAnsi="宋体" w:cs="宋体"/>
          <w:sz w:val="32"/>
          <w:szCs w:val="32"/>
        </w:rPr>
      </w:pPr>
      <w:r>
        <w:rPr>
          <w:rFonts w:hint="eastAsia" w:ascii="宋体" w:hAnsi="宋体" w:cs="宋体"/>
          <w:sz w:val="32"/>
          <w:szCs w:val="32"/>
        </w:rPr>
        <w:t>监理工程师执业资格证书号：</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7AAABDA8">
      <w:pPr>
        <w:spacing w:line="440" w:lineRule="exact"/>
        <w:ind w:firstLine="640" w:firstLineChars="200"/>
        <w:rPr>
          <w:rFonts w:hint="eastAsia" w:ascii="宋体" w:hAnsi="宋体" w:cs="宋体"/>
          <w:sz w:val="32"/>
          <w:szCs w:val="32"/>
        </w:rPr>
      </w:pPr>
      <w:r>
        <w:rPr>
          <w:rFonts w:hint="eastAsia" w:ascii="宋体" w:hAnsi="宋体" w:cs="宋体"/>
          <w:sz w:val="32"/>
          <w:szCs w:val="32"/>
        </w:rPr>
        <w:t>联系电话：</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630C7CC3">
      <w:pPr>
        <w:spacing w:line="440" w:lineRule="exact"/>
        <w:ind w:firstLine="640" w:firstLineChars="200"/>
        <w:rPr>
          <w:rFonts w:hint="eastAsia" w:ascii="宋体" w:hAnsi="宋体" w:cs="宋体"/>
          <w:sz w:val="32"/>
          <w:szCs w:val="32"/>
        </w:rPr>
      </w:pPr>
      <w:r>
        <w:rPr>
          <w:rFonts w:hint="eastAsia" w:ascii="宋体" w:hAnsi="宋体" w:cs="宋体"/>
          <w:sz w:val="32"/>
          <w:szCs w:val="32"/>
        </w:rPr>
        <w:t>电子信箱：</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49145B06">
      <w:pPr>
        <w:spacing w:line="440" w:lineRule="exact"/>
        <w:ind w:firstLine="640" w:firstLineChars="200"/>
        <w:rPr>
          <w:rFonts w:hint="eastAsia" w:ascii="宋体" w:hAnsi="宋体" w:cs="宋体"/>
          <w:sz w:val="32"/>
          <w:szCs w:val="32"/>
        </w:rPr>
      </w:pPr>
      <w:r>
        <w:rPr>
          <w:rFonts w:hint="eastAsia" w:ascii="宋体" w:hAnsi="宋体" w:cs="宋体"/>
          <w:sz w:val="32"/>
          <w:szCs w:val="32"/>
        </w:rPr>
        <w:t>通信地址：</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1DAC6204">
      <w:pPr>
        <w:spacing w:line="440" w:lineRule="exact"/>
        <w:ind w:firstLine="640" w:firstLineChars="200"/>
        <w:rPr>
          <w:rFonts w:hint="eastAsia" w:ascii="宋体" w:hAnsi="宋体" w:cs="宋体"/>
          <w:sz w:val="32"/>
          <w:szCs w:val="32"/>
        </w:rPr>
      </w:pPr>
      <w:r>
        <w:rPr>
          <w:rFonts w:hint="eastAsia" w:ascii="宋体" w:hAnsi="宋体" w:cs="宋体"/>
          <w:sz w:val="32"/>
          <w:szCs w:val="32"/>
        </w:rPr>
        <w:t>关于监理人的其他约定：</w:t>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ascii="Times New Roman" w:hAnsi="Times New Roman" w:cs="宋体"/>
          <w:sz w:val="32"/>
          <w:szCs w:val="32"/>
          <w:u w:val="single"/>
        </w:rPr>
        <w:sym w:font="Times New Roman" w:char="E5E5"/>
      </w:r>
      <w:r>
        <w:rPr>
          <w:rFonts w:hint="eastAsia" w:ascii="宋体" w:hAnsi="宋体" w:cs="宋体"/>
          <w:sz w:val="32"/>
          <w:szCs w:val="32"/>
        </w:rPr>
        <w:t>。</w:t>
      </w:r>
    </w:p>
    <w:p w14:paraId="64891C12">
      <w:pPr>
        <w:spacing w:line="440" w:lineRule="exact"/>
        <w:ind w:firstLine="640" w:firstLineChars="200"/>
        <w:rPr>
          <w:rFonts w:hint="eastAsia" w:ascii="宋体" w:hAnsi="宋体" w:cs="宋体"/>
          <w:sz w:val="32"/>
          <w:szCs w:val="32"/>
        </w:rPr>
      </w:pPr>
      <w:r>
        <w:rPr>
          <w:rFonts w:hint="eastAsia" w:ascii="宋体" w:hAnsi="宋体" w:cs="宋体"/>
          <w:sz w:val="32"/>
          <w:szCs w:val="32"/>
        </w:rPr>
        <w:t>4.4商定或确定</w:t>
      </w:r>
    </w:p>
    <w:p w14:paraId="7920DB78">
      <w:pPr>
        <w:spacing w:line="440" w:lineRule="exact"/>
        <w:ind w:firstLine="640" w:firstLineChars="200"/>
        <w:rPr>
          <w:rFonts w:hint="eastAsia" w:ascii="宋体" w:hAnsi="宋体" w:cs="宋体"/>
          <w:sz w:val="32"/>
          <w:szCs w:val="32"/>
        </w:rPr>
      </w:pPr>
      <w:bookmarkStart w:id="1390" w:name="_Toc267251418"/>
      <w:r>
        <w:rPr>
          <w:rFonts w:hint="eastAsia" w:ascii="宋体" w:hAnsi="宋体" w:cs="宋体"/>
          <w:sz w:val="32"/>
          <w:szCs w:val="32"/>
        </w:rPr>
        <w:t>在发包人和承包人不能通过协商达成一致意见时，发包人授权监理人对以下事项进行确定：</w:t>
      </w:r>
    </w:p>
    <w:p w14:paraId="25C9E7D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w:t>
      </w:r>
      <w:r>
        <w:rPr>
          <w:rFonts w:hint="eastAsia" w:ascii="宋体" w:hAnsi="宋体" w:cs="宋体"/>
          <w:sz w:val="32"/>
          <w:szCs w:val="32"/>
          <w:u w:val="single"/>
        </w:rPr>
        <w:t>施工过程其他未尽事宜的确定</w:t>
      </w:r>
      <w:r>
        <w:rPr>
          <w:rFonts w:hint="eastAsia" w:ascii="宋体" w:hAnsi="宋体" w:cs="宋体"/>
          <w:sz w:val="32"/>
          <w:szCs w:val="32"/>
        </w:rPr>
        <w:t>；</w:t>
      </w:r>
    </w:p>
    <w:p w14:paraId="0E8A1F7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w:t>
      </w:r>
      <w:r>
        <w:rPr>
          <w:rFonts w:hint="eastAsia" w:ascii="宋体" w:hAnsi="宋体" w:cs="宋体"/>
          <w:sz w:val="32"/>
          <w:szCs w:val="32"/>
        </w:rPr>
        <w:t>；</w:t>
      </w:r>
    </w:p>
    <w:p w14:paraId="7E388837">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w:t>
      </w:r>
      <w:r>
        <w:rPr>
          <w:rFonts w:hint="eastAsia" w:ascii="宋体" w:hAnsi="宋体" w:cs="宋体"/>
          <w:sz w:val="32"/>
          <w:szCs w:val="32"/>
        </w:rPr>
        <w:t>。</w:t>
      </w:r>
    </w:p>
    <w:p w14:paraId="0332D02A">
      <w:pPr>
        <w:keepNext/>
        <w:keepLines/>
        <w:spacing w:line="440" w:lineRule="exact"/>
        <w:ind w:firstLine="640" w:firstLineChars="200"/>
        <w:outlineLvl w:val="3"/>
        <w:rPr>
          <w:rFonts w:hint="eastAsia" w:ascii="宋体" w:hAnsi="宋体" w:cs="宋体"/>
          <w:bCs/>
          <w:sz w:val="32"/>
          <w:szCs w:val="32"/>
        </w:rPr>
      </w:pPr>
      <w:bookmarkStart w:id="1391" w:name="_Toc351203637"/>
      <w:bookmarkStart w:id="1392" w:name="_Toc30656"/>
      <w:bookmarkStart w:id="1393" w:name="_Toc18443"/>
      <w:r>
        <w:rPr>
          <w:rFonts w:hint="eastAsia" w:ascii="宋体" w:hAnsi="宋体" w:cs="宋体"/>
          <w:bCs/>
          <w:sz w:val="32"/>
          <w:szCs w:val="32"/>
        </w:rPr>
        <w:t>5</w:t>
      </w:r>
      <w:bookmarkEnd w:id="1390"/>
      <w:bookmarkStart w:id="1394" w:name="_Toc292559872"/>
      <w:bookmarkStart w:id="1395" w:name="_Toc292559367"/>
      <w:bookmarkStart w:id="1396" w:name="_Toc297120463"/>
      <w:bookmarkStart w:id="1397" w:name="_Toc296944502"/>
      <w:bookmarkStart w:id="1398" w:name="_Toc296346664"/>
      <w:bookmarkStart w:id="1399" w:name="_Toc296503163"/>
      <w:bookmarkStart w:id="1400" w:name="_Toc296347162"/>
      <w:bookmarkStart w:id="1401" w:name="_Toc296890991"/>
      <w:bookmarkStart w:id="1402" w:name="_Toc296891203"/>
      <w:bookmarkStart w:id="1403" w:name="_Toc297048349"/>
      <w:r>
        <w:rPr>
          <w:rFonts w:hint="eastAsia" w:ascii="宋体" w:hAnsi="宋体" w:cs="宋体"/>
          <w:bCs/>
          <w:sz w:val="32"/>
          <w:szCs w:val="32"/>
        </w:rPr>
        <w:t>.工程质量</w:t>
      </w:r>
      <w:bookmarkEnd w:id="1391"/>
      <w:bookmarkEnd w:id="1392"/>
      <w:bookmarkEnd w:id="1393"/>
    </w:p>
    <w:p w14:paraId="2FD57511">
      <w:pPr>
        <w:spacing w:line="440" w:lineRule="exact"/>
        <w:ind w:firstLine="640" w:firstLineChars="200"/>
        <w:outlineLvl w:val="0"/>
        <w:rPr>
          <w:rFonts w:hint="eastAsia" w:ascii="宋体" w:hAnsi="宋体" w:cs="宋体"/>
          <w:sz w:val="32"/>
          <w:szCs w:val="32"/>
        </w:rPr>
      </w:pPr>
      <w:bookmarkStart w:id="1404" w:name="_Toc14282"/>
      <w:bookmarkStart w:id="1405" w:name="_Toc256000112"/>
      <w:bookmarkStart w:id="1406" w:name="_Toc256000051"/>
      <w:bookmarkStart w:id="1407" w:name="_Toc256000248"/>
      <w:bookmarkStart w:id="1408" w:name="_Toc24399"/>
      <w:bookmarkStart w:id="1409" w:name="_Toc256000153"/>
      <w:r>
        <w:rPr>
          <w:rFonts w:hint="eastAsia" w:ascii="宋体" w:hAnsi="宋体" w:cs="宋体"/>
          <w:sz w:val="32"/>
          <w:szCs w:val="32"/>
        </w:rPr>
        <w:t>5.1质量要求</w:t>
      </w:r>
      <w:bookmarkEnd w:id="1404"/>
      <w:bookmarkEnd w:id="1405"/>
      <w:bookmarkEnd w:id="1406"/>
      <w:bookmarkEnd w:id="1407"/>
      <w:bookmarkEnd w:id="1408"/>
      <w:bookmarkEnd w:id="1409"/>
    </w:p>
    <w:p w14:paraId="2089280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5</w:t>
      </w:r>
      <w:bookmarkStart w:id="1410" w:name="_Toc318581164"/>
      <w:bookmarkStart w:id="1411" w:name="_Toc304295527"/>
      <w:bookmarkStart w:id="1412" w:name="_Toc312677997"/>
      <w:bookmarkStart w:id="1413" w:name="_Toc297123496"/>
      <w:bookmarkStart w:id="1414" w:name="_Toc297216155"/>
      <w:bookmarkStart w:id="1415" w:name="_Toc303539106"/>
      <w:bookmarkStart w:id="1416" w:name="_Toc300934949"/>
      <w:r>
        <w:rPr>
          <w:rFonts w:hint="eastAsia" w:ascii="宋体" w:hAnsi="宋体" w:cs="宋体"/>
          <w:sz w:val="32"/>
          <w:szCs w:val="32"/>
        </w:rPr>
        <w:t>.1.1特殊质量标准和要求：</w:t>
      </w:r>
      <w:r>
        <w:rPr>
          <w:rFonts w:hint="eastAsia" w:ascii="宋体" w:hAnsi="宋体" w:cs="宋体"/>
          <w:sz w:val="32"/>
          <w:szCs w:val="32"/>
          <w:u w:val="single"/>
        </w:rPr>
        <w:t>合格</w:t>
      </w:r>
      <w:r>
        <w:rPr>
          <w:rFonts w:hint="eastAsia" w:ascii="宋体" w:hAnsi="宋体" w:cs="宋体"/>
          <w:sz w:val="32"/>
          <w:szCs w:val="32"/>
        </w:rPr>
        <w:t>。</w:t>
      </w:r>
    </w:p>
    <w:p w14:paraId="570C6D0C">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关于工程奖项的约定：</w:t>
      </w:r>
    </w:p>
    <w:p w14:paraId="56FFCC7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w:t>
      </w:r>
    </w:p>
    <w:p w14:paraId="3B4F1643">
      <w:pPr>
        <w:spacing w:line="440" w:lineRule="exact"/>
        <w:ind w:firstLine="640" w:firstLineChars="200"/>
        <w:outlineLvl w:val="0"/>
        <w:rPr>
          <w:rFonts w:hint="eastAsia" w:ascii="宋体" w:hAnsi="宋体" w:cs="宋体"/>
          <w:sz w:val="32"/>
          <w:szCs w:val="32"/>
        </w:rPr>
      </w:pPr>
      <w:bookmarkStart w:id="1417" w:name="_Toc256000249"/>
      <w:bookmarkStart w:id="1418" w:name="_Toc256000154"/>
      <w:bookmarkStart w:id="1419" w:name="_Toc12134"/>
      <w:bookmarkStart w:id="1420" w:name="_Toc256000052"/>
      <w:bookmarkStart w:id="1421" w:name="_Toc13581"/>
      <w:bookmarkStart w:id="1422" w:name="_Toc256000113"/>
      <w:r>
        <w:rPr>
          <w:rFonts w:hint="eastAsia" w:ascii="宋体" w:hAnsi="宋体" w:cs="宋体"/>
          <w:sz w:val="32"/>
          <w:szCs w:val="32"/>
        </w:rPr>
        <w:t>5.3隐蔽工程检查</w:t>
      </w:r>
      <w:bookmarkEnd w:id="1417"/>
      <w:bookmarkEnd w:id="1418"/>
      <w:bookmarkEnd w:id="1419"/>
      <w:bookmarkEnd w:id="1420"/>
      <w:bookmarkEnd w:id="1421"/>
      <w:bookmarkEnd w:id="1422"/>
    </w:p>
    <w:p w14:paraId="73199BE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5.3.2承包人提前通知监理人隐蔽工程检查的期限的约定：</w:t>
      </w:r>
      <w:r>
        <w:rPr>
          <w:rFonts w:hint="eastAsia" w:ascii="宋体" w:hAnsi="宋体" w:cs="宋体"/>
          <w:sz w:val="32"/>
          <w:szCs w:val="32"/>
          <w:u w:val="single"/>
        </w:rPr>
        <w:t>工程隐蔽部位经承包人自检具备覆盖条件的，隐蔽工程开始前48小时由承包人书面通知监理人，监理检查合格后，由监理人在隐蔽工程开始前24小时书面通知发包人、质检等部门对隐蔽工程进行现场取证、记录，检查无误后方可隐蔽，中间验收必须以书面形式按验收规范进行，监理组织相关部门共同验收</w:t>
      </w:r>
      <w:r>
        <w:rPr>
          <w:rFonts w:hint="eastAsia" w:ascii="宋体" w:hAnsi="宋体" w:cs="宋体"/>
          <w:sz w:val="32"/>
          <w:szCs w:val="32"/>
        </w:rPr>
        <w:t>。</w:t>
      </w:r>
    </w:p>
    <w:p w14:paraId="4CAC5518">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监理人不能按时进行检查时，应提前</w:t>
      </w:r>
      <w:r>
        <w:rPr>
          <w:rFonts w:hint="eastAsia" w:ascii="宋体" w:hAnsi="宋体" w:cs="宋体"/>
          <w:sz w:val="32"/>
          <w:szCs w:val="32"/>
          <w:u w:val="single"/>
        </w:rPr>
        <w:t>24</w:t>
      </w:r>
      <w:r>
        <w:rPr>
          <w:rFonts w:hint="eastAsia" w:ascii="宋体" w:hAnsi="宋体" w:cs="宋体"/>
          <w:sz w:val="32"/>
          <w:szCs w:val="32"/>
        </w:rPr>
        <w:t>小时提交书面延期要求。</w:t>
      </w:r>
    </w:p>
    <w:p w14:paraId="03C624F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关于延期最长不得超过：</w:t>
      </w:r>
      <w:r>
        <w:rPr>
          <w:rFonts w:hint="eastAsia" w:ascii="宋体" w:hAnsi="宋体" w:cs="宋体"/>
          <w:sz w:val="32"/>
          <w:szCs w:val="32"/>
          <w:u w:val="single"/>
        </w:rPr>
        <w:t>48</w:t>
      </w:r>
      <w:r>
        <w:rPr>
          <w:rFonts w:hint="eastAsia" w:ascii="宋体" w:hAnsi="宋体" w:cs="宋体"/>
          <w:sz w:val="32"/>
          <w:szCs w:val="32"/>
        </w:rPr>
        <w:t>小时。</w:t>
      </w:r>
    </w:p>
    <w:p w14:paraId="7AFA5E75">
      <w:pPr>
        <w:keepNext/>
        <w:keepLines/>
        <w:spacing w:line="440" w:lineRule="exact"/>
        <w:ind w:firstLine="640" w:firstLineChars="200"/>
        <w:outlineLvl w:val="3"/>
        <w:rPr>
          <w:rFonts w:hint="eastAsia" w:ascii="宋体" w:hAnsi="宋体" w:cs="宋体"/>
          <w:bCs/>
          <w:sz w:val="32"/>
          <w:szCs w:val="32"/>
        </w:rPr>
      </w:pPr>
      <w:bookmarkStart w:id="1423" w:name="_Toc5419"/>
      <w:bookmarkStart w:id="1424" w:name="_Toc351203638"/>
      <w:bookmarkStart w:id="1425" w:name="_Toc1358"/>
      <w:r>
        <w:rPr>
          <w:rFonts w:hint="eastAsia" w:ascii="宋体" w:hAnsi="宋体" w:cs="宋体"/>
          <w:bCs/>
          <w:sz w:val="32"/>
          <w:szCs w:val="32"/>
        </w:rPr>
        <w:t>6.安全文明施工与环境保护</w:t>
      </w:r>
      <w:bookmarkEnd w:id="1423"/>
      <w:bookmarkEnd w:id="1424"/>
      <w:bookmarkEnd w:id="1425"/>
    </w:p>
    <w:p w14:paraId="150886A8">
      <w:pPr>
        <w:spacing w:line="440" w:lineRule="exact"/>
        <w:ind w:firstLine="640" w:firstLineChars="200"/>
        <w:rPr>
          <w:rFonts w:hint="eastAsia" w:ascii="宋体" w:hAnsi="宋体" w:cs="宋体"/>
          <w:sz w:val="32"/>
          <w:szCs w:val="32"/>
        </w:rPr>
      </w:pPr>
      <w:r>
        <w:rPr>
          <w:rFonts w:hint="eastAsia" w:ascii="宋体" w:hAnsi="宋体" w:cs="宋体"/>
          <w:sz w:val="32"/>
          <w:szCs w:val="32"/>
        </w:rPr>
        <w:t>6.1安全文明施工</w:t>
      </w:r>
    </w:p>
    <w:p w14:paraId="21ED91B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6.1.1项目安全生产的达标目标及相应事项的约定：</w:t>
      </w:r>
      <w:r>
        <w:rPr>
          <w:rFonts w:hint="eastAsia" w:ascii="宋体" w:hAnsi="宋体" w:cs="宋体"/>
          <w:sz w:val="32"/>
          <w:szCs w:val="32"/>
          <w:u w:val="single"/>
        </w:rPr>
        <w:t>执行合同“通用条款”，承包人应按《建筑施工企业安全管理机构设置及专职安全生产管理人员配备办法》（建质[2008]91号）设置专职安全生产管理人员，并按照相关内容和国家行业规范要求采取有效的安全措施，以保证自身及第三人和周边环境的安全</w:t>
      </w:r>
      <w:r>
        <w:rPr>
          <w:rFonts w:hint="eastAsia" w:ascii="宋体" w:hAnsi="宋体" w:cs="宋体"/>
          <w:sz w:val="32"/>
          <w:szCs w:val="32"/>
        </w:rPr>
        <w:t>。</w:t>
      </w:r>
    </w:p>
    <w:p w14:paraId="6EA6C8A5">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6.1.4关于治安保卫的特别约定：</w:t>
      </w:r>
      <w:r>
        <w:rPr>
          <w:rFonts w:hint="eastAsia" w:ascii="宋体" w:hAnsi="宋体" w:cs="宋体"/>
          <w:sz w:val="32"/>
          <w:szCs w:val="32"/>
          <w:u w:val="single"/>
        </w:rPr>
        <w:t>施工现场的安全保卫工作（包括此项工作发生的费用）均由承包人承担</w:t>
      </w:r>
      <w:r>
        <w:rPr>
          <w:rFonts w:hint="eastAsia" w:ascii="宋体" w:hAnsi="宋体" w:cs="宋体"/>
          <w:sz w:val="32"/>
          <w:szCs w:val="32"/>
        </w:rPr>
        <w:t>。</w:t>
      </w:r>
    </w:p>
    <w:p w14:paraId="510AD50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关于编制施工场地治安管理计划的约定：</w:t>
      </w:r>
      <w:r>
        <w:rPr>
          <w:rFonts w:hint="eastAsia" w:ascii="宋体" w:hAnsi="宋体" w:cs="宋体"/>
          <w:sz w:val="32"/>
          <w:szCs w:val="32"/>
          <w:u w:val="single"/>
        </w:rPr>
        <w:t>执行合同“通用条款”</w:t>
      </w:r>
      <w:r>
        <w:rPr>
          <w:rFonts w:hint="eastAsia" w:ascii="宋体" w:hAnsi="宋体" w:cs="宋体"/>
          <w:sz w:val="32"/>
          <w:szCs w:val="32"/>
        </w:rPr>
        <w:t>。</w:t>
      </w:r>
    </w:p>
    <w:p w14:paraId="343BF49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6.1.5文明施工</w:t>
      </w:r>
    </w:p>
    <w:p w14:paraId="2B35C79B">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合同当事人对文明施工的要求：</w:t>
      </w:r>
      <w:r>
        <w:rPr>
          <w:rFonts w:hint="eastAsia" w:ascii="宋体" w:hAnsi="宋体" w:cs="宋体"/>
          <w:sz w:val="32"/>
          <w:szCs w:val="32"/>
          <w:u w:val="single"/>
        </w:rPr>
        <w:t>执行合同“通用条款”。承包人在工程施工期间，应当采取措施保持施工现场平整，物料堆放整齐，便道及容易扬尘的地方及时洒水。保持施工场地清洁卫生、整齐不序，达到发包人、监理对现场管理工作的相关要求</w:t>
      </w:r>
      <w:r>
        <w:rPr>
          <w:rFonts w:hint="eastAsia" w:ascii="宋体" w:hAnsi="宋体" w:cs="宋体"/>
          <w:sz w:val="32"/>
          <w:szCs w:val="32"/>
        </w:rPr>
        <w:t>。</w:t>
      </w:r>
    </w:p>
    <w:p w14:paraId="383E2AD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6.1.6关于安全文明施工费支付比例和支付期限的约定：</w:t>
      </w:r>
      <w:r>
        <w:rPr>
          <w:rFonts w:hint="eastAsia" w:ascii="宋体" w:hAnsi="宋体" w:cs="宋体"/>
          <w:sz w:val="32"/>
          <w:szCs w:val="32"/>
          <w:u w:val="single"/>
        </w:rPr>
        <w:t>/</w:t>
      </w:r>
      <w:r>
        <w:rPr>
          <w:rFonts w:hint="eastAsia" w:ascii="宋体" w:hAnsi="宋体" w:cs="宋体"/>
          <w:sz w:val="32"/>
          <w:szCs w:val="32"/>
        </w:rPr>
        <w:t>。</w:t>
      </w:r>
    </w:p>
    <w:bookmarkEnd w:id="1410"/>
    <w:bookmarkEnd w:id="1411"/>
    <w:bookmarkEnd w:id="1412"/>
    <w:bookmarkEnd w:id="1413"/>
    <w:bookmarkEnd w:id="1414"/>
    <w:bookmarkEnd w:id="1415"/>
    <w:bookmarkEnd w:id="1416"/>
    <w:p w14:paraId="34C534A9">
      <w:pPr>
        <w:keepNext/>
        <w:keepLines/>
        <w:spacing w:line="440" w:lineRule="exact"/>
        <w:ind w:firstLine="640" w:firstLineChars="200"/>
        <w:outlineLvl w:val="3"/>
        <w:rPr>
          <w:rFonts w:hint="eastAsia" w:ascii="宋体" w:hAnsi="宋体" w:cs="宋体"/>
          <w:bCs/>
          <w:sz w:val="32"/>
          <w:szCs w:val="32"/>
        </w:rPr>
      </w:pPr>
      <w:bookmarkStart w:id="1426" w:name="_Toc31713"/>
      <w:bookmarkStart w:id="1427" w:name="_Toc351203639"/>
      <w:bookmarkStart w:id="1428" w:name="_Toc23214"/>
      <w:r>
        <w:rPr>
          <w:rFonts w:hint="eastAsia" w:ascii="宋体" w:hAnsi="宋体" w:cs="宋体"/>
          <w:bCs/>
          <w:sz w:val="32"/>
          <w:szCs w:val="32"/>
        </w:rPr>
        <w:t>7.工期和进度</w:t>
      </w:r>
      <w:bookmarkEnd w:id="1426"/>
      <w:bookmarkEnd w:id="1427"/>
      <w:bookmarkEnd w:id="1428"/>
    </w:p>
    <w:p w14:paraId="214F5D8B">
      <w:pPr>
        <w:spacing w:line="440" w:lineRule="exact"/>
        <w:ind w:firstLine="640" w:firstLineChars="200"/>
        <w:rPr>
          <w:rFonts w:hint="eastAsia" w:ascii="宋体" w:hAnsi="宋体" w:cs="宋体"/>
          <w:sz w:val="32"/>
          <w:szCs w:val="32"/>
        </w:rPr>
      </w:pPr>
      <w:r>
        <w:rPr>
          <w:rFonts w:hint="eastAsia" w:ascii="宋体" w:hAnsi="宋体" w:cs="宋体"/>
          <w:sz w:val="32"/>
          <w:szCs w:val="32"/>
        </w:rPr>
        <w:t>7.1施工组织设计</w:t>
      </w:r>
    </w:p>
    <w:p w14:paraId="3F66CBD8">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7.1.1合</w:t>
      </w:r>
      <w:r>
        <w:rPr>
          <w:rFonts w:hint="eastAsia" w:ascii="宋体" w:hAnsi="宋体" w:cs="宋体"/>
          <w:kern w:val="0"/>
          <w:sz w:val="32"/>
          <w:szCs w:val="32"/>
        </w:rPr>
        <w:t>同当事人约定的施工组织设计应包括的其他内容：</w:t>
      </w:r>
      <w:r>
        <w:rPr>
          <w:rFonts w:hint="eastAsia" w:ascii="宋体" w:hAnsi="宋体" w:cs="宋体"/>
          <w:sz w:val="32"/>
          <w:szCs w:val="32"/>
          <w:u w:val="single"/>
        </w:rPr>
        <w:t>执行合同“通用条款”</w:t>
      </w:r>
      <w:r>
        <w:rPr>
          <w:rFonts w:hint="eastAsia" w:ascii="宋体" w:hAnsi="宋体" w:cs="宋体"/>
          <w:sz w:val="32"/>
          <w:szCs w:val="32"/>
        </w:rPr>
        <w:t>。</w:t>
      </w:r>
    </w:p>
    <w:p w14:paraId="3D09B5C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7.1.2</w:t>
      </w:r>
      <w:r>
        <w:rPr>
          <w:rFonts w:hint="eastAsia" w:ascii="宋体" w:hAnsi="宋体" w:cs="宋体"/>
          <w:kern w:val="0"/>
          <w:sz w:val="32"/>
          <w:szCs w:val="32"/>
        </w:rPr>
        <w:t>施工组织设计的提交和修改</w:t>
      </w:r>
    </w:p>
    <w:p w14:paraId="219D8BEB">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承包人提交详细施工组织设计的期限的约定：</w:t>
      </w:r>
      <w:r>
        <w:rPr>
          <w:rFonts w:hint="eastAsia" w:ascii="宋体" w:hAnsi="宋体" w:cs="宋体"/>
          <w:sz w:val="32"/>
          <w:szCs w:val="32"/>
          <w:u w:val="single"/>
        </w:rPr>
        <w:t>执行合同“通用条款”</w:t>
      </w:r>
      <w:r>
        <w:rPr>
          <w:rFonts w:hint="eastAsia" w:ascii="宋体" w:hAnsi="宋体" w:cs="宋体"/>
          <w:sz w:val="32"/>
          <w:szCs w:val="32"/>
        </w:rPr>
        <w:t>。</w:t>
      </w:r>
    </w:p>
    <w:p w14:paraId="2E3FDCEB">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发包人和监理人在收到详细的施工组织设计后确认或提出修改意见的期限：</w:t>
      </w:r>
      <w:r>
        <w:rPr>
          <w:rFonts w:hint="eastAsia" w:ascii="宋体" w:hAnsi="宋体" w:cs="宋体"/>
          <w:sz w:val="32"/>
          <w:szCs w:val="32"/>
          <w:u w:val="single"/>
        </w:rPr>
        <w:t>三天内</w:t>
      </w:r>
      <w:r>
        <w:rPr>
          <w:rFonts w:hint="eastAsia" w:ascii="宋体" w:hAnsi="宋体" w:cs="宋体"/>
          <w:sz w:val="32"/>
          <w:szCs w:val="32"/>
        </w:rPr>
        <w:t>。</w:t>
      </w:r>
    </w:p>
    <w:p w14:paraId="35F384A0">
      <w:pPr>
        <w:spacing w:line="440" w:lineRule="exact"/>
        <w:ind w:firstLine="640" w:firstLineChars="200"/>
        <w:rPr>
          <w:rFonts w:hint="eastAsia" w:ascii="宋体" w:hAnsi="宋体" w:cs="宋体"/>
          <w:sz w:val="32"/>
          <w:szCs w:val="32"/>
        </w:rPr>
      </w:pPr>
      <w:r>
        <w:rPr>
          <w:rFonts w:hint="eastAsia" w:ascii="宋体" w:hAnsi="宋体" w:cs="宋体"/>
          <w:sz w:val="32"/>
          <w:szCs w:val="32"/>
        </w:rPr>
        <w:t>7</w:t>
      </w:r>
      <w:bookmarkStart w:id="1429" w:name="_Toc304295541"/>
      <w:bookmarkStart w:id="1430" w:name="_Toc300934966"/>
      <w:bookmarkStart w:id="1431" w:name="_Toc297123514"/>
      <w:bookmarkStart w:id="1432" w:name="_Toc312677479"/>
      <w:bookmarkStart w:id="1433" w:name="_Toc312678005"/>
      <w:bookmarkStart w:id="1434" w:name="_Toc303539123"/>
      <w:bookmarkStart w:id="1435" w:name="_Toc297216173"/>
      <w:r>
        <w:rPr>
          <w:rFonts w:hint="eastAsia" w:ascii="宋体" w:hAnsi="宋体" w:cs="宋体"/>
          <w:sz w:val="32"/>
          <w:szCs w:val="32"/>
        </w:rPr>
        <w:t>.2施工进度计划</w:t>
      </w:r>
    </w:p>
    <w:p w14:paraId="7487155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7.2.2施工进度计划的修订</w:t>
      </w:r>
    </w:p>
    <w:p w14:paraId="5DB4989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发包人和监理人在收到修订的施工进度计划后确认或提出修改意见的期限：</w:t>
      </w:r>
      <w:r>
        <w:rPr>
          <w:rFonts w:hint="eastAsia" w:ascii="宋体" w:hAnsi="宋体" w:cs="宋体"/>
          <w:sz w:val="32"/>
          <w:szCs w:val="32"/>
          <w:u w:val="single"/>
        </w:rPr>
        <w:t>三天内</w:t>
      </w:r>
      <w:r>
        <w:rPr>
          <w:rFonts w:hint="eastAsia" w:ascii="宋体" w:hAnsi="宋体" w:cs="宋体"/>
          <w:sz w:val="32"/>
          <w:szCs w:val="32"/>
        </w:rPr>
        <w:t>。</w:t>
      </w:r>
    </w:p>
    <w:p w14:paraId="6411F3E0">
      <w:pPr>
        <w:spacing w:line="440" w:lineRule="exact"/>
        <w:ind w:firstLine="640" w:firstLineChars="200"/>
        <w:rPr>
          <w:rFonts w:hint="eastAsia" w:ascii="宋体" w:hAnsi="宋体" w:cs="宋体"/>
          <w:sz w:val="32"/>
          <w:szCs w:val="32"/>
        </w:rPr>
      </w:pPr>
      <w:r>
        <w:rPr>
          <w:rFonts w:hint="eastAsia" w:ascii="宋体" w:hAnsi="宋体" w:cs="宋体"/>
          <w:sz w:val="32"/>
          <w:szCs w:val="32"/>
        </w:rPr>
        <w:t>7.3开工</w:t>
      </w:r>
    </w:p>
    <w:p w14:paraId="104772B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7.3.1开工准备</w:t>
      </w:r>
    </w:p>
    <w:p w14:paraId="1CA51FE4">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关于承包人提交</w:t>
      </w:r>
      <w:r>
        <w:rPr>
          <w:rFonts w:hint="eastAsia" w:ascii="宋体" w:hAnsi="宋体" w:cs="宋体"/>
          <w:kern w:val="0"/>
          <w:sz w:val="32"/>
          <w:szCs w:val="32"/>
        </w:rPr>
        <w:t>工程开工报审表的期限：</w:t>
      </w:r>
      <w:r>
        <w:rPr>
          <w:rFonts w:hint="eastAsia" w:ascii="宋体" w:hAnsi="宋体" w:cs="宋体"/>
          <w:sz w:val="32"/>
          <w:szCs w:val="32"/>
          <w:u w:val="single"/>
        </w:rPr>
        <w:t>合同签订后7日内</w:t>
      </w:r>
      <w:r>
        <w:rPr>
          <w:rFonts w:hint="eastAsia" w:ascii="宋体" w:hAnsi="宋体" w:cs="宋体"/>
          <w:sz w:val="32"/>
          <w:szCs w:val="32"/>
        </w:rPr>
        <w:t>。</w:t>
      </w:r>
    </w:p>
    <w:p w14:paraId="0B5D4D4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关于发包人应完成的其他开工准备工作及期限：</w:t>
      </w:r>
      <w:r>
        <w:rPr>
          <w:rFonts w:hint="eastAsia" w:ascii="宋体" w:hAnsi="宋体" w:cs="宋体"/>
          <w:sz w:val="32"/>
          <w:szCs w:val="32"/>
          <w:u w:val="single"/>
        </w:rPr>
        <w:t>合同签订后7日内</w:t>
      </w:r>
      <w:r>
        <w:rPr>
          <w:rFonts w:hint="eastAsia" w:ascii="宋体" w:hAnsi="宋体" w:cs="宋体"/>
          <w:sz w:val="32"/>
          <w:szCs w:val="32"/>
        </w:rPr>
        <w:t>。</w:t>
      </w:r>
    </w:p>
    <w:p w14:paraId="4AC0588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关于承包人应完成的其他开工准备工作及期限：</w:t>
      </w:r>
      <w:r>
        <w:rPr>
          <w:rFonts w:hint="eastAsia" w:ascii="宋体" w:hAnsi="宋体" w:cs="宋体"/>
          <w:sz w:val="32"/>
          <w:szCs w:val="32"/>
          <w:u w:val="single"/>
        </w:rPr>
        <w:t>合同签订后7日内</w:t>
      </w:r>
      <w:r>
        <w:rPr>
          <w:rFonts w:hint="eastAsia" w:ascii="宋体" w:hAnsi="宋体" w:cs="宋体"/>
          <w:sz w:val="32"/>
          <w:szCs w:val="32"/>
        </w:rPr>
        <w:t>。</w:t>
      </w:r>
    </w:p>
    <w:p w14:paraId="15038D4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7.3.2开工通知</w:t>
      </w:r>
    </w:p>
    <w:p w14:paraId="2212880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因发包人原因造成监理人未能在计划开工日期之日起</w:t>
      </w:r>
      <w:r>
        <w:rPr>
          <w:rFonts w:hint="eastAsia" w:ascii="宋体" w:hAnsi="宋体" w:cs="宋体"/>
          <w:sz w:val="32"/>
          <w:szCs w:val="32"/>
          <w:u w:val="single"/>
        </w:rPr>
        <w:t>90</w:t>
      </w:r>
      <w:r>
        <w:rPr>
          <w:rFonts w:hint="eastAsia" w:ascii="宋体" w:hAnsi="宋体" w:cs="宋体"/>
          <w:sz w:val="32"/>
          <w:szCs w:val="32"/>
        </w:rPr>
        <w:t>天内发出开工通知的，承包人有权提出价格调整要求，或者解除合同。</w:t>
      </w:r>
    </w:p>
    <w:bookmarkEnd w:id="1429"/>
    <w:bookmarkEnd w:id="1430"/>
    <w:bookmarkEnd w:id="1431"/>
    <w:bookmarkEnd w:id="1432"/>
    <w:bookmarkEnd w:id="1433"/>
    <w:bookmarkEnd w:id="1434"/>
    <w:bookmarkEnd w:id="1435"/>
    <w:p w14:paraId="186204FF">
      <w:pPr>
        <w:spacing w:line="440" w:lineRule="exact"/>
        <w:ind w:firstLine="640" w:firstLineChars="200"/>
        <w:rPr>
          <w:rFonts w:hint="eastAsia" w:ascii="宋体" w:hAnsi="宋体" w:cs="宋体"/>
          <w:sz w:val="32"/>
          <w:szCs w:val="32"/>
        </w:rPr>
      </w:pPr>
      <w:r>
        <w:rPr>
          <w:rFonts w:hint="eastAsia" w:ascii="宋体" w:hAnsi="宋体" w:cs="宋体"/>
          <w:sz w:val="32"/>
          <w:szCs w:val="32"/>
        </w:rPr>
        <w:t>7.4测量放线</w:t>
      </w:r>
    </w:p>
    <w:p w14:paraId="6F0E93FE">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7.4.1发包人通过监理人向承包人提供测量基准点、基准线和水准点及其书面资料的期限：</w:t>
      </w:r>
      <w:r>
        <w:rPr>
          <w:rFonts w:hint="eastAsia" w:ascii="宋体" w:hAnsi="宋体" w:cs="宋体"/>
          <w:sz w:val="32"/>
          <w:szCs w:val="32"/>
          <w:u w:val="single"/>
        </w:rPr>
        <w:t>开工前七天</w:t>
      </w:r>
      <w:r>
        <w:rPr>
          <w:rFonts w:hint="eastAsia" w:ascii="宋体" w:hAnsi="宋体" w:cs="宋体"/>
          <w:sz w:val="32"/>
          <w:szCs w:val="32"/>
        </w:rPr>
        <w:t>。</w:t>
      </w:r>
    </w:p>
    <w:p w14:paraId="15A05759">
      <w:pPr>
        <w:spacing w:line="440" w:lineRule="exact"/>
        <w:ind w:firstLine="640" w:firstLineChars="200"/>
        <w:rPr>
          <w:rFonts w:hint="eastAsia" w:ascii="宋体" w:hAnsi="宋体" w:cs="宋体"/>
          <w:sz w:val="32"/>
          <w:szCs w:val="32"/>
        </w:rPr>
      </w:pPr>
      <w:r>
        <w:rPr>
          <w:rFonts w:hint="eastAsia" w:ascii="宋体" w:hAnsi="宋体" w:cs="宋体"/>
          <w:sz w:val="32"/>
          <w:szCs w:val="32"/>
        </w:rPr>
        <w:t>7</w:t>
      </w:r>
      <w:bookmarkStart w:id="1436" w:name="_Toc303539125"/>
      <w:bookmarkStart w:id="1437" w:name="_Toc297123516"/>
      <w:bookmarkStart w:id="1438" w:name="_Toc300934968"/>
      <w:bookmarkStart w:id="1439" w:name="_Toc312677484"/>
      <w:bookmarkStart w:id="1440" w:name="_Toc312678010"/>
      <w:bookmarkStart w:id="1441" w:name="_Toc304295546"/>
      <w:bookmarkStart w:id="1442" w:name="_Toc297216175"/>
      <w:r>
        <w:rPr>
          <w:rFonts w:hint="eastAsia" w:ascii="宋体" w:hAnsi="宋体" w:cs="宋体"/>
          <w:sz w:val="32"/>
          <w:szCs w:val="32"/>
        </w:rPr>
        <w:t>.5工期延误</w:t>
      </w:r>
    </w:p>
    <w:bookmarkEnd w:id="1436"/>
    <w:bookmarkEnd w:id="1437"/>
    <w:bookmarkEnd w:id="1438"/>
    <w:bookmarkEnd w:id="1439"/>
    <w:bookmarkEnd w:id="1440"/>
    <w:bookmarkEnd w:id="1441"/>
    <w:bookmarkEnd w:id="1442"/>
    <w:p w14:paraId="5CF4448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7.5.1因发包人原因导致工期延误</w:t>
      </w:r>
    </w:p>
    <w:p w14:paraId="2D1D320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（7）因发包人原因导致工期延误的其他情形：</w:t>
      </w:r>
      <w:r>
        <w:rPr>
          <w:rFonts w:hint="eastAsia" w:ascii="宋体" w:hAnsi="宋体" w:cs="宋体"/>
          <w:sz w:val="32"/>
          <w:szCs w:val="32"/>
          <w:u w:val="single"/>
        </w:rPr>
        <w:t>/</w:t>
      </w:r>
      <w:r>
        <w:rPr>
          <w:rFonts w:hint="eastAsia" w:ascii="宋体" w:hAnsi="宋体" w:cs="宋体"/>
          <w:sz w:val="32"/>
          <w:szCs w:val="32"/>
        </w:rPr>
        <w:t>。</w:t>
      </w:r>
    </w:p>
    <w:p w14:paraId="190CED4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w:t>
      </w:r>
      <w:bookmarkStart w:id="1443" w:name="_Toc312678012"/>
      <w:bookmarkStart w:id="1444" w:name="_Toc318581169"/>
      <w:bookmarkStart w:id="1445" w:name="_Toc312677486"/>
      <w:bookmarkStart w:id="1446" w:name="_Toc304295548"/>
      <w:bookmarkStart w:id="1447" w:name="_Toc303539127"/>
      <w:bookmarkStart w:id="1448" w:name="_Toc297216177"/>
      <w:bookmarkStart w:id="1449" w:name="_Toc300934970"/>
      <w:bookmarkStart w:id="1450" w:name="_Toc297123518"/>
      <w:r>
        <w:rPr>
          <w:rFonts w:hint="eastAsia" w:ascii="宋体" w:hAnsi="宋体" w:cs="宋体"/>
          <w:sz w:val="32"/>
          <w:szCs w:val="32"/>
        </w:rPr>
        <w:t>.5.2因承包人原因导致工期延误</w:t>
      </w:r>
    </w:p>
    <w:bookmarkEnd w:id="1443"/>
    <w:bookmarkEnd w:id="1444"/>
    <w:bookmarkEnd w:id="1445"/>
    <w:p w14:paraId="69C4EB25">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因</w:t>
      </w:r>
      <w:bookmarkStart w:id="1451" w:name="_Toc312677487"/>
      <w:bookmarkStart w:id="1452" w:name="_Toc312678013"/>
      <w:bookmarkStart w:id="1453" w:name="_Toc318581170"/>
      <w:r>
        <w:rPr>
          <w:rFonts w:hint="eastAsia" w:ascii="宋体" w:hAnsi="宋体" w:cs="宋体"/>
          <w:sz w:val="32"/>
          <w:szCs w:val="32"/>
        </w:rPr>
        <w:t>承包人原因造成工期延误，逾期竣工违约金的计算方法为：</w:t>
      </w:r>
    </w:p>
    <w:p w14:paraId="5011E125">
      <w:pPr>
        <w:spacing w:line="440" w:lineRule="exact"/>
        <w:ind w:firstLine="640" w:firstLineChars="200"/>
        <w:jc w:val="left"/>
        <w:rPr>
          <w:rFonts w:hint="eastAsia" w:ascii="宋体" w:hAnsi="宋体" w:cs="宋体"/>
          <w:sz w:val="32"/>
          <w:szCs w:val="32"/>
        </w:rPr>
      </w:pPr>
      <w:r>
        <w:rPr>
          <w:rFonts w:hint="eastAsia" w:ascii="宋体" w:hAnsi="宋体" w:cs="宋体"/>
          <w:sz w:val="32"/>
          <w:szCs w:val="32"/>
          <w:u w:val="single"/>
        </w:rPr>
        <w:t>本工程项目必须按照约定工期完成建设，若逾期，按照合同工期，每推延一天，赔偿5000元</w:t>
      </w:r>
      <w:r>
        <w:rPr>
          <w:rFonts w:hint="eastAsia" w:ascii="宋体" w:hAnsi="宋体" w:cs="宋体"/>
          <w:sz w:val="32"/>
          <w:szCs w:val="32"/>
        </w:rPr>
        <w:t>。</w:t>
      </w:r>
      <w:bookmarkEnd w:id="1446"/>
      <w:bookmarkEnd w:id="1447"/>
      <w:bookmarkEnd w:id="1448"/>
      <w:bookmarkEnd w:id="1449"/>
      <w:bookmarkEnd w:id="1450"/>
      <w:bookmarkEnd w:id="1451"/>
      <w:bookmarkEnd w:id="1452"/>
    </w:p>
    <w:bookmarkEnd w:id="1453"/>
    <w:p w14:paraId="4136484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因承包人原因造成工期延误，逾</w:t>
      </w:r>
      <w:bookmarkStart w:id="1454" w:name="_Toc312678014"/>
      <w:bookmarkStart w:id="1455" w:name="_Toc318581171"/>
      <w:r>
        <w:rPr>
          <w:rFonts w:hint="eastAsia" w:ascii="宋体" w:hAnsi="宋体" w:cs="宋体"/>
          <w:sz w:val="32"/>
          <w:szCs w:val="32"/>
        </w:rPr>
        <w:t>期竣工违约金的上限：</w:t>
      </w:r>
      <w:r>
        <w:rPr>
          <w:rFonts w:hint="eastAsia" w:ascii="宋体" w:hAnsi="宋体" w:cs="宋体"/>
          <w:sz w:val="32"/>
          <w:szCs w:val="32"/>
          <w:u w:val="single"/>
        </w:rPr>
        <w:t>因承包人原因造成工期延误，逾期竣工违约金的上限，不超过合同价的10%</w:t>
      </w:r>
      <w:r>
        <w:rPr>
          <w:rFonts w:hint="eastAsia" w:ascii="宋体" w:hAnsi="宋体" w:cs="宋体"/>
          <w:sz w:val="32"/>
          <w:szCs w:val="32"/>
        </w:rPr>
        <w:t>。</w:t>
      </w:r>
    </w:p>
    <w:bookmarkEnd w:id="1454"/>
    <w:bookmarkEnd w:id="1455"/>
    <w:p w14:paraId="20C4D483">
      <w:pPr>
        <w:spacing w:line="440" w:lineRule="exact"/>
        <w:ind w:firstLine="640" w:firstLineChars="200"/>
        <w:rPr>
          <w:rFonts w:hint="eastAsia" w:ascii="宋体" w:hAnsi="宋体" w:cs="宋体"/>
          <w:sz w:val="32"/>
          <w:szCs w:val="32"/>
        </w:rPr>
      </w:pPr>
      <w:r>
        <w:rPr>
          <w:rFonts w:hint="eastAsia" w:ascii="宋体" w:hAnsi="宋体" w:cs="宋体"/>
          <w:sz w:val="32"/>
          <w:szCs w:val="32"/>
        </w:rPr>
        <w:t>7</w:t>
      </w:r>
      <w:bookmarkStart w:id="1456" w:name="_Toc297123519"/>
      <w:bookmarkStart w:id="1457" w:name="_Toc304295549"/>
      <w:bookmarkStart w:id="1458" w:name="_Toc297216178"/>
      <w:bookmarkStart w:id="1459" w:name="_Toc303539128"/>
      <w:bookmarkStart w:id="1460" w:name="_Toc300934971"/>
      <w:bookmarkStart w:id="1461" w:name="_Toc312678015"/>
      <w:r>
        <w:rPr>
          <w:rFonts w:hint="eastAsia" w:ascii="宋体" w:hAnsi="宋体" w:cs="宋体"/>
          <w:sz w:val="32"/>
          <w:szCs w:val="32"/>
        </w:rPr>
        <w:t>.6不</w:t>
      </w:r>
      <w:bookmarkEnd w:id="1456"/>
      <w:bookmarkEnd w:id="1457"/>
      <w:bookmarkEnd w:id="1458"/>
      <w:bookmarkEnd w:id="1459"/>
      <w:bookmarkEnd w:id="1460"/>
      <w:bookmarkEnd w:id="1461"/>
      <w:r>
        <w:rPr>
          <w:rFonts w:hint="eastAsia" w:ascii="宋体" w:hAnsi="宋体" w:cs="宋体"/>
          <w:sz w:val="32"/>
          <w:szCs w:val="32"/>
        </w:rPr>
        <w:t>利物质条件</w:t>
      </w:r>
    </w:p>
    <w:p w14:paraId="1E0684AE">
      <w:pPr>
        <w:spacing w:line="440" w:lineRule="exact"/>
        <w:ind w:firstLine="640" w:firstLineChars="200"/>
        <w:jc w:val="left"/>
        <w:rPr>
          <w:rFonts w:hint="eastAsia" w:ascii="宋体" w:hAnsi="宋体" w:cs="宋体"/>
          <w:sz w:val="32"/>
          <w:szCs w:val="32"/>
        </w:rPr>
      </w:pPr>
      <w:bookmarkStart w:id="1462" w:name="_Toc297216179"/>
      <w:bookmarkStart w:id="1463" w:name="_Toc303539129"/>
      <w:bookmarkStart w:id="1464" w:name="_Toc318581172"/>
      <w:bookmarkStart w:id="1465" w:name="_Toc300934972"/>
      <w:bookmarkStart w:id="1466" w:name="_Toc297123520"/>
      <w:bookmarkStart w:id="1467" w:name="_Toc304295550"/>
      <w:bookmarkStart w:id="1468" w:name="_Toc312678016"/>
      <w:r>
        <w:rPr>
          <w:rFonts w:hint="eastAsia" w:ascii="宋体" w:hAnsi="宋体" w:cs="宋体"/>
          <w:sz w:val="32"/>
          <w:szCs w:val="32"/>
        </w:rPr>
        <w:t>不利物质条件的其他情形和有关约定：</w:t>
      </w:r>
      <w:r>
        <w:rPr>
          <w:rFonts w:hint="eastAsia" w:ascii="宋体" w:hAnsi="宋体" w:cs="宋体"/>
          <w:sz w:val="32"/>
          <w:szCs w:val="32"/>
          <w:u w:val="single"/>
        </w:rPr>
        <w:t>执行本合同通用条款7.6条</w:t>
      </w:r>
      <w:r>
        <w:rPr>
          <w:rFonts w:hint="eastAsia" w:ascii="宋体" w:hAnsi="宋体" w:cs="宋体"/>
          <w:sz w:val="32"/>
          <w:szCs w:val="32"/>
        </w:rPr>
        <w:t>。</w:t>
      </w:r>
    </w:p>
    <w:bookmarkEnd w:id="1462"/>
    <w:bookmarkEnd w:id="1463"/>
    <w:bookmarkEnd w:id="1464"/>
    <w:bookmarkEnd w:id="1465"/>
    <w:bookmarkEnd w:id="1466"/>
    <w:bookmarkEnd w:id="1467"/>
    <w:bookmarkEnd w:id="1468"/>
    <w:p w14:paraId="49B8E3F7">
      <w:pPr>
        <w:spacing w:line="440" w:lineRule="exact"/>
        <w:ind w:firstLine="640" w:firstLineChars="200"/>
        <w:rPr>
          <w:rFonts w:hint="eastAsia" w:ascii="宋体" w:hAnsi="宋体" w:cs="宋体"/>
          <w:sz w:val="32"/>
          <w:szCs w:val="32"/>
        </w:rPr>
      </w:pPr>
      <w:r>
        <w:rPr>
          <w:rFonts w:hint="eastAsia" w:ascii="宋体" w:hAnsi="宋体" w:cs="宋体"/>
          <w:sz w:val="32"/>
          <w:szCs w:val="32"/>
        </w:rPr>
        <w:t>7</w:t>
      </w:r>
      <w:bookmarkStart w:id="1469" w:name="_Toc312678017"/>
      <w:bookmarkStart w:id="1470" w:name="_Toc297123521"/>
      <w:bookmarkStart w:id="1471" w:name="_Toc297216180"/>
      <w:bookmarkStart w:id="1472" w:name="_Toc304295551"/>
      <w:bookmarkStart w:id="1473" w:name="_Toc300934973"/>
      <w:bookmarkStart w:id="1474" w:name="_Toc303539130"/>
      <w:r>
        <w:rPr>
          <w:rFonts w:hint="eastAsia" w:ascii="宋体" w:hAnsi="宋体" w:cs="宋体"/>
          <w:sz w:val="32"/>
          <w:szCs w:val="32"/>
        </w:rPr>
        <w:t>.7异常恶劣的气候条件</w:t>
      </w:r>
    </w:p>
    <w:bookmarkEnd w:id="1469"/>
    <w:bookmarkEnd w:id="1470"/>
    <w:bookmarkEnd w:id="1471"/>
    <w:bookmarkEnd w:id="1472"/>
    <w:bookmarkEnd w:id="1473"/>
    <w:bookmarkEnd w:id="1474"/>
    <w:p w14:paraId="04E94F1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发包人和承包人同意以下情形视为异常恶劣的气候条件：</w:t>
      </w:r>
    </w:p>
    <w:p w14:paraId="4A17E4E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w:t>
      </w:r>
      <w:r>
        <w:rPr>
          <w:rFonts w:hint="eastAsia" w:ascii="宋体" w:hAnsi="宋体" w:cs="宋体"/>
          <w:sz w:val="32"/>
          <w:szCs w:val="32"/>
          <w:u w:val="single"/>
        </w:rPr>
        <w:t>不可预见且不可抗力的因素</w:t>
      </w:r>
      <w:r>
        <w:rPr>
          <w:rFonts w:hint="eastAsia" w:ascii="宋体" w:hAnsi="宋体" w:cs="宋体"/>
          <w:sz w:val="32"/>
          <w:szCs w:val="32"/>
        </w:rPr>
        <w:t>；</w:t>
      </w:r>
    </w:p>
    <w:p w14:paraId="6BA2441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w:t>
      </w:r>
    </w:p>
    <w:p w14:paraId="5BF3FCA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（3）。</w:t>
      </w:r>
    </w:p>
    <w:p w14:paraId="53241501">
      <w:pPr>
        <w:spacing w:line="440" w:lineRule="exact"/>
        <w:ind w:firstLine="640" w:firstLineChars="200"/>
        <w:outlineLvl w:val="0"/>
        <w:rPr>
          <w:rFonts w:hint="eastAsia" w:ascii="宋体" w:hAnsi="宋体" w:cs="宋体"/>
          <w:sz w:val="32"/>
          <w:szCs w:val="32"/>
        </w:rPr>
      </w:pPr>
      <w:bookmarkStart w:id="1475" w:name="_Toc256000053"/>
      <w:bookmarkStart w:id="1476" w:name="_Toc31452"/>
      <w:bookmarkStart w:id="1477" w:name="_Toc25562"/>
      <w:bookmarkStart w:id="1478" w:name="_Toc256000114"/>
      <w:bookmarkStart w:id="1479" w:name="_Toc256000250"/>
      <w:bookmarkStart w:id="1480" w:name="_Toc256000155"/>
      <w:r>
        <w:rPr>
          <w:rFonts w:hint="eastAsia" w:ascii="宋体" w:hAnsi="宋体" w:cs="宋体"/>
          <w:sz w:val="32"/>
          <w:szCs w:val="32"/>
        </w:rPr>
        <w:t>7.9提前竣工的奖励</w:t>
      </w:r>
      <w:bookmarkEnd w:id="1475"/>
      <w:bookmarkEnd w:id="1476"/>
      <w:bookmarkEnd w:id="1477"/>
      <w:bookmarkEnd w:id="1478"/>
      <w:bookmarkEnd w:id="1479"/>
      <w:bookmarkEnd w:id="1480"/>
    </w:p>
    <w:p w14:paraId="68655DD5">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7.9.2提前竣工的奖励：</w:t>
      </w:r>
      <w:r>
        <w:rPr>
          <w:rFonts w:hint="eastAsia" w:ascii="宋体" w:hAnsi="宋体" w:cs="宋体"/>
          <w:sz w:val="32"/>
          <w:szCs w:val="32"/>
          <w:u w:val="single"/>
        </w:rPr>
        <w:t>无</w:t>
      </w:r>
      <w:r>
        <w:rPr>
          <w:rFonts w:hint="eastAsia" w:ascii="宋体" w:hAnsi="宋体" w:cs="宋体"/>
          <w:sz w:val="32"/>
          <w:szCs w:val="32"/>
        </w:rPr>
        <w:t>。</w:t>
      </w:r>
    </w:p>
    <w:p w14:paraId="52CE4269">
      <w:pPr>
        <w:keepNext/>
        <w:keepLines/>
        <w:spacing w:line="440" w:lineRule="exact"/>
        <w:ind w:firstLine="640" w:firstLineChars="200"/>
        <w:outlineLvl w:val="3"/>
        <w:rPr>
          <w:rFonts w:hint="eastAsia" w:ascii="宋体" w:hAnsi="宋体" w:cs="宋体"/>
          <w:bCs/>
          <w:sz w:val="32"/>
          <w:szCs w:val="32"/>
        </w:rPr>
      </w:pPr>
      <w:bookmarkStart w:id="1481" w:name="_Toc351203640"/>
      <w:bookmarkStart w:id="1482" w:name="_Toc968"/>
      <w:bookmarkStart w:id="1483" w:name="_Toc2211"/>
      <w:r>
        <w:rPr>
          <w:rFonts w:hint="eastAsia" w:ascii="宋体" w:hAnsi="宋体" w:cs="宋体"/>
          <w:bCs/>
          <w:sz w:val="32"/>
          <w:szCs w:val="32"/>
        </w:rPr>
        <w:t>8.材料与设备</w:t>
      </w:r>
      <w:bookmarkEnd w:id="1481"/>
      <w:bookmarkEnd w:id="1482"/>
      <w:bookmarkEnd w:id="1483"/>
    </w:p>
    <w:bookmarkEnd w:id="1394"/>
    <w:bookmarkEnd w:id="1395"/>
    <w:bookmarkEnd w:id="1396"/>
    <w:bookmarkEnd w:id="1397"/>
    <w:bookmarkEnd w:id="1398"/>
    <w:bookmarkEnd w:id="1399"/>
    <w:bookmarkEnd w:id="1400"/>
    <w:bookmarkEnd w:id="1401"/>
    <w:bookmarkEnd w:id="1402"/>
    <w:bookmarkEnd w:id="1403"/>
    <w:p w14:paraId="44127B53">
      <w:pPr>
        <w:spacing w:line="440" w:lineRule="exact"/>
        <w:ind w:firstLine="640" w:firstLineChars="200"/>
        <w:rPr>
          <w:rFonts w:hint="eastAsia" w:ascii="宋体" w:hAnsi="宋体" w:cs="宋体"/>
          <w:sz w:val="32"/>
          <w:szCs w:val="32"/>
        </w:rPr>
      </w:pPr>
      <w:r>
        <w:rPr>
          <w:rFonts w:hint="eastAsia" w:ascii="宋体" w:hAnsi="宋体" w:cs="宋体"/>
          <w:sz w:val="32"/>
          <w:szCs w:val="32"/>
        </w:rPr>
        <w:t>8</w:t>
      </w:r>
      <w:bookmarkStart w:id="1484" w:name="_Toc296944506"/>
      <w:bookmarkStart w:id="1485" w:name="_Toc297120467"/>
      <w:bookmarkStart w:id="1486" w:name="_Toc303539136"/>
      <w:bookmarkStart w:id="1487" w:name="_Toc312678019"/>
      <w:bookmarkStart w:id="1488" w:name="_Toc292559372"/>
      <w:bookmarkStart w:id="1489" w:name="_Toc296890995"/>
      <w:bookmarkStart w:id="1490" w:name="_Toc300934979"/>
      <w:bookmarkStart w:id="1491" w:name="_Toc304295556"/>
      <w:bookmarkStart w:id="1492" w:name="_Toc297123527"/>
      <w:bookmarkStart w:id="1493" w:name="_Toc296891207"/>
      <w:bookmarkStart w:id="1494" w:name="_Toc297048353"/>
      <w:bookmarkStart w:id="1495" w:name="_Toc296346668"/>
      <w:bookmarkStart w:id="1496" w:name="_Toc296503167"/>
      <w:bookmarkStart w:id="1497" w:name="_Toc296347166"/>
      <w:bookmarkStart w:id="1498" w:name="_Toc292559877"/>
      <w:bookmarkStart w:id="1499" w:name="_Toc312677493"/>
      <w:bookmarkStart w:id="1500" w:name="_Toc280868654"/>
      <w:bookmarkStart w:id="1501" w:name="_Toc297216186"/>
      <w:bookmarkStart w:id="1502" w:name="_Toc280868655"/>
      <w:bookmarkStart w:id="1503" w:name="_Toc267251424"/>
      <w:bookmarkStart w:id="1504" w:name="_Toc280868656"/>
      <w:r>
        <w:rPr>
          <w:rFonts w:hint="eastAsia" w:ascii="宋体" w:hAnsi="宋体" w:cs="宋体"/>
          <w:sz w:val="32"/>
          <w:szCs w:val="32"/>
        </w:rPr>
        <w:t>.4材料与工程设备的保管与使用</w:t>
      </w:r>
    </w:p>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p w14:paraId="05BB3B6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8</w:t>
      </w:r>
      <w:bookmarkStart w:id="1505" w:name="_Toc292559373"/>
      <w:bookmarkStart w:id="1506" w:name="_Toc292559878"/>
      <w:bookmarkStart w:id="1507" w:name="_Toc296346669"/>
      <w:bookmarkStart w:id="1508" w:name="_Toc303539137"/>
      <w:bookmarkStart w:id="1509" w:name="_Toc297123528"/>
      <w:bookmarkStart w:id="1510" w:name="_Toc296891208"/>
      <w:bookmarkStart w:id="1511" w:name="_Toc297216187"/>
      <w:bookmarkStart w:id="1512" w:name="_Toc312678020"/>
      <w:bookmarkStart w:id="1513" w:name="_Toc297120468"/>
      <w:bookmarkStart w:id="1514" w:name="_Toc304295557"/>
      <w:bookmarkStart w:id="1515" w:name="_Toc296944507"/>
      <w:bookmarkStart w:id="1516" w:name="_Toc296347167"/>
      <w:bookmarkStart w:id="1517" w:name="_Toc296890996"/>
      <w:bookmarkStart w:id="1518" w:name="_Toc297048354"/>
      <w:bookmarkStart w:id="1519" w:name="_Toc296503168"/>
      <w:bookmarkStart w:id="1520" w:name="_Toc318581173"/>
      <w:bookmarkStart w:id="1521" w:name="_Toc312677494"/>
      <w:bookmarkStart w:id="1522" w:name="_Toc300934980"/>
      <w:r>
        <w:rPr>
          <w:rFonts w:hint="eastAsia" w:ascii="宋体" w:hAnsi="宋体" w:cs="宋体"/>
          <w:sz w:val="32"/>
          <w:szCs w:val="32"/>
        </w:rPr>
        <w:t>.4.1发包人供应的材料设备的保管费用的承担：</w:t>
      </w:r>
      <w:r>
        <w:rPr>
          <w:rFonts w:hint="eastAsia" w:ascii="宋体" w:hAnsi="宋体" w:cs="宋体"/>
          <w:sz w:val="32"/>
          <w:szCs w:val="32"/>
          <w:u w:val="single"/>
        </w:rPr>
        <w:t>无</w:t>
      </w:r>
      <w:r>
        <w:rPr>
          <w:rFonts w:hint="eastAsia" w:ascii="宋体" w:hAnsi="宋体" w:cs="宋体"/>
          <w:sz w:val="32"/>
          <w:szCs w:val="32"/>
        </w:rPr>
        <w:t>。</w:t>
      </w:r>
      <w:bookmarkEnd w:id="1505"/>
      <w:bookmarkEnd w:id="1506"/>
    </w:p>
    <w:p w14:paraId="03D2D72F">
      <w:pPr>
        <w:spacing w:line="440" w:lineRule="exact"/>
        <w:ind w:firstLine="640" w:firstLineChars="200"/>
        <w:outlineLvl w:val="0"/>
        <w:rPr>
          <w:rFonts w:hint="eastAsia" w:ascii="宋体" w:hAnsi="宋体" w:cs="宋体"/>
          <w:sz w:val="32"/>
          <w:szCs w:val="32"/>
        </w:rPr>
      </w:pPr>
      <w:bookmarkStart w:id="1523" w:name="_Toc256000156"/>
      <w:bookmarkStart w:id="1524" w:name="_Toc256000251"/>
      <w:bookmarkStart w:id="1525" w:name="_Toc256000054"/>
      <w:bookmarkStart w:id="1526" w:name="_Toc11167"/>
      <w:bookmarkStart w:id="1527" w:name="_Toc4878"/>
      <w:bookmarkStart w:id="1528" w:name="_Toc256000115"/>
      <w:r>
        <w:rPr>
          <w:rFonts w:hint="eastAsia" w:ascii="宋体" w:hAnsi="宋体" w:cs="宋体"/>
          <w:sz w:val="32"/>
          <w:szCs w:val="32"/>
        </w:rPr>
        <w:t>8.6样品</w:t>
      </w:r>
      <w:bookmarkEnd w:id="1523"/>
      <w:bookmarkEnd w:id="1524"/>
      <w:bookmarkEnd w:id="1525"/>
      <w:bookmarkEnd w:id="1526"/>
      <w:bookmarkEnd w:id="1527"/>
      <w:bookmarkEnd w:id="1528"/>
    </w:p>
    <w:p w14:paraId="62102F3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8.6.1</w:t>
      </w:r>
      <w:r>
        <w:rPr>
          <w:rFonts w:hint="eastAsia" w:ascii="宋体" w:hAnsi="宋体" w:cs="宋体"/>
          <w:kern w:val="0"/>
          <w:sz w:val="32"/>
          <w:szCs w:val="32"/>
        </w:rPr>
        <w:tab/>
      </w:r>
      <w:r>
        <w:rPr>
          <w:rFonts w:hint="eastAsia" w:ascii="宋体" w:hAnsi="宋体" w:cs="宋体"/>
          <w:kern w:val="0"/>
          <w:sz w:val="32"/>
          <w:szCs w:val="32"/>
        </w:rPr>
        <w:t>样品的报送与封存</w:t>
      </w:r>
    </w:p>
    <w:p w14:paraId="03D33925">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需要承包人报送样品的材料或工程设备，样品的种类、名称、规格、数量要求：</w:t>
      </w:r>
      <w:r>
        <w:rPr>
          <w:rFonts w:hint="eastAsia" w:ascii="宋体" w:hAnsi="宋体" w:cs="宋体"/>
          <w:sz w:val="32"/>
          <w:szCs w:val="32"/>
          <w:u w:val="single"/>
        </w:rPr>
        <w:t>执行本合同通用条款</w:t>
      </w:r>
      <w:r>
        <w:rPr>
          <w:rFonts w:hint="eastAsia" w:ascii="宋体" w:hAnsi="宋体" w:cs="宋体"/>
          <w:sz w:val="32"/>
          <w:szCs w:val="32"/>
        </w:rPr>
        <w:t>。</w:t>
      </w:r>
    </w:p>
    <w:p w14:paraId="6E6A5AB6">
      <w:pPr>
        <w:spacing w:line="440" w:lineRule="exact"/>
        <w:ind w:firstLine="640" w:firstLineChars="200"/>
        <w:outlineLvl w:val="0"/>
        <w:rPr>
          <w:rFonts w:hint="eastAsia" w:ascii="宋体" w:hAnsi="宋体" w:cs="宋体"/>
          <w:sz w:val="32"/>
          <w:szCs w:val="32"/>
        </w:rPr>
      </w:pPr>
      <w:bookmarkStart w:id="1529" w:name="_Toc12197"/>
      <w:bookmarkStart w:id="1530" w:name="_Toc256000116"/>
      <w:bookmarkStart w:id="1531" w:name="_Toc256000055"/>
      <w:bookmarkStart w:id="1532" w:name="_Toc256000157"/>
      <w:bookmarkStart w:id="1533" w:name="_Toc7292"/>
      <w:bookmarkStart w:id="1534" w:name="_Toc256000252"/>
      <w:r>
        <w:rPr>
          <w:rFonts w:hint="eastAsia" w:ascii="宋体" w:hAnsi="宋体" w:cs="宋体"/>
          <w:sz w:val="32"/>
          <w:szCs w:val="32"/>
        </w:rPr>
        <w:t>8.8施工设备和临时设施</w:t>
      </w:r>
      <w:bookmarkEnd w:id="1529"/>
      <w:bookmarkEnd w:id="1530"/>
      <w:bookmarkEnd w:id="1531"/>
      <w:bookmarkEnd w:id="1532"/>
      <w:bookmarkEnd w:id="1533"/>
      <w:bookmarkEnd w:id="1534"/>
    </w:p>
    <w:p w14:paraId="57F5C759">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8.8.1承包人提供的施工设备和临时设施</w:t>
      </w:r>
    </w:p>
    <w:p w14:paraId="381EDE08">
      <w:pPr>
        <w:autoSpaceDE w:val="0"/>
        <w:autoSpaceDN w:val="0"/>
        <w:adjustRightInd w:val="0"/>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关于修建临时设施费用承担的约定：</w:t>
      </w:r>
      <w:r>
        <w:rPr>
          <w:rFonts w:hint="eastAsia" w:ascii="宋体" w:hAnsi="宋体" w:cs="宋体"/>
          <w:sz w:val="32"/>
          <w:szCs w:val="32"/>
          <w:u w:val="single"/>
        </w:rPr>
        <w:t>承包人自行承担相关费用</w:t>
      </w:r>
      <w:r>
        <w:rPr>
          <w:rFonts w:hint="eastAsia" w:ascii="宋体" w:hAnsi="宋体" w:cs="宋体"/>
          <w:sz w:val="32"/>
          <w:szCs w:val="32"/>
        </w:rPr>
        <w:t>。</w:t>
      </w:r>
    </w:p>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p w14:paraId="3831E164">
      <w:pPr>
        <w:keepNext/>
        <w:keepLines/>
        <w:spacing w:line="440" w:lineRule="exact"/>
        <w:ind w:firstLine="640" w:firstLineChars="200"/>
        <w:outlineLvl w:val="3"/>
        <w:rPr>
          <w:rFonts w:hint="eastAsia" w:ascii="宋体" w:hAnsi="宋体" w:cs="宋体"/>
          <w:bCs/>
          <w:sz w:val="32"/>
          <w:szCs w:val="32"/>
        </w:rPr>
      </w:pPr>
      <w:bookmarkStart w:id="1535" w:name="_Toc351203641"/>
      <w:bookmarkStart w:id="1536" w:name="_Toc31315"/>
      <w:bookmarkStart w:id="1537" w:name="_Toc14755"/>
      <w:r>
        <w:rPr>
          <w:rFonts w:hint="eastAsia" w:ascii="宋体" w:hAnsi="宋体" w:cs="宋体"/>
          <w:bCs/>
          <w:sz w:val="32"/>
          <w:szCs w:val="32"/>
        </w:rPr>
        <w:t>9</w:t>
      </w:r>
      <w:bookmarkEnd w:id="1502"/>
      <w:bookmarkEnd w:id="1503"/>
      <w:bookmarkEnd w:id="1504"/>
      <w:bookmarkStart w:id="1538" w:name="_Toc300934982"/>
      <w:bookmarkStart w:id="1539" w:name="_Toc297123533"/>
      <w:bookmarkStart w:id="1540" w:name="_Toc312677495"/>
      <w:bookmarkStart w:id="1541" w:name="_Toc304295559"/>
      <w:bookmarkStart w:id="1542" w:name="_Toc297216192"/>
      <w:bookmarkStart w:id="1543" w:name="_Toc303539139"/>
      <w:bookmarkStart w:id="1544" w:name="_Toc312678021"/>
      <w:bookmarkStart w:id="1545" w:name="_Toc297048359"/>
      <w:bookmarkStart w:id="1546" w:name="_Toc292559378"/>
      <w:bookmarkStart w:id="1547" w:name="_Toc296891001"/>
      <w:bookmarkStart w:id="1548" w:name="_Toc267251428"/>
      <w:bookmarkStart w:id="1549" w:name="_Toc296891213"/>
      <w:bookmarkStart w:id="1550" w:name="_Toc267251427"/>
      <w:bookmarkStart w:id="1551" w:name="_Toc296944512"/>
      <w:bookmarkStart w:id="1552" w:name="_Toc296346674"/>
      <w:bookmarkStart w:id="1553" w:name="_Toc292559883"/>
      <w:bookmarkStart w:id="1554" w:name="_Toc296503173"/>
      <w:bookmarkStart w:id="1555" w:name="_Toc297120473"/>
      <w:bookmarkStart w:id="1556" w:name="_Toc296347172"/>
      <w:r>
        <w:rPr>
          <w:rFonts w:hint="eastAsia" w:ascii="宋体" w:hAnsi="宋体" w:cs="宋体"/>
          <w:bCs/>
          <w:sz w:val="32"/>
          <w:szCs w:val="32"/>
        </w:rPr>
        <w:t>.试验与检验</w:t>
      </w:r>
      <w:bookmarkEnd w:id="1535"/>
      <w:bookmarkEnd w:id="1536"/>
      <w:bookmarkEnd w:id="1537"/>
    </w:p>
    <w:bookmarkEnd w:id="1538"/>
    <w:bookmarkEnd w:id="1539"/>
    <w:bookmarkEnd w:id="1540"/>
    <w:bookmarkEnd w:id="1541"/>
    <w:bookmarkEnd w:id="1542"/>
    <w:bookmarkEnd w:id="1543"/>
    <w:bookmarkEnd w:id="1544"/>
    <w:p w14:paraId="5E40FB50">
      <w:pPr>
        <w:spacing w:line="440" w:lineRule="exact"/>
        <w:ind w:firstLine="640" w:firstLineChars="200"/>
        <w:rPr>
          <w:rFonts w:hint="eastAsia" w:ascii="宋体" w:hAnsi="宋体" w:cs="宋体"/>
          <w:sz w:val="32"/>
          <w:szCs w:val="32"/>
        </w:rPr>
      </w:pPr>
      <w:r>
        <w:rPr>
          <w:rFonts w:hint="eastAsia" w:ascii="宋体" w:hAnsi="宋体" w:cs="宋体"/>
          <w:sz w:val="32"/>
          <w:szCs w:val="32"/>
        </w:rPr>
        <w:t>9</w:t>
      </w:r>
      <w:bookmarkStart w:id="1557" w:name="_Toc297123534"/>
      <w:bookmarkStart w:id="1558" w:name="_Toc312677496"/>
      <w:bookmarkStart w:id="1559" w:name="_Toc297216193"/>
      <w:bookmarkStart w:id="1560" w:name="_Toc303539140"/>
      <w:bookmarkStart w:id="1561" w:name="_Toc300934983"/>
      <w:bookmarkStart w:id="1562" w:name="_Toc304295560"/>
      <w:bookmarkStart w:id="1563" w:name="_Toc312678022"/>
      <w:r>
        <w:rPr>
          <w:rFonts w:hint="eastAsia" w:ascii="宋体" w:hAnsi="宋体" w:cs="宋体"/>
          <w:sz w:val="32"/>
          <w:szCs w:val="32"/>
        </w:rPr>
        <w:t>.1试验设备与试验人员</w:t>
      </w:r>
    </w:p>
    <w:bookmarkEnd w:id="1557"/>
    <w:bookmarkEnd w:id="1558"/>
    <w:bookmarkEnd w:id="1559"/>
    <w:bookmarkEnd w:id="1560"/>
    <w:bookmarkEnd w:id="1561"/>
    <w:bookmarkEnd w:id="1562"/>
    <w:bookmarkEnd w:id="1563"/>
    <w:p w14:paraId="4E3E9D6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9</w:t>
      </w:r>
      <w:bookmarkStart w:id="1564" w:name="_Toc297216194"/>
      <w:bookmarkStart w:id="1565" w:name="_Toc300934984"/>
      <w:bookmarkStart w:id="1566" w:name="_Toc312678023"/>
      <w:bookmarkStart w:id="1567" w:name="_Toc303539141"/>
      <w:bookmarkStart w:id="1568" w:name="_Toc297123535"/>
      <w:bookmarkStart w:id="1569" w:name="_Toc312677497"/>
      <w:bookmarkStart w:id="1570" w:name="_Toc304295561"/>
      <w:bookmarkStart w:id="1571" w:name="_Toc318581174"/>
      <w:r>
        <w:rPr>
          <w:rFonts w:hint="eastAsia" w:ascii="宋体" w:hAnsi="宋体" w:cs="宋体"/>
          <w:sz w:val="32"/>
          <w:szCs w:val="32"/>
        </w:rPr>
        <w:t>.1.2试验设备</w:t>
      </w:r>
    </w:p>
    <w:p w14:paraId="432830D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施工现场需要配置的试验场所：</w:t>
      </w:r>
      <w:bookmarkEnd w:id="1564"/>
      <w:bookmarkEnd w:id="1565"/>
      <w:bookmarkEnd w:id="1566"/>
      <w:bookmarkEnd w:id="1567"/>
      <w:bookmarkEnd w:id="1568"/>
      <w:bookmarkEnd w:id="1569"/>
      <w:bookmarkEnd w:id="1570"/>
      <w:bookmarkStart w:id="1572" w:name="_Toc312677498"/>
      <w:bookmarkStart w:id="1573" w:name="_Toc300934985"/>
      <w:bookmarkStart w:id="1574" w:name="_Toc312678024"/>
      <w:bookmarkStart w:id="1575" w:name="_Toc304295562"/>
      <w:bookmarkStart w:id="1576" w:name="_Toc297123536"/>
      <w:bookmarkStart w:id="1577" w:name="_Toc297216195"/>
      <w:bookmarkStart w:id="1578" w:name="_Toc303539142"/>
      <w:r>
        <w:rPr>
          <w:rFonts w:hint="eastAsia" w:ascii="宋体" w:hAnsi="宋体" w:cs="宋体"/>
          <w:sz w:val="32"/>
          <w:szCs w:val="32"/>
        </w:rPr>
        <w:t>。</w:t>
      </w:r>
    </w:p>
    <w:p w14:paraId="1A6F3D8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施工现场需要配备的试验设备：。</w:t>
      </w:r>
    </w:p>
    <w:p w14:paraId="6BAB9CF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施工现场需要具备的其他试验条件：。</w:t>
      </w:r>
    </w:p>
    <w:p w14:paraId="617628E5">
      <w:pPr>
        <w:spacing w:line="440" w:lineRule="exact"/>
        <w:ind w:firstLine="640" w:firstLineChars="200"/>
        <w:outlineLvl w:val="0"/>
        <w:rPr>
          <w:rFonts w:hint="eastAsia" w:ascii="宋体" w:hAnsi="宋体" w:cs="宋体"/>
          <w:sz w:val="32"/>
          <w:szCs w:val="32"/>
        </w:rPr>
      </w:pPr>
      <w:bookmarkStart w:id="1579" w:name="_Toc32616"/>
      <w:bookmarkStart w:id="1580" w:name="_Toc21977"/>
      <w:bookmarkStart w:id="1581" w:name="_Toc256000158"/>
      <w:bookmarkStart w:id="1582" w:name="_Toc256000253"/>
      <w:bookmarkStart w:id="1583" w:name="_Toc256000117"/>
      <w:bookmarkStart w:id="1584" w:name="_Toc256000056"/>
      <w:r>
        <w:rPr>
          <w:rFonts w:hint="eastAsia" w:ascii="宋体" w:hAnsi="宋体" w:cs="宋体"/>
          <w:sz w:val="32"/>
          <w:szCs w:val="32"/>
        </w:rPr>
        <w:t>9.4现场工艺试验</w:t>
      </w:r>
      <w:bookmarkEnd w:id="1579"/>
      <w:bookmarkEnd w:id="1580"/>
      <w:bookmarkEnd w:id="1581"/>
      <w:bookmarkEnd w:id="1582"/>
      <w:bookmarkEnd w:id="1583"/>
      <w:bookmarkEnd w:id="1584"/>
    </w:p>
    <w:p w14:paraId="19B9BCF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现场工艺试验的有关约定：</w:t>
      </w:r>
      <w:r>
        <w:rPr>
          <w:rFonts w:hint="eastAsia" w:ascii="宋体" w:hAnsi="宋体" w:cs="宋体"/>
          <w:sz w:val="32"/>
          <w:szCs w:val="32"/>
          <w:u w:val="single"/>
        </w:rPr>
        <w:t>按照国家、地方及相关技术标准</w:t>
      </w:r>
      <w:r>
        <w:rPr>
          <w:rFonts w:hint="eastAsia" w:ascii="宋体" w:hAnsi="宋体" w:cs="宋体"/>
          <w:sz w:val="32"/>
          <w:szCs w:val="32"/>
        </w:rPr>
        <w:t>。</w:t>
      </w:r>
    </w:p>
    <w:bookmarkEnd w:id="1571"/>
    <w:bookmarkEnd w:id="1572"/>
    <w:bookmarkEnd w:id="1573"/>
    <w:bookmarkEnd w:id="1574"/>
    <w:bookmarkEnd w:id="1575"/>
    <w:bookmarkEnd w:id="1576"/>
    <w:bookmarkEnd w:id="1577"/>
    <w:bookmarkEnd w:id="1578"/>
    <w:p w14:paraId="3D3893DC">
      <w:pPr>
        <w:keepNext/>
        <w:keepLines/>
        <w:spacing w:line="440" w:lineRule="exact"/>
        <w:ind w:firstLine="640" w:firstLineChars="200"/>
        <w:outlineLvl w:val="3"/>
        <w:rPr>
          <w:rFonts w:hint="eastAsia" w:ascii="宋体" w:hAnsi="宋体" w:cs="宋体"/>
          <w:bCs/>
          <w:sz w:val="32"/>
          <w:szCs w:val="32"/>
        </w:rPr>
      </w:pPr>
      <w:bookmarkStart w:id="1585" w:name="_Toc31193"/>
      <w:bookmarkStart w:id="1586" w:name="_Toc20750"/>
      <w:bookmarkStart w:id="1587" w:name="_Toc351203642"/>
      <w:r>
        <w:rPr>
          <w:rFonts w:hint="eastAsia" w:ascii="宋体" w:hAnsi="宋体" w:cs="宋体"/>
          <w:bCs/>
          <w:sz w:val="32"/>
          <w:szCs w:val="32"/>
        </w:rPr>
        <w:t>1</w:t>
      </w:r>
      <w:bookmarkEnd w:id="1545"/>
      <w:bookmarkEnd w:id="1546"/>
      <w:bookmarkEnd w:id="1547"/>
      <w:bookmarkEnd w:id="1548"/>
      <w:bookmarkEnd w:id="1549"/>
      <w:bookmarkEnd w:id="1550"/>
      <w:bookmarkEnd w:id="1551"/>
      <w:bookmarkEnd w:id="1552"/>
      <w:bookmarkEnd w:id="1553"/>
      <w:bookmarkEnd w:id="1554"/>
      <w:bookmarkEnd w:id="1555"/>
      <w:bookmarkEnd w:id="1556"/>
      <w:bookmarkStart w:id="1588" w:name="_Toc297216199"/>
      <w:bookmarkStart w:id="1589" w:name="_Toc296891021"/>
      <w:bookmarkStart w:id="1590" w:name="_Toc296346694"/>
      <w:bookmarkStart w:id="1591" w:name="_Toc297123540"/>
      <w:bookmarkStart w:id="1592" w:name="_Toc300934989"/>
      <w:bookmarkStart w:id="1593" w:name="_Toc296944532"/>
      <w:bookmarkStart w:id="1594" w:name="_Toc297048379"/>
      <w:bookmarkStart w:id="1595" w:name="_Toc292559398"/>
      <w:bookmarkStart w:id="1596" w:name="_Toc292559903"/>
      <w:bookmarkStart w:id="1597" w:name="_Toc296347192"/>
      <w:bookmarkStart w:id="1598" w:name="_Toc304295566"/>
      <w:bookmarkStart w:id="1599" w:name="_Toc296503193"/>
      <w:bookmarkStart w:id="1600" w:name="_Toc297120493"/>
      <w:bookmarkStart w:id="1601" w:name="_Toc303539146"/>
      <w:bookmarkStart w:id="1602" w:name="_Toc296891233"/>
      <w:bookmarkStart w:id="1603" w:name="_Toc312678025"/>
      <w:bookmarkStart w:id="1604" w:name="_Toc312677499"/>
      <w:bookmarkStart w:id="1605" w:name="_Toc267251433"/>
      <w:bookmarkStart w:id="1606" w:name="_Toc267251441"/>
      <w:bookmarkStart w:id="1607" w:name="_Toc267251437"/>
      <w:bookmarkStart w:id="1608" w:name="_Toc267251435"/>
      <w:bookmarkStart w:id="1609" w:name="_Toc267251439"/>
      <w:bookmarkStart w:id="1610" w:name="_Toc267251440"/>
      <w:bookmarkStart w:id="1611" w:name="_Toc267251442"/>
      <w:r>
        <w:rPr>
          <w:rFonts w:hint="eastAsia" w:ascii="宋体" w:hAnsi="宋体" w:cs="宋体"/>
          <w:bCs/>
          <w:sz w:val="32"/>
          <w:szCs w:val="32"/>
        </w:rPr>
        <w:t>0.变更</w:t>
      </w:r>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p>
    <w:bookmarkEnd w:id="1603"/>
    <w:bookmarkEnd w:id="1604"/>
    <w:p w14:paraId="1CF3A03E">
      <w:pPr>
        <w:spacing w:line="440" w:lineRule="exact"/>
        <w:ind w:firstLine="640" w:firstLineChars="200"/>
        <w:rPr>
          <w:rFonts w:hint="eastAsia" w:ascii="宋体" w:hAnsi="宋体" w:cs="宋体"/>
          <w:sz w:val="32"/>
          <w:szCs w:val="32"/>
        </w:rPr>
      </w:pPr>
      <w:r>
        <w:rPr>
          <w:rFonts w:hint="eastAsia" w:ascii="宋体" w:hAnsi="宋体" w:cs="宋体"/>
          <w:sz w:val="32"/>
          <w:szCs w:val="32"/>
        </w:rPr>
        <w:t>1</w:t>
      </w:r>
      <w:bookmarkStart w:id="1612" w:name="_Toc297123541"/>
      <w:bookmarkStart w:id="1613" w:name="_Toc304295567"/>
      <w:bookmarkStart w:id="1614" w:name="_Toc296346695"/>
      <w:bookmarkStart w:id="1615" w:name="_Toc292559904"/>
      <w:bookmarkStart w:id="1616" w:name="_Toc297216200"/>
      <w:bookmarkStart w:id="1617" w:name="_Toc296891022"/>
      <w:bookmarkStart w:id="1618" w:name="_Toc296347193"/>
      <w:bookmarkStart w:id="1619" w:name="_Toc297048380"/>
      <w:bookmarkStart w:id="1620" w:name="_Toc300934990"/>
      <w:bookmarkStart w:id="1621" w:name="_Toc297120494"/>
      <w:bookmarkStart w:id="1622" w:name="_Toc296944533"/>
      <w:bookmarkStart w:id="1623" w:name="_Toc312677500"/>
      <w:bookmarkStart w:id="1624" w:name="_Toc296503194"/>
      <w:bookmarkStart w:id="1625" w:name="_Toc292559399"/>
      <w:bookmarkStart w:id="1626" w:name="_Toc296891234"/>
      <w:bookmarkStart w:id="1627" w:name="_Toc303539147"/>
      <w:bookmarkStart w:id="1628" w:name="_Toc312678026"/>
      <w:r>
        <w:rPr>
          <w:rFonts w:hint="eastAsia" w:ascii="宋体" w:hAnsi="宋体" w:cs="宋体"/>
          <w:sz w:val="32"/>
          <w:szCs w:val="32"/>
        </w:rPr>
        <w:t>0.1变更的范围</w:t>
      </w:r>
    </w:p>
    <w:p w14:paraId="462C119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关于变更的范围的约定：</w:t>
      </w:r>
      <w:r>
        <w:rPr>
          <w:rFonts w:hint="eastAsia" w:ascii="宋体" w:hAnsi="宋体" w:cs="宋体"/>
          <w:sz w:val="32"/>
          <w:szCs w:val="32"/>
          <w:u w:val="single"/>
        </w:rPr>
        <w:t>本工程涉及变更事项经发包人、监理书面确认后执行。需要设计单位出具设计变更文件的，及时由设计单位出具设计变更文件</w:t>
      </w:r>
      <w:r>
        <w:rPr>
          <w:rFonts w:hint="eastAsia" w:ascii="宋体" w:hAnsi="宋体" w:cs="宋体"/>
          <w:sz w:val="32"/>
          <w:szCs w:val="32"/>
        </w:rPr>
        <w:t>。</w:t>
      </w:r>
    </w:p>
    <w:p w14:paraId="79A3CD88">
      <w:pPr>
        <w:spacing w:line="440" w:lineRule="exact"/>
        <w:ind w:firstLine="640" w:firstLineChars="200"/>
        <w:outlineLvl w:val="0"/>
        <w:rPr>
          <w:rFonts w:hint="eastAsia" w:ascii="宋体" w:hAnsi="宋体" w:cs="宋体"/>
          <w:sz w:val="32"/>
          <w:szCs w:val="32"/>
        </w:rPr>
      </w:pPr>
      <w:bookmarkStart w:id="1629" w:name="_Toc256000254"/>
      <w:bookmarkStart w:id="1630" w:name="_Toc18602"/>
      <w:bookmarkStart w:id="1631" w:name="_Toc256000057"/>
      <w:bookmarkStart w:id="1632" w:name="_Toc256000159"/>
      <w:bookmarkStart w:id="1633" w:name="_Toc26895"/>
      <w:bookmarkStart w:id="1634" w:name="_Toc256000118"/>
      <w:r>
        <w:rPr>
          <w:rFonts w:hint="eastAsia" w:ascii="宋体" w:hAnsi="宋体" w:cs="宋体"/>
          <w:sz w:val="32"/>
          <w:szCs w:val="32"/>
        </w:rPr>
        <w:t>10.4变更估价</w:t>
      </w:r>
      <w:bookmarkEnd w:id="1629"/>
      <w:bookmarkEnd w:id="1630"/>
      <w:bookmarkEnd w:id="1631"/>
      <w:bookmarkEnd w:id="1632"/>
      <w:bookmarkEnd w:id="1633"/>
      <w:bookmarkEnd w:id="1634"/>
    </w:p>
    <w:p w14:paraId="376032D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10.4.1变更估价原则</w:t>
      </w:r>
    </w:p>
    <w:p w14:paraId="2C8D2D4A">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关于变更估价的约定:</w:t>
      </w:r>
      <w:r>
        <w:rPr>
          <w:rFonts w:hint="eastAsia" w:ascii="宋体" w:hAnsi="宋体" w:cs="宋体"/>
          <w:sz w:val="32"/>
          <w:szCs w:val="32"/>
          <w:u w:val="single"/>
        </w:rPr>
        <w:t>如发生设计变更，只对变更部分进行调整，调整时清单中已有使用的综合单价，按已有综合单价确定；有类似综合单价的可参照类似综合单价确定；没有适用或类似综合单价，由承包人提出，核定无争议后调整总价</w:t>
      </w:r>
      <w:r>
        <w:rPr>
          <w:rFonts w:hint="eastAsia" w:ascii="宋体" w:hAnsi="宋体" w:cs="宋体"/>
          <w:sz w:val="32"/>
          <w:szCs w:val="32"/>
        </w:rPr>
        <w:t>。</w:t>
      </w:r>
    </w:p>
    <w:p w14:paraId="7F1C31A2">
      <w:pPr>
        <w:spacing w:line="440" w:lineRule="exact"/>
        <w:ind w:firstLine="640" w:firstLineChars="200"/>
        <w:rPr>
          <w:rFonts w:hint="eastAsia" w:ascii="宋体" w:hAnsi="宋体" w:cs="宋体"/>
          <w:sz w:val="32"/>
          <w:szCs w:val="32"/>
        </w:rPr>
      </w:pPr>
      <w:r>
        <w:rPr>
          <w:rFonts w:hint="eastAsia" w:ascii="宋体" w:hAnsi="宋体" w:cs="宋体"/>
          <w:sz w:val="32"/>
          <w:szCs w:val="32"/>
        </w:rPr>
        <w:t>1</w:t>
      </w:r>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Start w:id="1635" w:name="_Toc296944536"/>
      <w:bookmarkStart w:id="1636" w:name="_Toc303539150"/>
      <w:bookmarkStart w:id="1637" w:name="_Toc297123544"/>
      <w:bookmarkStart w:id="1638" w:name="_Toc297216203"/>
      <w:bookmarkStart w:id="1639" w:name="_Toc300934993"/>
      <w:bookmarkStart w:id="1640" w:name="_Toc297120497"/>
      <w:bookmarkStart w:id="1641" w:name="_Toc296891237"/>
      <w:bookmarkStart w:id="1642" w:name="_Toc296347196"/>
      <w:bookmarkStart w:id="1643" w:name="_Toc292559907"/>
      <w:bookmarkStart w:id="1644" w:name="_Toc296346698"/>
      <w:bookmarkStart w:id="1645" w:name="_Toc296891025"/>
      <w:bookmarkStart w:id="1646" w:name="_Toc292559402"/>
      <w:bookmarkStart w:id="1647" w:name="_Toc297048383"/>
      <w:bookmarkStart w:id="1648" w:name="_Toc296503197"/>
      <w:bookmarkStart w:id="1649" w:name="_Toc312678029"/>
      <w:bookmarkStart w:id="1650" w:name="_Toc304295570"/>
      <w:bookmarkStart w:id="1651" w:name="_Toc312677503"/>
      <w:r>
        <w:rPr>
          <w:rFonts w:hint="eastAsia" w:ascii="宋体" w:hAnsi="宋体" w:cs="宋体"/>
          <w:sz w:val="32"/>
          <w:szCs w:val="32"/>
        </w:rPr>
        <w:t>0.5承</w:t>
      </w:r>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Start w:id="1652" w:name="_Toc297216204"/>
      <w:bookmarkStart w:id="1653" w:name="_Toc296346704"/>
      <w:bookmarkStart w:id="1654" w:name="_Toc296503203"/>
      <w:bookmarkStart w:id="1655" w:name="_Toc300934994"/>
      <w:bookmarkStart w:id="1656" w:name="_Toc296347202"/>
      <w:bookmarkStart w:id="1657" w:name="_Toc297123545"/>
      <w:bookmarkStart w:id="1658" w:name="_Toc297048389"/>
      <w:bookmarkStart w:id="1659" w:name="_Toc297120503"/>
      <w:bookmarkStart w:id="1660" w:name="_Toc296891243"/>
      <w:bookmarkStart w:id="1661" w:name="_Toc296891031"/>
      <w:bookmarkStart w:id="1662" w:name="_Toc292559913"/>
      <w:bookmarkStart w:id="1663" w:name="_Toc296944542"/>
      <w:bookmarkStart w:id="1664" w:name="_Toc303539151"/>
      <w:bookmarkStart w:id="1665" w:name="_Toc292559408"/>
      <w:r>
        <w:rPr>
          <w:rFonts w:hint="eastAsia" w:ascii="宋体" w:hAnsi="宋体" w:cs="宋体"/>
          <w:sz w:val="32"/>
          <w:szCs w:val="32"/>
        </w:rPr>
        <w:t>包人的合理化建议</w:t>
      </w:r>
    </w:p>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p w14:paraId="5EAC082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监理人审查承包人合理化建议的期限：</w:t>
      </w:r>
      <w:r>
        <w:rPr>
          <w:rFonts w:hint="eastAsia" w:ascii="宋体" w:hAnsi="宋体" w:cs="宋体"/>
          <w:sz w:val="32"/>
          <w:szCs w:val="32"/>
          <w:u w:val="single"/>
        </w:rPr>
        <w:t>7日内审查完毕并报送发包人</w:t>
      </w:r>
      <w:r>
        <w:rPr>
          <w:rFonts w:hint="eastAsia" w:ascii="宋体" w:hAnsi="宋体" w:cs="宋体"/>
          <w:sz w:val="32"/>
          <w:szCs w:val="32"/>
        </w:rPr>
        <w:t>。</w:t>
      </w:r>
    </w:p>
    <w:p w14:paraId="568B00A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发包人审批承包人合理化建议的期限：</w:t>
      </w:r>
      <w:r>
        <w:rPr>
          <w:rFonts w:hint="eastAsia" w:ascii="宋体" w:hAnsi="宋体" w:cs="宋体"/>
          <w:sz w:val="32"/>
          <w:szCs w:val="32"/>
          <w:u w:val="single"/>
        </w:rPr>
        <w:t>7日内审查完毕</w:t>
      </w:r>
      <w:r>
        <w:rPr>
          <w:rFonts w:hint="eastAsia" w:ascii="宋体" w:hAnsi="宋体" w:cs="宋体"/>
          <w:sz w:val="32"/>
          <w:szCs w:val="32"/>
        </w:rPr>
        <w:t>。</w:t>
      </w:r>
    </w:p>
    <w:p w14:paraId="43EDF47D">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承</w:t>
      </w:r>
      <w:bookmarkStart w:id="1666" w:name="_Toc296347203"/>
      <w:bookmarkStart w:id="1667" w:name="_Toc296944543"/>
      <w:bookmarkStart w:id="1668" w:name="_Toc296891244"/>
      <w:bookmarkStart w:id="1669" w:name="_Toc318581175"/>
      <w:bookmarkStart w:id="1670" w:name="_Toc296891032"/>
      <w:bookmarkStart w:id="1671" w:name="_Toc312677504"/>
      <w:bookmarkStart w:id="1672" w:name="_Toc312678030"/>
      <w:bookmarkStart w:id="1673" w:name="_Toc297120504"/>
      <w:bookmarkStart w:id="1674" w:name="_Toc292559914"/>
      <w:bookmarkStart w:id="1675" w:name="_Toc296503204"/>
      <w:bookmarkStart w:id="1676" w:name="_Toc296346705"/>
      <w:bookmarkStart w:id="1677" w:name="_Toc303539152"/>
      <w:bookmarkStart w:id="1678" w:name="_Toc297216205"/>
      <w:bookmarkStart w:id="1679" w:name="_Toc292559409"/>
      <w:bookmarkStart w:id="1680" w:name="_Toc300934995"/>
      <w:bookmarkStart w:id="1681" w:name="_Toc304295571"/>
      <w:bookmarkStart w:id="1682" w:name="_Toc297048390"/>
      <w:bookmarkStart w:id="1683" w:name="_Toc297123546"/>
      <w:r>
        <w:rPr>
          <w:rFonts w:hint="eastAsia" w:ascii="宋体" w:hAnsi="宋体" w:cs="宋体"/>
          <w:sz w:val="32"/>
          <w:szCs w:val="32"/>
        </w:rPr>
        <w:t>包人提出的合理化建议降低了合同价格或者提高了工程经济效益的奖励的方法和金额为：</w:t>
      </w:r>
      <w:r>
        <w:rPr>
          <w:rFonts w:hint="eastAsia" w:ascii="宋体" w:hAnsi="宋体" w:cs="宋体"/>
          <w:sz w:val="32"/>
          <w:szCs w:val="32"/>
          <w:u w:val="single"/>
        </w:rPr>
        <w:t>双方另行协商</w:t>
      </w:r>
      <w:r>
        <w:rPr>
          <w:rFonts w:hint="eastAsia" w:ascii="宋体" w:hAnsi="宋体" w:cs="宋体"/>
          <w:sz w:val="32"/>
          <w:szCs w:val="32"/>
        </w:rPr>
        <w:t>。</w:t>
      </w:r>
    </w:p>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p w14:paraId="42950108">
      <w:pPr>
        <w:spacing w:line="440" w:lineRule="exact"/>
        <w:ind w:firstLine="640" w:firstLineChars="200"/>
        <w:outlineLvl w:val="0"/>
        <w:rPr>
          <w:rFonts w:hint="eastAsia" w:ascii="宋体" w:hAnsi="宋体" w:cs="宋体"/>
          <w:sz w:val="32"/>
          <w:szCs w:val="32"/>
        </w:rPr>
      </w:pPr>
      <w:bookmarkStart w:id="1684" w:name="_Toc256000058"/>
      <w:bookmarkStart w:id="1685" w:name="_Toc23522"/>
      <w:bookmarkStart w:id="1686" w:name="_Toc19705"/>
      <w:bookmarkStart w:id="1687" w:name="_Toc256000119"/>
      <w:bookmarkStart w:id="1688" w:name="_Toc256000160"/>
      <w:bookmarkStart w:id="1689" w:name="_Toc256000255"/>
      <w:r>
        <w:rPr>
          <w:rFonts w:hint="eastAsia" w:ascii="宋体" w:hAnsi="宋体" w:cs="宋体"/>
          <w:sz w:val="32"/>
          <w:szCs w:val="32"/>
        </w:rPr>
        <w:t>1</w:t>
      </w:r>
      <w:bookmarkStart w:id="1690" w:name="_Toc292559404"/>
      <w:bookmarkStart w:id="1691" w:name="_Toc300934997"/>
      <w:bookmarkStart w:id="1692" w:name="_Toc297216207"/>
      <w:bookmarkStart w:id="1693" w:name="_Toc296944538"/>
      <w:bookmarkStart w:id="1694" w:name="_Toc297123548"/>
      <w:bookmarkStart w:id="1695" w:name="_Toc296346700"/>
      <w:bookmarkStart w:id="1696" w:name="_Toc292559909"/>
      <w:bookmarkStart w:id="1697" w:name="_Toc297048385"/>
      <w:bookmarkStart w:id="1698" w:name="_Toc312678033"/>
      <w:bookmarkStart w:id="1699" w:name="_Toc303539154"/>
      <w:bookmarkStart w:id="1700" w:name="_Toc296503199"/>
      <w:bookmarkStart w:id="1701" w:name="_Toc296347198"/>
      <w:bookmarkStart w:id="1702" w:name="_Toc312677507"/>
      <w:bookmarkStart w:id="1703" w:name="_Toc304295574"/>
      <w:bookmarkStart w:id="1704" w:name="_Toc297120499"/>
      <w:bookmarkStart w:id="1705" w:name="_Toc296891239"/>
      <w:bookmarkStart w:id="1706" w:name="_Toc296891027"/>
      <w:r>
        <w:rPr>
          <w:rFonts w:hint="eastAsia" w:ascii="宋体" w:hAnsi="宋体" w:cs="宋体"/>
          <w:sz w:val="32"/>
          <w:szCs w:val="32"/>
        </w:rPr>
        <w:t>0.7暂估价</w:t>
      </w:r>
      <w:bookmarkEnd w:id="1684"/>
      <w:bookmarkEnd w:id="1685"/>
      <w:bookmarkEnd w:id="1686"/>
      <w:bookmarkEnd w:id="1687"/>
      <w:bookmarkEnd w:id="1688"/>
      <w:bookmarkEnd w:id="1689"/>
    </w:p>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p w14:paraId="2193CDB2">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暂</w:t>
      </w:r>
      <w:bookmarkStart w:id="1707" w:name="_Toc312678034"/>
      <w:bookmarkStart w:id="1708" w:name="_Toc318581176"/>
      <w:bookmarkStart w:id="1709" w:name="_Toc312677508"/>
      <w:r>
        <w:rPr>
          <w:rFonts w:hint="eastAsia" w:ascii="宋体" w:hAnsi="宋体" w:cs="宋体"/>
          <w:kern w:val="0"/>
          <w:sz w:val="32"/>
          <w:szCs w:val="32"/>
        </w:rPr>
        <w:t>估价材料和工程设备的明细详见附件11：《</w:t>
      </w:r>
      <w:r>
        <w:rPr>
          <w:rFonts w:hint="eastAsia" w:ascii="宋体" w:hAnsi="宋体" w:cs="宋体"/>
          <w:sz w:val="32"/>
          <w:szCs w:val="32"/>
        </w:rPr>
        <w:t>暂估价一览表》</w:t>
      </w:r>
      <w:r>
        <w:rPr>
          <w:rFonts w:hint="eastAsia" w:ascii="宋体" w:hAnsi="宋体" w:cs="宋体"/>
          <w:kern w:val="0"/>
          <w:sz w:val="32"/>
          <w:szCs w:val="32"/>
        </w:rPr>
        <w:t>。</w:t>
      </w:r>
    </w:p>
    <w:bookmarkEnd w:id="1707"/>
    <w:bookmarkEnd w:id="1708"/>
    <w:bookmarkEnd w:id="1709"/>
    <w:p w14:paraId="0521658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w:t>
      </w:r>
      <w:bookmarkStart w:id="1710" w:name="_Toc312678035"/>
      <w:bookmarkStart w:id="1711" w:name="_Toc312677509"/>
      <w:bookmarkStart w:id="1712" w:name="_Toc318581177"/>
      <w:r>
        <w:rPr>
          <w:rFonts w:hint="eastAsia" w:ascii="宋体" w:hAnsi="宋体" w:cs="宋体"/>
          <w:sz w:val="32"/>
          <w:szCs w:val="32"/>
        </w:rPr>
        <w:t>0.7.1依法必须招标的暂估价项目</w:t>
      </w:r>
    </w:p>
    <w:bookmarkEnd w:id="1710"/>
    <w:bookmarkEnd w:id="1711"/>
    <w:bookmarkEnd w:id="1712"/>
    <w:p w14:paraId="206C861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对于依法必须招标的暂估价项目的确认和批准采取第种方式确定。</w:t>
      </w:r>
    </w:p>
    <w:p w14:paraId="685D099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10.7.2不属于依法必须招标的暂估价项目</w:t>
      </w:r>
    </w:p>
    <w:p w14:paraId="42B6A49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对于不属于依法必须招标的暂估价项目的确认和批准采取第</w:t>
      </w:r>
      <w:r>
        <w:rPr>
          <w:rFonts w:hint="eastAsia" w:ascii="宋体" w:hAnsi="宋体" w:cs="宋体"/>
          <w:sz w:val="32"/>
          <w:szCs w:val="32"/>
          <w:u w:val="single"/>
        </w:rPr>
        <w:t>3</w:t>
      </w:r>
      <w:r>
        <w:rPr>
          <w:rFonts w:hint="eastAsia" w:ascii="宋体" w:hAnsi="宋体" w:cs="宋体"/>
          <w:sz w:val="32"/>
          <w:szCs w:val="32"/>
        </w:rPr>
        <w:t>种方式确定。</w:t>
      </w:r>
    </w:p>
    <w:p w14:paraId="2C75FCAF">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第3种方式：</w:t>
      </w:r>
      <w:r>
        <w:rPr>
          <w:rFonts w:hint="eastAsia" w:ascii="宋体" w:hAnsi="宋体" w:cs="宋体"/>
          <w:kern w:val="0"/>
          <w:sz w:val="32"/>
          <w:szCs w:val="32"/>
        </w:rPr>
        <w:t>承包人直接实施的暂估价项目</w:t>
      </w:r>
    </w:p>
    <w:p w14:paraId="3F08764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承包人直接实施的暂估价项目的约定：</w:t>
      </w:r>
      <w:r>
        <w:rPr>
          <w:rFonts w:hint="eastAsia" w:ascii="宋体" w:hAnsi="宋体" w:cs="宋体"/>
          <w:sz w:val="32"/>
          <w:szCs w:val="32"/>
          <w:u w:val="single"/>
        </w:rPr>
        <w:t>发包人、监理人、承包人、发包人委托的第三方造价机构共同认质认价</w:t>
      </w:r>
      <w:r>
        <w:rPr>
          <w:rFonts w:hint="eastAsia" w:ascii="宋体" w:hAnsi="宋体" w:cs="宋体"/>
          <w:sz w:val="32"/>
          <w:szCs w:val="32"/>
        </w:rPr>
        <w:t>。</w:t>
      </w:r>
    </w:p>
    <w:p w14:paraId="65761646">
      <w:pPr>
        <w:spacing w:line="440" w:lineRule="exact"/>
        <w:ind w:firstLine="640" w:firstLineChars="200"/>
        <w:rPr>
          <w:rFonts w:hint="eastAsia" w:ascii="宋体" w:hAnsi="宋体" w:cs="宋体"/>
          <w:sz w:val="32"/>
          <w:szCs w:val="32"/>
        </w:rPr>
      </w:pPr>
      <w:r>
        <w:rPr>
          <w:rFonts w:hint="eastAsia" w:ascii="宋体" w:hAnsi="宋体" w:cs="宋体"/>
          <w:sz w:val="32"/>
          <w:szCs w:val="32"/>
        </w:rPr>
        <w:t>10.8暂列金额</w:t>
      </w:r>
    </w:p>
    <w:p w14:paraId="7DDBA76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合同当事人关于暂列金额使用的约定：</w:t>
      </w:r>
      <w:r>
        <w:rPr>
          <w:rFonts w:hint="eastAsia" w:ascii="宋体" w:hAnsi="宋体" w:cs="宋体"/>
          <w:sz w:val="32"/>
          <w:szCs w:val="32"/>
          <w:u w:val="single"/>
        </w:rPr>
        <w:t>/</w:t>
      </w:r>
      <w:r>
        <w:rPr>
          <w:rFonts w:hint="eastAsia" w:ascii="宋体" w:hAnsi="宋体" w:cs="宋体"/>
          <w:kern w:val="0"/>
          <w:sz w:val="32"/>
          <w:szCs w:val="32"/>
        </w:rPr>
        <w:t>。</w:t>
      </w:r>
    </w:p>
    <w:p w14:paraId="45404C08">
      <w:pPr>
        <w:keepNext/>
        <w:keepLines/>
        <w:spacing w:line="440" w:lineRule="exact"/>
        <w:ind w:firstLine="640" w:firstLineChars="200"/>
        <w:outlineLvl w:val="3"/>
        <w:rPr>
          <w:rFonts w:hint="eastAsia" w:ascii="宋体" w:hAnsi="宋体" w:cs="宋体"/>
          <w:bCs/>
          <w:sz w:val="32"/>
          <w:szCs w:val="32"/>
        </w:rPr>
      </w:pPr>
      <w:bookmarkStart w:id="1713" w:name="_Toc13574"/>
      <w:bookmarkStart w:id="1714" w:name="_Toc780"/>
      <w:bookmarkStart w:id="1715" w:name="_Toc351203643"/>
      <w:r>
        <w:rPr>
          <w:rFonts w:hint="eastAsia" w:ascii="宋体" w:hAnsi="宋体" w:cs="宋体"/>
          <w:bCs/>
          <w:sz w:val="32"/>
          <w:szCs w:val="32"/>
        </w:rPr>
        <w:t>11.价格调整</w:t>
      </w:r>
      <w:bookmarkEnd w:id="1713"/>
      <w:bookmarkEnd w:id="1714"/>
      <w:bookmarkEnd w:id="1715"/>
    </w:p>
    <w:p w14:paraId="48536CF0">
      <w:pPr>
        <w:spacing w:line="440" w:lineRule="exact"/>
        <w:ind w:firstLine="640" w:firstLineChars="200"/>
        <w:rPr>
          <w:rFonts w:hint="eastAsia" w:ascii="宋体" w:hAnsi="宋体" w:cs="宋体"/>
          <w:sz w:val="32"/>
          <w:szCs w:val="32"/>
        </w:rPr>
      </w:pPr>
      <w:bookmarkStart w:id="1716" w:name="_Toc300935000"/>
      <w:bookmarkStart w:id="1717" w:name="_Toc296891241"/>
      <w:bookmarkStart w:id="1718" w:name="_Toc304295577"/>
      <w:bookmarkStart w:id="1719" w:name="_Toc297123550"/>
      <w:bookmarkStart w:id="1720" w:name="_Toc296503201"/>
      <w:bookmarkStart w:id="1721" w:name="_Toc296346702"/>
      <w:bookmarkStart w:id="1722" w:name="_Toc292559911"/>
      <w:bookmarkStart w:id="1723" w:name="_Toc303539157"/>
      <w:bookmarkStart w:id="1724" w:name="_Toc296891029"/>
      <w:bookmarkStart w:id="1725" w:name="_Toc296944540"/>
      <w:bookmarkStart w:id="1726" w:name="_Toc297048387"/>
      <w:bookmarkStart w:id="1727" w:name="_Toc292559406"/>
      <w:bookmarkStart w:id="1728" w:name="_Toc312678039"/>
      <w:bookmarkStart w:id="1729" w:name="_Toc297120501"/>
      <w:bookmarkStart w:id="1730" w:name="_Toc297216209"/>
      <w:bookmarkStart w:id="1731" w:name="_Toc296347200"/>
      <w:r>
        <w:rPr>
          <w:rFonts w:hint="eastAsia" w:ascii="宋体" w:hAnsi="宋体" w:cs="宋体"/>
          <w:sz w:val="32"/>
          <w:szCs w:val="32"/>
        </w:rPr>
        <w:t>11.1市场价格波动引起的调整</w:t>
      </w:r>
    </w:p>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p w14:paraId="0EFF28DF">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市场价格波动是否调整合同价格的约定：</w:t>
      </w:r>
      <w:r>
        <w:rPr>
          <w:rFonts w:hint="eastAsia" w:ascii="宋体" w:hAnsi="宋体" w:cs="宋体"/>
          <w:sz w:val="32"/>
          <w:szCs w:val="32"/>
          <w:u w:val="single"/>
        </w:rPr>
        <w:t>否</w:t>
      </w:r>
      <w:r>
        <w:rPr>
          <w:rFonts w:hint="eastAsia" w:ascii="宋体" w:hAnsi="宋体" w:cs="宋体"/>
          <w:sz w:val="32"/>
          <w:szCs w:val="32"/>
        </w:rPr>
        <w:t>。</w:t>
      </w:r>
    </w:p>
    <w:p w14:paraId="54E6ABE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因市场价格波动调整合同价格，采用以下第</w:t>
      </w:r>
      <w:r>
        <w:rPr>
          <w:rFonts w:hint="eastAsia" w:ascii="宋体" w:hAnsi="宋体" w:cs="宋体"/>
          <w:sz w:val="32"/>
          <w:szCs w:val="32"/>
          <w:u w:val="single"/>
        </w:rPr>
        <w:t>/</w:t>
      </w:r>
      <w:r>
        <w:rPr>
          <w:rFonts w:hint="eastAsia" w:ascii="宋体" w:hAnsi="宋体" w:cs="宋体"/>
          <w:sz w:val="32"/>
          <w:szCs w:val="32"/>
        </w:rPr>
        <w:t>种方式对合同价格进行调整：</w:t>
      </w:r>
    </w:p>
    <w:p w14:paraId="71CE921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第1种方式：采用价格指数进行价格调整。</w:t>
      </w:r>
    </w:p>
    <w:p w14:paraId="3A9BBCF6">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关于各可调因子、定值和变值权重，以及基本价格指数及其来源的约定：；</w:t>
      </w:r>
    </w:p>
    <w:p w14:paraId="028E2ED6">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第2种方式：采用造价信息进行价格调整。</w:t>
      </w:r>
    </w:p>
    <w:p w14:paraId="420676D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（2）关于基准价格的约定：。</w:t>
      </w:r>
    </w:p>
    <w:p w14:paraId="66F6096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专用合同条款①承包人在已标价工程量清单或预算书中载明的材料单价低于基准价格的：专用合同条款合同履行期间材料单价涨幅以基准价格为基础超过%时，或材料单价跌幅以已标价工程量清单或预算书中载明材料单价为基础超过%时，其超过部分据实调整。</w:t>
      </w:r>
    </w:p>
    <w:p w14:paraId="7A8C46A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②承包人在已标价工程量清单或预算书中载明的材料单价高于基准价格的：专用合同条款合同履行期间材料单价跌幅以基准价格为基础超过%时，材料单价涨幅以已标价工程量清单或预算书中载明材料单价为基础超过%时，其超过部分据实调整。</w:t>
      </w:r>
    </w:p>
    <w:p w14:paraId="33FF4E7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③承包人在已标价工程量清单或预算书中载明的材料单价等于基准单价的：专用合同条款合同履行期间材料单价涨跌幅以基准单价为基础超过±%时，其超过部分据实调整。</w:t>
      </w:r>
    </w:p>
    <w:p w14:paraId="58D9CB6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第3种方式：其他价格调整方式：。</w:t>
      </w:r>
    </w:p>
    <w:bookmarkEnd w:id="1605"/>
    <w:bookmarkEnd w:id="1606"/>
    <w:bookmarkEnd w:id="1607"/>
    <w:bookmarkEnd w:id="1608"/>
    <w:bookmarkEnd w:id="1609"/>
    <w:bookmarkEnd w:id="1610"/>
    <w:p w14:paraId="766275E7">
      <w:pPr>
        <w:keepNext/>
        <w:keepLines/>
        <w:spacing w:line="440" w:lineRule="exact"/>
        <w:ind w:firstLine="640" w:firstLineChars="200"/>
        <w:outlineLvl w:val="3"/>
        <w:rPr>
          <w:rFonts w:hint="eastAsia" w:ascii="宋体" w:hAnsi="宋体" w:cs="宋体"/>
          <w:bCs/>
          <w:sz w:val="32"/>
          <w:szCs w:val="32"/>
        </w:rPr>
      </w:pPr>
      <w:bookmarkStart w:id="1732" w:name="_Toc297048391"/>
      <w:bookmarkStart w:id="1733" w:name="_Toc296891033"/>
      <w:bookmarkStart w:id="1734" w:name="_Toc296346706"/>
      <w:bookmarkStart w:id="1735" w:name="_Toc296944544"/>
      <w:bookmarkStart w:id="1736" w:name="_Toc296503205"/>
      <w:bookmarkStart w:id="1737" w:name="_Toc296891245"/>
      <w:bookmarkStart w:id="1738" w:name="_Toc297120505"/>
      <w:bookmarkStart w:id="1739" w:name="_Toc296347204"/>
      <w:bookmarkStart w:id="1740" w:name="_Toc292559915"/>
      <w:bookmarkStart w:id="1741" w:name="_Toc292559410"/>
      <w:bookmarkStart w:id="1742" w:name="_Toc11872"/>
      <w:bookmarkStart w:id="1743" w:name="_Toc351203644"/>
      <w:bookmarkStart w:id="1744" w:name="_Toc6164"/>
      <w:bookmarkStart w:id="1745" w:name="_Toc297216211"/>
      <w:bookmarkStart w:id="1746" w:name="_Toc304295579"/>
      <w:bookmarkStart w:id="1747" w:name="_Toc297123552"/>
      <w:bookmarkStart w:id="1748" w:name="_Toc312678040"/>
      <w:bookmarkStart w:id="1749" w:name="_Toc303539159"/>
      <w:bookmarkStart w:id="1750" w:name="_Toc300935002"/>
      <w:r>
        <w:rPr>
          <w:rFonts w:hint="eastAsia" w:ascii="宋体" w:hAnsi="宋体" w:cs="宋体"/>
          <w:bCs/>
          <w:sz w:val="32"/>
          <w:szCs w:val="32"/>
        </w:rPr>
        <w:t>12.</w:t>
      </w:r>
      <w:bookmarkEnd w:id="1732"/>
      <w:bookmarkEnd w:id="1733"/>
      <w:bookmarkEnd w:id="1734"/>
      <w:bookmarkEnd w:id="1735"/>
      <w:bookmarkEnd w:id="1736"/>
      <w:bookmarkEnd w:id="1737"/>
      <w:bookmarkEnd w:id="1738"/>
      <w:bookmarkEnd w:id="1739"/>
      <w:bookmarkEnd w:id="1740"/>
      <w:bookmarkEnd w:id="1741"/>
      <w:r>
        <w:rPr>
          <w:rFonts w:hint="eastAsia" w:ascii="宋体" w:hAnsi="宋体" w:cs="宋体"/>
          <w:bCs/>
          <w:sz w:val="32"/>
          <w:szCs w:val="32"/>
        </w:rPr>
        <w:t>合同价格、计量与支付</w:t>
      </w:r>
      <w:bookmarkEnd w:id="1742"/>
      <w:bookmarkEnd w:id="1743"/>
      <w:bookmarkEnd w:id="1744"/>
    </w:p>
    <w:bookmarkEnd w:id="1745"/>
    <w:bookmarkEnd w:id="1746"/>
    <w:bookmarkEnd w:id="1747"/>
    <w:bookmarkEnd w:id="1748"/>
    <w:bookmarkEnd w:id="1749"/>
    <w:bookmarkEnd w:id="1750"/>
    <w:p w14:paraId="450E24CF">
      <w:pPr>
        <w:spacing w:line="440" w:lineRule="exact"/>
        <w:ind w:firstLine="640" w:firstLineChars="200"/>
        <w:rPr>
          <w:rFonts w:hint="eastAsia" w:ascii="宋体" w:hAnsi="宋体" w:cs="宋体"/>
          <w:sz w:val="32"/>
          <w:szCs w:val="32"/>
        </w:rPr>
      </w:pPr>
      <w:bookmarkStart w:id="1751" w:name="_Toc292559411"/>
      <w:bookmarkStart w:id="1752" w:name="_Toc292559916"/>
      <w:bookmarkStart w:id="1753" w:name="_Toc267251461"/>
      <w:bookmarkStart w:id="1754" w:name="_Toc296503206"/>
      <w:bookmarkStart w:id="1755" w:name="_Toc296944545"/>
      <w:bookmarkStart w:id="1756" w:name="_Toc296891246"/>
      <w:bookmarkStart w:id="1757" w:name="_Toc296891034"/>
      <w:bookmarkStart w:id="1758" w:name="_Toc297048392"/>
      <w:bookmarkStart w:id="1759" w:name="_Toc297120506"/>
      <w:bookmarkStart w:id="1760" w:name="_Toc296347205"/>
      <w:bookmarkStart w:id="1761" w:name="_Toc296346707"/>
      <w:bookmarkStart w:id="1762" w:name="_Toc312678041"/>
      <w:bookmarkStart w:id="1763" w:name="_Toc297216212"/>
      <w:bookmarkStart w:id="1764" w:name="_Toc304295580"/>
      <w:bookmarkStart w:id="1765" w:name="_Toc303539160"/>
      <w:bookmarkStart w:id="1766" w:name="_Toc300935003"/>
      <w:bookmarkStart w:id="1767" w:name="_Toc297123553"/>
      <w:r>
        <w:rPr>
          <w:rFonts w:hint="eastAsia" w:ascii="宋体" w:hAnsi="宋体" w:cs="宋体"/>
          <w:sz w:val="32"/>
          <w:szCs w:val="32"/>
        </w:rPr>
        <w:t>12.1合</w:t>
      </w:r>
      <w:bookmarkEnd w:id="1751"/>
      <w:bookmarkEnd w:id="1752"/>
      <w:bookmarkEnd w:id="1753"/>
      <w:r>
        <w:rPr>
          <w:rFonts w:hint="eastAsia" w:ascii="宋体" w:hAnsi="宋体" w:cs="宋体"/>
          <w:sz w:val="32"/>
          <w:szCs w:val="32"/>
        </w:rPr>
        <w:t>同价</w:t>
      </w:r>
      <w:bookmarkEnd w:id="1754"/>
      <w:bookmarkEnd w:id="1755"/>
      <w:bookmarkEnd w:id="1756"/>
      <w:bookmarkEnd w:id="1757"/>
      <w:bookmarkEnd w:id="1758"/>
      <w:bookmarkEnd w:id="1759"/>
      <w:bookmarkEnd w:id="1760"/>
      <w:bookmarkEnd w:id="1761"/>
      <w:r>
        <w:rPr>
          <w:rFonts w:hint="eastAsia" w:ascii="宋体" w:hAnsi="宋体" w:cs="宋体"/>
          <w:sz w:val="32"/>
          <w:szCs w:val="32"/>
        </w:rPr>
        <w:t>格形式</w:t>
      </w:r>
    </w:p>
    <w:bookmarkEnd w:id="1762"/>
    <w:bookmarkEnd w:id="1763"/>
    <w:bookmarkEnd w:id="1764"/>
    <w:bookmarkEnd w:id="1765"/>
    <w:bookmarkEnd w:id="1766"/>
    <w:bookmarkEnd w:id="1767"/>
    <w:p w14:paraId="419DC47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1、单价合同。</w:t>
      </w:r>
    </w:p>
    <w:p w14:paraId="53762F9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综合单价包含的风险范围：</w:t>
      </w:r>
      <w:r>
        <w:rPr>
          <w:rFonts w:hint="eastAsia" w:ascii="宋体" w:hAnsi="宋体" w:cs="宋体"/>
          <w:sz w:val="32"/>
          <w:szCs w:val="32"/>
          <w:u w:val="single"/>
        </w:rPr>
        <w:t>技术、管理风险</w:t>
      </w:r>
      <w:r>
        <w:rPr>
          <w:rFonts w:hint="eastAsia" w:ascii="宋体" w:hAnsi="宋体" w:cs="宋体"/>
          <w:sz w:val="32"/>
          <w:szCs w:val="32"/>
        </w:rPr>
        <w:t>。</w:t>
      </w:r>
    </w:p>
    <w:p w14:paraId="2B23AB3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风险费用的计算方法：</w:t>
      </w:r>
      <w:r>
        <w:rPr>
          <w:rFonts w:hint="eastAsia" w:ascii="宋体" w:hAnsi="宋体" w:cs="宋体"/>
          <w:sz w:val="32"/>
          <w:szCs w:val="32"/>
          <w:u w:val="single"/>
        </w:rPr>
        <w:t>按有关条文、GB50500-2013清单计价规范及当地政府下发的信息价文件执行</w:t>
      </w:r>
      <w:r>
        <w:rPr>
          <w:rFonts w:hint="eastAsia" w:ascii="宋体" w:hAnsi="宋体" w:cs="宋体"/>
          <w:sz w:val="32"/>
          <w:szCs w:val="32"/>
        </w:rPr>
        <w:t>。</w:t>
      </w:r>
    </w:p>
    <w:p w14:paraId="5F88314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风险范围以外合同价格的调整方法：</w:t>
      </w:r>
      <w:r>
        <w:rPr>
          <w:rFonts w:hint="eastAsia" w:ascii="宋体" w:hAnsi="宋体" w:cs="宋体"/>
          <w:sz w:val="32"/>
          <w:szCs w:val="32"/>
          <w:u w:val="single"/>
        </w:rPr>
        <w:t>1、不可抗力发生的风险执行合同条款17.3条;2、设计变更、发包方和监理方均认可的签证、招标图纸以外新增加的工程项目，调整应以竣工结算计量的工程量为准，综合单价执行投标单价;3、发包人所提供的工程量清单中的重大偏差或漏项以及主要材料价格变动，其对应的综合单价确定方法:a、投标书中已有相同清单项的按合同中相同清单项目的结算综合单价确定;b、投标书中没有相同子项的，单价按照施工单位申报业主确认的综合单价执行;c、招标文件、招标答疑、及相关的约定，甲方确认的材料价格按监理、甲方签证认可的发票价、协议价进行价差调整;4、若施工中出现的施工图纸(含设计变更)与工程量清单项目特征描述不符的，应按新的项目特征确定相应工程量清单项目的综合单价;5、因工程量清单漏项或非承包人原因的工程量变更及工程量增减，其措施项目费的调整:a、原措施项目中已有的措施项目，按原措施费的组价方法调整:b、原措施费中没有的措施项目，由承包人根据措施项目变更情况，据实进行调整。6、承包人完成发包人提出的施工图纸以外的零星项目或工作，按中方确认的经济签证进入结算。7、工程量清单中其他项目费用及规费税金的调整按《建设工程量清单计价规范》GB5055-2013条款规定执行。</w:t>
      </w:r>
    </w:p>
    <w:p w14:paraId="2573313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2、总价合同。</w:t>
      </w:r>
    </w:p>
    <w:p w14:paraId="65ABD31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总价包含的风险范围：</w:t>
      </w:r>
      <w:r>
        <w:rPr>
          <w:rFonts w:hint="eastAsia" w:ascii="宋体" w:hAnsi="宋体" w:cs="宋体"/>
          <w:sz w:val="32"/>
          <w:szCs w:val="32"/>
          <w:u w:val="single"/>
        </w:rPr>
        <w:t>/</w:t>
      </w:r>
      <w:r>
        <w:rPr>
          <w:rFonts w:hint="eastAsia" w:ascii="宋体" w:hAnsi="宋体" w:cs="宋体"/>
          <w:sz w:val="32"/>
          <w:szCs w:val="32"/>
        </w:rPr>
        <w:t>。</w:t>
      </w:r>
    </w:p>
    <w:p w14:paraId="0E4DDFC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风险费用的计算方法：</w:t>
      </w:r>
      <w:r>
        <w:rPr>
          <w:rFonts w:hint="eastAsia" w:ascii="宋体" w:hAnsi="宋体" w:cs="宋体"/>
          <w:sz w:val="32"/>
          <w:szCs w:val="32"/>
          <w:u w:val="single"/>
        </w:rPr>
        <w:t>/</w:t>
      </w:r>
      <w:r>
        <w:rPr>
          <w:rFonts w:hint="eastAsia" w:ascii="宋体" w:hAnsi="宋体" w:cs="宋体"/>
          <w:sz w:val="32"/>
          <w:szCs w:val="32"/>
        </w:rPr>
        <w:t>。</w:t>
      </w:r>
    </w:p>
    <w:p w14:paraId="633DC92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风险范围以外合同价格的调整方法：</w:t>
      </w:r>
      <w:r>
        <w:rPr>
          <w:rFonts w:hint="eastAsia" w:ascii="宋体" w:hAnsi="宋体" w:cs="宋体"/>
          <w:sz w:val="32"/>
          <w:szCs w:val="32"/>
          <w:u w:val="single"/>
        </w:rPr>
        <w:t>/</w:t>
      </w:r>
      <w:r>
        <w:rPr>
          <w:rFonts w:hint="eastAsia" w:ascii="宋体" w:hAnsi="宋体" w:cs="宋体"/>
          <w:sz w:val="32"/>
          <w:szCs w:val="32"/>
        </w:rPr>
        <w:t>。</w:t>
      </w:r>
    </w:p>
    <w:p w14:paraId="57E95825">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3、其他价格方式：</w:t>
      </w:r>
      <w:r>
        <w:rPr>
          <w:rFonts w:hint="eastAsia" w:ascii="宋体" w:hAnsi="宋体" w:cs="宋体"/>
          <w:sz w:val="32"/>
          <w:szCs w:val="32"/>
          <w:u w:val="single"/>
        </w:rPr>
        <w:t>/</w:t>
      </w:r>
      <w:r>
        <w:rPr>
          <w:rFonts w:hint="eastAsia" w:ascii="宋体" w:hAnsi="宋体" w:cs="宋体"/>
          <w:sz w:val="32"/>
          <w:szCs w:val="32"/>
        </w:rPr>
        <w:t>。</w:t>
      </w:r>
    </w:p>
    <w:p w14:paraId="15C59B21">
      <w:pPr>
        <w:spacing w:line="440" w:lineRule="exact"/>
        <w:ind w:firstLine="640" w:firstLineChars="200"/>
        <w:rPr>
          <w:rFonts w:hint="eastAsia" w:ascii="宋体" w:hAnsi="宋体" w:cs="宋体"/>
          <w:sz w:val="32"/>
          <w:szCs w:val="32"/>
        </w:rPr>
      </w:pPr>
      <w:bookmarkStart w:id="1768" w:name="_Toc303539161"/>
      <w:bookmarkStart w:id="1769" w:name="_Toc300935004"/>
      <w:bookmarkStart w:id="1770" w:name="_Toc297123554"/>
      <w:bookmarkStart w:id="1771" w:name="_Toc304295581"/>
      <w:bookmarkStart w:id="1772" w:name="_Toc312678042"/>
      <w:bookmarkStart w:id="1773" w:name="_Toc297216213"/>
      <w:bookmarkStart w:id="1774" w:name="_Toc292559917"/>
      <w:bookmarkStart w:id="1775" w:name="_Toc296503207"/>
      <w:bookmarkStart w:id="1776" w:name="_Toc296891035"/>
      <w:bookmarkStart w:id="1777" w:name="_Toc296347206"/>
      <w:bookmarkStart w:id="1778" w:name="_Toc297048393"/>
      <w:bookmarkStart w:id="1779" w:name="_Toc292559412"/>
      <w:bookmarkStart w:id="1780" w:name="_Toc296346708"/>
      <w:bookmarkStart w:id="1781" w:name="_Toc297120507"/>
      <w:bookmarkStart w:id="1782" w:name="_Toc296944546"/>
      <w:bookmarkStart w:id="1783" w:name="_Toc296891247"/>
      <w:r>
        <w:rPr>
          <w:rFonts w:hint="eastAsia" w:ascii="宋体" w:hAnsi="宋体" w:cs="宋体"/>
          <w:sz w:val="32"/>
          <w:szCs w:val="32"/>
        </w:rPr>
        <w:t>12.2预付款</w:t>
      </w:r>
    </w:p>
    <w:bookmarkEnd w:id="1768"/>
    <w:bookmarkEnd w:id="1769"/>
    <w:bookmarkEnd w:id="1770"/>
    <w:bookmarkEnd w:id="1771"/>
    <w:bookmarkEnd w:id="1772"/>
    <w:bookmarkEnd w:id="1773"/>
    <w:p w14:paraId="5640580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12.2.1预付款的支付</w:t>
      </w:r>
    </w:p>
    <w:p w14:paraId="1A7232E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预付款支付比例或金额：</w:t>
      </w:r>
      <w:r>
        <w:rPr>
          <w:rFonts w:hint="eastAsia" w:ascii="宋体" w:hAnsi="宋体" w:cs="宋体"/>
          <w:sz w:val="32"/>
          <w:szCs w:val="32"/>
          <w:u w:val="single"/>
          <w:lang w:val="en-US" w:eastAsia="zh-CN"/>
        </w:rPr>
        <w:t xml:space="preserve">            </w:t>
      </w:r>
      <w:r>
        <w:rPr>
          <w:rFonts w:hint="eastAsia" w:ascii="宋体" w:hAnsi="宋体" w:cs="宋体"/>
          <w:sz w:val="32"/>
          <w:szCs w:val="32"/>
        </w:rPr>
        <w:t>。</w:t>
      </w:r>
    </w:p>
    <w:p w14:paraId="0D71C9C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预付款支付期限：</w:t>
      </w:r>
      <w:r>
        <w:rPr>
          <w:rFonts w:hint="eastAsia" w:ascii="宋体" w:hAnsi="宋体" w:cs="宋体"/>
          <w:sz w:val="32"/>
          <w:szCs w:val="32"/>
          <w:u w:val="single"/>
        </w:rPr>
        <w:t>合同已签订且满足下列条件后支付，投标人相关人员和机械按要求已进场，并已缴纳了：(1)履约保证金；(2)按照发包人的要求设立了农民工工资专户；(3)缴纳了农民工工资保证金及工伤保险、安全责任险</w:t>
      </w:r>
      <w:r>
        <w:rPr>
          <w:rFonts w:hint="eastAsia" w:ascii="宋体" w:hAnsi="宋体" w:cs="宋体"/>
          <w:sz w:val="32"/>
          <w:szCs w:val="32"/>
        </w:rPr>
        <w:t>。</w:t>
      </w:r>
    </w:p>
    <w:p w14:paraId="7CC57FD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预付款扣回的方式：</w:t>
      </w:r>
      <w:r>
        <w:rPr>
          <w:rFonts w:hint="eastAsia" w:ascii="宋体" w:hAnsi="宋体" w:cs="宋体"/>
          <w:sz w:val="32"/>
          <w:szCs w:val="32"/>
          <w:u w:val="single"/>
        </w:rPr>
        <w:t>由发包人从月进度付款中扣回</w:t>
      </w:r>
      <w:r>
        <w:rPr>
          <w:rFonts w:hint="eastAsia" w:ascii="宋体" w:hAnsi="宋体" w:cs="宋体"/>
          <w:sz w:val="32"/>
          <w:szCs w:val="32"/>
        </w:rPr>
        <w:t>。</w:t>
      </w:r>
    </w:p>
    <w:p w14:paraId="35FD33E5">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12.2.2预付款担保</w:t>
      </w:r>
    </w:p>
    <w:p w14:paraId="2C7E7AF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承包人提交预付款担保的期限：</w:t>
      </w:r>
      <w:r>
        <w:rPr>
          <w:rFonts w:hint="eastAsia" w:ascii="宋体" w:hAnsi="宋体" w:cs="宋体"/>
          <w:sz w:val="32"/>
          <w:szCs w:val="32"/>
          <w:u w:val="single"/>
        </w:rPr>
        <w:t>/</w:t>
      </w:r>
      <w:r>
        <w:rPr>
          <w:rFonts w:hint="eastAsia" w:ascii="宋体" w:hAnsi="宋体" w:cs="宋体"/>
          <w:sz w:val="32"/>
          <w:szCs w:val="32"/>
        </w:rPr>
        <w:t>。</w:t>
      </w:r>
    </w:p>
    <w:p w14:paraId="690F808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预付款担保的形式为：</w:t>
      </w:r>
      <w:r>
        <w:rPr>
          <w:rFonts w:hint="eastAsia" w:ascii="宋体" w:hAnsi="宋体" w:cs="宋体"/>
          <w:sz w:val="32"/>
          <w:szCs w:val="32"/>
          <w:u w:val="single"/>
        </w:rPr>
        <w:t>/</w:t>
      </w:r>
      <w:r>
        <w:rPr>
          <w:rFonts w:hint="eastAsia" w:ascii="宋体" w:hAnsi="宋体" w:cs="宋体"/>
          <w:sz w:val="32"/>
          <w:szCs w:val="32"/>
        </w:rPr>
        <w:t>。</w:t>
      </w:r>
    </w:p>
    <w:bookmarkEnd w:id="1774"/>
    <w:bookmarkEnd w:id="1775"/>
    <w:bookmarkEnd w:id="1776"/>
    <w:bookmarkEnd w:id="1777"/>
    <w:bookmarkEnd w:id="1778"/>
    <w:bookmarkEnd w:id="1779"/>
    <w:bookmarkEnd w:id="1780"/>
    <w:bookmarkEnd w:id="1781"/>
    <w:bookmarkEnd w:id="1782"/>
    <w:bookmarkEnd w:id="1783"/>
    <w:p w14:paraId="7A87073F">
      <w:pPr>
        <w:spacing w:line="440" w:lineRule="exact"/>
        <w:ind w:firstLine="640" w:firstLineChars="200"/>
        <w:rPr>
          <w:rFonts w:hint="eastAsia" w:ascii="宋体" w:hAnsi="宋体" w:cs="宋体"/>
          <w:sz w:val="32"/>
          <w:szCs w:val="32"/>
        </w:rPr>
      </w:pPr>
      <w:r>
        <w:rPr>
          <w:rFonts w:hint="eastAsia" w:ascii="宋体" w:hAnsi="宋体" w:cs="宋体"/>
          <w:sz w:val="32"/>
          <w:szCs w:val="32"/>
        </w:rPr>
        <w:t>12.3计量</w:t>
      </w:r>
    </w:p>
    <w:p w14:paraId="6EEBA2F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12.3.1计量原则</w:t>
      </w:r>
    </w:p>
    <w:p w14:paraId="40EF74E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工程量计算规则：</w:t>
      </w:r>
      <w:r>
        <w:rPr>
          <w:rFonts w:hint="eastAsia" w:ascii="宋体" w:hAnsi="宋体" w:cs="宋体"/>
          <w:sz w:val="32"/>
          <w:szCs w:val="32"/>
          <w:u w:val="single"/>
        </w:rPr>
        <w:t>以实际发生的工程量为准</w:t>
      </w:r>
      <w:r>
        <w:rPr>
          <w:rFonts w:hint="eastAsia" w:ascii="宋体" w:hAnsi="宋体" w:cs="宋体"/>
          <w:sz w:val="32"/>
          <w:szCs w:val="32"/>
        </w:rPr>
        <w:t>。</w:t>
      </w:r>
    </w:p>
    <w:p w14:paraId="2C80866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12.3.2计量周期</w:t>
      </w:r>
    </w:p>
    <w:p w14:paraId="1BDE5AA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关于计量周期的约定：</w:t>
      </w:r>
      <w:r>
        <w:rPr>
          <w:rFonts w:hint="eastAsia" w:ascii="宋体" w:hAnsi="宋体" w:cs="宋体"/>
          <w:sz w:val="32"/>
          <w:szCs w:val="32"/>
          <w:u w:val="single"/>
        </w:rPr>
        <w:t>按工程进度款支付的时间点进行计量</w:t>
      </w:r>
      <w:r>
        <w:rPr>
          <w:rFonts w:hint="eastAsia" w:ascii="宋体" w:hAnsi="宋体" w:cs="宋体"/>
          <w:sz w:val="32"/>
          <w:szCs w:val="32"/>
        </w:rPr>
        <w:t>。</w:t>
      </w:r>
    </w:p>
    <w:p w14:paraId="605B55B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12.3.3单价合同的计量</w:t>
      </w:r>
    </w:p>
    <w:p w14:paraId="43EFE40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关于单价合同计量的约定：。</w:t>
      </w:r>
    </w:p>
    <w:p w14:paraId="7680E86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12.3.4总价合同的计量</w:t>
      </w:r>
    </w:p>
    <w:p w14:paraId="17AE198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关于总价合同计量的约定：。</w:t>
      </w:r>
    </w:p>
    <w:p w14:paraId="68CD84E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12.3.5总价合同采用支付分解表计量支付的，是否适用第</w:t>
      </w:r>
      <w:r>
        <w:rPr>
          <w:rFonts w:hint="eastAsia" w:ascii="宋体" w:hAnsi="宋体" w:cs="宋体"/>
          <w:kern w:val="0"/>
          <w:sz w:val="32"/>
          <w:szCs w:val="32"/>
        </w:rPr>
        <w:t>12.3.4</w:t>
      </w:r>
      <w:r>
        <w:rPr>
          <w:rFonts w:hint="eastAsia" w:ascii="宋体" w:hAnsi="宋体" w:cs="宋体"/>
          <w:sz w:val="32"/>
          <w:szCs w:val="32"/>
        </w:rPr>
        <w:t>项</w:t>
      </w:r>
      <w:r>
        <w:rPr>
          <w:rFonts w:hint="eastAsia" w:ascii="宋体" w:hAnsi="宋体" w:cs="宋体"/>
          <w:kern w:val="0"/>
          <w:sz w:val="32"/>
          <w:szCs w:val="32"/>
        </w:rPr>
        <w:t>〔总价合同的计量〕</w:t>
      </w:r>
      <w:r>
        <w:rPr>
          <w:rFonts w:hint="eastAsia" w:ascii="宋体" w:hAnsi="宋体" w:cs="宋体"/>
          <w:sz w:val="32"/>
          <w:szCs w:val="32"/>
        </w:rPr>
        <w:t>约定进行计量：。</w:t>
      </w:r>
    </w:p>
    <w:p w14:paraId="2FC22F6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12.3.6其他价格形式合同的计量</w:t>
      </w:r>
    </w:p>
    <w:p w14:paraId="2F859BE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其他价格形式的计量方式和程序：。</w:t>
      </w:r>
    </w:p>
    <w:p w14:paraId="7E431542">
      <w:pPr>
        <w:spacing w:line="440" w:lineRule="exact"/>
        <w:ind w:firstLine="640" w:firstLineChars="200"/>
        <w:rPr>
          <w:rFonts w:hint="eastAsia" w:ascii="宋体" w:hAnsi="宋体" w:cs="宋体"/>
          <w:sz w:val="32"/>
          <w:szCs w:val="32"/>
        </w:rPr>
      </w:pPr>
      <w:r>
        <w:rPr>
          <w:rFonts w:hint="eastAsia" w:ascii="宋体" w:hAnsi="宋体" w:cs="宋体"/>
          <w:sz w:val="32"/>
          <w:szCs w:val="32"/>
        </w:rPr>
        <w:t>12.4工程进度款支付</w:t>
      </w:r>
    </w:p>
    <w:p w14:paraId="1F086407">
      <w:pPr>
        <w:spacing w:line="440" w:lineRule="exact"/>
        <w:ind w:firstLine="640" w:firstLineChars="200"/>
        <w:jc w:val="left"/>
        <w:rPr>
          <w:rFonts w:hint="eastAsia" w:ascii="宋体" w:hAnsi="宋体" w:cs="宋体"/>
          <w:sz w:val="32"/>
          <w:szCs w:val="32"/>
        </w:rPr>
      </w:pPr>
      <w:bookmarkStart w:id="1784" w:name="_Toc297216215"/>
      <w:bookmarkStart w:id="1785" w:name="_Toc292559921"/>
      <w:bookmarkStart w:id="1786" w:name="_Toc300935006"/>
      <w:bookmarkStart w:id="1787" w:name="_Toc303539163"/>
      <w:bookmarkStart w:id="1788" w:name="_Toc297123556"/>
      <w:bookmarkStart w:id="1789" w:name="_Toc296944550"/>
      <w:bookmarkStart w:id="1790" w:name="_Toc296346712"/>
      <w:bookmarkStart w:id="1791" w:name="_Toc296891039"/>
      <w:bookmarkStart w:id="1792" w:name="_Toc292559416"/>
      <w:bookmarkStart w:id="1793" w:name="_Toc296347210"/>
      <w:bookmarkStart w:id="1794" w:name="_Toc297120511"/>
      <w:bookmarkStart w:id="1795" w:name="_Toc296891251"/>
      <w:bookmarkStart w:id="1796" w:name="_Toc296503211"/>
      <w:bookmarkStart w:id="1797" w:name="_Toc297048397"/>
      <w:r>
        <w:rPr>
          <w:rFonts w:hint="eastAsia" w:ascii="宋体" w:hAnsi="宋体" w:cs="宋体"/>
          <w:sz w:val="32"/>
          <w:szCs w:val="32"/>
        </w:rPr>
        <w:t>12.4.1付款周期</w:t>
      </w:r>
    </w:p>
    <w:p w14:paraId="09BD2A7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关于付款周期的约定</w:t>
      </w:r>
      <w:r>
        <w:rPr>
          <w:rFonts w:hint="eastAsia" w:ascii="宋体" w:hAnsi="宋体" w:cs="宋体"/>
          <w:color w:val="000000"/>
          <w:sz w:val="32"/>
          <w:szCs w:val="32"/>
        </w:rPr>
        <w:t>：</w:t>
      </w:r>
      <w:r>
        <w:rPr>
          <w:rFonts w:hint="eastAsia" w:ascii="宋体" w:hAnsi="宋体" w:cs="宋体"/>
          <w:color w:val="000000"/>
          <w:sz w:val="32"/>
          <w:szCs w:val="32"/>
          <w:u w:val="single"/>
          <w:lang w:val="en-US" w:eastAsia="zh-CN"/>
        </w:rPr>
        <w:t xml:space="preserve">           </w:t>
      </w:r>
      <w:r>
        <w:rPr>
          <w:rFonts w:hint="eastAsia" w:ascii="宋体" w:hAnsi="宋体" w:cs="宋体"/>
          <w:color w:val="000000"/>
          <w:sz w:val="32"/>
          <w:szCs w:val="32"/>
        </w:rPr>
        <w:t>。</w:t>
      </w:r>
    </w:p>
    <w:p w14:paraId="0328FEA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12.4.2进度付款申请单的编制</w:t>
      </w:r>
    </w:p>
    <w:p w14:paraId="6F6D803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关于进度付款申请单编制的约定：</w:t>
      </w:r>
      <w:r>
        <w:rPr>
          <w:rFonts w:hint="eastAsia" w:ascii="宋体" w:hAnsi="宋体" w:cs="宋体"/>
          <w:sz w:val="32"/>
          <w:szCs w:val="32"/>
          <w:u w:val="single"/>
        </w:rPr>
        <w:t>按通用条款12.4.2项执行</w:t>
      </w:r>
      <w:r>
        <w:rPr>
          <w:rFonts w:hint="eastAsia" w:ascii="宋体" w:hAnsi="宋体" w:cs="宋体"/>
          <w:sz w:val="32"/>
          <w:szCs w:val="32"/>
        </w:rPr>
        <w:t>。</w:t>
      </w:r>
    </w:p>
    <w:p w14:paraId="0E8A20E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w:t>
      </w:r>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r>
        <w:rPr>
          <w:rFonts w:hint="eastAsia" w:ascii="宋体" w:hAnsi="宋体" w:cs="宋体"/>
          <w:sz w:val="32"/>
          <w:szCs w:val="32"/>
        </w:rPr>
        <w:t>2.4.3进度付款申请单的提交</w:t>
      </w:r>
    </w:p>
    <w:p w14:paraId="76CF9E7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（1）单价合同进度付款申请单提交的约定：。</w:t>
      </w:r>
    </w:p>
    <w:p w14:paraId="24F6F587">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（2）总价合同进度付款申请单提交的约定：。</w:t>
      </w:r>
    </w:p>
    <w:p w14:paraId="2CE2A5BE">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（3）其他价格形式合同进度付款申请单提交的约定：</w:t>
      </w:r>
    </w:p>
    <w:p w14:paraId="34EBE4F6">
      <w:pPr>
        <w:spacing w:line="440" w:lineRule="exact"/>
        <w:jc w:val="left"/>
        <w:rPr>
          <w:rFonts w:hint="eastAsia" w:ascii="宋体" w:hAnsi="宋体" w:cs="宋体"/>
          <w:sz w:val="32"/>
          <w:szCs w:val="32"/>
        </w:rPr>
      </w:pPr>
      <w:r>
        <w:rPr>
          <w:rFonts w:hint="eastAsia" w:ascii="宋体" w:hAnsi="宋体" w:cs="宋体"/>
          <w:sz w:val="32"/>
          <w:szCs w:val="32"/>
        </w:rPr>
        <w:t>。</w:t>
      </w:r>
    </w:p>
    <w:p w14:paraId="15D9E82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12.4.4进度款审核和支付</w:t>
      </w:r>
    </w:p>
    <w:p w14:paraId="29CFF7BE">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（1）监理人审查并报送发包人的期限：</w:t>
      </w:r>
      <w:r>
        <w:rPr>
          <w:rFonts w:hint="eastAsia" w:ascii="宋体" w:hAnsi="宋体" w:cs="宋体"/>
          <w:sz w:val="32"/>
          <w:szCs w:val="32"/>
          <w:u w:val="single"/>
        </w:rPr>
        <w:t>监理人应在收到承包人进度付款申请单以及相关资料后7天内完成审查并报送发包人</w:t>
      </w:r>
      <w:r>
        <w:rPr>
          <w:rFonts w:hint="eastAsia" w:ascii="宋体" w:hAnsi="宋体" w:cs="宋体"/>
          <w:sz w:val="32"/>
          <w:szCs w:val="32"/>
        </w:rPr>
        <w:t>。</w:t>
      </w:r>
    </w:p>
    <w:p w14:paraId="7995B148">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发包人完成审批并签发进度款支付证书的期限：</w:t>
      </w:r>
      <w:r>
        <w:rPr>
          <w:rFonts w:hint="eastAsia" w:ascii="宋体" w:hAnsi="宋体" w:cs="宋体"/>
          <w:sz w:val="32"/>
          <w:szCs w:val="32"/>
          <w:u w:val="single"/>
        </w:rPr>
        <w:t>发包人应在收到后7天内完成审批并签发进度款支付证书</w:t>
      </w:r>
      <w:r>
        <w:rPr>
          <w:rFonts w:hint="eastAsia" w:ascii="宋体" w:hAnsi="宋体" w:cs="宋体"/>
          <w:sz w:val="32"/>
          <w:szCs w:val="32"/>
        </w:rPr>
        <w:t>。</w:t>
      </w:r>
    </w:p>
    <w:p w14:paraId="3002DE0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（2）发包人支付进度款的期限：</w:t>
      </w:r>
      <w:r>
        <w:rPr>
          <w:rFonts w:hint="eastAsia" w:ascii="宋体" w:hAnsi="宋体" w:cs="宋体"/>
          <w:sz w:val="32"/>
          <w:szCs w:val="32"/>
          <w:u w:val="single"/>
        </w:rPr>
        <w:t>发包人应在进度款支付证书或临时进度款支付证书签发后</w:t>
      </w:r>
      <w:r>
        <w:rPr>
          <w:rFonts w:hint="eastAsia" w:ascii="宋体" w:hAnsi="宋体" w:cs="宋体"/>
          <w:sz w:val="32"/>
          <w:szCs w:val="32"/>
          <w:u w:val="single"/>
          <w:lang w:val="en-US" w:eastAsia="zh-CN"/>
        </w:rPr>
        <w:t xml:space="preserve">    </w:t>
      </w:r>
      <w:r>
        <w:rPr>
          <w:rFonts w:hint="eastAsia" w:ascii="宋体" w:hAnsi="宋体" w:cs="宋体"/>
          <w:sz w:val="32"/>
          <w:szCs w:val="32"/>
          <w:u w:val="single"/>
        </w:rPr>
        <w:t>天内完成支付</w:t>
      </w:r>
      <w:r>
        <w:rPr>
          <w:rFonts w:hint="eastAsia" w:ascii="宋体" w:hAnsi="宋体" w:cs="宋体"/>
          <w:sz w:val="32"/>
          <w:szCs w:val="32"/>
        </w:rPr>
        <w:t>。</w:t>
      </w:r>
    </w:p>
    <w:p w14:paraId="652CFC9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发包人逾期支付进度款的违约金的计算方式：。</w:t>
      </w:r>
    </w:p>
    <w:p w14:paraId="4C3DEBB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12.4.6支付分解表的编制</w:t>
      </w:r>
    </w:p>
    <w:p w14:paraId="4A1F696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2、总价合同支付分解表的编制与审批：。</w:t>
      </w:r>
    </w:p>
    <w:p w14:paraId="711B3DD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3、单价合同的总价项目支付分解表的编制与审批：。</w:t>
      </w:r>
    </w:p>
    <w:bookmarkEnd w:id="1611"/>
    <w:p w14:paraId="01DFAB99">
      <w:pPr>
        <w:keepNext/>
        <w:keepLines/>
        <w:spacing w:line="440" w:lineRule="exact"/>
        <w:ind w:firstLine="640" w:firstLineChars="200"/>
        <w:outlineLvl w:val="3"/>
        <w:rPr>
          <w:rFonts w:hint="eastAsia" w:ascii="宋体" w:hAnsi="宋体" w:cs="宋体"/>
          <w:bCs/>
          <w:sz w:val="32"/>
          <w:szCs w:val="32"/>
        </w:rPr>
      </w:pPr>
      <w:bookmarkStart w:id="1798" w:name="_Toc23845"/>
      <w:bookmarkStart w:id="1799" w:name="_Toc15468"/>
      <w:bookmarkStart w:id="1800" w:name="_Toc351203645"/>
      <w:bookmarkStart w:id="1801" w:name="_Toc303539172"/>
      <w:bookmarkStart w:id="1802" w:name="_Toc296503219"/>
      <w:bookmarkStart w:id="1803" w:name="_Toc312678053"/>
      <w:bookmarkStart w:id="1804" w:name="_Toc296347218"/>
      <w:bookmarkStart w:id="1805" w:name="_Toc297216223"/>
      <w:bookmarkStart w:id="1806" w:name="_Toc297123564"/>
      <w:bookmarkStart w:id="1807" w:name="_Toc297048405"/>
      <w:bookmarkStart w:id="1808" w:name="_Toc292559424"/>
      <w:bookmarkStart w:id="1809" w:name="_Toc296346720"/>
      <w:bookmarkStart w:id="1810" w:name="_Toc296891047"/>
      <w:bookmarkStart w:id="1811" w:name="_Toc297120519"/>
      <w:bookmarkStart w:id="1812" w:name="_Toc292559929"/>
      <w:bookmarkStart w:id="1813" w:name="_Toc296891259"/>
      <w:bookmarkStart w:id="1814" w:name="_Toc300935015"/>
      <w:bookmarkStart w:id="1815" w:name="_Toc304295593"/>
      <w:bookmarkStart w:id="1816" w:name="_Toc296944558"/>
      <w:r>
        <w:rPr>
          <w:rFonts w:hint="eastAsia" w:ascii="宋体" w:hAnsi="宋体" w:cs="宋体"/>
          <w:bCs/>
          <w:sz w:val="32"/>
          <w:szCs w:val="32"/>
        </w:rPr>
        <w:t>13.验收和工程试车</w:t>
      </w:r>
      <w:bookmarkEnd w:id="1798"/>
      <w:bookmarkEnd w:id="1799"/>
      <w:bookmarkEnd w:id="1800"/>
    </w:p>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p w14:paraId="33E26EFD">
      <w:pPr>
        <w:spacing w:line="440" w:lineRule="exact"/>
        <w:ind w:firstLine="640" w:firstLineChars="200"/>
        <w:rPr>
          <w:rFonts w:hint="eastAsia" w:ascii="宋体" w:hAnsi="宋体" w:cs="宋体"/>
          <w:sz w:val="32"/>
          <w:szCs w:val="32"/>
        </w:rPr>
      </w:pPr>
      <w:r>
        <w:rPr>
          <w:rFonts w:hint="eastAsia" w:ascii="宋体" w:hAnsi="宋体" w:cs="宋体"/>
          <w:sz w:val="32"/>
          <w:szCs w:val="32"/>
        </w:rPr>
        <w:t>13.1分部分项工程验收</w:t>
      </w:r>
    </w:p>
    <w:p w14:paraId="3A4311E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13.1.2监理人不能按时进行验收时，应提前</w:t>
      </w:r>
      <w:r>
        <w:rPr>
          <w:rFonts w:hint="eastAsia" w:ascii="宋体" w:hAnsi="宋体" w:cs="宋体"/>
          <w:sz w:val="32"/>
          <w:szCs w:val="32"/>
          <w:u w:val="single"/>
        </w:rPr>
        <w:t>24</w:t>
      </w:r>
      <w:r>
        <w:rPr>
          <w:rFonts w:hint="eastAsia" w:ascii="宋体" w:hAnsi="宋体" w:cs="宋体"/>
          <w:sz w:val="32"/>
          <w:szCs w:val="32"/>
        </w:rPr>
        <w:t>小时提交书面延期要求。</w:t>
      </w:r>
    </w:p>
    <w:p w14:paraId="3862105E">
      <w:pPr>
        <w:spacing w:line="440" w:lineRule="exact"/>
        <w:ind w:firstLine="640" w:firstLineChars="200"/>
        <w:jc w:val="left"/>
        <w:rPr>
          <w:rFonts w:hint="eastAsia" w:ascii="宋体" w:hAnsi="宋体" w:cs="宋体"/>
          <w:b/>
          <w:sz w:val="32"/>
          <w:szCs w:val="32"/>
        </w:rPr>
      </w:pPr>
      <w:r>
        <w:rPr>
          <w:rFonts w:hint="eastAsia" w:ascii="宋体" w:hAnsi="宋体" w:cs="宋体"/>
          <w:sz w:val="32"/>
          <w:szCs w:val="32"/>
        </w:rPr>
        <w:t>关于延期最长不得超过：</w:t>
      </w:r>
      <w:r>
        <w:rPr>
          <w:rFonts w:hint="eastAsia" w:ascii="宋体" w:hAnsi="宋体" w:cs="宋体"/>
          <w:sz w:val="32"/>
          <w:szCs w:val="32"/>
          <w:u w:val="single"/>
        </w:rPr>
        <w:t>48</w:t>
      </w:r>
      <w:r>
        <w:rPr>
          <w:rFonts w:hint="eastAsia" w:ascii="宋体" w:hAnsi="宋体" w:cs="宋体"/>
          <w:sz w:val="32"/>
          <w:szCs w:val="32"/>
        </w:rPr>
        <w:t>小时。</w:t>
      </w:r>
    </w:p>
    <w:p w14:paraId="1CF00860">
      <w:pPr>
        <w:spacing w:line="440" w:lineRule="exact"/>
        <w:ind w:firstLine="640" w:firstLineChars="200"/>
        <w:rPr>
          <w:rFonts w:hint="eastAsia" w:ascii="宋体" w:hAnsi="宋体" w:cs="宋体"/>
          <w:sz w:val="32"/>
          <w:szCs w:val="32"/>
        </w:rPr>
      </w:pPr>
      <w:bookmarkStart w:id="1817" w:name="_Toc296891051"/>
      <w:bookmarkStart w:id="1818" w:name="_Toc292559428"/>
      <w:bookmarkStart w:id="1819" w:name="_Toc297216224"/>
      <w:bookmarkStart w:id="1820" w:name="_Toc296346724"/>
      <w:bookmarkStart w:id="1821" w:name="_Toc303539173"/>
      <w:bookmarkStart w:id="1822" w:name="_Toc296503223"/>
      <w:bookmarkStart w:id="1823" w:name="_Toc297048409"/>
      <w:bookmarkStart w:id="1824" w:name="_Toc304295596"/>
      <w:bookmarkStart w:id="1825" w:name="_Toc296347222"/>
      <w:bookmarkStart w:id="1826" w:name="_Toc297120523"/>
      <w:bookmarkStart w:id="1827" w:name="_Toc312678056"/>
      <w:bookmarkStart w:id="1828" w:name="_Toc297123565"/>
      <w:bookmarkStart w:id="1829" w:name="_Toc292559933"/>
      <w:bookmarkStart w:id="1830" w:name="_Toc296891263"/>
      <w:bookmarkStart w:id="1831" w:name="_Toc296944562"/>
      <w:bookmarkStart w:id="1832" w:name="_Toc300935016"/>
      <w:bookmarkStart w:id="1833" w:name="_Toc267251475"/>
      <w:bookmarkStart w:id="1834" w:name="_Toc267251470"/>
      <w:bookmarkStart w:id="1835" w:name="_Toc267251472"/>
      <w:bookmarkStart w:id="1836" w:name="_Toc267251476"/>
      <w:bookmarkStart w:id="1837" w:name="_Toc267251473"/>
      <w:bookmarkStart w:id="1838" w:name="_Toc267251471"/>
      <w:bookmarkStart w:id="1839" w:name="_Toc267251474"/>
      <w:r>
        <w:rPr>
          <w:rFonts w:hint="eastAsia" w:ascii="宋体" w:hAnsi="宋体" w:cs="宋体"/>
          <w:sz w:val="32"/>
          <w:szCs w:val="32"/>
        </w:rPr>
        <w:t>13.2竣工验收</w:t>
      </w:r>
    </w:p>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p w14:paraId="693524AE">
      <w:pPr>
        <w:spacing w:line="440" w:lineRule="exact"/>
        <w:ind w:firstLine="640" w:firstLineChars="200"/>
        <w:jc w:val="left"/>
        <w:rPr>
          <w:rFonts w:hint="eastAsia" w:ascii="宋体" w:hAnsi="宋体" w:cs="宋体"/>
          <w:sz w:val="32"/>
          <w:szCs w:val="32"/>
        </w:rPr>
      </w:pPr>
      <w:bookmarkStart w:id="1840" w:name="_Toc280868704"/>
      <w:bookmarkStart w:id="1841" w:name="_Toc280868705"/>
      <w:bookmarkStart w:id="1842" w:name="_Toc280868706"/>
      <w:bookmarkStart w:id="1843" w:name="_Toc280868707"/>
      <w:bookmarkStart w:id="1844" w:name="_Toc280868708"/>
      <w:bookmarkStart w:id="1845" w:name="_Toc280868709"/>
      <w:r>
        <w:rPr>
          <w:rFonts w:hint="eastAsia" w:ascii="宋体" w:hAnsi="宋体" w:cs="宋体"/>
          <w:sz w:val="32"/>
          <w:szCs w:val="32"/>
        </w:rPr>
        <w:t>13.2.2竣工验收程序</w:t>
      </w:r>
    </w:p>
    <w:bookmarkEnd w:id="1840"/>
    <w:p w14:paraId="5EB68130">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关于竣工验收程序的约定：</w:t>
      </w:r>
      <w:r>
        <w:rPr>
          <w:rFonts w:hint="eastAsia" w:ascii="宋体" w:hAnsi="宋体" w:cs="宋体"/>
          <w:sz w:val="32"/>
          <w:szCs w:val="32"/>
          <w:u w:val="single"/>
        </w:rPr>
        <w:t>执行本合同通用条款</w:t>
      </w:r>
      <w:r>
        <w:rPr>
          <w:rFonts w:hint="eastAsia" w:ascii="宋体" w:hAnsi="宋体" w:cs="宋体"/>
          <w:sz w:val="32"/>
          <w:szCs w:val="32"/>
        </w:rPr>
        <w:t>。</w:t>
      </w:r>
    </w:p>
    <w:p w14:paraId="4C348839">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发包人不按照本项约定组织竣工验收、颁发工程接收证书的违约金的计算方法：</w:t>
      </w:r>
      <w:r>
        <w:rPr>
          <w:rFonts w:hint="eastAsia" w:ascii="宋体" w:hAnsi="宋体" w:cs="宋体"/>
          <w:sz w:val="32"/>
          <w:szCs w:val="32"/>
          <w:u w:val="single"/>
        </w:rPr>
        <w:t>执行本合同通用条款，发包方代表在收到竣工结算书后60日内提出审核意见</w:t>
      </w:r>
      <w:r>
        <w:rPr>
          <w:rFonts w:hint="eastAsia" w:ascii="宋体" w:hAnsi="宋体" w:cs="宋体"/>
          <w:sz w:val="32"/>
          <w:szCs w:val="32"/>
        </w:rPr>
        <w:t>。</w:t>
      </w:r>
    </w:p>
    <w:bookmarkEnd w:id="1841"/>
    <w:p w14:paraId="2B38DE4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13.2.5移交、接收全部与部分工程</w:t>
      </w:r>
    </w:p>
    <w:bookmarkEnd w:id="1842"/>
    <w:p w14:paraId="4A90C88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承包人向发包人移交工程的期限：</w:t>
      </w:r>
      <w:r>
        <w:rPr>
          <w:rFonts w:hint="eastAsia" w:ascii="宋体" w:hAnsi="宋体" w:cs="宋体"/>
          <w:sz w:val="32"/>
          <w:szCs w:val="32"/>
          <w:u w:val="single"/>
        </w:rPr>
        <w:t>执行本合同通用条款</w:t>
      </w:r>
      <w:r>
        <w:rPr>
          <w:rFonts w:hint="eastAsia" w:ascii="宋体" w:hAnsi="宋体" w:cs="宋体"/>
          <w:sz w:val="32"/>
          <w:szCs w:val="32"/>
        </w:rPr>
        <w:t>。</w:t>
      </w:r>
    </w:p>
    <w:p w14:paraId="10FAC596">
      <w:pPr>
        <w:spacing w:line="440" w:lineRule="exact"/>
        <w:ind w:firstLine="640" w:firstLineChars="200"/>
        <w:jc w:val="left"/>
        <w:rPr>
          <w:rFonts w:hint="eastAsia" w:ascii="宋体" w:hAnsi="宋体" w:cs="宋体"/>
          <w:sz w:val="32"/>
          <w:szCs w:val="32"/>
          <w:u w:val="single"/>
        </w:rPr>
      </w:pPr>
      <w:r>
        <w:rPr>
          <w:rFonts w:hint="eastAsia" w:ascii="宋体" w:hAnsi="宋体" w:cs="宋体"/>
          <w:kern w:val="0"/>
          <w:sz w:val="32"/>
          <w:szCs w:val="32"/>
        </w:rPr>
        <w:t>发包人未按本合同约定接收全部或部分工程的，违约金的计算方法为：</w:t>
      </w:r>
      <w:r>
        <w:rPr>
          <w:rFonts w:hint="eastAsia" w:ascii="宋体" w:hAnsi="宋体" w:cs="宋体"/>
          <w:sz w:val="32"/>
          <w:szCs w:val="32"/>
          <w:u w:val="single"/>
        </w:rPr>
        <w:t>执行本合同通用条款</w:t>
      </w:r>
      <w:r>
        <w:rPr>
          <w:rFonts w:hint="eastAsia" w:ascii="宋体" w:hAnsi="宋体" w:cs="宋体"/>
          <w:sz w:val="32"/>
          <w:szCs w:val="32"/>
        </w:rPr>
        <w:t>。</w:t>
      </w:r>
    </w:p>
    <w:bookmarkEnd w:id="1843"/>
    <w:p w14:paraId="0AD741A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承包人未按时移交工程的，违约金的计算方法为：</w:t>
      </w:r>
      <w:r>
        <w:rPr>
          <w:rFonts w:hint="eastAsia" w:ascii="宋体" w:hAnsi="宋体" w:cs="宋体"/>
          <w:sz w:val="32"/>
          <w:szCs w:val="32"/>
          <w:u w:val="single"/>
        </w:rPr>
        <w:t>执行本合同通用条款</w:t>
      </w:r>
      <w:r>
        <w:rPr>
          <w:rFonts w:hint="eastAsia" w:ascii="宋体" w:hAnsi="宋体" w:cs="宋体"/>
          <w:sz w:val="32"/>
          <w:szCs w:val="32"/>
        </w:rPr>
        <w:t>。</w:t>
      </w:r>
    </w:p>
    <w:p w14:paraId="3B5F6334">
      <w:pPr>
        <w:spacing w:line="440" w:lineRule="exact"/>
        <w:ind w:firstLine="640" w:firstLineChars="200"/>
        <w:rPr>
          <w:rFonts w:hint="eastAsia" w:ascii="宋体" w:hAnsi="宋体" w:cs="宋体"/>
          <w:sz w:val="32"/>
          <w:szCs w:val="32"/>
        </w:rPr>
      </w:pPr>
      <w:r>
        <w:rPr>
          <w:rFonts w:hint="eastAsia" w:ascii="宋体" w:hAnsi="宋体" w:cs="宋体"/>
          <w:sz w:val="32"/>
          <w:szCs w:val="32"/>
        </w:rPr>
        <w:t>13.3工程试车</w:t>
      </w:r>
    </w:p>
    <w:bookmarkEnd w:id="1844"/>
    <w:p w14:paraId="613CCB19">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13.3.1试车程序</w:t>
      </w:r>
    </w:p>
    <w:p w14:paraId="67944BF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工程试车内容：</w:t>
      </w:r>
      <w:r>
        <w:rPr>
          <w:rFonts w:hint="eastAsia" w:ascii="宋体" w:hAnsi="宋体" w:cs="宋体"/>
          <w:sz w:val="32"/>
          <w:szCs w:val="32"/>
          <w:u w:val="single"/>
        </w:rPr>
        <w:t>/</w:t>
      </w:r>
      <w:r>
        <w:rPr>
          <w:rFonts w:hint="eastAsia" w:ascii="宋体" w:hAnsi="宋体" w:cs="宋体"/>
          <w:sz w:val="32"/>
          <w:szCs w:val="32"/>
        </w:rPr>
        <w:t>。</w:t>
      </w:r>
    </w:p>
    <w:p w14:paraId="1198669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（1）单机无负荷试车费用由</w:t>
      </w:r>
      <w:r>
        <w:rPr>
          <w:rFonts w:hint="eastAsia" w:ascii="宋体" w:hAnsi="宋体" w:cs="宋体"/>
          <w:sz w:val="32"/>
          <w:szCs w:val="32"/>
          <w:u w:val="single"/>
        </w:rPr>
        <w:t>/</w:t>
      </w:r>
      <w:r>
        <w:rPr>
          <w:rFonts w:hint="eastAsia" w:ascii="宋体" w:hAnsi="宋体" w:cs="宋体"/>
          <w:kern w:val="0"/>
          <w:sz w:val="32"/>
          <w:szCs w:val="32"/>
        </w:rPr>
        <w:t>承担；</w:t>
      </w:r>
    </w:p>
    <w:p w14:paraId="6FED19C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（2）无负荷联动试车费用由</w:t>
      </w:r>
      <w:r>
        <w:rPr>
          <w:rFonts w:hint="eastAsia" w:ascii="宋体" w:hAnsi="宋体" w:cs="宋体"/>
          <w:sz w:val="32"/>
          <w:szCs w:val="32"/>
          <w:u w:val="single"/>
        </w:rPr>
        <w:t>/</w:t>
      </w:r>
      <w:r>
        <w:rPr>
          <w:rFonts w:hint="eastAsia" w:ascii="宋体" w:hAnsi="宋体" w:cs="宋体"/>
          <w:kern w:val="0"/>
          <w:sz w:val="32"/>
          <w:szCs w:val="32"/>
        </w:rPr>
        <w:t>承担。</w:t>
      </w:r>
    </w:p>
    <w:p w14:paraId="20BE6E2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13.3.3投料试车</w:t>
      </w:r>
    </w:p>
    <w:p w14:paraId="2AA9E78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关于投料试车相关事项的约定：</w:t>
      </w:r>
      <w:r>
        <w:rPr>
          <w:rFonts w:hint="eastAsia" w:ascii="宋体" w:hAnsi="宋体" w:cs="宋体"/>
          <w:sz w:val="32"/>
          <w:szCs w:val="32"/>
          <w:u w:val="single"/>
        </w:rPr>
        <w:t>执行本合同通用条款</w:t>
      </w:r>
      <w:r>
        <w:rPr>
          <w:rFonts w:hint="eastAsia" w:ascii="宋体" w:hAnsi="宋体" w:cs="宋体"/>
          <w:sz w:val="32"/>
          <w:szCs w:val="32"/>
        </w:rPr>
        <w:t>。</w:t>
      </w:r>
    </w:p>
    <w:p w14:paraId="41E939CF">
      <w:pPr>
        <w:spacing w:line="440" w:lineRule="exact"/>
        <w:ind w:firstLine="640" w:firstLineChars="200"/>
        <w:outlineLvl w:val="0"/>
        <w:rPr>
          <w:rFonts w:hint="eastAsia" w:ascii="宋体" w:hAnsi="宋体" w:cs="宋体"/>
          <w:sz w:val="32"/>
          <w:szCs w:val="32"/>
        </w:rPr>
      </w:pPr>
      <w:bookmarkStart w:id="1846" w:name="_Toc256000059"/>
      <w:bookmarkStart w:id="1847" w:name="_Toc256000161"/>
      <w:bookmarkStart w:id="1848" w:name="_Toc256000120"/>
      <w:bookmarkStart w:id="1849" w:name="_Toc17314"/>
      <w:bookmarkStart w:id="1850" w:name="_Toc256000256"/>
      <w:bookmarkStart w:id="1851" w:name="_Toc19115"/>
      <w:r>
        <w:rPr>
          <w:rFonts w:hint="eastAsia" w:ascii="宋体" w:hAnsi="宋体" w:cs="宋体"/>
          <w:sz w:val="32"/>
          <w:szCs w:val="32"/>
        </w:rPr>
        <w:t>13.6竣工退场</w:t>
      </w:r>
      <w:bookmarkEnd w:id="1846"/>
      <w:bookmarkEnd w:id="1847"/>
      <w:bookmarkEnd w:id="1848"/>
      <w:bookmarkEnd w:id="1849"/>
      <w:bookmarkEnd w:id="1850"/>
      <w:bookmarkEnd w:id="1851"/>
    </w:p>
    <w:p w14:paraId="3412E6AF">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13.6.1竣工退场</w:t>
      </w:r>
    </w:p>
    <w:p w14:paraId="60D62D3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承包人完成竣工退场的期限：</w:t>
      </w:r>
      <w:r>
        <w:rPr>
          <w:rFonts w:hint="eastAsia" w:ascii="宋体" w:hAnsi="宋体" w:cs="宋体"/>
          <w:sz w:val="32"/>
          <w:szCs w:val="32"/>
          <w:u w:val="single"/>
        </w:rPr>
        <w:t>执行本合同通用条款</w:t>
      </w:r>
      <w:r>
        <w:rPr>
          <w:rFonts w:hint="eastAsia" w:ascii="宋体" w:hAnsi="宋体" w:cs="宋体"/>
          <w:kern w:val="0"/>
          <w:sz w:val="32"/>
          <w:szCs w:val="32"/>
        </w:rPr>
        <w:t>。</w:t>
      </w:r>
    </w:p>
    <w:p w14:paraId="170D0FBF">
      <w:pPr>
        <w:keepNext/>
        <w:keepLines/>
        <w:spacing w:line="440" w:lineRule="exact"/>
        <w:ind w:firstLine="640" w:firstLineChars="200"/>
        <w:outlineLvl w:val="3"/>
        <w:rPr>
          <w:rFonts w:hint="eastAsia" w:ascii="宋体" w:hAnsi="宋体" w:cs="宋体"/>
          <w:bCs/>
          <w:sz w:val="32"/>
          <w:szCs w:val="32"/>
        </w:rPr>
      </w:pPr>
      <w:bookmarkStart w:id="1852" w:name="_Toc351203646"/>
      <w:bookmarkStart w:id="1853" w:name="_Toc17080"/>
      <w:bookmarkStart w:id="1854" w:name="_Toc26766"/>
      <w:r>
        <w:rPr>
          <w:rFonts w:hint="eastAsia" w:ascii="宋体" w:hAnsi="宋体" w:cs="宋体"/>
          <w:bCs/>
          <w:sz w:val="32"/>
          <w:szCs w:val="32"/>
        </w:rPr>
        <w:t>14.竣工结算</w:t>
      </w:r>
      <w:bookmarkEnd w:id="1852"/>
      <w:bookmarkEnd w:id="1853"/>
      <w:bookmarkEnd w:id="1854"/>
    </w:p>
    <w:p w14:paraId="61D31E0C">
      <w:pPr>
        <w:spacing w:line="440" w:lineRule="exact"/>
        <w:ind w:firstLine="640" w:firstLineChars="200"/>
        <w:rPr>
          <w:rFonts w:hint="eastAsia" w:ascii="宋体" w:hAnsi="宋体" w:cs="宋体"/>
          <w:sz w:val="32"/>
          <w:szCs w:val="32"/>
        </w:rPr>
      </w:pPr>
      <w:r>
        <w:rPr>
          <w:rFonts w:hint="eastAsia" w:ascii="宋体" w:hAnsi="宋体" w:cs="宋体"/>
          <w:sz w:val="32"/>
          <w:szCs w:val="32"/>
        </w:rPr>
        <w:t>14.1竣工结算申请</w:t>
      </w:r>
    </w:p>
    <w:p w14:paraId="22548DA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承包人提交竣工结算申请单的期限：</w:t>
      </w:r>
      <w:r>
        <w:rPr>
          <w:rFonts w:hint="eastAsia" w:ascii="宋体" w:hAnsi="宋体" w:cs="宋体"/>
          <w:sz w:val="32"/>
          <w:szCs w:val="32"/>
          <w:u w:val="single"/>
        </w:rPr>
        <w:t>承包人应在工程竣工验收合格后向发包人和监理人提交竣工结算申请单</w:t>
      </w:r>
      <w:r>
        <w:rPr>
          <w:rFonts w:hint="eastAsia" w:ascii="宋体" w:hAnsi="宋体" w:cs="宋体"/>
          <w:sz w:val="32"/>
          <w:szCs w:val="32"/>
        </w:rPr>
        <w:t>。</w:t>
      </w:r>
    </w:p>
    <w:p w14:paraId="00EAC6A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竣工结算申请单应包括的内容：</w:t>
      </w:r>
      <w:r>
        <w:rPr>
          <w:rFonts w:hint="eastAsia" w:ascii="宋体" w:hAnsi="宋体" w:cs="宋体"/>
          <w:sz w:val="32"/>
          <w:szCs w:val="32"/>
          <w:u w:val="single"/>
        </w:rPr>
        <w:t>（1）竣工结算合同价格；（2）发包人已支付承包人的款项；（3）应扣留的质量保证金；（4）发包人应支付承包人的合同价款</w:t>
      </w:r>
      <w:r>
        <w:rPr>
          <w:rFonts w:hint="eastAsia" w:ascii="宋体" w:hAnsi="宋体" w:cs="宋体"/>
          <w:sz w:val="32"/>
          <w:szCs w:val="32"/>
        </w:rPr>
        <w:t>。</w:t>
      </w:r>
    </w:p>
    <w:p w14:paraId="142E131F">
      <w:pPr>
        <w:spacing w:line="440" w:lineRule="exact"/>
        <w:ind w:firstLine="640" w:firstLineChars="200"/>
        <w:outlineLvl w:val="0"/>
        <w:rPr>
          <w:rFonts w:hint="eastAsia" w:ascii="宋体" w:hAnsi="宋体" w:cs="宋体"/>
          <w:sz w:val="32"/>
          <w:szCs w:val="32"/>
        </w:rPr>
      </w:pPr>
      <w:bookmarkStart w:id="1855" w:name="_Toc256000162"/>
      <w:bookmarkStart w:id="1856" w:name="_Toc17494"/>
      <w:bookmarkStart w:id="1857" w:name="_Toc256000257"/>
      <w:bookmarkStart w:id="1858" w:name="_Toc256000121"/>
      <w:bookmarkStart w:id="1859" w:name="_Toc256000060"/>
      <w:bookmarkStart w:id="1860" w:name="_Toc20068"/>
      <w:r>
        <w:rPr>
          <w:rFonts w:hint="eastAsia" w:ascii="宋体" w:hAnsi="宋体" w:cs="宋体"/>
          <w:sz w:val="32"/>
          <w:szCs w:val="32"/>
        </w:rPr>
        <w:t>14.2竣工结算审核</w:t>
      </w:r>
      <w:bookmarkEnd w:id="1855"/>
      <w:bookmarkEnd w:id="1856"/>
      <w:bookmarkEnd w:id="1857"/>
      <w:bookmarkEnd w:id="1858"/>
      <w:bookmarkEnd w:id="1859"/>
      <w:bookmarkEnd w:id="1860"/>
    </w:p>
    <w:p w14:paraId="3943974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发包人审批竣工付款申请单的期限：</w:t>
      </w:r>
      <w:r>
        <w:rPr>
          <w:rFonts w:hint="eastAsia" w:ascii="宋体" w:hAnsi="宋体" w:cs="宋体"/>
          <w:sz w:val="32"/>
          <w:szCs w:val="32"/>
          <w:u w:val="single"/>
        </w:rPr>
        <w:t>双方协商</w:t>
      </w:r>
      <w:r>
        <w:rPr>
          <w:rFonts w:hint="eastAsia" w:ascii="宋体" w:hAnsi="宋体" w:cs="宋体"/>
          <w:sz w:val="32"/>
          <w:szCs w:val="32"/>
        </w:rPr>
        <w:t>。</w:t>
      </w:r>
    </w:p>
    <w:p w14:paraId="3DC99C9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发包人完成竣工付款的期限：</w:t>
      </w:r>
      <w:r>
        <w:rPr>
          <w:rFonts w:hint="eastAsia" w:ascii="宋体" w:hAnsi="宋体" w:cs="宋体"/>
          <w:sz w:val="32"/>
          <w:szCs w:val="32"/>
          <w:u w:val="single"/>
        </w:rPr>
        <w:t>双方协商</w:t>
      </w:r>
      <w:r>
        <w:rPr>
          <w:rFonts w:hint="eastAsia" w:ascii="宋体" w:hAnsi="宋体" w:cs="宋体"/>
          <w:sz w:val="32"/>
          <w:szCs w:val="32"/>
        </w:rPr>
        <w:t>。</w:t>
      </w:r>
    </w:p>
    <w:p w14:paraId="4C9E75C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关于竣工付款证书异议部分复核的方式和程序：</w:t>
      </w:r>
      <w:r>
        <w:rPr>
          <w:rFonts w:hint="eastAsia" w:ascii="宋体" w:hAnsi="宋体" w:cs="宋体"/>
          <w:sz w:val="32"/>
          <w:szCs w:val="32"/>
          <w:u w:val="single"/>
        </w:rPr>
        <w:t>合同协议书</w:t>
      </w:r>
      <w:r>
        <w:rPr>
          <w:rFonts w:hint="eastAsia" w:ascii="宋体" w:hAnsi="宋体" w:cs="宋体"/>
          <w:sz w:val="32"/>
          <w:szCs w:val="32"/>
        </w:rPr>
        <w:t>。</w:t>
      </w:r>
    </w:p>
    <w:p w14:paraId="63BD7AE6">
      <w:pPr>
        <w:spacing w:line="440" w:lineRule="exact"/>
        <w:ind w:firstLine="640" w:firstLineChars="200"/>
        <w:rPr>
          <w:rFonts w:hint="eastAsia" w:ascii="宋体" w:hAnsi="宋体" w:cs="宋体"/>
          <w:sz w:val="32"/>
          <w:szCs w:val="32"/>
        </w:rPr>
      </w:pPr>
      <w:r>
        <w:rPr>
          <w:rFonts w:hint="eastAsia" w:ascii="宋体" w:hAnsi="宋体" w:cs="宋体"/>
          <w:sz w:val="32"/>
          <w:szCs w:val="32"/>
        </w:rPr>
        <w:t>14.4最终结清</w:t>
      </w:r>
    </w:p>
    <w:p w14:paraId="6F9798D8">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14.4.1最终结清申请单</w:t>
      </w:r>
    </w:p>
    <w:p w14:paraId="41E9685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承包人提交最终结清申请单的份数：</w:t>
      </w:r>
      <w:r>
        <w:rPr>
          <w:rFonts w:hint="eastAsia" w:ascii="宋体" w:hAnsi="宋体" w:cs="宋体"/>
          <w:sz w:val="32"/>
          <w:szCs w:val="32"/>
          <w:u w:val="single"/>
        </w:rPr>
        <w:t>肆份</w:t>
      </w:r>
      <w:r>
        <w:rPr>
          <w:rFonts w:hint="eastAsia" w:ascii="宋体" w:hAnsi="宋体" w:cs="宋体"/>
          <w:sz w:val="32"/>
          <w:szCs w:val="32"/>
        </w:rPr>
        <w:t>。</w:t>
      </w:r>
    </w:p>
    <w:p w14:paraId="33017189">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承包人提交最终结算申请单的期限：</w:t>
      </w:r>
      <w:r>
        <w:rPr>
          <w:rFonts w:hint="eastAsia" w:ascii="宋体" w:hAnsi="宋体" w:cs="宋体"/>
          <w:sz w:val="32"/>
          <w:szCs w:val="32"/>
          <w:u w:val="single"/>
        </w:rPr>
        <w:t>承包人应在缺陷责任期终止证书颁发后，按发包人要求的份数向发包人提交最终结清申请单，并提供相关证明材料</w:t>
      </w:r>
      <w:r>
        <w:rPr>
          <w:rFonts w:hint="eastAsia" w:ascii="宋体" w:hAnsi="宋体" w:cs="宋体"/>
          <w:sz w:val="32"/>
          <w:szCs w:val="32"/>
        </w:rPr>
        <w:t>。</w:t>
      </w:r>
    </w:p>
    <w:p w14:paraId="425EA7E9">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14.4.2最终结清证书和支付</w:t>
      </w:r>
    </w:p>
    <w:p w14:paraId="1999B16C">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（1）发包人完成最终结清申请单的审批并颁发最终结清证书的期限：</w:t>
      </w:r>
      <w:r>
        <w:rPr>
          <w:rFonts w:hint="eastAsia" w:ascii="宋体" w:hAnsi="宋体" w:cs="宋体"/>
          <w:sz w:val="32"/>
          <w:szCs w:val="32"/>
          <w:u w:val="single"/>
        </w:rPr>
        <w:t>在收到承包人提交的最终结清申请单后14日内</w:t>
      </w:r>
      <w:r>
        <w:rPr>
          <w:rFonts w:hint="eastAsia" w:ascii="宋体" w:hAnsi="宋体" w:cs="宋体"/>
          <w:sz w:val="32"/>
          <w:szCs w:val="32"/>
        </w:rPr>
        <w:t>。</w:t>
      </w:r>
    </w:p>
    <w:p w14:paraId="4B61D4FB">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（2）发包人完成支付的期限：</w:t>
      </w:r>
      <w:r>
        <w:rPr>
          <w:rFonts w:hint="eastAsia" w:ascii="宋体" w:hAnsi="宋体" w:cs="宋体"/>
          <w:sz w:val="32"/>
          <w:szCs w:val="32"/>
          <w:u w:val="single"/>
        </w:rPr>
        <w:t>在颁发最终结清证书后7日内</w:t>
      </w:r>
      <w:r>
        <w:rPr>
          <w:rFonts w:hint="eastAsia" w:ascii="宋体" w:hAnsi="宋体" w:cs="宋体"/>
          <w:sz w:val="32"/>
          <w:szCs w:val="32"/>
        </w:rPr>
        <w:t>。</w:t>
      </w:r>
    </w:p>
    <w:bookmarkEnd w:id="1833"/>
    <w:bookmarkEnd w:id="1834"/>
    <w:bookmarkEnd w:id="1835"/>
    <w:bookmarkEnd w:id="1836"/>
    <w:bookmarkEnd w:id="1837"/>
    <w:bookmarkEnd w:id="1838"/>
    <w:bookmarkEnd w:id="1839"/>
    <w:bookmarkEnd w:id="1845"/>
    <w:p w14:paraId="25F81E1F">
      <w:pPr>
        <w:keepNext/>
        <w:keepLines/>
        <w:spacing w:line="440" w:lineRule="exact"/>
        <w:ind w:firstLine="640" w:firstLineChars="200"/>
        <w:outlineLvl w:val="3"/>
        <w:rPr>
          <w:rFonts w:hint="eastAsia" w:ascii="宋体" w:hAnsi="宋体" w:cs="宋体"/>
          <w:bCs/>
          <w:sz w:val="32"/>
          <w:szCs w:val="32"/>
        </w:rPr>
      </w:pPr>
      <w:bookmarkStart w:id="1861" w:name="_Toc5702"/>
      <w:bookmarkStart w:id="1862" w:name="_Toc31571"/>
      <w:bookmarkStart w:id="1863" w:name="_Toc351203647"/>
      <w:bookmarkStart w:id="1864" w:name="_Toc267251483"/>
      <w:bookmarkStart w:id="1865" w:name="_Toc267251484"/>
      <w:bookmarkStart w:id="1866" w:name="_Toc267251482"/>
      <w:bookmarkStart w:id="1867" w:name="_Toc267251485"/>
      <w:bookmarkStart w:id="1868" w:name="_Toc267251490"/>
      <w:bookmarkStart w:id="1869" w:name="_Toc267251488"/>
      <w:bookmarkStart w:id="1870" w:name="_Toc267251489"/>
      <w:bookmarkStart w:id="1871" w:name="_Toc267251486"/>
      <w:bookmarkStart w:id="1872" w:name="_Toc267251502"/>
      <w:bookmarkStart w:id="1873" w:name="_Toc267251493"/>
      <w:bookmarkStart w:id="1874" w:name="_Toc267251496"/>
      <w:bookmarkStart w:id="1875" w:name="_Toc267251503"/>
      <w:bookmarkStart w:id="1876" w:name="_Toc267251494"/>
      <w:bookmarkStart w:id="1877" w:name="_Toc267251498"/>
      <w:bookmarkStart w:id="1878" w:name="_Toc267251491"/>
      <w:bookmarkStart w:id="1879" w:name="_Toc267251495"/>
      <w:bookmarkStart w:id="1880" w:name="_Toc267251499"/>
      <w:bookmarkStart w:id="1881" w:name="_Toc267251492"/>
      <w:bookmarkStart w:id="1882" w:name="_Toc267251497"/>
      <w:bookmarkStart w:id="1883" w:name="_Toc267251501"/>
      <w:bookmarkStart w:id="1884" w:name="_Toc267251504"/>
      <w:bookmarkStart w:id="1885" w:name="_Toc267251506"/>
      <w:bookmarkStart w:id="1886" w:name="_Toc267251507"/>
      <w:bookmarkStart w:id="1887" w:name="_Toc267251508"/>
      <w:bookmarkStart w:id="1888" w:name="_Toc267251511"/>
      <w:bookmarkStart w:id="1889" w:name="_Toc267251514"/>
      <w:bookmarkStart w:id="1890" w:name="_Toc267251513"/>
      <w:bookmarkStart w:id="1891" w:name="_Toc267251510"/>
      <w:bookmarkStart w:id="1892" w:name="_Toc267251515"/>
      <w:bookmarkStart w:id="1893" w:name="_Toc267251509"/>
      <w:r>
        <w:rPr>
          <w:rFonts w:hint="eastAsia" w:ascii="宋体" w:hAnsi="宋体" w:cs="宋体"/>
          <w:bCs/>
          <w:sz w:val="32"/>
          <w:szCs w:val="32"/>
        </w:rPr>
        <w:t>15.缺陷责任期与保修</w:t>
      </w:r>
      <w:bookmarkEnd w:id="1861"/>
      <w:bookmarkEnd w:id="1862"/>
      <w:bookmarkEnd w:id="1863"/>
    </w:p>
    <w:p w14:paraId="025CF3A5">
      <w:pPr>
        <w:spacing w:line="440" w:lineRule="exact"/>
        <w:ind w:firstLine="640" w:firstLineChars="200"/>
        <w:rPr>
          <w:rFonts w:hint="eastAsia" w:ascii="宋体" w:hAnsi="宋体" w:cs="宋体"/>
          <w:sz w:val="32"/>
          <w:szCs w:val="32"/>
        </w:rPr>
      </w:pPr>
      <w:r>
        <w:rPr>
          <w:rFonts w:hint="eastAsia" w:ascii="宋体" w:hAnsi="宋体" w:cs="宋体"/>
          <w:sz w:val="32"/>
          <w:szCs w:val="32"/>
        </w:rPr>
        <w:t>15.2缺陷责任期</w:t>
      </w:r>
      <w:bookmarkEnd w:id="1864"/>
    </w:p>
    <w:p w14:paraId="416BC75A">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缺陷责任期的具体期限：</w:t>
      </w:r>
      <w:r>
        <w:rPr>
          <w:rFonts w:hint="eastAsia" w:ascii="宋体" w:hAnsi="宋体" w:cs="宋体"/>
          <w:sz w:val="32"/>
          <w:szCs w:val="32"/>
          <w:u w:val="single"/>
        </w:rPr>
        <w:t>24个月</w:t>
      </w:r>
      <w:r>
        <w:rPr>
          <w:rFonts w:hint="eastAsia" w:ascii="宋体" w:hAnsi="宋体" w:cs="宋体"/>
          <w:sz w:val="32"/>
          <w:szCs w:val="32"/>
        </w:rPr>
        <w:t>。</w:t>
      </w:r>
    </w:p>
    <w:p w14:paraId="382FA2FF">
      <w:pPr>
        <w:spacing w:line="440" w:lineRule="exact"/>
        <w:ind w:firstLine="640" w:firstLineChars="200"/>
        <w:outlineLvl w:val="0"/>
        <w:rPr>
          <w:rFonts w:hint="eastAsia" w:ascii="宋体" w:hAnsi="宋体" w:cs="宋体"/>
          <w:sz w:val="32"/>
          <w:szCs w:val="32"/>
        </w:rPr>
      </w:pPr>
      <w:bookmarkStart w:id="1894" w:name="_Toc256000122"/>
      <w:bookmarkStart w:id="1895" w:name="_Toc256000258"/>
      <w:bookmarkStart w:id="1896" w:name="_Toc25031"/>
      <w:bookmarkStart w:id="1897" w:name="_Toc16987"/>
      <w:bookmarkStart w:id="1898" w:name="_Toc256000061"/>
      <w:bookmarkStart w:id="1899" w:name="_Toc256000163"/>
      <w:r>
        <w:rPr>
          <w:rFonts w:hint="eastAsia" w:ascii="宋体" w:hAnsi="宋体" w:cs="宋体"/>
          <w:sz w:val="32"/>
          <w:szCs w:val="32"/>
        </w:rPr>
        <w:t>15.3质量保证金</w:t>
      </w:r>
      <w:bookmarkEnd w:id="1894"/>
      <w:bookmarkEnd w:id="1895"/>
      <w:bookmarkEnd w:id="1896"/>
      <w:bookmarkEnd w:id="1897"/>
      <w:bookmarkEnd w:id="1898"/>
      <w:bookmarkEnd w:id="1899"/>
    </w:p>
    <w:p w14:paraId="58573A3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关于是否扣留质量保证金的约定：</w:t>
      </w:r>
      <w:r>
        <w:rPr>
          <w:rFonts w:hint="eastAsia" w:ascii="宋体" w:hAnsi="宋体" w:cs="宋体"/>
          <w:sz w:val="32"/>
          <w:szCs w:val="32"/>
          <w:u w:val="single"/>
        </w:rPr>
        <w:t>是</w:t>
      </w:r>
      <w:r>
        <w:rPr>
          <w:rFonts w:hint="eastAsia" w:ascii="宋体" w:hAnsi="宋体" w:cs="宋体"/>
          <w:sz w:val="32"/>
          <w:szCs w:val="32"/>
        </w:rPr>
        <w:t>。在工程项目竣工前，承包人按专用合同条款第3.7条提供履约担保的，发包人不得同时预留工程质量保证金。</w:t>
      </w:r>
    </w:p>
    <w:p w14:paraId="76FB743E">
      <w:pPr>
        <w:spacing w:line="440" w:lineRule="exact"/>
        <w:ind w:firstLine="640" w:firstLineChars="200"/>
        <w:jc w:val="left"/>
        <w:rPr>
          <w:rFonts w:hint="eastAsia" w:ascii="宋体" w:hAnsi="宋体" w:cs="宋体"/>
          <w:sz w:val="32"/>
          <w:szCs w:val="32"/>
        </w:rPr>
      </w:pPr>
    </w:p>
    <w:p w14:paraId="2EA39AB7">
      <w:pPr>
        <w:spacing w:line="440" w:lineRule="exact"/>
        <w:ind w:firstLine="640" w:firstLineChars="200"/>
        <w:jc w:val="left"/>
        <w:outlineLvl w:val="0"/>
        <w:rPr>
          <w:rFonts w:hint="eastAsia" w:ascii="宋体" w:hAnsi="宋体" w:cs="宋体"/>
          <w:sz w:val="32"/>
          <w:szCs w:val="32"/>
        </w:rPr>
      </w:pPr>
      <w:bookmarkStart w:id="1900" w:name="_Toc256000259"/>
      <w:bookmarkStart w:id="1901" w:name="_Toc256000062"/>
      <w:bookmarkStart w:id="1902" w:name="_Toc256000164"/>
      <w:bookmarkStart w:id="1903" w:name="_Toc256000123"/>
      <w:bookmarkStart w:id="1904" w:name="_Toc2741"/>
      <w:bookmarkStart w:id="1905" w:name="_Toc10181"/>
      <w:r>
        <w:rPr>
          <w:rFonts w:hint="eastAsia" w:ascii="宋体" w:hAnsi="宋体" w:cs="宋体"/>
          <w:sz w:val="32"/>
          <w:szCs w:val="32"/>
        </w:rPr>
        <w:t>15.3.1承包人提供质量保证金的方式</w:t>
      </w:r>
      <w:bookmarkEnd w:id="1900"/>
      <w:bookmarkEnd w:id="1901"/>
      <w:bookmarkEnd w:id="1902"/>
      <w:bookmarkEnd w:id="1903"/>
      <w:bookmarkEnd w:id="1904"/>
      <w:bookmarkEnd w:id="1905"/>
    </w:p>
    <w:p w14:paraId="79542F0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质量保证金采用以下第</w:t>
      </w:r>
      <w:r>
        <w:rPr>
          <w:rFonts w:hint="eastAsia" w:ascii="宋体" w:hAnsi="宋体" w:cs="宋体"/>
          <w:sz w:val="32"/>
          <w:szCs w:val="32"/>
          <w:u w:val="single"/>
        </w:rPr>
        <w:t>2</w:t>
      </w:r>
      <w:r>
        <w:rPr>
          <w:rFonts w:hint="eastAsia" w:ascii="宋体" w:hAnsi="宋体" w:cs="宋体"/>
          <w:sz w:val="32"/>
          <w:szCs w:val="32"/>
        </w:rPr>
        <w:t>种方式：</w:t>
      </w:r>
    </w:p>
    <w:p w14:paraId="2AA89C6D">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（1）质量保证金保函，保证金额为：；</w:t>
      </w:r>
    </w:p>
    <w:p w14:paraId="19038AE2">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w:t>
      </w:r>
      <w:r>
        <w:rPr>
          <w:rFonts w:hint="eastAsia" w:ascii="宋体" w:hAnsi="宋体" w:cs="宋体"/>
          <w:kern w:val="0"/>
          <w:sz w:val="32"/>
          <w:szCs w:val="32"/>
          <w:u w:val="single"/>
        </w:rPr>
        <w:t>3</w:t>
      </w:r>
      <w:r>
        <w:rPr>
          <w:rFonts w:hint="eastAsia" w:ascii="宋体" w:hAnsi="宋体" w:cs="宋体"/>
          <w:kern w:val="0"/>
          <w:sz w:val="32"/>
          <w:szCs w:val="32"/>
        </w:rPr>
        <w:t>%的工程款；</w:t>
      </w:r>
    </w:p>
    <w:p w14:paraId="78554D83">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（3）其他方式:。</w:t>
      </w:r>
    </w:p>
    <w:p w14:paraId="3CD62D9F">
      <w:pPr>
        <w:spacing w:line="440" w:lineRule="exact"/>
        <w:ind w:firstLine="640" w:firstLineChars="200"/>
        <w:jc w:val="left"/>
        <w:outlineLvl w:val="0"/>
        <w:rPr>
          <w:rFonts w:hint="eastAsia" w:ascii="宋体" w:hAnsi="宋体" w:cs="宋体"/>
          <w:sz w:val="32"/>
          <w:szCs w:val="32"/>
        </w:rPr>
      </w:pPr>
      <w:bookmarkStart w:id="1906" w:name="_Toc1156"/>
      <w:bookmarkStart w:id="1907" w:name="_Toc256000165"/>
      <w:bookmarkStart w:id="1908" w:name="_Toc22270"/>
      <w:bookmarkStart w:id="1909" w:name="_Toc256000063"/>
      <w:bookmarkStart w:id="1910" w:name="_Toc256000124"/>
      <w:bookmarkStart w:id="1911" w:name="_Toc256000260"/>
      <w:r>
        <w:rPr>
          <w:rFonts w:hint="eastAsia" w:ascii="宋体" w:hAnsi="宋体" w:cs="宋体"/>
          <w:sz w:val="32"/>
          <w:szCs w:val="32"/>
        </w:rPr>
        <w:t>15.3.2质量保证金的扣留</w:t>
      </w:r>
      <w:bookmarkEnd w:id="1906"/>
      <w:bookmarkEnd w:id="1907"/>
      <w:bookmarkEnd w:id="1908"/>
      <w:bookmarkEnd w:id="1909"/>
      <w:bookmarkEnd w:id="1910"/>
      <w:bookmarkEnd w:id="1911"/>
    </w:p>
    <w:p w14:paraId="0E94489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质量保证金的扣留采取以下第</w:t>
      </w:r>
      <w:r>
        <w:rPr>
          <w:rFonts w:hint="eastAsia" w:ascii="宋体" w:hAnsi="宋体" w:cs="宋体"/>
          <w:sz w:val="32"/>
          <w:szCs w:val="32"/>
          <w:u w:val="single"/>
        </w:rPr>
        <w:t>3</w:t>
      </w:r>
      <w:r>
        <w:rPr>
          <w:rFonts w:hint="eastAsia" w:ascii="宋体" w:hAnsi="宋体" w:cs="宋体"/>
          <w:sz w:val="32"/>
          <w:szCs w:val="32"/>
        </w:rPr>
        <w:t>种方式：</w:t>
      </w:r>
    </w:p>
    <w:p w14:paraId="5EBDB1C4">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（1）在支付工程进度款时逐次扣留，在此情形下，质量保证金的计算基数不包括预付款的支付、扣回以及价格调整的金额；</w:t>
      </w:r>
    </w:p>
    <w:p w14:paraId="02DFBD80">
      <w:pPr>
        <w:autoSpaceDE w:val="0"/>
        <w:autoSpaceDN w:val="0"/>
        <w:adjustRightInd w:val="0"/>
        <w:spacing w:line="440" w:lineRule="exact"/>
        <w:ind w:firstLine="640" w:firstLineChars="200"/>
        <w:jc w:val="left"/>
        <w:outlineLvl w:val="0"/>
        <w:rPr>
          <w:rFonts w:hint="eastAsia" w:ascii="宋体" w:hAnsi="宋体" w:cs="宋体"/>
          <w:kern w:val="0"/>
          <w:sz w:val="32"/>
          <w:szCs w:val="32"/>
        </w:rPr>
      </w:pPr>
      <w:bookmarkStart w:id="1912" w:name="_Toc256000125"/>
      <w:bookmarkStart w:id="1913" w:name="_Toc23793"/>
      <w:bookmarkStart w:id="1914" w:name="_Toc256000064"/>
      <w:bookmarkStart w:id="1915" w:name="_Toc256000166"/>
      <w:bookmarkStart w:id="1916" w:name="_Toc256000261"/>
      <w:bookmarkStart w:id="1917" w:name="_Toc5544"/>
      <w:r>
        <w:rPr>
          <w:rFonts w:hint="eastAsia" w:ascii="宋体" w:hAnsi="宋体" w:cs="宋体"/>
          <w:kern w:val="0"/>
          <w:sz w:val="32"/>
          <w:szCs w:val="32"/>
        </w:rPr>
        <w:t>（2）工程竣工结算时一次性扣留质量保证金；</w:t>
      </w:r>
      <w:bookmarkEnd w:id="1912"/>
      <w:bookmarkEnd w:id="1913"/>
      <w:bookmarkEnd w:id="1914"/>
      <w:bookmarkEnd w:id="1915"/>
      <w:bookmarkEnd w:id="1916"/>
      <w:bookmarkEnd w:id="1917"/>
    </w:p>
    <w:p w14:paraId="6815B62F">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（3）其他扣留方式:。</w:t>
      </w:r>
    </w:p>
    <w:p w14:paraId="29BC22AE">
      <w:pPr>
        <w:spacing w:line="440" w:lineRule="exact"/>
        <w:ind w:firstLine="640" w:firstLineChars="200"/>
        <w:jc w:val="left"/>
        <w:rPr>
          <w:rFonts w:hint="eastAsia" w:ascii="宋体" w:hAnsi="宋体" w:cs="宋体"/>
          <w:color w:val="000000"/>
          <w:sz w:val="32"/>
          <w:szCs w:val="32"/>
        </w:rPr>
      </w:pPr>
      <w:r>
        <w:rPr>
          <w:rFonts w:hint="eastAsia" w:ascii="宋体" w:hAnsi="宋体" w:cs="宋体"/>
          <w:sz w:val="32"/>
          <w:szCs w:val="32"/>
        </w:rPr>
        <w:t>关于质量保证金的补充约定</w:t>
      </w:r>
      <w:r>
        <w:rPr>
          <w:rFonts w:hint="eastAsia" w:ascii="宋体" w:hAnsi="宋体" w:cs="宋体"/>
          <w:color w:val="000000"/>
          <w:sz w:val="32"/>
          <w:szCs w:val="32"/>
        </w:rPr>
        <w:t>：</w:t>
      </w:r>
      <w:r>
        <w:rPr>
          <w:rFonts w:hint="eastAsia" w:ascii="宋体" w:hAnsi="宋体" w:cs="宋体"/>
          <w:b/>
          <w:bCs/>
          <w:color w:val="000000"/>
          <w:sz w:val="32"/>
          <w:szCs w:val="32"/>
          <w:u w:val="single"/>
        </w:rPr>
        <w:t>由承包方缴纳工程结算价的3%（质量保证金）至发包人指定账户（公对公转账）</w:t>
      </w:r>
      <w:r>
        <w:rPr>
          <w:rFonts w:hint="eastAsia" w:ascii="宋体" w:hAnsi="宋体" w:cs="宋体"/>
          <w:color w:val="000000"/>
          <w:kern w:val="0"/>
          <w:sz w:val="32"/>
          <w:szCs w:val="32"/>
        </w:rPr>
        <w:t>。</w:t>
      </w:r>
    </w:p>
    <w:bookmarkEnd w:id="1865"/>
    <w:bookmarkEnd w:id="1866"/>
    <w:p w14:paraId="3FC79F7C">
      <w:pPr>
        <w:spacing w:line="440" w:lineRule="exact"/>
        <w:ind w:firstLine="640" w:firstLineChars="200"/>
        <w:rPr>
          <w:rFonts w:hint="eastAsia" w:ascii="宋体" w:hAnsi="宋体" w:cs="宋体"/>
          <w:color w:val="000000"/>
          <w:sz w:val="32"/>
          <w:szCs w:val="32"/>
        </w:rPr>
      </w:pPr>
      <w:r>
        <w:rPr>
          <w:rFonts w:hint="eastAsia" w:ascii="宋体" w:hAnsi="宋体" w:cs="宋体"/>
          <w:color w:val="000000"/>
          <w:sz w:val="32"/>
          <w:szCs w:val="32"/>
        </w:rPr>
        <w:t>15.4保修</w:t>
      </w:r>
    </w:p>
    <w:bookmarkEnd w:id="1867"/>
    <w:p w14:paraId="1F0478D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15.4.1保修责任</w:t>
      </w:r>
    </w:p>
    <w:p w14:paraId="4D94BB2A">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工程保修期为：</w:t>
      </w:r>
      <w:r>
        <w:rPr>
          <w:rFonts w:hint="eastAsia" w:ascii="宋体" w:hAnsi="宋体" w:cs="宋体"/>
          <w:kern w:val="0"/>
          <w:sz w:val="32"/>
          <w:szCs w:val="32"/>
          <w:u w:val="single"/>
        </w:rPr>
        <w:t>按国家标准执行</w:t>
      </w:r>
      <w:r>
        <w:rPr>
          <w:rFonts w:hint="eastAsia" w:ascii="宋体" w:hAnsi="宋体" w:cs="宋体"/>
          <w:kern w:val="0"/>
          <w:sz w:val="32"/>
          <w:szCs w:val="32"/>
        </w:rPr>
        <w:t>。</w:t>
      </w:r>
    </w:p>
    <w:p w14:paraId="20BE40FD">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15.4.3修复通知</w:t>
      </w:r>
    </w:p>
    <w:p w14:paraId="151AE593">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承包人收到保修通知并到达工程现场的合理时间：</w:t>
      </w:r>
      <w:r>
        <w:rPr>
          <w:rFonts w:hint="eastAsia" w:ascii="宋体" w:hAnsi="宋体" w:cs="宋体"/>
          <w:kern w:val="0"/>
          <w:sz w:val="32"/>
          <w:szCs w:val="32"/>
          <w:u w:val="single"/>
        </w:rPr>
        <w:t>不超过48小时</w:t>
      </w:r>
      <w:r>
        <w:rPr>
          <w:rFonts w:hint="eastAsia" w:ascii="宋体" w:hAnsi="宋体" w:cs="宋体"/>
          <w:kern w:val="0"/>
          <w:sz w:val="32"/>
          <w:szCs w:val="32"/>
        </w:rPr>
        <w:t>。</w:t>
      </w:r>
    </w:p>
    <w:bookmarkEnd w:id="1868"/>
    <w:bookmarkEnd w:id="1869"/>
    <w:bookmarkEnd w:id="1870"/>
    <w:bookmarkEnd w:id="1871"/>
    <w:p w14:paraId="4BF6E468">
      <w:pPr>
        <w:keepNext/>
        <w:keepLines/>
        <w:spacing w:line="440" w:lineRule="exact"/>
        <w:ind w:firstLine="640" w:firstLineChars="200"/>
        <w:outlineLvl w:val="3"/>
        <w:rPr>
          <w:rFonts w:hint="eastAsia" w:ascii="宋体" w:hAnsi="宋体" w:cs="宋体"/>
          <w:bCs/>
          <w:sz w:val="32"/>
          <w:szCs w:val="32"/>
        </w:rPr>
      </w:pPr>
      <w:bookmarkStart w:id="1918" w:name="_Toc1743"/>
      <w:bookmarkStart w:id="1919" w:name="_Toc17625"/>
      <w:bookmarkStart w:id="1920" w:name="_Toc351203648"/>
      <w:bookmarkStart w:id="1921" w:name="_Toc280868717"/>
      <w:bookmarkStart w:id="1922" w:name="_Toc280868718"/>
      <w:r>
        <w:rPr>
          <w:rFonts w:hint="eastAsia" w:ascii="宋体" w:hAnsi="宋体" w:cs="宋体"/>
          <w:bCs/>
          <w:sz w:val="32"/>
          <w:szCs w:val="32"/>
        </w:rPr>
        <w:t>16.违约</w:t>
      </w:r>
      <w:bookmarkEnd w:id="1918"/>
      <w:bookmarkEnd w:id="1919"/>
      <w:bookmarkEnd w:id="1920"/>
    </w:p>
    <w:p w14:paraId="4B24F5C1">
      <w:pPr>
        <w:spacing w:line="440" w:lineRule="exact"/>
        <w:ind w:firstLine="640" w:firstLineChars="200"/>
        <w:outlineLvl w:val="0"/>
        <w:rPr>
          <w:rFonts w:hint="eastAsia" w:ascii="宋体" w:hAnsi="宋体" w:cs="宋体"/>
          <w:sz w:val="32"/>
          <w:szCs w:val="32"/>
        </w:rPr>
      </w:pPr>
      <w:bookmarkStart w:id="1923" w:name="_Toc17710"/>
      <w:bookmarkStart w:id="1924" w:name="_Toc8634"/>
      <w:bookmarkStart w:id="1925" w:name="_Toc256000262"/>
      <w:bookmarkStart w:id="1926" w:name="_Toc256000065"/>
      <w:bookmarkStart w:id="1927" w:name="_Toc256000167"/>
      <w:bookmarkStart w:id="1928" w:name="_Toc256000126"/>
      <w:r>
        <w:rPr>
          <w:rFonts w:hint="eastAsia" w:ascii="宋体" w:hAnsi="宋体" w:cs="宋体"/>
          <w:sz w:val="32"/>
          <w:szCs w:val="32"/>
        </w:rPr>
        <w:t>16.1发包人违约</w:t>
      </w:r>
      <w:bookmarkEnd w:id="1923"/>
      <w:bookmarkEnd w:id="1924"/>
      <w:bookmarkEnd w:id="1925"/>
      <w:bookmarkEnd w:id="1926"/>
      <w:bookmarkEnd w:id="1927"/>
      <w:bookmarkEnd w:id="1928"/>
    </w:p>
    <w:p w14:paraId="7AF2299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16.1.1发包人违约的情形</w:t>
      </w:r>
    </w:p>
    <w:p w14:paraId="06B7927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发包人违约的其他情形：</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39E25E7E">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16.1.2发包人违约的责任</w:t>
      </w:r>
    </w:p>
    <w:p w14:paraId="4AD50CB6">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发包人违约责任的承担方式和计算方法：</w:t>
      </w:r>
    </w:p>
    <w:p w14:paraId="12954F4A">
      <w:pPr>
        <w:spacing w:line="440" w:lineRule="exact"/>
        <w:ind w:firstLine="640" w:firstLineChars="200"/>
        <w:jc w:val="left"/>
        <w:rPr>
          <w:rFonts w:hint="eastAsia" w:ascii="宋体" w:hAnsi="宋体" w:cs="宋体"/>
          <w:kern w:val="0"/>
          <w:sz w:val="32"/>
          <w:szCs w:val="32"/>
          <w:u w:val="single"/>
        </w:rPr>
      </w:pPr>
      <w:r>
        <w:rPr>
          <w:rFonts w:hint="eastAsia" w:ascii="宋体" w:hAnsi="宋体" w:cs="宋体"/>
          <w:kern w:val="0"/>
          <w:sz w:val="32"/>
          <w:szCs w:val="32"/>
        </w:rPr>
        <w:t>（1）因发包人原因未能在计划开工日期前7天内下达开工通知的违约责任：</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708E3220">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（2）因发包人原因未能按合同约定支付合同价款的违约责任：</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2F091AC7">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（3）发包人违反第10.1款〔变更的范围〕第（2）项约定，自行实施被取消的工作或转由他人实施的违约责任：</w:t>
      </w:r>
      <w:r>
        <w:rPr>
          <w:rFonts w:hint="eastAsia" w:ascii="宋体" w:hAnsi="宋体" w:cs="宋体"/>
          <w:kern w:val="0"/>
          <w:sz w:val="32"/>
          <w:szCs w:val="32"/>
          <w:u w:val="single"/>
        </w:rPr>
        <w:t>执行本范围</w:t>
      </w:r>
      <w:r>
        <w:rPr>
          <w:rFonts w:hint="eastAsia" w:ascii="宋体" w:hAnsi="宋体" w:cs="宋体"/>
          <w:kern w:val="0"/>
          <w:sz w:val="32"/>
          <w:szCs w:val="32"/>
        </w:rPr>
        <w:t>。</w:t>
      </w:r>
    </w:p>
    <w:p w14:paraId="76D4FA4B">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（4）发包人提供的材料、工程设备的规格、数量或质量不符合合同约定，或因发包人原因导致交货日期延误或交货地点变更等情况的违约责任：</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183C7BDA">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（5）因发包人违反合同约定造成暂停施工的违约责任：</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6410EE3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（6）发包人无正当理由没有在约定期限内发出复工指示，导致承包人无法复工的违约责任：</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259EDF54">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（7）其他：</w:t>
      </w:r>
      <w:r>
        <w:rPr>
          <w:rFonts w:hint="eastAsia" w:ascii="宋体" w:hAnsi="宋体" w:cs="宋体"/>
          <w:kern w:val="0"/>
          <w:sz w:val="32"/>
          <w:szCs w:val="32"/>
          <w:u w:val="single"/>
        </w:rPr>
        <w:t>无</w:t>
      </w:r>
      <w:r>
        <w:rPr>
          <w:rFonts w:hint="eastAsia" w:ascii="宋体" w:hAnsi="宋体" w:cs="宋体"/>
          <w:kern w:val="0"/>
          <w:sz w:val="32"/>
          <w:szCs w:val="32"/>
        </w:rPr>
        <w:t>。</w:t>
      </w:r>
    </w:p>
    <w:p w14:paraId="5D91E724">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16.1.3因发包人违约解除合同</w:t>
      </w:r>
    </w:p>
    <w:p w14:paraId="6F1D5840">
      <w:pPr>
        <w:autoSpaceDE w:val="0"/>
        <w:autoSpaceDN w:val="0"/>
        <w:adjustRightInd w:val="0"/>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承包人按16.1.1项〔发包人违约的情形〕约定暂停施工满</w:t>
      </w:r>
      <w:r>
        <w:rPr>
          <w:rFonts w:hint="eastAsia" w:ascii="宋体" w:hAnsi="宋体" w:cs="宋体"/>
          <w:kern w:val="0"/>
          <w:sz w:val="32"/>
          <w:szCs w:val="32"/>
          <w:u w:val="single"/>
        </w:rPr>
        <w:t>28</w:t>
      </w:r>
      <w:r>
        <w:rPr>
          <w:rFonts w:hint="eastAsia" w:ascii="宋体" w:hAnsi="宋体" w:cs="宋体"/>
          <w:kern w:val="0"/>
          <w:sz w:val="32"/>
          <w:szCs w:val="32"/>
        </w:rPr>
        <w:t>天后发包人仍不纠正其违约行为并致使合同目的不能实现的，承包人有权解除合同。</w:t>
      </w:r>
    </w:p>
    <w:p w14:paraId="2AD014A4">
      <w:pPr>
        <w:spacing w:line="440" w:lineRule="exact"/>
        <w:ind w:firstLine="640" w:firstLineChars="200"/>
        <w:outlineLvl w:val="0"/>
        <w:rPr>
          <w:rFonts w:hint="eastAsia" w:ascii="宋体" w:hAnsi="宋体" w:cs="宋体"/>
          <w:sz w:val="32"/>
          <w:szCs w:val="32"/>
        </w:rPr>
      </w:pPr>
      <w:bookmarkStart w:id="1929" w:name="_Toc256000127"/>
      <w:bookmarkStart w:id="1930" w:name="_Toc256000263"/>
      <w:bookmarkStart w:id="1931" w:name="_Toc27684"/>
      <w:bookmarkStart w:id="1932" w:name="_Toc12698"/>
      <w:bookmarkStart w:id="1933" w:name="_Toc256000066"/>
      <w:bookmarkStart w:id="1934" w:name="_Toc256000168"/>
      <w:r>
        <w:rPr>
          <w:rFonts w:hint="eastAsia" w:ascii="宋体" w:hAnsi="宋体" w:cs="宋体"/>
          <w:sz w:val="32"/>
          <w:szCs w:val="32"/>
        </w:rPr>
        <w:t>16.2承包人违约</w:t>
      </w:r>
      <w:bookmarkEnd w:id="1929"/>
      <w:bookmarkEnd w:id="1930"/>
      <w:bookmarkEnd w:id="1931"/>
      <w:bookmarkEnd w:id="1932"/>
      <w:bookmarkEnd w:id="1933"/>
      <w:bookmarkEnd w:id="1934"/>
    </w:p>
    <w:p w14:paraId="041599D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16.2.1承包人违约的情形</w:t>
      </w:r>
    </w:p>
    <w:p w14:paraId="31EFB0B2">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承包人违约的其他情形：</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086F7295">
      <w:pPr>
        <w:spacing w:line="440" w:lineRule="exact"/>
        <w:ind w:firstLine="640" w:firstLineChars="200"/>
        <w:jc w:val="left"/>
        <w:rPr>
          <w:rFonts w:hint="eastAsia" w:ascii="宋体" w:hAnsi="宋体" w:cs="宋体"/>
          <w:kern w:val="0"/>
          <w:sz w:val="32"/>
          <w:szCs w:val="32"/>
        </w:rPr>
      </w:pPr>
      <w:r>
        <w:rPr>
          <w:rFonts w:hint="eastAsia" w:ascii="宋体" w:hAnsi="宋体" w:cs="宋体"/>
          <w:kern w:val="0"/>
          <w:sz w:val="32"/>
          <w:szCs w:val="32"/>
        </w:rPr>
        <w:t>16.2.2承包人违约的责任</w:t>
      </w:r>
    </w:p>
    <w:p w14:paraId="0A787D3A">
      <w:pPr>
        <w:spacing w:line="440" w:lineRule="exact"/>
        <w:ind w:firstLine="640" w:firstLineChars="200"/>
        <w:jc w:val="left"/>
        <w:rPr>
          <w:rFonts w:hint="eastAsia" w:ascii="宋体" w:hAnsi="宋体" w:cs="宋体"/>
          <w:kern w:val="0"/>
          <w:sz w:val="32"/>
          <w:szCs w:val="32"/>
          <w:u w:val="single"/>
        </w:rPr>
      </w:pPr>
      <w:r>
        <w:rPr>
          <w:rFonts w:hint="eastAsia" w:ascii="宋体" w:hAnsi="宋体" w:cs="宋体"/>
          <w:kern w:val="0"/>
          <w:sz w:val="32"/>
          <w:szCs w:val="32"/>
        </w:rPr>
        <w:t>承包人违约责任的承担方式和计算方法：</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79F9C201">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16.2.3因承包人违约解除合同</w:t>
      </w:r>
    </w:p>
    <w:p w14:paraId="102FFCBB">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关于承包人违约解除合同的特别约定：</w:t>
      </w:r>
      <w:r>
        <w:rPr>
          <w:rFonts w:hint="eastAsia" w:ascii="宋体" w:hAnsi="宋体" w:cs="宋体"/>
          <w:kern w:val="0"/>
          <w:sz w:val="32"/>
          <w:szCs w:val="32"/>
          <w:u w:val="single"/>
        </w:rPr>
        <w:t>执行本合同通用条款</w:t>
      </w:r>
      <w:r>
        <w:rPr>
          <w:rFonts w:hint="eastAsia" w:ascii="宋体" w:hAnsi="宋体" w:cs="宋体"/>
          <w:kern w:val="0"/>
          <w:sz w:val="32"/>
          <w:szCs w:val="32"/>
        </w:rPr>
        <w:t>。</w:t>
      </w:r>
    </w:p>
    <w:p w14:paraId="22C29524">
      <w:pPr>
        <w:spacing w:line="440" w:lineRule="exact"/>
        <w:ind w:firstLine="640" w:firstLineChars="200"/>
        <w:rPr>
          <w:rFonts w:hint="eastAsia" w:ascii="宋体" w:hAnsi="宋体" w:cs="宋体"/>
          <w:kern w:val="0"/>
          <w:sz w:val="32"/>
          <w:szCs w:val="32"/>
        </w:rPr>
      </w:pPr>
      <w:r>
        <w:rPr>
          <w:rFonts w:hint="eastAsia" w:ascii="宋体" w:hAnsi="宋体" w:cs="宋体"/>
          <w:kern w:val="0"/>
          <w:sz w:val="32"/>
          <w:szCs w:val="32"/>
        </w:rPr>
        <w:t>发包人继续使用承包人在施工现场的材料、设备、临时工程、承包人文件和由承包人或以其名义编制的其他文件的费用承担方式：</w:t>
      </w:r>
      <w:r>
        <w:rPr>
          <w:rFonts w:hint="eastAsia" w:ascii="宋体" w:hAnsi="宋体" w:cs="宋体"/>
          <w:kern w:val="0"/>
          <w:sz w:val="32"/>
          <w:szCs w:val="32"/>
          <w:u w:val="single"/>
        </w:rPr>
        <w:t>发包人按市场价承担费用</w:t>
      </w:r>
      <w:r>
        <w:rPr>
          <w:rFonts w:hint="eastAsia" w:ascii="宋体" w:hAnsi="宋体" w:cs="宋体"/>
          <w:kern w:val="0"/>
          <w:sz w:val="32"/>
          <w:szCs w:val="32"/>
        </w:rPr>
        <w:t>。</w:t>
      </w:r>
    </w:p>
    <w:p w14:paraId="552B1111">
      <w:pPr>
        <w:keepNext/>
        <w:keepLines/>
        <w:spacing w:line="440" w:lineRule="exact"/>
        <w:ind w:firstLine="640" w:firstLineChars="200"/>
        <w:outlineLvl w:val="3"/>
        <w:rPr>
          <w:rFonts w:hint="eastAsia" w:ascii="宋体" w:hAnsi="宋体" w:cs="宋体"/>
          <w:bCs/>
          <w:sz w:val="32"/>
          <w:szCs w:val="32"/>
        </w:rPr>
      </w:pPr>
      <w:bookmarkStart w:id="1935" w:name="_Toc8580"/>
      <w:bookmarkStart w:id="1936" w:name="_Toc351203649"/>
      <w:bookmarkStart w:id="1937" w:name="_Toc19023"/>
      <w:r>
        <w:rPr>
          <w:rFonts w:hint="eastAsia" w:ascii="宋体" w:hAnsi="宋体" w:cs="宋体"/>
          <w:bCs/>
          <w:sz w:val="32"/>
          <w:szCs w:val="32"/>
        </w:rPr>
        <w:t>17.不可抗力</w:t>
      </w:r>
      <w:bookmarkEnd w:id="1921"/>
      <w:bookmarkEnd w:id="1935"/>
      <w:bookmarkEnd w:id="1936"/>
      <w:bookmarkEnd w:id="1937"/>
    </w:p>
    <w:p w14:paraId="69C5F39F">
      <w:pPr>
        <w:spacing w:line="440" w:lineRule="exact"/>
        <w:ind w:firstLine="640" w:firstLineChars="200"/>
        <w:rPr>
          <w:rFonts w:hint="eastAsia" w:ascii="宋体" w:hAnsi="宋体" w:cs="宋体"/>
          <w:sz w:val="32"/>
          <w:szCs w:val="32"/>
        </w:rPr>
      </w:pPr>
      <w:r>
        <w:rPr>
          <w:rFonts w:hint="eastAsia" w:ascii="宋体" w:hAnsi="宋体" w:cs="宋体"/>
          <w:sz w:val="32"/>
          <w:szCs w:val="32"/>
        </w:rPr>
        <w:t>17.1不可抗力的确认</w:t>
      </w:r>
    </w:p>
    <w:p w14:paraId="6E7CBBB5">
      <w:pPr>
        <w:spacing w:line="440" w:lineRule="exact"/>
        <w:ind w:firstLine="640" w:firstLineChars="200"/>
        <w:jc w:val="left"/>
        <w:rPr>
          <w:rFonts w:hint="eastAsia" w:ascii="宋体" w:hAnsi="宋体" w:cs="宋体"/>
          <w:kern w:val="0"/>
          <w:sz w:val="32"/>
          <w:szCs w:val="32"/>
          <w:u w:val="single"/>
        </w:rPr>
      </w:pPr>
      <w:r>
        <w:rPr>
          <w:rFonts w:hint="eastAsia" w:ascii="宋体" w:hAnsi="宋体" w:cs="宋体"/>
          <w:sz w:val="32"/>
          <w:szCs w:val="32"/>
        </w:rPr>
        <w:t>除通用合同条款约定的不可抗力事件之外，视为不可抗力的其他情形：</w:t>
      </w:r>
      <w:r>
        <w:rPr>
          <w:rFonts w:hint="eastAsia" w:ascii="宋体" w:hAnsi="宋体" w:cs="宋体"/>
          <w:kern w:val="0"/>
          <w:sz w:val="32"/>
          <w:szCs w:val="32"/>
          <w:u w:val="single"/>
        </w:rPr>
        <w:t>不可抗力及不可预见执行国家及自治区相关文件</w:t>
      </w:r>
      <w:r>
        <w:rPr>
          <w:rFonts w:hint="eastAsia" w:ascii="宋体" w:hAnsi="宋体" w:cs="宋体"/>
          <w:kern w:val="0"/>
          <w:sz w:val="32"/>
          <w:szCs w:val="32"/>
        </w:rPr>
        <w:t>。</w:t>
      </w:r>
    </w:p>
    <w:p w14:paraId="662C6F56">
      <w:pPr>
        <w:spacing w:line="440" w:lineRule="exact"/>
        <w:ind w:firstLine="640" w:firstLineChars="200"/>
        <w:outlineLvl w:val="0"/>
        <w:rPr>
          <w:rFonts w:hint="eastAsia" w:ascii="宋体" w:hAnsi="宋体" w:cs="宋体"/>
          <w:sz w:val="32"/>
          <w:szCs w:val="32"/>
        </w:rPr>
      </w:pPr>
      <w:bookmarkStart w:id="1938" w:name="_Toc5589"/>
      <w:bookmarkStart w:id="1939" w:name="_Toc256000169"/>
      <w:bookmarkStart w:id="1940" w:name="_Toc28371"/>
      <w:bookmarkStart w:id="1941" w:name="_Toc256000067"/>
      <w:bookmarkStart w:id="1942" w:name="_Toc256000264"/>
      <w:bookmarkStart w:id="1943" w:name="_Toc256000128"/>
      <w:r>
        <w:rPr>
          <w:rFonts w:hint="eastAsia" w:ascii="宋体" w:hAnsi="宋体" w:cs="宋体"/>
          <w:sz w:val="32"/>
          <w:szCs w:val="32"/>
        </w:rPr>
        <w:t>17.4因不可抗力解除合同</w:t>
      </w:r>
      <w:bookmarkEnd w:id="1938"/>
      <w:bookmarkEnd w:id="1939"/>
      <w:bookmarkEnd w:id="1940"/>
      <w:bookmarkEnd w:id="1941"/>
      <w:bookmarkEnd w:id="1942"/>
      <w:bookmarkEnd w:id="1943"/>
    </w:p>
    <w:p w14:paraId="701AC9E2">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合同解除后，发包人应在商定或确定发包人应支付款项后天内完成款项的支付。</w:t>
      </w:r>
    </w:p>
    <w:p w14:paraId="0FF8C4FC">
      <w:pPr>
        <w:keepNext/>
        <w:keepLines/>
        <w:spacing w:line="440" w:lineRule="exact"/>
        <w:ind w:firstLine="640" w:firstLineChars="200"/>
        <w:outlineLvl w:val="3"/>
        <w:rPr>
          <w:rFonts w:hint="eastAsia" w:ascii="宋体" w:hAnsi="宋体" w:cs="宋体"/>
          <w:bCs/>
          <w:sz w:val="32"/>
          <w:szCs w:val="32"/>
        </w:rPr>
      </w:pPr>
      <w:bookmarkStart w:id="1944" w:name="_Toc9122"/>
      <w:bookmarkStart w:id="1945" w:name="_Toc31916"/>
      <w:bookmarkStart w:id="1946" w:name="_Toc351203650"/>
      <w:r>
        <w:rPr>
          <w:rFonts w:hint="eastAsia" w:ascii="宋体" w:hAnsi="宋体" w:cs="宋体"/>
          <w:bCs/>
          <w:sz w:val="32"/>
          <w:szCs w:val="32"/>
        </w:rPr>
        <w:t>18.保险</w:t>
      </w:r>
      <w:bookmarkEnd w:id="1944"/>
      <w:bookmarkEnd w:id="1945"/>
      <w:bookmarkEnd w:id="1946"/>
    </w:p>
    <w:bookmarkEnd w:id="1922"/>
    <w:p w14:paraId="23D8DE58">
      <w:pPr>
        <w:spacing w:line="440" w:lineRule="exact"/>
        <w:ind w:firstLine="640" w:firstLineChars="200"/>
        <w:rPr>
          <w:rFonts w:hint="eastAsia" w:ascii="宋体" w:hAnsi="宋体" w:cs="宋体"/>
          <w:sz w:val="32"/>
          <w:szCs w:val="32"/>
        </w:rPr>
      </w:pPr>
      <w:r>
        <w:rPr>
          <w:rFonts w:hint="eastAsia" w:ascii="宋体" w:hAnsi="宋体" w:cs="宋体"/>
          <w:sz w:val="32"/>
          <w:szCs w:val="32"/>
        </w:rPr>
        <w:t>18.1工程保险</w:t>
      </w:r>
    </w:p>
    <w:p w14:paraId="7F33BEF8">
      <w:pPr>
        <w:spacing w:line="440" w:lineRule="exact"/>
        <w:ind w:firstLine="640" w:firstLineChars="200"/>
        <w:jc w:val="left"/>
        <w:rPr>
          <w:rFonts w:hint="eastAsia" w:ascii="宋体" w:hAnsi="宋体" w:cs="宋体"/>
          <w:color w:val="000000"/>
          <w:sz w:val="32"/>
          <w:szCs w:val="32"/>
        </w:rPr>
      </w:pPr>
      <w:r>
        <w:rPr>
          <w:rFonts w:hint="eastAsia" w:ascii="宋体" w:hAnsi="宋体" w:cs="宋体"/>
          <w:sz w:val="32"/>
          <w:szCs w:val="32"/>
        </w:rPr>
        <w:t>关于工程保险的特别</w:t>
      </w:r>
      <w:r>
        <w:rPr>
          <w:rFonts w:hint="eastAsia" w:ascii="宋体" w:hAnsi="宋体" w:cs="宋体"/>
          <w:color w:val="000000"/>
          <w:sz w:val="32"/>
          <w:szCs w:val="32"/>
        </w:rPr>
        <w:t>约定：</w:t>
      </w:r>
      <w:r>
        <w:rPr>
          <w:rFonts w:hint="eastAsia" w:ascii="宋体" w:hAnsi="宋体" w:cs="宋体"/>
          <w:b/>
          <w:bCs/>
          <w:color w:val="000000"/>
          <w:sz w:val="32"/>
          <w:szCs w:val="32"/>
          <w:u w:val="single"/>
        </w:rPr>
        <w:t>执行本合同通用条款</w:t>
      </w:r>
      <w:r>
        <w:rPr>
          <w:rFonts w:hint="eastAsia" w:ascii="宋体" w:hAnsi="宋体" w:cs="宋体"/>
          <w:color w:val="000000"/>
          <w:kern w:val="0"/>
          <w:sz w:val="32"/>
          <w:szCs w:val="32"/>
        </w:rPr>
        <w:t>。</w:t>
      </w:r>
    </w:p>
    <w:p w14:paraId="4FAE1192">
      <w:pPr>
        <w:spacing w:line="440" w:lineRule="exact"/>
        <w:ind w:firstLine="640" w:firstLineChars="200"/>
        <w:outlineLvl w:val="0"/>
        <w:rPr>
          <w:rFonts w:hint="eastAsia" w:ascii="宋体" w:hAnsi="宋体" w:cs="宋体"/>
          <w:color w:val="000000"/>
          <w:sz w:val="32"/>
          <w:szCs w:val="32"/>
        </w:rPr>
      </w:pPr>
      <w:bookmarkStart w:id="1947" w:name="_Toc256000068"/>
      <w:bookmarkStart w:id="1948" w:name="_Toc256000129"/>
      <w:bookmarkStart w:id="1949" w:name="_Toc256000265"/>
      <w:bookmarkStart w:id="1950" w:name="_Toc19205"/>
      <w:bookmarkStart w:id="1951" w:name="_Toc464"/>
      <w:bookmarkStart w:id="1952" w:name="_Toc256000170"/>
      <w:r>
        <w:rPr>
          <w:rFonts w:hint="eastAsia" w:ascii="宋体" w:hAnsi="宋体" w:cs="宋体"/>
          <w:color w:val="000000"/>
          <w:sz w:val="32"/>
          <w:szCs w:val="32"/>
        </w:rPr>
        <w:t>18.3其他保险</w:t>
      </w:r>
      <w:bookmarkEnd w:id="1947"/>
      <w:bookmarkEnd w:id="1948"/>
      <w:bookmarkEnd w:id="1949"/>
      <w:bookmarkEnd w:id="1950"/>
      <w:bookmarkEnd w:id="1951"/>
      <w:bookmarkEnd w:id="1952"/>
    </w:p>
    <w:p w14:paraId="0DA871F3">
      <w:pPr>
        <w:spacing w:line="440" w:lineRule="exact"/>
        <w:ind w:firstLine="640" w:firstLineChars="200"/>
        <w:jc w:val="left"/>
        <w:rPr>
          <w:rFonts w:hint="eastAsia" w:ascii="宋体" w:hAnsi="宋体" w:cs="宋体"/>
          <w:color w:val="000000"/>
          <w:kern w:val="0"/>
          <w:sz w:val="32"/>
          <w:szCs w:val="32"/>
        </w:rPr>
      </w:pPr>
      <w:r>
        <w:rPr>
          <w:rFonts w:hint="eastAsia" w:ascii="宋体" w:hAnsi="宋体" w:cs="宋体"/>
          <w:color w:val="000000"/>
          <w:sz w:val="32"/>
          <w:szCs w:val="32"/>
        </w:rPr>
        <w:t>关于其他保险的约定：</w:t>
      </w:r>
      <w:r>
        <w:rPr>
          <w:rFonts w:hint="eastAsia" w:ascii="宋体" w:hAnsi="宋体" w:cs="宋体"/>
          <w:b/>
          <w:bCs/>
          <w:color w:val="000000"/>
          <w:sz w:val="32"/>
          <w:szCs w:val="32"/>
          <w:u w:val="single"/>
        </w:rPr>
        <w:t>执行本合同通用条款</w:t>
      </w:r>
      <w:r>
        <w:rPr>
          <w:rFonts w:hint="eastAsia" w:ascii="宋体" w:hAnsi="宋体" w:cs="宋体"/>
          <w:color w:val="000000"/>
          <w:kern w:val="0"/>
          <w:sz w:val="32"/>
          <w:szCs w:val="32"/>
        </w:rPr>
        <w:t>。</w:t>
      </w:r>
    </w:p>
    <w:p w14:paraId="67155801">
      <w:pPr>
        <w:spacing w:line="440" w:lineRule="exact"/>
        <w:ind w:firstLine="640" w:firstLineChars="200"/>
        <w:jc w:val="left"/>
        <w:rPr>
          <w:rFonts w:hint="eastAsia" w:ascii="宋体" w:hAnsi="宋体" w:cs="宋体"/>
          <w:kern w:val="0"/>
          <w:sz w:val="32"/>
          <w:szCs w:val="32"/>
        </w:rPr>
      </w:pPr>
      <w:r>
        <w:rPr>
          <w:rFonts w:hint="eastAsia" w:ascii="宋体" w:hAnsi="宋体" w:cs="宋体"/>
          <w:sz w:val="32"/>
          <w:szCs w:val="32"/>
        </w:rPr>
        <w:t>承包人是否应为其施工设备等办理财产保险：</w:t>
      </w:r>
      <w:r>
        <w:rPr>
          <w:rFonts w:hint="eastAsia" w:ascii="宋体" w:hAnsi="宋体" w:cs="宋体"/>
          <w:sz w:val="32"/>
          <w:szCs w:val="32"/>
          <w:u w:val="single"/>
        </w:rPr>
        <w:t>执行本合同通用条款</w:t>
      </w:r>
      <w:r>
        <w:rPr>
          <w:rFonts w:hint="eastAsia" w:ascii="宋体" w:hAnsi="宋体" w:cs="宋体"/>
          <w:sz w:val="32"/>
          <w:szCs w:val="32"/>
        </w:rPr>
        <w:t>。</w:t>
      </w:r>
    </w:p>
    <w:p w14:paraId="5F15C101">
      <w:pPr>
        <w:spacing w:line="440" w:lineRule="exact"/>
        <w:ind w:firstLine="640" w:firstLineChars="200"/>
        <w:rPr>
          <w:rFonts w:hint="eastAsia" w:ascii="宋体" w:hAnsi="宋体" w:cs="宋体"/>
          <w:sz w:val="32"/>
          <w:szCs w:val="32"/>
        </w:rPr>
      </w:pPr>
      <w:r>
        <w:rPr>
          <w:rFonts w:hint="eastAsia" w:ascii="宋体" w:hAnsi="宋体" w:cs="宋体"/>
          <w:sz w:val="32"/>
          <w:szCs w:val="32"/>
        </w:rPr>
        <w:t>18.7通知义务</w:t>
      </w:r>
    </w:p>
    <w:p w14:paraId="5E1E1E07">
      <w:pPr>
        <w:spacing w:line="440" w:lineRule="exact"/>
        <w:ind w:firstLine="640" w:firstLineChars="200"/>
        <w:jc w:val="left"/>
        <w:rPr>
          <w:rFonts w:hint="eastAsia" w:ascii="宋体" w:hAnsi="宋体" w:cs="宋体"/>
          <w:sz w:val="32"/>
          <w:szCs w:val="32"/>
        </w:rPr>
      </w:pPr>
      <w:r>
        <w:rPr>
          <w:rFonts w:hint="eastAsia" w:ascii="宋体" w:hAnsi="宋体" w:cs="宋体"/>
          <w:kern w:val="0"/>
          <w:sz w:val="32"/>
          <w:szCs w:val="32"/>
        </w:rPr>
        <w:t>关于变更保险合同时的通知义务的约定：</w:t>
      </w:r>
      <w:r>
        <w:rPr>
          <w:rFonts w:hint="eastAsia" w:ascii="宋体" w:hAnsi="宋体" w:cs="宋体"/>
          <w:sz w:val="32"/>
          <w:szCs w:val="32"/>
          <w:u w:val="single"/>
        </w:rPr>
        <w:t>执行本合同通用条款</w:t>
      </w:r>
      <w:r>
        <w:rPr>
          <w:rFonts w:hint="eastAsia" w:ascii="宋体" w:hAnsi="宋体" w:cs="宋体"/>
          <w:sz w:val="32"/>
          <w:szCs w:val="32"/>
        </w:rPr>
        <w:t>。</w:t>
      </w:r>
    </w:p>
    <w:bookmarkEnd w:id="1872"/>
    <w:bookmarkEnd w:id="1873"/>
    <w:bookmarkEnd w:id="1874"/>
    <w:bookmarkEnd w:id="1875"/>
    <w:bookmarkEnd w:id="1876"/>
    <w:bookmarkEnd w:id="1877"/>
    <w:bookmarkEnd w:id="1878"/>
    <w:bookmarkEnd w:id="1879"/>
    <w:bookmarkEnd w:id="1880"/>
    <w:bookmarkEnd w:id="1881"/>
    <w:bookmarkEnd w:id="1882"/>
    <w:bookmarkEnd w:id="1883"/>
    <w:p w14:paraId="41F55823">
      <w:pPr>
        <w:keepNext/>
        <w:keepLines/>
        <w:spacing w:line="440" w:lineRule="exact"/>
        <w:ind w:firstLine="640" w:firstLineChars="200"/>
        <w:outlineLvl w:val="3"/>
        <w:rPr>
          <w:rFonts w:hint="eastAsia" w:ascii="宋体" w:hAnsi="宋体" w:cs="宋体"/>
          <w:bCs/>
          <w:sz w:val="32"/>
          <w:szCs w:val="32"/>
        </w:rPr>
      </w:pPr>
      <w:bookmarkStart w:id="1953" w:name="_Toc1656"/>
      <w:bookmarkStart w:id="1954" w:name="_Toc351203651"/>
      <w:bookmarkStart w:id="1955" w:name="_Toc11459"/>
      <w:r>
        <w:rPr>
          <w:rFonts w:hint="eastAsia" w:ascii="宋体" w:hAnsi="宋体" w:cs="宋体"/>
          <w:bCs/>
          <w:sz w:val="32"/>
          <w:szCs w:val="32"/>
        </w:rPr>
        <w:t>20.争议解决</w:t>
      </w:r>
      <w:bookmarkEnd w:id="1953"/>
      <w:bookmarkEnd w:id="1954"/>
      <w:bookmarkEnd w:id="1955"/>
    </w:p>
    <w:bookmarkEnd w:id="1884"/>
    <w:bookmarkEnd w:id="1885"/>
    <w:p w14:paraId="715C78B7">
      <w:pPr>
        <w:spacing w:line="440" w:lineRule="exact"/>
        <w:ind w:firstLine="640" w:firstLineChars="200"/>
        <w:outlineLvl w:val="0"/>
        <w:rPr>
          <w:rFonts w:hint="eastAsia" w:ascii="宋体" w:hAnsi="宋体" w:cs="宋体"/>
          <w:sz w:val="32"/>
          <w:szCs w:val="32"/>
        </w:rPr>
      </w:pPr>
      <w:bookmarkStart w:id="1956" w:name="_Toc256000171"/>
      <w:bookmarkStart w:id="1957" w:name="_Toc14617"/>
      <w:bookmarkStart w:id="1958" w:name="_Toc256000266"/>
      <w:bookmarkStart w:id="1959" w:name="_Toc17373"/>
      <w:bookmarkStart w:id="1960" w:name="_Toc256000130"/>
      <w:bookmarkStart w:id="1961" w:name="_Toc256000069"/>
      <w:r>
        <w:rPr>
          <w:rFonts w:hint="eastAsia" w:ascii="宋体" w:hAnsi="宋体" w:cs="宋体"/>
          <w:sz w:val="32"/>
          <w:szCs w:val="32"/>
        </w:rPr>
        <w:t>20.3争</w:t>
      </w:r>
      <w:bookmarkEnd w:id="1886"/>
      <w:r>
        <w:rPr>
          <w:rFonts w:hint="eastAsia" w:ascii="宋体" w:hAnsi="宋体" w:cs="宋体"/>
          <w:sz w:val="32"/>
          <w:szCs w:val="32"/>
        </w:rPr>
        <w:t>议评审</w:t>
      </w:r>
      <w:bookmarkEnd w:id="1956"/>
      <w:bookmarkEnd w:id="1957"/>
      <w:bookmarkEnd w:id="1958"/>
      <w:bookmarkEnd w:id="1959"/>
      <w:bookmarkEnd w:id="1960"/>
      <w:bookmarkEnd w:id="1961"/>
    </w:p>
    <w:p w14:paraId="257977B7">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合同当事人是否同意将工程争议提交争议评审小组决定：</w:t>
      </w:r>
      <w:r>
        <w:rPr>
          <w:rFonts w:hint="eastAsia" w:ascii="宋体" w:hAnsi="宋体" w:cs="宋体"/>
          <w:sz w:val="32"/>
          <w:szCs w:val="32"/>
          <w:u w:val="single"/>
        </w:rPr>
        <w:t>执行本合同通用条款</w:t>
      </w:r>
      <w:r>
        <w:rPr>
          <w:rFonts w:hint="eastAsia" w:ascii="宋体" w:hAnsi="宋体" w:cs="宋体"/>
          <w:sz w:val="32"/>
          <w:szCs w:val="32"/>
        </w:rPr>
        <w:t>。</w:t>
      </w:r>
    </w:p>
    <w:p w14:paraId="15B91D64">
      <w:pPr>
        <w:spacing w:line="440" w:lineRule="exact"/>
        <w:ind w:firstLine="640" w:firstLineChars="200"/>
        <w:jc w:val="left"/>
        <w:outlineLvl w:val="0"/>
        <w:rPr>
          <w:rFonts w:hint="eastAsia" w:ascii="宋体" w:hAnsi="宋体" w:cs="宋体"/>
          <w:sz w:val="32"/>
          <w:szCs w:val="32"/>
        </w:rPr>
      </w:pPr>
      <w:bookmarkStart w:id="1962" w:name="_Toc256000172"/>
      <w:bookmarkStart w:id="1963" w:name="_Toc8574"/>
      <w:bookmarkStart w:id="1964" w:name="_Toc256000131"/>
      <w:bookmarkStart w:id="1965" w:name="_Toc17624"/>
      <w:bookmarkStart w:id="1966" w:name="_Toc256000267"/>
      <w:bookmarkStart w:id="1967" w:name="_Toc256000070"/>
      <w:r>
        <w:rPr>
          <w:rFonts w:hint="eastAsia" w:ascii="宋体" w:hAnsi="宋体" w:cs="宋体"/>
          <w:sz w:val="32"/>
          <w:szCs w:val="32"/>
        </w:rPr>
        <w:t>20.3.1争议评审小组的确定</w:t>
      </w:r>
      <w:bookmarkEnd w:id="1962"/>
      <w:bookmarkEnd w:id="1963"/>
      <w:bookmarkEnd w:id="1964"/>
      <w:bookmarkEnd w:id="1965"/>
      <w:bookmarkEnd w:id="1966"/>
      <w:bookmarkEnd w:id="1967"/>
    </w:p>
    <w:p w14:paraId="61C06639">
      <w:pPr>
        <w:spacing w:line="440" w:lineRule="exact"/>
        <w:ind w:firstLine="640" w:firstLineChars="200"/>
        <w:jc w:val="left"/>
        <w:rPr>
          <w:rFonts w:hint="eastAsia" w:ascii="宋体" w:hAnsi="宋体" w:cs="宋体"/>
          <w:sz w:val="32"/>
          <w:szCs w:val="32"/>
          <w:u w:val="single"/>
        </w:rPr>
      </w:pPr>
      <w:r>
        <w:rPr>
          <w:rFonts w:hint="eastAsia" w:ascii="宋体" w:hAnsi="宋体" w:cs="宋体"/>
          <w:sz w:val="32"/>
          <w:szCs w:val="32"/>
        </w:rPr>
        <w:t>争议评审小组成员的确定：/。</w:t>
      </w:r>
    </w:p>
    <w:p w14:paraId="5DCFF9BF">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选定争议评审员的期限：/。</w:t>
      </w:r>
    </w:p>
    <w:p w14:paraId="087681E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争议评审小组成员的报酬承担方式：/。</w:t>
      </w:r>
    </w:p>
    <w:p w14:paraId="2F83313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其他事项的约定：</w:t>
      </w:r>
      <w:r>
        <w:rPr>
          <w:rFonts w:hint="eastAsia" w:ascii="宋体" w:hAnsi="宋体" w:cs="宋体"/>
          <w:sz w:val="32"/>
          <w:szCs w:val="32"/>
          <w:u w:val="single"/>
        </w:rPr>
        <w:t>执行本合同通用条款</w:t>
      </w:r>
      <w:r>
        <w:rPr>
          <w:rFonts w:hint="eastAsia" w:ascii="宋体" w:hAnsi="宋体" w:cs="宋体"/>
          <w:sz w:val="32"/>
          <w:szCs w:val="32"/>
        </w:rPr>
        <w:t>。</w:t>
      </w:r>
    </w:p>
    <w:p w14:paraId="4E407977">
      <w:pPr>
        <w:autoSpaceDE w:val="0"/>
        <w:autoSpaceDN w:val="0"/>
        <w:adjustRightInd w:val="0"/>
        <w:spacing w:line="440" w:lineRule="exact"/>
        <w:ind w:firstLine="640" w:firstLineChars="200"/>
        <w:jc w:val="left"/>
        <w:outlineLvl w:val="0"/>
        <w:rPr>
          <w:rFonts w:hint="eastAsia" w:ascii="宋体" w:hAnsi="宋体" w:cs="宋体"/>
          <w:kern w:val="0"/>
          <w:sz w:val="32"/>
          <w:szCs w:val="32"/>
        </w:rPr>
      </w:pPr>
      <w:bookmarkStart w:id="1968" w:name="_Toc256000268"/>
      <w:bookmarkStart w:id="1969" w:name="_Toc256000173"/>
      <w:bookmarkStart w:id="1970" w:name="_Toc22523"/>
      <w:bookmarkStart w:id="1971" w:name="_Toc18025"/>
      <w:bookmarkStart w:id="1972" w:name="_Toc256000071"/>
      <w:bookmarkStart w:id="1973" w:name="_Toc256000132"/>
      <w:r>
        <w:rPr>
          <w:rFonts w:hint="eastAsia" w:ascii="宋体" w:hAnsi="宋体" w:cs="宋体"/>
          <w:kern w:val="0"/>
          <w:sz w:val="32"/>
          <w:szCs w:val="32"/>
        </w:rPr>
        <w:t>20.3.2争议评审小组的决定</w:t>
      </w:r>
      <w:bookmarkEnd w:id="1968"/>
      <w:bookmarkEnd w:id="1969"/>
      <w:bookmarkEnd w:id="1970"/>
      <w:bookmarkEnd w:id="1971"/>
      <w:bookmarkEnd w:id="1972"/>
      <w:bookmarkEnd w:id="1973"/>
    </w:p>
    <w:p w14:paraId="3BAE3093">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合同当事人关于本项的约定：</w:t>
      </w:r>
      <w:r>
        <w:rPr>
          <w:rFonts w:hint="eastAsia" w:ascii="宋体" w:hAnsi="宋体" w:cs="宋体"/>
          <w:sz w:val="32"/>
          <w:szCs w:val="32"/>
          <w:u w:val="single"/>
        </w:rPr>
        <w:t>执行本合同通用条款</w:t>
      </w:r>
      <w:r>
        <w:rPr>
          <w:rFonts w:hint="eastAsia" w:ascii="宋体" w:hAnsi="宋体" w:cs="宋体"/>
          <w:sz w:val="32"/>
          <w:szCs w:val="32"/>
        </w:rPr>
        <w:t>。</w:t>
      </w:r>
    </w:p>
    <w:p w14:paraId="0797582C">
      <w:pPr>
        <w:spacing w:line="440" w:lineRule="exact"/>
        <w:ind w:firstLine="640" w:firstLineChars="200"/>
        <w:outlineLvl w:val="0"/>
        <w:rPr>
          <w:rFonts w:hint="eastAsia" w:ascii="宋体" w:hAnsi="宋体" w:cs="宋体"/>
          <w:sz w:val="32"/>
          <w:szCs w:val="32"/>
        </w:rPr>
      </w:pPr>
      <w:bookmarkStart w:id="1974" w:name="_Toc256000269"/>
      <w:bookmarkStart w:id="1975" w:name="_Toc256000072"/>
      <w:bookmarkStart w:id="1976" w:name="_Toc25656"/>
      <w:bookmarkStart w:id="1977" w:name="_Toc24023"/>
      <w:bookmarkStart w:id="1978" w:name="_Toc256000133"/>
      <w:bookmarkStart w:id="1979" w:name="_Toc256000174"/>
      <w:r>
        <w:rPr>
          <w:rFonts w:hint="eastAsia" w:ascii="宋体" w:hAnsi="宋体" w:cs="宋体"/>
          <w:sz w:val="32"/>
          <w:szCs w:val="32"/>
        </w:rPr>
        <w:t>20.4仲裁或诉讼</w:t>
      </w:r>
      <w:bookmarkEnd w:id="1887"/>
      <w:bookmarkEnd w:id="1974"/>
      <w:bookmarkEnd w:id="1975"/>
      <w:bookmarkEnd w:id="1976"/>
      <w:bookmarkEnd w:id="1977"/>
      <w:bookmarkEnd w:id="1978"/>
      <w:bookmarkEnd w:id="1979"/>
    </w:p>
    <w:p w14:paraId="78CEDBF3">
      <w:pPr>
        <w:spacing w:line="440" w:lineRule="exact"/>
        <w:ind w:firstLine="640" w:firstLineChars="200"/>
        <w:rPr>
          <w:rFonts w:hint="eastAsia" w:ascii="宋体" w:hAnsi="宋体" w:cs="宋体"/>
          <w:sz w:val="32"/>
          <w:szCs w:val="32"/>
        </w:rPr>
      </w:pPr>
      <w:r>
        <w:rPr>
          <w:rFonts w:hint="eastAsia" w:ascii="宋体" w:hAnsi="宋体" w:cs="宋体"/>
          <w:sz w:val="32"/>
          <w:szCs w:val="32"/>
        </w:rPr>
        <w:t>因合同及合同有关事项发生的争议，按下列第</w:t>
      </w:r>
      <w:r>
        <w:rPr>
          <w:rFonts w:hint="eastAsia" w:ascii="宋体" w:hAnsi="宋体" w:cs="宋体"/>
          <w:sz w:val="32"/>
          <w:szCs w:val="32"/>
          <w:u w:val="single"/>
        </w:rPr>
        <w:t>2</w:t>
      </w:r>
      <w:r>
        <w:rPr>
          <w:rFonts w:hint="eastAsia" w:ascii="宋体" w:hAnsi="宋体" w:cs="宋体"/>
          <w:sz w:val="32"/>
          <w:szCs w:val="32"/>
        </w:rPr>
        <w:t>种方式解决：</w:t>
      </w:r>
    </w:p>
    <w:p w14:paraId="182C4FB0">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（1）向仲裁委员会申请仲裁；</w:t>
      </w:r>
    </w:p>
    <w:p w14:paraId="5EBF878E">
      <w:pPr>
        <w:spacing w:line="440" w:lineRule="exact"/>
        <w:ind w:firstLine="640" w:firstLineChars="200"/>
        <w:jc w:val="left"/>
        <w:rPr>
          <w:rFonts w:hint="eastAsia" w:ascii="宋体" w:hAnsi="宋体" w:cs="宋体"/>
          <w:sz w:val="32"/>
          <w:szCs w:val="32"/>
        </w:rPr>
      </w:pPr>
      <w:r>
        <w:rPr>
          <w:rFonts w:hint="eastAsia" w:ascii="宋体" w:hAnsi="宋体" w:cs="宋体"/>
          <w:sz w:val="32"/>
          <w:szCs w:val="32"/>
        </w:rPr>
        <w:t>（2）向</w:t>
      </w:r>
      <w:r>
        <w:rPr>
          <w:rFonts w:hint="eastAsia" w:ascii="宋体" w:hAnsi="宋体" w:cs="宋体"/>
          <w:sz w:val="32"/>
          <w:szCs w:val="32"/>
          <w:u w:val="single"/>
        </w:rPr>
        <w:t>项目所在地</w:t>
      </w:r>
      <w:r>
        <w:rPr>
          <w:rFonts w:hint="eastAsia" w:ascii="宋体" w:hAnsi="宋体" w:cs="宋体"/>
          <w:sz w:val="32"/>
          <w:szCs w:val="32"/>
        </w:rPr>
        <w:t>人民法院起诉。</w:t>
      </w:r>
      <w:bookmarkEnd w:id="1888"/>
      <w:bookmarkEnd w:id="1889"/>
      <w:bookmarkEnd w:id="1890"/>
      <w:bookmarkEnd w:id="1891"/>
      <w:bookmarkEnd w:id="1892"/>
      <w:bookmarkEnd w:id="1893"/>
    </w:p>
    <w:p w14:paraId="60EA30D0"/>
    <w:p w14:paraId="376A0E7F"/>
    <w:sectPr>
      <w:headerReference r:id="rId13" w:type="default"/>
      <w:footerReference r:id="rId14" w:type="default"/>
      <w:pgSz w:w="11907" w:h="16840"/>
      <w:pgMar w:top="1474" w:right="1814" w:bottom="1474" w:left="1814" w:header="851" w:footer="851"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ngLiU">
    <w:altName w:val="PMingLiU-ExtB"/>
    <w:panose1 w:val="02010609000101010101"/>
    <w:charset w:val="88"/>
    <w:family w:val="modern"/>
    <w:pitch w:val="default"/>
    <w:sig w:usb0="00000000" w:usb1="00000000" w:usb2="00000010" w:usb3="00000000" w:csb0="00100000"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8B90E">
    <w:pPr>
      <w:pStyle w:val="21"/>
      <w:ind w:right="360" w:firstLine="360"/>
      <w:jc w:val="righ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21CA81">
                          <w:pPr>
                            <w:pStyle w:val="21"/>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lh4NMgBAACZAwAADgAAAGRycy9lMm9Eb2MueG1srVPNjtMwEL4j8Q6W&#10;79RpJ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UBy74xYHfvn+7fLj1+XnV/I6&#10;t6cPUGPWQ8C8NNz5AZdm9gM6s+pBRZu/qIdgHJt7vjZXDomI/Gi9Wq8rDAmMzRfEZ4/PQ4T0VnpL&#10;stHQiNMrTeWn95DG1DklV3P+XhtTJmjcXw7EzB6WuY8cs5WG/TAJ2vv2jHp6HHxDHe45Jeadw77m&#10;HZmNOBv72TiGqA8dUlsWXhBujwlJFG65wgg7FcaJFXXTduWV+PNesh7/qO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ZYeDTIAQAAmQMAAA4AAAAAAAAAAQAgAAAAHgEAAGRycy9lMm9Eb2Mu&#10;eG1sUEsFBgAAAAAGAAYAWQEAAFgFAAAAAA==&#10;">
              <v:fill on="f" focussize="0,0"/>
              <v:stroke on="f"/>
              <v:imagedata o:title=""/>
              <o:lock v:ext="edit" aspectratio="f"/>
              <v:textbox inset="0mm,0mm,0mm,0mm" style="mso-fit-shape-to-text:t;">
                <w:txbxContent>
                  <w:p w14:paraId="3021CA81">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D6FEF">
    <w:pPr>
      <w:pStyle w:val="21"/>
      <w:ind w:right="360" w:firstLine="360"/>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34421A3">
                          <w:pPr>
                            <w:pStyle w:val="21"/>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e/HVckBAACZAwAADgAAAGRycy9lMm9Eb2MueG1srVPNjtMwEL4j8Q6W&#10;79Rph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2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578dVyQEAAJkDAAAOAAAAAAAAAAEAIAAAAB4BAABkcnMvZTJvRG9j&#10;LnhtbFBLBQYAAAAABgAGAFkBAABZBQAAAAA=&#10;">
              <v:fill on="f" focussize="0,0"/>
              <v:stroke on="f"/>
              <v:imagedata o:title=""/>
              <o:lock v:ext="edit" aspectratio="f"/>
              <v:textbox inset="0mm,0mm,0mm,0mm" style="mso-fit-shape-to-text:t;">
                <w:txbxContent>
                  <w:p w14:paraId="034421A3">
                    <w:pPr>
                      <w:pStyle w:val="2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1F83C">
    <w:pPr>
      <w:spacing w:line="188" w:lineRule="auto"/>
      <w:ind w:firstLine="4736"/>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1B7DDF">
                          <w:pPr>
                            <w:pStyle w:val="21"/>
                          </w:pPr>
                          <w:r>
                            <w:fldChar w:fldCharType="begin"/>
                          </w:r>
                          <w:r>
                            <w:instrText xml:space="preserve"> PAGE  \* MERGEFORMAT </w:instrText>
                          </w:r>
                          <w:r>
                            <w:fldChar w:fldCharType="separate"/>
                          </w:r>
                          <w:r>
                            <w:t>32</w:t>
                          </w:r>
                          <w:r>
                            <w:fldChar w:fldCharType="end"/>
                          </w:r>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mCSaMkBAACbAwAADgAAAGRycy9lMm9Eb2MueG1srVPNjtMwEL4j8Q6W&#10;79RpkVAVNV3tqlqEhABp4QFcx24s+U8et0lfAN6AExfuPFefg7GTdGG57IFLMp6ZfPN93zi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m4CWOG5x45fv3y4/fl1+fiXL&#10;19mgPkCNfQ8BO9Nw5wdsnvOAyax7UNHmNyoiWEes89VeOSQi8kfr1XpdYUlgbT4gPnv8PERIb6W3&#10;JAcNjbi/Yis/vYc0ts4teZrz99qYskPj/kogZs6wzH3kmKM07IdJ0N63Z9TT4+ob6vCmU2LeOXQW&#10;+aU5iHOwn4NjiPrQIbVl4QXh9piQROGWJ4yw02DcWVE33a98Kf48l67Hf2r7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CYJJoyQEAAJsDAAAOAAAAAAAAAAEAIAAAAB4BAABkcnMvZTJvRG9j&#10;LnhtbFBLBQYAAAAABgAGAFkBAABZBQAAAAA=&#10;">
              <v:fill on="f" focussize="0,0"/>
              <v:stroke on="f"/>
              <v:imagedata o:title=""/>
              <o:lock v:ext="edit" aspectratio="f"/>
              <v:textbox inset="0mm,0mm,0mm,0mm" style="mso-fit-shape-to-text:t;">
                <w:txbxContent>
                  <w:p w14:paraId="6D1B7DDF">
                    <w:pPr>
                      <w:pStyle w:val="21"/>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4471D">
    <w:pPr>
      <w:pStyle w:val="21"/>
      <w:jc w:val="both"/>
      <w:rPr>
        <w:rFonts w:eastAsia="仿宋"/>
        <w:sz w:val="24"/>
        <w:szCs w:val="24"/>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1C841D">
                          <w:pPr>
                            <w:pStyle w:val="21"/>
                          </w:pPr>
                          <w:r>
                            <w:fldChar w:fldCharType="begin"/>
                          </w:r>
                          <w:r>
                            <w:instrText xml:space="preserve"> PAGE  \* MERGEFORMAT </w:instrText>
                          </w:r>
                          <w:r>
                            <w:fldChar w:fldCharType="separate"/>
                          </w:r>
                          <w:r>
                            <w:t>33</w:t>
                          </w:r>
                          <w:r>
                            <w:fldChar w:fldCharType="end"/>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7djv+coBAACbAwAADgAAAAAAAAABACAAAAAeAQAAZHJzL2Uyb0Rv&#10;Yy54bWxQSwUGAAAAAAYABgBZAQAAWgUAAAAA&#10;">
              <v:fill on="f" focussize="0,0"/>
              <v:stroke on="f"/>
              <v:imagedata o:title=""/>
              <o:lock v:ext="edit" aspectratio="f"/>
              <v:textbox inset="0mm,0mm,0mm,0mm" style="mso-fit-shape-to-text:t;">
                <w:txbxContent>
                  <w:p w14:paraId="4E1C841D">
                    <w:pPr>
                      <w:pStyle w:val="21"/>
                    </w:pPr>
                    <w:r>
                      <w:fldChar w:fldCharType="begin"/>
                    </w:r>
                    <w:r>
                      <w:instrText xml:space="preserve"> PAGE  \* MERGEFORMAT </w:instrText>
                    </w:r>
                    <w:r>
                      <w:fldChar w:fldCharType="separate"/>
                    </w:r>
                    <w:r>
                      <w:t>33</w:t>
                    </w:r>
                    <w:r>
                      <w:fldChar w:fldCharType="end"/>
                    </w:r>
                  </w:p>
                </w:txbxContent>
              </v:textbox>
            </v:shape>
          </w:pict>
        </mc:Fallback>
      </mc:AlternateContent>
    </w:r>
    <w:r>
      <w:rPr>
        <w:rFonts w:hint="eastAsia" w:ascii="仿宋" w:hAnsi="仿宋" w:eastAsia="仿宋" w:cs="仿宋"/>
        <w:sz w:val="24"/>
        <w:szCs w:val="24"/>
      </w:rPr>
      <w:t xml:space="preserve">      </w:t>
    </w:r>
  </w:p>
  <w:p w14:paraId="781585F3">
    <w:pPr>
      <w:pStyle w:val="21"/>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C43D4">
    <w:pPr>
      <w:pStyle w:val="21"/>
      <w:ind w:right="360"/>
      <w:jc w:val="right"/>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F214069">
                          <w:pPr>
                            <w:pStyle w:val="21"/>
                          </w:pPr>
                          <w:r>
                            <w:fldChar w:fldCharType="begin"/>
                          </w:r>
                          <w:r>
                            <w:instrText xml:space="preserve"> PAGE  \* MERGEFORMAT </w:instrText>
                          </w:r>
                          <w:r>
                            <w:fldChar w:fldCharType="separate"/>
                          </w:r>
                          <w:r>
                            <w:t>34</w:t>
                          </w:r>
                          <w:r>
                            <w:fldChar w:fldCharType="end"/>
                          </w:r>
                        </w:p>
                      </w:txbxContent>
                    </wps:txbx>
                    <wps:bodyPr wrap="none" lIns="0" tIns="0" rIns="0" bIns="0" upright="1">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UetFQyQEAAJsDAAAOAAAAAAAAAAEAIAAAAB4BAABkcnMvZTJvRG9j&#10;LnhtbFBLBQYAAAAABgAGAFkBAABZBQAAAAA=&#10;">
              <v:fill on="f" focussize="0,0"/>
              <v:stroke on="f"/>
              <v:imagedata o:title=""/>
              <o:lock v:ext="edit" aspectratio="f"/>
              <v:textbox inset="0mm,0mm,0mm,0mm" style="mso-fit-shape-to-text:t;">
                <w:txbxContent>
                  <w:p w14:paraId="1F214069">
                    <w:pPr>
                      <w:pStyle w:val="2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54950">
    <w:pPr>
      <w:pStyle w:val="21"/>
      <w:ind w:right="360"/>
      <w:jc w:val="right"/>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D8EE44">
                          <w:pPr>
                            <w:pStyle w:val="21"/>
                          </w:pPr>
                          <w:r>
                            <w:fldChar w:fldCharType="begin"/>
                          </w:r>
                          <w:r>
                            <w:instrText xml:space="preserve"> PAGE  \* MERGEFORMAT </w:instrText>
                          </w:r>
                          <w:r>
                            <w:fldChar w:fldCharType="separate"/>
                          </w:r>
                          <w:r>
                            <w:t>42</w:t>
                          </w:r>
                          <w:r>
                            <w:fldChar w:fldCharType="end"/>
                          </w:r>
                        </w:p>
                      </w:txbxContent>
                    </wps:txbx>
                    <wps:bodyPr wrap="none" lIns="0" tIns="0" rIns="0" bIns="0" upright="1">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OJlmcoBAACbAwAADgAAAGRycy9lMm9Eb2MueG1srVPNjtMwEL4j8Q6W&#10;79Rph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e4CS8pcdzixC/fv11+/Lr8/EqW&#10;r3OD+gA15t0FzEzDWz9g8uwHdGbdg4o2f1ERwTi293xtrxwSEfnRerVeVxgSGJsviM8enocI6Z30&#10;lmSjoRHnV9rKTx8gjalzSq7m/K02pszQuL8ciJk9LHMfOWYrDfthErT37Rn19Dj6hjrcdErMe4ed&#10;zVsyG3E29rNxDFEfOqS2LLwgvDkmJFG45Qoj7FQYZ1bUTfuVl+LPe8l6+Ke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YOJlmcoBAACbAwAADgAAAAAAAAABACAAAAAeAQAAZHJzL2Uyb0Rv&#10;Yy54bWxQSwUGAAAAAAYABgBZAQAAWgUAAAAA&#10;">
              <v:fill on="f" focussize="0,0"/>
              <v:stroke on="f"/>
              <v:imagedata o:title=""/>
              <o:lock v:ext="edit" aspectratio="f"/>
              <v:textbox inset="0mm,0mm,0mm,0mm" style="mso-fit-shape-to-text:t;">
                <w:txbxContent>
                  <w:p w14:paraId="24D8EE44">
                    <w:pPr>
                      <w:pStyle w:val="21"/>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6D591">
    <w:pPr>
      <w:pStyle w:val="21"/>
      <w:jc w:val="cente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8A6139B">
                          <w:pPr>
                            <w:pStyle w:val="21"/>
                          </w:pPr>
                          <w:r>
                            <w:fldChar w:fldCharType="begin"/>
                          </w:r>
                          <w:r>
                            <w:instrText xml:space="preserve"> PAGE  \* MERGEFORMAT </w:instrText>
                          </w:r>
                          <w:r>
                            <w:fldChar w:fldCharType="separate"/>
                          </w:r>
                          <w:r>
                            <w:t>68</w:t>
                          </w:r>
                          <w:r>
                            <w:fldChar w:fldCharType="end"/>
                          </w:r>
                        </w:p>
                      </w:txbxContent>
                    </wps:txbx>
                    <wps:bodyPr wrap="none" lIns="0" tIns="0" rIns="0" bIns="0" upright="1">
                      <a:spAutoFit/>
                    </wps:bodyPr>
                  </wps:wsp>
                </a:graphicData>
              </a:graphic>
            </wp:anchor>
          </w:drawing>
        </mc:Choice>
        <mc:Fallback>
          <w:pict>
            <v:shape id="文本框 20"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7tvisgBAACbAwAADgAAAGRycy9lMm9Eb2MueG1srVNNrtMwEN4jcQfL&#10;e+q0E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4SUljluc+OX7t8uPX5efX8mq&#10;CNQHqDHvIWBmGt74AZOzcNkP6My8BxVt/iIjgnGU93yVVw6JiPxovVqvKwwJjM0XxGG35yFCeiu9&#10;JdloaMT5FVn56T2kMXVOydWcv9fGlBka95cDMbOH3XrMVhr2w9T43rdn5NPj6BvqcNMpMe8cKpu3&#10;ZDbibOxn4xiiPnTY2rL0BeH1MWETpbdcYYSdCuPMCrtpv/JS/HkvWbd/avs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u7b4rIAQAAmwMAAA4AAAAAAAAAAQAgAAAAHgEAAGRycy9lMm9Eb2Mu&#10;eG1sUEsFBgAAAAAGAAYAWQEAAFgFAAAAAA==&#10;">
              <v:fill on="f" focussize="0,0"/>
              <v:stroke on="f"/>
              <v:imagedata o:title=""/>
              <o:lock v:ext="edit" aspectratio="f"/>
              <v:textbox inset="0mm,0mm,0mm,0mm" style="mso-fit-shape-to-text:t;">
                <w:txbxContent>
                  <w:p w14:paraId="68A6139B">
                    <w:pPr>
                      <w:pStyle w:val="21"/>
                    </w:pPr>
                    <w:r>
                      <w:fldChar w:fldCharType="begin"/>
                    </w:r>
                    <w:r>
                      <w:instrText xml:space="preserve"> PAGE  \* MERGEFORMAT </w:instrText>
                    </w:r>
                    <w:r>
                      <w:fldChar w:fldCharType="separate"/>
                    </w:r>
                    <w:r>
                      <w:t>68</w:t>
                    </w:r>
                    <w:r>
                      <w:fldChar w:fldCharType="end"/>
                    </w:r>
                  </w:p>
                </w:txbxContent>
              </v:textbox>
            </v:shape>
          </w:pict>
        </mc:Fallback>
      </mc:AlternateContent>
    </w:r>
  </w:p>
  <w:p w14:paraId="0D3748B1">
    <w:pPr>
      <w:pStyle w:val="21"/>
      <w:ind w:right="360"/>
      <w:jc w:val="righ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6FCBC">
    <w:pPr>
      <w:pStyle w:val="2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79DA77">
                          <w:pPr>
                            <w:pStyle w:val="21"/>
                          </w:pPr>
                          <w:r>
                            <w:rPr>
                              <w:rFonts w:hint="eastAsia"/>
                            </w:rPr>
                            <w:fldChar w:fldCharType="begin"/>
                          </w:r>
                          <w:r>
                            <w:rPr>
                              <w:rFonts w:hint="eastAsia"/>
                            </w:rPr>
                            <w:instrText xml:space="preserve"> PAGE  \* MERGEFORMAT </w:instrText>
                          </w:r>
                          <w:r>
                            <w:rPr>
                              <w:rFonts w:hint="eastAsia"/>
                            </w:rPr>
                            <w:fldChar w:fldCharType="separate"/>
                          </w:r>
                          <w:r>
                            <w:t>86</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4279DA77">
                    <w:pPr>
                      <w:pStyle w:val="21"/>
                    </w:pPr>
                    <w:r>
                      <w:rPr>
                        <w:rFonts w:hint="eastAsia"/>
                      </w:rPr>
                      <w:fldChar w:fldCharType="begin"/>
                    </w:r>
                    <w:r>
                      <w:rPr>
                        <w:rFonts w:hint="eastAsia"/>
                      </w:rPr>
                      <w:instrText xml:space="preserve"> PAGE  \* MERGEFORMAT </w:instrText>
                    </w:r>
                    <w:r>
                      <w:rPr>
                        <w:rFonts w:hint="eastAsia"/>
                      </w:rPr>
                      <w:fldChar w:fldCharType="separate"/>
                    </w:r>
                    <w:r>
                      <w:t>86</w:t>
                    </w:r>
                    <w:r>
                      <w:rPr>
                        <w:rFonts w:hint="eastAsia"/>
                      </w:rPr>
                      <w:fldChar w:fldCharType="end"/>
                    </w:r>
                  </w:p>
                </w:txbxContent>
              </v:textbox>
            </v:shape>
          </w:pict>
        </mc:Fallback>
      </mc:AlternateContent>
    </w:r>
  </w:p>
  <w:p w14:paraId="448B7C77">
    <w:pPr>
      <w:pStyle w:val="21"/>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D37EA">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E0B3E">
    <w:pPr>
      <w:spacing w:line="240" w:lineRule="atLeast"/>
    </w:pPr>
    <w:r>
      <w:rPr>
        <w:sz w:val="18"/>
      </w:rPr>
      <mc:AlternateContent>
        <mc:Choice Requires="wps">
          <w:drawing>
            <wp:anchor distT="0" distB="0" distL="114300" distR="114300" simplePos="0" relativeHeight="251662336" behindDoc="0" locked="0" layoutInCell="1" allowOverlap="1">
              <wp:simplePos x="0" y="0"/>
              <wp:positionH relativeFrom="column">
                <wp:posOffset>447040</wp:posOffset>
              </wp:positionH>
              <wp:positionV relativeFrom="paragraph">
                <wp:posOffset>44450</wp:posOffset>
              </wp:positionV>
              <wp:extent cx="3096260" cy="331470"/>
              <wp:effectExtent l="0" t="0" r="0" b="0"/>
              <wp:wrapNone/>
              <wp:docPr id="9" name="文本框 1"/>
              <wp:cNvGraphicFramePr/>
              <a:graphic xmlns:a="http://schemas.openxmlformats.org/drawingml/2006/main">
                <a:graphicData uri="http://schemas.microsoft.com/office/word/2010/wordprocessingShape">
                  <wps:wsp>
                    <wps:cNvSpPr txBox="1"/>
                    <wps:spPr>
                      <a:xfrm>
                        <a:off x="0" y="0"/>
                        <a:ext cx="3096260" cy="331470"/>
                      </a:xfrm>
                      <a:prstGeom prst="rect">
                        <a:avLst/>
                      </a:prstGeom>
                      <a:noFill/>
                      <a:ln w="6350">
                        <a:noFill/>
                      </a:ln>
                      <a:effectLst/>
                    </wps:spPr>
                    <wps:txbx>
                      <w:txbxContent>
                        <w:p w14:paraId="3C4B695C">
                          <w:pPr>
                            <w:rPr>
                              <w:b/>
                              <w:bCs/>
                              <w:color w:val="000000"/>
                              <w:szCs w:val="21"/>
                            </w:rPr>
                          </w:pPr>
                        </w:p>
                      </w:txbxContent>
                    </wps:txbx>
                    <wps:bodyPr wrap="square" anchor="t">
                      <a:noAutofit/>
                    </wps:bodyPr>
                  </wps:wsp>
                </a:graphicData>
              </a:graphic>
            </wp:anchor>
          </w:drawing>
        </mc:Choice>
        <mc:Fallback>
          <w:pict>
            <v:shape id="文本框 1" o:spid="_x0000_s1026" o:spt="202" type="#_x0000_t202" style="position:absolute;left:0pt;margin-left:35.2pt;margin-top:3.5pt;height:26.1pt;width:243.8pt;z-index:251662336;mso-width-relative:page;mso-height-relative:page;" filled="f" stroked="f" coordsize="21600,21600" o:gfxdata="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Ahfn4/XAAAABwEAAA8AAAAAAAAAAQAgAAAAIgAA&#10;AGRycy9kb3ducmV2LnhtbFBLAQIUABQAAAAIAIdO4kBAdsFt0AEAAIwDAAAOAAAAAAAAAAEAIAAA&#10;ACYBAABkcnMvZTJvRG9jLnhtbFBLBQYAAAAABgAGAFkBAABoBQAAAAA=&#10;">
              <v:fill on="f" focussize="0,0"/>
              <v:stroke on="f" weight="0.5pt"/>
              <v:imagedata o:title=""/>
              <o:lock v:ext="edit" aspectratio="f"/>
              <v:textbox>
                <w:txbxContent>
                  <w:p w14:paraId="3C4B695C">
                    <w:pPr>
                      <w:rPr>
                        <w:b/>
                        <w:bCs/>
                        <w:color w:val="000000"/>
                        <w:szCs w:val="21"/>
                      </w:rPr>
                    </w:pPr>
                  </w:p>
                </w:txbxContent>
              </v:textbox>
            </v:shape>
          </w:pict>
        </mc:Fallback>
      </mc:AlternateContent>
    </w:r>
    <w:r>
      <w:rPr>
        <w:rFonts w:hint="eastAsia"/>
      </w:rPr>
      <w:t xml:space="preserve">           </w:t>
    </w:r>
  </w:p>
  <w:p w14:paraId="4C560A81">
    <w:pPr>
      <w:pStyle w:val="22"/>
      <w:pBdr>
        <w:bottom w:val="none" w:color="auto" w:sz="0" w:space="0"/>
      </w:pBdr>
      <w:jc w:val="both"/>
      <w:rPr>
        <w:bCs/>
      </w:rPr>
    </w:pP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01598">
    <w:pPr>
      <w:pStyle w:val="22"/>
      <w:pBdr>
        <w:bottom w:val="none" w:color="auto" w:sz="0" w:space="1"/>
      </w:pBdr>
      <w:tabs>
        <w:tab w:val="left" w:pos="3067"/>
        <w:tab w:val="clear" w:pos="4153"/>
      </w:tabs>
      <w:jc w:val="both"/>
    </w:pPr>
    <w:r>
      <w:rPr>
        <w:rFonts w:hint="eastAsia"/>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D266F">
    <w:pPr>
      <w:pStyle w:val="22"/>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467536"/>
    <w:multiLevelType w:val="singleLevel"/>
    <w:tmpl w:val="93467536"/>
    <w:lvl w:ilvl="0" w:tentative="0">
      <w:start w:val="1"/>
      <w:numFmt w:val="decimal"/>
      <w:suff w:val="nothing"/>
      <w:lvlText w:val="%1、"/>
      <w:lvlJc w:val="left"/>
    </w:lvl>
  </w:abstractNum>
  <w:abstractNum w:abstractNumId="1">
    <w:nsid w:val="BE0B29D1"/>
    <w:multiLevelType w:val="singleLevel"/>
    <w:tmpl w:val="BE0B29D1"/>
    <w:lvl w:ilvl="0" w:tentative="0">
      <w:start w:val="1"/>
      <w:numFmt w:val="decimal"/>
      <w:suff w:val="space"/>
      <w:lvlText w:val="%1."/>
      <w:lvlJc w:val="left"/>
    </w:lvl>
  </w:abstractNum>
  <w:abstractNum w:abstractNumId="2">
    <w:nsid w:val="D1BF2829"/>
    <w:multiLevelType w:val="singleLevel"/>
    <w:tmpl w:val="D1BF2829"/>
    <w:lvl w:ilvl="0" w:tentative="0">
      <w:start w:val="1"/>
      <w:numFmt w:val="decimal"/>
      <w:suff w:val="nothing"/>
      <w:lvlText w:val="（%1）"/>
      <w:lvlJc w:val="left"/>
      <w:pPr>
        <w:ind w:left="-61"/>
      </w:pPr>
    </w:lvl>
  </w:abstractNum>
  <w:abstractNum w:abstractNumId="3">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4">
    <w:nsid w:val="E6D251A2"/>
    <w:multiLevelType w:val="singleLevel"/>
    <w:tmpl w:val="E6D251A2"/>
    <w:lvl w:ilvl="0" w:tentative="0">
      <w:start w:val="5"/>
      <w:numFmt w:val="chineseCounting"/>
      <w:suff w:val="nothing"/>
      <w:lvlText w:val="第%1章、"/>
      <w:lvlJc w:val="left"/>
      <w:rPr>
        <w:rFonts w:hint="eastAsia"/>
      </w:rPr>
    </w:lvl>
  </w:abstractNum>
  <w:abstractNum w:abstractNumId="5">
    <w:nsid w:val="FA849B50"/>
    <w:multiLevelType w:val="singleLevel"/>
    <w:tmpl w:val="FA849B50"/>
    <w:lvl w:ilvl="0" w:tentative="0">
      <w:start w:val="1"/>
      <w:numFmt w:val="chineseCounting"/>
      <w:suff w:val="nothing"/>
      <w:lvlText w:val="%1、"/>
      <w:lvlJc w:val="left"/>
      <w:rPr>
        <w:rFonts w:hint="eastAsia"/>
      </w:rPr>
    </w:lvl>
  </w:abstractNum>
  <w:abstractNum w:abstractNumId="6">
    <w:nsid w:val="00000006"/>
    <w:multiLevelType w:val="singleLevel"/>
    <w:tmpl w:val="00000006"/>
    <w:lvl w:ilvl="0" w:tentative="0">
      <w:start w:val="1"/>
      <w:numFmt w:val="decimal"/>
      <w:suff w:val="nothing"/>
      <w:lvlText w:val="（%1）"/>
      <w:lvlJc w:val="left"/>
    </w:lvl>
  </w:abstractNum>
  <w:abstractNum w:abstractNumId="7">
    <w:nsid w:val="0FF9642E"/>
    <w:multiLevelType w:val="multilevel"/>
    <w:tmpl w:val="0FF9642E"/>
    <w:lvl w:ilvl="0" w:tentative="0">
      <w:start w:val="1"/>
      <w:numFmt w:val="decimal"/>
      <w:lvlText w:val="第%1章"/>
      <w:lvlJc w:val="left"/>
      <w:pPr>
        <w:tabs>
          <w:tab w:val="left" w:pos="3134"/>
        </w:tabs>
        <w:ind w:left="3134" w:hanging="1290"/>
      </w:pPr>
      <w:rPr>
        <w:rFonts w:hint="default"/>
        <w:b/>
        <w:lang w:val="en-US"/>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8">
    <w:nsid w:val="155E6A8F"/>
    <w:multiLevelType w:val="multilevel"/>
    <w:tmpl w:val="155E6A8F"/>
    <w:lvl w:ilvl="0" w:tentative="0">
      <w:start w:val="1"/>
      <w:numFmt w:val="decimal"/>
      <w:lvlText w:val="（%1）"/>
      <w:lvlJc w:val="left"/>
      <w:pPr>
        <w:tabs>
          <w:tab w:val="left" w:pos="1571"/>
        </w:tabs>
        <w:ind w:left="1721" w:hanging="720"/>
      </w:pPr>
      <w:rPr>
        <w:rFonts w:hint="default" w:ascii="仿宋_GB2312" w:hAnsi="宋体" w:eastAsia="仿宋_GB2312" w:cs="Times New Roman"/>
        <w:b/>
        <w:bCs/>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9">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0">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11">
    <w:nsid w:val="7414DB6A"/>
    <w:multiLevelType w:val="singleLevel"/>
    <w:tmpl w:val="7414DB6A"/>
    <w:lvl w:ilvl="0" w:tentative="0">
      <w:start w:val="9"/>
      <w:numFmt w:val="chineseCounting"/>
      <w:suff w:val="nothing"/>
      <w:lvlText w:val="%1、"/>
      <w:lvlJc w:val="left"/>
      <w:rPr>
        <w:rFonts w:hint="eastAsia"/>
      </w:rPr>
    </w:lvl>
  </w:abstractNum>
  <w:num w:numId="1">
    <w:abstractNumId w:val="9"/>
  </w:num>
  <w:num w:numId="2">
    <w:abstractNumId w:val="10"/>
  </w:num>
  <w:num w:numId="3">
    <w:abstractNumId w:val="3"/>
  </w:num>
  <w:num w:numId="4">
    <w:abstractNumId w:val="8"/>
  </w:num>
  <w:num w:numId="5">
    <w:abstractNumId w:val="2"/>
  </w:num>
  <w:num w:numId="6">
    <w:abstractNumId w:val="7"/>
  </w:num>
  <w:num w:numId="7">
    <w:abstractNumId w:val="0"/>
  </w:num>
  <w:num w:numId="8">
    <w:abstractNumId w:val="4"/>
  </w:num>
  <w:num w:numId="9">
    <w:abstractNumId w:val="5"/>
  </w:num>
  <w:num w:numId="10">
    <w:abstractNumId w:val="11"/>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ExY2U3ZTk3ODA2ODlhYjk0Njc3NjMzMTk5OTQxNTkifQ=="/>
  </w:docVars>
  <w:rsids>
    <w:rsidRoot w:val="00895A1D"/>
    <w:rsid w:val="0003085C"/>
    <w:rsid w:val="000867A6"/>
    <w:rsid w:val="000D161F"/>
    <w:rsid w:val="00110261"/>
    <w:rsid w:val="001F0B0C"/>
    <w:rsid w:val="00207D7F"/>
    <w:rsid w:val="002E69D3"/>
    <w:rsid w:val="003357D8"/>
    <w:rsid w:val="00536FE9"/>
    <w:rsid w:val="006657A3"/>
    <w:rsid w:val="00666B7B"/>
    <w:rsid w:val="006C0ACA"/>
    <w:rsid w:val="006C54BC"/>
    <w:rsid w:val="00705D8A"/>
    <w:rsid w:val="007C55E3"/>
    <w:rsid w:val="00862904"/>
    <w:rsid w:val="008667E6"/>
    <w:rsid w:val="00895A1D"/>
    <w:rsid w:val="008C4943"/>
    <w:rsid w:val="009571C1"/>
    <w:rsid w:val="009B3092"/>
    <w:rsid w:val="009D0668"/>
    <w:rsid w:val="00AF6217"/>
    <w:rsid w:val="00BC3EE0"/>
    <w:rsid w:val="00BC57CD"/>
    <w:rsid w:val="00C339D6"/>
    <w:rsid w:val="00C66630"/>
    <w:rsid w:val="00CA77F4"/>
    <w:rsid w:val="00CA7EEA"/>
    <w:rsid w:val="00D81059"/>
    <w:rsid w:val="00E63DE4"/>
    <w:rsid w:val="00ED2720"/>
    <w:rsid w:val="00EF7950"/>
    <w:rsid w:val="0100784D"/>
    <w:rsid w:val="0111174C"/>
    <w:rsid w:val="011E7334"/>
    <w:rsid w:val="012D5FD4"/>
    <w:rsid w:val="014F6641"/>
    <w:rsid w:val="014F7B7B"/>
    <w:rsid w:val="015E0632"/>
    <w:rsid w:val="01705B2F"/>
    <w:rsid w:val="01B21035"/>
    <w:rsid w:val="01CF7782"/>
    <w:rsid w:val="01D815C4"/>
    <w:rsid w:val="01D842A4"/>
    <w:rsid w:val="01E74ACC"/>
    <w:rsid w:val="02004CFA"/>
    <w:rsid w:val="02131C1D"/>
    <w:rsid w:val="021D673F"/>
    <w:rsid w:val="02443CCC"/>
    <w:rsid w:val="028C11CF"/>
    <w:rsid w:val="0297204E"/>
    <w:rsid w:val="029F0F02"/>
    <w:rsid w:val="02A674F6"/>
    <w:rsid w:val="02A91D81"/>
    <w:rsid w:val="02AF1988"/>
    <w:rsid w:val="02B349AE"/>
    <w:rsid w:val="02BA6532"/>
    <w:rsid w:val="02C12D78"/>
    <w:rsid w:val="02C43E9B"/>
    <w:rsid w:val="02C762AA"/>
    <w:rsid w:val="02CD5FA7"/>
    <w:rsid w:val="02D3130A"/>
    <w:rsid w:val="02DF57A3"/>
    <w:rsid w:val="02E00F42"/>
    <w:rsid w:val="02E1776D"/>
    <w:rsid w:val="030A0A72"/>
    <w:rsid w:val="03231B33"/>
    <w:rsid w:val="03261624"/>
    <w:rsid w:val="033269E2"/>
    <w:rsid w:val="03477B45"/>
    <w:rsid w:val="03577E50"/>
    <w:rsid w:val="035F761F"/>
    <w:rsid w:val="03667277"/>
    <w:rsid w:val="037759DB"/>
    <w:rsid w:val="03782EB8"/>
    <w:rsid w:val="03784AB1"/>
    <w:rsid w:val="038E32B1"/>
    <w:rsid w:val="03A4367F"/>
    <w:rsid w:val="03B04F9D"/>
    <w:rsid w:val="03BB1D6C"/>
    <w:rsid w:val="03C70879"/>
    <w:rsid w:val="03CE0DB3"/>
    <w:rsid w:val="03EF6F57"/>
    <w:rsid w:val="042F79CF"/>
    <w:rsid w:val="043438CC"/>
    <w:rsid w:val="0454309A"/>
    <w:rsid w:val="04A15406"/>
    <w:rsid w:val="04A171B4"/>
    <w:rsid w:val="04B0389B"/>
    <w:rsid w:val="04CA4346"/>
    <w:rsid w:val="051200B1"/>
    <w:rsid w:val="052B41D9"/>
    <w:rsid w:val="05315642"/>
    <w:rsid w:val="053C0609"/>
    <w:rsid w:val="054B542C"/>
    <w:rsid w:val="0562098E"/>
    <w:rsid w:val="05746676"/>
    <w:rsid w:val="057C5998"/>
    <w:rsid w:val="058668CC"/>
    <w:rsid w:val="05942874"/>
    <w:rsid w:val="05B44CC5"/>
    <w:rsid w:val="05B72A07"/>
    <w:rsid w:val="05D50CDB"/>
    <w:rsid w:val="05DF0048"/>
    <w:rsid w:val="05E03E13"/>
    <w:rsid w:val="05EC07B5"/>
    <w:rsid w:val="05ED7F65"/>
    <w:rsid w:val="05FA743E"/>
    <w:rsid w:val="064F4461"/>
    <w:rsid w:val="06501395"/>
    <w:rsid w:val="06531588"/>
    <w:rsid w:val="065F7326"/>
    <w:rsid w:val="06640499"/>
    <w:rsid w:val="067E63E6"/>
    <w:rsid w:val="067F4BD4"/>
    <w:rsid w:val="06916222"/>
    <w:rsid w:val="06A8201E"/>
    <w:rsid w:val="06AE2BB5"/>
    <w:rsid w:val="06AE5BB8"/>
    <w:rsid w:val="06D51FD4"/>
    <w:rsid w:val="06DA12BF"/>
    <w:rsid w:val="06F45CEF"/>
    <w:rsid w:val="070B4973"/>
    <w:rsid w:val="07161274"/>
    <w:rsid w:val="0719505E"/>
    <w:rsid w:val="071C5ED2"/>
    <w:rsid w:val="071D689A"/>
    <w:rsid w:val="072440CC"/>
    <w:rsid w:val="072916E2"/>
    <w:rsid w:val="07503DE6"/>
    <w:rsid w:val="07504BB1"/>
    <w:rsid w:val="07550729"/>
    <w:rsid w:val="07587238"/>
    <w:rsid w:val="075B7EFA"/>
    <w:rsid w:val="079A64D1"/>
    <w:rsid w:val="07B05960"/>
    <w:rsid w:val="07BE007D"/>
    <w:rsid w:val="07E3022C"/>
    <w:rsid w:val="07E55609"/>
    <w:rsid w:val="07E852D6"/>
    <w:rsid w:val="07EA2C20"/>
    <w:rsid w:val="08033CE1"/>
    <w:rsid w:val="082319DF"/>
    <w:rsid w:val="082C4FE6"/>
    <w:rsid w:val="085E58E2"/>
    <w:rsid w:val="087A47BA"/>
    <w:rsid w:val="088B2D32"/>
    <w:rsid w:val="089D3FDB"/>
    <w:rsid w:val="08A2174C"/>
    <w:rsid w:val="08AE1E9F"/>
    <w:rsid w:val="08D31906"/>
    <w:rsid w:val="08DD4532"/>
    <w:rsid w:val="09085A16"/>
    <w:rsid w:val="09157041"/>
    <w:rsid w:val="091D7025"/>
    <w:rsid w:val="09264DF5"/>
    <w:rsid w:val="09450846"/>
    <w:rsid w:val="09575EDF"/>
    <w:rsid w:val="096D58B6"/>
    <w:rsid w:val="0975326E"/>
    <w:rsid w:val="09772ED3"/>
    <w:rsid w:val="097D5495"/>
    <w:rsid w:val="098176DB"/>
    <w:rsid w:val="098F70D0"/>
    <w:rsid w:val="099A312E"/>
    <w:rsid w:val="09AB1F5F"/>
    <w:rsid w:val="09C11041"/>
    <w:rsid w:val="09D30045"/>
    <w:rsid w:val="09DC4C1A"/>
    <w:rsid w:val="09DF42DA"/>
    <w:rsid w:val="09F14739"/>
    <w:rsid w:val="09F86464"/>
    <w:rsid w:val="0A1207C3"/>
    <w:rsid w:val="0A1612F6"/>
    <w:rsid w:val="0A216791"/>
    <w:rsid w:val="0A335E31"/>
    <w:rsid w:val="0A3964CF"/>
    <w:rsid w:val="0A4C4804"/>
    <w:rsid w:val="0A4D5F38"/>
    <w:rsid w:val="0A515775"/>
    <w:rsid w:val="0A5371A2"/>
    <w:rsid w:val="0A7D421F"/>
    <w:rsid w:val="0A87660C"/>
    <w:rsid w:val="0A997806"/>
    <w:rsid w:val="0A9A65BA"/>
    <w:rsid w:val="0AA01CBB"/>
    <w:rsid w:val="0ABD670D"/>
    <w:rsid w:val="0AC43421"/>
    <w:rsid w:val="0AC459AA"/>
    <w:rsid w:val="0AD349F6"/>
    <w:rsid w:val="0AD450A6"/>
    <w:rsid w:val="0AE24154"/>
    <w:rsid w:val="0AE709E2"/>
    <w:rsid w:val="0B3051C6"/>
    <w:rsid w:val="0B5221BA"/>
    <w:rsid w:val="0B6871D5"/>
    <w:rsid w:val="0B782F7D"/>
    <w:rsid w:val="0B7D0C53"/>
    <w:rsid w:val="0B7E024F"/>
    <w:rsid w:val="0BAC1DF9"/>
    <w:rsid w:val="0BBA4FFF"/>
    <w:rsid w:val="0BC66F79"/>
    <w:rsid w:val="0BDC4F75"/>
    <w:rsid w:val="0BEA3A25"/>
    <w:rsid w:val="0BFC5617"/>
    <w:rsid w:val="0C061FF2"/>
    <w:rsid w:val="0C247AA5"/>
    <w:rsid w:val="0C331049"/>
    <w:rsid w:val="0C540FAF"/>
    <w:rsid w:val="0C5A3047"/>
    <w:rsid w:val="0C896AD5"/>
    <w:rsid w:val="0C8A4038"/>
    <w:rsid w:val="0CA834CB"/>
    <w:rsid w:val="0CAF3CBD"/>
    <w:rsid w:val="0CBB2DDD"/>
    <w:rsid w:val="0CCE7C38"/>
    <w:rsid w:val="0CE7483B"/>
    <w:rsid w:val="0CEC11E8"/>
    <w:rsid w:val="0CEC743A"/>
    <w:rsid w:val="0CFC5344"/>
    <w:rsid w:val="0CFE7654"/>
    <w:rsid w:val="0D0157DC"/>
    <w:rsid w:val="0D0F47B0"/>
    <w:rsid w:val="0D1F511A"/>
    <w:rsid w:val="0D2660D6"/>
    <w:rsid w:val="0D33523D"/>
    <w:rsid w:val="0D454359"/>
    <w:rsid w:val="0D53093C"/>
    <w:rsid w:val="0D532052"/>
    <w:rsid w:val="0D613984"/>
    <w:rsid w:val="0D665C53"/>
    <w:rsid w:val="0D6A3EDB"/>
    <w:rsid w:val="0D6C72F1"/>
    <w:rsid w:val="0D6F52A1"/>
    <w:rsid w:val="0D821B4C"/>
    <w:rsid w:val="0D9733CB"/>
    <w:rsid w:val="0D9C232F"/>
    <w:rsid w:val="0DA27AF9"/>
    <w:rsid w:val="0DAF3278"/>
    <w:rsid w:val="0DBE1A50"/>
    <w:rsid w:val="0DEC0073"/>
    <w:rsid w:val="0E2350DD"/>
    <w:rsid w:val="0E3E5A73"/>
    <w:rsid w:val="0E411894"/>
    <w:rsid w:val="0E762102"/>
    <w:rsid w:val="0E8568F4"/>
    <w:rsid w:val="0E9850B0"/>
    <w:rsid w:val="0E9C1E9A"/>
    <w:rsid w:val="0ECD6DF7"/>
    <w:rsid w:val="0ECF2B6F"/>
    <w:rsid w:val="0ED40440"/>
    <w:rsid w:val="0ED60FFF"/>
    <w:rsid w:val="0EDF648A"/>
    <w:rsid w:val="0EEB1012"/>
    <w:rsid w:val="0EF95E3E"/>
    <w:rsid w:val="0F0A09D0"/>
    <w:rsid w:val="0F227143"/>
    <w:rsid w:val="0F2D34D3"/>
    <w:rsid w:val="0F387885"/>
    <w:rsid w:val="0F394241"/>
    <w:rsid w:val="0F5618E4"/>
    <w:rsid w:val="0F566D70"/>
    <w:rsid w:val="0F584BEB"/>
    <w:rsid w:val="0F9423B1"/>
    <w:rsid w:val="0FA47B58"/>
    <w:rsid w:val="0FC229C0"/>
    <w:rsid w:val="0FCE1351"/>
    <w:rsid w:val="0FD04B0E"/>
    <w:rsid w:val="0FD42798"/>
    <w:rsid w:val="0FFC6B1F"/>
    <w:rsid w:val="0FFE3D15"/>
    <w:rsid w:val="10030D22"/>
    <w:rsid w:val="101A606C"/>
    <w:rsid w:val="101C3B92"/>
    <w:rsid w:val="10640D9C"/>
    <w:rsid w:val="10650A7C"/>
    <w:rsid w:val="107439CE"/>
    <w:rsid w:val="1074577C"/>
    <w:rsid w:val="10785653"/>
    <w:rsid w:val="10816AC7"/>
    <w:rsid w:val="10817E99"/>
    <w:rsid w:val="108A4FA0"/>
    <w:rsid w:val="109536BA"/>
    <w:rsid w:val="109A21A3"/>
    <w:rsid w:val="109E0A4B"/>
    <w:rsid w:val="10A67900"/>
    <w:rsid w:val="10B42604"/>
    <w:rsid w:val="10C35309"/>
    <w:rsid w:val="11001706"/>
    <w:rsid w:val="11296F63"/>
    <w:rsid w:val="112C42A9"/>
    <w:rsid w:val="115A1995"/>
    <w:rsid w:val="116E2B13"/>
    <w:rsid w:val="116F006D"/>
    <w:rsid w:val="119B31DD"/>
    <w:rsid w:val="11AE3646"/>
    <w:rsid w:val="11B147AE"/>
    <w:rsid w:val="11C27818"/>
    <w:rsid w:val="11CB3AC2"/>
    <w:rsid w:val="11CD0452"/>
    <w:rsid w:val="11EE3BFC"/>
    <w:rsid w:val="11F748B7"/>
    <w:rsid w:val="11FA43A7"/>
    <w:rsid w:val="120705B5"/>
    <w:rsid w:val="12152F8F"/>
    <w:rsid w:val="122338FE"/>
    <w:rsid w:val="123515AC"/>
    <w:rsid w:val="12486EC1"/>
    <w:rsid w:val="12747383"/>
    <w:rsid w:val="128A6758"/>
    <w:rsid w:val="12B91B6C"/>
    <w:rsid w:val="12C85C91"/>
    <w:rsid w:val="12D07891"/>
    <w:rsid w:val="12D92195"/>
    <w:rsid w:val="12EB22E0"/>
    <w:rsid w:val="12EF691A"/>
    <w:rsid w:val="130B33DB"/>
    <w:rsid w:val="130E34D1"/>
    <w:rsid w:val="13231BBE"/>
    <w:rsid w:val="134F427F"/>
    <w:rsid w:val="136A19B3"/>
    <w:rsid w:val="13765C88"/>
    <w:rsid w:val="13915182"/>
    <w:rsid w:val="139750E9"/>
    <w:rsid w:val="13AB2EC1"/>
    <w:rsid w:val="13B3295F"/>
    <w:rsid w:val="13CB440C"/>
    <w:rsid w:val="13F0522D"/>
    <w:rsid w:val="13F51386"/>
    <w:rsid w:val="13FD017F"/>
    <w:rsid w:val="14011A1D"/>
    <w:rsid w:val="140C1D9A"/>
    <w:rsid w:val="14221993"/>
    <w:rsid w:val="142D2812"/>
    <w:rsid w:val="14327E28"/>
    <w:rsid w:val="146E08A3"/>
    <w:rsid w:val="14755F67"/>
    <w:rsid w:val="14835796"/>
    <w:rsid w:val="149A59CD"/>
    <w:rsid w:val="14A14FAE"/>
    <w:rsid w:val="14AE1D7F"/>
    <w:rsid w:val="14B462B9"/>
    <w:rsid w:val="14C4456A"/>
    <w:rsid w:val="14CA0061"/>
    <w:rsid w:val="14CD7B51"/>
    <w:rsid w:val="14DD178C"/>
    <w:rsid w:val="15035321"/>
    <w:rsid w:val="15063833"/>
    <w:rsid w:val="15180DC0"/>
    <w:rsid w:val="15190FE8"/>
    <w:rsid w:val="151E112D"/>
    <w:rsid w:val="15407853"/>
    <w:rsid w:val="1552731D"/>
    <w:rsid w:val="157B38AF"/>
    <w:rsid w:val="157B600D"/>
    <w:rsid w:val="157E5460"/>
    <w:rsid w:val="15897F1C"/>
    <w:rsid w:val="158A022E"/>
    <w:rsid w:val="15A75AAD"/>
    <w:rsid w:val="15AC7FC5"/>
    <w:rsid w:val="15B66837"/>
    <w:rsid w:val="15BB3E4D"/>
    <w:rsid w:val="15C343EE"/>
    <w:rsid w:val="15C47C8A"/>
    <w:rsid w:val="15D54F0F"/>
    <w:rsid w:val="15F01D49"/>
    <w:rsid w:val="15F13724"/>
    <w:rsid w:val="15F922B5"/>
    <w:rsid w:val="16001892"/>
    <w:rsid w:val="16074E97"/>
    <w:rsid w:val="16174C51"/>
    <w:rsid w:val="161B669A"/>
    <w:rsid w:val="16291E86"/>
    <w:rsid w:val="16570879"/>
    <w:rsid w:val="165C1718"/>
    <w:rsid w:val="166046D4"/>
    <w:rsid w:val="1670016B"/>
    <w:rsid w:val="169C162C"/>
    <w:rsid w:val="16B76749"/>
    <w:rsid w:val="1711641B"/>
    <w:rsid w:val="171750B3"/>
    <w:rsid w:val="171C6B6E"/>
    <w:rsid w:val="172942EE"/>
    <w:rsid w:val="172D0D7B"/>
    <w:rsid w:val="17544210"/>
    <w:rsid w:val="17561F03"/>
    <w:rsid w:val="176A5B2B"/>
    <w:rsid w:val="176B037C"/>
    <w:rsid w:val="178111D5"/>
    <w:rsid w:val="178716ED"/>
    <w:rsid w:val="178A1656"/>
    <w:rsid w:val="17992095"/>
    <w:rsid w:val="179E3A27"/>
    <w:rsid w:val="17A27073"/>
    <w:rsid w:val="17D80258"/>
    <w:rsid w:val="17EC4C4D"/>
    <w:rsid w:val="17EE3FBE"/>
    <w:rsid w:val="17F31B55"/>
    <w:rsid w:val="17FF6273"/>
    <w:rsid w:val="180513B0"/>
    <w:rsid w:val="180E295A"/>
    <w:rsid w:val="1830349B"/>
    <w:rsid w:val="185640F4"/>
    <w:rsid w:val="18694231"/>
    <w:rsid w:val="187C0AE5"/>
    <w:rsid w:val="187D53EA"/>
    <w:rsid w:val="18B2778A"/>
    <w:rsid w:val="18B708FC"/>
    <w:rsid w:val="18C179CD"/>
    <w:rsid w:val="18E37816"/>
    <w:rsid w:val="18ED32D5"/>
    <w:rsid w:val="18F2292E"/>
    <w:rsid w:val="18F338FE"/>
    <w:rsid w:val="18F81F3B"/>
    <w:rsid w:val="19021CE3"/>
    <w:rsid w:val="19162228"/>
    <w:rsid w:val="19303DF5"/>
    <w:rsid w:val="193425B9"/>
    <w:rsid w:val="197C0DD3"/>
    <w:rsid w:val="19802A12"/>
    <w:rsid w:val="19855AA9"/>
    <w:rsid w:val="19890B1B"/>
    <w:rsid w:val="198F3627"/>
    <w:rsid w:val="19AE3B04"/>
    <w:rsid w:val="19DB0C62"/>
    <w:rsid w:val="19DB6643"/>
    <w:rsid w:val="19FD25DB"/>
    <w:rsid w:val="1A14424E"/>
    <w:rsid w:val="1A26492B"/>
    <w:rsid w:val="1A33411C"/>
    <w:rsid w:val="1A404921"/>
    <w:rsid w:val="1A410A75"/>
    <w:rsid w:val="1A51607D"/>
    <w:rsid w:val="1A5A129C"/>
    <w:rsid w:val="1A97254F"/>
    <w:rsid w:val="1A974E89"/>
    <w:rsid w:val="1AAD69F7"/>
    <w:rsid w:val="1AB368A0"/>
    <w:rsid w:val="1ABC669E"/>
    <w:rsid w:val="1AC94917"/>
    <w:rsid w:val="1AEE0EC6"/>
    <w:rsid w:val="1B1648C0"/>
    <w:rsid w:val="1B1A7F56"/>
    <w:rsid w:val="1B245FF1"/>
    <w:rsid w:val="1B2E14C5"/>
    <w:rsid w:val="1B34092A"/>
    <w:rsid w:val="1B462E07"/>
    <w:rsid w:val="1B6B115B"/>
    <w:rsid w:val="1BC8443B"/>
    <w:rsid w:val="1BDD1FBC"/>
    <w:rsid w:val="1BEF2D2A"/>
    <w:rsid w:val="1C0848E5"/>
    <w:rsid w:val="1C144C64"/>
    <w:rsid w:val="1C1918CE"/>
    <w:rsid w:val="1C1D51DA"/>
    <w:rsid w:val="1C281B11"/>
    <w:rsid w:val="1C4806BA"/>
    <w:rsid w:val="1C4A3FE8"/>
    <w:rsid w:val="1C577A58"/>
    <w:rsid w:val="1C6D774E"/>
    <w:rsid w:val="1C872CDB"/>
    <w:rsid w:val="1C8D1C3F"/>
    <w:rsid w:val="1C8D2E44"/>
    <w:rsid w:val="1C9D42AD"/>
    <w:rsid w:val="1C9D605B"/>
    <w:rsid w:val="1CB62B27"/>
    <w:rsid w:val="1CB6536F"/>
    <w:rsid w:val="1CB9674D"/>
    <w:rsid w:val="1CD06430"/>
    <w:rsid w:val="1CE971BC"/>
    <w:rsid w:val="1CFC0FD3"/>
    <w:rsid w:val="1D1B6C8D"/>
    <w:rsid w:val="1D23315B"/>
    <w:rsid w:val="1D2B18B9"/>
    <w:rsid w:val="1D342543"/>
    <w:rsid w:val="1D4B1F5B"/>
    <w:rsid w:val="1D5A36BA"/>
    <w:rsid w:val="1D6A28C6"/>
    <w:rsid w:val="1D7768AC"/>
    <w:rsid w:val="1D7F39B2"/>
    <w:rsid w:val="1D835B5B"/>
    <w:rsid w:val="1D856AE2"/>
    <w:rsid w:val="1D8B05A9"/>
    <w:rsid w:val="1D9540B2"/>
    <w:rsid w:val="1E0740D4"/>
    <w:rsid w:val="1E0E2F1A"/>
    <w:rsid w:val="1E277DB2"/>
    <w:rsid w:val="1E37603B"/>
    <w:rsid w:val="1E4946EC"/>
    <w:rsid w:val="1E4D585F"/>
    <w:rsid w:val="1E562965"/>
    <w:rsid w:val="1E592455"/>
    <w:rsid w:val="1E6857EA"/>
    <w:rsid w:val="1E6908EA"/>
    <w:rsid w:val="1E9A4F48"/>
    <w:rsid w:val="1EAD3117"/>
    <w:rsid w:val="1EBC5686"/>
    <w:rsid w:val="1EC80E24"/>
    <w:rsid w:val="1ECE3DF5"/>
    <w:rsid w:val="1EF67CA4"/>
    <w:rsid w:val="1F093E7B"/>
    <w:rsid w:val="1F132604"/>
    <w:rsid w:val="1F2348AD"/>
    <w:rsid w:val="1F2C181C"/>
    <w:rsid w:val="1F3709E9"/>
    <w:rsid w:val="1F371D4D"/>
    <w:rsid w:val="1F453B3F"/>
    <w:rsid w:val="1F4B67B9"/>
    <w:rsid w:val="1F4D1ED7"/>
    <w:rsid w:val="1F6E1F30"/>
    <w:rsid w:val="1F703EFB"/>
    <w:rsid w:val="1F8117D6"/>
    <w:rsid w:val="1F886914"/>
    <w:rsid w:val="1F9C049A"/>
    <w:rsid w:val="1FA61CBA"/>
    <w:rsid w:val="1FA77E20"/>
    <w:rsid w:val="1FD04999"/>
    <w:rsid w:val="1FD46237"/>
    <w:rsid w:val="1FD56123"/>
    <w:rsid w:val="1FD62EE4"/>
    <w:rsid w:val="1FDC50EC"/>
    <w:rsid w:val="1FE228F3"/>
    <w:rsid w:val="1FE468A8"/>
    <w:rsid w:val="1FEA15B7"/>
    <w:rsid w:val="1FEF3071"/>
    <w:rsid w:val="1FF572E0"/>
    <w:rsid w:val="1FFE5D9D"/>
    <w:rsid w:val="20120877"/>
    <w:rsid w:val="201E6930"/>
    <w:rsid w:val="20222C12"/>
    <w:rsid w:val="20387D67"/>
    <w:rsid w:val="204A474C"/>
    <w:rsid w:val="20566C4C"/>
    <w:rsid w:val="206C1544"/>
    <w:rsid w:val="206C46C2"/>
    <w:rsid w:val="20783067"/>
    <w:rsid w:val="207E7902"/>
    <w:rsid w:val="20806951"/>
    <w:rsid w:val="209072ED"/>
    <w:rsid w:val="209A4544"/>
    <w:rsid w:val="20B048AC"/>
    <w:rsid w:val="20B16B6F"/>
    <w:rsid w:val="20B54AB3"/>
    <w:rsid w:val="20BB73F7"/>
    <w:rsid w:val="20BE32BF"/>
    <w:rsid w:val="20D3029D"/>
    <w:rsid w:val="20D9162C"/>
    <w:rsid w:val="20E71E94"/>
    <w:rsid w:val="20F16975"/>
    <w:rsid w:val="210E39CB"/>
    <w:rsid w:val="214C004F"/>
    <w:rsid w:val="215D225D"/>
    <w:rsid w:val="217638F3"/>
    <w:rsid w:val="21920A05"/>
    <w:rsid w:val="21BA145D"/>
    <w:rsid w:val="21EB1616"/>
    <w:rsid w:val="21EE1107"/>
    <w:rsid w:val="220B214E"/>
    <w:rsid w:val="222F42E3"/>
    <w:rsid w:val="2240402B"/>
    <w:rsid w:val="22566A46"/>
    <w:rsid w:val="22717D6E"/>
    <w:rsid w:val="22792FC4"/>
    <w:rsid w:val="22943A5C"/>
    <w:rsid w:val="22AB55E2"/>
    <w:rsid w:val="22D578EC"/>
    <w:rsid w:val="22F1787E"/>
    <w:rsid w:val="22FB3ADB"/>
    <w:rsid w:val="22FB5BE1"/>
    <w:rsid w:val="22FF1B55"/>
    <w:rsid w:val="23071F85"/>
    <w:rsid w:val="230A4E75"/>
    <w:rsid w:val="230F7587"/>
    <w:rsid w:val="231352C9"/>
    <w:rsid w:val="231A1E62"/>
    <w:rsid w:val="23272B22"/>
    <w:rsid w:val="23307C29"/>
    <w:rsid w:val="234978A2"/>
    <w:rsid w:val="2369313B"/>
    <w:rsid w:val="23841D23"/>
    <w:rsid w:val="23902475"/>
    <w:rsid w:val="23A10B26"/>
    <w:rsid w:val="23A8003E"/>
    <w:rsid w:val="23B42FDE"/>
    <w:rsid w:val="2435126F"/>
    <w:rsid w:val="244151D4"/>
    <w:rsid w:val="2443040A"/>
    <w:rsid w:val="24510BCA"/>
    <w:rsid w:val="24533F54"/>
    <w:rsid w:val="24713CC4"/>
    <w:rsid w:val="2471674B"/>
    <w:rsid w:val="247C0C4C"/>
    <w:rsid w:val="248F2C00"/>
    <w:rsid w:val="24997A50"/>
    <w:rsid w:val="24A7216D"/>
    <w:rsid w:val="24B551FE"/>
    <w:rsid w:val="24C35062"/>
    <w:rsid w:val="24D46CDA"/>
    <w:rsid w:val="24D86A7B"/>
    <w:rsid w:val="24E46F1D"/>
    <w:rsid w:val="24FA04C4"/>
    <w:rsid w:val="24FB42FD"/>
    <w:rsid w:val="250F386E"/>
    <w:rsid w:val="252977CA"/>
    <w:rsid w:val="25473008"/>
    <w:rsid w:val="25491FF8"/>
    <w:rsid w:val="255120D8"/>
    <w:rsid w:val="2554432C"/>
    <w:rsid w:val="257E5B82"/>
    <w:rsid w:val="25846311"/>
    <w:rsid w:val="25C20CB9"/>
    <w:rsid w:val="25C428AA"/>
    <w:rsid w:val="25C63792"/>
    <w:rsid w:val="25D104E4"/>
    <w:rsid w:val="25F34933"/>
    <w:rsid w:val="25FF4B7F"/>
    <w:rsid w:val="26153866"/>
    <w:rsid w:val="262A4E03"/>
    <w:rsid w:val="2636273D"/>
    <w:rsid w:val="264439EB"/>
    <w:rsid w:val="26585179"/>
    <w:rsid w:val="26600825"/>
    <w:rsid w:val="26764A8E"/>
    <w:rsid w:val="2683125B"/>
    <w:rsid w:val="268A3AF4"/>
    <w:rsid w:val="26A54EEE"/>
    <w:rsid w:val="26AB44CC"/>
    <w:rsid w:val="26D73476"/>
    <w:rsid w:val="26E94EEE"/>
    <w:rsid w:val="273843B4"/>
    <w:rsid w:val="273E3C79"/>
    <w:rsid w:val="276F6228"/>
    <w:rsid w:val="2780182E"/>
    <w:rsid w:val="27810D13"/>
    <w:rsid w:val="27877AA6"/>
    <w:rsid w:val="27B14A5F"/>
    <w:rsid w:val="27BF57FE"/>
    <w:rsid w:val="27C021AE"/>
    <w:rsid w:val="27D843EB"/>
    <w:rsid w:val="27DA28A2"/>
    <w:rsid w:val="280A55FD"/>
    <w:rsid w:val="28226CCD"/>
    <w:rsid w:val="28285372"/>
    <w:rsid w:val="282E2A25"/>
    <w:rsid w:val="282E6C9B"/>
    <w:rsid w:val="28532FFB"/>
    <w:rsid w:val="28602CC8"/>
    <w:rsid w:val="288A7DDB"/>
    <w:rsid w:val="288D015E"/>
    <w:rsid w:val="28940C5A"/>
    <w:rsid w:val="28956756"/>
    <w:rsid w:val="28AF339E"/>
    <w:rsid w:val="28C47195"/>
    <w:rsid w:val="28D477E1"/>
    <w:rsid w:val="28E22630"/>
    <w:rsid w:val="28E34EC8"/>
    <w:rsid w:val="29075D9A"/>
    <w:rsid w:val="291333D1"/>
    <w:rsid w:val="291E7A4B"/>
    <w:rsid w:val="292F7CF1"/>
    <w:rsid w:val="293A137E"/>
    <w:rsid w:val="29436383"/>
    <w:rsid w:val="29440039"/>
    <w:rsid w:val="29510365"/>
    <w:rsid w:val="295D54F0"/>
    <w:rsid w:val="295E744C"/>
    <w:rsid w:val="29933C3E"/>
    <w:rsid w:val="29990904"/>
    <w:rsid w:val="299A22A0"/>
    <w:rsid w:val="29C6348F"/>
    <w:rsid w:val="29D15596"/>
    <w:rsid w:val="29D27FAF"/>
    <w:rsid w:val="29E13EDF"/>
    <w:rsid w:val="29E64ED1"/>
    <w:rsid w:val="29E76488"/>
    <w:rsid w:val="29F72F03"/>
    <w:rsid w:val="2A202079"/>
    <w:rsid w:val="2A2C4C78"/>
    <w:rsid w:val="2A44045E"/>
    <w:rsid w:val="2A605601"/>
    <w:rsid w:val="2A68414C"/>
    <w:rsid w:val="2A993906"/>
    <w:rsid w:val="2ABA149A"/>
    <w:rsid w:val="2ACA1DAB"/>
    <w:rsid w:val="2ACB0237"/>
    <w:rsid w:val="2ADB2B70"/>
    <w:rsid w:val="2AFB6D6E"/>
    <w:rsid w:val="2B0105A2"/>
    <w:rsid w:val="2B0757D2"/>
    <w:rsid w:val="2B194C59"/>
    <w:rsid w:val="2B292231"/>
    <w:rsid w:val="2B3205EA"/>
    <w:rsid w:val="2B383689"/>
    <w:rsid w:val="2B391645"/>
    <w:rsid w:val="2B430715"/>
    <w:rsid w:val="2B5C335A"/>
    <w:rsid w:val="2B664D55"/>
    <w:rsid w:val="2B681625"/>
    <w:rsid w:val="2B8C6F1B"/>
    <w:rsid w:val="2B905562"/>
    <w:rsid w:val="2B94351A"/>
    <w:rsid w:val="2B9F3B9D"/>
    <w:rsid w:val="2BA05AAC"/>
    <w:rsid w:val="2BA6228C"/>
    <w:rsid w:val="2BB35F29"/>
    <w:rsid w:val="2BC517B4"/>
    <w:rsid w:val="2BC65004"/>
    <w:rsid w:val="2BCF3D57"/>
    <w:rsid w:val="2BE37886"/>
    <w:rsid w:val="2BF305E6"/>
    <w:rsid w:val="2C242C2B"/>
    <w:rsid w:val="2C2736A5"/>
    <w:rsid w:val="2C397789"/>
    <w:rsid w:val="2C4E1120"/>
    <w:rsid w:val="2C5420FE"/>
    <w:rsid w:val="2C8B5ED0"/>
    <w:rsid w:val="2C9F22B0"/>
    <w:rsid w:val="2CD95575"/>
    <w:rsid w:val="2CDE6947"/>
    <w:rsid w:val="2CDF2C4A"/>
    <w:rsid w:val="2CFA1C6D"/>
    <w:rsid w:val="2D0B5263"/>
    <w:rsid w:val="2D1063D5"/>
    <w:rsid w:val="2D3B5B48"/>
    <w:rsid w:val="2D5F516D"/>
    <w:rsid w:val="2D8D2CB7"/>
    <w:rsid w:val="2D9223DE"/>
    <w:rsid w:val="2D993A21"/>
    <w:rsid w:val="2DA15F14"/>
    <w:rsid w:val="2DCA5D51"/>
    <w:rsid w:val="2DCD7E26"/>
    <w:rsid w:val="2DE463ED"/>
    <w:rsid w:val="2DF1591E"/>
    <w:rsid w:val="2DF31F7F"/>
    <w:rsid w:val="2E0C4471"/>
    <w:rsid w:val="2E2E1209"/>
    <w:rsid w:val="2E2E2F40"/>
    <w:rsid w:val="2E4764B0"/>
    <w:rsid w:val="2E554253"/>
    <w:rsid w:val="2E634601"/>
    <w:rsid w:val="2E752373"/>
    <w:rsid w:val="2E8373BE"/>
    <w:rsid w:val="2E894691"/>
    <w:rsid w:val="2E8976C3"/>
    <w:rsid w:val="2EAD4823"/>
    <w:rsid w:val="2EAD6B4C"/>
    <w:rsid w:val="2EAE1683"/>
    <w:rsid w:val="2EBD2016"/>
    <w:rsid w:val="2EDE47B7"/>
    <w:rsid w:val="2EE958A6"/>
    <w:rsid w:val="2F152A01"/>
    <w:rsid w:val="2F1C0570"/>
    <w:rsid w:val="2F2C30D3"/>
    <w:rsid w:val="2F420982"/>
    <w:rsid w:val="2F480D2B"/>
    <w:rsid w:val="2F5647DA"/>
    <w:rsid w:val="2F5B305F"/>
    <w:rsid w:val="2F5C53DA"/>
    <w:rsid w:val="2F971030"/>
    <w:rsid w:val="2FBB4D1E"/>
    <w:rsid w:val="2FF03BDF"/>
    <w:rsid w:val="300761B5"/>
    <w:rsid w:val="300C37CC"/>
    <w:rsid w:val="30142680"/>
    <w:rsid w:val="301B16E8"/>
    <w:rsid w:val="302C69EA"/>
    <w:rsid w:val="3034687E"/>
    <w:rsid w:val="30354AD0"/>
    <w:rsid w:val="30696528"/>
    <w:rsid w:val="3071362F"/>
    <w:rsid w:val="307153DD"/>
    <w:rsid w:val="30913CD1"/>
    <w:rsid w:val="3091782D"/>
    <w:rsid w:val="30B305C3"/>
    <w:rsid w:val="30B90174"/>
    <w:rsid w:val="30BB1952"/>
    <w:rsid w:val="30C54236"/>
    <w:rsid w:val="30DA059F"/>
    <w:rsid w:val="30FF50DE"/>
    <w:rsid w:val="310426F5"/>
    <w:rsid w:val="311A0C65"/>
    <w:rsid w:val="314066AE"/>
    <w:rsid w:val="315076E8"/>
    <w:rsid w:val="315B34EF"/>
    <w:rsid w:val="31684A32"/>
    <w:rsid w:val="317B5371"/>
    <w:rsid w:val="3183186B"/>
    <w:rsid w:val="31845314"/>
    <w:rsid w:val="319E124B"/>
    <w:rsid w:val="31B55075"/>
    <w:rsid w:val="31CA56EC"/>
    <w:rsid w:val="31D9148B"/>
    <w:rsid w:val="31F167D5"/>
    <w:rsid w:val="320D1F9D"/>
    <w:rsid w:val="32147D88"/>
    <w:rsid w:val="32292413"/>
    <w:rsid w:val="322C5038"/>
    <w:rsid w:val="3233317B"/>
    <w:rsid w:val="32400FEA"/>
    <w:rsid w:val="325079D8"/>
    <w:rsid w:val="325A6A70"/>
    <w:rsid w:val="3267741A"/>
    <w:rsid w:val="32693C07"/>
    <w:rsid w:val="327614B6"/>
    <w:rsid w:val="3283654C"/>
    <w:rsid w:val="32E8188D"/>
    <w:rsid w:val="32FA51F1"/>
    <w:rsid w:val="330A7F5F"/>
    <w:rsid w:val="331000C2"/>
    <w:rsid w:val="33423060"/>
    <w:rsid w:val="334B460B"/>
    <w:rsid w:val="33693B33"/>
    <w:rsid w:val="336D67EA"/>
    <w:rsid w:val="33704081"/>
    <w:rsid w:val="33727DEA"/>
    <w:rsid w:val="33835EFD"/>
    <w:rsid w:val="338D5CCD"/>
    <w:rsid w:val="338E2BB0"/>
    <w:rsid w:val="33A8380B"/>
    <w:rsid w:val="33AD7074"/>
    <w:rsid w:val="33B64277"/>
    <w:rsid w:val="33C72791"/>
    <w:rsid w:val="33CA3782"/>
    <w:rsid w:val="33E7514C"/>
    <w:rsid w:val="33EB7E77"/>
    <w:rsid w:val="33ED7470"/>
    <w:rsid w:val="33F151B2"/>
    <w:rsid w:val="34124A5A"/>
    <w:rsid w:val="344F1CC6"/>
    <w:rsid w:val="345557DE"/>
    <w:rsid w:val="34726723"/>
    <w:rsid w:val="34791F9A"/>
    <w:rsid w:val="34A47A00"/>
    <w:rsid w:val="34CF635D"/>
    <w:rsid w:val="34D66156"/>
    <w:rsid w:val="34D82DF5"/>
    <w:rsid w:val="34DA589F"/>
    <w:rsid w:val="34E77837"/>
    <w:rsid w:val="350C3926"/>
    <w:rsid w:val="35135BA0"/>
    <w:rsid w:val="352958F4"/>
    <w:rsid w:val="353B61AC"/>
    <w:rsid w:val="354A078A"/>
    <w:rsid w:val="35536FA7"/>
    <w:rsid w:val="356279EA"/>
    <w:rsid w:val="35815F93"/>
    <w:rsid w:val="35911670"/>
    <w:rsid w:val="35942299"/>
    <w:rsid w:val="359F0561"/>
    <w:rsid w:val="35B53FBD"/>
    <w:rsid w:val="35B71AE4"/>
    <w:rsid w:val="35C65F46"/>
    <w:rsid w:val="35D07049"/>
    <w:rsid w:val="35D72186"/>
    <w:rsid w:val="35D83A7F"/>
    <w:rsid w:val="35DD1AAE"/>
    <w:rsid w:val="36145188"/>
    <w:rsid w:val="364C1ABE"/>
    <w:rsid w:val="36555D42"/>
    <w:rsid w:val="36932551"/>
    <w:rsid w:val="36965B9D"/>
    <w:rsid w:val="36BC6DD2"/>
    <w:rsid w:val="36C070BE"/>
    <w:rsid w:val="36D31E68"/>
    <w:rsid w:val="36DF2604"/>
    <w:rsid w:val="36F32FEF"/>
    <w:rsid w:val="36F34D9D"/>
    <w:rsid w:val="36FE5C9A"/>
    <w:rsid w:val="370509F2"/>
    <w:rsid w:val="372D6C94"/>
    <w:rsid w:val="373A1BBE"/>
    <w:rsid w:val="374232C4"/>
    <w:rsid w:val="374E455A"/>
    <w:rsid w:val="37590B8E"/>
    <w:rsid w:val="375F0685"/>
    <w:rsid w:val="376712E7"/>
    <w:rsid w:val="378B3228"/>
    <w:rsid w:val="37A367C3"/>
    <w:rsid w:val="37B02C8E"/>
    <w:rsid w:val="37D850B6"/>
    <w:rsid w:val="37F4701F"/>
    <w:rsid w:val="37FC6D87"/>
    <w:rsid w:val="382F7716"/>
    <w:rsid w:val="384F24A7"/>
    <w:rsid w:val="38536B81"/>
    <w:rsid w:val="386C1A40"/>
    <w:rsid w:val="386F2B4A"/>
    <w:rsid w:val="38EB3392"/>
    <w:rsid w:val="38F32919"/>
    <w:rsid w:val="390010F7"/>
    <w:rsid w:val="390A4620"/>
    <w:rsid w:val="390E4110"/>
    <w:rsid w:val="391F32CA"/>
    <w:rsid w:val="39311BAD"/>
    <w:rsid w:val="393717A9"/>
    <w:rsid w:val="39491EDA"/>
    <w:rsid w:val="39900DFE"/>
    <w:rsid w:val="399B68F8"/>
    <w:rsid w:val="399F120C"/>
    <w:rsid w:val="39C90037"/>
    <w:rsid w:val="39E430C3"/>
    <w:rsid w:val="39F175BA"/>
    <w:rsid w:val="39FF1CAB"/>
    <w:rsid w:val="3A2B6F44"/>
    <w:rsid w:val="3A2C65F3"/>
    <w:rsid w:val="3A4263EC"/>
    <w:rsid w:val="3A5913BB"/>
    <w:rsid w:val="3A687850"/>
    <w:rsid w:val="3A6B7341"/>
    <w:rsid w:val="3A6D30B9"/>
    <w:rsid w:val="3A865F28"/>
    <w:rsid w:val="3A9B56F6"/>
    <w:rsid w:val="3AA0523C"/>
    <w:rsid w:val="3AAE5647"/>
    <w:rsid w:val="3AC21617"/>
    <w:rsid w:val="3AC814E5"/>
    <w:rsid w:val="3AD252B0"/>
    <w:rsid w:val="3AD924FC"/>
    <w:rsid w:val="3B367459"/>
    <w:rsid w:val="3B457B92"/>
    <w:rsid w:val="3B4D075A"/>
    <w:rsid w:val="3B713E55"/>
    <w:rsid w:val="3B7756E5"/>
    <w:rsid w:val="3B8D1D7A"/>
    <w:rsid w:val="3B9D5C20"/>
    <w:rsid w:val="3BCB62E9"/>
    <w:rsid w:val="3BF05D4F"/>
    <w:rsid w:val="3BF13876"/>
    <w:rsid w:val="3BF30793"/>
    <w:rsid w:val="3BFE2693"/>
    <w:rsid w:val="3C0161AE"/>
    <w:rsid w:val="3C287D3E"/>
    <w:rsid w:val="3C4D28AD"/>
    <w:rsid w:val="3C54794C"/>
    <w:rsid w:val="3C951CCC"/>
    <w:rsid w:val="3C9A08A0"/>
    <w:rsid w:val="3CA927FD"/>
    <w:rsid w:val="3CB174D9"/>
    <w:rsid w:val="3CCF3BB7"/>
    <w:rsid w:val="3CD236A7"/>
    <w:rsid w:val="3CE3756B"/>
    <w:rsid w:val="3CF96E86"/>
    <w:rsid w:val="3CFF2C9E"/>
    <w:rsid w:val="3D0715A3"/>
    <w:rsid w:val="3D2464DD"/>
    <w:rsid w:val="3D26209C"/>
    <w:rsid w:val="3D2F28A7"/>
    <w:rsid w:val="3D361E88"/>
    <w:rsid w:val="3D4225DB"/>
    <w:rsid w:val="3D461676"/>
    <w:rsid w:val="3D4A2E68"/>
    <w:rsid w:val="3D5C75EC"/>
    <w:rsid w:val="3D775C7B"/>
    <w:rsid w:val="3D850719"/>
    <w:rsid w:val="3D8726E3"/>
    <w:rsid w:val="3DAC5D0E"/>
    <w:rsid w:val="3DB47924"/>
    <w:rsid w:val="3DC54677"/>
    <w:rsid w:val="3DD46D99"/>
    <w:rsid w:val="3DE141B8"/>
    <w:rsid w:val="3E014244"/>
    <w:rsid w:val="3E02063B"/>
    <w:rsid w:val="3E03620E"/>
    <w:rsid w:val="3E412892"/>
    <w:rsid w:val="3E500D27"/>
    <w:rsid w:val="3E5A3954"/>
    <w:rsid w:val="3E72001C"/>
    <w:rsid w:val="3EA64396"/>
    <w:rsid w:val="3EB43064"/>
    <w:rsid w:val="3EB576E9"/>
    <w:rsid w:val="3EC202CC"/>
    <w:rsid w:val="3EFB528F"/>
    <w:rsid w:val="3EFF17CA"/>
    <w:rsid w:val="3F081602"/>
    <w:rsid w:val="3F4A1C1A"/>
    <w:rsid w:val="3F533439"/>
    <w:rsid w:val="3F603114"/>
    <w:rsid w:val="3F6951D3"/>
    <w:rsid w:val="3F714D5C"/>
    <w:rsid w:val="3F716EFE"/>
    <w:rsid w:val="3F7A0BF1"/>
    <w:rsid w:val="3F8F762D"/>
    <w:rsid w:val="3F951D74"/>
    <w:rsid w:val="3F994E9A"/>
    <w:rsid w:val="3FA118A5"/>
    <w:rsid w:val="3FA736C7"/>
    <w:rsid w:val="3FAE3A68"/>
    <w:rsid w:val="3FB67285"/>
    <w:rsid w:val="3FC157F6"/>
    <w:rsid w:val="400D73AC"/>
    <w:rsid w:val="40167D4F"/>
    <w:rsid w:val="402B483B"/>
    <w:rsid w:val="40312F4D"/>
    <w:rsid w:val="40314E06"/>
    <w:rsid w:val="405A4F48"/>
    <w:rsid w:val="405F5252"/>
    <w:rsid w:val="406A3224"/>
    <w:rsid w:val="40765DFA"/>
    <w:rsid w:val="4091309F"/>
    <w:rsid w:val="4093314D"/>
    <w:rsid w:val="4093465D"/>
    <w:rsid w:val="409E3FCC"/>
    <w:rsid w:val="40B57568"/>
    <w:rsid w:val="40BE466E"/>
    <w:rsid w:val="40D54D9E"/>
    <w:rsid w:val="40DE261A"/>
    <w:rsid w:val="40F85C65"/>
    <w:rsid w:val="41101C2F"/>
    <w:rsid w:val="41153035"/>
    <w:rsid w:val="41157C43"/>
    <w:rsid w:val="412D35A2"/>
    <w:rsid w:val="413B5469"/>
    <w:rsid w:val="4141557B"/>
    <w:rsid w:val="415F3EDC"/>
    <w:rsid w:val="416D399E"/>
    <w:rsid w:val="417D62D7"/>
    <w:rsid w:val="41831364"/>
    <w:rsid w:val="41850CE8"/>
    <w:rsid w:val="418C651A"/>
    <w:rsid w:val="419C7625"/>
    <w:rsid w:val="419F378D"/>
    <w:rsid w:val="41A4267C"/>
    <w:rsid w:val="41A43597"/>
    <w:rsid w:val="41AF3FB7"/>
    <w:rsid w:val="41F20BF8"/>
    <w:rsid w:val="41F61BE6"/>
    <w:rsid w:val="421273CC"/>
    <w:rsid w:val="421F738E"/>
    <w:rsid w:val="42210EB6"/>
    <w:rsid w:val="42575E28"/>
    <w:rsid w:val="425C5B6A"/>
    <w:rsid w:val="425F550E"/>
    <w:rsid w:val="42631DFF"/>
    <w:rsid w:val="426B1A3E"/>
    <w:rsid w:val="427A45C5"/>
    <w:rsid w:val="427F607F"/>
    <w:rsid w:val="42B8625B"/>
    <w:rsid w:val="42E278BB"/>
    <w:rsid w:val="42FC1686"/>
    <w:rsid w:val="4309589D"/>
    <w:rsid w:val="431E030F"/>
    <w:rsid w:val="432033BE"/>
    <w:rsid w:val="432A7D99"/>
    <w:rsid w:val="432C1143"/>
    <w:rsid w:val="433112C5"/>
    <w:rsid w:val="43317379"/>
    <w:rsid w:val="433C15D4"/>
    <w:rsid w:val="434A3F97"/>
    <w:rsid w:val="435A7F52"/>
    <w:rsid w:val="436604FE"/>
    <w:rsid w:val="4368266F"/>
    <w:rsid w:val="436C1771"/>
    <w:rsid w:val="4386045A"/>
    <w:rsid w:val="43A4336E"/>
    <w:rsid w:val="43B34232"/>
    <w:rsid w:val="43BB53E5"/>
    <w:rsid w:val="43C65419"/>
    <w:rsid w:val="43D47109"/>
    <w:rsid w:val="43D83C99"/>
    <w:rsid w:val="43E1095E"/>
    <w:rsid w:val="43F008DE"/>
    <w:rsid w:val="43F648A9"/>
    <w:rsid w:val="44031590"/>
    <w:rsid w:val="44055A2D"/>
    <w:rsid w:val="440A4DD0"/>
    <w:rsid w:val="440F6F8F"/>
    <w:rsid w:val="44115786"/>
    <w:rsid w:val="442011D4"/>
    <w:rsid w:val="442041D3"/>
    <w:rsid w:val="442846F3"/>
    <w:rsid w:val="44365A46"/>
    <w:rsid w:val="44493FE6"/>
    <w:rsid w:val="44571B91"/>
    <w:rsid w:val="446419BF"/>
    <w:rsid w:val="447130BB"/>
    <w:rsid w:val="44B148F1"/>
    <w:rsid w:val="44B20BD8"/>
    <w:rsid w:val="44D5545C"/>
    <w:rsid w:val="44F30BAB"/>
    <w:rsid w:val="450474AA"/>
    <w:rsid w:val="4512339D"/>
    <w:rsid w:val="45181E73"/>
    <w:rsid w:val="451C7BB5"/>
    <w:rsid w:val="452773E8"/>
    <w:rsid w:val="4529546A"/>
    <w:rsid w:val="45344EFF"/>
    <w:rsid w:val="4536173A"/>
    <w:rsid w:val="454A42AD"/>
    <w:rsid w:val="45555C8C"/>
    <w:rsid w:val="455B5A3D"/>
    <w:rsid w:val="45957F38"/>
    <w:rsid w:val="45992032"/>
    <w:rsid w:val="45997EF3"/>
    <w:rsid w:val="459E05C0"/>
    <w:rsid w:val="45CF7B11"/>
    <w:rsid w:val="45DE30BD"/>
    <w:rsid w:val="461156D5"/>
    <w:rsid w:val="461E170B"/>
    <w:rsid w:val="4626013B"/>
    <w:rsid w:val="4642076C"/>
    <w:rsid w:val="4642189D"/>
    <w:rsid w:val="46565744"/>
    <w:rsid w:val="46673C6F"/>
    <w:rsid w:val="466C798B"/>
    <w:rsid w:val="466F03BF"/>
    <w:rsid w:val="46810DEF"/>
    <w:rsid w:val="468A7AE6"/>
    <w:rsid w:val="469235CB"/>
    <w:rsid w:val="46997DF9"/>
    <w:rsid w:val="46A55462"/>
    <w:rsid w:val="46BE628B"/>
    <w:rsid w:val="46DA3884"/>
    <w:rsid w:val="46E64BF1"/>
    <w:rsid w:val="47182458"/>
    <w:rsid w:val="47187CA1"/>
    <w:rsid w:val="471A6804"/>
    <w:rsid w:val="472E5541"/>
    <w:rsid w:val="473179E8"/>
    <w:rsid w:val="474E0C97"/>
    <w:rsid w:val="47685A1B"/>
    <w:rsid w:val="47736FF5"/>
    <w:rsid w:val="477810EC"/>
    <w:rsid w:val="47986203"/>
    <w:rsid w:val="47A472BC"/>
    <w:rsid w:val="47AD23A7"/>
    <w:rsid w:val="47B265AF"/>
    <w:rsid w:val="47C12EF4"/>
    <w:rsid w:val="47D46525"/>
    <w:rsid w:val="47D81317"/>
    <w:rsid w:val="47EE20A8"/>
    <w:rsid w:val="48082CD2"/>
    <w:rsid w:val="480B6166"/>
    <w:rsid w:val="4816082A"/>
    <w:rsid w:val="48216C64"/>
    <w:rsid w:val="48352676"/>
    <w:rsid w:val="48774E32"/>
    <w:rsid w:val="48877A3B"/>
    <w:rsid w:val="489C26B8"/>
    <w:rsid w:val="48B36E55"/>
    <w:rsid w:val="48D611AF"/>
    <w:rsid w:val="48E47D38"/>
    <w:rsid w:val="48EB0F88"/>
    <w:rsid w:val="48F334C0"/>
    <w:rsid w:val="49117305"/>
    <w:rsid w:val="49196832"/>
    <w:rsid w:val="49282FCC"/>
    <w:rsid w:val="494B2817"/>
    <w:rsid w:val="4970494F"/>
    <w:rsid w:val="4986127D"/>
    <w:rsid w:val="498A77E3"/>
    <w:rsid w:val="49995C78"/>
    <w:rsid w:val="49AB59AC"/>
    <w:rsid w:val="49B01B4A"/>
    <w:rsid w:val="49BC1177"/>
    <w:rsid w:val="49D46CB0"/>
    <w:rsid w:val="49EF74B4"/>
    <w:rsid w:val="49F64E79"/>
    <w:rsid w:val="4A031344"/>
    <w:rsid w:val="4A063CD3"/>
    <w:rsid w:val="4A0A26D2"/>
    <w:rsid w:val="4A175D6A"/>
    <w:rsid w:val="4A1946C3"/>
    <w:rsid w:val="4A205A52"/>
    <w:rsid w:val="4A2F23FC"/>
    <w:rsid w:val="4A3372B7"/>
    <w:rsid w:val="4A384131"/>
    <w:rsid w:val="4A413C1A"/>
    <w:rsid w:val="4A5D24B3"/>
    <w:rsid w:val="4A5F77A3"/>
    <w:rsid w:val="4A614400"/>
    <w:rsid w:val="4A665E6C"/>
    <w:rsid w:val="4A6C318F"/>
    <w:rsid w:val="4A6D3EC9"/>
    <w:rsid w:val="4A970578"/>
    <w:rsid w:val="4A995804"/>
    <w:rsid w:val="4A9F106C"/>
    <w:rsid w:val="4AAA7DDD"/>
    <w:rsid w:val="4AB03279"/>
    <w:rsid w:val="4AC72B15"/>
    <w:rsid w:val="4AF256C0"/>
    <w:rsid w:val="4AFF1B0B"/>
    <w:rsid w:val="4B0875E6"/>
    <w:rsid w:val="4B274B88"/>
    <w:rsid w:val="4B291C6D"/>
    <w:rsid w:val="4B3E49AA"/>
    <w:rsid w:val="4B404156"/>
    <w:rsid w:val="4B40587A"/>
    <w:rsid w:val="4B517E8D"/>
    <w:rsid w:val="4B603389"/>
    <w:rsid w:val="4B71572E"/>
    <w:rsid w:val="4B971D44"/>
    <w:rsid w:val="4B9E7576"/>
    <w:rsid w:val="4BC85D5D"/>
    <w:rsid w:val="4BF154F7"/>
    <w:rsid w:val="4BF278C2"/>
    <w:rsid w:val="4BFB6776"/>
    <w:rsid w:val="4C0164F5"/>
    <w:rsid w:val="4C157A55"/>
    <w:rsid w:val="4C2071C6"/>
    <w:rsid w:val="4C2B6930"/>
    <w:rsid w:val="4C3201D2"/>
    <w:rsid w:val="4C4019AE"/>
    <w:rsid w:val="4C4F7AC7"/>
    <w:rsid w:val="4C5A09EB"/>
    <w:rsid w:val="4C770DA7"/>
    <w:rsid w:val="4C863A9E"/>
    <w:rsid w:val="4CA0216B"/>
    <w:rsid w:val="4CB109C7"/>
    <w:rsid w:val="4CB84667"/>
    <w:rsid w:val="4CC60386"/>
    <w:rsid w:val="4CD86AB8"/>
    <w:rsid w:val="4CD945DE"/>
    <w:rsid w:val="4CDA593B"/>
    <w:rsid w:val="4CDE39A2"/>
    <w:rsid w:val="4CE41507"/>
    <w:rsid w:val="4CE8385A"/>
    <w:rsid w:val="4CEE1E37"/>
    <w:rsid w:val="4CEE22E8"/>
    <w:rsid w:val="4CF379C2"/>
    <w:rsid w:val="4CFC2692"/>
    <w:rsid w:val="4D082EFD"/>
    <w:rsid w:val="4D1F2F94"/>
    <w:rsid w:val="4D291930"/>
    <w:rsid w:val="4D371F6E"/>
    <w:rsid w:val="4D6129C9"/>
    <w:rsid w:val="4D64034B"/>
    <w:rsid w:val="4D665E71"/>
    <w:rsid w:val="4D866C54"/>
    <w:rsid w:val="4D9003E3"/>
    <w:rsid w:val="4DB72B71"/>
    <w:rsid w:val="4DC25ADD"/>
    <w:rsid w:val="4DCB011E"/>
    <w:rsid w:val="4DD92F89"/>
    <w:rsid w:val="4DF6524B"/>
    <w:rsid w:val="4E0C6D25"/>
    <w:rsid w:val="4E0F0CBC"/>
    <w:rsid w:val="4E4C7036"/>
    <w:rsid w:val="4E6665DB"/>
    <w:rsid w:val="4E7246D8"/>
    <w:rsid w:val="4E887DA1"/>
    <w:rsid w:val="4EA30CCE"/>
    <w:rsid w:val="4EC72940"/>
    <w:rsid w:val="4ED14A68"/>
    <w:rsid w:val="4EDA2F0D"/>
    <w:rsid w:val="4EEF2E03"/>
    <w:rsid w:val="4F073684"/>
    <w:rsid w:val="4F0911AA"/>
    <w:rsid w:val="4F1D2EA8"/>
    <w:rsid w:val="4F252BCF"/>
    <w:rsid w:val="4F447DF5"/>
    <w:rsid w:val="4F547A19"/>
    <w:rsid w:val="4F716AAF"/>
    <w:rsid w:val="4F7972B1"/>
    <w:rsid w:val="4F8545A9"/>
    <w:rsid w:val="4F8C288C"/>
    <w:rsid w:val="4F9C2CFE"/>
    <w:rsid w:val="4FAD422B"/>
    <w:rsid w:val="4FB70C06"/>
    <w:rsid w:val="4FC67672"/>
    <w:rsid w:val="4FD572DE"/>
    <w:rsid w:val="4FD865DD"/>
    <w:rsid w:val="4FE521C4"/>
    <w:rsid w:val="4FE92D8A"/>
    <w:rsid w:val="4FE94B38"/>
    <w:rsid w:val="50021DFF"/>
    <w:rsid w:val="50032FA1"/>
    <w:rsid w:val="50125431"/>
    <w:rsid w:val="50153B7F"/>
    <w:rsid w:val="501C315F"/>
    <w:rsid w:val="50203C86"/>
    <w:rsid w:val="50205A04"/>
    <w:rsid w:val="50412BC6"/>
    <w:rsid w:val="5058724F"/>
    <w:rsid w:val="50736E1C"/>
    <w:rsid w:val="508F1F65"/>
    <w:rsid w:val="50A57F02"/>
    <w:rsid w:val="50AD410E"/>
    <w:rsid w:val="50B909AE"/>
    <w:rsid w:val="50CC06E1"/>
    <w:rsid w:val="51146022"/>
    <w:rsid w:val="51165E00"/>
    <w:rsid w:val="512D51F0"/>
    <w:rsid w:val="512E4EF8"/>
    <w:rsid w:val="51433421"/>
    <w:rsid w:val="51477D68"/>
    <w:rsid w:val="515E0AE9"/>
    <w:rsid w:val="51621046"/>
    <w:rsid w:val="517F7502"/>
    <w:rsid w:val="51921FA8"/>
    <w:rsid w:val="51986815"/>
    <w:rsid w:val="519B1B68"/>
    <w:rsid w:val="51A40CF2"/>
    <w:rsid w:val="51AF6DD6"/>
    <w:rsid w:val="51E45919"/>
    <w:rsid w:val="521615CC"/>
    <w:rsid w:val="52325D80"/>
    <w:rsid w:val="524349D3"/>
    <w:rsid w:val="524A3FB4"/>
    <w:rsid w:val="525374D3"/>
    <w:rsid w:val="5286102C"/>
    <w:rsid w:val="52893561"/>
    <w:rsid w:val="529B78E2"/>
    <w:rsid w:val="52DB47BD"/>
    <w:rsid w:val="52F263F9"/>
    <w:rsid w:val="52FE0CFD"/>
    <w:rsid w:val="5305244A"/>
    <w:rsid w:val="530C3017"/>
    <w:rsid w:val="53101FF9"/>
    <w:rsid w:val="532948B7"/>
    <w:rsid w:val="534040E6"/>
    <w:rsid w:val="53414137"/>
    <w:rsid w:val="534722A1"/>
    <w:rsid w:val="534F73A8"/>
    <w:rsid w:val="5355483D"/>
    <w:rsid w:val="537F7494"/>
    <w:rsid w:val="53966034"/>
    <w:rsid w:val="539C0521"/>
    <w:rsid w:val="53A37E7C"/>
    <w:rsid w:val="53A734DD"/>
    <w:rsid w:val="53AB7E09"/>
    <w:rsid w:val="53B44567"/>
    <w:rsid w:val="53B86CFB"/>
    <w:rsid w:val="53C51418"/>
    <w:rsid w:val="53DA11A0"/>
    <w:rsid w:val="53DF697E"/>
    <w:rsid w:val="5410511C"/>
    <w:rsid w:val="541C54DC"/>
    <w:rsid w:val="54216F96"/>
    <w:rsid w:val="542425E2"/>
    <w:rsid w:val="54297BF9"/>
    <w:rsid w:val="543717EA"/>
    <w:rsid w:val="54422A68"/>
    <w:rsid w:val="548130DA"/>
    <w:rsid w:val="54877CBF"/>
    <w:rsid w:val="548939A5"/>
    <w:rsid w:val="54901A26"/>
    <w:rsid w:val="549E05E7"/>
    <w:rsid w:val="54B525C1"/>
    <w:rsid w:val="54B95421"/>
    <w:rsid w:val="54D67D81"/>
    <w:rsid w:val="54E51D72"/>
    <w:rsid w:val="54EF4742"/>
    <w:rsid w:val="54F3312B"/>
    <w:rsid w:val="54FB4A9C"/>
    <w:rsid w:val="55014A81"/>
    <w:rsid w:val="55067AB3"/>
    <w:rsid w:val="550A17D8"/>
    <w:rsid w:val="550F11FF"/>
    <w:rsid w:val="551C150B"/>
    <w:rsid w:val="5531145B"/>
    <w:rsid w:val="5531510A"/>
    <w:rsid w:val="55434809"/>
    <w:rsid w:val="55570796"/>
    <w:rsid w:val="555D3FFE"/>
    <w:rsid w:val="558F6181"/>
    <w:rsid w:val="5593651F"/>
    <w:rsid w:val="55A25FD6"/>
    <w:rsid w:val="55B0074C"/>
    <w:rsid w:val="55BE2055"/>
    <w:rsid w:val="55D23CBB"/>
    <w:rsid w:val="55D829CA"/>
    <w:rsid w:val="55E05469"/>
    <w:rsid w:val="55E16514"/>
    <w:rsid w:val="55EC6C97"/>
    <w:rsid w:val="55EE4C56"/>
    <w:rsid w:val="55F61A66"/>
    <w:rsid w:val="55F96BA6"/>
    <w:rsid w:val="56096529"/>
    <w:rsid w:val="560C332E"/>
    <w:rsid w:val="560C5D28"/>
    <w:rsid w:val="562254E8"/>
    <w:rsid w:val="562B40FC"/>
    <w:rsid w:val="563034C0"/>
    <w:rsid w:val="564268E5"/>
    <w:rsid w:val="564E2A58"/>
    <w:rsid w:val="56584FB1"/>
    <w:rsid w:val="56624D1C"/>
    <w:rsid w:val="567B19F1"/>
    <w:rsid w:val="56867584"/>
    <w:rsid w:val="568B6949"/>
    <w:rsid w:val="568C1A97"/>
    <w:rsid w:val="56941CA1"/>
    <w:rsid w:val="569731F2"/>
    <w:rsid w:val="569F0646"/>
    <w:rsid w:val="56A67C9D"/>
    <w:rsid w:val="56E10C5F"/>
    <w:rsid w:val="56E4547C"/>
    <w:rsid w:val="56E476C1"/>
    <w:rsid w:val="56F75D8C"/>
    <w:rsid w:val="56FA4D3A"/>
    <w:rsid w:val="56FD57F9"/>
    <w:rsid w:val="5712706A"/>
    <w:rsid w:val="57222D5B"/>
    <w:rsid w:val="572D5BBC"/>
    <w:rsid w:val="57392849"/>
    <w:rsid w:val="57441E9D"/>
    <w:rsid w:val="5749318C"/>
    <w:rsid w:val="57664CC0"/>
    <w:rsid w:val="577F790B"/>
    <w:rsid w:val="57817B15"/>
    <w:rsid w:val="57B03F50"/>
    <w:rsid w:val="57BC6763"/>
    <w:rsid w:val="57D3324B"/>
    <w:rsid w:val="57D367F9"/>
    <w:rsid w:val="57D63BF4"/>
    <w:rsid w:val="57DE44DA"/>
    <w:rsid w:val="57EF4665"/>
    <w:rsid w:val="5820425A"/>
    <w:rsid w:val="584B1535"/>
    <w:rsid w:val="58505B73"/>
    <w:rsid w:val="58553AAD"/>
    <w:rsid w:val="586806AD"/>
    <w:rsid w:val="5878114F"/>
    <w:rsid w:val="58912D5E"/>
    <w:rsid w:val="58A57212"/>
    <w:rsid w:val="58EC7275"/>
    <w:rsid w:val="58F00AEC"/>
    <w:rsid w:val="58F150CA"/>
    <w:rsid w:val="58FF53CC"/>
    <w:rsid w:val="59044790"/>
    <w:rsid w:val="593C03CE"/>
    <w:rsid w:val="59445A94"/>
    <w:rsid w:val="59540730"/>
    <w:rsid w:val="5960326E"/>
    <w:rsid w:val="596C57C1"/>
    <w:rsid w:val="598251AE"/>
    <w:rsid w:val="598558D1"/>
    <w:rsid w:val="598B4215"/>
    <w:rsid w:val="598B6C60"/>
    <w:rsid w:val="598D0C2A"/>
    <w:rsid w:val="59A63E6A"/>
    <w:rsid w:val="59BA7A27"/>
    <w:rsid w:val="59F42A57"/>
    <w:rsid w:val="59FF3112"/>
    <w:rsid w:val="5A150F44"/>
    <w:rsid w:val="5A2C6700"/>
    <w:rsid w:val="5A30620F"/>
    <w:rsid w:val="5A324750"/>
    <w:rsid w:val="5A4E2167"/>
    <w:rsid w:val="5A601E9A"/>
    <w:rsid w:val="5A6557D6"/>
    <w:rsid w:val="5A6F697B"/>
    <w:rsid w:val="5A710A24"/>
    <w:rsid w:val="5A7D2A4C"/>
    <w:rsid w:val="5A8003C9"/>
    <w:rsid w:val="5A866C96"/>
    <w:rsid w:val="5ABD6BA2"/>
    <w:rsid w:val="5AF2343A"/>
    <w:rsid w:val="5AF4295F"/>
    <w:rsid w:val="5AFD0FD6"/>
    <w:rsid w:val="5B035E4F"/>
    <w:rsid w:val="5B1E3C6A"/>
    <w:rsid w:val="5B833F8E"/>
    <w:rsid w:val="5B9444F1"/>
    <w:rsid w:val="5B9835F1"/>
    <w:rsid w:val="5BAD7361"/>
    <w:rsid w:val="5BC00E43"/>
    <w:rsid w:val="5BC329F6"/>
    <w:rsid w:val="5BD82193"/>
    <w:rsid w:val="5BD82630"/>
    <w:rsid w:val="5BDF4CC1"/>
    <w:rsid w:val="5BE663CF"/>
    <w:rsid w:val="5BED3C02"/>
    <w:rsid w:val="5C0E6052"/>
    <w:rsid w:val="5C562585"/>
    <w:rsid w:val="5C620DF8"/>
    <w:rsid w:val="5C6A20A8"/>
    <w:rsid w:val="5C7C120D"/>
    <w:rsid w:val="5CBA1E10"/>
    <w:rsid w:val="5CDB7082"/>
    <w:rsid w:val="5D086F45"/>
    <w:rsid w:val="5D094A6B"/>
    <w:rsid w:val="5D245401"/>
    <w:rsid w:val="5D2C0E2B"/>
    <w:rsid w:val="5D2D28A2"/>
    <w:rsid w:val="5D413CF7"/>
    <w:rsid w:val="5D44790E"/>
    <w:rsid w:val="5D4B16EB"/>
    <w:rsid w:val="5D5E6DCC"/>
    <w:rsid w:val="5D647EF4"/>
    <w:rsid w:val="5D681792"/>
    <w:rsid w:val="5D69550A"/>
    <w:rsid w:val="5D720862"/>
    <w:rsid w:val="5D76441E"/>
    <w:rsid w:val="5D87198D"/>
    <w:rsid w:val="5DA46FBF"/>
    <w:rsid w:val="5DAD4FF5"/>
    <w:rsid w:val="5DB33B1B"/>
    <w:rsid w:val="5DDB6408"/>
    <w:rsid w:val="5DDF6040"/>
    <w:rsid w:val="5DE43D51"/>
    <w:rsid w:val="5DE7125A"/>
    <w:rsid w:val="5DE9621A"/>
    <w:rsid w:val="5DF34B9D"/>
    <w:rsid w:val="5DF63241"/>
    <w:rsid w:val="5E111D39"/>
    <w:rsid w:val="5E272CB2"/>
    <w:rsid w:val="5E28130E"/>
    <w:rsid w:val="5E2F22B0"/>
    <w:rsid w:val="5E330BF5"/>
    <w:rsid w:val="5E697653"/>
    <w:rsid w:val="5EB75EAF"/>
    <w:rsid w:val="5ECC7AFE"/>
    <w:rsid w:val="5ED30B76"/>
    <w:rsid w:val="5ED864A3"/>
    <w:rsid w:val="5EE52D5D"/>
    <w:rsid w:val="5EF02B30"/>
    <w:rsid w:val="5EF34A2D"/>
    <w:rsid w:val="5F10217F"/>
    <w:rsid w:val="5F166FCB"/>
    <w:rsid w:val="5F304531"/>
    <w:rsid w:val="5F327D17"/>
    <w:rsid w:val="5F334021"/>
    <w:rsid w:val="5F3A715E"/>
    <w:rsid w:val="5F4104EC"/>
    <w:rsid w:val="5F427DC1"/>
    <w:rsid w:val="5F526256"/>
    <w:rsid w:val="5F553840"/>
    <w:rsid w:val="5F717775"/>
    <w:rsid w:val="5F7C7776"/>
    <w:rsid w:val="5F8959EF"/>
    <w:rsid w:val="5F903222"/>
    <w:rsid w:val="5F9250AF"/>
    <w:rsid w:val="5F954394"/>
    <w:rsid w:val="5FC37153"/>
    <w:rsid w:val="5FCC3AFF"/>
    <w:rsid w:val="5FE86BBA"/>
    <w:rsid w:val="5FFC4413"/>
    <w:rsid w:val="601F1607"/>
    <w:rsid w:val="603B2202"/>
    <w:rsid w:val="603E2343"/>
    <w:rsid w:val="604511A5"/>
    <w:rsid w:val="60483AFC"/>
    <w:rsid w:val="606326E4"/>
    <w:rsid w:val="60806DF2"/>
    <w:rsid w:val="6092275B"/>
    <w:rsid w:val="60932FCA"/>
    <w:rsid w:val="609708FC"/>
    <w:rsid w:val="609C5B5E"/>
    <w:rsid w:val="60A07495"/>
    <w:rsid w:val="60C658C1"/>
    <w:rsid w:val="60DD4245"/>
    <w:rsid w:val="60FB4B7E"/>
    <w:rsid w:val="60FF065F"/>
    <w:rsid w:val="610160BF"/>
    <w:rsid w:val="610644CF"/>
    <w:rsid w:val="612260FC"/>
    <w:rsid w:val="61566295"/>
    <w:rsid w:val="61691F7C"/>
    <w:rsid w:val="61694D19"/>
    <w:rsid w:val="6198016C"/>
    <w:rsid w:val="619948A2"/>
    <w:rsid w:val="619C7C5C"/>
    <w:rsid w:val="61A15272"/>
    <w:rsid w:val="61AD1E69"/>
    <w:rsid w:val="61BA4084"/>
    <w:rsid w:val="61F64D1E"/>
    <w:rsid w:val="62083DF4"/>
    <w:rsid w:val="62170B90"/>
    <w:rsid w:val="625B5A8C"/>
    <w:rsid w:val="629B6165"/>
    <w:rsid w:val="62B240A8"/>
    <w:rsid w:val="62B26054"/>
    <w:rsid w:val="62E73159"/>
    <w:rsid w:val="62F45876"/>
    <w:rsid w:val="62FE74D8"/>
    <w:rsid w:val="631239ED"/>
    <w:rsid w:val="632C0D2B"/>
    <w:rsid w:val="634040F9"/>
    <w:rsid w:val="63664ED9"/>
    <w:rsid w:val="638030B4"/>
    <w:rsid w:val="63C90ED2"/>
    <w:rsid w:val="63CD30AB"/>
    <w:rsid w:val="63D715AA"/>
    <w:rsid w:val="63E61662"/>
    <w:rsid w:val="63F45DE4"/>
    <w:rsid w:val="64051B1C"/>
    <w:rsid w:val="642A59F3"/>
    <w:rsid w:val="64664551"/>
    <w:rsid w:val="64691162"/>
    <w:rsid w:val="64717E6A"/>
    <w:rsid w:val="64740A1C"/>
    <w:rsid w:val="64747594"/>
    <w:rsid w:val="647A1DAB"/>
    <w:rsid w:val="64AB67A2"/>
    <w:rsid w:val="64AE3FE5"/>
    <w:rsid w:val="64AF5989"/>
    <w:rsid w:val="64B329B3"/>
    <w:rsid w:val="64C33752"/>
    <w:rsid w:val="64DE2339"/>
    <w:rsid w:val="64F1206D"/>
    <w:rsid w:val="653241C6"/>
    <w:rsid w:val="654A5C21"/>
    <w:rsid w:val="654C3747"/>
    <w:rsid w:val="65504C7D"/>
    <w:rsid w:val="65654809"/>
    <w:rsid w:val="65A90B99"/>
    <w:rsid w:val="65B2612F"/>
    <w:rsid w:val="65BC23AF"/>
    <w:rsid w:val="65C64B2E"/>
    <w:rsid w:val="65D451FC"/>
    <w:rsid w:val="65F22540"/>
    <w:rsid w:val="6628434B"/>
    <w:rsid w:val="66421395"/>
    <w:rsid w:val="66430633"/>
    <w:rsid w:val="66707E60"/>
    <w:rsid w:val="66830086"/>
    <w:rsid w:val="668E5355"/>
    <w:rsid w:val="66996E60"/>
    <w:rsid w:val="66B52F7D"/>
    <w:rsid w:val="66BC2204"/>
    <w:rsid w:val="66C46BCF"/>
    <w:rsid w:val="66E76F09"/>
    <w:rsid w:val="67106184"/>
    <w:rsid w:val="6747066A"/>
    <w:rsid w:val="67544B35"/>
    <w:rsid w:val="675608AD"/>
    <w:rsid w:val="67613BD7"/>
    <w:rsid w:val="676377DD"/>
    <w:rsid w:val="67742136"/>
    <w:rsid w:val="678216A2"/>
    <w:rsid w:val="67885292"/>
    <w:rsid w:val="678A1511"/>
    <w:rsid w:val="67954634"/>
    <w:rsid w:val="67B514E4"/>
    <w:rsid w:val="67BA7E9F"/>
    <w:rsid w:val="67D5459B"/>
    <w:rsid w:val="67DD0343"/>
    <w:rsid w:val="67E402BB"/>
    <w:rsid w:val="67E67533"/>
    <w:rsid w:val="67F758F9"/>
    <w:rsid w:val="680B1697"/>
    <w:rsid w:val="68295B11"/>
    <w:rsid w:val="682D7860"/>
    <w:rsid w:val="682F367F"/>
    <w:rsid w:val="683C5CF5"/>
    <w:rsid w:val="684719EA"/>
    <w:rsid w:val="68485E5C"/>
    <w:rsid w:val="686C2116"/>
    <w:rsid w:val="687B7594"/>
    <w:rsid w:val="689C29AE"/>
    <w:rsid w:val="68AF2E62"/>
    <w:rsid w:val="68DD74D8"/>
    <w:rsid w:val="68DE0623"/>
    <w:rsid w:val="68FF4B39"/>
    <w:rsid w:val="69053F7F"/>
    <w:rsid w:val="6908207B"/>
    <w:rsid w:val="691B1E23"/>
    <w:rsid w:val="691E7CC2"/>
    <w:rsid w:val="69256789"/>
    <w:rsid w:val="69317F4F"/>
    <w:rsid w:val="6949691B"/>
    <w:rsid w:val="695F68CF"/>
    <w:rsid w:val="69790883"/>
    <w:rsid w:val="697B0A9F"/>
    <w:rsid w:val="69931944"/>
    <w:rsid w:val="69B12D23"/>
    <w:rsid w:val="69BB5D47"/>
    <w:rsid w:val="69C2222A"/>
    <w:rsid w:val="6A2E1CDF"/>
    <w:rsid w:val="6A3273AF"/>
    <w:rsid w:val="6A3A2708"/>
    <w:rsid w:val="6A610EF6"/>
    <w:rsid w:val="6AA67680"/>
    <w:rsid w:val="6AB029CA"/>
    <w:rsid w:val="6ACA583A"/>
    <w:rsid w:val="6AE32C63"/>
    <w:rsid w:val="6AE461D0"/>
    <w:rsid w:val="6B1C0E56"/>
    <w:rsid w:val="6B45244A"/>
    <w:rsid w:val="6B623235"/>
    <w:rsid w:val="6B7144FB"/>
    <w:rsid w:val="6B802BC2"/>
    <w:rsid w:val="6BA8544F"/>
    <w:rsid w:val="6BC170DF"/>
    <w:rsid w:val="6BCC423F"/>
    <w:rsid w:val="6BCD4222"/>
    <w:rsid w:val="6BCD5045"/>
    <w:rsid w:val="6BD66460"/>
    <w:rsid w:val="6BF11D63"/>
    <w:rsid w:val="6BF47D6A"/>
    <w:rsid w:val="6C07661A"/>
    <w:rsid w:val="6C123978"/>
    <w:rsid w:val="6C217D55"/>
    <w:rsid w:val="6C285D64"/>
    <w:rsid w:val="6C3D028D"/>
    <w:rsid w:val="6C436CFE"/>
    <w:rsid w:val="6C547871"/>
    <w:rsid w:val="6C550790"/>
    <w:rsid w:val="6C554985"/>
    <w:rsid w:val="6C596239"/>
    <w:rsid w:val="6C5D448C"/>
    <w:rsid w:val="6C6D7014"/>
    <w:rsid w:val="6C785539"/>
    <w:rsid w:val="6C7A4FAA"/>
    <w:rsid w:val="6C882972"/>
    <w:rsid w:val="6C9205D9"/>
    <w:rsid w:val="6CA241F1"/>
    <w:rsid w:val="6CC95311"/>
    <w:rsid w:val="6CDA60C5"/>
    <w:rsid w:val="6CE54704"/>
    <w:rsid w:val="6CE67B93"/>
    <w:rsid w:val="6D0F0258"/>
    <w:rsid w:val="6D196605"/>
    <w:rsid w:val="6D1A0004"/>
    <w:rsid w:val="6D2A0812"/>
    <w:rsid w:val="6D320E7C"/>
    <w:rsid w:val="6D3C7C77"/>
    <w:rsid w:val="6D673814"/>
    <w:rsid w:val="6D7E31E0"/>
    <w:rsid w:val="6D9D1A0B"/>
    <w:rsid w:val="6DA213B9"/>
    <w:rsid w:val="6DB141DC"/>
    <w:rsid w:val="6DBA791B"/>
    <w:rsid w:val="6DD33E24"/>
    <w:rsid w:val="6DE05374"/>
    <w:rsid w:val="6DE11A7D"/>
    <w:rsid w:val="6DF021CF"/>
    <w:rsid w:val="6E0262B9"/>
    <w:rsid w:val="6E0C67FF"/>
    <w:rsid w:val="6E276AFF"/>
    <w:rsid w:val="6E313E22"/>
    <w:rsid w:val="6E465085"/>
    <w:rsid w:val="6E5B49FB"/>
    <w:rsid w:val="6E5D0773"/>
    <w:rsid w:val="6E663ACB"/>
    <w:rsid w:val="6E764D7C"/>
    <w:rsid w:val="6E7855AD"/>
    <w:rsid w:val="6E9028F6"/>
    <w:rsid w:val="6EAE25C8"/>
    <w:rsid w:val="6EAE7D44"/>
    <w:rsid w:val="6EB21E3E"/>
    <w:rsid w:val="6EB62C72"/>
    <w:rsid w:val="6EB81E4D"/>
    <w:rsid w:val="6ECD4698"/>
    <w:rsid w:val="6EDC37DD"/>
    <w:rsid w:val="6F046E40"/>
    <w:rsid w:val="6F111033"/>
    <w:rsid w:val="6F1572A0"/>
    <w:rsid w:val="6F334270"/>
    <w:rsid w:val="6F541B76"/>
    <w:rsid w:val="6F59718C"/>
    <w:rsid w:val="6F6A3147"/>
    <w:rsid w:val="6F8765F9"/>
    <w:rsid w:val="6F970889"/>
    <w:rsid w:val="6F9B59F7"/>
    <w:rsid w:val="6F9E7295"/>
    <w:rsid w:val="6FA348AB"/>
    <w:rsid w:val="6FA523D2"/>
    <w:rsid w:val="6FAD74D8"/>
    <w:rsid w:val="6FB41C14"/>
    <w:rsid w:val="6FB97C2B"/>
    <w:rsid w:val="6FC53B50"/>
    <w:rsid w:val="6FD131C7"/>
    <w:rsid w:val="6FD50D3C"/>
    <w:rsid w:val="6FF944CB"/>
    <w:rsid w:val="6FFF27F5"/>
    <w:rsid w:val="70035141"/>
    <w:rsid w:val="70052E70"/>
    <w:rsid w:val="70074E3A"/>
    <w:rsid w:val="7012283D"/>
    <w:rsid w:val="702D00E5"/>
    <w:rsid w:val="70385063"/>
    <w:rsid w:val="70421CF2"/>
    <w:rsid w:val="70493BF6"/>
    <w:rsid w:val="704E5B50"/>
    <w:rsid w:val="704F7FF4"/>
    <w:rsid w:val="70560986"/>
    <w:rsid w:val="707F2C23"/>
    <w:rsid w:val="708B30B8"/>
    <w:rsid w:val="708E2E66"/>
    <w:rsid w:val="709A3F00"/>
    <w:rsid w:val="70A64653"/>
    <w:rsid w:val="70B93A71"/>
    <w:rsid w:val="70C50180"/>
    <w:rsid w:val="70D311C0"/>
    <w:rsid w:val="70D421A3"/>
    <w:rsid w:val="70EA1B16"/>
    <w:rsid w:val="70F25AEA"/>
    <w:rsid w:val="70FD7547"/>
    <w:rsid w:val="7102333B"/>
    <w:rsid w:val="710F6A7D"/>
    <w:rsid w:val="71195C57"/>
    <w:rsid w:val="71290DE0"/>
    <w:rsid w:val="712E4649"/>
    <w:rsid w:val="71466095"/>
    <w:rsid w:val="714E0847"/>
    <w:rsid w:val="71504AB3"/>
    <w:rsid w:val="71560918"/>
    <w:rsid w:val="715B2E69"/>
    <w:rsid w:val="71662034"/>
    <w:rsid w:val="71686ACA"/>
    <w:rsid w:val="717604C9"/>
    <w:rsid w:val="71811046"/>
    <w:rsid w:val="71834994"/>
    <w:rsid w:val="718F3339"/>
    <w:rsid w:val="71BC7EA6"/>
    <w:rsid w:val="71E608ED"/>
    <w:rsid w:val="720974F8"/>
    <w:rsid w:val="720F447A"/>
    <w:rsid w:val="72165809"/>
    <w:rsid w:val="721D0945"/>
    <w:rsid w:val="72282396"/>
    <w:rsid w:val="723D29FF"/>
    <w:rsid w:val="724A54B2"/>
    <w:rsid w:val="7256010B"/>
    <w:rsid w:val="72600E5E"/>
    <w:rsid w:val="7275252F"/>
    <w:rsid w:val="72856C31"/>
    <w:rsid w:val="72A11576"/>
    <w:rsid w:val="72B61D37"/>
    <w:rsid w:val="72BB7C15"/>
    <w:rsid w:val="72D1009E"/>
    <w:rsid w:val="72E443AE"/>
    <w:rsid w:val="72FB1793"/>
    <w:rsid w:val="730C2768"/>
    <w:rsid w:val="732B0E40"/>
    <w:rsid w:val="73504AD9"/>
    <w:rsid w:val="735F236B"/>
    <w:rsid w:val="735F4F8D"/>
    <w:rsid w:val="736011B8"/>
    <w:rsid w:val="73636CD8"/>
    <w:rsid w:val="73702CF6"/>
    <w:rsid w:val="738A76A8"/>
    <w:rsid w:val="738D52F2"/>
    <w:rsid w:val="739668ED"/>
    <w:rsid w:val="73A24211"/>
    <w:rsid w:val="73AF381F"/>
    <w:rsid w:val="73E1376B"/>
    <w:rsid w:val="73F3740F"/>
    <w:rsid w:val="740C0C71"/>
    <w:rsid w:val="742E508B"/>
    <w:rsid w:val="743C0E2B"/>
    <w:rsid w:val="74594C0B"/>
    <w:rsid w:val="74601BC7"/>
    <w:rsid w:val="74617897"/>
    <w:rsid w:val="74750310"/>
    <w:rsid w:val="74C27AE7"/>
    <w:rsid w:val="74DE35AF"/>
    <w:rsid w:val="74E6194D"/>
    <w:rsid w:val="74EA0887"/>
    <w:rsid w:val="74FA31C0"/>
    <w:rsid w:val="7560477D"/>
    <w:rsid w:val="7563093F"/>
    <w:rsid w:val="75660D82"/>
    <w:rsid w:val="756D0CA1"/>
    <w:rsid w:val="757C601D"/>
    <w:rsid w:val="757E5B9F"/>
    <w:rsid w:val="75952EE8"/>
    <w:rsid w:val="75BC427A"/>
    <w:rsid w:val="75CB4B5C"/>
    <w:rsid w:val="75E106F7"/>
    <w:rsid w:val="76160136"/>
    <w:rsid w:val="761648D6"/>
    <w:rsid w:val="76236746"/>
    <w:rsid w:val="76385FD3"/>
    <w:rsid w:val="763F2E19"/>
    <w:rsid w:val="76742AFE"/>
    <w:rsid w:val="767B20DE"/>
    <w:rsid w:val="76862BC7"/>
    <w:rsid w:val="76F51E90"/>
    <w:rsid w:val="76F8372F"/>
    <w:rsid w:val="770025E3"/>
    <w:rsid w:val="77032BEB"/>
    <w:rsid w:val="77071BC4"/>
    <w:rsid w:val="77080B4E"/>
    <w:rsid w:val="77187DD1"/>
    <w:rsid w:val="773C1876"/>
    <w:rsid w:val="77627030"/>
    <w:rsid w:val="776E39F1"/>
    <w:rsid w:val="7780084F"/>
    <w:rsid w:val="77886B8F"/>
    <w:rsid w:val="778D7FD3"/>
    <w:rsid w:val="77A2369A"/>
    <w:rsid w:val="77A86F03"/>
    <w:rsid w:val="77CB6CA9"/>
    <w:rsid w:val="77D557F9"/>
    <w:rsid w:val="77DC6D75"/>
    <w:rsid w:val="77E32AD9"/>
    <w:rsid w:val="77EF1D5F"/>
    <w:rsid w:val="780F3D91"/>
    <w:rsid w:val="783E12EF"/>
    <w:rsid w:val="784C1F84"/>
    <w:rsid w:val="784D3606"/>
    <w:rsid w:val="7879089F"/>
    <w:rsid w:val="789E7D06"/>
    <w:rsid w:val="78BD531C"/>
    <w:rsid w:val="78C338C8"/>
    <w:rsid w:val="78E35D19"/>
    <w:rsid w:val="79053EE1"/>
    <w:rsid w:val="79055C6B"/>
    <w:rsid w:val="790E67C4"/>
    <w:rsid w:val="791257C8"/>
    <w:rsid w:val="792C3B64"/>
    <w:rsid w:val="792E51E6"/>
    <w:rsid w:val="794E79D3"/>
    <w:rsid w:val="796B643A"/>
    <w:rsid w:val="7977557C"/>
    <w:rsid w:val="79815C5D"/>
    <w:rsid w:val="798F3A44"/>
    <w:rsid w:val="79C53859"/>
    <w:rsid w:val="79C540B6"/>
    <w:rsid w:val="79DC7ABC"/>
    <w:rsid w:val="79E914FC"/>
    <w:rsid w:val="7A00108D"/>
    <w:rsid w:val="7A195E96"/>
    <w:rsid w:val="7A1C5986"/>
    <w:rsid w:val="7A23292A"/>
    <w:rsid w:val="7A2F19C6"/>
    <w:rsid w:val="7A301431"/>
    <w:rsid w:val="7A311BCE"/>
    <w:rsid w:val="7A5073DE"/>
    <w:rsid w:val="7A543372"/>
    <w:rsid w:val="7A5C6547"/>
    <w:rsid w:val="7A774685"/>
    <w:rsid w:val="7AA02113"/>
    <w:rsid w:val="7ABF1D0C"/>
    <w:rsid w:val="7ACA7190"/>
    <w:rsid w:val="7ACF47A6"/>
    <w:rsid w:val="7ADD6515"/>
    <w:rsid w:val="7AF97A75"/>
    <w:rsid w:val="7AFA0925"/>
    <w:rsid w:val="7B095F0A"/>
    <w:rsid w:val="7B0E3C12"/>
    <w:rsid w:val="7B154869"/>
    <w:rsid w:val="7B166879"/>
    <w:rsid w:val="7B2745E3"/>
    <w:rsid w:val="7B322A32"/>
    <w:rsid w:val="7B566C76"/>
    <w:rsid w:val="7B7F61CD"/>
    <w:rsid w:val="7B956B14"/>
    <w:rsid w:val="7B9739F3"/>
    <w:rsid w:val="7BC23897"/>
    <w:rsid w:val="7BE10C35"/>
    <w:rsid w:val="7BF32685"/>
    <w:rsid w:val="7C013085"/>
    <w:rsid w:val="7C13005F"/>
    <w:rsid w:val="7C197E25"/>
    <w:rsid w:val="7C2669E4"/>
    <w:rsid w:val="7C2E7CC3"/>
    <w:rsid w:val="7C635AEE"/>
    <w:rsid w:val="7C7616FE"/>
    <w:rsid w:val="7C85297F"/>
    <w:rsid w:val="7CA57EB5"/>
    <w:rsid w:val="7CB82C11"/>
    <w:rsid w:val="7CC16371"/>
    <w:rsid w:val="7CC7419A"/>
    <w:rsid w:val="7CE3715C"/>
    <w:rsid w:val="7CEA58C8"/>
    <w:rsid w:val="7CEE5606"/>
    <w:rsid w:val="7D225061"/>
    <w:rsid w:val="7D26696F"/>
    <w:rsid w:val="7D3D00ED"/>
    <w:rsid w:val="7D5426E2"/>
    <w:rsid w:val="7D7221E7"/>
    <w:rsid w:val="7D7F0706"/>
    <w:rsid w:val="7D8B079B"/>
    <w:rsid w:val="7D935F5F"/>
    <w:rsid w:val="7D9C32A7"/>
    <w:rsid w:val="7DAE5DA3"/>
    <w:rsid w:val="7DB347BC"/>
    <w:rsid w:val="7DB36601"/>
    <w:rsid w:val="7DC70230"/>
    <w:rsid w:val="7DDB1BAF"/>
    <w:rsid w:val="7DDE5504"/>
    <w:rsid w:val="7DE53B0B"/>
    <w:rsid w:val="7E0530D0"/>
    <w:rsid w:val="7E0E6C5F"/>
    <w:rsid w:val="7E24305B"/>
    <w:rsid w:val="7E2561B7"/>
    <w:rsid w:val="7E437985"/>
    <w:rsid w:val="7E492354"/>
    <w:rsid w:val="7E837166"/>
    <w:rsid w:val="7E8423C5"/>
    <w:rsid w:val="7E857F9E"/>
    <w:rsid w:val="7E93480F"/>
    <w:rsid w:val="7EA71153"/>
    <w:rsid w:val="7EBF0FC0"/>
    <w:rsid w:val="7ED1756C"/>
    <w:rsid w:val="7EF70770"/>
    <w:rsid w:val="7F357735"/>
    <w:rsid w:val="7F490541"/>
    <w:rsid w:val="7F65022E"/>
    <w:rsid w:val="7F671451"/>
    <w:rsid w:val="7F7142D7"/>
    <w:rsid w:val="7F794F2B"/>
    <w:rsid w:val="7FB31650"/>
    <w:rsid w:val="7FCA378E"/>
    <w:rsid w:val="7FDD2E1F"/>
    <w:rsid w:val="7FE505C8"/>
    <w:rsid w:val="7FF56A5D"/>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5"/>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qFormat/>
    <w:uiPriority w:val="0"/>
    <w:pPr>
      <w:keepNext/>
      <w:keepLines/>
      <w:spacing w:before="280" w:after="290" w:line="376" w:lineRule="auto"/>
      <w:outlineLvl w:val="4"/>
    </w:pPr>
    <w:rPr>
      <w:rFonts w:ascii="Calibri" w:hAnsi="Calibri"/>
      <w:b/>
      <w:bCs/>
      <w:sz w:val="28"/>
      <w:szCs w:val="28"/>
    </w:rPr>
  </w:style>
  <w:style w:type="paragraph" w:styleId="8">
    <w:name w:val="heading 6"/>
    <w:basedOn w:val="1"/>
    <w:next w:val="1"/>
    <w:qFormat/>
    <w:uiPriority w:val="0"/>
    <w:pPr>
      <w:keepNext/>
      <w:keepLines/>
      <w:spacing w:before="240" w:after="64" w:line="320" w:lineRule="auto"/>
      <w:outlineLvl w:val="5"/>
    </w:pPr>
    <w:rPr>
      <w:rFonts w:ascii="Cambria" w:hAnsi="Cambria"/>
      <w:b/>
      <w:bCs/>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autoSpaceDE w:val="0"/>
      <w:autoSpaceDN w:val="0"/>
      <w:adjustRightInd w:val="0"/>
      <w:ind w:firstLine="420"/>
      <w:jc w:val="left"/>
    </w:pPr>
    <w:rPr>
      <w:rFonts w:ascii="宋体"/>
      <w:kern w:val="0"/>
      <w:sz w:val="24"/>
      <w:szCs w:val="20"/>
    </w:rPr>
  </w:style>
  <w:style w:type="paragraph" w:styleId="9">
    <w:name w:val="toc 7"/>
    <w:basedOn w:val="1"/>
    <w:next w:val="1"/>
    <w:unhideWhenUsed/>
    <w:qFormat/>
    <w:uiPriority w:val="39"/>
    <w:pPr>
      <w:ind w:left="2520" w:leftChars="1200"/>
    </w:pPr>
    <w:rPr>
      <w:rFonts w:asciiTheme="minorHAnsi" w:hAnsiTheme="minorHAnsi" w:eastAsiaTheme="minorEastAsia" w:cstheme="minorBidi"/>
      <w:szCs w:val="22"/>
    </w:rPr>
  </w:style>
  <w:style w:type="paragraph" w:styleId="10">
    <w:name w:val="index 8"/>
    <w:basedOn w:val="1"/>
    <w:next w:val="1"/>
    <w:qFormat/>
    <w:uiPriority w:val="0"/>
    <w:pPr>
      <w:ind w:left="3920" w:leftChars="1400"/>
    </w:pPr>
  </w:style>
  <w:style w:type="paragraph" w:styleId="11">
    <w:name w:val="toa heading"/>
    <w:basedOn w:val="1"/>
    <w:next w:val="1"/>
    <w:qFormat/>
    <w:uiPriority w:val="0"/>
    <w:pPr>
      <w:spacing w:before="120"/>
    </w:pPr>
    <w:rPr>
      <w:rFonts w:ascii="Cambria" w:hAnsi="Cambria"/>
      <w:sz w:val="24"/>
    </w:rPr>
  </w:style>
  <w:style w:type="paragraph" w:styleId="12">
    <w:name w:val="annotation text"/>
    <w:basedOn w:val="1"/>
    <w:qFormat/>
    <w:uiPriority w:val="99"/>
    <w:pPr>
      <w:jc w:val="left"/>
    </w:pPr>
  </w:style>
  <w:style w:type="paragraph" w:styleId="13">
    <w:name w:val="Body Text"/>
    <w:basedOn w:val="1"/>
    <w:next w:val="1"/>
    <w:qFormat/>
    <w:uiPriority w:val="0"/>
    <w:pPr>
      <w:tabs>
        <w:tab w:val="left" w:pos="567"/>
      </w:tabs>
      <w:spacing w:before="120" w:line="22" w:lineRule="atLeast"/>
    </w:pPr>
    <w:rPr>
      <w:rFonts w:ascii="宋体" w:hAnsi="宋体"/>
      <w:sz w:val="24"/>
    </w:rPr>
  </w:style>
  <w:style w:type="paragraph" w:styleId="14">
    <w:name w:val="Body Text Indent"/>
    <w:basedOn w:val="1"/>
    <w:next w:val="15"/>
    <w:semiHidden/>
    <w:unhideWhenUsed/>
    <w:qFormat/>
    <w:uiPriority w:val="99"/>
    <w:pPr>
      <w:spacing w:after="120"/>
      <w:ind w:left="420" w:leftChars="200"/>
    </w:pPr>
  </w:style>
  <w:style w:type="paragraph" w:styleId="15">
    <w:name w:val="Normal (Web)"/>
    <w:basedOn w:val="1"/>
    <w:next w:val="1"/>
    <w:qFormat/>
    <w:uiPriority w:val="0"/>
    <w:pPr>
      <w:widowControl/>
      <w:spacing w:before="100" w:beforeAutospacing="1" w:after="100" w:afterAutospacing="1"/>
      <w:jc w:val="left"/>
    </w:pPr>
    <w:rPr>
      <w:rFonts w:ascii="宋体" w:hAnsi="宋体" w:cs="宋体"/>
      <w:kern w:val="0"/>
      <w:sz w:val="24"/>
    </w:rPr>
  </w:style>
  <w:style w:type="paragraph" w:styleId="16">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17">
    <w:name w:val="toc 3"/>
    <w:basedOn w:val="1"/>
    <w:next w:val="1"/>
    <w:qFormat/>
    <w:uiPriority w:val="39"/>
    <w:pPr>
      <w:tabs>
        <w:tab w:val="left" w:pos="1260"/>
        <w:tab w:val="right" w:leader="dot" w:pos="8630"/>
      </w:tabs>
      <w:ind w:left="840" w:leftChars="400"/>
    </w:pPr>
  </w:style>
  <w:style w:type="paragraph" w:styleId="18">
    <w:name w:val="Plain Text"/>
    <w:basedOn w:val="1"/>
    <w:next w:val="19"/>
    <w:qFormat/>
    <w:uiPriority w:val="0"/>
    <w:rPr>
      <w:rFonts w:ascii="宋体" w:hAnsi="Courier New"/>
      <w:szCs w:val="20"/>
    </w:rPr>
  </w:style>
  <w:style w:type="paragraph" w:styleId="19">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20">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21">
    <w:name w:val="footer"/>
    <w:basedOn w:val="1"/>
    <w:next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style>
  <w:style w:type="paragraph" w:styleId="24">
    <w:name w:val="toc 4"/>
    <w:basedOn w:val="1"/>
    <w:next w:val="1"/>
    <w:unhideWhenUsed/>
    <w:qFormat/>
    <w:uiPriority w:val="39"/>
    <w:pPr>
      <w:ind w:left="1260" w:leftChars="600"/>
    </w:pPr>
    <w:rPr>
      <w:rFonts w:asciiTheme="minorHAnsi" w:hAnsiTheme="minorHAnsi" w:eastAsiaTheme="minorEastAsia" w:cstheme="minorBidi"/>
      <w:szCs w:val="22"/>
    </w:rPr>
  </w:style>
  <w:style w:type="paragraph" w:styleId="25">
    <w:name w:val="footnote text"/>
    <w:basedOn w:val="1"/>
    <w:next w:val="13"/>
    <w:qFormat/>
    <w:uiPriority w:val="0"/>
    <w:pPr>
      <w:snapToGrid w:val="0"/>
      <w:jc w:val="left"/>
    </w:pPr>
    <w:rPr>
      <w:sz w:val="18"/>
    </w:rPr>
  </w:style>
  <w:style w:type="paragraph" w:styleId="26">
    <w:name w:val="toc 6"/>
    <w:basedOn w:val="1"/>
    <w:next w:val="1"/>
    <w:unhideWhenUsed/>
    <w:qFormat/>
    <w:uiPriority w:val="39"/>
    <w:pPr>
      <w:ind w:left="2100" w:leftChars="1000"/>
    </w:pPr>
    <w:rPr>
      <w:rFonts w:asciiTheme="minorHAnsi" w:hAnsiTheme="minorHAnsi" w:eastAsiaTheme="minorEastAsia" w:cstheme="minorBidi"/>
      <w:szCs w:val="22"/>
    </w:rPr>
  </w:style>
  <w:style w:type="paragraph" w:styleId="27">
    <w:name w:val="index 7"/>
    <w:basedOn w:val="1"/>
    <w:next w:val="1"/>
    <w:qFormat/>
    <w:uiPriority w:val="0"/>
    <w:pPr>
      <w:ind w:left="1200" w:leftChars="1200"/>
    </w:pPr>
  </w:style>
  <w:style w:type="paragraph" w:styleId="28">
    <w:name w:val="toc 2"/>
    <w:basedOn w:val="1"/>
    <w:next w:val="1"/>
    <w:qFormat/>
    <w:uiPriority w:val="39"/>
    <w:pPr>
      <w:ind w:left="420" w:leftChars="200"/>
    </w:pPr>
  </w:style>
  <w:style w:type="paragraph" w:styleId="29">
    <w:name w:val="toc 9"/>
    <w:basedOn w:val="1"/>
    <w:next w:val="1"/>
    <w:unhideWhenUsed/>
    <w:qFormat/>
    <w:uiPriority w:val="39"/>
    <w:pPr>
      <w:ind w:left="3360" w:leftChars="1600"/>
    </w:pPr>
    <w:rPr>
      <w:rFonts w:asciiTheme="minorHAnsi" w:hAnsiTheme="minorHAnsi" w:eastAsiaTheme="minorEastAsia" w:cstheme="minorBidi"/>
      <w:szCs w:val="22"/>
    </w:rPr>
  </w:style>
  <w:style w:type="paragraph" w:styleId="30">
    <w:name w:val="Body Text 2"/>
    <w:basedOn w:val="1"/>
    <w:qFormat/>
    <w:uiPriority w:val="0"/>
    <w:pPr>
      <w:adjustRightInd w:val="0"/>
      <w:snapToGrid w:val="0"/>
      <w:spacing w:line="480" w:lineRule="atLeast"/>
    </w:pPr>
    <w:rPr>
      <w:rFonts w:ascii="宋体" w:hAnsi="宋体"/>
      <w:sz w:val="28"/>
    </w:rPr>
  </w:style>
  <w:style w:type="paragraph" w:styleId="31">
    <w:name w:val="Title"/>
    <w:basedOn w:val="1"/>
    <w:next w:val="1"/>
    <w:qFormat/>
    <w:uiPriority w:val="0"/>
    <w:pPr>
      <w:spacing w:before="240" w:after="60"/>
      <w:jc w:val="center"/>
      <w:outlineLvl w:val="0"/>
    </w:pPr>
    <w:rPr>
      <w:rFonts w:ascii="Cambria" w:hAnsi="Cambria"/>
      <w:b/>
      <w:bCs/>
      <w:sz w:val="32"/>
      <w:szCs w:val="32"/>
    </w:rPr>
  </w:style>
  <w:style w:type="paragraph" w:styleId="32">
    <w:name w:val="Body Text First Indent"/>
    <w:basedOn w:val="13"/>
    <w:next w:val="1"/>
    <w:unhideWhenUsed/>
    <w:qFormat/>
    <w:uiPriority w:val="99"/>
    <w:pPr>
      <w:ind w:firstLine="420" w:firstLineChars="100"/>
    </w:pPr>
  </w:style>
  <w:style w:type="paragraph" w:styleId="33">
    <w:name w:val="Body Text First Indent 2"/>
    <w:basedOn w:val="14"/>
    <w:next w:val="32"/>
    <w:qFormat/>
    <w:uiPriority w:val="0"/>
    <w:pPr>
      <w:spacing w:after="0"/>
      <w:ind w:left="0" w:leftChars="0" w:firstLine="420" w:firstLineChars="200"/>
    </w:pPr>
    <w:rPr>
      <w:rFonts w:ascii="Calibri" w:hAnsi="Calibri" w:cs="Calibri"/>
    </w:r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qFormat/>
    <w:uiPriority w:val="0"/>
    <w:rPr>
      <w:b/>
    </w:rPr>
  </w:style>
  <w:style w:type="character" w:styleId="38">
    <w:name w:val="page number"/>
    <w:basedOn w:val="36"/>
    <w:qFormat/>
    <w:uiPriority w:val="0"/>
  </w:style>
  <w:style w:type="character" w:styleId="39">
    <w:name w:val="Hyperlink"/>
    <w:basedOn w:val="36"/>
    <w:unhideWhenUsed/>
    <w:qFormat/>
    <w:uiPriority w:val="99"/>
    <w:rPr>
      <w:color w:val="0563C1" w:themeColor="hyperlink"/>
      <w:u w:val="single"/>
      <w14:textFill>
        <w14:solidFill>
          <w14:schemeClr w14:val="hlink"/>
        </w14:solidFill>
      </w14:textFill>
    </w:rPr>
  </w:style>
  <w:style w:type="character" w:styleId="40">
    <w:name w:val="HTML Sample"/>
    <w:basedOn w:val="36"/>
    <w:qFormat/>
    <w:uiPriority w:val="0"/>
    <w:rPr>
      <w:rFonts w:ascii="Courier New" w:hAnsi="Courier New"/>
    </w:rPr>
  </w:style>
  <w:style w:type="paragraph" w:customStyle="1" w:styleId="41">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42">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43">
    <w:name w:val="Table Paragraph"/>
    <w:basedOn w:val="1"/>
    <w:qFormat/>
    <w:uiPriority w:val="1"/>
    <w:rPr>
      <w:rFonts w:ascii="宋体" w:hAnsi="宋体" w:cs="宋体"/>
      <w:lang w:val="zh-CN" w:bidi="zh-CN"/>
    </w:rPr>
  </w:style>
  <w:style w:type="paragraph" w:customStyle="1" w:styleId="44">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45">
    <w:name w:val="索引 11"/>
    <w:basedOn w:val="1"/>
    <w:next w:val="1"/>
    <w:qFormat/>
    <w:uiPriority w:val="0"/>
    <w:pPr>
      <w:spacing w:line="360" w:lineRule="auto"/>
    </w:pPr>
    <w:rPr>
      <w:rFonts w:ascii="仿宋_GB2312" w:eastAsia="仿宋_GB2312"/>
      <w:sz w:val="24"/>
      <w:szCs w:val="20"/>
    </w:rPr>
  </w:style>
  <w:style w:type="paragraph" w:customStyle="1" w:styleId="46">
    <w:name w:val="纯文本1"/>
    <w:basedOn w:val="1"/>
    <w:qFormat/>
    <w:uiPriority w:val="0"/>
    <w:rPr>
      <w:rFonts w:ascii="宋体" w:hAnsi="Courier New"/>
      <w:kern w:val="0"/>
      <w:sz w:val="20"/>
      <w:szCs w:val="20"/>
    </w:rPr>
  </w:style>
  <w:style w:type="paragraph" w:customStyle="1" w:styleId="47">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Other|1"/>
    <w:basedOn w:val="1"/>
    <w:qFormat/>
    <w:uiPriority w:val="0"/>
    <w:pPr>
      <w:spacing w:line="474" w:lineRule="exact"/>
      <w:ind w:left="480"/>
    </w:pPr>
    <w:rPr>
      <w:rFonts w:ascii="MingLiU" w:hAnsi="MingLiU" w:eastAsia="MingLiU" w:cs="MingLiU"/>
      <w:sz w:val="20"/>
      <w:szCs w:val="20"/>
      <w:lang w:val="zh-TW" w:eastAsia="zh-TW" w:bidi="zh-TW"/>
    </w:rPr>
  </w:style>
  <w:style w:type="paragraph" w:styleId="49">
    <w:name w:val="List Paragraph"/>
    <w:basedOn w:val="1"/>
    <w:qFormat/>
    <w:uiPriority w:val="34"/>
    <w:pPr>
      <w:ind w:firstLine="420" w:firstLineChars="200"/>
    </w:pPr>
  </w:style>
  <w:style w:type="paragraph" w:customStyle="1" w:styleId="50">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51">
    <w:name w:val="正文_0"/>
    <w:next w:val="11"/>
    <w:qFormat/>
    <w:uiPriority w:val="0"/>
    <w:pPr>
      <w:widowControl w:val="0"/>
      <w:jc w:val="both"/>
    </w:pPr>
    <w:rPr>
      <w:rFonts w:ascii="Calibri" w:hAnsi="Calibri" w:eastAsia="宋体" w:cs="Times New Roman"/>
      <w:kern w:val="2"/>
      <w:sz w:val="21"/>
      <w:szCs w:val="22"/>
      <w:lang w:val="en-US" w:eastAsia="zh-CN" w:bidi="ar-SA"/>
    </w:rPr>
  </w:style>
  <w:style w:type="character" w:customStyle="1" w:styleId="52">
    <w:name w:val="bookmark-item"/>
    <w:qFormat/>
    <w:uiPriority w:val="0"/>
  </w:style>
  <w:style w:type="paragraph" w:customStyle="1" w:styleId="53">
    <w:name w:val="正文_3"/>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th-TH"/>
    </w:rPr>
  </w:style>
  <w:style w:type="paragraph" w:customStyle="1" w:styleId="55">
    <w:name w:val="正文_1"/>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7">
    <w:name w:val="列表段落1"/>
    <w:basedOn w:val="1"/>
    <w:qFormat/>
    <w:uiPriority w:val="34"/>
    <w:pPr>
      <w:ind w:firstLine="420" w:firstLineChars="200"/>
    </w:pPr>
  </w:style>
  <w:style w:type="character" w:customStyle="1" w:styleId="58">
    <w:name w:val="font01"/>
    <w:basedOn w:val="36"/>
    <w:qFormat/>
    <w:uiPriority w:val="0"/>
    <w:rPr>
      <w:rFonts w:hint="eastAsia" w:ascii="宋体" w:hAnsi="宋体" w:eastAsia="宋体" w:cs="宋体"/>
      <w:color w:val="000000"/>
      <w:sz w:val="20"/>
      <w:szCs w:val="20"/>
      <w:u w:val="none"/>
    </w:rPr>
  </w:style>
  <w:style w:type="character" w:customStyle="1" w:styleId="59">
    <w:name w:val="font151"/>
    <w:basedOn w:val="36"/>
    <w:qFormat/>
    <w:uiPriority w:val="0"/>
    <w:rPr>
      <w:rFonts w:ascii="Calibri" w:hAnsi="Calibri" w:cs="Calibri"/>
      <w:color w:val="000000"/>
      <w:sz w:val="21"/>
      <w:szCs w:val="21"/>
      <w:u w:val="none"/>
    </w:rPr>
  </w:style>
  <w:style w:type="character" w:customStyle="1" w:styleId="60">
    <w:name w:val="font131"/>
    <w:basedOn w:val="36"/>
    <w:qFormat/>
    <w:uiPriority w:val="0"/>
    <w:rPr>
      <w:rFonts w:hint="eastAsia" w:ascii="宋体" w:hAnsi="宋体" w:eastAsia="宋体" w:cs="宋体"/>
      <w:color w:val="000000"/>
      <w:sz w:val="21"/>
      <w:szCs w:val="21"/>
      <w:u w:val="none"/>
    </w:rPr>
  </w:style>
  <w:style w:type="character" w:customStyle="1" w:styleId="61">
    <w:name w:val="font91"/>
    <w:basedOn w:val="36"/>
    <w:qFormat/>
    <w:uiPriority w:val="0"/>
    <w:rPr>
      <w:rFonts w:ascii="Calibri" w:hAnsi="Calibri" w:cs="Calibri"/>
      <w:color w:val="000000"/>
      <w:sz w:val="21"/>
      <w:szCs w:val="21"/>
      <w:u w:val="none"/>
    </w:rPr>
  </w:style>
  <w:style w:type="character" w:customStyle="1" w:styleId="62">
    <w:name w:val="font71"/>
    <w:basedOn w:val="36"/>
    <w:qFormat/>
    <w:uiPriority w:val="0"/>
    <w:rPr>
      <w:rFonts w:hint="eastAsia" w:ascii="宋体" w:hAnsi="宋体" w:eastAsia="宋体" w:cs="宋体"/>
      <w:color w:val="000000"/>
      <w:sz w:val="21"/>
      <w:szCs w:val="21"/>
      <w:u w:val="none"/>
    </w:rPr>
  </w:style>
  <w:style w:type="table" w:customStyle="1" w:styleId="63">
    <w:name w:val="Table Normal"/>
    <w:unhideWhenUsed/>
    <w:qFormat/>
    <w:uiPriority w:val="0"/>
    <w:tblPr>
      <w:tblCellMar>
        <w:top w:w="0" w:type="dxa"/>
        <w:left w:w="0" w:type="dxa"/>
        <w:bottom w:w="0" w:type="dxa"/>
        <w:right w:w="0" w:type="dxa"/>
      </w:tblCellMar>
    </w:tblPr>
  </w:style>
  <w:style w:type="paragraph" w:customStyle="1" w:styleId="64">
    <w:name w:val="样式 样式 样式 左侧:  2 字符1 + 首行缩进:  2 字符1 + 首行缩进:  2 字符"/>
    <w:basedOn w:val="1"/>
    <w:qFormat/>
    <w:uiPriority w:val="0"/>
    <w:pPr>
      <w:widowControl/>
      <w:spacing w:before="60" w:after="120" w:line="440" w:lineRule="atLeast"/>
      <w:ind w:firstLine="480"/>
    </w:pPr>
    <w:rPr>
      <w:rFonts w:hint="eastAsia"/>
      <w:sz w:val="24"/>
    </w:rPr>
  </w:style>
  <w:style w:type="paragraph" w:customStyle="1" w:styleId="65">
    <w:name w:val="表格文字"/>
    <w:basedOn w:val="1"/>
    <w:qFormat/>
    <w:uiPriority w:val="0"/>
    <w:pPr>
      <w:spacing w:before="25" w:after="25"/>
      <w:jc w:val="left"/>
    </w:pPr>
    <w:rPr>
      <w:bCs/>
      <w:spacing w:val="10"/>
      <w:kern w:val="0"/>
      <w:sz w:val="24"/>
      <w:szCs w:val="20"/>
    </w:rPr>
  </w:style>
  <w:style w:type="paragraph" w:customStyle="1" w:styleId="66">
    <w:name w:val="_Style 6"/>
    <w:basedOn w:val="2"/>
    <w:next w:val="1"/>
    <w:qFormat/>
    <w:uiPriority w:val="0"/>
    <w:pPr>
      <w:spacing w:before="0" w:after="0" w:line="360" w:lineRule="auto"/>
      <w:outlineLvl w:val="9"/>
    </w:pPr>
    <w:rPr>
      <w:rFonts w:ascii="Times New Roman" w:hAnsi="Times New Roman" w:eastAsia="黑体" w:cs="Times New Roman"/>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5.wmf"/><Relationship Id="rId24" Type="http://schemas.openxmlformats.org/officeDocument/2006/relationships/oleObject" Target="embeddings/oleObject5.bin"/><Relationship Id="rId23" Type="http://schemas.openxmlformats.org/officeDocument/2006/relationships/image" Target="media/image4.wmf"/><Relationship Id="rId22" Type="http://schemas.openxmlformats.org/officeDocument/2006/relationships/oleObject" Target="embeddings/oleObject4.bin"/><Relationship Id="rId21" Type="http://schemas.openxmlformats.org/officeDocument/2006/relationships/image" Target="media/image3.wmf"/><Relationship Id="rId20" Type="http://schemas.openxmlformats.org/officeDocument/2006/relationships/oleObject" Target="embeddings/oleObject3.bin"/><Relationship Id="rId2" Type="http://schemas.openxmlformats.org/officeDocument/2006/relationships/settings" Target="settings.xml"/><Relationship Id="rId19" Type="http://schemas.openxmlformats.org/officeDocument/2006/relationships/image" Target="media/image2.wmf"/><Relationship Id="rId18" Type="http://schemas.openxmlformats.org/officeDocument/2006/relationships/oleObject" Target="embeddings/oleObject2.bin"/><Relationship Id="rId17" Type="http://schemas.openxmlformats.org/officeDocument/2006/relationships/image" Target="media/image1.wmf"/><Relationship Id="rId16" Type="http://schemas.openxmlformats.org/officeDocument/2006/relationships/oleObject" Target="embeddings/oleObject1.bin"/><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792EE4E-6AC7-4625-B5E8-C7F087990D7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166</Pages>
  <Words>20398</Words>
  <Characters>21562</Characters>
  <Lines>437</Lines>
  <Paragraphs>123</Paragraphs>
  <TotalTime>2</TotalTime>
  <ScaleCrop>false</ScaleCrop>
  <LinksUpToDate>false</LinksUpToDate>
  <CharactersWithSpaces>24152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紫嫣</cp:lastModifiedBy>
  <cp:lastPrinted>2025-03-17T04:54:00Z</cp:lastPrinted>
  <dcterms:modified xsi:type="dcterms:W3CDTF">2025-03-19T09:08:16Z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B6181793B855479C8B7D5409BAE1882C_13</vt:lpwstr>
  </property>
  <property fmtid="{D5CDD505-2E9C-101B-9397-08002B2CF9AE}" pid="4" name="KSOTemplateDocerSaveRecord">
    <vt:lpwstr>eyJoZGlkIjoiMGI3ZjkzZDc4ZWYwNzJhOGNhMmIwYjkwN2NjYjhhMDgiLCJ1c2VySWQiOiI1MDc0Mzk4OTMifQ==</vt:lpwstr>
  </property>
</Properties>
</file>