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8CD618">
      <w:pPr>
        <w:pStyle w:val="48"/>
        <w:rPr>
          <w:rFonts w:hint="default" w:hAnsi="宋体"/>
          <w:color w:val="auto"/>
          <w:highlight w:val="none"/>
          <w:lang w:val="en-US"/>
        </w:rPr>
      </w:pPr>
      <w:bookmarkStart w:id="371" w:name="_GoBack"/>
      <w:r>
        <w:rPr>
          <w:rFonts w:hint="eastAsia" w:ascii="宋体" w:hAnsi="宋体" w:eastAsia="宋体" w:cs="宋体"/>
          <w:b/>
          <w:bCs/>
          <w:color w:val="auto"/>
          <w:sz w:val="36"/>
          <w:szCs w:val="36"/>
          <w:highlight w:val="none"/>
          <w:lang w:val="en-US" w:eastAsia="zh-CN"/>
        </w:rPr>
        <w:drawing>
          <wp:inline distT="0" distB="0" distL="114300" distR="114300">
            <wp:extent cx="1879600" cy="591185"/>
            <wp:effectExtent l="0" t="0" r="2540" b="3175"/>
            <wp:docPr id="1" name="图片 2" descr="和顺致祥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和顺致祥3(1)"/>
                    <pic:cNvPicPr>
                      <a:picLocks noChangeAspect="1"/>
                    </pic:cNvPicPr>
                  </pic:nvPicPr>
                  <pic:blipFill>
                    <a:blip r:embed="rId10"/>
                    <a:stretch>
                      <a:fillRect/>
                    </a:stretch>
                  </pic:blipFill>
                  <pic:spPr>
                    <a:xfrm>
                      <a:off x="0" y="0"/>
                      <a:ext cx="1879600" cy="591185"/>
                    </a:xfrm>
                    <a:prstGeom prst="rect">
                      <a:avLst/>
                    </a:prstGeom>
                    <a:noFill/>
                    <a:ln>
                      <a:noFill/>
                    </a:ln>
                  </pic:spPr>
                </pic:pic>
              </a:graphicData>
            </a:graphic>
          </wp:inline>
        </w:drawing>
      </w:r>
    </w:p>
    <w:p w14:paraId="131C49AD">
      <w:pPr>
        <w:pStyle w:val="48"/>
        <w:rPr>
          <w:rFonts w:hint="default" w:hAnsi="宋体"/>
          <w:color w:val="auto"/>
          <w:sz w:val="28"/>
          <w:szCs w:val="28"/>
          <w:highlight w:val="none"/>
          <w:lang w:val="en-US"/>
        </w:rPr>
      </w:pPr>
    </w:p>
    <w:p w14:paraId="7BE3A54E">
      <w:pPr>
        <w:pStyle w:val="37"/>
        <w:rPr>
          <w:rFonts w:hint="eastAsia"/>
          <w:color w:val="auto"/>
          <w:sz w:val="28"/>
          <w:szCs w:val="28"/>
          <w:highlight w:val="none"/>
          <w:lang w:val="en-US" w:eastAsia="zh-CN"/>
        </w:rPr>
      </w:pPr>
    </w:p>
    <w:p w14:paraId="43BDA94D">
      <w:pPr>
        <w:pStyle w:val="19"/>
        <w:jc w:val="center"/>
        <w:rPr>
          <w:rFonts w:hint="eastAsia" w:ascii="宋体" w:hAnsi="宋体" w:eastAsia="宋体" w:cs="宋体"/>
          <w:b/>
          <w:bCs/>
          <w:color w:val="auto"/>
          <w:sz w:val="44"/>
          <w:szCs w:val="44"/>
          <w:highlight w:val="none"/>
          <w:lang w:val="en-US" w:eastAsia="zh-CN"/>
        </w:rPr>
      </w:pPr>
      <w:r>
        <w:rPr>
          <w:rFonts w:hint="eastAsia" w:ascii="宋体" w:hAnsi="宋体" w:cs="宋体"/>
          <w:b/>
          <w:bCs/>
          <w:color w:val="auto"/>
          <w:sz w:val="44"/>
          <w:szCs w:val="44"/>
          <w:highlight w:val="none"/>
          <w:lang w:val="en-US" w:eastAsia="zh-CN"/>
        </w:rPr>
        <w:t>吐鲁番市鄯善县人民医院安保服务采购项目</w:t>
      </w:r>
    </w:p>
    <w:p w14:paraId="545A19FB">
      <w:pPr>
        <w:pStyle w:val="19"/>
        <w:jc w:val="center"/>
        <w:rPr>
          <w:rFonts w:hint="eastAsia" w:ascii="宋体" w:hAnsi="宋体" w:eastAsia="宋体" w:cs="宋体"/>
          <w:b w:val="0"/>
          <w:bCs/>
          <w:color w:val="auto"/>
          <w:sz w:val="32"/>
          <w:szCs w:val="32"/>
          <w:highlight w:val="none"/>
          <w:lang w:eastAsia="zh-CN"/>
        </w:rPr>
      </w:pPr>
      <w:r>
        <w:rPr>
          <w:rFonts w:hint="eastAsia" w:ascii="宋体" w:hAnsi="宋体" w:eastAsia="宋体" w:cs="宋体"/>
          <w:b w:val="0"/>
          <w:bCs/>
          <w:color w:val="auto"/>
          <w:sz w:val="32"/>
          <w:szCs w:val="32"/>
          <w:highlight w:val="none"/>
          <w:lang w:eastAsia="zh-CN"/>
        </w:rPr>
        <w:t>（</w:t>
      </w:r>
      <w:r>
        <w:rPr>
          <w:rFonts w:hint="eastAsia" w:ascii="宋体" w:hAnsi="宋体" w:eastAsia="宋体" w:cs="宋体"/>
          <w:b w:val="0"/>
          <w:bCs/>
          <w:color w:val="auto"/>
          <w:sz w:val="32"/>
          <w:szCs w:val="32"/>
          <w:highlight w:val="none"/>
        </w:rPr>
        <w:t>项目编号：</w:t>
      </w:r>
      <w:r>
        <w:rPr>
          <w:rFonts w:hint="eastAsia" w:ascii="宋体" w:hAnsi="宋体" w:cs="宋体"/>
          <w:b w:val="0"/>
          <w:bCs/>
          <w:color w:val="auto"/>
          <w:sz w:val="32"/>
          <w:szCs w:val="32"/>
          <w:highlight w:val="none"/>
          <w:lang w:val="en-US" w:eastAsia="zh-CN"/>
        </w:rPr>
        <w:t>XJZN-2025-03117</w:t>
      </w:r>
      <w:r>
        <w:rPr>
          <w:rFonts w:hint="eastAsia" w:ascii="宋体" w:hAnsi="宋体" w:eastAsia="宋体" w:cs="宋体"/>
          <w:b w:val="0"/>
          <w:bCs/>
          <w:color w:val="auto"/>
          <w:sz w:val="32"/>
          <w:szCs w:val="32"/>
          <w:highlight w:val="none"/>
          <w:lang w:eastAsia="zh-CN"/>
        </w:rPr>
        <w:t>）</w:t>
      </w:r>
    </w:p>
    <w:p w14:paraId="26A699E0">
      <w:pPr>
        <w:pStyle w:val="19"/>
        <w:rPr>
          <w:rFonts w:hint="eastAsia" w:ascii="宋体" w:hAnsi="宋体" w:eastAsia="宋体" w:cs="宋体"/>
          <w:b/>
          <w:bCs/>
          <w:color w:val="auto"/>
          <w:sz w:val="36"/>
          <w:szCs w:val="36"/>
          <w:highlight w:val="none"/>
          <w:lang w:val="en-US" w:eastAsia="zh-CN"/>
        </w:rPr>
      </w:pPr>
    </w:p>
    <w:p w14:paraId="573DD136">
      <w:pPr>
        <w:keepNext w:val="0"/>
        <w:keepLines w:val="0"/>
        <w:pageBreakBefore w:val="0"/>
        <w:widowControl w:val="0"/>
        <w:tabs>
          <w:tab w:val="left" w:pos="1134"/>
          <w:tab w:val="left" w:pos="5160"/>
        </w:tabs>
        <w:kinsoku/>
        <w:wordWrap/>
        <w:overflowPunct/>
        <w:topLinePunct w:val="0"/>
        <w:autoSpaceDE/>
        <w:autoSpaceDN/>
        <w:bidi w:val="0"/>
        <w:adjustRightInd w:val="0"/>
        <w:snapToGrid w:val="0"/>
        <w:spacing w:line="0" w:lineRule="atLeast"/>
        <w:jc w:val="center"/>
        <w:textAlignment w:val="auto"/>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磋商文件</w:t>
      </w:r>
    </w:p>
    <w:p w14:paraId="00797EA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w:t>
      </w:r>
      <w:r>
        <w:rPr>
          <w:rFonts w:hint="eastAsia" w:ascii="宋体" w:hAnsi="宋体" w:cs="宋体"/>
          <w:color w:val="auto"/>
          <w:sz w:val="32"/>
          <w:szCs w:val="32"/>
          <w:highlight w:val="none"/>
          <w:lang w:val="en-US" w:eastAsia="zh-CN"/>
        </w:rPr>
        <w:t>服务</w:t>
      </w:r>
      <w:r>
        <w:rPr>
          <w:rFonts w:hint="eastAsia" w:ascii="宋体" w:hAnsi="宋体" w:cs="宋体"/>
          <w:color w:val="auto"/>
          <w:sz w:val="32"/>
          <w:szCs w:val="32"/>
          <w:highlight w:val="none"/>
          <w:lang w:eastAsia="zh-CN"/>
        </w:rPr>
        <w:t>类）</w:t>
      </w:r>
    </w:p>
    <w:p w14:paraId="6005E33B">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8"/>
          <w:szCs w:val="28"/>
          <w:highlight w:val="none"/>
        </w:rPr>
      </w:pPr>
    </w:p>
    <w:p w14:paraId="546FEBA2">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6179091C">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48BF127A">
      <w:pPr>
        <w:pStyle w:val="19"/>
        <w:keepNext w:val="0"/>
        <w:keepLines w:val="0"/>
        <w:pageBreakBefore w:val="0"/>
        <w:widowControl w:val="0"/>
        <w:kinsoku/>
        <w:wordWrap/>
        <w:overflowPunct/>
        <w:topLinePunct w:val="0"/>
        <w:bidi w:val="0"/>
        <w:adjustRightInd/>
        <w:snapToGrid w:val="0"/>
        <w:spacing w:after="0" w:line="440" w:lineRule="exact"/>
        <w:textAlignment w:val="auto"/>
        <w:rPr>
          <w:rFonts w:hint="eastAsia" w:ascii="宋体" w:hAnsi="宋体" w:eastAsia="宋体" w:cs="宋体"/>
          <w:color w:val="auto"/>
          <w:sz w:val="28"/>
          <w:szCs w:val="28"/>
          <w:highlight w:val="none"/>
        </w:rPr>
      </w:pPr>
    </w:p>
    <w:p w14:paraId="035FE775">
      <w:pPr>
        <w:pStyle w:val="4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709397DA">
      <w:pPr>
        <w:pStyle w:val="4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25ACD683">
      <w:pPr>
        <w:pStyle w:val="19"/>
        <w:keepNext w:val="0"/>
        <w:keepLines w:val="0"/>
        <w:pageBreakBefore w:val="0"/>
        <w:widowControl w:val="0"/>
        <w:kinsoku/>
        <w:wordWrap/>
        <w:overflowPunct/>
        <w:topLinePunct w:val="0"/>
        <w:bidi w:val="0"/>
        <w:adjustRightInd/>
        <w:snapToGrid w:val="0"/>
        <w:spacing w:after="0" w:line="440" w:lineRule="exact"/>
        <w:textAlignment w:val="auto"/>
        <w:rPr>
          <w:rFonts w:hint="eastAsia" w:ascii="宋体" w:hAnsi="宋体" w:eastAsia="宋体" w:cs="宋体"/>
          <w:color w:val="auto"/>
          <w:sz w:val="28"/>
          <w:szCs w:val="28"/>
          <w:highlight w:val="none"/>
        </w:rPr>
      </w:pPr>
    </w:p>
    <w:p w14:paraId="27E86763">
      <w:pPr>
        <w:pStyle w:val="4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3C9D7794">
      <w:pPr>
        <w:pStyle w:val="4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0E37D902">
      <w:pPr>
        <w:pStyle w:val="4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tbl>
      <w:tblPr>
        <w:tblStyle w:val="38"/>
        <w:tblW w:w="0" w:type="auto"/>
        <w:jc w:val="center"/>
        <w:tblLayout w:type="fixed"/>
        <w:tblCellMar>
          <w:top w:w="0" w:type="dxa"/>
          <w:left w:w="108" w:type="dxa"/>
          <w:bottom w:w="0" w:type="dxa"/>
          <w:right w:w="108" w:type="dxa"/>
        </w:tblCellMar>
      </w:tblPr>
      <w:tblGrid>
        <w:gridCol w:w="2576"/>
        <w:gridCol w:w="4244"/>
      </w:tblGrid>
      <w:tr w14:paraId="19F68DD8">
        <w:tblPrEx>
          <w:tblCellMar>
            <w:top w:w="0" w:type="dxa"/>
            <w:left w:w="108" w:type="dxa"/>
            <w:bottom w:w="0" w:type="dxa"/>
            <w:right w:w="108" w:type="dxa"/>
          </w:tblCellMar>
        </w:tblPrEx>
        <w:trPr>
          <w:trHeight w:val="953" w:hRule="atLeast"/>
          <w:jc w:val="center"/>
        </w:trPr>
        <w:tc>
          <w:tcPr>
            <w:tcW w:w="2576" w:type="dxa"/>
            <w:noWrap w:val="0"/>
            <w:vAlign w:val="center"/>
          </w:tcPr>
          <w:p w14:paraId="23747809">
            <w:pPr>
              <w:tabs>
                <w:tab w:val="left" w:pos="2431"/>
                <w:tab w:val="left" w:pos="2943"/>
              </w:tabs>
              <w:adjustRightInd w:val="0"/>
              <w:snapToGrid w:val="0"/>
              <w:spacing w:line="360" w:lineRule="exact"/>
              <w:jc w:val="center"/>
              <w:rPr>
                <w:rFonts w:hint="eastAsia" w:ascii="宋体" w:hAnsi="宋体" w:cs="宋体"/>
                <w:bCs/>
                <w:color w:val="auto"/>
                <w:sz w:val="28"/>
                <w:szCs w:val="28"/>
                <w:highlight w:val="none"/>
              </w:rPr>
            </w:pPr>
            <w:r>
              <w:rPr>
                <w:rFonts w:hint="eastAsia" w:ascii="宋体" w:hAnsi="宋体" w:cs="宋体"/>
                <w:bCs/>
                <w:color w:val="auto"/>
                <w:sz w:val="28"/>
                <w:szCs w:val="28"/>
                <w:highlight w:val="none"/>
              </w:rPr>
              <w:t>采</w:t>
            </w:r>
            <w:r>
              <w:rPr>
                <w:rFonts w:hint="default" w:ascii="宋体" w:hAnsi="宋体" w:cs="宋体"/>
                <w:bCs/>
                <w:color w:val="auto"/>
                <w:sz w:val="28"/>
                <w:szCs w:val="28"/>
                <w:highlight w:val="none"/>
                <w:lang w:val="en-US"/>
              </w:rPr>
              <w:t xml:space="preserve">    </w:t>
            </w:r>
            <w:r>
              <w:rPr>
                <w:rFonts w:hint="eastAsia" w:ascii="宋体" w:hAnsi="宋体" w:cs="宋体"/>
                <w:bCs/>
                <w:color w:val="auto"/>
                <w:sz w:val="28"/>
                <w:szCs w:val="28"/>
                <w:highlight w:val="none"/>
              </w:rPr>
              <w:t>购</w:t>
            </w:r>
            <w:r>
              <w:rPr>
                <w:rFonts w:hint="default" w:ascii="宋体" w:hAnsi="宋体" w:cs="宋体"/>
                <w:bCs/>
                <w:color w:val="auto"/>
                <w:sz w:val="28"/>
                <w:szCs w:val="28"/>
                <w:highlight w:val="none"/>
                <w:lang w:val="en-US"/>
              </w:rPr>
              <w:t xml:space="preserve">    </w:t>
            </w:r>
            <w:r>
              <w:rPr>
                <w:rFonts w:hint="eastAsia" w:ascii="宋体" w:hAnsi="宋体" w:cs="宋体"/>
                <w:bCs/>
                <w:color w:val="auto"/>
                <w:sz w:val="28"/>
                <w:szCs w:val="28"/>
                <w:highlight w:val="none"/>
              </w:rPr>
              <w:t>人：</w:t>
            </w:r>
          </w:p>
        </w:tc>
        <w:tc>
          <w:tcPr>
            <w:tcW w:w="4244" w:type="dxa"/>
            <w:noWrap w:val="0"/>
            <w:vAlign w:val="center"/>
          </w:tcPr>
          <w:p w14:paraId="5B59E548">
            <w:pPr>
              <w:tabs>
                <w:tab w:val="left" w:pos="2431"/>
                <w:tab w:val="left" w:pos="2943"/>
              </w:tabs>
              <w:adjustRightInd w:val="0"/>
              <w:snapToGrid w:val="0"/>
              <w:spacing w:line="360" w:lineRule="exact"/>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lang w:eastAsia="zh-CN"/>
              </w:rPr>
              <w:t>鄯善县人民医院</w:t>
            </w:r>
          </w:p>
        </w:tc>
      </w:tr>
      <w:tr w14:paraId="456DBFD2">
        <w:tblPrEx>
          <w:tblCellMar>
            <w:top w:w="0" w:type="dxa"/>
            <w:left w:w="108" w:type="dxa"/>
            <w:bottom w:w="0" w:type="dxa"/>
            <w:right w:w="108" w:type="dxa"/>
          </w:tblCellMar>
        </w:tblPrEx>
        <w:trPr>
          <w:trHeight w:val="929" w:hRule="atLeast"/>
          <w:jc w:val="center"/>
        </w:trPr>
        <w:tc>
          <w:tcPr>
            <w:tcW w:w="2576" w:type="dxa"/>
            <w:noWrap w:val="0"/>
            <w:vAlign w:val="center"/>
          </w:tcPr>
          <w:p w14:paraId="0DDE5A3F">
            <w:pPr>
              <w:tabs>
                <w:tab w:val="left" w:pos="2431"/>
                <w:tab w:val="left" w:pos="2943"/>
              </w:tabs>
              <w:adjustRightInd w:val="0"/>
              <w:snapToGrid w:val="0"/>
              <w:spacing w:line="360" w:lineRule="exact"/>
              <w:jc w:val="distribute"/>
              <w:rPr>
                <w:rFonts w:hint="eastAsia" w:ascii="宋体" w:hAnsi="宋体" w:cs="宋体"/>
                <w:bCs/>
                <w:color w:val="auto"/>
                <w:sz w:val="28"/>
                <w:szCs w:val="28"/>
                <w:highlight w:val="none"/>
              </w:rPr>
            </w:pPr>
            <w:r>
              <w:rPr>
                <w:rFonts w:hint="eastAsia" w:ascii="宋体" w:hAnsi="宋体" w:cs="宋体"/>
                <w:bCs/>
                <w:color w:val="auto"/>
                <w:sz w:val="28"/>
                <w:szCs w:val="28"/>
                <w:highlight w:val="none"/>
                <w:lang w:eastAsia="zh-CN"/>
              </w:rPr>
              <w:t>采购</w:t>
            </w:r>
            <w:r>
              <w:rPr>
                <w:rFonts w:hint="eastAsia" w:ascii="宋体" w:hAnsi="宋体" w:cs="宋体"/>
                <w:bCs/>
                <w:color w:val="auto"/>
                <w:sz w:val="28"/>
                <w:szCs w:val="28"/>
                <w:highlight w:val="none"/>
              </w:rPr>
              <w:t>代理机构：</w:t>
            </w:r>
          </w:p>
        </w:tc>
        <w:tc>
          <w:tcPr>
            <w:tcW w:w="4244" w:type="dxa"/>
            <w:noWrap w:val="0"/>
            <w:vAlign w:val="center"/>
          </w:tcPr>
          <w:p w14:paraId="72BBF21F">
            <w:pPr>
              <w:tabs>
                <w:tab w:val="left" w:pos="2431"/>
                <w:tab w:val="left" w:pos="2943"/>
              </w:tabs>
              <w:adjustRightInd w:val="0"/>
              <w:snapToGrid w:val="0"/>
              <w:spacing w:line="360" w:lineRule="exact"/>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lang w:eastAsia="zh-CN"/>
              </w:rPr>
              <w:t>新疆中诺项目管理有限公司</w:t>
            </w:r>
          </w:p>
        </w:tc>
      </w:tr>
      <w:tr w14:paraId="3A479E0A">
        <w:tblPrEx>
          <w:tblCellMar>
            <w:top w:w="0" w:type="dxa"/>
            <w:left w:w="108" w:type="dxa"/>
            <w:bottom w:w="0" w:type="dxa"/>
            <w:right w:w="108" w:type="dxa"/>
          </w:tblCellMar>
        </w:tblPrEx>
        <w:trPr>
          <w:trHeight w:val="953" w:hRule="atLeast"/>
          <w:jc w:val="center"/>
        </w:trPr>
        <w:tc>
          <w:tcPr>
            <w:tcW w:w="2576" w:type="dxa"/>
            <w:noWrap w:val="0"/>
            <w:vAlign w:val="center"/>
          </w:tcPr>
          <w:p w14:paraId="1FD7F565">
            <w:pPr>
              <w:tabs>
                <w:tab w:val="left" w:pos="2431"/>
                <w:tab w:val="left" w:pos="2943"/>
              </w:tabs>
              <w:adjustRightInd w:val="0"/>
              <w:snapToGrid w:val="0"/>
              <w:spacing w:line="360" w:lineRule="exact"/>
              <w:jc w:val="center"/>
              <w:rPr>
                <w:rFonts w:hint="eastAsia" w:ascii="宋体" w:hAnsi="宋体" w:cs="宋体"/>
                <w:bCs/>
                <w:color w:val="auto"/>
                <w:sz w:val="28"/>
                <w:szCs w:val="28"/>
                <w:highlight w:val="none"/>
              </w:rPr>
            </w:pPr>
            <w:r>
              <w:rPr>
                <w:rFonts w:hint="eastAsia" w:ascii="宋体" w:hAnsi="宋体" w:cs="宋体"/>
                <w:bCs/>
                <w:color w:val="auto"/>
                <w:sz w:val="28"/>
                <w:szCs w:val="28"/>
                <w:highlight w:val="none"/>
                <w:lang w:eastAsia="zh-CN"/>
              </w:rPr>
              <w:t>日</w:t>
            </w:r>
            <w:r>
              <w:rPr>
                <w:rFonts w:hint="default" w:ascii="宋体" w:hAnsi="宋体" w:cs="宋体"/>
                <w:bCs/>
                <w:color w:val="auto"/>
                <w:sz w:val="28"/>
                <w:szCs w:val="28"/>
                <w:highlight w:val="none"/>
                <w:lang w:val="en-US" w:eastAsia="zh-CN"/>
              </w:rPr>
              <w:t xml:space="preserve">          </w:t>
            </w:r>
            <w:r>
              <w:rPr>
                <w:rFonts w:hint="eastAsia" w:ascii="宋体" w:hAnsi="宋体" w:cs="宋体"/>
                <w:bCs/>
                <w:color w:val="auto"/>
                <w:sz w:val="28"/>
                <w:szCs w:val="28"/>
                <w:highlight w:val="none"/>
                <w:lang w:eastAsia="zh-CN"/>
              </w:rPr>
              <w:t>期</w:t>
            </w:r>
            <w:r>
              <w:rPr>
                <w:rFonts w:hint="eastAsia" w:ascii="宋体" w:hAnsi="宋体" w:cs="宋体"/>
                <w:bCs/>
                <w:color w:val="auto"/>
                <w:sz w:val="28"/>
                <w:szCs w:val="28"/>
                <w:highlight w:val="none"/>
              </w:rPr>
              <w:t>：</w:t>
            </w:r>
          </w:p>
        </w:tc>
        <w:tc>
          <w:tcPr>
            <w:tcW w:w="4244" w:type="dxa"/>
            <w:noWrap w:val="0"/>
            <w:vAlign w:val="center"/>
          </w:tcPr>
          <w:p w14:paraId="3D6D5C67">
            <w:pPr>
              <w:tabs>
                <w:tab w:val="left" w:pos="2431"/>
                <w:tab w:val="left" w:pos="2943"/>
              </w:tabs>
              <w:adjustRightInd w:val="0"/>
              <w:snapToGrid w:val="0"/>
              <w:spacing w:line="360" w:lineRule="exact"/>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lang w:eastAsia="zh-CN"/>
              </w:rPr>
              <w:t>202</w:t>
            </w:r>
            <w:r>
              <w:rPr>
                <w:rFonts w:hint="eastAsia" w:ascii="宋体" w:hAnsi="宋体" w:cs="宋体"/>
                <w:bCs/>
                <w:color w:val="auto"/>
                <w:sz w:val="28"/>
                <w:szCs w:val="28"/>
                <w:highlight w:val="none"/>
                <w:lang w:val="en-US" w:eastAsia="zh-CN"/>
              </w:rPr>
              <w:t>5</w:t>
            </w:r>
            <w:r>
              <w:rPr>
                <w:rFonts w:hint="eastAsia" w:ascii="宋体" w:hAnsi="宋体" w:cs="宋体"/>
                <w:bCs/>
                <w:color w:val="auto"/>
                <w:sz w:val="28"/>
                <w:szCs w:val="28"/>
                <w:highlight w:val="none"/>
                <w:lang w:eastAsia="zh-CN"/>
              </w:rPr>
              <w:t>年</w:t>
            </w:r>
            <w:r>
              <w:rPr>
                <w:rFonts w:hint="eastAsia" w:ascii="宋体" w:hAnsi="宋体" w:cs="宋体"/>
                <w:bCs/>
                <w:color w:val="auto"/>
                <w:sz w:val="28"/>
                <w:szCs w:val="28"/>
                <w:highlight w:val="none"/>
                <w:lang w:val="en-US" w:eastAsia="zh-CN"/>
              </w:rPr>
              <w:t>4</w:t>
            </w:r>
            <w:r>
              <w:rPr>
                <w:rFonts w:hint="eastAsia" w:ascii="宋体" w:hAnsi="宋体" w:cs="宋体"/>
                <w:bCs/>
                <w:color w:val="auto"/>
                <w:sz w:val="28"/>
                <w:szCs w:val="28"/>
                <w:highlight w:val="none"/>
                <w:lang w:eastAsia="zh-CN"/>
              </w:rPr>
              <w:t>月</w:t>
            </w:r>
          </w:p>
        </w:tc>
      </w:tr>
    </w:tbl>
    <w:p w14:paraId="550F8327">
      <w:pPr>
        <w:keepNext w:val="0"/>
        <w:keepLines w:val="0"/>
        <w:pageBreakBefore w:val="0"/>
        <w:widowControl w:val="0"/>
        <w:kinsoku/>
        <w:wordWrap/>
        <w:overflowPunct/>
        <w:topLinePunct w:val="0"/>
        <w:bidi w:val="0"/>
        <w:adjustRightInd w:val="0"/>
        <w:snapToGrid w:val="0"/>
        <w:spacing w:line="440" w:lineRule="exact"/>
        <w:textAlignment w:val="auto"/>
        <w:rPr>
          <w:rFonts w:hint="eastAsia" w:ascii="宋体" w:hAnsi="宋体" w:eastAsia="宋体" w:cs="宋体"/>
          <w:color w:val="auto"/>
          <w:sz w:val="28"/>
          <w:szCs w:val="28"/>
          <w:highlight w:val="none"/>
        </w:rPr>
      </w:pPr>
    </w:p>
    <w:p w14:paraId="1ECF0C4F">
      <w:pPr>
        <w:pStyle w:val="19"/>
        <w:keepNext w:val="0"/>
        <w:keepLines w:val="0"/>
        <w:pageBreakBefore w:val="0"/>
        <w:widowControl w:val="0"/>
        <w:kinsoku/>
        <w:wordWrap/>
        <w:overflowPunct/>
        <w:topLinePunct w:val="0"/>
        <w:bidi w:val="0"/>
        <w:adjustRightInd/>
        <w:snapToGrid w:val="0"/>
        <w:spacing w:after="0" w:line="440" w:lineRule="exact"/>
        <w:textAlignment w:val="auto"/>
        <w:rPr>
          <w:rFonts w:hint="eastAsia" w:ascii="宋体" w:hAnsi="宋体" w:eastAsia="宋体" w:cs="宋体"/>
          <w:color w:val="auto"/>
          <w:sz w:val="28"/>
          <w:szCs w:val="28"/>
          <w:highlight w:val="none"/>
        </w:rPr>
      </w:pPr>
    </w:p>
    <w:p w14:paraId="6F35839B">
      <w:pPr>
        <w:pStyle w:val="48"/>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509D3DF0">
      <w:pPr>
        <w:spacing w:before="0" w:beforeLines="0" w:after="0" w:afterLines="0" w:line="240" w:lineRule="auto"/>
        <w:ind w:left="0" w:leftChars="0" w:right="0" w:rightChars="0" w:firstLine="0" w:firstLineChars="0"/>
        <w:jc w:val="center"/>
        <w:rPr>
          <w:rFonts w:hint="eastAsia" w:ascii="宋体" w:hAnsi="宋体" w:eastAsia="宋体" w:cs="宋体"/>
          <w:b/>
          <w:bCs/>
          <w:color w:val="auto"/>
          <w:sz w:val="32"/>
          <w:szCs w:val="32"/>
          <w:highlight w:val="none"/>
        </w:rPr>
        <w:sectPr>
          <w:footerReference r:id="rId3" w:type="default"/>
          <w:pgSz w:w="11906" w:h="16838"/>
          <w:pgMar w:top="1134" w:right="1134" w:bottom="1134" w:left="1134" w:header="850" w:footer="567" w:gutter="0"/>
          <w:cols w:space="720" w:num="1"/>
          <w:docGrid w:linePitch="312" w:charSpace="0"/>
        </w:sectPr>
      </w:pPr>
    </w:p>
    <w:p w14:paraId="0987DE6B">
      <w:pPr>
        <w:spacing w:before="0" w:beforeLines="0" w:after="0" w:afterLines="0" w:line="240" w:lineRule="auto"/>
        <w:ind w:left="0" w:leftChars="0" w:right="0" w:rightChars="0" w:firstLine="0" w:firstLineChars="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目</w:t>
      </w:r>
      <w:r>
        <w:rPr>
          <w:rFonts w:hint="eastAsia" w:ascii="宋体" w:hAnsi="宋体" w:eastAsia="宋体" w:cs="宋体"/>
          <w:b/>
          <w:bCs/>
          <w:color w:val="auto"/>
          <w:sz w:val="28"/>
          <w:szCs w:val="28"/>
          <w:highlight w:val="none"/>
          <w:lang w:val="en-US" w:eastAsia="zh-CN"/>
        </w:rPr>
        <w:t xml:space="preserve">   </w:t>
      </w:r>
      <w:r>
        <w:rPr>
          <w:rFonts w:hint="eastAsia" w:ascii="宋体" w:hAnsi="宋体" w:eastAsia="宋体" w:cs="宋体"/>
          <w:b/>
          <w:bCs/>
          <w:color w:val="auto"/>
          <w:sz w:val="28"/>
          <w:szCs w:val="28"/>
          <w:highlight w:val="none"/>
        </w:rPr>
        <w:t>录</w:t>
      </w:r>
    </w:p>
    <w:p w14:paraId="6096DF60">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color w:val="auto"/>
          <w:sz w:val="21"/>
          <w:szCs w:val="21"/>
          <w:highlight w:val="none"/>
        </w:rPr>
      </w:pPr>
    </w:p>
    <w:p w14:paraId="1DF157F0">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TOC \o "1-3" \h \u </w:instrText>
      </w:r>
      <w:r>
        <w:rPr>
          <w:rFonts w:hint="eastAsia" w:ascii="宋体" w:hAnsi="宋体"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_Toc13008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val="0"/>
          <w:color w:val="auto"/>
          <w:sz w:val="21"/>
          <w:szCs w:val="21"/>
          <w:highlight w:val="none"/>
          <w:lang w:val="en-US" w:eastAsia="zh-CN"/>
        </w:rPr>
        <w:t xml:space="preserve">第一部分  </w:t>
      </w:r>
      <w:r>
        <w:rPr>
          <w:rFonts w:hint="eastAsia" w:ascii="Times New Roman" w:hAnsi="Times New Roman" w:eastAsia="宋体" w:cs="宋体"/>
          <w:bCs w:val="0"/>
          <w:color w:val="auto"/>
          <w:sz w:val="21"/>
          <w:szCs w:val="21"/>
          <w:highlight w:val="none"/>
        </w:rPr>
        <w:t>磋商</w:t>
      </w:r>
      <w:r>
        <w:rPr>
          <w:rFonts w:hint="eastAsia" w:ascii="Times New Roman" w:hAnsi="Times New Roman" w:eastAsia="宋体" w:cs="宋体"/>
          <w:bCs w:val="0"/>
          <w:color w:val="auto"/>
          <w:sz w:val="21"/>
          <w:szCs w:val="21"/>
          <w:highlight w:val="none"/>
          <w:lang w:val="en-US" w:eastAsia="zh-CN"/>
        </w:rPr>
        <w:t>公告</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_Toc13008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3</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582A0682">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_Toc17236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color w:val="auto"/>
          <w:sz w:val="21"/>
          <w:szCs w:val="21"/>
          <w:highlight w:val="none"/>
          <w:lang w:eastAsia="zh-CN"/>
        </w:rPr>
        <w:t>第二部分</w:t>
      </w:r>
      <w:r>
        <w:rPr>
          <w:rFonts w:hint="eastAsia" w:ascii="Times New Roman" w:hAnsi="Times New Roman" w:eastAsia="宋体" w:cs="宋体"/>
          <w:bCs/>
          <w:color w:val="auto"/>
          <w:sz w:val="21"/>
          <w:szCs w:val="21"/>
          <w:highlight w:val="none"/>
          <w:lang w:val="en-US" w:eastAsia="zh-CN"/>
        </w:rPr>
        <w:t xml:space="preserve">  </w:t>
      </w:r>
      <w:r>
        <w:rPr>
          <w:rFonts w:hint="eastAsia" w:ascii="Times New Roman" w:hAnsi="Times New Roman" w:eastAsia="宋体" w:cs="宋体"/>
          <w:bCs/>
          <w:color w:val="auto"/>
          <w:sz w:val="21"/>
          <w:szCs w:val="21"/>
          <w:highlight w:val="none"/>
        </w:rPr>
        <w:t>供应商须知</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_Toc17236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2F4C2A70">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_Toc31507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color w:val="auto"/>
          <w:sz w:val="21"/>
          <w:szCs w:val="21"/>
          <w:highlight w:val="none"/>
          <w:lang w:val="en-US" w:eastAsia="zh-CN"/>
        </w:rPr>
        <w:t>供应商须知前附表</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_Toc31507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17108E3">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_Toc23777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投标人须知正文部分</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_Toc23777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10</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F86E7BC">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_Toc3463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color w:val="auto"/>
          <w:sz w:val="21"/>
          <w:szCs w:val="21"/>
          <w:highlight w:val="none"/>
          <w:lang w:val="en-US" w:eastAsia="zh-CN"/>
        </w:rPr>
        <w:t>一、</w:t>
      </w:r>
      <w:r>
        <w:rPr>
          <w:rFonts w:hint="eastAsia" w:ascii="Times New Roman" w:hAnsi="Times New Roman" w:eastAsia="宋体" w:cs="宋体"/>
          <w:bCs/>
          <w:color w:val="auto"/>
          <w:sz w:val="21"/>
          <w:szCs w:val="21"/>
          <w:highlight w:val="none"/>
        </w:rPr>
        <w:t>说明</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_Toc3463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10</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A3581DD">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_Toc26068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二、磋商文件</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_Toc26068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10</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AB230F1">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_Toc6367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三、</w:t>
      </w:r>
      <w:r>
        <w:rPr>
          <w:rFonts w:hint="eastAsia" w:ascii="Times New Roman" w:hAnsi="Times New Roman" w:eastAsia="宋体" w:cs="宋体"/>
          <w:color w:val="auto"/>
          <w:sz w:val="21"/>
          <w:szCs w:val="21"/>
          <w:highlight w:val="none"/>
          <w:lang w:eastAsia="zh-CN"/>
        </w:rPr>
        <w:t>响应文件的编制</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_Toc6367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22073C21">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_Toc7126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四、响应文件的递交</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_Toc7126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C05D623">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_Toc3807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五</w:t>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响应</w:t>
      </w:r>
      <w:r>
        <w:rPr>
          <w:rFonts w:hint="eastAsia" w:ascii="Times New Roman" w:hAnsi="Times New Roman" w:eastAsia="宋体" w:cs="宋体"/>
          <w:color w:val="auto"/>
          <w:sz w:val="21"/>
          <w:szCs w:val="21"/>
          <w:highlight w:val="none"/>
        </w:rPr>
        <w:t>文件的</w:t>
      </w:r>
      <w:r>
        <w:rPr>
          <w:rFonts w:hint="eastAsia" w:ascii="Times New Roman" w:hAnsi="Times New Roman" w:eastAsia="宋体" w:cs="宋体"/>
          <w:color w:val="auto"/>
          <w:sz w:val="21"/>
          <w:szCs w:val="21"/>
          <w:highlight w:val="none"/>
          <w:lang w:val="en-US" w:eastAsia="zh-CN"/>
        </w:rPr>
        <w:t>解密</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_Toc3807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70B6C7BD">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_Toc4459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六</w:t>
      </w:r>
      <w:r>
        <w:rPr>
          <w:rFonts w:hint="eastAsia" w:ascii="Times New Roman" w:hAnsi="Times New Roman" w:eastAsia="宋体" w:cs="宋体"/>
          <w:color w:val="auto"/>
          <w:sz w:val="21"/>
          <w:szCs w:val="21"/>
          <w:highlight w:val="none"/>
        </w:rPr>
        <w:t>、竞争性磋商程序</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_Toc4459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16</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5C3B602F">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_Toc18557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七</w:t>
      </w:r>
      <w:r>
        <w:rPr>
          <w:rFonts w:hint="eastAsia" w:ascii="Times New Roman" w:hAnsi="Times New Roman" w:eastAsia="宋体" w:cs="宋体"/>
          <w:color w:val="auto"/>
          <w:sz w:val="21"/>
          <w:szCs w:val="21"/>
          <w:highlight w:val="none"/>
        </w:rPr>
        <w:t>、授予合同</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_Toc18557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19</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D5886F0">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_Toc12820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八</w:t>
      </w:r>
      <w:r>
        <w:rPr>
          <w:rFonts w:hint="eastAsia" w:ascii="Times New Roman" w:hAnsi="Times New Roman" w:eastAsia="宋体" w:cs="宋体"/>
          <w:color w:val="auto"/>
          <w:sz w:val="21"/>
          <w:szCs w:val="21"/>
          <w:highlight w:val="none"/>
        </w:rPr>
        <w:t>、质疑和投诉</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_Toc12820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19</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940C70A">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_Toc10261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九</w:t>
      </w:r>
      <w:r>
        <w:rPr>
          <w:rFonts w:hint="eastAsia" w:ascii="Times New Roman" w:hAnsi="Times New Roman" w:eastAsia="宋体" w:cs="宋体"/>
          <w:color w:val="auto"/>
          <w:sz w:val="21"/>
          <w:szCs w:val="21"/>
          <w:highlight w:val="none"/>
        </w:rPr>
        <w:t>、项目验收</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_Toc10261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20</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3A4122D">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_Toc20528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十</w:t>
      </w:r>
      <w:r>
        <w:rPr>
          <w:rFonts w:hint="eastAsia" w:ascii="Times New Roman" w:hAnsi="Times New Roman" w:eastAsia="宋体" w:cs="宋体"/>
          <w:color w:val="auto"/>
          <w:sz w:val="21"/>
          <w:szCs w:val="21"/>
          <w:highlight w:val="none"/>
        </w:rPr>
        <w:t>、适用法律</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_Toc20528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21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7C4433F9">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_Toc4661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十</w:t>
      </w:r>
      <w:r>
        <w:rPr>
          <w:rFonts w:hint="eastAsia" w:ascii="Times New Roman" w:hAnsi="Times New Roman" w:eastAsia="宋体" w:cs="宋体"/>
          <w:color w:val="auto"/>
          <w:sz w:val="21"/>
          <w:szCs w:val="21"/>
          <w:highlight w:val="none"/>
          <w:lang w:val="en-US" w:eastAsia="zh-CN"/>
        </w:rPr>
        <w:t>一</w:t>
      </w:r>
      <w:r>
        <w:rPr>
          <w:rFonts w:hint="eastAsia" w:ascii="Times New Roman" w:hAnsi="Times New Roman" w:eastAsia="宋体" w:cs="宋体"/>
          <w:color w:val="auto"/>
          <w:sz w:val="21"/>
          <w:szCs w:val="21"/>
          <w:highlight w:val="none"/>
        </w:rPr>
        <w:t>、磋商文件的解释权</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_Toc4661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21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589B1F4A">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_Toc21273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十</w:t>
      </w:r>
      <w:r>
        <w:rPr>
          <w:rFonts w:hint="eastAsia" w:ascii="Times New Roman" w:hAnsi="Times New Roman" w:eastAsia="宋体" w:cs="宋体"/>
          <w:color w:val="auto"/>
          <w:sz w:val="21"/>
          <w:szCs w:val="21"/>
          <w:highlight w:val="none"/>
          <w:lang w:val="en-US" w:eastAsia="zh-CN"/>
        </w:rPr>
        <w:t>二</w:t>
      </w:r>
      <w:r>
        <w:rPr>
          <w:rFonts w:hint="eastAsia" w:ascii="Times New Roman" w:hAnsi="Times New Roman" w:eastAsia="宋体" w:cs="宋体"/>
          <w:color w:val="auto"/>
          <w:sz w:val="21"/>
          <w:szCs w:val="21"/>
          <w:highlight w:val="none"/>
        </w:rPr>
        <w:t>、其他注意事项</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_Toc21273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21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BD50F72">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_Toc6599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val="0"/>
          <w:color w:val="auto"/>
          <w:sz w:val="21"/>
          <w:szCs w:val="21"/>
          <w:highlight w:val="none"/>
          <w:lang w:eastAsia="zh-CN"/>
        </w:rPr>
        <w:t>第三部分</w:t>
      </w:r>
      <w:r>
        <w:rPr>
          <w:rFonts w:hint="eastAsia" w:ascii="Times New Roman" w:hAnsi="Times New Roman" w:eastAsia="宋体" w:cs="宋体"/>
          <w:bCs w:val="0"/>
          <w:color w:val="auto"/>
          <w:sz w:val="21"/>
          <w:szCs w:val="21"/>
          <w:highlight w:val="none"/>
          <w:lang w:val="en-US" w:eastAsia="zh-CN"/>
        </w:rPr>
        <w:t xml:space="preserve">  </w:t>
      </w:r>
      <w:r>
        <w:rPr>
          <w:rFonts w:hint="eastAsia" w:ascii="Times New Roman" w:hAnsi="Times New Roman" w:eastAsia="宋体" w:cs="宋体"/>
          <w:bCs w:val="0"/>
          <w:color w:val="auto"/>
          <w:sz w:val="21"/>
          <w:szCs w:val="21"/>
          <w:highlight w:val="none"/>
          <w:lang w:eastAsia="zh-CN"/>
        </w:rPr>
        <w:t>采购需求</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_Toc6599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22</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CF7F95B">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_Toc3868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val="0"/>
          <w:color w:val="auto"/>
          <w:sz w:val="21"/>
          <w:szCs w:val="21"/>
          <w:highlight w:val="none"/>
          <w:lang w:eastAsia="zh-CN"/>
        </w:rPr>
        <w:t>第四部分</w:t>
      </w:r>
      <w:r>
        <w:rPr>
          <w:rFonts w:hint="eastAsia" w:ascii="Times New Roman" w:hAnsi="Times New Roman" w:eastAsia="宋体" w:cs="宋体"/>
          <w:bCs w:val="0"/>
          <w:color w:val="auto"/>
          <w:sz w:val="21"/>
          <w:szCs w:val="21"/>
          <w:highlight w:val="none"/>
          <w:lang w:val="en-US" w:eastAsia="zh-CN"/>
        </w:rPr>
        <w:t xml:space="preserve">  </w:t>
      </w:r>
      <w:r>
        <w:rPr>
          <w:rFonts w:hint="eastAsia" w:ascii="Times New Roman" w:hAnsi="Times New Roman" w:eastAsia="宋体" w:cs="宋体"/>
          <w:bCs w:val="0"/>
          <w:color w:val="auto"/>
          <w:sz w:val="21"/>
          <w:szCs w:val="21"/>
          <w:highlight w:val="none"/>
          <w:lang w:eastAsia="zh-CN"/>
        </w:rPr>
        <w:t>评审方法</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_Toc3868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25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1EE9BA4">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_Toc25262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val="0"/>
          <w:color w:val="auto"/>
          <w:kern w:val="44"/>
          <w:sz w:val="21"/>
          <w:szCs w:val="21"/>
          <w:highlight w:val="none"/>
          <w:lang w:val="en-US" w:eastAsia="zh-CN" w:bidi="ar-SA"/>
        </w:rPr>
        <w:t>第五部分  采购合同</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_Toc25262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35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60A0270">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_Toc24120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val="0"/>
          <w:color w:val="auto"/>
          <w:sz w:val="21"/>
          <w:szCs w:val="21"/>
          <w:highlight w:val="none"/>
          <w:lang w:val="en-US" w:eastAsia="zh-CN"/>
        </w:rPr>
        <w:t>第六部分  响应</w:t>
      </w:r>
      <w:r>
        <w:rPr>
          <w:rFonts w:hint="eastAsia" w:ascii="Times New Roman" w:hAnsi="Times New Roman" w:eastAsia="宋体" w:cs="宋体"/>
          <w:bCs w:val="0"/>
          <w:color w:val="auto"/>
          <w:sz w:val="21"/>
          <w:szCs w:val="21"/>
          <w:highlight w:val="none"/>
          <w:lang w:eastAsia="zh-CN"/>
        </w:rPr>
        <w:t>文件格式</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_Toc24120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46</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D6A086F">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_Toc5639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响应文件封面</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_Toc5639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46</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20BCFE8">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_Toc1992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一</w:t>
      </w:r>
      <w:r>
        <w:rPr>
          <w:rFonts w:hint="eastAsia" w:ascii="Times New Roman" w:hAnsi="Times New Roman" w:eastAsia="宋体" w:cs="宋体"/>
          <w:color w:val="auto"/>
          <w:sz w:val="21"/>
          <w:szCs w:val="21"/>
          <w:highlight w:val="none"/>
        </w:rPr>
        <w:t>、资</w:t>
      </w:r>
      <w:r>
        <w:rPr>
          <w:rFonts w:hint="eastAsia" w:ascii="Times New Roman" w:hAnsi="Times New Roman" w:eastAsia="宋体" w:cs="宋体"/>
          <w:color w:val="auto"/>
          <w:sz w:val="21"/>
          <w:szCs w:val="21"/>
          <w:highlight w:val="none"/>
          <w:lang w:eastAsia="zh-CN"/>
        </w:rPr>
        <w:t>格</w:t>
      </w:r>
      <w:r>
        <w:rPr>
          <w:rFonts w:hint="eastAsia" w:ascii="Times New Roman" w:hAnsi="Times New Roman" w:eastAsia="宋体" w:cs="宋体"/>
          <w:color w:val="auto"/>
          <w:sz w:val="21"/>
          <w:szCs w:val="21"/>
          <w:highlight w:val="none"/>
        </w:rPr>
        <w:t>文件</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_Toc1992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472F3CD0">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_Toc23977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（一）满足《中华人民共和国政府采购法》第二十二条规定</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_Toc23977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59AC4B6">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_Toc13956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1.</w:t>
      </w:r>
      <w:r>
        <w:rPr>
          <w:rFonts w:hint="eastAsia" w:ascii="Times New Roman" w:hAnsi="Times New Roman" w:eastAsia="宋体" w:cs="宋体"/>
          <w:color w:val="auto"/>
          <w:sz w:val="21"/>
          <w:szCs w:val="21"/>
          <w:highlight w:val="none"/>
          <w:lang w:eastAsia="zh-CN"/>
        </w:rPr>
        <w:t>政府采购供应商信用承诺函</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_Toc13956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4B6641B">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_Toc18605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2.</w:t>
      </w:r>
      <w:r>
        <w:rPr>
          <w:rFonts w:hint="eastAsia" w:ascii="Times New Roman" w:hAnsi="Times New Roman" w:eastAsia="宋体" w:cs="宋体"/>
          <w:color w:val="auto"/>
          <w:sz w:val="21"/>
          <w:szCs w:val="21"/>
          <w:highlight w:val="none"/>
          <w:lang w:eastAsia="zh-CN"/>
        </w:rPr>
        <w:t>法定代表人身份证明或授权委托书</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_Toc18605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52</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B1B2C7F">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_Toc30584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3.</w:t>
      </w:r>
      <w:r>
        <w:rPr>
          <w:rFonts w:hint="eastAsia" w:ascii="Times New Roman" w:hAnsi="Times New Roman" w:eastAsia="宋体" w:cs="宋体"/>
          <w:color w:val="auto"/>
          <w:sz w:val="21"/>
          <w:szCs w:val="21"/>
          <w:highlight w:val="none"/>
        </w:rPr>
        <w:t>具有独立承担民事责任的能力</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_Toc30584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54</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BE4CA2B">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_Toc18671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4.具有良好的商业信誉和健全的财务会计制度</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_Toc18671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8A916D2">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_Toc20975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5.</w:t>
      </w:r>
      <w:r>
        <w:rPr>
          <w:rFonts w:hint="eastAsia" w:ascii="Times New Roman" w:hAnsi="Times New Roman" w:eastAsia="宋体" w:cs="宋体"/>
          <w:color w:val="auto"/>
          <w:sz w:val="21"/>
          <w:szCs w:val="21"/>
          <w:highlight w:val="none"/>
        </w:rPr>
        <w:t>具有</w:t>
      </w:r>
      <w:r>
        <w:rPr>
          <w:rFonts w:hint="eastAsia" w:ascii="Times New Roman" w:hAnsi="Times New Roman" w:eastAsia="宋体" w:cs="宋体"/>
          <w:color w:val="auto"/>
          <w:sz w:val="21"/>
          <w:szCs w:val="21"/>
          <w:highlight w:val="none"/>
          <w:lang w:val="en-US" w:eastAsia="zh-CN"/>
        </w:rPr>
        <w:t>履行合同所必需的设备和专业技术能力</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_Toc20975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56</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AB533D7">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_Toc14833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6.有依法缴纳税收和社会保障资金的良好记录</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_Toc14833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57</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1546F023">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_Toc18265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7.参加政府采购活动前三年内，在经营活动中没有重大违法记录</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_Toc18265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58</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5E574F12">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_Toc9096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val="en-US" w:eastAsia="zh-CN"/>
        </w:rPr>
        <w:t>（二）落实政府采购政策需满足的资格要求</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_Toc9096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59</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7133B121">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_Toc17331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中小企业声明函</w:t>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服务</w:t>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_Toc17331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59</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1C4BC280">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_Toc16185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监狱企业声明函</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_Toc16185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60</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14F12CA4">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_Toc2567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残疾人福利性单位声明函</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_Toc2567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D5D4E8C">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_Toc15662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w:t>
      </w:r>
      <w:r>
        <w:rPr>
          <w:rFonts w:hint="eastAsia" w:ascii="Times New Roman" w:hAnsi="Times New Roman" w:eastAsia="宋体" w:cs="宋体"/>
          <w:color w:val="auto"/>
          <w:sz w:val="21"/>
          <w:szCs w:val="21"/>
          <w:highlight w:val="none"/>
          <w:lang w:eastAsia="zh-CN"/>
        </w:rPr>
        <w:t>三</w:t>
      </w:r>
      <w:r>
        <w:rPr>
          <w:rFonts w:hint="eastAsia" w:ascii="Times New Roman" w:hAnsi="Times New Roman" w:eastAsia="宋体" w:cs="宋体"/>
          <w:color w:val="auto"/>
          <w:sz w:val="21"/>
          <w:szCs w:val="21"/>
          <w:highlight w:val="none"/>
        </w:rPr>
        <w:t>）</w:t>
      </w:r>
      <w:r>
        <w:rPr>
          <w:rFonts w:hint="eastAsia" w:ascii="Times New Roman" w:hAnsi="Times New Roman" w:eastAsia="宋体" w:cs="宋体"/>
          <w:color w:val="auto"/>
          <w:sz w:val="21"/>
          <w:szCs w:val="21"/>
          <w:highlight w:val="none"/>
          <w:lang w:eastAsia="zh-CN"/>
        </w:rPr>
        <w:t>磋商保证金</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_Toc15662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62</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14EC24CC">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_Toc17905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w:t>
      </w:r>
      <w:r>
        <w:rPr>
          <w:rFonts w:hint="eastAsia" w:ascii="Times New Roman" w:hAnsi="Times New Roman" w:eastAsia="宋体" w:cs="宋体"/>
          <w:color w:val="auto"/>
          <w:sz w:val="21"/>
          <w:szCs w:val="21"/>
          <w:highlight w:val="none"/>
          <w:lang w:eastAsia="zh-CN"/>
        </w:rPr>
        <w:t>四</w:t>
      </w:r>
      <w:r>
        <w:rPr>
          <w:rFonts w:hint="eastAsia" w:ascii="Times New Roman" w:hAnsi="Times New Roman" w:eastAsia="宋体" w:cs="宋体"/>
          <w:color w:val="auto"/>
          <w:sz w:val="21"/>
          <w:szCs w:val="21"/>
          <w:highlight w:val="none"/>
        </w:rPr>
        <w:t>）本项目特定资格</w:t>
      </w:r>
      <w:r>
        <w:rPr>
          <w:rFonts w:hint="eastAsia" w:ascii="Times New Roman" w:hAnsi="Times New Roman" w:eastAsia="宋体" w:cs="宋体"/>
          <w:color w:val="auto"/>
          <w:sz w:val="21"/>
          <w:szCs w:val="21"/>
          <w:highlight w:val="none"/>
          <w:lang w:eastAsia="zh-CN"/>
        </w:rPr>
        <w:t>资质</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_Toc17905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63</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23F6EA65">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_Toc28207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二</w:t>
      </w:r>
      <w:r>
        <w:rPr>
          <w:rFonts w:hint="eastAsia" w:ascii="Times New Roman" w:hAnsi="Times New Roman" w:eastAsia="宋体" w:cs="宋体"/>
          <w:color w:val="auto"/>
          <w:sz w:val="21"/>
          <w:szCs w:val="21"/>
          <w:highlight w:val="none"/>
        </w:rPr>
        <w:t>、</w:t>
      </w:r>
      <w:r>
        <w:rPr>
          <w:rFonts w:hint="eastAsia" w:ascii="Times New Roman" w:hAnsi="Times New Roman" w:eastAsia="宋体" w:cs="宋体"/>
          <w:color w:val="auto"/>
          <w:sz w:val="21"/>
          <w:szCs w:val="21"/>
          <w:highlight w:val="none"/>
          <w:lang w:eastAsia="zh-CN"/>
        </w:rPr>
        <w:t>报价文件</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_Toc28207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64</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244B1436">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_Toc29266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（一）报价一览表</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_Toc29266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64</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53CBB839">
      <w:pPr>
        <w:pStyle w:val="32"/>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_Toc25090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三</w:t>
      </w:r>
      <w:r>
        <w:rPr>
          <w:rFonts w:hint="eastAsia" w:ascii="Times New Roman" w:hAnsi="Times New Roman" w:eastAsia="宋体" w:cs="宋体"/>
          <w:color w:val="auto"/>
          <w:sz w:val="21"/>
          <w:szCs w:val="21"/>
          <w:highlight w:val="none"/>
        </w:rPr>
        <w:t>、</w:t>
      </w:r>
      <w:r>
        <w:rPr>
          <w:rFonts w:hint="eastAsia" w:ascii="Times New Roman" w:hAnsi="Times New Roman" w:eastAsia="宋体" w:cs="宋体"/>
          <w:color w:val="auto"/>
          <w:sz w:val="21"/>
          <w:szCs w:val="21"/>
          <w:highlight w:val="none"/>
          <w:lang w:eastAsia="zh-CN"/>
        </w:rPr>
        <w:t>商务技术文件</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_Toc25090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892951D">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_Toc1688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（一）</w:t>
      </w:r>
      <w:r>
        <w:rPr>
          <w:rFonts w:hint="eastAsia" w:ascii="Times New Roman" w:hAnsi="Times New Roman" w:eastAsia="宋体" w:cs="宋体"/>
          <w:color w:val="auto"/>
          <w:sz w:val="21"/>
          <w:szCs w:val="21"/>
          <w:highlight w:val="none"/>
        </w:rPr>
        <w:t>投标函</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_Toc1688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6605B311">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_Toc17943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（二）供应商基本情况表</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_Toc17943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67</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3FE48FD">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_Toc10050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三</w:t>
      </w:r>
      <w:r>
        <w:rPr>
          <w:rFonts w:hint="eastAsia" w:ascii="Times New Roman" w:hAnsi="Times New Roman" w:eastAsia="宋体" w:cs="宋体"/>
          <w:color w:val="auto"/>
          <w:sz w:val="21"/>
          <w:szCs w:val="21"/>
          <w:highlight w:val="none"/>
          <w:lang w:eastAsia="zh-CN"/>
        </w:rPr>
        <w:t>）服务（技术）条款偏离表</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_Toc10050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68</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71E139E1">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_Toc28285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四</w:t>
      </w:r>
      <w:r>
        <w:rPr>
          <w:rFonts w:hint="eastAsia" w:ascii="Times New Roman" w:hAnsi="Times New Roman" w:eastAsia="宋体" w:cs="宋体"/>
          <w:color w:val="auto"/>
          <w:sz w:val="21"/>
          <w:szCs w:val="21"/>
          <w:highlight w:val="none"/>
          <w:lang w:eastAsia="zh-CN"/>
        </w:rPr>
        <w:t>）商务条款偏离表</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_Toc28285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69</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78E2A379">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_Toc15241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五</w:t>
      </w:r>
      <w:r>
        <w:rPr>
          <w:rFonts w:hint="eastAsia" w:ascii="Times New Roman" w:hAnsi="Times New Roman" w:eastAsia="宋体" w:cs="宋体"/>
          <w:color w:val="auto"/>
          <w:sz w:val="21"/>
          <w:szCs w:val="21"/>
          <w:highlight w:val="none"/>
          <w:lang w:eastAsia="zh-CN"/>
        </w:rPr>
        <w:t>）近三年类似业绩</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_Toc15241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70</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0EAAA1EF">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_Toc864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六</w:t>
      </w:r>
      <w:r>
        <w:rPr>
          <w:rFonts w:hint="eastAsia" w:ascii="Times New Roman" w:hAnsi="Times New Roman" w:eastAsia="宋体" w:cs="宋体"/>
          <w:color w:val="auto"/>
          <w:sz w:val="21"/>
          <w:szCs w:val="21"/>
          <w:highlight w:val="none"/>
          <w:lang w:eastAsia="zh-CN"/>
        </w:rPr>
        <w:t>）项目实施（服务）方案</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_Toc864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71</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1061A1A">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_Toc6489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七</w:t>
      </w:r>
      <w:r>
        <w:rPr>
          <w:rFonts w:hint="eastAsia" w:ascii="Times New Roman" w:hAnsi="Times New Roman" w:eastAsia="宋体" w:cs="宋体"/>
          <w:color w:val="auto"/>
          <w:sz w:val="21"/>
          <w:szCs w:val="21"/>
          <w:highlight w:val="none"/>
          <w:lang w:eastAsia="zh-CN"/>
        </w:rPr>
        <w:t>）服务承诺</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_Toc6489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72</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4405CBCE">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_Toc24488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八</w:t>
      </w:r>
      <w:r>
        <w:rPr>
          <w:rFonts w:hint="eastAsia" w:ascii="Times New Roman" w:hAnsi="Times New Roman" w:eastAsia="宋体" w:cs="宋体"/>
          <w:color w:val="auto"/>
          <w:sz w:val="21"/>
          <w:szCs w:val="21"/>
          <w:highlight w:val="none"/>
          <w:lang w:eastAsia="zh-CN"/>
        </w:rPr>
        <w:t>）服务团队</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_Toc24488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73</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330CF199">
      <w:pPr>
        <w:pStyle w:val="23"/>
        <w:keepNext w:val="0"/>
        <w:keepLines w:val="0"/>
        <w:pageBreakBefore w:val="0"/>
        <w:widowControl w:val="0"/>
        <w:tabs>
          <w:tab w:val="right" w:leader="dot" w:pos="9638"/>
        </w:tabs>
        <w:kinsoku/>
        <w:wordWrap/>
        <w:overflowPunct/>
        <w:topLinePunct w:val="0"/>
        <w:autoSpaceDE/>
        <w:autoSpaceDN/>
        <w:bidi w:val="0"/>
        <w:adjustRightInd/>
        <w:snapToGrid/>
        <w:spacing w:line="240" w:lineRule="auto"/>
        <w:textAlignment w:val="auto"/>
        <w:rPr>
          <w:rFonts w:hint="eastAsia" w:ascii="Times New Roman" w:hAnsi="Times New Roman" w:eastAsia="宋体" w:cs="宋体"/>
          <w:color w:val="auto"/>
          <w:sz w:val="21"/>
          <w:szCs w:val="21"/>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_Toc16889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lang w:eastAsia="zh-CN"/>
        </w:rPr>
        <w:t>（</w:t>
      </w:r>
      <w:r>
        <w:rPr>
          <w:rFonts w:hint="eastAsia" w:ascii="Times New Roman" w:hAnsi="Times New Roman" w:eastAsia="宋体" w:cs="宋体"/>
          <w:color w:val="auto"/>
          <w:sz w:val="21"/>
          <w:szCs w:val="21"/>
          <w:highlight w:val="none"/>
          <w:lang w:val="en-US" w:eastAsia="zh-CN"/>
        </w:rPr>
        <w:t>九</w:t>
      </w:r>
      <w:r>
        <w:rPr>
          <w:rFonts w:hint="eastAsia" w:ascii="Times New Roman" w:hAnsi="Times New Roman" w:eastAsia="宋体" w:cs="宋体"/>
          <w:color w:val="auto"/>
          <w:sz w:val="21"/>
          <w:szCs w:val="21"/>
          <w:highlight w:val="none"/>
          <w:lang w:eastAsia="zh-CN"/>
        </w:rPr>
        <w:t>）其他有利于投标的资料及证明文件等</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_Toc16889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74</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740F38F8">
      <w:pPr>
        <w:pStyle w:val="28"/>
        <w:keepNext w:val="0"/>
        <w:keepLines w:val="0"/>
        <w:pageBreakBefore w:val="0"/>
        <w:widowControl w:val="0"/>
        <w:tabs>
          <w:tab w:val="right" w:leader="dot" w:pos="9638"/>
          <w:tab w:val="clear" w:pos="8222"/>
        </w:tabs>
        <w:kinsoku/>
        <w:wordWrap/>
        <w:overflowPunct/>
        <w:topLinePunct w:val="0"/>
        <w:autoSpaceDE/>
        <w:autoSpaceDN/>
        <w:bidi w:val="0"/>
        <w:adjustRightInd/>
        <w:snapToGrid/>
        <w:spacing w:line="240" w:lineRule="auto"/>
        <w:textAlignment w:val="auto"/>
        <w:rPr>
          <w:color w:val="auto"/>
          <w:highlight w:val="none"/>
        </w:rPr>
      </w:pP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HYPERLINK \l _Toc20856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bCs w:val="0"/>
          <w:color w:val="auto"/>
          <w:sz w:val="21"/>
          <w:szCs w:val="21"/>
          <w:highlight w:val="none"/>
          <w:lang w:val="en-US" w:eastAsia="zh-CN"/>
        </w:rPr>
        <w:t>第七部分 附件</w:t>
      </w:r>
      <w:r>
        <w:rPr>
          <w:rFonts w:hint="eastAsia" w:ascii="Times New Roman" w:hAnsi="Times New Roman" w:eastAsia="宋体" w:cs="宋体"/>
          <w:color w:val="auto"/>
          <w:sz w:val="21"/>
          <w:szCs w:val="21"/>
          <w:highlight w:val="none"/>
        </w:rPr>
        <w:tab/>
      </w:r>
      <w:r>
        <w:rPr>
          <w:rFonts w:hint="eastAsia" w:ascii="Times New Roman" w:hAnsi="Times New Roman" w:eastAsia="宋体" w:cs="宋体"/>
          <w:color w:val="auto"/>
          <w:sz w:val="21"/>
          <w:szCs w:val="21"/>
          <w:highlight w:val="none"/>
        </w:rPr>
        <w:fldChar w:fldCharType="begin"/>
      </w:r>
      <w:r>
        <w:rPr>
          <w:rFonts w:hint="eastAsia" w:ascii="Times New Roman" w:hAnsi="Times New Roman" w:eastAsia="宋体" w:cs="宋体"/>
          <w:color w:val="auto"/>
          <w:sz w:val="21"/>
          <w:szCs w:val="21"/>
          <w:highlight w:val="none"/>
        </w:rPr>
        <w:instrText xml:space="preserve"> PAGEREF _Toc20856 \h </w:instrText>
      </w:r>
      <w:r>
        <w:rPr>
          <w:rFonts w:hint="eastAsia" w:ascii="Times New Roman" w:hAnsi="Times New Roman" w:eastAsia="宋体" w:cs="宋体"/>
          <w:color w:val="auto"/>
          <w:sz w:val="21"/>
          <w:szCs w:val="21"/>
          <w:highlight w:val="none"/>
        </w:rPr>
        <w:fldChar w:fldCharType="separate"/>
      </w:r>
      <w:r>
        <w:rPr>
          <w:rFonts w:hint="eastAsia" w:ascii="Times New Roman" w:hAnsi="Times New Roman" w:eastAsia="宋体" w:cs="宋体"/>
          <w:color w:val="auto"/>
          <w:sz w:val="21"/>
          <w:szCs w:val="21"/>
          <w:highlight w:val="none"/>
        </w:rPr>
        <w:t>75</w:t>
      </w:r>
      <w:r>
        <w:rPr>
          <w:rFonts w:hint="eastAsia" w:ascii="Times New Roman" w:hAnsi="Times New Roman" w:eastAsia="宋体" w:cs="宋体"/>
          <w:color w:val="auto"/>
          <w:sz w:val="21"/>
          <w:szCs w:val="21"/>
          <w:highlight w:val="none"/>
        </w:rPr>
        <w:fldChar w:fldCharType="end"/>
      </w:r>
      <w:r>
        <w:rPr>
          <w:rFonts w:hint="eastAsia" w:ascii="Times New Roman" w:hAnsi="Times New Roman" w:eastAsia="宋体" w:cs="宋体"/>
          <w:color w:val="auto"/>
          <w:sz w:val="21"/>
          <w:szCs w:val="21"/>
          <w:highlight w:val="none"/>
        </w:rPr>
        <w:fldChar w:fldCharType="end"/>
      </w:r>
    </w:p>
    <w:p w14:paraId="28922614">
      <w:pPr>
        <w:keepNext w:val="0"/>
        <w:keepLines w:val="0"/>
        <w:pageBreakBefore w:val="0"/>
        <w:widowControl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fldChar w:fldCharType="end"/>
      </w:r>
    </w:p>
    <w:p w14:paraId="2D06E9FC">
      <w:pPr>
        <w:keepNext w:val="0"/>
        <w:keepLines w:val="0"/>
        <w:pageBreakBefore w:val="0"/>
        <w:widowControl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color w:val="auto"/>
          <w:sz w:val="21"/>
          <w:szCs w:val="21"/>
          <w:highlight w:val="none"/>
        </w:rPr>
      </w:pPr>
    </w:p>
    <w:p w14:paraId="3B2A7794">
      <w:pPr>
        <w:pStyle w:val="4"/>
        <w:adjustRightInd w:val="0"/>
        <w:snapToGrid w:val="0"/>
        <w:rPr>
          <w:rFonts w:hint="eastAsia" w:ascii="宋体" w:hAnsi="宋体" w:eastAsia="宋体" w:cs="宋体"/>
          <w:color w:val="auto"/>
          <w:highlight w:val="none"/>
        </w:rPr>
      </w:pPr>
      <w:bookmarkStart w:id="0" w:name="_Toc456718475"/>
      <w:bookmarkStart w:id="1" w:name="_Toc8972"/>
      <w:bookmarkStart w:id="2" w:name="_Toc11280"/>
      <w:bookmarkStart w:id="3" w:name="_Toc13008"/>
      <w:bookmarkStart w:id="4" w:name="_Toc19777"/>
      <w:bookmarkStart w:id="5" w:name="_Toc456718476"/>
      <w:r>
        <w:rPr>
          <w:rFonts w:hint="eastAsia" w:ascii="宋体" w:hAnsi="宋体" w:eastAsia="宋体" w:cs="宋体"/>
          <w:b/>
          <w:bCs w:val="0"/>
          <w:color w:val="auto"/>
          <w:highlight w:val="none"/>
          <w:lang w:val="en-US" w:eastAsia="zh-CN"/>
        </w:rPr>
        <w:t xml:space="preserve">第一部分  </w:t>
      </w:r>
      <w:r>
        <w:rPr>
          <w:rFonts w:hint="eastAsia" w:ascii="宋体" w:hAnsi="宋体" w:eastAsia="宋体" w:cs="宋体"/>
          <w:b/>
          <w:bCs w:val="0"/>
          <w:color w:val="auto"/>
          <w:highlight w:val="none"/>
        </w:rPr>
        <w:t>磋商</w:t>
      </w:r>
      <w:bookmarkEnd w:id="0"/>
      <w:r>
        <w:rPr>
          <w:rFonts w:hint="eastAsia" w:ascii="宋体" w:hAnsi="宋体" w:eastAsia="宋体" w:cs="宋体"/>
          <w:b/>
          <w:bCs w:val="0"/>
          <w:color w:val="auto"/>
          <w:highlight w:val="none"/>
          <w:lang w:val="en-US" w:eastAsia="zh-CN"/>
        </w:rPr>
        <w:t>公告</w:t>
      </w:r>
      <w:bookmarkEnd w:id="1"/>
      <w:bookmarkEnd w:id="2"/>
      <w:bookmarkEnd w:id="3"/>
      <w:bookmarkEnd w:id="4"/>
    </w:p>
    <w:p w14:paraId="237B0E48">
      <w:pPr>
        <w:spacing w:line="380" w:lineRule="exact"/>
        <w:jc w:val="center"/>
        <w:rPr>
          <w:rFonts w:hint="eastAsia" w:ascii="宋体" w:hAnsi="宋体" w:eastAsia="宋体" w:cs="宋体"/>
          <w:b/>
          <w:bCs/>
          <w:color w:val="auto"/>
          <w:sz w:val="24"/>
          <w:szCs w:val="24"/>
          <w:highlight w:val="none"/>
        </w:rPr>
      </w:pPr>
      <w:bookmarkStart w:id="6" w:name="_Toc9759"/>
      <w:r>
        <w:rPr>
          <w:rFonts w:hint="eastAsia" w:ascii="宋体" w:hAnsi="宋体" w:cs="宋体"/>
          <w:b/>
          <w:bCs/>
          <w:color w:val="auto"/>
          <w:sz w:val="24"/>
          <w:szCs w:val="24"/>
          <w:highlight w:val="none"/>
          <w:lang w:val="en-US" w:eastAsia="zh-CN"/>
        </w:rPr>
        <w:t>吐鲁番市鄯善县人民医院安保服务采购项目</w:t>
      </w:r>
      <w:r>
        <w:rPr>
          <w:rFonts w:hint="eastAsia" w:ascii="宋体" w:hAnsi="宋体" w:eastAsia="宋体" w:cs="宋体"/>
          <w:b/>
          <w:bCs/>
          <w:color w:val="auto"/>
          <w:sz w:val="24"/>
          <w:szCs w:val="24"/>
          <w:highlight w:val="none"/>
          <w:lang w:eastAsia="zh-CN"/>
        </w:rPr>
        <w:t>竞争性磋商</w:t>
      </w:r>
      <w:r>
        <w:rPr>
          <w:rFonts w:hint="eastAsia" w:ascii="宋体" w:hAnsi="宋体" w:eastAsia="宋体" w:cs="宋体"/>
          <w:b/>
          <w:bCs/>
          <w:color w:val="auto"/>
          <w:sz w:val="24"/>
          <w:szCs w:val="24"/>
          <w:highlight w:val="none"/>
        </w:rPr>
        <w:t>公告</w:t>
      </w:r>
    </w:p>
    <w:p w14:paraId="5D6E30AA">
      <w:pPr>
        <w:pStyle w:val="33"/>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宋体" w:hAnsi="宋体" w:eastAsia="宋体" w:cs="宋体"/>
          <w:color w:val="auto"/>
          <w:sz w:val="24"/>
          <w:szCs w:val="24"/>
          <w:highlight w:val="none"/>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60"/>
      </w:tblGrid>
      <w:tr w14:paraId="067A4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9" w:hRule="atLeast"/>
          <w:jc w:val="center"/>
        </w:trPr>
        <w:tc>
          <w:tcPr>
            <w:tcW w:w="9660" w:type="dxa"/>
            <w:noWrap w:val="0"/>
            <w:vAlign w:val="center"/>
          </w:tcPr>
          <w:p w14:paraId="13C4D6C8">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项目概况</w:t>
            </w:r>
          </w:p>
          <w:p w14:paraId="32F06D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i w:val="0"/>
                <w:caps w:val="0"/>
                <w:color w:val="auto"/>
                <w:spacing w:val="0"/>
                <w:sz w:val="24"/>
                <w:szCs w:val="24"/>
                <w:highlight w:val="none"/>
                <w:vertAlign w:val="baseline"/>
              </w:rPr>
            </w:pPr>
            <w:r>
              <w:rPr>
                <w:rFonts w:hint="eastAsia" w:ascii="宋体" w:hAnsi="宋体" w:cs="宋体"/>
                <w:color w:val="auto"/>
                <w:sz w:val="24"/>
                <w:szCs w:val="24"/>
                <w:highlight w:val="none"/>
                <w:lang w:val="en-US" w:eastAsia="zh-CN"/>
              </w:rPr>
              <w:t>吐鲁番市鄯善县人民医院安保服务采购项目</w:t>
            </w:r>
            <w:r>
              <w:rPr>
                <w:rFonts w:hint="eastAsia" w:ascii="宋体" w:hAnsi="宋体" w:eastAsia="宋体" w:cs="宋体"/>
                <w:color w:val="auto"/>
                <w:sz w:val="24"/>
                <w:szCs w:val="24"/>
                <w:highlight w:val="none"/>
                <w:lang w:val="en-US" w:eastAsia="zh-CN"/>
              </w:rPr>
              <w:t>的潜在供应商应在</w:t>
            </w:r>
            <w:r>
              <w:rPr>
                <w:rFonts w:hint="eastAsia" w:ascii="宋体" w:hAnsi="宋体" w:cs="宋体"/>
                <w:color w:val="auto"/>
                <w:sz w:val="24"/>
                <w:szCs w:val="24"/>
                <w:highlight w:val="none"/>
                <w:lang w:eastAsia="zh-CN"/>
              </w:rPr>
              <w:t>政采云</w:t>
            </w:r>
            <w:r>
              <w:rPr>
                <w:rFonts w:hint="eastAsia" w:ascii="宋体" w:hAnsi="宋体" w:cs="宋体"/>
                <w:color w:val="auto"/>
                <w:sz w:val="24"/>
                <w:szCs w:val="24"/>
                <w:highlight w:val="none"/>
              </w:rPr>
              <w:t>平台</w:t>
            </w:r>
            <w:r>
              <w:rPr>
                <w:rFonts w:hint="eastAsia" w:ascii="宋体" w:hAnsi="宋体" w:cs="宋体"/>
                <w:color w:val="auto"/>
                <w:sz w:val="24"/>
                <w:szCs w:val="24"/>
                <w:highlight w:val="none"/>
                <w:lang w:val="en-US" w:eastAsia="zh-CN"/>
              </w:rPr>
              <w:t>线上</w:t>
            </w:r>
            <w:r>
              <w:rPr>
                <w:rFonts w:hint="eastAsia" w:ascii="宋体" w:hAnsi="宋体" w:cs="宋体"/>
                <w:color w:val="auto"/>
                <w:sz w:val="24"/>
                <w:szCs w:val="24"/>
                <w:highlight w:val="none"/>
              </w:rPr>
              <w:t>获取</w:t>
            </w:r>
            <w:r>
              <w:rPr>
                <w:rFonts w:hint="eastAsia" w:ascii="宋体" w:hAnsi="宋体" w:cs="宋体"/>
                <w:color w:val="auto"/>
                <w:sz w:val="24"/>
                <w:szCs w:val="24"/>
                <w:highlight w:val="none"/>
                <w:lang w:val="en-US" w:eastAsia="zh-CN"/>
              </w:rPr>
              <w:t>采购</w:t>
            </w:r>
            <w:r>
              <w:rPr>
                <w:rFonts w:hint="eastAsia" w:ascii="宋体" w:hAnsi="宋体" w:cs="宋体"/>
                <w:color w:val="auto"/>
                <w:sz w:val="24"/>
                <w:szCs w:val="24"/>
                <w:highlight w:val="none"/>
              </w:rPr>
              <w:t>文件</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并于</w:t>
            </w:r>
            <w:r>
              <w:rPr>
                <w:rFonts w:hint="eastAsia" w:ascii="宋体" w:hAnsi="宋体" w:cs="宋体"/>
                <w:color w:val="auto"/>
                <w:sz w:val="24"/>
                <w:szCs w:val="24"/>
                <w:highlight w:val="none"/>
                <w:lang w:val="en-US" w:eastAsia="zh-CN"/>
              </w:rPr>
              <w:t>2025年04月17日15:00</w:t>
            </w:r>
            <w:r>
              <w:rPr>
                <w:rFonts w:hint="eastAsia" w:ascii="宋体" w:hAnsi="宋体" w:eastAsia="宋体" w:cs="宋体"/>
                <w:color w:val="auto"/>
                <w:sz w:val="24"/>
                <w:szCs w:val="24"/>
                <w:highlight w:val="none"/>
                <w:lang w:val="en-US" w:eastAsia="zh-CN"/>
              </w:rPr>
              <w:t>（北京时间）前提交响应文件。</w:t>
            </w:r>
          </w:p>
        </w:tc>
      </w:tr>
    </w:tbl>
    <w:p w14:paraId="56F5F67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FFED1C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一、项目基本情况</w:t>
      </w:r>
    </w:p>
    <w:p w14:paraId="2D32C2B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项目编号：</w:t>
      </w:r>
      <w:r>
        <w:rPr>
          <w:rFonts w:hint="eastAsia" w:ascii="宋体" w:hAnsi="宋体" w:cs="宋体"/>
          <w:color w:val="auto"/>
          <w:sz w:val="24"/>
          <w:szCs w:val="24"/>
          <w:highlight w:val="none"/>
          <w:lang w:val="en-US" w:eastAsia="zh-CN"/>
        </w:rPr>
        <w:t>XJZN-2025-03117</w:t>
      </w:r>
    </w:p>
    <w:p w14:paraId="5045AE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w:t>
      </w:r>
      <w:r>
        <w:rPr>
          <w:rFonts w:hint="eastAsia" w:ascii="宋体" w:hAnsi="宋体" w:cs="宋体"/>
          <w:color w:val="auto"/>
          <w:sz w:val="24"/>
          <w:szCs w:val="24"/>
          <w:highlight w:val="none"/>
          <w:lang w:val="en-US" w:eastAsia="zh-CN"/>
        </w:rPr>
        <w:t>吐鲁番市鄯善县人民医院安保服务采购项目</w:t>
      </w:r>
    </w:p>
    <w:p w14:paraId="79F3AF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采购方式：竞争性磋商</w:t>
      </w:r>
    </w:p>
    <w:p w14:paraId="209470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预算金额</w:t>
      </w:r>
      <w:r>
        <w:rPr>
          <w:rFonts w:hint="eastAsia" w:ascii="宋体" w:hAnsi="宋体" w:cs="宋体"/>
          <w:color w:val="auto"/>
          <w:sz w:val="24"/>
          <w:szCs w:val="24"/>
          <w:highlight w:val="none"/>
          <w:lang w:val="en-US" w:eastAsia="zh-CN"/>
        </w:rPr>
        <w:t>（元）</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600000</w:t>
      </w:r>
    </w:p>
    <w:p w14:paraId="20CADA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最高限价</w:t>
      </w:r>
      <w:r>
        <w:rPr>
          <w:rFonts w:hint="eastAsia" w:ascii="宋体" w:hAnsi="宋体" w:cs="宋体"/>
          <w:color w:val="auto"/>
          <w:sz w:val="24"/>
          <w:szCs w:val="24"/>
          <w:highlight w:val="none"/>
          <w:lang w:val="en-US" w:eastAsia="zh-CN"/>
        </w:rPr>
        <w:t>（元）</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540000</w:t>
      </w:r>
    </w:p>
    <w:p w14:paraId="038CDC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采购需求：</w:t>
      </w:r>
    </w:p>
    <w:p w14:paraId="289CA0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标项名称：</w:t>
      </w:r>
      <w:r>
        <w:rPr>
          <w:rFonts w:hint="eastAsia" w:ascii="宋体" w:hAnsi="宋体" w:cs="宋体"/>
          <w:color w:val="auto"/>
          <w:sz w:val="24"/>
          <w:szCs w:val="24"/>
          <w:highlight w:val="none"/>
          <w:lang w:val="en-US" w:eastAsia="zh-CN"/>
        </w:rPr>
        <w:t>吐鲁番市鄯善县人民医院安保服务采购项目</w:t>
      </w:r>
    </w:p>
    <w:p w14:paraId="24EBFA4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简要规格描述或项目基本概况介绍、用途：</w:t>
      </w:r>
      <w:r>
        <w:rPr>
          <w:rFonts w:hint="eastAsia" w:ascii="宋体" w:hAnsi="宋体" w:cs="宋体"/>
          <w:color w:val="auto"/>
          <w:sz w:val="24"/>
          <w:szCs w:val="24"/>
          <w:highlight w:val="none"/>
          <w:lang w:val="en-US" w:eastAsia="zh-CN"/>
        </w:rPr>
        <w:t>安保服务</w:t>
      </w:r>
    </w:p>
    <w:p w14:paraId="01C0E2F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备注：详见采购文件</w:t>
      </w:r>
    </w:p>
    <w:p w14:paraId="273CBE0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合同履约期限</w:t>
      </w:r>
      <w:r>
        <w:rPr>
          <w:rFonts w:hint="eastAsia" w:ascii="宋体" w:hAnsi="宋体" w:eastAsia="宋体" w:cs="宋体"/>
          <w:color w:val="auto"/>
          <w:sz w:val="24"/>
          <w:szCs w:val="24"/>
          <w:highlight w:val="none"/>
          <w:lang w:val="en-US" w:eastAsia="zh-CN"/>
        </w:rPr>
        <w:t>：详见采购文件</w:t>
      </w:r>
    </w:p>
    <w:p w14:paraId="0C1EA4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本项目（否）接受联合体。</w:t>
      </w:r>
    </w:p>
    <w:p w14:paraId="0E2D8BF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二、申请人的资格要求：</w:t>
      </w:r>
    </w:p>
    <w:p w14:paraId="76AD82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38DB44A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1.1具有独立承担民事责任的能力的投标人；</w:t>
      </w:r>
    </w:p>
    <w:p w14:paraId="3427D9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1.2具有良好的商业信誉和健全的财务会计制度；</w:t>
      </w:r>
    </w:p>
    <w:p w14:paraId="6ECEAB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1.3具有履行合同所必需的设备和专业技术能力；</w:t>
      </w:r>
    </w:p>
    <w:p w14:paraId="099142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1.4有依法缴纳税收和社会保障资金的良好记录；</w:t>
      </w:r>
    </w:p>
    <w:p w14:paraId="647F63A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1.5参加本次采购活动前三年内，在经营活动中没有重大违法记录；</w:t>
      </w:r>
    </w:p>
    <w:p w14:paraId="68DCBA0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1.6法律、行政法规规定的其他条件。</w:t>
      </w:r>
    </w:p>
    <w:p w14:paraId="67F099C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2.落实政府采购政策需满足的资格要求：</w:t>
      </w:r>
      <w:r>
        <w:rPr>
          <w:rFonts w:hint="eastAsia" w:ascii="宋体" w:hAnsi="宋体" w:cs="宋体"/>
          <w:b w:val="0"/>
          <w:bCs w:val="0"/>
          <w:color w:val="auto"/>
          <w:sz w:val="24"/>
          <w:szCs w:val="24"/>
          <w:highlight w:val="none"/>
          <w:lang w:val="en-US" w:eastAsia="zh-CN"/>
        </w:rPr>
        <w:t>专门面向中小企业采购项目</w:t>
      </w:r>
    </w:p>
    <w:p w14:paraId="1DA58E6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本项目的特定资格要求：</w:t>
      </w:r>
      <w:r>
        <w:rPr>
          <w:rFonts w:hint="eastAsia" w:ascii="宋体" w:hAnsi="宋体" w:cs="宋体"/>
          <w:color w:val="auto"/>
          <w:sz w:val="24"/>
          <w:szCs w:val="24"/>
          <w:highlight w:val="none"/>
          <w:lang w:val="en-US" w:eastAsia="zh-CN"/>
        </w:rPr>
        <w:t>具有公安部门颁发的《保安服务许可证》</w:t>
      </w:r>
    </w:p>
    <w:p w14:paraId="28B2E21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三、获取采购文件</w:t>
      </w:r>
    </w:p>
    <w:p w14:paraId="33289C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时间：</w:t>
      </w:r>
      <w:r>
        <w:rPr>
          <w:rFonts w:hint="eastAsia" w:ascii="宋体" w:hAnsi="宋体" w:cs="宋体"/>
          <w:color w:val="auto"/>
          <w:sz w:val="24"/>
          <w:szCs w:val="24"/>
          <w:highlight w:val="none"/>
          <w:lang w:val="en-US" w:eastAsia="zh-CN"/>
        </w:rPr>
        <w:t>2025年04月03日至2025年04月11日</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rPr>
        <w:t>每天上午00:00至12:00，下午12:00至23:59（北京时间，法定节假日除外）</w:t>
      </w:r>
    </w:p>
    <w:p w14:paraId="1580436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地点：政采云平台线上</w:t>
      </w:r>
    </w:p>
    <w:p w14:paraId="247396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017202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售价（元）：</w:t>
      </w:r>
      <w:r>
        <w:rPr>
          <w:rFonts w:hint="eastAsia" w:asciiTheme="minorEastAsia" w:hAnsiTheme="minorEastAsia" w:eastAsiaTheme="minorEastAsia" w:cstheme="minorEastAsia"/>
          <w:color w:val="auto"/>
          <w:sz w:val="24"/>
          <w:szCs w:val="24"/>
          <w:highlight w:val="none"/>
          <w:lang w:val="en-US" w:eastAsia="zh-CN"/>
        </w:rPr>
        <w:t>0</w:t>
      </w:r>
    </w:p>
    <w:p w14:paraId="06AB458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四、响应文件提交</w:t>
      </w:r>
    </w:p>
    <w:p w14:paraId="1ECA1A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截止时间：</w:t>
      </w:r>
      <w:r>
        <w:rPr>
          <w:rFonts w:hint="eastAsia" w:ascii="宋体" w:hAnsi="宋体" w:cs="宋体"/>
          <w:color w:val="auto"/>
          <w:sz w:val="24"/>
          <w:szCs w:val="24"/>
          <w:highlight w:val="none"/>
          <w:lang w:val="en-US" w:eastAsia="zh-CN"/>
        </w:rPr>
        <w:t>2025年04月17日15:00</w:t>
      </w:r>
      <w:r>
        <w:rPr>
          <w:rFonts w:hint="eastAsia" w:ascii="宋体" w:hAnsi="宋体" w:eastAsia="宋体" w:cs="宋体"/>
          <w:color w:val="auto"/>
          <w:sz w:val="24"/>
          <w:szCs w:val="24"/>
          <w:highlight w:val="none"/>
          <w:lang w:val="en-US" w:eastAsia="zh-CN"/>
        </w:rPr>
        <w:t>（北京时间）</w:t>
      </w:r>
    </w:p>
    <w:p w14:paraId="262375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地点：请登录政采云投标客户端，选择对应的标项投标</w:t>
      </w:r>
      <w:r>
        <w:rPr>
          <w:rFonts w:hint="eastAsia" w:asciiTheme="minorEastAsia" w:hAnsiTheme="minorEastAsia" w:eastAsiaTheme="minorEastAsia" w:cstheme="minorEastAsia"/>
          <w:color w:val="auto"/>
          <w:sz w:val="24"/>
          <w:szCs w:val="24"/>
          <w:highlight w:val="none"/>
          <w:lang w:val="en-US" w:eastAsia="zh-CN"/>
        </w:rPr>
        <w:t>。</w:t>
      </w:r>
    </w:p>
    <w:p w14:paraId="3E5B2FE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五、响应文件开启</w:t>
      </w:r>
    </w:p>
    <w:p w14:paraId="517435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开启时间：</w:t>
      </w:r>
      <w:r>
        <w:rPr>
          <w:rFonts w:hint="eastAsia" w:ascii="宋体" w:hAnsi="宋体" w:cs="宋体"/>
          <w:color w:val="auto"/>
          <w:sz w:val="24"/>
          <w:szCs w:val="24"/>
          <w:highlight w:val="none"/>
          <w:lang w:val="en-US" w:eastAsia="zh-CN"/>
        </w:rPr>
        <w:t>2025年04月17日15:00</w:t>
      </w:r>
      <w:r>
        <w:rPr>
          <w:rFonts w:hint="eastAsia" w:ascii="宋体" w:hAnsi="宋体" w:eastAsia="宋体" w:cs="宋体"/>
          <w:color w:val="auto"/>
          <w:sz w:val="24"/>
          <w:szCs w:val="24"/>
          <w:highlight w:val="none"/>
          <w:lang w:val="en-US" w:eastAsia="zh-CN"/>
        </w:rPr>
        <w:t>（北京时间）</w:t>
      </w:r>
    </w:p>
    <w:p w14:paraId="477ABD7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地点：投标人登录政采云平台https：//www.zcygov.cn/，进入“项目采购-开标评标-右边选择对应项目点击“进入项目”进入开标大厅</w:t>
      </w:r>
    </w:p>
    <w:p w14:paraId="5A55187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六、公告期限</w:t>
      </w:r>
    </w:p>
    <w:p w14:paraId="6746A0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个工作日</w:t>
      </w:r>
    </w:p>
    <w:p w14:paraId="50564D0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七、其他补充事宜</w:t>
      </w:r>
    </w:p>
    <w:p w14:paraId="4D30E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本项目实行网上投标，采用电子投标文件。</w:t>
      </w:r>
    </w:p>
    <w:p w14:paraId="2367B0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各供应商应在开标前确保成为正式注册入库供应商，并完成CA数字证书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符合国密标准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申领。因未注册入库、未办理CA数字证书等原因造成无法投标或投标失败等后果由供应商自行承担。如需咨询，请联系新疆CA服务热线4000921999；翔晟CA服务热线025-66085508。</w:t>
      </w:r>
    </w:p>
    <w:p w14:paraId="03CC63D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供应商将政采云电子交易客户端下载、安装完成后，可通过账号密码或CA登录客户端进行投标文件的制作。在使用政采云投标客户端时，建议使用WIN7及以上操作系统。</w:t>
      </w:r>
    </w:p>
    <w:p w14:paraId="5BE60F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递交截止时间前，供应商须随时关注本项目招标公告发布网站（新疆政府采购网http://www.ccgp-xinjiang.gov.cn/）的最新的变更公告、更正公告、澄清公告等相关信息，并对上述查看行为自行承担责任。对于未查看最新的变更公告、更正公告、澄清公告等相关信息，而造成的一切后果，由供应商自行承担。如有问题可拨打政采云客户服务热线</w:t>
      </w:r>
      <w:r>
        <w:rPr>
          <w:rFonts w:hint="eastAsia" w:ascii="宋体" w:hAnsi="宋体" w:eastAsia="宋体" w:cs="宋体"/>
          <w:color w:val="auto"/>
          <w:sz w:val="24"/>
          <w:szCs w:val="24"/>
          <w:highlight w:val="none"/>
          <w:lang w:val="en-US"/>
        </w:rPr>
        <w:t>95763</w:t>
      </w:r>
      <w:r>
        <w:rPr>
          <w:rFonts w:hint="eastAsia" w:ascii="宋体" w:hAnsi="宋体" w:eastAsia="宋体" w:cs="宋体"/>
          <w:color w:val="auto"/>
          <w:sz w:val="24"/>
          <w:szCs w:val="24"/>
          <w:highlight w:val="none"/>
        </w:rPr>
        <w:t>进行咨询。如因供应商自身原因导致在规定时间内无法正常解密的（如：浏览器故障、未安装相关驱动、网络故障、加密CA与解密CA不一致等），采购代理机构不予异常处理，视为供应商自动弃标。</w:t>
      </w:r>
    </w:p>
    <w:p w14:paraId="68AE9D9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八、对本次采购提出询问，请按以下方式联系</w:t>
      </w:r>
    </w:p>
    <w:p w14:paraId="2A3AF1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1.采购人信息</w:t>
      </w:r>
    </w:p>
    <w:p w14:paraId="1C9B80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w:t>
      </w:r>
      <w:r>
        <w:rPr>
          <w:rFonts w:hint="eastAsia" w:ascii="宋体" w:hAnsi="宋体" w:cs="宋体"/>
          <w:color w:val="auto"/>
          <w:sz w:val="24"/>
          <w:szCs w:val="24"/>
          <w:highlight w:val="none"/>
          <w:lang w:val="en-US" w:eastAsia="zh-CN"/>
        </w:rPr>
        <w:t>鄯善县人民医院</w:t>
      </w:r>
    </w:p>
    <w:p w14:paraId="228ED60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地址：</w:t>
      </w:r>
      <w:r>
        <w:rPr>
          <w:rFonts w:hint="eastAsia" w:ascii="宋体" w:hAnsi="宋体" w:cs="宋体"/>
          <w:color w:val="auto"/>
          <w:sz w:val="24"/>
          <w:szCs w:val="24"/>
          <w:highlight w:val="none"/>
          <w:lang w:val="en-US" w:eastAsia="zh-CN"/>
        </w:rPr>
        <w:t>鄯善县新城东路897号</w:t>
      </w:r>
    </w:p>
    <w:p w14:paraId="1887D5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w:t>
      </w:r>
      <w:r>
        <w:rPr>
          <w:rFonts w:hint="eastAsia" w:ascii="宋体" w:hAnsi="宋体" w:cs="宋体"/>
          <w:color w:val="auto"/>
          <w:sz w:val="24"/>
          <w:szCs w:val="24"/>
          <w:highlight w:val="none"/>
          <w:lang w:val="en-US" w:eastAsia="zh-CN"/>
        </w:rPr>
        <w:t>0995-8381234</w:t>
      </w:r>
    </w:p>
    <w:p w14:paraId="49865F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2.采购代理机构信息</w:t>
      </w:r>
    </w:p>
    <w:p w14:paraId="39FDC5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w:t>
      </w:r>
      <w:r>
        <w:rPr>
          <w:rFonts w:hint="eastAsia" w:ascii="宋体" w:hAnsi="宋体" w:cs="宋体"/>
          <w:color w:val="auto"/>
          <w:sz w:val="24"/>
          <w:szCs w:val="24"/>
          <w:highlight w:val="none"/>
          <w:lang w:val="en-US" w:eastAsia="zh-CN"/>
        </w:rPr>
        <w:t>新疆中诺项目管理有限公司</w:t>
      </w:r>
    </w:p>
    <w:p w14:paraId="583CB5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地址：</w:t>
      </w:r>
      <w:r>
        <w:rPr>
          <w:rFonts w:hint="eastAsia" w:ascii="宋体" w:hAnsi="宋体" w:cs="宋体"/>
          <w:color w:val="auto"/>
          <w:sz w:val="24"/>
          <w:szCs w:val="24"/>
          <w:highlight w:val="none"/>
          <w:lang w:val="en-US" w:eastAsia="zh-CN"/>
        </w:rPr>
        <w:t>乌鲁木齐市克拉玛依西街880号安佳大厦717A</w:t>
      </w:r>
    </w:p>
    <w:p w14:paraId="6A7BE5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w:t>
      </w:r>
      <w:r>
        <w:rPr>
          <w:rFonts w:hint="eastAsia" w:ascii="宋体" w:hAnsi="宋体" w:cs="宋体"/>
          <w:color w:val="auto"/>
          <w:sz w:val="24"/>
          <w:szCs w:val="24"/>
          <w:highlight w:val="none"/>
          <w:lang w:val="en-US" w:eastAsia="zh-CN"/>
        </w:rPr>
        <w:t>0991-6612071、18095957350</w:t>
      </w:r>
    </w:p>
    <w:p w14:paraId="25BA13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6BEB4E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项目联系人：</w:t>
      </w:r>
      <w:r>
        <w:rPr>
          <w:rFonts w:hint="eastAsia" w:ascii="宋体" w:hAnsi="宋体" w:cs="宋体"/>
          <w:color w:val="auto"/>
          <w:sz w:val="24"/>
          <w:szCs w:val="24"/>
          <w:highlight w:val="none"/>
          <w:lang w:val="en-US" w:eastAsia="zh-CN"/>
        </w:rPr>
        <w:t>杜澜、叶康</w:t>
      </w:r>
    </w:p>
    <w:p w14:paraId="3A4E0AA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电话：</w:t>
      </w:r>
      <w:r>
        <w:rPr>
          <w:rFonts w:hint="eastAsia" w:ascii="宋体" w:hAnsi="宋体" w:cs="宋体"/>
          <w:color w:val="auto"/>
          <w:sz w:val="24"/>
          <w:szCs w:val="24"/>
          <w:highlight w:val="none"/>
          <w:lang w:val="en-US" w:eastAsia="zh-CN"/>
        </w:rPr>
        <w:t>0991-6612071、18095957350</w:t>
      </w:r>
    </w:p>
    <w:p w14:paraId="6D3C69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E04E1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39C0D0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96FC3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DE8D1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EB6378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28F01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7C3B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C10E29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08BED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896A4C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19550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1F4DB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24395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CD47C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F663A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8EA3B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788C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7C61FB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CB55E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3665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2B2B19">
      <w:pPr>
        <w:pStyle w:val="4"/>
        <w:numPr>
          <w:ilvl w:val="0"/>
          <w:numId w:val="0"/>
        </w:numPr>
        <w:bidi w:val="0"/>
        <w:jc w:val="center"/>
        <w:rPr>
          <w:rStyle w:val="50"/>
          <w:rFonts w:hint="eastAsia" w:ascii="宋体" w:hAnsi="宋体" w:eastAsia="宋体" w:cs="宋体"/>
          <w:bCs/>
          <w:color w:val="auto"/>
          <w:highlight w:val="none"/>
        </w:rPr>
      </w:pPr>
      <w:bookmarkStart w:id="7" w:name="_Toc28807"/>
      <w:bookmarkStart w:id="8" w:name="_Toc17236"/>
      <w:bookmarkStart w:id="9" w:name="_Toc24463"/>
      <w:r>
        <w:rPr>
          <w:rStyle w:val="50"/>
          <w:rFonts w:hint="eastAsia" w:ascii="宋体" w:hAnsi="宋体" w:eastAsia="宋体" w:cs="宋体"/>
          <w:bCs/>
          <w:color w:val="auto"/>
          <w:highlight w:val="none"/>
          <w:lang w:eastAsia="zh-CN"/>
        </w:rPr>
        <w:t>第二部分</w:t>
      </w:r>
      <w:r>
        <w:rPr>
          <w:rStyle w:val="50"/>
          <w:rFonts w:hint="eastAsia" w:ascii="宋体" w:hAnsi="宋体" w:eastAsia="宋体" w:cs="宋体"/>
          <w:bCs/>
          <w:color w:val="auto"/>
          <w:highlight w:val="none"/>
          <w:lang w:val="en-US" w:eastAsia="zh-CN"/>
        </w:rPr>
        <w:t xml:space="preserve">  </w:t>
      </w:r>
      <w:r>
        <w:rPr>
          <w:rStyle w:val="50"/>
          <w:rFonts w:hint="eastAsia" w:ascii="宋体" w:hAnsi="宋体" w:eastAsia="宋体" w:cs="宋体"/>
          <w:bCs/>
          <w:color w:val="auto"/>
          <w:highlight w:val="none"/>
        </w:rPr>
        <w:t>供应商须知</w:t>
      </w:r>
      <w:bookmarkEnd w:id="6"/>
      <w:bookmarkEnd w:id="7"/>
      <w:bookmarkEnd w:id="8"/>
      <w:bookmarkEnd w:id="9"/>
    </w:p>
    <w:p w14:paraId="54A8B8BE">
      <w:pPr>
        <w:pStyle w:val="5"/>
        <w:jc w:val="center"/>
        <w:rPr>
          <w:rFonts w:hint="eastAsia" w:ascii="宋体" w:hAnsi="宋体" w:eastAsia="宋体" w:cs="宋体"/>
          <w:b/>
          <w:bCs/>
          <w:color w:val="auto"/>
          <w:highlight w:val="none"/>
          <w:lang w:val="en-US" w:eastAsia="zh-CN"/>
        </w:rPr>
      </w:pPr>
      <w:bookmarkStart w:id="10" w:name="_Toc31507"/>
      <w:r>
        <w:rPr>
          <w:rFonts w:hint="eastAsia" w:ascii="宋体" w:hAnsi="宋体" w:eastAsia="宋体" w:cs="宋体"/>
          <w:b/>
          <w:bCs/>
          <w:color w:val="auto"/>
          <w:highlight w:val="none"/>
          <w:lang w:val="en-US" w:eastAsia="zh-CN"/>
        </w:rPr>
        <w:t>供应商须知前附表</w:t>
      </w:r>
      <w:bookmarkEnd w:id="10"/>
    </w:p>
    <w:tbl>
      <w:tblPr>
        <w:tblStyle w:val="38"/>
        <w:tblW w:w="96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760"/>
        <w:gridCol w:w="7153"/>
      </w:tblGrid>
      <w:tr w14:paraId="510CF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blHeader/>
          <w:jc w:val="center"/>
        </w:trPr>
        <w:tc>
          <w:tcPr>
            <w:tcW w:w="750" w:type="dxa"/>
            <w:noWrap w:val="0"/>
            <w:vAlign w:val="center"/>
          </w:tcPr>
          <w:p w14:paraId="37FF5E5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color w:val="auto"/>
                <w:sz w:val="24"/>
                <w:szCs w:val="24"/>
                <w:highlight w:val="none"/>
              </w:rPr>
            </w:pPr>
            <w:bookmarkStart w:id="11" w:name="_Toc21720"/>
            <w:r>
              <w:rPr>
                <w:rFonts w:hint="eastAsia" w:ascii="宋体" w:hAnsi="宋体" w:eastAsia="宋体" w:cs="宋体"/>
                <w:b/>
                <w:color w:val="auto"/>
                <w:sz w:val="24"/>
                <w:szCs w:val="24"/>
                <w:highlight w:val="none"/>
              </w:rPr>
              <w:t>序号</w:t>
            </w:r>
          </w:p>
        </w:tc>
        <w:tc>
          <w:tcPr>
            <w:tcW w:w="1760" w:type="dxa"/>
            <w:noWrap w:val="0"/>
            <w:vAlign w:val="center"/>
          </w:tcPr>
          <w:p w14:paraId="1E7B29E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7153" w:type="dxa"/>
            <w:noWrap w:val="0"/>
            <w:vAlign w:val="center"/>
          </w:tcPr>
          <w:p w14:paraId="496FCC56">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编列内容规定</w:t>
            </w:r>
          </w:p>
        </w:tc>
      </w:tr>
      <w:tr w14:paraId="17CAD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50" w:type="dxa"/>
            <w:noWrap w:val="0"/>
            <w:vAlign w:val="center"/>
          </w:tcPr>
          <w:p w14:paraId="7D21DB0C">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1760" w:type="dxa"/>
            <w:noWrap w:val="0"/>
            <w:vAlign w:val="center"/>
          </w:tcPr>
          <w:p w14:paraId="53659898">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项目名称</w:t>
            </w:r>
          </w:p>
        </w:tc>
        <w:tc>
          <w:tcPr>
            <w:tcW w:w="7153" w:type="dxa"/>
            <w:noWrap w:val="0"/>
            <w:vAlign w:val="center"/>
          </w:tcPr>
          <w:p w14:paraId="0A1FF01C">
            <w:pPr>
              <w:keepNext w:val="0"/>
              <w:keepLines w:val="0"/>
              <w:pageBreakBefore w:val="0"/>
              <w:widowControl w:val="0"/>
              <w:kinsoku/>
              <w:overflowPunct/>
              <w:topLinePunct w:val="0"/>
              <w:bidi w:val="0"/>
              <w:adjustRightInd w:val="0"/>
              <w:snapToGrid w:val="0"/>
              <w:spacing w:line="240" w:lineRule="auto"/>
              <w:ind w:left="0" w:leftChars="0"/>
              <w:jc w:val="left"/>
              <w:textAlignment w:val="auto"/>
              <w:rPr>
                <w:rFonts w:hint="eastAsia" w:ascii="宋体" w:hAnsi="宋体" w:eastAsia="宋体" w:cs="宋体"/>
                <w:bCs/>
                <w:color w:val="auto"/>
                <w:sz w:val="24"/>
                <w:szCs w:val="24"/>
                <w:highlight w:val="none"/>
                <w:lang w:bidi="zh-CN"/>
              </w:rPr>
            </w:pPr>
            <w:r>
              <w:rPr>
                <w:rFonts w:hint="eastAsia" w:ascii="宋体" w:hAnsi="宋体" w:cs="宋体"/>
                <w:bCs/>
                <w:color w:val="auto"/>
                <w:sz w:val="24"/>
                <w:szCs w:val="24"/>
                <w:highlight w:val="none"/>
                <w:lang w:val="en-US" w:bidi="zh-CN"/>
              </w:rPr>
              <w:t>吐鲁番市鄯善县人民医院安保服务采购项目</w:t>
            </w:r>
          </w:p>
        </w:tc>
      </w:tr>
      <w:tr w14:paraId="12377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jc w:val="center"/>
        </w:trPr>
        <w:tc>
          <w:tcPr>
            <w:tcW w:w="750" w:type="dxa"/>
            <w:noWrap w:val="0"/>
            <w:vAlign w:val="center"/>
          </w:tcPr>
          <w:p w14:paraId="239A4BD3">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w:t>
            </w:r>
          </w:p>
        </w:tc>
        <w:tc>
          <w:tcPr>
            <w:tcW w:w="1760" w:type="dxa"/>
            <w:noWrap w:val="0"/>
            <w:vAlign w:val="center"/>
          </w:tcPr>
          <w:p w14:paraId="2D88BD57">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采购人</w:t>
            </w:r>
          </w:p>
        </w:tc>
        <w:tc>
          <w:tcPr>
            <w:tcW w:w="7153" w:type="dxa"/>
            <w:noWrap w:val="0"/>
            <w:vAlign w:val="center"/>
          </w:tcPr>
          <w:p w14:paraId="7FE3549E">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名  称：</w:t>
            </w:r>
            <w:r>
              <w:rPr>
                <w:rFonts w:hint="eastAsia" w:ascii="宋体" w:hAnsi="宋体" w:cs="宋体"/>
                <w:bCs/>
                <w:color w:val="auto"/>
                <w:sz w:val="24"/>
                <w:szCs w:val="24"/>
                <w:highlight w:val="none"/>
                <w:lang w:val="en-US" w:eastAsia="zh-CN"/>
              </w:rPr>
              <w:t>鄯善县人民医院</w:t>
            </w:r>
          </w:p>
          <w:p w14:paraId="7C42FC12">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地  址：</w:t>
            </w:r>
            <w:r>
              <w:rPr>
                <w:rFonts w:hint="eastAsia" w:ascii="宋体" w:hAnsi="宋体" w:cs="宋体"/>
                <w:bCs/>
                <w:color w:val="auto"/>
                <w:sz w:val="24"/>
                <w:szCs w:val="24"/>
                <w:highlight w:val="none"/>
                <w:lang w:val="en-US" w:eastAsia="zh-CN"/>
              </w:rPr>
              <w:t>鄯善县新城东路897号</w:t>
            </w:r>
          </w:p>
          <w:p w14:paraId="07496C74">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lang w:val="en-US"/>
              </w:rPr>
            </w:pPr>
            <w:r>
              <w:rPr>
                <w:rFonts w:hint="eastAsia" w:ascii="宋体" w:hAnsi="宋体" w:eastAsia="宋体" w:cs="宋体"/>
                <w:bCs/>
                <w:color w:val="auto"/>
                <w:sz w:val="24"/>
                <w:szCs w:val="24"/>
                <w:highlight w:val="none"/>
              </w:rPr>
              <w:t>联系人：</w:t>
            </w:r>
            <w:r>
              <w:rPr>
                <w:rFonts w:hint="eastAsia" w:ascii="宋体" w:hAnsi="宋体" w:cs="宋体"/>
                <w:bCs/>
                <w:color w:val="auto"/>
                <w:sz w:val="24"/>
                <w:szCs w:val="24"/>
                <w:highlight w:val="none"/>
                <w:lang w:val="en-US" w:eastAsia="zh-CN"/>
              </w:rPr>
              <w:t>周娟</w:t>
            </w:r>
          </w:p>
          <w:p w14:paraId="4EC7C342">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联系电话：</w:t>
            </w:r>
            <w:r>
              <w:rPr>
                <w:rFonts w:hint="eastAsia" w:ascii="宋体" w:hAnsi="宋体" w:cs="宋体"/>
                <w:bCs/>
                <w:color w:val="auto"/>
                <w:sz w:val="24"/>
                <w:szCs w:val="24"/>
                <w:highlight w:val="none"/>
                <w:lang w:val="en-US" w:eastAsia="zh-CN"/>
              </w:rPr>
              <w:t>0995-8381234</w:t>
            </w:r>
          </w:p>
        </w:tc>
      </w:tr>
      <w:tr w14:paraId="25747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jc w:val="center"/>
        </w:trPr>
        <w:tc>
          <w:tcPr>
            <w:tcW w:w="750" w:type="dxa"/>
            <w:noWrap w:val="0"/>
            <w:vAlign w:val="center"/>
          </w:tcPr>
          <w:p w14:paraId="72BFE5F3">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w:t>
            </w:r>
          </w:p>
        </w:tc>
        <w:tc>
          <w:tcPr>
            <w:tcW w:w="1760" w:type="dxa"/>
            <w:noWrap w:val="0"/>
            <w:vAlign w:val="center"/>
          </w:tcPr>
          <w:p w14:paraId="77201907">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采购代理机构</w:t>
            </w:r>
          </w:p>
        </w:tc>
        <w:tc>
          <w:tcPr>
            <w:tcW w:w="7153" w:type="dxa"/>
            <w:noWrap w:val="0"/>
            <w:vAlign w:val="center"/>
          </w:tcPr>
          <w:p w14:paraId="6282A7E4">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名  称：</w:t>
            </w:r>
            <w:r>
              <w:rPr>
                <w:rFonts w:hint="eastAsia" w:ascii="宋体" w:hAnsi="宋体" w:cs="宋体"/>
                <w:bCs/>
                <w:color w:val="auto"/>
                <w:sz w:val="24"/>
                <w:szCs w:val="24"/>
                <w:highlight w:val="none"/>
                <w:lang w:eastAsia="zh-CN"/>
              </w:rPr>
              <w:t>新疆中诺项目管理有限公司</w:t>
            </w:r>
          </w:p>
          <w:p w14:paraId="603262A6">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地  址：</w:t>
            </w:r>
            <w:r>
              <w:rPr>
                <w:rFonts w:hint="eastAsia" w:ascii="宋体" w:hAnsi="宋体" w:cs="宋体"/>
                <w:bCs/>
                <w:color w:val="auto"/>
                <w:sz w:val="24"/>
                <w:szCs w:val="24"/>
                <w:highlight w:val="none"/>
                <w:lang w:eastAsia="zh-CN"/>
              </w:rPr>
              <w:t>乌鲁木齐市克拉玛依西街880号安佳大厦717A</w:t>
            </w:r>
          </w:p>
          <w:p w14:paraId="7EA7F1D4">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联系人：</w:t>
            </w:r>
            <w:r>
              <w:rPr>
                <w:rFonts w:hint="eastAsia" w:ascii="宋体" w:hAnsi="宋体" w:cs="宋体"/>
                <w:bCs/>
                <w:color w:val="auto"/>
                <w:sz w:val="24"/>
                <w:szCs w:val="24"/>
                <w:highlight w:val="none"/>
                <w:lang w:eastAsia="zh-CN"/>
              </w:rPr>
              <w:t>杜澜、叶康</w:t>
            </w:r>
          </w:p>
          <w:p w14:paraId="6BF58107">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联系电话：</w:t>
            </w:r>
            <w:r>
              <w:rPr>
                <w:rFonts w:hint="eastAsia" w:ascii="宋体" w:hAnsi="宋体" w:cs="宋体"/>
                <w:bCs/>
                <w:color w:val="auto"/>
                <w:sz w:val="24"/>
                <w:szCs w:val="24"/>
                <w:highlight w:val="none"/>
                <w:lang w:val="en-US" w:eastAsia="zh-CN"/>
              </w:rPr>
              <w:t>0991-6612071、18095957350</w:t>
            </w:r>
          </w:p>
        </w:tc>
      </w:tr>
      <w:tr w14:paraId="4A4AD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50" w:type="dxa"/>
            <w:noWrap w:val="0"/>
            <w:vAlign w:val="center"/>
          </w:tcPr>
          <w:p w14:paraId="3EAD4A08">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w:t>
            </w:r>
          </w:p>
        </w:tc>
        <w:tc>
          <w:tcPr>
            <w:tcW w:w="1760" w:type="dxa"/>
            <w:noWrap w:val="0"/>
            <w:vAlign w:val="center"/>
          </w:tcPr>
          <w:p w14:paraId="22CC0BD8">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资金来源</w:t>
            </w:r>
          </w:p>
        </w:tc>
        <w:tc>
          <w:tcPr>
            <w:tcW w:w="7153" w:type="dxa"/>
            <w:noWrap w:val="0"/>
            <w:vAlign w:val="center"/>
          </w:tcPr>
          <w:p w14:paraId="554A27E4">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事业单位收入资金</w:t>
            </w:r>
          </w:p>
        </w:tc>
      </w:tr>
      <w:tr w14:paraId="7F5A9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750" w:type="dxa"/>
            <w:noWrap w:val="0"/>
            <w:vAlign w:val="center"/>
          </w:tcPr>
          <w:p w14:paraId="6835A74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w:t>
            </w:r>
          </w:p>
        </w:tc>
        <w:tc>
          <w:tcPr>
            <w:tcW w:w="1760" w:type="dxa"/>
            <w:noWrap w:val="0"/>
            <w:vAlign w:val="center"/>
          </w:tcPr>
          <w:p w14:paraId="451E4CA0">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采购预算</w:t>
            </w:r>
          </w:p>
        </w:tc>
        <w:tc>
          <w:tcPr>
            <w:tcW w:w="7153" w:type="dxa"/>
            <w:noWrap w:val="0"/>
            <w:vAlign w:val="center"/>
          </w:tcPr>
          <w:p w14:paraId="33F9E5A2">
            <w:pPr>
              <w:keepNext w:val="0"/>
              <w:keepLines w:val="0"/>
              <w:pageBreakBefore w:val="0"/>
              <w:widowControl w:val="0"/>
              <w:kinsoku/>
              <w:overflowPunct/>
              <w:topLinePunct w:val="0"/>
              <w:bidi w:val="0"/>
              <w:adjustRightInd w:val="0"/>
              <w:snapToGrid w:val="0"/>
              <w:spacing w:line="240" w:lineRule="auto"/>
              <w:ind w:left="0" w:leftChars="0"/>
              <w:jc w:val="left"/>
              <w:textAlignment w:val="auto"/>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600000</w:t>
            </w:r>
            <w:r>
              <w:rPr>
                <w:rFonts w:hint="eastAsia" w:ascii="宋体" w:hAnsi="宋体" w:eastAsia="宋体" w:cs="宋体"/>
                <w:color w:val="auto"/>
                <w:sz w:val="24"/>
                <w:szCs w:val="24"/>
                <w:highlight w:val="none"/>
                <w:lang w:val="en-US" w:eastAsia="zh-CN"/>
              </w:rPr>
              <w:t>元</w:t>
            </w:r>
          </w:p>
        </w:tc>
      </w:tr>
      <w:tr w14:paraId="708B7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jc w:val="center"/>
        </w:trPr>
        <w:tc>
          <w:tcPr>
            <w:tcW w:w="750" w:type="dxa"/>
            <w:noWrap w:val="0"/>
            <w:vAlign w:val="center"/>
          </w:tcPr>
          <w:p w14:paraId="7CAF766A">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w:t>
            </w:r>
          </w:p>
        </w:tc>
        <w:tc>
          <w:tcPr>
            <w:tcW w:w="1760" w:type="dxa"/>
            <w:noWrap w:val="0"/>
            <w:vAlign w:val="center"/>
          </w:tcPr>
          <w:p w14:paraId="290071E8">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供应商资格条件</w:t>
            </w:r>
          </w:p>
        </w:tc>
        <w:tc>
          <w:tcPr>
            <w:tcW w:w="7153" w:type="dxa"/>
            <w:noWrap w:val="0"/>
            <w:vAlign w:val="center"/>
          </w:tcPr>
          <w:p w14:paraId="39EE49A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满足《中华人民共和国政府采购法》第二十二条规定；</w:t>
            </w:r>
          </w:p>
          <w:p w14:paraId="24A7E05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6694E5B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1B53A70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75345CC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26E315C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参加本次采购活动前三年内，在经营活动中没有重大违法记录；</w:t>
            </w:r>
          </w:p>
          <w:p w14:paraId="1429DA0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5882C29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val="en-US" w:eastAsia="zh-CN"/>
              </w:rPr>
              <w:t>专门面向中小企业采购项目</w:t>
            </w:r>
          </w:p>
          <w:p w14:paraId="4C827955">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3.本项目的特定资格要求：</w:t>
            </w:r>
            <w:r>
              <w:rPr>
                <w:rFonts w:hint="eastAsia" w:ascii="宋体" w:hAnsi="宋体" w:cs="宋体"/>
                <w:color w:val="auto"/>
                <w:sz w:val="24"/>
                <w:szCs w:val="24"/>
                <w:highlight w:val="none"/>
                <w:lang w:val="en-US" w:eastAsia="zh-CN"/>
              </w:rPr>
              <w:t>具有公安部门颁发的《保安服务许可证》</w:t>
            </w:r>
          </w:p>
        </w:tc>
      </w:tr>
      <w:tr w14:paraId="574F7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5" w:hRule="atLeast"/>
          <w:jc w:val="center"/>
        </w:trPr>
        <w:tc>
          <w:tcPr>
            <w:tcW w:w="750" w:type="dxa"/>
            <w:noWrap w:val="0"/>
            <w:vAlign w:val="center"/>
          </w:tcPr>
          <w:p w14:paraId="10AB09DE">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7</w:t>
            </w:r>
          </w:p>
        </w:tc>
        <w:tc>
          <w:tcPr>
            <w:tcW w:w="1760" w:type="dxa"/>
            <w:noWrap w:val="0"/>
            <w:vAlign w:val="center"/>
          </w:tcPr>
          <w:p w14:paraId="74E01CE0">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落实政府采购政策</w:t>
            </w:r>
          </w:p>
        </w:tc>
        <w:tc>
          <w:tcPr>
            <w:tcW w:w="7153" w:type="dxa"/>
            <w:noWrap w:val="0"/>
            <w:vAlign w:val="center"/>
          </w:tcPr>
          <w:p w14:paraId="3C907C22">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财政部、工业和信息化部《关于印发政府采购促进中小企业发展管理办法</w:t>
            </w:r>
            <w:r>
              <w:rPr>
                <w:rFonts w:hint="eastAsia" w:ascii="宋体" w:hAnsi="宋体" w:eastAsia="宋体" w:cs="宋体"/>
                <w:color w:val="auto"/>
                <w:sz w:val="24"/>
                <w:szCs w:val="24"/>
                <w:highlight w:val="none"/>
                <w:lang w:eastAsia="zh-CN"/>
              </w:rPr>
              <w:t>的通知</w:t>
            </w:r>
            <w:r>
              <w:rPr>
                <w:rFonts w:hint="eastAsia" w:ascii="宋体" w:hAnsi="宋体" w:eastAsia="宋体" w:cs="宋体"/>
                <w:color w:val="auto"/>
                <w:sz w:val="24"/>
                <w:szCs w:val="24"/>
                <w:highlight w:val="none"/>
              </w:rPr>
              <w:t>》（财库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2020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46号）；</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财政部、司法部《关于政府采购支持监狱企业发展有关问题的通知》（财库[2014]68号）；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财政部、民政部、中国残疾人联合会《关于促进残疾人就业政府采购政策的通知》（财库[2017]141号）；</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财政部、国家发展改革委、生态环境部、市场监管总局《关于调整优化节能产品、环境标志产品政府采购执行机制的通知》（财库[2019]9号）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财政部、生态环境部《关于印发环境标志产品政府采购品目清单的通知》（财库[2019]18号）；</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财政部、发展改革委《关于印发节能产品政府采购品目清单的通知》（财库[2019]19号）；</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市场监管总局《市场监管总局关于发布参与实施政府采购节能产品、环境标志产品认证机构名录的公告》（2019年第16号）；</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《财政部等三部门联合印发商品包装和快递包装政府采购需求标准（试行）》（财办库[2020]123号）等相关政策。</w:t>
            </w:r>
          </w:p>
        </w:tc>
      </w:tr>
      <w:tr w14:paraId="16098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1" w:hRule="atLeast"/>
          <w:jc w:val="center"/>
        </w:trPr>
        <w:tc>
          <w:tcPr>
            <w:tcW w:w="750" w:type="dxa"/>
            <w:noWrap w:val="0"/>
            <w:vAlign w:val="center"/>
          </w:tcPr>
          <w:p w14:paraId="1D7B7761">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8</w:t>
            </w:r>
          </w:p>
        </w:tc>
        <w:tc>
          <w:tcPr>
            <w:tcW w:w="1760" w:type="dxa"/>
            <w:noWrap w:val="0"/>
            <w:vAlign w:val="center"/>
          </w:tcPr>
          <w:p w14:paraId="5BA8443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落实政府采购政策预留份额要求</w:t>
            </w:r>
          </w:p>
        </w:tc>
        <w:tc>
          <w:tcPr>
            <w:tcW w:w="7153" w:type="dxa"/>
            <w:noWrap w:val="0"/>
            <w:vAlign w:val="center"/>
          </w:tcPr>
          <w:p w14:paraId="4BF31A31">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1.中小企业政策</w:t>
            </w:r>
          </w:p>
          <w:p w14:paraId="748FC35C">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非专门面向中小企业预留采购项目。供应商提供的货物全部由符合政策要求的小微企业制造、服务和工程由符合政策要求的小微企业承接，应对</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报价给予10%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20%（工程项目为6%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10%）扣除。</w:t>
            </w:r>
          </w:p>
          <w:p w14:paraId="5124FDEC">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小企业采购项目。即：供应商为</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小微企业或监狱企业或残疾人福利性单位；供应商提供的货物全部由符合政策要求的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小微企业制造、服务和工程全部由符合政策要求的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小微企业承接。</w:t>
            </w:r>
          </w:p>
          <w:p w14:paraId="528404B3">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专门面向小微企业采购项目。即：供应商为小微企业或监狱企业或残疾人福利性单位；供应商提供的货物全部由符合政策要求的小微企业制造、服务和工程全部由符合政策要求的小微企业承接。</w:t>
            </w:r>
          </w:p>
          <w:p w14:paraId="0F568952">
            <w:pPr>
              <w:keepNext w:val="0"/>
              <w:keepLines w:val="0"/>
              <w:pageBreakBefore w:val="0"/>
              <w:widowControl w:val="0"/>
              <w:numPr>
                <w:ilvl w:val="0"/>
                <w:numId w:val="0"/>
              </w:numPr>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US" w:eastAsia="zh-CN"/>
              </w:rPr>
              <w:t>其它落实政府采购政策的资格要求</w:t>
            </w:r>
          </w:p>
          <w:p w14:paraId="66ACCF89">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default"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未达到政府采购限额标准，不落实政府采购政策的资格要求。</w:t>
            </w:r>
          </w:p>
        </w:tc>
      </w:tr>
      <w:tr w14:paraId="6A0FE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750" w:type="dxa"/>
            <w:noWrap w:val="0"/>
            <w:vAlign w:val="center"/>
          </w:tcPr>
          <w:p w14:paraId="29A67B98">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9</w:t>
            </w:r>
          </w:p>
        </w:tc>
        <w:tc>
          <w:tcPr>
            <w:tcW w:w="1760" w:type="dxa"/>
            <w:noWrap w:val="0"/>
            <w:vAlign w:val="center"/>
          </w:tcPr>
          <w:p w14:paraId="47F1BC84">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价格评审优惠</w:t>
            </w:r>
          </w:p>
        </w:tc>
        <w:tc>
          <w:tcPr>
            <w:tcW w:w="7153" w:type="dxa"/>
            <w:noWrap w:val="0"/>
            <w:vAlign w:val="center"/>
          </w:tcPr>
          <w:p w14:paraId="3EF6E95A">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eastAsia="zh-CN"/>
              </w:rPr>
              <w:t>的</w:t>
            </w:r>
            <w:r>
              <w:rPr>
                <w:rFonts w:hint="eastAsia" w:ascii="宋体" w:hAnsi="宋体" w:eastAsia="宋体" w:cs="宋体"/>
                <w:color w:val="auto"/>
                <w:sz w:val="24"/>
                <w:szCs w:val="24"/>
                <w:highlight w:val="none"/>
                <w:lang w:eastAsia="zh-CN"/>
              </w:rPr>
              <w:t>扣除</w:t>
            </w:r>
          </w:p>
          <w:p w14:paraId="52D029AA">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报价不给予扣除</w:t>
            </w:r>
          </w:p>
        </w:tc>
      </w:tr>
      <w:tr w14:paraId="7E1AB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50" w:type="dxa"/>
            <w:noWrap w:val="0"/>
            <w:vAlign w:val="center"/>
          </w:tcPr>
          <w:p w14:paraId="0A62F431">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10</w:t>
            </w:r>
          </w:p>
        </w:tc>
        <w:tc>
          <w:tcPr>
            <w:tcW w:w="1760" w:type="dxa"/>
            <w:noWrap w:val="0"/>
            <w:vAlign w:val="center"/>
          </w:tcPr>
          <w:p w14:paraId="545F8751">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标的名称</w:t>
            </w:r>
          </w:p>
        </w:tc>
        <w:tc>
          <w:tcPr>
            <w:tcW w:w="7153" w:type="dxa"/>
            <w:noWrap w:val="0"/>
            <w:vAlign w:val="center"/>
          </w:tcPr>
          <w:p w14:paraId="2E7CDDCA">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详见“第三部分”</w:t>
            </w:r>
          </w:p>
        </w:tc>
      </w:tr>
      <w:tr w14:paraId="227E1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50" w:type="dxa"/>
            <w:noWrap w:val="0"/>
            <w:vAlign w:val="center"/>
          </w:tcPr>
          <w:p w14:paraId="7CBF5BC4">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11</w:t>
            </w:r>
          </w:p>
        </w:tc>
        <w:tc>
          <w:tcPr>
            <w:tcW w:w="1760" w:type="dxa"/>
            <w:noWrap w:val="0"/>
            <w:vAlign w:val="center"/>
          </w:tcPr>
          <w:p w14:paraId="554E4900">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标的所属行业</w:t>
            </w:r>
          </w:p>
        </w:tc>
        <w:tc>
          <w:tcPr>
            <w:tcW w:w="7153" w:type="dxa"/>
            <w:noWrap w:val="0"/>
            <w:vAlign w:val="center"/>
          </w:tcPr>
          <w:p w14:paraId="121B1925">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其他未列明行业</w:t>
            </w:r>
          </w:p>
        </w:tc>
      </w:tr>
      <w:tr w14:paraId="29293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750" w:type="dxa"/>
            <w:noWrap w:val="0"/>
            <w:vAlign w:val="center"/>
          </w:tcPr>
          <w:p w14:paraId="4A94FCD3">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12</w:t>
            </w:r>
          </w:p>
        </w:tc>
        <w:tc>
          <w:tcPr>
            <w:tcW w:w="1760" w:type="dxa"/>
            <w:noWrap w:val="0"/>
            <w:vAlign w:val="center"/>
          </w:tcPr>
          <w:p w14:paraId="598F199A">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联合体投标</w:t>
            </w:r>
          </w:p>
        </w:tc>
        <w:tc>
          <w:tcPr>
            <w:tcW w:w="7153" w:type="dxa"/>
            <w:noWrap w:val="0"/>
            <w:vAlign w:val="center"/>
          </w:tcPr>
          <w:p w14:paraId="21C848F7">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不接受</w:t>
            </w:r>
          </w:p>
          <w:p w14:paraId="742D9414">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接受</w:t>
            </w:r>
          </w:p>
        </w:tc>
      </w:tr>
      <w:tr w14:paraId="26690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50" w:type="dxa"/>
            <w:noWrap w:val="0"/>
            <w:vAlign w:val="center"/>
          </w:tcPr>
          <w:p w14:paraId="5327E9D1">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w:t>
            </w:r>
          </w:p>
        </w:tc>
        <w:tc>
          <w:tcPr>
            <w:tcW w:w="1760" w:type="dxa"/>
            <w:noWrap w:val="0"/>
            <w:vAlign w:val="center"/>
          </w:tcPr>
          <w:p w14:paraId="2A54C17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信息公告媒体</w:t>
            </w:r>
          </w:p>
        </w:tc>
        <w:tc>
          <w:tcPr>
            <w:tcW w:w="7153" w:type="dxa"/>
            <w:noWrap w:val="0"/>
            <w:vAlign w:val="center"/>
          </w:tcPr>
          <w:p w14:paraId="1FE070E5">
            <w:pPr>
              <w:keepNext w:val="0"/>
              <w:keepLines w:val="0"/>
              <w:pageBreakBefore w:val="0"/>
              <w:widowControl w:val="0"/>
              <w:kinsoku/>
              <w:overflowPunct/>
              <w:topLinePunct w:val="0"/>
              <w:bidi w:val="0"/>
              <w:adjustRightInd w:val="0"/>
              <w:snapToGrid w:val="0"/>
              <w:spacing w:line="240" w:lineRule="auto"/>
              <w:ind w:left="0" w:leftChars="0"/>
              <w:jc w:val="lef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新疆政府采购网</w:t>
            </w:r>
          </w:p>
        </w:tc>
      </w:tr>
      <w:tr w14:paraId="414A6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50" w:type="dxa"/>
            <w:noWrap w:val="0"/>
            <w:vAlign w:val="center"/>
          </w:tcPr>
          <w:p w14:paraId="523A58AF">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14</w:t>
            </w:r>
          </w:p>
        </w:tc>
        <w:tc>
          <w:tcPr>
            <w:tcW w:w="1760" w:type="dxa"/>
            <w:noWrap w:val="0"/>
            <w:vAlign w:val="center"/>
          </w:tcPr>
          <w:p w14:paraId="313E439A">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响应文件</w:t>
            </w:r>
            <w:r>
              <w:rPr>
                <w:rFonts w:hint="eastAsia" w:ascii="宋体" w:hAnsi="宋体" w:eastAsia="宋体" w:cs="宋体"/>
                <w:color w:val="auto"/>
                <w:kern w:val="2"/>
                <w:sz w:val="24"/>
                <w:szCs w:val="24"/>
                <w:highlight w:val="none"/>
                <w:lang w:val="en-US" w:eastAsia="zh-CN" w:bidi="ar-SA"/>
              </w:rPr>
              <w:t>递交（上传）截止时间及开标时间（响应文件解密时间）</w:t>
            </w:r>
          </w:p>
        </w:tc>
        <w:tc>
          <w:tcPr>
            <w:tcW w:w="7153" w:type="dxa"/>
            <w:noWrap w:val="0"/>
            <w:vAlign w:val="center"/>
          </w:tcPr>
          <w:p w14:paraId="0D507A2C">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val="en-US" w:eastAsia="zh-CN"/>
              </w:rPr>
              <w:t>2025年04月17日15:00</w:t>
            </w:r>
            <w:r>
              <w:rPr>
                <w:rFonts w:hint="eastAsia" w:ascii="宋体" w:hAnsi="宋体" w:eastAsia="宋体" w:cs="宋体"/>
                <w:bCs/>
                <w:color w:val="auto"/>
                <w:sz w:val="24"/>
                <w:szCs w:val="24"/>
                <w:highlight w:val="none"/>
              </w:rPr>
              <w:t>（北京时间）</w:t>
            </w:r>
          </w:p>
        </w:tc>
      </w:tr>
      <w:tr w14:paraId="0B150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50" w:type="dxa"/>
            <w:noWrap w:val="0"/>
            <w:vAlign w:val="center"/>
          </w:tcPr>
          <w:p w14:paraId="69558F7D">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15</w:t>
            </w:r>
          </w:p>
        </w:tc>
        <w:tc>
          <w:tcPr>
            <w:tcW w:w="1760" w:type="dxa"/>
            <w:noWrap w:val="0"/>
            <w:vAlign w:val="center"/>
          </w:tcPr>
          <w:p w14:paraId="24649F38">
            <w:pPr>
              <w:spacing w:line="320" w:lineRule="exact"/>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lang w:eastAsia="zh-CN"/>
              </w:rPr>
              <w:t>响应</w:t>
            </w:r>
            <w:r>
              <w:rPr>
                <w:rFonts w:hint="eastAsia" w:ascii="宋体" w:hAnsi="宋体" w:cs="宋体"/>
                <w:b w:val="0"/>
                <w:bCs w:val="0"/>
                <w:color w:val="auto"/>
                <w:sz w:val="24"/>
                <w:highlight w:val="none"/>
              </w:rPr>
              <w:t>文件</w:t>
            </w:r>
          </w:p>
          <w:p w14:paraId="39643E93">
            <w:pPr>
              <w:spacing w:line="320" w:lineRule="exact"/>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highlight w:val="none"/>
              </w:rPr>
              <w:t>解密时长</w:t>
            </w:r>
          </w:p>
        </w:tc>
        <w:tc>
          <w:tcPr>
            <w:tcW w:w="7153" w:type="dxa"/>
            <w:noWrap w:val="0"/>
            <w:vAlign w:val="center"/>
          </w:tcPr>
          <w:p w14:paraId="414197E5">
            <w:pPr>
              <w:spacing w:line="320" w:lineRule="exact"/>
              <w:rPr>
                <w:rFonts w:hint="eastAsia" w:ascii="宋体" w:hAnsi="宋体" w:eastAsia="宋体" w:cs="宋体"/>
                <w:bCs/>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0分钟</w:t>
            </w:r>
          </w:p>
        </w:tc>
      </w:tr>
      <w:tr w14:paraId="308FC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50" w:type="dxa"/>
            <w:noWrap w:val="0"/>
            <w:vAlign w:val="center"/>
          </w:tcPr>
          <w:p w14:paraId="742FD79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16</w:t>
            </w:r>
          </w:p>
        </w:tc>
        <w:tc>
          <w:tcPr>
            <w:tcW w:w="1760" w:type="dxa"/>
            <w:noWrap w:val="0"/>
            <w:vAlign w:val="center"/>
          </w:tcPr>
          <w:p w14:paraId="0D6D1AA4">
            <w:pPr>
              <w:spacing w:line="320" w:lineRule="exact"/>
              <w:jc w:val="center"/>
              <w:rPr>
                <w:rFonts w:hint="eastAsia" w:ascii="宋体" w:hAnsi="宋体" w:eastAsia="宋体" w:cs="宋体"/>
                <w:b w:val="0"/>
                <w:bCs w:val="0"/>
                <w:color w:val="auto"/>
                <w:sz w:val="24"/>
                <w:szCs w:val="24"/>
                <w:highlight w:val="none"/>
              </w:rPr>
            </w:pPr>
            <w:r>
              <w:rPr>
                <w:rFonts w:hint="eastAsia" w:ascii="宋体" w:hAnsi="宋体" w:cs="宋体"/>
                <w:b w:val="0"/>
                <w:bCs/>
                <w:color w:val="auto"/>
                <w:kern w:val="0"/>
                <w:sz w:val="24"/>
                <w:szCs w:val="24"/>
                <w:highlight w:val="none"/>
                <w:lang w:eastAsia="zh-CN"/>
              </w:rPr>
              <w:t>响应</w:t>
            </w:r>
            <w:r>
              <w:rPr>
                <w:rFonts w:hint="eastAsia" w:ascii="宋体" w:hAnsi="宋体" w:cs="宋体"/>
                <w:b w:val="0"/>
                <w:bCs/>
                <w:color w:val="auto"/>
                <w:kern w:val="0"/>
                <w:sz w:val="24"/>
                <w:szCs w:val="24"/>
                <w:highlight w:val="none"/>
              </w:rPr>
              <w:t>文件递交（上传）地点</w:t>
            </w:r>
          </w:p>
        </w:tc>
        <w:tc>
          <w:tcPr>
            <w:tcW w:w="7153" w:type="dxa"/>
            <w:noWrap w:val="0"/>
            <w:vAlign w:val="center"/>
          </w:tcPr>
          <w:p w14:paraId="0751F25B">
            <w:pPr>
              <w:spacing w:line="320" w:lineRule="exac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政采云投标客户端</w:t>
            </w:r>
          </w:p>
        </w:tc>
      </w:tr>
      <w:tr w14:paraId="563CE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750" w:type="dxa"/>
            <w:noWrap w:val="0"/>
            <w:vAlign w:val="center"/>
          </w:tcPr>
          <w:p w14:paraId="0CD8F59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1</w:t>
            </w:r>
            <w:r>
              <w:rPr>
                <w:rFonts w:hint="eastAsia" w:ascii="宋体" w:hAnsi="宋体" w:eastAsia="宋体" w:cs="宋体"/>
                <w:b w:val="0"/>
                <w:bCs w:val="0"/>
                <w:color w:val="auto"/>
                <w:sz w:val="24"/>
                <w:szCs w:val="24"/>
                <w:highlight w:val="none"/>
                <w:lang w:val="en-US" w:eastAsia="zh-CN"/>
              </w:rPr>
              <w:t>7</w:t>
            </w:r>
          </w:p>
        </w:tc>
        <w:tc>
          <w:tcPr>
            <w:tcW w:w="1760" w:type="dxa"/>
            <w:noWrap w:val="0"/>
            <w:vAlign w:val="center"/>
          </w:tcPr>
          <w:p w14:paraId="17E01A66">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磋商小组的组建及评审专家的确定方式</w:t>
            </w:r>
          </w:p>
        </w:tc>
        <w:tc>
          <w:tcPr>
            <w:tcW w:w="7153" w:type="dxa"/>
            <w:noWrap w:val="0"/>
            <w:vAlign w:val="center"/>
          </w:tcPr>
          <w:p w14:paraId="752F788C">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磋商</w:t>
            </w:r>
            <w:r>
              <w:rPr>
                <w:rFonts w:hint="eastAsia" w:ascii="宋体" w:hAnsi="宋体" w:cs="宋体"/>
                <w:color w:val="auto"/>
                <w:sz w:val="24"/>
                <w:szCs w:val="24"/>
                <w:highlight w:val="none"/>
              </w:rPr>
              <w:t>小组</w:t>
            </w:r>
            <w:r>
              <w:rPr>
                <w:rFonts w:hint="eastAsia" w:ascii="宋体" w:hAnsi="宋体" w:cs="宋体"/>
                <w:color w:val="auto"/>
                <w:sz w:val="24"/>
                <w:szCs w:val="24"/>
                <w:highlight w:val="none"/>
                <w:lang w:eastAsia="zh-CN"/>
              </w:rPr>
              <w:t>人员</w:t>
            </w:r>
            <w:r>
              <w:rPr>
                <w:rFonts w:hint="eastAsia" w:ascii="宋体" w:hAnsi="宋体" w:cs="宋体"/>
                <w:color w:val="auto"/>
                <w:sz w:val="24"/>
                <w:szCs w:val="24"/>
                <w:highlight w:val="none"/>
                <w:lang w:val="en-US" w:eastAsia="zh-CN"/>
              </w:rPr>
              <w:t>组成</w:t>
            </w:r>
            <w:r>
              <w:rPr>
                <w:rFonts w:hint="eastAsia" w:ascii="宋体" w:hAnsi="宋体" w:cs="宋体"/>
                <w:b/>
                <w:color w:val="auto"/>
                <w:sz w:val="24"/>
                <w:szCs w:val="24"/>
                <w:highlight w:val="none"/>
              </w:rPr>
              <w:t>：</w:t>
            </w:r>
            <w:r>
              <w:rPr>
                <w:rFonts w:hint="eastAsia" w:ascii="宋体" w:hAnsi="宋体" w:cs="宋体"/>
                <w:b w:val="0"/>
                <w:bCs/>
                <w:color w:val="auto"/>
                <w:sz w:val="24"/>
                <w:szCs w:val="24"/>
                <w:highlight w:val="none"/>
                <w:lang w:val="en-US" w:eastAsia="zh-CN"/>
              </w:rPr>
              <w:t>3</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采购人代表不得超过</w:t>
            </w:r>
            <w:r>
              <w:rPr>
                <w:rFonts w:ascii="宋体" w:hAnsi="宋体" w:cs="宋体"/>
                <w:color w:val="auto"/>
                <w:sz w:val="24"/>
                <w:szCs w:val="24"/>
                <w:highlight w:val="none"/>
              </w:rPr>
              <w:t>1</w:t>
            </w: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p>
          <w:p w14:paraId="2849BE54">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评审专家</w:t>
            </w:r>
            <w:r>
              <w:rPr>
                <w:rFonts w:hint="eastAsia" w:ascii="宋体" w:hAnsi="宋体" w:cs="宋体"/>
                <w:color w:val="auto"/>
                <w:sz w:val="24"/>
                <w:szCs w:val="24"/>
                <w:highlight w:val="none"/>
              </w:rPr>
              <w:t>确定方式：</w:t>
            </w:r>
            <w:r>
              <w:rPr>
                <w:rFonts w:hint="eastAsia" w:ascii="宋体" w:hAnsi="宋体" w:cs="宋体"/>
                <w:color w:val="auto"/>
                <w:sz w:val="24"/>
                <w:szCs w:val="24"/>
                <w:highlight w:val="none"/>
                <w:lang w:val="en-US" w:eastAsia="zh-CN"/>
              </w:rPr>
              <w:t>专家库</w:t>
            </w:r>
            <w:r>
              <w:rPr>
                <w:rFonts w:hint="eastAsia" w:ascii="宋体" w:hAnsi="宋体" w:cs="宋体"/>
                <w:color w:val="auto"/>
                <w:sz w:val="24"/>
                <w:szCs w:val="24"/>
                <w:highlight w:val="none"/>
              </w:rPr>
              <w:t>自行抽取</w:t>
            </w:r>
          </w:p>
        </w:tc>
      </w:tr>
      <w:tr w14:paraId="02FB2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3" w:hRule="atLeast"/>
          <w:jc w:val="center"/>
        </w:trPr>
        <w:tc>
          <w:tcPr>
            <w:tcW w:w="750" w:type="dxa"/>
            <w:noWrap w:val="0"/>
            <w:vAlign w:val="center"/>
          </w:tcPr>
          <w:p w14:paraId="0EE899DA">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1</w:t>
            </w:r>
            <w:r>
              <w:rPr>
                <w:rFonts w:hint="eastAsia" w:ascii="宋体" w:hAnsi="宋体" w:eastAsia="宋体" w:cs="宋体"/>
                <w:b w:val="0"/>
                <w:bCs w:val="0"/>
                <w:color w:val="auto"/>
                <w:sz w:val="24"/>
                <w:szCs w:val="24"/>
                <w:highlight w:val="none"/>
                <w:lang w:val="en-US" w:eastAsia="zh-CN"/>
              </w:rPr>
              <w:t>8</w:t>
            </w:r>
          </w:p>
        </w:tc>
        <w:tc>
          <w:tcPr>
            <w:tcW w:w="1760" w:type="dxa"/>
            <w:noWrap w:val="0"/>
            <w:vAlign w:val="center"/>
          </w:tcPr>
          <w:p w14:paraId="3E6F124D">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磋商保证金</w:t>
            </w:r>
          </w:p>
        </w:tc>
        <w:tc>
          <w:tcPr>
            <w:tcW w:w="7153" w:type="dxa"/>
            <w:noWrap w:val="0"/>
            <w:vAlign w:val="center"/>
          </w:tcPr>
          <w:p w14:paraId="7A62871F">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金额：</w:t>
            </w:r>
            <w:r>
              <w:rPr>
                <w:rFonts w:hint="eastAsia" w:asciiTheme="minorEastAsia" w:hAnsiTheme="minorEastAsia" w:eastAsiaTheme="minorEastAsia" w:cstheme="minorEastAsia"/>
                <w:color w:val="auto"/>
                <w:sz w:val="24"/>
                <w:szCs w:val="24"/>
                <w:highlight w:val="none"/>
                <w:lang w:val="en-US" w:eastAsia="zh-CN"/>
              </w:rPr>
              <w:t>6000元</w:t>
            </w:r>
          </w:p>
          <w:p w14:paraId="4549CFE6">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缴纳形式：转账</w:t>
            </w:r>
            <w:r>
              <w:rPr>
                <w:rFonts w:hint="eastAsia" w:ascii="宋体" w:hAnsi="宋体" w:eastAsia="宋体" w:cs="宋体"/>
                <w:bCs/>
                <w:color w:val="auto"/>
                <w:sz w:val="24"/>
                <w:szCs w:val="24"/>
                <w:highlight w:val="none"/>
                <w:lang w:val="en-US" w:eastAsia="zh-CN"/>
              </w:rPr>
              <w:t>或电子保函</w:t>
            </w:r>
          </w:p>
          <w:p w14:paraId="0056DF37">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b/>
                <w:bCs/>
                <w:color w:val="auto"/>
                <w:sz w:val="24"/>
                <w:szCs w:val="24"/>
                <w:highlight w:val="none"/>
                <w:lang w:val="en-US"/>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转账缴纳</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从</w:t>
            </w:r>
            <w:r>
              <w:rPr>
                <w:rFonts w:hint="eastAsia" w:ascii="宋体" w:hAnsi="宋体" w:eastAsia="宋体" w:cs="宋体"/>
                <w:b/>
                <w:bCs/>
                <w:color w:val="auto"/>
                <w:sz w:val="24"/>
                <w:szCs w:val="24"/>
                <w:highlight w:val="none"/>
              </w:rPr>
              <w:t>投标人基本账户转入</w:t>
            </w:r>
            <w:r>
              <w:rPr>
                <w:rFonts w:hint="eastAsia" w:ascii="宋体" w:hAnsi="宋体" w:cs="宋体"/>
                <w:b/>
                <w:bCs/>
                <w:color w:val="auto"/>
                <w:sz w:val="24"/>
                <w:szCs w:val="24"/>
                <w:highlight w:val="none"/>
                <w:lang w:val="en-US" w:eastAsia="zh-CN"/>
              </w:rPr>
              <w:t>代理</w:t>
            </w:r>
            <w:r>
              <w:rPr>
                <w:rFonts w:hint="eastAsia" w:ascii="宋体" w:hAnsi="宋体" w:eastAsia="宋体" w:cs="宋体"/>
                <w:b/>
                <w:bCs/>
                <w:color w:val="auto"/>
                <w:sz w:val="24"/>
                <w:szCs w:val="24"/>
                <w:highlight w:val="none"/>
                <w:lang w:eastAsia="zh-CN"/>
              </w:rPr>
              <w:t>公司</w:t>
            </w:r>
            <w:r>
              <w:rPr>
                <w:rFonts w:hint="eastAsia" w:ascii="宋体" w:hAnsi="宋体" w:eastAsia="宋体" w:cs="宋体"/>
                <w:b/>
                <w:bCs/>
                <w:color w:val="auto"/>
                <w:sz w:val="24"/>
                <w:szCs w:val="24"/>
                <w:highlight w:val="none"/>
              </w:rPr>
              <w:t>账户）</w:t>
            </w:r>
          </w:p>
          <w:p w14:paraId="3D6ECD2B">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户：</w:t>
            </w:r>
            <w:r>
              <w:rPr>
                <w:rFonts w:hint="eastAsia" w:ascii="宋体" w:hAnsi="宋体" w:eastAsia="宋体" w:cs="宋体"/>
                <w:color w:val="auto"/>
                <w:sz w:val="24"/>
                <w:szCs w:val="24"/>
                <w:highlight w:val="none"/>
                <w:lang w:eastAsia="zh-CN"/>
              </w:rPr>
              <w:t>新疆中诺项目管理有限公司</w:t>
            </w:r>
          </w:p>
          <w:p w14:paraId="1C18AD67">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号：</w:t>
            </w:r>
            <w:r>
              <w:rPr>
                <w:rFonts w:hint="eastAsia" w:ascii="宋体" w:hAnsi="宋体" w:eastAsia="宋体" w:cs="宋体"/>
                <w:color w:val="auto"/>
                <w:sz w:val="24"/>
                <w:szCs w:val="24"/>
                <w:highlight w:val="none"/>
                <w:lang w:eastAsia="zh-CN"/>
              </w:rPr>
              <w:t>651651023013000538609</w:t>
            </w:r>
          </w:p>
          <w:p w14:paraId="1EB7FB8A">
            <w:pPr>
              <w:pStyle w:val="19"/>
              <w:keepNext w:val="0"/>
              <w:keepLines w:val="0"/>
              <w:pageBreakBefore w:val="0"/>
              <w:kinsoku/>
              <w:wordWrap/>
              <w:overflowPunct/>
              <w:topLinePunct w:val="0"/>
              <w:autoSpaceDE/>
              <w:autoSpaceDN/>
              <w:bidi w:val="0"/>
              <w:adjustRightInd w:val="0"/>
              <w:snapToGrid w:val="0"/>
              <w:spacing w:after="0" w:line="240" w:lineRule="auto"/>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行  号：</w:t>
            </w:r>
            <w:r>
              <w:rPr>
                <w:rFonts w:hint="eastAsia" w:ascii="宋体" w:hAnsi="宋体" w:eastAsia="宋体" w:cs="宋体"/>
                <w:color w:val="auto"/>
                <w:sz w:val="24"/>
                <w:szCs w:val="24"/>
                <w:highlight w:val="none"/>
                <w:lang w:val="en-US" w:eastAsia="zh-CN"/>
              </w:rPr>
              <w:t>301881000202</w:t>
            </w:r>
          </w:p>
          <w:p w14:paraId="20E42570">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开户行：</w:t>
            </w:r>
            <w:r>
              <w:rPr>
                <w:rFonts w:hint="eastAsia" w:ascii="宋体" w:hAnsi="宋体" w:cs="宋体"/>
                <w:color w:val="auto"/>
                <w:sz w:val="24"/>
                <w:szCs w:val="24"/>
                <w:highlight w:val="none"/>
                <w:lang w:eastAsia="zh-CN"/>
              </w:rPr>
              <w:t>交通银行乌鲁木齐明园西路支行</w:t>
            </w:r>
          </w:p>
          <w:p w14:paraId="4A232B91">
            <w:pPr>
              <w:keepNext w:val="0"/>
              <w:keepLines w:val="0"/>
              <w:widowControl/>
              <w:suppressLineNumbers w:val="0"/>
              <w:jc w:val="both"/>
              <w:rPr>
                <w:rFonts w:hint="default"/>
                <w:b/>
                <w:bCs/>
                <w:color w:val="auto"/>
                <w:highlight w:val="none"/>
                <w:lang w:val="en-US"/>
              </w:rPr>
            </w:pPr>
            <w:r>
              <w:rPr>
                <w:rFonts w:hint="eastAsia" w:ascii="宋体" w:hAnsi="宋体" w:eastAsia="宋体" w:cs="宋体"/>
                <w:b/>
                <w:bCs/>
                <w:color w:val="auto"/>
                <w:kern w:val="0"/>
                <w:sz w:val="24"/>
                <w:szCs w:val="24"/>
                <w:highlight w:val="none"/>
                <w:lang w:val="en-US" w:eastAsia="zh-CN" w:bidi="ar"/>
              </w:rPr>
              <w:t>（2）电子保函缴纳</w:t>
            </w:r>
          </w:p>
          <w:p w14:paraId="0A9DD739">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投标人可在政采云线上完成电子保函的申请、审核、开票、出函等环节；</w:t>
            </w:r>
            <w:r>
              <w:rPr>
                <w:rFonts w:hint="eastAsia" w:ascii="宋体" w:hAnsi="宋体" w:cs="宋体"/>
                <w:color w:val="auto"/>
                <w:kern w:val="0"/>
                <w:sz w:val="24"/>
                <w:szCs w:val="24"/>
                <w:highlight w:val="none"/>
                <w:lang w:val="en-US" w:eastAsia="zh-CN" w:bidi="ar"/>
              </w:rPr>
              <w:t>金融热线服务</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95763；</w:t>
            </w:r>
            <w:r>
              <w:rPr>
                <w:rFonts w:hint="eastAsia" w:ascii="宋体" w:hAnsi="宋体" w:eastAsia="宋体" w:cs="宋体"/>
                <w:color w:val="auto"/>
                <w:kern w:val="0"/>
                <w:sz w:val="24"/>
                <w:szCs w:val="24"/>
                <w:highlight w:val="none"/>
                <w:lang w:val="en-US" w:eastAsia="zh-CN" w:bidi="ar"/>
              </w:rPr>
              <w:t>政采云电子保函申请链接：</w:t>
            </w:r>
          </w:p>
          <w:p w14:paraId="40F76804">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b/>
                <w:bCs/>
                <w:color w:val="auto"/>
                <w:kern w:val="0"/>
                <w:sz w:val="24"/>
                <w:szCs w:val="24"/>
                <w:highlight w:val="none"/>
                <w:lang w:val="en-US" w:eastAsia="zh-CN" w:bidi="ar"/>
              </w:rPr>
              <w:t>https://jinrong.zcygov.cn/luban/letter</w:t>
            </w:r>
            <w:r>
              <w:rPr>
                <w:rFonts w:hint="eastAsia" w:ascii="宋体" w:hAnsi="宋体" w:eastAsia="宋体" w:cs="宋体"/>
                <w:color w:val="auto"/>
                <w:kern w:val="0"/>
                <w:sz w:val="24"/>
                <w:szCs w:val="24"/>
                <w:highlight w:val="none"/>
                <w:lang w:val="en-US" w:eastAsia="zh-CN" w:bidi="ar"/>
              </w:rPr>
              <w:t>）；</w:t>
            </w:r>
          </w:p>
          <w:p w14:paraId="0B26E367">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val="en-US" w:eastAsia="zh-CN" w:bidi="ar"/>
              </w:rPr>
              <w:t>备注：</w:t>
            </w:r>
            <w:r>
              <w:rPr>
                <w:rFonts w:hint="eastAsia" w:ascii="宋体" w:hAnsi="宋体" w:eastAsia="宋体" w:cs="宋体"/>
                <w:color w:val="auto"/>
                <w:kern w:val="0"/>
                <w:sz w:val="24"/>
                <w:szCs w:val="24"/>
                <w:highlight w:val="none"/>
                <w:lang w:val="en-US" w:eastAsia="zh-CN" w:bidi="ar"/>
              </w:rPr>
              <w:t>各投标单位缴纳保证金时需在附加信息</w:t>
            </w:r>
            <w:r>
              <w:rPr>
                <w:rFonts w:hint="eastAsia" w:ascii="宋体" w:hAnsi="宋体" w:cs="宋体"/>
                <w:color w:val="auto"/>
                <w:kern w:val="0"/>
                <w:sz w:val="24"/>
                <w:szCs w:val="24"/>
                <w:highlight w:val="none"/>
                <w:lang w:val="en-US" w:eastAsia="zh-CN" w:bidi="ar"/>
              </w:rPr>
              <w:t>或</w:t>
            </w:r>
            <w:r>
              <w:rPr>
                <w:rFonts w:hint="eastAsia" w:ascii="宋体" w:hAnsi="宋体" w:eastAsia="宋体" w:cs="宋体"/>
                <w:color w:val="auto"/>
                <w:kern w:val="0"/>
                <w:sz w:val="24"/>
                <w:szCs w:val="24"/>
                <w:highlight w:val="none"/>
                <w:lang w:val="en-US" w:eastAsia="zh-CN" w:bidi="ar"/>
              </w:rPr>
              <w:t>用途栏内注明（</w:t>
            </w:r>
            <w:r>
              <w:rPr>
                <w:rFonts w:hint="eastAsia" w:ascii="宋体" w:hAnsi="宋体" w:cs="宋体"/>
                <w:b/>
                <w:bCs/>
                <w:color w:val="auto"/>
                <w:kern w:val="0"/>
                <w:sz w:val="24"/>
                <w:szCs w:val="24"/>
                <w:highlight w:val="none"/>
                <w:lang w:val="en-US" w:eastAsia="zh-CN" w:bidi="ar"/>
              </w:rPr>
              <w:t>项目名称+磋商</w:t>
            </w:r>
            <w:r>
              <w:rPr>
                <w:rFonts w:hint="eastAsia" w:ascii="宋体" w:hAnsi="宋体" w:eastAsia="宋体" w:cs="宋体"/>
                <w:b/>
                <w:bCs/>
                <w:color w:val="auto"/>
                <w:kern w:val="0"/>
                <w:sz w:val="24"/>
                <w:szCs w:val="24"/>
                <w:highlight w:val="none"/>
                <w:lang w:val="en-US" w:eastAsia="zh-CN" w:bidi="ar"/>
              </w:rPr>
              <w:t>保证金</w:t>
            </w:r>
            <w:r>
              <w:rPr>
                <w:rFonts w:hint="eastAsia" w:ascii="宋体" w:hAnsi="宋体" w:eastAsia="宋体" w:cs="宋体"/>
                <w:color w:val="auto"/>
                <w:kern w:val="0"/>
                <w:sz w:val="24"/>
                <w:szCs w:val="24"/>
                <w:highlight w:val="none"/>
                <w:lang w:val="en-US" w:eastAsia="zh-CN" w:bidi="ar"/>
              </w:rPr>
              <w:t>）；保证金</w:t>
            </w:r>
            <w:r>
              <w:rPr>
                <w:rFonts w:hint="eastAsia" w:ascii="宋体" w:hAnsi="宋体" w:cs="宋体"/>
                <w:color w:val="auto"/>
                <w:kern w:val="0"/>
                <w:sz w:val="24"/>
                <w:szCs w:val="24"/>
                <w:highlight w:val="none"/>
                <w:lang w:val="en-US" w:eastAsia="zh-CN" w:bidi="ar"/>
              </w:rPr>
              <w:t>应</w:t>
            </w:r>
            <w:r>
              <w:rPr>
                <w:rFonts w:hint="eastAsia" w:ascii="宋体" w:hAnsi="宋体" w:eastAsia="宋体" w:cs="宋体"/>
                <w:color w:val="auto"/>
                <w:kern w:val="0"/>
                <w:sz w:val="24"/>
                <w:szCs w:val="24"/>
                <w:highlight w:val="none"/>
                <w:lang w:val="en-US" w:eastAsia="zh-CN" w:bidi="ar"/>
              </w:rPr>
              <w:t>于投标截止时间前确认到账，</w:t>
            </w: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和电子保函</w:t>
            </w:r>
            <w:r>
              <w:rPr>
                <w:rFonts w:hint="eastAsia" w:ascii="宋体" w:hAnsi="宋体" w:cs="宋体"/>
                <w:color w:val="auto"/>
                <w:sz w:val="24"/>
                <w:szCs w:val="24"/>
                <w:highlight w:val="none"/>
              </w:rPr>
              <w:t>有效期应当与投标有效期一致</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若供应商未按照上述规定缴纳保证金，投标（响应）文件将被拒绝评审。</w:t>
            </w:r>
          </w:p>
        </w:tc>
      </w:tr>
      <w:tr w14:paraId="429CB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9" w:hRule="atLeast"/>
          <w:jc w:val="center"/>
        </w:trPr>
        <w:tc>
          <w:tcPr>
            <w:tcW w:w="750" w:type="dxa"/>
            <w:noWrap w:val="0"/>
            <w:vAlign w:val="center"/>
          </w:tcPr>
          <w:p w14:paraId="722F417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1</w:t>
            </w:r>
            <w:r>
              <w:rPr>
                <w:rFonts w:hint="eastAsia" w:ascii="宋体" w:hAnsi="宋体" w:eastAsia="宋体" w:cs="宋体"/>
                <w:b w:val="0"/>
                <w:bCs w:val="0"/>
                <w:color w:val="auto"/>
                <w:sz w:val="24"/>
                <w:szCs w:val="24"/>
                <w:highlight w:val="none"/>
                <w:lang w:val="en-US" w:eastAsia="zh-CN"/>
              </w:rPr>
              <w:t>9</w:t>
            </w:r>
          </w:p>
        </w:tc>
        <w:tc>
          <w:tcPr>
            <w:tcW w:w="1760" w:type="dxa"/>
            <w:noWrap w:val="0"/>
            <w:vAlign w:val="center"/>
          </w:tcPr>
          <w:p w14:paraId="0D7F6511">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评审办法</w:t>
            </w:r>
          </w:p>
        </w:tc>
        <w:tc>
          <w:tcPr>
            <w:tcW w:w="7153" w:type="dxa"/>
            <w:noWrap w:val="0"/>
            <w:vAlign w:val="center"/>
          </w:tcPr>
          <w:p w14:paraId="3F1C484A">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综合评分法，即指投标</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响应</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文件满足</w:t>
            </w:r>
            <w:r>
              <w:rPr>
                <w:rFonts w:hint="eastAsia" w:ascii="宋体" w:hAnsi="宋体" w:cs="宋体"/>
                <w:bCs/>
                <w:color w:val="auto"/>
                <w:sz w:val="24"/>
                <w:szCs w:val="24"/>
                <w:highlight w:val="none"/>
                <w:lang w:val="en-US" w:eastAsia="zh-CN"/>
              </w:rPr>
              <w:t>采购</w:t>
            </w:r>
            <w:r>
              <w:rPr>
                <w:rFonts w:hint="eastAsia" w:ascii="宋体" w:hAnsi="宋体" w:eastAsia="宋体" w:cs="宋体"/>
                <w:bCs/>
                <w:color w:val="auto"/>
                <w:sz w:val="24"/>
                <w:szCs w:val="24"/>
                <w:highlight w:val="none"/>
              </w:rPr>
              <w:t>文件全部实质性要求且按照评审因素的量化指标评审得分最高的投标人为中标</w:t>
            </w:r>
            <w:r>
              <w:rPr>
                <w:rFonts w:hint="eastAsia" w:ascii="宋体" w:hAnsi="宋体" w:eastAsia="宋体" w:cs="宋体"/>
                <w:bCs/>
                <w:color w:val="auto"/>
                <w:sz w:val="24"/>
                <w:szCs w:val="24"/>
                <w:highlight w:val="none"/>
                <w:lang w:eastAsia="zh-CN"/>
              </w:rPr>
              <w:t>（成交）</w:t>
            </w:r>
            <w:r>
              <w:rPr>
                <w:rFonts w:hint="eastAsia" w:ascii="宋体" w:hAnsi="宋体" w:eastAsia="宋体" w:cs="宋体"/>
                <w:bCs/>
                <w:color w:val="auto"/>
                <w:sz w:val="24"/>
                <w:szCs w:val="24"/>
                <w:highlight w:val="none"/>
              </w:rPr>
              <w:t>候选人的评标方法。每一投标人的最终得分为所有评委评分的算术平均值。得分相同的，报价较低的一方为中标</w:t>
            </w:r>
            <w:r>
              <w:rPr>
                <w:rFonts w:hint="eastAsia" w:ascii="宋体" w:hAnsi="宋体" w:eastAsia="宋体" w:cs="宋体"/>
                <w:bCs/>
                <w:color w:val="auto"/>
                <w:sz w:val="24"/>
                <w:szCs w:val="24"/>
                <w:highlight w:val="none"/>
                <w:lang w:eastAsia="zh-CN"/>
              </w:rPr>
              <w:t>（成交）</w:t>
            </w:r>
            <w:r>
              <w:rPr>
                <w:rFonts w:hint="eastAsia" w:ascii="宋体" w:hAnsi="宋体" w:eastAsia="宋体" w:cs="宋体"/>
                <w:bCs/>
                <w:color w:val="auto"/>
                <w:sz w:val="24"/>
                <w:szCs w:val="24"/>
                <w:highlight w:val="none"/>
              </w:rPr>
              <w:t>人。得分且</w:t>
            </w:r>
            <w:r>
              <w:rPr>
                <w:rFonts w:hint="eastAsia" w:ascii="宋体" w:hAnsi="宋体" w:cs="宋体"/>
                <w:bCs/>
                <w:color w:val="auto"/>
                <w:sz w:val="24"/>
                <w:szCs w:val="24"/>
                <w:highlight w:val="none"/>
                <w:lang w:eastAsia="zh-CN"/>
              </w:rPr>
              <w:t>磋商报价</w:t>
            </w:r>
            <w:r>
              <w:rPr>
                <w:rFonts w:hint="eastAsia" w:ascii="宋体" w:hAnsi="宋体" w:eastAsia="宋体" w:cs="宋体"/>
                <w:bCs/>
                <w:color w:val="auto"/>
                <w:sz w:val="24"/>
                <w:szCs w:val="24"/>
                <w:highlight w:val="none"/>
              </w:rPr>
              <w:t>相同的，技术指标较优的一方为中标</w:t>
            </w:r>
            <w:r>
              <w:rPr>
                <w:rFonts w:hint="eastAsia" w:ascii="宋体" w:hAnsi="宋体" w:eastAsia="宋体" w:cs="宋体"/>
                <w:bCs/>
                <w:color w:val="auto"/>
                <w:sz w:val="24"/>
                <w:szCs w:val="24"/>
                <w:highlight w:val="none"/>
                <w:lang w:eastAsia="zh-CN"/>
              </w:rPr>
              <w:t>（成交）</w:t>
            </w:r>
            <w:r>
              <w:rPr>
                <w:rFonts w:hint="eastAsia" w:ascii="宋体" w:hAnsi="宋体" w:eastAsia="宋体" w:cs="宋体"/>
                <w:bCs/>
                <w:color w:val="auto"/>
                <w:sz w:val="24"/>
                <w:szCs w:val="24"/>
                <w:highlight w:val="none"/>
              </w:rPr>
              <w:t>人。</w:t>
            </w:r>
          </w:p>
        </w:tc>
      </w:tr>
      <w:tr w14:paraId="023DF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50" w:type="dxa"/>
            <w:noWrap w:val="0"/>
            <w:vAlign w:val="center"/>
          </w:tcPr>
          <w:p w14:paraId="3E3C777A">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20</w:t>
            </w:r>
          </w:p>
        </w:tc>
        <w:tc>
          <w:tcPr>
            <w:tcW w:w="1760" w:type="dxa"/>
            <w:noWrap w:val="0"/>
            <w:vAlign w:val="center"/>
          </w:tcPr>
          <w:p w14:paraId="0DF1303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磋商有效期</w:t>
            </w:r>
          </w:p>
        </w:tc>
        <w:tc>
          <w:tcPr>
            <w:tcW w:w="7153" w:type="dxa"/>
            <w:noWrap w:val="0"/>
            <w:vAlign w:val="center"/>
          </w:tcPr>
          <w:p w14:paraId="50105BCB">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u w:val="none"/>
                <w:lang w:val="en-US" w:eastAsia="zh-CN"/>
              </w:rPr>
              <w:t>90</w:t>
            </w:r>
            <w:r>
              <w:rPr>
                <w:rFonts w:hint="eastAsia" w:ascii="宋体" w:hAnsi="宋体" w:eastAsia="宋体" w:cs="宋体"/>
                <w:color w:val="auto"/>
                <w:sz w:val="24"/>
                <w:szCs w:val="24"/>
                <w:highlight w:val="none"/>
              </w:rPr>
              <w:t>日（日历日）</w:t>
            </w:r>
          </w:p>
        </w:tc>
      </w:tr>
      <w:tr w14:paraId="259E2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750" w:type="dxa"/>
            <w:noWrap w:val="0"/>
            <w:vAlign w:val="center"/>
          </w:tcPr>
          <w:p w14:paraId="748B02D1">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w:t>
            </w:r>
          </w:p>
        </w:tc>
        <w:tc>
          <w:tcPr>
            <w:tcW w:w="1760" w:type="dxa"/>
            <w:noWrap w:val="0"/>
            <w:vAlign w:val="center"/>
          </w:tcPr>
          <w:p w14:paraId="4C3FF7D3">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响应</w:t>
            </w:r>
            <w:r>
              <w:rPr>
                <w:rFonts w:hint="eastAsia" w:ascii="宋体" w:hAnsi="宋体" w:eastAsia="宋体" w:cs="宋体"/>
                <w:b w:val="0"/>
                <w:bCs w:val="0"/>
                <w:color w:val="auto"/>
                <w:sz w:val="24"/>
                <w:szCs w:val="24"/>
                <w:highlight w:val="none"/>
              </w:rPr>
              <w:t>文件份数</w:t>
            </w:r>
          </w:p>
        </w:tc>
        <w:tc>
          <w:tcPr>
            <w:tcW w:w="7153" w:type="dxa"/>
            <w:noWrap w:val="0"/>
            <w:vAlign w:val="center"/>
          </w:tcPr>
          <w:p w14:paraId="765B74D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纸质</w:t>
            </w:r>
            <w:r>
              <w:rPr>
                <w:rFonts w:hint="eastAsia" w:ascii="宋体" w:hAnsi="宋体" w:cs="宋体"/>
                <w:color w:val="auto"/>
                <w:sz w:val="24"/>
                <w:szCs w:val="24"/>
                <w:highlight w:val="none"/>
                <w:lang w:val="en-US" w:eastAsia="zh-CN"/>
              </w:rPr>
              <w:t>响应</w:t>
            </w:r>
            <w:r>
              <w:rPr>
                <w:rFonts w:hint="eastAsia" w:ascii="宋体" w:hAnsi="宋体" w:cs="宋体"/>
                <w:color w:val="auto"/>
                <w:sz w:val="24"/>
                <w:szCs w:val="24"/>
                <w:highlight w:val="none"/>
              </w:rPr>
              <w:t>文件：正本1份，副本2份</w:t>
            </w:r>
          </w:p>
          <w:p w14:paraId="6C17315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cs="宋体"/>
                <w:b/>
                <w:bCs/>
                <w:color w:val="auto"/>
                <w:sz w:val="24"/>
                <w:szCs w:val="24"/>
                <w:highlight w:val="none"/>
              </w:rPr>
              <w:t>注：每本标书厚度不得超过5cm，如超过可进行分册装订。公示期满由</w:t>
            </w:r>
            <w:r>
              <w:rPr>
                <w:rFonts w:hint="eastAsia" w:ascii="宋体" w:hAnsi="宋体" w:cs="宋体"/>
                <w:b/>
                <w:bCs/>
                <w:color w:val="auto"/>
                <w:sz w:val="24"/>
                <w:szCs w:val="24"/>
                <w:highlight w:val="none"/>
                <w:lang w:val="en-US" w:eastAsia="zh-CN"/>
              </w:rPr>
              <w:t>中标（成交）</w:t>
            </w:r>
            <w:r>
              <w:rPr>
                <w:rFonts w:hint="eastAsia" w:ascii="宋体" w:hAnsi="宋体" w:cs="宋体"/>
                <w:b/>
                <w:bCs/>
                <w:color w:val="auto"/>
                <w:sz w:val="24"/>
                <w:szCs w:val="24"/>
                <w:highlight w:val="none"/>
              </w:rPr>
              <w:t>单位将纸质</w:t>
            </w:r>
            <w:r>
              <w:rPr>
                <w:rFonts w:hint="eastAsia" w:ascii="宋体" w:hAnsi="宋体" w:cs="宋体"/>
                <w:b/>
                <w:bCs/>
                <w:color w:val="auto"/>
                <w:sz w:val="24"/>
                <w:szCs w:val="24"/>
                <w:highlight w:val="none"/>
                <w:lang w:val="en-US" w:eastAsia="zh-CN"/>
              </w:rPr>
              <w:t>响应</w:t>
            </w:r>
            <w:r>
              <w:rPr>
                <w:rFonts w:hint="eastAsia" w:ascii="宋体" w:hAnsi="宋体" w:cs="宋体"/>
                <w:b/>
                <w:bCs/>
                <w:color w:val="auto"/>
                <w:sz w:val="24"/>
                <w:szCs w:val="24"/>
                <w:highlight w:val="none"/>
              </w:rPr>
              <w:t>文件</w:t>
            </w:r>
            <w:r>
              <w:rPr>
                <w:rFonts w:hint="eastAsia" w:ascii="宋体" w:hAnsi="宋体" w:cs="宋体"/>
                <w:b/>
                <w:bCs/>
                <w:color w:val="auto"/>
                <w:sz w:val="24"/>
                <w:szCs w:val="24"/>
                <w:highlight w:val="none"/>
                <w:lang w:val="en-US" w:eastAsia="zh-CN"/>
              </w:rPr>
              <w:t>送或</w:t>
            </w:r>
            <w:r>
              <w:rPr>
                <w:rFonts w:hint="eastAsia" w:ascii="宋体" w:hAnsi="宋体" w:cs="宋体"/>
                <w:b/>
                <w:bCs/>
                <w:color w:val="auto"/>
                <w:sz w:val="24"/>
                <w:szCs w:val="24"/>
                <w:highlight w:val="none"/>
              </w:rPr>
              <w:t>寄至</w:t>
            </w:r>
            <w:r>
              <w:rPr>
                <w:rFonts w:hint="eastAsia" w:ascii="宋体" w:hAnsi="宋体" w:cs="宋体"/>
                <w:b/>
                <w:bCs/>
                <w:color w:val="auto"/>
                <w:sz w:val="24"/>
                <w:szCs w:val="24"/>
                <w:highlight w:val="none"/>
                <w:lang w:val="en-US" w:eastAsia="zh-CN"/>
              </w:rPr>
              <w:t>采购代理机构。</w:t>
            </w:r>
          </w:p>
        </w:tc>
      </w:tr>
      <w:tr w14:paraId="54C3F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750" w:type="dxa"/>
            <w:noWrap w:val="0"/>
            <w:vAlign w:val="center"/>
          </w:tcPr>
          <w:p w14:paraId="30A70143">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22</w:t>
            </w:r>
          </w:p>
        </w:tc>
        <w:tc>
          <w:tcPr>
            <w:tcW w:w="1760" w:type="dxa"/>
            <w:noWrap w:val="0"/>
            <w:vAlign w:val="center"/>
          </w:tcPr>
          <w:p w14:paraId="21BC823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是否允许投报进口产品</w:t>
            </w:r>
          </w:p>
        </w:tc>
        <w:tc>
          <w:tcPr>
            <w:tcW w:w="7153" w:type="dxa"/>
            <w:noWrap w:val="0"/>
            <w:vAlign w:val="center"/>
          </w:tcPr>
          <w:p w14:paraId="5EBD4257">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□是</w:t>
            </w:r>
          </w:p>
          <w:p w14:paraId="502057F4">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否</w:t>
            </w:r>
          </w:p>
        </w:tc>
      </w:tr>
      <w:tr w14:paraId="3E93B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750" w:type="dxa"/>
            <w:noWrap w:val="0"/>
            <w:vAlign w:val="center"/>
          </w:tcPr>
          <w:p w14:paraId="3DEE39CE">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23</w:t>
            </w:r>
          </w:p>
        </w:tc>
        <w:tc>
          <w:tcPr>
            <w:tcW w:w="1760" w:type="dxa"/>
            <w:noWrap w:val="0"/>
            <w:vAlign w:val="center"/>
          </w:tcPr>
          <w:p w14:paraId="5D975606">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踏勘现场</w:t>
            </w:r>
          </w:p>
        </w:tc>
        <w:tc>
          <w:tcPr>
            <w:tcW w:w="7153" w:type="dxa"/>
            <w:noWrap w:val="0"/>
            <w:vAlign w:val="center"/>
          </w:tcPr>
          <w:p w14:paraId="2ABDA3D7">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不组织</w:t>
            </w:r>
          </w:p>
        </w:tc>
      </w:tr>
      <w:tr w14:paraId="622B4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750" w:type="dxa"/>
            <w:noWrap w:val="0"/>
            <w:vAlign w:val="center"/>
          </w:tcPr>
          <w:p w14:paraId="53503900">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24</w:t>
            </w:r>
          </w:p>
        </w:tc>
        <w:tc>
          <w:tcPr>
            <w:tcW w:w="1760" w:type="dxa"/>
            <w:noWrap w:val="0"/>
            <w:vAlign w:val="center"/>
          </w:tcPr>
          <w:p w14:paraId="49BE30B7">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rPr>
              <w:t>节能、环保要求</w:t>
            </w:r>
          </w:p>
        </w:tc>
        <w:tc>
          <w:tcPr>
            <w:tcW w:w="7153" w:type="dxa"/>
            <w:noWrap w:val="0"/>
            <w:vAlign w:val="center"/>
          </w:tcPr>
          <w:p w14:paraId="588F6472">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按国家有关节能环保政策执行</w:t>
            </w:r>
          </w:p>
        </w:tc>
      </w:tr>
      <w:tr w14:paraId="228E9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750" w:type="dxa"/>
            <w:noWrap w:val="0"/>
            <w:vAlign w:val="center"/>
          </w:tcPr>
          <w:p w14:paraId="1F588FC0">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2</w:t>
            </w:r>
            <w:r>
              <w:rPr>
                <w:rFonts w:hint="eastAsia" w:ascii="宋体" w:hAnsi="宋体" w:eastAsia="宋体" w:cs="宋体"/>
                <w:b w:val="0"/>
                <w:bCs w:val="0"/>
                <w:color w:val="auto"/>
                <w:sz w:val="24"/>
                <w:szCs w:val="24"/>
                <w:highlight w:val="none"/>
                <w:lang w:val="en-US" w:eastAsia="zh-CN"/>
              </w:rPr>
              <w:t>5</w:t>
            </w:r>
          </w:p>
        </w:tc>
        <w:tc>
          <w:tcPr>
            <w:tcW w:w="1760" w:type="dxa"/>
            <w:noWrap w:val="0"/>
            <w:vAlign w:val="center"/>
          </w:tcPr>
          <w:p w14:paraId="19D5E128">
            <w:pPr>
              <w:jc w:val="center"/>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服务地点</w:t>
            </w:r>
          </w:p>
        </w:tc>
        <w:tc>
          <w:tcPr>
            <w:tcW w:w="7153" w:type="dxa"/>
            <w:noWrap w:val="0"/>
            <w:vAlign w:val="center"/>
          </w:tcPr>
          <w:p w14:paraId="1D42C34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鄯善县人民医院</w:t>
            </w:r>
          </w:p>
        </w:tc>
      </w:tr>
      <w:tr w14:paraId="4347E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750" w:type="dxa"/>
            <w:noWrap w:val="0"/>
            <w:vAlign w:val="center"/>
          </w:tcPr>
          <w:p w14:paraId="066444B6">
            <w:pPr>
              <w:keepNext w:val="0"/>
              <w:keepLines w:val="0"/>
              <w:pageBreakBefore w:val="0"/>
              <w:widowControl w:val="0"/>
              <w:tabs>
                <w:tab w:val="left" w:pos="265"/>
              </w:tabs>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26</w:t>
            </w:r>
          </w:p>
        </w:tc>
        <w:tc>
          <w:tcPr>
            <w:tcW w:w="1760" w:type="dxa"/>
            <w:noWrap w:val="0"/>
            <w:vAlign w:val="center"/>
          </w:tcPr>
          <w:p w14:paraId="6561E2C5">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合同履约限期</w:t>
            </w:r>
          </w:p>
        </w:tc>
        <w:tc>
          <w:tcPr>
            <w:tcW w:w="7153" w:type="dxa"/>
            <w:noWrap w:val="0"/>
            <w:vAlign w:val="center"/>
          </w:tcPr>
          <w:p w14:paraId="51236A89">
            <w:pPr>
              <w:keepNext w:val="0"/>
              <w:keepLines w:val="0"/>
              <w:pageBreakBefore w:val="0"/>
              <w:widowControl w:val="0"/>
              <w:kinsoku/>
              <w:wordWrap/>
              <w:overflowPunct/>
              <w:topLinePunct w:val="0"/>
              <w:autoSpaceDE/>
              <w:autoSpaceDN/>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自合同签订生效之日起一年</w:t>
            </w:r>
          </w:p>
        </w:tc>
      </w:tr>
      <w:tr w14:paraId="512E8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750" w:type="dxa"/>
            <w:noWrap w:val="0"/>
            <w:vAlign w:val="center"/>
          </w:tcPr>
          <w:p w14:paraId="4CE78F6A">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7</w:t>
            </w:r>
          </w:p>
        </w:tc>
        <w:tc>
          <w:tcPr>
            <w:tcW w:w="1760" w:type="dxa"/>
            <w:noWrap w:val="0"/>
            <w:vAlign w:val="center"/>
          </w:tcPr>
          <w:p w14:paraId="085903ED">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付款方式</w:t>
            </w:r>
          </w:p>
        </w:tc>
        <w:tc>
          <w:tcPr>
            <w:tcW w:w="7153" w:type="dxa"/>
            <w:noWrap w:val="0"/>
            <w:vAlign w:val="center"/>
          </w:tcPr>
          <w:p w14:paraId="58F2F2DE">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rPr>
              <w:t>按月结算，次月结算上个月的费用</w:t>
            </w:r>
            <w:r>
              <w:rPr>
                <w:rFonts w:hint="eastAsia" w:ascii="宋体" w:hAnsi="宋体" w:cs="宋体"/>
                <w:color w:val="auto"/>
                <w:kern w:val="0"/>
                <w:sz w:val="24"/>
                <w:szCs w:val="24"/>
                <w:highlight w:val="none"/>
                <w:lang w:eastAsia="zh-CN"/>
              </w:rPr>
              <w:t>（最终以签订合同为准）</w:t>
            </w:r>
          </w:p>
        </w:tc>
      </w:tr>
      <w:tr w14:paraId="6019E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750" w:type="dxa"/>
            <w:noWrap w:val="0"/>
            <w:vAlign w:val="center"/>
          </w:tcPr>
          <w:p w14:paraId="43740B6E">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2</w:t>
            </w:r>
            <w:r>
              <w:rPr>
                <w:rFonts w:hint="eastAsia" w:ascii="宋体" w:hAnsi="宋体" w:cs="宋体"/>
                <w:b w:val="0"/>
                <w:bCs w:val="0"/>
                <w:color w:val="auto"/>
                <w:sz w:val="24"/>
                <w:szCs w:val="24"/>
                <w:highlight w:val="none"/>
                <w:lang w:val="en-US" w:eastAsia="zh-CN"/>
              </w:rPr>
              <w:t>8</w:t>
            </w:r>
          </w:p>
        </w:tc>
        <w:tc>
          <w:tcPr>
            <w:tcW w:w="1760" w:type="dxa"/>
            <w:noWrap w:val="0"/>
            <w:vAlign w:val="center"/>
          </w:tcPr>
          <w:p w14:paraId="242D1969">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服务标准</w:t>
            </w:r>
          </w:p>
        </w:tc>
        <w:tc>
          <w:tcPr>
            <w:tcW w:w="7153" w:type="dxa"/>
            <w:noWrap w:val="0"/>
            <w:vAlign w:val="center"/>
          </w:tcPr>
          <w:p w14:paraId="696667BA">
            <w:pPr>
              <w:keepNext w:val="0"/>
              <w:keepLines w:val="0"/>
              <w:pageBreakBefore w:val="0"/>
              <w:widowControl w:val="0"/>
              <w:kinsoku/>
              <w:wordWrap w:val="0"/>
              <w:overflowPunct/>
              <w:topLinePunct w:val="0"/>
              <w:bidi w:val="0"/>
              <w:adjustRightInd w:val="0"/>
              <w:snapToGrid w:val="0"/>
              <w:spacing w:line="240" w:lineRule="auto"/>
              <w:ind w:left="0" w:lef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符合国家或行业相关标准</w:t>
            </w:r>
          </w:p>
        </w:tc>
      </w:tr>
      <w:tr w14:paraId="78EBF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jc w:val="center"/>
        </w:trPr>
        <w:tc>
          <w:tcPr>
            <w:tcW w:w="750" w:type="dxa"/>
            <w:noWrap w:val="0"/>
            <w:vAlign w:val="center"/>
          </w:tcPr>
          <w:p w14:paraId="02BAFE09">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sz w:val="24"/>
                <w:szCs w:val="24"/>
                <w:highlight w:val="none"/>
                <w:lang w:val="en-US" w:eastAsia="zh-CN"/>
              </w:rPr>
              <w:t>29</w:t>
            </w:r>
          </w:p>
        </w:tc>
        <w:tc>
          <w:tcPr>
            <w:tcW w:w="1760" w:type="dxa"/>
            <w:noWrap w:val="0"/>
            <w:vAlign w:val="center"/>
          </w:tcPr>
          <w:p w14:paraId="5BB2A8B6">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磋商轮数和最后报价的其他要求</w:t>
            </w:r>
          </w:p>
        </w:tc>
        <w:tc>
          <w:tcPr>
            <w:tcW w:w="7153" w:type="dxa"/>
            <w:noWrap w:val="0"/>
            <w:vAlign w:val="center"/>
          </w:tcPr>
          <w:p w14:paraId="62589C03">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bCs/>
                <w:color w:val="auto"/>
                <w:kern w:val="0"/>
                <w:sz w:val="24"/>
                <w:szCs w:val="24"/>
                <w:highlight w:val="none"/>
                <w:lang w:val="zh-CN"/>
              </w:rPr>
            </w:pPr>
            <w:r>
              <w:rPr>
                <w:rFonts w:hint="eastAsia" w:ascii="宋体" w:hAnsi="宋体" w:eastAsia="宋体" w:cs="宋体"/>
                <w:bCs/>
                <w:color w:val="auto"/>
                <w:kern w:val="0"/>
                <w:sz w:val="24"/>
                <w:szCs w:val="24"/>
                <w:highlight w:val="none"/>
                <w:lang w:val="zh-CN"/>
              </w:rPr>
              <w:t>1</w:t>
            </w:r>
            <w:r>
              <w:rPr>
                <w:rFonts w:hint="eastAsia" w:ascii="宋体" w:hAnsi="宋体" w:cs="宋体"/>
                <w:bCs/>
                <w:color w:val="auto"/>
                <w:kern w:val="0"/>
                <w:sz w:val="24"/>
                <w:szCs w:val="24"/>
                <w:highlight w:val="none"/>
                <w:lang w:val="zh-CN"/>
              </w:rPr>
              <w:t>.</w:t>
            </w:r>
            <w:r>
              <w:rPr>
                <w:rFonts w:hint="eastAsia" w:ascii="宋体" w:hAnsi="宋体" w:eastAsia="宋体" w:cs="宋体"/>
                <w:bCs/>
                <w:color w:val="auto"/>
                <w:kern w:val="0"/>
                <w:sz w:val="24"/>
                <w:szCs w:val="24"/>
                <w:highlight w:val="none"/>
                <w:lang w:val="zh-CN"/>
              </w:rPr>
              <w:t>磋商轮数：多轮（具体由磋商小组决定）；</w:t>
            </w:r>
          </w:p>
          <w:p w14:paraId="4CDB2FE2">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Cs/>
                <w:color w:val="auto"/>
                <w:kern w:val="0"/>
                <w:sz w:val="24"/>
                <w:szCs w:val="24"/>
                <w:highlight w:val="none"/>
                <w:lang w:val="zh-CN"/>
              </w:rPr>
              <w:t>2</w:t>
            </w:r>
            <w:r>
              <w:rPr>
                <w:rFonts w:hint="eastAsia" w:ascii="宋体" w:hAnsi="宋体" w:cs="宋体"/>
                <w:bCs/>
                <w:color w:val="auto"/>
                <w:kern w:val="0"/>
                <w:sz w:val="24"/>
                <w:szCs w:val="24"/>
                <w:highlight w:val="none"/>
                <w:lang w:val="zh-CN"/>
              </w:rPr>
              <w:t>.</w:t>
            </w:r>
            <w:r>
              <w:rPr>
                <w:rFonts w:hint="eastAsia" w:ascii="宋体" w:hAnsi="宋体" w:eastAsia="宋体" w:cs="宋体"/>
                <w:bCs/>
                <w:color w:val="auto"/>
                <w:kern w:val="0"/>
                <w:sz w:val="24"/>
                <w:szCs w:val="24"/>
                <w:highlight w:val="none"/>
                <w:lang w:val="zh-CN"/>
              </w:rPr>
              <w:t>磋商结束后，参加磋商的供应商在收到最终报价通知后，按照磋商小组要求做最后报价并签章提交（含修正的响应文件，如有）</w:t>
            </w:r>
          </w:p>
        </w:tc>
      </w:tr>
      <w:tr w14:paraId="35E62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7" w:hRule="atLeast"/>
          <w:jc w:val="center"/>
        </w:trPr>
        <w:tc>
          <w:tcPr>
            <w:tcW w:w="750" w:type="dxa"/>
            <w:noWrap w:val="0"/>
            <w:vAlign w:val="center"/>
          </w:tcPr>
          <w:p w14:paraId="28E58FC6">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cs="宋体"/>
                <w:b w:val="0"/>
                <w:bCs w:val="0"/>
                <w:color w:val="auto"/>
                <w:sz w:val="24"/>
                <w:szCs w:val="24"/>
                <w:highlight w:val="none"/>
                <w:lang w:val="en-US" w:eastAsia="zh-CN"/>
              </w:rPr>
              <w:t>0</w:t>
            </w:r>
          </w:p>
        </w:tc>
        <w:tc>
          <w:tcPr>
            <w:tcW w:w="1760" w:type="dxa"/>
            <w:noWrap w:val="0"/>
            <w:vAlign w:val="center"/>
          </w:tcPr>
          <w:p w14:paraId="36E92494">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kern w:val="0"/>
                <w:sz w:val="24"/>
                <w:szCs w:val="24"/>
                <w:highlight w:val="none"/>
                <w:lang w:val="en-US" w:eastAsia="zh-CN"/>
              </w:rPr>
              <w:t>采购</w:t>
            </w:r>
            <w:r>
              <w:rPr>
                <w:rFonts w:hint="eastAsia" w:ascii="宋体" w:hAnsi="宋体" w:eastAsia="宋体" w:cs="宋体"/>
                <w:b w:val="0"/>
                <w:bCs w:val="0"/>
                <w:color w:val="auto"/>
                <w:kern w:val="0"/>
                <w:sz w:val="24"/>
                <w:szCs w:val="24"/>
                <w:highlight w:val="none"/>
              </w:rPr>
              <w:t>代理服务费</w:t>
            </w:r>
          </w:p>
        </w:tc>
        <w:tc>
          <w:tcPr>
            <w:tcW w:w="7153" w:type="dxa"/>
            <w:noWrap w:val="0"/>
            <w:vAlign w:val="center"/>
          </w:tcPr>
          <w:p w14:paraId="5C50FB7C">
            <w:pPr>
              <w:adjustRightInd w:val="0"/>
              <w:snapToGrid w:val="0"/>
              <w:rPr>
                <w:rFonts w:hint="eastAsia" w:ascii="宋体" w:hAnsi="宋体" w:cs="宋体"/>
                <w:color w:val="auto"/>
                <w:spacing w:val="8"/>
                <w:sz w:val="24"/>
                <w:highlight w:val="none"/>
                <w:shd w:val="clear" w:color="auto" w:fill="FFFFFF"/>
              </w:rPr>
            </w:pPr>
            <w:r>
              <w:rPr>
                <w:rFonts w:hint="eastAsia" w:ascii="宋体" w:hAnsi="宋体" w:cs="宋体"/>
                <w:color w:val="auto"/>
                <w:spacing w:val="8"/>
                <w:sz w:val="24"/>
                <w:highlight w:val="none"/>
                <w:shd w:val="clear" w:color="auto" w:fill="FFFFFF"/>
              </w:rPr>
              <w:t>按照差额定率累进法计算，标准如下：</w:t>
            </w:r>
          </w:p>
          <w:p w14:paraId="4B71BCCF">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default" w:ascii="宋体" w:hAnsi="宋体" w:eastAsia="宋体" w:cs="宋体"/>
                <w:color w:val="auto"/>
                <w:spacing w:val="8"/>
                <w:sz w:val="24"/>
                <w:highlight w:val="none"/>
                <w:shd w:val="clear" w:color="auto" w:fill="FFFFFF"/>
                <w:lang w:val="en-US"/>
              </w:rPr>
            </w:pPr>
            <w:r>
              <w:rPr>
                <w:rFonts w:hint="eastAsia" w:ascii="宋体" w:hAnsi="宋体" w:eastAsia="宋体" w:cs="宋体"/>
                <w:color w:val="auto"/>
                <w:spacing w:val="8"/>
                <w:sz w:val="24"/>
                <w:highlight w:val="none"/>
                <w:shd w:val="clear" w:color="auto" w:fill="FFFFFF"/>
                <w:lang w:val="en-US" w:eastAsia="zh-CN"/>
              </w:rPr>
              <w:t>成交金额100万元以下的部分，货物类费率</w:t>
            </w:r>
            <w:r>
              <w:rPr>
                <w:rFonts w:hint="eastAsia" w:ascii="宋体" w:hAnsi="宋体" w:eastAsia="宋体" w:cs="宋体"/>
                <w:color w:val="auto"/>
                <w:spacing w:val="8"/>
                <w:sz w:val="24"/>
                <w:highlight w:val="none"/>
                <w:shd w:val="clear" w:color="auto" w:fill="FFFFFF"/>
              </w:rPr>
              <w:t>1.5%</w:t>
            </w:r>
            <w:r>
              <w:rPr>
                <w:rFonts w:hint="eastAsia" w:ascii="宋体" w:hAnsi="宋体" w:eastAsia="宋体" w:cs="宋体"/>
                <w:color w:val="auto"/>
                <w:spacing w:val="8"/>
                <w:sz w:val="24"/>
                <w:highlight w:val="none"/>
                <w:shd w:val="clear" w:color="auto" w:fill="FFFFFF"/>
                <w:lang w:val="en-US" w:eastAsia="zh-CN"/>
              </w:rPr>
              <w:t>，服务类费率1.5%；</w:t>
            </w:r>
          </w:p>
          <w:p w14:paraId="73DC4DCC">
            <w:pPr>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本项目代理服务费：由</w:t>
            </w:r>
            <w:r>
              <w:rPr>
                <w:rFonts w:hint="eastAsia" w:ascii="宋体" w:hAnsi="宋体" w:cs="宋体"/>
                <w:color w:val="auto"/>
                <w:sz w:val="24"/>
                <w:szCs w:val="24"/>
                <w:highlight w:val="none"/>
                <w:lang w:val="en-US" w:eastAsia="zh-CN"/>
              </w:rPr>
              <w:t>成交</w:t>
            </w:r>
            <w:r>
              <w:rPr>
                <w:rFonts w:hint="eastAsia" w:ascii="宋体" w:hAnsi="宋体" w:cs="宋体"/>
                <w:color w:val="auto"/>
                <w:sz w:val="24"/>
                <w:szCs w:val="24"/>
                <w:highlight w:val="none"/>
              </w:rPr>
              <w:t>人在领取“</w:t>
            </w:r>
            <w:r>
              <w:rPr>
                <w:rFonts w:hint="eastAsia" w:ascii="宋体" w:hAnsi="宋体" w:cs="宋体"/>
                <w:color w:val="auto"/>
                <w:sz w:val="24"/>
                <w:szCs w:val="24"/>
                <w:highlight w:val="none"/>
                <w:lang w:val="en-US" w:eastAsia="zh-CN"/>
              </w:rPr>
              <w:t>成交</w:t>
            </w:r>
            <w:r>
              <w:rPr>
                <w:rFonts w:hint="eastAsia" w:ascii="宋体" w:hAnsi="宋体" w:cs="宋体"/>
                <w:color w:val="auto"/>
                <w:sz w:val="24"/>
                <w:szCs w:val="24"/>
                <w:highlight w:val="none"/>
              </w:rPr>
              <w:t>通知书”前向采购代理机构支付（</w:t>
            </w:r>
            <w:r>
              <w:rPr>
                <w:rFonts w:hint="eastAsia" w:ascii="宋体" w:hAnsi="宋体" w:cs="宋体"/>
                <w:b/>
                <w:bCs/>
                <w:color w:val="auto"/>
                <w:sz w:val="24"/>
                <w:szCs w:val="24"/>
                <w:highlight w:val="none"/>
              </w:rPr>
              <w:t>收款账户同保证金缴纳账户</w:t>
            </w:r>
            <w:r>
              <w:rPr>
                <w:rFonts w:hint="eastAsia" w:ascii="宋体" w:hAnsi="宋体" w:cs="宋体"/>
                <w:color w:val="auto"/>
                <w:sz w:val="24"/>
                <w:szCs w:val="24"/>
                <w:highlight w:val="none"/>
              </w:rPr>
              <w:t>）</w:t>
            </w:r>
          </w:p>
        </w:tc>
      </w:tr>
      <w:tr w14:paraId="513E4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6" w:hRule="atLeast"/>
          <w:jc w:val="center"/>
        </w:trPr>
        <w:tc>
          <w:tcPr>
            <w:tcW w:w="750" w:type="dxa"/>
            <w:noWrap w:val="0"/>
            <w:vAlign w:val="center"/>
          </w:tcPr>
          <w:p w14:paraId="1335E452">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31</w:t>
            </w:r>
          </w:p>
        </w:tc>
        <w:tc>
          <w:tcPr>
            <w:tcW w:w="1760" w:type="dxa"/>
            <w:noWrap w:val="0"/>
            <w:vAlign w:val="center"/>
          </w:tcPr>
          <w:p w14:paraId="6F9B27C3">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低于成本价不正当竞争预防措施</w:t>
            </w:r>
          </w:p>
        </w:tc>
        <w:tc>
          <w:tcPr>
            <w:tcW w:w="7153" w:type="dxa"/>
            <w:noWrap w:val="0"/>
            <w:vAlign w:val="center"/>
          </w:tcPr>
          <w:p w14:paraId="59BD39D9">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在评</w:t>
            </w:r>
            <w:r>
              <w:rPr>
                <w:rFonts w:hint="eastAsia" w:ascii="宋体" w:hAnsi="宋体" w:cs="宋体"/>
                <w:color w:val="auto"/>
                <w:sz w:val="24"/>
                <w:szCs w:val="24"/>
                <w:highlight w:val="none"/>
                <w:lang w:val="en-US" w:eastAsia="zh-CN"/>
              </w:rPr>
              <w:t>审</w:t>
            </w:r>
            <w:r>
              <w:rPr>
                <w:rFonts w:hint="eastAsia" w:ascii="宋体" w:hAnsi="宋体" w:eastAsia="宋体" w:cs="宋体"/>
                <w:color w:val="auto"/>
                <w:sz w:val="24"/>
                <w:szCs w:val="24"/>
                <w:highlight w:val="none"/>
              </w:rPr>
              <w:t>过程中，评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认为投标人的报价明显低于其他通过符合性审查投标人的报价，有可能影响产品质量或者不能诚信履约的，应当要求其在合理的时间内提供书面说明，必要时提交相关证明材料；投标人不能证明其报价合理性的，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应当将其作为无效投标处理。</w:t>
            </w:r>
          </w:p>
        </w:tc>
      </w:tr>
      <w:tr w14:paraId="72599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9" w:hRule="atLeast"/>
          <w:jc w:val="center"/>
        </w:trPr>
        <w:tc>
          <w:tcPr>
            <w:tcW w:w="750" w:type="dxa"/>
            <w:noWrap w:val="0"/>
            <w:vAlign w:val="center"/>
          </w:tcPr>
          <w:p w14:paraId="6EA397AE">
            <w:pPr>
              <w:pStyle w:val="13"/>
              <w:keepNext w:val="0"/>
              <w:keepLines w:val="0"/>
              <w:pageBreakBefore w:val="0"/>
              <w:widowControl w:val="0"/>
              <w:kinsoku/>
              <w:overflowPunct/>
              <w:topLinePunct w:val="0"/>
              <w:bidi w:val="0"/>
              <w:adjustRightInd w:val="0"/>
              <w:snapToGrid w:val="0"/>
              <w:spacing w:line="240" w:lineRule="auto"/>
              <w:ind w:left="480" w:leftChars="0" w:hanging="480" w:hangingChars="200"/>
              <w:contextualSpacing/>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2</w:t>
            </w:r>
          </w:p>
        </w:tc>
        <w:tc>
          <w:tcPr>
            <w:tcW w:w="1760" w:type="dxa"/>
            <w:noWrap w:val="0"/>
            <w:vAlign w:val="center"/>
          </w:tcPr>
          <w:p w14:paraId="478AFB35">
            <w:pPr>
              <w:pStyle w:val="13"/>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注意事项</w:t>
            </w:r>
          </w:p>
        </w:tc>
        <w:tc>
          <w:tcPr>
            <w:tcW w:w="7153" w:type="dxa"/>
            <w:noWrap w:val="0"/>
            <w:vAlign w:val="center"/>
          </w:tcPr>
          <w:p w14:paraId="3EA7D3B3">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根据《财政部关于在政府采购活动中查询及使用信用记录有关问题的通知》财库〔2016〕125号</w:t>
            </w:r>
            <w:r>
              <w:rPr>
                <w:rFonts w:hint="eastAsia" w:ascii="宋体" w:hAnsi="宋体" w:eastAsia="宋体" w:cs="宋体"/>
                <w:color w:val="auto"/>
                <w:sz w:val="24"/>
                <w:szCs w:val="24"/>
                <w:highlight w:val="none"/>
                <w:lang w:eastAsia="zh-CN"/>
              </w:rPr>
              <w:t>文</w:t>
            </w:r>
            <w:r>
              <w:rPr>
                <w:rFonts w:hint="eastAsia" w:ascii="宋体" w:hAnsi="宋体" w:eastAsia="宋体" w:cs="宋体"/>
                <w:color w:val="auto"/>
                <w:sz w:val="24"/>
                <w:szCs w:val="24"/>
                <w:highlight w:val="none"/>
              </w:rPr>
              <w:t>规定，</w:t>
            </w:r>
            <w:r>
              <w:rPr>
                <w:rFonts w:hint="eastAsia" w:ascii="宋体" w:hAnsi="宋体" w:eastAsia="宋体" w:cs="宋体"/>
                <w:color w:val="auto"/>
                <w:sz w:val="24"/>
                <w:szCs w:val="24"/>
                <w:highlight w:val="none"/>
                <w:lang w:eastAsia="zh-CN"/>
              </w:rPr>
              <w:t>须</w:t>
            </w:r>
            <w:r>
              <w:rPr>
                <w:rFonts w:hint="eastAsia" w:ascii="宋体" w:hAnsi="宋体" w:eastAsia="宋体" w:cs="宋体"/>
                <w:color w:val="auto"/>
                <w:sz w:val="24"/>
                <w:szCs w:val="24"/>
                <w:highlight w:val="none"/>
              </w:rPr>
              <w:t>通过“信用中国”（</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www.creditchina.gov.cn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www.ccgp.gov.cn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）等渠道查询供应商主体信用记录。</w:t>
            </w:r>
          </w:p>
          <w:p w14:paraId="31F2921B">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签字、盖章要求：</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供应商资格证明材料、法定代表人身份证明或授权书应加盖供应商公章；</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其他证明供应商资格的文件或证明材料应加盖供应商公章，样式可参照“投标文件格式”编制；</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3</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采购文件中明确要求盖章或签字的，必须盖章或签字。</w:t>
            </w:r>
          </w:p>
          <w:p w14:paraId="4D4E9EE5">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投标人提供的投标文件应当使用采购文件所提供投标文件格式（表格可按照同样格式扩展）。未提供格式的，需要时由投标人用文字或者表格、图片等其它形式提供。</w:t>
            </w:r>
          </w:p>
          <w:p w14:paraId="01D35B54">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0C74C293">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本采购文件中所有时间均为北京时间。文件中“近*年/月”“最近*年/月”“前*年/月”均是指以投标截止时间为基准点向前推算。投标截止时间在6月1日（不含）前，上年度财务审计报表是指本年度之前的1年或2年；投标截止时间在6月1日（含）后，上年度财务审计报表指本年度之前的1年。</w:t>
            </w:r>
          </w:p>
        </w:tc>
      </w:tr>
      <w:tr w14:paraId="351BA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jc w:val="center"/>
        </w:trPr>
        <w:tc>
          <w:tcPr>
            <w:tcW w:w="750" w:type="dxa"/>
            <w:noWrap w:val="0"/>
            <w:vAlign w:val="center"/>
          </w:tcPr>
          <w:p w14:paraId="5C6C7A25">
            <w:pPr>
              <w:bidi w:val="0"/>
              <w:jc w:val="center"/>
              <w:rPr>
                <w:rFonts w:hint="default" w:eastAsia="宋体"/>
                <w:color w:val="auto"/>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cs="宋体"/>
                <w:b w:val="0"/>
                <w:bCs w:val="0"/>
                <w:color w:val="auto"/>
                <w:sz w:val="24"/>
                <w:szCs w:val="24"/>
                <w:highlight w:val="none"/>
                <w:lang w:val="en-US" w:eastAsia="zh-CN"/>
              </w:rPr>
              <w:t>3</w:t>
            </w:r>
          </w:p>
        </w:tc>
        <w:tc>
          <w:tcPr>
            <w:tcW w:w="1760" w:type="dxa"/>
            <w:noWrap w:val="0"/>
            <w:vAlign w:val="center"/>
          </w:tcPr>
          <w:p w14:paraId="0891DE05">
            <w:pPr>
              <w:bidi w:val="0"/>
              <w:jc w:val="center"/>
              <w:rPr>
                <w:rFonts w:hint="eastAsia" w:ascii="宋体" w:hAnsi="宋体" w:eastAsia="宋体" w:cs="宋体"/>
                <w:color w:val="auto"/>
                <w:sz w:val="24"/>
                <w:szCs w:val="24"/>
                <w:highlight w:val="none"/>
              </w:rPr>
            </w:pPr>
            <w:r>
              <w:rPr>
                <w:rFonts w:hint="eastAsia"/>
                <w:b/>
                <w:bCs/>
                <w:color w:val="auto"/>
                <w:sz w:val="24"/>
                <w:szCs w:val="24"/>
                <w:highlight w:val="none"/>
                <w:lang w:eastAsia="zh-CN"/>
              </w:rPr>
              <w:t>特别说明</w:t>
            </w:r>
          </w:p>
        </w:tc>
        <w:tc>
          <w:tcPr>
            <w:tcW w:w="7153" w:type="dxa"/>
            <w:noWrap w:val="0"/>
            <w:vAlign w:val="center"/>
          </w:tcPr>
          <w:p w14:paraId="779CF6F9">
            <w:pPr>
              <w:spacing w:line="320" w:lineRule="exact"/>
              <w:jc w:val="both"/>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供应商在制作</w:t>
            </w:r>
            <w:r>
              <w:rPr>
                <w:rFonts w:hint="eastAsia" w:ascii="宋体" w:hAnsi="宋体" w:cs="宋体"/>
                <w:color w:val="auto"/>
                <w:sz w:val="24"/>
                <w:szCs w:val="24"/>
                <w:highlight w:val="none"/>
                <w:lang w:val="en-US" w:eastAsia="zh-CN"/>
              </w:rPr>
              <w:t>响应</w:t>
            </w:r>
            <w:r>
              <w:rPr>
                <w:rFonts w:hint="eastAsia" w:ascii="宋体" w:hAnsi="宋体" w:eastAsia="宋体" w:cs="宋体"/>
                <w:color w:val="auto"/>
                <w:sz w:val="24"/>
                <w:szCs w:val="24"/>
                <w:highlight w:val="none"/>
                <w:lang w:val="en-US" w:eastAsia="zh-CN"/>
              </w:rPr>
              <w:t>文件时必须设置好“资格审查”、“符合性审查”、“商务技术评审”的关联点。</w:t>
            </w:r>
          </w:p>
          <w:p w14:paraId="75A6BB00">
            <w:pPr>
              <w:spacing w:line="320" w:lineRule="exact"/>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2.开标后在30分钟内做好投标文件解密。</w:t>
            </w:r>
          </w:p>
          <w:p w14:paraId="274038DC">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3.在代理机构“开启报价文件</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开启签字时段”后10分钟内完成报价确认。</w:t>
            </w:r>
          </w:p>
        </w:tc>
      </w:tr>
      <w:bookmarkEnd w:id="11"/>
    </w:tbl>
    <w:p w14:paraId="5075CAF0">
      <w:pPr>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注：</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本表内容与</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其它内容不一致的，应当以本表内容为准。</w:t>
      </w:r>
    </w:p>
    <w:p w14:paraId="041B4FB4">
      <w:pPr>
        <w:numPr>
          <w:ilvl w:val="0"/>
          <w:numId w:val="0"/>
        </w:num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bidi="ar-SA"/>
        </w:rPr>
        <w:t>2</w:t>
      </w:r>
      <w:r>
        <w:rPr>
          <w:rFonts w:hint="eastAsia" w:ascii="宋体"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rPr>
        <w:t>本表中“</w:t>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eq \o\ac(</w:instrText>
      </w:r>
      <w:r>
        <w:rPr>
          <w:rFonts w:hint="eastAsia" w:ascii="宋体" w:hAnsi="宋体" w:eastAsia="宋体" w:cs="宋体"/>
          <w:color w:val="auto"/>
          <w:kern w:val="0"/>
          <w:position w:val="-4"/>
          <w:sz w:val="36"/>
          <w:szCs w:val="24"/>
          <w:highlight w:val="none"/>
        </w:rPr>
        <w:instrText xml:space="preserve">□</w:instrText>
      </w:r>
      <w:r>
        <w:rPr>
          <w:rFonts w:hint="eastAsia" w:ascii="宋体" w:hAnsi="宋体" w:eastAsia="宋体" w:cs="宋体"/>
          <w:color w:val="auto"/>
          <w:kern w:val="0"/>
          <w:sz w:val="24"/>
          <w:szCs w:val="24"/>
          <w:highlight w:val="none"/>
        </w:rPr>
        <w:instrText xml:space="preserve">,√)</w:instrTex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”标示选择使用该项</w:t>
      </w:r>
      <w:r>
        <w:rPr>
          <w:rFonts w:hint="eastAsia" w:ascii="宋体" w:hAnsi="宋体" w:eastAsia="宋体" w:cs="宋体"/>
          <w:color w:val="auto"/>
          <w:kern w:val="0"/>
          <w:sz w:val="24"/>
          <w:szCs w:val="24"/>
          <w:highlight w:val="none"/>
          <w:lang w:eastAsia="zh-CN"/>
        </w:rPr>
        <w:t>。</w:t>
      </w:r>
    </w:p>
    <w:p w14:paraId="05A96BA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bookmarkEnd w:id="5"/>
    <w:p w14:paraId="3EBAFE6B">
      <w:pPr>
        <w:pStyle w:val="5"/>
        <w:adjustRightInd w:val="0"/>
        <w:snapToGrid w:val="0"/>
        <w:spacing w:before="0" w:after="0" w:line="400" w:lineRule="exact"/>
        <w:jc w:val="center"/>
        <w:rPr>
          <w:rFonts w:hint="eastAsia" w:ascii="宋体" w:hAnsi="宋体" w:eastAsia="宋体" w:cs="宋体"/>
          <w:b/>
          <w:color w:val="auto"/>
          <w:sz w:val="28"/>
          <w:szCs w:val="28"/>
          <w:highlight w:val="none"/>
        </w:rPr>
      </w:pPr>
      <w:bookmarkStart w:id="12" w:name="_Toc513029202"/>
      <w:bookmarkEnd w:id="12"/>
      <w:bookmarkStart w:id="13" w:name="_Toc120614213"/>
      <w:bookmarkEnd w:id="13"/>
      <w:bookmarkStart w:id="14" w:name="_Toc455227390"/>
      <w:bookmarkEnd w:id="14"/>
      <w:bookmarkStart w:id="15" w:name="_Toc16938518"/>
      <w:bookmarkEnd w:id="15"/>
      <w:bookmarkStart w:id="16" w:name="_Toc20823274"/>
      <w:bookmarkEnd w:id="16"/>
      <w:bookmarkStart w:id="17" w:name="_Toc14386"/>
      <w:bookmarkStart w:id="18" w:name="_Toc23777"/>
      <w:bookmarkStart w:id="19" w:name="_Toc19157"/>
      <w:bookmarkStart w:id="20" w:name="_Toc28148"/>
      <w:bookmarkStart w:id="21" w:name="_Toc11413"/>
      <w:bookmarkStart w:id="22" w:name="_Toc20669"/>
      <w:bookmarkStart w:id="23" w:name="_Toc12316"/>
      <w:r>
        <w:rPr>
          <w:rFonts w:hint="eastAsia" w:ascii="宋体" w:hAnsi="宋体" w:eastAsia="宋体" w:cs="宋体"/>
          <w:b/>
          <w:color w:val="auto"/>
          <w:sz w:val="28"/>
          <w:szCs w:val="28"/>
          <w:highlight w:val="none"/>
        </w:rPr>
        <w:t>投标人须知正文部分</w:t>
      </w:r>
      <w:bookmarkEnd w:id="17"/>
      <w:bookmarkEnd w:id="18"/>
      <w:bookmarkEnd w:id="19"/>
      <w:bookmarkEnd w:id="20"/>
    </w:p>
    <w:p w14:paraId="6A90B68B">
      <w:pPr>
        <w:pStyle w:val="5"/>
        <w:jc w:val="center"/>
        <w:rPr>
          <w:rFonts w:hint="eastAsia" w:ascii="宋体" w:hAnsi="宋体" w:eastAsia="宋体" w:cs="宋体"/>
          <w:color w:val="auto"/>
          <w:highlight w:val="none"/>
        </w:rPr>
      </w:pPr>
      <w:bookmarkStart w:id="24" w:name="_Toc3463"/>
      <w:r>
        <w:rPr>
          <w:rFonts w:hint="eastAsia" w:ascii="宋体" w:hAnsi="宋体" w:eastAsia="宋体" w:cs="宋体"/>
          <w:bCs/>
          <w:color w:val="auto"/>
          <w:highlight w:val="none"/>
          <w:lang w:val="en-US" w:eastAsia="zh-CN"/>
        </w:rPr>
        <w:t>一、</w:t>
      </w:r>
      <w:r>
        <w:rPr>
          <w:rFonts w:hint="eastAsia" w:ascii="宋体" w:hAnsi="宋体" w:eastAsia="宋体" w:cs="宋体"/>
          <w:bCs/>
          <w:color w:val="auto"/>
          <w:highlight w:val="none"/>
        </w:rPr>
        <w:t>说明</w:t>
      </w:r>
      <w:bookmarkEnd w:id="21"/>
      <w:bookmarkEnd w:id="22"/>
      <w:bookmarkEnd w:id="23"/>
      <w:bookmarkEnd w:id="24"/>
    </w:p>
    <w:p w14:paraId="473DC2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1.1适用范围</w:t>
      </w:r>
    </w:p>
    <w:p w14:paraId="53AB97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1.1.1本磋商文件仅适用于本磋商公告中所述项目的货物及相关服务的采购。</w:t>
      </w:r>
    </w:p>
    <w:p w14:paraId="5F2250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1.2定义</w:t>
      </w:r>
    </w:p>
    <w:p w14:paraId="27B83A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1.2.1“采购人”是指：详见供应商须知前附表</w:t>
      </w:r>
      <w:r>
        <w:rPr>
          <w:rFonts w:hint="eastAsia" w:ascii="宋体" w:hAnsi="宋体" w:eastAsia="宋体" w:cs="宋体"/>
          <w:color w:val="auto"/>
          <w:sz w:val="24"/>
          <w:szCs w:val="24"/>
          <w:highlight w:val="none"/>
          <w:lang w:eastAsia="zh-CN"/>
        </w:rPr>
        <w:t>。</w:t>
      </w:r>
    </w:p>
    <w:p w14:paraId="3A8489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1.2.2“采购代理机构”是指：详见供应商须知前附表</w:t>
      </w:r>
      <w:r>
        <w:rPr>
          <w:rFonts w:hint="eastAsia" w:ascii="宋体" w:hAnsi="宋体" w:eastAsia="宋体" w:cs="宋体"/>
          <w:color w:val="auto"/>
          <w:sz w:val="24"/>
          <w:szCs w:val="24"/>
          <w:highlight w:val="none"/>
          <w:lang w:eastAsia="zh-CN"/>
        </w:rPr>
        <w:t>。</w:t>
      </w:r>
    </w:p>
    <w:p w14:paraId="65E3CA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1.2.3“供应商”是指：响应磋商文件要求并且符合磋商文件规定资格条件和参加竞争性磋商的法人、其他组织或者自然人。</w:t>
      </w:r>
    </w:p>
    <w:p w14:paraId="448FEC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“成交供应商”是指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是指经磋商小组评审，授予合同的供应商。</w:t>
      </w:r>
    </w:p>
    <w:p w14:paraId="0574CC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采购人和采购代理机构统称为招标采购单位。</w:t>
      </w:r>
    </w:p>
    <w:p w14:paraId="716256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1.3货物和服务</w:t>
      </w:r>
    </w:p>
    <w:p w14:paraId="47F8915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1.3.1“货物”是指：供应商制造或</w:t>
      </w:r>
      <w:r>
        <w:rPr>
          <w:rFonts w:hint="eastAsia" w:ascii="宋体" w:hAnsi="宋体" w:eastAsia="宋体" w:cs="宋体"/>
          <w:color w:val="auto"/>
          <w:sz w:val="24"/>
          <w:szCs w:val="24"/>
          <w:highlight w:val="none"/>
          <w:lang w:eastAsia="zh-CN"/>
        </w:rPr>
        <w:t>经营</w:t>
      </w:r>
      <w:r>
        <w:rPr>
          <w:rFonts w:hint="eastAsia" w:ascii="宋体" w:hAnsi="宋体" w:eastAsia="宋体" w:cs="宋体"/>
          <w:color w:val="auto"/>
          <w:sz w:val="24"/>
          <w:szCs w:val="24"/>
          <w:highlight w:val="none"/>
        </w:rPr>
        <w:t>符合磋商文件要求的货物。磋商文件中没有提及招标货物来源地的，根据《政府采购法》的相关规定均应是本国货物，另有规定的除外。提供的货物必须是其合法生产的符合国家有关标准要求的货物，并能够按照合同规定的品牌、产地、质量、价格和有效期等履约。</w:t>
      </w:r>
    </w:p>
    <w:p w14:paraId="71A55D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1.3.2“服务”是指：除货物和工程以外的其他政府采购对象。包括：政府自身需要的服务和政府向社会公众提供的公共服务。</w:t>
      </w:r>
    </w:p>
    <w:p w14:paraId="76FD22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1.4磋商费用</w:t>
      </w:r>
    </w:p>
    <w:p w14:paraId="08CE0E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1.4.1供应商应承担所有与准备和参加竞争性磋商有关的费用。不论磋商的结果如何，采购单位均无义务和责任承担这些费用。</w:t>
      </w:r>
    </w:p>
    <w:p w14:paraId="7303EE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230C514">
      <w:pPr>
        <w:pStyle w:val="5"/>
        <w:rPr>
          <w:rFonts w:hint="eastAsia" w:ascii="宋体" w:hAnsi="宋体" w:eastAsia="宋体" w:cs="宋体"/>
          <w:color w:val="auto"/>
          <w:sz w:val="24"/>
          <w:szCs w:val="24"/>
          <w:highlight w:val="none"/>
        </w:rPr>
      </w:pPr>
      <w:bookmarkStart w:id="25" w:name="_Toc26068"/>
      <w:bookmarkStart w:id="26" w:name="_Toc27123"/>
      <w:bookmarkStart w:id="27" w:name="_Toc293738992"/>
      <w:bookmarkStart w:id="28" w:name="_Toc31622"/>
      <w:bookmarkStart w:id="29" w:name="_Toc293736054"/>
      <w:bookmarkStart w:id="30" w:name="_Toc293736011"/>
      <w:bookmarkStart w:id="31" w:name="_Toc16155"/>
      <w:bookmarkStart w:id="32" w:name="_Toc446599311"/>
      <w:bookmarkStart w:id="33" w:name="_Toc19506"/>
      <w:bookmarkStart w:id="34" w:name="_Toc10113"/>
      <w:bookmarkStart w:id="35" w:name="_Toc293736012"/>
      <w:bookmarkStart w:id="36" w:name="_Toc293736055"/>
      <w:bookmarkStart w:id="37" w:name="_Toc29642"/>
      <w:bookmarkStart w:id="38" w:name="_Toc446599312"/>
      <w:bookmarkStart w:id="39" w:name="_Toc293738993"/>
      <w:r>
        <w:rPr>
          <w:rFonts w:hint="eastAsia" w:ascii="宋体" w:hAnsi="宋体" w:eastAsia="宋体" w:cs="宋体"/>
          <w:color w:val="auto"/>
          <w:sz w:val="24"/>
          <w:szCs w:val="24"/>
          <w:highlight w:val="none"/>
        </w:rPr>
        <w:t>二、磋商文件</w:t>
      </w:r>
      <w:bookmarkEnd w:id="25"/>
      <w:bookmarkEnd w:id="26"/>
      <w:bookmarkEnd w:id="27"/>
      <w:bookmarkEnd w:id="28"/>
      <w:bookmarkEnd w:id="29"/>
      <w:bookmarkEnd w:id="30"/>
      <w:bookmarkEnd w:id="31"/>
      <w:bookmarkEnd w:id="32"/>
    </w:p>
    <w:p w14:paraId="77D7B4B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color w:val="auto"/>
          <w:sz w:val="24"/>
          <w:szCs w:val="24"/>
          <w:highlight w:val="none"/>
        </w:rPr>
        <w:t>.1磋商文件的构成</w:t>
      </w:r>
    </w:p>
    <w:p w14:paraId="3DA933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2.1.1磋商文件由下列文件以及在采购过程中发出的修正和补充文件组成：</w:t>
      </w:r>
    </w:p>
    <w:p w14:paraId="076508F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磋商公告；</w:t>
      </w:r>
    </w:p>
    <w:p w14:paraId="03A321B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供应商须知；</w:t>
      </w:r>
    </w:p>
    <w:p w14:paraId="0CD70E2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eastAsia="zh-CN"/>
        </w:rPr>
        <w:t>采购需求</w:t>
      </w:r>
      <w:r>
        <w:rPr>
          <w:rFonts w:hint="eastAsia" w:ascii="宋体" w:hAnsi="宋体" w:eastAsia="宋体" w:cs="宋体"/>
          <w:color w:val="auto"/>
          <w:sz w:val="24"/>
          <w:szCs w:val="24"/>
          <w:highlight w:val="none"/>
        </w:rPr>
        <w:t>；</w:t>
      </w:r>
    </w:p>
    <w:p w14:paraId="4B2210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评审方法；</w:t>
      </w:r>
    </w:p>
    <w:p w14:paraId="4C67447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采购合同</w:t>
      </w:r>
      <w:r>
        <w:rPr>
          <w:rFonts w:hint="eastAsia" w:ascii="宋体" w:hAnsi="宋体" w:eastAsia="宋体" w:cs="宋体"/>
          <w:color w:val="auto"/>
          <w:sz w:val="24"/>
          <w:szCs w:val="24"/>
          <w:highlight w:val="none"/>
        </w:rPr>
        <w:t>；</w:t>
      </w:r>
    </w:p>
    <w:p w14:paraId="120B3F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响应文件格式；</w:t>
      </w:r>
    </w:p>
    <w:p w14:paraId="1035E6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附件；</w:t>
      </w:r>
      <w:r>
        <w:rPr>
          <w:rFonts w:hint="eastAsia" w:ascii="宋体" w:hAnsi="宋体" w:eastAsia="宋体" w:cs="宋体"/>
          <w:color w:val="auto"/>
          <w:sz w:val="24"/>
          <w:szCs w:val="24"/>
          <w:highlight w:val="none"/>
        </w:rPr>
        <w:t>在磋商过程中由采购单位发出的澄清和补充文件等。</w:t>
      </w:r>
    </w:p>
    <w:p w14:paraId="01670C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43C11D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2.2磋商文件的澄清</w:t>
      </w:r>
    </w:p>
    <w:p w14:paraId="18EE23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w:t>
      </w:r>
      <w:r>
        <w:rPr>
          <w:rFonts w:hint="eastAsia" w:ascii="宋体" w:hAnsi="宋体" w:eastAsia="宋体" w:cs="宋体"/>
          <w:color w:val="auto"/>
          <w:sz w:val="24"/>
          <w:szCs w:val="24"/>
          <w:highlight w:val="none"/>
          <w:lang w:val="zh-CN"/>
        </w:rPr>
        <w:t>供应商在收到</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zh-CN"/>
        </w:rPr>
        <w:t>文件后，若有疑问需要澄清，应于收到</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zh-CN"/>
        </w:rPr>
        <w:t>文件后两日内正政采云平台上向采购人或采购代理机构（以下统称采购机构）提出，采购机构将及时予以解答，解答内容将送达所有参与</w:t>
      </w:r>
      <w:r>
        <w:rPr>
          <w:rFonts w:hint="eastAsia" w:ascii="宋体" w:hAnsi="宋体" w:eastAsia="宋体" w:cs="宋体"/>
          <w:color w:val="auto"/>
          <w:sz w:val="24"/>
          <w:szCs w:val="24"/>
          <w:highlight w:val="none"/>
        </w:rPr>
        <w:t>磋商采购活动</w:t>
      </w:r>
      <w:r>
        <w:rPr>
          <w:rFonts w:hint="eastAsia" w:ascii="宋体" w:hAnsi="宋体" w:eastAsia="宋体" w:cs="宋体"/>
          <w:color w:val="auto"/>
          <w:sz w:val="24"/>
          <w:szCs w:val="24"/>
          <w:highlight w:val="none"/>
          <w:lang w:val="zh-CN"/>
        </w:rPr>
        <w:t>的供应商。</w:t>
      </w:r>
    </w:p>
    <w:p w14:paraId="697BEB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2.3.磋商文件的修改</w:t>
      </w:r>
    </w:p>
    <w:p w14:paraId="196BC3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提交首次响应文件截止之日前，采购机构或者磋商小组可以对已发出的磋商文件进行必要的澄清或者修改，澄清或者修改的内容作为磋商文件的组成部分。澄清或者修改的内容可能影响响应文件编制的，采购机构或者磋商小组应当在提交首次响应文件截止之日5日前，以书面形式通知所有接收磋商文件的供应商，不足5日的，应当顺延提交首次响应文件的截止日期。</w:t>
      </w:r>
    </w:p>
    <w:p w14:paraId="5BD84A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C618CE2">
      <w:pPr>
        <w:pStyle w:val="5"/>
        <w:rPr>
          <w:rFonts w:hint="eastAsia" w:ascii="宋体" w:hAnsi="宋体" w:eastAsia="宋体" w:cs="宋体"/>
          <w:b w:val="0"/>
          <w:bCs/>
          <w:color w:val="auto"/>
          <w:sz w:val="24"/>
          <w:szCs w:val="24"/>
          <w:highlight w:val="none"/>
          <w:lang w:eastAsia="zh-CN"/>
        </w:rPr>
      </w:pPr>
      <w:bookmarkStart w:id="40" w:name="_Toc6367"/>
      <w:r>
        <w:rPr>
          <w:rFonts w:hint="eastAsia" w:ascii="宋体" w:hAnsi="宋体" w:eastAsia="宋体" w:cs="宋体"/>
          <w:color w:val="auto"/>
          <w:sz w:val="24"/>
          <w:szCs w:val="24"/>
          <w:highlight w:val="none"/>
        </w:rPr>
        <w:t>三、</w:t>
      </w:r>
      <w:bookmarkEnd w:id="33"/>
      <w:bookmarkEnd w:id="34"/>
      <w:bookmarkEnd w:id="35"/>
      <w:bookmarkEnd w:id="36"/>
      <w:bookmarkEnd w:id="37"/>
      <w:bookmarkEnd w:id="38"/>
      <w:bookmarkEnd w:id="39"/>
      <w:r>
        <w:rPr>
          <w:rFonts w:hint="eastAsia" w:ascii="宋体" w:hAnsi="宋体" w:cs="宋体"/>
          <w:color w:val="auto"/>
          <w:sz w:val="24"/>
          <w:szCs w:val="24"/>
          <w:highlight w:val="none"/>
          <w:lang w:eastAsia="zh-CN"/>
        </w:rPr>
        <w:t>响应文件的编制</w:t>
      </w:r>
      <w:bookmarkEnd w:id="40"/>
    </w:p>
    <w:p w14:paraId="78434B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3.1响应文件的语言</w:t>
      </w:r>
    </w:p>
    <w:p w14:paraId="5B3ABF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01F6AA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3.2响应文件的构成</w:t>
      </w:r>
    </w:p>
    <w:p w14:paraId="2DFBF9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3.2.1供应商编制的响应文件应包括但不少于下列内容：</w:t>
      </w:r>
    </w:p>
    <w:p w14:paraId="1E05FD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w:t>
      </w:r>
      <w:r>
        <w:rPr>
          <w:rFonts w:hint="eastAsia" w:ascii="宋体" w:hAnsi="宋体" w:eastAsia="宋体" w:cs="宋体"/>
          <w:color w:val="auto"/>
          <w:sz w:val="24"/>
          <w:szCs w:val="24"/>
          <w:highlight w:val="none"/>
          <w:lang w:val="en-US" w:eastAsia="zh-CN"/>
        </w:rPr>
        <w:t>1.1响应文件封面（封面、目录、评审索引表）</w:t>
      </w:r>
    </w:p>
    <w:p w14:paraId="683538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资格文件</w:t>
      </w:r>
    </w:p>
    <w:p w14:paraId="4333FF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2.1满足《中华人民共和国政府采购法》第二十二条规定</w:t>
      </w:r>
      <w:r>
        <w:rPr>
          <w:rFonts w:hint="eastAsia" w:ascii="宋体" w:hAnsi="宋体" w:eastAsia="宋体" w:cs="宋体"/>
          <w:color w:val="auto"/>
          <w:sz w:val="24"/>
          <w:szCs w:val="24"/>
          <w:highlight w:val="none"/>
        </w:rPr>
        <w:t>；</w:t>
      </w:r>
    </w:p>
    <w:p w14:paraId="0771F74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2.2</w:t>
      </w:r>
      <w:r>
        <w:rPr>
          <w:rFonts w:hint="eastAsia" w:cs="宋体"/>
          <w:color w:val="auto"/>
          <w:sz w:val="24"/>
          <w:szCs w:val="24"/>
          <w:highlight w:val="none"/>
          <w:lang w:val="en-US" w:eastAsia="zh-CN"/>
        </w:rPr>
        <w:t>落实政府采购政策需满足的资格要求</w:t>
      </w:r>
      <w:r>
        <w:rPr>
          <w:rFonts w:hint="eastAsia" w:ascii="宋体" w:hAnsi="宋体" w:eastAsia="宋体" w:cs="宋体"/>
          <w:color w:val="auto"/>
          <w:sz w:val="24"/>
          <w:szCs w:val="24"/>
          <w:highlight w:val="none"/>
        </w:rPr>
        <w:t>；</w:t>
      </w:r>
    </w:p>
    <w:p w14:paraId="0409FD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2.3</w:t>
      </w:r>
      <w:r>
        <w:rPr>
          <w:rFonts w:hint="eastAsia" w:ascii="宋体" w:hAnsi="宋体" w:cs="宋体"/>
          <w:color w:val="auto"/>
          <w:sz w:val="24"/>
          <w:szCs w:val="24"/>
          <w:highlight w:val="none"/>
          <w:lang w:val="en-US" w:eastAsia="zh-CN"/>
        </w:rPr>
        <w:t>磋商保证金</w:t>
      </w:r>
      <w:r>
        <w:rPr>
          <w:rFonts w:hint="eastAsia" w:ascii="宋体" w:hAnsi="宋体" w:eastAsia="宋体" w:cs="宋体"/>
          <w:color w:val="auto"/>
          <w:sz w:val="24"/>
          <w:szCs w:val="24"/>
          <w:highlight w:val="none"/>
        </w:rPr>
        <w:t>；</w:t>
      </w:r>
    </w:p>
    <w:p w14:paraId="0DA958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本项目特定资格</w:t>
      </w:r>
      <w:r>
        <w:rPr>
          <w:rFonts w:hint="eastAsia" w:ascii="宋体" w:hAnsi="宋体" w:eastAsia="宋体" w:cs="宋体"/>
          <w:color w:val="auto"/>
          <w:sz w:val="24"/>
          <w:szCs w:val="24"/>
          <w:highlight w:val="none"/>
          <w:lang w:eastAsia="zh-CN"/>
        </w:rPr>
        <w:t>资质</w:t>
      </w:r>
      <w:r>
        <w:rPr>
          <w:rFonts w:hint="eastAsia" w:ascii="宋体" w:hAnsi="宋体" w:eastAsia="宋体" w:cs="宋体"/>
          <w:color w:val="auto"/>
          <w:sz w:val="24"/>
          <w:szCs w:val="24"/>
          <w:highlight w:val="none"/>
        </w:rPr>
        <w:t>；</w:t>
      </w:r>
    </w:p>
    <w:p w14:paraId="601E91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w:t>
      </w:r>
    </w:p>
    <w:p w14:paraId="77C86D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3.1报价一览表</w:t>
      </w:r>
      <w:r>
        <w:rPr>
          <w:rFonts w:hint="eastAsia" w:ascii="宋体" w:hAnsi="宋体" w:eastAsia="宋体" w:cs="宋体"/>
          <w:color w:val="auto"/>
          <w:sz w:val="24"/>
          <w:szCs w:val="24"/>
          <w:highlight w:val="none"/>
        </w:rPr>
        <w:t>；</w:t>
      </w:r>
    </w:p>
    <w:p w14:paraId="281262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3.2报价明细表（如有）</w:t>
      </w:r>
      <w:r>
        <w:rPr>
          <w:rFonts w:hint="eastAsia" w:ascii="宋体" w:hAnsi="宋体" w:eastAsia="宋体" w:cs="宋体"/>
          <w:color w:val="auto"/>
          <w:sz w:val="24"/>
          <w:szCs w:val="24"/>
          <w:highlight w:val="none"/>
        </w:rPr>
        <w:t>；</w:t>
      </w:r>
    </w:p>
    <w:p w14:paraId="5EC22C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4商务技术文件</w:t>
      </w:r>
    </w:p>
    <w:p w14:paraId="5D891D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4.1投标函；</w:t>
      </w:r>
    </w:p>
    <w:p w14:paraId="080B871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4.2供应商基本情况表；</w:t>
      </w:r>
    </w:p>
    <w:p w14:paraId="434BB4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4.3</w:t>
      </w:r>
      <w:r>
        <w:rPr>
          <w:rFonts w:hint="eastAsia" w:ascii="宋体" w:hAnsi="宋体" w:cs="宋体"/>
          <w:color w:val="auto"/>
          <w:sz w:val="24"/>
          <w:szCs w:val="24"/>
          <w:highlight w:val="none"/>
          <w:lang w:val="en-US" w:eastAsia="zh-CN"/>
        </w:rPr>
        <w:t>所投产品（服务）的相关技术、证明资料（如有）</w:t>
      </w:r>
      <w:r>
        <w:rPr>
          <w:rFonts w:hint="eastAsia" w:ascii="宋体" w:hAnsi="宋体" w:eastAsia="宋体" w:cs="宋体"/>
          <w:color w:val="auto"/>
          <w:sz w:val="24"/>
          <w:szCs w:val="24"/>
          <w:highlight w:val="none"/>
          <w:lang w:val="en-US" w:eastAsia="zh-CN"/>
        </w:rPr>
        <w:t>；</w:t>
      </w:r>
    </w:p>
    <w:p w14:paraId="4A40CD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4.4</w:t>
      </w:r>
      <w:r>
        <w:rPr>
          <w:rFonts w:hint="eastAsia" w:ascii="宋体" w:hAnsi="宋体" w:cs="宋体"/>
          <w:color w:val="auto"/>
          <w:sz w:val="24"/>
          <w:szCs w:val="24"/>
          <w:highlight w:val="none"/>
          <w:lang w:eastAsia="zh-CN"/>
        </w:rPr>
        <w:t>服务（技术）条款偏离表</w:t>
      </w:r>
      <w:r>
        <w:rPr>
          <w:rFonts w:hint="eastAsia" w:ascii="宋体" w:hAnsi="宋体" w:eastAsia="宋体" w:cs="宋体"/>
          <w:color w:val="auto"/>
          <w:sz w:val="24"/>
          <w:szCs w:val="24"/>
          <w:highlight w:val="none"/>
          <w:lang w:eastAsia="zh-CN"/>
        </w:rPr>
        <w:t>；</w:t>
      </w:r>
    </w:p>
    <w:p w14:paraId="38DAF9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4.5</w:t>
      </w:r>
      <w:r>
        <w:rPr>
          <w:rFonts w:hint="eastAsia" w:ascii="宋体" w:hAnsi="宋体" w:eastAsia="宋体" w:cs="宋体"/>
          <w:color w:val="auto"/>
          <w:sz w:val="24"/>
          <w:szCs w:val="24"/>
          <w:highlight w:val="none"/>
        </w:rPr>
        <w:t>商务条款偏离表；</w:t>
      </w:r>
    </w:p>
    <w:p w14:paraId="319A4B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4.6</w:t>
      </w:r>
      <w:r>
        <w:rPr>
          <w:rFonts w:hint="eastAsia" w:ascii="宋体" w:hAnsi="宋体" w:eastAsia="宋体" w:cs="宋体"/>
          <w:color w:val="auto"/>
          <w:sz w:val="24"/>
          <w:szCs w:val="24"/>
          <w:highlight w:val="none"/>
          <w:lang w:eastAsia="zh-CN"/>
        </w:rPr>
        <w:t>近三年类似业绩</w:t>
      </w:r>
      <w:r>
        <w:rPr>
          <w:rFonts w:hint="eastAsia" w:ascii="宋体" w:hAnsi="宋体" w:eastAsia="宋体" w:cs="宋体"/>
          <w:color w:val="auto"/>
          <w:sz w:val="24"/>
          <w:szCs w:val="24"/>
          <w:highlight w:val="none"/>
        </w:rPr>
        <w:t>；</w:t>
      </w:r>
    </w:p>
    <w:p w14:paraId="3489473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4.7项目实施（服务）方案；</w:t>
      </w:r>
    </w:p>
    <w:p w14:paraId="2F8CF9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4.8服务承诺；</w:t>
      </w:r>
    </w:p>
    <w:p w14:paraId="47C059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4.9</w:t>
      </w:r>
      <w:r>
        <w:rPr>
          <w:rFonts w:hint="eastAsia" w:ascii="宋体" w:hAnsi="宋体" w:eastAsia="宋体" w:cs="宋体"/>
          <w:color w:val="auto"/>
          <w:sz w:val="24"/>
          <w:szCs w:val="24"/>
          <w:highlight w:val="none"/>
          <w:lang w:eastAsia="zh-CN"/>
        </w:rPr>
        <w:t>服务</w:t>
      </w:r>
      <w:r>
        <w:rPr>
          <w:rFonts w:hint="eastAsia" w:ascii="宋体" w:hAnsi="宋体" w:cs="宋体"/>
          <w:color w:val="auto"/>
          <w:sz w:val="24"/>
          <w:szCs w:val="24"/>
          <w:highlight w:val="none"/>
          <w:lang w:val="en-US" w:eastAsia="zh-CN"/>
        </w:rPr>
        <w:t>团队</w:t>
      </w:r>
      <w:r>
        <w:rPr>
          <w:rFonts w:hint="eastAsia" w:ascii="宋体" w:hAnsi="宋体" w:eastAsia="宋体" w:cs="宋体"/>
          <w:color w:val="auto"/>
          <w:sz w:val="24"/>
          <w:szCs w:val="24"/>
          <w:highlight w:val="none"/>
        </w:rPr>
        <w:t>；</w:t>
      </w:r>
    </w:p>
    <w:p w14:paraId="065AF72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w:t>
      </w:r>
      <w:r>
        <w:rPr>
          <w:rFonts w:hint="eastAsia" w:ascii="宋体" w:hAnsi="宋体" w:eastAsia="宋体" w:cs="宋体"/>
          <w:color w:val="auto"/>
          <w:sz w:val="24"/>
          <w:szCs w:val="24"/>
          <w:highlight w:val="none"/>
          <w:lang w:val="en-US" w:eastAsia="zh-CN"/>
        </w:rPr>
        <w:t>4.10</w:t>
      </w:r>
      <w:r>
        <w:rPr>
          <w:rFonts w:hint="eastAsia" w:ascii="宋体" w:hAnsi="宋体" w:eastAsia="宋体" w:cs="宋体"/>
          <w:color w:val="auto"/>
          <w:sz w:val="24"/>
          <w:szCs w:val="24"/>
          <w:highlight w:val="none"/>
        </w:rPr>
        <w:t>其他有利于投标的资料及证明文件等（如有）。</w:t>
      </w:r>
    </w:p>
    <w:p w14:paraId="70BD37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3.3响应文件编制</w:t>
      </w:r>
    </w:p>
    <w:p w14:paraId="2294B0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3.3.1响应文件应分为“封面”、“</w:t>
      </w:r>
      <w:r>
        <w:rPr>
          <w:rFonts w:hint="eastAsia" w:ascii="宋体" w:hAnsi="宋体" w:eastAsia="宋体" w:cs="宋体"/>
          <w:color w:val="auto"/>
          <w:sz w:val="24"/>
          <w:szCs w:val="24"/>
          <w:highlight w:val="none"/>
          <w:lang w:eastAsia="zh-CN"/>
        </w:rPr>
        <w:t>资格文件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“报价文件”、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商务技术</w:t>
      </w:r>
      <w:r>
        <w:rPr>
          <w:rFonts w:hint="eastAsia" w:ascii="宋体" w:hAnsi="宋体" w:eastAsia="宋体" w:cs="宋体"/>
          <w:color w:val="auto"/>
          <w:sz w:val="24"/>
          <w:szCs w:val="24"/>
          <w:highlight w:val="none"/>
        </w:rPr>
        <w:t>文件”四个部分组成。</w:t>
      </w:r>
    </w:p>
    <w:p w14:paraId="271009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资格</w:t>
      </w:r>
      <w:r>
        <w:rPr>
          <w:rFonts w:hint="eastAsia" w:ascii="宋体" w:hAnsi="宋体" w:eastAsia="宋体" w:cs="宋体"/>
          <w:color w:val="auto"/>
          <w:sz w:val="24"/>
          <w:szCs w:val="24"/>
          <w:highlight w:val="none"/>
        </w:rPr>
        <w:t>文件指供应商提交的证明其有资格参加投标和中标后有能力履行合同的文件。商务技术文件指供应商提交的能够证明其提供的</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服务符合竞争性磋商文件规定的文件。本次磋商，供应商须按竞争性磋商文件第二部分中规定提交</w:t>
      </w:r>
      <w:r>
        <w:rPr>
          <w:rFonts w:hint="eastAsia" w:ascii="宋体" w:hAnsi="宋体" w:eastAsia="宋体" w:cs="宋体"/>
          <w:color w:val="auto"/>
          <w:sz w:val="24"/>
          <w:szCs w:val="24"/>
          <w:highlight w:val="none"/>
          <w:lang w:eastAsia="zh-CN"/>
        </w:rPr>
        <w:t>资格、报价和</w:t>
      </w:r>
      <w:r>
        <w:rPr>
          <w:rFonts w:hint="eastAsia" w:ascii="宋体" w:hAnsi="宋体" w:eastAsia="宋体" w:cs="宋体"/>
          <w:color w:val="auto"/>
          <w:sz w:val="24"/>
          <w:szCs w:val="24"/>
          <w:highlight w:val="none"/>
        </w:rPr>
        <w:t>商务技术文件，若有缺失或无效，将导致投标被拒绝且不允许在开标后补正。</w:t>
      </w:r>
    </w:p>
    <w:p w14:paraId="26944D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3.3.2磋商文件中提供格式的，响应文件须按照格式编制；表格样式不够或多余的，供应商根据实际情况可按照格式要求自行增加或减少。磋商文件中未提供格式的，供应商可根据实际情况自行提供。</w:t>
      </w:r>
    </w:p>
    <w:p w14:paraId="15C5F5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3.3.3供应商递交的响应文件及相关要求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按照磋商文件第二部分“供应商须知前附表”中的规定。</w:t>
      </w:r>
    </w:p>
    <w:p w14:paraId="09F0FA8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3.3.4供应商提交的响应文件以及供应商与采购代理机构和采购人就有关磋商的所有来往函电均应使用中文。供应商提交的支持文件和印刷的文献可以使用别的语言，但其相应内容必须附有中文翻译文本，在解释响应文件时以翻译文本为主。</w:t>
      </w:r>
    </w:p>
    <w:p w14:paraId="395EDC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3.3.5供应商应认真阅读、并充分理解本文件的全部内容（包括所有的补充、修改内容），承诺并履行本文件中各项条款规定及要求。</w:t>
      </w:r>
    </w:p>
    <w:p w14:paraId="1D03F1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3.3.6响应文件必须按本文件的全部内容，包括所有的补充通知进行编制。</w:t>
      </w:r>
    </w:p>
    <w:p w14:paraId="2FB7A8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3.3.7如因供应商只填写和提供了本文件要求的部分内容，而给评审造成困难，其可能导致的结果和责任由供应商自行承担。</w:t>
      </w:r>
    </w:p>
    <w:p w14:paraId="0A72797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3.4磋商报价要求</w:t>
      </w:r>
    </w:p>
    <w:p w14:paraId="79CABA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3.4.1供应商所提供的货物和服务均以人民币报价。</w:t>
      </w:r>
    </w:p>
    <w:p w14:paraId="2284C9B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3.4.2商应按照“第</w:t>
      </w:r>
      <w:r>
        <w:rPr>
          <w:rFonts w:hint="eastAsia" w:ascii="宋体" w:hAnsi="宋体" w:eastAsia="宋体" w:cs="宋体"/>
          <w:color w:val="auto"/>
          <w:sz w:val="24"/>
          <w:szCs w:val="24"/>
          <w:highlight w:val="none"/>
          <w:lang w:eastAsia="zh-CN"/>
        </w:rPr>
        <w:t>三部分</w:t>
      </w:r>
      <w:r>
        <w:rPr>
          <w:rFonts w:hint="eastAsia" w:ascii="宋体" w:hAnsi="宋体" w:eastAsia="宋体" w:cs="宋体"/>
          <w:color w:val="auto"/>
          <w:sz w:val="24"/>
          <w:szCs w:val="24"/>
          <w:highlight w:val="none"/>
        </w:rPr>
        <w:t>”规定的货物、服务内容、责任范围以及合同条款进行报价。并按《</w:t>
      </w:r>
      <w:r>
        <w:rPr>
          <w:rFonts w:hint="eastAsia" w:ascii="宋体" w:hAnsi="宋体" w:eastAsia="宋体" w:cs="宋体"/>
          <w:color w:val="auto"/>
          <w:sz w:val="24"/>
          <w:szCs w:val="24"/>
          <w:highlight w:val="none"/>
          <w:lang w:eastAsia="zh-CN"/>
        </w:rPr>
        <w:t>报价一览表</w:t>
      </w:r>
      <w:r>
        <w:rPr>
          <w:rFonts w:hint="eastAsia" w:ascii="宋体" w:hAnsi="宋体" w:eastAsia="宋体" w:cs="宋体"/>
          <w:color w:val="auto"/>
          <w:sz w:val="24"/>
          <w:szCs w:val="24"/>
          <w:highlight w:val="none"/>
        </w:rPr>
        <w:t>》和《</w:t>
      </w:r>
      <w:r>
        <w:rPr>
          <w:rFonts w:hint="eastAsia" w:ascii="宋体" w:hAnsi="宋体" w:eastAsia="宋体" w:cs="宋体"/>
          <w:color w:val="auto"/>
          <w:sz w:val="24"/>
          <w:szCs w:val="24"/>
          <w:highlight w:val="none"/>
          <w:lang w:eastAsia="zh-CN"/>
        </w:rPr>
        <w:t>报价明细表</w:t>
      </w:r>
      <w:r>
        <w:rPr>
          <w:rFonts w:hint="eastAsia" w:ascii="宋体" w:hAnsi="宋体" w:eastAsia="宋体" w:cs="宋体"/>
          <w:color w:val="auto"/>
          <w:sz w:val="24"/>
          <w:szCs w:val="24"/>
          <w:highlight w:val="none"/>
        </w:rPr>
        <w:t>》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2BB633F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3.4.3《</w:t>
      </w:r>
      <w:r>
        <w:rPr>
          <w:rFonts w:hint="eastAsia" w:ascii="宋体" w:hAnsi="宋体" w:eastAsia="宋体" w:cs="宋体"/>
          <w:color w:val="auto"/>
          <w:sz w:val="24"/>
          <w:szCs w:val="24"/>
          <w:highlight w:val="none"/>
          <w:lang w:eastAsia="zh-CN"/>
        </w:rPr>
        <w:t>报价明细表</w:t>
      </w:r>
      <w:r>
        <w:rPr>
          <w:rFonts w:hint="eastAsia" w:ascii="宋体" w:hAnsi="宋体" w:eastAsia="宋体" w:cs="宋体"/>
          <w:color w:val="auto"/>
          <w:sz w:val="24"/>
          <w:szCs w:val="24"/>
          <w:highlight w:val="none"/>
        </w:rPr>
        <w:t>》填写时应响应下列要求：</w:t>
      </w:r>
    </w:p>
    <w:p w14:paraId="113F4A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对于报价免费的项目应标明“免费”；</w:t>
      </w:r>
    </w:p>
    <w:p w14:paraId="6B89C7B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3.4.3</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所有根据合同或其它原因应由供应商支付的税款和其它应交纳的费用都要包括在供应商提交的磋商总价中；</w:t>
      </w:r>
    </w:p>
    <w:p w14:paraId="2EF9DD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应包含货物运至最终目的地的运输、保险和伴随货物服务的有关费用。</w:t>
      </w:r>
    </w:p>
    <w:p w14:paraId="03EC51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rPr>
        <w:t>每一种规格的货物、服务只允许有一个报价，否则将被视为无效投标。</w:t>
      </w:r>
    </w:p>
    <w:p w14:paraId="645506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color w:val="auto"/>
          <w:sz w:val="24"/>
          <w:szCs w:val="24"/>
          <w:highlight w:val="none"/>
          <w:lang w:val="en-US" w:eastAsia="zh-CN"/>
        </w:rPr>
        <w:t>3.5</w:t>
      </w:r>
      <w:r>
        <w:rPr>
          <w:rFonts w:hint="eastAsia" w:ascii="宋体" w:hAnsi="宋体" w:eastAsia="宋体" w:cs="宋体"/>
          <w:color w:val="auto"/>
          <w:sz w:val="24"/>
          <w:szCs w:val="24"/>
          <w:highlight w:val="none"/>
        </w:rPr>
        <w:t>供应商所报的总价在合同执行过程中是固定不变的，不得以任何理由予以变更。</w:t>
      </w:r>
    </w:p>
    <w:p w14:paraId="15A3CB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供应商的最后磋商报价超过项目采购预算的为无效报价。</w:t>
      </w:r>
    </w:p>
    <w:p w14:paraId="61BC76B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3.5备选方案</w:t>
      </w:r>
    </w:p>
    <w:p w14:paraId="52E7A5B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3.5.1供应商应按照供应商须知前附表要求编制磋商备选方案，否则将被视为无效响应文件。</w:t>
      </w:r>
    </w:p>
    <w:p w14:paraId="365D07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3.6联合体投标</w:t>
      </w:r>
    </w:p>
    <w:p w14:paraId="3E89F0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3.6.1两个以上供应商可以组成一个联合体，以一个供应商的身份共同参与磋商。</w:t>
      </w:r>
    </w:p>
    <w:p w14:paraId="3FE93E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204AB5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3.6.3联合体各方之间必须签订联合磋商协议，明确约定联合体主体及各方承担的工作和相应的责任，其响应文件中必须提供联合磋商协议。</w:t>
      </w:r>
    </w:p>
    <w:p w14:paraId="139547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3.6.4以联合体形式参加政府采购活动的，联合体各方不得再单独参加或者与其他供应商另外组成联合体参加同一合同项下的政府采购活动。</w:t>
      </w:r>
    </w:p>
    <w:p w14:paraId="13B25A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3.6.5采取联合体形式投标的，其响应文件必须由联合体所有成员或其各自正式授权的代表签署盖章，以便对所有成员作为整体及作为个体均具有法律约束力。</w:t>
      </w:r>
    </w:p>
    <w:p w14:paraId="1CCD51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3.6.6联合体成交的，联合体各方应当共同与采购人签订采购合同。</w:t>
      </w:r>
    </w:p>
    <w:p w14:paraId="4B09CB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3.6.7联合体中有同类资质的供应商按照联合体分工承担相同工作的，应当按照资质等级较低的供应商确定资质等级。</w:t>
      </w:r>
    </w:p>
    <w:p w14:paraId="6373F76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3.7供应商资格证明文件</w:t>
      </w:r>
    </w:p>
    <w:p w14:paraId="7CA060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3.7.1供应商应提交证明其有资格参加磋商和成交后有能力履行合同的文件，并作为其响应文件的一部分。</w:t>
      </w:r>
    </w:p>
    <w:p w14:paraId="4427A59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3.7.2资格证明文件必须真实可靠、不得伪造。</w:t>
      </w:r>
    </w:p>
    <w:p w14:paraId="533DD7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3.7.3磋商文件要求或供应商认为需提供的其它相关资格证明材料。</w:t>
      </w:r>
    </w:p>
    <w:p w14:paraId="171D180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3.7.4 证明投标货物、服务的合格性和符合磋商文件规定的文件。</w:t>
      </w:r>
    </w:p>
    <w:p w14:paraId="354BEF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3.8.磋商保证金</w:t>
      </w:r>
    </w:p>
    <w:p w14:paraId="3D49DB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3.8.1供应商应在须知前附表中规定的时间之前，通过企业银行</w:t>
      </w:r>
      <w:r>
        <w:rPr>
          <w:rFonts w:hint="eastAsia" w:ascii="宋体" w:hAnsi="宋体" w:eastAsia="宋体" w:cs="宋体"/>
          <w:color w:val="auto"/>
          <w:sz w:val="24"/>
          <w:szCs w:val="24"/>
          <w:highlight w:val="none"/>
          <w:lang w:eastAsia="zh-CN"/>
        </w:rPr>
        <w:t>基本</w:t>
      </w:r>
      <w:r>
        <w:rPr>
          <w:rFonts w:hint="eastAsia" w:ascii="宋体" w:hAnsi="宋体" w:eastAsia="宋体" w:cs="宋体"/>
          <w:color w:val="auto"/>
          <w:sz w:val="24"/>
          <w:szCs w:val="24"/>
          <w:highlight w:val="none"/>
        </w:rPr>
        <w:t>账户，将所规定数额的保证金以转账或电汇方式缴纳至该项目所对应的保证金收取账号内。保证金缴纳时间以该项目所对应的保证金收取账号中显示的到账时间为准。</w:t>
      </w:r>
    </w:p>
    <w:p w14:paraId="59FEFC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3.8.2对于未能按要求提交保证金的将视为未响应磋商文件的要求，其响应文件无效。</w:t>
      </w:r>
    </w:p>
    <w:p w14:paraId="2725CC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3.8.3未成交的供应商，其保证金在成交公告发布后5个工作日内，按照磋商保证金的来款渠道原路退还至供应商缴纳保证金的企业银行</w:t>
      </w:r>
      <w:r>
        <w:rPr>
          <w:rFonts w:hint="eastAsia" w:ascii="宋体" w:hAnsi="宋体" w:eastAsia="宋体" w:cs="宋体"/>
          <w:color w:val="auto"/>
          <w:sz w:val="24"/>
          <w:szCs w:val="24"/>
          <w:highlight w:val="none"/>
          <w:lang w:eastAsia="zh-CN"/>
        </w:rPr>
        <w:t>基本</w:t>
      </w:r>
      <w:r>
        <w:rPr>
          <w:rFonts w:hint="eastAsia" w:ascii="宋体" w:hAnsi="宋体" w:eastAsia="宋体" w:cs="宋体"/>
          <w:color w:val="auto"/>
          <w:sz w:val="24"/>
          <w:szCs w:val="24"/>
          <w:highlight w:val="none"/>
        </w:rPr>
        <w:t>账户内；如有质疑或投诉，政府采购代理机构将在质疑和投诉处理完毕后5个工作日内，按照保证金的来款渠道原路退还至供应商缴纳保证金的企业银行</w:t>
      </w:r>
      <w:r>
        <w:rPr>
          <w:rFonts w:hint="eastAsia" w:ascii="宋体" w:hAnsi="宋体" w:eastAsia="宋体" w:cs="宋体"/>
          <w:color w:val="auto"/>
          <w:sz w:val="24"/>
          <w:szCs w:val="24"/>
          <w:highlight w:val="none"/>
          <w:lang w:eastAsia="zh-CN"/>
        </w:rPr>
        <w:t>基本</w:t>
      </w:r>
      <w:r>
        <w:rPr>
          <w:rFonts w:hint="eastAsia" w:ascii="宋体" w:hAnsi="宋体" w:eastAsia="宋体" w:cs="宋体"/>
          <w:color w:val="auto"/>
          <w:sz w:val="24"/>
          <w:szCs w:val="24"/>
          <w:highlight w:val="none"/>
        </w:rPr>
        <w:t>账户内。</w:t>
      </w:r>
    </w:p>
    <w:p w14:paraId="20EA4E3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3.8.4成交供应商的磋商保证金,在供应商与采购人签订合同后5个工作日内，按照保证金的来款渠道原路退还至供应商缴纳保证金的企业银行</w:t>
      </w:r>
      <w:r>
        <w:rPr>
          <w:rFonts w:hint="eastAsia" w:ascii="宋体" w:hAnsi="宋体" w:eastAsia="宋体" w:cs="宋体"/>
          <w:color w:val="auto"/>
          <w:sz w:val="24"/>
          <w:szCs w:val="24"/>
          <w:highlight w:val="none"/>
          <w:lang w:eastAsia="zh-CN"/>
        </w:rPr>
        <w:t>基本</w:t>
      </w:r>
      <w:r>
        <w:rPr>
          <w:rFonts w:hint="eastAsia" w:ascii="宋体" w:hAnsi="宋体" w:eastAsia="宋体" w:cs="宋体"/>
          <w:color w:val="auto"/>
          <w:sz w:val="24"/>
          <w:szCs w:val="24"/>
          <w:highlight w:val="none"/>
        </w:rPr>
        <w:t>账户内。</w:t>
      </w:r>
    </w:p>
    <w:p w14:paraId="14B4FF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3.8.5有下列情形之一的，保证金将被没收：</w:t>
      </w:r>
    </w:p>
    <w:p w14:paraId="74B961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3.8.5</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供应商在响应文件中提供虚假资料的；</w:t>
      </w:r>
    </w:p>
    <w:p w14:paraId="13A693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3.8.5</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除因不可抗力或磋商文件认可的情形以外，成交供应商不与采购人签订合同的；</w:t>
      </w:r>
    </w:p>
    <w:p w14:paraId="4BFB76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3.8.5</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供应商与采购人、其他供应商或者采购代理机构恶意串通的；</w:t>
      </w:r>
    </w:p>
    <w:p w14:paraId="1BFE6B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3.8.5</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磋商文件规定的其他情形。</w:t>
      </w:r>
    </w:p>
    <w:p w14:paraId="523719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3.9.磋商的有效期</w:t>
      </w:r>
    </w:p>
    <w:p w14:paraId="76A534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3.9.1磋商有效期详见供应商须知前附表。供应商响应文件中有效期不足的将被视为无效文件。</w:t>
      </w:r>
    </w:p>
    <w:p w14:paraId="5BCA20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3.9.2 有效期内供应商未经采购结果确认磋商达成一致不得改变其磋商最后报价及承诺的全部义务。</w:t>
      </w:r>
    </w:p>
    <w:p w14:paraId="4EBB7A5A">
      <w:pPr>
        <w:pStyle w:val="13"/>
        <w:spacing w:line="360" w:lineRule="auto"/>
        <w:ind w:firstLine="480"/>
        <w:rPr>
          <w:rFonts w:hint="eastAsia" w:ascii="宋体" w:hAnsi="宋体" w:eastAsia="宋体" w:cs="宋体"/>
          <w:bCs/>
          <w:color w:val="auto"/>
          <w:kern w:val="0"/>
          <w:sz w:val="24"/>
          <w:szCs w:val="24"/>
          <w:highlight w:val="none"/>
        </w:rPr>
      </w:pPr>
    </w:p>
    <w:p w14:paraId="2A78FDBB">
      <w:pPr>
        <w:pStyle w:val="5"/>
        <w:rPr>
          <w:rFonts w:hint="eastAsia" w:ascii="宋体" w:hAnsi="宋体" w:eastAsia="宋体" w:cs="宋体"/>
          <w:b w:val="0"/>
          <w:bCs/>
          <w:color w:val="auto"/>
          <w:sz w:val="24"/>
          <w:szCs w:val="24"/>
          <w:highlight w:val="none"/>
        </w:rPr>
      </w:pPr>
      <w:bookmarkStart w:id="41" w:name="_Toc293736056"/>
      <w:bookmarkStart w:id="42" w:name="_Toc446599313"/>
      <w:bookmarkStart w:id="43" w:name="_Toc293738994"/>
      <w:bookmarkStart w:id="44" w:name="_Toc7126"/>
      <w:bookmarkStart w:id="45" w:name="_Toc26777"/>
      <w:bookmarkStart w:id="46" w:name="_Toc13278"/>
      <w:bookmarkStart w:id="47" w:name="_Toc19658"/>
      <w:bookmarkStart w:id="48" w:name="_Toc293736013"/>
      <w:r>
        <w:rPr>
          <w:rFonts w:hint="eastAsia" w:ascii="宋体" w:hAnsi="宋体" w:eastAsia="宋体" w:cs="宋体"/>
          <w:color w:val="auto"/>
          <w:sz w:val="24"/>
          <w:szCs w:val="24"/>
          <w:highlight w:val="none"/>
        </w:rPr>
        <w:t>四、响应文件的递交</w:t>
      </w:r>
      <w:bookmarkEnd w:id="41"/>
      <w:bookmarkEnd w:id="42"/>
      <w:bookmarkEnd w:id="43"/>
      <w:bookmarkEnd w:id="44"/>
      <w:bookmarkEnd w:id="45"/>
      <w:bookmarkEnd w:id="46"/>
      <w:bookmarkEnd w:id="47"/>
      <w:bookmarkEnd w:id="48"/>
    </w:p>
    <w:p w14:paraId="2C1797E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1</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w:t>
      </w:r>
      <w:r>
        <w:rPr>
          <w:rFonts w:hint="eastAsia" w:ascii="宋体" w:hAnsi="宋体" w:eastAsia="宋体" w:cs="宋体"/>
          <w:color w:val="auto"/>
          <w:sz w:val="24"/>
          <w:highlight w:val="none"/>
          <w:lang w:eastAsia="zh-CN"/>
        </w:rPr>
        <w:t>加</w:t>
      </w:r>
      <w:r>
        <w:rPr>
          <w:rFonts w:hint="eastAsia" w:ascii="宋体" w:hAnsi="宋体" w:eastAsia="宋体" w:cs="宋体"/>
          <w:color w:val="auto"/>
          <w:sz w:val="24"/>
          <w:highlight w:val="none"/>
        </w:rPr>
        <w:t>密与标记</w:t>
      </w:r>
    </w:p>
    <w:p w14:paraId="3A301A7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1</w:t>
      </w:r>
      <w:r>
        <w:rPr>
          <w:rFonts w:hint="eastAsia" w:ascii="宋体" w:hAnsi="宋体" w:eastAsia="宋体" w:cs="宋体"/>
          <w:color w:val="auto"/>
          <w:sz w:val="24"/>
          <w:highlight w:val="none"/>
          <w:lang w:val="en-US" w:eastAsia="zh-CN"/>
        </w:rPr>
        <w:t xml:space="preserve">.1 </w:t>
      </w:r>
      <w:r>
        <w:rPr>
          <w:rFonts w:hint="eastAsia" w:ascii="宋体" w:hAnsi="宋体" w:eastAsia="宋体" w:cs="宋体"/>
          <w:color w:val="auto"/>
          <w:sz w:val="24"/>
          <w:highlight w:val="none"/>
        </w:rPr>
        <w:t>投标人应通过电子投标文件制作工具严格按</w:t>
      </w:r>
      <w:r>
        <w:rPr>
          <w:rFonts w:hint="eastAsia" w:ascii="宋体" w:hAnsi="宋体" w:eastAsia="宋体" w:cs="宋体"/>
          <w:color w:val="auto"/>
          <w:sz w:val="24"/>
          <w:highlight w:val="none"/>
          <w:lang w:val="en-US" w:eastAsia="zh-CN"/>
        </w:rPr>
        <w:t>采购文件</w:t>
      </w:r>
      <w:r>
        <w:rPr>
          <w:rFonts w:hint="eastAsia" w:ascii="宋体" w:hAnsi="宋体" w:eastAsia="宋体" w:cs="宋体"/>
          <w:color w:val="auto"/>
          <w:sz w:val="24"/>
          <w:highlight w:val="none"/>
        </w:rPr>
        <w:t>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52652D42">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投标截止时间以政采云平台显示的时间为准，逾期系统将自动关闭，未完成上传的投标文件视为逾期送达，</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将被拒绝。</w:t>
      </w:r>
    </w:p>
    <w:p w14:paraId="293F6B0C">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1</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如果投标人未按上述要求</w:t>
      </w:r>
      <w:r>
        <w:rPr>
          <w:rFonts w:hint="eastAsia" w:ascii="宋体" w:hAnsi="宋体" w:eastAsia="宋体" w:cs="宋体"/>
          <w:color w:val="auto"/>
          <w:sz w:val="24"/>
          <w:highlight w:val="none"/>
          <w:lang w:eastAsia="zh-CN"/>
        </w:rPr>
        <w:t>加</w:t>
      </w:r>
      <w:r>
        <w:rPr>
          <w:rFonts w:hint="eastAsia" w:ascii="宋体" w:hAnsi="宋体" w:eastAsia="宋体" w:cs="宋体"/>
          <w:color w:val="auto"/>
          <w:sz w:val="24"/>
          <w:highlight w:val="none"/>
        </w:rPr>
        <w:t>密及标记，采购代理机构对投标文件的误投和提前启封概不负责。对由此造成提前开</w:t>
      </w:r>
      <w:r>
        <w:rPr>
          <w:rFonts w:hint="eastAsia" w:ascii="宋体" w:hAnsi="宋体" w:eastAsia="宋体" w:cs="宋体"/>
          <w:color w:val="auto"/>
          <w:sz w:val="24"/>
          <w:highlight w:val="none"/>
          <w:lang w:eastAsia="zh-CN"/>
        </w:rPr>
        <w:t>启</w:t>
      </w:r>
      <w:r>
        <w:rPr>
          <w:rFonts w:hint="eastAsia" w:ascii="宋体" w:hAnsi="宋体" w:eastAsia="宋体" w:cs="宋体"/>
          <w:color w:val="auto"/>
          <w:sz w:val="24"/>
          <w:highlight w:val="none"/>
        </w:rPr>
        <w:t>的投标文件，采购代理机构有权予以拒绝，并退回投标人。</w:t>
      </w:r>
    </w:p>
    <w:p w14:paraId="5B0D6F2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文件的递交</w:t>
      </w:r>
    </w:p>
    <w:p w14:paraId="0CD0327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本</w:t>
      </w:r>
      <w:r>
        <w:rPr>
          <w:rFonts w:hint="eastAsia" w:ascii="宋体" w:hAnsi="宋体" w:eastAsia="宋体" w:cs="宋体"/>
          <w:color w:val="auto"/>
          <w:sz w:val="24"/>
          <w:highlight w:val="none"/>
          <w:lang w:val="zh-CN"/>
        </w:rPr>
        <w:t>项目采用不见面开标。只需将加密电子投标文件（.</w:t>
      </w:r>
      <w:r>
        <w:rPr>
          <w:rFonts w:hint="eastAsia" w:ascii="宋体" w:hAnsi="宋体" w:eastAsia="宋体" w:cs="宋体"/>
          <w:color w:val="auto"/>
          <w:sz w:val="24"/>
          <w:highlight w:val="none"/>
        </w:rPr>
        <w:t>jmbs</w:t>
      </w:r>
      <w:r>
        <w:rPr>
          <w:rFonts w:hint="eastAsia" w:ascii="宋体" w:hAnsi="宋体" w:eastAsia="宋体" w:cs="宋体"/>
          <w:color w:val="auto"/>
          <w:sz w:val="24"/>
          <w:highlight w:val="none"/>
          <w:lang w:val="zh-CN"/>
        </w:rPr>
        <w:t>格式）在投标截止时间前通过</w:t>
      </w:r>
      <w:r>
        <w:rPr>
          <w:rFonts w:hint="eastAsia" w:ascii="宋体" w:hAnsi="宋体" w:eastAsia="宋体" w:cs="宋体"/>
          <w:color w:val="auto"/>
          <w:sz w:val="24"/>
          <w:highlight w:val="none"/>
        </w:rPr>
        <w:t>政采云</w:t>
      </w:r>
      <w:r>
        <w:rPr>
          <w:rFonts w:hint="eastAsia" w:ascii="宋体" w:hAnsi="宋体" w:eastAsia="宋体" w:cs="宋体"/>
          <w:color w:val="auto"/>
          <w:sz w:val="24"/>
          <w:highlight w:val="none"/>
          <w:lang w:val="zh-CN"/>
        </w:rPr>
        <w:t>平台上传</w:t>
      </w:r>
      <w:r>
        <w:rPr>
          <w:rFonts w:hint="eastAsia" w:ascii="宋体" w:hAnsi="宋体" w:cs="宋体"/>
          <w:color w:val="auto"/>
          <w:sz w:val="24"/>
          <w:szCs w:val="24"/>
          <w:highlight w:val="none"/>
          <w:lang w:val="zh-CN"/>
        </w:rPr>
        <w:t>完成。上传时必须得到电脑“上传成功”的确认回复后方为上传成</w:t>
      </w:r>
      <w:r>
        <w:rPr>
          <w:rFonts w:hint="eastAsia" w:ascii="宋体" w:hAnsi="宋体" w:eastAsia="宋体" w:cs="宋体"/>
          <w:color w:val="auto"/>
          <w:sz w:val="24"/>
          <w:highlight w:val="none"/>
          <w:lang w:val="zh-CN"/>
        </w:rPr>
        <w:t>功。逾期上传的或者未上传到平台的投标文件，采购人不予受理。</w:t>
      </w:r>
    </w:p>
    <w:p w14:paraId="6F24FC23">
      <w:pPr>
        <w:pageBreakBefore w:val="0"/>
        <w:widowControl w:val="0"/>
        <w:kinsoku/>
        <w:wordWrap/>
        <w:overflowPunct/>
        <w:topLinePunct w:val="0"/>
        <w:autoSpaceDE/>
        <w:autoSpaceDN/>
        <w:bidi w:val="0"/>
        <w:adjustRightInd w:val="0"/>
        <w:snapToGrid w:val="0"/>
        <w:spacing w:line="360" w:lineRule="auto"/>
        <w:ind w:firstLine="482" w:firstLineChars="200"/>
        <w:rPr>
          <w:rFonts w:hint="default"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4</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 xml:space="preserve"> 投标单位在投标截止时间前无需提供纸质投标文件，待中标（成交）</w:t>
      </w:r>
      <w:r>
        <w:rPr>
          <w:rFonts w:hint="eastAsia" w:ascii="宋体" w:hAnsi="宋体" w:eastAsia="宋体" w:cs="宋体"/>
          <w:b/>
          <w:bCs/>
          <w:color w:val="auto"/>
          <w:sz w:val="24"/>
          <w:highlight w:val="none"/>
        </w:rPr>
        <w:t>公示期满后由中标</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成交</w:t>
      </w: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rPr>
        <w:t>单位将纸质</w:t>
      </w:r>
      <w:r>
        <w:rPr>
          <w:rFonts w:hint="eastAsia" w:ascii="宋体" w:hAnsi="宋体" w:eastAsia="宋体" w:cs="宋体"/>
          <w:b/>
          <w:bCs/>
          <w:color w:val="auto"/>
          <w:sz w:val="24"/>
          <w:highlight w:val="none"/>
          <w:lang w:val="en-US" w:eastAsia="zh-CN"/>
        </w:rPr>
        <w:t>投标文件</w:t>
      </w:r>
      <w:r>
        <w:rPr>
          <w:rFonts w:hint="eastAsia" w:ascii="宋体" w:hAnsi="宋体" w:eastAsia="宋体" w:cs="宋体"/>
          <w:b/>
          <w:bCs/>
          <w:color w:val="auto"/>
          <w:sz w:val="24"/>
          <w:highlight w:val="none"/>
        </w:rPr>
        <w:t>（正本1份、副本2份）</w:t>
      </w:r>
      <w:r>
        <w:rPr>
          <w:rFonts w:hint="eastAsia" w:ascii="宋体" w:hAnsi="宋体" w:eastAsia="宋体" w:cs="宋体"/>
          <w:b/>
          <w:bCs/>
          <w:color w:val="auto"/>
          <w:sz w:val="24"/>
          <w:highlight w:val="none"/>
          <w:lang w:eastAsia="zh-CN"/>
        </w:rPr>
        <w:t>送或</w:t>
      </w:r>
      <w:r>
        <w:rPr>
          <w:rFonts w:hint="eastAsia" w:ascii="宋体" w:hAnsi="宋体" w:eastAsia="宋体" w:cs="宋体"/>
          <w:b/>
          <w:bCs/>
          <w:color w:val="auto"/>
          <w:sz w:val="24"/>
          <w:highlight w:val="none"/>
        </w:rPr>
        <w:t>寄至</w:t>
      </w:r>
      <w:r>
        <w:rPr>
          <w:rFonts w:hint="eastAsia" w:ascii="宋体" w:hAnsi="宋体" w:eastAsia="宋体" w:cs="宋体"/>
          <w:b/>
          <w:bCs/>
          <w:color w:val="auto"/>
          <w:sz w:val="24"/>
          <w:highlight w:val="none"/>
          <w:lang w:eastAsia="zh-CN"/>
        </w:rPr>
        <w:t>新疆中诺项目管理有限公司，</w:t>
      </w:r>
      <w:r>
        <w:rPr>
          <w:rFonts w:hint="eastAsia" w:ascii="宋体" w:hAnsi="宋体" w:eastAsia="宋体" w:cs="宋体"/>
          <w:b/>
          <w:bCs/>
          <w:color w:val="auto"/>
          <w:sz w:val="24"/>
          <w:highlight w:val="none"/>
          <w:lang w:val="en-US" w:eastAsia="zh-CN"/>
        </w:rPr>
        <w:t>未中标单位无需提供纸质投标文件。</w:t>
      </w:r>
    </w:p>
    <w:p w14:paraId="7D2A7159">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4.2</w:t>
      </w:r>
      <w:r>
        <w:rPr>
          <w:rFonts w:hint="eastAsia" w:ascii="宋体" w:hAnsi="宋体" w:eastAsia="宋体" w:cs="宋体"/>
          <w:color w:val="auto"/>
          <w:sz w:val="24"/>
          <w:highlight w:val="none"/>
          <w:lang w:val="zh-CN"/>
        </w:rPr>
        <w:t>.3 纸质投标文件装订要求：投标文件要求不得活页装订，每本标书厚度不得超过5cm，如超过可以分册装订。</w:t>
      </w:r>
    </w:p>
    <w:p w14:paraId="04A23F58">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zh-CN"/>
        </w:rPr>
      </w:pPr>
    </w:p>
    <w:p w14:paraId="386571E5">
      <w:pPr>
        <w:pStyle w:val="5"/>
        <w:pageBreakBefore w:val="0"/>
        <w:widowControl w:val="0"/>
        <w:kinsoku/>
        <w:wordWrap/>
        <w:overflowPunct/>
        <w:topLinePunct w:val="0"/>
        <w:autoSpaceDE/>
        <w:autoSpaceDN/>
        <w:bidi w:val="0"/>
        <w:adjustRightInd w:val="0"/>
        <w:snapToGrid w:val="0"/>
        <w:spacing w:before="0" w:after="0" w:line="360" w:lineRule="auto"/>
        <w:jc w:val="center"/>
        <w:rPr>
          <w:rFonts w:hint="default" w:ascii="宋体" w:hAnsi="宋体" w:eastAsia="宋体" w:cs="宋体"/>
          <w:color w:val="auto"/>
          <w:sz w:val="28"/>
          <w:szCs w:val="28"/>
          <w:highlight w:val="none"/>
          <w:lang w:val="en-US" w:eastAsia="zh-CN"/>
        </w:rPr>
      </w:pPr>
      <w:bookmarkStart w:id="49" w:name="_Toc3807"/>
      <w:bookmarkStart w:id="50" w:name="_Toc23628"/>
      <w:bookmarkStart w:id="51" w:name="_Toc16287"/>
      <w:r>
        <w:rPr>
          <w:rFonts w:hint="eastAsia" w:ascii="宋体" w:hAnsi="宋体" w:eastAsia="宋体" w:cs="宋体"/>
          <w:color w:val="auto"/>
          <w:sz w:val="28"/>
          <w:szCs w:val="28"/>
          <w:highlight w:val="none"/>
          <w:lang w:val="en-US" w:eastAsia="zh-CN"/>
        </w:rPr>
        <w:t>五</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响应</w:t>
      </w:r>
      <w:r>
        <w:rPr>
          <w:rFonts w:hint="eastAsia" w:ascii="宋体" w:hAnsi="宋体" w:eastAsia="宋体" w:cs="宋体"/>
          <w:color w:val="auto"/>
          <w:sz w:val="28"/>
          <w:szCs w:val="28"/>
          <w:highlight w:val="none"/>
        </w:rPr>
        <w:t>文件的</w:t>
      </w:r>
      <w:r>
        <w:rPr>
          <w:rFonts w:hint="eastAsia" w:ascii="宋体" w:hAnsi="宋体" w:eastAsia="宋体" w:cs="宋体"/>
          <w:color w:val="auto"/>
          <w:sz w:val="28"/>
          <w:szCs w:val="28"/>
          <w:highlight w:val="none"/>
          <w:lang w:val="en-US" w:eastAsia="zh-CN"/>
        </w:rPr>
        <w:t>解密</w:t>
      </w:r>
      <w:bookmarkEnd w:id="49"/>
      <w:bookmarkEnd w:id="50"/>
      <w:bookmarkEnd w:id="51"/>
    </w:p>
    <w:p w14:paraId="3F12820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w:t>
      </w:r>
      <w:r>
        <w:rPr>
          <w:rFonts w:hint="eastAsia" w:ascii="宋体" w:hAnsi="宋体" w:eastAsia="宋体" w:cs="宋体"/>
          <w:color w:val="auto"/>
          <w:sz w:val="24"/>
          <w:highlight w:val="none"/>
          <w:lang w:val="en-US" w:eastAsia="zh-CN"/>
        </w:rPr>
        <w:t>解</w:t>
      </w:r>
      <w:r>
        <w:rPr>
          <w:rFonts w:hint="eastAsia" w:ascii="宋体" w:hAnsi="宋体" w:eastAsia="宋体" w:cs="宋体"/>
          <w:color w:val="auto"/>
          <w:sz w:val="24"/>
          <w:highlight w:val="none"/>
        </w:rPr>
        <w:t>密</w:t>
      </w:r>
    </w:p>
    <w:p w14:paraId="2D7E0A37">
      <w:pPr>
        <w:pageBreakBefore w:val="0"/>
        <w:widowControl w:val="0"/>
        <w:kinsoku/>
        <w:wordWrap/>
        <w:overflowPunct/>
        <w:topLinePunct w:val="0"/>
        <w:autoSpaceDE/>
        <w:autoSpaceDN/>
        <w:bidi w:val="0"/>
        <w:adjustRightInd w:val="0"/>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乐</w:t>
      </w:r>
      <w:r>
        <w:rPr>
          <w:rFonts w:hint="eastAsia" w:ascii="宋体" w:hAnsi="宋体" w:eastAsia="宋体" w:cs="宋体"/>
          <w:color w:val="auto"/>
          <w:sz w:val="24"/>
          <w:highlight w:val="none"/>
          <w:lang w:val="en-US" w:eastAsia="zh-CN"/>
        </w:rPr>
        <w:t>采云平台将在开标时间（投标文件解密时间）自动开启投标文件解密，投标人需在采购文件规定的时间内自行将投标文件进行解密。待开启签字时段提示时，及时进行签字确认。如因供应商自身原因导致在规定时间内无法正常解密的（如：浏览器故障、未安装相关驱动、网络故障、加密CA与解密CA不一致等），采购代理机构不予异常处理，视为供应商自动弃标。</w:t>
      </w:r>
    </w:p>
    <w:p w14:paraId="6B893DD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5.2 响应文件解密失败的异常处理</w:t>
      </w:r>
    </w:p>
    <w:p w14:paraId="24A66690">
      <w:pPr>
        <w:pageBreakBefore w:val="0"/>
        <w:widowControl w:val="0"/>
        <w:kinsoku/>
        <w:wordWrap/>
        <w:overflowPunct/>
        <w:topLinePunct w:val="0"/>
        <w:autoSpaceDE/>
        <w:autoSpaceDN/>
        <w:bidi w:val="0"/>
        <w:adjustRightInd w:val="0"/>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人在响应文件解密截止时间前，如因政采云系统原因导致不能正常解密的，应及时联系代理机构项目负责人，经确认后将上传未加密的电子投标文件进行异常处理。如超过响应文件解密时间，不管什么原因采购代理机构一律不予异常处理，视为供应商自动弃标。</w:t>
      </w:r>
    </w:p>
    <w:p w14:paraId="1FC00EE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118AF4E5">
      <w:pPr>
        <w:pStyle w:val="5"/>
        <w:rPr>
          <w:rFonts w:hint="eastAsia" w:asciiTheme="minorEastAsia" w:hAnsiTheme="minorEastAsia" w:eastAsiaTheme="minorEastAsia" w:cstheme="minorEastAsia"/>
          <w:color w:val="auto"/>
          <w:sz w:val="24"/>
          <w:szCs w:val="24"/>
          <w:highlight w:val="none"/>
        </w:rPr>
      </w:pPr>
      <w:bookmarkStart w:id="52" w:name="_Toc446599314"/>
      <w:bookmarkStart w:id="53" w:name="_Toc293736057"/>
      <w:bookmarkStart w:id="54" w:name="_Toc293736014"/>
      <w:bookmarkStart w:id="55" w:name="_Toc293738995"/>
      <w:bookmarkStart w:id="56" w:name="_Toc13428"/>
      <w:bookmarkStart w:id="57" w:name="_Toc18217"/>
      <w:bookmarkStart w:id="58" w:name="_Toc4459"/>
      <w:bookmarkStart w:id="59" w:name="_Toc12422"/>
      <w:bookmarkStart w:id="60" w:name="_Toc541"/>
      <w:r>
        <w:rPr>
          <w:rFonts w:hint="eastAsia" w:asciiTheme="minorEastAsia" w:hAnsiTheme="minorEastAsia" w:eastAsiaTheme="minorEastAsia" w:cstheme="minorEastAsia"/>
          <w:color w:val="auto"/>
          <w:sz w:val="24"/>
          <w:szCs w:val="24"/>
          <w:highlight w:val="none"/>
          <w:lang w:val="en-US" w:eastAsia="zh-CN"/>
        </w:rPr>
        <w:t>六</w:t>
      </w:r>
      <w:r>
        <w:rPr>
          <w:rFonts w:hint="eastAsia" w:asciiTheme="minorEastAsia" w:hAnsiTheme="minorEastAsia" w:eastAsiaTheme="minorEastAsia" w:cstheme="minorEastAsia"/>
          <w:color w:val="auto"/>
          <w:sz w:val="24"/>
          <w:szCs w:val="24"/>
          <w:highlight w:val="none"/>
        </w:rPr>
        <w:t>、</w:t>
      </w:r>
      <w:bookmarkEnd w:id="52"/>
      <w:bookmarkEnd w:id="53"/>
      <w:bookmarkEnd w:id="54"/>
      <w:bookmarkEnd w:id="55"/>
      <w:r>
        <w:rPr>
          <w:rFonts w:hint="eastAsia" w:asciiTheme="minorEastAsia" w:hAnsiTheme="minorEastAsia" w:eastAsiaTheme="minorEastAsia" w:cstheme="minorEastAsia"/>
          <w:color w:val="auto"/>
          <w:sz w:val="24"/>
          <w:szCs w:val="24"/>
          <w:highlight w:val="none"/>
        </w:rPr>
        <w:t>竞争性磋商程序</w:t>
      </w:r>
      <w:bookmarkEnd w:id="56"/>
      <w:bookmarkEnd w:id="57"/>
      <w:bookmarkEnd w:id="58"/>
      <w:bookmarkEnd w:id="59"/>
      <w:bookmarkEnd w:id="60"/>
    </w:p>
    <w:p w14:paraId="6E3BEAB2">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.1磋商小组的组成</w:t>
      </w:r>
    </w:p>
    <w:p w14:paraId="5041E91D">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.1.1磋商小组由采购人代表和有关技术、经济等方面的专家组成。全面负责对响应文件的审查、评审、磋商、打分等全部评审工作。磋商小组人数以及技术、经济方面的专家组成见</w:t>
      </w:r>
      <w:r>
        <w:rPr>
          <w:rFonts w:hint="eastAsia" w:asciiTheme="minorEastAsia" w:hAnsiTheme="minorEastAsia" w:eastAsiaTheme="minorEastAsia" w:cstheme="minorEastAsia"/>
          <w:bCs/>
          <w:color w:val="auto"/>
          <w:sz w:val="24"/>
          <w:szCs w:val="24"/>
          <w:highlight w:val="none"/>
        </w:rPr>
        <w:fldChar w:fldCharType="begin"/>
      </w:r>
      <w:r>
        <w:rPr>
          <w:rFonts w:hint="eastAsia" w:asciiTheme="minorEastAsia" w:hAnsiTheme="minorEastAsia" w:eastAsiaTheme="minorEastAsia" w:cstheme="minorEastAsia"/>
          <w:bCs/>
          <w:color w:val="auto"/>
          <w:sz w:val="24"/>
          <w:szCs w:val="24"/>
          <w:highlight w:val="none"/>
        </w:rPr>
        <w:instrText xml:space="preserve"> HYPERLINK "file:///C:\\WordForm\\e944b4b1-01b6-4e42-b170-f783fcf7903a.doc" \l "_评标委员会" </w:instrText>
      </w:r>
      <w:r>
        <w:rPr>
          <w:rFonts w:hint="eastAsia" w:asciiTheme="minorEastAsia" w:hAnsiTheme="minorEastAsia" w:eastAsiaTheme="minorEastAsia" w:cstheme="minorEastAsia"/>
          <w:bCs/>
          <w:color w:val="auto"/>
          <w:sz w:val="24"/>
          <w:szCs w:val="24"/>
          <w:highlight w:val="none"/>
        </w:rPr>
        <w:fldChar w:fldCharType="separate"/>
      </w:r>
      <w:r>
        <w:rPr>
          <w:rFonts w:hint="eastAsia" w:asciiTheme="minorEastAsia" w:hAnsiTheme="minorEastAsia" w:eastAsiaTheme="minorEastAsia" w:cstheme="minorEastAsia"/>
          <w:bCs/>
          <w:color w:val="auto"/>
          <w:sz w:val="24"/>
          <w:szCs w:val="24"/>
          <w:highlight w:val="none"/>
        </w:rPr>
        <w:t>供应商须知前附表</w:t>
      </w:r>
      <w:r>
        <w:rPr>
          <w:rFonts w:hint="eastAsia" w:asciiTheme="minorEastAsia" w:hAnsiTheme="minorEastAsia" w:eastAsiaTheme="minorEastAsia" w:cstheme="minorEastAsia"/>
          <w:bCs/>
          <w:color w:val="auto"/>
          <w:sz w:val="24"/>
          <w:szCs w:val="24"/>
          <w:highlight w:val="none"/>
        </w:rPr>
        <w:fldChar w:fldCharType="end"/>
      </w:r>
      <w:r>
        <w:rPr>
          <w:rFonts w:hint="eastAsia" w:asciiTheme="minorEastAsia" w:hAnsiTheme="minorEastAsia" w:eastAsiaTheme="minorEastAsia" w:cstheme="minorEastAsia"/>
          <w:bCs/>
          <w:color w:val="auto"/>
          <w:sz w:val="24"/>
          <w:szCs w:val="24"/>
          <w:highlight w:val="none"/>
        </w:rPr>
        <w:t>。</w:t>
      </w:r>
    </w:p>
    <w:p w14:paraId="739A73A0">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.2磋商方法</w:t>
      </w:r>
    </w:p>
    <w:p w14:paraId="000D036B">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.2.1磋商小组将按照磋商文件确定的评审方法进行评审。磋商小组对响应文件的评审分为响应文件</w:t>
      </w:r>
      <w:r>
        <w:rPr>
          <w:rFonts w:hint="eastAsia" w:asciiTheme="minorEastAsia" w:hAnsiTheme="minorEastAsia" w:eastAsiaTheme="minorEastAsia" w:cstheme="minorEastAsia"/>
          <w:bCs/>
          <w:color w:val="auto"/>
          <w:sz w:val="24"/>
          <w:szCs w:val="24"/>
          <w:highlight w:val="none"/>
          <w:lang w:eastAsia="zh-CN"/>
        </w:rPr>
        <w:t>符合性审查</w:t>
      </w:r>
      <w:r>
        <w:rPr>
          <w:rFonts w:hint="eastAsia" w:asciiTheme="minorEastAsia" w:hAnsiTheme="minorEastAsia" w:eastAsiaTheme="minorEastAsia" w:cstheme="minorEastAsia"/>
          <w:bCs/>
          <w:color w:val="auto"/>
          <w:sz w:val="24"/>
          <w:szCs w:val="24"/>
          <w:highlight w:val="none"/>
        </w:rPr>
        <w:t>、澄清有关问题、比较与评价响应文件、推荐中标</w:t>
      </w:r>
      <w:r>
        <w:rPr>
          <w:rFonts w:hint="eastAsia" w:asciiTheme="minorEastAsia" w:hAnsiTheme="minorEastAsia" w:eastAsiaTheme="minorEastAsia" w:cstheme="minorEastAsia"/>
          <w:bCs/>
          <w:color w:val="auto"/>
          <w:sz w:val="24"/>
          <w:szCs w:val="24"/>
          <w:highlight w:val="none"/>
          <w:lang w:eastAsia="zh-CN"/>
        </w:rPr>
        <w:t>（成交）</w:t>
      </w:r>
      <w:r>
        <w:rPr>
          <w:rFonts w:hint="eastAsia" w:asciiTheme="minorEastAsia" w:hAnsiTheme="minorEastAsia" w:eastAsiaTheme="minorEastAsia" w:cstheme="minorEastAsia"/>
          <w:bCs/>
          <w:color w:val="auto"/>
          <w:sz w:val="24"/>
          <w:szCs w:val="24"/>
          <w:highlight w:val="none"/>
        </w:rPr>
        <w:t>候选人名单。</w:t>
      </w:r>
    </w:p>
    <w:p w14:paraId="33C2D96E">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.2.1项目评审方法详见磋商文件“第四</w:t>
      </w:r>
      <w:r>
        <w:rPr>
          <w:rFonts w:hint="eastAsia" w:asciiTheme="minorEastAsia" w:hAnsiTheme="minorEastAsia" w:eastAsiaTheme="minorEastAsia" w:cstheme="minorEastAsia"/>
          <w:bCs/>
          <w:color w:val="auto"/>
          <w:sz w:val="24"/>
          <w:szCs w:val="24"/>
          <w:highlight w:val="none"/>
          <w:lang w:eastAsia="zh-CN"/>
        </w:rPr>
        <w:t>部分</w:t>
      </w:r>
      <w:r>
        <w:rPr>
          <w:rFonts w:hint="eastAsia" w:asciiTheme="minorEastAsia" w:hAnsiTheme="minorEastAsia" w:eastAsiaTheme="minorEastAsia" w:cstheme="minorEastAsia"/>
          <w:bCs/>
          <w:color w:val="auto"/>
          <w:sz w:val="24"/>
          <w:szCs w:val="24"/>
          <w:highlight w:val="none"/>
        </w:rPr>
        <w:t xml:space="preserve"> 评审方法”。</w:t>
      </w:r>
    </w:p>
    <w:p w14:paraId="0CAB83D1">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.3响应文件的初审</w:t>
      </w:r>
    </w:p>
    <w:p w14:paraId="1AEA1869">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初审分为资格</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和符合性</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w:t>
      </w:r>
    </w:p>
    <w:p w14:paraId="26E24CFC">
      <w:pPr>
        <w:spacing w:line="360" w:lineRule="auto"/>
        <w:ind w:firstLine="480" w:firstLineChars="200"/>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.3.1资格</w:t>
      </w:r>
      <w:r>
        <w:rPr>
          <w:rFonts w:hint="eastAsia" w:asciiTheme="minorEastAsia" w:hAnsiTheme="minorEastAsia" w:eastAsiaTheme="minorEastAsia" w:cstheme="minorEastAsia"/>
          <w:bCs/>
          <w:color w:val="auto"/>
          <w:sz w:val="24"/>
          <w:szCs w:val="24"/>
          <w:highlight w:val="none"/>
          <w:lang w:eastAsia="zh-CN"/>
        </w:rPr>
        <w:t>审查</w:t>
      </w:r>
    </w:p>
    <w:p w14:paraId="65C60FFE">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w:t>
      </w:r>
      <w:r>
        <w:rPr>
          <w:rFonts w:hint="eastAsia" w:asciiTheme="minorEastAsia" w:hAnsiTheme="minorEastAsia" w:eastAsiaTheme="minorEastAsia" w:cstheme="minorEastAsia"/>
          <w:bCs/>
          <w:color w:val="auto"/>
          <w:sz w:val="24"/>
          <w:szCs w:val="24"/>
          <w:highlight w:val="none"/>
          <w:lang w:eastAsia="zh-CN"/>
        </w:rPr>
        <w:t>采购人或招标代理机构</w:t>
      </w:r>
      <w:r>
        <w:rPr>
          <w:rFonts w:hint="eastAsia" w:asciiTheme="minorEastAsia" w:hAnsiTheme="minorEastAsia" w:eastAsiaTheme="minorEastAsia" w:cstheme="minorEastAsia"/>
          <w:bCs/>
          <w:color w:val="auto"/>
          <w:sz w:val="24"/>
          <w:szCs w:val="24"/>
          <w:highlight w:val="none"/>
        </w:rPr>
        <w:t>根据评审办法</w:t>
      </w:r>
      <w:r>
        <w:rPr>
          <w:rFonts w:hint="eastAsia" w:asciiTheme="minorEastAsia" w:hAnsiTheme="minorEastAsia" w:eastAsiaTheme="minorEastAsia" w:cstheme="minorEastAsia"/>
          <w:bCs/>
          <w:color w:val="auto"/>
          <w:sz w:val="24"/>
          <w:szCs w:val="24"/>
          <w:highlight w:val="none"/>
          <w:lang w:eastAsia="zh-CN"/>
        </w:rPr>
        <w:t>中资格审查</w:t>
      </w:r>
      <w:r>
        <w:rPr>
          <w:rFonts w:hint="eastAsia" w:asciiTheme="minorEastAsia" w:hAnsiTheme="minorEastAsia" w:eastAsiaTheme="minorEastAsia" w:cstheme="minorEastAsia"/>
          <w:bCs/>
          <w:color w:val="auto"/>
          <w:sz w:val="24"/>
          <w:szCs w:val="24"/>
          <w:highlight w:val="none"/>
        </w:rPr>
        <w:t>标准，对供应商的响应文件进行资格</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w:t>
      </w:r>
    </w:p>
    <w:p w14:paraId="4A007365">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（2）在进行资格</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时，不得改变磋商文件中已载明的资格条件、标准和办法。资格性检查不合格的供应商的响应文件作无效文件处理。</w:t>
      </w:r>
    </w:p>
    <w:p w14:paraId="227476F0">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（3）供应商在递交响应文件的同时，应逐项对照上述资格性</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要求提交相应的资格证明文件供</w:t>
      </w:r>
      <w:r>
        <w:rPr>
          <w:rFonts w:hint="eastAsia" w:asciiTheme="minorEastAsia" w:hAnsiTheme="minorEastAsia" w:eastAsiaTheme="minorEastAsia" w:cstheme="minorEastAsia"/>
          <w:bCs/>
          <w:color w:val="auto"/>
          <w:sz w:val="24"/>
          <w:szCs w:val="24"/>
          <w:highlight w:val="none"/>
          <w:lang w:eastAsia="zh-CN"/>
        </w:rPr>
        <w:t>审查人员</w:t>
      </w:r>
      <w:r>
        <w:rPr>
          <w:rFonts w:hint="eastAsia" w:asciiTheme="minorEastAsia" w:hAnsiTheme="minorEastAsia" w:eastAsiaTheme="minorEastAsia" w:cstheme="minorEastAsia"/>
          <w:bCs/>
          <w:color w:val="auto"/>
          <w:sz w:val="24"/>
          <w:szCs w:val="24"/>
          <w:highlight w:val="none"/>
        </w:rPr>
        <w:t>核查，否则将不予采信。</w:t>
      </w:r>
    </w:p>
    <w:p w14:paraId="46B059B4">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（4）在评审中必要时可按供应商提供的联系方式就有关问题进行查询核实，或要求供应商做出澄清，查询及澄清结果将作为审查的依据。</w:t>
      </w:r>
    </w:p>
    <w:p w14:paraId="38D62FAF">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（5）通过全部资格</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条件合格的供应商才能通过资格</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，其响应文件方可进入下一个</w:t>
      </w:r>
      <w:r>
        <w:rPr>
          <w:rFonts w:hint="eastAsia" w:asciiTheme="minorEastAsia" w:hAnsiTheme="minorEastAsia" w:eastAsiaTheme="minorEastAsia" w:cstheme="minorEastAsia"/>
          <w:bCs/>
          <w:color w:val="auto"/>
          <w:sz w:val="24"/>
          <w:szCs w:val="24"/>
          <w:highlight w:val="none"/>
          <w:lang w:eastAsia="zh-CN"/>
        </w:rPr>
        <w:t>评审</w:t>
      </w:r>
      <w:r>
        <w:rPr>
          <w:rFonts w:hint="eastAsia" w:asciiTheme="minorEastAsia" w:hAnsiTheme="minorEastAsia" w:eastAsiaTheme="minorEastAsia" w:cstheme="minorEastAsia"/>
          <w:bCs/>
          <w:color w:val="auto"/>
          <w:sz w:val="24"/>
          <w:szCs w:val="24"/>
          <w:highlight w:val="none"/>
        </w:rPr>
        <w:t>阶段。</w:t>
      </w:r>
    </w:p>
    <w:p w14:paraId="4496CC1E">
      <w:pPr>
        <w:spacing w:line="360" w:lineRule="auto"/>
        <w:ind w:firstLine="480" w:firstLineChars="200"/>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.3.2符合性</w:t>
      </w:r>
      <w:r>
        <w:rPr>
          <w:rFonts w:hint="eastAsia" w:asciiTheme="minorEastAsia" w:hAnsiTheme="minorEastAsia" w:eastAsiaTheme="minorEastAsia" w:cstheme="minorEastAsia"/>
          <w:bCs/>
          <w:color w:val="auto"/>
          <w:sz w:val="24"/>
          <w:szCs w:val="24"/>
          <w:highlight w:val="none"/>
          <w:lang w:eastAsia="zh-CN"/>
        </w:rPr>
        <w:t>审查</w:t>
      </w:r>
    </w:p>
    <w:p w14:paraId="72A2D7DA">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磋商小组根据评审办法</w:t>
      </w:r>
      <w:r>
        <w:rPr>
          <w:rFonts w:hint="eastAsia" w:asciiTheme="minorEastAsia" w:hAnsiTheme="minorEastAsia" w:eastAsiaTheme="minorEastAsia" w:cstheme="minorEastAsia"/>
          <w:bCs/>
          <w:color w:val="auto"/>
          <w:sz w:val="24"/>
          <w:szCs w:val="24"/>
          <w:highlight w:val="none"/>
          <w:lang w:eastAsia="zh-CN"/>
        </w:rPr>
        <w:t>中符合性审查</w:t>
      </w:r>
      <w:r>
        <w:rPr>
          <w:rFonts w:hint="eastAsia" w:asciiTheme="minorEastAsia" w:hAnsiTheme="minorEastAsia" w:eastAsiaTheme="minorEastAsia" w:cstheme="minorEastAsia"/>
          <w:bCs/>
          <w:color w:val="auto"/>
          <w:sz w:val="24"/>
          <w:szCs w:val="24"/>
          <w:highlight w:val="none"/>
        </w:rPr>
        <w:t>标准，对供应商的响应文件进行符合性</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。符合性</w:t>
      </w:r>
      <w:r>
        <w:rPr>
          <w:rFonts w:hint="eastAsia" w:asciiTheme="minorEastAsia" w:hAnsiTheme="minorEastAsia" w:eastAsiaTheme="minorEastAsia" w:cstheme="minorEastAsia"/>
          <w:bCs/>
          <w:color w:val="auto"/>
          <w:sz w:val="24"/>
          <w:szCs w:val="24"/>
          <w:highlight w:val="none"/>
          <w:lang w:eastAsia="zh-CN"/>
        </w:rPr>
        <w:t>审查</w:t>
      </w:r>
      <w:r>
        <w:rPr>
          <w:rFonts w:hint="eastAsia" w:asciiTheme="minorEastAsia" w:hAnsiTheme="minorEastAsia" w:eastAsiaTheme="minorEastAsia" w:cstheme="minorEastAsia"/>
          <w:bCs/>
          <w:color w:val="auto"/>
          <w:sz w:val="24"/>
          <w:szCs w:val="24"/>
          <w:highlight w:val="none"/>
        </w:rPr>
        <w:t>不合格的供应商的响应文件作无效文件处理。</w:t>
      </w:r>
    </w:p>
    <w:p w14:paraId="615ABCCA">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.4违法违规行为</w:t>
      </w:r>
    </w:p>
    <w:p w14:paraId="1BD34A91">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.4.1在评审过程中，磋商小组发现供应商有下列情形之一的，作无效文件处理：</w:t>
      </w:r>
    </w:p>
    <w:p w14:paraId="5EFF0D42">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（1）属于同一集团、协会、商会等组织成员的供应商按照该组织要求协同投标；</w:t>
      </w:r>
    </w:p>
    <w:p w14:paraId="07262491">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（2）不同供应商的响应文件由同一单位或者个人编制；</w:t>
      </w:r>
    </w:p>
    <w:p w14:paraId="3F72A267">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（3）不同供应商委托同一单位或者个人办理投标事宜；</w:t>
      </w:r>
    </w:p>
    <w:p w14:paraId="7F6E29B7">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（4）不同供应商的响应文件载明的项目管理成员为同一人；</w:t>
      </w:r>
    </w:p>
    <w:p w14:paraId="760DC846">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（5）不同供应商的响应文件异常一致或者</w:t>
      </w:r>
      <w:r>
        <w:rPr>
          <w:rFonts w:hint="eastAsia" w:asciiTheme="minorEastAsia" w:hAnsiTheme="minorEastAsia" w:eastAsiaTheme="minorEastAsia" w:cstheme="minorEastAsia"/>
          <w:bCs/>
          <w:color w:val="auto"/>
          <w:sz w:val="24"/>
          <w:szCs w:val="24"/>
          <w:highlight w:val="none"/>
          <w:lang w:eastAsia="zh-CN"/>
        </w:rPr>
        <w:t>磋商报价</w:t>
      </w:r>
      <w:r>
        <w:rPr>
          <w:rFonts w:hint="eastAsia" w:asciiTheme="minorEastAsia" w:hAnsiTheme="minorEastAsia" w:eastAsiaTheme="minorEastAsia" w:cstheme="minorEastAsia"/>
          <w:bCs/>
          <w:color w:val="auto"/>
          <w:sz w:val="24"/>
          <w:szCs w:val="24"/>
          <w:highlight w:val="none"/>
        </w:rPr>
        <w:t>呈规律性差异；</w:t>
      </w:r>
    </w:p>
    <w:p w14:paraId="4FB159BA">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（6）不同供应商的响应文件相互混装；</w:t>
      </w:r>
    </w:p>
    <w:p w14:paraId="58675E7A">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（7）不同供应商的</w:t>
      </w:r>
      <w:r>
        <w:rPr>
          <w:rFonts w:hint="eastAsia" w:asciiTheme="minorEastAsia" w:hAnsiTheme="minorEastAsia" w:eastAsiaTheme="minorEastAsia" w:cstheme="minorEastAsia"/>
          <w:bCs/>
          <w:color w:val="auto"/>
          <w:sz w:val="24"/>
          <w:szCs w:val="24"/>
          <w:highlight w:val="none"/>
          <w:lang w:eastAsia="zh-CN"/>
        </w:rPr>
        <w:t>磋商保证金</w:t>
      </w:r>
      <w:r>
        <w:rPr>
          <w:rFonts w:hint="eastAsia" w:asciiTheme="minorEastAsia" w:hAnsiTheme="minorEastAsia" w:eastAsiaTheme="minorEastAsia" w:cstheme="minorEastAsia"/>
          <w:bCs/>
          <w:color w:val="auto"/>
          <w:sz w:val="24"/>
          <w:szCs w:val="24"/>
          <w:highlight w:val="none"/>
        </w:rPr>
        <w:t>从同一单位或者个人的账户转出；</w:t>
      </w:r>
    </w:p>
    <w:p w14:paraId="5F0961AD">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（8）使用伪造、变造的行政许可证件；</w:t>
      </w:r>
    </w:p>
    <w:p w14:paraId="4D822EDE">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（9）提供虚假的财务状况或者业绩；</w:t>
      </w:r>
    </w:p>
    <w:p w14:paraId="1B1029CB">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（10）提供虚假的项目负责人或者主要技术人员简历、劳动关系证明；</w:t>
      </w:r>
    </w:p>
    <w:p w14:paraId="0726F564">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（11）提供虚假的信用状况；</w:t>
      </w:r>
    </w:p>
    <w:p w14:paraId="4C8AF6AD">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（12）其他弄虚作假的行为。</w:t>
      </w:r>
    </w:p>
    <w:p w14:paraId="5ADE95FC">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.5 磋商小组审查响应文件是否完整、有无计算上的错误等。</w:t>
      </w:r>
    </w:p>
    <w:p w14:paraId="397E4995">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.5.1 响应文件的修正及澄清</w:t>
      </w:r>
    </w:p>
    <w:p w14:paraId="21E46DCB">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磋商小组对确定为实质上响应磋商文件要求的响应文件进行校核，看其是否有计算或表达上的错误，算术错误将按以下方法更正：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1863C70C">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64950536">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.5.3实质上没有响应磋商文件要求的响应文件将被视为无效文件。供应商不得通过修正或撤销不合要求的偏离从而使其成为实质上响应的文件。</w:t>
      </w:r>
    </w:p>
    <w:p w14:paraId="3C24DABB">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w:t>
      </w:r>
      <w:r>
        <w:rPr>
          <w:rFonts w:hint="eastAsia" w:asciiTheme="minorEastAsia" w:hAnsiTheme="minorEastAsia" w:eastAsiaTheme="minorEastAsia" w:cstheme="minorEastAsia"/>
          <w:bCs/>
          <w:color w:val="auto"/>
          <w:sz w:val="24"/>
          <w:szCs w:val="24"/>
          <w:highlight w:val="none"/>
          <w:lang w:eastAsia="zh-CN"/>
        </w:rPr>
        <w:t>磋商报价</w:t>
      </w:r>
      <w:r>
        <w:rPr>
          <w:rFonts w:hint="eastAsia" w:asciiTheme="minorEastAsia" w:hAnsiTheme="minorEastAsia" w:eastAsiaTheme="minorEastAsia" w:cstheme="minorEastAsia"/>
          <w:bCs/>
          <w:color w:val="auto"/>
          <w:sz w:val="24"/>
          <w:szCs w:val="24"/>
          <w:highlight w:val="none"/>
        </w:rPr>
        <w:t>等实质性内容做任何更改。有关澄清的答复均应由供应商的法定代表人或授权代表作出签字</w:t>
      </w:r>
      <w:r>
        <w:rPr>
          <w:rFonts w:hint="eastAsia" w:asciiTheme="minorEastAsia" w:hAnsiTheme="minorEastAsia" w:eastAsiaTheme="minorEastAsia" w:cstheme="minorEastAsia"/>
          <w:bCs/>
          <w:color w:val="auto"/>
          <w:sz w:val="24"/>
          <w:szCs w:val="24"/>
          <w:highlight w:val="none"/>
          <w:lang w:eastAsia="zh-CN"/>
        </w:rPr>
        <w:t>或盖章</w:t>
      </w:r>
      <w:r>
        <w:rPr>
          <w:rFonts w:hint="eastAsia" w:asciiTheme="minorEastAsia" w:hAnsiTheme="minorEastAsia" w:eastAsiaTheme="minorEastAsia" w:cstheme="minorEastAsia"/>
          <w:bCs/>
          <w:color w:val="auto"/>
          <w:sz w:val="24"/>
          <w:szCs w:val="24"/>
          <w:highlight w:val="none"/>
        </w:rPr>
        <w:t>。</w:t>
      </w:r>
    </w:p>
    <w:p w14:paraId="532F9231">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.5.5供应商的澄清文件是其响应文件的组成部分。</w:t>
      </w:r>
    </w:p>
    <w:p w14:paraId="48CF4709">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.6磋商</w:t>
      </w:r>
    </w:p>
    <w:p w14:paraId="27C3483D">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.6.1磋商小组所有成员应当集中与单一供应商分别进行磋商，并给予所有参加磋商的供应商平等的磋商机会。</w:t>
      </w:r>
    </w:p>
    <w:p w14:paraId="70E0318C">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.6.2在磋商过程中，磋商小组可以根据磋商文件和磋商情况实质性变动采购需求中的技术、服务要求以及合同草案条款，但不得变动磋商文件中的其他内容。实质性变动的内容，须经采购人代表确认。</w:t>
      </w:r>
    </w:p>
    <w:p w14:paraId="3CA46EEA">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.6.3对磋商文件作出的实质性变动是磋商文件的有效组成部分，磋商小组应当及时通知所有参加磋商的供应商。</w:t>
      </w:r>
    </w:p>
    <w:p w14:paraId="142E01E3">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6CBCEB42">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.6.5磋商文件能够详细列明采购标的的技术、服务要求的，磋商结束后，磋商小组应当要求所有实质性响应的供应商在规定时间内提交最后报价，提交最后报价的供应商不得少于</w:t>
      </w:r>
      <w:r>
        <w:rPr>
          <w:rFonts w:hint="eastAsia" w:asciiTheme="minorEastAsia" w:hAnsiTheme="minorEastAsia" w:eastAsiaTheme="minorEastAsia" w:cstheme="minorEastAsia"/>
          <w:bCs/>
          <w:color w:val="auto"/>
          <w:sz w:val="24"/>
          <w:szCs w:val="24"/>
          <w:highlight w:val="none"/>
          <w:lang w:val="en-US" w:eastAsia="zh-CN"/>
        </w:rPr>
        <w:t>三</w:t>
      </w:r>
      <w:r>
        <w:rPr>
          <w:rFonts w:hint="eastAsia" w:asciiTheme="minorEastAsia" w:hAnsiTheme="minorEastAsia" w:eastAsiaTheme="minorEastAsia" w:cstheme="minorEastAsia"/>
          <w:bCs/>
          <w:color w:val="auto"/>
          <w:sz w:val="24"/>
          <w:szCs w:val="24"/>
          <w:highlight w:val="none"/>
        </w:rPr>
        <w:t>家。</w:t>
      </w:r>
    </w:p>
    <w:p w14:paraId="02FB6C6F">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.5.6磋商文件不能详细列明采购标的的技术、服务要求，需经磋商由供应商提供最终设计方案或解决方案的，磋商结束后，磋商小组应当按照少数服从多数的原则投票推荐</w:t>
      </w:r>
      <w:r>
        <w:rPr>
          <w:rFonts w:hint="eastAsia" w:asciiTheme="minorEastAsia" w:hAnsiTheme="minorEastAsia" w:eastAsiaTheme="minorEastAsia" w:cstheme="minorEastAsia"/>
          <w:bCs/>
          <w:color w:val="auto"/>
          <w:sz w:val="24"/>
          <w:szCs w:val="24"/>
          <w:highlight w:val="none"/>
          <w:lang w:val="en-US" w:eastAsia="zh-CN"/>
        </w:rPr>
        <w:t>三</w:t>
      </w:r>
      <w:r>
        <w:rPr>
          <w:rFonts w:hint="eastAsia" w:asciiTheme="minorEastAsia" w:hAnsiTheme="minorEastAsia" w:eastAsiaTheme="minorEastAsia" w:cstheme="minorEastAsia"/>
          <w:bCs/>
          <w:color w:val="auto"/>
          <w:sz w:val="24"/>
          <w:szCs w:val="24"/>
          <w:highlight w:val="none"/>
        </w:rPr>
        <w:t>家以上供应商的设计方案或者解决方案，并要求其在规定时间内提交最后报价。</w:t>
      </w:r>
    </w:p>
    <w:p w14:paraId="6A6A5FD8">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.6.7已提交响应文件的供应商，在提交最后报价之前，可以根据磋商情况退出磋商。其磋商保证金将予以退还。</w:t>
      </w:r>
    </w:p>
    <w:p w14:paraId="2C5DEE4E">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.6.8经磋商确定最终采购需求和提交最后报价的供应商后，由磋商小组采用综合评分法对提交最后报价的供应商的响应文件和最后报价进行综合评分。</w:t>
      </w:r>
    </w:p>
    <w:p w14:paraId="3F1767AC">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.6.</w:t>
      </w:r>
      <w:r>
        <w:rPr>
          <w:rFonts w:hint="eastAsia" w:asciiTheme="minorEastAsia" w:hAnsiTheme="minorEastAsia" w:eastAsiaTheme="minorEastAsia" w:cstheme="minorEastAsia"/>
          <w:bCs/>
          <w:color w:val="auto"/>
          <w:sz w:val="24"/>
          <w:szCs w:val="24"/>
          <w:highlight w:val="none"/>
          <w:lang w:val="en-US" w:eastAsia="zh-CN"/>
        </w:rPr>
        <w:t>9</w:t>
      </w:r>
      <w:r>
        <w:rPr>
          <w:rFonts w:hint="eastAsia" w:asciiTheme="minorEastAsia" w:hAnsiTheme="minorEastAsia" w:eastAsiaTheme="minorEastAsia" w:cstheme="minorEastAsia"/>
          <w:bCs/>
          <w:color w:val="auto"/>
          <w:sz w:val="24"/>
          <w:szCs w:val="24"/>
          <w:highlight w:val="none"/>
        </w:rPr>
        <w:t>采购结果确认</w:t>
      </w:r>
    </w:p>
    <w:p w14:paraId="47705AB1">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磋商小组按照采购文件确定的评标方法、步骤、标准，对响应文件进行评审。按评审后得分由高到底顺序排列。得分相同的，</w:t>
      </w:r>
      <w:r>
        <w:rPr>
          <w:rFonts w:hint="eastAsia" w:asciiTheme="minorEastAsia" w:hAnsiTheme="minorEastAsia" w:eastAsiaTheme="minorEastAsia" w:cstheme="minorEastAsia"/>
          <w:bCs/>
          <w:color w:val="auto"/>
          <w:sz w:val="24"/>
          <w:szCs w:val="24"/>
          <w:highlight w:val="none"/>
          <w:lang w:val="en-US" w:eastAsia="zh-CN"/>
        </w:rPr>
        <w:t>本项目</w:t>
      </w:r>
      <w:r>
        <w:rPr>
          <w:rFonts w:hint="eastAsia" w:asciiTheme="minorEastAsia" w:hAnsiTheme="minorEastAsia" w:eastAsiaTheme="minorEastAsia" w:cstheme="minorEastAsia"/>
          <w:bCs/>
          <w:color w:val="auto"/>
          <w:sz w:val="24"/>
          <w:szCs w:val="24"/>
          <w:highlight w:val="none"/>
        </w:rPr>
        <w:t>按供应商</w:t>
      </w:r>
      <w:r>
        <w:rPr>
          <w:rFonts w:hint="eastAsia" w:asciiTheme="minorEastAsia" w:hAnsiTheme="minorEastAsia" w:eastAsiaTheme="minorEastAsia" w:cstheme="minorEastAsia"/>
          <w:b/>
          <w:bCs w:val="0"/>
          <w:color w:val="auto"/>
          <w:sz w:val="24"/>
          <w:szCs w:val="24"/>
          <w:highlight w:val="none"/>
        </w:rPr>
        <w:t>报价由高到低</w:t>
      </w:r>
      <w:r>
        <w:rPr>
          <w:rFonts w:hint="eastAsia" w:asciiTheme="minorEastAsia" w:hAnsiTheme="minorEastAsia" w:eastAsiaTheme="minorEastAsia" w:cstheme="minorEastAsia"/>
          <w:bCs/>
          <w:color w:val="auto"/>
          <w:sz w:val="24"/>
          <w:szCs w:val="24"/>
          <w:highlight w:val="none"/>
        </w:rPr>
        <w:t>的顺序排列。得分且报价相同的，按技术指标优劣顺序排列。磋商小组依据对各响应文件的评审结果，按各供应商的得分由高到低的顺序向采购人推荐成交候选供应商。</w:t>
      </w:r>
    </w:p>
    <w:p w14:paraId="1E802771">
      <w:pPr>
        <w:spacing w:line="360" w:lineRule="auto"/>
        <w:ind w:firstLine="480" w:firstLineChars="200"/>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lang w:val="en-US" w:eastAsia="zh-CN"/>
        </w:rPr>
        <w:t>6.7公示或公告</w:t>
      </w:r>
    </w:p>
    <w:p w14:paraId="51339777">
      <w:pPr>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6</w:t>
      </w:r>
      <w:r>
        <w:rPr>
          <w:rFonts w:hint="eastAsia" w:asciiTheme="minorEastAsia" w:hAnsiTheme="minorEastAsia" w:eastAsiaTheme="minorEastAsia" w:cstheme="minorEastAsia"/>
          <w:bCs/>
          <w:color w:val="auto"/>
          <w:sz w:val="24"/>
          <w:szCs w:val="24"/>
          <w:highlight w:val="none"/>
        </w:rPr>
        <w:t>.7.1成交供应商确定后，采购代理机构将在政府采购监管部门指定的媒体上发布成交公告，同时向成交供应商发出《成交通知书》。《成交通知书》是合同的组成部分,对成交供应商和采购人具有同等法律效力。</w:t>
      </w:r>
      <w:bookmarkStart w:id="61" w:name="_Toc293738996"/>
      <w:bookmarkStart w:id="62" w:name="_Toc293736015"/>
      <w:bookmarkStart w:id="63" w:name="_Toc293736058"/>
      <w:bookmarkStart w:id="64" w:name="_Toc446599315"/>
    </w:p>
    <w:p w14:paraId="76F912B0">
      <w:pPr>
        <w:pStyle w:val="37"/>
        <w:rPr>
          <w:rFonts w:hint="eastAsia" w:asciiTheme="minorEastAsia" w:hAnsiTheme="minorEastAsia" w:eastAsiaTheme="minorEastAsia" w:cstheme="minorEastAsia"/>
          <w:color w:val="auto"/>
          <w:highlight w:val="none"/>
        </w:rPr>
      </w:pPr>
    </w:p>
    <w:p w14:paraId="0B553B3A">
      <w:pPr>
        <w:pStyle w:val="5"/>
        <w:rPr>
          <w:rFonts w:hint="eastAsia" w:asciiTheme="minorEastAsia" w:hAnsiTheme="minorEastAsia" w:eastAsiaTheme="minorEastAsia" w:cstheme="minorEastAsia"/>
          <w:color w:val="auto"/>
          <w:sz w:val="24"/>
          <w:szCs w:val="24"/>
          <w:highlight w:val="none"/>
        </w:rPr>
      </w:pPr>
      <w:bookmarkStart w:id="65" w:name="_Toc28461"/>
      <w:bookmarkStart w:id="66" w:name="_Toc13086"/>
      <w:bookmarkStart w:id="67" w:name="_Toc17108"/>
      <w:bookmarkStart w:id="68" w:name="_Toc28862"/>
      <w:bookmarkStart w:id="69" w:name="_Toc18557"/>
      <w:r>
        <w:rPr>
          <w:rFonts w:hint="eastAsia" w:asciiTheme="minorEastAsia" w:hAnsiTheme="minorEastAsia" w:eastAsiaTheme="minorEastAsia" w:cstheme="minorEastAsia"/>
          <w:color w:val="auto"/>
          <w:sz w:val="24"/>
          <w:szCs w:val="24"/>
          <w:highlight w:val="none"/>
          <w:lang w:val="en-US" w:eastAsia="zh-CN"/>
        </w:rPr>
        <w:t>七</w:t>
      </w:r>
      <w:r>
        <w:rPr>
          <w:rFonts w:hint="eastAsia" w:asciiTheme="minorEastAsia" w:hAnsiTheme="minorEastAsia" w:eastAsiaTheme="minorEastAsia" w:cstheme="minorEastAsia"/>
          <w:color w:val="auto"/>
          <w:sz w:val="24"/>
          <w:szCs w:val="24"/>
          <w:highlight w:val="none"/>
        </w:rPr>
        <w:t>、授予合同</w:t>
      </w:r>
      <w:bookmarkEnd w:id="61"/>
      <w:bookmarkEnd w:id="62"/>
      <w:bookmarkEnd w:id="63"/>
      <w:bookmarkEnd w:id="64"/>
      <w:bookmarkEnd w:id="65"/>
      <w:bookmarkEnd w:id="66"/>
      <w:bookmarkEnd w:id="67"/>
      <w:bookmarkEnd w:id="68"/>
      <w:bookmarkEnd w:id="69"/>
    </w:p>
    <w:p w14:paraId="3F52BDB5">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lang w:val="en-US" w:eastAsia="zh-CN"/>
        </w:rPr>
        <w:t>7.1 签订合同</w:t>
      </w:r>
    </w:p>
    <w:p w14:paraId="6FFA3DEF">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7</w:t>
      </w:r>
      <w:r>
        <w:rPr>
          <w:rFonts w:hint="eastAsia" w:asciiTheme="minorEastAsia" w:hAnsiTheme="minorEastAsia" w:eastAsiaTheme="minorEastAsia" w:cstheme="minorEastAsia"/>
          <w:bCs/>
          <w:color w:val="auto"/>
          <w:sz w:val="24"/>
          <w:szCs w:val="24"/>
          <w:highlight w:val="none"/>
        </w:rPr>
        <w:t>.1.1采购人应在成交通知书发出后30日内，根据成交结果和磋商文件、响应文件及有关补遗文件签订合同。</w:t>
      </w:r>
    </w:p>
    <w:p w14:paraId="216D9310">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7</w:t>
      </w:r>
      <w:r>
        <w:rPr>
          <w:rFonts w:hint="eastAsia" w:asciiTheme="minorEastAsia" w:hAnsiTheme="minorEastAsia" w:eastAsiaTheme="minorEastAsia" w:cstheme="minorEastAsia"/>
          <w:bCs/>
          <w:color w:val="auto"/>
          <w:sz w:val="24"/>
          <w:szCs w:val="24"/>
          <w:highlight w:val="none"/>
        </w:rPr>
        <w:t>.1.2采购人应按磋商文件要求和中标</w:t>
      </w:r>
      <w:r>
        <w:rPr>
          <w:rFonts w:hint="eastAsia" w:asciiTheme="minorEastAsia" w:hAnsiTheme="minorEastAsia" w:eastAsiaTheme="minorEastAsia" w:cstheme="minorEastAsia"/>
          <w:bCs/>
          <w:color w:val="auto"/>
          <w:sz w:val="24"/>
          <w:szCs w:val="24"/>
          <w:highlight w:val="none"/>
          <w:lang w:eastAsia="zh-CN"/>
        </w:rPr>
        <w:t>（成交）</w:t>
      </w:r>
      <w:r>
        <w:rPr>
          <w:rFonts w:hint="eastAsia" w:asciiTheme="minorEastAsia" w:hAnsiTheme="minorEastAsia" w:eastAsiaTheme="minorEastAsia" w:cstheme="minorEastAsia"/>
          <w:bCs/>
          <w:color w:val="auto"/>
          <w:sz w:val="24"/>
          <w:szCs w:val="24"/>
          <w:highlight w:val="none"/>
        </w:rPr>
        <w:t>人的响应文件承诺订立书面合同，不得超出磋商文件和中标</w:t>
      </w:r>
      <w:r>
        <w:rPr>
          <w:rFonts w:hint="eastAsia" w:asciiTheme="minorEastAsia" w:hAnsiTheme="minorEastAsia" w:eastAsiaTheme="minorEastAsia" w:cstheme="minorEastAsia"/>
          <w:bCs/>
          <w:color w:val="auto"/>
          <w:sz w:val="24"/>
          <w:szCs w:val="24"/>
          <w:highlight w:val="none"/>
          <w:lang w:eastAsia="zh-CN"/>
        </w:rPr>
        <w:t>（成交）</w:t>
      </w:r>
      <w:r>
        <w:rPr>
          <w:rFonts w:hint="eastAsia" w:asciiTheme="minorEastAsia" w:hAnsiTheme="minorEastAsia" w:eastAsiaTheme="minorEastAsia" w:cstheme="minorEastAsia"/>
          <w:bCs/>
          <w:color w:val="auto"/>
          <w:sz w:val="24"/>
          <w:szCs w:val="24"/>
          <w:highlight w:val="none"/>
        </w:rPr>
        <w:t>人响应文件的范围，也不得再另行订立背离合同实质性内容的其他协议。</w:t>
      </w:r>
    </w:p>
    <w:p w14:paraId="3E5C19B8">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7</w:t>
      </w:r>
      <w:r>
        <w:rPr>
          <w:rFonts w:hint="eastAsia" w:asciiTheme="minorEastAsia" w:hAnsiTheme="minorEastAsia" w:eastAsiaTheme="minorEastAsia" w:cstheme="minorEastAsia"/>
          <w:bCs/>
          <w:color w:val="auto"/>
          <w:sz w:val="24"/>
          <w:szCs w:val="24"/>
          <w:highlight w:val="none"/>
        </w:rPr>
        <w:t>.1.3采购人应在《中标</w:t>
      </w:r>
      <w:r>
        <w:rPr>
          <w:rFonts w:hint="eastAsia" w:asciiTheme="minorEastAsia" w:hAnsiTheme="minorEastAsia" w:eastAsiaTheme="minorEastAsia" w:cstheme="minorEastAsia"/>
          <w:bCs/>
          <w:color w:val="auto"/>
          <w:sz w:val="24"/>
          <w:szCs w:val="24"/>
          <w:highlight w:val="none"/>
          <w:lang w:eastAsia="zh-CN"/>
        </w:rPr>
        <w:t>（成交）</w:t>
      </w:r>
      <w:r>
        <w:rPr>
          <w:rFonts w:hint="eastAsia" w:asciiTheme="minorEastAsia" w:hAnsiTheme="minorEastAsia" w:eastAsiaTheme="minorEastAsia" w:cstheme="minorEastAsia"/>
          <w:bCs/>
          <w:color w:val="auto"/>
          <w:sz w:val="24"/>
          <w:szCs w:val="24"/>
          <w:highlight w:val="none"/>
        </w:rPr>
        <w:t>通知书》发出之日起30天内与中标</w:t>
      </w:r>
      <w:r>
        <w:rPr>
          <w:rFonts w:hint="eastAsia" w:asciiTheme="minorEastAsia" w:hAnsiTheme="minorEastAsia" w:eastAsiaTheme="minorEastAsia" w:cstheme="minorEastAsia"/>
          <w:bCs/>
          <w:color w:val="auto"/>
          <w:sz w:val="24"/>
          <w:szCs w:val="24"/>
          <w:highlight w:val="none"/>
          <w:lang w:eastAsia="zh-CN"/>
        </w:rPr>
        <w:t>（成交）</w:t>
      </w:r>
      <w:r>
        <w:rPr>
          <w:rFonts w:hint="eastAsia" w:asciiTheme="minorEastAsia" w:hAnsiTheme="minorEastAsia" w:eastAsiaTheme="minorEastAsia" w:cstheme="minorEastAsia"/>
          <w:bCs/>
          <w:color w:val="auto"/>
          <w:sz w:val="24"/>
          <w:szCs w:val="24"/>
          <w:highlight w:val="none"/>
        </w:rPr>
        <w:t>人签订合同。签订采购合同后7个工作日内，采购人应将报相关部门和政府采购代理机构备案</w:t>
      </w:r>
      <w:r>
        <w:rPr>
          <w:rFonts w:hint="eastAsia" w:asciiTheme="minorEastAsia" w:hAnsiTheme="minorEastAsia" w:eastAsiaTheme="minorEastAsia" w:cstheme="minorEastAsia"/>
          <w:bCs/>
          <w:color w:val="auto"/>
          <w:sz w:val="24"/>
          <w:szCs w:val="24"/>
          <w:highlight w:val="none"/>
          <w:lang w:eastAsia="zh-CN"/>
        </w:rPr>
        <w:t>并进行合同公示</w:t>
      </w:r>
      <w:r>
        <w:rPr>
          <w:rFonts w:hint="eastAsia" w:asciiTheme="minorEastAsia" w:hAnsiTheme="minorEastAsia" w:eastAsiaTheme="minorEastAsia" w:cstheme="minorEastAsia"/>
          <w:bCs/>
          <w:color w:val="auto"/>
          <w:sz w:val="24"/>
          <w:szCs w:val="24"/>
          <w:highlight w:val="none"/>
        </w:rPr>
        <w:t>。</w:t>
      </w:r>
    </w:p>
    <w:p w14:paraId="57AD080C">
      <w:pPr>
        <w:pStyle w:val="48"/>
        <w:rPr>
          <w:rFonts w:hint="eastAsia" w:asciiTheme="minorEastAsia" w:hAnsiTheme="minorEastAsia" w:eastAsiaTheme="minorEastAsia" w:cstheme="minorEastAsia"/>
          <w:bCs/>
          <w:color w:val="auto"/>
          <w:sz w:val="24"/>
          <w:szCs w:val="24"/>
          <w:highlight w:val="none"/>
        </w:rPr>
      </w:pPr>
    </w:p>
    <w:p w14:paraId="007293E8">
      <w:pPr>
        <w:pStyle w:val="5"/>
        <w:rPr>
          <w:rFonts w:hint="eastAsia" w:asciiTheme="minorEastAsia" w:hAnsiTheme="minorEastAsia" w:eastAsiaTheme="minorEastAsia" w:cstheme="minorEastAsia"/>
          <w:color w:val="auto"/>
          <w:sz w:val="24"/>
          <w:szCs w:val="24"/>
          <w:highlight w:val="none"/>
        </w:rPr>
      </w:pPr>
      <w:bookmarkStart w:id="70" w:name="_Toc293736016"/>
      <w:bookmarkStart w:id="71" w:name="_Toc293738997"/>
      <w:bookmarkStart w:id="72" w:name="_Toc293736059"/>
      <w:bookmarkStart w:id="73" w:name="_Toc446599316"/>
      <w:bookmarkStart w:id="74" w:name="_Toc12820"/>
      <w:bookmarkStart w:id="75" w:name="_Toc20677"/>
      <w:bookmarkStart w:id="76" w:name="_Toc7482"/>
      <w:bookmarkStart w:id="77" w:name="_Toc30278"/>
      <w:bookmarkStart w:id="78" w:name="_Toc32711"/>
      <w:r>
        <w:rPr>
          <w:rFonts w:hint="eastAsia" w:asciiTheme="minorEastAsia" w:hAnsiTheme="minorEastAsia" w:eastAsiaTheme="minorEastAsia" w:cstheme="minorEastAsia"/>
          <w:color w:val="auto"/>
          <w:sz w:val="24"/>
          <w:szCs w:val="24"/>
          <w:highlight w:val="none"/>
          <w:lang w:val="en-US" w:eastAsia="zh-CN"/>
        </w:rPr>
        <w:t>八</w:t>
      </w:r>
      <w:r>
        <w:rPr>
          <w:rFonts w:hint="eastAsia" w:asciiTheme="minorEastAsia" w:hAnsiTheme="minorEastAsia" w:eastAsiaTheme="minorEastAsia" w:cstheme="minorEastAsia"/>
          <w:color w:val="auto"/>
          <w:sz w:val="24"/>
          <w:szCs w:val="24"/>
          <w:highlight w:val="none"/>
        </w:rPr>
        <w:t>、质疑</w:t>
      </w:r>
      <w:bookmarkEnd w:id="70"/>
      <w:bookmarkEnd w:id="71"/>
      <w:bookmarkEnd w:id="72"/>
      <w:bookmarkEnd w:id="73"/>
      <w:r>
        <w:rPr>
          <w:rFonts w:hint="eastAsia" w:asciiTheme="minorEastAsia" w:hAnsiTheme="minorEastAsia" w:eastAsiaTheme="minorEastAsia" w:cstheme="minorEastAsia"/>
          <w:color w:val="auto"/>
          <w:sz w:val="24"/>
          <w:szCs w:val="24"/>
          <w:highlight w:val="none"/>
        </w:rPr>
        <w:t>和投诉</w:t>
      </w:r>
      <w:bookmarkEnd w:id="74"/>
      <w:bookmarkEnd w:id="75"/>
      <w:bookmarkEnd w:id="76"/>
      <w:bookmarkEnd w:id="77"/>
      <w:bookmarkEnd w:id="78"/>
    </w:p>
    <w:p w14:paraId="60148600">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bookmarkStart w:id="79" w:name="_Toc293738998"/>
      <w:bookmarkStart w:id="80" w:name="_Toc294515577"/>
      <w:bookmarkStart w:id="81" w:name="_Toc293736017"/>
      <w:bookmarkStart w:id="82" w:name="_Toc446599317"/>
      <w:bookmarkStart w:id="83" w:name="_Toc293736060"/>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.1质疑</w:t>
      </w:r>
    </w:p>
    <w:p w14:paraId="522F81E0">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.1.1供应商提出质疑应当符合以下条件：</w:t>
      </w:r>
    </w:p>
    <w:p w14:paraId="0384970A">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如果供应商对此次采购活动有疑问，可依据《政府采购法》等相关规定，在规定的时间内以书面形式向采购人或代理机构提出质疑。质疑书应当包括下列主要内容：</w:t>
      </w:r>
    </w:p>
    <w:p w14:paraId="6C8253BA">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（1）质疑人的名称、地址、电话等；</w:t>
      </w:r>
    </w:p>
    <w:p w14:paraId="2CAC94FB">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（2）质疑人法人签章和单位公章；</w:t>
      </w:r>
    </w:p>
    <w:p w14:paraId="4C82A9BE">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（3）具体的质疑事项及事实依据；</w:t>
      </w:r>
    </w:p>
    <w:p w14:paraId="0EDE5213">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（4）明确的请求和必要（合法来源）的证明材料；</w:t>
      </w:r>
    </w:p>
    <w:p w14:paraId="180A4B2D">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（5）以联合体形式参与资格预审的，则必须联合体各方共同签署、盖章；</w:t>
      </w:r>
    </w:p>
    <w:p w14:paraId="49D7DB19">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（6）提起质疑的日期。</w:t>
      </w:r>
    </w:p>
    <w:p w14:paraId="5A3609F3">
      <w:pPr>
        <w:tabs>
          <w:tab w:val="left" w:pos="1875"/>
        </w:tabs>
        <w:adjustRightInd w:val="0"/>
        <w:snapToGrid w:val="0"/>
        <w:spacing w:line="360" w:lineRule="auto"/>
        <w:ind w:firstLine="482" w:firstLineChars="200"/>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lang w:eastAsia="zh-CN"/>
        </w:rPr>
        <w:t>备注</w:t>
      </w:r>
      <w:r>
        <w:rPr>
          <w:rFonts w:hint="eastAsia" w:asciiTheme="minorEastAsia" w:hAnsiTheme="minorEastAsia" w:eastAsiaTheme="minorEastAsia" w:cstheme="minorEastAsia"/>
          <w:b/>
          <w:bCs w:val="0"/>
          <w:color w:val="auto"/>
          <w:sz w:val="24"/>
          <w:szCs w:val="24"/>
          <w:highlight w:val="none"/>
        </w:rPr>
        <w:t>：未按上述程序规定的必备内容进行质疑的，采购人或代理机构将不予以受理。</w:t>
      </w:r>
    </w:p>
    <w:p w14:paraId="3F006D51">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08EC74E2">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.1.3质疑人可以委托代理人办理质疑事项，代理人办理质疑事项时，除提交质疑书外，还应当提交质疑人的授权委托书及代理人的有效身份证明，授权委托书应当载明委托代理的具体权限和事项。</w:t>
      </w:r>
    </w:p>
    <w:p w14:paraId="02851BC1">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.1.4被质疑人应当在受理质疑后7个工作日内作出答复，并以书面形式通知质疑人和其他有关供应商，答复内容仅限于供应商所质疑的内容，不得涉及国家秘密和商业秘密。</w:t>
      </w:r>
    </w:p>
    <w:p w14:paraId="67D15428">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bookmarkStart w:id="84" w:name="_Toc456336161"/>
      <w:bookmarkStart w:id="85" w:name="_Toc9365"/>
      <w:bookmarkStart w:id="86" w:name="_Toc483174929"/>
      <w:bookmarkStart w:id="87" w:name="_Toc450546725"/>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.2投诉</w:t>
      </w:r>
      <w:bookmarkEnd w:id="84"/>
      <w:bookmarkEnd w:id="85"/>
      <w:bookmarkEnd w:id="86"/>
      <w:bookmarkEnd w:id="87"/>
    </w:p>
    <w:p w14:paraId="702CC9AC">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.2.1质疑人如对被质疑人的质疑回复不满意或在规定时间内未做出回复的，可在答复期满后15个工作日内向本项目管辖内的政府采购监督部门提起投诉。供应商投诉应当有明确的请求和必要的证明材料。</w:t>
      </w:r>
    </w:p>
    <w:p w14:paraId="123644A6">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.2.2投诉人提起投诉应符合以下条件：</w:t>
      </w:r>
    </w:p>
    <w:p w14:paraId="2134F95C">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1</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投诉人应是参与项目的供应商；</w:t>
      </w:r>
    </w:p>
    <w:p w14:paraId="1836CF9A">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2</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投诉前已依法进行质疑；</w:t>
      </w:r>
    </w:p>
    <w:p w14:paraId="637F1648">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3</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投诉书内容符合中华人民共和国财政部20号令《政府采购供应商投诉处理办法》的规定；</w:t>
      </w:r>
    </w:p>
    <w:p w14:paraId="46984CF0">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4</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在投诉有效期内；</w:t>
      </w:r>
    </w:p>
    <w:p w14:paraId="5FECC75C">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5</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同一投诉事项未经处理的；</w:t>
      </w:r>
    </w:p>
    <w:p w14:paraId="1B55B7F0">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GB" w:eastAsia="zh-CN"/>
        </w:rPr>
        <w:t>（</w:t>
      </w:r>
      <w:r>
        <w:rPr>
          <w:rFonts w:hint="eastAsia" w:asciiTheme="minorEastAsia" w:hAnsiTheme="minorEastAsia" w:eastAsiaTheme="minorEastAsia" w:cstheme="minorEastAsia"/>
          <w:bCs/>
          <w:color w:val="auto"/>
          <w:sz w:val="24"/>
          <w:szCs w:val="24"/>
          <w:highlight w:val="none"/>
          <w:lang w:val="en-GB"/>
        </w:rPr>
        <w:t>6</w:t>
      </w:r>
      <w:r>
        <w:rPr>
          <w:rFonts w:hint="eastAsia" w:asciiTheme="minorEastAsia" w:hAnsiTheme="minorEastAsia" w:eastAsiaTheme="minorEastAsia" w:cstheme="minorEastAsia"/>
          <w:bCs/>
          <w:color w:val="auto"/>
          <w:sz w:val="24"/>
          <w:szCs w:val="24"/>
          <w:highlight w:val="none"/>
          <w:lang w:val="en-GB" w:eastAsia="zh-CN"/>
        </w:rPr>
        <w:t>）</w:t>
      </w:r>
      <w:r>
        <w:rPr>
          <w:rFonts w:hint="eastAsia" w:asciiTheme="minorEastAsia" w:hAnsiTheme="minorEastAsia" w:eastAsiaTheme="minorEastAsia" w:cstheme="minorEastAsia"/>
          <w:bCs/>
          <w:color w:val="auto"/>
          <w:sz w:val="24"/>
          <w:szCs w:val="24"/>
          <w:highlight w:val="none"/>
        </w:rPr>
        <w:t>相关法律、法规和省级以上人民政府财政部门规定的其他条件。</w:t>
      </w:r>
    </w:p>
    <w:p w14:paraId="7A082436">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.2.3供应商投诉时，应当当面提交投诉书，投诉书应当包括下列主要内容：</w:t>
      </w:r>
    </w:p>
    <w:p w14:paraId="601DF71D">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1</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投诉人的姓名或者名称、住所、联系方式及相关证明；</w:t>
      </w:r>
    </w:p>
    <w:p w14:paraId="61051E10">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2</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被投诉人的名称、住所、联系方式；</w:t>
      </w:r>
    </w:p>
    <w:p w14:paraId="3D73A2E4">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3</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具体的投诉事项、事实根据和法律依据；</w:t>
      </w:r>
    </w:p>
    <w:p w14:paraId="1C12E163">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4</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质疑和质疑答复情况及相关证明材料；</w:t>
      </w:r>
    </w:p>
    <w:p w14:paraId="09F047AC">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5</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提起投诉的日期。</w:t>
      </w:r>
    </w:p>
    <w:p w14:paraId="59A8DF82">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投诉人为自然人的，应当由本人签字。投诉人为法人的，应当由其法定代表人签字并加盖单位公章。投诉人为其他组织的，应当由其主要负责人签字盖章并加盖单位公章。</w:t>
      </w:r>
    </w:p>
    <w:p w14:paraId="6CDDFBB4">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.2.4投诉人可以授权代理人办理投诉事务。代理人办理投诉事务时，除提交投诉书外，还应当向监督部门提交投诉人的授权委托书，授权委托书应当载明委托代理的具体权限和事项。</w:t>
      </w:r>
    </w:p>
    <w:p w14:paraId="748AE3A2">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8</w:t>
      </w:r>
      <w:r>
        <w:rPr>
          <w:rFonts w:hint="eastAsia" w:asciiTheme="minorEastAsia" w:hAnsiTheme="minorEastAsia" w:eastAsiaTheme="minorEastAsia" w:cstheme="minorEastAsia"/>
          <w:bCs/>
          <w:color w:val="auto"/>
          <w:sz w:val="24"/>
          <w:szCs w:val="24"/>
          <w:highlight w:val="none"/>
        </w:rPr>
        <w:t>.2.5投诉人不符合上述规定提起的投诉，政府采购监督部门不予受理。</w:t>
      </w:r>
    </w:p>
    <w:p w14:paraId="63FA8F08">
      <w:pPr>
        <w:tabs>
          <w:tab w:val="left" w:pos="1875"/>
        </w:tabs>
        <w:adjustRightInd w:val="0"/>
        <w:snapToGrid w:val="0"/>
        <w:spacing w:line="360" w:lineRule="auto"/>
        <w:ind w:firstLine="480" w:firstLineChars="200"/>
        <w:rPr>
          <w:rFonts w:hint="eastAsia" w:asciiTheme="minorEastAsia" w:hAnsiTheme="minorEastAsia" w:eastAsiaTheme="minorEastAsia" w:cstheme="minorEastAsia"/>
          <w:bCs/>
          <w:color w:val="auto"/>
          <w:sz w:val="24"/>
          <w:szCs w:val="24"/>
          <w:highlight w:val="none"/>
        </w:rPr>
      </w:pPr>
    </w:p>
    <w:p w14:paraId="041F8E46">
      <w:pPr>
        <w:pStyle w:val="5"/>
        <w:rPr>
          <w:rFonts w:hint="eastAsia" w:asciiTheme="minorEastAsia" w:hAnsiTheme="minorEastAsia" w:eastAsiaTheme="minorEastAsia" w:cstheme="minorEastAsia"/>
          <w:b w:val="0"/>
          <w:bCs/>
          <w:color w:val="auto"/>
          <w:kern w:val="0"/>
          <w:sz w:val="24"/>
          <w:szCs w:val="24"/>
          <w:highlight w:val="none"/>
        </w:rPr>
      </w:pPr>
      <w:bookmarkStart w:id="88" w:name="_Toc10734"/>
      <w:bookmarkStart w:id="89" w:name="_Toc23074"/>
      <w:bookmarkStart w:id="90" w:name="_Toc21328"/>
      <w:bookmarkStart w:id="91" w:name="_Toc10261"/>
      <w:bookmarkStart w:id="92" w:name="_Toc9814"/>
      <w:r>
        <w:rPr>
          <w:rFonts w:hint="eastAsia" w:asciiTheme="minorEastAsia" w:hAnsiTheme="minorEastAsia" w:eastAsiaTheme="minorEastAsia" w:cstheme="minorEastAsia"/>
          <w:color w:val="auto"/>
          <w:sz w:val="24"/>
          <w:szCs w:val="24"/>
          <w:highlight w:val="none"/>
          <w:lang w:val="en-US" w:eastAsia="zh-CN"/>
        </w:rPr>
        <w:t>九</w:t>
      </w:r>
      <w:r>
        <w:rPr>
          <w:rFonts w:hint="eastAsia" w:asciiTheme="minorEastAsia" w:hAnsiTheme="minorEastAsia" w:eastAsiaTheme="minorEastAsia" w:cstheme="minorEastAsia"/>
          <w:color w:val="auto"/>
          <w:sz w:val="24"/>
          <w:szCs w:val="24"/>
          <w:highlight w:val="none"/>
        </w:rPr>
        <w:t>、项目验收</w:t>
      </w:r>
      <w:bookmarkEnd w:id="79"/>
      <w:bookmarkEnd w:id="80"/>
      <w:bookmarkEnd w:id="81"/>
      <w:bookmarkEnd w:id="82"/>
      <w:bookmarkEnd w:id="83"/>
      <w:bookmarkEnd w:id="88"/>
      <w:bookmarkEnd w:id="89"/>
      <w:bookmarkEnd w:id="90"/>
      <w:bookmarkEnd w:id="91"/>
      <w:bookmarkEnd w:id="92"/>
    </w:p>
    <w:p w14:paraId="5947BA3C">
      <w:pPr>
        <w:wordWrap w:val="0"/>
        <w:topLinePunct/>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9</w:t>
      </w:r>
      <w:r>
        <w:rPr>
          <w:rFonts w:hint="eastAsia" w:asciiTheme="minorEastAsia" w:hAnsiTheme="minorEastAsia" w:eastAsiaTheme="minorEastAsia" w:cstheme="minorEastAsia"/>
          <w:bCs/>
          <w:color w:val="auto"/>
          <w:sz w:val="24"/>
          <w:szCs w:val="24"/>
          <w:highlight w:val="none"/>
        </w:rPr>
        <w:t>.1采购单位按照采购合同规定的技术、服务、安全标准对供应商履约情况进行验收，并出具验收书。验收书包括每一项技术、服务、安全标准的履约情况。</w:t>
      </w:r>
    </w:p>
    <w:p w14:paraId="1D13CC21">
      <w:pPr>
        <w:wordWrap w:val="0"/>
        <w:topLinePunct/>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9</w:t>
      </w:r>
      <w:r>
        <w:rPr>
          <w:rFonts w:hint="eastAsia" w:asciiTheme="minorEastAsia" w:hAnsiTheme="minorEastAsia" w:eastAsiaTheme="minorEastAsia" w:cstheme="minorEastAsia"/>
          <w:bCs/>
          <w:color w:val="auto"/>
          <w:sz w:val="24"/>
          <w:szCs w:val="24"/>
          <w:highlight w:val="none"/>
        </w:rPr>
        <w:t>.2验收标准</w:t>
      </w:r>
      <w:r>
        <w:rPr>
          <w:rFonts w:hint="eastAsia" w:asciiTheme="minorEastAsia" w:hAnsiTheme="minorEastAsia" w:eastAsiaTheme="minorEastAsia" w:cstheme="minorEastAsia"/>
          <w:bCs/>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rPr>
        <w:t>磋商文件、响应文件、采购合同规定的标准。</w:t>
      </w:r>
    </w:p>
    <w:p w14:paraId="5B76818E">
      <w:pPr>
        <w:wordWrap w:val="0"/>
        <w:topLinePunct/>
        <w:spacing w:line="360" w:lineRule="auto"/>
        <w:ind w:firstLine="420" w:firstLineChars="200"/>
        <w:rPr>
          <w:rFonts w:hint="eastAsia" w:asciiTheme="minorEastAsia" w:hAnsiTheme="minorEastAsia" w:eastAsiaTheme="minorEastAsia" w:cstheme="minorEastAsia"/>
          <w:color w:val="auto"/>
          <w:highlight w:val="none"/>
        </w:rPr>
      </w:pPr>
    </w:p>
    <w:p w14:paraId="6E9EB035">
      <w:pPr>
        <w:pStyle w:val="5"/>
        <w:rPr>
          <w:rFonts w:hint="eastAsia" w:asciiTheme="minorEastAsia" w:hAnsiTheme="minorEastAsia" w:eastAsiaTheme="minorEastAsia" w:cstheme="minorEastAsia"/>
          <w:color w:val="auto"/>
          <w:sz w:val="24"/>
          <w:szCs w:val="24"/>
          <w:highlight w:val="none"/>
        </w:rPr>
      </w:pPr>
      <w:bookmarkStart w:id="93" w:name="_Toc293736061"/>
      <w:bookmarkStart w:id="94" w:name="_Toc29378"/>
      <w:bookmarkStart w:id="95" w:name="_Toc6536"/>
      <w:bookmarkStart w:id="96" w:name="_Toc20528"/>
      <w:bookmarkStart w:id="97" w:name="_Toc11511"/>
      <w:bookmarkStart w:id="98" w:name="_Toc17416"/>
      <w:bookmarkStart w:id="99" w:name="_Toc293738999"/>
      <w:bookmarkStart w:id="100" w:name="_Toc446599318"/>
      <w:bookmarkStart w:id="101" w:name="_Toc293736018"/>
      <w:r>
        <w:rPr>
          <w:rFonts w:hint="eastAsia" w:asciiTheme="minorEastAsia" w:hAnsiTheme="minorEastAsia" w:eastAsiaTheme="minorEastAsia" w:cstheme="minorEastAsia"/>
          <w:color w:val="auto"/>
          <w:sz w:val="24"/>
          <w:szCs w:val="24"/>
          <w:highlight w:val="none"/>
          <w:lang w:val="en-US" w:eastAsia="zh-CN"/>
        </w:rPr>
        <w:t>十</w:t>
      </w:r>
      <w:r>
        <w:rPr>
          <w:rFonts w:hint="eastAsia" w:asciiTheme="minorEastAsia" w:hAnsiTheme="minorEastAsia" w:eastAsiaTheme="minorEastAsia" w:cstheme="minorEastAsia"/>
          <w:color w:val="auto"/>
          <w:sz w:val="24"/>
          <w:szCs w:val="24"/>
          <w:highlight w:val="none"/>
        </w:rPr>
        <w:t>、适用法律</w:t>
      </w:r>
      <w:bookmarkEnd w:id="93"/>
      <w:bookmarkEnd w:id="94"/>
      <w:bookmarkEnd w:id="95"/>
      <w:bookmarkEnd w:id="96"/>
      <w:bookmarkEnd w:id="97"/>
      <w:bookmarkEnd w:id="98"/>
      <w:bookmarkEnd w:id="99"/>
      <w:bookmarkEnd w:id="100"/>
      <w:bookmarkEnd w:id="101"/>
    </w:p>
    <w:p w14:paraId="69B05637">
      <w:pPr>
        <w:wordWrap w:val="0"/>
        <w:topLinePunct/>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10</w:t>
      </w:r>
      <w:r>
        <w:rPr>
          <w:rFonts w:hint="eastAsia" w:asciiTheme="minorEastAsia" w:hAnsiTheme="minorEastAsia" w:eastAsiaTheme="minorEastAsia" w:cstheme="minorEastAsia"/>
          <w:bCs/>
          <w:color w:val="auto"/>
          <w:sz w:val="24"/>
          <w:szCs w:val="24"/>
          <w:highlight w:val="none"/>
        </w:rPr>
        <w:t>.1招标采购单位和供应商的一切招标投标活动均适用于《政府采购法》、《政府采购实施条例》、《政府采购竞争性磋商采购方式管理办法》等相关规定。</w:t>
      </w:r>
    </w:p>
    <w:p w14:paraId="148E46BE">
      <w:pPr>
        <w:wordWrap w:val="0"/>
        <w:topLinePunct/>
        <w:spacing w:line="360" w:lineRule="auto"/>
        <w:ind w:firstLine="480" w:firstLineChars="200"/>
        <w:rPr>
          <w:rFonts w:hint="eastAsia" w:asciiTheme="minorEastAsia" w:hAnsiTheme="minorEastAsia" w:eastAsiaTheme="minorEastAsia" w:cstheme="minorEastAsia"/>
          <w:bCs/>
          <w:color w:val="auto"/>
          <w:sz w:val="24"/>
          <w:szCs w:val="24"/>
          <w:highlight w:val="none"/>
        </w:rPr>
      </w:pPr>
    </w:p>
    <w:p w14:paraId="2FE6EB29">
      <w:pPr>
        <w:pStyle w:val="5"/>
        <w:rPr>
          <w:rFonts w:hint="eastAsia" w:asciiTheme="minorEastAsia" w:hAnsiTheme="minorEastAsia" w:eastAsiaTheme="minorEastAsia" w:cstheme="minorEastAsia"/>
          <w:color w:val="auto"/>
          <w:sz w:val="24"/>
          <w:szCs w:val="24"/>
          <w:highlight w:val="none"/>
        </w:rPr>
      </w:pPr>
      <w:bookmarkStart w:id="102" w:name="_Toc278891599"/>
      <w:bookmarkStart w:id="103" w:name="_Toc4393"/>
      <w:bookmarkStart w:id="104" w:name="_Toc4661"/>
      <w:bookmarkStart w:id="105" w:name="_Toc272247702"/>
      <w:bookmarkStart w:id="106" w:name="_Toc446599319"/>
      <w:bookmarkStart w:id="107" w:name="_Toc23207"/>
      <w:bookmarkStart w:id="108" w:name="_Toc4668"/>
      <w:bookmarkStart w:id="109" w:name="_Toc5885"/>
      <w:bookmarkStart w:id="110" w:name="_Toc437611460"/>
      <w:r>
        <w:rPr>
          <w:rFonts w:hint="eastAsia" w:asciiTheme="minorEastAsia" w:hAnsiTheme="minorEastAsia" w:eastAsiaTheme="minorEastAsia" w:cstheme="minorEastAsia"/>
          <w:color w:val="auto"/>
          <w:sz w:val="24"/>
          <w:szCs w:val="24"/>
          <w:highlight w:val="none"/>
        </w:rPr>
        <w:t>十</w:t>
      </w:r>
      <w:r>
        <w:rPr>
          <w:rFonts w:hint="eastAsia" w:asciiTheme="minorEastAsia" w:hAnsiTheme="minorEastAsia" w:eastAsiaTheme="minorEastAsia" w:cstheme="minorEastAsia"/>
          <w:color w:val="auto"/>
          <w:sz w:val="24"/>
          <w:szCs w:val="24"/>
          <w:highlight w:val="none"/>
          <w:lang w:val="en-US" w:eastAsia="zh-CN"/>
        </w:rPr>
        <w:t>一</w:t>
      </w:r>
      <w:r>
        <w:rPr>
          <w:rFonts w:hint="eastAsia" w:asciiTheme="minorEastAsia" w:hAnsiTheme="minorEastAsia" w:eastAsiaTheme="minorEastAsia" w:cstheme="minorEastAsia"/>
          <w:color w:val="auto"/>
          <w:sz w:val="24"/>
          <w:szCs w:val="24"/>
          <w:highlight w:val="none"/>
        </w:rPr>
        <w:t>、磋商文件的解释权</w:t>
      </w:r>
      <w:bookmarkEnd w:id="102"/>
      <w:bookmarkEnd w:id="103"/>
      <w:bookmarkEnd w:id="104"/>
      <w:bookmarkEnd w:id="105"/>
      <w:bookmarkEnd w:id="106"/>
      <w:bookmarkEnd w:id="107"/>
      <w:bookmarkEnd w:id="108"/>
      <w:bookmarkEnd w:id="109"/>
      <w:bookmarkEnd w:id="110"/>
    </w:p>
    <w:p w14:paraId="5A67EFD7">
      <w:pPr>
        <w:wordWrap w:val="0"/>
        <w:topLinePunct/>
        <w:spacing w:line="360" w:lineRule="auto"/>
        <w:ind w:firstLine="480" w:firstLineChars="200"/>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w:t>
      </w:r>
      <w:r>
        <w:rPr>
          <w:rFonts w:hint="eastAsia" w:asciiTheme="minorEastAsia" w:hAnsiTheme="minorEastAsia" w:eastAsiaTheme="minorEastAsia" w:cstheme="minorEastAsia"/>
          <w:bCs/>
          <w:color w:val="auto"/>
          <w:sz w:val="24"/>
          <w:szCs w:val="24"/>
          <w:highlight w:val="none"/>
          <w:lang w:val="en-US" w:eastAsia="zh-CN"/>
        </w:rPr>
        <w:t>1</w:t>
      </w:r>
      <w:r>
        <w:rPr>
          <w:rFonts w:hint="eastAsia" w:asciiTheme="minorEastAsia" w:hAnsiTheme="minorEastAsia" w:eastAsiaTheme="minorEastAsia" w:cstheme="minorEastAsia"/>
          <w:bCs/>
          <w:color w:val="auto"/>
          <w:sz w:val="24"/>
          <w:szCs w:val="24"/>
          <w:highlight w:val="none"/>
        </w:rPr>
        <w:t>.1本项目磋商文件的最终解释权为采购单位所有。</w:t>
      </w:r>
    </w:p>
    <w:p w14:paraId="25EE0DE5">
      <w:pPr>
        <w:wordWrap w:val="0"/>
        <w:topLinePunct/>
        <w:spacing w:line="360" w:lineRule="auto"/>
        <w:ind w:firstLine="480" w:firstLineChars="200"/>
        <w:rPr>
          <w:rFonts w:hint="eastAsia" w:asciiTheme="minorEastAsia" w:hAnsiTheme="minorEastAsia" w:eastAsiaTheme="minorEastAsia" w:cstheme="minorEastAsia"/>
          <w:bCs/>
          <w:color w:val="auto"/>
          <w:sz w:val="24"/>
          <w:szCs w:val="24"/>
          <w:highlight w:val="none"/>
        </w:rPr>
      </w:pPr>
    </w:p>
    <w:p w14:paraId="605A7E9A">
      <w:pPr>
        <w:pStyle w:val="5"/>
        <w:rPr>
          <w:rFonts w:hint="eastAsia" w:asciiTheme="minorEastAsia" w:hAnsiTheme="minorEastAsia" w:eastAsiaTheme="minorEastAsia" w:cstheme="minorEastAsia"/>
          <w:color w:val="auto"/>
          <w:sz w:val="24"/>
          <w:szCs w:val="24"/>
          <w:highlight w:val="none"/>
        </w:rPr>
      </w:pPr>
      <w:bookmarkStart w:id="111" w:name="_Toc21273"/>
      <w:bookmarkStart w:id="112" w:name="_Toc437611461"/>
      <w:bookmarkStart w:id="113" w:name="_Toc6088"/>
      <w:bookmarkStart w:id="114" w:name="_Toc21111"/>
      <w:bookmarkStart w:id="115" w:name="_Toc446599320"/>
      <w:bookmarkStart w:id="116" w:name="_Toc29415"/>
      <w:bookmarkStart w:id="117" w:name="_Toc2488"/>
      <w:r>
        <w:rPr>
          <w:rFonts w:hint="eastAsia" w:asciiTheme="minorEastAsia" w:hAnsiTheme="minorEastAsia" w:eastAsiaTheme="minorEastAsia" w:cstheme="minorEastAsia"/>
          <w:color w:val="auto"/>
          <w:sz w:val="24"/>
          <w:szCs w:val="24"/>
          <w:highlight w:val="none"/>
        </w:rPr>
        <w:t>十</w:t>
      </w:r>
      <w:r>
        <w:rPr>
          <w:rFonts w:hint="eastAsia" w:asciiTheme="minorEastAsia" w:hAnsiTheme="minorEastAsia" w:eastAsiaTheme="minorEastAsia" w:cstheme="minorEastAsia"/>
          <w:color w:val="auto"/>
          <w:sz w:val="24"/>
          <w:szCs w:val="24"/>
          <w:highlight w:val="none"/>
          <w:lang w:val="en-US" w:eastAsia="zh-CN"/>
        </w:rPr>
        <w:t>二</w:t>
      </w:r>
      <w:r>
        <w:rPr>
          <w:rFonts w:hint="eastAsia" w:asciiTheme="minorEastAsia" w:hAnsiTheme="minorEastAsia" w:eastAsiaTheme="minorEastAsia" w:cstheme="minorEastAsia"/>
          <w:color w:val="auto"/>
          <w:sz w:val="24"/>
          <w:szCs w:val="24"/>
          <w:highlight w:val="none"/>
        </w:rPr>
        <w:t>、其他注意事项</w:t>
      </w:r>
      <w:bookmarkEnd w:id="111"/>
      <w:bookmarkEnd w:id="112"/>
      <w:bookmarkEnd w:id="113"/>
      <w:bookmarkEnd w:id="114"/>
      <w:bookmarkEnd w:id="115"/>
      <w:bookmarkEnd w:id="116"/>
      <w:bookmarkEnd w:id="117"/>
    </w:p>
    <w:p w14:paraId="41037C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.1单位负责人为同一人或者存在直接控股、管理关系的不同供应商，不得参加同一合同项下的政府采购活动。</w:t>
      </w:r>
    </w:p>
    <w:p w14:paraId="00609B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.2供应商为采购项目提供整体设计、规范编制或者项目管理、监理、检测等服务的供应商，不得再参加该采购项目的其他采购活动。</w:t>
      </w:r>
    </w:p>
    <w:p w14:paraId="7566A9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.3政府采购法第二十二条第一款第五项所称重大违法记录，是指供应商因违法经营受到刑事处罚或者责令停产停业、吊销许可证或者执照、较大数额</w:t>
      </w:r>
      <w:r>
        <w:rPr>
          <w:rFonts w:hint="eastAsia" w:asciiTheme="minorEastAsia" w:hAnsiTheme="minorEastAsia" w:eastAsiaTheme="minorEastAsia" w:cstheme="minorEastAsia"/>
          <w:color w:val="auto"/>
          <w:sz w:val="24"/>
          <w:szCs w:val="24"/>
          <w:highlight w:val="none"/>
          <w:lang w:eastAsia="zh-CN"/>
        </w:rPr>
        <w:t>（高于</w:t>
      </w:r>
      <w:r>
        <w:rPr>
          <w:rFonts w:hint="eastAsia" w:asciiTheme="minorEastAsia" w:hAnsiTheme="minorEastAsia" w:eastAsiaTheme="minorEastAsia" w:cstheme="minorEastAsia"/>
          <w:color w:val="auto"/>
          <w:sz w:val="24"/>
          <w:szCs w:val="24"/>
          <w:highlight w:val="none"/>
          <w:lang w:val="en-US" w:eastAsia="zh-CN"/>
        </w:rPr>
        <w:t>200万元</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罚款等行政处罚。</w:t>
      </w:r>
    </w:p>
    <w:p w14:paraId="544901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.4按照财政部《关于规范政府采购行政处罚有关问题的通知》的规定，各级人民政府财政部门依法对参加政府采购活动的供应商作出的禁止参加政府采购活动等行政处罚决定在全国范围内生效。</w:t>
      </w:r>
    </w:p>
    <w:p w14:paraId="2A97F3A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.5供应商在参加政府采购活动前3年内因违法经营被禁止在一定期限内参加政府采购活动，期限届满的，可以参加政府采购活动。</w:t>
      </w:r>
    </w:p>
    <w:p w14:paraId="381BCF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54F95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1F02A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DD750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EF629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4AE8DD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2A516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531F4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1CF91C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D543C8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9785E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C04EF6">
      <w:pPr>
        <w:pStyle w:val="4"/>
        <w:numPr>
          <w:ilvl w:val="0"/>
          <w:numId w:val="0"/>
        </w:numPr>
        <w:ind w:leftChars="0"/>
        <w:jc w:val="center"/>
        <w:rPr>
          <w:rFonts w:hint="eastAsia" w:ascii="宋体" w:hAnsi="宋体" w:eastAsia="宋体" w:cs="宋体"/>
          <w:color w:val="auto"/>
          <w:highlight w:val="none"/>
          <w:lang w:eastAsia="zh-CN"/>
        </w:rPr>
      </w:pPr>
      <w:bookmarkStart w:id="118" w:name="_Toc24574"/>
      <w:bookmarkStart w:id="119" w:name="_Toc293739000"/>
      <w:bookmarkStart w:id="120" w:name="_Toc24144"/>
      <w:bookmarkStart w:id="121" w:name="_Toc293736019"/>
      <w:bookmarkStart w:id="122" w:name="_Toc446599321"/>
      <w:bookmarkStart w:id="123" w:name="_Toc293736062"/>
      <w:bookmarkStart w:id="124" w:name="_Toc25987"/>
      <w:bookmarkStart w:id="125" w:name="_Toc6599"/>
      <w:r>
        <w:rPr>
          <w:rFonts w:hint="eastAsia" w:ascii="宋体" w:hAnsi="宋体" w:eastAsia="宋体" w:cs="宋体"/>
          <w:b/>
          <w:bCs w:val="0"/>
          <w:color w:val="auto"/>
          <w:highlight w:val="none"/>
          <w:lang w:eastAsia="zh-CN"/>
        </w:rPr>
        <w:t>第三部分</w:t>
      </w:r>
      <w:r>
        <w:rPr>
          <w:rFonts w:hint="eastAsia" w:ascii="宋体" w:hAnsi="宋体" w:eastAsia="宋体" w:cs="宋体"/>
          <w:b/>
          <w:bCs w:val="0"/>
          <w:color w:val="auto"/>
          <w:highlight w:val="none"/>
          <w:lang w:val="en-US" w:eastAsia="zh-CN"/>
        </w:rPr>
        <w:t xml:space="preserve">  </w:t>
      </w:r>
      <w:bookmarkEnd w:id="118"/>
      <w:bookmarkEnd w:id="119"/>
      <w:bookmarkEnd w:id="120"/>
      <w:bookmarkEnd w:id="121"/>
      <w:bookmarkEnd w:id="122"/>
      <w:bookmarkEnd w:id="123"/>
      <w:bookmarkEnd w:id="124"/>
      <w:r>
        <w:rPr>
          <w:rFonts w:hint="eastAsia" w:ascii="宋体" w:hAnsi="宋体" w:cs="宋体"/>
          <w:b/>
          <w:bCs w:val="0"/>
          <w:color w:val="auto"/>
          <w:highlight w:val="none"/>
          <w:lang w:eastAsia="zh-CN"/>
        </w:rPr>
        <w:t>采购需求</w:t>
      </w:r>
      <w:bookmarkEnd w:id="125"/>
    </w:p>
    <w:p w14:paraId="6E29CF9E">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color w:val="auto"/>
          <w:sz w:val="24"/>
          <w:szCs w:val="24"/>
          <w:highlight w:val="none"/>
          <w:lang w:eastAsia="zh-CN"/>
        </w:rPr>
      </w:pPr>
      <w:bookmarkStart w:id="126" w:name="_Toc293739001"/>
      <w:bookmarkStart w:id="127" w:name="_Toc9705"/>
      <w:bookmarkStart w:id="128" w:name="_Toc293736063"/>
      <w:bookmarkStart w:id="129" w:name="_Toc446599322"/>
      <w:bookmarkStart w:id="130" w:name="_Toc20901"/>
      <w:bookmarkStart w:id="131" w:name="_Toc22710"/>
      <w:bookmarkStart w:id="132" w:name="_Toc293736020"/>
      <w:r>
        <w:rPr>
          <w:rFonts w:hint="eastAsia" w:ascii="宋体" w:hAnsi="宋体" w:eastAsia="宋体" w:cs="宋体"/>
          <w:b/>
          <w:bCs/>
          <w:color w:val="auto"/>
          <w:sz w:val="24"/>
          <w:szCs w:val="24"/>
          <w:highlight w:val="none"/>
          <w:lang w:eastAsia="zh-CN"/>
        </w:rPr>
        <w:t>一、项目概况</w:t>
      </w:r>
    </w:p>
    <w:p w14:paraId="2FC43B44">
      <w:pPr>
        <w:keepNext w:val="0"/>
        <w:keepLines w:val="0"/>
        <w:pageBreakBefore w:val="0"/>
        <w:widowControl w:val="0"/>
        <w:kinsoku/>
        <w:wordWrap/>
        <w:overflowPunct/>
        <w:topLinePunct w:val="0"/>
        <w:autoSpaceDE/>
        <w:autoSpaceDN/>
        <w:bidi w:val="0"/>
        <w:adjustRightInd w:val="0"/>
        <w:snapToGrid w:val="0"/>
        <w:spacing w:line="360" w:lineRule="auto"/>
        <w:ind w:left="0" w:right="0" w:firstLine="508" w:firstLineChars="200"/>
        <w:textAlignment w:val="auto"/>
        <w:rPr>
          <w:rFonts w:hint="eastAsia" w:ascii="宋体" w:hAnsi="宋体" w:eastAsia="宋体" w:cs="宋体"/>
          <w:b w:val="0"/>
          <w:bCs w:val="0"/>
          <w:color w:val="auto"/>
          <w:spacing w:val="7"/>
          <w:sz w:val="24"/>
          <w:szCs w:val="24"/>
          <w:highlight w:val="none"/>
          <w:lang w:val="en-US" w:eastAsia="zh-CN"/>
        </w:rPr>
      </w:pPr>
      <w:r>
        <w:rPr>
          <w:rFonts w:hint="eastAsia" w:ascii="宋体" w:hAnsi="宋体" w:eastAsia="宋体" w:cs="宋体"/>
          <w:b w:val="0"/>
          <w:bCs w:val="0"/>
          <w:color w:val="auto"/>
          <w:spacing w:val="7"/>
          <w:sz w:val="24"/>
          <w:szCs w:val="24"/>
          <w:highlight w:val="none"/>
          <w:lang w:val="en-US" w:eastAsia="zh-CN"/>
        </w:rPr>
        <w:t>1.1采购预算：</w:t>
      </w:r>
      <w:r>
        <w:rPr>
          <w:rFonts w:hint="eastAsia" w:ascii="宋体" w:hAnsi="宋体" w:cs="宋体"/>
          <w:b w:val="0"/>
          <w:bCs w:val="0"/>
          <w:color w:val="auto"/>
          <w:spacing w:val="7"/>
          <w:sz w:val="24"/>
          <w:szCs w:val="24"/>
          <w:highlight w:val="none"/>
          <w:lang w:val="en-US" w:eastAsia="zh-CN"/>
        </w:rPr>
        <w:t>600000</w:t>
      </w:r>
      <w:r>
        <w:rPr>
          <w:rFonts w:hint="eastAsia" w:ascii="宋体" w:hAnsi="宋体" w:eastAsia="宋体" w:cs="宋体"/>
          <w:b w:val="0"/>
          <w:bCs w:val="0"/>
          <w:color w:val="auto"/>
          <w:spacing w:val="7"/>
          <w:sz w:val="24"/>
          <w:szCs w:val="24"/>
          <w:highlight w:val="none"/>
          <w:lang w:val="en-US" w:eastAsia="zh-CN"/>
        </w:rPr>
        <w:t>.00元</w:t>
      </w:r>
    </w:p>
    <w:p w14:paraId="280428FA">
      <w:pPr>
        <w:keepNext w:val="0"/>
        <w:keepLines w:val="0"/>
        <w:pageBreakBefore w:val="0"/>
        <w:widowControl w:val="0"/>
        <w:kinsoku/>
        <w:wordWrap/>
        <w:overflowPunct/>
        <w:topLinePunct w:val="0"/>
        <w:autoSpaceDE/>
        <w:autoSpaceDN/>
        <w:bidi w:val="0"/>
        <w:adjustRightInd w:val="0"/>
        <w:snapToGrid w:val="0"/>
        <w:spacing w:line="360" w:lineRule="auto"/>
        <w:ind w:left="0" w:right="0" w:firstLine="508" w:firstLineChars="200"/>
        <w:textAlignment w:val="auto"/>
        <w:rPr>
          <w:color w:val="auto"/>
          <w:highlight w:val="none"/>
        </w:rPr>
      </w:pPr>
      <w:r>
        <w:rPr>
          <w:rFonts w:hint="eastAsia" w:ascii="宋体" w:hAnsi="宋体" w:eastAsia="宋体" w:cs="宋体"/>
          <w:b w:val="0"/>
          <w:bCs w:val="0"/>
          <w:color w:val="auto"/>
          <w:spacing w:val="7"/>
          <w:sz w:val="24"/>
          <w:szCs w:val="24"/>
          <w:highlight w:val="none"/>
          <w:lang w:val="en-US" w:eastAsia="zh-CN"/>
        </w:rPr>
        <w:t>1.2</w:t>
      </w:r>
      <w:r>
        <w:rPr>
          <w:rFonts w:hint="eastAsia" w:ascii="宋体" w:hAnsi="宋体" w:cs="宋体"/>
          <w:b w:val="0"/>
          <w:bCs w:val="0"/>
          <w:color w:val="auto"/>
          <w:spacing w:val="7"/>
          <w:sz w:val="24"/>
          <w:szCs w:val="24"/>
          <w:highlight w:val="none"/>
          <w:lang w:val="en-US" w:eastAsia="zh-CN"/>
        </w:rPr>
        <w:t>采购</w:t>
      </w:r>
      <w:r>
        <w:rPr>
          <w:rFonts w:hint="eastAsia" w:ascii="宋体" w:hAnsi="宋体" w:eastAsia="宋体" w:cs="宋体"/>
          <w:b w:val="0"/>
          <w:bCs w:val="0"/>
          <w:color w:val="auto"/>
          <w:spacing w:val="7"/>
          <w:sz w:val="24"/>
          <w:szCs w:val="24"/>
          <w:highlight w:val="none"/>
          <w:lang w:val="en-US" w:eastAsia="zh-CN"/>
        </w:rPr>
        <w:t>内容：</w:t>
      </w:r>
      <w:r>
        <w:rPr>
          <w:rFonts w:hint="eastAsia" w:ascii="宋体" w:hAnsi="宋体" w:cs="宋体"/>
          <w:b w:val="0"/>
          <w:bCs w:val="0"/>
          <w:color w:val="auto"/>
          <w:spacing w:val="7"/>
          <w:sz w:val="24"/>
          <w:szCs w:val="24"/>
          <w:highlight w:val="none"/>
          <w:lang w:val="en-US" w:eastAsia="zh-CN"/>
        </w:rPr>
        <w:t>安保服务</w:t>
      </w:r>
    </w:p>
    <w:tbl>
      <w:tblPr>
        <w:tblStyle w:val="141"/>
        <w:tblW w:w="955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0"/>
        <w:gridCol w:w="3143"/>
        <w:gridCol w:w="2450"/>
        <w:gridCol w:w="3107"/>
      </w:tblGrid>
      <w:tr w14:paraId="3FE7E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jc w:val="center"/>
        </w:trPr>
        <w:tc>
          <w:tcPr>
            <w:tcW w:w="850" w:type="dxa"/>
            <w:noWrap w:val="0"/>
            <w:vAlign w:val="center"/>
          </w:tcPr>
          <w:p w14:paraId="323619C4">
            <w:pP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143" w:type="dxa"/>
            <w:noWrap w:val="0"/>
            <w:vAlign w:val="center"/>
          </w:tcPr>
          <w:p w14:paraId="1784CF01">
            <w:pP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标的</w:t>
            </w:r>
            <w:r>
              <w:rPr>
                <w:rFonts w:hint="eastAsia" w:ascii="宋体" w:hAnsi="宋体" w:eastAsia="宋体" w:cs="宋体"/>
                <w:color w:val="auto"/>
                <w:sz w:val="24"/>
                <w:szCs w:val="24"/>
                <w:highlight w:val="none"/>
              </w:rPr>
              <w:t>名称</w:t>
            </w:r>
          </w:p>
        </w:tc>
        <w:tc>
          <w:tcPr>
            <w:tcW w:w="2450" w:type="dxa"/>
            <w:noWrap w:val="0"/>
            <w:vAlign w:val="center"/>
          </w:tcPr>
          <w:p w14:paraId="71881124">
            <w:pP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采购预算（元）</w:t>
            </w:r>
          </w:p>
        </w:tc>
        <w:tc>
          <w:tcPr>
            <w:tcW w:w="3107" w:type="dxa"/>
            <w:noWrap w:val="0"/>
            <w:vAlign w:val="center"/>
          </w:tcPr>
          <w:p w14:paraId="04E7C359">
            <w:pPr>
              <w:bidi w:val="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标的所属行业</w:t>
            </w:r>
          </w:p>
        </w:tc>
      </w:tr>
      <w:tr w14:paraId="5F2F7E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6" w:hRule="atLeast"/>
          <w:jc w:val="center"/>
        </w:trPr>
        <w:tc>
          <w:tcPr>
            <w:tcW w:w="850" w:type="dxa"/>
            <w:noWrap w:val="0"/>
            <w:vAlign w:val="center"/>
          </w:tcPr>
          <w:p w14:paraId="1E261B71">
            <w:pPr>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3143" w:type="dxa"/>
            <w:noWrap w:val="0"/>
            <w:vAlign w:val="center"/>
          </w:tcPr>
          <w:p w14:paraId="53F4FD39">
            <w:pPr>
              <w:bidi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安保服务</w:t>
            </w:r>
          </w:p>
        </w:tc>
        <w:tc>
          <w:tcPr>
            <w:tcW w:w="2450" w:type="dxa"/>
            <w:noWrap w:val="0"/>
            <w:vAlign w:val="center"/>
          </w:tcPr>
          <w:p w14:paraId="03FEB748">
            <w:pPr>
              <w:bidi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600000.00</w:t>
            </w:r>
          </w:p>
        </w:tc>
        <w:tc>
          <w:tcPr>
            <w:tcW w:w="3107" w:type="dxa"/>
            <w:noWrap w:val="0"/>
            <w:vAlign w:val="center"/>
          </w:tcPr>
          <w:p w14:paraId="51729563">
            <w:pPr>
              <w:bidi w:val="0"/>
              <w:jc w:val="center"/>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eastAsia="zh-CN"/>
              </w:rPr>
              <w:t>其他未列明行业</w:t>
            </w:r>
          </w:p>
        </w:tc>
      </w:tr>
    </w:tbl>
    <w:p w14:paraId="3D3386C3">
      <w:pPr>
        <w:spacing w:before="34" w:line="355" w:lineRule="auto"/>
        <w:ind w:left="122" w:right="111" w:firstLine="482"/>
        <w:rPr>
          <w:rFonts w:ascii="宋体" w:hAnsi="宋体" w:eastAsia="宋体" w:cs="宋体"/>
          <w:color w:val="auto"/>
          <w:spacing w:val="8"/>
          <w:sz w:val="23"/>
          <w:szCs w:val="23"/>
          <w:highlight w:val="none"/>
        </w:rPr>
      </w:pPr>
    </w:p>
    <w:p w14:paraId="54BDD815">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二、服务要求</w:t>
      </w:r>
    </w:p>
    <w:p w14:paraId="1323D4D8">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1服务内容</w:t>
      </w:r>
    </w:p>
    <w:p w14:paraId="7EBB8940">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2.1.1门禁管理：负责医院各出入口的站岗、登记、检查等工作，严格控制人员和车辆的进出，防止未经授权的人员和车辆进入医院</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对携带可疑物品的人员和车辆进行检查，确保医院的安全。</w:t>
      </w:r>
    </w:p>
    <w:p w14:paraId="450A1C3D">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2.1.2巡逻与监控：每日与医院安全员对医院内部及周边进行巡逻，检查安全设施的状态，发现异常情况及时报告并处理。协助医院监控室，对医院的重点区域进行实时监控，发现问题及时响应。</w:t>
      </w:r>
    </w:p>
    <w:p w14:paraId="09798A63">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2.1.3秩序维护：维护医院内部的就医秩序，防止发生争吵、打架等事件。对医院内的车辆进行疏导和管理，确保交通顺畅。</w:t>
      </w:r>
    </w:p>
    <w:p w14:paraId="1833A832">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.4突发事件处理：能够迅速响应医院内发生的突发事件，如医疗纠纷、火灾、盗窃等，采取适当的措施进行处理，保障人员生命和财产安全。在紧急情况下，协助医院进行人员疏散和救援工作。</w:t>
      </w:r>
    </w:p>
    <w:p w14:paraId="07DDD77F">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.5安全防范：协助医院开展安全防范宣传教育工作，提高医护人员和患者的安全意识。对医院的安全隐患进行排查，并提出改进建议。</w:t>
      </w:r>
    </w:p>
    <w:p w14:paraId="008236B2">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2服务人员要求</w:t>
      </w:r>
    </w:p>
    <w:p w14:paraId="13DEC8C1">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乙方</w:t>
      </w:r>
      <w:r>
        <w:rPr>
          <w:rFonts w:hint="eastAsia" w:ascii="宋体" w:hAnsi="宋体" w:cs="宋体"/>
          <w:b w:val="0"/>
          <w:bCs w:val="0"/>
          <w:color w:val="auto"/>
          <w:sz w:val="24"/>
          <w:szCs w:val="24"/>
          <w:highlight w:val="none"/>
          <w:lang w:val="en-US" w:eastAsia="zh-CN"/>
        </w:rPr>
        <w:t>派遣</w:t>
      </w:r>
      <w:r>
        <w:rPr>
          <w:rFonts w:hint="eastAsia" w:ascii="宋体" w:hAnsi="宋体" w:eastAsia="宋体" w:cs="宋体"/>
          <w:b w:val="0"/>
          <w:bCs w:val="0"/>
          <w:color w:val="auto"/>
          <w:sz w:val="24"/>
          <w:szCs w:val="24"/>
          <w:highlight w:val="none"/>
          <w:lang w:val="en-US" w:eastAsia="zh-CN"/>
        </w:rPr>
        <w:t>保安人员9名</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在甲方保安岗位上工作，乙方提供保安服务过程中应当坚持预防为主的方针，增强甲方岗位的安全防范能力，维护甲方正常的工作秩序合法权益不受侵犯保安人员受甲乙双方共同监督管理。鉴于甲方需要专业的保安服务以维护医院的正常秩序和安全。</w:t>
      </w:r>
    </w:p>
    <w:p w14:paraId="40389E73">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应遵守甲乙双方的规章制度,全力做好“四防”工作。甲方如指示保安员完成约定以外的勤杂工作时,以不妨碍保安员本职工作为原则,否则保安员有权拒绝执行。</w:t>
      </w:r>
    </w:p>
    <w:p w14:paraId="0CE2603F">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2.2保安员必须着装上岗,佩戴保安标志和上岗证件,注重仪容仪表。着装整齐,值班时不准擅自离开岗位,不准嬉戏打闹及做与值班无关的事情。保持岗内外的清洁卫生。</w:t>
      </w:r>
    </w:p>
    <w:p w14:paraId="412FE62A">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2.3坚持文明执勤,礼貌待人、不讲脏话,处理问题时要讲原则,态度和气、不急不躁、以礼服人,遇到争执不下的时候,可向上级汇报。</w:t>
      </w:r>
    </w:p>
    <w:p w14:paraId="0618A4C6">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2.4严格遵守甲方的规章制度,安排好上下交接班的工作,认真写交接班记录。</w:t>
      </w:r>
    </w:p>
    <w:p w14:paraId="5E3A45FB">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2.5甲方若需要调整保安员,应提前五天以书面形式或电话通知乙方；为确保乙方派驻的保安员能供更优质的服务,甲方应积极地配合乙方每周一次对不在岗保安进行的政治思想、保安业务、职业道德、法律法规等方面的培训。乙方无条件遵从医院制定的具体安全防范工作要求,保安员行本公司职责的同时必须履行医院制定安防工作要求。</w:t>
      </w:r>
    </w:p>
    <w:p w14:paraId="556215B3">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2.6甲方有权对保安员履职情况进行监督、指导、检查保安员的日常工作；并向乙方反馈保安队员的工作情况和存在的问题、加强对保安队员的监督、管理及工作建议,对不合格保安乙方接到通知后5个工作日内予以调换。乙方需提供必要的安防器材、设备等。</w:t>
      </w:r>
    </w:p>
    <w:p w14:paraId="0712AB5F">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2.7甲方有权对乙方保安人员进行现场监督和按保安值勤安排表值班,如保安人员临时请假或离职的,乙方应立即派遣顶替人员,确保甲方安保工作的正常开展。</w:t>
      </w:r>
    </w:p>
    <w:p w14:paraId="57308A14">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2.8若保安违反医院值班制度,不听指挥,甲方将处罚结果通知财务月底进行核算；若屡次违反甲方规定、不听从甲方工作安排的,甲方有权要求乙方更换保安人员,乙方不更换的甲方有权解除合同。</w:t>
      </w:r>
    </w:p>
    <w:p w14:paraId="5C85262F">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2.9乙方指派的保安与乙方单位之间形成劳动关系,与甲方不形成劳动关系、劳务关系。</w:t>
      </w:r>
    </w:p>
    <w:p w14:paraId="54E5B283">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2.3服务时间</w:t>
      </w:r>
    </w:p>
    <w:p w14:paraId="68852530">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2.3.1提供24小时不间断的保安服务，确保医院的安全。</w:t>
      </w:r>
    </w:p>
    <w:p w14:paraId="37F6E61E">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2.3.2保安人员的工作班次和休息时间应合理安排，以保证服务质量。</w:t>
      </w:r>
    </w:p>
    <w:p w14:paraId="5C8740F0">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2.4服务质量监督与考核</w:t>
      </w:r>
    </w:p>
    <w:p w14:paraId="494A0F5E">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2.4.1甲方有权对乙方的保安服务质量进行监督和检查，如发现问题，乙方应及时整改。</w:t>
      </w:r>
    </w:p>
    <w:p w14:paraId="517E6171">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2.4.2双方定期对保安服务进行考核，考核结果作为支付服务费用和是否继续合作的重要依据。</w:t>
      </w:r>
    </w:p>
    <w:p w14:paraId="207205E8">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2.4.3乙方应建立完善的服务质量反馈机制，及时处理甲方提出的意见和建议。</w:t>
      </w:r>
    </w:p>
    <w:p w14:paraId="271BE569">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eastAsia="zh-CN"/>
        </w:rPr>
      </w:pPr>
    </w:p>
    <w:p w14:paraId="2E5AD3F0">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三、商务要求</w:t>
      </w:r>
    </w:p>
    <w:p w14:paraId="208DED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3.1</w:t>
      </w:r>
      <w:r>
        <w:rPr>
          <w:rFonts w:hint="eastAsia" w:ascii="宋体" w:hAnsi="宋体" w:cs="宋体"/>
          <w:color w:val="auto"/>
          <w:sz w:val="24"/>
          <w:szCs w:val="24"/>
          <w:highlight w:val="none"/>
          <w:lang w:val="en-US" w:eastAsia="zh-CN"/>
        </w:rPr>
        <w:t>合同履约期限</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自合同签订生效之日起一年</w:t>
      </w:r>
    </w:p>
    <w:p w14:paraId="1D2EAC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3.2付款方式：</w:t>
      </w:r>
      <w:r>
        <w:rPr>
          <w:rFonts w:hint="eastAsia" w:ascii="宋体" w:hAnsi="宋体" w:cs="宋体"/>
          <w:color w:val="auto"/>
          <w:kern w:val="0"/>
          <w:sz w:val="24"/>
          <w:szCs w:val="24"/>
          <w:highlight w:val="none"/>
          <w:lang w:val="en-US" w:eastAsia="zh-CN"/>
        </w:rPr>
        <w:t>按月结算，次月结算上个月的费用</w:t>
      </w:r>
      <w:r>
        <w:rPr>
          <w:rFonts w:hint="eastAsia" w:ascii="宋体" w:hAnsi="宋体" w:cs="宋体"/>
          <w:color w:val="auto"/>
          <w:kern w:val="0"/>
          <w:sz w:val="24"/>
          <w:szCs w:val="24"/>
          <w:highlight w:val="none"/>
          <w:lang w:eastAsia="zh-CN"/>
        </w:rPr>
        <w:t>（最终以签订合同为准）</w:t>
      </w:r>
    </w:p>
    <w:p w14:paraId="0BF2277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lang w:eastAsia="zh-CN"/>
        </w:rPr>
        <w:t>服务地点：</w:t>
      </w:r>
      <w:r>
        <w:rPr>
          <w:rFonts w:hint="eastAsia" w:ascii="宋体" w:hAnsi="宋体" w:eastAsia="宋体" w:cs="宋体"/>
          <w:color w:val="auto"/>
          <w:sz w:val="24"/>
          <w:szCs w:val="24"/>
          <w:highlight w:val="none"/>
          <w:lang w:val="en-US" w:eastAsia="zh-CN"/>
        </w:rPr>
        <w:t>鄯善县人民医院</w:t>
      </w:r>
    </w:p>
    <w:p w14:paraId="3E98CE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3.4服务范围：</w:t>
      </w:r>
      <w:r>
        <w:rPr>
          <w:rFonts w:hint="eastAsia" w:ascii="宋体" w:hAnsi="宋体" w:cs="宋体"/>
          <w:color w:val="auto"/>
          <w:sz w:val="24"/>
          <w:szCs w:val="24"/>
          <w:highlight w:val="none"/>
          <w:lang w:val="en-US" w:eastAsia="zh-CN"/>
        </w:rPr>
        <w:t>为医院提供安保服务，</w:t>
      </w:r>
      <w:r>
        <w:rPr>
          <w:rFonts w:hint="eastAsia" w:ascii="宋体" w:hAnsi="宋体" w:eastAsia="宋体" w:cs="宋体"/>
          <w:b w:val="0"/>
          <w:bCs w:val="0"/>
          <w:color w:val="auto"/>
          <w:sz w:val="24"/>
          <w:szCs w:val="24"/>
          <w:highlight w:val="none"/>
          <w:lang w:val="en-US" w:eastAsia="zh-CN"/>
        </w:rPr>
        <w:t>维护医院的正常秩序和安全。包括：</w:t>
      </w:r>
      <w:r>
        <w:rPr>
          <w:rFonts w:hint="eastAsia" w:ascii="宋体" w:hAnsi="宋体" w:cs="宋体"/>
          <w:b w:val="0"/>
          <w:bCs w:val="0"/>
          <w:color w:val="auto"/>
          <w:sz w:val="24"/>
          <w:szCs w:val="24"/>
          <w:highlight w:val="none"/>
          <w:lang w:val="en-US" w:eastAsia="zh-CN"/>
        </w:rPr>
        <w:t>1号楼、2号楼、3号楼、5号楼、停车场、周边一定范围内的公共区域等。</w:t>
      </w:r>
    </w:p>
    <w:p w14:paraId="4549F2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3.5服务标准：符合国家或行业相关标准</w:t>
      </w:r>
    </w:p>
    <w:p w14:paraId="633A99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lang w:eastAsia="zh-CN"/>
        </w:rPr>
        <w:t>验收标准：符合</w:t>
      </w:r>
      <w:r>
        <w:rPr>
          <w:rFonts w:hint="eastAsia" w:ascii="宋体" w:hAnsi="宋体" w:cs="宋体"/>
          <w:color w:val="auto"/>
          <w:sz w:val="24"/>
          <w:szCs w:val="24"/>
          <w:highlight w:val="none"/>
          <w:lang w:val="en-US" w:eastAsia="zh-CN"/>
        </w:rPr>
        <w:t>国家</w:t>
      </w:r>
      <w:r>
        <w:rPr>
          <w:rFonts w:hint="eastAsia" w:ascii="宋体" w:hAnsi="宋体" w:eastAsia="宋体" w:cs="宋体"/>
          <w:color w:val="auto"/>
          <w:sz w:val="24"/>
          <w:szCs w:val="24"/>
          <w:highlight w:val="none"/>
          <w:lang w:eastAsia="zh-CN"/>
        </w:rPr>
        <w:t>有关规范标准，应与采购文件和标书技术文件一致</w:t>
      </w:r>
      <w:r>
        <w:rPr>
          <w:rFonts w:hint="eastAsia" w:ascii="宋体" w:hAnsi="宋体" w:cs="宋体"/>
          <w:color w:val="auto"/>
          <w:sz w:val="24"/>
          <w:szCs w:val="24"/>
          <w:highlight w:val="none"/>
          <w:lang w:eastAsia="zh-CN"/>
        </w:rPr>
        <w:t>。</w:t>
      </w:r>
    </w:p>
    <w:p w14:paraId="64BA73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lang w:val="en-US" w:eastAsia="zh-CN"/>
        </w:rPr>
        <w:t>3.7本项目服务商用工所产生的一切费用均由服务商自行承担。</w:t>
      </w:r>
    </w:p>
    <w:p w14:paraId="5C8F13E8">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lang w:val="en-US" w:eastAsia="zh-CN"/>
        </w:rPr>
        <w:t>提供服务的保安</w:t>
      </w:r>
      <w:r>
        <w:rPr>
          <w:rFonts w:hint="eastAsia" w:ascii="宋体" w:hAnsi="宋体" w:cs="宋体"/>
          <w:b w:val="0"/>
          <w:bCs w:val="0"/>
          <w:color w:val="auto"/>
          <w:sz w:val="24"/>
          <w:szCs w:val="24"/>
          <w:highlight w:val="none"/>
          <w:lang w:val="en-US" w:eastAsia="zh-CN"/>
        </w:rPr>
        <w:t>人</w:t>
      </w:r>
      <w:r>
        <w:rPr>
          <w:rFonts w:hint="eastAsia" w:ascii="宋体" w:hAnsi="宋体" w:eastAsia="宋体" w:cs="宋体"/>
          <w:b w:val="0"/>
          <w:bCs w:val="0"/>
          <w:color w:val="auto"/>
          <w:sz w:val="24"/>
          <w:szCs w:val="24"/>
          <w:highlight w:val="none"/>
          <w:lang w:val="en-US" w:eastAsia="zh-CN"/>
        </w:rPr>
        <w:t>员必须与乙方签订正式劳动合同，具有合法劳动关系的人员。</w:t>
      </w:r>
    </w:p>
    <w:p w14:paraId="4C94E467">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cs="宋体"/>
          <w:b w:val="0"/>
          <w:bCs w:val="0"/>
          <w:color w:val="auto"/>
          <w:sz w:val="24"/>
          <w:szCs w:val="24"/>
          <w:highlight w:val="none"/>
          <w:lang w:val="en-US" w:eastAsia="zh-CN"/>
        </w:rPr>
        <w:t>9成交</w:t>
      </w:r>
      <w:r>
        <w:rPr>
          <w:rFonts w:hint="eastAsia" w:ascii="宋体" w:hAnsi="宋体" w:eastAsia="宋体" w:cs="宋体"/>
          <w:b w:val="0"/>
          <w:bCs w:val="0"/>
          <w:color w:val="auto"/>
          <w:sz w:val="24"/>
          <w:szCs w:val="24"/>
          <w:highlight w:val="none"/>
          <w:lang w:val="en-US" w:eastAsia="zh-CN"/>
        </w:rPr>
        <w:t>保安公司须在24小时内完成工作交接</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不能影响医院安保工作的正常运行。自本合同签订</w:t>
      </w:r>
      <w:r>
        <w:rPr>
          <w:rFonts w:hint="eastAsia" w:ascii="宋体" w:hAnsi="宋体" w:cs="宋体"/>
          <w:b w:val="0"/>
          <w:bCs w:val="0"/>
          <w:color w:val="auto"/>
          <w:sz w:val="24"/>
          <w:szCs w:val="24"/>
          <w:highlight w:val="none"/>
          <w:lang w:val="en-US" w:eastAsia="zh-CN"/>
        </w:rPr>
        <w:t>生效之日起，凡</w:t>
      </w:r>
      <w:r>
        <w:rPr>
          <w:rFonts w:hint="eastAsia" w:ascii="宋体" w:hAnsi="宋体" w:eastAsia="宋体" w:cs="宋体"/>
          <w:b w:val="0"/>
          <w:bCs w:val="0"/>
          <w:color w:val="auto"/>
          <w:sz w:val="24"/>
          <w:szCs w:val="24"/>
          <w:highlight w:val="none"/>
          <w:lang w:val="en-US" w:eastAsia="zh-CN"/>
        </w:rPr>
        <w:t>因乙方原因未按照约定给保安员缴纳社保、工伤保险等引起劳动仲裁等纠纷致使甲方被牵入诉讼或仲裁</w:t>
      </w:r>
      <w:r>
        <w:rPr>
          <w:rFonts w:hint="eastAsia" w:ascii="宋体" w:hAnsi="宋体" w:cs="宋体"/>
          <w:b w:val="0"/>
          <w:bCs w:val="0"/>
          <w:color w:val="auto"/>
          <w:sz w:val="24"/>
          <w:szCs w:val="24"/>
          <w:highlight w:val="none"/>
          <w:lang w:val="en-US" w:eastAsia="zh-CN"/>
        </w:rPr>
        <w:t>的</w:t>
      </w:r>
      <w:r>
        <w:rPr>
          <w:rFonts w:hint="eastAsia" w:ascii="宋体" w:hAnsi="宋体" w:eastAsia="宋体" w:cs="宋体"/>
          <w:b w:val="0"/>
          <w:bCs w:val="0"/>
          <w:color w:val="auto"/>
          <w:sz w:val="24"/>
          <w:szCs w:val="24"/>
          <w:highlight w:val="none"/>
          <w:lang w:val="en-US" w:eastAsia="zh-CN"/>
        </w:rPr>
        <w:t>,</w:t>
      </w:r>
      <w:r>
        <w:rPr>
          <w:rFonts w:hint="eastAsia" w:ascii="宋体" w:hAnsi="宋体" w:cs="宋体"/>
          <w:b w:val="0"/>
          <w:bCs w:val="0"/>
          <w:color w:val="auto"/>
          <w:sz w:val="24"/>
          <w:szCs w:val="24"/>
          <w:highlight w:val="none"/>
          <w:lang w:val="en-US" w:eastAsia="zh-CN"/>
        </w:rPr>
        <w:t>导致</w:t>
      </w:r>
      <w:r>
        <w:rPr>
          <w:rFonts w:hint="eastAsia" w:ascii="宋体" w:hAnsi="宋体" w:eastAsia="宋体" w:cs="宋体"/>
          <w:b w:val="0"/>
          <w:bCs w:val="0"/>
          <w:color w:val="auto"/>
          <w:sz w:val="24"/>
          <w:szCs w:val="24"/>
          <w:highlight w:val="none"/>
          <w:lang w:val="en-US" w:eastAsia="zh-CN"/>
        </w:rPr>
        <w:t>甲方为此而支付的律师费诉讼费等费用均由乙方赔偿。保安</w:t>
      </w:r>
      <w:r>
        <w:rPr>
          <w:rFonts w:hint="eastAsia" w:ascii="宋体" w:hAnsi="宋体" w:cs="宋体"/>
          <w:b w:val="0"/>
          <w:bCs w:val="0"/>
          <w:color w:val="auto"/>
          <w:sz w:val="24"/>
          <w:szCs w:val="24"/>
          <w:highlight w:val="none"/>
          <w:lang w:val="en-US" w:eastAsia="zh-CN"/>
        </w:rPr>
        <w:t>人员</w:t>
      </w:r>
      <w:r>
        <w:rPr>
          <w:rFonts w:hint="eastAsia" w:ascii="宋体" w:hAnsi="宋体" w:eastAsia="宋体" w:cs="宋体"/>
          <w:b w:val="0"/>
          <w:bCs w:val="0"/>
          <w:color w:val="auto"/>
          <w:sz w:val="24"/>
          <w:szCs w:val="24"/>
          <w:highlight w:val="none"/>
          <w:lang w:val="en-US" w:eastAsia="zh-CN"/>
        </w:rPr>
        <w:t>在工作期间发生的一切纠纷均</w:t>
      </w:r>
      <w:r>
        <w:rPr>
          <w:rFonts w:hint="eastAsia" w:ascii="宋体" w:hAnsi="宋体" w:cs="宋体"/>
          <w:b w:val="0"/>
          <w:bCs w:val="0"/>
          <w:color w:val="auto"/>
          <w:sz w:val="24"/>
          <w:szCs w:val="24"/>
          <w:highlight w:val="none"/>
          <w:lang w:val="en-US" w:eastAsia="zh-CN"/>
        </w:rPr>
        <w:t>由</w:t>
      </w:r>
      <w:r>
        <w:rPr>
          <w:rFonts w:hint="eastAsia" w:ascii="宋体" w:hAnsi="宋体" w:eastAsia="宋体" w:cs="宋体"/>
          <w:b w:val="0"/>
          <w:bCs w:val="0"/>
          <w:color w:val="auto"/>
          <w:sz w:val="24"/>
          <w:szCs w:val="24"/>
          <w:highlight w:val="none"/>
          <w:lang w:val="en-US" w:eastAsia="zh-CN"/>
        </w:rPr>
        <w:t>保安公司负责。</w:t>
      </w:r>
    </w:p>
    <w:p w14:paraId="4EDF38FB">
      <w:pPr>
        <w:pStyle w:val="37"/>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3.10成交人与采购人签订合同前，须提供在响应文件中响应的相关佐证材料原件供采购人审查，如发现弄虚作假骗取成交的，将作废标处理，并严格按照相关法规追究责任。</w:t>
      </w:r>
    </w:p>
    <w:p w14:paraId="115B0DC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sz w:val="24"/>
          <w:szCs w:val="24"/>
          <w:highlight w:val="none"/>
          <w:lang w:val="en-US" w:eastAsia="zh-CN"/>
        </w:rPr>
        <w:t>备注：商务要求为实质性响应条款，不允许出现负偏离，否则作投标无效</w:t>
      </w:r>
      <w:r>
        <w:rPr>
          <w:rFonts w:hint="eastAsia" w:ascii="宋体" w:hAnsi="宋体" w:eastAsia="宋体" w:cs="宋体"/>
          <w:b/>
          <w:bCs/>
          <w:color w:val="auto"/>
          <w:kern w:val="0"/>
          <w:sz w:val="24"/>
          <w:szCs w:val="24"/>
          <w:highlight w:val="none"/>
        </w:rPr>
        <w:t>处理</w:t>
      </w:r>
      <w:r>
        <w:rPr>
          <w:rFonts w:hint="eastAsia" w:ascii="宋体" w:hAnsi="宋体" w:eastAsia="宋体" w:cs="宋体"/>
          <w:b/>
          <w:bCs/>
          <w:color w:val="auto"/>
          <w:kern w:val="0"/>
          <w:sz w:val="24"/>
          <w:szCs w:val="24"/>
          <w:highlight w:val="none"/>
          <w:lang w:eastAsia="zh-CN"/>
        </w:rPr>
        <w:t>。</w:t>
      </w:r>
    </w:p>
    <w:p w14:paraId="0F1497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9E698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E7364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677DBA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012CB1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95D432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410BE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C909F6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58669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BAB6E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6A354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CAF81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14C76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90CF1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6A6D5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0FA772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325E4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8E754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6F95C1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2E2214E">
      <w:pPr>
        <w:pStyle w:val="4"/>
        <w:pageBreakBefore w:val="0"/>
        <w:numPr>
          <w:ilvl w:val="0"/>
          <w:numId w:val="0"/>
        </w:numPr>
        <w:kinsoku/>
        <w:wordWrap/>
        <w:overflowPunct/>
        <w:topLinePunct w:val="0"/>
        <w:autoSpaceDE/>
        <w:autoSpaceDN/>
        <w:bidi w:val="0"/>
        <w:adjustRightInd w:val="0"/>
        <w:snapToGrid w:val="0"/>
        <w:spacing w:line="360" w:lineRule="auto"/>
        <w:ind w:leftChars="0"/>
        <w:jc w:val="center"/>
        <w:textAlignment w:val="auto"/>
        <w:rPr>
          <w:rFonts w:hint="eastAsia" w:ascii="宋体" w:hAnsi="宋体" w:eastAsia="宋体" w:cs="宋体"/>
          <w:b/>
          <w:bCs w:val="0"/>
          <w:color w:val="auto"/>
          <w:highlight w:val="none"/>
          <w:lang w:eastAsia="zh-CN"/>
        </w:rPr>
      </w:pPr>
      <w:bookmarkStart w:id="133" w:name="_Toc3868"/>
      <w:r>
        <w:rPr>
          <w:rFonts w:hint="eastAsia" w:ascii="宋体" w:hAnsi="宋体" w:eastAsia="宋体" w:cs="宋体"/>
          <w:b/>
          <w:bCs w:val="0"/>
          <w:color w:val="auto"/>
          <w:highlight w:val="none"/>
          <w:lang w:eastAsia="zh-CN"/>
        </w:rPr>
        <w:t>第四部分</w:t>
      </w:r>
      <w:r>
        <w:rPr>
          <w:rFonts w:hint="eastAsia" w:ascii="宋体" w:hAnsi="宋体" w:eastAsia="宋体" w:cs="宋体"/>
          <w:b/>
          <w:bCs w:val="0"/>
          <w:color w:val="auto"/>
          <w:highlight w:val="none"/>
          <w:lang w:val="en-US" w:eastAsia="zh-CN"/>
        </w:rPr>
        <w:t xml:space="preserve">  </w:t>
      </w:r>
      <w:r>
        <w:rPr>
          <w:rFonts w:hint="eastAsia" w:ascii="宋体" w:hAnsi="宋体" w:eastAsia="宋体" w:cs="宋体"/>
          <w:b/>
          <w:bCs w:val="0"/>
          <w:color w:val="auto"/>
          <w:highlight w:val="none"/>
          <w:lang w:eastAsia="zh-CN"/>
        </w:rPr>
        <w:t>评审方法</w:t>
      </w:r>
      <w:bookmarkEnd w:id="126"/>
      <w:bookmarkEnd w:id="127"/>
      <w:bookmarkEnd w:id="128"/>
      <w:bookmarkEnd w:id="129"/>
      <w:bookmarkEnd w:id="130"/>
      <w:bookmarkEnd w:id="131"/>
      <w:bookmarkEnd w:id="132"/>
      <w:bookmarkEnd w:id="133"/>
    </w:p>
    <w:p w14:paraId="2E3223B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4" w:name="_Toc293739005"/>
      <w:bookmarkStart w:id="135" w:name="_Toc446599330"/>
      <w:bookmarkStart w:id="136" w:name="_Toc293736067"/>
      <w:bookmarkStart w:id="137" w:name="_Toc293736024"/>
      <w:r>
        <w:rPr>
          <w:rFonts w:hint="eastAsia" w:ascii="宋体" w:hAnsi="宋体" w:eastAsia="宋体" w:cs="宋体"/>
          <w:bCs/>
          <w:color w:val="auto"/>
          <w:sz w:val="24"/>
          <w:szCs w:val="24"/>
          <w:highlight w:val="none"/>
        </w:rPr>
        <w:t>1. 总则</w:t>
      </w:r>
    </w:p>
    <w:p w14:paraId="581D0E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 根据《中华人民共和国政府采购法》和《政府采购竞争性磋商采购方式管理暂行办法》（财库[2014]214号）等法律规章，结合采购项目特点制定本</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办法。</w:t>
      </w:r>
    </w:p>
    <w:p w14:paraId="17EACA1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1.2 </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工作由采购人</w:t>
      </w:r>
      <w:r>
        <w:rPr>
          <w:rFonts w:hint="eastAsia" w:ascii="宋体" w:hAnsi="宋体" w:eastAsia="宋体" w:cs="宋体"/>
          <w:bCs/>
          <w:color w:val="auto"/>
          <w:sz w:val="24"/>
          <w:szCs w:val="24"/>
          <w:highlight w:val="none"/>
          <w:lang w:eastAsia="zh-CN"/>
        </w:rPr>
        <w:t>或代理机构</w:t>
      </w:r>
      <w:r>
        <w:rPr>
          <w:rFonts w:hint="eastAsia" w:ascii="宋体" w:hAnsi="宋体" w:eastAsia="宋体" w:cs="宋体"/>
          <w:bCs/>
          <w:color w:val="auto"/>
          <w:sz w:val="24"/>
          <w:szCs w:val="24"/>
          <w:highlight w:val="none"/>
        </w:rPr>
        <w:t>负责组织，具体评标事务由</w:t>
      </w:r>
      <w:r>
        <w:rPr>
          <w:rFonts w:hint="eastAsia" w:ascii="宋体" w:hAnsi="宋体" w:eastAsia="宋体" w:cs="宋体"/>
          <w:bCs/>
          <w:color w:val="auto"/>
          <w:sz w:val="24"/>
          <w:szCs w:val="24"/>
          <w:highlight w:val="none"/>
          <w:lang w:eastAsia="zh-CN"/>
        </w:rPr>
        <w:t>磋商小组</w:t>
      </w:r>
      <w:r>
        <w:rPr>
          <w:rFonts w:hint="eastAsia" w:ascii="宋体" w:hAnsi="宋体" w:eastAsia="宋体" w:cs="宋体"/>
          <w:bCs/>
          <w:color w:val="auto"/>
          <w:sz w:val="24"/>
          <w:szCs w:val="24"/>
          <w:highlight w:val="none"/>
        </w:rPr>
        <w:t>负责。</w:t>
      </w:r>
      <w:r>
        <w:rPr>
          <w:rFonts w:hint="eastAsia" w:ascii="宋体" w:hAnsi="宋体" w:eastAsia="宋体" w:cs="宋体"/>
          <w:bCs/>
          <w:color w:val="auto"/>
          <w:sz w:val="24"/>
          <w:szCs w:val="24"/>
          <w:highlight w:val="none"/>
          <w:lang w:eastAsia="zh-CN"/>
        </w:rPr>
        <w:t>磋商小组</w:t>
      </w:r>
      <w:r>
        <w:rPr>
          <w:rFonts w:hint="eastAsia" w:ascii="宋体" w:hAnsi="宋体" w:eastAsia="宋体" w:cs="宋体"/>
          <w:bCs/>
          <w:color w:val="auto"/>
          <w:sz w:val="24"/>
          <w:szCs w:val="24"/>
          <w:highlight w:val="none"/>
        </w:rPr>
        <w:t>由采购人代表和有关技术、经济等方面的专家组成。</w:t>
      </w:r>
    </w:p>
    <w:p w14:paraId="56262A1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1.3 </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工作应遵循公平、公正、科学及择优的原则，并以相同的</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程序和标准对待所有的供应商。</w:t>
      </w:r>
    </w:p>
    <w:p w14:paraId="6278462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1.4 </w:t>
      </w:r>
      <w:r>
        <w:rPr>
          <w:rFonts w:hint="eastAsia" w:ascii="宋体" w:hAnsi="宋体" w:eastAsia="宋体" w:cs="宋体"/>
          <w:bCs/>
          <w:color w:val="auto"/>
          <w:sz w:val="24"/>
          <w:szCs w:val="24"/>
          <w:highlight w:val="none"/>
          <w:lang w:eastAsia="zh-CN"/>
        </w:rPr>
        <w:t>磋商小组</w:t>
      </w:r>
      <w:r>
        <w:rPr>
          <w:rFonts w:hint="eastAsia" w:ascii="宋体" w:hAnsi="宋体" w:eastAsia="宋体" w:cs="宋体"/>
          <w:bCs/>
          <w:color w:val="auto"/>
          <w:sz w:val="24"/>
          <w:szCs w:val="24"/>
          <w:highlight w:val="none"/>
        </w:rPr>
        <w:t>按照采购文件规定的评标方法和标准进行评标，并独立履行下列职责：</w:t>
      </w:r>
    </w:p>
    <w:p w14:paraId="26D8709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（1）审查</w:t>
      </w:r>
      <w:r>
        <w:rPr>
          <w:rFonts w:hint="eastAsia" w:ascii="宋体" w:hAnsi="宋体" w:eastAsia="宋体" w:cs="宋体"/>
          <w:bCs/>
          <w:color w:val="auto"/>
          <w:sz w:val="24"/>
          <w:szCs w:val="24"/>
          <w:highlight w:val="none"/>
          <w:lang w:eastAsia="zh-CN"/>
        </w:rPr>
        <w:t>响应文件</w:t>
      </w:r>
      <w:r>
        <w:rPr>
          <w:rFonts w:hint="eastAsia" w:ascii="宋体" w:hAnsi="宋体" w:eastAsia="宋体" w:cs="宋体"/>
          <w:bCs/>
          <w:color w:val="auto"/>
          <w:sz w:val="24"/>
          <w:szCs w:val="24"/>
          <w:highlight w:val="none"/>
        </w:rPr>
        <w:t>是否符合采购文件要求，并作出评价；</w:t>
      </w:r>
    </w:p>
    <w:p w14:paraId="53E562F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（2）要求</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供应商对</w:t>
      </w:r>
      <w:r>
        <w:rPr>
          <w:rFonts w:hint="eastAsia" w:ascii="宋体" w:hAnsi="宋体" w:eastAsia="宋体" w:cs="宋体"/>
          <w:bCs/>
          <w:color w:val="auto"/>
          <w:sz w:val="24"/>
          <w:szCs w:val="24"/>
          <w:highlight w:val="none"/>
          <w:lang w:eastAsia="zh-CN"/>
        </w:rPr>
        <w:t>响应文件</w:t>
      </w:r>
      <w:r>
        <w:rPr>
          <w:rFonts w:hint="eastAsia" w:ascii="宋体" w:hAnsi="宋体" w:eastAsia="宋体" w:cs="宋体"/>
          <w:bCs/>
          <w:color w:val="auto"/>
          <w:sz w:val="24"/>
          <w:szCs w:val="24"/>
          <w:highlight w:val="none"/>
        </w:rPr>
        <w:t>有关事项作出解释或者澄清；</w:t>
      </w:r>
    </w:p>
    <w:p w14:paraId="58C55A6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候选供应商名单，或者受采购人委托按照事先确定的办法直接确定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04E325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（4）向采购单位或者有关部门报告非法干预</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工作的行为。</w:t>
      </w:r>
      <w:bookmarkStart w:id="138" w:name="_Toc217446098"/>
    </w:p>
    <w:p w14:paraId="1DF2BFB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1.5 </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过程严格保密。供应商对</w:t>
      </w:r>
      <w:r>
        <w:rPr>
          <w:rFonts w:hint="eastAsia" w:ascii="宋体" w:hAnsi="宋体" w:eastAsia="宋体" w:cs="宋体"/>
          <w:bCs/>
          <w:color w:val="auto"/>
          <w:sz w:val="24"/>
          <w:szCs w:val="24"/>
          <w:highlight w:val="none"/>
          <w:lang w:eastAsia="zh-CN"/>
        </w:rPr>
        <w:t>磋商小组</w:t>
      </w:r>
      <w:r>
        <w:rPr>
          <w:rFonts w:hint="eastAsia" w:ascii="宋体" w:hAnsi="宋体" w:eastAsia="宋体" w:cs="宋体"/>
          <w:bCs/>
          <w:color w:val="auto"/>
          <w:sz w:val="24"/>
          <w:szCs w:val="24"/>
          <w:highlight w:val="none"/>
        </w:rPr>
        <w:t>的</w:t>
      </w:r>
      <w:r>
        <w:rPr>
          <w:rFonts w:hint="eastAsia" w:ascii="宋体" w:hAnsi="宋体" w:eastAsia="宋体" w:cs="宋体"/>
          <w:bCs/>
          <w:color w:val="auto"/>
          <w:sz w:val="24"/>
          <w:szCs w:val="24"/>
          <w:highlight w:val="none"/>
          <w:lang w:eastAsia="zh-CN"/>
        </w:rPr>
        <w:t>磋商</w:t>
      </w:r>
      <w:r>
        <w:rPr>
          <w:rFonts w:hint="eastAsia" w:ascii="宋体" w:hAnsi="宋体" w:eastAsia="宋体" w:cs="宋体"/>
          <w:bCs/>
          <w:color w:val="auto"/>
          <w:sz w:val="24"/>
          <w:szCs w:val="24"/>
          <w:highlight w:val="none"/>
        </w:rPr>
        <w:t>过程或合同授予决定施加影响的任何行为都可能导致其投标被拒绝。</w:t>
      </w:r>
    </w:p>
    <w:p w14:paraId="1520E65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w:t>
      </w:r>
      <w:r>
        <w:rPr>
          <w:rFonts w:hint="eastAsia" w:ascii="宋体" w:hAnsi="宋体" w:eastAsia="宋体" w:cs="宋体"/>
          <w:bCs/>
          <w:color w:val="auto"/>
          <w:sz w:val="24"/>
          <w:szCs w:val="24"/>
          <w:highlight w:val="none"/>
          <w:lang w:eastAsia="zh-CN"/>
        </w:rPr>
        <w:t>磋商小组</w:t>
      </w:r>
      <w:r>
        <w:rPr>
          <w:rFonts w:hint="eastAsia" w:ascii="宋体" w:hAnsi="宋体" w:eastAsia="宋体" w:cs="宋体"/>
          <w:bCs/>
          <w:color w:val="auto"/>
          <w:sz w:val="24"/>
          <w:szCs w:val="24"/>
          <w:highlight w:val="none"/>
        </w:rPr>
        <w:t>决定</w:t>
      </w:r>
      <w:r>
        <w:rPr>
          <w:rFonts w:hint="eastAsia" w:ascii="宋体" w:hAnsi="宋体" w:eastAsia="宋体" w:cs="宋体"/>
          <w:bCs/>
          <w:color w:val="auto"/>
          <w:sz w:val="24"/>
          <w:szCs w:val="24"/>
          <w:highlight w:val="none"/>
          <w:lang w:eastAsia="zh-CN"/>
        </w:rPr>
        <w:t>响应文件</w:t>
      </w:r>
      <w:r>
        <w:rPr>
          <w:rFonts w:hint="eastAsia" w:ascii="宋体" w:hAnsi="宋体" w:eastAsia="宋体" w:cs="宋体"/>
          <w:bCs/>
          <w:color w:val="auto"/>
          <w:sz w:val="24"/>
          <w:szCs w:val="24"/>
          <w:highlight w:val="none"/>
        </w:rPr>
        <w:t>的响应性依据</w:t>
      </w:r>
      <w:r>
        <w:rPr>
          <w:rFonts w:hint="eastAsia" w:ascii="宋体" w:hAnsi="宋体" w:eastAsia="宋体" w:cs="宋体"/>
          <w:bCs/>
          <w:color w:val="auto"/>
          <w:sz w:val="24"/>
          <w:szCs w:val="24"/>
          <w:highlight w:val="none"/>
          <w:lang w:eastAsia="zh-CN"/>
        </w:rPr>
        <w:t>响应文件</w:t>
      </w:r>
      <w:r>
        <w:rPr>
          <w:rFonts w:hint="eastAsia" w:ascii="宋体" w:hAnsi="宋体" w:eastAsia="宋体" w:cs="宋体"/>
          <w:bCs/>
          <w:color w:val="auto"/>
          <w:sz w:val="24"/>
          <w:szCs w:val="24"/>
          <w:highlight w:val="none"/>
        </w:rPr>
        <w:t>本身的内容，而不寻求外部的证据。</w:t>
      </w:r>
    </w:p>
    <w:p w14:paraId="24159E0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1.7</w:t>
      </w:r>
      <w:r>
        <w:rPr>
          <w:rFonts w:hint="eastAsia" w:ascii="宋体" w:hAnsi="宋体" w:eastAsia="宋体" w:cs="宋体"/>
          <w:bCs/>
          <w:color w:val="auto"/>
          <w:sz w:val="24"/>
          <w:szCs w:val="24"/>
          <w:highlight w:val="none"/>
          <w:lang w:eastAsia="zh-CN"/>
        </w:rPr>
        <w:t>磋商小组</w:t>
      </w:r>
      <w:r>
        <w:rPr>
          <w:rFonts w:hint="eastAsia" w:ascii="宋体" w:hAnsi="宋体" w:eastAsia="宋体" w:cs="宋体"/>
          <w:bCs/>
          <w:color w:val="auto"/>
          <w:sz w:val="24"/>
          <w:szCs w:val="24"/>
          <w:highlight w:val="none"/>
        </w:rPr>
        <w:t>发现采购文件表述不明确或需要说明的事项，可提请采购单位书面解释说明。发现采购文件违反有关法律、法规和规章的，可以拒绝评标，并向采购单位书面说明情况。</w:t>
      </w:r>
    </w:p>
    <w:p w14:paraId="2D8DF6D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2. </w:t>
      </w:r>
      <w:r>
        <w:rPr>
          <w:rFonts w:hint="eastAsia" w:ascii="宋体" w:hAnsi="宋体" w:eastAsia="宋体" w:cs="宋体"/>
          <w:bCs/>
          <w:color w:val="auto"/>
          <w:sz w:val="24"/>
          <w:szCs w:val="24"/>
          <w:highlight w:val="none"/>
          <w:lang w:eastAsia="zh-CN"/>
        </w:rPr>
        <w:t>评审</w:t>
      </w:r>
      <w:r>
        <w:rPr>
          <w:rFonts w:hint="eastAsia" w:ascii="宋体" w:hAnsi="宋体" w:eastAsia="宋体" w:cs="宋体"/>
          <w:bCs/>
          <w:color w:val="auto"/>
          <w:sz w:val="24"/>
          <w:szCs w:val="24"/>
          <w:highlight w:val="none"/>
        </w:rPr>
        <w:t>方法</w:t>
      </w:r>
    </w:p>
    <w:p w14:paraId="06A6F9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本项目</w:t>
      </w:r>
      <w:r>
        <w:rPr>
          <w:rFonts w:hint="eastAsia" w:ascii="宋体" w:hAnsi="宋体" w:eastAsia="宋体" w:cs="宋体"/>
          <w:bCs/>
          <w:color w:val="auto"/>
          <w:sz w:val="24"/>
          <w:szCs w:val="24"/>
          <w:highlight w:val="none"/>
          <w:lang w:eastAsia="zh-CN"/>
        </w:rPr>
        <w:t>采用</w:t>
      </w:r>
      <w:r>
        <w:rPr>
          <w:rFonts w:hint="eastAsia" w:ascii="宋体" w:hAnsi="宋体" w:eastAsia="宋体" w:cs="宋体"/>
          <w:bCs/>
          <w:color w:val="auto"/>
          <w:sz w:val="24"/>
          <w:szCs w:val="24"/>
          <w:highlight w:val="none"/>
        </w:rPr>
        <w:t>：综合评分法。</w:t>
      </w:r>
      <w:bookmarkEnd w:id="138"/>
    </w:p>
    <w:p w14:paraId="3435500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9" w:name="_Toc217446099"/>
      <w:r>
        <w:rPr>
          <w:rFonts w:hint="eastAsia" w:ascii="宋体" w:hAnsi="宋体" w:eastAsia="宋体" w:cs="宋体"/>
          <w:bCs/>
          <w:color w:val="auto"/>
          <w:sz w:val="24"/>
          <w:szCs w:val="24"/>
          <w:highlight w:val="none"/>
        </w:rPr>
        <w:t xml:space="preserve">3. </w:t>
      </w:r>
      <w:r>
        <w:rPr>
          <w:rFonts w:hint="eastAsia" w:ascii="宋体" w:hAnsi="宋体" w:eastAsia="宋体" w:cs="宋体"/>
          <w:bCs/>
          <w:color w:val="auto"/>
          <w:sz w:val="24"/>
          <w:szCs w:val="24"/>
          <w:highlight w:val="none"/>
          <w:lang w:eastAsia="zh-CN"/>
        </w:rPr>
        <w:t>评审</w:t>
      </w:r>
      <w:r>
        <w:rPr>
          <w:rFonts w:hint="eastAsia" w:ascii="宋体" w:hAnsi="宋体" w:eastAsia="宋体" w:cs="宋体"/>
          <w:bCs/>
          <w:color w:val="auto"/>
          <w:sz w:val="24"/>
          <w:szCs w:val="24"/>
          <w:highlight w:val="none"/>
        </w:rPr>
        <w:t>程序</w:t>
      </w:r>
    </w:p>
    <w:p w14:paraId="066CF4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3.1资格</w:t>
      </w:r>
      <w:r>
        <w:rPr>
          <w:rFonts w:hint="eastAsia" w:ascii="宋体" w:hAnsi="宋体" w:eastAsia="宋体" w:cs="宋体"/>
          <w:bCs/>
          <w:color w:val="auto"/>
          <w:sz w:val="24"/>
          <w:szCs w:val="24"/>
          <w:highlight w:val="none"/>
          <w:lang w:eastAsia="zh-CN"/>
        </w:rPr>
        <w:t>性审查。采购人或采购代理机构根据供应商的响应文件进行资格审查，资格审查通过的单位进行符合性审查，未通过的单位予以废标处理。</w:t>
      </w:r>
    </w:p>
    <w:p w14:paraId="2B1B08E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7E17180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6A7A7C2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06138A7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31115AB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57876D9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09EDE3F4">
      <w:pPr>
        <w:spacing w:line="400" w:lineRule="exact"/>
        <w:jc w:val="center"/>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lang w:eastAsia="zh-CN"/>
        </w:rPr>
        <w:t>资格性</w:t>
      </w:r>
      <w:r>
        <w:rPr>
          <w:rFonts w:hint="eastAsia" w:asciiTheme="minorEastAsia" w:hAnsiTheme="minorEastAsia" w:eastAsiaTheme="minorEastAsia" w:cstheme="minorEastAsia"/>
          <w:b/>
          <w:bCs/>
          <w:color w:val="auto"/>
          <w:kern w:val="0"/>
          <w:sz w:val="24"/>
          <w:highlight w:val="none"/>
        </w:rPr>
        <w:t>审查表</w:t>
      </w:r>
    </w:p>
    <w:tbl>
      <w:tblPr>
        <w:tblStyle w:val="39"/>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7"/>
        <w:gridCol w:w="1388"/>
        <w:gridCol w:w="3190"/>
        <w:gridCol w:w="4313"/>
      </w:tblGrid>
      <w:tr w14:paraId="2FD81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727" w:type="dxa"/>
            <w:noWrap w:val="0"/>
            <w:vAlign w:val="center"/>
          </w:tcPr>
          <w:p w14:paraId="501EB0F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序号</w:t>
            </w:r>
          </w:p>
        </w:tc>
        <w:tc>
          <w:tcPr>
            <w:tcW w:w="1388" w:type="dxa"/>
            <w:noWrap w:val="0"/>
            <w:vAlign w:val="center"/>
          </w:tcPr>
          <w:p w14:paraId="17F96E0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类型</w:t>
            </w:r>
          </w:p>
        </w:tc>
        <w:tc>
          <w:tcPr>
            <w:tcW w:w="3190" w:type="dxa"/>
            <w:noWrap w:val="0"/>
            <w:vAlign w:val="center"/>
          </w:tcPr>
          <w:p w14:paraId="7E7A2F8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审查要求</w:t>
            </w:r>
          </w:p>
        </w:tc>
        <w:tc>
          <w:tcPr>
            <w:tcW w:w="4313" w:type="dxa"/>
            <w:noWrap w:val="0"/>
            <w:vAlign w:val="center"/>
          </w:tcPr>
          <w:p w14:paraId="2F97FE7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要求说明</w:t>
            </w:r>
          </w:p>
        </w:tc>
      </w:tr>
      <w:tr w14:paraId="36E5F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27" w:type="dxa"/>
            <w:noWrap w:val="0"/>
            <w:vAlign w:val="center"/>
          </w:tcPr>
          <w:p w14:paraId="4275F73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88" w:type="dxa"/>
            <w:noWrap w:val="0"/>
            <w:vAlign w:val="center"/>
          </w:tcPr>
          <w:p w14:paraId="2C1FCA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1</w:t>
            </w:r>
          </w:p>
        </w:tc>
        <w:tc>
          <w:tcPr>
            <w:tcW w:w="3190" w:type="dxa"/>
            <w:noWrap w:val="0"/>
            <w:vAlign w:val="center"/>
          </w:tcPr>
          <w:p w14:paraId="19E9B25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政府采购供应商信用承诺函</w:t>
            </w:r>
          </w:p>
        </w:tc>
        <w:tc>
          <w:tcPr>
            <w:tcW w:w="4313" w:type="dxa"/>
            <w:noWrap w:val="0"/>
            <w:vAlign w:val="center"/>
          </w:tcPr>
          <w:p w14:paraId="3884493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cs="宋体"/>
                <w:color w:val="auto"/>
                <w:kern w:val="0"/>
                <w:sz w:val="24"/>
                <w:highlight w:val="none"/>
                <w:lang w:eastAsia="zh-CN"/>
              </w:rPr>
              <w:t>按采购文件要求提供“政府采购供应商信用承诺函”</w:t>
            </w:r>
          </w:p>
        </w:tc>
      </w:tr>
      <w:tr w14:paraId="59E4B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727" w:type="dxa"/>
            <w:noWrap w:val="0"/>
            <w:vAlign w:val="center"/>
          </w:tcPr>
          <w:p w14:paraId="122CCDC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1388" w:type="dxa"/>
            <w:noWrap w:val="0"/>
            <w:vAlign w:val="center"/>
          </w:tcPr>
          <w:p w14:paraId="6302E56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2</w:t>
            </w:r>
          </w:p>
        </w:tc>
        <w:tc>
          <w:tcPr>
            <w:tcW w:w="3190" w:type="dxa"/>
            <w:noWrap w:val="0"/>
            <w:vAlign w:val="center"/>
          </w:tcPr>
          <w:p w14:paraId="6E456E6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cs="宋体"/>
                <w:color w:val="auto"/>
                <w:kern w:val="0"/>
                <w:sz w:val="24"/>
                <w:highlight w:val="none"/>
                <w:lang w:eastAsia="zh-CN"/>
              </w:rPr>
              <w:t>法定代表人身份证明或授权委托书</w:t>
            </w:r>
          </w:p>
        </w:tc>
        <w:tc>
          <w:tcPr>
            <w:tcW w:w="4313" w:type="dxa"/>
            <w:noWrap w:val="0"/>
            <w:vAlign w:val="center"/>
          </w:tcPr>
          <w:p w14:paraId="342FB58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r>
      <w:tr w14:paraId="2B4DF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27" w:type="dxa"/>
            <w:noWrap w:val="0"/>
            <w:vAlign w:val="center"/>
          </w:tcPr>
          <w:p w14:paraId="5DFEC9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1388" w:type="dxa"/>
            <w:noWrap w:val="0"/>
            <w:vAlign w:val="center"/>
          </w:tcPr>
          <w:p w14:paraId="5A6A6C1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3</w:t>
            </w:r>
          </w:p>
        </w:tc>
        <w:tc>
          <w:tcPr>
            <w:tcW w:w="3190" w:type="dxa"/>
            <w:noWrap w:val="0"/>
            <w:vAlign w:val="center"/>
          </w:tcPr>
          <w:p w14:paraId="511C682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具有独立承担民事责任的能力的供应商</w:t>
            </w:r>
          </w:p>
        </w:tc>
        <w:tc>
          <w:tcPr>
            <w:tcW w:w="4313" w:type="dxa"/>
            <w:noWrap w:val="0"/>
            <w:vAlign w:val="center"/>
          </w:tcPr>
          <w:p w14:paraId="2A4DCAE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r>
      <w:tr w14:paraId="34278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727" w:type="dxa"/>
            <w:noWrap w:val="0"/>
            <w:vAlign w:val="center"/>
          </w:tcPr>
          <w:p w14:paraId="36B05AC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1388" w:type="dxa"/>
            <w:noWrap w:val="0"/>
            <w:vAlign w:val="center"/>
          </w:tcPr>
          <w:p w14:paraId="0B9406B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4</w:t>
            </w:r>
          </w:p>
        </w:tc>
        <w:tc>
          <w:tcPr>
            <w:tcW w:w="3190" w:type="dxa"/>
            <w:noWrap w:val="0"/>
            <w:vAlign w:val="center"/>
          </w:tcPr>
          <w:p w14:paraId="1CF85FB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具有良好的商业信誉和健全的财务会计制度</w:t>
            </w:r>
          </w:p>
        </w:tc>
        <w:tc>
          <w:tcPr>
            <w:tcW w:w="4313" w:type="dxa"/>
            <w:noWrap w:val="0"/>
            <w:vAlign w:val="center"/>
          </w:tcPr>
          <w:p w14:paraId="062F14E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w:t>
            </w:r>
            <w:r>
              <w:rPr>
                <w:rFonts w:hint="eastAsia" w:ascii="宋体" w:hAnsi="宋体" w:cs="宋体"/>
                <w:color w:val="auto"/>
                <w:sz w:val="24"/>
                <w:szCs w:val="24"/>
                <w:highlight w:val="none"/>
                <w:lang w:eastAsia="zh-CN"/>
              </w:rPr>
              <w:t>供应商公章</w:t>
            </w:r>
            <w:r>
              <w:rPr>
                <w:rFonts w:hint="eastAsia" w:ascii="宋体" w:hAnsi="宋体" w:eastAsia="宋体" w:cs="宋体"/>
                <w:color w:val="auto"/>
                <w:sz w:val="24"/>
                <w:szCs w:val="24"/>
                <w:highlight w:val="none"/>
                <w:lang w:val="zh-CN" w:eastAsia="zh-CN"/>
              </w:rPr>
              <w:t>；新成立不满1年的企业无需提供</w:t>
            </w:r>
          </w:p>
        </w:tc>
      </w:tr>
      <w:tr w14:paraId="3B712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727" w:type="dxa"/>
            <w:noWrap w:val="0"/>
            <w:vAlign w:val="center"/>
          </w:tcPr>
          <w:p w14:paraId="1BE3AD3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1388" w:type="dxa"/>
            <w:noWrap w:val="0"/>
            <w:vAlign w:val="center"/>
          </w:tcPr>
          <w:p w14:paraId="50D08F0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5</w:t>
            </w:r>
          </w:p>
        </w:tc>
        <w:tc>
          <w:tcPr>
            <w:tcW w:w="3190" w:type="dxa"/>
            <w:noWrap w:val="0"/>
            <w:vAlign w:val="center"/>
          </w:tcPr>
          <w:p w14:paraId="27E1CFE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w:t>
            </w:r>
            <w:r>
              <w:rPr>
                <w:rFonts w:hint="eastAsia" w:ascii="宋体" w:hAnsi="宋体" w:eastAsia="宋体" w:cs="宋体"/>
                <w:color w:val="auto"/>
                <w:sz w:val="24"/>
                <w:szCs w:val="24"/>
                <w:highlight w:val="none"/>
                <w:lang w:val="en-US" w:eastAsia="zh-CN"/>
              </w:rPr>
              <w:t>履行合同所必需的设备和专业技术能力</w:t>
            </w:r>
          </w:p>
        </w:tc>
        <w:tc>
          <w:tcPr>
            <w:tcW w:w="4313" w:type="dxa"/>
            <w:noWrap w:val="0"/>
            <w:vAlign w:val="center"/>
          </w:tcPr>
          <w:p w14:paraId="3ACDC84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rPr>
              <w:t>具有</w:t>
            </w:r>
            <w:r>
              <w:rPr>
                <w:rFonts w:hint="eastAsia" w:ascii="宋体" w:hAnsi="宋体" w:eastAsia="宋体" w:cs="宋体"/>
                <w:color w:val="auto"/>
                <w:sz w:val="24"/>
                <w:szCs w:val="24"/>
                <w:highlight w:val="none"/>
                <w:lang w:val="en-US" w:eastAsia="zh-CN"/>
              </w:rPr>
              <w:t>履行合同所必需的设备和专业技术能力的声明函”</w:t>
            </w:r>
          </w:p>
        </w:tc>
      </w:tr>
      <w:tr w14:paraId="190DE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6" w:hRule="atLeast"/>
          <w:jc w:val="center"/>
        </w:trPr>
        <w:tc>
          <w:tcPr>
            <w:tcW w:w="727" w:type="dxa"/>
            <w:noWrap w:val="0"/>
            <w:vAlign w:val="center"/>
          </w:tcPr>
          <w:p w14:paraId="0CF06E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1388" w:type="dxa"/>
            <w:noWrap w:val="0"/>
            <w:vAlign w:val="center"/>
          </w:tcPr>
          <w:p w14:paraId="05E916A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6</w:t>
            </w:r>
          </w:p>
        </w:tc>
        <w:tc>
          <w:tcPr>
            <w:tcW w:w="3190" w:type="dxa"/>
            <w:noWrap w:val="0"/>
            <w:vAlign w:val="center"/>
          </w:tcPr>
          <w:p w14:paraId="114A47B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4"/>
                <w:szCs w:val="24"/>
                <w:highlight w:val="none"/>
              </w:rPr>
            </w:pPr>
            <w:r>
              <w:rPr>
                <w:rFonts w:hint="eastAsia" w:ascii="宋体" w:hAnsi="宋体" w:eastAsia="宋体" w:cs="宋体"/>
                <w:color w:val="auto"/>
                <w:kern w:val="0"/>
                <w:sz w:val="24"/>
                <w:szCs w:val="24"/>
                <w:highlight w:val="none"/>
              </w:rPr>
              <w:t>有依法缴纳税收和社会保障资金的良好记录</w:t>
            </w:r>
          </w:p>
        </w:tc>
        <w:tc>
          <w:tcPr>
            <w:tcW w:w="4313" w:type="dxa"/>
            <w:noWrap w:val="0"/>
            <w:vAlign w:val="center"/>
          </w:tcPr>
          <w:p w14:paraId="7BDE59F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eastAsia" w:ascii="宋体" w:hAnsi="宋体" w:eastAsia="宋体" w:cs="宋体"/>
                <w:color w:val="auto"/>
                <w:sz w:val="24"/>
                <w:szCs w:val="24"/>
                <w:highlight w:val="none"/>
                <w:lang w:val="en-US" w:eastAsia="zh-CN"/>
              </w:rPr>
              <w:t>；供应商依法享受缓缴、免缴税收，免缴社会保障资金的提供证明材料加盖</w:t>
            </w:r>
            <w:r>
              <w:rPr>
                <w:rFonts w:hint="eastAsia" w:ascii="宋体" w:hAnsi="宋体" w:cs="宋体"/>
                <w:color w:val="auto"/>
                <w:sz w:val="24"/>
                <w:szCs w:val="24"/>
                <w:highlight w:val="none"/>
                <w:lang w:val="en-US" w:eastAsia="zh-CN"/>
              </w:rPr>
              <w:t>供应商公章</w:t>
            </w:r>
          </w:p>
        </w:tc>
      </w:tr>
      <w:tr w14:paraId="21BDB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2" w:hRule="atLeast"/>
          <w:jc w:val="center"/>
        </w:trPr>
        <w:tc>
          <w:tcPr>
            <w:tcW w:w="727" w:type="dxa"/>
            <w:noWrap w:val="0"/>
            <w:vAlign w:val="center"/>
          </w:tcPr>
          <w:p w14:paraId="18F7C59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1388" w:type="dxa"/>
            <w:noWrap w:val="0"/>
            <w:vAlign w:val="center"/>
          </w:tcPr>
          <w:p w14:paraId="523B83F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7</w:t>
            </w:r>
          </w:p>
        </w:tc>
        <w:tc>
          <w:tcPr>
            <w:tcW w:w="3190" w:type="dxa"/>
            <w:noWrap w:val="0"/>
            <w:vAlign w:val="center"/>
          </w:tcPr>
          <w:p w14:paraId="0C0F5A0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参加本次采购活动前三年内，在经营活动中没有重大违法记录</w:t>
            </w:r>
          </w:p>
        </w:tc>
        <w:tc>
          <w:tcPr>
            <w:tcW w:w="4313" w:type="dxa"/>
            <w:noWrap w:val="0"/>
            <w:vAlign w:val="center"/>
          </w:tcPr>
          <w:p w14:paraId="1DBE399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210F0C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r>
      <w:tr w14:paraId="7352C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727" w:type="dxa"/>
            <w:noWrap w:val="0"/>
            <w:vAlign w:val="center"/>
          </w:tcPr>
          <w:p w14:paraId="6B15B6E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8</w:t>
            </w:r>
          </w:p>
        </w:tc>
        <w:tc>
          <w:tcPr>
            <w:tcW w:w="1388" w:type="dxa"/>
            <w:noWrap w:val="0"/>
            <w:vAlign w:val="center"/>
          </w:tcPr>
          <w:p w14:paraId="0CB3B78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采购政策需满足的资格要求</w:t>
            </w:r>
          </w:p>
        </w:tc>
        <w:tc>
          <w:tcPr>
            <w:tcW w:w="3190" w:type="dxa"/>
            <w:noWrap w:val="0"/>
            <w:vAlign w:val="center"/>
          </w:tcPr>
          <w:p w14:paraId="12234F0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rPr>
            </w:pP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中小</w:t>
            </w:r>
            <w:r>
              <w:rPr>
                <w:rFonts w:hint="eastAsia" w:ascii="宋体" w:hAnsi="宋体" w:eastAsia="宋体" w:cs="宋体"/>
                <w:color w:val="auto"/>
                <w:sz w:val="24"/>
                <w:szCs w:val="24"/>
                <w:highlight w:val="none"/>
                <w:lang w:val="en-US" w:eastAsia="zh-CN"/>
              </w:rPr>
              <w:t>企业采购项目</w:t>
            </w:r>
          </w:p>
        </w:tc>
        <w:tc>
          <w:tcPr>
            <w:tcW w:w="4313" w:type="dxa"/>
            <w:noWrap w:val="0"/>
            <w:vAlign w:val="center"/>
          </w:tcPr>
          <w:p w14:paraId="564AD42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请根据要求单独上传《中小企业声明函》</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lang w:eastAsia="zh-CN"/>
              </w:rPr>
              <w:t>格式以采购文件要求为准</w:t>
            </w:r>
          </w:p>
        </w:tc>
      </w:tr>
      <w:tr w14:paraId="71C48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727" w:type="dxa"/>
            <w:noWrap w:val="0"/>
            <w:vAlign w:val="center"/>
          </w:tcPr>
          <w:p w14:paraId="5FCB8FD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9</w:t>
            </w:r>
          </w:p>
        </w:tc>
        <w:tc>
          <w:tcPr>
            <w:tcW w:w="1388" w:type="dxa"/>
            <w:noWrap w:val="0"/>
            <w:vAlign w:val="center"/>
          </w:tcPr>
          <w:p w14:paraId="0B9F1F4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特定资质</w:t>
            </w:r>
          </w:p>
        </w:tc>
        <w:tc>
          <w:tcPr>
            <w:tcW w:w="3190" w:type="dxa"/>
            <w:noWrap w:val="0"/>
            <w:vAlign w:val="center"/>
          </w:tcPr>
          <w:p w14:paraId="27283D4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宋体" w:hAnsi="宋体" w:cs="宋体"/>
                <w:color w:val="auto"/>
                <w:sz w:val="24"/>
                <w:szCs w:val="24"/>
                <w:highlight w:val="none"/>
                <w:lang w:val="en-US" w:eastAsia="zh-CN"/>
              </w:rPr>
              <w:t>具有公安部门颁发的《保安服务许可证》</w:t>
            </w:r>
          </w:p>
        </w:tc>
        <w:tc>
          <w:tcPr>
            <w:tcW w:w="4313" w:type="dxa"/>
            <w:noWrap w:val="0"/>
            <w:vAlign w:val="center"/>
          </w:tcPr>
          <w:p w14:paraId="16E7555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提供</w:t>
            </w:r>
            <w:r>
              <w:rPr>
                <w:rFonts w:hint="eastAsia" w:ascii="宋体" w:hAnsi="宋体" w:cs="宋体"/>
                <w:color w:val="auto"/>
                <w:kern w:val="0"/>
                <w:sz w:val="24"/>
                <w:szCs w:val="24"/>
                <w:highlight w:val="none"/>
                <w:lang w:val="en-US" w:eastAsia="zh-CN"/>
              </w:rPr>
              <w:t>有效的</w:t>
            </w:r>
            <w:r>
              <w:rPr>
                <w:rFonts w:hint="eastAsia" w:ascii="宋体" w:hAnsi="宋体" w:cs="宋体"/>
                <w:color w:val="auto"/>
                <w:sz w:val="24"/>
                <w:szCs w:val="24"/>
                <w:highlight w:val="none"/>
                <w:lang w:val="en-US" w:eastAsia="zh-CN"/>
              </w:rPr>
              <w:t>《保安服务许可证》</w:t>
            </w:r>
            <w:r>
              <w:rPr>
                <w:rFonts w:hint="eastAsia" w:ascii="宋体" w:hAnsi="宋体" w:eastAsia="宋体" w:cs="宋体"/>
                <w:color w:val="auto"/>
                <w:kern w:val="0"/>
                <w:sz w:val="24"/>
                <w:szCs w:val="24"/>
                <w:highlight w:val="none"/>
                <w:lang w:val="en-US" w:eastAsia="zh-CN"/>
              </w:rPr>
              <w:t>扫描件加盖公章</w:t>
            </w:r>
          </w:p>
        </w:tc>
      </w:tr>
      <w:tr w14:paraId="559E7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727" w:type="dxa"/>
            <w:noWrap w:val="0"/>
            <w:vAlign w:val="center"/>
          </w:tcPr>
          <w:p w14:paraId="2C2A9C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结论</w:t>
            </w:r>
          </w:p>
        </w:tc>
        <w:tc>
          <w:tcPr>
            <w:tcW w:w="8891" w:type="dxa"/>
            <w:gridSpan w:val="3"/>
            <w:noWrap w:val="0"/>
            <w:vAlign w:val="center"/>
          </w:tcPr>
          <w:p w14:paraId="7E084CC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kern w:val="0"/>
                <w:sz w:val="24"/>
                <w:szCs w:val="24"/>
                <w:highlight w:val="none"/>
              </w:rPr>
              <w:t>评审结果：通过用“√”表示；未通过用“×”表示。</w:t>
            </w:r>
          </w:p>
        </w:tc>
      </w:tr>
    </w:tbl>
    <w:p w14:paraId="5013B29D">
      <w:pPr>
        <w:spacing w:line="400" w:lineRule="exact"/>
        <w:ind w:firstLine="482" w:firstLineChars="200"/>
        <w:rPr>
          <w:rFonts w:hint="eastAsia" w:ascii="宋体" w:hAnsi="宋体" w:eastAsia="宋体" w:cs="宋体"/>
          <w:b/>
          <w:color w:val="auto"/>
          <w:kern w:val="0"/>
          <w:sz w:val="24"/>
          <w:highlight w:val="none"/>
        </w:rPr>
      </w:pPr>
    </w:p>
    <w:p w14:paraId="34FC5FFF">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lang w:eastAsia="zh-CN"/>
        </w:rPr>
        <w:t>备注：如果投标文件中有一项未通过上述审查标准，将认定整个投标文件不响应采购文件而予以无效处理，并且不允许供应商通过修改或撤销其不符合要求的差异或保留，使之成为具有响应性的投标。</w:t>
      </w:r>
    </w:p>
    <w:p w14:paraId="5DDD76E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3.2符合性检查。依据采购文件的规定，从响应文件的有效性、完整性和对采购文件的响应程度进行审查，以确定是否对采购文件的实质性要求作出响应。</w:t>
      </w:r>
    </w:p>
    <w:p w14:paraId="7633495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供应商响应文件属于下列情况之一的，在符合性检查时按照无效投标处理：</w:t>
      </w:r>
    </w:p>
    <w:p w14:paraId="700EBF6C">
      <w:pPr>
        <w:keepNext w:val="0"/>
        <w:keepLines w:val="0"/>
        <w:pageBreakBefore w:val="0"/>
        <w:widowControl w:val="0"/>
        <w:kinsoku/>
        <w:overflowPunct/>
        <w:autoSpaceDE/>
        <w:autoSpaceDN/>
        <w:bidi w:val="0"/>
        <w:adjustRightInd w:val="0"/>
        <w:snapToGrid w:val="0"/>
        <w:spacing w:line="360" w:lineRule="auto"/>
        <w:jc w:val="center"/>
        <w:textAlignment w:val="auto"/>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符合性审查表</w:t>
      </w:r>
    </w:p>
    <w:tbl>
      <w:tblPr>
        <w:tblStyle w:val="39"/>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94"/>
        <w:gridCol w:w="2908"/>
        <w:gridCol w:w="4625"/>
      </w:tblGrid>
      <w:tr w14:paraId="3C0D0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30" w:type="dxa"/>
            <w:noWrap w:val="0"/>
            <w:vAlign w:val="center"/>
          </w:tcPr>
          <w:p w14:paraId="578CB9D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序号</w:t>
            </w:r>
          </w:p>
        </w:tc>
        <w:tc>
          <w:tcPr>
            <w:tcW w:w="1394" w:type="dxa"/>
            <w:noWrap w:val="0"/>
            <w:vAlign w:val="center"/>
          </w:tcPr>
          <w:p w14:paraId="6C88BF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类型</w:t>
            </w:r>
          </w:p>
        </w:tc>
        <w:tc>
          <w:tcPr>
            <w:tcW w:w="2908" w:type="dxa"/>
            <w:noWrap w:val="0"/>
            <w:vAlign w:val="center"/>
          </w:tcPr>
          <w:p w14:paraId="26C3FF4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审查要求</w:t>
            </w:r>
          </w:p>
        </w:tc>
        <w:tc>
          <w:tcPr>
            <w:tcW w:w="4625" w:type="dxa"/>
            <w:noWrap w:val="0"/>
            <w:vAlign w:val="center"/>
          </w:tcPr>
          <w:p w14:paraId="11D99BE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要求说明</w:t>
            </w:r>
          </w:p>
        </w:tc>
      </w:tr>
      <w:tr w14:paraId="1B50B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noWrap w:val="0"/>
            <w:vAlign w:val="center"/>
          </w:tcPr>
          <w:p w14:paraId="24B0ED2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1</w:t>
            </w:r>
          </w:p>
        </w:tc>
        <w:tc>
          <w:tcPr>
            <w:tcW w:w="1394" w:type="dxa"/>
            <w:noWrap w:val="0"/>
            <w:vAlign w:val="center"/>
          </w:tcPr>
          <w:p w14:paraId="65B7FC0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报价</w:t>
            </w:r>
          </w:p>
        </w:tc>
        <w:tc>
          <w:tcPr>
            <w:tcW w:w="2908" w:type="dxa"/>
            <w:noWrap w:val="0"/>
            <w:vAlign w:val="center"/>
          </w:tcPr>
          <w:p w14:paraId="572BB60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kern w:val="0"/>
                <w:sz w:val="24"/>
                <w:szCs w:val="24"/>
                <w:highlight w:val="none"/>
                <w:lang w:eastAsia="zh-CN"/>
              </w:rPr>
              <w:t>磋商报价</w:t>
            </w:r>
          </w:p>
        </w:tc>
        <w:tc>
          <w:tcPr>
            <w:tcW w:w="4625" w:type="dxa"/>
            <w:noWrap w:val="0"/>
            <w:vAlign w:val="center"/>
          </w:tcPr>
          <w:p w14:paraId="74383D3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color w:val="auto"/>
                <w:kern w:val="0"/>
                <w:sz w:val="24"/>
                <w:szCs w:val="24"/>
                <w:highlight w:val="none"/>
                <w:lang w:eastAsia="zh-CN"/>
              </w:rPr>
              <w:t>磋商报价是否按照采购文件格式填写，且未超过采购预算（最高限价），并按要求签署、盖章</w:t>
            </w:r>
          </w:p>
        </w:tc>
      </w:tr>
      <w:tr w14:paraId="1C750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730" w:type="dxa"/>
            <w:noWrap w:val="0"/>
            <w:vAlign w:val="center"/>
          </w:tcPr>
          <w:p w14:paraId="11A6C0C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2</w:t>
            </w:r>
          </w:p>
        </w:tc>
        <w:tc>
          <w:tcPr>
            <w:tcW w:w="1394" w:type="dxa"/>
            <w:noWrap w:val="0"/>
            <w:vAlign w:val="center"/>
          </w:tcPr>
          <w:p w14:paraId="63D8D6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商务</w:t>
            </w:r>
          </w:p>
        </w:tc>
        <w:tc>
          <w:tcPr>
            <w:tcW w:w="2908" w:type="dxa"/>
            <w:noWrap w:val="0"/>
            <w:vAlign w:val="center"/>
          </w:tcPr>
          <w:p w14:paraId="4122994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名称</w:t>
            </w:r>
          </w:p>
        </w:tc>
        <w:tc>
          <w:tcPr>
            <w:tcW w:w="4625" w:type="dxa"/>
            <w:noWrap w:val="0"/>
            <w:vAlign w:val="center"/>
          </w:tcPr>
          <w:p w14:paraId="5227E35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名称是否与营业执照一致</w:t>
            </w:r>
          </w:p>
        </w:tc>
      </w:tr>
      <w:tr w14:paraId="1DBE2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30" w:type="dxa"/>
            <w:noWrap w:val="0"/>
            <w:vAlign w:val="center"/>
          </w:tcPr>
          <w:p w14:paraId="708D9B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3</w:t>
            </w:r>
          </w:p>
        </w:tc>
        <w:tc>
          <w:tcPr>
            <w:tcW w:w="1394" w:type="dxa"/>
            <w:noWrap w:val="0"/>
            <w:vAlign w:val="center"/>
          </w:tcPr>
          <w:p w14:paraId="1247F13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商务</w:t>
            </w:r>
          </w:p>
        </w:tc>
        <w:tc>
          <w:tcPr>
            <w:tcW w:w="2908" w:type="dxa"/>
            <w:noWrap w:val="0"/>
            <w:vAlign w:val="center"/>
          </w:tcPr>
          <w:p w14:paraId="68324FC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kern w:val="0"/>
                <w:sz w:val="24"/>
                <w:szCs w:val="24"/>
                <w:highlight w:val="none"/>
                <w:lang w:eastAsia="zh-CN"/>
              </w:rPr>
              <w:t>响应文件签署、盖章</w:t>
            </w:r>
          </w:p>
        </w:tc>
        <w:tc>
          <w:tcPr>
            <w:tcW w:w="4625" w:type="dxa"/>
            <w:noWrap w:val="0"/>
            <w:vAlign w:val="center"/>
          </w:tcPr>
          <w:p w14:paraId="233A7F7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响应文件按照采购文件规定要求签署、盖章</w:t>
            </w:r>
          </w:p>
        </w:tc>
      </w:tr>
      <w:tr w14:paraId="3D167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730" w:type="dxa"/>
            <w:noWrap w:val="0"/>
            <w:vAlign w:val="center"/>
          </w:tcPr>
          <w:p w14:paraId="406D2A2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4</w:t>
            </w:r>
          </w:p>
        </w:tc>
        <w:tc>
          <w:tcPr>
            <w:tcW w:w="1394" w:type="dxa"/>
            <w:noWrap w:val="0"/>
            <w:vAlign w:val="center"/>
          </w:tcPr>
          <w:p w14:paraId="02B5E13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商务</w:t>
            </w:r>
          </w:p>
        </w:tc>
        <w:tc>
          <w:tcPr>
            <w:tcW w:w="2908" w:type="dxa"/>
            <w:noWrap w:val="0"/>
            <w:vAlign w:val="center"/>
          </w:tcPr>
          <w:p w14:paraId="6952F8E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sz w:val="24"/>
                <w:szCs w:val="24"/>
                <w:highlight w:val="none"/>
                <w:lang w:eastAsia="zh-CN"/>
              </w:rPr>
              <w:t>磋商保证金或电子保函</w:t>
            </w:r>
          </w:p>
        </w:tc>
        <w:tc>
          <w:tcPr>
            <w:tcW w:w="4625" w:type="dxa"/>
            <w:noWrap w:val="0"/>
            <w:vAlign w:val="center"/>
          </w:tcPr>
          <w:p w14:paraId="4790FE4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kern w:val="0"/>
                <w:sz w:val="24"/>
                <w:szCs w:val="24"/>
                <w:highlight w:val="none"/>
                <w:lang w:eastAsia="zh-CN"/>
              </w:rPr>
              <w:t>按照采购文件要求</w:t>
            </w:r>
            <w:r>
              <w:rPr>
                <w:rFonts w:hint="eastAsia" w:asciiTheme="minorEastAsia" w:hAnsiTheme="minorEastAsia" w:eastAsiaTheme="minorEastAsia" w:cstheme="minorEastAsia"/>
                <w:color w:val="auto"/>
                <w:kern w:val="0"/>
                <w:sz w:val="24"/>
                <w:szCs w:val="24"/>
                <w:highlight w:val="none"/>
              </w:rPr>
              <w:t>交纳</w:t>
            </w:r>
            <w:r>
              <w:rPr>
                <w:rFonts w:hint="eastAsia" w:asciiTheme="minorEastAsia" w:hAnsiTheme="minorEastAsia" w:eastAsiaTheme="minorEastAsia" w:cstheme="minorEastAsia"/>
                <w:color w:val="auto"/>
                <w:kern w:val="0"/>
                <w:sz w:val="24"/>
                <w:szCs w:val="24"/>
                <w:highlight w:val="none"/>
                <w:lang w:eastAsia="zh-CN"/>
              </w:rPr>
              <w:t>磋商保证金或电子保函</w:t>
            </w:r>
          </w:p>
        </w:tc>
      </w:tr>
      <w:tr w14:paraId="45CB9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730" w:type="dxa"/>
            <w:noWrap w:val="0"/>
            <w:vAlign w:val="center"/>
          </w:tcPr>
          <w:p w14:paraId="0BA1D47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5</w:t>
            </w:r>
          </w:p>
        </w:tc>
        <w:tc>
          <w:tcPr>
            <w:tcW w:w="1394" w:type="dxa"/>
            <w:noWrap w:val="0"/>
            <w:vAlign w:val="center"/>
          </w:tcPr>
          <w:p w14:paraId="4B627B4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商务</w:t>
            </w:r>
          </w:p>
        </w:tc>
        <w:tc>
          <w:tcPr>
            <w:tcW w:w="2908" w:type="dxa"/>
            <w:noWrap w:val="0"/>
            <w:vAlign w:val="center"/>
          </w:tcPr>
          <w:p w14:paraId="687CDEF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color w:val="auto"/>
                <w:kern w:val="0"/>
                <w:sz w:val="24"/>
                <w:szCs w:val="24"/>
                <w:highlight w:val="none"/>
                <w:lang w:eastAsia="zh-CN"/>
              </w:rPr>
              <w:t>磋商有效期、合同履约期限</w:t>
            </w:r>
          </w:p>
        </w:tc>
        <w:tc>
          <w:tcPr>
            <w:tcW w:w="4625" w:type="dxa"/>
            <w:noWrap w:val="0"/>
            <w:vAlign w:val="center"/>
          </w:tcPr>
          <w:p w14:paraId="0D54AD5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kern w:val="0"/>
                <w:sz w:val="24"/>
                <w:szCs w:val="24"/>
                <w:highlight w:val="none"/>
                <w:lang w:eastAsia="zh-CN"/>
              </w:rPr>
              <w:t>磋商有效期、合同履约期限满足采购文件要求</w:t>
            </w:r>
          </w:p>
        </w:tc>
      </w:tr>
      <w:tr w14:paraId="24C7B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atLeast"/>
          <w:jc w:val="center"/>
        </w:trPr>
        <w:tc>
          <w:tcPr>
            <w:tcW w:w="730" w:type="dxa"/>
            <w:noWrap w:val="0"/>
            <w:vAlign w:val="center"/>
          </w:tcPr>
          <w:p w14:paraId="6FFBCC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6</w:t>
            </w:r>
          </w:p>
        </w:tc>
        <w:tc>
          <w:tcPr>
            <w:tcW w:w="1394" w:type="dxa"/>
            <w:noWrap w:val="0"/>
            <w:vAlign w:val="center"/>
          </w:tcPr>
          <w:p w14:paraId="6E6DF7D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技术</w:t>
            </w:r>
          </w:p>
        </w:tc>
        <w:tc>
          <w:tcPr>
            <w:tcW w:w="2908" w:type="dxa"/>
            <w:noWrap w:val="0"/>
            <w:vAlign w:val="center"/>
          </w:tcPr>
          <w:p w14:paraId="3DA357C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eastAsia="zh-CN"/>
              </w:rPr>
              <w:t>实质性要求和条款</w:t>
            </w:r>
          </w:p>
        </w:tc>
        <w:tc>
          <w:tcPr>
            <w:tcW w:w="4625" w:type="dxa"/>
            <w:noWrap w:val="0"/>
            <w:vAlign w:val="center"/>
          </w:tcPr>
          <w:p w14:paraId="4FFF6B0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eastAsia="zh-CN"/>
              </w:rPr>
              <w:t>响应文件</w:t>
            </w:r>
            <w:r>
              <w:rPr>
                <w:rFonts w:hint="eastAsia" w:asciiTheme="minorEastAsia" w:hAnsiTheme="minorEastAsia" w:eastAsiaTheme="minorEastAsia" w:cstheme="minorEastAsia"/>
                <w:color w:val="auto"/>
                <w:kern w:val="0"/>
                <w:sz w:val="24"/>
                <w:szCs w:val="24"/>
                <w:highlight w:val="none"/>
              </w:rPr>
              <w:t>的有效性、完整性是否响应</w:t>
            </w:r>
            <w:r>
              <w:rPr>
                <w:rFonts w:hint="eastAsia" w:asciiTheme="minorEastAsia" w:hAnsiTheme="minorEastAsia" w:eastAsiaTheme="minorEastAsia" w:cstheme="minorEastAsia"/>
                <w:color w:val="auto"/>
                <w:kern w:val="0"/>
                <w:sz w:val="24"/>
                <w:szCs w:val="24"/>
                <w:highlight w:val="none"/>
                <w:lang w:eastAsia="zh-CN"/>
              </w:rPr>
              <w:t>采购</w:t>
            </w:r>
            <w:r>
              <w:rPr>
                <w:rFonts w:hint="eastAsia" w:asciiTheme="minorEastAsia" w:hAnsiTheme="minorEastAsia" w:eastAsiaTheme="minorEastAsia" w:cstheme="minorEastAsia"/>
                <w:color w:val="auto"/>
                <w:kern w:val="0"/>
                <w:sz w:val="24"/>
                <w:szCs w:val="24"/>
                <w:highlight w:val="none"/>
              </w:rPr>
              <w:t>文件要求，是否响应</w:t>
            </w:r>
            <w:r>
              <w:rPr>
                <w:rFonts w:hint="eastAsia" w:asciiTheme="minorEastAsia" w:hAnsiTheme="minorEastAsia" w:eastAsiaTheme="minorEastAsia" w:cstheme="minorEastAsia"/>
                <w:color w:val="auto"/>
                <w:kern w:val="0"/>
                <w:sz w:val="24"/>
                <w:szCs w:val="24"/>
                <w:highlight w:val="none"/>
                <w:lang w:eastAsia="zh-CN"/>
              </w:rPr>
              <w:t>采购</w:t>
            </w:r>
            <w:r>
              <w:rPr>
                <w:rFonts w:hint="eastAsia" w:asciiTheme="minorEastAsia" w:hAnsiTheme="minorEastAsia" w:eastAsiaTheme="minorEastAsia" w:cstheme="minorEastAsia"/>
                <w:color w:val="auto"/>
                <w:kern w:val="0"/>
                <w:sz w:val="24"/>
                <w:szCs w:val="24"/>
                <w:highlight w:val="none"/>
              </w:rPr>
              <w:t>文件的实质性要求</w:t>
            </w:r>
            <w:r>
              <w:rPr>
                <w:rFonts w:hint="eastAsia" w:asciiTheme="minorEastAsia" w:hAnsiTheme="minorEastAsia" w:eastAsiaTheme="minorEastAsia" w:cstheme="minorEastAsia"/>
                <w:color w:val="auto"/>
                <w:kern w:val="0"/>
                <w:sz w:val="24"/>
                <w:szCs w:val="24"/>
                <w:highlight w:val="none"/>
                <w:lang w:eastAsia="zh-CN"/>
              </w:rPr>
              <w:t>和条款</w:t>
            </w:r>
          </w:p>
        </w:tc>
      </w:tr>
      <w:tr w14:paraId="2719A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730" w:type="dxa"/>
            <w:noWrap w:val="0"/>
            <w:vAlign w:val="center"/>
          </w:tcPr>
          <w:p w14:paraId="7044678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b w:val="0"/>
                <w:bCs/>
                <w:color w:val="auto"/>
                <w:kern w:val="0"/>
                <w:sz w:val="24"/>
                <w:szCs w:val="24"/>
                <w:highlight w:val="none"/>
                <w:vertAlign w:val="baseline"/>
                <w:lang w:val="en-US" w:eastAsia="zh-CN"/>
              </w:rPr>
              <w:t>7</w:t>
            </w:r>
          </w:p>
        </w:tc>
        <w:tc>
          <w:tcPr>
            <w:tcW w:w="1394" w:type="dxa"/>
            <w:noWrap w:val="0"/>
            <w:vAlign w:val="center"/>
          </w:tcPr>
          <w:p w14:paraId="270690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b w:val="0"/>
                <w:bCs/>
                <w:color w:val="auto"/>
                <w:kern w:val="0"/>
                <w:sz w:val="24"/>
                <w:szCs w:val="24"/>
                <w:highlight w:val="none"/>
                <w:vertAlign w:val="baseline"/>
                <w:lang w:eastAsia="zh-CN"/>
              </w:rPr>
              <w:t>技术</w:t>
            </w:r>
          </w:p>
        </w:tc>
        <w:tc>
          <w:tcPr>
            <w:tcW w:w="2908" w:type="dxa"/>
            <w:noWrap w:val="0"/>
            <w:vAlign w:val="center"/>
          </w:tcPr>
          <w:p w14:paraId="193D5D3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rPr>
              <w:t>采购人不能接受的条件</w:t>
            </w:r>
          </w:p>
        </w:tc>
        <w:tc>
          <w:tcPr>
            <w:tcW w:w="4625" w:type="dxa"/>
            <w:noWrap w:val="0"/>
            <w:vAlign w:val="center"/>
          </w:tcPr>
          <w:p w14:paraId="371BA2C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eastAsia="zh-CN"/>
              </w:rPr>
              <w:t>响应文件没有</w:t>
            </w:r>
            <w:r>
              <w:rPr>
                <w:rFonts w:hint="eastAsia" w:asciiTheme="minorEastAsia" w:hAnsiTheme="minorEastAsia" w:eastAsiaTheme="minorEastAsia" w:cstheme="minorEastAsia"/>
                <w:color w:val="auto"/>
                <w:kern w:val="0"/>
                <w:sz w:val="24"/>
                <w:szCs w:val="24"/>
                <w:highlight w:val="none"/>
              </w:rPr>
              <w:t>附有采购人不能接受的条件</w:t>
            </w:r>
          </w:p>
        </w:tc>
      </w:tr>
      <w:tr w14:paraId="0B5AE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30" w:type="dxa"/>
            <w:noWrap w:val="0"/>
            <w:vAlign w:val="center"/>
          </w:tcPr>
          <w:p w14:paraId="44C6A20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b w:val="0"/>
                <w:bCs/>
                <w:color w:val="auto"/>
                <w:kern w:val="0"/>
                <w:sz w:val="24"/>
                <w:szCs w:val="24"/>
                <w:highlight w:val="none"/>
                <w:vertAlign w:val="baseli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结论</w:t>
            </w:r>
          </w:p>
        </w:tc>
        <w:tc>
          <w:tcPr>
            <w:tcW w:w="8927" w:type="dxa"/>
            <w:gridSpan w:val="3"/>
            <w:noWrap w:val="0"/>
            <w:vAlign w:val="center"/>
          </w:tcPr>
          <w:p w14:paraId="11D6E08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val="0"/>
                <w:bCs/>
                <w:color w:val="auto"/>
                <w:kern w:val="0"/>
                <w:sz w:val="24"/>
                <w:szCs w:val="24"/>
                <w:highlight w:val="none"/>
                <w:vertAlign w:val="baseline"/>
                <w:lang w:eastAsia="zh-CN"/>
              </w:rPr>
            </w:pPr>
            <w:r>
              <w:rPr>
                <w:rFonts w:hint="eastAsia" w:asciiTheme="minorEastAsia" w:hAnsiTheme="minorEastAsia" w:eastAsiaTheme="minorEastAsia" w:cstheme="minorEastAsia"/>
                <w:color w:val="auto"/>
                <w:kern w:val="0"/>
                <w:sz w:val="24"/>
                <w:szCs w:val="24"/>
                <w:highlight w:val="none"/>
              </w:rPr>
              <w:t>评审结果：通过用“√”表示；未通过用“×”表示。</w:t>
            </w:r>
          </w:p>
        </w:tc>
      </w:tr>
    </w:tbl>
    <w:p w14:paraId="01E3BDA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395065E1">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lang w:eastAsia="zh-CN"/>
        </w:rPr>
        <w:t>备注：如果投标文件中有一项未通过上述审查标准，评标小组将认定整个投标文件不响应采购文件而予以无效处理，并且不允许供应商通过修改或撤销其不符合要求的差异或保留，使之成为具有响应性的投标。</w:t>
      </w:r>
    </w:p>
    <w:p w14:paraId="0FF8706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3.2.1</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eastAsia="zh-CN"/>
        </w:rPr>
        <w:t>在响应文件符合性审查过程中，如果出现磋商小组成员意见不一致的情况，按照少数服从多数的原则确定，但不得违背政府采购基本原则和采购文件规定。</w:t>
      </w:r>
    </w:p>
    <w:p w14:paraId="7A663D5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 xml:space="preserve">3.2.2 </w:t>
      </w:r>
      <w:r>
        <w:rPr>
          <w:rFonts w:hint="eastAsia" w:ascii="宋体" w:hAnsi="宋体" w:eastAsia="宋体" w:cs="宋体"/>
          <w:bCs/>
          <w:color w:val="auto"/>
          <w:sz w:val="24"/>
          <w:szCs w:val="24"/>
          <w:highlight w:val="none"/>
          <w:lang w:eastAsia="zh-CN"/>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成交）候选人；</w:t>
      </w:r>
    </w:p>
    <w:p w14:paraId="08ABEB5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3.3澄清有关问题。对响应文件中含义不明确、同类问题表述不一致或者有明显文字和计算错误的内容，磋商小组可以书面形式（应当由磋商小组专家签字）要求供应商作出必要的澄清、说明或者纠正。供应商的澄清、说明或者补正应当采用书面形式，由其授权的代表签字，并不得超出投标文件的范围或者改变响应文件的实质性内容。</w:t>
      </w:r>
      <w:bookmarkStart w:id="140" w:name="_Toc217446104"/>
      <w:bookmarkEnd w:id="140"/>
      <w:bookmarkStart w:id="141" w:name="_Toc183682422"/>
      <w:bookmarkEnd w:id="141"/>
      <w:bookmarkStart w:id="142" w:name="_Toc183582287"/>
      <w:bookmarkEnd w:id="142"/>
    </w:p>
    <w:p w14:paraId="0982789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3.4比较与评价。按采购文件中规定的评标方法和标准，对符合性审查合格的响应文件进行商务、技术和服务评估，综合比较与评价。</w:t>
      </w:r>
    </w:p>
    <w:p w14:paraId="2476221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3.5推荐中标（成交）候选供应商名单。中标（成交）候选供应商数量应当根据采购需要确定，但必须按顺序排列中标（成交）候选供应商。</w:t>
      </w:r>
    </w:p>
    <w:p w14:paraId="2F079F4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3.5.1本项目采用综合评分法，评标结果按评审后得分由高到低顺序排列。得分相同的，按</w:t>
      </w:r>
      <w:r>
        <w:rPr>
          <w:rFonts w:hint="eastAsia" w:ascii="宋体" w:hAnsi="宋体" w:cs="宋体"/>
          <w:bCs/>
          <w:color w:val="auto"/>
          <w:sz w:val="24"/>
          <w:szCs w:val="24"/>
          <w:highlight w:val="none"/>
          <w:lang w:eastAsia="zh-CN"/>
        </w:rPr>
        <w:t>磋商报价</w:t>
      </w:r>
      <w:r>
        <w:rPr>
          <w:rFonts w:hint="eastAsia" w:ascii="宋体" w:hAnsi="宋体" w:eastAsia="宋体" w:cs="宋体"/>
          <w:bCs/>
          <w:color w:val="auto"/>
          <w:sz w:val="24"/>
          <w:szCs w:val="24"/>
          <w:highlight w:val="none"/>
          <w:lang w:eastAsia="zh-CN"/>
        </w:rPr>
        <w:t>由低到高顺序排列</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lang w:eastAsia="zh-CN"/>
        </w:rPr>
        <w:t>得分且</w:t>
      </w:r>
      <w:r>
        <w:rPr>
          <w:rFonts w:hint="eastAsia" w:ascii="宋体" w:hAnsi="宋体" w:cs="宋体"/>
          <w:bCs/>
          <w:color w:val="auto"/>
          <w:sz w:val="24"/>
          <w:szCs w:val="24"/>
          <w:highlight w:val="none"/>
          <w:lang w:eastAsia="zh-CN"/>
        </w:rPr>
        <w:t>磋商报价</w:t>
      </w:r>
      <w:r>
        <w:rPr>
          <w:rFonts w:hint="eastAsia" w:ascii="宋体" w:hAnsi="宋体" w:eastAsia="宋体" w:cs="宋体"/>
          <w:bCs/>
          <w:color w:val="auto"/>
          <w:sz w:val="24"/>
          <w:szCs w:val="24"/>
          <w:highlight w:val="none"/>
          <w:lang w:eastAsia="zh-CN"/>
        </w:rPr>
        <w:t>相同</w:t>
      </w:r>
      <w:r>
        <w:rPr>
          <w:rFonts w:hint="eastAsia" w:ascii="宋体" w:hAnsi="宋体" w:cs="宋体"/>
          <w:bCs/>
          <w:color w:val="auto"/>
          <w:sz w:val="24"/>
          <w:szCs w:val="24"/>
          <w:highlight w:val="none"/>
          <w:lang w:val="en-US" w:eastAsia="zh-CN"/>
        </w:rPr>
        <w:t>的，按技术指标由高到低</w:t>
      </w:r>
      <w:r>
        <w:rPr>
          <w:rFonts w:hint="eastAsia" w:ascii="宋体" w:hAnsi="宋体" w:eastAsia="宋体" w:cs="宋体"/>
          <w:bCs/>
          <w:color w:val="auto"/>
          <w:sz w:val="24"/>
          <w:szCs w:val="24"/>
          <w:highlight w:val="none"/>
          <w:lang w:eastAsia="zh-CN"/>
        </w:rPr>
        <w:t>排序。</w:t>
      </w:r>
    </w:p>
    <w:p w14:paraId="451F5CB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3.6编写评标报告。评标报告是磋商小组根据全体评标成员签字的原始评标记录和评标结果编写的报告，其主要内容包括：</w:t>
      </w:r>
    </w:p>
    <w:p w14:paraId="7D34570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（1）项目概况、开标日期和地点；</w:t>
      </w:r>
    </w:p>
    <w:p w14:paraId="005B04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（2）购买采购文件的供应商名单和磋商小组成员名单；</w:t>
      </w:r>
    </w:p>
    <w:p w14:paraId="686B1A3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（3）评标方法和标准；</w:t>
      </w:r>
    </w:p>
    <w:p w14:paraId="3542B4A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（4）开标记录和评标情况及说明，包括投标无效供应商名单及原因；</w:t>
      </w:r>
    </w:p>
    <w:p w14:paraId="0F4B79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（5）评标结果和中标（成交）候选供应商排序。</w:t>
      </w:r>
    </w:p>
    <w:p w14:paraId="178A950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bookmarkStart w:id="143" w:name="_Toc217446103"/>
      <w:r>
        <w:rPr>
          <w:rFonts w:hint="eastAsia" w:ascii="宋体" w:hAnsi="宋体" w:eastAsia="宋体" w:cs="宋体"/>
          <w:bCs/>
          <w:color w:val="auto"/>
          <w:sz w:val="24"/>
          <w:szCs w:val="24"/>
          <w:highlight w:val="none"/>
          <w:lang w:eastAsia="zh-CN"/>
        </w:rPr>
        <w:t>4. 评标细则及标准</w:t>
      </w:r>
      <w:bookmarkEnd w:id="143"/>
    </w:p>
    <w:p w14:paraId="21348E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4.1 磋商小组只对通过符合性审查的响应文件，根据采购文件的要求采用相同的评标程序、评分办法及标准进行评价和比较。</w:t>
      </w:r>
    </w:p>
    <w:p w14:paraId="7BC1EBD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4.2 本次综合评分的因素是：价格、服务、业绩、对采购文件的响应程度和（如涉及）节能、环境标志产品及投标文件规范性等。</w:t>
      </w:r>
    </w:p>
    <w:p w14:paraId="66AAB27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4.3 除价格因素外，磋商小组成员应依据响应文件规定的评分标准和方法独立对其他因素进行比较打分。</w:t>
      </w:r>
    </w:p>
    <w:p w14:paraId="619F917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4.4 在评标过程中，响应文件有下列情况之一，磋商小组成员应当按照采购文件规定的非实质性偏离进行扣分：</w:t>
      </w:r>
    </w:p>
    <w:p w14:paraId="158831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01096EE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（2）响应文件未编制目录、页码；</w:t>
      </w:r>
    </w:p>
    <w:p w14:paraId="0124F79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（3）认定的与采购文件规定的技术、商务和其他规定要求不符的非实质性偏离；</w:t>
      </w:r>
    </w:p>
    <w:p w14:paraId="2D9E03F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（4）认定的其他非实质性偏离。</w:t>
      </w:r>
    </w:p>
    <w:p w14:paraId="48DEF98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4.5综合评审标准</w:t>
      </w:r>
    </w:p>
    <w:p w14:paraId="787B723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4.5.1综合评审标准的制定以科学合理、降低磋商小组自由裁量权为原则。</w:t>
      </w:r>
    </w:p>
    <w:p w14:paraId="3BA26A7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4.5.2磋商小组将按照下述评审标准对通过符合性审查的响应文件进行详细评审，供应商评审得分等于所有评委评分的算术平均值，结果保留两位小数。</w:t>
      </w:r>
    </w:p>
    <w:p w14:paraId="2339A50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评标因素权重表：</w:t>
      </w:r>
    </w:p>
    <w:p w14:paraId="39EB650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6"/>
        <w:gridCol w:w="2283"/>
        <w:gridCol w:w="2593"/>
        <w:gridCol w:w="2953"/>
      </w:tblGrid>
      <w:tr w14:paraId="44C18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856" w:type="dxa"/>
            <w:tcBorders>
              <w:top w:val="single" w:color="auto" w:sz="4" w:space="0"/>
              <w:left w:val="single" w:color="auto" w:sz="4" w:space="0"/>
              <w:bottom w:val="single" w:color="auto" w:sz="4" w:space="0"/>
              <w:right w:val="single" w:color="auto" w:sz="4" w:space="0"/>
            </w:tcBorders>
            <w:noWrap w:val="0"/>
            <w:vAlign w:val="center"/>
          </w:tcPr>
          <w:p w14:paraId="08E62D8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序号</w:t>
            </w:r>
          </w:p>
        </w:tc>
        <w:tc>
          <w:tcPr>
            <w:tcW w:w="2283" w:type="dxa"/>
            <w:tcBorders>
              <w:top w:val="single" w:color="auto" w:sz="4" w:space="0"/>
              <w:left w:val="single" w:color="auto" w:sz="4" w:space="0"/>
              <w:bottom w:val="single" w:color="auto" w:sz="4" w:space="0"/>
              <w:right w:val="single" w:color="auto" w:sz="4" w:space="0"/>
            </w:tcBorders>
            <w:noWrap w:val="0"/>
            <w:vAlign w:val="center"/>
          </w:tcPr>
          <w:p w14:paraId="1085606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1</w:t>
            </w:r>
          </w:p>
        </w:tc>
        <w:tc>
          <w:tcPr>
            <w:tcW w:w="2593" w:type="dxa"/>
            <w:tcBorders>
              <w:top w:val="single" w:color="auto" w:sz="4" w:space="0"/>
              <w:left w:val="single" w:color="auto" w:sz="4" w:space="0"/>
              <w:bottom w:val="single" w:color="auto" w:sz="4" w:space="0"/>
              <w:right w:val="single" w:color="auto" w:sz="4" w:space="0"/>
            </w:tcBorders>
            <w:noWrap w:val="0"/>
            <w:vAlign w:val="center"/>
          </w:tcPr>
          <w:p w14:paraId="227C420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2</w:t>
            </w:r>
          </w:p>
        </w:tc>
        <w:tc>
          <w:tcPr>
            <w:tcW w:w="2953" w:type="dxa"/>
            <w:tcBorders>
              <w:top w:val="single" w:color="auto" w:sz="4" w:space="0"/>
              <w:left w:val="single" w:color="auto" w:sz="4" w:space="0"/>
              <w:bottom w:val="single" w:color="auto" w:sz="4" w:space="0"/>
              <w:right w:val="single" w:color="auto" w:sz="4" w:space="0"/>
            </w:tcBorders>
            <w:noWrap w:val="0"/>
            <w:vAlign w:val="center"/>
          </w:tcPr>
          <w:p w14:paraId="6101E63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r>
      <w:tr w14:paraId="73DA7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1856" w:type="dxa"/>
            <w:tcBorders>
              <w:top w:val="single" w:color="auto" w:sz="4" w:space="0"/>
              <w:left w:val="single" w:color="auto" w:sz="4" w:space="0"/>
              <w:bottom w:val="single" w:color="auto" w:sz="4" w:space="0"/>
              <w:right w:val="single" w:color="auto" w:sz="4" w:space="0"/>
            </w:tcBorders>
            <w:noWrap w:val="0"/>
            <w:vAlign w:val="center"/>
          </w:tcPr>
          <w:p w14:paraId="25A8DBD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评标因素</w:t>
            </w:r>
          </w:p>
        </w:tc>
        <w:tc>
          <w:tcPr>
            <w:tcW w:w="2283" w:type="dxa"/>
            <w:tcBorders>
              <w:top w:val="single" w:color="auto" w:sz="4" w:space="0"/>
              <w:left w:val="single" w:color="auto" w:sz="4" w:space="0"/>
              <w:bottom w:val="single" w:color="auto" w:sz="4" w:space="0"/>
              <w:right w:val="single" w:color="auto" w:sz="4" w:space="0"/>
            </w:tcBorders>
            <w:noWrap w:val="0"/>
            <w:vAlign w:val="center"/>
          </w:tcPr>
          <w:p w14:paraId="7955F37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磋商报价</w:t>
            </w:r>
          </w:p>
        </w:tc>
        <w:tc>
          <w:tcPr>
            <w:tcW w:w="2593" w:type="dxa"/>
            <w:tcBorders>
              <w:top w:val="single" w:color="auto" w:sz="4" w:space="0"/>
              <w:left w:val="single" w:color="auto" w:sz="4" w:space="0"/>
              <w:bottom w:val="single" w:color="auto" w:sz="4" w:space="0"/>
              <w:right w:val="single" w:color="auto" w:sz="4" w:space="0"/>
            </w:tcBorders>
            <w:noWrap w:val="0"/>
            <w:vAlign w:val="center"/>
          </w:tcPr>
          <w:p w14:paraId="4CBDC46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技术、商务部分</w:t>
            </w:r>
          </w:p>
        </w:tc>
        <w:tc>
          <w:tcPr>
            <w:tcW w:w="2953" w:type="dxa"/>
            <w:tcBorders>
              <w:top w:val="single" w:color="auto" w:sz="4" w:space="0"/>
              <w:left w:val="single" w:color="auto" w:sz="4" w:space="0"/>
              <w:bottom w:val="single" w:color="auto" w:sz="4" w:space="0"/>
              <w:right w:val="single" w:color="auto" w:sz="4" w:space="0"/>
            </w:tcBorders>
            <w:noWrap w:val="0"/>
            <w:vAlign w:val="center"/>
          </w:tcPr>
          <w:p w14:paraId="0E5368E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合计</w:t>
            </w:r>
          </w:p>
        </w:tc>
      </w:tr>
      <w:tr w14:paraId="6128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856" w:type="dxa"/>
            <w:tcBorders>
              <w:top w:val="single" w:color="auto" w:sz="4" w:space="0"/>
              <w:left w:val="single" w:color="auto" w:sz="4" w:space="0"/>
              <w:bottom w:val="single" w:color="auto" w:sz="4" w:space="0"/>
              <w:right w:val="single" w:color="auto" w:sz="4" w:space="0"/>
            </w:tcBorders>
            <w:noWrap w:val="0"/>
            <w:vAlign w:val="center"/>
          </w:tcPr>
          <w:p w14:paraId="3DCAA0D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权重</w:t>
            </w:r>
          </w:p>
        </w:tc>
        <w:tc>
          <w:tcPr>
            <w:tcW w:w="2283" w:type="dxa"/>
            <w:tcBorders>
              <w:top w:val="single" w:color="auto" w:sz="4" w:space="0"/>
              <w:left w:val="single" w:color="auto" w:sz="4" w:space="0"/>
              <w:bottom w:val="single" w:color="auto" w:sz="4" w:space="0"/>
              <w:right w:val="single" w:color="auto" w:sz="4" w:space="0"/>
            </w:tcBorders>
            <w:noWrap w:val="0"/>
            <w:vAlign w:val="center"/>
          </w:tcPr>
          <w:p w14:paraId="0911FDE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0%</w:t>
            </w:r>
          </w:p>
        </w:tc>
        <w:tc>
          <w:tcPr>
            <w:tcW w:w="2593" w:type="dxa"/>
            <w:tcBorders>
              <w:top w:val="single" w:color="auto" w:sz="4" w:space="0"/>
              <w:left w:val="single" w:color="auto" w:sz="4" w:space="0"/>
              <w:bottom w:val="single" w:color="auto" w:sz="4" w:space="0"/>
              <w:right w:val="single" w:color="auto" w:sz="4" w:space="0"/>
            </w:tcBorders>
            <w:noWrap w:val="0"/>
            <w:vAlign w:val="center"/>
          </w:tcPr>
          <w:p w14:paraId="35D265C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0%</w:t>
            </w:r>
          </w:p>
        </w:tc>
        <w:tc>
          <w:tcPr>
            <w:tcW w:w="2953" w:type="dxa"/>
            <w:tcBorders>
              <w:top w:val="single" w:color="auto" w:sz="4" w:space="0"/>
              <w:left w:val="single" w:color="auto" w:sz="4" w:space="0"/>
              <w:bottom w:val="single" w:color="auto" w:sz="4" w:space="0"/>
              <w:right w:val="single" w:color="auto" w:sz="4" w:space="0"/>
            </w:tcBorders>
            <w:noWrap w:val="0"/>
            <w:vAlign w:val="center"/>
          </w:tcPr>
          <w:p w14:paraId="44A1F6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100%</w:t>
            </w:r>
          </w:p>
        </w:tc>
      </w:tr>
    </w:tbl>
    <w:p w14:paraId="1EF729EA">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cs="宋体"/>
          <w:b/>
          <w:bCs/>
          <w:color w:val="auto"/>
          <w:sz w:val="24"/>
          <w:highlight w:val="none"/>
        </w:rPr>
      </w:pPr>
    </w:p>
    <w:p w14:paraId="6A7E933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 xml:space="preserve">4.5.3 </w:t>
      </w:r>
      <w:r>
        <w:rPr>
          <w:rFonts w:hint="eastAsia" w:ascii="宋体" w:hAnsi="宋体" w:eastAsia="宋体" w:cs="宋体"/>
          <w:bCs/>
          <w:color w:val="auto"/>
          <w:sz w:val="24"/>
          <w:szCs w:val="24"/>
          <w:highlight w:val="none"/>
          <w:lang w:eastAsia="zh-CN"/>
        </w:rPr>
        <w:t>价格得分的评分方法：采用低价优先法计算，即满足采购文件要求且投标价格最低的</w:t>
      </w:r>
      <w:r>
        <w:rPr>
          <w:rFonts w:hint="eastAsia" w:ascii="宋体" w:hAnsi="宋体" w:cs="宋体"/>
          <w:bCs/>
          <w:color w:val="auto"/>
          <w:sz w:val="24"/>
          <w:szCs w:val="24"/>
          <w:highlight w:val="none"/>
          <w:lang w:eastAsia="zh-CN"/>
        </w:rPr>
        <w:t>磋商报价</w:t>
      </w:r>
      <w:r>
        <w:rPr>
          <w:rFonts w:hint="eastAsia" w:ascii="宋体" w:hAnsi="宋体" w:eastAsia="宋体" w:cs="宋体"/>
          <w:bCs/>
          <w:color w:val="auto"/>
          <w:sz w:val="24"/>
          <w:szCs w:val="24"/>
          <w:highlight w:val="none"/>
          <w:lang w:eastAsia="zh-CN"/>
        </w:rPr>
        <w:t>为评标基准价，其价格得分为满分。其他投标人的价格得分统一按照下列公式计算：价格得分=（评标基准价/</w:t>
      </w:r>
      <w:r>
        <w:rPr>
          <w:rFonts w:hint="eastAsia" w:ascii="宋体" w:hAnsi="宋体" w:cs="宋体"/>
          <w:bCs/>
          <w:color w:val="auto"/>
          <w:sz w:val="24"/>
          <w:szCs w:val="24"/>
          <w:highlight w:val="none"/>
          <w:lang w:eastAsia="zh-CN"/>
        </w:rPr>
        <w:t>磋商报价</w:t>
      </w:r>
      <w:r>
        <w:rPr>
          <w:rFonts w:hint="eastAsia" w:ascii="宋体" w:hAnsi="宋体" w:eastAsia="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报价权重</w:t>
      </w:r>
      <w:r>
        <w:rPr>
          <w:rFonts w:hint="eastAsia" w:ascii="宋体" w:hAnsi="宋体" w:eastAsia="宋体" w:cs="宋体"/>
          <w:bCs/>
          <w:color w:val="auto"/>
          <w:sz w:val="24"/>
          <w:szCs w:val="24"/>
          <w:highlight w:val="none"/>
          <w:lang w:eastAsia="zh-CN"/>
        </w:rPr>
        <w:t>×100，如此类推，算出所有投标供应商的价格得分。</w:t>
      </w:r>
    </w:p>
    <w:p w14:paraId="573A639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评审优惠内容及价格扣除：</w:t>
      </w:r>
    </w:p>
    <w:p w14:paraId="71B8502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（一）小型和微型企业产品价格扣除</w:t>
      </w:r>
    </w:p>
    <w:p w14:paraId="3F4E346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根据财政部印发的《政府采购促进中小企业发展管理办法》（财库[20</w:t>
      </w:r>
      <w:r>
        <w:rPr>
          <w:rFonts w:hint="eastAsia" w:ascii="宋体" w:hAnsi="宋体" w:eastAsia="宋体" w:cs="宋体"/>
          <w:bCs/>
          <w:color w:val="auto"/>
          <w:sz w:val="24"/>
          <w:szCs w:val="24"/>
          <w:highlight w:val="none"/>
          <w:lang w:val="en-US" w:eastAsia="zh-CN"/>
        </w:rPr>
        <w:t>20</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46</w:t>
      </w:r>
      <w:r>
        <w:rPr>
          <w:rFonts w:hint="eastAsia" w:ascii="宋体" w:hAnsi="宋体" w:eastAsia="宋体" w:cs="宋体"/>
          <w:bCs/>
          <w:color w:val="auto"/>
          <w:sz w:val="24"/>
          <w:szCs w:val="24"/>
          <w:highlight w:val="none"/>
          <w:lang w:eastAsia="zh-CN"/>
        </w:rPr>
        <w:t>号）和《关于进一步加大政府采购支持中小企业力度的通知》（财库[20</w:t>
      </w:r>
      <w:r>
        <w:rPr>
          <w:rFonts w:hint="eastAsia" w:ascii="宋体" w:hAnsi="宋体" w:eastAsia="宋体" w:cs="宋体"/>
          <w:bCs/>
          <w:color w:val="auto"/>
          <w:sz w:val="24"/>
          <w:szCs w:val="24"/>
          <w:highlight w:val="none"/>
          <w:lang w:val="en-US" w:eastAsia="zh-CN"/>
        </w:rPr>
        <w:t>22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19</w:t>
      </w:r>
      <w:r>
        <w:rPr>
          <w:rFonts w:hint="eastAsia" w:ascii="宋体" w:hAnsi="宋体" w:eastAsia="宋体" w:cs="宋体"/>
          <w:bCs/>
          <w:color w:val="auto"/>
          <w:sz w:val="24"/>
          <w:szCs w:val="24"/>
          <w:highlight w:val="none"/>
          <w:lang w:eastAsia="zh-CN"/>
        </w:rPr>
        <w:t>号）的规定，对小型和微型企业产品给予</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-20%</w:t>
      </w:r>
      <w:r>
        <w:rPr>
          <w:rFonts w:hint="eastAsia" w:ascii="宋体" w:hAnsi="宋体" w:eastAsia="宋体" w:cs="宋体"/>
          <w:bCs/>
          <w:color w:val="auto"/>
          <w:sz w:val="24"/>
          <w:szCs w:val="24"/>
          <w:highlight w:val="none"/>
          <w:lang w:eastAsia="zh-CN"/>
        </w:rPr>
        <w:t>的价格扣除优惠，用扣除后的价格参与评审。</w:t>
      </w:r>
    </w:p>
    <w:p w14:paraId="10EEB46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《政府采购促进中小企业发展管理办法》（财库[20</w:t>
      </w:r>
      <w:r>
        <w:rPr>
          <w:rFonts w:hint="eastAsia" w:ascii="宋体" w:hAnsi="宋体" w:eastAsia="宋体" w:cs="宋体"/>
          <w:bCs/>
          <w:color w:val="auto"/>
          <w:sz w:val="24"/>
          <w:szCs w:val="24"/>
          <w:highlight w:val="none"/>
          <w:lang w:val="en-US" w:eastAsia="zh-CN"/>
        </w:rPr>
        <w:t>20</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46</w:t>
      </w:r>
      <w:r>
        <w:rPr>
          <w:rFonts w:hint="eastAsia" w:ascii="宋体" w:hAnsi="宋体" w:eastAsia="宋体" w:cs="宋体"/>
          <w:bCs/>
          <w:color w:val="auto"/>
          <w:sz w:val="24"/>
          <w:szCs w:val="24"/>
          <w:highlight w:val="none"/>
          <w:lang w:eastAsia="zh-CN"/>
        </w:rPr>
        <w:t>号）所称中小企业（含中型、小型、微型企业，下同）应当同时符合以下条件：</w:t>
      </w:r>
    </w:p>
    <w:p w14:paraId="3C408FC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符合中小企业划分标准；</w:t>
      </w:r>
    </w:p>
    <w:p w14:paraId="5FC942D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提供本企业制造的货物、承担的工程或者服务，或者提供其他中小企业制造的货物。本项所称货物不包括使用大型企业注册商标的货物。</w:t>
      </w:r>
    </w:p>
    <w:p w14:paraId="06CD933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中小企业划分标准以《工业和信息化部、国家统计局、国家发展和改革委员会、财政部关于印发中小企业划型标准规定的通知》（工信部联企业[2011]300号）规定的划分标准为准（详见附件）。小型、微型企业提供中型企业制造的货物的，视同为中型企业。参加政府采购活动的中小企业应当提供《中小企业声明函》。凡是参与小微企业价格评审扣除的供应商应当提供《中小企业声明函》，不提供者不得享受小微企业价格扣除的优惠政策，提供虚假证明的按照无效投标处理。</w:t>
      </w:r>
    </w:p>
    <w:p w14:paraId="5E1E3B6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（二）监狱企业产品价格扣除</w:t>
      </w:r>
    </w:p>
    <w:p w14:paraId="61E0DA4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监狱企业视同小型、微型企业，按上述条款享受评审中价格扣除。</w:t>
      </w:r>
    </w:p>
    <w:p w14:paraId="2931FA7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051316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监狱企业参加政府采购活动时，应当提供由省级以上监狱管理局、戒毒管理局（含新疆生产建设兵团）出具的属于监狱企业的证明文件，否则不予认可。</w:t>
      </w:r>
    </w:p>
    <w:p w14:paraId="5B52804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（三）残疾人福利性单位产品价格扣除</w:t>
      </w:r>
    </w:p>
    <w:p w14:paraId="17CAE1C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残疾人福利性单位视同小型、微型企业，按上述条款享受评审中价格扣除。</w:t>
      </w:r>
    </w:p>
    <w:p w14:paraId="4F73F36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4038F96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投标人同时为小型、微型企业、监狱企业、残疾人福利性单位任两种或以上情况的，评审中只享受一次价格扣除，不重复进行价格扣除。</w:t>
      </w:r>
    </w:p>
    <w:p w14:paraId="12212E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（四）节能产品、环境标志产品价格扣除：</w:t>
      </w:r>
    </w:p>
    <w:p w14:paraId="5A8522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投标产品</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lang w:eastAsia="zh-CN"/>
        </w:rPr>
        <w:t>针对非政府强制采购产品</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lang w:eastAsia="zh-CN"/>
        </w:rPr>
        <w:t>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7856124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2B14749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4.5.4 报价评审标准</w:t>
      </w:r>
    </w:p>
    <w:p w14:paraId="6CEEC20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cs="宋体"/>
          <w:color w:val="auto"/>
          <w:sz w:val="24"/>
          <w:szCs w:val="24"/>
          <w:highlight w:val="none"/>
        </w:rPr>
      </w:pPr>
      <w:r>
        <w:rPr>
          <w:rFonts w:hint="eastAsia" w:ascii="宋体" w:hAnsi="宋体" w:cs="宋体"/>
          <w:b/>
          <w:bCs/>
          <w:color w:val="auto"/>
          <w:sz w:val="24"/>
          <w:szCs w:val="24"/>
          <w:highlight w:val="none"/>
        </w:rPr>
        <w:t>报价评</w:t>
      </w:r>
      <w:r>
        <w:rPr>
          <w:rFonts w:hint="eastAsia" w:ascii="宋体" w:hAnsi="宋体" w:cs="宋体"/>
          <w:b/>
          <w:bCs/>
          <w:color w:val="auto"/>
          <w:sz w:val="24"/>
          <w:szCs w:val="24"/>
          <w:highlight w:val="none"/>
          <w:lang w:eastAsia="zh-CN"/>
        </w:rPr>
        <w:t>审</w:t>
      </w:r>
      <w:r>
        <w:rPr>
          <w:rFonts w:hint="eastAsia" w:ascii="宋体" w:hAnsi="宋体" w:cs="宋体"/>
          <w:b/>
          <w:bCs/>
          <w:color w:val="auto"/>
          <w:sz w:val="24"/>
          <w:szCs w:val="24"/>
          <w:highlight w:val="none"/>
        </w:rPr>
        <w:t>标准（</w:t>
      </w:r>
      <w:r>
        <w:rPr>
          <w:rFonts w:hint="eastAsia" w:ascii="宋体" w:hAnsi="宋体" w:cs="宋体"/>
          <w:b/>
          <w:color w:val="auto"/>
          <w:spacing w:val="-2"/>
          <w:sz w:val="24"/>
          <w:szCs w:val="24"/>
          <w:highlight w:val="none"/>
        </w:rPr>
        <w:t>占总分值的</w:t>
      </w:r>
      <w:r>
        <w:rPr>
          <w:rFonts w:hint="eastAsia" w:ascii="宋体" w:hAnsi="宋体" w:cs="宋体"/>
          <w:b/>
          <w:color w:val="auto"/>
          <w:spacing w:val="-2"/>
          <w:sz w:val="24"/>
          <w:szCs w:val="24"/>
          <w:highlight w:val="none"/>
          <w:lang w:val="en-US" w:eastAsia="zh-CN"/>
        </w:rPr>
        <w:t>1</w:t>
      </w:r>
      <w:r>
        <w:rPr>
          <w:rFonts w:hint="eastAsia" w:ascii="宋体" w:hAnsi="宋体" w:cs="宋体"/>
          <w:b/>
          <w:color w:val="auto"/>
          <w:spacing w:val="-2"/>
          <w:sz w:val="24"/>
          <w:szCs w:val="24"/>
          <w:highlight w:val="none"/>
        </w:rPr>
        <w:t>0%</w:t>
      </w:r>
      <w:r>
        <w:rPr>
          <w:rFonts w:hint="eastAsia" w:ascii="宋体" w:hAnsi="宋体" w:cs="宋体"/>
          <w:b/>
          <w:bCs/>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349"/>
        <w:gridCol w:w="7690"/>
      </w:tblGrid>
      <w:tr w14:paraId="34E97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39" w:type="dxa"/>
            <w:noWrap w:val="0"/>
            <w:vAlign w:val="center"/>
          </w:tcPr>
          <w:p w14:paraId="5CFA764E">
            <w:pPr>
              <w:autoSpaceDE w:val="0"/>
              <w:autoSpaceDN w:val="0"/>
              <w:adjustRightInd w:val="0"/>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序号</w:t>
            </w:r>
          </w:p>
        </w:tc>
        <w:tc>
          <w:tcPr>
            <w:tcW w:w="1349" w:type="dxa"/>
            <w:noWrap w:val="0"/>
            <w:vAlign w:val="center"/>
          </w:tcPr>
          <w:p w14:paraId="0550D484">
            <w:pPr>
              <w:autoSpaceDE w:val="0"/>
              <w:autoSpaceDN w:val="0"/>
              <w:adjustRightInd w:val="0"/>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评审因素</w:t>
            </w:r>
          </w:p>
        </w:tc>
        <w:tc>
          <w:tcPr>
            <w:tcW w:w="7690" w:type="dxa"/>
            <w:noWrap w:val="0"/>
            <w:vAlign w:val="center"/>
          </w:tcPr>
          <w:p w14:paraId="602745D5">
            <w:pPr>
              <w:autoSpaceDE w:val="0"/>
              <w:autoSpaceDN w:val="0"/>
              <w:adjustRightInd w:val="0"/>
              <w:jc w:val="center"/>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评分标准</w:t>
            </w:r>
          </w:p>
        </w:tc>
      </w:tr>
      <w:tr w14:paraId="119F5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39" w:type="dxa"/>
            <w:vMerge w:val="restart"/>
            <w:noWrap w:val="0"/>
            <w:vAlign w:val="center"/>
          </w:tcPr>
          <w:p w14:paraId="50B9AFAB">
            <w:pPr>
              <w:autoSpaceDE w:val="0"/>
              <w:autoSpaceDN w:val="0"/>
              <w:adjustRightInd w:val="0"/>
              <w:jc w:val="center"/>
              <w:rPr>
                <w:rFonts w:hint="eastAsia" w:ascii="宋体" w:hAnsi="宋体" w:cs="宋体"/>
                <w:bCs/>
                <w:color w:val="auto"/>
                <w:sz w:val="24"/>
                <w:highlight w:val="none"/>
                <w:lang w:val="zh-CN"/>
              </w:rPr>
            </w:pPr>
            <w:r>
              <w:rPr>
                <w:rFonts w:hint="eastAsia" w:ascii="宋体" w:hAnsi="宋体" w:cs="宋体"/>
                <w:bCs/>
                <w:color w:val="auto"/>
                <w:sz w:val="24"/>
                <w:highlight w:val="none"/>
                <w:lang w:val="zh-CN"/>
              </w:rPr>
              <w:t>1</w:t>
            </w:r>
          </w:p>
        </w:tc>
        <w:tc>
          <w:tcPr>
            <w:tcW w:w="1349" w:type="dxa"/>
            <w:vMerge w:val="restart"/>
            <w:noWrap w:val="0"/>
            <w:vAlign w:val="center"/>
          </w:tcPr>
          <w:p w14:paraId="15897B05">
            <w:pPr>
              <w:autoSpaceDE w:val="0"/>
              <w:autoSpaceDN w:val="0"/>
              <w:adjustRightInd w:val="0"/>
              <w:jc w:val="center"/>
              <w:rPr>
                <w:rFonts w:hint="eastAsia" w:ascii="宋体" w:hAnsi="宋体" w:cs="宋体"/>
                <w:color w:val="auto"/>
                <w:sz w:val="24"/>
                <w:highlight w:val="none"/>
              </w:rPr>
            </w:pPr>
            <w:r>
              <w:rPr>
                <w:rFonts w:hint="eastAsia" w:ascii="宋体" w:hAnsi="宋体" w:cs="宋体"/>
                <w:color w:val="auto"/>
                <w:sz w:val="24"/>
                <w:highlight w:val="none"/>
                <w:lang w:val="zh-CN"/>
              </w:rPr>
              <w:t>磋商报价</w:t>
            </w:r>
          </w:p>
        </w:tc>
        <w:tc>
          <w:tcPr>
            <w:tcW w:w="7690" w:type="dxa"/>
            <w:noWrap w:val="0"/>
            <w:vAlign w:val="center"/>
          </w:tcPr>
          <w:p w14:paraId="72037081">
            <w:pPr>
              <w:autoSpaceDE w:val="0"/>
              <w:autoSpaceDN w:val="0"/>
              <w:adjustRightInd w:val="0"/>
              <w:rPr>
                <w:rFonts w:hint="eastAsia" w:ascii="宋体" w:hAnsi="宋体" w:cs="宋体"/>
                <w:color w:val="auto"/>
                <w:sz w:val="24"/>
                <w:highlight w:val="none"/>
                <w:lang w:val="zh-CN"/>
              </w:rPr>
            </w:pPr>
            <w:r>
              <w:rPr>
                <w:rFonts w:hint="eastAsia" w:ascii="宋体" w:hAnsi="宋体" w:cs="宋体"/>
                <w:color w:val="auto"/>
                <w:sz w:val="24"/>
                <w:highlight w:val="none"/>
                <w:lang w:val="zh-CN"/>
              </w:rPr>
              <w:t>评标基准价即满足磋商文件要求且投标价格最低的投标报价。</w:t>
            </w:r>
          </w:p>
          <w:p w14:paraId="037FC909">
            <w:pPr>
              <w:autoSpaceDE w:val="0"/>
              <w:autoSpaceDN w:val="0"/>
              <w:adjustRightInd w:val="0"/>
              <w:rPr>
                <w:rFonts w:hint="eastAsia" w:ascii="宋体" w:hAnsi="宋体" w:cs="宋体"/>
                <w:color w:val="auto"/>
                <w:sz w:val="24"/>
                <w:highlight w:val="none"/>
              </w:rPr>
            </w:pPr>
            <w:r>
              <w:rPr>
                <w:rFonts w:hint="eastAsia" w:ascii="宋体" w:hAnsi="宋体" w:cs="宋体"/>
                <w:color w:val="auto"/>
                <w:sz w:val="24"/>
                <w:highlight w:val="none"/>
                <w:lang w:val="zh-CN"/>
              </w:rPr>
              <w:t>磋商报价得分=（评标基准价/投标报价）×</w:t>
            </w:r>
            <w:r>
              <w:rPr>
                <w:rFonts w:hint="eastAsia" w:ascii="宋体" w:hAnsi="宋体" w:cs="宋体"/>
                <w:color w:val="auto"/>
                <w:sz w:val="24"/>
                <w:highlight w:val="none"/>
              </w:rPr>
              <w:t>报价部分权重×100</w:t>
            </w:r>
          </w:p>
        </w:tc>
      </w:tr>
      <w:tr w14:paraId="2B9B7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39" w:type="dxa"/>
            <w:vMerge w:val="continue"/>
            <w:noWrap w:val="0"/>
            <w:vAlign w:val="center"/>
          </w:tcPr>
          <w:p w14:paraId="469D6A68">
            <w:pPr>
              <w:autoSpaceDE w:val="0"/>
              <w:autoSpaceDN w:val="0"/>
              <w:adjustRightInd w:val="0"/>
              <w:jc w:val="center"/>
              <w:rPr>
                <w:rFonts w:hint="eastAsia" w:ascii="宋体" w:hAnsi="宋体" w:cs="宋体"/>
                <w:bCs/>
                <w:color w:val="auto"/>
                <w:sz w:val="24"/>
                <w:highlight w:val="none"/>
                <w:lang w:val="zh-CN"/>
              </w:rPr>
            </w:pPr>
          </w:p>
        </w:tc>
        <w:tc>
          <w:tcPr>
            <w:tcW w:w="1349" w:type="dxa"/>
            <w:vMerge w:val="continue"/>
            <w:noWrap w:val="0"/>
            <w:vAlign w:val="center"/>
          </w:tcPr>
          <w:p w14:paraId="79982B55">
            <w:pPr>
              <w:autoSpaceDE w:val="0"/>
              <w:autoSpaceDN w:val="0"/>
              <w:adjustRightInd w:val="0"/>
              <w:jc w:val="center"/>
              <w:rPr>
                <w:rFonts w:hint="eastAsia" w:ascii="宋体" w:hAnsi="宋体" w:cs="宋体"/>
                <w:color w:val="auto"/>
                <w:sz w:val="24"/>
                <w:highlight w:val="none"/>
                <w:lang w:val="zh-CN"/>
              </w:rPr>
            </w:pPr>
          </w:p>
        </w:tc>
        <w:tc>
          <w:tcPr>
            <w:tcW w:w="7690" w:type="dxa"/>
            <w:noWrap w:val="0"/>
            <w:vAlign w:val="center"/>
          </w:tcPr>
          <w:p w14:paraId="7EB67F32">
            <w:pPr>
              <w:autoSpaceDE w:val="0"/>
              <w:autoSpaceDN w:val="0"/>
              <w:adjustRightInd w:val="0"/>
              <w:rPr>
                <w:rFonts w:hint="eastAsia" w:ascii="宋体" w:hAnsi="宋体" w:cs="宋体"/>
                <w:color w:val="auto"/>
                <w:sz w:val="24"/>
                <w:highlight w:val="none"/>
                <w:lang w:val="zh-CN"/>
              </w:rPr>
            </w:pPr>
            <w:r>
              <w:rPr>
                <w:rFonts w:hint="eastAsia" w:ascii="宋体" w:hAnsi="宋体" w:cs="宋体"/>
                <w:color w:val="auto"/>
                <w:sz w:val="24"/>
                <w:highlight w:val="none"/>
                <w:lang w:val="zh-CN"/>
              </w:rPr>
              <w:t>因落实政府采购政策进行价格调整的，以调整后的价格计算评标基准价和磋商报价。</w:t>
            </w:r>
          </w:p>
        </w:tc>
      </w:tr>
      <w:tr w14:paraId="79D04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39" w:type="dxa"/>
            <w:vMerge w:val="restart"/>
            <w:noWrap w:val="0"/>
            <w:vAlign w:val="center"/>
          </w:tcPr>
          <w:p w14:paraId="1382637A">
            <w:pPr>
              <w:jc w:val="center"/>
              <w:rPr>
                <w:rFonts w:hint="eastAsia" w:ascii="宋体" w:hAnsi="宋体" w:cs="宋体"/>
                <w:color w:val="auto"/>
                <w:sz w:val="24"/>
                <w:highlight w:val="none"/>
              </w:rPr>
            </w:pPr>
            <w:r>
              <w:rPr>
                <w:rFonts w:hint="eastAsia" w:ascii="宋体" w:hAnsi="宋体" w:cs="宋体"/>
                <w:color w:val="auto"/>
                <w:sz w:val="24"/>
                <w:highlight w:val="none"/>
              </w:rPr>
              <w:t>政府采购价格折扣优惠政策说明</w:t>
            </w:r>
          </w:p>
        </w:tc>
        <w:tc>
          <w:tcPr>
            <w:tcW w:w="1349" w:type="dxa"/>
            <w:vMerge w:val="restart"/>
            <w:noWrap w:val="0"/>
            <w:vAlign w:val="center"/>
          </w:tcPr>
          <w:p w14:paraId="182D6090">
            <w:pPr>
              <w:jc w:val="center"/>
              <w:rPr>
                <w:rFonts w:hint="eastAsia" w:ascii="宋体" w:hAnsi="宋体" w:cs="宋体"/>
                <w:color w:val="auto"/>
                <w:sz w:val="24"/>
                <w:highlight w:val="none"/>
              </w:rPr>
            </w:pPr>
            <w:r>
              <w:rPr>
                <w:rFonts w:hint="eastAsia" w:ascii="宋体" w:hAnsi="宋体" w:cs="宋体"/>
                <w:color w:val="auto"/>
                <w:sz w:val="24"/>
                <w:highlight w:val="none"/>
              </w:rPr>
              <w:t>中小企业</w:t>
            </w:r>
          </w:p>
        </w:tc>
        <w:tc>
          <w:tcPr>
            <w:tcW w:w="7690" w:type="dxa"/>
            <w:noWrap w:val="0"/>
            <w:vAlign w:val="center"/>
          </w:tcPr>
          <w:p w14:paraId="02A86877">
            <w:pPr>
              <w:rPr>
                <w:rFonts w:hint="eastAsia" w:ascii="宋体" w:hAnsi="宋体" w:cs="宋体"/>
                <w:bCs/>
                <w:color w:val="auto"/>
                <w:sz w:val="24"/>
                <w:highlight w:val="none"/>
              </w:rPr>
            </w:pPr>
            <w:r>
              <w:rPr>
                <w:rFonts w:hint="eastAsia" w:ascii="宋体" w:hAnsi="宋体" w:eastAsia="宋体" w:cs="宋体"/>
                <w:color w:val="auto"/>
                <w:sz w:val="24"/>
                <w:highlight w:val="none"/>
              </w:rPr>
              <w:t>根据工信部等部委发布的《关于印发中小企业划型标准规定的通知》（工信部联企业</w:t>
            </w:r>
            <w:r>
              <w:rPr>
                <w:rFonts w:hint="eastAsia" w:ascii="宋体" w:hAnsi="宋体" w:eastAsia="宋体" w:cs="宋体"/>
                <w:bCs/>
                <w:color w:val="auto"/>
                <w:sz w:val="24"/>
                <w:highlight w:val="none"/>
              </w:rPr>
              <w:t>〔2011〕300</w:t>
            </w:r>
            <w:r>
              <w:rPr>
                <w:rFonts w:hint="eastAsia" w:ascii="宋体" w:hAnsi="宋体" w:eastAsia="宋体" w:cs="宋体"/>
                <w:color w:val="auto"/>
                <w:sz w:val="24"/>
                <w:highlight w:val="none"/>
              </w:rPr>
              <w:t>号），按照本次采购标的所属行业的划型标准，符合条件的中小</w:t>
            </w:r>
            <w:r>
              <w:rPr>
                <w:rFonts w:hint="eastAsia" w:ascii="宋体" w:hAnsi="宋体" w:eastAsia="宋体" w:cs="宋体"/>
                <w:color w:val="auto"/>
                <w:sz w:val="24"/>
                <w:highlight w:val="none"/>
                <w:lang w:eastAsia="zh-CN"/>
              </w:rPr>
              <w:t>微</w:t>
            </w:r>
            <w:r>
              <w:rPr>
                <w:rFonts w:hint="eastAsia" w:ascii="宋体" w:hAnsi="宋体" w:eastAsia="宋体" w:cs="宋体"/>
                <w:color w:val="auto"/>
                <w:sz w:val="24"/>
                <w:highlight w:val="none"/>
              </w:rPr>
              <w:t>企业提供《中小企业声明函》。</w:t>
            </w:r>
          </w:p>
        </w:tc>
      </w:tr>
      <w:tr w14:paraId="42780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39" w:type="dxa"/>
            <w:vMerge w:val="continue"/>
            <w:noWrap w:val="0"/>
            <w:vAlign w:val="center"/>
          </w:tcPr>
          <w:p w14:paraId="70107046">
            <w:pPr>
              <w:jc w:val="center"/>
              <w:rPr>
                <w:rFonts w:hint="eastAsia" w:ascii="宋体" w:hAnsi="宋体" w:cs="宋体"/>
                <w:color w:val="auto"/>
                <w:sz w:val="24"/>
                <w:highlight w:val="none"/>
              </w:rPr>
            </w:pPr>
          </w:p>
        </w:tc>
        <w:tc>
          <w:tcPr>
            <w:tcW w:w="1349" w:type="dxa"/>
            <w:vMerge w:val="continue"/>
            <w:noWrap w:val="0"/>
            <w:vAlign w:val="center"/>
          </w:tcPr>
          <w:p w14:paraId="2582DF2E">
            <w:pPr>
              <w:jc w:val="center"/>
              <w:rPr>
                <w:rFonts w:hint="eastAsia" w:ascii="宋体" w:hAnsi="宋体" w:cs="宋体"/>
                <w:color w:val="auto"/>
                <w:sz w:val="24"/>
                <w:highlight w:val="none"/>
              </w:rPr>
            </w:pPr>
          </w:p>
        </w:tc>
        <w:tc>
          <w:tcPr>
            <w:tcW w:w="7690" w:type="dxa"/>
            <w:noWrap w:val="0"/>
            <w:vAlign w:val="center"/>
          </w:tcPr>
          <w:p w14:paraId="7AFB6EC0">
            <w:pPr>
              <w:rPr>
                <w:rFonts w:hint="eastAsia" w:ascii="宋体" w:hAnsi="宋体" w:cs="宋体"/>
                <w:color w:val="auto"/>
                <w:sz w:val="24"/>
                <w:highlight w:val="none"/>
              </w:rPr>
            </w:pPr>
            <w:r>
              <w:rPr>
                <w:rFonts w:hint="eastAsia" w:ascii="宋体" w:hAnsi="宋体" w:eastAsia="宋体" w:cs="宋体"/>
                <w:bCs/>
                <w:color w:val="auto"/>
                <w:sz w:val="24"/>
                <w:highlight w:val="none"/>
              </w:rPr>
              <w:t>根据财政部发布的《政府采购促进中小企业发展管理办法》（财库〔2020〕46号）</w:t>
            </w:r>
            <w:r>
              <w:rPr>
                <w:rFonts w:hint="eastAsia" w:ascii="宋体" w:hAnsi="宋体" w:eastAsia="宋体" w:cs="宋体"/>
                <w:color w:val="auto"/>
                <w:sz w:val="24"/>
                <w:highlight w:val="none"/>
              </w:rPr>
              <w:t>规定，</w:t>
            </w:r>
            <w:r>
              <w:rPr>
                <w:rFonts w:hint="eastAsia" w:ascii="宋体" w:hAnsi="宋体" w:eastAsia="宋体" w:cs="宋体"/>
                <w:color w:val="auto"/>
                <w:sz w:val="24"/>
                <w:highlight w:val="none"/>
                <w:lang w:eastAsia="zh-CN"/>
              </w:rPr>
              <w:t>对</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eastAsia="宋体" w:cs="宋体"/>
                <w:color w:val="auto"/>
                <w:sz w:val="24"/>
                <w:highlight w:val="none"/>
                <w:lang w:eastAsia="zh-CN"/>
              </w:rPr>
              <w:t>，给予</w:t>
            </w:r>
            <w:r>
              <w:rPr>
                <w:rFonts w:hint="eastAsia" w:ascii="宋体" w:hAnsi="宋体" w:eastAsia="宋体" w:cs="宋体"/>
                <w:color w:val="auto"/>
                <w:sz w:val="24"/>
                <w:highlight w:val="none"/>
              </w:rPr>
              <w:t>小微企业投标</w:t>
            </w:r>
            <w:r>
              <w:rPr>
                <w:rFonts w:hint="eastAsia" w:ascii="宋体" w:hAnsi="宋体" w:eastAsia="宋体" w:cs="宋体"/>
                <w:color w:val="auto"/>
                <w:sz w:val="24"/>
                <w:highlight w:val="none"/>
                <w:lang w:eastAsia="zh-CN"/>
              </w:rPr>
              <w:t>报价</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折扣。</w:t>
            </w:r>
          </w:p>
        </w:tc>
      </w:tr>
      <w:tr w14:paraId="797EC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2" w:hRule="atLeast"/>
          <w:jc w:val="center"/>
        </w:trPr>
        <w:tc>
          <w:tcPr>
            <w:tcW w:w="739" w:type="dxa"/>
            <w:vMerge w:val="continue"/>
            <w:noWrap w:val="0"/>
            <w:vAlign w:val="center"/>
          </w:tcPr>
          <w:p w14:paraId="5D6CE96F">
            <w:pPr>
              <w:jc w:val="center"/>
              <w:rPr>
                <w:rFonts w:hint="eastAsia" w:ascii="宋体" w:hAnsi="宋体" w:cs="宋体"/>
                <w:color w:val="auto"/>
                <w:sz w:val="24"/>
                <w:highlight w:val="none"/>
              </w:rPr>
            </w:pPr>
          </w:p>
        </w:tc>
        <w:tc>
          <w:tcPr>
            <w:tcW w:w="1349" w:type="dxa"/>
            <w:vMerge w:val="continue"/>
            <w:noWrap w:val="0"/>
            <w:vAlign w:val="center"/>
          </w:tcPr>
          <w:p w14:paraId="5DF870BD">
            <w:pPr>
              <w:jc w:val="center"/>
              <w:rPr>
                <w:rFonts w:hint="eastAsia" w:ascii="宋体" w:hAnsi="宋体" w:cs="宋体"/>
                <w:color w:val="auto"/>
                <w:sz w:val="24"/>
                <w:highlight w:val="none"/>
              </w:rPr>
            </w:pPr>
          </w:p>
        </w:tc>
        <w:tc>
          <w:tcPr>
            <w:tcW w:w="7690" w:type="dxa"/>
            <w:noWrap w:val="0"/>
            <w:vAlign w:val="center"/>
          </w:tcPr>
          <w:p w14:paraId="692CCF06">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小微企业只有提供本企业制造的货物、承担的工程或者服务，或者提供其他小微企业制造的货物，享受投标货物的价格折扣；</w:t>
            </w:r>
          </w:p>
          <w:p w14:paraId="598E74FF">
            <w:pPr>
              <w:rPr>
                <w:rFonts w:hint="eastAsia" w:ascii="宋体" w:hAnsi="宋体" w:cs="宋体"/>
                <w:color w:val="auto"/>
                <w:sz w:val="24"/>
                <w:highlight w:val="none"/>
              </w:rPr>
            </w:pPr>
            <w:r>
              <w:rPr>
                <w:rFonts w:hint="eastAsia" w:ascii="宋体" w:hAnsi="宋体" w:eastAsia="宋体" w:cs="宋体"/>
                <w:bCs/>
                <w:color w:val="auto"/>
                <w:sz w:val="24"/>
                <w:highlight w:val="none"/>
              </w:rPr>
              <w:t>小微企业提供中型企业制造的货物或使用大型企业注册商标货物的，视同为中型企业。</w:t>
            </w:r>
          </w:p>
        </w:tc>
      </w:tr>
      <w:tr w14:paraId="42D63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39" w:type="dxa"/>
            <w:vMerge w:val="continue"/>
            <w:noWrap w:val="0"/>
            <w:vAlign w:val="center"/>
          </w:tcPr>
          <w:p w14:paraId="447C5C20">
            <w:pPr>
              <w:jc w:val="center"/>
              <w:rPr>
                <w:rFonts w:hint="eastAsia" w:ascii="宋体" w:hAnsi="宋体" w:cs="宋体"/>
                <w:color w:val="auto"/>
                <w:sz w:val="24"/>
                <w:highlight w:val="none"/>
              </w:rPr>
            </w:pPr>
          </w:p>
        </w:tc>
        <w:tc>
          <w:tcPr>
            <w:tcW w:w="1349" w:type="dxa"/>
            <w:noWrap w:val="0"/>
            <w:vAlign w:val="center"/>
          </w:tcPr>
          <w:p w14:paraId="667ED960">
            <w:pPr>
              <w:jc w:val="center"/>
              <w:rPr>
                <w:rFonts w:hint="eastAsia" w:ascii="宋体" w:hAnsi="宋体" w:cs="宋体"/>
                <w:color w:val="auto"/>
                <w:sz w:val="24"/>
                <w:highlight w:val="none"/>
              </w:rPr>
            </w:pPr>
            <w:r>
              <w:rPr>
                <w:rFonts w:hint="eastAsia" w:ascii="宋体" w:hAnsi="宋体" w:cs="宋体"/>
                <w:color w:val="auto"/>
                <w:sz w:val="24"/>
                <w:highlight w:val="none"/>
              </w:rPr>
              <w:t>监狱企业</w:t>
            </w:r>
          </w:p>
        </w:tc>
        <w:tc>
          <w:tcPr>
            <w:tcW w:w="7690" w:type="dxa"/>
            <w:noWrap w:val="0"/>
            <w:vAlign w:val="center"/>
          </w:tcPr>
          <w:p w14:paraId="10540594">
            <w:pPr>
              <w:rPr>
                <w:rFonts w:hint="eastAsia" w:ascii="宋体" w:hAnsi="宋体" w:cs="宋体"/>
                <w:color w:val="auto"/>
                <w:sz w:val="24"/>
                <w:highlight w:val="none"/>
              </w:rPr>
            </w:pPr>
            <w:r>
              <w:rPr>
                <w:rFonts w:hint="eastAsia" w:ascii="宋体" w:hAnsi="宋体" w:eastAsia="宋体" w:cs="宋体"/>
                <w:bCs/>
                <w:color w:val="auto"/>
                <w:sz w:val="24"/>
                <w:highlight w:val="none"/>
              </w:rPr>
              <w:t>根据财库〔2014〕68号《财政部司法部关于政府采购支持监狱企业发展有关问题的通知》，</w:t>
            </w:r>
            <w:r>
              <w:rPr>
                <w:rFonts w:hint="eastAsia" w:ascii="宋体" w:hAnsi="宋体" w:eastAsia="宋体" w:cs="宋体"/>
                <w:color w:val="auto"/>
                <w:sz w:val="24"/>
                <w:highlight w:val="none"/>
              </w:rPr>
              <w:t>由省级以上监狱管理局、戒毒管理局（含新疆生产建设兵团）</w:t>
            </w:r>
            <w:r>
              <w:rPr>
                <w:rFonts w:hint="eastAsia" w:ascii="宋体" w:hAnsi="宋体" w:eastAsia="宋体" w:cs="宋体"/>
                <w:color w:val="auto"/>
                <w:sz w:val="24"/>
                <w:highlight w:val="none"/>
                <w:lang w:eastAsia="zh-CN"/>
              </w:rPr>
              <w:t>认定</w:t>
            </w:r>
            <w:r>
              <w:rPr>
                <w:rFonts w:hint="eastAsia" w:ascii="宋体" w:hAnsi="宋体" w:eastAsia="宋体" w:cs="宋体"/>
                <w:color w:val="auto"/>
                <w:sz w:val="24"/>
                <w:highlight w:val="none"/>
              </w:rPr>
              <w:t>的监狱企业，</w:t>
            </w:r>
            <w:r>
              <w:rPr>
                <w:rFonts w:hint="eastAsia" w:ascii="宋体" w:hAnsi="宋体" w:eastAsia="宋体" w:cs="宋体"/>
                <w:color w:val="auto"/>
                <w:sz w:val="24"/>
                <w:highlight w:val="none"/>
                <w:lang w:eastAsia="zh-CN"/>
              </w:rPr>
              <w:t>提供《</w:t>
            </w:r>
            <w:r>
              <w:rPr>
                <w:rFonts w:hint="eastAsia" w:ascii="宋体" w:hAnsi="宋体" w:eastAsia="宋体" w:cs="宋体"/>
                <w:color w:val="auto"/>
                <w:sz w:val="24"/>
                <w:highlight w:val="none"/>
              </w:rPr>
              <w:t>监狱企业</w:t>
            </w:r>
            <w:r>
              <w:rPr>
                <w:rFonts w:hint="eastAsia" w:ascii="宋体" w:hAnsi="宋体" w:eastAsia="宋体" w:cs="宋体"/>
                <w:color w:val="auto"/>
                <w:sz w:val="24"/>
                <w:highlight w:val="none"/>
                <w:lang w:eastAsia="zh-CN"/>
              </w:rPr>
              <w:t>声明函》的</w:t>
            </w:r>
            <w:r>
              <w:rPr>
                <w:rFonts w:hint="eastAsia" w:ascii="宋体" w:hAnsi="宋体" w:eastAsia="宋体" w:cs="宋体"/>
                <w:bCs/>
                <w:color w:val="auto"/>
                <w:sz w:val="24"/>
                <w:highlight w:val="none"/>
              </w:rPr>
              <w:t>视同小微企业。</w:t>
            </w:r>
          </w:p>
        </w:tc>
      </w:tr>
      <w:tr w14:paraId="07D89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39" w:type="dxa"/>
            <w:vMerge w:val="continue"/>
            <w:noWrap w:val="0"/>
            <w:vAlign w:val="center"/>
          </w:tcPr>
          <w:p w14:paraId="0634F8F5">
            <w:pPr>
              <w:jc w:val="center"/>
              <w:rPr>
                <w:rFonts w:hint="eastAsia" w:ascii="宋体" w:hAnsi="宋体" w:cs="宋体"/>
                <w:color w:val="auto"/>
                <w:sz w:val="24"/>
                <w:highlight w:val="none"/>
              </w:rPr>
            </w:pPr>
          </w:p>
        </w:tc>
        <w:tc>
          <w:tcPr>
            <w:tcW w:w="1349" w:type="dxa"/>
            <w:noWrap w:val="0"/>
            <w:vAlign w:val="center"/>
          </w:tcPr>
          <w:p w14:paraId="7BC90FD2">
            <w:pPr>
              <w:jc w:val="center"/>
              <w:rPr>
                <w:rFonts w:hint="eastAsia" w:ascii="宋体" w:hAnsi="宋体" w:eastAsia="宋体" w:cs="宋体"/>
                <w:color w:val="auto"/>
                <w:sz w:val="24"/>
                <w:highlight w:val="none"/>
                <w:lang w:eastAsia="zh-CN"/>
              </w:rPr>
            </w:pPr>
            <w:r>
              <w:rPr>
                <w:rFonts w:hint="eastAsia" w:ascii="宋体" w:hAnsi="宋体" w:cs="宋体"/>
                <w:bCs/>
                <w:color w:val="auto"/>
                <w:sz w:val="24"/>
                <w:highlight w:val="none"/>
              </w:rPr>
              <w:t>残疾人福利性</w:t>
            </w:r>
            <w:r>
              <w:rPr>
                <w:rFonts w:hint="eastAsia" w:ascii="宋体" w:hAnsi="宋体" w:cs="宋体"/>
                <w:bCs/>
                <w:color w:val="auto"/>
                <w:sz w:val="24"/>
                <w:highlight w:val="none"/>
                <w:lang w:eastAsia="zh-CN"/>
              </w:rPr>
              <w:t>单位</w:t>
            </w:r>
          </w:p>
        </w:tc>
        <w:tc>
          <w:tcPr>
            <w:tcW w:w="7690" w:type="dxa"/>
            <w:noWrap w:val="0"/>
            <w:vAlign w:val="center"/>
          </w:tcPr>
          <w:p w14:paraId="5546FAAA">
            <w:pPr>
              <w:rPr>
                <w:rFonts w:hint="eastAsia" w:ascii="宋体" w:hAnsi="宋体" w:cs="宋体"/>
                <w:color w:val="auto"/>
                <w:sz w:val="24"/>
                <w:highlight w:val="none"/>
              </w:rPr>
            </w:pPr>
            <w:r>
              <w:rPr>
                <w:rFonts w:hint="eastAsia" w:ascii="宋体" w:hAnsi="宋体" w:eastAsia="宋体" w:cs="宋体"/>
                <w:bCs/>
                <w:color w:val="auto"/>
                <w:sz w:val="24"/>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36185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9778" w:type="dxa"/>
            <w:gridSpan w:val="3"/>
            <w:noWrap w:val="0"/>
            <w:vAlign w:val="center"/>
          </w:tcPr>
          <w:p w14:paraId="45C7CFE9">
            <w:pPr>
              <w:rPr>
                <w:rFonts w:hint="eastAsia" w:ascii="宋体" w:hAnsi="宋体" w:cs="宋体"/>
                <w:b/>
                <w:color w:val="auto"/>
                <w:sz w:val="24"/>
                <w:highlight w:val="none"/>
                <w:lang w:val="zh-CN"/>
              </w:rPr>
            </w:pPr>
            <w:r>
              <w:rPr>
                <w:rFonts w:hint="eastAsia" w:ascii="宋体" w:hAnsi="宋体" w:cs="宋体"/>
                <w:b/>
                <w:color w:val="auto"/>
                <w:sz w:val="24"/>
                <w:highlight w:val="none"/>
                <w:lang w:val="zh-CN"/>
              </w:rPr>
              <w:t>评分注意事项：</w:t>
            </w:r>
          </w:p>
          <w:p w14:paraId="1407B249">
            <w:pPr>
              <w:rPr>
                <w:rFonts w:hint="eastAsia" w:ascii="宋体" w:hAnsi="宋体" w:cs="宋体"/>
                <w:b/>
                <w:color w:val="auto"/>
                <w:sz w:val="24"/>
                <w:highlight w:val="none"/>
                <w:lang w:val="zh-CN"/>
              </w:rPr>
            </w:pPr>
            <w:r>
              <w:rPr>
                <w:rFonts w:hint="eastAsia" w:ascii="宋体" w:hAnsi="宋体" w:cs="宋体"/>
                <w:b/>
                <w:color w:val="auto"/>
                <w:sz w:val="24"/>
                <w:highlight w:val="none"/>
                <w:lang w:val="zh-CN"/>
              </w:rPr>
              <w:t xml:space="preserve">    </w:t>
            </w:r>
            <w:r>
              <w:rPr>
                <w:rFonts w:hint="eastAsia" w:ascii="宋体" w:hAnsi="宋体" w:cs="宋体"/>
                <w:color w:val="auto"/>
                <w:sz w:val="24"/>
                <w:highlight w:val="none"/>
                <w:lang w:val="zh-CN"/>
              </w:rPr>
              <w:t>因落实政府采购政策进行价格调整的，</w:t>
            </w:r>
            <w:r>
              <w:rPr>
                <w:rFonts w:hint="eastAsia" w:ascii="宋体" w:hAnsi="宋体" w:cs="宋体"/>
                <w:color w:val="auto"/>
                <w:sz w:val="24"/>
                <w:highlight w:val="none"/>
                <w:lang w:val="en-US" w:eastAsia="zh-CN"/>
              </w:rPr>
              <w:t>评审</w:t>
            </w:r>
            <w:r>
              <w:rPr>
                <w:rFonts w:hint="eastAsia" w:ascii="宋体" w:hAnsi="宋体" w:cs="宋体"/>
                <w:color w:val="auto"/>
                <w:sz w:val="24"/>
                <w:highlight w:val="none"/>
                <w:lang w:val="zh-CN"/>
              </w:rPr>
              <w:t>小组应记录价格调整的依据、计算过程及计算结果。</w:t>
            </w:r>
          </w:p>
        </w:tc>
      </w:tr>
    </w:tbl>
    <w:p w14:paraId="22205EF1">
      <w:pPr>
        <w:adjustRightInd w:val="0"/>
        <w:snapToGrid w:val="0"/>
        <w:spacing w:line="400" w:lineRule="exact"/>
        <w:jc w:val="center"/>
        <w:rPr>
          <w:rFonts w:hint="eastAsia" w:ascii="宋体" w:hAnsi="宋体" w:cs="宋体"/>
          <w:color w:val="auto"/>
          <w:sz w:val="24"/>
          <w:szCs w:val="24"/>
          <w:highlight w:val="none"/>
        </w:rPr>
      </w:pPr>
    </w:p>
    <w:p w14:paraId="6095FD6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4.5.5 商务技术评审标准</w:t>
      </w:r>
    </w:p>
    <w:p w14:paraId="495A7C2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cs="宋体"/>
          <w:b/>
          <w:color w:val="auto"/>
          <w:sz w:val="24"/>
          <w:szCs w:val="24"/>
          <w:highlight w:val="none"/>
        </w:rPr>
      </w:pP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w:t>
      </w:r>
      <w:r>
        <w:rPr>
          <w:rFonts w:hint="eastAsia" w:ascii="宋体" w:hAnsi="宋体" w:cs="宋体"/>
          <w:b/>
          <w:color w:val="auto"/>
          <w:sz w:val="24"/>
          <w:szCs w:val="24"/>
          <w:highlight w:val="none"/>
          <w:lang w:val="en-US" w:eastAsia="zh-CN"/>
        </w:rPr>
        <w:t>9</w:t>
      </w:r>
      <w:r>
        <w:rPr>
          <w:rFonts w:hint="eastAsia" w:ascii="宋体" w:hAnsi="宋体" w:cs="宋体"/>
          <w:b/>
          <w:color w:val="auto"/>
          <w:sz w:val="24"/>
          <w:szCs w:val="24"/>
          <w:highlight w:val="none"/>
        </w:rPr>
        <w:t>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141"/>
        <w:tblW w:w="96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50"/>
        <w:gridCol w:w="1169"/>
        <w:gridCol w:w="6972"/>
        <w:gridCol w:w="792"/>
      </w:tblGrid>
      <w:tr w14:paraId="0A88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1" w:hRule="atLeast"/>
          <w:jc w:val="center"/>
        </w:trPr>
        <w:tc>
          <w:tcPr>
            <w:tcW w:w="750" w:type="dxa"/>
            <w:noWrap w:val="0"/>
            <w:vAlign w:val="center"/>
          </w:tcPr>
          <w:p w14:paraId="4ADE770B">
            <w:pPr>
              <w:keepNext w:val="0"/>
              <w:keepLines w:val="0"/>
              <w:pageBreakBefore w:val="0"/>
              <w:widowControl w:val="0"/>
              <w:kinsoku/>
              <w:wordWrap w:val="0"/>
              <w:overflowPunct/>
              <w:topLinePunct/>
              <w:autoSpaceDE/>
              <w:autoSpaceDN/>
              <w:bidi w:val="0"/>
              <w:adjustRightInd w:val="0"/>
              <w:snapToGrid w:val="0"/>
              <w:spacing w:line="240" w:lineRule="auto"/>
              <w:jc w:val="center"/>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序号</w:t>
            </w:r>
          </w:p>
        </w:tc>
        <w:tc>
          <w:tcPr>
            <w:tcW w:w="1169" w:type="dxa"/>
            <w:noWrap w:val="0"/>
            <w:vAlign w:val="center"/>
          </w:tcPr>
          <w:p w14:paraId="73888F73">
            <w:pPr>
              <w:keepNext w:val="0"/>
              <w:keepLines w:val="0"/>
              <w:pageBreakBefore w:val="0"/>
              <w:widowControl w:val="0"/>
              <w:kinsoku/>
              <w:wordWrap w:val="0"/>
              <w:overflowPunct/>
              <w:topLinePunct/>
              <w:autoSpaceDE/>
              <w:autoSpaceDN/>
              <w:bidi w:val="0"/>
              <w:adjustRightInd w:val="0"/>
              <w:snapToGrid w:val="0"/>
              <w:spacing w:line="240" w:lineRule="auto"/>
              <w:jc w:val="center"/>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评审因素</w:t>
            </w:r>
          </w:p>
        </w:tc>
        <w:tc>
          <w:tcPr>
            <w:tcW w:w="6972" w:type="dxa"/>
            <w:noWrap w:val="0"/>
            <w:vAlign w:val="center"/>
          </w:tcPr>
          <w:p w14:paraId="289B32C6">
            <w:pPr>
              <w:keepNext w:val="0"/>
              <w:keepLines w:val="0"/>
              <w:pageBreakBefore w:val="0"/>
              <w:widowControl w:val="0"/>
              <w:kinsoku/>
              <w:wordWrap w:val="0"/>
              <w:overflowPunct/>
              <w:topLinePunct/>
              <w:autoSpaceDE/>
              <w:autoSpaceDN/>
              <w:bidi w:val="0"/>
              <w:adjustRightInd w:val="0"/>
              <w:snapToGrid w:val="0"/>
              <w:spacing w:line="240" w:lineRule="auto"/>
              <w:jc w:val="center"/>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评分标准</w:t>
            </w:r>
          </w:p>
        </w:tc>
        <w:tc>
          <w:tcPr>
            <w:tcW w:w="792" w:type="dxa"/>
            <w:noWrap w:val="0"/>
            <w:vAlign w:val="center"/>
          </w:tcPr>
          <w:p w14:paraId="22D552D0">
            <w:pPr>
              <w:keepNext w:val="0"/>
              <w:keepLines w:val="0"/>
              <w:pageBreakBefore w:val="0"/>
              <w:widowControl w:val="0"/>
              <w:kinsoku/>
              <w:wordWrap w:val="0"/>
              <w:overflowPunct/>
              <w:topLinePunct/>
              <w:autoSpaceDE/>
              <w:autoSpaceDN/>
              <w:bidi w:val="0"/>
              <w:adjustRightInd w:val="0"/>
              <w:snapToGrid w:val="0"/>
              <w:spacing w:line="240" w:lineRule="auto"/>
              <w:jc w:val="center"/>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分值</w:t>
            </w:r>
          </w:p>
        </w:tc>
      </w:tr>
      <w:tr w14:paraId="23F90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4" w:hRule="atLeast"/>
          <w:jc w:val="center"/>
        </w:trPr>
        <w:tc>
          <w:tcPr>
            <w:tcW w:w="750" w:type="dxa"/>
            <w:noWrap w:val="0"/>
            <w:vAlign w:val="center"/>
          </w:tcPr>
          <w:p w14:paraId="1C0107A8">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1169" w:type="dxa"/>
            <w:noWrap w:val="0"/>
            <w:vAlign w:val="center"/>
          </w:tcPr>
          <w:p w14:paraId="688D352C">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商务部分</w:t>
            </w:r>
          </w:p>
          <w:p w14:paraId="17A8D675">
            <w:pPr>
              <w:pStyle w:val="29"/>
              <w:jc w:val="center"/>
              <w:rPr>
                <w:rFonts w:hint="eastAsia"/>
                <w:color w:val="auto"/>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分）</w:t>
            </w:r>
          </w:p>
        </w:tc>
        <w:tc>
          <w:tcPr>
            <w:tcW w:w="6972" w:type="dxa"/>
            <w:shd w:val="clear" w:color="auto" w:fill="auto"/>
            <w:noWrap w:val="0"/>
            <w:vAlign w:val="center"/>
          </w:tcPr>
          <w:p w14:paraId="21FBFA79">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zh-CN" w:eastAsia="zh-CN"/>
              </w:rPr>
              <w:t>业绩：</w:t>
            </w:r>
            <w:r>
              <w:rPr>
                <w:rFonts w:hint="eastAsia" w:ascii="宋体" w:hAnsi="宋体" w:eastAsia="宋体" w:cs="宋体"/>
                <w:color w:val="auto"/>
                <w:sz w:val="24"/>
                <w:szCs w:val="24"/>
                <w:highlight w:val="none"/>
                <w:lang w:val="en-US" w:eastAsia="zh-CN"/>
              </w:rPr>
              <w:t>投标人提供类似业绩证明资料，提供1份加2分，满分10分（</w:t>
            </w:r>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中标通知书或合同复印件加盖公章。</w:t>
            </w:r>
            <w:r>
              <w:rPr>
                <w:rFonts w:hint="eastAsia" w:ascii="宋体" w:hAnsi="宋体" w:eastAsia="宋体" w:cs="宋体"/>
                <w:b w:val="0"/>
                <w:bCs w:val="0"/>
                <w:color w:val="auto"/>
                <w:kern w:val="2"/>
                <w:sz w:val="24"/>
                <w:szCs w:val="24"/>
                <w:highlight w:val="none"/>
              </w:rPr>
              <w:t>如出现字体模糊不清，印章不清晰，视为无效业绩</w:t>
            </w:r>
            <w:r>
              <w:rPr>
                <w:rFonts w:hint="eastAsia" w:ascii="宋体" w:hAnsi="宋体" w:eastAsia="宋体" w:cs="宋体"/>
                <w:color w:val="auto"/>
                <w:sz w:val="24"/>
                <w:szCs w:val="24"/>
                <w:highlight w:val="none"/>
                <w:lang w:val="en-US" w:eastAsia="zh-CN"/>
              </w:rPr>
              <w:t>）。</w:t>
            </w:r>
          </w:p>
        </w:tc>
        <w:tc>
          <w:tcPr>
            <w:tcW w:w="792" w:type="dxa"/>
            <w:shd w:val="clear" w:color="auto" w:fill="auto"/>
            <w:noWrap w:val="0"/>
            <w:vAlign w:val="center"/>
          </w:tcPr>
          <w:p w14:paraId="68ABD091">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p>
        </w:tc>
      </w:tr>
      <w:tr w14:paraId="7FCB4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2" w:hRule="atLeast"/>
          <w:jc w:val="center"/>
        </w:trPr>
        <w:tc>
          <w:tcPr>
            <w:tcW w:w="750" w:type="dxa"/>
            <w:noWrap w:val="0"/>
            <w:vAlign w:val="center"/>
          </w:tcPr>
          <w:p w14:paraId="2244AA45">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169" w:type="dxa"/>
            <w:vMerge w:val="restart"/>
            <w:noWrap w:val="0"/>
            <w:vAlign w:val="center"/>
          </w:tcPr>
          <w:p w14:paraId="30B708A1">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技术部分</w:t>
            </w:r>
          </w:p>
          <w:p w14:paraId="6059C582">
            <w:pPr>
              <w:pStyle w:val="29"/>
              <w:jc w:val="center"/>
              <w:rPr>
                <w:rFonts w:hint="default"/>
                <w:color w:val="auto"/>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80</w:t>
            </w:r>
            <w:r>
              <w:rPr>
                <w:rFonts w:hint="eastAsia" w:ascii="宋体" w:hAnsi="宋体" w:eastAsia="宋体" w:cs="宋体"/>
                <w:color w:val="auto"/>
                <w:sz w:val="24"/>
                <w:szCs w:val="24"/>
                <w:highlight w:val="none"/>
                <w:lang w:val="en-US" w:eastAsia="zh-CN"/>
              </w:rPr>
              <w:t>分）</w:t>
            </w:r>
          </w:p>
        </w:tc>
        <w:tc>
          <w:tcPr>
            <w:tcW w:w="6972" w:type="dxa"/>
            <w:shd w:val="clear" w:color="auto" w:fill="auto"/>
            <w:noWrap w:val="0"/>
            <w:vAlign w:val="center"/>
          </w:tcPr>
          <w:p w14:paraId="0D905496">
            <w:pPr>
              <w:pStyle w:val="117"/>
              <w:spacing w:line="300" w:lineRule="exact"/>
              <w:ind w:left="0" w:leftChars="0" w:firstLine="0" w:firstLineChars="0"/>
              <w:rPr>
                <w:rFonts w:hint="eastAsia"/>
                <w:color w:val="auto"/>
                <w:sz w:val="24"/>
                <w:szCs w:val="24"/>
                <w:highlight w:val="none"/>
                <w:lang w:val="en-US"/>
              </w:rPr>
            </w:pPr>
            <w:r>
              <w:rPr>
                <w:rFonts w:hint="eastAsia" w:ascii="宋体" w:hAnsi="宋体" w:cs="宋体"/>
                <w:color w:val="auto"/>
                <w:sz w:val="24"/>
                <w:szCs w:val="24"/>
                <w:highlight w:val="none"/>
                <w:lang w:val="en-US" w:eastAsia="zh-CN"/>
              </w:rPr>
              <w:t>项目实施（</w:t>
            </w:r>
            <w:r>
              <w:rPr>
                <w:rFonts w:hint="eastAsia" w:ascii="宋体" w:hAnsi="宋体" w:cs="宋体"/>
                <w:color w:val="auto"/>
                <w:sz w:val="24"/>
                <w:szCs w:val="24"/>
                <w:highlight w:val="none"/>
              </w:rPr>
              <w:t>服务</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方案（</w:t>
            </w: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分</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w:t>
            </w:r>
            <w:r>
              <w:rPr>
                <w:rFonts w:hint="eastAsia"/>
                <w:color w:val="auto"/>
                <w:sz w:val="24"/>
                <w:szCs w:val="24"/>
                <w:highlight w:val="none"/>
                <w:lang w:val="en-US"/>
              </w:rPr>
              <w:t>投标人针对本项目提供的项目实施方案，内容包含但不限于</w:t>
            </w:r>
            <w:r>
              <w:rPr>
                <w:rFonts w:hint="eastAsia"/>
                <w:color w:val="auto"/>
                <w:sz w:val="24"/>
                <w:szCs w:val="24"/>
                <w:highlight w:val="none"/>
                <w:lang w:val="en-US" w:eastAsia="zh-CN"/>
              </w:rPr>
              <w:t>。</w:t>
            </w:r>
            <w:r>
              <w:rPr>
                <w:rFonts w:hint="eastAsia"/>
                <w:color w:val="auto"/>
                <w:sz w:val="24"/>
                <w:szCs w:val="24"/>
                <w:highlight w:val="none"/>
                <w:lang w:val="en-US"/>
              </w:rPr>
              <w:t>①整体管理思路</w:t>
            </w:r>
            <w:r>
              <w:rPr>
                <w:rFonts w:hint="eastAsia"/>
                <w:color w:val="auto"/>
                <w:sz w:val="24"/>
                <w:szCs w:val="24"/>
                <w:highlight w:val="none"/>
                <w:lang w:val="en-US" w:eastAsia="zh-CN"/>
              </w:rPr>
              <w:t>（</w:t>
            </w:r>
            <w:r>
              <w:rPr>
                <w:rFonts w:hint="eastAsia"/>
                <w:color w:val="auto"/>
                <w:sz w:val="24"/>
                <w:szCs w:val="24"/>
                <w:highlight w:val="none"/>
                <w:lang w:val="en-US"/>
              </w:rPr>
              <w:t>内容包括整体思路、管理服务理念、管理目标</w:t>
            </w:r>
            <w:r>
              <w:rPr>
                <w:rFonts w:hint="eastAsia"/>
                <w:color w:val="auto"/>
                <w:sz w:val="24"/>
                <w:szCs w:val="24"/>
                <w:highlight w:val="none"/>
                <w:lang w:val="en-US" w:eastAsia="zh-CN"/>
              </w:rPr>
              <w:t>）</w:t>
            </w:r>
            <w:r>
              <w:rPr>
                <w:rFonts w:hint="eastAsia"/>
                <w:color w:val="auto"/>
                <w:sz w:val="24"/>
                <w:szCs w:val="24"/>
                <w:highlight w:val="none"/>
                <w:lang w:val="en-US"/>
              </w:rPr>
              <w:t>；②管理职责分工</w:t>
            </w:r>
            <w:r>
              <w:rPr>
                <w:rFonts w:hint="eastAsia"/>
                <w:color w:val="auto"/>
                <w:sz w:val="24"/>
                <w:szCs w:val="24"/>
                <w:highlight w:val="none"/>
                <w:lang w:val="en-US" w:eastAsia="zh-CN"/>
              </w:rPr>
              <w:t>（</w:t>
            </w:r>
            <w:r>
              <w:rPr>
                <w:rFonts w:hint="eastAsia"/>
                <w:color w:val="auto"/>
                <w:sz w:val="24"/>
                <w:szCs w:val="24"/>
                <w:highlight w:val="none"/>
                <w:lang w:val="en-US"/>
              </w:rPr>
              <w:t>内容包括队伍建设、员工行为规范、内部管理的职责分工、人员稳定措施</w:t>
            </w:r>
            <w:r>
              <w:rPr>
                <w:rFonts w:hint="eastAsia"/>
                <w:color w:val="auto"/>
                <w:sz w:val="24"/>
                <w:szCs w:val="24"/>
                <w:highlight w:val="none"/>
                <w:lang w:val="en-US" w:eastAsia="zh-CN"/>
              </w:rPr>
              <w:t>）</w:t>
            </w:r>
            <w:r>
              <w:rPr>
                <w:rFonts w:hint="eastAsia"/>
                <w:color w:val="auto"/>
                <w:sz w:val="24"/>
                <w:szCs w:val="24"/>
                <w:highlight w:val="none"/>
                <w:lang w:val="en-US"/>
              </w:rPr>
              <w:t>；③迎接有关检查等临时突击工作及安保措施。④服务质量承诺；</w:t>
            </w:r>
          </w:p>
          <w:p w14:paraId="0B42BD32">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eastAsia="宋体" w:cs="宋体"/>
                <w:color w:val="auto"/>
                <w:kern w:val="2"/>
                <w:sz w:val="24"/>
                <w:szCs w:val="24"/>
                <w:highlight w:val="none"/>
                <w:lang w:val="en-US" w:eastAsia="zh-CN" w:bidi="ar-SA"/>
              </w:rPr>
            </w:pPr>
            <w:r>
              <w:rPr>
                <w:rFonts w:hint="eastAsia"/>
                <w:color w:val="auto"/>
                <w:sz w:val="24"/>
                <w:szCs w:val="24"/>
                <w:highlight w:val="none"/>
                <w:lang w:val="en-US" w:eastAsia="zh-CN"/>
              </w:rPr>
              <w:t>（</w:t>
            </w:r>
            <w:r>
              <w:rPr>
                <w:rFonts w:hint="eastAsia"/>
                <w:color w:val="auto"/>
                <w:sz w:val="24"/>
                <w:szCs w:val="24"/>
                <w:highlight w:val="none"/>
                <w:lang w:val="en-US"/>
              </w:rPr>
              <w:t>以上方案内容完整清晰明确且科学合理、可行性高具有针对性并满足采购需求的得</w:t>
            </w:r>
            <w:r>
              <w:rPr>
                <w:rFonts w:hint="eastAsia"/>
                <w:color w:val="auto"/>
                <w:sz w:val="24"/>
                <w:szCs w:val="24"/>
                <w:highlight w:val="none"/>
                <w:lang w:val="en-US" w:eastAsia="zh-CN"/>
              </w:rPr>
              <w:t>20</w:t>
            </w:r>
            <w:r>
              <w:rPr>
                <w:rFonts w:hint="eastAsia"/>
                <w:color w:val="auto"/>
                <w:sz w:val="24"/>
                <w:szCs w:val="24"/>
                <w:highlight w:val="none"/>
                <w:lang w:val="en-US"/>
              </w:rPr>
              <w:t>分，每缺少一项内容扣</w:t>
            </w:r>
            <w:r>
              <w:rPr>
                <w:rFonts w:hint="eastAsia"/>
                <w:color w:val="auto"/>
                <w:sz w:val="24"/>
                <w:szCs w:val="24"/>
                <w:highlight w:val="none"/>
                <w:lang w:val="en-US" w:eastAsia="zh-CN"/>
              </w:rPr>
              <w:t>5</w:t>
            </w:r>
            <w:r>
              <w:rPr>
                <w:rFonts w:hint="eastAsia"/>
                <w:color w:val="auto"/>
                <w:sz w:val="24"/>
                <w:szCs w:val="24"/>
                <w:highlight w:val="none"/>
                <w:lang w:val="en-US"/>
              </w:rPr>
              <w:t>分；每有一项内容不完整或未能满足采购需求的或每有一处不具有针对性或逻辑性错误且不完整的扣1分；扣完为止</w:t>
            </w:r>
            <w:r>
              <w:rPr>
                <w:rFonts w:hint="eastAsia"/>
                <w:color w:val="auto"/>
                <w:sz w:val="24"/>
                <w:szCs w:val="24"/>
                <w:highlight w:val="none"/>
                <w:lang w:val="en-US" w:eastAsia="zh-CN"/>
              </w:rPr>
              <w:t>。</w:t>
            </w:r>
            <w:r>
              <w:rPr>
                <w:rFonts w:hint="eastAsia"/>
                <w:color w:val="auto"/>
                <w:kern w:val="0"/>
                <w:sz w:val="22"/>
                <w:highlight w:val="none"/>
                <w:lang w:eastAsia="zh-CN"/>
              </w:rPr>
              <w:t>）</w:t>
            </w:r>
          </w:p>
        </w:tc>
        <w:tc>
          <w:tcPr>
            <w:tcW w:w="792" w:type="dxa"/>
            <w:shd w:val="clear" w:color="auto" w:fill="auto"/>
            <w:noWrap w:val="0"/>
            <w:vAlign w:val="center"/>
          </w:tcPr>
          <w:p w14:paraId="54246E87">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20</w:t>
            </w:r>
          </w:p>
        </w:tc>
      </w:tr>
      <w:tr w14:paraId="43CF5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2" w:hRule="atLeast"/>
          <w:jc w:val="center"/>
        </w:trPr>
        <w:tc>
          <w:tcPr>
            <w:tcW w:w="750" w:type="dxa"/>
            <w:noWrap w:val="0"/>
            <w:vAlign w:val="center"/>
          </w:tcPr>
          <w:p w14:paraId="4BB19C61">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169" w:type="dxa"/>
            <w:vMerge w:val="continue"/>
            <w:noWrap w:val="0"/>
            <w:vAlign w:val="center"/>
          </w:tcPr>
          <w:p w14:paraId="5AC8DE17">
            <w:pPr>
              <w:pStyle w:val="29"/>
              <w:jc w:val="center"/>
              <w:rPr>
                <w:rFonts w:hint="eastAsia" w:ascii="宋体" w:hAnsi="宋体" w:eastAsia="宋体" w:cs="宋体"/>
                <w:color w:val="auto"/>
                <w:sz w:val="24"/>
                <w:szCs w:val="24"/>
                <w:highlight w:val="none"/>
                <w:lang w:val="en-US" w:eastAsia="zh-CN"/>
              </w:rPr>
            </w:pPr>
          </w:p>
        </w:tc>
        <w:tc>
          <w:tcPr>
            <w:tcW w:w="6972" w:type="dxa"/>
            <w:shd w:val="clear" w:color="auto" w:fill="auto"/>
            <w:noWrap w:val="0"/>
            <w:vAlign w:val="center"/>
          </w:tcPr>
          <w:p w14:paraId="7514BB4B">
            <w:pPr>
              <w:widowControl/>
              <w:jc w:val="both"/>
              <w:rPr>
                <w:rFonts w:hint="eastAsia" w:ascii="宋体" w:hAnsi="宋体" w:eastAsia="宋体" w:cs="宋体"/>
                <w:color w:val="auto"/>
                <w:kern w:val="0"/>
                <w:sz w:val="24"/>
                <w:szCs w:val="24"/>
                <w:highlight w:val="none"/>
                <w:lang w:eastAsia="zh-CN"/>
              </w:rPr>
            </w:pPr>
            <w:r>
              <w:rPr>
                <w:rFonts w:hint="eastAsia"/>
                <w:color w:val="auto"/>
                <w:sz w:val="24"/>
                <w:szCs w:val="24"/>
                <w:highlight w:val="none"/>
                <w:lang w:val="en-US" w:bidi="ar-SA"/>
              </w:rPr>
              <w:t>管理制度</w:t>
            </w:r>
            <w:r>
              <w:rPr>
                <w:rFonts w:hint="eastAsia"/>
                <w:color w:val="auto"/>
                <w:sz w:val="24"/>
                <w:szCs w:val="24"/>
                <w:highlight w:val="none"/>
              </w:rPr>
              <w:t>（</w:t>
            </w:r>
            <w:r>
              <w:rPr>
                <w:rFonts w:hint="eastAsia"/>
                <w:color w:val="auto"/>
                <w:sz w:val="24"/>
                <w:szCs w:val="24"/>
                <w:highlight w:val="none"/>
                <w:lang w:val="en-US"/>
              </w:rPr>
              <w:t>10</w:t>
            </w:r>
            <w:r>
              <w:rPr>
                <w:rFonts w:hint="eastAsia"/>
                <w:color w:val="auto"/>
                <w:sz w:val="24"/>
                <w:szCs w:val="24"/>
                <w:highlight w:val="none"/>
              </w:rPr>
              <w:t>分）</w:t>
            </w:r>
            <w:r>
              <w:rPr>
                <w:rFonts w:hint="eastAsia"/>
                <w:color w:val="auto"/>
                <w:sz w:val="24"/>
                <w:szCs w:val="24"/>
                <w:highlight w:val="none"/>
                <w:lang w:eastAsia="zh-CN"/>
              </w:rPr>
              <w:t>：</w:t>
            </w:r>
            <w:r>
              <w:rPr>
                <w:rFonts w:hint="eastAsia" w:ascii="宋体" w:hAnsi="宋体" w:cs="宋体"/>
                <w:color w:val="auto"/>
                <w:kern w:val="0"/>
                <w:sz w:val="24"/>
                <w:szCs w:val="24"/>
                <w:highlight w:val="none"/>
              </w:rPr>
              <w:t>投标人针对本项目制定的各类管理制度，内容包含但不限于</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①人员离职处理、空缺岗位填补、增减岗位程序；②安全防范、环境卫生工作管理制度；③日常人员培训计划；④首问责任制制度、投诉处理制度；</w:t>
            </w:r>
            <w:r>
              <w:rPr>
                <w:rFonts w:hint="eastAsia" w:ascii="宋体" w:hAnsi="宋体" w:cs="宋体"/>
                <w:color w:val="auto"/>
                <w:kern w:val="0"/>
                <w:sz w:val="24"/>
                <w:szCs w:val="24"/>
                <w:highlight w:val="none"/>
                <w:lang w:val="en-US" w:eastAsia="zh-CN"/>
              </w:rPr>
              <w:t>⑤人员考核方案</w:t>
            </w:r>
            <w:r>
              <w:rPr>
                <w:rFonts w:hint="eastAsia" w:ascii="宋体" w:hAnsi="宋体" w:cs="宋体"/>
                <w:color w:val="auto"/>
                <w:kern w:val="0"/>
                <w:sz w:val="24"/>
                <w:szCs w:val="24"/>
                <w:highlight w:val="none"/>
                <w:lang w:eastAsia="zh-CN"/>
              </w:rPr>
              <w:t>。</w:t>
            </w:r>
          </w:p>
          <w:p w14:paraId="0FBCE92D">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以上</w:t>
            </w:r>
            <w:r>
              <w:rPr>
                <w:rFonts w:hint="eastAsia" w:ascii="宋体" w:hAnsi="宋体" w:cs="宋体"/>
                <w:color w:val="auto"/>
                <w:kern w:val="0"/>
                <w:sz w:val="24"/>
                <w:szCs w:val="24"/>
                <w:highlight w:val="none"/>
                <w:lang w:val="en-US" w:eastAsia="zh-CN"/>
              </w:rPr>
              <w:t>制度</w:t>
            </w:r>
            <w:r>
              <w:rPr>
                <w:rFonts w:hint="eastAsia" w:ascii="宋体" w:hAnsi="宋体" w:cs="宋体"/>
                <w:color w:val="auto"/>
                <w:kern w:val="0"/>
                <w:sz w:val="24"/>
                <w:szCs w:val="24"/>
                <w:highlight w:val="none"/>
              </w:rPr>
              <w:t>内容完整清晰明确且科学合理、可行性高具有针对性并满足采购需求的得10分，每缺少一项内容扣2分；每有一项内容不完整或未能满足采购需求的或每有一处不具有针对性或逻辑性错误且不完整的扣1分；扣完为止。</w:t>
            </w:r>
            <w:r>
              <w:rPr>
                <w:rFonts w:hint="eastAsia" w:ascii="宋体" w:hAnsi="宋体" w:cs="宋体"/>
                <w:color w:val="auto"/>
                <w:kern w:val="0"/>
                <w:sz w:val="24"/>
                <w:szCs w:val="24"/>
                <w:highlight w:val="none"/>
                <w:lang w:eastAsia="zh-CN"/>
              </w:rPr>
              <w:t>）</w:t>
            </w:r>
          </w:p>
        </w:tc>
        <w:tc>
          <w:tcPr>
            <w:tcW w:w="792" w:type="dxa"/>
            <w:shd w:val="clear" w:color="auto" w:fill="auto"/>
            <w:noWrap w:val="0"/>
            <w:vAlign w:val="center"/>
          </w:tcPr>
          <w:p w14:paraId="3613B2DC">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r>
      <w:tr w14:paraId="61F13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2" w:hRule="atLeast"/>
          <w:jc w:val="center"/>
        </w:trPr>
        <w:tc>
          <w:tcPr>
            <w:tcW w:w="750" w:type="dxa"/>
            <w:noWrap w:val="0"/>
            <w:vAlign w:val="center"/>
          </w:tcPr>
          <w:p w14:paraId="148C7DE3">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169" w:type="dxa"/>
            <w:vMerge w:val="continue"/>
            <w:noWrap w:val="0"/>
            <w:vAlign w:val="center"/>
          </w:tcPr>
          <w:p w14:paraId="6F691A4F">
            <w:pPr>
              <w:pStyle w:val="29"/>
              <w:jc w:val="center"/>
              <w:rPr>
                <w:rFonts w:hint="eastAsia" w:ascii="宋体" w:hAnsi="宋体" w:eastAsia="宋体" w:cs="宋体"/>
                <w:color w:val="auto"/>
                <w:sz w:val="24"/>
                <w:szCs w:val="24"/>
                <w:highlight w:val="none"/>
                <w:lang w:val="en-US" w:eastAsia="zh-CN"/>
              </w:rPr>
            </w:pPr>
          </w:p>
        </w:tc>
        <w:tc>
          <w:tcPr>
            <w:tcW w:w="6972" w:type="dxa"/>
            <w:shd w:val="clear" w:color="auto" w:fill="auto"/>
            <w:noWrap w:val="0"/>
            <w:vAlign w:val="center"/>
          </w:tcPr>
          <w:p w14:paraId="107E0173">
            <w:pPr>
              <w:widowControl/>
              <w:rPr>
                <w:rFonts w:ascii="宋体" w:hAnsi="宋体" w:cs="宋体"/>
                <w:color w:val="auto"/>
                <w:kern w:val="0"/>
                <w:sz w:val="24"/>
                <w:szCs w:val="24"/>
                <w:highlight w:val="none"/>
              </w:rPr>
            </w:pPr>
            <w:r>
              <w:rPr>
                <w:rFonts w:hint="eastAsia"/>
                <w:color w:val="auto"/>
                <w:sz w:val="24"/>
                <w:szCs w:val="24"/>
                <w:highlight w:val="none"/>
                <w:lang w:val="en-US"/>
              </w:rPr>
              <w:t>应急预案</w:t>
            </w:r>
            <w:r>
              <w:rPr>
                <w:rFonts w:hint="eastAsia"/>
                <w:color w:val="auto"/>
                <w:sz w:val="24"/>
                <w:szCs w:val="24"/>
                <w:highlight w:val="none"/>
              </w:rPr>
              <w:t>（</w:t>
            </w:r>
            <w:r>
              <w:rPr>
                <w:rFonts w:hint="eastAsia"/>
                <w:color w:val="auto"/>
                <w:sz w:val="24"/>
                <w:szCs w:val="24"/>
                <w:highlight w:val="none"/>
                <w:lang w:val="en-US"/>
              </w:rPr>
              <w:t>10</w:t>
            </w:r>
            <w:r>
              <w:rPr>
                <w:rFonts w:hint="eastAsia"/>
                <w:color w:val="auto"/>
                <w:sz w:val="24"/>
                <w:szCs w:val="24"/>
                <w:highlight w:val="none"/>
              </w:rPr>
              <w:t>分）</w:t>
            </w:r>
            <w:r>
              <w:rPr>
                <w:rFonts w:hint="eastAsia"/>
                <w:color w:val="auto"/>
                <w:sz w:val="24"/>
                <w:szCs w:val="24"/>
                <w:highlight w:val="none"/>
                <w:lang w:eastAsia="zh-CN"/>
              </w:rPr>
              <w:t>：</w:t>
            </w:r>
            <w:r>
              <w:rPr>
                <w:rFonts w:hint="eastAsia" w:ascii="宋体" w:hAnsi="宋体" w:cs="宋体"/>
                <w:color w:val="auto"/>
                <w:kern w:val="0"/>
                <w:sz w:val="24"/>
                <w:szCs w:val="24"/>
                <w:highlight w:val="none"/>
              </w:rPr>
              <w:t>针对本项目制定符合采购人需求的突发事件包括但不限于以下内容</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①火灾事故应急预案；②治安案件、突发刑事案件预案；③</w:t>
            </w:r>
            <w:r>
              <w:rPr>
                <w:rFonts w:hint="eastAsia" w:ascii="宋体" w:hAnsi="宋体" w:cs="宋体"/>
                <w:color w:val="auto"/>
                <w:kern w:val="0"/>
                <w:sz w:val="24"/>
                <w:szCs w:val="24"/>
                <w:highlight w:val="none"/>
                <w:lang w:val="en-US" w:eastAsia="zh-CN"/>
              </w:rPr>
              <w:t>突发大规模</w:t>
            </w:r>
            <w:r>
              <w:rPr>
                <w:rFonts w:hint="eastAsia" w:ascii="宋体" w:hAnsi="宋体" w:cs="宋体"/>
                <w:color w:val="auto"/>
                <w:kern w:val="0"/>
                <w:sz w:val="24"/>
                <w:szCs w:val="24"/>
                <w:highlight w:val="none"/>
              </w:rPr>
              <w:t>事件预案；④地震预案；⑤触电、突发停电应急预案；⑥防汛防暴雨应急准备；⑦突发水浸应急预案；⑧气体泄漏应急预案；⑨高空坠物应急预案；⑩管理服务应急预案（包含但不限于酒醉者闹事、精神病人、陌生人乱窜乱走、失物处理、意外受伤、车辆冲闸）等。</w:t>
            </w:r>
          </w:p>
          <w:p w14:paraId="5637EA04">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上述内容提供齐全且与本项目保安服务相对应能完全满足或优于本项目服务需求的得10分；内容缺一项的扣1分，每有一项内容不完整（或未能满足采购需求或逻辑性不强或无针对性等）的，扣0.5分，扣完为止。</w:t>
            </w:r>
            <w:r>
              <w:rPr>
                <w:rFonts w:hint="eastAsia" w:ascii="宋体" w:hAnsi="宋体" w:cs="宋体"/>
                <w:color w:val="auto"/>
                <w:kern w:val="0"/>
                <w:sz w:val="24"/>
                <w:szCs w:val="24"/>
                <w:highlight w:val="none"/>
                <w:lang w:eastAsia="zh-CN"/>
              </w:rPr>
              <w:t>）</w:t>
            </w:r>
          </w:p>
        </w:tc>
        <w:tc>
          <w:tcPr>
            <w:tcW w:w="792" w:type="dxa"/>
            <w:shd w:val="clear" w:color="auto" w:fill="auto"/>
            <w:noWrap w:val="0"/>
            <w:vAlign w:val="center"/>
          </w:tcPr>
          <w:p w14:paraId="10FF0982">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r>
      <w:tr w14:paraId="03987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2" w:hRule="atLeast"/>
          <w:jc w:val="center"/>
        </w:trPr>
        <w:tc>
          <w:tcPr>
            <w:tcW w:w="750" w:type="dxa"/>
            <w:noWrap w:val="0"/>
            <w:vAlign w:val="center"/>
          </w:tcPr>
          <w:p w14:paraId="68A85E71">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169" w:type="dxa"/>
            <w:vMerge w:val="continue"/>
            <w:noWrap w:val="0"/>
            <w:vAlign w:val="center"/>
          </w:tcPr>
          <w:p w14:paraId="36FDB5C2">
            <w:pPr>
              <w:pStyle w:val="29"/>
              <w:jc w:val="center"/>
              <w:rPr>
                <w:rFonts w:hint="eastAsia" w:ascii="宋体" w:hAnsi="宋体" w:eastAsia="宋体" w:cs="宋体"/>
                <w:color w:val="auto"/>
                <w:sz w:val="24"/>
                <w:szCs w:val="24"/>
                <w:highlight w:val="none"/>
                <w:lang w:val="en-US" w:eastAsia="zh-CN"/>
              </w:rPr>
            </w:pPr>
          </w:p>
        </w:tc>
        <w:tc>
          <w:tcPr>
            <w:tcW w:w="6972" w:type="dxa"/>
            <w:shd w:val="clear" w:color="auto" w:fill="auto"/>
            <w:noWrap w:val="0"/>
            <w:vAlign w:val="center"/>
          </w:tcPr>
          <w:p w14:paraId="03AEF3AB">
            <w:pPr>
              <w:widowControl/>
              <w:numPr>
                <w:ilvl w:val="0"/>
                <w:numId w:val="0"/>
              </w:numPr>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人员配置（</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p w14:paraId="2CAE35B8">
            <w:pPr>
              <w:widowControl/>
              <w:numPr>
                <w:ilvl w:val="0"/>
                <w:numId w:val="0"/>
              </w:numPr>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项目经理和</w:t>
            </w:r>
            <w:r>
              <w:rPr>
                <w:rFonts w:hint="eastAsia" w:ascii="宋体" w:hAnsi="宋体" w:eastAsia="宋体" w:cs="宋体"/>
                <w:color w:val="auto"/>
                <w:kern w:val="0"/>
                <w:sz w:val="24"/>
                <w:szCs w:val="24"/>
                <w:highlight w:val="none"/>
              </w:rPr>
              <w:t>保安队长</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9分</w:t>
            </w:r>
            <w:r>
              <w:rPr>
                <w:rFonts w:hint="eastAsia" w:ascii="宋体" w:hAnsi="宋体" w:eastAsia="宋体" w:cs="宋体"/>
                <w:color w:val="auto"/>
                <w:kern w:val="0"/>
                <w:sz w:val="24"/>
                <w:szCs w:val="24"/>
                <w:highlight w:val="none"/>
                <w:lang w:eastAsia="zh-CN"/>
              </w:rPr>
              <w:t>）：①</w:t>
            </w:r>
            <w:r>
              <w:rPr>
                <w:rFonts w:hint="eastAsia" w:ascii="宋体" w:hAnsi="宋体" w:eastAsia="宋体" w:cs="宋体"/>
                <w:b w:val="0"/>
                <w:bCs w:val="0"/>
                <w:color w:val="auto"/>
                <w:kern w:val="0"/>
                <w:sz w:val="24"/>
                <w:szCs w:val="24"/>
                <w:highlight w:val="none"/>
                <w:lang w:val="en-US" w:eastAsia="zh-CN" w:bidi="ar-SA"/>
              </w:rPr>
              <w:t>具有保安师或高级保安师证书，每提供1个加2分，</w:t>
            </w:r>
            <w:r>
              <w:rPr>
                <w:rFonts w:hint="eastAsia" w:ascii="宋体" w:hAnsi="宋体" w:eastAsia="宋体" w:cs="宋体"/>
                <w:color w:val="auto"/>
                <w:kern w:val="0"/>
                <w:sz w:val="24"/>
                <w:szCs w:val="24"/>
                <w:highlight w:val="none"/>
                <w:lang w:val="en-US" w:eastAsia="zh-CN"/>
              </w:rPr>
              <w:t>最高得4分。</w:t>
            </w:r>
            <w:r>
              <w:rPr>
                <w:rFonts w:hint="eastAsia" w:ascii="宋体" w:hAnsi="宋体" w:eastAsia="宋体" w:cs="宋体"/>
                <w:color w:val="auto"/>
                <w:kern w:val="0"/>
                <w:sz w:val="24"/>
                <w:szCs w:val="24"/>
                <w:highlight w:val="none"/>
                <w:lang w:eastAsia="zh-CN"/>
              </w:rPr>
              <w:t>②</w:t>
            </w:r>
            <w:r>
              <w:rPr>
                <w:rFonts w:hint="eastAsia" w:ascii="宋体" w:hAnsi="宋体" w:eastAsia="宋体" w:cs="宋体"/>
                <w:color w:val="auto"/>
                <w:kern w:val="0"/>
                <w:sz w:val="24"/>
                <w:szCs w:val="24"/>
                <w:highlight w:val="none"/>
              </w:rPr>
              <w:t>具备两年</w:t>
            </w:r>
            <w:r>
              <w:rPr>
                <w:rFonts w:hint="eastAsia" w:ascii="宋体" w:hAnsi="宋体" w:eastAsia="宋体" w:cs="宋体"/>
                <w:color w:val="auto"/>
                <w:kern w:val="0"/>
                <w:sz w:val="24"/>
                <w:szCs w:val="24"/>
                <w:highlight w:val="none"/>
                <w:lang w:val="en-US" w:eastAsia="zh-CN"/>
              </w:rPr>
              <w:t>及</w:t>
            </w:r>
            <w:r>
              <w:rPr>
                <w:rFonts w:hint="eastAsia" w:ascii="宋体" w:hAnsi="宋体" w:eastAsia="宋体" w:cs="宋体"/>
                <w:color w:val="auto"/>
                <w:kern w:val="0"/>
                <w:sz w:val="24"/>
                <w:szCs w:val="24"/>
                <w:highlight w:val="none"/>
              </w:rPr>
              <w:t>以上相关工作经验</w:t>
            </w:r>
            <w:r>
              <w:rPr>
                <w:rFonts w:hint="eastAsia" w:ascii="宋体" w:hAnsi="宋体" w:eastAsia="宋体" w:cs="宋体"/>
                <w:color w:val="auto"/>
                <w:kern w:val="0"/>
                <w:sz w:val="24"/>
                <w:szCs w:val="24"/>
                <w:highlight w:val="none"/>
                <w:lang w:val="en-US" w:eastAsia="zh-CN"/>
              </w:rPr>
              <w:t>的，每提供1个得2.5分，最高得5分。</w:t>
            </w:r>
          </w:p>
          <w:p w14:paraId="0270D830">
            <w:pPr>
              <w:widowControl/>
              <w:numPr>
                <w:ilvl w:val="0"/>
                <w:numId w:val="0"/>
              </w:numPr>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2.保安人员（9分）：具有保安员证</w:t>
            </w:r>
            <w:r>
              <w:rPr>
                <w:rFonts w:hint="eastAsia" w:ascii="宋体" w:hAnsi="宋体" w:cs="宋体"/>
                <w:color w:val="auto"/>
                <w:kern w:val="0"/>
                <w:sz w:val="24"/>
                <w:szCs w:val="24"/>
                <w:highlight w:val="none"/>
                <w:lang w:val="en-US" w:eastAsia="zh-CN"/>
              </w:rPr>
              <w:t>9个的</w:t>
            </w:r>
            <w:r>
              <w:rPr>
                <w:rFonts w:hint="eastAsia" w:ascii="宋体" w:hAnsi="宋体" w:eastAsia="宋体" w:cs="宋体"/>
                <w:color w:val="auto"/>
                <w:kern w:val="0"/>
                <w:sz w:val="24"/>
                <w:szCs w:val="24"/>
                <w:highlight w:val="none"/>
                <w:lang w:val="en-US" w:eastAsia="zh-CN"/>
              </w:rPr>
              <w:t>得</w:t>
            </w: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en-US" w:eastAsia="zh-CN"/>
              </w:rPr>
              <w:t>分，</w:t>
            </w:r>
            <w:r>
              <w:rPr>
                <w:rFonts w:hint="eastAsia" w:ascii="宋体" w:hAnsi="宋体" w:cs="宋体"/>
                <w:color w:val="auto"/>
                <w:kern w:val="0"/>
                <w:sz w:val="24"/>
                <w:szCs w:val="24"/>
                <w:highlight w:val="none"/>
                <w:lang w:val="en-US" w:eastAsia="zh-CN"/>
              </w:rPr>
              <w:t>低于9个的不得</w:t>
            </w:r>
            <w:r>
              <w:rPr>
                <w:rFonts w:hint="eastAsia" w:ascii="宋体" w:hAnsi="宋体" w:eastAsia="宋体" w:cs="宋体"/>
                <w:color w:val="auto"/>
                <w:kern w:val="0"/>
                <w:sz w:val="24"/>
                <w:szCs w:val="24"/>
                <w:highlight w:val="none"/>
                <w:lang w:val="en-US" w:eastAsia="zh-CN"/>
              </w:rPr>
              <w:t>分。</w:t>
            </w:r>
          </w:p>
          <w:p w14:paraId="1710DE9F">
            <w:pPr>
              <w:widowControl/>
              <w:numPr>
                <w:ilvl w:val="0"/>
                <w:numId w:val="0"/>
              </w:numPr>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3.具有建（构）筑物消防员初级及以上证书或消防类证书，每提供1个加2分，最高得6分。</w:t>
            </w:r>
          </w:p>
          <w:p w14:paraId="053C3477">
            <w:pPr>
              <w:widowControl/>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w:t>
            </w:r>
            <w:r>
              <w:rPr>
                <w:rFonts w:hint="eastAsia" w:ascii="宋体" w:hAnsi="宋体" w:cs="宋体"/>
                <w:color w:val="auto"/>
                <w:kern w:val="0"/>
                <w:sz w:val="24"/>
                <w:szCs w:val="24"/>
                <w:highlight w:val="none"/>
                <w:lang w:val="en-US" w:eastAsia="zh-CN"/>
              </w:rPr>
              <w:t>保安</w:t>
            </w:r>
            <w:r>
              <w:rPr>
                <w:rFonts w:hint="eastAsia" w:ascii="宋体" w:hAnsi="宋体" w:eastAsia="宋体" w:cs="宋体"/>
                <w:color w:val="auto"/>
                <w:kern w:val="0"/>
                <w:sz w:val="24"/>
                <w:szCs w:val="24"/>
                <w:highlight w:val="none"/>
                <w:lang w:val="en-US" w:eastAsia="zh-CN"/>
              </w:rPr>
              <w:t>人员是退伍军人（含</w:t>
            </w:r>
            <w:r>
              <w:rPr>
                <w:rFonts w:hint="eastAsia" w:ascii="宋体" w:hAnsi="宋体" w:eastAsia="宋体" w:cs="宋体"/>
                <w:color w:val="auto"/>
                <w:kern w:val="0"/>
                <w:sz w:val="24"/>
                <w:szCs w:val="24"/>
                <w:highlight w:val="none"/>
              </w:rPr>
              <w:t>退役</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退休军人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每提供</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人得2分，最高得</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val="en-US" w:eastAsia="zh-CN"/>
              </w:rPr>
              <w:t>。</w:t>
            </w:r>
          </w:p>
          <w:p w14:paraId="74621975">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需提供身份证、学历证、</w:t>
            </w:r>
            <w:r>
              <w:rPr>
                <w:rFonts w:hint="eastAsia" w:ascii="宋体" w:hAnsi="宋体" w:eastAsia="宋体" w:cs="宋体"/>
                <w:color w:val="auto"/>
                <w:kern w:val="0"/>
                <w:sz w:val="24"/>
                <w:szCs w:val="24"/>
                <w:highlight w:val="none"/>
                <w:lang w:val="en-US" w:eastAsia="zh-CN"/>
              </w:rPr>
              <w:t>资质证书、</w:t>
            </w:r>
            <w:r>
              <w:rPr>
                <w:rFonts w:hint="eastAsia" w:ascii="宋体" w:hAnsi="宋体" w:eastAsia="宋体" w:cs="宋体"/>
                <w:color w:val="auto"/>
                <w:kern w:val="0"/>
                <w:sz w:val="24"/>
                <w:szCs w:val="24"/>
                <w:highlight w:val="none"/>
              </w:rPr>
              <w:t>劳动合同</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近6个月内任一月份社保缴费证明</w:t>
            </w:r>
            <w:r>
              <w:rPr>
                <w:rFonts w:hint="eastAsia" w:ascii="宋体" w:hAnsi="宋体" w:eastAsia="宋体" w:cs="宋体"/>
                <w:color w:val="auto"/>
                <w:kern w:val="0"/>
                <w:sz w:val="24"/>
                <w:szCs w:val="24"/>
                <w:highlight w:val="none"/>
              </w:rPr>
              <w:t>等</w:t>
            </w:r>
            <w:r>
              <w:rPr>
                <w:rFonts w:hint="eastAsia" w:ascii="宋体" w:hAnsi="宋体" w:eastAsia="宋体" w:cs="宋体"/>
                <w:color w:val="auto"/>
                <w:kern w:val="0"/>
                <w:sz w:val="24"/>
                <w:szCs w:val="24"/>
                <w:highlight w:val="none"/>
                <w:lang w:val="en-US" w:eastAsia="zh-CN"/>
              </w:rPr>
              <w:t>相关佐证</w:t>
            </w:r>
            <w:r>
              <w:rPr>
                <w:rFonts w:hint="eastAsia" w:ascii="宋体" w:hAnsi="宋体" w:eastAsia="宋体" w:cs="宋体"/>
                <w:color w:val="auto"/>
                <w:kern w:val="0"/>
                <w:sz w:val="24"/>
                <w:szCs w:val="24"/>
                <w:highlight w:val="none"/>
              </w:rPr>
              <w:t>证明材料扫描件</w:t>
            </w:r>
            <w:r>
              <w:rPr>
                <w:rFonts w:hint="eastAsia" w:ascii="宋体" w:hAnsi="宋体" w:eastAsia="宋体" w:cs="宋体"/>
                <w:color w:val="auto"/>
                <w:kern w:val="0"/>
                <w:sz w:val="24"/>
                <w:szCs w:val="24"/>
                <w:highlight w:val="none"/>
                <w:lang w:val="en-US" w:eastAsia="zh-CN"/>
              </w:rPr>
              <w:t>加盖公章，佐证材料不齐的不得分</w:t>
            </w:r>
            <w:r>
              <w:rPr>
                <w:rFonts w:hint="eastAsia" w:ascii="宋体" w:hAnsi="宋体" w:eastAsia="宋体" w:cs="宋体"/>
                <w:color w:val="auto"/>
                <w:kern w:val="0"/>
                <w:sz w:val="24"/>
                <w:szCs w:val="24"/>
                <w:highlight w:val="none"/>
                <w:lang w:eastAsia="zh-CN"/>
              </w:rPr>
              <w:t>）。</w:t>
            </w:r>
          </w:p>
        </w:tc>
        <w:tc>
          <w:tcPr>
            <w:tcW w:w="792" w:type="dxa"/>
            <w:shd w:val="clear" w:color="auto" w:fill="auto"/>
            <w:noWrap w:val="0"/>
            <w:vAlign w:val="center"/>
          </w:tcPr>
          <w:p w14:paraId="4E1F1C64">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30</w:t>
            </w:r>
          </w:p>
        </w:tc>
      </w:tr>
      <w:tr w14:paraId="0C4A8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2" w:hRule="atLeast"/>
          <w:jc w:val="center"/>
        </w:trPr>
        <w:tc>
          <w:tcPr>
            <w:tcW w:w="750" w:type="dxa"/>
            <w:noWrap w:val="0"/>
            <w:vAlign w:val="center"/>
          </w:tcPr>
          <w:p w14:paraId="0C7AB80D">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169" w:type="dxa"/>
            <w:vMerge w:val="continue"/>
            <w:noWrap w:val="0"/>
            <w:vAlign w:val="center"/>
          </w:tcPr>
          <w:p w14:paraId="6C8A3637">
            <w:pPr>
              <w:pStyle w:val="29"/>
              <w:jc w:val="center"/>
              <w:rPr>
                <w:rFonts w:hint="eastAsia" w:ascii="宋体" w:hAnsi="宋体" w:eastAsia="宋体" w:cs="宋体"/>
                <w:color w:val="auto"/>
                <w:sz w:val="24"/>
                <w:szCs w:val="24"/>
                <w:highlight w:val="none"/>
                <w:lang w:val="en-US" w:eastAsia="zh-CN"/>
              </w:rPr>
            </w:pPr>
          </w:p>
        </w:tc>
        <w:tc>
          <w:tcPr>
            <w:tcW w:w="6972" w:type="dxa"/>
            <w:shd w:val="clear" w:color="auto" w:fill="auto"/>
            <w:noWrap w:val="0"/>
            <w:vAlign w:val="center"/>
          </w:tcPr>
          <w:p w14:paraId="521728E9">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培训方案：</w:t>
            </w:r>
            <w:r>
              <w:rPr>
                <w:rFonts w:hint="default" w:ascii="宋体" w:hAnsi="宋体" w:eastAsia="宋体" w:cs="宋体"/>
                <w:color w:val="auto"/>
                <w:kern w:val="2"/>
                <w:sz w:val="24"/>
                <w:szCs w:val="24"/>
                <w:highlight w:val="none"/>
                <w:lang w:val="en-US" w:eastAsia="zh-CN" w:bidi="ar-SA"/>
              </w:rPr>
              <w:t>根据投标</w:t>
            </w:r>
            <w:r>
              <w:rPr>
                <w:rFonts w:hint="eastAsia" w:ascii="宋体" w:hAnsi="宋体" w:cs="宋体"/>
                <w:color w:val="auto"/>
                <w:kern w:val="2"/>
                <w:sz w:val="24"/>
                <w:szCs w:val="24"/>
                <w:highlight w:val="none"/>
                <w:lang w:val="en-US" w:eastAsia="zh-CN" w:bidi="ar-SA"/>
              </w:rPr>
              <w:t>人</w:t>
            </w:r>
            <w:r>
              <w:rPr>
                <w:rFonts w:hint="default" w:ascii="宋体" w:hAnsi="宋体" w:eastAsia="宋体" w:cs="宋体"/>
                <w:color w:val="auto"/>
                <w:kern w:val="2"/>
                <w:sz w:val="24"/>
                <w:szCs w:val="24"/>
                <w:highlight w:val="none"/>
                <w:lang w:val="en-US" w:eastAsia="zh-CN" w:bidi="ar-SA"/>
              </w:rPr>
              <w:t>提供的</w:t>
            </w:r>
            <w:r>
              <w:rPr>
                <w:rFonts w:hint="eastAsia" w:ascii="宋体" w:hAnsi="宋体" w:cs="宋体"/>
                <w:color w:val="auto"/>
                <w:kern w:val="2"/>
                <w:sz w:val="24"/>
                <w:szCs w:val="24"/>
                <w:highlight w:val="none"/>
                <w:lang w:val="en-US" w:eastAsia="zh-CN" w:bidi="ar-SA"/>
              </w:rPr>
              <w:t>保安</w:t>
            </w:r>
            <w:r>
              <w:rPr>
                <w:rFonts w:hint="default" w:ascii="宋体" w:hAnsi="宋体" w:eastAsia="宋体" w:cs="宋体"/>
                <w:color w:val="auto"/>
                <w:kern w:val="2"/>
                <w:sz w:val="24"/>
                <w:szCs w:val="24"/>
                <w:highlight w:val="none"/>
                <w:lang w:val="en-US" w:eastAsia="zh-CN" w:bidi="ar-SA"/>
              </w:rPr>
              <w:t>人员培训方案进行综合评审</w:t>
            </w:r>
            <w:r>
              <w:rPr>
                <w:rFonts w:hint="eastAsia" w:ascii="宋体" w:hAnsi="宋体" w:eastAsia="宋体" w:cs="宋体"/>
                <w:color w:val="auto"/>
                <w:kern w:val="2"/>
                <w:sz w:val="24"/>
                <w:szCs w:val="24"/>
                <w:highlight w:val="none"/>
                <w:lang w:val="en-US" w:eastAsia="zh-CN" w:bidi="ar-SA"/>
              </w:rPr>
              <w:t>。</w:t>
            </w:r>
          </w:p>
          <w:p w14:paraId="4BFC9029">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r>
              <w:rPr>
                <w:rFonts w:hint="default" w:ascii="宋体" w:hAnsi="宋体" w:eastAsia="宋体" w:cs="宋体"/>
                <w:color w:val="auto"/>
                <w:kern w:val="2"/>
                <w:sz w:val="24"/>
                <w:szCs w:val="24"/>
                <w:highlight w:val="none"/>
                <w:lang w:val="en-US" w:eastAsia="zh-CN" w:bidi="ar-SA"/>
              </w:rPr>
              <w:t>培训方案及培训内容安排合理、完善清晰，得</w:t>
            </w:r>
            <w:r>
              <w:rPr>
                <w:rFonts w:hint="eastAsia" w:ascii="宋体" w:hAnsi="宋体" w:eastAsia="宋体" w:cs="宋体"/>
                <w:color w:val="auto"/>
                <w:kern w:val="2"/>
                <w:sz w:val="24"/>
                <w:szCs w:val="24"/>
                <w:highlight w:val="none"/>
                <w:lang w:val="en-US" w:eastAsia="zh-CN" w:bidi="ar-SA"/>
              </w:rPr>
              <w:t>5</w:t>
            </w:r>
            <w:r>
              <w:rPr>
                <w:rFonts w:hint="default" w:ascii="宋体" w:hAnsi="宋体" w:eastAsia="宋体" w:cs="宋体"/>
                <w:color w:val="auto"/>
                <w:kern w:val="2"/>
                <w:sz w:val="24"/>
                <w:szCs w:val="24"/>
                <w:highlight w:val="none"/>
                <w:lang w:val="en-US" w:eastAsia="zh-CN" w:bidi="ar-SA"/>
              </w:rPr>
              <w:t>分；</w:t>
            </w:r>
          </w:p>
          <w:p w14:paraId="404DA358">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w:t>
            </w:r>
            <w:r>
              <w:rPr>
                <w:rFonts w:hint="default" w:ascii="宋体" w:hAnsi="宋体" w:eastAsia="宋体" w:cs="宋体"/>
                <w:color w:val="auto"/>
                <w:kern w:val="2"/>
                <w:sz w:val="24"/>
                <w:szCs w:val="24"/>
                <w:highlight w:val="none"/>
                <w:lang w:val="en-US" w:eastAsia="zh-CN" w:bidi="ar-SA"/>
              </w:rPr>
              <w:t>培训方案及培训内容笼统不够具体但能够满足采购人基本需求，得</w:t>
            </w:r>
            <w:r>
              <w:rPr>
                <w:rFonts w:hint="eastAsia" w:ascii="宋体" w:hAnsi="宋体" w:cs="宋体"/>
                <w:color w:val="auto"/>
                <w:kern w:val="2"/>
                <w:sz w:val="24"/>
                <w:szCs w:val="24"/>
                <w:highlight w:val="none"/>
                <w:lang w:val="en-US" w:eastAsia="zh-CN" w:bidi="ar-SA"/>
              </w:rPr>
              <w:t>3</w:t>
            </w:r>
            <w:r>
              <w:rPr>
                <w:rFonts w:hint="default" w:ascii="宋体" w:hAnsi="宋体" w:eastAsia="宋体" w:cs="宋体"/>
                <w:color w:val="auto"/>
                <w:kern w:val="2"/>
                <w:sz w:val="24"/>
                <w:szCs w:val="24"/>
                <w:highlight w:val="none"/>
                <w:lang w:val="en-US" w:eastAsia="zh-CN" w:bidi="ar-SA"/>
              </w:rPr>
              <w:t>分；</w:t>
            </w:r>
          </w:p>
          <w:p w14:paraId="62819D19">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default" w:ascii="宋体" w:hAnsi="宋体" w:eastAsia="宋体" w:cs="宋体"/>
                <w:color w:val="auto"/>
                <w:kern w:val="2"/>
                <w:sz w:val="24"/>
                <w:szCs w:val="24"/>
                <w:highlight w:val="none"/>
                <w:lang w:val="en-US" w:eastAsia="zh-CN" w:bidi="ar-SA"/>
              </w:rPr>
              <w:t>培训方案及培训内容不完善，仅能支持采购人的部分需求，得</w:t>
            </w:r>
            <w:r>
              <w:rPr>
                <w:rFonts w:hint="eastAsia" w:ascii="宋体" w:hAnsi="宋体" w:cs="宋体"/>
                <w:color w:val="auto"/>
                <w:kern w:val="2"/>
                <w:sz w:val="24"/>
                <w:szCs w:val="24"/>
                <w:highlight w:val="none"/>
                <w:lang w:val="en-US" w:eastAsia="zh-CN" w:bidi="ar-SA"/>
              </w:rPr>
              <w:t>1</w:t>
            </w:r>
            <w:r>
              <w:rPr>
                <w:rFonts w:hint="default" w:ascii="宋体" w:hAnsi="宋体" w:eastAsia="宋体" w:cs="宋体"/>
                <w:color w:val="auto"/>
                <w:kern w:val="2"/>
                <w:sz w:val="24"/>
                <w:szCs w:val="24"/>
                <w:highlight w:val="none"/>
                <w:lang w:val="en-US" w:eastAsia="zh-CN" w:bidi="ar-SA"/>
              </w:rPr>
              <w:t>分；</w:t>
            </w:r>
          </w:p>
          <w:p w14:paraId="6039672E">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4.未</w:t>
            </w:r>
            <w:r>
              <w:rPr>
                <w:rFonts w:hint="default" w:ascii="宋体" w:hAnsi="宋体" w:eastAsia="宋体" w:cs="宋体"/>
                <w:color w:val="auto"/>
                <w:kern w:val="2"/>
                <w:sz w:val="24"/>
                <w:szCs w:val="24"/>
                <w:highlight w:val="none"/>
                <w:lang w:val="en-US" w:eastAsia="zh-CN" w:bidi="ar-SA"/>
              </w:rPr>
              <w:t>提供不得分。</w:t>
            </w:r>
          </w:p>
        </w:tc>
        <w:tc>
          <w:tcPr>
            <w:tcW w:w="792" w:type="dxa"/>
            <w:shd w:val="clear" w:color="auto" w:fill="auto"/>
            <w:noWrap w:val="0"/>
            <w:vAlign w:val="center"/>
          </w:tcPr>
          <w:p w14:paraId="078AFF70">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0-5</w:t>
            </w:r>
          </w:p>
        </w:tc>
      </w:tr>
      <w:tr w14:paraId="55B25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31" w:hRule="atLeast"/>
          <w:jc w:val="center"/>
        </w:trPr>
        <w:tc>
          <w:tcPr>
            <w:tcW w:w="750" w:type="dxa"/>
            <w:noWrap w:val="0"/>
            <w:vAlign w:val="center"/>
          </w:tcPr>
          <w:p w14:paraId="2D554B85">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w:t>
            </w:r>
          </w:p>
        </w:tc>
        <w:tc>
          <w:tcPr>
            <w:tcW w:w="1169" w:type="dxa"/>
            <w:vMerge w:val="continue"/>
            <w:noWrap w:val="0"/>
            <w:vAlign w:val="center"/>
          </w:tcPr>
          <w:p w14:paraId="32E527C9">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rPr>
            </w:pPr>
          </w:p>
        </w:tc>
        <w:tc>
          <w:tcPr>
            <w:tcW w:w="6972" w:type="dxa"/>
            <w:noWrap w:val="0"/>
            <w:vAlign w:val="center"/>
          </w:tcPr>
          <w:p w14:paraId="0D4FB769">
            <w:pPr>
              <w:keepNext w:val="0"/>
              <w:keepLines w:val="0"/>
              <w:pageBreakBefore w:val="0"/>
              <w:widowControl w:val="0"/>
              <w:kinsoku/>
              <w:wordWrap/>
              <w:overflowPunct/>
              <w:topLinePunct w:val="0"/>
              <w:autoSpaceDE/>
              <w:autoSpaceDN/>
              <w:bidi w:val="0"/>
              <w:adjustRightInd w:val="0"/>
              <w:snapToGrid w:val="0"/>
              <w:spacing w:line="240" w:lineRule="auto"/>
              <w:ind w:left="0" w:right="0"/>
              <w:jc w:val="both"/>
              <w:textAlignment w:val="auto"/>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rPr>
              <w:t>增值服</w:t>
            </w:r>
            <w:r>
              <w:rPr>
                <w:rFonts w:hint="eastAsia" w:ascii="宋体" w:hAnsi="宋体" w:cs="宋体"/>
                <w:color w:val="auto"/>
                <w:kern w:val="0"/>
                <w:sz w:val="24"/>
                <w:szCs w:val="24"/>
                <w:highlight w:val="none"/>
                <w:lang w:val="en-US" w:eastAsia="zh-CN"/>
              </w:rPr>
              <w:t>务</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2分</w:t>
            </w:r>
            <w:r>
              <w:rPr>
                <w:rFonts w:hint="eastAsia" w:ascii="宋体" w:hAnsi="宋体" w:eastAsia="宋体" w:cs="宋体"/>
                <w:color w:val="auto"/>
                <w:kern w:val="0"/>
                <w:sz w:val="24"/>
                <w:szCs w:val="24"/>
                <w:highlight w:val="none"/>
                <w:lang w:eastAsia="zh-CN"/>
              </w:rPr>
              <w:t>）：</w:t>
            </w:r>
            <w:r>
              <w:rPr>
                <w:rFonts w:hint="eastAsia" w:ascii="宋体" w:hAnsi="宋体" w:cs="宋体"/>
                <w:color w:val="auto"/>
                <w:kern w:val="0"/>
                <w:sz w:val="24"/>
                <w:szCs w:val="24"/>
                <w:highlight w:val="none"/>
              </w:rPr>
              <w:t>能提供增值服务</w:t>
            </w:r>
            <w:r>
              <w:rPr>
                <w:rFonts w:hint="eastAsia" w:ascii="宋体" w:hAnsi="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eastAsia="zh-CN"/>
              </w:rPr>
              <w:t>内容详细完整的得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分；不够详细完整的得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分；未提供的不得分。</w:t>
            </w:r>
          </w:p>
        </w:tc>
        <w:tc>
          <w:tcPr>
            <w:tcW w:w="792" w:type="dxa"/>
            <w:noWrap w:val="0"/>
            <w:vAlign w:val="center"/>
          </w:tcPr>
          <w:p w14:paraId="35657C26">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0-2</w:t>
            </w:r>
          </w:p>
        </w:tc>
      </w:tr>
      <w:tr w14:paraId="38A1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1" w:hRule="atLeast"/>
          <w:jc w:val="center"/>
        </w:trPr>
        <w:tc>
          <w:tcPr>
            <w:tcW w:w="750" w:type="dxa"/>
            <w:noWrap w:val="0"/>
            <w:vAlign w:val="center"/>
          </w:tcPr>
          <w:p w14:paraId="261AB919">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8</w:t>
            </w:r>
          </w:p>
        </w:tc>
        <w:tc>
          <w:tcPr>
            <w:tcW w:w="1169" w:type="dxa"/>
            <w:vMerge w:val="continue"/>
            <w:noWrap w:val="0"/>
            <w:vAlign w:val="center"/>
          </w:tcPr>
          <w:p w14:paraId="166A2D39">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rPr>
            </w:pPr>
          </w:p>
        </w:tc>
        <w:tc>
          <w:tcPr>
            <w:tcW w:w="6972" w:type="dxa"/>
            <w:shd w:val="clear" w:color="auto" w:fill="auto"/>
            <w:noWrap w:val="0"/>
            <w:vAlign w:val="center"/>
          </w:tcPr>
          <w:p w14:paraId="0F03CBB1">
            <w:pPr>
              <w:keepNext w:val="0"/>
              <w:keepLines w:val="0"/>
              <w:pageBreakBefore w:val="0"/>
              <w:kinsoku/>
              <w:wordWrap/>
              <w:overflowPunct/>
              <w:topLinePunct w:val="0"/>
              <w:bidi w:val="0"/>
              <w:adjustRightInd w:val="0"/>
              <w:snapToGrid w:val="0"/>
              <w:spacing w:line="240" w:lineRule="auto"/>
              <w:ind w:right="0" w:rightChars="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本地化</w:t>
            </w:r>
            <w:r>
              <w:rPr>
                <w:rFonts w:hint="eastAsia" w:ascii="宋体" w:hAnsi="宋体" w:eastAsia="宋体" w:cs="宋体"/>
                <w:color w:val="auto"/>
                <w:sz w:val="24"/>
                <w:szCs w:val="24"/>
                <w:highlight w:val="none"/>
              </w:rPr>
              <w:t>服务（</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r>
              <w:rPr>
                <w:rFonts w:hint="eastAsia" w:ascii="宋体" w:hAnsi="宋体" w:cs="宋体"/>
                <w:color w:val="auto"/>
                <w:kern w:val="0"/>
                <w:sz w:val="24"/>
                <w:szCs w:val="24"/>
                <w:highlight w:val="none"/>
                <w:lang w:val="en-US" w:eastAsia="zh-CN"/>
              </w:rPr>
              <w:t>在项目所在地有固定经营场所的得3分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需</w:t>
            </w:r>
            <w:r>
              <w:rPr>
                <w:rFonts w:hint="eastAsia" w:ascii="宋体" w:hAnsi="宋体" w:eastAsia="宋体" w:cs="宋体"/>
                <w:b/>
                <w:bCs/>
                <w:color w:val="auto"/>
                <w:sz w:val="24"/>
                <w:szCs w:val="24"/>
                <w:highlight w:val="none"/>
                <w:lang w:val="en-US" w:eastAsia="zh-CN"/>
              </w:rPr>
              <w:t>提供房产证或房屋租赁合同</w:t>
            </w:r>
            <w:r>
              <w:rPr>
                <w:rFonts w:hint="eastAsia" w:ascii="宋体" w:hAnsi="宋体" w:eastAsia="宋体" w:cs="宋体"/>
                <w:b/>
                <w:bCs/>
                <w:color w:val="auto"/>
                <w:sz w:val="24"/>
                <w:szCs w:val="24"/>
                <w:highlight w:val="none"/>
              </w:rPr>
              <w:t>相应</w:t>
            </w:r>
            <w:r>
              <w:rPr>
                <w:rFonts w:hint="eastAsia" w:ascii="宋体" w:hAnsi="宋体" w:eastAsia="宋体" w:cs="宋体"/>
                <w:b/>
                <w:bCs/>
                <w:color w:val="auto"/>
                <w:sz w:val="24"/>
                <w:szCs w:val="24"/>
                <w:highlight w:val="none"/>
                <w:lang w:eastAsia="zh-CN"/>
              </w:rPr>
              <w:t>佐证</w:t>
            </w:r>
            <w:r>
              <w:rPr>
                <w:rFonts w:hint="eastAsia" w:ascii="宋体" w:hAnsi="宋体" w:eastAsia="宋体" w:cs="宋体"/>
                <w:b/>
                <w:bCs/>
                <w:color w:val="auto"/>
                <w:sz w:val="24"/>
                <w:szCs w:val="24"/>
                <w:highlight w:val="none"/>
              </w:rPr>
              <w:t>材料</w:t>
            </w:r>
            <w:r>
              <w:rPr>
                <w:rFonts w:hint="eastAsia" w:ascii="宋体" w:hAnsi="宋体" w:eastAsia="宋体" w:cs="宋体"/>
                <w:b/>
                <w:bCs/>
                <w:color w:val="auto"/>
                <w:sz w:val="24"/>
                <w:szCs w:val="24"/>
                <w:highlight w:val="none"/>
                <w:lang w:val="en-US" w:eastAsia="zh-CN"/>
              </w:rPr>
              <w:t>扫描件加盖公章</w:t>
            </w:r>
            <w:r>
              <w:rPr>
                <w:rFonts w:hint="eastAsia" w:ascii="宋体" w:hAnsi="宋体" w:eastAsia="宋体" w:cs="宋体"/>
                <w:b/>
                <w:bCs/>
                <w:color w:val="auto"/>
                <w:sz w:val="24"/>
                <w:szCs w:val="24"/>
                <w:highlight w:val="none"/>
              </w:rPr>
              <w:t>，否则不得分</w:t>
            </w:r>
            <w:r>
              <w:rPr>
                <w:rFonts w:hint="eastAsia" w:ascii="宋体" w:hAnsi="宋体" w:eastAsia="宋体" w:cs="宋体"/>
                <w:color w:val="auto"/>
                <w:sz w:val="24"/>
                <w:szCs w:val="24"/>
                <w:highlight w:val="none"/>
                <w:lang w:eastAsia="zh-CN"/>
              </w:rPr>
              <w:t>）</w:t>
            </w:r>
          </w:p>
        </w:tc>
        <w:tc>
          <w:tcPr>
            <w:tcW w:w="792" w:type="dxa"/>
            <w:shd w:val="clear" w:color="auto" w:fill="auto"/>
            <w:noWrap w:val="0"/>
            <w:vAlign w:val="center"/>
          </w:tcPr>
          <w:p w14:paraId="288E35CD">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0-3</w:t>
            </w:r>
          </w:p>
        </w:tc>
      </w:tr>
      <w:tr w14:paraId="6B711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1" w:hRule="atLeast"/>
          <w:jc w:val="center"/>
        </w:trPr>
        <w:tc>
          <w:tcPr>
            <w:tcW w:w="1919" w:type="dxa"/>
            <w:gridSpan w:val="2"/>
            <w:noWrap w:val="0"/>
            <w:vAlign w:val="center"/>
          </w:tcPr>
          <w:p w14:paraId="50A00786">
            <w:pPr>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合计</w:t>
            </w:r>
          </w:p>
        </w:tc>
        <w:tc>
          <w:tcPr>
            <w:tcW w:w="6972" w:type="dxa"/>
            <w:noWrap w:val="0"/>
            <w:vAlign w:val="center"/>
          </w:tcPr>
          <w:p w14:paraId="4C5FA0A8">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both"/>
              <w:textAlignment w:val="auto"/>
              <w:rPr>
                <w:rFonts w:hint="eastAsia" w:ascii="宋体" w:hAnsi="宋体" w:eastAsia="宋体" w:cs="宋体"/>
                <w:color w:val="auto"/>
                <w:sz w:val="24"/>
                <w:szCs w:val="24"/>
                <w:highlight w:val="none"/>
                <w:lang w:val="en-US" w:eastAsia="zh-CN"/>
              </w:rPr>
            </w:pPr>
          </w:p>
        </w:tc>
        <w:tc>
          <w:tcPr>
            <w:tcW w:w="792" w:type="dxa"/>
            <w:noWrap w:val="0"/>
            <w:vAlign w:val="center"/>
          </w:tcPr>
          <w:p w14:paraId="7A360481">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80</w:t>
            </w:r>
          </w:p>
        </w:tc>
      </w:tr>
    </w:tbl>
    <w:p w14:paraId="0453B142">
      <w:pPr>
        <w:spacing w:line="400" w:lineRule="exact"/>
        <w:jc w:val="center"/>
        <w:rPr>
          <w:rFonts w:hint="eastAsia" w:ascii="宋体" w:hAnsi="宋体" w:cs="宋体"/>
          <w:b/>
          <w:color w:val="auto"/>
          <w:sz w:val="24"/>
          <w:szCs w:val="24"/>
          <w:highlight w:val="none"/>
        </w:rPr>
      </w:pPr>
    </w:p>
    <w:p w14:paraId="339D6740">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说明：技术偏离表与投标人所提供的技术资料参数不符情况视为虚假应标，予以废标处理，其风险由投标人自行承担。</w:t>
      </w:r>
    </w:p>
    <w:p w14:paraId="3789885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4.5.6 供应商总分=商务部分得分+技术部分得分+报价部分得分，结果保留两位小数。</w:t>
      </w:r>
    </w:p>
    <w:p w14:paraId="346FA74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bookmarkStart w:id="144" w:name="_Toc217446060"/>
      <w:r>
        <w:rPr>
          <w:rFonts w:hint="eastAsia" w:ascii="宋体" w:hAnsi="宋体" w:eastAsia="宋体" w:cs="宋体"/>
          <w:bCs/>
          <w:color w:val="auto"/>
          <w:sz w:val="24"/>
          <w:szCs w:val="24"/>
          <w:highlight w:val="none"/>
          <w:lang w:val="en-US" w:eastAsia="zh-CN"/>
        </w:rPr>
        <w:t>5. 废标</w:t>
      </w:r>
    </w:p>
    <w:p w14:paraId="038E77C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本次政府采购活动中，出现下列情形之一的，予以废标：</w:t>
      </w:r>
    </w:p>
    <w:p w14:paraId="2BAACF0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（1）符合专业条件的供应商或者对采购文件作实质响应的供应商不足三家的；</w:t>
      </w:r>
    </w:p>
    <w:p w14:paraId="49A8793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（2）出现影响采购公正的违法、违规行为的；</w:t>
      </w:r>
    </w:p>
    <w:p w14:paraId="3ACA1F5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（3）供应商的报价均超过了采购预算，采购人不能支付的；</w:t>
      </w:r>
    </w:p>
    <w:p w14:paraId="1CF0ABC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（4）因重大变故，采购任务取消的。</w:t>
      </w:r>
    </w:p>
    <w:p w14:paraId="48FF76D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废标后，采购代理机构应在发布采购公告的媒体上发布废标公告，并公告废标的详细理由。</w:t>
      </w:r>
    </w:p>
    <w:p w14:paraId="62BE1F6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 定标</w:t>
      </w:r>
      <w:bookmarkEnd w:id="144"/>
      <w:bookmarkStart w:id="145" w:name="_Toc217446061"/>
    </w:p>
    <w:p w14:paraId="406C4C2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6.1 定标原则</w:t>
      </w:r>
      <w:bookmarkEnd w:id="145"/>
      <w:r>
        <w:rPr>
          <w:rFonts w:hint="eastAsia" w:ascii="宋体" w:hAnsi="宋体" w:eastAsia="宋体" w:cs="宋体"/>
          <w:bCs/>
          <w:color w:val="auto"/>
          <w:sz w:val="24"/>
          <w:szCs w:val="24"/>
          <w:highlight w:val="none"/>
          <w:lang w:val="en-US" w:eastAsia="zh-CN"/>
        </w:rPr>
        <w:t>：本项目根据评标委员会推荐的中标（成交）候选人名单，按顺序确定成交人。</w:t>
      </w:r>
    </w:p>
    <w:p w14:paraId="1A36629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bookmarkStart w:id="146" w:name="_Toc217446062"/>
      <w:r>
        <w:rPr>
          <w:rFonts w:hint="eastAsia" w:ascii="宋体" w:hAnsi="宋体" w:eastAsia="宋体" w:cs="宋体"/>
          <w:bCs/>
          <w:color w:val="auto"/>
          <w:sz w:val="24"/>
          <w:szCs w:val="24"/>
          <w:highlight w:val="none"/>
          <w:lang w:val="en-US" w:eastAsia="zh-CN"/>
        </w:rPr>
        <w:t>6.2 定标程序</w:t>
      </w:r>
      <w:bookmarkEnd w:id="146"/>
    </w:p>
    <w:p w14:paraId="0D4E0E2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6.2.1 评标委员会将评标情况写出书面报告，推荐中标（成交）候选人，并按照综合得分高低标明排列顺序。本项目采用综合评分法，评标结果按评审后得分由高到低顺序排列。得分相同的，按</w:t>
      </w:r>
      <w:r>
        <w:rPr>
          <w:rFonts w:hint="eastAsia" w:ascii="宋体" w:hAnsi="宋体" w:cs="宋体"/>
          <w:bCs/>
          <w:color w:val="auto"/>
          <w:sz w:val="24"/>
          <w:szCs w:val="24"/>
          <w:highlight w:val="none"/>
          <w:lang w:val="en-US" w:eastAsia="zh-CN"/>
        </w:rPr>
        <w:t>磋商报价</w:t>
      </w:r>
      <w:r>
        <w:rPr>
          <w:rFonts w:hint="eastAsia" w:ascii="宋体" w:hAnsi="宋体" w:eastAsia="宋体" w:cs="宋体"/>
          <w:bCs/>
          <w:color w:val="auto"/>
          <w:sz w:val="24"/>
          <w:szCs w:val="24"/>
          <w:highlight w:val="none"/>
          <w:lang w:val="en-US" w:eastAsia="zh-CN"/>
        </w:rPr>
        <w:t>由低到高顺序排列。得分且</w:t>
      </w:r>
      <w:r>
        <w:rPr>
          <w:rFonts w:hint="eastAsia" w:ascii="宋体" w:hAnsi="宋体" w:cs="宋体"/>
          <w:bCs/>
          <w:color w:val="auto"/>
          <w:sz w:val="24"/>
          <w:szCs w:val="24"/>
          <w:highlight w:val="none"/>
          <w:lang w:val="en-US" w:eastAsia="zh-CN"/>
        </w:rPr>
        <w:t>磋商报价</w:t>
      </w:r>
      <w:r>
        <w:rPr>
          <w:rFonts w:hint="eastAsia" w:ascii="宋体" w:hAnsi="宋体" w:eastAsia="宋体" w:cs="宋体"/>
          <w:bCs/>
          <w:color w:val="auto"/>
          <w:sz w:val="24"/>
          <w:szCs w:val="24"/>
          <w:highlight w:val="none"/>
          <w:lang w:val="en-US" w:eastAsia="zh-CN"/>
        </w:rPr>
        <w:t>相同的排序并列。</w:t>
      </w:r>
    </w:p>
    <w:p w14:paraId="2807B17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6.2.2 采购代理机构在评标结束后两个工作日内将评标报告送至采购人。</w:t>
      </w:r>
    </w:p>
    <w:p w14:paraId="09831C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6.2.3 采购人应当自收到评审报告之日起5个工作日内在评审报告推荐的中标（成交）候选人中按顺序确定成交供应商。</w:t>
      </w:r>
    </w:p>
    <w:p w14:paraId="54CB02E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6.2.4 根据采购人确定的中标（成交）人，采购人在采购公告发布的媒体上发布中标（成交）公告，同时向中标（成交）人发出中标（成交）通知书。</w:t>
      </w:r>
    </w:p>
    <w:p w14:paraId="1A91478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6.2.5 采购单位不退回投标文件和其他投标资料。</w:t>
      </w:r>
      <w:bookmarkEnd w:id="139"/>
    </w:p>
    <w:p w14:paraId="72DDEAD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bookmarkStart w:id="147" w:name="_Toc208849022"/>
      <w:bookmarkStart w:id="148" w:name="_Toc183582297"/>
      <w:bookmarkStart w:id="149" w:name="_Toc217446105"/>
      <w:bookmarkStart w:id="150" w:name="_Toc183682432"/>
      <w:r>
        <w:rPr>
          <w:rFonts w:hint="eastAsia" w:ascii="宋体" w:hAnsi="宋体" w:eastAsia="宋体" w:cs="宋体"/>
          <w:bCs/>
          <w:color w:val="auto"/>
          <w:sz w:val="24"/>
          <w:szCs w:val="24"/>
          <w:highlight w:val="none"/>
          <w:lang w:val="en-US" w:eastAsia="zh-CN"/>
        </w:rPr>
        <w:t xml:space="preserve">7. </w:t>
      </w:r>
      <w:bookmarkEnd w:id="147"/>
      <w:bookmarkEnd w:id="148"/>
      <w:bookmarkEnd w:id="149"/>
      <w:bookmarkEnd w:id="150"/>
      <w:r>
        <w:rPr>
          <w:rFonts w:hint="eastAsia" w:ascii="宋体" w:hAnsi="宋体" w:eastAsia="宋体" w:cs="宋体"/>
          <w:bCs/>
          <w:color w:val="auto"/>
          <w:sz w:val="24"/>
          <w:szCs w:val="24"/>
          <w:highlight w:val="none"/>
          <w:lang w:val="en-US" w:eastAsia="zh-CN"/>
        </w:rPr>
        <w:t>评标专家在政府采购活动中承担以下义务：</w:t>
      </w:r>
    </w:p>
    <w:p w14:paraId="1DC5BB5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7.1 遵纪守法，客观、公正、廉洁地履行职责。</w:t>
      </w:r>
    </w:p>
    <w:p w14:paraId="1206B51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7.2 按照政府采购法律法规和采购文件的规定要求对供应商的资格条件和供应商提供的产品价格、技术、服务等方面严格进行评判，提供科学合理、公平公正的评审意见，参与起草评审报告，并予签字确认。</w:t>
      </w:r>
    </w:p>
    <w:p w14:paraId="77E004A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7.3 保守秘密。不得透露采购文件咨询情况，不得泄漏供应商的投标文件及知悉的商业秘密，不得向供应商透露评审情况。</w:t>
      </w:r>
    </w:p>
    <w:p w14:paraId="1E41CF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7.4 发现供应商在政府采购活动中有不正当竞争或恶意串通等违规行为，及时向政府采购评审工作的组织者或财政部门报告并加以制止。</w:t>
      </w:r>
    </w:p>
    <w:p w14:paraId="1EE88AB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发现采购人、政府采购代理机构及其工作人员在政府采购活动中有干预评审、发表倾向性和歧视性言论、受贿或者接受供应商的其他好处及其他违法违规行为，及时向财政部门报告。</w:t>
      </w:r>
    </w:p>
    <w:p w14:paraId="0E8D9E7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7.5 解答有关方面对政府采购评审工作中有关问题的询问，配合采购人或者政府采购代理机构答复供应商质疑，配合财政部门的投诉处理工作等事宜。</w:t>
      </w:r>
    </w:p>
    <w:p w14:paraId="3100445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7.6 法律、法规和规章规定的其他义务。</w:t>
      </w:r>
    </w:p>
    <w:p w14:paraId="5310DEA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8. 评审专家在政府采购活动中应当遵守以下工作纪律：</w:t>
      </w:r>
    </w:p>
    <w:p w14:paraId="59FD1C0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8.1 应邀按时参加评审和咨询活动。遇特殊情况不能出席或途中遇阻不能按时参加评审或咨询的，应及时告知财政部门或者采购人或者政府采购代理机构，不得私自转托他人。</w:t>
      </w:r>
    </w:p>
    <w:p w14:paraId="67676FF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8.2 不得参加与自己有利害关系的政府采购项目的评审活动。对与自己有利害关系的评审项目，如受到邀请，应主动提出回避。财政部门、采购人或政府采购代理机构也可要求该评审专家回避。</w:t>
      </w:r>
    </w:p>
    <w:p w14:paraId="12CF017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有利害关系主要是指三年内曾在参加该采购项目供应商中任职</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lang w:val="en-US" w:eastAsia="zh-CN"/>
        </w:rPr>
        <w:t>包括一般工作</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lang w:val="en-US" w:eastAsia="zh-CN"/>
        </w:rPr>
        <w:t>或担任顾问，配偶或直系亲属在参加该采购项目的供应商中任职或担任顾问，与参加该采购项目供应商发生过法律纠纷，以及其他可能影响公正评审的情况。</w:t>
      </w:r>
    </w:p>
    <w:p w14:paraId="318DE3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8.3 评审或咨询过程中关闭通讯设备，不得与外界联系。因发生不可预见情况，确实需要与外界联系的，应当有在场工作人员陪同。</w:t>
      </w:r>
    </w:p>
    <w:p w14:paraId="256CEFD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8.4 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68A63B0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8.5 在咨询工作中，严格执行国家产业政策和产品标准，认真听取咨询方的合理要求，提出科学合理的、无倾向性和歧视性的咨询方案，并对所提出的意见和建议承担个人责任。</w:t>
      </w:r>
    </w:p>
    <w:p w14:paraId="2B45A20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0623A5E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4FC7B51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33DC0D2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35D413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65BD2CB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3E1CA717">
      <w:pPr>
        <w:pStyle w:val="4"/>
        <w:numPr>
          <w:ilvl w:val="0"/>
          <w:numId w:val="0"/>
        </w:numPr>
        <w:spacing w:before="0" w:after="0" w:line="240" w:lineRule="auto"/>
        <w:jc w:val="center"/>
        <w:rPr>
          <w:rFonts w:hint="eastAsia" w:ascii="宋体" w:hAnsi="宋体" w:eastAsia="宋体" w:cs="宋体"/>
          <w:color w:val="auto"/>
          <w:highlight w:val="none"/>
        </w:rPr>
      </w:pPr>
      <w:bookmarkStart w:id="151" w:name="_Toc25262"/>
      <w:bookmarkStart w:id="152" w:name="_Toc2502"/>
      <w:bookmarkStart w:id="153" w:name="_Toc17352"/>
      <w:bookmarkStart w:id="154" w:name="_Toc23075"/>
      <w:r>
        <w:rPr>
          <w:rFonts w:hint="eastAsia" w:ascii="宋体" w:hAnsi="宋体" w:eastAsia="宋体" w:cs="宋体"/>
          <w:b/>
          <w:bCs w:val="0"/>
          <w:color w:val="auto"/>
          <w:kern w:val="44"/>
          <w:sz w:val="32"/>
          <w:szCs w:val="44"/>
          <w:highlight w:val="none"/>
          <w:lang w:val="en-US" w:eastAsia="zh-CN" w:bidi="ar-SA"/>
        </w:rPr>
        <w:t xml:space="preserve">第五部分  </w:t>
      </w:r>
      <w:r>
        <w:rPr>
          <w:rFonts w:hint="eastAsia" w:ascii="宋体" w:hAnsi="宋体" w:cs="宋体"/>
          <w:b/>
          <w:bCs w:val="0"/>
          <w:color w:val="auto"/>
          <w:kern w:val="44"/>
          <w:sz w:val="32"/>
          <w:szCs w:val="44"/>
          <w:highlight w:val="none"/>
          <w:lang w:val="en-US" w:eastAsia="zh-CN" w:bidi="ar-SA"/>
        </w:rPr>
        <w:t>采购合同</w:t>
      </w:r>
      <w:bookmarkEnd w:id="151"/>
    </w:p>
    <w:bookmarkEnd w:id="134"/>
    <w:bookmarkEnd w:id="135"/>
    <w:bookmarkEnd w:id="136"/>
    <w:bookmarkEnd w:id="137"/>
    <w:bookmarkEnd w:id="152"/>
    <w:bookmarkEnd w:id="153"/>
    <w:bookmarkEnd w:id="154"/>
    <w:p w14:paraId="6A7A07EB">
      <w:pPr>
        <w:pStyle w:val="19"/>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bookmarkStart w:id="155" w:name="_Toc13678"/>
      <w:bookmarkStart w:id="156" w:name="_Toc257633148"/>
      <w:bookmarkStart w:id="157" w:name="_Toc18082"/>
      <w:bookmarkStart w:id="158" w:name="_Toc21340"/>
    </w:p>
    <w:p w14:paraId="180B1C4B">
      <w:pPr>
        <w:pStyle w:val="97"/>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宋体" w:hAnsi="宋体"/>
          <w:b/>
          <w:color w:val="auto"/>
          <w:sz w:val="24"/>
          <w:szCs w:val="24"/>
          <w:highlight w:val="none"/>
        </w:rPr>
      </w:pPr>
      <w:r>
        <w:rPr>
          <w:rFonts w:hint="eastAsia" w:ascii="宋体" w:hAnsi="宋体"/>
          <w:b/>
          <w:color w:val="auto"/>
          <w:sz w:val="24"/>
          <w:szCs w:val="24"/>
          <w:highlight w:val="none"/>
        </w:rPr>
        <w:t>一、合同格式：</w:t>
      </w:r>
    </w:p>
    <w:p w14:paraId="588FEF32">
      <w:pPr>
        <w:pStyle w:val="97"/>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76F01B9F">
      <w:pPr>
        <w:pStyle w:val="97"/>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223477A4">
      <w:pPr>
        <w:pStyle w:val="97"/>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7F8BCD3D">
      <w:pPr>
        <w:pStyle w:val="97"/>
        <w:jc w:val="center"/>
        <w:rPr>
          <w:rFonts w:hint="eastAsia" w:ascii="宋体" w:hAnsi="宋体" w:eastAsia="宋体" w:cs="宋体"/>
          <w:b/>
          <w:color w:val="auto"/>
          <w:sz w:val="52"/>
          <w:szCs w:val="52"/>
          <w:highlight w:val="none"/>
          <w:lang w:eastAsia="zh-CN"/>
        </w:rPr>
      </w:pPr>
      <w:r>
        <w:rPr>
          <w:rFonts w:hint="eastAsia" w:ascii="宋体" w:hAnsi="宋体" w:cs="宋体"/>
          <w:b/>
          <w:color w:val="auto"/>
          <w:sz w:val="52"/>
          <w:szCs w:val="52"/>
          <w:highlight w:val="none"/>
          <w:lang w:eastAsia="zh-CN"/>
        </w:rPr>
        <w:t>采购合同</w:t>
      </w:r>
    </w:p>
    <w:p w14:paraId="5CBF853D">
      <w:pPr>
        <w:pStyle w:val="97"/>
        <w:jc w:val="center"/>
        <w:rPr>
          <w:rFonts w:hint="eastAsia" w:ascii="宋体" w:hAnsi="宋体" w:eastAsia="宋体" w:cs="宋体"/>
          <w:b/>
          <w:color w:val="auto"/>
          <w:sz w:val="52"/>
          <w:szCs w:val="52"/>
          <w:highlight w:val="none"/>
        </w:rPr>
      </w:pPr>
    </w:p>
    <w:p w14:paraId="03013AF0">
      <w:pPr>
        <w:pStyle w:val="97"/>
        <w:jc w:val="center"/>
        <w:rPr>
          <w:rFonts w:hint="eastAsia" w:ascii="宋体" w:hAnsi="宋体" w:eastAsia="宋体" w:cs="宋体"/>
          <w:b/>
          <w:color w:val="auto"/>
          <w:sz w:val="52"/>
          <w:szCs w:val="52"/>
          <w:highlight w:val="none"/>
        </w:rPr>
      </w:pPr>
    </w:p>
    <w:p w14:paraId="577427F2">
      <w:pPr>
        <w:pStyle w:val="97"/>
        <w:jc w:val="center"/>
        <w:rPr>
          <w:rFonts w:hint="eastAsia" w:ascii="宋体" w:hAnsi="宋体" w:eastAsia="宋体" w:cs="宋体"/>
          <w:b/>
          <w:color w:val="auto"/>
          <w:sz w:val="52"/>
          <w:szCs w:val="52"/>
          <w:highlight w:val="none"/>
        </w:rPr>
      </w:pPr>
    </w:p>
    <w:p w14:paraId="5F1D5C29">
      <w:pPr>
        <w:pStyle w:val="97"/>
        <w:jc w:val="center"/>
        <w:rPr>
          <w:rFonts w:hint="eastAsia" w:ascii="宋体" w:hAnsi="宋体" w:eastAsia="宋体" w:cs="宋体"/>
          <w:b/>
          <w:color w:val="auto"/>
          <w:sz w:val="52"/>
          <w:szCs w:val="52"/>
          <w:highlight w:val="none"/>
        </w:rPr>
      </w:pPr>
    </w:p>
    <w:p w14:paraId="6C6E52E9">
      <w:pPr>
        <w:pStyle w:val="97"/>
        <w:jc w:val="center"/>
        <w:rPr>
          <w:rFonts w:hint="eastAsia" w:ascii="宋体" w:hAnsi="宋体" w:eastAsia="宋体" w:cs="宋体"/>
          <w:b/>
          <w:color w:val="auto"/>
          <w:sz w:val="52"/>
          <w:szCs w:val="52"/>
          <w:highlight w:val="none"/>
        </w:rPr>
      </w:pPr>
    </w:p>
    <w:p w14:paraId="6AF0B0BA">
      <w:pPr>
        <w:pStyle w:val="97"/>
        <w:jc w:val="center"/>
        <w:rPr>
          <w:rFonts w:hint="eastAsia" w:ascii="宋体" w:hAnsi="宋体" w:eastAsia="宋体" w:cs="宋体"/>
          <w:b/>
          <w:color w:val="auto"/>
          <w:sz w:val="52"/>
          <w:szCs w:val="52"/>
          <w:highlight w:val="none"/>
        </w:rPr>
      </w:pPr>
    </w:p>
    <w:p w14:paraId="70FA59BB">
      <w:pPr>
        <w:pStyle w:val="97"/>
        <w:jc w:val="center"/>
        <w:rPr>
          <w:rFonts w:hint="eastAsia" w:ascii="宋体" w:hAnsi="宋体" w:eastAsia="宋体" w:cs="宋体"/>
          <w:b/>
          <w:color w:val="auto"/>
          <w:sz w:val="52"/>
          <w:szCs w:val="52"/>
          <w:highlight w:val="none"/>
        </w:rPr>
      </w:pPr>
    </w:p>
    <w:p w14:paraId="3201F2B9">
      <w:pPr>
        <w:pStyle w:val="97"/>
        <w:jc w:val="center"/>
        <w:rPr>
          <w:rFonts w:hint="eastAsia" w:ascii="宋体" w:hAnsi="宋体" w:eastAsia="宋体" w:cs="宋体"/>
          <w:b/>
          <w:color w:val="auto"/>
          <w:sz w:val="52"/>
          <w:szCs w:val="52"/>
          <w:highlight w:val="none"/>
        </w:rPr>
      </w:pPr>
    </w:p>
    <w:p w14:paraId="03E85832">
      <w:pPr>
        <w:pStyle w:val="97"/>
        <w:jc w:val="center"/>
        <w:rPr>
          <w:rFonts w:hint="eastAsia" w:ascii="宋体" w:hAnsi="宋体" w:eastAsia="宋体" w:cs="宋体"/>
          <w:b/>
          <w:color w:val="auto"/>
          <w:sz w:val="52"/>
          <w:szCs w:val="52"/>
          <w:highlight w:val="none"/>
        </w:rPr>
      </w:pPr>
    </w:p>
    <w:p w14:paraId="2D5B7D40">
      <w:pPr>
        <w:pStyle w:val="97"/>
        <w:ind w:left="0" w:leftChars="0" w:firstLine="2107" w:firstLineChars="656"/>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项目名称</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0588039A">
      <w:pPr>
        <w:pStyle w:val="97"/>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项目编号</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2B2E95AF">
      <w:pPr>
        <w:pStyle w:val="97"/>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bCs/>
          <w:color w:val="auto"/>
          <w:kern w:val="0"/>
          <w:sz w:val="32"/>
          <w:szCs w:val="32"/>
          <w:highlight w:val="none"/>
        </w:rPr>
        <w:t>合同编号</w:t>
      </w:r>
      <w:r>
        <w:rPr>
          <w:rFonts w:hint="eastAsia" w:ascii="宋体" w:hAnsi="宋体" w:cs="宋体"/>
          <w:b/>
          <w:bCs/>
          <w:color w:val="auto"/>
          <w:kern w:val="0"/>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1D20DD1E">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08F22F0">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00CC6EE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5592634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BAD1E0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3117D5CB">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76CB122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5E222BD5">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66F9C70">
      <w:pPr>
        <w:pStyle w:val="97"/>
        <w:jc w:val="center"/>
        <w:rPr>
          <w:rFonts w:hint="eastAsia" w:ascii="宋体" w:hAnsi="宋体" w:eastAsia="宋体" w:cs="宋体"/>
          <w:b/>
          <w:color w:val="auto"/>
          <w:sz w:val="52"/>
          <w:szCs w:val="52"/>
          <w:highlight w:val="none"/>
          <w:lang w:eastAsia="zh-CN"/>
        </w:rPr>
      </w:pPr>
      <w:r>
        <w:rPr>
          <w:rFonts w:hint="eastAsia" w:ascii="宋体" w:hAnsi="宋体" w:eastAsia="宋体" w:cs="宋体"/>
          <w:color w:val="auto"/>
          <w:sz w:val="24"/>
          <w:szCs w:val="24"/>
          <w:highlight w:val="none"/>
        </w:rPr>
        <w:br w:type="page"/>
      </w:r>
      <w:r>
        <w:rPr>
          <w:rFonts w:hint="eastAsia" w:ascii="宋体" w:hAnsi="宋体" w:cs="宋体"/>
          <w:b/>
          <w:color w:val="auto"/>
          <w:sz w:val="36"/>
          <w:szCs w:val="36"/>
          <w:highlight w:val="none"/>
          <w:lang w:eastAsia="zh-CN"/>
        </w:rPr>
        <w:t>采购合同</w:t>
      </w:r>
    </w:p>
    <w:p w14:paraId="78458B6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    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36EAE3AC">
      <w:pPr>
        <w:pStyle w:val="97"/>
        <w:keepNext w:val="0"/>
        <w:keepLines w:val="0"/>
        <w:pageBreakBefore w:val="0"/>
        <w:widowControl w:val="0"/>
        <w:kinsoku/>
        <w:wordWrap/>
        <w:overflowPunct/>
        <w:topLinePunct w:val="0"/>
        <w:autoSpaceDE/>
        <w:autoSpaceDN/>
        <w:bidi w:val="0"/>
        <w:adjustRightInd w:val="0"/>
        <w:snapToGrid w:val="0"/>
        <w:spacing w:line="400" w:lineRule="exact"/>
        <w:textAlignment w:val="auto"/>
        <w:outlineLvl w:val="9"/>
        <w:rPr>
          <w:rFonts w:hint="eastAsia" w:ascii="宋体" w:hAnsi="宋体" w:eastAsia="宋体" w:cs="宋体"/>
          <w:b/>
          <w:color w:val="auto"/>
          <w:kern w:val="0"/>
          <w:sz w:val="24"/>
          <w:szCs w:val="24"/>
          <w:highlight w:val="none"/>
          <w:u w:val="single"/>
        </w:rPr>
      </w:pPr>
      <w:r>
        <w:rPr>
          <w:rFonts w:hint="eastAsia" w:ascii="宋体" w:hAnsi="宋体" w:eastAsia="宋体" w:cs="宋体"/>
          <w:b/>
          <w:color w:val="auto"/>
          <w:sz w:val="24"/>
          <w:szCs w:val="24"/>
          <w:highlight w:val="none"/>
        </w:rPr>
        <w:t>乙    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4F377734">
      <w:pPr>
        <w:pStyle w:val="97"/>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（甲方）所需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项目名称</w:t>
      </w: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（项目编号）</w:t>
      </w:r>
      <w:r>
        <w:rPr>
          <w:rFonts w:hint="eastAsia" w:ascii="宋体" w:hAnsi="宋体" w:cs="宋体"/>
          <w:color w:val="auto"/>
          <w:kern w:val="0"/>
          <w:sz w:val="24"/>
          <w:highlight w:val="none"/>
          <w:lang w:eastAsia="zh-CN"/>
        </w:rPr>
        <w:t>采购文件</w:t>
      </w:r>
      <w:r>
        <w:rPr>
          <w:rFonts w:hint="eastAsia" w:ascii="宋体" w:hAnsi="宋体" w:eastAsia="宋体" w:cs="宋体"/>
          <w:color w:val="auto"/>
          <w:kern w:val="0"/>
          <w:sz w:val="24"/>
          <w:highlight w:val="none"/>
        </w:rPr>
        <w:t>在国内以公开招标方式进行采购。经评标委员会确定</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（乙方）为中标人。甲、乙双方根据《中华人民共和国政府采购法》、《中华人民共和国</w:t>
      </w:r>
      <w:r>
        <w:rPr>
          <w:rFonts w:hint="eastAsia" w:ascii="宋体" w:hAnsi="宋体" w:cs="宋体"/>
          <w:color w:val="auto"/>
          <w:kern w:val="0"/>
          <w:sz w:val="24"/>
          <w:highlight w:val="none"/>
          <w:lang w:eastAsia="zh-CN"/>
        </w:rPr>
        <w:t>民法典</w:t>
      </w:r>
      <w:r>
        <w:rPr>
          <w:rFonts w:hint="eastAsia" w:ascii="宋体" w:hAnsi="宋体" w:eastAsia="宋体" w:cs="宋体"/>
          <w:color w:val="auto"/>
          <w:kern w:val="0"/>
          <w:sz w:val="24"/>
          <w:highlight w:val="none"/>
        </w:rPr>
        <w:t>》等相关法律以及本项目</w:t>
      </w:r>
      <w:r>
        <w:rPr>
          <w:rFonts w:hint="eastAsia" w:ascii="宋体" w:hAnsi="宋体" w:cs="宋体"/>
          <w:color w:val="auto"/>
          <w:kern w:val="0"/>
          <w:sz w:val="24"/>
          <w:highlight w:val="none"/>
          <w:lang w:eastAsia="zh-CN"/>
        </w:rPr>
        <w:t>采购文件</w:t>
      </w:r>
      <w:r>
        <w:rPr>
          <w:rFonts w:hint="eastAsia" w:ascii="宋体" w:hAnsi="宋体" w:eastAsia="宋体" w:cs="宋体"/>
          <w:color w:val="auto"/>
          <w:kern w:val="0"/>
          <w:sz w:val="24"/>
          <w:highlight w:val="none"/>
        </w:rPr>
        <w:t>的规定，经平等协商达成合同如下：</w:t>
      </w:r>
    </w:p>
    <w:p w14:paraId="7F0A4261">
      <w:pPr>
        <w:pStyle w:val="97"/>
        <w:keepNext w:val="0"/>
        <w:keepLines w:val="0"/>
        <w:pageBreakBefore w:val="0"/>
        <w:widowControl/>
        <w:kinsoku/>
        <w:wordWrap/>
        <w:overflowPunct/>
        <w:topLinePunct w:val="0"/>
        <w:autoSpaceDE/>
        <w:autoSpaceDN/>
        <w:bidi w:val="0"/>
        <w:adjustRightInd w:val="0"/>
        <w:snapToGrid w:val="0"/>
        <w:spacing w:line="400" w:lineRule="exact"/>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一、合同文件</w:t>
      </w:r>
    </w:p>
    <w:p w14:paraId="41C09410">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本合同所附下列文件是构成本合同不可分割的部分：</w:t>
      </w:r>
    </w:p>
    <w:p w14:paraId="45C543EA">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sz w:val="24"/>
          <w:highlight w:val="none"/>
        </w:rPr>
        <w:t>（一）本项目</w:t>
      </w:r>
      <w:r>
        <w:rPr>
          <w:rFonts w:hint="eastAsia" w:ascii="宋体" w:hAnsi="宋体" w:cs="宋体"/>
          <w:color w:val="auto"/>
          <w:sz w:val="24"/>
          <w:highlight w:val="none"/>
          <w:lang w:eastAsia="zh-CN"/>
        </w:rPr>
        <w:t>采购文件</w:t>
      </w:r>
    </w:p>
    <w:p w14:paraId="0014073F">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（二）中标人投标文件</w:t>
      </w:r>
    </w:p>
    <w:p w14:paraId="0E6827ED">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（三）合同格式、合同条款</w:t>
      </w:r>
    </w:p>
    <w:p w14:paraId="5AAE26D7">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（四）中标人在评标过程中做出的有关澄清、说明或者补正文件</w:t>
      </w:r>
    </w:p>
    <w:p w14:paraId="13481E27">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（五）中标通知书</w:t>
      </w:r>
    </w:p>
    <w:p w14:paraId="004DDB8F">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（六）本合同附件</w:t>
      </w:r>
    </w:p>
    <w:p w14:paraId="2A067684">
      <w:pPr>
        <w:pStyle w:val="97"/>
        <w:keepNext w:val="0"/>
        <w:keepLines w:val="0"/>
        <w:pageBreakBefore w:val="0"/>
        <w:widowControl/>
        <w:kinsoku/>
        <w:wordWrap/>
        <w:overflowPunct/>
        <w:topLinePunct w:val="0"/>
        <w:autoSpaceDE/>
        <w:autoSpaceDN/>
        <w:bidi w:val="0"/>
        <w:adjustRightInd w:val="0"/>
        <w:snapToGrid w:val="0"/>
        <w:spacing w:line="400" w:lineRule="exact"/>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二、合同的范围和条件</w:t>
      </w:r>
    </w:p>
    <w:p w14:paraId="49B28096">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本合同的范围和条件应与上述合同文件的规定相一致。</w:t>
      </w:r>
    </w:p>
    <w:p w14:paraId="2C1D5B13">
      <w:pPr>
        <w:pStyle w:val="97"/>
        <w:keepNext w:val="0"/>
        <w:keepLines w:val="0"/>
        <w:pageBreakBefore w:val="0"/>
        <w:widowControl/>
        <w:kinsoku/>
        <w:wordWrap/>
        <w:overflowPunct/>
        <w:topLinePunct w:val="0"/>
        <w:autoSpaceDE/>
        <w:autoSpaceDN/>
        <w:bidi w:val="0"/>
        <w:adjustRightInd w:val="0"/>
        <w:snapToGrid w:val="0"/>
        <w:spacing w:line="400" w:lineRule="exact"/>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三、货物、数量及规格</w:t>
      </w:r>
    </w:p>
    <w:p w14:paraId="3FA9A3C6">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本合同所提供的货物、数量及规格详见合同货物清单（附件一）（同投标文件中报价明细表，下同）。</w:t>
      </w:r>
    </w:p>
    <w:p w14:paraId="6029C67C">
      <w:pPr>
        <w:pStyle w:val="97"/>
        <w:keepNext w:val="0"/>
        <w:keepLines w:val="0"/>
        <w:pageBreakBefore w:val="0"/>
        <w:widowControl/>
        <w:kinsoku/>
        <w:wordWrap/>
        <w:overflowPunct/>
        <w:topLinePunct w:val="0"/>
        <w:autoSpaceDE/>
        <w:autoSpaceDN/>
        <w:bidi w:val="0"/>
        <w:adjustRightInd w:val="0"/>
        <w:snapToGrid w:val="0"/>
        <w:spacing w:line="400" w:lineRule="exact"/>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四、合同金额</w:t>
      </w:r>
    </w:p>
    <w:p w14:paraId="43C3EFD1">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根据上述合同文件要求，合同金额为人民币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。（分项价格详见合同货物清单）。</w:t>
      </w:r>
    </w:p>
    <w:p w14:paraId="2F581962">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乙方开户单位：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6B46CADE">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开户银行：</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1EA5D2C1">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帐号：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4F02592A">
      <w:pPr>
        <w:pStyle w:val="97"/>
        <w:keepNext w:val="0"/>
        <w:keepLines w:val="0"/>
        <w:pageBreakBefore w:val="0"/>
        <w:widowControl/>
        <w:kinsoku/>
        <w:wordWrap/>
        <w:overflowPunct/>
        <w:topLinePunct w:val="0"/>
        <w:autoSpaceDE/>
        <w:autoSpaceDN/>
        <w:bidi w:val="0"/>
        <w:adjustRightInd w:val="0"/>
        <w:snapToGrid w:val="0"/>
        <w:spacing w:line="400" w:lineRule="exact"/>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五、付款途径</w:t>
      </w:r>
    </w:p>
    <w:p w14:paraId="26A571B5">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b/>
          <w:bCs/>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国库集中支付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甲方支付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国库与甲方共同支付</w:t>
      </w:r>
    </w:p>
    <w:p w14:paraId="0BDFB026">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财政性资金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元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 自筹性资金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w:t>
      </w:r>
    </w:p>
    <w:p w14:paraId="1A67AF7B">
      <w:pPr>
        <w:pStyle w:val="97"/>
        <w:keepNext w:val="0"/>
        <w:keepLines w:val="0"/>
        <w:pageBreakBefore w:val="0"/>
        <w:widowControl/>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属国库集中支付的财政性资金，甲方应按合同约定的付款期限，及时向财政部门报送资金支付申请，财政部门对支付申请审核无误后，将货款直接支付至乙方账户。</w:t>
      </w:r>
    </w:p>
    <w:p w14:paraId="5D6A3CB2">
      <w:pPr>
        <w:pStyle w:val="97"/>
        <w:keepNext w:val="0"/>
        <w:keepLines w:val="0"/>
        <w:pageBreakBefore w:val="0"/>
        <w:widowControl/>
        <w:kinsoku/>
        <w:wordWrap/>
        <w:overflowPunct/>
        <w:topLinePunct w:val="0"/>
        <w:autoSpaceDE/>
        <w:autoSpaceDN/>
        <w:bidi w:val="0"/>
        <w:adjustRightInd w:val="0"/>
        <w:snapToGrid w:val="0"/>
        <w:spacing w:line="400" w:lineRule="exact"/>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六、付款方式</w:t>
      </w:r>
    </w:p>
    <w:p w14:paraId="3A906C2D">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付款方式：</w:t>
      </w:r>
      <w:r>
        <w:rPr>
          <w:rFonts w:hint="eastAsia" w:ascii="宋体" w:hAnsi="宋体" w:eastAsia="宋体" w:cs="宋体"/>
          <w:color w:val="auto"/>
          <w:sz w:val="24"/>
          <w:highlight w:val="none"/>
          <w:u w:val="single"/>
        </w:rPr>
        <w:t xml:space="preserve">                                                    </w:t>
      </w:r>
    </w:p>
    <w:p w14:paraId="4E9BDEC6">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七、</w:t>
      </w:r>
      <w:r>
        <w:rPr>
          <w:rFonts w:hint="eastAsia" w:ascii="宋体" w:hAnsi="宋体" w:cs="宋体"/>
          <w:b/>
          <w:bCs/>
          <w:color w:val="auto"/>
          <w:sz w:val="24"/>
          <w:highlight w:val="none"/>
          <w:lang w:eastAsia="zh-CN"/>
        </w:rPr>
        <w:t>合同履约期限</w:t>
      </w:r>
      <w:r>
        <w:rPr>
          <w:rFonts w:hint="eastAsia" w:ascii="宋体" w:hAnsi="宋体" w:eastAsia="宋体" w:cs="宋体"/>
          <w:b/>
          <w:bCs/>
          <w:color w:val="auto"/>
          <w:sz w:val="24"/>
          <w:highlight w:val="none"/>
        </w:rPr>
        <w:t>、地点</w:t>
      </w:r>
    </w:p>
    <w:p w14:paraId="5F4092C3">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eastAsia="zh-CN"/>
        </w:rPr>
        <w:t>合同履约期限</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076637C4">
      <w:pPr>
        <w:pStyle w:val="97"/>
        <w:keepNext w:val="0"/>
        <w:keepLines w:val="0"/>
        <w:pageBreakBefore w:val="0"/>
        <w:tabs>
          <w:tab w:val="left" w:pos="955"/>
        </w:tabs>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2、</w:t>
      </w:r>
      <w:r>
        <w:rPr>
          <w:rFonts w:hint="eastAsia" w:ascii="宋体" w:hAnsi="宋体" w:cs="宋体"/>
          <w:color w:val="auto"/>
          <w:sz w:val="24"/>
          <w:highlight w:val="none"/>
          <w:lang w:eastAsia="zh-CN"/>
        </w:rPr>
        <w:t>服务地点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39290D10">
      <w:pPr>
        <w:pStyle w:val="97"/>
        <w:keepNext w:val="0"/>
        <w:keepLines w:val="0"/>
        <w:pageBreakBefore w:val="0"/>
        <w:tabs>
          <w:tab w:val="left" w:pos="955"/>
        </w:tabs>
        <w:kinsoku/>
        <w:wordWrap/>
        <w:overflowPunct/>
        <w:topLinePunct w:val="0"/>
        <w:autoSpaceDE/>
        <w:autoSpaceDN/>
        <w:bidi w:val="0"/>
        <w:adjustRightInd w:val="0"/>
        <w:snapToGrid w:val="0"/>
        <w:spacing w:line="400" w:lineRule="exact"/>
        <w:ind w:firstLine="480" w:firstLineChars="200"/>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质保期（保修期）</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52BDE45E">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八、履约保证金</w:t>
      </w:r>
    </w:p>
    <w:p w14:paraId="4B945A23">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履约保证金在项目交付验收合格无质量问题后，填写《履约保证金退付表》、《政府采购项目验收单》和资金往来收款收据交</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后20个工作日内退还。</w:t>
      </w:r>
    </w:p>
    <w:p w14:paraId="37240473">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九、合同生效</w:t>
      </w:r>
    </w:p>
    <w:p w14:paraId="3025ECC4">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本合同经甲乙双方签字盖章，乙方提交履约保证金后生效。</w:t>
      </w:r>
    </w:p>
    <w:p w14:paraId="5BBC3D38">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十、合同保存</w:t>
      </w:r>
    </w:p>
    <w:p w14:paraId="47A5CC89">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w:t>
      </w:r>
      <w:r>
        <w:rPr>
          <w:rFonts w:hint="eastAsia" w:ascii="宋体" w:hAnsi="宋体" w:cs="宋体"/>
          <w:color w:val="auto"/>
          <w:sz w:val="24"/>
          <w:highlight w:val="none"/>
          <w:lang w:eastAsia="zh-CN"/>
        </w:rPr>
        <w:t>四</w:t>
      </w:r>
      <w:r>
        <w:rPr>
          <w:rFonts w:hint="eastAsia" w:ascii="宋体" w:hAnsi="宋体" w:eastAsia="宋体" w:cs="宋体"/>
          <w:color w:val="auto"/>
          <w:sz w:val="24"/>
          <w:highlight w:val="none"/>
        </w:rPr>
        <w:t>份，甲方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份，乙方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w:t>
      </w:r>
    </w:p>
    <w:p w14:paraId="3776D3B5">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94F9A27">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3481C6BB">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0D4FB9B0">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甲    方：                            乙    方：</w:t>
      </w:r>
    </w:p>
    <w:p w14:paraId="68C366E2">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公章</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单位名称</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公章</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w:t>
      </w:r>
    </w:p>
    <w:p w14:paraId="386C14DB">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6996119A">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      法定代表人或授权代理人（签字）：</w:t>
      </w:r>
    </w:p>
    <w:p w14:paraId="35893339">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8977776">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                            电    话：</w:t>
      </w:r>
    </w:p>
    <w:p w14:paraId="6A3B6AF1">
      <w:pPr>
        <w:pStyle w:val="97"/>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签订日期：                            签订日期：</w:t>
      </w:r>
    </w:p>
    <w:p w14:paraId="0A1CAA63">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F860224">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3E2DF707">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79E7ED3A">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AA01B6F">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617A806">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629968E">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5BBC5C0D">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389EA05A">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6FFF80A8">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C1ECD03">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2F977D38">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00B23EF2">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3EC1EFF">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28DF2B92">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6C728CE8">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5592D312">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314C73DB">
      <w:pPr>
        <w:pStyle w:val="97"/>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0A8D817">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color w:val="auto"/>
          <w:kern w:val="0"/>
          <w:sz w:val="24"/>
          <w:highlight w:val="none"/>
        </w:rPr>
        <w:br w:type="page"/>
      </w:r>
      <w:r>
        <w:rPr>
          <w:rFonts w:hint="eastAsia" w:ascii="宋体" w:hAnsi="宋体" w:eastAsia="宋体" w:cs="宋体"/>
          <w:b/>
          <w:bCs w:val="0"/>
          <w:color w:val="auto"/>
          <w:sz w:val="24"/>
          <w:szCs w:val="24"/>
          <w:highlight w:val="none"/>
        </w:rPr>
        <w:t>二、合同条款</w:t>
      </w:r>
    </w:p>
    <w:p w14:paraId="5341205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甲方在本项目中所需货物和服务由</w:t>
      </w:r>
      <w:r>
        <w:rPr>
          <w:rFonts w:hint="eastAsia" w:ascii="宋体" w:hAnsi="宋体" w:cs="宋体"/>
          <w:bCs/>
          <w:color w:val="auto"/>
          <w:sz w:val="24"/>
          <w:szCs w:val="24"/>
          <w:highlight w:val="none"/>
          <w:lang w:eastAsia="zh-CN"/>
        </w:rPr>
        <w:t>新疆中诺项目管理有限公司</w:t>
      </w:r>
      <w:r>
        <w:rPr>
          <w:rFonts w:hint="eastAsia" w:ascii="宋体" w:hAnsi="宋体" w:eastAsia="宋体" w:cs="宋体"/>
          <w:bCs/>
          <w:color w:val="auto"/>
          <w:sz w:val="24"/>
          <w:szCs w:val="24"/>
          <w:highlight w:val="none"/>
        </w:rPr>
        <w:t>在国内进行公开招标，经评标委员会评定，确定乙方为中标人。甲乙双方根据《中华人民共和国政府采购法》、《中华人民共和国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》等相关法律法规以及本项目</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 xml:space="preserve">的规定，经平等协商达成合同如下： </w:t>
      </w:r>
      <w:bookmarkStart w:id="159" w:name="_Toc175644041"/>
      <w:bookmarkStart w:id="160" w:name="_Toc86202594"/>
    </w:p>
    <w:p w14:paraId="1DB6114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一、定义</w:t>
      </w:r>
      <w:bookmarkEnd w:id="159"/>
      <w:bookmarkEnd w:id="160"/>
    </w:p>
    <w:p w14:paraId="0F9C701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除非另有特别解释或说明，在本合同及与本合同相关的，双方另行签署的其他文件（包括但不限于本合同的附件）中，下述词语均依如下定义进行解释：</w:t>
      </w:r>
    </w:p>
    <w:p w14:paraId="49D9751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1、“合同”指甲乙双方签署的，与本项目相关的协议、附件、附录和其他一切文件，还包括</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、投标文件中的相关内容及其有效补充文件。</w:t>
      </w:r>
    </w:p>
    <w:p w14:paraId="45AB866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2、“附件”是指与本合同的订立、履行有关的，经甲乙双方认可的，对本合同约定的内容进行细化、补充、修改、变更的文件、图纸、音像制品等资料。</w:t>
      </w:r>
    </w:p>
    <w:p w14:paraId="79334AF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3、“货物”指合同货物清单（同投标文件中货物明细表，下同）中所规定的硬件、软件、安装材料、备件及专用器具、文件资料等内容。</w:t>
      </w:r>
    </w:p>
    <w:p w14:paraId="056DF7B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18C8996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5、“检验”指按照本合同约定的标准对合同货物进行的检测与查验。</w:t>
      </w:r>
    </w:p>
    <w:p w14:paraId="6595BA5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6、“政府采购项目验收单”指甲、乙双方验收完成后由合同双方签署的最终验收确认书。</w:t>
      </w:r>
    </w:p>
    <w:p w14:paraId="167A9ED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7、“技术资料”指安装、调试、使用、维修合同货物所应具备的产品使用说明书和／或使用指南、操作手册、维修指南、服务手册、电路图、产品演示等文件。</w:t>
      </w:r>
    </w:p>
    <w:p w14:paraId="4DD8E3D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6B65EA2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9、“第三人”是指本合同双方以外的任何中国境内、外的自然人、法人或其他经济组织。</w:t>
      </w:r>
    </w:p>
    <w:p w14:paraId="60FC71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28D7A1A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”指采购代理机构发布的本项目</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w:t>
      </w:r>
    </w:p>
    <w:p w14:paraId="791B15E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12、“投标文件”指乙方按照本项目</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的要求编制和投递，并最终经采购代理机构接收的投标文件。</w:t>
      </w:r>
    </w:p>
    <w:p w14:paraId="19D213D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61" w:name="_Toc175644043"/>
      <w:bookmarkStart w:id="162" w:name="_Toc86202595"/>
      <w:r>
        <w:rPr>
          <w:rFonts w:hint="eastAsia" w:ascii="宋体" w:hAnsi="宋体" w:eastAsia="宋体" w:cs="宋体"/>
          <w:bCs/>
          <w:color w:val="auto"/>
          <w:sz w:val="24"/>
          <w:szCs w:val="24"/>
          <w:highlight w:val="none"/>
        </w:rPr>
        <w:t>二、货物、数量及规格</w:t>
      </w:r>
    </w:p>
    <w:p w14:paraId="3A214A1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本合同所提供的货物、数量及规格详见合同货物清单（同投标文件中报价明细表）。</w:t>
      </w:r>
    </w:p>
    <w:p w14:paraId="7E7D33B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三、合同价格</w:t>
      </w:r>
      <w:bookmarkEnd w:id="161"/>
      <w:bookmarkEnd w:id="162"/>
    </w:p>
    <w:p w14:paraId="25EE223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1、合同金额详见合同格式。</w:t>
      </w:r>
    </w:p>
    <w:p w14:paraId="6CA451A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72EDEB3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3、合同货物详细目录及销售价格详见合同货物清单（同投标文件中报价明细表）。</w:t>
      </w:r>
      <w:bookmarkStart w:id="163" w:name="_Toc175644044"/>
      <w:bookmarkStart w:id="164" w:name="_Toc86202596"/>
    </w:p>
    <w:p w14:paraId="59E0B61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w:t>
      </w:r>
      <w:bookmarkEnd w:id="163"/>
      <w:bookmarkEnd w:id="164"/>
      <w:r>
        <w:rPr>
          <w:rFonts w:hint="eastAsia" w:ascii="宋体" w:hAnsi="宋体" w:eastAsia="宋体" w:cs="宋体"/>
          <w:bCs/>
          <w:color w:val="auto"/>
          <w:sz w:val="24"/>
          <w:szCs w:val="24"/>
          <w:highlight w:val="none"/>
        </w:rPr>
        <w:t>付款</w:t>
      </w:r>
    </w:p>
    <w:p w14:paraId="26E31A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1、双方因本合同发生的一切费用均以人民币结算及支付。</w:t>
      </w:r>
    </w:p>
    <w:p w14:paraId="749FB88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2、双方的帐户名称、开户银行及帐号以本合同提供的为准。</w:t>
      </w:r>
    </w:p>
    <w:p w14:paraId="19F414D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、付款方式：</w:t>
      </w:r>
      <w:r>
        <w:rPr>
          <w:rFonts w:hint="eastAsia" w:ascii="宋体" w:hAnsi="宋体" w:cs="宋体"/>
          <w:color w:val="auto"/>
          <w:sz w:val="24"/>
          <w:highlight w:val="none"/>
          <w:u w:val="single"/>
          <w:lang w:val="en-US" w:eastAsia="zh-CN"/>
        </w:rPr>
        <w:t xml:space="preserve">                         </w:t>
      </w:r>
    </w:p>
    <w:p w14:paraId="1650C7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65" w:name="_Toc86202597"/>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55D649A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、甲方直接与乙方付款结算，采购代理机构不对其付款承担连带责任或任何其它责任，在任何情形下乙方亦只能直接向甲方追索而不应当向采购代理机构追索。</w:t>
      </w:r>
    </w:p>
    <w:p w14:paraId="366DF7A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66" w:name="_Toc175644045"/>
      <w:r>
        <w:rPr>
          <w:rFonts w:hint="eastAsia" w:ascii="宋体" w:hAnsi="宋体" w:eastAsia="宋体" w:cs="宋体"/>
          <w:bCs/>
          <w:color w:val="auto"/>
          <w:sz w:val="24"/>
          <w:szCs w:val="24"/>
          <w:highlight w:val="none"/>
        </w:rPr>
        <w:t>五、</w:t>
      </w:r>
      <w:bookmarkEnd w:id="165"/>
      <w:bookmarkEnd w:id="166"/>
      <w:r>
        <w:rPr>
          <w:rFonts w:hint="eastAsia" w:ascii="宋体" w:hAnsi="宋体" w:eastAsia="宋体" w:cs="宋体"/>
          <w:bCs/>
          <w:color w:val="auto"/>
          <w:sz w:val="24"/>
          <w:szCs w:val="24"/>
          <w:highlight w:val="none"/>
        </w:rPr>
        <w:t>交付</w:t>
      </w:r>
    </w:p>
    <w:p w14:paraId="38D666B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1、乙方负责办理运输和保险，将货物运抵</w:t>
      </w:r>
      <w:r>
        <w:rPr>
          <w:rFonts w:hint="eastAsia" w:ascii="宋体" w:hAnsi="宋体" w:cs="宋体"/>
          <w:bCs/>
          <w:color w:val="auto"/>
          <w:sz w:val="24"/>
          <w:szCs w:val="24"/>
          <w:highlight w:val="none"/>
          <w:lang w:eastAsia="zh-CN"/>
        </w:rPr>
        <w:t>服务地点</w:t>
      </w:r>
      <w:r>
        <w:rPr>
          <w:rFonts w:hint="eastAsia" w:ascii="宋体" w:hAnsi="宋体" w:eastAsia="宋体" w:cs="宋体"/>
          <w:bCs/>
          <w:color w:val="auto"/>
          <w:sz w:val="24"/>
          <w:szCs w:val="24"/>
          <w:highlight w:val="none"/>
        </w:rPr>
        <w:t>。有关运输、保险和装卸等一切相关的费用由乙方承担。</w:t>
      </w:r>
    </w:p>
    <w:p w14:paraId="3DF6339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2、货物应运至甲方指定地点，并卸至甲方指定位置，开箱清点及初步检验时双方应派人员参加。</w:t>
      </w:r>
    </w:p>
    <w:p w14:paraId="243BDD7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3、所有货物运抵现场并且安装完毕经检验合格交付甲方，该日期为</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。双方签署交付收货单后为交付完毕。交付完毕货物所有权发生转移，此前货物毁坏的风险由乙方承担。</w:t>
      </w:r>
    </w:p>
    <w:p w14:paraId="321DD5E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4、</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w:t>
      </w:r>
      <w:r>
        <w:rPr>
          <w:rFonts w:hint="eastAsia" w:ascii="宋体" w:hAnsi="宋体" w:cs="宋体"/>
          <w:color w:val="auto"/>
          <w:sz w:val="24"/>
          <w:highlight w:val="none"/>
          <w:u w:val="single"/>
          <w:lang w:val="en-US" w:eastAsia="zh-CN"/>
        </w:rPr>
        <w:t xml:space="preserve">                         </w:t>
      </w:r>
    </w:p>
    <w:p w14:paraId="791404C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5、</w:t>
      </w:r>
      <w:bookmarkStart w:id="167" w:name="_Toc175644046"/>
      <w:bookmarkStart w:id="168" w:name="_Toc86202598"/>
      <w:r>
        <w:rPr>
          <w:rFonts w:hint="eastAsia" w:ascii="宋体" w:hAnsi="宋体" w:cs="宋体"/>
          <w:bCs/>
          <w:color w:val="auto"/>
          <w:sz w:val="24"/>
          <w:szCs w:val="24"/>
          <w:highlight w:val="none"/>
          <w:lang w:eastAsia="zh-CN"/>
        </w:rPr>
        <w:t>服务地点</w:t>
      </w:r>
      <w:r>
        <w:rPr>
          <w:rFonts w:hint="eastAsia" w:ascii="宋体" w:hAnsi="宋体" w:eastAsia="宋体" w:cs="宋体"/>
          <w:bCs/>
          <w:color w:val="auto"/>
          <w:sz w:val="24"/>
          <w:szCs w:val="24"/>
          <w:highlight w:val="none"/>
        </w:rPr>
        <w:t>：</w:t>
      </w:r>
      <w:r>
        <w:rPr>
          <w:rFonts w:hint="eastAsia" w:ascii="宋体" w:hAnsi="宋体" w:cs="宋体"/>
          <w:color w:val="auto"/>
          <w:sz w:val="24"/>
          <w:highlight w:val="none"/>
          <w:u w:val="single"/>
          <w:lang w:val="en-US" w:eastAsia="zh-CN"/>
        </w:rPr>
        <w:t xml:space="preserve">                         </w:t>
      </w:r>
    </w:p>
    <w:p w14:paraId="08AAD84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六、包装和标记</w:t>
      </w:r>
      <w:bookmarkEnd w:id="167"/>
      <w:bookmarkEnd w:id="168"/>
    </w:p>
    <w:p w14:paraId="5736A32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w:t>
      </w:r>
      <w:r>
        <w:rPr>
          <w:rFonts w:hint="eastAsia" w:ascii="宋体" w:hAnsi="宋体" w:cs="宋体"/>
          <w:bCs/>
          <w:color w:val="auto"/>
          <w:sz w:val="24"/>
          <w:szCs w:val="24"/>
          <w:highlight w:val="none"/>
          <w:lang w:eastAsia="zh-CN"/>
        </w:rPr>
        <w:t>服务地点</w:t>
      </w:r>
      <w:r>
        <w:rPr>
          <w:rFonts w:hint="eastAsia" w:ascii="宋体" w:hAnsi="宋体" w:eastAsia="宋体" w:cs="宋体"/>
          <w:bCs/>
          <w:color w:val="auto"/>
          <w:sz w:val="24"/>
          <w:szCs w:val="24"/>
          <w:highlight w:val="none"/>
        </w:rPr>
        <w:t>。</w:t>
      </w:r>
    </w:p>
    <w:p w14:paraId="332085A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69" w:name="_Toc86202599"/>
      <w:bookmarkStart w:id="170" w:name="_Toc175644047"/>
    </w:p>
    <w:p w14:paraId="5FF7B64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七、质量标准和检验</w:t>
      </w:r>
      <w:bookmarkEnd w:id="169"/>
      <w:r>
        <w:rPr>
          <w:rFonts w:hint="eastAsia" w:ascii="宋体" w:hAnsi="宋体" w:eastAsia="宋体" w:cs="宋体"/>
          <w:bCs/>
          <w:color w:val="auto"/>
          <w:sz w:val="24"/>
          <w:szCs w:val="24"/>
          <w:highlight w:val="none"/>
        </w:rPr>
        <w:t>方式</w:t>
      </w:r>
      <w:bookmarkEnd w:id="170"/>
    </w:p>
    <w:p w14:paraId="60A6455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1、乙方应保证提供给甲方的合同货物是货物生产厂商原造的，全新、未使用过的，是用一流的工艺和优质材料制造而成的，并完全符合本项目</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规定的质量、性能和规格的要求。</w:t>
      </w:r>
    </w:p>
    <w:p w14:paraId="7FA7450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2、乙方提供给甲方的合同货物应通过货物制造厂商的出厂检验，并提供质量合格证书。乙方承诺提供给甲方的合同货物的技术规范应与本项目</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中的规定及投标文件中《货物</w:t>
      </w:r>
      <w:r>
        <w:rPr>
          <w:rFonts w:hint="eastAsia" w:ascii="宋体" w:hAnsi="宋体" w:cs="宋体"/>
          <w:bCs/>
          <w:color w:val="auto"/>
          <w:sz w:val="24"/>
          <w:szCs w:val="24"/>
          <w:highlight w:val="none"/>
          <w:lang w:eastAsia="zh-CN"/>
        </w:rPr>
        <w:t>服务（技术）条款偏离表</w:t>
      </w: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如果被采购人接受</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 xml:space="preserve"> 相一致，同时，乙方提供的货物质量应符合中华人民共和国相关标准及相应的技术规范、本次采购相关文件中的全部相关要求及相关标准及相应的技术规范中之较高者。</w:t>
      </w:r>
    </w:p>
    <w:p w14:paraId="7091F84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6B5B8AB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25A3531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4A6DA5C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6、甲方对合同货物的数量、规格和质量的检验，应依据本项目</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中的有关规定进行。</w:t>
      </w:r>
    </w:p>
    <w:p w14:paraId="6EB54EC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44F338E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5B094B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71" w:name="_Toc86202601"/>
      <w:bookmarkStart w:id="172" w:name="_Toc175644048"/>
      <w:r>
        <w:rPr>
          <w:rFonts w:hint="eastAsia" w:ascii="宋体" w:hAnsi="宋体" w:eastAsia="宋体" w:cs="宋体"/>
          <w:bCs/>
          <w:color w:val="auto"/>
          <w:sz w:val="24"/>
          <w:szCs w:val="24"/>
          <w:highlight w:val="none"/>
        </w:rPr>
        <w:t>八、技术服务和保修责任</w:t>
      </w:r>
      <w:bookmarkEnd w:id="171"/>
      <w:bookmarkEnd w:id="172"/>
    </w:p>
    <w:p w14:paraId="42F45E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1、乙方对合同货物、服务的保修期按照</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“投标人须知前附表”的规定。若厂家规定的保修期或合同货物主要部件的保修期长于本合同保修期，应适用其保修期。</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在本次采购文件所规定的期限中，若有不同期限自动适用其中期限较长者</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。本合同项下货物的免费保修期或与质量相关的其它期限均自按照本合同约定方式完成最终验收并由甲方签署了项目验收单之日起算。</w:t>
      </w:r>
    </w:p>
    <w:p w14:paraId="033B75B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01BE87D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1E239C0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05CFD1B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2275331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3AF0B00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7、若由于甲方提出增加并不涉及安全性的新功能而引起的软件升级，相关成本费由甲方承担，乙方不得赚取利润或拒绝、拖延。</w:t>
      </w:r>
    </w:p>
    <w:p w14:paraId="23C32E7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8、若由于乙方增加并不涉及安全性的新功能引起软件升级，而且甲方愿意增加该新功能时，由双方协商解决。</w:t>
      </w:r>
    </w:p>
    <w:p w14:paraId="191F38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4E3FA25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73" w:name="_Toc175644049"/>
      <w:bookmarkStart w:id="174" w:name="_Toc86202602"/>
      <w:r>
        <w:rPr>
          <w:rFonts w:hint="eastAsia" w:ascii="宋体" w:hAnsi="宋体" w:eastAsia="宋体" w:cs="宋体"/>
          <w:bCs/>
          <w:color w:val="auto"/>
          <w:sz w:val="24"/>
          <w:szCs w:val="24"/>
          <w:highlight w:val="none"/>
        </w:rPr>
        <w:t>九、违约责任</w:t>
      </w:r>
      <w:bookmarkEnd w:id="173"/>
      <w:bookmarkEnd w:id="174"/>
    </w:p>
    <w:p w14:paraId="0042281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7AD707F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6CF34CB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1）在甲方同意延长的期限内交付全部货物、提供服务并承担由此给甲方造成的直接损失及甲方因此产生的对第三方的责任。</w:t>
      </w:r>
    </w:p>
    <w:p w14:paraId="414958B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7469247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234C021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4）按合同规定的同种货币将甲方所退货物已支付的货款全部退还给甲方，并承担由此发生的直接损失和相关费用及甲方因此产生的对第三方的责任。</w:t>
      </w:r>
    </w:p>
    <w:p w14:paraId="1B520E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2C8764F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6）此外，上述情形下甲方为采取必要的补救措施或因防止损失扩大而支出的合理费用应由乙方承担。</w:t>
      </w:r>
    </w:p>
    <w:p w14:paraId="19672FA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4CAB4E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4、除有另行约定外，甲方如延期付款，每逾期1日，按应付金额0.3‰支付违约金；乙方如延期交付，每延迟1日，按应交付货物总额0.3‰支付违约金。</w:t>
      </w:r>
    </w:p>
    <w:p w14:paraId="65177C3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75" w:name="_Toc86202603"/>
      <w:r>
        <w:rPr>
          <w:rFonts w:hint="eastAsia" w:ascii="宋体" w:hAnsi="宋体" w:eastAsia="宋体" w:cs="宋体"/>
          <w:bCs/>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6356CBF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7、以上各项交付的违约金并不影响违约方履行合同的各项义务。</w:t>
      </w:r>
    </w:p>
    <w:p w14:paraId="4B7169C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76" w:name="_Toc175644050"/>
      <w:r>
        <w:rPr>
          <w:rFonts w:hint="eastAsia" w:ascii="宋体" w:hAnsi="宋体" w:eastAsia="宋体" w:cs="宋体"/>
          <w:bCs/>
          <w:color w:val="auto"/>
          <w:sz w:val="24"/>
          <w:szCs w:val="24"/>
          <w:highlight w:val="none"/>
        </w:rPr>
        <w:t>十、不可抗力</w:t>
      </w:r>
      <w:bookmarkEnd w:id="175"/>
      <w:bookmarkEnd w:id="176"/>
    </w:p>
    <w:p w14:paraId="104505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1、不可抗力指下列事件：战争、动乱、疫</w:t>
      </w:r>
      <w:r>
        <w:rPr>
          <w:rFonts w:hint="eastAsia" w:ascii="宋体" w:hAnsi="宋体" w:eastAsia="宋体" w:cs="宋体"/>
          <w:bCs/>
          <w:color w:val="auto"/>
          <w:sz w:val="24"/>
          <w:szCs w:val="24"/>
          <w:highlight w:val="none"/>
          <w:lang w:eastAsia="zh-CN"/>
        </w:rPr>
        <w:t>情</w:t>
      </w:r>
      <w:r>
        <w:rPr>
          <w:rFonts w:hint="eastAsia" w:ascii="宋体" w:hAnsi="宋体" w:eastAsia="宋体" w:cs="宋体"/>
          <w:bCs/>
          <w:color w:val="auto"/>
          <w:sz w:val="24"/>
          <w:szCs w:val="24"/>
          <w:highlight w:val="none"/>
        </w:rPr>
        <w:t>、严重火灾、洪水、地震、风暴或其他自然灾害，以及本合同各方不可预见、不可防止并不能避免或克服的一切其他因素及事件。</w:t>
      </w:r>
    </w:p>
    <w:p w14:paraId="6A3D3A8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3DB7112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4C631D6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4、合同各方应根据不可抗力对本合同履行的影响程度，协商确定是否终止本合同，或是继续履行本合同。</w:t>
      </w:r>
      <w:bookmarkStart w:id="177" w:name="_Toc86202604"/>
      <w:bookmarkStart w:id="178" w:name="_Toc175644051"/>
    </w:p>
    <w:p w14:paraId="66D6808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十一、联系方式</w:t>
      </w:r>
      <w:bookmarkEnd w:id="177"/>
      <w:bookmarkEnd w:id="178"/>
    </w:p>
    <w:p w14:paraId="3FCEE51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67A24AD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2、合同双方发出的与本合同有关的通知或回复均应发至</w:t>
      </w:r>
      <w:r>
        <w:rPr>
          <w:rFonts w:hint="eastAsia" w:ascii="宋体" w:hAnsi="宋体" w:cs="宋体"/>
          <w:bCs/>
          <w:color w:val="auto"/>
          <w:sz w:val="24"/>
          <w:szCs w:val="24"/>
          <w:highlight w:val="none"/>
          <w:lang w:eastAsia="zh-CN"/>
        </w:rPr>
        <w:t>采购文件</w:t>
      </w:r>
      <w:r>
        <w:rPr>
          <w:rFonts w:hint="eastAsia" w:ascii="宋体" w:hAnsi="宋体" w:eastAsia="宋体" w:cs="宋体"/>
          <w:bCs/>
          <w:color w:val="auto"/>
          <w:sz w:val="24"/>
          <w:szCs w:val="24"/>
          <w:highlight w:val="none"/>
        </w:rPr>
        <w:t>与投标文件中的通讯地址，一方变更通讯地址或帐号，应自变更之日起3个工作日内，将变更后的地址通知对方。变更方不履行通知义务的，应对此造成的一切后果承担法律责任。</w:t>
      </w:r>
    </w:p>
    <w:p w14:paraId="3D5B329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3、上述发出通知、回复的费用由发出一方承担。</w:t>
      </w:r>
    </w:p>
    <w:p w14:paraId="26172CB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79" w:name="_Toc175644052"/>
      <w:bookmarkStart w:id="180" w:name="_Toc86202605"/>
      <w:r>
        <w:rPr>
          <w:rFonts w:hint="eastAsia" w:ascii="宋体" w:hAnsi="宋体" w:eastAsia="宋体" w:cs="宋体"/>
          <w:bCs/>
          <w:color w:val="auto"/>
          <w:sz w:val="24"/>
          <w:szCs w:val="24"/>
          <w:highlight w:val="none"/>
        </w:rPr>
        <w:t>十二、保密条款</w:t>
      </w:r>
      <w:bookmarkEnd w:id="179"/>
      <w:bookmarkEnd w:id="180"/>
    </w:p>
    <w:p w14:paraId="02BFBD7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1、任何一方对其获知的本合同及附件中其他各方的商业秘密和国家秘密负有保密义务。</w:t>
      </w:r>
    </w:p>
    <w:p w14:paraId="7238552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81" w:name="_Toc86202606"/>
      <w:r>
        <w:rPr>
          <w:rFonts w:hint="eastAsia" w:ascii="宋体" w:hAnsi="宋体" w:eastAsia="宋体" w:cs="宋体"/>
          <w:bCs/>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145EB37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413C71B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82" w:name="_Toc175644053"/>
      <w:r>
        <w:rPr>
          <w:rFonts w:hint="eastAsia" w:ascii="宋体" w:hAnsi="宋体" w:eastAsia="宋体" w:cs="宋体"/>
          <w:bCs/>
          <w:color w:val="auto"/>
          <w:sz w:val="24"/>
          <w:szCs w:val="24"/>
          <w:highlight w:val="none"/>
        </w:rPr>
        <w:t>十三、合同的解释</w:t>
      </w:r>
      <w:bookmarkEnd w:id="181"/>
      <w:bookmarkEnd w:id="182"/>
    </w:p>
    <w:p w14:paraId="013D8A8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1、任何一方对本合同及其附件的解释均应遵循诚实信用原则,依照本合同签订时有效的中国法律、法规以及通常的理解进行。</w:t>
      </w:r>
    </w:p>
    <w:p w14:paraId="40AEEC4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2、本合同标题仅供查阅方便，并非对本合同的诠释或解释；本合同中以日表述的时间期限均指自然日。</w:t>
      </w:r>
    </w:p>
    <w:p w14:paraId="48FD079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3、对本合同的任何解释均应以书面做出。</w:t>
      </w:r>
    </w:p>
    <w:p w14:paraId="32C2D0D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83" w:name="_Toc86202607"/>
      <w:bookmarkStart w:id="184" w:name="_Toc175644054"/>
      <w:r>
        <w:rPr>
          <w:rFonts w:hint="eastAsia" w:ascii="宋体" w:hAnsi="宋体" w:eastAsia="宋体" w:cs="宋体"/>
          <w:bCs/>
          <w:color w:val="auto"/>
          <w:sz w:val="24"/>
          <w:szCs w:val="24"/>
          <w:highlight w:val="none"/>
        </w:rPr>
        <w:t>十四、合同的终止</w:t>
      </w:r>
      <w:bookmarkEnd w:id="183"/>
      <w:bookmarkEnd w:id="184"/>
    </w:p>
    <w:p w14:paraId="357618F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1、本合同因下列原因而终止：</w:t>
      </w:r>
    </w:p>
    <w:p w14:paraId="0EFE06B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1）本合同正常履行完毕；</w:t>
      </w:r>
    </w:p>
    <w:p w14:paraId="2CC19D4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2）合同双方协议终止本合同的履行；</w:t>
      </w:r>
    </w:p>
    <w:p w14:paraId="38D6E89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3）不可抗力事件导致本合同无法履行或履行不必要；</w:t>
      </w:r>
    </w:p>
    <w:p w14:paraId="2108380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4）任何一方行使解除权，解除本合同。</w:t>
      </w:r>
    </w:p>
    <w:p w14:paraId="4A1F9B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2、对本合同终止有过错的一方应赔偿另一方因合同终止而受到的损失。对合同终止双方均无过错的，则各自承担所受到的损失。</w:t>
      </w:r>
    </w:p>
    <w:p w14:paraId="24A81D7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85" w:name="_Toc175644055"/>
      <w:bookmarkStart w:id="186" w:name="_Toc86202608"/>
      <w:r>
        <w:rPr>
          <w:rFonts w:hint="eastAsia" w:ascii="宋体" w:hAnsi="宋体" w:eastAsia="宋体" w:cs="宋体"/>
          <w:bCs/>
          <w:color w:val="auto"/>
          <w:sz w:val="24"/>
          <w:szCs w:val="24"/>
          <w:highlight w:val="none"/>
        </w:rPr>
        <w:t>十五、法律适用</w:t>
      </w:r>
      <w:bookmarkEnd w:id="185"/>
    </w:p>
    <w:p w14:paraId="7EAD5BB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1、本合同及附件的订立、效力、解释、履行、争议的解决等适用本合同签订时有效的中华人民共和国法律、法规的有关规定。</w:t>
      </w:r>
    </w:p>
    <w:p w14:paraId="3054685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7C78E7A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87" w:name="_Toc175644056"/>
      <w:r>
        <w:rPr>
          <w:rFonts w:hint="eastAsia" w:ascii="宋体" w:hAnsi="宋体" w:eastAsia="宋体" w:cs="宋体"/>
          <w:bCs/>
          <w:color w:val="auto"/>
          <w:sz w:val="24"/>
          <w:szCs w:val="24"/>
          <w:highlight w:val="none"/>
        </w:rPr>
        <w:t>十六、权利的保留</w:t>
      </w:r>
      <w:bookmarkEnd w:id="186"/>
      <w:bookmarkEnd w:id="187"/>
    </w:p>
    <w:p w14:paraId="35F3A2A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7285C8E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3900796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88" w:name="_Toc175644057"/>
      <w:bookmarkStart w:id="189" w:name="_Toc86202609"/>
      <w:r>
        <w:rPr>
          <w:rFonts w:hint="eastAsia" w:ascii="宋体" w:hAnsi="宋体" w:eastAsia="宋体" w:cs="宋体"/>
          <w:bCs/>
          <w:color w:val="auto"/>
          <w:sz w:val="24"/>
          <w:szCs w:val="24"/>
          <w:highlight w:val="none"/>
        </w:rPr>
        <w:t>十七、争议的解决</w:t>
      </w:r>
      <w:bookmarkEnd w:id="188"/>
      <w:bookmarkEnd w:id="189"/>
    </w:p>
    <w:p w14:paraId="1770D7F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1、合同双方应通过友好协商解决因解释﹑执行本合同所发生的和本合同有关的一切争议。如果经协商不能达成协议，可以采用以下方式解决：（1）提交</w:t>
      </w:r>
      <w:r>
        <w:rPr>
          <w:rFonts w:hint="eastAsia" w:ascii="宋体" w:hAnsi="宋体" w:eastAsia="宋体" w:cs="宋体"/>
          <w:bCs/>
          <w:color w:val="auto"/>
          <w:sz w:val="24"/>
          <w:szCs w:val="24"/>
          <w:highlight w:val="none"/>
          <w:lang w:eastAsia="zh-CN"/>
        </w:rPr>
        <w:t>自治区</w:t>
      </w:r>
      <w:r>
        <w:rPr>
          <w:rFonts w:hint="eastAsia" w:ascii="宋体" w:hAnsi="宋体" w:eastAsia="宋体" w:cs="宋体"/>
          <w:bCs/>
          <w:color w:val="auto"/>
          <w:sz w:val="24"/>
          <w:szCs w:val="24"/>
          <w:highlight w:val="none"/>
        </w:rPr>
        <w:t>仲裁委员会仲裁；（2）向甲方所在地人民法院起诉。</w:t>
      </w:r>
    </w:p>
    <w:p w14:paraId="22F0754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499E1BD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3、在争议解决期间，除了诉讼或仲裁进行过程中正在解决的那部分问题外，合同其余部分应继续履行。</w:t>
      </w:r>
    </w:p>
    <w:p w14:paraId="48E08D9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90" w:name="_Toc86202611"/>
      <w:bookmarkStart w:id="191" w:name="_Toc175644059"/>
      <w:r>
        <w:rPr>
          <w:rFonts w:hint="eastAsia" w:ascii="宋体" w:hAnsi="宋体" w:eastAsia="宋体" w:cs="宋体"/>
          <w:bCs/>
          <w:color w:val="auto"/>
          <w:sz w:val="24"/>
          <w:szCs w:val="24"/>
          <w:highlight w:val="none"/>
        </w:rPr>
        <w:t>十八、合同的生效</w:t>
      </w:r>
      <w:bookmarkEnd w:id="190"/>
      <w:bookmarkEnd w:id="191"/>
    </w:p>
    <w:p w14:paraId="5929EA5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本合同经甲乙双方法定代表人或授权代理人签字加盖单位公章，乙方按时、足额提交履约保证金。</w:t>
      </w:r>
    </w:p>
    <w:p w14:paraId="6DE8A9B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92" w:name="_Toc175644060"/>
      <w:bookmarkStart w:id="193" w:name="_Toc86202612"/>
      <w:r>
        <w:rPr>
          <w:rFonts w:hint="eastAsia" w:ascii="宋体" w:hAnsi="宋体" w:eastAsia="宋体" w:cs="宋体"/>
          <w:bCs/>
          <w:color w:val="auto"/>
          <w:sz w:val="24"/>
          <w:szCs w:val="24"/>
          <w:highlight w:val="none"/>
        </w:rPr>
        <w:t>十九、其他约定事项</w:t>
      </w:r>
      <w:bookmarkEnd w:id="192"/>
      <w:bookmarkEnd w:id="193"/>
    </w:p>
    <w:p w14:paraId="16FC381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1、本合同中的附件均为本合同不可分割的部分，与本合同具有相同的法律效力。</w:t>
      </w:r>
    </w:p>
    <w:p w14:paraId="2F78773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166CE9F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3、本合同一式</w:t>
      </w:r>
      <w:r>
        <w:rPr>
          <w:rFonts w:hint="eastAsia" w:ascii="宋体" w:hAnsi="宋体" w:eastAsia="宋体" w:cs="宋体"/>
          <w:bCs/>
          <w:color w:val="auto"/>
          <w:sz w:val="24"/>
          <w:szCs w:val="24"/>
          <w:highlight w:val="none"/>
          <w:lang w:eastAsia="zh-CN"/>
        </w:rPr>
        <w:t>四</w:t>
      </w:r>
      <w:r>
        <w:rPr>
          <w:rFonts w:hint="eastAsia" w:ascii="宋体" w:hAnsi="宋体" w:eastAsia="宋体" w:cs="宋体"/>
          <w:bCs/>
          <w:color w:val="auto"/>
          <w:sz w:val="24"/>
          <w:szCs w:val="24"/>
          <w:highlight w:val="none"/>
        </w:rPr>
        <w:t>份，具有同等法律效力。</w:t>
      </w:r>
    </w:p>
    <w:p w14:paraId="7DFD33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AED4BCA">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lang w:eastAsia="zh-CN"/>
        </w:rPr>
      </w:pPr>
      <w:r>
        <w:rPr>
          <w:rFonts w:hint="eastAsia" w:ascii="宋体" w:hAnsi="宋体" w:cs="宋体"/>
          <w:b/>
          <w:bCs w:val="0"/>
          <w:color w:val="auto"/>
          <w:sz w:val="24"/>
          <w:szCs w:val="24"/>
          <w:highlight w:val="none"/>
          <w:lang w:eastAsia="zh-CN"/>
        </w:rPr>
        <w:t>（</w:t>
      </w:r>
      <w:r>
        <w:rPr>
          <w:rFonts w:hint="eastAsia" w:ascii="宋体" w:hAnsi="宋体" w:cs="宋体"/>
          <w:b/>
          <w:bCs w:val="0"/>
          <w:color w:val="auto"/>
          <w:sz w:val="24"/>
          <w:szCs w:val="24"/>
          <w:highlight w:val="none"/>
          <w:lang w:val="en-US" w:eastAsia="zh-CN"/>
        </w:rPr>
        <w:t>具体以最终合同签订为准</w:t>
      </w:r>
      <w:r>
        <w:rPr>
          <w:rFonts w:hint="eastAsia" w:ascii="宋体" w:hAnsi="宋体" w:cs="宋体"/>
          <w:b/>
          <w:bCs w:val="0"/>
          <w:color w:val="auto"/>
          <w:sz w:val="24"/>
          <w:szCs w:val="24"/>
          <w:highlight w:val="none"/>
          <w:lang w:eastAsia="zh-CN"/>
        </w:rPr>
        <w:t>）</w:t>
      </w:r>
    </w:p>
    <w:p w14:paraId="0CA7A06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0A7B9D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3D9D778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B4C39E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03FC5E7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6D7A5C2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E5DAEF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40C675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598C5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4B7C6C7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94D2447">
      <w:pPr>
        <w:pStyle w:val="4"/>
        <w:rPr>
          <w:rFonts w:hint="eastAsia" w:ascii="宋体" w:hAnsi="宋体" w:eastAsia="宋体" w:cs="宋体"/>
          <w:b/>
          <w:bCs w:val="0"/>
          <w:color w:val="auto"/>
          <w:highlight w:val="none"/>
          <w:lang w:eastAsia="zh-CN"/>
        </w:rPr>
      </w:pPr>
      <w:bookmarkStart w:id="194" w:name="_Toc24120"/>
      <w:r>
        <w:rPr>
          <w:rFonts w:hint="eastAsia" w:ascii="宋体" w:hAnsi="宋体" w:eastAsia="宋体" w:cs="宋体"/>
          <w:b/>
          <w:bCs w:val="0"/>
          <w:color w:val="auto"/>
          <w:highlight w:val="none"/>
          <w:lang w:val="en-US" w:eastAsia="zh-CN"/>
        </w:rPr>
        <w:t>第六部分  响应</w:t>
      </w:r>
      <w:r>
        <w:rPr>
          <w:rFonts w:hint="eastAsia" w:ascii="宋体" w:hAnsi="宋体" w:eastAsia="宋体" w:cs="宋体"/>
          <w:b/>
          <w:bCs w:val="0"/>
          <w:color w:val="auto"/>
          <w:highlight w:val="none"/>
          <w:lang w:eastAsia="zh-CN"/>
        </w:rPr>
        <w:t>文件格式</w:t>
      </w:r>
      <w:bookmarkEnd w:id="194"/>
    </w:p>
    <w:p w14:paraId="62DBD09E">
      <w:pPr>
        <w:pStyle w:val="5"/>
        <w:jc w:val="center"/>
        <w:rPr>
          <w:rFonts w:hint="eastAsia" w:ascii="宋体" w:hAnsi="宋体" w:eastAsia="宋体" w:cs="宋体"/>
          <w:b/>
          <w:color w:val="auto"/>
          <w:sz w:val="24"/>
          <w:szCs w:val="24"/>
          <w:highlight w:val="none"/>
          <w:lang w:eastAsia="zh-CN"/>
        </w:rPr>
      </w:pPr>
      <w:bookmarkStart w:id="195" w:name="_Toc19838"/>
      <w:bookmarkStart w:id="196" w:name="_Toc25864"/>
      <w:bookmarkStart w:id="197" w:name="_Toc5242"/>
      <w:bookmarkStart w:id="198" w:name="_Toc3432"/>
      <w:bookmarkStart w:id="199" w:name="_Toc5639"/>
      <w:bookmarkStart w:id="200" w:name="_Toc24944"/>
      <w:r>
        <w:rPr>
          <w:rFonts w:hint="eastAsia" w:ascii="宋体" w:hAnsi="宋体" w:eastAsia="宋体" w:cs="宋体"/>
          <w:b/>
          <w:color w:val="auto"/>
          <w:sz w:val="24"/>
          <w:szCs w:val="24"/>
          <w:highlight w:val="none"/>
          <w:lang w:eastAsia="zh-CN"/>
        </w:rPr>
        <w:t>响应文件封面</w:t>
      </w:r>
      <w:bookmarkEnd w:id="195"/>
      <w:bookmarkEnd w:id="196"/>
      <w:bookmarkEnd w:id="197"/>
      <w:bookmarkEnd w:id="198"/>
      <w:bookmarkEnd w:id="199"/>
    </w:p>
    <w:p w14:paraId="47332881">
      <w:pPr>
        <w:autoSpaceDE w:val="0"/>
        <w:autoSpaceDN w:val="0"/>
        <w:adjustRightInd w:val="0"/>
        <w:jc w:val="center"/>
        <w:rPr>
          <w:rFonts w:hint="eastAsia" w:ascii="宋体" w:hAnsi="宋体" w:cs="宋体"/>
          <w:bCs/>
          <w:color w:val="auto"/>
          <w:kern w:val="0"/>
          <w:szCs w:val="21"/>
          <w:highlight w:val="none"/>
        </w:rPr>
      </w:pPr>
      <w:r>
        <w:rPr>
          <w:rFonts w:hint="eastAsia" w:ascii="宋体" w:hAnsi="宋体" w:cs="宋体"/>
          <w:bCs/>
          <w:color w:val="auto"/>
          <w:kern w:val="0"/>
          <w:szCs w:val="21"/>
          <w:highlight w:val="none"/>
        </w:rPr>
        <w:t>（投标文件制作格式，仅供参考）</w:t>
      </w:r>
    </w:p>
    <w:p w14:paraId="5A1EAC29">
      <w:pPr>
        <w:autoSpaceDE w:val="0"/>
        <w:autoSpaceDN w:val="0"/>
        <w:adjustRightInd w:val="0"/>
        <w:jc w:val="right"/>
        <w:rPr>
          <w:rFonts w:hint="eastAsia" w:ascii="宋体" w:hAnsi="宋体" w:cs="宋体"/>
          <w:b/>
          <w:color w:val="auto"/>
          <w:spacing w:val="-6"/>
          <w:kern w:val="0"/>
          <w:sz w:val="32"/>
          <w:szCs w:val="32"/>
          <w:highlight w:val="none"/>
          <w:bdr w:val="single" w:color="auto" w:sz="4" w:space="0"/>
        </w:rPr>
      </w:pPr>
      <w:r>
        <w:rPr>
          <w:rFonts w:hint="eastAsia" w:ascii="宋体" w:hAnsi="宋体" w:cs="宋体"/>
          <w:b/>
          <w:color w:val="auto"/>
          <w:spacing w:val="-6"/>
          <w:kern w:val="0"/>
          <w:sz w:val="32"/>
          <w:szCs w:val="32"/>
          <w:highlight w:val="none"/>
          <w:bdr w:val="single" w:color="auto" w:sz="4" w:space="0"/>
        </w:rPr>
        <w:t>正本</w:t>
      </w:r>
      <w:r>
        <w:rPr>
          <w:rFonts w:hint="eastAsia" w:ascii="宋体" w:hAnsi="宋体" w:cs="宋体"/>
          <w:b/>
          <w:color w:val="auto"/>
          <w:spacing w:val="-6"/>
          <w:kern w:val="0"/>
          <w:sz w:val="32"/>
          <w:szCs w:val="32"/>
          <w:highlight w:val="none"/>
          <w:bdr w:val="single" w:color="auto" w:sz="4" w:space="0"/>
          <w:lang w:val="en-US" w:eastAsia="zh-CN"/>
        </w:rPr>
        <w:t>/</w:t>
      </w:r>
      <w:r>
        <w:rPr>
          <w:rFonts w:hint="eastAsia" w:ascii="宋体" w:hAnsi="宋体" w:cs="宋体"/>
          <w:b/>
          <w:color w:val="auto"/>
          <w:spacing w:val="-6"/>
          <w:kern w:val="0"/>
          <w:sz w:val="32"/>
          <w:szCs w:val="32"/>
          <w:highlight w:val="none"/>
          <w:bdr w:val="single" w:color="auto" w:sz="4" w:space="0"/>
        </w:rPr>
        <w:t>副本</w:t>
      </w:r>
    </w:p>
    <w:p w14:paraId="7EDD36C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b/>
          <w:color w:val="auto"/>
          <w:sz w:val="48"/>
          <w:szCs w:val="48"/>
          <w:highlight w:val="none"/>
          <w:lang w:val="en-US" w:eastAsia="zh-CN"/>
        </w:rPr>
      </w:pPr>
      <w:r>
        <w:rPr>
          <w:rFonts w:hint="eastAsia" w:ascii="宋体" w:hAnsi="宋体" w:cs="宋体"/>
          <w:b/>
          <w:color w:val="auto"/>
          <w:spacing w:val="-6"/>
          <w:kern w:val="0"/>
          <w:sz w:val="48"/>
          <w:szCs w:val="48"/>
          <w:highlight w:val="none"/>
          <w:lang w:val="en-US" w:eastAsia="zh-CN"/>
        </w:rPr>
        <w:t>吐鲁番市鄯善县人民医院安保服务采购项目</w:t>
      </w:r>
    </w:p>
    <w:p w14:paraId="6F0F5456">
      <w:pPr>
        <w:keepNext w:val="0"/>
        <w:keepLines w:val="0"/>
        <w:pageBreakBefore w:val="0"/>
        <w:widowControl w:val="0"/>
        <w:kinsoku/>
        <w:wordWrap/>
        <w:overflowPunct/>
        <w:topLinePunct w:val="0"/>
        <w:autoSpaceDE/>
        <w:autoSpaceDN/>
        <w:bidi w:val="0"/>
        <w:adjustRightInd w:val="0"/>
        <w:snapToGrid w:val="0"/>
        <w:spacing w:line="240" w:lineRule="auto"/>
        <w:ind w:left="2520" w:leftChars="1200"/>
        <w:textAlignment w:val="auto"/>
        <w:rPr>
          <w:rFonts w:hint="eastAsia" w:ascii="宋体" w:hAnsi="宋体" w:eastAsia="宋体" w:cs="宋体"/>
          <w:color w:val="auto"/>
          <w:sz w:val="32"/>
          <w:szCs w:val="32"/>
          <w:highlight w:val="none"/>
          <w:u w:val="single"/>
          <w:lang w:val="en-US" w:eastAsia="zh-CN"/>
        </w:rPr>
      </w:pPr>
      <w:r>
        <w:rPr>
          <w:rFonts w:hint="eastAsia" w:ascii="宋体" w:hAnsi="宋体" w:cs="宋体"/>
          <w:color w:val="auto"/>
          <w:sz w:val="32"/>
          <w:szCs w:val="32"/>
          <w:highlight w:val="none"/>
          <w:lang w:eastAsia="zh-CN"/>
        </w:rPr>
        <w:t>（</w:t>
      </w:r>
      <w:r>
        <w:rPr>
          <w:rFonts w:hint="eastAsia" w:ascii="宋体" w:hAnsi="宋体" w:cs="宋体"/>
          <w:color w:val="auto"/>
          <w:sz w:val="32"/>
          <w:szCs w:val="32"/>
          <w:highlight w:val="none"/>
        </w:rPr>
        <w:t>项目编号：</w:t>
      </w:r>
      <w:r>
        <w:rPr>
          <w:rFonts w:hint="eastAsia" w:ascii="宋体" w:hAnsi="宋体" w:cs="宋体"/>
          <w:color w:val="auto"/>
          <w:sz w:val="32"/>
          <w:szCs w:val="32"/>
          <w:highlight w:val="none"/>
          <w:u w:val="none"/>
          <w:lang w:val="en-US" w:eastAsia="zh-CN"/>
        </w:rPr>
        <w:t>XJZN-2025-03117）</w:t>
      </w:r>
    </w:p>
    <w:p w14:paraId="5BB7040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b/>
          <w:color w:val="auto"/>
          <w:sz w:val="22"/>
          <w:szCs w:val="48"/>
          <w:highlight w:val="none"/>
        </w:rPr>
      </w:pPr>
    </w:p>
    <w:p w14:paraId="5BC46C8C">
      <w:pPr>
        <w:pStyle w:val="37"/>
        <w:rPr>
          <w:rFonts w:hint="eastAsia"/>
          <w:color w:val="auto"/>
          <w:highlight w:val="none"/>
        </w:rPr>
      </w:pPr>
    </w:p>
    <w:p w14:paraId="21C8C85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b/>
          <w:color w:val="auto"/>
          <w:sz w:val="72"/>
          <w:szCs w:val="72"/>
          <w:highlight w:val="none"/>
        </w:rPr>
      </w:pPr>
      <w:r>
        <w:rPr>
          <w:rFonts w:hint="eastAsia" w:ascii="宋体" w:hAnsi="宋体" w:cs="宋体"/>
          <w:b/>
          <w:color w:val="auto"/>
          <w:sz w:val="72"/>
          <w:szCs w:val="72"/>
          <w:highlight w:val="none"/>
          <w:lang w:eastAsia="zh-CN"/>
        </w:rPr>
        <w:t>响应</w:t>
      </w:r>
      <w:r>
        <w:rPr>
          <w:rFonts w:hint="eastAsia" w:ascii="宋体" w:hAnsi="宋体" w:cs="宋体"/>
          <w:b/>
          <w:color w:val="auto"/>
          <w:sz w:val="72"/>
          <w:szCs w:val="72"/>
          <w:highlight w:val="none"/>
        </w:rPr>
        <w:t>文件</w:t>
      </w:r>
    </w:p>
    <w:p w14:paraId="537B5E90">
      <w:pPr>
        <w:spacing w:line="360" w:lineRule="auto"/>
        <w:jc w:val="center"/>
        <w:rPr>
          <w:rFonts w:hint="eastAsia" w:ascii="宋体" w:hAnsi="宋体" w:cs="宋体"/>
          <w:b/>
          <w:color w:val="auto"/>
          <w:sz w:val="24"/>
          <w:szCs w:val="48"/>
          <w:highlight w:val="none"/>
        </w:rPr>
      </w:pPr>
    </w:p>
    <w:p w14:paraId="38851A17">
      <w:pPr>
        <w:pStyle w:val="19"/>
        <w:rPr>
          <w:rFonts w:hint="eastAsia" w:ascii="宋体" w:hAnsi="宋体" w:cs="宋体"/>
          <w:b/>
          <w:color w:val="auto"/>
          <w:szCs w:val="48"/>
          <w:highlight w:val="none"/>
        </w:rPr>
      </w:pPr>
    </w:p>
    <w:p w14:paraId="5DCDBBA5">
      <w:pPr>
        <w:pStyle w:val="48"/>
        <w:tabs>
          <w:tab w:val="left" w:pos="924"/>
        </w:tabs>
        <w:rPr>
          <w:rFonts w:hint="eastAsia" w:hAnsi="宋体"/>
          <w:b/>
          <w:color w:val="auto"/>
          <w:szCs w:val="48"/>
          <w:highlight w:val="none"/>
        </w:rPr>
      </w:pPr>
    </w:p>
    <w:p w14:paraId="5DBA93B2">
      <w:pPr>
        <w:pStyle w:val="48"/>
        <w:tabs>
          <w:tab w:val="left" w:pos="924"/>
        </w:tabs>
        <w:rPr>
          <w:rFonts w:hint="eastAsia" w:hAnsi="宋体"/>
          <w:b/>
          <w:color w:val="auto"/>
          <w:szCs w:val="48"/>
          <w:highlight w:val="none"/>
        </w:rPr>
      </w:pPr>
    </w:p>
    <w:p w14:paraId="6F6E41D2">
      <w:pPr>
        <w:spacing w:line="360" w:lineRule="auto"/>
        <w:jc w:val="center"/>
        <w:rPr>
          <w:rFonts w:hint="eastAsia" w:ascii="宋体" w:hAnsi="宋体" w:cs="宋体"/>
          <w:b/>
          <w:color w:val="auto"/>
          <w:sz w:val="24"/>
          <w:szCs w:val="48"/>
          <w:highlight w:val="none"/>
        </w:rPr>
      </w:pPr>
    </w:p>
    <w:p w14:paraId="06EA7998">
      <w:pPr>
        <w:spacing w:line="360" w:lineRule="auto"/>
        <w:jc w:val="center"/>
        <w:rPr>
          <w:rFonts w:hint="eastAsia" w:ascii="宋体" w:hAnsi="宋体" w:cs="宋体"/>
          <w:b/>
          <w:color w:val="auto"/>
          <w:sz w:val="24"/>
          <w:szCs w:val="48"/>
          <w:highlight w:val="none"/>
        </w:rPr>
      </w:pPr>
    </w:p>
    <w:p w14:paraId="32320F14">
      <w:pPr>
        <w:spacing w:line="360" w:lineRule="auto"/>
        <w:jc w:val="center"/>
        <w:rPr>
          <w:rFonts w:hint="eastAsia" w:ascii="宋体" w:hAnsi="宋体" w:cs="宋体"/>
          <w:b/>
          <w:color w:val="auto"/>
          <w:sz w:val="24"/>
          <w:szCs w:val="48"/>
          <w:highlight w:val="none"/>
        </w:rPr>
      </w:pPr>
    </w:p>
    <w:p w14:paraId="73A1784A">
      <w:pPr>
        <w:spacing w:line="360" w:lineRule="auto"/>
        <w:jc w:val="center"/>
        <w:rPr>
          <w:rFonts w:hint="eastAsia" w:ascii="宋体" w:hAnsi="宋体" w:cs="宋体"/>
          <w:b/>
          <w:color w:val="auto"/>
          <w:sz w:val="24"/>
          <w:szCs w:val="48"/>
          <w:highlight w:val="none"/>
        </w:rPr>
      </w:pPr>
    </w:p>
    <w:p w14:paraId="4D9D65F5">
      <w:pPr>
        <w:spacing w:line="360" w:lineRule="auto"/>
        <w:ind w:left="1898" w:leftChars="904" w:firstLine="0" w:firstLineChars="0"/>
        <w:rPr>
          <w:rFonts w:hint="default" w:ascii="宋体" w:hAnsi="宋体" w:eastAsia="宋体" w:cs="宋体"/>
          <w:color w:val="auto"/>
          <w:sz w:val="30"/>
          <w:highlight w:val="none"/>
          <w:lang w:val="en-US" w:eastAsia="zh-CN"/>
        </w:rPr>
      </w:pPr>
      <w:r>
        <w:rPr>
          <w:rFonts w:hint="eastAsia" w:ascii="宋体" w:hAnsi="宋体" w:cs="宋体"/>
          <w:color w:val="auto"/>
          <w:sz w:val="30"/>
          <w:highlight w:val="none"/>
        </w:rPr>
        <w:t>投标单位：</w:t>
      </w:r>
      <w:r>
        <w:rPr>
          <w:rFonts w:hint="eastAsia" w:ascii="宋体" w:hAnsi="宋体" w:cs="宋体"/>
          <w:color w:val="auto"/>
          <w:sz w:val="30"/>
          <w:highlight w:val="none"/>
          <w:u w:val="single"/>
        </w:rPr>
        <w:t xml:space="preserve">   （全称）（</w:t>
      </w:r>
      <w:r>
        <w:rPr>
          <w:rFonts w:hint="eastAsia" w:ascii="宋体" w:hAnsi="宋体" w:cs="宋体"/>
          <w:color w:val="auto"/>
          <w:sz w:val="30"/>
          <w:highlight w:val="none"/>
          <w:u w:val="single"/>
          <w:lang w:eastAsia="zh-CN"/>
        </w:rPr>
        <w:t>公章</w:t>
      </w:r>
      <w:r>
        <w:rPr>
          <w:rFonts w:hint="eastAsia" w:ascii="宋体" w:hAnsi="宋体" w:cs="宋体"/>
          <w:color w:val="auto"/>
          <w:sz w:val="30"/>
          <w:highlight w:val="none"/>
          <w:u w:val="single"/>
        </w:rPr>
        <w:t>）</w:t>
      </w:r>
      <w:r>
        <w:rPr>
          <w:rFonts w:hint="eastAsia" w:ascii="宋体" w:hAnsi="宋体" w:cs="宋体"/>
          <w:color w:val="auto"/>
          <w:sz w:val="30"/>
          <w:highlight w:val="none"/>
          <w:u w:val="single"/>
          <w:lang w:val="en-US" w:eastAsia="zh-CN"/>
        </w:rPr>
        <w:t xml:space="preserve">          </w:t>
      </w:r>
    </w:p>
    <w:p w14:paraId="18D629DC">
      <w:pPr>
        <w:spacing w:line="360" w:lineRule="auto"/>
        <w:ind w:left="1898" w:leftChars="904" w:firstLine="0" w:firstLineChars="0"/>
        <w:rPr>
          <w:rFonts w:hint="eastAsia" w:ascii="宋体" w:hAnsi="宋体" w:cs="宋体"/>
          <w:color w:val="auto"/>
          <w:sz w:val="30"/>
          <w:highlight w:val="none"/>
        </w:rPr>
      </w:pPr>
      <w:r>
        <w:rPr>
          <w:rFonts w:hint="eastAsia" w:ascii="宋体" w:hAnsi="宋体" w:cs="宋体"/>
          <w:color w:val="auto"/>
          <w:sz w:val="30"/>
          <w:highlight w:val="none"/>
        </w:rPr>
        <w:t>法人代表或授权代表</w:t>
      </w:r>
    </w:p>
    <w:p w14:paraId="3B55BD91">
      <w:pPr>
        <w:spacing w:line="360" w:lineRule="auto"/>
        <w:ind w:left="1898" w:leftChars="904" w:firstLine="0" w:firstLineChars="0"/>
        <w:rPr>
          <w:rFonts w:hint="default" w:ascii="宋体" w:hAnsi="宋体" w:eastAsia="宋体" w:cs="宋体"/>
          <w:color w:val="auto"/>
          <w:sz w:val="30"/>
          <w:highlight w:val="none"/>
          <w:lang w:val="en-US" w:eastAsia="zh-CN"/>
        </w:rPr>
      </w:pPr>
      <w:r>
        <w:rPr>
          <w:rFonts w:hint="eastAsia" w:ascii="宋体" w:hAnsi="宋体" w:cs="宋体"/>
          <w:color w:val="auto"/>
          <w:sz w:val="30"/>
          <w:highlight w:val="none"/>
          <w:lang w:val="en-US" w:eastAsia="zh-CN"/>
        </w:rPr>
        <w:t>（</w:t>
      </w:r>
      <w:r>
        <w:rPr>
          <w:rFonts w:hint="eastAsia" w:ascii="宋体" w:hAnsi="宋体" w:cs="宋体"/>
          <w:color w:val="auto"/>
          <w:sz w:val="30"/>
          <w:highlight w:val="none"/>
        </w:rPr>
        <w:t>签字</w:t>
      </w:r>
      <w:r>
        <w:rPr>
          <w:rFonts w:hint="eastAsia" w:ascii="宋体" w:hAnsi="宋体" w:cs="宋体"/>
          <w:color w:val="auto"/>
          <w:sz w:val="30"/>
          <w:highlight w:val="none"/>
          <w:lang w:eastAsia="zh-CN"/>
        </w:rPr>
        <w:t>或盖章</w:t>
      </w:r>
      <w:r>
        <w:rPr>
          <w:rFonts w:hint="eastAsia" w:ascii="宋体" w:hAnsi="宋体" w:cs="宋体"/>
          <w:color w:val="auto"/>
          <w:sz w:val="30"/>
          <w:highlight w:val="none"/>
          <w:lang w:val="en-US" w:eastAsia="zh-CN"/>
        </w:rPr>
        <w:t>）</w:t>
      </w:r>
      <w:r>
        <w:rPr>
          <w:rFonts w:hint="eastAsia" w:ascii="宋体" w:hAnsi="宋体" w:cs="宋体"/>
          <w:color w:val="auto"/>
          <w:sz w:val="30"/>
          <w:highlight w:val="none"/>
        </w:rPr>
        <w:t>：</w:t>
      </w:r>
      <w:r>
        <w:rPr>
          <w:rFonts w:hint="eastAsia" w:ascii="宋体" w:hAnsi="宋体" w:cs="宋体"/>
          <w:color w:val="auto"/>
          <w:sz w:val="30"/>
          <w:highlight w:val="none"/>
          <w:u w:val="single"/>
          <w:lang w:val="en-US" w:eastAsia="zh-CN"/>
        </w:rPr>
        <w:t xml:space="preserve">                       </w:t>
      </w:r>
    </w:p>
    <w:p w14:paraId="4609F3F0">
      <w:pPr>
        <w:spacing w:line="360" w:lineRule="auto"/>
        <w:ind w:left="1898" w:leftChars="904" w:firstLine="0" w:firstLineChars="0"/>
        <w:rPr>
          <w:rFonts w:hint="default" w:ascii="宋体" w:hAnsi="宋体" w:cs="宋体"/>
          <w:color w:val="auto"/>
          <w:sz w:val="30"/>
          <w:highlight w:val="none"/>
          <w:u w:val="single"/>
          <w:lang w:val="en-US" w:eastAsia="zh-CN"/>
        </w:rPr>
      </w:pPr>
      <w:r>
        <w:rPr>
          <w:rFonts w:hint="eastAsia" w:ascii="宋体" w:hAnsi="宋体" w:cs="宋体"/>
          <w:color w:val="auto"/>
          <w:sz w:val="30"/>
          <w:highlight w:val="none"/>
        </w:rPr>
        <w:t>联系</w:t>
      </w:r>
      <w:r>
        <w:rPr>
          <w:rFonts w:hint="eastAsia" w:ascii="宋体" w:hAnsi="宋体" w:cs="宋体"/>
          <w:color w:val="auto"/>
          <w:sz w:val="30"/>
          <w:highlight w:val="none"/>
          <w:lang w:eastAsia="zh-CN"/>
        </w:rPr>
        <w:t>方式</w:t>
      </w:r>
      <w:r>
        <w:rPr>
          <w:rFonts w:hint="eastAsia" w:ascii="宋体" w:hAnsi="宋体" w:cs="宋体"/>
          <w:color w:val="auto"/>
          <w:sz w:val="30"/>
          <w:highlight w:val="none"/>
        </w:rPr>
        <w:t>：</w:t>
      </w:r>
      <w:r>
        <w:rPr>
          <w:rFonts w:hint="eastAsia" w:ascii="宋体" w:hAnsi="宋体" w:cs="宋体"/>
          <w:color w:val="auto"/>
          <w:sz w:val="30"/>
          <w:highlight w:val="none"/>
          <w:u w:val="single"/>
          <w:lang w:val="en-US" w:eastAsia="zh-CN"/>
        </w:rPr>
        <w:t xml:space="preserve">   （</w:t>
      </w:r>
      <w:r>
        <w:rPr>
          <w:rFonts w:hint="eastAsia" w:ascii="宋体" w:hAnsi="宋体" w:cs="宋体"/>
          <w:i/>
          <w:iCs/>
          <w:color w:val="auto"/>
          <w:sz w:val="30"/>
          <w:highlight w:val="none"/>
          <w:u w:val="single"/>
          <w:lang w:val="en-US" w:eastAsia="zh-CN"/>
        </w:rPr>
        <w:t>联系人及电话）</w:t>
      </w:r>
      <w:r>
        <w:rPr>
          <w:rFonts w:hint="eastAsia" w:ascii="宋体" w:hAnsi="宋体" w:cs="宋体"/>
          <w:color w:val="auto"/>
          <w:sz w:val="30"/>
          <w:highlight w:val="none"/>
          <w:u w:val="single"/>
          <w:lang w:val="en-US" w:eastAsia="zh-CN"/>
        </w:rPr>
        <w:t xml:space="preserve">          </w:t>
      </w:r>
    </w:p>
    <w:p w14:paraId="2BBED37B">
      <w:pPr>
        <w:spacing w:line="360" w:lineRule="auto"/>
        <w:ind w:left="1898" w:leftChars="904" w:firstLine="0" w:firstLineChars="0"/>
        <w:rPr>
          <w:rFonts w:hint="default" w:ascii="宋体" w:hAnsi="宋体" w:eastAsia="宋体" w:cs="宋体"/>
          <w:color w:val="auto"/>
          <w:sz w:val="30"/>
          <w:highlight w:val="none"/>
          <w:lang w:val="en-US" w:eastAsia="zh-CN"/>
        </w:rPr>
      </w:pPr>
      <w:r>
        <w:rPr>
          <w:rFonts w:hint="eastAsia" w:ascii="宋体" w:hAnsi="宋体" w:cs="宋体"/>
          <w:color w:val="auto"/>
          <w:sz w:val="30"/>
          <w:highlight w:val="none"/>
        </w:rPr>
        <w:t>单位地址：</w:t>
      </w:r>
      <w:r>
        <w:rPr>
          <w:rFonts w:hint="eastAsia" w:ascii="宋体" w:hAnsi="宋体" w:cs="宋体"/>
          <w:color w:val="auto"/>
          <w:sz w:val="30"/>
          <w:highlight w:val="none"/>
          <w:u w:val="single"/>
          <w:lang w:val="en-US" w:eastAsia="zh-CN"/>
        </w:rPr>
        <w:t xml:space="preserve">                             </w:t>
      </w:r>
    </w:p>
    <w:p w14:paraId="16DD1F74">
      <w:pPr>
        <w:spacing w:line="360" w:lineRule="auto"/>
        <w:ind w:left="1898" w:leftChars="904" w:firstLine="0" w:firstLineChars="0"/>
        <w:rPr>
          <w:rFonts w:hint="default" w:ascii="宋体" w:hAnsi="宋体" w:eastAsia="宋体" w:cs="宋体"/>
          <w:color w:val="auto"/>
          <w:sz w:val="30"/>
          <w:highlight w:val="none"/>
          <w:lang w:val="en-US" w:eastAsia="zh-CN"/>
        </w:rPr>
      </w:pPr>
      <w:r>
        <w:rPr>
          <w:rFonts w:hint="eastAsia" w:ascii="宋体" w:hAnsi="宋体" w:cs="宋体"/>
          <w:color w:val="auto"/>
          <w:sz w:val="30"/>
          <w:highlight w:val="none"/>
          <w:lang w:eastAsia="zh-CN"/>
        </w:rPr>
        <w:t>日</w:t>
      </w:r>
      <w:r>
        <w:rPr>
          <w:rFonts w:hint="eastAsia" w:ascii="宋体" w:hAnsi="宋体" w:cs="宋体"/>
          <w:color w:val="auto"/>
          <w:sz w:val="30"/>
          <w:highlight w:val="none"/>
          <w:lang w:val="en-US" w:eastAsia="zh-CN"/>
        </w:rPr>
        <w:t xml:space="preserve">    </w:t>
      </w:r>
      <w:r>
        <w:rPr>
          <w:rFonts w:hint="eastAsia" w:ascii="宋体" w:hAnsi="宋体" w:cs="宋体"/>
          <w:color w:val="auto"/>
          <w:sz w:val="30"/>
          <w:highlight w:val="none"/>
          <w:lang w:eastAsia="zh-CN"/>
        </w:rPr>
        <w:t>期</w:t>
      </w:r>
      <w:r>
        <w:rPr>
          <w:rFonts w:hint="eastAsia" w:ascii="宋体" w:hAnsi="宋体" w:cs="宋体"/>
          <w:color w:val="auto"/>
          <w:sz w:val="30"/>
          <w:highlight w:val="none"/>
        </w:rPr>
        <w:t>：</w:t>
      </w:r>
      <w:r>
        <w:rPr>
          <w:rFonts w:hint="eastAsia" w:ascii="宋体" w:hAnsi="宋体" w:cs="宋体"/>
          <w:color w:val="auto"/>
          <w:sz w:val="30"/>
          <w:highlight w:val="none"/>
          <w:u w:val="single"/>
          <w:lang w:val="en-US" w:eastAsia="zh-CN"/>
        </w:rPr>
        <w:t xml:space="preserve">                             </w:t>
      </w:r>
    </w:p>
    <w:p w14:paraId="71888C7F">
      <w:pPr>
        <w:pStyle w:val="13"/>
        <w:ind w:firstLine="600"/>
        <w:rPr>
          <w:rFonts w:hint="eastAsia" w:ascii="宋体" w:hAnsi="宋体" w:cs="宋体"/>
          <w:color w:val="auto"/>
          <w:sz w:val="30"/>
          <w:highlight w:val="none"/>
        </w:rPr>
      </w:pPr>
    </w:p>
    <w:p w14:paraId="60355331">
      <w:pPr>
        <w:pStyle w:val="13"/>
        <w:ind w:firstLine="600"/>
        <w:rPr>
          <w:rFonts w:hint="eastAsia" w:ascii="宋体" w:hAnsi="宋体" w:cs="宋体"/>
          <w:color w:val="auto"/>
          <w:sz w:val="30"/>
          <w:highlight w:val="none"/>
        </w:rPr>
      </w:pPr>
    </w:p>
    <w:p w14:paraId="336D9D57">
      <w:pPr>
        <w:pStyle w:val="13"/>
        <w:ind w:firstLine="600"/>
        <w:rPr>
          <w:rFonts w:hint="eastAsia" w:ascii="宋体" w:hAnsi="宋体" w:eastAsia="宋体" w:cs="宋体"/>
          <w:color w:val="auto"/>
          <w:sz w:val="30"/>
          <w:highlight w:val="none"/>
        </w:rPr>
      </w:pPr>
    </w:p>
    <w:p w14:paraId="57693D65">
      <w:pPr>
        <w:pStyle w:val="13"/>
        <w:ind w:firstLine="600"/>
        <w:rPr>
          <w:rFonts w:hint="eastAsia" w:ascii="宋体" w:hAnsi="宋体" w:eastAsia="宋体" w:cs="宋体"/>
          <w:color w:val="auto"/>
          <w:sz w:val="30"/>
          <w:highlight w:val="none"/>
        </w:rPr>
      </w:pPr>
    </w:p>
    <w:p w14:paraId="0EE8BE0D">
      <w:pPr>
        <w:pStyle w:val="13"/>
        <w:ind w:firstLine="600"/>
        <w:rPr>
          <w:rFonts w:hint="eastAsia" w:ascii="宋体" w:hAnsi="宋体" w:eastAsia="宋体" w:cs="宋体"/>
          <w:color w:val="auto"/>
          <w:sz w:val="30"/>
          <w:highlight w:val="none"/>
        </w:rPr>
      </w:pPr>
    </w:p>
    <w:p w14:paraId="41EA669D">
      <w:pPr>
        <w:pStyle w:val="13"/>
        <w:ind w:firstLine="600"/>
        <w:rPr>
          <w:rFonts w:hint="eastAsia" w:ascii="宋体" w:hAnsi="宋体" w:eastAsia="宋体" w:cs="宋体"/>
          <w:color w:val="auto"/>
          <w:sz w:val="30"/>
          <w:highlight w:val="none"/>
        </w:rPr>
      </w:pPr>
    </w:p>
    <w:p w14:paraId="14406D96">
      <w:pPr>
        <w:pStyle w:val="13"/>
        <w:ind w:firstLine="600"/>
        <w:rPr>
          <w:rFonts w:hint="eastAsia" w:ascii="宋体" w:hAnsi="宋体" w:eastAsia="宋体" w:cs="宋体"/>
          <w:color w:val="auto"/>
          <w:sz w:val="30"/>
          <w:highlight w:val="none"/>
        </w:rPr>
        <w:sectPr>
          <w:footerReference r:id="rId4" w:type="default"/>
          <w:pgSz w:w="11906" w:h="16838"/>
          <w:pgMar w:top="1134" w:right="1134" w:bottom="1134" w:left="1134" w:header="850" w:footer="850" w:gutter="0"/>
          <w:pgNumType w:fmt="decimal" w:start="2"/>
          <w:cols w:space="720" w:num="1"/>
          <w:docGrid w:linePitch="312" w:charSpace="0"/>
        </w:sectPr>
      </w:pPr>
    </w:p>
    <w:p w14:paraId="2E482E9A">
      <w:pPr>
        <w:bidi w:val="0"/>
        <w:jc w:val="center"/>
        <w:rPr>
          <w:rFonts w:hint="eastAsia" w:ascii="Times New Roman" w:hAnsi="Times New Roman" w:eastAsia="宋体" w:cs="Times New Roman"/>
          <w:b/>
          <w:bCs/>
          <w:color w:val="auto"/>
          <w:sz w:val="24"/>
          <w:szCs w:val="24"/>
          <w:highlight w:val="none"/>
        </w:rPr>
      </w:pPr>
      <w:bookmarkStart w:id="201" w:name="_Toc3891637"/>
      <w:bookmarkStart w:id="202" w:name="_Toc13820"/>
      <w:bookmarkStart w:id="203" w:name="_Toc1719141"/>
      <w:bookmarkStart w:id="204" w:name="_Toc31656"/>
      <w:bookmarkStart w:id="205" w:name="_Toc1721037"/>
      <w:bookmarkStart w:id="206" w:name="_Toc1719142"/>
      <w:bookmarkStart w:id="207" w:name="_Toc30637"/>
      <w:bookmarkStart w:id="208" w:name="_Toc1721038"/>
      <w:bookmarkStart w:id="209" w:name="_Toc3891638"/>
      <w:r>
        <w:rPr>
          <w:rFonts w:hint="eastAsia" w:ascii="Times New Roman" w:hAnsi="Times New Roman" w:eastAsia="宋体" w:cs="Times New Roman"/>
          <w:b/>
          <w:bCs/>
          <w:color w:val="auto"/>
          <w:sz w:val="24"/>
          <w:szCs w:val="24"/>
          <w:highlight w:val="none"/>
        </w:rPr>
        <w:t>目录</w:t>
      </w:r>
      <w:bookmarkEnd w:id="201"/>
      <w:bookmarkEnd w:id="202"/>
      <w:bookmarkEnd w:id="203"/>
      <w:bookmarkEnd w:id="204"/>
      <w:bookmarkEnd w:id="205"/>
    </w:p>
    <w:p w14:paraId="647DF3AA">
      <w:pPr>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（自行编制，</w:t>
      </w:r>
      <w:r>
        <w:rPr>
          <w:rFonts w:hint="eastAsia" w:ascii="宋体" w:hAnsi="宋体" w:cs="宋体"/>
          <w:bCs/>
          <w:color w:val="auto"/>
          <w:sz w:val="24"/>
          <w:szCs w:val="24"/>
          <w:highlight w:val="none"/>
        </w:rPr>
        <w:t>为便于查找，请标明页码</w:t>
      </w:r>
      <w:r>
        <w:rPr>
          <w:rFonts w:hint="eastAsia" w:ascii="宋体" w:hAnsi="宋体" w:cs="宋体"/>
          <w:color w:val="auto"/>
          <w:sz w:val="24"/>
          <w:szCs w:val="24"/>
          <w:highlight w:val="none"/>
        </w:rPr>
        <w:t>）</w:t>
      </w:r>
    </w:p>
    <w:p w14:paraId="1E31EBF6">
      <w:pPr>
        <w:spacing w:line="440" w:lineRule="exact"/>
        <w:ind w:firstLine="149" w:firstLineChars="62"/>
        <w:jc w:val="center"/>
        <w:rPr>
          <w:rFonts w:hint="eastAsia" w:ascii="宋体" w:hAnsi="宋体" w:eastAsia="宋体" w:cs="宋体"/>
          <w:b/>
          <w:bCs/>
          <w:color w:val="auto"/>
          <w:sz w:val="24"/>
          <w:szCs w:val="24"/>
          <w:highlight w:val="none"/>
        </w:rPr>
      </w:pPr>
    </w:p>
    <w:p w14:paraId="2BDDAB5E">
      <w:pPr>
        <w:spacing w:line="440" w:lineRule="exact"/>
        <w:ind w:firstLine="149" w:firstLineChars="62"/>
        <w:jc w:val="center"/>
        <w:rPr>
          <w:rFonts w:hint="eastAsia" w:ascii="宋体" w:hAnsi="宋体" w:eastAsia="宋体" w:cs="宋体"/>
          <w:b/>
          <w:bCs/>
          <w:color w:val="auto"/>
          <w:sz w:val="24"/>
          <w:szCs w:val="24"/>
          <w:highlight w:val="none"/>
        </w:rPr>
      </w:pPr>
    </w:p>
    <w:p w14:paraId="082886DC">
      <w:pPr>
        <w:spacing w:line="440" w:lineRule="exact"/>
        <w:ind w:firstLine="149" w:firstLineChars="62"/>
        <w:jc w:val="center"/>
        <w:rPr>
          <w:rFonts w:hint="eastAsia" w:ascii="宋体" w:hAnsi="宋体" w:eastAsia="宋体" w:cs="宋体"/>
          <w:b/>
          <w:bCs/>
          <w:color w:val="auto"/>
          <w:sz w:val="24"/>
          <w:szCs w:val="24"/>
          <w:highlight w:val="none"/>
        </w:rPr>
      </w:pPr>
    </w:p>
    <w:p w14:paraId="51EE7271">
      <w:pPr>
        <w:spacing w:line="440" w:lineRule="exact"/>
        <w:ind w:firstLine="149" w:firstLineChars="62"/>
        <w:jc w:val="center"/>
        <w:rPr>
          <w:rFonts w:hint="eastAsia" w:ascii="宋体" w:hAnsi="宋体" w:eastAsia="宋体" w:cs="宋体"/>
          <w:b/>
          <w:bCs/>
          <w:color w:val="auto"/>
          <w:sz w:val="24"/>
          <w:szCs w:val="24"/>
          <w:highlight w:val="none"/>
        </w:rPr>
      </w:pPr>
    </w:p>
    <w:p w14:paraId="01B5DF46">
      <w:pPr>
        <w:spacing w:line="440" w:lineRule="exact"/>
        <w:ind w:firstLine="149" w:firstLineChars="62"/>
        <w:jc w:val="center"/>
        <w:rPr>
          <w:rFonts w:hint="eastAsia" w:ascii="宋体" w:hAnsi="宋体" w:eastAsia="宋体" w:cs="宋体"/>
          <w:b/>
          <w:bCs/>
          <w:color w:val="auto"/>
          <w:sz w:val="24"/>
          <w:szCs w:val="24"/>
          <w:highlight w:val="none"/>
        </w:rPr>
      </w:pPr>
    </w:p>
    <w:p w14:paraId="4BA1FF82">
      <w:pPr>
        <w:spacing w:line="440" w:lineRule="exact"/>
        <w:ind w:firstLine="149" w:firstLineChars="62"/>
        <w:jc w:val="center"/>
        <w:rPr>
          <w:rFonts w:hint="eastAsia" w:ascii="宋体" w:hAnsi="宋体" w:eastAsia="宋体" w:cs="宋体"/>
          <w:b/>
          <w:bCs/>
          <w:color w:val="auto"/>
          <w:sz w:val="24"/>
          <w:szCs w:val="24"/>
          <w:highlight w:val="none"/>
        </w:rPr>
      </w:pPr>
    </w:p>
    <w:p w14:paraId="69ED0882">
      <w:pPr>
        <w:spacing w:line="440" w:lineRule="exact"/>
        <w:ind w:firstLine="149" w:firstLineChars="62"/>
        <w:jc w:val="center"/>
        <w:rPr>
          <w:rFonts w:hint="eastAsia" w:ascii="宋体" w:hAnsi="宋体" w:eastAsia="宋体" w:cs="宋体"/>
          <w:b/>
          <w:bCs/>
          <w:color w:val="auto"/>
          <w:sz w:val="24"/>
          <w:szCs w:val="24"/>
          <w:highlight w:val="none"/>
        </w:rPr>
      </w:pPr>
    </w:p>
    <w:p w14:paraId="02D41E1C">
      <w:pPr>
        <w:spacing w:line="440" w:lineRule="exact"/>
        <w:ind w:firstLine="149" w:firstLineChars="62"/>
        <w:jc w:val="center"/>
        <w:rPr>
          <w:rFonts w:hint="eastAsia" w:ascii="宋体" w:hAnsi="宋体" w:eastAsia="宋体" w:cs="宋体"/>
          <w:b/>
          <w:bCs/>
          <w:color w:val="auto"/>
          <w:sz w:val="24"/>
          <w:szCs w:val="24"/>
          <w:highlight w:val="none"/>
        </w:rPr>
      </w:pPr>
    </w:p>
    <w:p w14:paraId="260AC60B">
      <w:pPr>
        <w:spacing w:line="440" w:lineRule="exact"/>
        <w:ind w:firstLine="149" w:firstLineChars="62"/>
        <w:jc w:val="center"/>
        <w:rPr>
          <w:rFonts w:hint="eastAsia" w:ascii="宋体" w:hAnsi="宋体" w:eastAsia="宋体" w:cs="宋体"/>
          <w:b/>
          <w:bCs/>
          <w:color w:val="auto"/>
          <w:sz w:val="24"/>
          <w:szCs w:val="24"/>
          <w:highlight w:val="none"/>
        </w:rPr>
      </w:pPr>
    </w:p>
    <w:p w14:paraId="1DD13496">
      <w:pPr>
        <w:spacing w:line="440" w:lineRule="exact"/>
        <w:ind w:firstLine="149" w:firstLineChars="62"/>
        <w:jc w:val="center"/>
        <w:rPr>
          <w:rFonts w:hint="eastAsia" w:ascii="宋体" w:hAnsi="宋体" w:eastAsia="宋体" w:cs="宋体"/>
          <w:b/>
          <w:bCs/>
          <w:color w:val="auto"/>
          <w:sz w:val="24"/>
          <w:szCs w:val="24"/>
          <w:highlight w:val="none"/>
        </w:rPr>
      </w:pPr>
    </w:p>
    <w:p w14:paraId="65DD8A06">
      <w:pPr>
        <w:spacing w:line="440" w:lineRule="exact"/>
        <w:ind w:firstLine="149" w:firstLineChars="62"/>
        <w:jc w:val="center"/>
        <w:rPr>
          <w:rFonts w:hint="eastAsia" w:ascii="宋体" w:hAnsi="宋体" w:eastAsia="宋体" w:cs="宋体"/>
          <w:b/>
          <w:bCs/>
          <w:color w:val="auto"/>
          <w:sz w:val="24"/>
          <w:szCs w:val="24"/>
          <w:highlight w:val="none"/>
        </w:rPr>
      </w:pPr>
    </w:p>
    <w:p w14:paraId="6FFB4891">
      <w:pPr>
        <w:spacing w:line="440" w:lineRule="exact"/>
        <w:ind w:firstLine="149" w:firstLineChars="62"/>
        <w:jc w:val="center"/>
        <w:rPr>
          <w:rFonts w:hint="eastAsia" w:ascii="宋体" w:hAnsi="宋体" w:eastAsia="宋体" w:cs="宋体"/>
          <w:b/>
          <w:bCs/>
          <w:color w:val="auto"/>
          <w:sz w:val="24"/>
          <w:szCs w:val="24"/>
          <w:highlight w:val="none"/>
        </w:rPr>
      </w:pPr>
    </w:p>
    <w:p w14:paraId="088B1417">
      <w:pPr>
        <w:spacing w:line="440" w:lineRule="exact"/>
        <w:ind w:firstLine="149" w:firstLineChars="62"/>
        <w:jc w:val="center"/>
        <w:rPr>
          <w:rFonts w:hint="eastAsia" w:ascii="宋体" w:hAnsi="宋体" w:eastAsia="宋体" w:cs="宋体"/>
          <w:b/>
          <w:bCs/>
          <w:color w:val="auto"/>
          <w:sz w:val="24"/>
          <w:szCs w:val="24"/>
          <w:highlight w:val="none"/>
        </w:rPr>
      </w:pPr>
    </w:p>
    <w:p w14:paraId="50B0D7E3">
      <w:pPr>
        <w:spacing w:line="440" w:lineRule="exact"/>
        <w:ind w:firstLine="149" w:firstLineChars="62"/>
        <w:jc w:val="center"/>
        <w:rPr>
          <w:rFonts w:hint="eastAsia" w:ascii="宋体" w:hAnsi="宋体" w:eastAsia="宋体" w:cs="宋体"/>
          <w:b/>
          <w:bCs/>
          <w:color w:val="auto"/>
          <w:sz w:val="24"/>
          <w:szCs w:val="24"/>
          <w:highlight w:val="none"/>
        </w:rPr>
      </w:pPr>
    </w:p>
    <w:p w14:paraId="03FAEBBA">
      <w:pPr>
        <w:spacing w:line="440" w:lineRule="exact"/>
        <w:ind w:firstLine="149" w:firstLineChars="62"/>
        <w:jc w:val="center"/>
        <w:rPr>
          <w:rFonts w:hint="eastAsia" w:ascii="宋体" w:hAnsi="宋体" w:eastAsia="宋体" w:cs="宋体"/>
          <w:b/>
          <w:bCs/>
          <w:color w:val="auto"/>
          <w:sz w:val="24"/>
          <w:szCs w:val="24"/>
          <w:highlight w:val="none"/>
        </w:rPr>
      </w:pPr>
    </w:p>
    <w:p w14:paraId="16EA6654">
      <w:pPr>
        <w:spacing w:line="440" w:lineRule="exact"/>
        <w:ind w:firstLine="149" w:firstLineChars="62"/>
        <w:jc w:val="center"/>
        <w:rPr>
          <w:rFonts w:hint="eastAsia" w:ascii="宋体" w:hAnsi="宋体" w:eastAsia="宋体" w:cs="宋体"/>
          <w:b/>
          <w:bCs/>
          <w:color w:val="auto"/>
          <w:sz w:val="24"/>
          <w:szCs w:val="24"/>
          <w:highlight w:val="none"/>
        </w:rPr>
      </w:pPr>
    </w:p>
    <w:p w14:paraId="211E1F56">
      <w:pPr>
        <w:spacing w:line="440" w:lineRule="exact"/>
        <w:ind w:firstLine="149" w:firstLineChars="62"/>
        <w:jc w:val="center"/>
        <w:rPr>
          <w:rFonts w:hint="eastAsia" w:ascii="宋体" w:hAnsi="宋体" w:eastAsia="宋体" w:cs="宋体"/>
          <w:b/>
          <w:bCs/>
          <w:color w:val="auto"/>
          <w:sz w:val="24"/>
          <w:szCs w:val="24"/>
          <w:highlight w:val="none"/>
        </w:rPr>
      </w:pPr>
    </w:p>
    <w:p w14:paraId="71B00C0B">
      <w:pPr>
        <w:spacing w:line="440" w:lineRule="exact"/>
        <w:ind w:firstLine="149" w:firstLineChars="62"/>
        <w:jc w:val="center"/>
        <w:rPr>
          <w:rFonts w:hint="eastAsia" w:ascii="宋体" w:hAnsi="宋体" w:eastAsia="宋体" w:cs="宋体"/>
          <w:b/>
          <w:bCs/>
          <w:color w:val="auto"/>
          <w:sz w:val="24"/>
          <w:szCs w:val="24"/>
          <w:highlight w:val="none"/>
        </w:rPr>
      </w:pPr>
    </w:p>
    <w:p w14:paraId="18526140">
      <w:pPr>
        <w:spacing w:line="440" w:lineRule="exact"/>
        <w:ind w:firstLine="149" w:firstLineChars="62"/>
        <w:jc w:val="center"/>
        <w:rPr>
          <w:rFonts w:hint="eastAsia" w:ascii="宋体" w:hAnsi="宋体" w:eastAsia="宋体" w:cs="宋体"/>
          <w:b/>
          <w:bCs/>
          <w:color w:val="auto"/>
          <w:sz w:val="24"/>
          <w:szCs w:val="24"/>
          <w:highlight w:val="none"/>
        </w:rPr>
      </w:pPr>
    </w:p>
    <w:p w14:paraId="3DBFB4A4">
      <w:pPr>
        <w:spacing w:line="440" w:lineRule="exact"/>
        <w:ind w:firstLine="149" w:firstLineChars="62"/>
        <w:jc w:val="center"/>
        <w:rPr>
          <w:rFonts w:hint="eastAsia" w:ascii="宋体" w:hAnsi="宋体" w:eastAsia="宋体" w:cs="宋体"/>
          <w:b/>
          <w:bCs/>
          <w:color w:val="auto"/>
          <w:sz w:val="24"/>
          <w:szCs w:val="24"/>
          <w:highlight w:val="none"/>
        </w:rPr>
      </w:pPr>
    </w:p>
    <w:p w14:paraId="053054B6">
      <w:pPr>
        <w:spacing w:line="440" w:lineRule="exact"/>
        <w:ind w:firstLine="149" w:firstLineChars="62"/>
        <w:jc w:val="center"/>
        <w:rPr>
          <w:rFonts w:hint="eastAsia" w:ascii="宋体" w:hAnsi="宋体" w:eastAsia="宋体" w:cs="宋体"/>
          <w:b/>
          <w:bCs/>
          <w:color w:val="auto"/>
          <w:sz w:val="24"/>
          <w:szCs w:val="24"/>
          <w:highlight w:val="none"/>
        </w:rPr>
      </w:pPr>
    </w:p>
    <w:p w14:paraId="37ACD2C1">
      <w:pPr>
        <w:spacing w:line="440" w:lineRule="exact"/>
        <w:ind w:firstLine="149" w:firstLineChars="62"/>
        <w:jc w:val="center"/>
        <w:rPr>
          <w:rFonts w:hint="eastAsia" w:ascii="宋体" w:hAnsi="宋体" w:eastAsia="宋体" w:cs="宋体"/>
          <w:b/>
          <w:bCs/>
          <w:color w:val="auto"/>
          <w:sz w:val="24"/>
          <w:szCs w:val="24"/>
          <w:highlight w:val="none"/>
        </w:rPr>
      </w:pPr>
    </w:p>
    <w:p w14:paraId="606C98B9">
      <w:pPr>
        <w:spacing w:line="440" w:lineRule="exact"/>
        <w:ind w:firstLine="149" w:firstLineChars="62"/>
        <w:jc w:val="center"/>
        <w:rPr>
          <w:rFonts w:hint="eastAsia" w:ascii="宋体" w:hAnsi="宋体" w:eastAsia="宋体" w:cs="宋体"/>
          <w:b/>
          <w:bCs/>
          <w:color w:val="auto"/>
          <w:sz w:val="24"/>
          <w:szCs w:val="24"/>
          <w:highlight w:val="none"/>
        </w:rPr>
      </w:pPr>
    </w:p>
    <w:p w14:paraId="459731E2">
      <w:pPr>
        <w:spacing w:line="440" w:lineRule="exact"/>
        <w:ind w:firstLine="149" w:firstLineChars="62"/>
        <w:jc w:val="center"/>
        <w:rPr>
          <w:rFonts w:hint="eastAsia" w:ascii="宋体" w:hAnsi="宋体" w:eastAsia="宋体" w:cs="宋体"/>
          <w:b/>
          <w:bCs/>
          <w:color w:val="auto"/>
          <w:sz w:val="24"/>
          <w:szCs w:val="24"/>
          <w:highlight w:val="none"/>
        </w:rPr>
      </w:pPr>
    </w:p>
    <w:p w14:paraId="23C76F95">
      <w:pPr>
        <w:spacing w:line="440" w:lineRule="exact"/>
        <w:ind w:firstLine="149" w:firstLineChars="62"/>
        <w:jc w:val="center"/>
        <w:rPr>
          <w:rFonts w:hint="eastAsia" w:ascii="宋体" w:hAnsi="宋体" w:eastAsia="宋体" w:cs="宋体"/>
          <w:b/>
          <w:bCs/>
          <w:color w:val="auto"/>
          <w:sz w:val="24"/>
          <w:szCs w:val="24"/>
          <w:highlight w:val="none"/>
        </w:rPr>
      </w:pPr>
    </w:p>
    <w:p w14:paraId="1C740313">
      <w:pPr>
        <w:spacing w:line="440" w:lineRule="exact"/>
        <w:ind w:firstLine="149" w:firstLineChars="62"/>
        <w:jc w:val="center"/>
        <w:rPr>
          <w:rFonts w:hint="eastAsia" w:ascii="宋体" w:hAnsi="宋体" w:eastAsia="宋体" w:cs="宋体"/>
          <w:b/>
          <w:bCs/>
          <w:color w:val="auto"/>
          <w:sz w:val="24"/>
          <w:szCs w:val="24"/>
          <w:highlight w:val="none"/>
        </w:rPr>
      </w:pPr>
    </w:p>
    <w:p w14:paraId="6CD4EDCA">
      <w:pPr>
        <w:spacing w:line="440" w:lineRule="exact"/>
        <w:ind w:firstLine="149" w:firstLineChars="62"/>
        <w:jc w:val="center"/>
        <w:rPr>
          <w:rFonts w:hint="eastAsia" w:ascii="宋体" w:hAnsi="宋体" w:eastAsia="宋体" w:cs="宋体"/>
          <w:b/>
          <w:bCs/>
          <w:color w:val="auto"/>
          <w:sz w:val="24"/>
          <w:szCs w:val="24"/>
          <w:highlight w:val="none"/>
        </w:rPr>
      </w:pPr>
    </w:p>
    <w:p w14:paraId="512F6E07">
      <w:pPr>
        <w:spacing w:line="440" w:lineRule="exact"/>
        <w:ind w:firstLine="149" w:firstLineChars="62"/>
        <w:jc w:val="center"/>
        <w:rPr>
          <w:rFonts w:hint="eastAsia" w:ascii="宋体" w:hAnsi="宋体" w:eastAsia="宋体" w:cs="宋体"/>
          <w:b/>
          <w:bCs/>
          <w:color w:val="auto"/>
          <w:sz w:val="24"/>
          <w:szCs w:val="24"/>
          <w:highlight w:val="none"/>
        </w:rPr>
      </w:pPr>
    </w:p>
    <w:p w14:paraId="503AE0CF">
      <w:pPr>
        <w:spacing w:line="440" w:lineRule="exact"/>
        <w:ind w:firstLine="149" w:firstLineChars="62"/>
        <w:jc w:val="center"/>
        <w:rPr>
          <w:rFonts w:hint="eastAsia" w:ascii="宋体" w:hAnsi="宋体" w:eastAsia="宋体" w:cs="宋体"/>
          <w:b/>
          <w:bCs/>
          <w:color w:val="auto"/>
          <w:sz w:val="24"/>
          <w:szCs w:val="24"/>
          <w:highlight w:val="none"/>
        </w:rPr>
      </w:pPr>
    </w:p>
    <w:p w14:paraId="3056E8D6">
      <w:pPr>
        <w:spacing w:line="440" w:lineRule="exact"/>
        <w:ind w:firstLine="149" w:firstLineChars="62"/>
        <w:jc w:val="center"/>
        <w:rPr>
          <w:rFonts w:hint="eastAsia" w:ascii="宋体" w:hAnsi="宋体" w:eastAsia="宋体" w:cs="宋体"/>
          <w:b/>
          <w:bCs/>
          <w:color w:val="auto"/>
          <w:sz w:val="24"/>
          <w:szCs w:val="24"/>
          <w:highlight w:val="none"/>
        </w:rPr>
      </w:pPr>
    </w:p>
    <w:p w14:paraId="35A8CEED">
      <w:pPr>
        <w:spacing w:line="440" w:lineRule="exact"/>
        <w:ind w:firstLine="149" w:firstLineChars="62"/>
        <w:jc w:val="center"/>
        <w:rPr>
          <w:rFonts w:hint="eastAsia" w:ascii="宋体" w:hAnsi="宋体" w:eastAsia="宋体" w:cs="宋体"/>
          <w:b/>
          <w:bCs/>
          <w:color w:val="auto"/>
          <w:sz w:val="24"/>
          <w:szCs w:val="24"/>
          <w:highlight w:val="none"/>
        </w:rPr>
      </w:pPr>
    </w:p>
    <w:bookmarkEnd w:id="155"/>
    <w:bookmarkEnd w:id="156"/>
    <w:bookmarkEnd w:id="157"/>
    <w:bookmarkEnd w:id="158"/>
    <w:bookmarkEnd w:id="200"/>
    <w:bookmarkEnd w:id="206"/>
    <w:bookmarkEnd w:id="207"/>
    <w:bookmarkEnd w:id="208"/>
    <w:bookmarkEnd w:id="209"/>
    <w:p w14:paraId="4E9E55C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color w:val="auto"/>
          <w:sz w:val="24"/>
          <w:szCs w:val="24"/>
          <w:highlight w:val="none"/>
          <w:lang w:eastAsia="zh-CN"/>
        </w:rPr>
      </w:pPr>
      <w:bookmarkStart w:id="210" w:name="_Toc19252"/>
      <w:bookmarkStart w:id="211" w:name="_Toc5742"/>
      <w:r>
        <w:rPr>
          <w:rFonts w:hint="eastAsia" w:asciiTheme="minorEastAsia" w:hAnsiTheme="minorEastAsia" w:eastAsiaTheme="minorEastAsia" w:cstheme="minorEastAsia"/>
          <w:b/>
          <w:bCs/>
          <w:color w:val="auto"/>
          <w:sz w:val="24"/>
          <w:szCs w:val="24"/>
          <w:highlight w:val="none"/>
          <w:lang w:eastAsia="zh-CN"/>
        </w:rPr>
        <w:t>资格审查</w:t>
      </w:r>
      <w:r>
        <w:rPr>
          <w:rFonts w:hint="eastAsia" w:asciiTheme="minorEastAsia" w:hAnsiTheme="minorEastAsia" w:eastAsiaTheme="minorEastAsia" w:cstheme="minorEastAsia"/>
          <w:b/>
          <w:bCs/>
          <w:color w:val="auto"/>
          <w:sz w:val="24"/>
          <w:szCs w:val="24"/>
          <w:highlight w:val="none"/>
        </w:rPr>
        <w:t>索引</w:t>
      </w:r>
      <w:r>
        <w:rPr>
          <w:rFonts w:hint="eastAsia" w:asciiTheme="minorEastAsia" w:hAnsiTheme="minorEastAsia" w:eastAsiaTheme="minorEastAsia" w:cstheme="minorEastAsia"/>
          <w:b/>
          <w:bCs/>
          <w:color w:val="auto"/>
          <w:sz w:val="24"/>
          <w:szCs w:val="24"/>
          <w:highlight w:val="none"/>
          <w:lang w:eastAsia="zh-CN"/>
        </w:rPr>
        <w:t>表</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6915"/>
        <w:gridCol w:w="1678"/>
      </w:tblGrid>
      <w:tr w14:paraId="4E226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1" w:hRule="atLeast"/>
          <w:jc w:val="center"/>
        </w:trPr>
        <w:tc>
          <w:tcPr>
            <w:tcW w:w="826" w:type="dxa"/>
            <w:noWrap w:val="0"/>
            <w:vAlign w:val="center"/>
          </w:tcPr>
          <w:p w14:paraId="79DEAC3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序号</w:t>
            </w:r>
          </w:p>
        </w:tc>
        <w:tc>
          <w:tcPr>
            <w:tcW w:w="6915" w:type="dxa"/>
            <w:noWrap w:val="0"/>
            <w:vAlign w:val="center"/>
          </w:tcPr>
          <w:p w14:paraId="5EF496F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lang w:eastAsia="zh-CN"/>
              </w:rPr>
            </w:pPr>
            <w:r>
              <w:rPr>
                <w:rFonts w:hint="eastAsia" w:asciiTheme="minorEastAsia" w:hAnsiTheme="minorEastAsia" w:eastAsiaTheme="minorEastAsia" w:cstheme="minorEastAsia"/>
                <w:b/>
                <w:bCs/>
                <w:color w:val="auto"/>
                <w:sz w:val="21"/>
                <w:szCs w:val="21"/>
                <w:highlight w:val="none"/>
              </w:rPr>
              <w:t>审</w:t>
            </w:r>
            <w:r>
              <w:rPr>
                <w:rFonts w:hint="eastAsia" w:asciiTheme="minorEastAsia" w:hAnsiTheme="minorEastAsia" w:eastAsiaTheme="minorEastAsia" w:cstheme="minorEastAsia"/>
                <w:b/>
                <w:bCs/>
                <w:color w:val="auto"/>
                <w:sz w:val="21"/>
                <w:szCs w:val="21"/>
                <w:highlight w:val="none"/>
                <w:lang w:eastAsia="zh-CN"/>
              </w:rPr>
              <w:t>查内容</w:t>
            </w:r>
          </w:p>
        </w:tc>
        <w:tc>
          <w:tcPr>
            <w:tcW w:w="1678" w:type="dxa"/>
            <w:noWrap w:val="0"/>
            <w:vAlign w:val="center"/>
          </w:tcPr>
          <w:p w14:paraId="26C626C9">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响应文件</w:t>
            </w:r>
          </w:p>
          <w:p w14:paraId="3926F90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宋体" w:hAnsi="宋体" w:cs="宋体"/>
                <w:b/>
                <w:bCs/>
                <w:color w:val="auto"/>
                <w:szCs w:val="21"/>
                <w:highlight w:val="none"/>
                <w:lang w:val="en-US" w:eastAsia="zh-CN"/>
              </w:rPr>
              <w:t>对应页码</w:t>
            </w:r>
          </w:p>
        </w:tc>
      </w:tr>
      <w:tr w14:paraId="7D2B2F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10BCAF4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p>
        </w:tc>
        <w:tc>
          <w:tcPr>
            <w:tcW w:w="6915" w:type="dxa"/>
            <w:noWrap w:val="0"/>
            <w:vAlign w:val="center"/>
          </w:tcPr>
          <w:p w14:paraId="5C6BD6D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bCs/>
                <w:color w:val="auto"/>
                <w:sz w:val="21"/>
                <w:szCs w:val="21"/>
                <w:highlight w:val="none"/>
              </w:rPr>
            </w:pPr>
            <w:r>
              <w:rPr>
                <w:rFonts w:hint="eastAsia" w:ascii="宋体" w:hAnsi="宋体" w:cs="宋体"/>
                <w:color w:val="auto"/>
                <w:kern w:val="0"/>
                <w:sz w:val="24"/>
                <w:highlight w:val="none"/>
                <w:lang w:eastAsia="zh-CN"/>
              </w:rPr>
              <w:t>按采购文件要求提供“政府采购供应商信用承诺函”</w:t>
            </w:r>
          </w:p>
        </w:tc>
        <w:tc>
          <w:tcPr>
            <w:tcW w:w="1678" w:type="dxa"/>
            <w:noWrap w:val="0"/>
            <w:vAlign w:val="center"/>
          </w:tcPr>
          <w:p w14:paraId="51AC28B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7D8FA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4" w:hRule="atLeast"/>
          <w:jc w:val="center"/>
        </w:trPr>
        <w:tc>
          <w:tcPr>
            <w:tcW w:w="826" w:type="dxa"/>
            <w:noWrap w:val="0"/>
            <w:vAlign w:val="center"/>
          </w:tcPr>
          <w:p w14:paraId="4086D1C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p>
        </w:tc>
        <w:tc>
          <w:tcPr>
            <w:tcW w:w="6915" w:type="dxa"/>
            <w:noWrap w:val="0"/>
            <w:vAlign w:val="center"/>
          </w:tcPr>
          <w:p w14:paraId="464965F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b/>
                <w:bCs/>
                <w:color w:val="auto"/>
                <w:sz w:val="21"/>
                <w:szCs w:val="21"/>
                <w:highlight w:val="none"/>
              </w:rPr>
            </w:pPr>
            <w:r>
              <w:rPr>
                <w:rFonts w:hint="eastAsia" w:ascii="宋体" w:hAnsi="宋体" w:cs="宋体"/>
                <w:color w:val="auto"/>
                <w:kern w:val="0"/>
                <w:sz w:val="24"/>
                <w:highlight w:val="none"/>
                <w:lang w:eastAsia="zh-CN"/>
              </w:rPr>
              <w:t>按采购文件要求提供“法定代表人身份证明或授权委托书”</w:t>
            </w:r>
          </w:p>
        </w:tc>
        <w:tc>
          <w:tcPr>
            <w:tcW w:w="1678" w:type="dxa"/>
            <w:noWrap w:val="0"/>
            <w:vAlign w:val="center"/>
          </w:tcPr>
          <w:p w14:paraId="61C1232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3F97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6" w:type="dxa"/>
            <w:tcBorders>
              <w:top w:val="single" w:color="auto" w:sz="4" w:space="0"/>
              <w:bottom w:val="single" w:color="auto" w:sz="4" w:space="0"/>
            </w:tcBorders>
            <w:noWrap w:val="0"/>
            <w:vAlign w:val="center"/>
          </w:tcPr>
          <w:p w14:paraId="7949AAB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6915" w:type="dxa"/>
            <w:noWrap w:val="0"/>
            <w:vAlign w:val="center"/>
          </w:tcPr>
          <w:p w14:paraId="0A91ECB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highlight w:val="none"/>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c>
          <w:tcPr>
            <w:tcW w:w="1678" w:type="dxa"/>
            <w:noWrap w:val="0"/>
            <w:vAlign w:val="center"/>
          </w:tcPr>
          <w:p w14:paraId="0869A66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6F35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826" w:type="dxa"/>
            <w:tcBorders>
              <w:top w:val="single" w:color="auto" w:sz="4" w:space="0"/>
              <w:bottom w:val="single" w:color="auto" w:sz="4" w:space="0"/>
            </w:tcBorders>
            <w:noWrap w:val="0"/>
            <w:vAlign w:val="center"/>
          </w:tcPr>
          <w:p w14:paraId="577406A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915" w:type="dxa"/>
            <w:noWrap w:val="0"/>
            <w:vAlign w:val="center"/>
          </w:tcPr>
          <w:p w14:paraId="4DB076B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1"/>
                <w:szCs w:val="21"/>
                <w:highlight w:val="no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w:t>
            </w:r>
            <w:r>
              <w:rPr>
                <w:rFonts w:hint="eastAsia" w:ascii="宋体" w:hAnsi="宋体" w:cs="宋体"/>
                <w:color w:val="auto"/>
                <w:sz w:val="24"/>
                <w:szCs w:val="24"/>
                <w:highlight w:val="none"/>
                <w:lang w:eastAsia="zh-CN"/>
              </w:rPr>
              <w:t>供应商公章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c>
          <w:tcPr>
            <w:tcW w:w="1678" w:type="dxa"/>
            <w:noWrap w:val="0"/>
            <w:vAlign w:val="center"/>
          </w:tcPr>
          <w:p w14:paraId="06932F2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F613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0" w:hRule="atLeast"/>
          <w:jc w:val="center"/>
        </w:trPr>
        <w:tc>
          <w:tcPr>
            <w:tcW w:w="826" w:type="dxa"/>
            <w:tcBorders>
              <w:top w:val="single" w:color="auto" w:sz="4" w:space="0"/>
              <w:bottom w:val="single" w:color="auto" w:sz="4" w:space="0"/>
            </w:tcBorders>
            <w:noWrap w:val="0"/>
            <w:vAlign w:val="center"/>
          </w:tcPr>
          <w:p w14:paraId="1C92DF9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915" w:type="dxa"/>
            <w:noWrap w:val="0"/>
            <w:vAlign w:val="center"/>
          </w:tcPr>
          <w:p w14:paraId="793E583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1"/>
                <w:szCs w:val="21"/>
                <w:highlight w:val="no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c>
          <w:tcPr>
            <w:tcW w:w="1678" w:type="dxa"/>
            <w:noWrap w:val="0"/>
            <w:vAlign w:val="center"/>
          </w:tcPr>
          <w:p w14:paraId="226045A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5BF1D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5" w:hRule="atLeast"/>
          <w:jc w:val="center"/>
        </w:trPr>
        <w:tc>
          <w:tcPr>
            <w:tcW w:w="826" w:type="dxa"/>
            <w:tcBorders>
              <w:top w:val="single" w:color="auto" w:sz="4" w:space="0"/>
              <w:bottom w:val="single" w:color="auto" w:sz="4" w:space="0"/>
            </w:tcBorders>
            <w:noWrap w:val="0"/>
            <w:vAlign w:val="center"/>
          </w:tcPr>
          <w:p w14:paraId="13F76D3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915" w:type="dxa"/>
            <w:noWrap w:val="0"/>
            <w:vAlign w:val="center"/>
          </w:tcPr>
          <w:p w14:paraId="61A9ADC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default"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供应商</w:t>
            </w:r>
            <w:r>
              <w:rPr>
                <w:rFonts w:hint="default" w:ascii="宋体" w:hAnsi="宋体" w:eastAsia="宋体" w:cs="宋体"/>
                <w:color w:val="auto"/>
                <w:sz w:val="24"/>
                <w:szCs w:val="24"/>
                <w:highlight w:val="none"/>
                <w:lang w:val="en-US" w:eastAsia="zh-CN"/>
              </w:rPr>
              <w:t>依法享受缓缴、免缴税收，免缴社会保障资金的提供证明材料加盖</w:t>
            </w:r>
            <w:r>
              <w:rPr>
                <w:rFonts w:hint="eastAsia" w:ascii="宋体" w:hAnsi="宋体" w:cs="宋体"/>
                <w:color w:val="auto"/>
                <w:sz w:val="24"/>
                <w:szCs w:val="24"/>
                <w:highlight w:val="none"/>
                <w:lang w:val="en-US" w:eastAsia="zh-CN"/>
              </w:rPr>
              <w:t>供应商公章</w:t>
            </w:r>
          </w:p>
        </w:tc>
        <w:tc>
          <w:tcPr>
            <w:tcW w:w="1678" w:type="dxa"/>
            <w:noWrap w:val="0"/>
            <w:vAlign w:val="center"/>
          </w:tcPr>
          <w:p w14:paraId="596E487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7784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83" w:hRule="atLeast"/>
          <w:jc w:val="center"/>
        </w:trPr>
        <w:tc>
          <w:tcPr>
            <w:tcW w:w="826" w:type="dxa"/>
            <w:tcBorders>
              <w:top w:val="single" w:color="auto" w:sz="4" w:space="0"/>
              <w:bottom w:val="single" w:color="auto" w:sz="4" w:space="0"/>
            </w:tcBorders>
            <w:noWrap w:val="0"/>
            <w:vAlign w:val="center"/>
          </w:tcPr>
          <w:p w14:paraId="3F6D58A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6915" w:type="dxa"/>
            <w:noWrap w:val="0"/>
            <w:vAlign w:val="center"/>
          </w:tcPr>
          <w:p w14:paraId="1E3FADF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673C15B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kern w:val="0"/>
                <w:sz w:val="24"/>
                <w:highlight w:val="none"/>
                <w:lang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c>
          <w:tcPr>
            <w:tcW w:w="1678" w:type="dxa"/>
            <w:noWrap w:val="0"/>
            <w:vAlign w:val="center"/>
          </w:tcPr>
          <w:p w14:paraId="7095091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9FCB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6" w:hRule="atLeast"/>
          <w:jc w:val="center"/>
        </w:trPr>
        <w:tc>
          <w:tcPr>
            <w:tcW w:w="826" w:type="dxa"/>
            <w:tcBorders>
              <w:top w:val="single" w:color="auto" w:sz="4" w:space="0"/>
              <w:bottom w:val="single" w:color="auto" w:sz="4" w:space="0"/>
            </w:tcBorders>
            <w:noWrap w:val="0"/>
            <w:vAlign w:val="center"/>
          </w:tcPr>
          <w:p w14:paraId="22B5164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6915" w:type="dxa"/>
            <w:noWrap w:val="0"/>
            <w:vAlign w:val="center"/>
          </w:tcPr>
          <w:p w14:paraId="4EC19B42">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按采购文件要求提供“中小企业声明函”或“监狱企业声明函”或“残疾人福利性单位声明函”</w:t>
            </w:r>
          </w:p>
        </w:tc>
        <w:tc>
          <w:tcPr>
            <w:tcW w:w="1678" w:type="dxa"/>
            <w:noWrap w:val="0"/>
            <w:vAlign w:val="center"/>
          </w:tcPr>
          <w:p w14:paraId="49FD742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EBBAA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0" w:hRule="atLeast"/>
          <w:jc w:val="center"/>
        </w:trPr>
        <w:tc>
          <w:tcPr>
            <w:tcW w:w="826" w:type="dxa"/>
            <w:tcBorders>
              <w:top w:val="single" w:color="auto" w:sz="4" w:space="0"/>
              <w:bottom w:val="single" w:color="auto" w:sz="4" w:space="0"/>
            </w:tcBorders>
            <w:noWrap w:val="0"/>
            <w:vAlign w:val="center"/>
          </w:tcPr>
          <w:p w14:paraId="0B01537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6915" w:type="dxa"/>
            <w:noWrap w:val="0"/>
            <w:vAlign w:val="center"/>
          </w:tcPr>
          <w:p w14:paraId="60A308FC">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eastAsia="宋体" w:cs="宋体"/>
                <w:color w:val="auto"/>
                <w:sz w:val="24"/>
                <w:szCs w:val="24"/>
                <w:highlight w:val="none"/>
                <w:lang w:val="en-US" w:eastAsia="zh-CN"/>
              </w:rPr>
              <w:t>特定资格资质：</w:t>
            </w: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c>
          <w:tcPr>
            <w:tcW w:w="1678" w:type="dxa"/>
            <w:noWrap w:val="0"/>
            <w:vAlign w:val="center"/>
          </w:tcPr>
          <w:p w14:paraId="5CC28D1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56E200D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BC7E8FD">
      <w:pPr>
        <w:pStyle w:val="29"/>
        <w:rPr>
          <w:rFonts w:hint="eastAsia" w:ascii="宋体" w:hAnsi="宋体" w:eastAsia="宋体" w:cs="宋体"/>
          <w:b/>
          <w:bCs/>
          <w:color w:val="auto"/>
          <w:sz w:val="24"/>
          <w:szCs w:val="24"/>
          <w:highlight w:val="none"/>
        </w:rPr>
      </w:pPr>
    </w:p>
    <w:p w14:paraId="6B62ADF1">
      <w:pPr>
        <w:pStyle w:val="14"/>
        <w:rPr>
          <w:rFonts w:hint="eastAsia" w:ascii="宋体" w:hAnsi="宋体" w:eastAsia="宋体" w:cs="宋体"/>
          <w:b/>
          <w:bCs/>
          <w:color w:val="auto"/>
          <w:sz w:val="24"/>
          <w:szCs w:val="24"/>
          <w:highlight w:val="none"/>
        </w:rPr>
      </w:pPr>
    </w:p>
    <w:p w14:paraId="2CE6B564">
      <w:pPr>
        <w:rPr>
          <w:rFonts w:hint="eastAsia" w:ascii="宋体" w:hAnsi="宋体" w:eastAsia="宋体" w:cs="宋体"/>
          <w:b/>
          <w:bCs/>
          <w:color w:val="auto"/>
          <w:sz w:val="24"/>
          <w:szCs w:val="24"/>
          <w:highlight w:val="none"/>
        </w:rPr>
      </w:pPr>
    </w:p>
    <w:p w14:paraId="196A8AA0">
      <w:pPr>
        <w:pStyle w:val="29"/>
        <w:rPr>
          <w:rFonts w:hint="eastAsia" w:ascii="宋体" w:hAnsi="宋体" w:eastAsia="宋体" w:cs="宋体"/>
          <w:b/>
          <w:bCs/>
          <w:color w:val="auto"/>
          <w:sz w:val="24"/>
          <w:szCs w:val="24"/>
          <w:highlight w:val="none"/>
        </w:rPr>
      </w:pPr>
    </w:p>
    <w:p w14:paraId="5D518BE0">
      <w:pPr>
        <w:pStyle w:val="14"/>
        <w:rPr>
          <w:rFonts w:hint="eastAsia" w:ascii="宋体" w:hAnsi="宋体" w:eastAsia="宋体" w:cs="宋体"/>
          <w:b/>
          <w:bCs/>
          <w:color w:val="auto"/>
          <w:sz w:val="24"/>
          <w:szCs w:val="24"/>
          <w:highlight w:val="none"/>
        </w:rPr>
      </w:pPr>
    </w:p>
    <w:p w14:paraId="1E06E61A">
      <w:pPr>
        <w:rPr>
          <w:rFonts w:hint="eastAsia" w:ascii="宋体" w:hAnsi="宋体" w:eastAsia="宋体" w:cs="宋体"/>
          <w:b/>
          <w:bCs/>
          <w:color w:val="auto"/>
          <w:sz w:val="24"/>
          <w:szCs w:val="24"/>
          <w:highlight w:val="none"/>
        </w:rPr>
      </w:pPr>
    </w:p>
    <w:p w14:paraId="65189A7D">
      <w:pPr>
        <w:pStyle w:val="29"/>
        <w:rPr>
          <w:rFonts w:hint="eastAsia" w:ascii="宋体" w:hAnsi="宋体" w:eastAsia="宋体" w:cs="宋体"/>
          <w:b/>
          <w:bCs/>
          <w:color w:val="auto"/>
          <w:sz w:val="24"/>
          <w:szCs w:val="24"/>
          <w:highlight w:val="none"/>
        </w:rPr>
      </w:pPr>
    </w:p>
    <w:p w14:paraId="00984365">
      <w:pPr>
        <w:pStyle w:val="14"/>
        <w:rPr>
          <w:rFonts w:hint="eastAsia" w:ascii="宋体" w:hAnsi="宋体" w:eastAsia="宋体" w:cs="宋体"/>
          <w:b/>
          <w:bCs/>
          <w:color w:val="auto"/>
          <w:sz w:val="24"/>
          <w:szCs w:val="24"/>
          <w:highlight w:val="none"/>
        </w:rPr>
      </w:pPr>
    </w:p>
    <w:p w14:paraId="3689C4AE">
      <w:pPr>
        <w:rPr>
          <w:rFonts w:hint="eastAsia" w:ascii="宋体" w:hAnsi="宋体" w:eastAsia="宋体" w:cs="宋体"/>
          <w:b/>
          <w:bCs/>
          <w:color w:val="auto"/>
          <w:sz w:val="24"/>
          <w:szCs w:val="24"/>
          <w:highlight w:val="none"/>
        </w:rPr>
      </w:pPr>
    </w:p>
    <w:p w14:paraId="48C03DCD">
      <w:pPr>
        <w:pStyle w:val="29"/>
        <w:rPr>
          <w:rFonts w:hint="eastAsia" w:ascii="宋体" w:hAnsi="宋体" w:eastAsia="宋体" w:cs="宋体"/>
          <w:b/>
          <w:bCs/>
          <w:color w:val="auto"/>
          <w:sz w:val="24"/>
          <w:szCs w:val="24"/>
          <w:highlight w:val="none"/>
        </w:rPr>
      </w:pPr>
    </w:p>
    <w:p w14:paraId="206FB83E">
      <w:pPr>
        <w:pStyle w:val="14"/>
        <w:rPr>
          <w:rFonts w:hint="eastAsia" w:ascii="宋体" w:hAnsi="宋体" w:eastAsia="宋体" w:cs="宋体"/>
          <w:b/>
          <w:bCs/>
          <w:color w:val="auto"/>
          <w:sz w:val="24"/>
          <w:szCs w:val="24"/>
          <w:highlight w:val="none"/>
        </w:rPr>
      </w:pPr>
    </w:p>
    <w:p w14:paraId="24D976C6">
      <w:pPr>
        <w:rPr>
          <w:rFonts w:hint="eastAsia" w:ascii="宋体" w:hAnsi="宋体" w:eastAsia="宋体" w:cs="宋体"/>
          <w:b/>
          <w:bCs/>
          <w:color w:val="auto"/>
          <w:sz w:val="24"/>
          <w:szCs w:val="24"/>
          <w:highlight w:val="none"/>
        </w:rPr>
      </w:pPr>
    </w:p>
    <w:p w14:paraId="003E4ECC">
      <w:pPr>
        <w:pStyle w:val="29"/>
        <w:rPr>
          <w:rFonts w:hint="eastAsia" w:ascii="宋体" w:hAnsi="宋体" w:eastAsia="宋体" w:cs="宋体"/>
          <w:b/>
          <w:bCs/>
          <w:color w:val="auto"/>
          <w:sz w:val="24"/>
          <w:szCs w:val="24"/>
          <w:highlight w:val="none"/>
        </w:rPr>
      </w:pPr>
    </w:p>
    <w:p w14:paraId="17B61DB6">
      <w:pPr>
        <w:pStyle w:val="14"/>
        <w:rPr>
          <w:rFonts w:hint="eastAsia" w:ascii="宋体" w:hAnsi="宋体" w:eastAsia="宋体" w:cs="宋体"/>
          <w:b/>
          <w:bCs/>
          <w:color w:val="auto"/>
          <w:sz w:val="24"/>
          <w:szCs w:val="24"/>
          <w:highlight w:val="none"/>
        </w:rPr>
      </w:pPr>
    </w:p>
    <w:p w14:paraId="469C8E09">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eastAsia="zh-CN"/>
        </w:rPr>
        <w:t>符合性审查</w:t>
      </w:r>
      <w:r>
        <w:rPr>
          <w:rFonts w:hint="eastAsia" w:asciiTheme="minorEastAsia" w:hAnsiTheme="minorEastAsia" w:eastAsiaTheme="minorEastAsia" w:cstheme="minorEastAsia"/>
          <w:b/>
          <w:bCs/>
          <w:color w:val="auto"/>
          <w:sz w:val="24"/>
          <w:szCs w:val="24"/>
          <w:highlight w:val="none"/>
        </w:rPr>
        <w:t>索引</w:t>
      </w:r>
      <w:r>
        <w:rPr>
          <w:rFonts w:hint="eastAsia" w:asciiTheme="minorEastAsia" w:hAnsiTheme="minorEastAsia" w:eastAsiaTheme="minorEastAsia" w:cstheme="minorEastAsia"/>
          <w:b/>
          <w:bCs/>
          <w:color w:val="auto"/>
          <w:sz w:val="24"/>
          <w:szCs w:val="24"/>
          <w:highlight w:val="none"/>
          <w:lang w:eastAsia="zh-CN"/>
        </w:rPr>
        <w:t>表</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2"/>
        <w:gridCol w:w="7159"/>
        <w:gridCol w:w="1559"/>
      </w:tblGrid>
      <w:tr w14:paraId="422E05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53F4828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序号</w:t>
            </w:r>
          </w:p>
        </w:tc>
        <w:tc>
          <w:tcPr>
            <w:tcW w:w="7159" w:type="dxa"/>
            <w:noWrap w:val="0"/>
            <w:vAlign w:val="center"/>
          </w:tcPr>
          <w:p w14:paraId="4A3DFCC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lang w:eastAsia="zh-CN"/>
              </w:rPr>
            </w:pPr>
            <w:r>
              <w:rPr>
                <w:rFonts w:hint="eastAsia" w:asciiTheme="minorEastAsia" w:hAnsiTheme="minorEastAsia" w:eastAsiaTheme="minorEastAsia" w:cstheme="minorEastAsia"/>
                <w:b/>
                <w:bCs/>
                <w:color w:val="auto"/>
                <w:sz w:val="21"/>
                <w:szCs w:val="21"/>
                <w:highlight w:val="none"/>
              </w:rPr>
              <w:t>审</w:t>
            </w:r>
            <w:r>
              <w:rPr>
                <w:rFonts w:hint="eastAsia" w:asciiTheme="minorEastAsia" w:hAnsiTheme="minorEastAsia" w:eastAsiaTheme="minorEastAsia" w:cstheme="minorEastAsia"/>
                <w:b/>
                <w:bCs/>
                <w:color w:val="auto"/>
                <w:sz w:val="21"/>
                <w:szCs w:val="21"/>
                <w:highlight w:val="none"/>
                <w:lang w:eastAsia="zh-CN"/>
              </w:rPr>
              <w:t>查内容</w:t>
            </w:r>
          </w:p>
        </w:tc>
        <w:tc>
          <w:tcPr>
            <w:tcW w:w="1559" w:type="dxa"/>
            <w:noWrap w:val="0"/>
            <w:vAlign w:val="center"/>
          </w:tcPr>
          <w:p w14:paraId="2FA5312B">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响应文件</w:t>
            </w:r>
          </w:p>
          <w:p w14:paraId="30F7FDA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宋体" w:hAnsi="宋体" w:cs="宋体"/>
                <w:b/>
                <w:bCs/>
                <w:color w:val="auto"/>
                <w:szCs w:val="21"/>
                <w:highlight w:val="none"/>
                <w:lang w:val="en-US" w:eastAsia="zh-CN"/>
              </w:rPr>
              <w:t>对应页码</w:t>
            </w:r>
          </w:p>
        </w:tc>
      </w:tr>
      <w:tr w14:paraId="63C83B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4A0B71C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1</w:t>
            </w:r>
          </w:p>
        </w:tc>
        <w:tc>
          <w:tcPr>
            <w:tcW w:w="7159" w:type="dxa"/>
            <w:noWrap w:val="0"/>
            <w:vAlign w:val="center"/>
          </w:tcPr>
          <w:p w14:paraId="07E0D9C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color w:val="auto"/>
                <w:kern w:val="0"/>
                <w:sz w:val="24"/>
                <w:szCs w:val="24"/>
                <w:highlight w:val="none"/>
                <w:lang w:eastAsia="zh-CN"/>
              </w:rPr>
              <w:t>磋商报价是否按照采购文件格式填写，且未超过采购预算（最高限价），并按要求签署、盖章</w:t>
            </w:r>
          </w:p>
        </w:tc>
        <w:tc>
          <w:tcPr>
            <w:tcW w:w="1559" w:type="dxa"/>
            <w:noWrap w:val="0"/>
            <w:vAlign w:val="center"/>
          </w:tcPr>
          <w:p w14:paraId="48EC1EB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第</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页</w:t>
            </w:r>
          </w:p>
        </w:tc>
      </w:tr>
      <w:tr w14:paraId="44082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bottom w:val="single" w:color="auto" w:sz="4" w:space="0"/>
            </w:tcBorders>
            <w:noWrap w:val="0"/>
            <w:vAlign w:val="center"/>
          </w:tcPr>
          <w:p w14:paraId="14741A3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2</w:t>
            </w:r>
          </w:p>
        </w:tc>
        <w:tc>
          <w:tcPr>
            <w:tcW w:w="7159" w:type="dxa"/>
            <w:noWrap w:val="0"/>
            <w:vAlign w:val="center"/>
          </w:tcPr>
          <w:p w14:paraId="443E1DE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名称是否与营业执照一致</w:t>
            </w:r>
          </w:p>
        </w:tc>
        <w:tc>
          <w:tcPr>
            <w:tcW w:w="1559" w:type="dxa"/>
            <w:noWrap w:val="0"/>
            <w:vAlign w:val="center"/>
          </w:tcPr>
          <w:p w14:paraId="5FA8234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u w:val="single"/>
                <w:vertAlign w:val="baseline"/>
                <w:lang w:val="en-US" w:eastAsia="zh-CN"/>
              </w:rPr>
            </w:pPr>
            <w:r>
              <w:rPr>
                <w:rFonts w:hint="eastAsia" w:asciiTheme="minorEastAsia" w:hAnsiTheme="minorEastAsia" w:eastAsiaTheme="minorEastAsia" w:cstheme="minorEastAsia"/>
                <w:color w:val="auto"/>
                <w:sz w:val="21"/>
                <w:szCs w:val="21"/>
                <w:highlight w:val="none"/>
                <w:lang w:val="en-US" w:eastAsia="zh-CN"/>
              </w:rPr>
              <w:t>第</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页</w:t>
            </w:r>
          </w:p>
        </w:tc>
      </w:tr>
      <w:tr w14:paraId="4FD726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2E65490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3</w:t>
            </w:r>
          </w:p>
        </w:tc>
        <w:tc>
          <w:tcPr>
            <w:tcW w:w="7159" w:type="dxa"/>
            <w:noWrap w:val="0"/>
            <w:vAlign w:val="center"/>
          </w:tcPr>
          <w:p w14:paraId="2944373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val="0"/>
                <w:bCs/>
                <w:color w:val="auto"/>
                <w:kern w:val="0"/>
                <w:sz w:val="24"/>
                <w:szCs w:val="24"/>
                <w:highlight w:val="none"/>
                <w:vertAlign w:val="baseline"/>
                <w:lang w:eastAsia="zh-CN"/>
              </w:rPr>
              <w:t>响应文件按照采购文件规定要求签署、盖章</w:t>
            </w:r>
          </w:p>
        </w:tc>
        <w:tc>
          <w:tcPr>
            <w:tcW w:w="1559" w:type="dxa"/>
            <w:noWrap w:val="0"/>
            <w:vAlign w:val="center"/>
          </w:tcPr>
          <w:p w14:paraId="03B3ED1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u w:val="single"/>
                <w:vertAlign w:val="baseline"/>
                <w:lang w:val="en-US" w:eastAsia="zh-CN"/>
              </w:rPr>
            </w:pPr>
            <w:r>
              <w:rPr>
                <w:rFonts w:hint="eastAsia" w:asciiTheme="minorEastAsia" w:hAnsiTheme="minorEastAsia" w:eastAsiaTheme="minorEastAsia" w:cstheme="minorEastAsia"/>
                <w:color w:val="auto"/>
                <w:sz w:val="21"/>
                <w:szCs w:val="21"/>
                <w:highlight w:val="none"/>
                <w:lang w:val="en-US" w:eastAsia="zh-CN"/>
              </w:rPr>
              <w:t>第</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页</w:t>
            </w:r>
          </w:p>
        </w:tc>
      </w:tr>
      <w:tr w14:paraId="33D36A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767F6F1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4</w:t>
            </w:r>
          </w:p>
        </w:tc>
        <w:tc>
          <w:tcPr>
            <w:tcW w:w="7159" w:type="dxa"/>
            <w:noWrap w:val="0"/>
            <w:vAlign w:val="center"/>
          </w:tcPr>
          <w:p w14:paraId="5CB5269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4"/>
                <w:szCs w:val="24"/>
                <w:highlight w:val="none"/>
                <w:lang w:eastAsia="zh-CN"/>
              </w:rPr>
              <w:t>按照采购文件要求</w:t>
            </w:r>
            <w:r>
              <w:rPr>
                <w:rFonts w:hint="eastAsia" w:asciiTheme="minorEastAsia" w:hAnsiTheme="minorEastAsia" w:eastAsiaTheme="minorEastAsia" w:cstheme="minorEastAsia"/>
                <w:color w:val="auto"/>
                <w:kern w:val="0"/>
                <w:sz w:val="24"/>
                <w:szCs w:val="24"/>
                <w:highlight w:val="none"/>
              </w:rPr>
              <w:t>交纳</w:t>
            </w:r>
            <w:r>
              <w:rPr>
                <w:rFonts w:hint="eastAsia" w:asciiTheme="minorEastAsia" w:hAnsiTheme="minorEastAsia" w:eastAsiaTheme="minorEastAsia" w:cstheme="minorEastAsia"/>
                <w:color w:val="auto"/>
                <w:kern w:val="0"/>
                <w:sz w:val="24"/>
                <w:szCs w:val="24"/>
                <w:highlight w:val="none"/>
                <w:lang w:eastAsia="zh-CN"/>
              </w:rPr>
              <w:t>磋商保证金或电子保函</w:t>
            </w:r>
          </w:p>
        </w:tc>
        <w:tc>
          <w:tcPr>
            <w:tcW w:w="1559" w:type="dxa"/>
            <w:noWrap w:val="0"/>
            <w:vAlign w:val="center"/>
          </w:tcPr>
          <w:p w14:paraId="77A0EEB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u w:val="single"/>
                <w:vertAlign w:val="baseline"/>
                <w:lang w:val="en-US" w:eastAsia="zh-CN"/>
              </w:rPr>
            </w:pPr>
            <w:r>
              <w:rPr>
                <w:rFonts w:hint="eastAsia" w:asciiTheme="minorEastAsia" w:hAnsiTheme="minorEastAsia" w:eastAsiaTheme="minorEastAsia" w:cstheme="minorEastAsia"/>
                <w:color w:val="auto"/>
                <w:sz w:val="21"/>
                <w:szCs w:val="21"/>
                <w:highlight w:val="none"/>
                <w:lang w:val="en-US" w:eastAsia="zh-CN"/>
              </w:rPr>
              <w:t>第</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页</w:t>
            </w:r>
          </w:p>
        </w:tc>
      </w:tr>
      <w:tr w14:paraId="6D8E9E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5DDDE7A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5</w:t>
            </w:r>
          </w:p>
        </w:tc>
        <w:tc>
          <w:tcPr>
            <w:tcW w:w="7159" w:type="dxa"/>
            <w:noWrap w:val="0"/>
            <w:vAlign w:val="center"/>
          </w:tcPr>
          <w:p w14:paraId="587F50F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4"/>
                <w:szCs w:val="24"/>
                <w:highlight w:val="none"/>
                <w:lang w:eastAsia="zh-CN"/>
              </w:rPr>
              <w:t>磋商有效期、合同履约期限满足采购文件要求</w:t>
            </w:r>
          </w:p>
        </w:tc>
        <w:tc>
          <w:tcPr>
            <w:tcW w:w="1559" w:type="dxa"/>
            <w:noWrap w:val="0"/>
            <w:vAlign w:val="center"/>
          </w:tcPr>
          <w:p w14:paraId="672865D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u w:val="single"/>
                <w:vertAlign w:val="baseline"/>
                <w:lang w:val="en-US" w:eastAsia="zh-CN"/>
              </w:rPr>
            </w:pPr>
            <w:r>
              <w:rPr>
                <w:rFonts w:hint="eastAsia" w:asciiTheme="minorEastAsia" w:hAnsiTheme="minorEastAsia" w:eastAsiaTheme="minorEastAsia" w:cstheme="minorEastAsia"/>
                <w:color w:val="auto"/>
                <w:sz w:val="21"/>
                <w:szCs w:val="21"/>
                <w:highlight w:val="none"/>
                <w:lang w:val="en-US" w:eastAsia="zh-CN"/>
              </w:rPr>
              <w:t>第</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页</w:t>
            </w:r>
          </w:p>
        </w:tc>
      </w:tr>
      <w:tr w14:paraId="2F07E9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778938C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6</w:t>
            </w:r>
          </w:p>
        </w:tc>
        <w:tc>
          <w:tcPr>
            <w:tcW w:w="7159" w:type="dxa"/>
            <w:noWrap w:val="0"/>
            <w:vAlign w:val="center"/>
          </w:tcPr>
          <w:p w14:paraId="7E366D5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4"/>
                <w:szCs w:val="24"/>
                <w:highlight w:val="none"/>
                <w:lang w:eastAsia="zh-CN"/>
              </w:rPr>
              <w:t>响应文件</w:t>
            </w:r>
            <w:r>
              <w:rPr>
                <w:rFonts w:hint="eastAsia" w:asciiTheme="minorEastAsia" w:hAnsiTheme="minorEastAsia" w:eastAsiaTheme="minorEastAsia" w:cstheme="minorEastAsia"/>
                <w:color w:val="auto"/>
                <w:kern w:val="0"/>
                <w:sz w:val="24"/>
                <w:szCs w:val="24"/>
                <w:highlight w:val="none"/>
              </w:rPr>
              <w:t>的有效性、完整性是否响应</w:t>
            </w:r>
            <w:r>
              <w:rPr>
                <w:rFonts w:hint="eastAsia" w:asciiTheme="minorEastAsia" w:hAnsiTheme="minorEastAsia" w:eastAsiaTheme="minorEastAsia" w:cstheme="minorEastAsia"/>
                <w:color w:val="auto"/>
                <w:kern w:val="0"/>
                <w:sz w:val="24"/>
                <w:szCs w:val="24"/>
                <w:highlight w:val="none"/>
                <w:lang w:eastAsia="zh-CN"/>
              </w:rPr>
              <w:t>采购</w:t>
            </w:r>
            <w:r>
              <w:rPr>
                <w:rFonts w:hint="eastAsia" w:asciiTheme="minorEastAsia" w:hAnsiTheme="minorEastAsia" w:eastAsiaTheme="minorEastAsia" w:cstheme="minorEastAsia"/>
                <w:color w:val="auto"/>
                <w:kern w:val="0"/>
                <w:sz w:val="24"/>
                <w:szCs w:val="24"/>
                <w:highlight w:val="none"/>
              </w:rPr>
              <w:t>文件要求，是否响应</w:t>
            </w:r>
            <w:r>
              <w:rPr>
                <w:rFonts w:hint="eastAsia" w:asciiTheme="minorEastAsia" w:hAnsiTheme="minorEastAsia" w:eastAsiaTheme="minorEastAsia" w:cstheme="minorEastAsia"/>
                <w:color w:val="auto"/>
                <w:kern w:val="0"/>
                <w:sz w:val="24"/>
                <w:szCs w:val="24"/>
                <w:highlight w:val="none"/>
                <w:lang w:eastAsia="zh-CN"/>
              </w:rPr>
              <w:t>采购</w:t>
            </w:r>
            <w:r>
              <w:rPr>
                <w:rFonts w:hint="eastAsia" w:asciiTheme="minorEastAsia" w:hAnsiTheme="minorEastAsia" w:eastAsiaTheme="minorEastAsia" w:cstheme="minorEastAsia"/>
                <w:color w:val="auto"/>
                <w:kern w:val="0"/>
                <w:sz w:val="24"/>
                <w:szCs w:val="24"/>
                <w:highlight w:val="none"/>
              </w:rPr>
              <w:t>文件的实质性要求</w:t>
            </w:r>
            <w:r>
              <w:rPr>
                <w:rFonts w:hint="eastAsia" w:asciiTheme="minorEastAsia" w:hAnsiTheme="minorEastAsia" w:eastAsiaTheme="minorEastAsia" w:cstheme="minorEastAsia"/>
                <w:color w:val="auto"/>
                <w:kern w:val="0"/>
                <w:sz w:val="24"/>
                <w:szCs w:val="24"/>
                <w:highlight w:val="none"/>
                <w:lang w:eastAsia="zh-CN"/>
              </w:rPr>
              <w:t>和条款</w:t>
            </w:r>
          </w:p>
        </w:tc>
        <w:tc>
          <w:tcPr>
            <w:tcW w:w="1559" w:type="dxa"/>
            <w:noWrap w:val="0"/>
            <w:vAlign w:val="center"/>
          </w:tcPr>
          <w:p w14:paraId="6EC0213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u w:val="single"/>
                <w:vertAlign w:val="baseline"/>
                <w:lang w:val="en-US" w:eastAsia="zh-CN"/>
              </w:rPr>
            </w:pPr>
            <w:r>
              <w:rPr>
                <w:rFonts w:hint="eastAsia" w:asciiTheme="minorEastAsia" w:hAnsiTheme="minorEastAsia" w:eastAsiaTheme="minorEastAsia" w:cstheme="minorEastAsia"/>
                <w:color w:val="auto"/>
                <w:sz w:val="21"/>
                <w:szCs w:val="21"/>
                <w:highlight w:val="none"/>
                <w:lang w:val="en-US" w:eastAsia="zh-CN"/>
              </w:rPr>
              <w:t>第</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页</w:t>
            </w:r>
          </w:p>
        </w:tc>
      </w:tr>
      <w:tr w14:paraId="4B5B01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15B79F1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7</w:t>
            </w:r>
          </w:p>
        </w:tc>
        <w:tc>
          <w:tcPr>
            <w:tcW w:w="7159" w:type="dxa"/>
            <w:noWrap w:val="0"/>
            <w:vAlign w:val="center"/>
          </w:tcPr>
          <w:p w14:paraId="443B0C8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4"/>
                <w:szCs w:val="24"/>
                <w:highlight w:val="none"/>
                <w:lang w:eastAsia="zh-CN"/>
              </w:rPr>
              <w:t>响应文件没有</w:t>
            </w:r>
            <w:r>
              <w:rPr>
                <w:rFonts w:hint="eastAsia" w:asciiTheme="minorEastAsia" w:hAnsiTheme="minorEastAsia" w:eastAsiaTheme="minorEastAsia" w:cstheme="minorEastAsia"/>
                <w:color w:val="auto"/>
                <w:kern w:val="0"/>
                <w:sz w:val="24"/>
                <w:szCs w:val="24"/>
                <w:highlight w:val="none"/>
              </w:rPr>
              <w:t>附有采购人不能接受的条件</w:t>
            </w:r>
          </w:p>
        </w:tc>
        <w:tc>
          <w:tcPr>
            <w:tcW w:w="1559" w:type="dxa"/>
            <w:noWrap w:val="0"/>
            <w:vAlign w:val="center"/>
          </w:tcPr>
          <w:p w14:paraId="5A6E688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heme="minorEastAsia" w:hAnsiTheme="minorEastAsia" w:eastAsiaTheme="minorEastAsia" w:cstheme="minorEastAsia"/>
                <w:color w:val="auto"/>
                <w:sz w:val="21"/>
                <w:szCs w:val="21"/>
                <w:highlight w:val="none"/>
                <w:u w:val="single"/>
                <w:vertAlign w:val="baseline"/>
                <w:lang w:val="en-US" w:eastAsia="zh-CN"/>
              </w:rPr>
            </w:pPr>
            <w:r>
              <w:rPr>
                <w:rFonts w:hint="eastAsia" w:asciiTheme="minorEastAsia" w:hAnsiTheme="minorEastAsia" w:eastAsiaTheme="minorEastAsia" w:cstheme="minorEastAsia"/>
                <w:color w:val="auto"/>
                <w:sz w:val="21"/>
                <w:szCs w:val="21"/>
                <w:highlight w:val="none"/>
                <w:lang w:val="en-US" w:eastAsia="zh-CN"/>
              </w:rPr>
              <w:t>第</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页</w:t>
            </w:r>
          </w:p>
        </w:tc>
      </w:tr>
    </w:tbl>
    <w:p w14:paraId="00E67138">
      <w:pPr>
        <w:pStyle w:val="48"/>
        <w:rPr>
          <w:rFonts w:hint="eastAsia" w:ascii="宋体" w:hAnsi="宋体" w:eastAsia="宋体" w:cs="宋体"/>
          <w:color w:val="auto"/>
          <w:highlight w:val="none"/>
        </w:rPr>
      </w:pPr>
    </w:p>
    <w:p w14:paraId="5CE7ED91">
      <w:pPr>
        <w:spacing w:line="440" w:lineRule="exact"/>
        <w:ind w:firstLine="148" w:firstLineChars="62"/>
        <w:jc w:val="center"/>
        <w:rPr>
          <w:rFonts w:hint="eastAsia" w:ascii="宋体" w:hAnsi="宋体" w:eastAsia="宋体" w:cs="宋体"/>
          <w:b w:val="0"/>
          <w:bCs w:val="0"/>
          <w:color w:val="auto"/>
          <w:sz w:val="24"/>
          <w:szCs w:val="24"/>
          <w:highlight w:val="none"/>
        </w:rPr>
      </w:pPr>
    </w:p>
    <w:p w14:paraId="2E6A4D96">
      <w:pPr>
        <w:spacing w:line="440" w:lineRule="exact"/>
        <w:ind w:firstLine="148" w:firstLineChars="62"/>
        <w:jc w:val="center"/>
        <w:rPr>
          <w:rFonts w:hint="eastAsia" w:ascii="宋体" w:hAnsi="宋体" w:eastAsia="宋体" w:cs="宋体"/>
          <w:b w:val="0"/>
          <w:bCs w:val="0"/>
          <w:color w:val="auto"/>
          <w:sz w:val="24"/>
          <w:szCs w:val="24"/>
          <w:highlight w:val="none"/>
        </w:rPr>
      </w:pPr>
    </w:p>
    <w:p w14:paraId="7460DAC2">
      <w:pPr>
        <w:spacing w:line="440" w:lineRule="exact"/>
        <w:ind w:firstLine="148" w:firstLineChars="62"/>
        <w:jc w:val="center"/>
        <w:rPr>
          <w:rFonts w:hint="eastAsia" w:ascii="宋体" w:hAnsi="宋体" w:eastAsia="宋体" w:cs="宋体"/>
          <w:b w:val="0"/>
          <w:bCs w:val="0"/>
          <w:color w:val="auto"/>
          <w:sz w:val="24"/>
          <w:szCs w:val="24"/>
          <w:highlight w:val="none"/>
        </w:rPr>
      </w:pPr>
    </w:p>
    <w:p w14:paraId="53E7B04C">
      <w:pPr>
        <w:spacing w:line="440" w:lineRule="exact"/>
        <w:ind w:firstLine="148" w:firstLineChars="62"/>
        <w:jc w:val="center"/>
        <w:rPr>
          <w:rFonts w:hint="eastAsia" w:ascii="宋体" w:hAnsi="宋体" w:eastAsia="宋体" w:cs="宋体"/>
          <w:b w:val="0"/>
          <w:bCs w:val="0"/>
          <w:color w:val="auto"/>
          <w:sz w:val="24"/>
          <w:szCs w:val="24"/>
          <w:highlight w:val="none"/>
        </w:rPr>
      </w:pPr>
    </w:p>
    <w:p w14:paraId="0BA6078A">
      <w:pPr>
        <w:spacing w:line="440" w:lineRule="exact"/>
        <w:ind w:firstLine="148" w:firstLineChars="62"/>
        <w:jc w:val="center"/>
        <w:rPr>
          <w:rFonts w:hint="eastAsia" w:ascii="宋体" w:hAnsi="宋体" w:eastAsia="宋体" w:cs="宋体"/>
          <w:b w:val="0"/>
          <w:bCs w:val="0"/>
          <w:color w:val="auto"/>
          <w:sz w:val="24"/>
          <w:szCs w:val="24"/>
          <w:highlight w:val="none"/>
        </w:rPr>
      </w:pPr>
    </w:p>
    <w:p w14:paraId="49540E87">
      <w:pPr>
        <w:spacing w:line="440" w:lineRule="exact"/>
        <w:ind w:firstLine="148" w:firstLineChars="62"/>
        <w:jc w:val="center"/>
        <w:rPr>
          <w:rFonts w:hint="eastAsia" w:ascii="宋体" w:hAnsi="宋体" w:eastAsia="宋体" w:cs="宋体"/>
          <w:b w:val="0"/>
          <w:bCs w:val="0"/>
          <w:color w:val="auto"/>
          <w:sz w:val="24"/>
          <w:szCs w:val="24"/>
          <w:highlight w:val="none"/>
        </w:rPr>
      </w:pPr>
    </w:p>
    <w:p w14:paraId="3E5FFFBE">
      <w:pPr>
        <w:spacing w:line="440" w:lineRule="exact"/>
        <w:ind w:firstLine="148" w:firstLineChars="62"/>
        <w:jc w:val="center"/>
        <w:rPr>
          <w:rFonts w:hint="eastAsia" w:ascii="宋体" w:hAnsi="宋体" w:eastAsia="宋体" w:cs="宋体"/>
          <w:b w:val="0"/>
          <w:bCs w:val="0"/>
          <w:color w:val="auto"/>
          <w:sz w:val="24"/>
          <w:szCs w:val="24"/>
          <w:highlight w:val="none"/>
        </w:rPr>
      </w:pPr>
    </w:p>
    <w:p w14:paraId="1DFB1948">
      <w:pPr>
        <w:spacing w:line="440" w:lineRule="exact"/>
        <w:ind w:firstLine="148" w:firstLineChars="62"/>
        <w:jc w:val="center"/>
        <w:rPr>
          <w:rFonts w:hint="eastAsia" w:ascii="宋体" w:hAnsi="宋体" w:eastAsia="宋体" w:cs="宋体"/>
          <w:b w:val="0"/>
          <w:bCs w:val="0"/>
          <w:color w:val="auto"/>
          <w:sz w:val="24"/>
          <w:szCs w:val="24"/>
          <w:highlight w:val="none"/>
        </w:rPr>
      </w:pPr>
    </w:p>
    <w:p w14:paraId="09C41AA1">
      <w:pPr>
        <w:spacing w:line="440" w:lineRule="exact"/>
        <w:ind w:firstLine="148" w:firstLineChars="62"/>
        <w:jc w:val="center"/>
        <w:rPr>
          <w:rFonts w:hint="eastAsia" w:ascii="宋体" w:hAnsi="宋体" w:eastAsia="宋体" w:cs="宋体"/>
          <w:b w:val="0"/>
          <w:bCs w:val="0"/>
          <w:color w:val="auto"/>
          <w:sz w:val="24"/>
          <w:szCs w:val="24"/>
          <w:highlight w:val="none"/>
        </w:rPr>
      </w:pPr>
    </w:p>
    <w:p w14:paraId="12A65197">
      <w:pPr>
        <w:spacing w:line="440" w:lineRule="exact"/>
        <w:ind w:firstLine="148" w:firstLineChars="62"/>
        <w:jc w:val="center"/>
        <w:rPr>
          <w:rFonts w:hint="eastAsia" w:ascii="宋体" w:hAnsi="宋体" w:eastAsia="宋体" w:cs="宋体"/>
          <w:b w:val="0"/>
          <w:bCs w:val="0"/>
          <w:color w:val="auto"/>
          <w:sz w:val="24"/>
          <w:szCs w:val="24"/>
          <w:highlight w:val="none"/>
        </w:rPr>
      </w:pPr>
    </w:p>
    <w:p w14:paraId="72882F68">
      <w:pPr>
        <w:spacing w:line="440" w:lineRule="exact"/>
        <w:ind w:firstLine="148" w:firstLineChars="62"/>
        <w:jc w:val="center"/>
        <w:rPr>
          <w:rFonts w:hint="eastAsia" w:ascii="宋体" w:hAnsi="宋体" w:eastAsia="宋体" w:cs="宋体"/>
          <w:b w:val="0"/>
          <w:bCs w:val="0"/>
          <w:color w:val="auto"/>
          <w:sz w:val="24"/>
          <w:szCs w:val="24"/>
          <w:highlight w:val="none"/>
        </w:rPr>
      </w:pPr>
    </w:p>
    <w:p w14:paraId="0E53A6EE">
      <w:pPr>
        <w:spacing w:line="440" w:lineRule="exact"/>
        <w:ind w:firstLine="148" w:firstLineChars="62"/>
        <w:jc w:val="center"/>
        <w:rPr>
          <w:rFonts w:hint="eastAsia" w:ascii="宋体" w:hAnsi="宋体" w:eastAsia="宋体" w:cs="宋体"/>
          <w:b w:val="0"/>
          <w:bCs w:val="0"/>
          <w:color w:val="auto"/>
          <w:sz w:val="24"/>
          <w:szCs w:val="24"/>
          <w:highlight w:val="none"/>
        </w:rPr>
      </w:pPr>
    </w:p>
    <w:p w14:paraId="0F55EA5B">
      <w:pPr>
        <w:spacing w:line="440" w:lineRule="exact"/>
        <w:ind w:firstLine="148" w:firstLineChars="62"/>
        <w:jc w:val="center"/>
        <w:rPr>
          <w:rFonts w:hint="eastAsia" w:ascii="宋体" w:hAnsi="宋体" w:eastAsia="宋体" w:cs="宋体"/>
          <w:b w:val="0"/>
          <w:bCs w:val="0"/>
          <w:color w:val="auto"/>
          <w:sz w:val="24"/>
          <w:szCs w:val="24"/>
          <w:highlight w:val="none"/>
        </w:rPr>
      </w:pPr>
    </w:p>
    <w:p w14:paraId="1A32046D">
      <w:pPr>
        <w:spacing w:line="440" w:lineRule="exact"/>
        <w:ind w:firstLine="148" w:firstLineChars="62"/>
        <w:jc w:val="center"/>
        <w:rPr>
          <w:rFonts w:hint="eastAsia" w:ascii="宋体" w:hAnsi="宋体" w:eastAsia="宋体" w:cs="宋体"/>
          <w:b w:val="0"/>
          <w:bCs w:val="0"/>
          <w:color w:val="auto"/>
          <w:sz w:val="24"/>
          <w:szCs w:val="24"/>
          <w:highlight w:val="none"/>
        </w:rPr>
      </w:pPr>
    </w:p>
    <w:p w14:paraId="6D11A770">
      <w:pPr>
        <w:spacing w:line="440" w:lineRule="exact"/>
        <w:ind w:firstLine="148" w:firstLineChars="62"/>
        <w:jc w:val="center"/>
        <w:rPr>
          <w:rFonts w:hint="eastAsia" w:ascii="宋体" w:hAnsi="宋体" w:eastAsia="宋体" w:cs="宋体"/>
          <w:b w:val="0"/>
          <w:bCs w:val="0"/>
          <w:color w:val="auto"/>
          <w:sz w:val="24"/>
          <w:szCs w:val="24"/>
          <w:highlight w:val="none"/>
        </w:rPr>
      </w:pPr>
    </w:p>
    <w:p w14:paraId="32C4D12F">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商务技术评审索引表</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4"/>
        <w:gridCol w:w="1125"/>
        <w:gridCol w:w="6578"/>
        <w:gridCol w:w="1161"/>
      </w:tblGrid>
      <w:tr w14:paraId="4749D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jc w:val="center"/>
        </w:trPr>
        <w:tc>
          <w:tcPr>
            <w:tcW w:w="694" w:type="dxa"/>
            <w:noWrap w:val="0"/>
            <w:vAlign w:val="center"/>
          </w:tcPr>
          <w:p w14:paraId="44385C68">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25" w:type="dxa"/>
            <w:tcBorders>
              <w:right w:val="single" w:color="auto" w:sz="4" w:space="0"/>
            </w:tcBorders>
            <w:noWrap w:val="0"/>
            <w:vAlign w:val="center"/>
          </w:tcPr>
          <w:p w14:paraId="37B17BBE">
            <w:pPr>
              <w:spacing w:line="220" w:lineRule="exact"/>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评审</w:t>
            </w:r>
            <w:r>
              <w:rPr>
                <w:rFonts w:hint="eastAsia" w:ascii="宋体" w:hAnsi="宋体" w:eastAsia="宋体" w:cs="宋体"/>
                <w:b/>
                <w:bCs/>
                <w:color w:val="auto"/>
                <w:szCs w:val="21"/>
                <w:highlight w:val="none"/>
                <w:lang w:eastAsia="zh-CN"/>
              </w:rPr>
              <w:t>内容</w:t>
            </w:r>
          </w:p>
        </w:tc>
        <w:tc>
          <w:tcPr>
            <w:tcW w:w="6578" w:type="dxa"/>
            <w:noWrap w:val="0"/>
            <w:vAlign w:val="center"/>
          </w:tcPr>
          <w:p w14:paraId="0ED42AA0">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评审标准</w:t>
            </w:r>
          </w:p>
        </w:tc>
        <w:tc>
          <w:tcPr>
            <w:tcW w:w="1161" w:type="dxa"/>
            <w:noWrap w:val="0"/>
            <w:vAlign w:val="center"/>
          </w:tcPr>
          <w:p w14:paraId="529BAD10">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详见投标文件</w:t>
            </w:r>
          </w:p>
        </w:tc>
      </w:tr>
      <w:tr w14:paraId="1A11B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7" w:hRule="atLeast"/>
          <w:jc w:val="center"/>
        </w:trPr>
        <w:tc>
          <w:tcPr>
            <w:tcW w:w="694" w:type="dxa"/>
            <w:tcBorders>
              <w:bottom w:val="single" w:color="auto" w:sz="4" w:space="0"/>
            </w:tcBorders>
            <w:noWrap w:val="0"/>
            <w:vAlign w:val="center"/>
          </w:tcPr>
          <w:p w14:paraId="00EAD67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125" w:type="dxa"/>
            <w:tcBorders>
              <w:bottom w:val="single" w:color="auto" w:sz="4" w:space="0"/>
              <w:right w:val="single" w:color="auto" w:sz="4" w:space="0"/>
            </w:tcBorders>
            <w:noWrap w:val="0"/>
            <w:vAlign w:val="center"/>
          </w:tcPr>
          <w:p w14:paraId="5BFDC4D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0E3D53E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2823898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5B679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7" w:hRule="atLeast"/>
          <w:jc w:val="center"/>
        </w:trPr>
        <w:tc>
          <w:tcPr>
            <w:tcW w:w="694" w:type="dxa"/>
            <w:tcBorders>
              <w:top w:val="single" w:color="auto" w:sz="4" w:space="0"/>
              <w:bottom w:val="single" w:color="auto" w:sz="4" w:space="0"/>
            </w:tcBorders>
            <w:noWrap w:val="0"/>
            <w:vAlign w:val="center"/>
          </w:tcPr>
          <w:p w14:paraId="6261C35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25" w:type="dxa"/>
            <w:tcBorders>
              <w:top w:val="single" w:color="auto" w:sz="4" w:space="0"/>
              <w:bottom w:val="single" w:color="auto" w:sz="4" w:space="0"/>
            </w:tcBorders>
            <w:noWrap w:val="0"/>
            <w:vAlign w:val="center"/>
          </w:tcPr>
          <w:p w14:paraId="7FECE4C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4D0E1D5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225FCFC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211C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7" w:hRule="atLeast"/>
          <w:jc w:val="center"/>
        </w:trPr>
        <w:tc>
          <w:tcPr>
            <w:tcW w:w="694" w:type="dxa"/>
            <w:tcBorders>
              <w:top w:val="single" w:color="auto" w:sz="4" w:space="0"/>
            </w:tcBorders>
            <w:noWrap w:val="0"/>
            <w:vAlign w:val="center"/>
          </w:tcPr>
          <w:p w14:paraId="551C312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125" w:type="dxa"/>
            <w:tcBorders>
              <w:top w:val="single" w:color="auto" w:sz="4" w:space="0"/>
            </w:tcBorders>
            <w:noWrap w:val="0"/>
            <w:vAlign w:val="center"/>
          </w:tcPr>
          <w:p w14:paraId="49C5875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0D89E21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2DDD70A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379C06D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1A99045">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EEFC70D">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D1387C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644178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4C33B5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DC0BA2F">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C8EA99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8A6238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B682DD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A42EB76">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0F60FB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674335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3E53232">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7860ED0">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59C30EE">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716393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FEA0DB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B5B1406">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5F01C64">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6EAC66F">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24FD236">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83D228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60AAF7A">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608815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bookmarkEnd w:id="210"/>
    <w:bookmarkEnd w:id="211"/>
    <w:p w14:paraId="3D81DC5A">
      <w:pPr>
        <w:pStyle w:val="5"/>
        <w:pageBreakBefore w:val="0"/>
        <w:widowControl w:val="0"/>
        <w:kinsoku/>
        <w:wordWrap/>
        <w:overflowPunct/>
        <w:topLinePunct w:val="0"/>
        <w:autoSpaceDE/>
        <w:autoSpaceDN/>
        <w:bidi w:val="0"/>
        <w:adjustRightInd w:val="0"/>
        <w:snapToGrid w:val="0"/>
        <w:spacing w:line="360" w:lineRule="auto"/>
        <w:ind w:left="0" w:leftChars="0"/>
        <w:jc w:val="center"/>
        <w:rPr>
          <w:rFonts w:hint="eastAsia" w:ascii="宋体" w:hAnsi="宋体" w:eastAsia="宋体" w:cs="宋体"/>
          <w:color w:val="auto"/>
          <w:sz w:val="24"/>
          <w:szCs w:val="24"/>
          <w:highlight w:val="none"/>
        </w:rPr>
      </w:pPr>
      <w:bookmarkStart w:id="212" w:name="_Toc19452"/>
      <w:bookmarkStart w:id="213" w:name="_Toc26592"/>
      <w:bookmarkStart w:id="214" w:name="_Toc1992"/>
      <w:bookmarkStart w:id="215" w:name="_Toc3833"/>
      <w:bookmarkStart w:id="216" w:name="_Toc25269"/>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、资</w:t>
      </w:r>
      <w:r>
        <w:rPr>
          <w:rFonts w:hint="eastAsia" w:ascii="宋体" w:hAnsi="宋体" w:eastAsia="宋体" w:cs="宋体"/>
          <w:color w:val="auto"/>
          <w:sz w:val="24"/>
          <w:szCs w:val="24"/>
          <w:highlight w:val="none"/>
          <w:lang w:eastAsia="zh-CN"/>
        </w:rPr>
        <w:t>格</w:t>
      </w:r>
      <w:r>
        <w:rPr>
          <w:rFonts w:hint="eastAsia" w:ascii="宋体" w:hAnsi="宋体" w:eastAsia="宋体" w:cs="宋体"/>
          <w:color w:val="auto"/>
          <w:sz w:val="24"/>
          <w:szCs w:val="24"/>
          <w:highlight w:val="none"/>
        </w:rPr>
        <w:t>文件</w:t>
      </w:r>
      <w:bookmarkEnd w:id="212"/>
      <w:bookmarkEnd w:id="213"/>
      <w:bookmarkEnd w:id="214"/>
    </w:p>
    <w:p w14:paraId="7DEEF75C">
      <w:pPr>
        <w:pStyle w:val="6"/>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rPr>
          <w:rFonts w:hint="eastAsia" w:ascii="宋体" w:hAnsi="宋体" w:eastAsia="宋体" w:cs="宋体"/>
          <w:b/>
          <w:color w:val="auto"/>
          <w:sz w:val="24"/>
          <w:szCs w:val="24"/>
          <w:highlight w:val="none"/>
        </w:rPr>
      </w:pPr>
      <w:bookmarkStart w:id="217" w:name="_Toc1672"/>
      <w:bookmarkEnd w:id="217"/>
      <w:bookmarkStart w:id="218" w:name="_Toc9757"/>
      <w:bookmarkEnd w:id="218"/>
      <w:bookmarkStart w:id="219" w:name="_Toc31100"/>
      <w:bookmarkEnd w:id="219"/>
      <w:bookmarkStart w:id="220" w:name="_Toc16940"/>
      <w:bookmarkEnd w:id="220"/>
      <w:bookmarkStart w:id="221" w:name="_Toc20554"/>
      <w:bookmarkStart w:id="222" w:name="_Toc22322"/>
      <w:bookmarkStart w:id="223" w:name="_Toc23977"/>
      <w:r>
        <w:rPr>
          <w:rFonts w:hint="eastAsia" w:ascii="宋体" w:hAnsi="宋体" w:eastAsia="宋体" w:cs="宋体"/>
          <w:b/>
          <w:color w:val="auto"/>
          <w:sz w:val="24"/>
          <w:szCs w:val="24"/>
          <w:highlight w:val="none"/>
          <w:lang w:val="en-US" w:eastAsia="zh-CN"/>
        </w:rPr>
        <w:t>（一）满足《中华人民共和国政府采购法》第二十二条规定</w:t>
      </w:r>
      <w:bookmarkEnd w:id="221"/>
      <w:bookmarkEnd w:id="222"/>
      <w:bookmarkEnd w:id="223"/>
    </w:p>
    <w:p w14:paraId="4A792C09">
      <w:pPr>
        <w:pStyle w:val="6"/>
        <w:keepNext w:val="0"/>
        <w:keepLines w:val="0"/>
        <w:tabs>
          <w:tab w:val="left" w:pos="540"/>
        </w:tabs>
        <w:adjustRightInd w:val="0"/>
        <w:snapToGrid w:val="0"/>
        <w:spacing w:before="0" w:after="0" w:line="360" w:lineRule="auto"/>
        <w:jc w:val="center"/>
        <w:rPr>
          <w:rFonts w:hint="eastAsia"/>
          <w:color w:val="auto"/>
          <w:sz w:val="24"/>
          <w:szCs w:val="24"/>
          <w:highlight w:val="none"/>
          <w:lang w:eastAsia="zh-CN"/>
        </w:rPr>
      </w:pPr>
      <w:bookmarkStart w:id="224" w:name="_Toc19478"/>
      <w:bookmarkEnd w:id="224"/>
      <w:bookmarkStart w:id="225" w:name="_Toc7141"/>
      <w:bookmarkEnd w:id="225"/>
      <w:bookmarkStart w:id="226" w:name="_Toc8540"/>
      <w:bookmarkEnd w:id="226"/>
      <w:bookmarkStart w:id="227" w:name="_Toc18030"/>
      <w:bookmarkEnd w:id="227"/>
      <w:bookmarkStart w:id="228" w:name="_Toc20535"/>
      <w:bookmarkEnd w:id="228"/>
      <w:bookmarkStart w:id="229" w:name="_Toc31244"/>
      <w:bookmarkEnd w:id="229"/>
      <w:bookmarkStart w:id="230" w:name="_Toc17503"/>
      <w:bookmarkEnd w:id="230"/>
      <w:bookmarkStart w:id="231" w:name="_Toc2373"/>
      <w:bookmarkEnd w:id="231"/>
      <w:bookmarkStart w:id="232" w:name="_Toc27002"/>
      <w:bookmarkEnd w:id="232"/>
      <w:bookmarkStart w:id="233" w:name="_Toc13670"/>
      <w:bookmarkEnd w:id="233"/>
      <w:bookmarkStart w:id="234" w:name="_Toc11400"/>
      <w:bookmarkEnd w:id="234"/>
      <w:bookmarkStart w:id="235" w:name="_Toc5001"/>
      <w:bookmarkEnd w:id="235"/>
      <w:bookmarkStart w:id="236" w:name="_Toc513"/>
      <w:bookmarkEnd w:id="236"/>
      <w:bookmarkStart w:id="237" w:name="_Toc1155"/>
      <w:bookmarkStart w:id="238" w:name="_Toc19010"/>
      <w:bookmarkStart w:id="239" w:name="_Toc27675"/>
      <w:bookmarkStart w:id="240" w:name="_Toc15050"/>
      <w:bookmarkStart w:id="241" w:name="_Toc32320"/>
      <w:bookmarkStart w:id="242" w:name="_Toc10363"/>
      <w:bookmarkStart w:id="243" w:name="_Toc24802"/>
      <w:bookmarkStart w:id="244" w:name="_Toc22646"/>
      <w:bookmarkStart w:id="245" w:name="_Toc13956"/>
      <w:bookmarkStart w:id="246" w:name="_Toc11335"/>
      <w:bookmarkStart w:id="247" w:name="_Toc18485"/>
      <w:bookmarkStart w:id="248" w:name="_Toc31522"/>
      <w:r>
        <w:rPr>
          <w:rFonts w:hint="eastAsia"/>
          <w:color w:val="auto"/>
          <w:sz w:val="24"/>
          <w:szCs w:val="24"/>
          <w:highlight w:val="none"/>
          <w:lang w:val="en-US" w:eastAsia="zh-CN"/>
        </w:rPr>
        <w:t>1.</w:t>
      </w:r>
      <w:bookmarkEnd w:id="237"/>
      <w:bookmarkEnd w:id="238"/>
      <w:bookmarkEnd w:id="239"/>
      <w:r>
        <w:rPr>
          <w:rFonts w:hint="eastAsia"/>
          <w:color w:val="auto"/>
          <w:sz w:val="24"/>
          <w:szCs w:val="24"/>
          <w:highlight w:val="none"/>
          <w:lang w:eastAsia="zh-CN"/>
        </w:rPr>
        <w:t>政府采购供应商信用承诺函</w:t>
      </w:r>
      <w:bookmarkEnd w:id="240"/>
      <w:bookmarkEnd w:id="241"/>
      <w:bookmarkEnd w:id="242"/>
      <w:bookmarkEnd w:id="243"/>
      <w:bookmarkEnd w:id="244"/>
      <w:bookmarkEnd w:id="245"/>
    </w:p>
    <w:p w14:paraId="03CB9867">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单位名称（自然人姓名）：</w:t>
      </w:r>
      <w:r>
        <w:rPr>
          <w:rFonts w:hint="eastAsia" w:cs="宋体"/>
          <w:color w:val="auto"/>
          <w:sz w:val="24"/>
          <w:szCs w:val="24"/>
          <w:highlight w:val="none"/>
          <w:u w:val="single"/>
        </w:rPr>
        <w:t xml:space="preserve">                         </w:t>
      </w:r>
    </w:p>
    <w:p w14:paraId="6737BE19">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统一社会信用代码（身份证号码）：</w:t>
      </w:r>
      <w:r>
        <w:rPr>
          <w:rFonts w:hint="eastAsia" w:cs="宋体"/>
          <w:color w:val="auto"/>
          <w:sz w:val="24"/>
          <w:szCs w:val="24"/>
          <w:highlight w:val="none"/>
          <w:u w:val="single"/>
        </w:rPr>
        <w:t xml:space="preserve">                         </w:t>
      </w:r>
    </w:p>
    <w:p w14:paraId="0C342015">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法定代表人（负责人）：</w:t>
      </w:r>
      <w:r>
        <w:rPr>
          <w:rFonts w:hint="eastAsia" w:cs="宋体"/>
          <w:color w:val="auto"/>
          <w:sz w:val="24"/>
          <w:szCs w:val="24"/>
          <w:highlight w:val="none"/>
          <w:u w:val="single"/>
        </w:rPr>
        <w:t xml:space="preserve">                         </w:t>
      </w:r>
    </w:p>
    <w:p w14:paraId="4E9AD210">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我单位（本人）自愿参加本次政府采购活动，严格遵守《中华人民共和国政府采购法》及相关法律法规，坚守公开、公平、公正和诚实信用等原则，依法诚信经营，并郑重承诺：</w:t>
      </w:r>
    </w:p>
    <w:p w14:paraId="16DC8EEC">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一、我单位（本人）符合《中华人民共和国政府采购法》第二十二条规定：</w:t>
      </w:r>
    </w:p>
    <w:p w14:paraId="43543092">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（一）具有独立承担民事责任的能力</w:t>
      </w:r>
      <w:r>
        <w:rPr>
          <w:rFonts w:hint="eastAsia" w:ascii="宋体" w:hAnsi="宋体" w:cs="宋体"/>
          <w:color w:val="auto"/>
          <w:sz w:val="24"/>
          <w:szCs w:val="24"/>
          <w:highlight w:val="none"/>
          <w:lang w:eastAsia="zh-CN"/>
        </w:rPr>
        <w:t>；</w:t>
      </w:r>
    </w:p>
    <w:p w14:paraId="050A7235">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（二）具有良好的商业信誉和健全的财务会计制度</w:t>
      </w:r>
      <w:r>
        <w:rPr>
          <w:rFonts w:hint="eastAsia" w:ascii="宋体" w:hAnsi="宋体" w:cs="宋体"/>
          <w:color w:val="auto"/>
          <w:sz w:val="24"/>
          <w:szCs w:val="24"/>
          <w:highlight w:val="none"/>
          <w:lang w:eastAsia="zh-CN"/>
        </w:rPr>
        <w:t>；</w:t>
      </w:r>
    </w:p>
    <w:p w14:paraId="0B533134">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（三）具有履行合同所必需的设备和专业技术能力</w:t>
      </w:r>
      <w:r>
        <w:rPr>
          <w:rFonts w:hint="eastAsia" w:ascii="宋体" w:hAnsi="宋体" w:cs="宋体"/>
          <w:color w:val="auto"/>
          <w:sz w:val="24"/>
          <w:szCs w:val="24"/>
          <w:highlight w:val="none"/>
          <w:lang w:eastAsia="zh-CN"/>
        </w:rPr>
        <w:t>；</w:t>
      </w:r>
    </w:p>
    <w:p w14:paraId="7990D1D9">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（四）有依法缴纳税收和社会保障资金的良好记录</w:t>
      </w:r>
      <w:r>
        <w:rPr>
          <w:rFonts w:hint="eastAsia" w:ascii="宋体" w:hAnsi="宋体" w:cs="宋体"/>
          <w:color w:val="auto"/>
          <w:sz w:val="24"/>
          <w:szCs w:val="24"/>
          <w:highlight w:val="none"/>
          <w:lang w:eastAsia="zh-CN"/>
        </w:rPr>
        <w:t>；</w:t>
      </w:r>
    </w:p>
    <w:p w14:paraId="7254E6E4">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（五）参加政府采购活动前三年内，在经营活动中没有重大违法记录</w:t>
      </w:r>
      <w:r>
        <w:rPr>
          <w:rFonts w:hint="eastAsia" w:ascii="宋体" w:hAnsi="宋体" w:cs="宋体"/>
          <w:color w:val="auto"/>
          <w:sz w:val="24"/>
          <w:szCs w:val="24"/>
          <w:highlight w:val="none"/>
          <w:lang w:eastAsia="zh-CN"/>
        </w:rPr>
        <w:t>；</w:t>
      </w:r>
    </w:p>
    <w:p w14:paraId="7E2DD65D">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（六）符合法律、行政法规规定的其他条件。</w:t>
      </w:r>
    </w:p>
    <w:p w14:paraId="4659F65F">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二、我单位（本人）未被列入严重违法失信名单、失信被执行人名单、重大税收违法案件当事人名单、政府采购严重违法失信行为记录名单。</w:t>
      </w:r>
    </w:p>
    <w:p w14:paraId="7397DA89">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三、如果本公司（本人）有幸</w:t>
      </w:r>
      <w:r>
        <w:rPr>
          <w:rFonts w:hint="eastAsia" w:ascii="宋体" w:hAnsi="宋体" w:cs="宋体"/>
          <w:color w:val="auto"/>
          <w:sz w:val="24"/>
          <w:szCs w:val="24"/>
          <w:highlight w:val="none"/>
          <w:lang w:eastAsia="zh-CN"/>
        </w:rPr>
        <w:t>成交</w:t>
      </w:r>
      <w:r>
        <w:rPr>
          <w:rFonts w:hint="eastAsia" w:ascii="宋体" w:hAnsi="宋体" w:cs="宋体"/>
          <w:color w:val="auto"/>
          <w:sz w:val="24"/>
          <w:szCs w:val="24"/>
          <w:highlight w:val="none"/>
        </w:rPr>
        <w:t>，在合同签订之前，采购单位有权要求本公司（本人）提供资格证明材料原件进行核验。</w:t>
      </w:r>
    </w:p>
    <w:p w14:paraId="2B315819">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四、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0F45544E">
      <w:pPr>
        <w:adjustRightInd w:val="0"/>
        <w:snapToGrid w:val="0"/>
        <w:spacing w:line="360" w:lineRule="auto"/>
        <w:ind w:firstLine="480" w:firstLineChars="200"/>
        <w:rPr>
          <w:rFonts w:hint="eastAsia" w:ascii="宋体" w:hAnsi="宋体" w:cs="宋体"/>
          <w:color w:val="auto"/>
          <w:sz w:val="24"/>
          <w:szCs w:val="24"/>
          <w:highlight w:val="none"/>
        </w:rPr>
      </w:pPr>
    </w:p>
    <w:p w14:paraId="0F9656C3">
      <w:pPr>
        <w:adjustRightInd w:val="0"/>
        <w:snapToGrid w:val="0"/>
        <w:spacing w:line="360" w:lineRule="auto"/>
        <w:ind w:firstLine="480" w:firstLineChars="200"/>
        <w:rPr>
          <w:rFonts w:hint="eastAsia" w:cs="宋体"/>
          <w:color w:val="auto"/>
          <w:sz w:val="24"/>
          <w:szCs w:val="24"/>
          <w:highlight w:val="none"/>
          <w:u w:val="single"/>
        </w:rPr>
      </w:pPr>
      <w:r>
        <w:rPr>
          <w:rFonts w:hint="eastAsia" w:ascii="宋体" w:hAnsi="宋体" w:cs="宋体"/>
          <w:color w:val="auto"/>
          <w:sz w:val="24"/>
          <w:szCs w:val="24"/>
          <w:highlight w:val="none"/>
        </w:rPr>
        <w:t>供应商（印章）：</w:t>
      </w:r>
      <w:r>
        <w:rPr>
          <w:rFonts w:hint="eastAsia" w:cs="宋体"/>
          <w:color w:val="auto"/>
          <w:sz w:val="24"/>
          <w:szCs w:val="24"/>
          <w:highlight w:val="none"/>
          <w:u w:val="single"/>
        </w:rPr>
        <w:t xml:space="preserve">                   </w:t>
      </w:r>
    </w:p>
    <w:p w14:paraId="42E00F49">
      <w:pPr>
        <w:adjustRightInd w:val="0"/>
        <w:snapToGrid w:val="0"/>
        <w:spacing w:line="360" w:lineRule="auto"/>
        <w:ind w:firstLine="480" w:firstLineChars="200"/>
        <w:rPr>
          <w:rFonts w:hint="eastAsia" w:cs="宋体"/>
          <w:color w:val="auto"/>
          <w:sz w:val="24"/>
          <w:szCs w:val="24"/>
          <w:highlight w:val="none"/>
          <w:u w:val="single"/>
        </w:rPr>
      </w:pPr>
      <w:r>
        <w:rPr>
          <w:rFonts w:hint="eastAsia" w:ascii="宋体" w:hAnsi="宋体" w:cs="宋体"/>
          <w:color w:val="auto"/>
          <w:sz w:val="24"/>
          <w:szCs w:val="24"/>
          <w:highlight w:val="none"/>
        </w:rPr>
        <w:t>法定代表人、负责人、本人、或授权代表（签字或印章）：</w:t>
      </w:r>
      <w:r>
        <w:rPr>
          <w:rFonts w:hint="eastAsia" w:cs="宋体"/>
          <w:color w:val="auto"/>
          <w:sz w:val="24"/>
          <w:szCs w:val="24"/>
          <w:highlight w:val="none"/>
          <w:u w:val="single"/>
        </w:rPr>
        <w:t xml:space="preserve">                   </w:t>
      </w:r>
    </w:p>
    <w:p w14:paraId="45D294DC">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日期：</w:t>
      </w:r>
      <w:r>
        <w:rPr>
          <w:rFonts w:hint="eastAsia"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cs="宋体"/>
          <w:color w:val="auto"/>
          <w:sz w:val="24"/>
          <w:szCs w:val="24"/>
          <w:highlight w:val="none"/>
          <w:u w:val="single"/>
        </w:rPr>
        <w:t xml:space="preserve">    </w:t>
      </w:r>
      <w:r>
        <w:rPr>
          <w:rFonts w:hint="eastAsia" w:ascii="宋体" w:hAnsi="宋体" w:cs="宋体"/>
          <w:color w:val="auto"/>
          <w:sz w:val="24"/>
          <w:szCs w:val="24"/>
          <w:highlight w:val="none"/>
        </w:rPr>
        <w:t>日</w:t>
      </w:r>
    </w:p>
    <w:p w14:paraId="4F31440D">
      <w:pPr>
        <w:adjustRightInd w:val="0"/>
        <w:snapToGrid w:val="0"/>
        <w:spacing w:line="360" w:lineRule="auto"/>
        <w:ind w:firstLine="482" w:firstLineChars="200"/>
        <w:rPr>
          <w:rFonts w:hint="eastAsia" w:ascii="宋体" w:hAnsi="宋体" w:cs="宋体"/>
          <w:b/>
          <w:bCs/>
          <w:color w:val="auto"/>
          <w:sz w:val="24"/>
          <w:szCs w:val="24"/>
          <w:highlight w:val="none"/>
        </w:rPr>
      </w:pPr>
    </w:p>
    <w:p w14:paraId="74A34B51">
      <w:pPr>
        <w:adjustRightInd w:val="0"/>
        <w:snapToGrid w:val="0"/>
        <w:spacing w:line="360" w:lineRule="auto"/>
        <w:ind w:firstLine="482" w:firstLineChars="200"/>
        <w:rPr>
          <w:rFonts w:hint="eastAsia" w:ascii="宋体" w:hAnsi="宋体" w:cs="宋体"/>
          <w:color w:val="auto"/>
          <w:sz w:val="24"/>
          <w:szCs w:val="24"/>
          <w:highlight w:val="none"/>
        </w:rPr>
      </w:pPr>
      <w:r>
        <w:rPr>
          <w:rFonts w:hint="eastAsia" w:ascii="宋体" w:hAnsi="宋体" w:cs="宋体"/>
          <w:b/>
          <w:bCs/>
          <w:color w:val="auto"/>
          <w:sz w:val="24"/>
          <w:szCs w:val="24"/>
          <w:highlight w:val="none"/>
        </w:rPr>
        <w:t>备注：没有提供此项声明函的，视为未实质性响应采购文件要求，将按无效响应处理。</w:t>
      </w:r>
    </w:p>
    <w:p w14:paraId="3C18DC26">
      <w:pPr>
        <w:pStyle w:val="6"/>
        <w:keepNext w:val="0"/>
        <w:keepLines w:val="0"/>
        <w:tabs>
          <w:tab w:val="left" w:pos="540"/>
        </w:tabs>
        <w:adjustRightInd w:val="0"/>
        <w:snapToGrid w:val="0"/>
        <w:spacing w:line="360" w:lineRule="auto"/>
        <w:jc w:val="center"/>
        <w:rPr>
          <w:rFonts w:hint="eastAsia"/>
          <w:color w:val="auto"/>
          <w:sz w:val="24"/>
          <w:szCs w:val="24"/>
          <w:highlight w:val="none"/>
          <w:lang w:eastAsia="zh-CN"/>
        </w:rPr>
      </w:pPr>
      <w:bookmarkStart w:id="249" w:name="_Toc28"/>
      <w:bookmarkStart w:id="250" w:name="_Toc6909"/>
      <w:bookmarkStart w:id="251" w:name="_Toc18605"/>
      <w:bookmarkStart w:id="252" w:name="_Toc22976"/>
      <w:bookmarkStart w:id="253" w:name="_Toc22411"/>
      <w:r>
        <w:rPr>
          <w:rFonts w:hint="eastAsia"/>
          <w:color w:val="auto"/>
          <w:sz w:val="24"/>
          <w:szCs w:val="24"/>
          <w:highlight w:val="none"/>
          <w:lang w:val="en-US" w:eastAsia="zh-CN"/>
        </w:rPr>
        <w:t>2.</w:t>
      </w:r>
      <w:r>
        <w:rPr>
          <w:rFonts w:hint="eastAsia"/>
          <w:color w:val="auto"/>
          <w:sz w:val="24"/>
          <w:szCs w:val="24"/>
          <w:highlight w:val="none"/>
          <w:lang w:eastAsia="zh-CN"/>
        </w:rPr>
        <w:t>法定代表人身份证明或授权委托书</w:t>
      </w:r>
      <w:bookmarkEnd w:id="246"/>
      <w:bookmarkEnd w:id="247"/>
      <w:bookmarkEnd w:id="249"/>
      <w:bookmarkEnd w:id="250"/>
      <w:bookmarkEnd w:id="251"/>
      <w:bookmarkEnd w:id="252"/>
      <w:bookmarkEnd w:id="253"/>
    </w:p>
    <w:p w14:paraId="6AAAA04E">
      <w:pPr>
        <w:adjustRightInd w:val="0"/>
        <w:snapToGrid w:val="0"/>
        <w:spacing w:line="360" w:lineRule="auto"/>
        <w:jc w:val="center"/>
        <w:rPr>
          <w:rFonts w:hint="eastAsia"/>
          <w:b/>
          <w:bCs/>
          <w:color w:val="auto"/>
          <w:sz w:val="24"/>
          <w:szCs w:val="24"/>
          <w:highlight w:val="none"/>
        </w:rPr>
      </w:pPr>
      <w:r>
        <w:rPr>
          <w:rFonts w:hint="eastAsia"/>
          <w:b/>
          <w:bCs/>
          <w:color w:val="auto"/>
          <w:sz w:val="24"/>
          <w:szCs w:val="24"/>
          <w:highlight w:val="none"/>
        </w:rPr>
        <w:t>法定代表人身份证明</w:t>
      </w:r>
    </w:p>
    <w:p w14:paraId="3DD3B0AE">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企业名称：</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045C8640">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企业类型：</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102DCAB6">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地    址：</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741C0B22">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成立时间：</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7B240447">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营业期限：</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600F04BA">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姓名：</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年龄：</w:t>
      </w:r>
      <w:r>
        <w:rPr>
          <w:rFonts w:hint="eastAsia" w:cs="宋体"/>
          <w:color w:val="auto"/>
          <w:sz w:val="24"/>
          <w:szCs w:val="24"/>
          <w:highlight w:val="none"/>
          <w:u w:val="single"/>
        </w:rPr>
        <w:t xml:space="preserve">            </w:t>
      </w:r>
    </w:p>
    <w:p w14:paraId="0EEE709E">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职务：</w:t>
      </w:r>
      <w:r>
        <w:rPr>
          <w:rFonts w:hint="eastAsia" w:cs="宋体"/>
          <w:color w:val="auto"/>
          <w:sz w:val="24"/>
          <w:szCs w:val="24"/>
          <w:highlight w:val="none"/>
          <w:u w:val="single"/>
        </w:rPr>
        <w:t xml:space="preserve">                  </w:t>
      </w:r>
      <w:r>
        <w:rPr>
          <w:rFonts w:hint="eastAsia" w:cs="宋体"/>
          <w:color w:val="auto"/>
          <w:sz w:val="24"/>
          <w:szCs w:val="24"/>
          <w:highlight w:val="none"/>
        </w:rPr>
        <w:t>系</w:t>
      </w:r>
      <w:r>
        <w:rPr>
          <w:rFonts w:hint="eastAsia" w:cs="宋体"/>
          <w:color w:val="auto"/>
          <w:sz w:val="24"/>
          <w:szCs w:val="24"/>
          <w:highlight w:val="none"/>
          <w:u w:val="single"/>
        </w:rPr>
        <w:t xml:space="preserve">  </w:t>
      </w:r>
      <w:r>
        <w:rPr>
          <w:rFonts w:hint="eastAsia" w:cs="宋体"/>
          <w:i/>
          <w:iCs/>
          <w:color w:val="auto"/>
          <w:sz w:val="24"/>
          <w:szCs w:val="24"/>
          <w:highlight w:val="none"/>
          <w:u w:val="single"/>
        </w:rPr>
        <w:t>（供应商名称）</w:t>
      </w:r>
      <w:r>
        <w:rPr>
          <w:rFonts w:hint="eastAsia" w:cs="宋体"/>
          <w:color w:val="auto"/>
          <w:sz w:val="24"/>
          <w:szCs w:val="24"/>
          <w:highlight w:val="none"/>
          <w:u w:val="single"/>
        </w:rPr>
        <w:t xml:space="preserve">  </w:t>
      </w:r>
      <w:r>
        <w:rPr>
          <w:rFonts w:hint="eastAsia" w:cs="宋体"/>
          <w:color w:val="auto"/>
          <w:sz w:val="24"/>
          <w:szCs w:val="24"/>
          <w:highlight w:val="none"/>
        </w:rPr>
        <w:t>的法定代表人。</w:t>
      </w:r>
    </w:p>
    <w:p w14:paraId="3A8F527D">
      <w:pPr>
        <w:adjustRightInd w:val="0"/>
        <w:snapToGrid w:val="0"/>
        <w:spacing w:line="360" w:lineRule="auto"/>
        <w:ind w:firstLine="480"/>
        <w:rPr>
          <w:rFonts w:hint="eastAsia" w:cs="宋体"/>
          <w:color w:val="auto"/>
          <w:sz w:val="24"/>
          <w:szCs w:val="24"/>
          <w:highlight w:val="none"/>
        </w:rPr>
      </w:pPr>
      <w:r>
        <w:rPr>
          <w:rFonts w:hint="eastAsia" w:cs="宋体"/>
          <w:color w:val="auto"/>
          <w:sz w:val="24"/>
          <w:szCs w:val="24"/>
          <w:highlight w:val="none"/>
        </w:rPr>
        <w:t>特此证明。</w:t>
      </w:r>
    </w:p>
    <w:p w14:paraId="328F376B">
      <w:pPr>
        <w:adjustRightInd w:val="0"/>
        <w:snapToGrid w:val="0"/>
        <w:spacing w:line="360" w:lineRule="auto"/>
        <w:ind w:firstLine="480"/>
        <w:rPr>
          <w:rFonts w:hint="eastAsia" w:cs="宋体"/>
          <w:color w:val="auto"/>
          <w:sz w:val="24"/>
          <w:szCs w:val="24"/>
          <w:highlight w:val="none"/>
        </w:rPr>
      </w:pPr>
      <w:r>
        <w:rPr>
          <w:rFonts w:hint="eastAsia" w:cs="宋体"/>
          <w:color w:val="auto"/>
          <w:sz w:val="24"/>
          <w:szCs w:val="24"/>
          <w:highlight w:val="none"/>
        </w:rPr>
        <w:t>法定代表人身份证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1D260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7880FE18">
            <w:pPr>
              <w:adjustRightInd w:val="0"/>
              <w:snapToGrid w:val="0"/>
              <w:spacing w:line="360" w:lineRule="auto"/>
              <w:jc w:val="center"/>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644AF099">
            <w:pPr>
              <w:adjustRightInd w:val="0"/>
              <w:snapToGrid w:val="0"/>
              <w:spacing w:line="360" w:lineRule="auto"/>
              <w:jc w:val="center"/>
              <w:rPr>
                <w:rFonts w:hint="eastAsia" w:cs="宋体"/>
                <w:color w:val="auto"/>
                <w:sz w:val="24"/>
                <w:szCs w:val="24"/>
                <w:highlight w:val="none"/>
              </w:rPr>
            </w:pPr>
            <w:r>
              <w:rPr>
                <w:rFonts w:hint="eastAsia" w:cs="宋体"/>
                <w:color w:val="auto"/>
                <w:sz w:val="24"/>
                <w:szCs w:val="24"/>
                <w:highlight w:val="none"/>
              </w:rPr>
              <w:t>身份证反面</w:t>
            </w:r>
          </w:p>
        </w:tc>
      </w:tr>
    </w:tbl>
    <w:p w14:paraId="6A943C29">
      <w:pPr>
        <w:pStyle w:val="13"/>
        <w:adjustRightInd w:val="0"/>
        <w:snapToGrid w:val="0"/>
        <w:spacing w:line="360" w:lineRule="auto"/>
        <w:ind w:firstLine="480"/>
        <w:rPr>
          <w:rFonts w:hint="eastAsia" w:cs="宋体"/>
          <w:color w:val="auto"/>
          <w:sz w:val="24"/>
          <w:highlight w:val="none"/>
        </w:rPr>
      </w:pPr>
    </w:p>
    <w:p w14:paraId="6C60CD47">
      <w:pPr>
        <w:pStyle w:val="13"/>
        <w:adjustRightInd w:val="0"/>
        <w:snapToGrid w:val="0"/>
        <w:spacing w:line="360" w:lineRule="auto"/>
        <w:ind w:firstLine="480"/>
        <w:rPr>
          <w:rFonts w:hint="eastAsia" w:cs="宋体"/>
          <w:color w:val="auto"/>
          <w:sz w:val="24"/>
          <w:highlight w:val="none"/>
        </w:rPr>
      </w:pPr>
    </w:p>
    <w:p w14:paraId="74D29F7C">
      <w:pPr>
        <w:adjustRightInd w:val="0"/>
        <w:snapToGrid w:val="0"/>
        <w:spacing w:line="360" w:lineRule="auto"/>
        <w:ind w:firstLine="480"/>
        <w:rPr>
          <w:rFonts w:hint="eastAsia" w:cs="宋体"/>
          <w:color w:val="auto"/>
          <w:sz w:val="24"/>
          <w:szCs w:val="24"/>
          <w:highlight w:val="none"/>
          <w:u w:val="single"/>
        </w:rPr>
      </w:pPr>
      <w:r>
        <w:rPr>
          <w:rFonts w:hint="eastAsia" w:cs="宋体"/>
          <w:color w:val="auto"/>
          <w:sz w:val="24"/>
          <w:szCs w:val="24"/>
          <w:highlight w:val="none"/>
        </w:rPr>
        <w:t>供应商名称（</w:t>
      </w:r>
      <w:r>
        <w:rPr>
          <w:rFonts w:hint="eastAsia" w:ascii="宋体" w:hAnsi="宋体" w:cs="宋体"/>
          <w:color w:val="auto"/>
          <w:kern w:val="0"/>
          <w:sz w:val="24"/>
          <w:szCs w:val="24"/>
          <w:highlight w:val="none"/>
        </w:rPr>
        <w:t>公章</w:t>
      </w:r>
      <w:r>
        <w:rPr>
          <w:rFonts w:hint="eastAsia" w:cs="宋体"/>
          <w:color w:val="auto"/>
          <w:sz w:val="24"/>
          <w:szCs w:val="24"/>
          <w:highlight w:val="none"/>
        </w:rPr>
        <w:t>）：</w:t>
      </w:r>
      <w:r>
        <w:rPr>
          <w:rFonts w:hint="eastAsia" w:cs="宋体"/>
          <w:color w:val="auto"/>
          <w:sz w:val="24"/>
          <w:szCs w:val="24"/>
          <w:highlight w:val="none"/>
          <w:u w:val="single"/>
        </w:rPr>
        <w:t xml:space="preserve">                      </w:t>
      </w:r>
    </w:p>
    <w:p w14:paraId="508DDFD0">
      <w:pPr>
        <w:adjustRightInd w:val="0"/>
        <w:snapToGrid w:val="0"/>
        <w:spacing w:line="360" w:lineRule="auto"/>
        <w:ind w:firstLine="480"/>
        <w:rPr>
          <w:rFonts w:hint="eastAsia" w:cs="宋体"/>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u w:val="single"/>
        </w:rPr>
        <w:t xml:space="preserve">     </w:t>
      </w:r>
      <w:r>
        <w:rPr>
          <w:rFonts w:hint="eastAsia" w:cs="宋体"/>
          <w:color w:val="auto"/>
          <w:sz w:val="24"/>
          <w:szCs w:val="24"/>
          <w:highlight w:val="none"/>
        </w:rPr>
        <w:t xml:space="preserve">年 </w:t>
      </w:r>
      <w:r>
        <w:rPr>
          <w:rFonts w:hint="eastAsia" w:cs="宋体"/>
          <w:color w:val="auto"/>
          <w:sz w:val="24"/>
          <w:szCs w:val="24"/>
          <w:highlight w:val="none"/>
          <w:u w:val="single"/>
        </w:rPr>
        <w:t xml:space="preserve">    </w:t>
      </w:r>
      <w:r>
        <w:rPr>
          <w:rFonts w:hint="eastAsia" w:cs="宋体"/>
          <w:color w:val="auto"/>
          <w:sz w:val="24"/>
          <w:szCs w:val="24"/>
          <w:highlight w:val="none"/>
        </w:rPr>
        <w:t>月</w:t>
      </w:r>
      <w:r>
        <w:rPr>
          <w:rFonts w:hint="eastAsia" w:cs="宋体"/>
          <w:color w:val="auto"/>
          <w:sz w:val="24"/>
          <w:szCs w:val="24"/>
          <w:highlight w:val="none"/>
          <w:u w:val="single"/>
        </w:rPr>
        <w:t xml:space="preserve">    </w:t>
      </w:r>
      <w:r>
        <w:rPr>
          <w:rFonts w:hint="eastAsia" w:cs="宋体"/>
          <w:color w:val="auto"/>
          <w:sz w:val="24"/>
          <w:szCs w:val="24"/>
          <w:highlight w:val="none"/>
        </w:rPr>
        <w:t>日</w:t>
      </w:r>
    </w:p>
    <w:p w14:paraId="76AD89F1">
      <w:pPr>
        <w:adjustRightInd w:val="0"/>
        <w:snapToGrid w:val="0"/>
        <w:spacing w:line="360" w:lineRule="auto"/>
        <w:ind w:firstLine="480"/>
        <w:rPr>
          <w:rFonts w:hint="eastAsia" w:cs="宋体"/>
          <w:color w:val="auto"/>
          <w:sz w:val="24"/>
          <w:szCs w:val="24"/>
          <w:highlight w:val="none"/>
        </w:rPr>
      </w:pPr>
    </w:p>
    <w:p w14:paraId="045917BC">
      <w:pPr>
        <w:adjustRightInd w:val="0"/>
        <w:snapToGrid w:val="0"/>
        <w:spacing w:line="360" w:lineRule="auto"/>
        <w:ind w:firstLine="482"/>
        <w:rPr>
          <w:rFonts w:hint="eastAsia" w:cs="宋体"/>
          <w:b/>
          <w:bCs/>
          <w:color w:val="auto"/>
          <w:sz w:val="24"/>
          <w:szCs w:val="24"/>
          <w:highlight w:val="none"/>
        </w:rPr>
      </w:pPr>
      <w:r>
        <w:rPr>
          <w:rFonts w:hint="eastAsia" w:cs="宋体"/>
          <w:b/>
          <w:bCs/>
          <w:color w:val="auto"/>
          <w:sz w:val="24"/>
          <w:szCs w:val="24"/>
          <w:highlight w:val="none"/>
        </w:rPr>
        <w:t>注：本证明书为法定代表人本人作为公司代理人参与投标的，提供此项证明书。</w:t>
      </w:r>
    </w:p>
    <w:p w14:paraId="773C0729">
      <w:pPr>
        <w:adjustRightInd w:val="0"/>
        <w:snapToGrid w:val="0"/>
        <w:spacing w:line="360" w:lineRule="auto"/>
        <w:ind w:firstLine="480" w:firstLineChars="200"/>
        <w:rPr>
          <w:rFonts w:hint="eastAsia" w:ascii="宋体" w:hAnsi="宋体" w:cs="宋体"/>
          <w:color w:val="auto"/>
          <w:sz w:val="24"/>
          <w:highlight w:val="none"/>
        </w:rPr>
      </w:pPr>
    </w:p>
    <w:p w14:paraId="681DD3BF">
      <w:pPr>
        <w:adjustRightInd w:val="0"/>
        <w:snapToGrid w:val="0"/>
        <w:spacing w:line="360" w:lineRule="auto"/>
        <w:ind w:firstLine="480" w:firstLineChars="200"/>
        <w:rPr>
          <w:rFonts w:hint="eastAsia" w:ascii="宋体" w:hAnsi="宋体" w:cs="宋体"/>
          <w:color w:val="auto"/>
          <w:sz w:val="24"/>
          <w:highlight w:val="none"/>
        </w:rPr>
      </w:pPr>
    </w:p>
    <w:p w14:paraId="4E0362B6">
      <w:pPr>
        <w:adjustRightInd w:val="0"/>
        <w:snapToGrid w:val="0"/>
        <w:spacing w:line="360" w:lineRule="auto"/>
        <w:ind w:firstLine="480" w:firstLineChars="200"/>
        <w:rPr>
          <w:rFonts w:hint="eastAsia" w:ascii="宋体" w:hAnsi="宋体" w:cs="宋体"/>
          <w:color w:val="auto"/>
          <w:sz w:val="24"/>
          <w:highlight w:val="none"/>
        </w:rPr>
      </w:pPr>
    </w:p>
    <w:p w14:paraId="32FFD49C">
      <w:pPr>
        <w:adjustRightInd w:val="0"/>
        <w:snapToGrid w:val="0"/>
        <w:spacing w:line="360" w:lineRule="auto"/>
        <w:ind w:firstLine="480" w:firstLineChars="200"/>
        <w:rPr>
          <w:rFonts w:hint="eastAsia" w:ascii="宋体" w:hAnsi="宋体" w:cs="宋体"/>
          <w:color w:val="auto"/>
          <w:sz w:val="24"/>
          <w:highlight w:val="none"/>
        </w:rPr>
      </w:pPr>
    </w:p>
    <w:p w14:paraId="50470D41">
      <w:pPr>
        <w:adjustRightInd w:val="0"/>
        <w:snapToGrid w:val="0"/>
        <w:spacing w:line="360" w:lineRule="auto"/>
        <w:ind w:firstLine="480" w:firstLineChars="200"/>
        <w:rPr>
          <w:rFonts w:hint="eastAsia" w:ascii="宋体" w:hAnsi="宋体" w:cs="宋体"/>
          <w:color w:val="auto"/>
          <w:sz w:val="24"/>
          <w:highlight w:val="none"/>
        </w:rPr>
      </w:pPr>
    </w:p>
    <w:p w14:paraId="65E8A2EA">
      <w:pPr>
        <w:adjustRightInd w:val="0"/>
        <w:snapToGrid w:val="0"/>
        <w:spacing w:line="360" w:lineRule="auto"/>
        <w:ind w:firstLine="480" w:firstLineChars="200"/>
        <w:rPr>
          <w:rFonts w:hint="eastAsia" w:ascii="宋体" w:hAnsi="宋体" w:cs="宋体"/>
          <w:color w:val="auto"/>
          <w:sz w:val="24"/>
          <w:highlight w:val="none"/>
        </w:rPr>
      </w:pPr>
    </w:p>
    <w:p w14:paraId="350A99D6">
      <w:pPr>
        <w:adjustRightInd w:val="0"/>
        <w:snapToGrid w:val="0"/>
        <w:spacing w:line="360" w:lineRule="auto"/>
        <w:ind w:firstLine="480" w:firstLineChars="200"/>
        <w:rPr>
          <w:rFonts w:hint="eastAsia" w:ascii="宋体" w:hAnsi="宋体" w:cs="宋体"/>
          <w:color w:val="auto"/>
          <w:sz w:val="24"/>
          <w:highlight w:val="none"/>
        </w:rPr>
      </w:pPr>
    </w:p>
    <w:p w14:paraId="44A60815">
      <w:pPr>
        <w:adjustRightInd w:val="0"/>
        <w:snapToGrid w:val="0"/>
        <w:spacing w:line="360" w:lineRule="auto"/>
        <w:ind w:firstLine="480" w:firstLineChars="200"/>
        <w:rPr>
          <w:rFonts w:hint="eastAsia" w:ascii="宋体" w:hAnsi="宋体" w:cs="宋体"/>
          <w:color w:val="auto"/>
          <w:sz w:val="24"/>
          <w:highlight w:val="none"/>
        </w:rPr>
      </w:pPr>
    </w:p>
    <w:p w14:paraId="1284E0AC">
      <w:pPr>
        <w:adjustRightInd w:val="0"/>
        <w:snapToGrid w:val="0"/>
        <w:spacing w:line="360" w:lineRule="auto"/>
        <w:ind w:firstLine="480" w:firstLineChars="200"/>
        <w:rPr>
          <w:rFonts w:hint="eastAsia" w:ascii="宋体" w:hAnsi="宋体" w:cs="宋体"/>
          <w:color w:val="auto"/>
          <w:sz w:val="24"/>
          <w:highlight w:val="none"/>
        </w:rPr>
      </w:pPr>
    </w:p>
    <w:p w14:paraId="6F294C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b/>
          <w:bCs/>
          <w:color w:val="auto"/>
          <w:sz w:val="24"/>
          <w:szCs w:val="24"/>
          <w:highlight w:val="none"/>
        </w:rPr>
      </w:pPr>
      <w:r>
        <w:rPr>
          <w:rFonts w:hint="eastAsia" w:cs="宋体"/>
          <w:b/>
          <w:bCs/>
          <w:color w:val="auto"/>
          <w:sz w:val="24"/>
          <w:szCs w:val="24"/>
          <w:highlight w:val="none"/>
        </w:rPr>
        <w:t>法定代表人授权委托书</w:t>
      </w:r>
    </w:p>
    <w:p w14:paraId="0C695C8F">
      <w:pPr>
        <w:adjustRightInd w:val="0"/>
        <w:snapToGrid w:val="0"/>
        <w:spacing w:line="360" w:lineRule="auto"/>
        <w:ind w:firstLine="480" w:firstLineChars="200"/>
        <w:rPr>
          <w:rFonts w:hint="eastAsia"/>
          <w:color w:val="auto"/>
          <w:sz w:val="24"/>
          <w:szCs w:val="24"/>
          <w:highlight w:val="none"/>
        </w:rPr>
      </w:pPr>
    </w:p>
    <w:p w14:paraId="68C5B89D">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本授权委托书声明：我</w:t>
      </w:r>
      <w:r>
        <w:rPr>
          <w:rFonts w:hint="eastAsia" w:cs="宋体"/>
          <w:i/>
          <w:iCs/>
          <w:color w:val="auto"/>
          <w:sz w:val="24"/>
          <w:szCs w:val="24"/>
          <w:highlight w:val="none"/>
          <w:u w:val="single"/>
        </w:rPr>
        <w:t>（姓名）</w:t>
      </w:r>
      <w:r>
        <w:rPr>
          <w:rFonts w:hint="eastAsia" w:cs="宋体"/>
          <w:color w:val="auto"/>
          <w:sz w:val="24"/>
          <w:szCs w:val="24"/>
          <w:highlight w:val="none"/>
        </w:rPr>
        <w:t>系</w:t>
      </w:r>
      <w:r>
        <w:rPr>
          <w:rFonts w:hint="eastAsia" w:cs="宋体"/>
          <w:i/>
          <w:iCs/>
          <w:color w:val="auto"/>
          <w:sz w:val="24"/>
          <w:szCs w:val="24"/>
          <w:highlight w:val="none"/>
          <w:u w:val="single"/>
        </w:rPr>
        <w:t>（供应商名称）</w:t>
      </w:r>
      <w:r>
        <w:rPr>
          <w:rFonts w:hint="eastAsia" w:cs="宋体"/>
          <w:color w:val="auto"/>
          <w:sz w:val="24"/>
          <w:szCs w:val="24"/>
          <w:highlight w:val="none"/>
        </w:rPr>
        <w:t>的法人代表人，现授权委托公司正式员工</w:t>
      </w:r>
      <w:r>
        <w:rPr>
          <w:rFonts w:hint="eastAsia" w:cs="宋体"/>
          <w:i/>
          <w:iCs/>
          <w:color w:val="auto"/>
          <w:sz w:val="24"/>
          <w:szCs w:val="24"/>
          <w:highlight w:val="none"/>
          <w:u w:val="single"/>
        </w:rPr>
        <w:t>（姓名）</w:t>
      </w:r>
      <w:r>
        <w:rPr>
          <w:rFonts w:hint="eastAsia" w:cs="宋体"/>
          <w:color w:val="auto"/>
          <w:sz w:val="24"/>
          <w:szCs w:val="24"/>
          <w:highlight w:val="none"/>
        </w:rPr>
        <w:t>为我公司代理人，以本公司的名义参加</w:t>
      </w:r>
      <w:r>
        <w:rPr>
          <w:rFonts w:hint="eastAsia" w:cs="宋体"/>
          <w:i/>
          <w:iCs/>
          <w:color w:val="auto"/>
          <w:sz w:val="24"/>
          <w:szCs w:val="24"/>
          <w:highlight w:val="none"/>
          <w:u w:val="single"/>
        </w:rPr>
        <w:t>（采购人）</w:t>
      </w:r>
      <w:r>
        <w:rPr>
          <w:rFonts w:hint="eastAsia" w:cs="宋体"/>
          <w:color w:val="auto"/>
          <w:sz w:val="24"/>
          <w:szCs w:val="24"/>
          <w:highlight w:val="none"/>
        </w:rPr>
        <w:t>的</w:t>
      </w:r>
      <w:r>
        <w:rPr>
          <w:rFonts w:hint="eastAsia" w:cs="宋体"/>
          <w:i/>
          <w:iCs/>
          <w:color w:val="auto"/>
          <w:sz w:val="24"/>
          <w:szCs w:val="24"/>
          <w:highlight w:val="none"/>
          <w:u w:val="single"/>
        </w:rPr>
        <w:t>（项目名称及项目编号）</w:t>
      </w:r>
      <w:r>
        <w:rPr>
          <w:rFonts w:hint="eastAsia" w:cs="宋体"/>
          <w:color w:val="auto"/>
          <w:sz w:val="24"/>
          <w:szCs w:val="24"/>
          <w:highlight w:val="none"/>
        </w:rPr>
        <w:t>的投标活动。代理人在参加整个项目招标响应活动、合同招标过程中所签署的一切文件和处理与之有关的一切事物，我均予以承认。</w:t>
      </w:r>
    </w:p>
    <w:p w14:paraId="59C922FC">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代理人：</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 xml:space="preserve">   年龄：</w:t>
      </w:r>
      <w:r>
        <w:rPr>
          <w:rFonts w:hint="eastAsia" w:cs="宋体"/>
          <w:color w:val="auto"/>
          <w:sz w:val="24"/>
          <w:szCs w:val="24"/>
          <w:highlight w:val="none"/>
          <w:u w:val="single"/>
        </w:rPr>
        <w:t xml:space="preserve">       </w:t>
      </w:r>
    </w:p>
    <w:p w14:paraId="3938B865">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单  位：</w:t>
      </w:r>
      <w:r>
        <w:rPr>
          <w:rFonts w:hint="eastAsia" w:cs="宋体"/>
          <w:color w:val="auto"/>
          <w:sz w:val="24"/>
          <w:szCs w:val="24"/>
          <w:highlight w:val="none"/>
          <w:u w:val="single"/>
        </w:rPr>
        <w:t xml:space="preserve">                 </w:t>
      </w:r>
      <w:r>
        <w:rPr>
          <w:rFonts w:hint="eastAsia" w:cs="宋体"/>
          <w:color w:val="auto"/>
          <w:sz w:val="24"/>
          <w:szCs w:val="24"/>
          <w:highlight w:val="none"/>
        </w:rPr>
        <w:t xml:space="preserve"> 部门：</w:t>
      </w:r>
      <w:r>
        <w:rPr>
          <w:rFonts w:hint="eastAsia" w:cs="宋体"/>
          <w:color w:val="auto"/>
          <w:sz w:val="24"/>
          <w:szCs w:val="24"/>
          <w:highlight w:val="none"/>
          <w:u w:val="single"/>
        </w:rPr>
        <w:t xml:space="preserve">       </w:t>
      </w:r>
      <w:r>
        <w:rPr>
          <w:rFonts w:hint="eastAsia" w:cs="宋体"/>
          <w:color w:val="auto"/>
          <w:sz w:val="24"/>
          <w:szCs w:val="24"/>
          <w:highlight w:val="none"/>
        </w:rPr>
        <w:t xml:space="preserve">  职务：</w:t>
      </w:r>
      <w:r>
        <w:rPr>
          <w:rFonts w:hint="eastAsia" w:cs="宋体"/>
          <w:color w:val="auto"/>
          <w:sz w:val="24"/>
          <w:szCs w:val="24"/>
          <w:highlight w:val="none"/>
          <w:u w:val="single"/>
        </w:rPr>
        <w:t xml:space="preserve">       </w:t>
      </w:r>
    </w:p>
    <w:p w14:paraId="01C3BF0B">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联系电话：</w:t>
      </w:r>
      <w:r>
        <w:rPr>
          <w:rFonts w:hint="eastAsia" w:cs="宋体"/>
          <w:color w:val="auto"/>
          <w:sz w:val="24"/>
          <w:szCs w:val="24"/>
          <w:highlight w:val="none"/>
          <w:u w:val="single"/>
        </w:rPr>
        <w:t xml:space="preserve">                </w:t>
      </w:r>
      <w:r>
        <w:rPr>
          <w:rFonts w:hint="eastAsia" w:cs="宋体"/>
          <w:color w:val="auto"/>
          <w:sz w:val="24"/>
          <w:szCs w:val="24"/>
          <w:highlight w:val="none"/>
        </w:rPr>
        <w:t>邮箱：</w:t>
      </w:r>
      <w:r>
        <w:rPr>
          <w:rFonts w:hint="eastAsia" w:cs="宋体"/>
          <w:color w:val="auto"/>
          <w:sz w:val="24"/>
          <w:szCs w:val="24"/>
          <w:highlight w:val="none"/>
          <w:u w:val="single"/>
        </w:rPr>
        <w:t xml:space="preserve">                      </w:t>
      </w:r>
    </w:p>
    <w:p w14:paraId="7CE5596D">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代理人无转委托权。</w:t>
      </w:r>
    </w:p>
    <w:p w14:paraId="232F2C4F">
      <w:pPr>
        <w:adjustRightInd w:val="0"/>
        <w:snapToGrid w:val="0"/>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26689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0286E3B">
            <w:pPr>
              <w:spacing w:line="360" w:lineRule="auto"/>
              <w:jc w:val="center"/>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2C543EC8">
            <w:pPr>
              <w:spacing w:line="360" w:lineRule="auto"/>
              <w:jc w:val="center"/>
              <w:rPr>
                <w:rFonts w:hint="eastAsia" w:cs="宋体"/>
                <w:color w:val="auto"/>
                <w:sz w:val="24"/>
                <w:szCs w:val="24"/>
                <w:highlight w:val="none"/>
              </w:rPr>
            </w:pPr>
            <w:r>
              <w:rPr>
                <w:rFonts w:hint="eastAsia" w:cs="宋体"/>
                <w:color w:val="auto"/>
                <w:sz w:val="24"/>
                <w:szCs w:val="24"/>
                <w:highlight w:val="none"/>
              </w:rPr>
              <w:t>身份证反面</w:t>
            </w:r>
          </w:p>
        </w:tc>
      </w:tr>
    </w:tbl>
    <w:p w14:paraId="4D83144E">
      <w:pPr>
        <w:spacing w:line="360" w:lineRule="auto"/>
        <w:ind w:firstLine="480" w:firstLineChars="200"/>
        <w:rPr>
          <w:rFonts w:hint="eastAsia" w:cs="宋体"/>
          <w:color w:val="auto"/>
          <w:sz w:val="24"/>
          <w:szCs w:val="24"/>
          <w:highlight w:val="none"/>
        </w:rPr>
      </w:pPr>
      <w:r>
        <w:rPr>
          <w:rFonts w:hint="eastAsia" w:cs="宋体"/>
          <w:color w:val="auto"/>
          <w:sz w:val="24"/>
          <w:szCs w:val="24"/>
          <w:highlight w:val="none"/>
        </w:rPr>
        <w:t>被授权人身份证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68AE2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32EEA51E">
            <w:pPr>
              <w:spacing w:line="360" w:lineRule="auto"/>
              <w:jc w:val="center"/>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06177D4A">
            <w:pPr>
              <w:spacing w:line="360" w:lineRule="auto"/>
              <w:jc w:val="center"/>
              <w:rPr>
                <w:rFonts w:hint="eastAsia" w:cs="宋体"/>
                <w:color w:val="auto"/>
                <w:sz w:val="24"/>
                <w:szCs w:val="24"/>
                <w:highlight w:val="none"/>
              </w:rPr>
            </w:pPr>
            <w:r>
              <w:rPr>
                <w:rFonts w:hint="eastAsia" w:cs="宋体"/>
                <w:color w:val="auto"/>
                <w:sz w:val="24"/>
                <w:szCs w:val="24"/>
                <w:highlight w:val="none"/>
              </w:rPr>
              <w:t>身份证反面</w:t>
            </w:r>
          </w:p>
        </w:tc>
      </w:tr>
    </w:tbl>
    <w:p w14:paraId="45D0B1B9">
      <w:pPr>
        <w:pStyle w:val="13"/>
        <w:adjustRightInd w:val="0"/>
        <w:snapToGrid w:val="0"/>
        <w:spacing w:line="360" w:lineRule="auto"/>
        <w:ind w:firstLine="480"/>
        <w:rPr>
          <w:rFonts w:hint="eastAsia" w:ascii="宋体" w:hAnsi="宋体" w:cs="宋体"/>
          <w:color w:val="auto"/>
          <w:sz w:val="24"/>
          <w:highlight w:val="none"/>
        </w:rPr>
      </w:pPr>
    </w:p>
    <w:p w14:paraId="08C0849E">
      <w:pPr>
        <w:adjustRightInd w:val="0"/>
        <w:snapToGrid w:val="0"/>
        <w:spacing w:line="360" w:lineRule="auto"/>
        <w:ind w:firstLine="480"/>
        <w:rPr>
          <w:rFonts w:hint="eastAsia" w:cs="宋体"/>
          <w:color w:val="auto"/>
          <w:sz w:val="24"/>
          <w:szCs w:val="24"/>
          <w:highlight w:val="none"/>
        </w:rPr>
      </w:pPr>
      <w:r>
        <w:rPr>
          <w:rFonts w:hint="eastAsia" w:cs="宋体"/>
          <w:color w:val="auto"/>
          <w:sz w:val="24"/>
          <w:szCs w:val="24"/>
          <w:highlight w:val="none"/>
        </w:rPr>
        <w:t>供应商：（</w:t>
      </w:r>
      <w:r>
        <w:rPr>
          <w:rFonts w:hint="eastAsia" w:ascii="宋体" w:hAnsi="宋体" w:cs="宋体"/>
          <w:color w:val="auto"/>
          <w:kern w:val="0"/>
          <w:sz w:val="24"/>
          <w:szCs w:val="24"/>
          <w:highlight w:val="none"/>
        </w:rPr>
        <w:t>公章</w:t>
      </w:r>
      <w:r>
        <w:rPr>
          <w:rFonts w:hint="eastAsia" w:cs="宋体"/>
          <w:color w:val="auto"/>
          <w:sz w:val="24"/>
          <w:szCs w:val="24"/>
          <w:highlight w:val="none"/>
        </w:rPr>
        <w:t>）                       法定代表人：（</w:t>
      </w:r>
      <w:r>
        <w:rPr>
          <w:rFonts w:hint="eastAsia" w:ascii="宋体" w:hAnsi="宋体" w:cs="宋体"/>
          <w:color w:val="auto"/>
          <w:kern w:val="0"/>
          <w:sz w:val="24"/>
          <w:szCs w:val="24"/>
          <w:highlight w:val="none"/>
        </w:rPr>
        <w:t>签名或盖章</w:t>
      </w:r>
      <w:r>
        <w:rPr>
          <w:rFonts w:hint="eastAsia" w:cs="宋体"/>
          <w:color w:val="auto"/>
          <w:sz w:val="24"/>
          <w:szCs w:val="24"/>
          <w:highlight w:val="none"/>
        </w:rPr>
        <w:t>）</w:t>
      </w:r>
    </w:p>
    <w:p w14:paraId="7F7BF9A4">
      <w:pPr>
        <w:adjustRightInd w:val="0"/>
        <w:snapToGrid w:val="0"/>
        <w:spacing w:line="360" w:lineRule="auto"/>
        <w:ind w:firstLine="480"/>
        <w:rPr>
          <w:rFonts w:hint="eastAsia" w:cs="宋体"/>
          <w:color w:val="auto"/>
          <w:sz w:val="24"/>
          <w:szCs w:val="24"/>
          <w:highlight w:val="none"/>
        </w:rPr>
      </w:pPr>
    </w:p>
    <w:p w14:paraId="36B4148D">
      <w:pPr>
        <w:adjustRightInd w:val="0"/>
        <w:snapToGrid w:val="0"/>
        <w:spacing w:line="360" w:lineRule="auto"/>
        <w:ind w:firstLine="480"/>
        <w:rPr>
          <w:rFonts w:hint="eastAsia" w:cs="宋体"/>
          <w:color w:val="auto"/>
          <w:sz w:val="24"/>
          <w:szCs w:val="24"/>
          <w:highlight w:val="none"/>
        </w:rPr>
      </w:pPr>
      <w:r>
        <w:rPr>
          <w:rFonts w:hint="eastAsia" w:cs="宋体"/>
          <w:color w:val="auto"/>
          <w:sz w:val="24"/>
          <w:szCs w:val="24"/>
          <w:highlight w:val="none"/>
        </w:rPr>
        <w:t>日期：      年    月    日</w:t>
      </w:r>
    </w:p>
    <w:p w14:paraId="1D702279">
      <w:pPr>
        <w:adjustRightInd w:val="0"/>
        <w:snapToGrid w:val="0"/>
        <w:spacing w:line="360" w:lineRule="auto"/>
        <w:ind w:firstLine="480"/>
        <w:rPr>
          <w:rFonts w:hint="eastAsia" w:ascii="宋体" w:hAnsi="宋体" w:cs="宋体"/>
          <w:color w:val="auto"/>
          <w:highlight w:val="none"/>
        </w:rPr>
      </w:pPr>
    </w:p>
    <w:p w14:paraId="06DB3604">
      <w:pPr>
        <w:adjustRightInd w:val="0"/>
        <w:snapToGrid w:val="0"/>
        <w:spacing w:line="360" w:lineRule="auto"/>
        <w:ind w:firstLine="480"/>
        <w:rPr>
          <w:rFonts w:hint="eastAsia" w:cs="宋体"/>
          <w:color w:val="auto"/>
          <w:sz w:val="24"/>
          <w:szCs w:val="24"/>
          <w:highlight w:val="none"/>
        </w:rPr>
      </w:pPr>
      <w:r>
        <w:rPr>
          <w:rFonts w:hint="eastAsia" w:cs="宋体"/>
          <w:color w:val="auto"/>
          <w:sz w:val="24"/>
          <w:szCs w:val="24"/>
          <w:highlight w:val="none"/>
        </w:rPr>
        <w:t>注：1.法定代表人本人作为公司代理人前来参与投标的，不提供此项证明文件。</w:t>
      </w:r>
    </w:p>
    <w:p w14:paraId="40D1D7BC">
      <w:pPr>
        <w:adjustRightInd w:val="0"/>
        <w:snapToGrid w:val="0"/>
        <w:spacing w:line="360" w:lineRule="auto"/>
        <w:ind w:firstLine="960" w:firstLineChars="400"/>
        <w:rPr>
          <w:rFonts w:hint="eastAsia" w:cs="宋体"/>
          <w:color w:val="auto"/>
          <w:sz w:val="24"/>
          <w:szCs w:val="24"/>
          <w:highlight w:val="none"/>
        </w:rPr>
      </w:pPr>
      <w:r>
        <w:rPr>
          <w:rFonts w:hint="eastAsia" w:cs="宋体"/>
          <w:color w:val="auto"/>
          <w:sz w:val="24"/>
          <w:szCs w:val="24"/>
          <w:highlight w:val="none"/>
        </w:rPr>
        <w:t>2.授权书上应当附有授权人和被授权人的居民身份证</w:t>
      </w:r>
      <w:r>
        <w:rPr>
          <w:rFonts w:hint="eastAsia" w:ascii="宋体" w:hAnsi="宋体" w:cs="宋体"/>
          <w:color w:val="auto"/>
          <w:sz w:val="24"/>
          <w:highlight w:val="none"/>
        </w:rPr>
        <w:t>扫描件</w:t>
      </w:r>
      <w:r>
        <w:rPr>
          <w:rFonts w:hint="eastAsia" w:cs="宋体"/>
          <w:color w:val="auto"/>
          <w:sz w:val="24"/>
          <w:szCs w:val="24"/>
          <w:highlight w:val="none"/>
        </w:rPr>
        <w:t>。</w:t>
      </w:r>
      <w:bookmarkStart w:id="254" w:name="_Toc3891644"/>
    </w:p>
    <w:p w14:paraId="3CEB47CE">
      <w:pPr>
        <w:adjustRightInd w:val="0"/>
        <w:snapToGrid w:val="0"/>
        <w:spacing w:line="360" w:lineRule="auto"/>
        <w:ind w:firstLine="480"/>
        <w:rPr>
          <w:rFonts w:hint="eastAsia" w:cs="宋体"/>
          <w:color w:val="auto"/>
          <w:sz w:val="24"/>
          <w:szCs w:val="24"/>
          <w:highlight w:val="none"/>
        </w:rPr>
      </w:pPr>
    </w:p>
    <w:bookmarkEnd w:id="254"/>
    <w:p w14:paraId="425726A2">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cs="宋体"/>
          <w:color w:val="auto"/>
          <w:sz w:val="24"/>
          <w:szCs w:val="24"/>
          <w:highlight w:val="none"/>
        </w:rPr>
      </w:pPr>
      <w:bookmarkStart w:id="255" w:name="_Toc30584"/>
      <w:bookmarkStart w:id="256" w:name="_Toc14938"/>
      <w:bookmarkStart w:id="257" w:name="_Toc27911"/>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具有独立承担民事责任的能力</w:t>
      </w:r>
      <w:bookmarkEnd w:id="255"/>
      <w:bookmarkEnd w:id="256"/>
      <w:bookmarkEnd w:id="257"/>
    </w:p>
    <w:p w14:paraId="034C1D9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rPr>
          <w:rFonts w:hint="eastAsia" w:cs="宋体"/>
          <w:color w:val="auto"/>
          <w:sz w:val="24"/>
          <w:szCs w:val="24"/>
          <w:highlight w:val="none"/>
        </w:rPr>
      </w:pPr>
      <w:r>
        <w:rPr>
          <w:rFonts w:hint="eastAsia" w:cs="宋体"/>
          <w:color w:val="auto"/>
          <w:sz w:val="24"/>
          <w:szCs w:val="24"/>
          <w:highlight w:val="none"/>
        </w:rPr>
        <w:t>（</w:t>
      </w:r>
      <w:r>
        <w:rPr>
          <w:rFonts w:hint="eastAsia" w:cs="宋体"/>
          <w:color w:val="auto"/>
          <w:sz w:val="24"/>
          <w:szCs w:val="24"/>
          <w:highlight w:val="none"/>
          <w:lang w:eastAsia="zh-CN"/>
        </w:rPr>
        <w:t>提供有效《营业执照》或《事业单位法人证书》或《企业法人营业执照》扫描件加盖供应商公章</w:t>
      </w:r>
      <w:r>
        <w:rPr>
          <w:rFonts w:hint="eastAsia" w:cs="宋体"/>
          <w:color w:val="auto"/>
          <w:sz w:val="24"/>
          <w:szCs w:val="24"/>
          <w:highlight w:val="none"/>
        </w:rPr>
        <w:t>）</w:t>
      </w:r>
    </w:p>
    <w:p w14:paraId="07190C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631874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E7C0C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607785E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814A7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7C089E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4233A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2BECC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3C71648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33FEDD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753A29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537335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6FE351A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7C704E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39974B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7C5DED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3A0585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2327C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20DCF3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2EF0F28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0C5EA6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4AD8190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55DFB77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246BEA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180C123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030B0A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74E457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33DFC5A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6B7B8980">
      <w:pPr>
        <w:pStyle w:val="6"/>
        <w:keepNext w:val="0"/>
        <w:keepLines w:val="0"/>
        <w:pageBreakBefore w:val="0"/>
        <w:widowControl w:val="0"/>
        <w:numPr>
          <w:ilvl w:val="0"/>
          <w:numId w:val="0"/>
        </w:numPr>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val="en-US" w:eastAsia="zh-CN"/>
        </w:rPr>
      </w:pPr>
      <w:bookmarkStart w:id="258" w:name="_Toc18671"/>
      <w:bookmarkStart w:id="259" w:name="_Toc18119"/>
      <w:bookmarkStart w:id="260" w:name="_Toc1743"/>
      <w:r>
        <w:rPr>
          <w:rFonts w:hint="eastAsia" w:asci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.具有良好的商业信誉和健全的财务会计制度</w:t>
      </w:r>
      <w:bookmarkEnd w:id="258"/>
      <w:bookmarkEnd w:id="259"/>
      <w:bookmarkEnd w:id="260"/>
    </w:p>
    <w:p w14:paraId="2C864DE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（提供上年度财务审计报告或今年出具的银行资信证明加盖</w:t>
      </w:r>
      <w:r>
        <w:rPr>
          <w:rFonts w:hint="eastAsia" w:ascii="宋体" w:hAnsi="宋体" w:cs="宋体"/>
          <w:color w:val="auto"/>
          <w:sz w:val="24"/>
          <w:szCs w:val="24"/>
          <w:highlight w:val="none"/>
          <w:lang w:val="zh-CN" w:eastAsia="zh-CN"/>
        </w:rPr>
        <w:t>供应商公章</w:t>
      </w:r>
      <w:r>
        <w:rPr>
          <w:rFonts w:hint="eastAsia" w:ascii="宋体" w:hAnsi="宋体" w:eastAsia="宋体" w:cs="宋体"/>
          <w:color w:val="auto"/>
          <w:sz w:val="24"/>
          <w:szCs w:val="24"/>
          <w:highlight w:val="none"/>
          <w:lang w:val="zh-CN" w:eastAsia="zh-CN"/>
        </w:rPr>
        <w:t>；新成立不满1年的企业无需提供）</w:t>
      </w:r>
    </w:p>
    <w:p w14:paraId="0CACAA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D88D9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C3C87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757F6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A79C07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9EAD12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98D34E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B2242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F8514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72C01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8D69F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A8D5B1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5717A6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3265C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F5BE9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E971C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BDE14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16BF9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5FF4A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39041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4D088A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58D5E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40690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95BA4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ECE5C8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7448D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7910687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56207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bookmarkStart w:id="261" w:name="_Toc2254"/>
      <w:bookmarkStart w:id="262" w:name="_Toc22037"/>
      <w:bookmarkStart w:id="263" w:name="_Toc20975"/>
      <w:bookmarkStart w:id="264" w:name="_Toc8510"/>
      <w:bookmarkStart w:id="265" w:name="_Toc6336"/>
      <w:bookmarkStart w:id="266" w:name="_Toc13663"/>
      <w:bookmarkStart w:id="267" w:name="_Toc3615"/>
    </w:p>
    <w:p w14:paraId="1FBCB91A">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r>
        <w:rPr>
          <w:rFonts w:hint="eastAsia" w:cs="宋体"/>
          <w:b/>
          <w:color w:val="auto"/>
          <w:sz w:val="24"/>
          <w:szCs w:val="24"/>
          <w:highlight w:val="none"/>
          <w:lang w:val="en-US" w:eastAsia="zh-CN"/>
        </w:rPr>
        <w:t>5</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eastAsia" w:hAnsi="宋体" w:eastAsia="宋体" w:cs="宋体"/>
          <w:b/>
          <w:color w:val="auto"/>
          <w:sz w:val="24"/>
          <w:szCs w:val="24"/>
          <w:highlight w:val="none"/>
          <w:lang w:val="en-US" w:eastAsia="zh-CN"/>
        </w:rPr>
        <w:t>履行合同所必需的设备和专业技术能力</w:t>
      </w:r>
      <w:bookmarkEnd w:id="261"/>
      <w:bookmarkEnd w:id="262"/>
      <w:bookmarkEnd w:id="263"/>
      <w:bookmarkEnd w:id="264"/>
      <w:bookmarkEnd w:id="265"/>
      <w:bookmarkEnd w:id="266"/>
      <w:bookmarkEnd w:id="267"/>
    </w:p>
    <w:p w14:paraId="654E7EEB">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具有履行合同所必需的设备和专业技术能力声明函</w:t>
      </w:r>
    </w:p>
    <w:p w14:paraId="49AB26C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r>
        <w:rPr>
          <w:rFonts w:hint="eastAsia" w:ascii="宋体" w:hAnsi="宋体" w:cs="宋体"/>
          <w:color w:val="auto"/>
          <w:sz w:val="24"/>
          <w:highlight w:val="none"/>
        </w:rPr>
        <w:t>：</w:t>
      </w:r>
    </w:p>
    <w:p w14:paraId="5D9EDC0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cs="宋体"/>
          <w:i/>
          <w:iCs/>
          <w:color w:val="auto"/>
          <w:sz w:val="24"/>
          <w:szCs w:val="24"/>
          <w:highlight w:val="none"/>
          <w:u w:val="single"/>
        </w:rPr>
        <w:t>（项目名称</w:t>
      </w:r>
      <w:r>
        <w:rPr>
          <w:rFonts w:hint="eastAsia" w:cs="宋体"/>
          <w:i/>
          <w:iCs/>
          <w:color w:val="auto"/>
          <w:sz w:val="24"/>
          <w:szCs w:val="24"/>
          <w:highlight w:val="none"/>
          <w:u w:val="single"/>
          <w:lang w:eastAsia="zh-CN"/>
        </w:rPr>
        <w:t>及项目编号</w:t>
      </w:r>
      <w:r>
        <w:rPr>
          <w:rFonts w:hint="eastAsia"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w:t>
      </w:r>
      <w:r>
        <w:rPr>
          <w:rFonts w:hint="eastAsia" w:ascii="宋体" w:hAnsi="宋体" w:cs="宋体"/>
          <w:color w:val="auto"/>
          <w:sz w:val="24"/>
          <w:szCs w:val="24"/>
          <w:highlight w:val="none"/>
          <w:lang w:val="en-US" w:eastAsia="zh-CN"/>
        </w:rPr>
        <w:t>具有履行合同所必需的设备和专业技术能力。</w:t>
      </w:r>
      <w:r>
        <w:rPr>
          <w:rFonts w:hint="eastAsia" w:ascii="宋体" w:hAnsi="宋体" w:eastAsia="宋体" w:cs="宋体"/>
          <w:color w:val="auto"/>
          <w:sz w:val="24"/>
          <w:szCs w:val="24"/>
          <w:highlight w:val="none"/>
        </w:rPr>
        <w:t>如果我方违反上述声明内容，愿意承担由此导致的一切不利后果和法律责任。</w:t>
      </w:r>
    </w:p>
    <w:p w14:paraId="41584B7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7DF1964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847A3D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06D83F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44FB4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6BBD9A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0F003303">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2429AEB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1A4FB19A">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2CA7FB5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CE659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60397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118F78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038FBF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0B517BA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984B04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7BE5CF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6C47C4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D4E53B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D3BFDE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FA212A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72BC56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B1B328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5399F6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E3CA9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3464276">
      <w:pPr>
        <w:pStyle w:val="47"/>
        <w:rPr>
          <w:rFonts w:hint="eastAsia"/>
          <w:color w:val="auto"/>
          <w:highlight w:val="none"/>
        </w:rPr>
        <w:sectPr>
          <w:headerReference r:id="rId5" w:type="default"/>
          <w:footerReference r:id="rId6" w:type="default"/>
          <w:pgSz w:w="11905" w:h="16838"/>
          <w:pgMar w:top="1134" w:right="1134" w:bottom="1134" w:left="1134" w:header="340" w:footer="992" w:gutter="0"/>
          <w:pgNumType w:fmt="decimal"/>
          <w:cols w:space="720" w:num="1"/>
          <w:rtlGutter w:val="0"/>
          <w:docGrid w:type="lines" w:linePitch="317" w:charSpace="0"/>
        </w:sectPr>
      </w:pPr>
    </w:p>
    <w:p w14:paraId="5984A6B7">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68" w:name="_Toc6393"/>
      <w:bookmarkStart w:id="269" w:name="_Toc14833"/>
      <w:bookmarkStart w:id="270" w:name="_Toc48"/>
      <w:bookmarkStart w:id="271" w:name="_Toc31520"/>
      <w:bookmarkStart w:id="272" w:name="_Toc18647"/>
      <w:bookmarkStart w:id="273" w:name="_Toc28799"/>
      <w:bookmarkStart w:id="274" w:name="_Toc16454"/>
      <w:r>
        <w:rPr>
          <w:rFonts w:hint="eastAsia" w:cs="宋体"/>
          <w:b/>
          <w:color w:val="auto"/>
          <w:sz w:val="24"/>
          <w:szCs w:val="24"/>
          <w:highlight w:val="none"/>
          <w:lang w:val="en-US" w:eastAsia="zh-CN"/>
        </w:rPr>
        <w:t>6</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有</w:t>
      </w:r>
      <w:r>
        <w:rPr>
          <w:rFonts w:hint="eastAsia" w:hAnsi="宋体" w:eastAsia="宋体" w:cs="宋体"/>
          <w:b/>
          <w:color w:val="auto"/>
          <w:sz w:val="24"/>
          <w:szCs w:val="24"/>
          <w:highlight w:val="none"/>
          <w:lang w:val="en-US" w:eastAsia="zh-CN"/>
        </w:rPr>
        <w:t>依法缴纳税收和社会保障资金的良好记录</w:t>
      </w:r>
      <w:bookmarkEnd w:id="268"/>
      <w:bookmarkEnd w:id="269"/>
      <w:bookmarkEnd w:id="270"/>
      <w:bookmarkEnd w:id="271"/>
      <w:bookmarkEnd w:id="272"/>
      <w:bookmarkEnd w:id="273"/>
      <w:bookmarkEnd w:id="274"/>
    </w:p>
    <w:p w14:paraId="7DD966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供应商</w:t>
      </w:r>
      <w:r>
        <w:rPr>
          <w:rFonts w:hint="default" w:ascii="宋体" w:hAnsi="宋体" w:eastAsia="宋体" w:cs="宋体"/>
          <w:color w:val="auto"/>
          <w:sz w:val="24"/>
          <w:szCs w:val="24"/>
          <w:highlight w:val="none"/>
          <w:lang w:val="en-US" w:eastAsia="zh-CN"/>
        </w:rPr>
        <w:t>依法享受缓缴、免缴税收，免缴社会保障资金的提供证明材料加盖</w:t>
      </w:r>
      <w:r>
        <w:rPr>
          <w:rFonts w:hint="eastAsia" w:ascii="宋体" w:hAnsi="宋体" w:cs="宋体"/>
          <w:color w:val="auto"/>
          <w:sz w:val="24"/>
          <w:szCs w:val="24"/>
          <w:highlight w:val="none"/>
          <w:lang w:val="en-US" w:eastAsia="zh-CN"/>
        </w:rPr>
        <w:t>供应商公章</w:t>
      </w:r>
      <w:r>
        <w:rPr>
          <w:rFonts w:hint="eastAsia" w:ascii="宋体" w:hAnsi="宋体" w:eastAsia="宋体" w:cs="宋体"/>
          <w:color w:val="auto"/>
          <w:sz w:val="24"/>
          <w:szCs w:val="24"/>
          <w:highlight w:val="none"/>
          <w:lang w:val="en-US" w:eastAsia="zh-CN"/>
        </w:rPr>
        <w:t>）</w:t>
      </w:r>
    </w:p>
    <w:p w14:paraId="5D1EB8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9C45E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3B6C7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4798D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E622B9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367AD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15922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FEC84E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452BB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85424A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98606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A4E5D4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82FAE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0416DF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553F9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C2FF8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4C2A29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F6CC6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D1139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968A2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E4B68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4F2230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E385A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8E7B8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AF247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183C15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A6602F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A52FE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13BC31">
      <w:pPr>
        <w:pStyle w:val="47"/>
        <w:rPr>
          <w:rFonts w:hint="eastAsia"/>
          <w:color w:val="auto"/>
          <w:highlight w:val="none"/>
        </w:rPr>
        <w:sectPr>
          <w:pgSz w:w="11905" w:h="16838"/>
          <w:pgMar w:top="1134" w:right="1134" w:bottom="1134" w:left="1134" w:header="340" w:footer="992" w:gutter="0"/>
          <w:pgNumType w:fmt="decimal"/>
          <w:cols w:space="720" w:num="1"/>
          <w:rtlGutter w:val="0"/>
          <w:docGrid w:type="lines" w:linePitch="317" w:charSpace="0"/>
        </w:sectPr>
      </w:pPr>
    </w:p>
    <w:p w14:paraId="5D8735B7">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75" w:name="_Toc11814"/>
      <w:bookmarkStart w:id="276" w:name="_Toc18265"/>
      <w:bookmarkStart w:id="277" w:name="_Toc30856"/>
      <w:bookmarkStart w:id="278" w:name="_Toc19446"/>
      <w:bookmarkStart w:id="279" w:name="_Toc15767"/>
      <w:bookmarkStart w:id="280" w:name="_Toc1547"/>
      <w:bookmarkStart w:id="281" w:name="_Toc22858"/>
      <w:bookmarkStart w:id="282" w:name="_Toc6771"/>
      <w:bookmarkStart w:id="283" w:name="_Toc22493"/>
      <w:r>
        <w:rPr>
          <w:rFonts w:hint="eastAsia" w:cs="宋体"/>
          <w:b/>
          <w:color w:val="auto"/>
          <w:sz w:val="24"/>
          <w:szCs w:val="24"/>
          <w:highlight w:val="none"/>
          <w:lang w:val="en-US" w:eastAsia="zh-CN"/>
        </w:rPr>
        <w:t>7</w:t>
      </w:r>
      <w:r>
        <w:rPr>
          <w:rFonts w:hint="eastAsia" w:hAnsi="宋体" w:eastAsia="宋体" w:cs="宋体"/>
          <w:b/>
          <w:color w:val="auto"/>
          <w:sz w:val="24"/>
          <w:szCs w:val="24"/>
          <w:highlight w:val="none"/>
          <w:lang w:val="en-US" w:eastAsia="zh-CN"/>
        </w:rPr>
        <w:t>.参加政府采购活动前三年内，在经营活动中没有重大违法记录</w:t>
      </w:r>
      <w:bookmarkEnd w:id="275"/>
      <w:bookmarkEnd w:id="276"/>
      <w:bookmarkEnd w:id="277"/>
      <w:bookmarkEnd w:id="278"/>
      <w:bookmarkEnd w:id="279"/>
      <w:bookmarkEnd w:id="280"/>
      <w:bookmarkEnd w:id="281"/>
      <w:bookmarkEnd w:id="282"/>
      <w:bookmarkEnd w:id="283"/>
    </w:p>
    <w:p w14:paraId="4C5636A6">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en-US" w:eastAsia="zh-CN"/>
        </w:rPr>
        <w:t>前三年内没有重大违法记录声明函</w:t>
      </w:r>
    </w:p>
    <w:p w14:paraId="17ECAD4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r>
        <w:rPr>
          <w:rFonts w:hint="eastAsia" w:ascii="宋体" w:hAnsi="宋体" w:cs="宋体"/>
          <w:color w:val="auto"/>
          <w:sz w:val="24"/>
          <w:highlight w:val="none"/>
        </w:rPr>
        <w:t>：</w:t>
      </w:r>
    </w:p>
    <w:p w14:paraId="3FEB334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ascii="宋体" w:hAnsi="宋体" w:cs="宋体"/>
          <w:i/>
          <w:iCs/>
          <w:color w:val="auto"/>
          <w:sz w:val="24"/>
          <w:szCs w:val="24"/>
          <w:highlight w:val="none"/>
          <w:u w:val="single"/>
        </w:rPr>
        <w:t>（项目名称</w:t>
      </w:r>
      <w:r>
        <w:rPr>
          <w:rFonts w:hint="eastAsia" w:ascii="宋体" w:hAnsi="宋体" w:cs="宋体"/>
          <w:i/>
          <w:iCs/>
          <w:color w:val="auto"/>
          <w:sz w:val="24"/>
          <w:szCs w:val="24"/>
          <w:highlight w:val="none"/>
          <w:u w:val="single"/>
          <w:lang w:eastAsia="zh-CN"/>
        </w:rPr>
        <w:t>及</w:t>
      </w:r>
      <w:r>
        <w:rPr>
          <w:rFonts w:hint="eastAsia" w:ascii="宋体" w:hAnsi="宋体" w:cs="宋体"/>
          <w:i/>
          <w:iCs/>
          <w:color w:val="auto"/>
          <w:sz w:val="24"/>
          <w:szCs w:val="24"/>
          <w:highlight w:val="none"/>
          <w:u w:val="singl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采购活动，在此郑重声明：我公司严格按照《中华人民共和国公司法》以及相关法律法规合法诚信经营至今，在参加本次采购活动前</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年内没有重大违法记录，没有隐瞒任何不良经营记录和违反商业道德的行为。</w:t>
      </w:r>
    </w:p>
    <w:p w14:paraId="039963E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如果我方违反上述声明内容，愿意承担由此导致的一切不利后果和法律责任。</w:t>
      </w:r>
    </w:p>
    <w:p w14:paraId="083661C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5E038C6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479521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5624D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822B0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19A290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3177B9B9">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02797F0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4C3196E3">
      <w:pPr>
        <w:pStyle w:val="37"/>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2233BE6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345C9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C72C1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F4DF02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8DB909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5AB0A6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77A9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728BB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BF0FC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F8EC8C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5DC31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FF18F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CFCAC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3A1D2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7C12A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35B0368">
      <w:pPr>
        <w:pStyle w:val="47"/>
        <w:rPr>
          <w:rFonts w:hint="eastAsia"/>
          <w:color w:val="auto"/>
          <w:highlight w:val="none"/>
        </w:rPr>
        <w:sectPr>
          <w:pgSz w:w="11905" w:h="16838"/>
          <w:pgMar w:top="1134" w:right="1134" w:bottom="1134" w:left="1134" w:header="340" w:footer="992" w:gutter="0"/>
          <w:pgNumType w:fmt="decimal"/>
          <w:cols w:space="720" w:num="1"/>
          <w:rtlGutter w:val="0"/>
          <w:docGrid w:type="lines" w:linePitch="317" w:charSpace="0"/>
        </w:sectPr>
      </w:pPr>
    </w:p>
    <w:p w14:paraId="62162E85">
      <w:pPr>
        <w:pStyle w:val="6"/>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val="en-US" w:eastAsia="zh-CN"/>
        </w:rPr>
      </w:pPr>
      <w:bookmarkStart w:id="284" w:name="_Toc24924"/>
      <w:bookmarkStart w:id="285" w:name="_Toc9096"/>
      <w:r>
        <w:rPr>
          <w:rFonts w:hint="eastAsia" w:ascii="宋体" w:hAnsi="宋体" w:eastAsia="宋体" w:cs="宋体"/>
          <w:color w:val="auto"/>
          <w:sz w:val="24"/>
          <w:szCs w:val="24"/>
          <w:highlight w:val="none"/>
          <w:lang w:val="en-US" w:eastAsia="zh-CN"/>
        </w:rPr>
        <w:t>（二）落实政府采购政策需满足的资格要求</w:t>
      </w:r>
      <w:bookmarkEnd w:id="284"/>
      <w:bookmarkEnd w:id="285"/>
    </w:p>
    <w:p w14:paraId="0106658E">
      <w:pPr>
        <w:pStyle w:val="6"/>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rPr>
          <w:rFonts w:hint="eastAsia"/>
          <w:color w:val="auto"/>
          <w:sz w:val="24"/>
          <w:szCs w:val="24"/>
          <w:highlight w:val="none"/>
        </w:rPr>
      </w:pPr>
      <w:bookmarkStart w:id="286" w:name="_Toc1546"/>
      <w:bookmarkStart w:id="287" w:name="_Toc9271"/>
      <w:bookmarkStart w:id="288" w:name="_Toc25529"/>
      <w:bookmarkStart w:id="289" w:name="_Toc17331"/>
      <w:bookmarkStart w:id="290" w:name="_Toc22504"/>
      <w:bookmarkStart w:id="291" w:name="_Toc1787"/>
      <w:bookmarkStart w:id="292" w:name="_Toc30677"/>
      <w:bookmarkStart w:id="293" w:name="_Toc24020"/>
      <w:bookmarkStart w:id="294" w:name="_Toc8775"/>
      <w:r>
        <w:rPr>
          <w:rFonts w:hint="eastAsia"/>
          <w:color w:val="auto"/>
          <w:sz w:val="24"/>
          <w:szCs w:val="24"/>
          <w:highlight w:val="none"/>
        </w:rPr>
        <w:t>中小企业声明函</w:t>
      </w:r>
      <w:bookmarkEnd w:id="286"/>
      <w:bookmarkEnd w:id="287"/>
      <w:bookmarkEnd w:id="288"/>
      <w:r>
        <w:rPr>
          <w:rFonts w:hint="eastAsia"/>
          <w:color w:val="auto"/>
          <w:sz w:val="24"/>
          <w:szCs w:val="24"/>
          <w:highlight w:val="none"/>
          <w:lang w:eastAsia="zh-CN"/>
        </w:rPr>
        <w:t>（</w:t>
      </w:r>
      <w:r>
        <w:rPr>
          <w:rFonts w:hint="eastAsia"/>
          <w:color w:val="auto"/>
          <w:sz w:val="24"/>
          <w:szCs w:val="24"/>
          <w:highlight w:val="none"/>
          <w:lang w:val="en-US" w:eastAsia="zh-CN"/>
        </w:rPr>
        <w:t>服务</w:t>
      </w:r>
      <w:r>
        <w:rPr>
          <w:rFonts w:hint="eastAsia"/>
          <w:color w:val="auto"/>
          <w:sz w:val="24"/>
          <w:szCs w:val="24"/>
          <w:highlight w:val="none"/>
          <w:lang w:eastAsia="zh-CN"/>
        </w:rPr>
        <w:t>）</w:t>
      </w:r>
      <w:bookmarkEnd w:id="289"/>
      <w:bookmarkEnd w:id="290"/>
      <w:bookmarkEnd w:id="291"/>
      <w:bookmarkEnd w:id="292"/>
      <w:bookmarkEnd w:id="293"/>
      <w:bookmarkEnd w:id="294"/>
    </w:p>
    <w:p w14:paraId="27A50481">
      <w:pPr>
        <w:widowControl/>
        <w:adjustRightInd w:val="0"/>
        <w:snapToGrid w:val="0"/>
        <w:spacing w:line="360" w:lineRule="auto"/>
        <w:ind w:firstLine="567"/>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本公司（联合体）郑重声明，根据《政府采购促进中小企业发展管理办法》（财库﹝2020﹞46 号）的规定，本公司（联合体）参加</w:t>
      </w:r>
      <w:r>
        <w:rPr>
          <w:rFonts w:hint="eastAsia" w:ascii="宋体" w:hAnsi="宋体" w:cs="宋体"/>
          <w:color w:val="auto"/>
          <w:kern w:val="0"/>
          <w:sz w:val="24"/>
          <w:szCs w:val="24"/>
          <w:highlight w:val="none"/>
          <w:u w:val="single"/>
          <w:lang w:bidi="ar"/>
        </w:rPr>
        <w:t xml:space="preserve"> </w:t>
      </w:r>
      <w:r>
        <w:rPr>
          <w:rFonts w:hint="eastAsia" w:ascii="宋体" w:hAnsi="宋体" w:cs="宋体"/>
          <w:color w:val="auto"/>
          <w:kern w:val="0"/>
          <w:sz w:val="24"/>
          <w:szCs w:val="24"/>
          <w:highlight w:val="none"/>
          <w:u w:val="single"/>
          <w:lang w:val="en-US" w:eastAsia="zh-CN" w:bidi="ar"/>
        </w:rPr>
        <w:t>鄯善县人民医院</w:t>
      </w:r>
      <w:r>
        <w:rPr>
          <w:rFonts w:hint="eastAsia" w:ascii="宋体" w:hAnsi="宋体" w:cs="宋体"/>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的</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cs="宋体"/>
          <w:i w:val="0"/>
          <w:iCs w:val="0"/>
          <w:color w:val="auto"/>
          <w:sz w:val="24"/>
          <w:szCs w:val="24"/>
          <w:highlight w:val="none"/>
          <w:u w:val="single"/>
          <w:lang w:val="en-US" w:eastAsia="zh-CN"/>
        </w:rPr>
        <w:t>吐鲁番市鄯善县人民医院保洁服务采购项目（XJZN-2024-09079）</w:t>
      </w:r>
      <w:r>
        <w:rPr>
          <w:rFonts w:hint="eastAsia" w:ascii="宋体" w:hAnsi="宋体" w:cs="宋体"/>
          <w:i/>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采购活动，服务全部由符合政策要求的中小企业承接。相关企业（含联合体中的中小企业、签订分包意向协议的中小企业）的具体情况如下：</w:t>
      </w:r>
    </w:p>
    <w:p w14:paraId="7432AAC2">
      <w:pPr>
        <w:widowControl/>
        <w:adjustRightInd w:val="0"/>
        <w:snapToGrid w:val="0"/>
        <w:spacing w:line="360" w:lineRule="auto"/>
        <w:ind w:firstLine="567"/>
        <w:jc w:val="left"/>
        <w:rPr>
          <w:rFonts w:ascii="宋体" w:hAnsi="宋体" w:cs="宋体"/>
          <w:color w:val="auto"/>
          <w:sz w:val="24"/>
          <w:szCs w:val="24"/>
          <w:highlight w:val="none"/>
        </w:rPr>
      </w:pPr>
      <w:r>
        <w:rPr>
          <w:rFonts w:hint="eastAsia" w:ascii="宋体" w:hAnsi="宋体" w:cs="宋体"/>
          <w:iCs/>
          <w:color w:val="auto"/>
          <w:kern w:val="0"/>
          <w:sz w:val="24"/>
          <w:szCs w:val="24"/>
          <w:highlight w:val="none"/>
          <w:lang w:val="en-US" w:eastAsia="zh-CN" w:bidi="ar"/>
        </w:rPr>
        <w:t>1</w:t>
      </w:r>
      <w:r>
        <w:rPr>
          <w:rFonts w:hint="eastAsia" w:ascii="宋体" w:hAnsi="宋体" w:cs="宋体"/>
          <w:iCs/>
          <w:color w:val="auto"/>
          <w:kern w:val="0"/>
          <w:sz w:val="24"/>
          <w:szCs w:val="24"/>
          <w:highlight w:val="none"/>
          <w:lang w:bidi="ar"/>
        </w:rPr>
        <w:t>.</w:t>
      </w:r>
      <w:r>
        <w:rPr>
          <w:rFonts w:hint="eastAsia" w:ascii="宋体" w:hAnsi="宋体" w:cs="宋体"/>
          <w:iCs/>
          <w:color w:val="auto"/>
          <w:kern w:val="0"/>
          <w:sz w:val="24"/>
          <w:szCs w:val="24"/>
          <w:highlight w:val="none"/>
          <w:u w:val="single"/>
          <w:lang w:val="en-US" w:eastAsia="zh-CN" w:bidi="ar"/>
        </w:rPr>
        <w:t xml:space="preserve"> （安保服务）</w:t>
      </w:r>
      <w:r>
        <w:rPr>
          <w:rFonts w:hint="eastAsia" w:ascii="宋体" w:hAnsi="宋体" w:cs="宋体"/>
          <w:i/>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，属于</w:t>
      </w:r>
      <w:r>
        <w:rPr>
          <w:rFonts w:hint="eastAsia" w:ascii="宋体" w:hAnsi="宋体" w:cs="宋体"/>
          <w:iCs/>
          <w:color w:val="auto"/>
          <w:kern w:val="0"/>
          <w:sz w:val="24"/>
          <w:szCs w:val="24"/>
          <w:highlight w:val="none"/>
          <w:u w:val="single"/>
          <w:lang w:bidi="ar"/>
        </w:rPr>
        <w:t xml:space="preserve"> </w:t>
      </w:r>
      <w:r>
        <w:rPr>
          <w:rFonts w:hint="eastAsia" w:ascii="宋体" w:hAnsi="宋体" w:cs="宋体"/>
          <w:iCs/>
          <w:color w:val="auto"/>
          <w:kern w:val="0"/>
          <w:sz w:val="24"/>
          <w:szCs w:val="24"/>
          <w:highlight w:val="none"/>
          <w:u w:val="single"/>
          <w:lang w:eastAsia="zh-CN" w:bidi="ar"/>
        </w:rPr>
        <w:t>（其他未列明行业）</w:t>
      </w:r>
      <w:r>
        <w:rPr>
          <w:rFonts w:hint="eastAsia" w:ascii="宋体" w:hAnsi="宋体" w:cs="宋体"/>
          <w:iCs/>
          <w:color w:val="auto"/>
          <w:kern w:val="0"/>
          <w:sz w:val="24"/>
          <w:szCs w:val="24"/>
          <w:highlight w:val="none"/>
          <w:u w:val="single"/>
          <w:lang w:bidi="ar"/>
        </w:rPr>
        <w:t xml:space="preserve"> </w:t>
      </w:r>
      <w:r>
        <w:rPr>
          <w:rFonts w:hint="eastAsia" w:ascii="宋体" w:hAnsi="宋体" w:cs="宋体"/>
          <w:color w:val="auto"/>
          <w:kern w:val="0"/>
          <w:sz w:val="24"/>
          <w:szCs w:val="24"/>
          <w:highlight w:val="none"/>
          <w:lang w:bidi="ar"/>
        </w:rPr>
        <w:t>行业；参与上述标项的承接商为</w:t>
      </w:r>
      <w:r>
        <w:rPr>
          <w:rFonts w:hint="eastAsia" w:ascii="宋体" w:hAnsi="宋体" w:cs="宋体"/>
          <w:i/>
          <w:color w:val="auto"/>
          <w:kern w:val="0"/>
          <w:sz w:val="24"/>
          <w:szCs w:val="24"/>
          <w:highlight w:val="none"/>
          <w:u w:val="single"/>
          <w:lang w:bidi="ar"/>
        </w:rPr>
        <w:t>（企业名称）</w:t>
      </w:r>
      <w:r>
        <w:rPr>
          <w:rFonts w:hint="eastAsia" w:ascii="宋体" w:hAnsi="宋体" w:cs="宋体"/>
          <w:color w:val="auto"/>
          <w:kern w:val="0"/>
          <w:sz w:val="24"/>
          <w:szCs w:val="24"/>
          <w:highlight w:val="none"/>
          <w:lang w:bidi="ar"/>
        </w:rPr>
        <w:t>，从业人员</w:t>
      </w:r>
      <w:r>
        <w:rPr>
          <w:rFonts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人，营业收入为</w:t>
      </w:r>
      <w:r>
        <w:rPr>
          <w:rFonts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万元，资产总额为</w:t>
      </w:r>
      <w:r>
        <w:rPr>
          <w:rFonts w:ascii="宋体" w:hAnsi="宋体" w:cs="宋体"/>
          <w:color w:val="auto"/>
          <w:kern w:val="0"/>
          <w:sz w:val="24"/>
          <w:szCs w:val="24"/>
          <w:highlight w:val="none"/>
          <w:u w:val="single"/>
          <w:lang w:eastAsia="zh-Hans" w:bidi="ar"/>
        </w:rPr>
        <w:t xml:space="preserve">    </w:t>
      </w:r>
      <w:r>
        <w:rPr>
          <w:rFonts w:hint="eastAsia" w:ascii="宋体" w:hAnsi="宋体" w:cs="宋体"/>
          <w:color w:val="auto"/>
          <w:kern w:val="0"/>
          <w:sz w:val="24"/>
          <w:szCs w:val="24"/>
          <w:highlight w:val="none"/>
          <w:lang w:bidi="ar"/>
        </w:rPr>
        <w:t>万元，属于</w:t>
      </w:r>
      <w:r>
        <w:rPr>
          <w:rFonts w:hint="eastAsia" w:ascii="宋体" w:hAnsi="宋体" w:cs="宋体"/>
          <w:i/>
          <w:color w:val="auto"/>
          <w:kern w:val="0"/>
          <w:sz w:val="24"/>
          <w:szCs w:val="24"/>
          <w:highlight w:val="none"/>
          <w:u w:val="single"/>
          <w:lang w:bidi="ar"/>
        </w:rPr>
        <w:t>（中型企业、小型企业、微型企业）</w:t>
      </w:r>
      <w:r>
        <w:rPr>
          <w:rFonts w:hint="eastAsia" w:ascii="宋体" w:hAnsi="宋体" w:cs="宋体"/>
          <w:color w:val="auto"/>
          <w:kern w:val="0"/>
          <w:sz w:val="24"/>
          <w:szCs w:val="24"/>
          <w:highlight w:val="none"/>
          <w:lang w:bidi="ar"/>
        </w:rPr>
        <w:t>。</w:t>
      </w:r>
    </w:p>
    <w:p w14:paraId="0211D693">
      <w:pPr>
        <w:widowControl/>
        <w:adjustRightInd w:val="0"/>
        <w:snapToGrid w:val="0"/>
        <w:spacing w:line="360" w:lineRule="auto"/>
        <w:ind w:firstLine="567"/>
        <w:jc w:val="left"/>
        <w:rPr>
          <w:rFonts w:ascii="宋体" w:hAnsi="宋体" w:cs="宋体"/>
          <w:color w:val="auto"/>
          <w:sz w:val="24"/>
          <w:szCs w:val="24"/>
          <w:highlight w:val="none"/>
        </w:rPr>
      </w:pPr>
      <w:r>
        <w:rPr>
          <w:rFonts w:hint="eastAsia" w:ascii="宋体" w:hAnsi="宋体" w:cs="宋体"/>
          <w:color w:val="auto"/>
          <w:kern w:val="0"/>
          <w:sz w:val="24"/>
          <w:szCs w:val="24"/>
          <w:highlight w:val="none"/>
          <w:lang w:bidi="ar"/>
        </w:rPr>
        <w:t>以上企业，不属于大企业的分支机构，不存在控股股东为大企业的情形，也不存在与大企业的负责人为同一人的情形。</w:t>
      </w:r>
    </w:p>
    <w:p w14:paraId="13FA8D19">
      <w:pPr>
        <w:widowControl/>
        <w:adjustRightInd w:val="0"/>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kern w:val="0"/>
          <w:sz w:val="24"/>
          <w:szCs w:val="24"/>
          <w:highlight w:val="none"/>
          <w:lang w:bidi="ar"/>
        </w:rPr>
        <w:t>本企业对上述声明内容的真实性负责。如有虚假，将依法承担相应责任。</w:t>
      </w:r>
    </w:p>
    <w:p w14:paraId="38EEADAF">
      <w:pPr>
        <w:pStyle w:val="37"/>
        <w:spacing w:line="360" w:lineRule="auto"/>
        <w:ind w:firstLine="240"/>
        <w:rPr>
          <w:rFonts w:hint="eastAsia"/>
          <w:color w:val="auto"/>
          <w:highlight w:val="none"/>
        </w:rPr>
      </w:pPr>
    </w:p>
    <w:p w14:paraId="7601CE8F">
      <w:pPr>
        <w:widowControl/>
        <w:adjustRightInd w:val="0"/>
        <w:snapToGrid w:val="0"/>
        <w:spacing w:line="360" w:lineRule="auto"/>
        <w:ind w:firstLine="5280" w:firstLineChars="2200"/>
        <w:jc w:val="left"/>
        <w:rPr>
          <w:rFonts w:hint="eastAsia" w:ascii="宋体" w:hAnsi="宋体" w:cs="宋体"/>
          <w:color w:val="auto"/>
          <w:sz w:val="24"/>
          <w:szCs w:val="24"/>
          <w:highlight w:val="none"/>
        </w:rPr>
      </w:pPr>
      <w:r>
        <w:rPr>
          <w:rFonts w:hint="eastAsia" w:ascii="宋体" w:hAnsi="宋体" w:cs="宋体"/>
          <w:color w:val="auto"/>
          <w:kern w:val="0"/>
          <w:sz w:val="24"/>
          <w:szCs w:val="24"/>
          <w:highlight w:val="none"/>
          <w:lang w:bidi="ar"/>
        </w:rPr>
        <w:t>企业名称（盖章）：</w:t>
      </w:r>
      <w:r>
        <w:rPr>
          <w:rFonts w:hint="eastAsia" w:ascii="宋体" w:hAnsi="宋体" w:cs="宋体"/>
          <w:iCs/>
          <w:color w:val="auto"/>
          <w:kern w:val="0"/>
          <w:sz w:val="24"/>
          <w:szCs w:val="24"/>
          <w:highlight w:val="none"/>
          <w:u w:val="single"/>
          <w:lang w:bidi="ar"/>
        </w:rPr>
        <w:t>（投标单位盖章）</w:t>
      </w:r>
    </w:p>
    <w:p w14:paraId="747ED2BB">
      <w:pPr>
        <w:widowControl/>
        <w:adjustRightInd w:val="0"/>
        <w:snapToGrid w:val="0"/>
        <w:spacing w:line="360" w:lineRule="auto"/>
        <w:ind w:firstLine="5280" w:firstLineChars="2200"/>
        <w:jc w:val="left"/>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日 期：</w:t>
      </w:r>
    </w:p>
    <w:p w14:paraId="429E793B">
      <w:pPr>
        <w:widowControl/>
        <w:adjustRightInd w:val="0"/>
        <w:snapToGrid w:val="0"/>
        <w:spacing w:line="360" w:lineRule="auto"/>
        <w:ind w:firstLine="5280" w:firstLineChars="2200"/>
        <w:jc w:val="left"/>
        <w:rPr>
          <w:rFonts w:hint="eastAsia" w:ascii="宋体" w:hAnsi="宋体" w:cs="宋体"/>
          <w:color w:val="auto"/>
          <w:kern w:val="0"/>
          <w:sz w:val="24"/>
          <w:szCs w:val="24"/>
          <w:highlight w:val="none"/>
          <w:lang w:bidi="ar"/>
        </w:rPr>
      </w:pPr>
    </w:p>
    <w:p w14:paraId="365A585D">
      <w:pPr>
        <w:adjustRightInd w:val="0"/>
        <w:snapToGrid w:val="0"/>
        <w:spacing w:line="360" w:lineRule="auto"/>
        <w:ind w:firstLine="482" w:firstLineChars="200"/>
        <w:rPr>
          <w:rFonts w:hint="eastAsia"/>
          <w:b/>
          <w:bCs/>
          <w:color w:val="auto"/>
          <w:sz w:val="24"/>
          <w:szCs w:val="24"/>
          <w:highlight w:val="none"/>
        </w:rPr>
      </w:pPr>
      <w:r>
        <w:rPr>
          <w:rFonts w:hint="eastAsia"/>
          <w:b/>
          <w:bCs/>
          <w:color w:val="auto"/>
          <w:sz w:val="24"/>
          <w:szCs w:val="24"/>
          <w:highlight w:val="none"/>
        </w:rPr>
        <w:t>备注：从业人员、营业收入、资产总额填报上一年度数据，无上一年度数据的新成立企业可不填报。</w:t>
      </w:r>
    </w:p>
    <w:p w14:paraId="76CAD946">
      <w:pPr>
        <w:adjustRightInd w:val="0"/>
        <w:snapToGrid w:val="0"/>
        <w:spacing w:line="360" w:lineRule="auto"/>
        <w:ind w:firstLine="482" w:firstLineChars="200"/>
        <w:rPr>
          <w:rFonts w:hint="eastAsia"/>
          <w:b/>
          <w:bCs/>
          <w:color w:val="auto"/>
          <w:sz w:val="24"/>
          <w:szCs w:val="24"/>
          <w:highlight w:val="none"/>
        </w:rPr>
      </w:pPr>
    </w:p>
    <w:p w14:paraId="22CB8820">
      <w:pPr>
        <w:adjustRightInd w:val="0"/>
        <w:snapToGrid w:val="0"/>
        <w:spacing w:line="360" w:lineRule="auto"/>
        <w:ind w:firstLine="482" w:firstLineChars="200"/>
        <w:rPr>
          <w:rFonts w:hint="eastAsia"/>
          <w:b/>
          <w:bCs/>
          <w:color w:val="auto"/>
          <w:sz w:val="24"/>
          <w:szCs w:val="24"/>
          <w:highlight w:val="none"/>
        </w:rPr>
      </w:pPr>
    </w:p>
    <w:p w14:paraId="1BA2E2AD">
      <w:pPr>
        <w:adjustRightInd w:val="0"/>
        <w:snapToGrid w:val="0"/>
        <w:spacing w:line="360" w:lineRule="auto"/>
        <w:ind w:firstLine="482" w:firstLineChars="200"/>
        <w:rPr>
          <w:rFonts w:hint="eastAsia"/>
          <w:b/>
          <w:bCs/>
          <w:color w:val="auto"/>
          <w:sz w:val="24"/>
          <w:szCs w:val="24"/>
          <w:highlight w:val="none"/>
        </w:rPr>
      </w:pPr>
    </w:p>
    <w:p w14:paraId="571AB211">
      <w:pPr>
        <w:adjustRightInd w:val="0"/>
        <w:snapToGrid w:val="0"/>
        <w:spacing w:line="360" w:lineRule="auto"/>
        <w:ind w:firstLine="482" w:firstLineChars="200"/>
        <w:rPr>
          <w:rFonts w:hint="eastAsia"/>
          <w:b/>
          <w:bCs/>
          <w:color w:val="auto"/>
          <w:sz w:val="24"/>
          <w:szCs w:val="24"/>
          <w:highlight w:val="none"/>
        </w:rPr>
      </w:pPr>
    </w:p>
    <w:p w14:paraId="0C6AF11E">
      <w:pPr>
        <w:adjustRightInd w:val="0"/>
        <w:snapToGrid w:val="0"/>
        <w:spacing w:line="360" w:lineRule="auto"/>
        <w:ind w:firstLine="482" w:firstLineChars="200"/>
        <w:rPr>
          <w:rFonts w:hint="eastAsia"/>
          <w:b/>
          <w:bCs/>
          <w:color w:val="auto"/>
          <w:sz w:val="24"/>
          <w:szCs w:val="24"/>
          <w:highlight w:val="none"/>
        </w:rPr>
      </w:pPr>
    </w:p>
    <w:p w14:paraId="5FA9CD02">
      <w:pPr>
        <w:adjustRightInd w:val="0"/>
        <w:snapToGrid w:val="0"/>
        <w:spacing w:line="360" w:lineRule="auto"/>
        <w:ind w:firstLine="482" w:firstLineChars="200"/>
        <w:rPr>
          <w:rFonts w:hint="eastAsia"/>
          <w:b/>
          <w:bCs/>
          <w:color w:val="auto"/>
          <w:sz w:val="24"/>
          <w:szCs w:val="24"/>
          <w:highlight w:val="none"/>
        </w:rPr>
      </w:pPr>
    </w:p>
    <w:p w14:paraId="0E0C167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0875501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7B8FE0B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69BC482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294F74F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723BBEF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73F640B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lang w:val="en-US" w:eastAsia="zh-CN"/>
        </w:rPr>
      </w:pPr>
    </w:p>
    <w:p w14:paraId="14D5463F">
      <w:pPr>
        <w:pStyle w:val="47"/>
        <w:rPr>
          <w:rFonts w:hint="eastAsia"/>
          <w:color w:val="auto"/>
          <w:highlight w:val="none"/>
        </w:rPr>
        <w:sectPr>
          <w:pgSz w:w="11905" w:h="16838"/>
          <w:pgMar w:top="1134" w:right="1134" w:bottom="1134" w:left="1134" w:header="340" w:footer="992" w:gutter="0"/>
          <w:pgNumType w:fmt="decimal"/>
          <w:cols w:space="720" w:num="1"/>
          <w:rtlGutter w:val="0"/>
          <w:docGrid w:type="lines" w:linePitch="317" w:charSpace="0"/>
        </w:sectPr>
      </w:pPr>
    </w:p>
    <w:p w14:paraId="1EF84D2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bCs/>
          <w:color w:val="auto"/>
          <w:sz w:val="24"/>
          <w:szCs w:val="24"/>
          <w:highlight w:val="none"/>
          <w:lang w:eastAsia="zh-CN"/>
        </w:rPr>
      </w:pPr>
      <w:bookmarkStart w:id="295" w:name="_Toc22086"/>
      <w:bookmarkStart w:id="296" w:name="_Toc16185"/>
      <w:r>
        <w:rPr>
          <w:rFonts w:hint="eastAsia" w:ascii="Times New Roman" w:hAnsi="Times New Roman" w:eastAsia="宋体" w:cs="Times New Roman"/>
          <w:b/>
          <w:bCs/>
          <w:color w:val="auto"/>
          <w:sz w:val="24"/>
          <w:szCs w:val="24"/>
          <w:highlight w:val="none"/>
          <w:lang w:eastAsia="zh-CN"/>
        </w:rPr>
        <w:t>监狱企业声明函</w:t>
      </w:r>
      <w:bookmarkEnd w:id="295"/>
      <w:bookmarkEnd w:id="296"/>
    </w:p>
    <w:p w14:paraId="6F41BF1B">
      <w:pPr>
        <w:keepNext w:val="0"/>
        <w:keepLines w:val="0"/>
        <w:pageBreakBefore w:val="0"/>
        <w:widowControl/>
        <w:suppressLineNumbers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（监狱企业适用）</w:t>
      </w:r>
    </w:p>
    <w:p w14:paraId="00259334">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本公司郑重声明，根据《关于政府采购支持监狱企业发展有关问题的通知》（财库[2014]68号）的规定</w:t>
      </w:r>
      <w:r>
        <w:rPr>
          <w:rFonts w:hint="eastAsia" w:ascii="宋体" w:hAnsi="宋体" w:eastAsia="宋体" w:cs="宋体"/>
          <w:color w:val="auto"/>
          <w:kern w:val="0"/>
          <w:sz w:val="24"/>
          <w:highlight w:val="none"/>
          <w:lang w:eastAsia="zh-CN"/>
        </w:rPr>
        <w:t>：</w:t>
      </w:r>
      <w:r>
        <w:rPr>
          <w:rFonts w:hint="eastAsia" w:ascii="宋体" w:hAnsi="宋体" w:eastAsia="宋体" w:cs="宋体"/>
          <w:b/>
          <w:bCs/>
          <w:color w:val="auto"/>
          <w:kern w:val="0"/>
          <w:sz w:val="24"/>
          <w:szCs w:val="24"/>
          <w:highlight w:val="none"/>
          <w:lang w:val="en-US" w:eastAsia="zh-CN" w:bidi="ar"/>
        </w:rPr>
        <w:t>（请进行勾选）</w:t>
      </w:r>
    </w:p>
    <w:p w14:paraId="33A252EB">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lang w:eastAsia="zh-CN"/>
        </w:rPr>
        <w:t>本公司是监狱企业，且</w:t>
      </w:r>
      <w:r>
        <w:rPr>
          <w:rFonts w:hint="eastAsia" w:ascii="宋体" w:hAnsi="宋体" w:eastAsia="宋体" w:cs="宋体"/>
          <w:color w:val="auto"/>
          <w:kern w:val="0"/>
          <w:sz w:val="24"/>
          <w:szCs w:val="24"/>
          <w:highlight w:val="none"/>
          <w:lang w:val="en-US" w:eastAsia="zh-CN" w:bidi="ar"/>
        </w:rPr>
        <w:t>本公司参加</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lang w:eastAsia="zh-CN"/>
        </w:rPr>
        <w:t>采购人</w:t>
      </w:r>
      <w:r>
        <w:rPr>
          <w:rFonts w:hint="eastAsia" w:ascii="宋体" w:hAnsi="宋体" w:eastAsia="宋体" w:cs="宋体"/>
          <w:i/>
          <w:iCs/>
          <w:color w:val="auto"/>
          <w:sz w:val="24"/>
          <w:szCs w:val="24"/>
          <w:highlight w:val="none"/>
          <w:u w:val="single"/>
        </w:rPr>
        <w:t>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rPr>
        <w:t>项目名称</w:t>
      </w:r>
      <w:r>
        <w:rPr>
          <w:rFonts w:hint="eastAsia" w:ascii="宋体" w:hAnsi="宋体" w:eastAsia="宋体" w:cs="宋体"/>
          <w:i/>
          <w:iCs/>
          <w:color w:val="auto"/>
          <w:sz w:val="24"/>
          <w:szCs w:val="24"/>
          <w:highlight w:val="none"/>
          <w:u w:val="single"/>
          <w:lang w:eastAsia="zh-CN"/>
        </w:rPr>
        <w:t>及</w:t>
      </w:r>
      <w:r>
        <w:rPr>
          <w:rFonts w:hint="eastAsia" w:ascii="宋体" w:hAnsi="宋体" w:eastAsia="宋体" w:cs="宋体"/>
          <w:i/>
          <w:iCs/>
          <w:color w:val="auto"/>
          <w:sz w:val="24"/>
          <w:szCs w:val="24"/>
          <w:highlight w:val="none"/>
          <w:u w:val="single"/>
        </w:rPr>
        <w:t>编号</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采购活动提供本公司制造的货物（由本公司承担工程/提供服务）；</w:t>
      </w:r>
    </w:p>
    <w:p w14:paraId="676F7ECB">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lang w:eastAsia="zh-CN"/>
        </w:rPr>
        <w:t>本公司不是监狱企业，但本</w:t>
      </w:r>
      <w:r>
        <w:rPr>
          <w:rFonts w:hint="eastAsia" w:ascii="宋体" w:hAnsi="宋体" w:eastAsia="宋体" w:cs="宋体"/>
          <w:color w:val="auto"/>
          <w:kern w:val="0"/>
          <w:sz w:val="24"/>
          <w:szCs w:val="24"/>
          <w:highlight w:val="none"/>
          <w:lang w:val="en-US" w:eastAsia="zh-CN" w:bidi="ar"/>
        </w:rPr>
        <w:t>公司参加</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lang w:eastAsia="zh-CN"/>
        </w:rPr>
        <w:t>采购人</w:t>
      </w:r>
      <w:r>
        <w:rPr>
          <w:rFonts w:hint="eastAsia" w:ascii="宋体" w:hAnsi="宋体" w:eastAsia="宋体" w:cs="宋体"/>
          <w:i/>
          <w:iCs/>
          <w:color w:val="auto"/>
          <w:sz w:val="24"/>
          <w:szCs w:val="24"/>
          <w:highlight w:val="none"/>
          <w:u w:val="single"/>
        </w:rPr>
        <w:t>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rPr>
        <w:t>项目名称</w:t>
      </w:r>
      <w:r>
        <w:rPr>
          <w:rFonts w:hint="eastAsia" w:ascii="宋体" w:hAnsi="宋体" w:eastAsia="宋体" w:cs="宋体"/>
          <w:i/>
          <w:iCs/>
          <w:color w:val="auto"/>
          <w:sz w:val="24"/>
          <w:szCs w:val="24"/>
          <w:highlight w:val="none"/>
          <w:u w:val="single"/>
          <w:lang w:eastAsia="zh-CN"/>
        </w:rPr>
        <w:t>及</w:t>
      </w:r>
      <w:r>
        <w:rPr>
          <w:rFonts w:hint="eastAsia" w:ascii="宋体" w:hAnsi="宋体" w:eastAsia="宋体" w:cs="宋体"/>
          <w:i/>
          <w:iCs/>
          <w:color w:val="auto"/>
          <w:sz w:val="24"/>
          <w:szCs w:val="24"/>
          <w:highlight w:val="none"/>
          <w:u w:val="single"/>
        </w:rPr>
        <w:t>编号</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采购活动提供的货物均为监狱企业制造（不包括使用监狱企业注册商标的货物）。</w:t>
      </w:r>
    </w:p>
    <w:p w14:paraId="41438BDA">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highlight w:val="none"/>
        </w:rPr>
        <w:t>本公司对上述声明的真实性负责。如有虚假，将依法承担相应责任。</w:t>
      </w:r>
    </w:p>
    <w:p w14:paraId="1DCDCA31">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4D250319">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5408585A">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企业名称（盖章）：</w:t>
      </w:r>
    </w:p>
    <w:p w14:paraId="51FF6367">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日 </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bidi="ar"/>
        </w:rPr>
        <w:t>期：</w:t>
      </w:r>
    </w:p>
    <w:p w14:paraId="4A8740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108DC7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34C44F0">
      <w:pPr>
        <w:pageBreakBefore w:val="0"/>
        <w:tabs>
          <w:tab w:val="left" w:pos="2880"/>
        </w:tabs>
        <w:kinsoku/>
        <w:wordWrap/>
        <w:overflowPunct/>
        <w:topLinePunct w:val="0"/>
        <w:autoSpaceDE/>
        <w:autoSpaceDN/>
        <w:bidi w:val="0"/>
        <w:spacing w:line="360" w:lineRule="auto"/>
        <w:ind w:firstLine="569" w:firstLineChars="236"/>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2F618AE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266738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117A3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C57DD0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368CB1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D7A352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80FE2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61D8D4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1D68DA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70BB4A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7E689A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2D9094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94C8E3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5B1CA8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436937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1A22D4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62D805D">
      <w:pPr>
        <w:pStyle w:val="47"/>
        <w:rPr>
          <w:rFonts w:hint="eastAsia"/>
          <w:color w:val="auto"/>
          <w:highlight w:val="none"/>
        </w:rPr>
        <w:sectPr>
          <w:pgSz w:w="11905" w:h="16838"/>
          <w:pgMar w:top="1134" w:right="1134" w:bottom="1134" w:left="1134" w:header="340" w:footer="992" w:gutter="0"/>
          <w:pgNumType w:fmt="decimal"/>
          <w:cols w:space="720" w:num="1"/>
          <w:rtlGutter w:val="0"/>
          <w:docGrid w:type="lines" w:linePitch="317" w:charSpace="0"/>
        </w:sectPr>
      </w:pPr>
    </w:p>
    <w:p w14:paraId="06FBB8C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宋体" w:cs="Times New Roman"/>
          <w:b/>
          <w:bCs/>
          <w:color w:val="auto"/>
          <w:sz w:val="24"/>
          <w:szCs w:val="24"/>
          <w:highlight w:val="none"/>
        </w:rPr>
      </w:pPr>
      <w:bookmarkStart w:id="297" w:name="_Toc23989"/>
      <w:bookmarkStart w:id="298" w:name="_Toc28887"/>
      <w:bookmarkStart w:id="299" w:name="_Toc3908"/>
      <w:bookmarkStart w:id="300" w:name="_Toc22171"/>
      <w:bookmarkStart w:id="301" w:name="_Toc30353"/>
      <w:bookmarkStart w:id="302" w:name="_Toc12768"/>
      <w:bookmarkStart w:id="303" w:name="_Toc2567"/>
      <w:bookmarkStart w:id="304" w:name="_Toc23744"/>
      <w:bookmarkStart w:id="305" w:name="_Toc29650"/>
      <w:r>
        <w:rPr>
          <w:rFonts w:hint="eastAsia" w:ascii="Times New Roman" w:hAnsi="Times New Roman" w:eastAsia="宋体" w:cs="Times New Roman"/>
          <w:b/>
          <w:bCs/>
          <w:color w:val="auto"/>
          <w:sz w:val="24"/>
          <w:szCs w:val="24"/>
          <w:highlight w:val="none"/>
        </w:rPr>
        <w:t>残疾人福利性单位声明函</w:t>
      </w:r>
      <w:bookmarkEnd w:id="297"/>
      <w:bookmarkEnd w:id="298"/>
      <w:bookmarkEnd w:id="299"/>
      <w:bookmarkEnd w:id="300"/>
      <w:bookmarkEnd w:id="301"/>
      <w:bookmarkEnd w:id="302"/>
      <w:bookmarkEnd w:id="303"/>
      <w:bookmarkEnd w:id="304"/>
      <w:bookmarkEnd w:id="305"/>
    </w:p>
    <w:p w14:paraId="2128A3CC">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残疾人福利性单位</w:t>
      </w:r>
      <w:r>
        <w:rPr>
          <w:rFonts w:hint="eastAsia" w:ascii="宋体" w:hAnsi="宋体" w:eastAsia="宋体" w:cs="宋体"/>
          <w:color w:val="auto"/>
          <w:kern w:val="0"/>
          <w:sz w:val="21"/>
          <w:szCs w:val="21"/>
          <w:highlight w:val="none"/>
        </w:rPr>
        <w:t>适用）</w:t>
      </w:r>
    </w:p>
    <w:p w14:paraId="27A1A50A">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本单位郑重声明，根据《财政部 民政部 中国残疾人联合会 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采购活动提供本单位制造的货物（由本单位承担工程/提供服务），或者提供其他残疾人福利性单位制造的货物（不包括使用非残疾人福利性单位注册商标的货物）。</w:t>
      </w:r>
    </w:p>
    <w:p w14:paraId="741BCDB5">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本单位对上述声明的真实性负责。如有虚假，将依法承担相应责任。 </w:t>
      </w:r>
    </w:p>
    <w:p w14:paraId="3CBFA1B7">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7C1D4E2A">
      <w:pPr>
        <w:pStyle w:val="37"/>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351DD1AF">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0FC31D10">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bidi="ar"/>
        </w:rPr>
        <w:t>单位</w:t>
      </w:r>
      <w:r>
        <w:rPr>
          <w:rFonts w:hint="eastAsia" w:ascii="宋体" w:hAnsi="宋体" w:eastAsia="宋体" w:cs="宋体"/>
          <w:color w:val="auto"/>
          <w:kern w:val="0"/>
          <w:sz w:val="24"/>
          <w:szCs w:val="24"/>
          <w:highlight w:val="none"/>
          <w:lang w:bidi="ar"/>
        </w:rPr>
        <w:t>名称（盖章）：</w:t>
      </w:r>
    </w:p>
    <w:p w14:paraId="3ABBB382">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5A10C8AB">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color w:val="auto"/>
          <w:sz w:val="30"/>
          <w:szCs w:val="30"/>
          <w:highlight w:val="none"/>
        </w:rPr>
      </w:pPr>
    </w:p>
    <w:p w14:paraId="6550E662">
      <w:pPr>
        <w:pStyle w:val="37"/>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6B1CE80E">
      <w:pPr>
        <w:pageBreakBefore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2B10447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E45FFA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350DF0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EDEDAE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E7CF1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ABDCF7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5489B6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F44352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062C4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0E7DF3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CDFF5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67C827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D22F7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E037AE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A21D01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4EF3A5">
      <w:pPr>
        <w:pStyle w:val="47"/>
        <w:rPr>
          <w:rFonts w:hint="eastAsia"/>
          <w:color w:val="auto"/>
          <w:highlight w:val="none"/>
        </w:rPr>
        <w:sectPr>
          <w:pgSz w:w="11905" w:h="16838"/>
          <w:pgMar w:top="1134" w:right="1134" w:bottom="1134" w:left="1134" w:header="340" w:footer="992" w:gutter="0"/>
          <w:pgNumType w:fmt="decimal"/>
          <w:cols w:space="720" w:num="1"/>
          <w:rtlGutter w:val="0"/>
          <w:docGrid w:type="lines" w:linePitch="317" w:charSpace="0"/>
        </w:sectPr>
      </w:pPr>
    </w:p>
    <w:p w14:paraId="77334F2D">
      <w:pPr>
        <w:pStyle w:val="6"/>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306" w:name="_Toc15662"/>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磋商保证金</w:t>
      </w:r>
      <w:bookmarkEnd w:id="306"/>
    </w:p>
    <w:p w14:paraId="7E874C9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提供磋商保证金或电子保函缴纳凭证截图并加盖</w:t>
      </w:r>
      <w:r>
        <w:rPr>
          <w:rFonts w:hint="eastAsia" w:ascii="宋体" w:hAnsi="宋体" w:eastAsia="宋体" w:cs="宋体"/>
          <w:bCs/>
          <w:color w:val="auto"/>
          <w:szCs w:val="21"/>
          <w:highlight w:val="none"/>
          <w:lang w:eastAsia="zh-CN"/>
        </w:rPr>
        <w:t>投标人</w:t>
      </w:r>
      <w:r>
        <w:rPr>
          <w:rFonts w:hint="eastAsia" w:ascii="宋体" w:hAnsi="宋体" w:cs="宋体"/>
          <w:color w:val="auto"/>
          <w:sz w:val="21"/>
          <w:szCs w:val="21"/>
          <w:highlight w:val="none"/>
          <w:lang w:eastAsia="zh-CN"/>
        </w:rPr>
        <w:t>公章</w:t>
      </w:r>
      <w:r>
        <w:rPr>
          <w:rFonts w:hint="eastAsia" w:ascii="宋体" w:hAnsi="宋体" w:eastAsia="宋体" w:cs="宋体"/>
          <w:color w:val="auto"/>
          <w:sz w:val="21"/>
          <w:szCs w:val="21"/>
          <w:highlight w:val="none"/>
        </w:rPr>
        <w:t>）</w:t>
      </w:r>
    </w:p>
    <w:p w14:paraId="792B606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1B0B7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0961F4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CE668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88C87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648048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B1E5D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EFD2AB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9C954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1405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3AA91E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CC5D7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B0C321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3F0C48C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D4F6DF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9B03CD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5AF152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5D90D6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D59468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0D3804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9BB9ED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1F0D1B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0A79E7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D6A4DC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17F6C4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BF142D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3525378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4C24D7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48C526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89246E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9B8762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A037E4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316176E4">
      <w:pPr>
        <w:pStyle w:val="47"/>
        <w:rPr>
          <w:rFonts w:hint="eastAsia"/>
          <w:color w:val="auto"/>
          <w:highlight w:val="none"/>
        </w:rPr>
        <w:sectPr>
          <w:pgSz w:w="11905" w:h="16838"/>
          <w:pgMar w:top="1134" w:right="1134" w:bottom="1134" w:left="1134" w:header="340" w:footer="992" w:gutter="0"/>
          <w:pgNumType w:fmt="decimal"/>
          <w:cols w:space="720" w:num="1"/>
          <w:rtlGutter w:val="0"/>
          <w:docGrid w:type="lines" w:linePitch="317" w:charSpace="0"/>
        </w:sectPr>
      </w:pPr>
    </w:p>
    <w:p w14:paraId="18A32D2E">
      <w:pPr>
        <w:pStyle w:val="6"/>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307" w:name="_Toc9600"/>
      <w:bookmarkStart w:id="308" w:name="_Toc17905"/>
      <w:bookmarkStart w:id="309" w:name="_Toc16250"/>
      <w:bookmarkStart w:id="310" w:name="_Toc22260"/>
      <w:bookmarkStart w:id="311" w:name="_Toc26942"/>
      <w:bookmarkStart w:id="312" w:name="_Toc16769"/>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）本项目特定资格</w:t>
      </w:r>
      <w:r>
        <w:rPr>
          <w:rFonts w:hint="eastAsia" w:ascii="宋体" w:hAnsi="宋体" w:eastAsia="宋体" w:cs="宋体"/>
          <w:color w:val="auto"/>
          <w:sz w:val="24"/>
          <w:szCs w:val="24"/>
          <w:highlight w:val="none"/>
          <w:lang w:eastAsia="zh-CN"/>
        </w:rPr>
        <w:t>资质</w:t>
      </w:r>
      <w:bookmarkEnd w:id="307"/>
      <w:bookmarkEnd w:id="308"/>
      <w:bookmarkEnd w:id="309"/>
      <w:bookmarkEnd w:id="310"/>
      <w:bookmarkEnd w:id="311"/>
      <w:bookmarkEnd w:id="312"/>
    </w:p>
    <w:p w14:paraId="2588822B">
      <w:pPr>
        <w:keepNext w:val="0"/>
        <w:keepLines w:val="0"/>
        <w:pageBreakBefore w:val="0"/>
        <w:kinsoku/>
        <w:wordWrap/>
        <w:overflowPunct/>
        <w:topLinePunct w:val="0"/>
        <w:autoSpaceDE/>
        <w:autoSpaceDN/>
        <w:bidi w:val="0"/>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如有，提供相关资质证明材料并加盖投标人公章</w:t>
      </w:r>
      <w:r>
        <w:rPr>
          <w:rFonts w:hint="eastAsia" w:ascii="宋体" w:hAnsi="宋体" w:eastAsia="宋体" w:cs="宋体"/>
          <w:bCs/>
          <w:color w:val="auto"/>
          <w:szCs w:val="21"/>
          <w:highlight w:val="none"/>
        </w:rPr>
        <w:t>）</w:t>
      </w:r>
    </w:p>
    <w:p w14:paraId="34D7D9A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FF268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3D0ADA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A30C84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91A6AA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E7BD61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9B7436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DDADC1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A3C9D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782967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78F3EA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6DF456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96305E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279381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7D9DF4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10ADCB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D39BA1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E03563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4D7318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1915E5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71FAE3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C50EF8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39D8FA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64DD9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3E7E10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48F42D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7D9901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47005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FF81BB1">
      <w:pPr>
        <w:pStyle w:val="47"/>
        <w:rPr>
          <w:rFonts w:hint="eastAsia"/>
          <w:color w:val="auto"/>
          <w:highlight w:val="none"/>
        </w:rPr>
        <w:sectPr>
          <w:pgSz w:w="11905" w:h="16838"/>
          <w:pgMar w:top="1134" w:right="1134" w:bottom="1134" w:left="1134" w:header="340" w:footer="992" w:gutter="0"/>
          <w:pgNumType w:fmt="decimal"/>
          <w:cols w:space="720" w:num="1"/>
          <w:rtlGutter w:val="0"/>
          <w:docGrid w:type="lines" w:linePitch="317" w:charSpace="0"/>
        </w:sectPr>
      </w:pPr>
    </w:p>
    <w:bookmarkEnd w:id="215"/>
    <w:bookmarkEnd w:id="248"/>
    <w:p w14:paraId="610DF980">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13" w:name="_Toc28207"/>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报价文件</w:t>
      </w:r>
      <w:bookmarkEnd w:id="216"/>
      <w:bookmarkEnd w:id="313"/>
    </w:p>
    <w:p w14:paraId="466BAD58">
      <w:pPr>
        <w:pStyle w:val="6"/>
        <w:jc w:val="center"/>
        <w:rPr>
          <w:rFonts w:hint="eastAsia" w:ascii="宋体" w:hAnsi="宋体" w:eastAsia="宋体" w:cs="宋体"/>
          <w:color w:val="auto"/>
          <w:sz w:val="24"/>
          <w:szCs w:val="24"/>
          <w:highlight w:val="none"/>
          <w:lang w:eastAsia="zh-CN"/>
        </w:rPr>
      </w:pPr>
      <w:bookmarkStart w:id="314" w:name="_Toc10693"/>
      <w:bookmarkStart w:id="315" w:name="_Toc29266"/>
      <w:r>
        <w:rPr>
          <w:rFonts w:hint="eastAsia" w:ascii="宋体" w:hAnsi="宋体" w:eastAsia="宋体" w:cs="宋体"/>
          <w:color w:val="auto"/>
          <w:sz w:val="24"/>
          <w:szCs w:val="24"/>
          <w:highlight w:val="none"/>
          <w:lang w:eastAsia="zh-CN"/>
        </w:rPr>
        <w:t>（一）</w:t>
      </w:r>
      <w:bookmarkEnd w:id="314"/>
      <w:r>
        <w:rPr>
          <w:rFonts w:hint="eastAsia" w:ascii="宋体" w:hAnsi="宋体" w:eastAsia="宋体" w:cs="宋体"/>
          <w:color w:val="auto"/>
          <w:sz w:val="24"/>
          <w:szCs w:val="24"/>
          <w:highlight w:val="none"/>
          <w:lang w:eastAsia="zh-CN"/>
        </w:rPr>
        <w:t>报价一览表</w:t>
      </w:r>
      <w:bookmarkEnd w:id="315"/>
    </w:p>
    <w:p w14:paraId="4B305995">
      <w:pPr>
        <w:tabs>
          <w:tab w:val="left" w:pos="9135"/>
        </w:tabs>
        <w:spacing w:line="40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吐鲁番市鄯善县人民医院安保服务采购项目</w:t>
      </w:r>
    </w:p>
    <w:p w14:paraId="659252A4">
      <w:pPr>
        <w:tabs>
          <w:tab w:val="left" w:pos="9135"/>
        </w:tabs>
        <w:spacing w:line="40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项目编号</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XJZN-2025-03117</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9"/>
        <w:gridCol w:w="7771"/>
      </w:tblGrid>
      <w:tr w14:paraId="3C355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1819" w:type="dxa"/>
            <w:noWrap w:val="0"/>
            <w:vAlign w:val="center"/>
          </w:tcPr>
          <w:p w14:paraId="2B5593C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磋商报价</w:t>
            </w:r>
          </w:p>
          <w:p w14:paraId="055371F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（元）</w:t>
            </w:r>
          </w:p>
        </w:tc>
        <w:tc>
          <w:tcPr>
            <w:tcW w:w="7771" w:type="dxa"/>
            <w:noWrap w:val="0"/>
            <w:vAlign w:val="center"/>
          </w:tcPr>
          <w:p w14:paraId="72537962">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小写：</w:t>
            </w:r>
          </w:p>
          <w:p w14:paraId="02194981">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rPr>
              <w:t>大写：</w:t>
            </w:r>
          </w:p>
        </w:tc>
      </w:tr>
      <w:tr w14:paraId="35BFE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1819" w:type="dxa"/>
            <w:noWrap w:val="0"/>
            <w:vAlign w:val="center"/>
          </w:tcPr>
          <w:p w14:paraId="192A184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合同履约期限</w:t>
            </w:r>
          </w:p>
        </w:tc>
        <w:tc>
          <w:tcPr>
            <w:tcW w:w="7771" w:type="dxa"/>
            <w:noWrap w:val="0"/>
            <w:vAlign w:val="center"/>
          </w:tcPr>
          <w:p w14:paraId="1543BDF2">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eastAsia="宋体" w:cs="宋体"/>
                <w:color w:val="auto"/>
                <w:sz w:val="21"/>
                <w:szCs w:val="22"/>
                <w:highlight w:val="none"/>
                <w:lang w:val="en-US" w:eastAsia="zh-CN"/>
              </w:rPr>
            </w:pPr>
          </w:p>
        </w:tc>
      </w:tr>
      <w:tr w14:paraId="05133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819" w:type="dxa"/>
            <w:noWrap w:val="0"/>
            <w:vAlign w:val="center"/>
          </w:tcPr>
          <w:p w14:paraId="46FD0F8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项目负责人</w:t>
            </w:r>
          </w:p>
        </w:tc>
        <w:tc>
          <w:tcPr>
            <w:tcW w:w="7771" w:type="dxa"/>
            <w:noWrap w:val="0"/>
            <w:vAlign w:val="center"/>
          </w:tcPr>
          <w:p w14:paraId="4B1BFC52">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eastAsia="宋体" w:cs="宋体"/>
                <w:color w:val="auto"/>
                <w:kern w:val="2"/>
                <w:sz w:val="24"/>
                <w:highlight w:val="none"/>
                <w:lang w:val="en-US" w:eastAsia="zh-CN" w:bidi="ar-SA"/>
              </w:rPr>
            </w:pPr>
          </w:p>
        </w:tc>
      </w:tr>
      <w:tr w14:paraId="6CE6A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1819" w:type="dxa"/>
            <w:noWrap w:val="0"/>
            <w:vAlign w:val="center"/>
          </w:tcPr>
          <w:p w14:paraId="4F35859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备注</w:t>
            </w:r>
          </w:p>
        </w:tc>
        <w:tc>
          <w:tcPr>
            <w:tcW w:w="7771" w:type="dxa"/>
            <w:noWrap w:val="0"/>
            <w:vAlign w:val="center"/>
          </w:tcPr>
          <w:p w14:paraId="71BF3B87">
            <w:pPr>
              <w:pStyle w:val="37"/>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eastAsia="宋体" w:cs="宋体"/>
                <w:color w:val="auto"/>
                <w:sz w:val="21"/>
                <w:szCs w:val="22"/>
                <w:highlight w:val="none"/>
              </w:rPr>
            </w:pPr>
            <w:r>
              <w:rPr>
                <w:rFonts w:hint="eastAsia" w:ascii="宋体" w:hAnsi="宋体" w:cs="宋体"/>
                <w:color w:val="auto"/>
                <w:sz w:val="24"/>
                <w:highlight w:val="none"/>
                <w:lang w:eastAsia="zh-CN"/>
              </w:rPr>
              <w:t>磋商报价是指所投服务报价合计，含提供服务所产生的一切费用。</w:t>
            </w:r>
          </w:p>
        </w:tc>
      </w:tr>
    </w:tbl>
    <w:p w14:paraId="3F7656A1">
      <w:pPr>
        <w:pStyle w:val="2"/>
        <w:rPr>
          <w:rFonts w:hint="eastAsia" w:ascii="宋体" w:hAnsi="宋体" w:eastAsia="宋体" w:cs="宋体"/>
          <w:color w:val="auto"/>
          <w:sz w:val="24"/>
          <w:highlight w:val="none"/>
        </w:rPr>
      </w:pPr>
    </w:p>
    <w:p w14:paraId="72FF5136">
      <w:pPr>
        <w:pStyle w:val="2"/>
        <w:rPr>
          <w:rFonts w:hint="eastAsia" w:ascii="宋体" w:hAnsi="宋体" w:eastAsia="宋体" w:cs="宋体"/>
          <w:color w:val="auto"/>
          <w:sz w:val="24"/>
          <w:highlight w:val="none"/>
        </w:rPr>
      </w:pPr>
    </w:p>
    <w:p w14:paraId="00D6981F">
      <w:pPr>
        <w:pStyle w:val="2"/>
        <w:rPr>
          <w:rFonts w:hint="eastAsia" w:ascii="宋体" w:hAnsi="宋体" w:eastAsia="宋体" w:cs="宋体"/>
          <w:color w:val="auto"/>
          <w:sz w:val="24"/>
          <w:highlight w:val="none"/>
        </w:rPr>
      </w:pPr>
    </w:p>
    <w:p w14:paraId="7903A766">
      <w:pPr>
        <w:keepNext w:val="0"/>
        <w:keepLines w:val="0"/>
        <w:pageBreakBefore w:val="0"/>
        <w:widowControl w:val="0"/>
        <w:tabs>
          <w:tab w:val="left" w:pos="9135"/>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w:t>
      </w:r>
      <w:r>
        <w:rPr>
          <w:rFonts w:hint="eastAsia" w:ascii="宋体" w:hAnsi="宋体" w:cs="宋体"/>
          <w:color w:val="auto"/>
          <w:sz w:val="24"/>
          <w:szCs w:val="24"/>
          <w:highlight w:val="none"/>
          <w:lang w:eastAsia="zh-CN"/>
        </w:rPr>
        <w:t>公章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54CE6E63">
      <w:pPr>
        <w:keepNext w:val="0"/>
        <w:keepLines w:val="0"/>
        <w:pageBreakBefore w:val="0"/>
        <w:widowControl w:val="0"/>
        <w:tabs>
          <w:tab w:val="left" w:pos="9135"/>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p>
    <w:p w14:paraId="233705B4">
      <w:pPr>
        <w:keepNext w:val="0"/>
        <w:keepLines w:val="0"/>
        <w:pageBreakBefore w:val="0"/>
        <w:widowControl w:val="0"/>
        <w:tabs>
          <w:tab w:val="left" w:pos="9135"/>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签名</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3086E9EB">
      <w:pPr>
        <w:keepNext w:val="0"/>
        <w:keepLines w:val="0"/>
        <w:pageBreakBefore w:val="0"/>
        <w:widowControl w:val="0"/>
        <w:tabs>
          <w:tab w:val="left" w:pos="9135"/>
        </w:tabs>
        <w:kinsoku/>
        <w:wordWrap/>
        <w:overflowPunct/>
        <w:topLinePunct w:val="0"/>
        <w:autoSpaceDE/>
        <w:autoSpaceDN/>
        <w:bidi w:val="0"/>
        <w:adjustRightInd w:val="0"/>
        <w:snapToGrid w:val="0"/>
        <w:spacing w:line="400" w:lineRule="atLeast"/>
        <w:ind w:firstLine="480" w:firstLineChars="200"/>
        <w:textAlignment w:val="auto"/>
        <w:rPr>
          <w:rFonts w:hint="eastAsia" w:ascii="宋体" w:hAnsi="宋体" w:eastAsia="宋体" w:cs="宋体"/>
          <w:color w:val="auto"/>
          <w:sz w:val="24"/>
          <w:szCs w:val="24"/>
          <w:highlight w:val="none"/>
        </w:rPr>
      </w:pPr>
    </w:p>
    <w:p w14:paraId="71E5E4E9">
      <w:pPr>
        <w:pStyle w:val="37"/>
        <w:keepNext w:val="0"/>
        <w:keepLines w:val="0"/>
        <w:pageBreakBefore w:val="0"/>
        <w:widowControl w:val="0"/>
        <w:kinsoku/>
        <w:wordWrap/>
        <w:overflowPunct/>
        <w:topLinePunct w:val="0"/>
        <w:autoSpaceDE/>
        <w:autoSpaceDN/>
        <w:bidi w:val="0"/>
        <w:adjustRightInd w:val="0"/>
        <w:snapToGrid w:val="0"/>
        <w:spacing w:after="0"/>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5B01CEB7">
      <w:pPr>
        <w:tabs>
          <w:tab w:val="left" w:pos="9135"/>
        </w:tabs>
        <w:spacing w:line="400" w:lineRule="atLeast"/>
        <w:rPr>
          <w:rFonts w:hint="eastAsia" w:ascii="宋体" w:hAnsi="宋体" w:eastAsia="宋体" w:cs="宋体"/>
          <w:color w:val="auto"/>
          <w:sz w:val="24"/>
          <w:highlight w:val="none"/>
        </w:rPr>
      </w:pPr>
    </w:p>
    <w:p w14:paraId="1207152D">
      <w:pPr>
        <w:tabs>
          <w:tab w:val="left" w:pos="9135"/>
        </w:tabs>
        <w:spacing w:line="400" w:lineRule="atLeast"/>
        <w:rPr>
          <w:rFonts w:hint="eastAsia" w:ascii="宋体" w:hAnsi="宋体" w:eastAsia="宋体" w:cs="宋体"/>
          <w:b w:val="0"/>
          <w:bCs w:val="0"/>
          <w:color w:val="auto"/>
          <w:kern w:val="0"/>
          <w:sz w:val="24"/>
          <w:szCs w:val="24"/>
          <w:highlight w:val="none"/>
        </w:rPr>
      </w:pPr>
    </w:p>
    <w:p w14:paraId="0EA941CD">
      <w:pPr>
        <w:tabs>
          <w:tab w:val="left" w:pos="9135"/>
        </w:tabs>
        <w:spacing w:line="400" w:lineRule="atLeast"/>
        <w:rPr>
          <w:rFonts w:hint="eastAsia" w:ascii="宋体" w:hAnsi="宋体" w:eastAsia="宋体" w:cs="宋体"/>
          <w:b w:val="0"/>
          <w:bCs w:val="0"/>
          <w:color w:val="auto"/>
          <w:kern w:val="0"/>
          <w:sz w:val="24"/>
          <w:szCs w:val="24"/>
          <w:highlight w:val="none"/>
        </w:rPr>
      </w:pPr>
    </w:p>
    <w:p w14:paraId="2A57A849">
      <w:pPr>
        <w:tabs>
          <w:tab w:val="left" w:pos="9135"/>
        </w:tabs>
        <w:spacing w:line="400" w:lineRule="atLeast"/>
        <w:rPr>
          <w:rFonts w:hint="eastAsia" w:ascii="宋体" w:hAnsi="宋体" w:eastAsia="宋体" w:cs="宋体"/>
          <w:b w:val="0"/>
          <w:bCs w:val="0"/>
          <w:color w:val="auto"/>
          <w:kern w:val="0"/>
          <w:sz w:val="24"/>
          <w:szCs w:val="24"/>
          <w:highlight w:val="none"/>
        </w:rPr>
      </w:pPr>
    </w:p>
    <w:p w14:paraId="10EF7AAB">
      <w:pPr>
        <w:tabs>
          <w:tab w:val="left" w:pos="9135"/>
        </w:tabs>
        <w:spacing w:line="400" w:lineRule="atLeast"/>
        <w:rPr>
          <w:rFonts w:hint="eastAsia" w:ascii="宋体" w:hAnsi="宋体" w:eastAsia="宋体" w:cs="宋体"/>
          <w:b w:val="0"/>
          <w:bCs w:val="0"/>
          <w:color w:val="auto"/>
          <w:kern w:val="0"/>
          <w:sz w:val="24"/>
          <w:szCs w:val="24"/>
          <w:highlight w:val="none"/>
        </w:rPr>
      </w:pPr>
    </w:p>
    <w:p w14:paraId="49416AF3">
      <w:pPr>
        <w:tabs>
          <w:tab w:val="left" w:pos="9135"/>
        </w:tabs>
        <w:spacing w:line="400" w:lineRule="atLeast"/>
        <w:rPr>
          <w:rFonts w:hint="eastAsia" w:ascii="宋体" w:hAnsi="宋体" w:eastAsia="宋体" w:cs="宋体"/>
          <w:b w:val="0"/>
          <w:bCs w:val="0"/>
          <w:color w:val="auto"/>
          <w:kern w:val="0"/>
          <w:sz w:val="24"/>
          <w:szCs w:val="24"/>
          <w:highlight w:val="none"/>
        </w:rPr>
      </w:pPr>
    </w:p>
    <w:p w14:paraId="01821A75">
      <w:pPr>
        <w:tabs>
          <w:tab w:val="left" w:pos="9135"/>
        </w:tabs>
        <w:spacing w:line="400" w:lineRule="atLeast"/>
        <w:rPr>
          <w:rFonts w:hint="eastAsia" w:ascii="宋体" w:hAnsi="宋体" w:eastAsia="宋体" w:cs="宋体"/>
          <w:b w:val="0"/>
          <w:bCs w:val="0"/>
          <w:color w:val="auto"/>
          <w:kern w:val="0"/>
          <w:sz w:val="24"/>
          <w:szCs w:val="24"/>
          <w:highlight w:val="none"/>
        </w:rPr>
      </w:pPr>
    </w:p>
    <w:p w14:paraId="60E5EE0C">
      <w:pPr>
        <w:tabs>
          <w:tab w:val="left" w:pos="9135"/>
        </w:tabs>
        <w:spacing w:line="400" w:lineRule="atLeast"/>
        <w:rPr>
          <w:rFonts w:hint="eastAsia" w:ascii="宋体" w:hAnsi="宋体" w:eastAsia="宋体" w:cs="宋体"/>
          <w:b w:val="0"/>
          <w:bCs w:val="0"/>
          <w:color w:val="auto"/>
          <w:kern w:val="0"/>
          <w:sz w:val="24"/>
          <w:szCs w:val="24"/>
          <w:highlight w:val="none"/>
        </w:rPr>
      </w:pPr>
    </w:p>
    <w:p w14:paraId="4BA4C764">
      <w:pPr>
        <w:tabs>
          <w:tab w:val="left" w:pos="9135"/>
        </w:tabs>
        <w:spacing w:line="400" w:lineRule="atLeast"/>
        <w:rPr>
          <w:rFonts w:hint="eastAsia" w:ascii="宋体" w:hAnsi="宋体" w:eastAsia="宋体" w:cs="宋体"/>
          <w:b w:val="0"/>
          <w:bCs w:val="0"/>
          <w:color w:val="auto"/>
          <w:kern w:val="0"/>
          <w:sz w:val="24"/>
          <w:szCs w:val="24"/>
          <w:highlight w:val="none"/>
        </w:rPr>
      </w:pPr>
    </w:p>
    <w:p w14:paraId="560B816A">
      <w:pPr>
        <w:tabs>
          <w:tab w:val="left" w:pos="9135"/>
        </w:tabs>
        <w:spacing w:line="400" w:lineRule="atLeast"/>
        <w:rPr>
          <w:rFonts w:hint="eastAsia" w:ascii="宋体" w:hAnsi="宋体" w:eastAsia="宋体" w:cs="宋体"/>
          <w:b w:val="0"/>
          <w:bCs w:val="0"/>
          <w:color w:val="auto"/>
          <w:kern w:val="0"/>
          <w:sz w:val="24"/>
          <w:szCs w:val="24"/>
          <w:highlight w:val="none"/>
        </w:rPr>
      </w:pPr>
    </w:p>
    <w:p w14:paraId="6205713F">
      <w:pPr>
        <w:pStyle w:val="47"/>
        <w:rPr>
          <w:rFonts w:hint="eastAsia"/>
          <w:color w:val="auto"/>
          <w:highlight w:val="none"/>
        </w:rPr>
      </w:pPr>
    </w:p>
    <w:p w14:paraId="04E38776">
      <w:pPr>
        <w:tabs>
          <w:tab w:val="left" w:pos="9135"/>
        </w:tabs>
        <w:spacing w:line="400" w:lineRule="atLeast"/>
        <w:rPr>
          <w:rFonts w:hint="eastAsia" w:ascii="宋体" w:hAnsi="宋体" w:eastAsia="宋体" w:cs="宋体"/>
          <w:b w:val="0"/>
          <w:bCs w:val="0"/>
          <w:color w:val="auto"/>
          <w:kern w:val="0"/>
          <w:sz w:val="24"/>
          <w:szCs w:val="24"/>
          <w:highlight w:val="none"/>
        </w:rPr>
      </w:pPr>
    </w:p>
    <w:p w14:paraId="558E6CE3">
      <w:pPr>
        <w:tabs>
          <w:tab w:val="left" w:pos="9135"/>
        </w:tabs>
        <w:spacing w:line="400" w:lineRule="atLeast"/>
        <w:rPr>
          <w:rFonts w:hint="eastAsia" w:ascii="宋体" w:hAnsi="宋体" w:eastAsia="宋体" w:cs="宋体"/>
          <w:b w:val="0"/>
          <w:bCs w:val="0"/>
          <w:color w:val="auto"/>
          <w:kern w:val="0"/>
          <w:sz w:val="24"/>
          <w:szCs w:val="24"/>
          <w:highlight w:val="none"/>
        </w:rPr>
      </w:pPr>
    </w:p>
    <w:p w14:paraId="31EE1BBE">
      <w:pPr>
        <w:tabs>
          <w:tab w:val="left" w:pos="9135"/>
        </w:tabs>
        <w:spacing w:line="400" w:lineRule="atLeast"/>
        <w:rPr>
          <w:rFonts w:hint="eastAsia" w:ascii="宋体" w:hAnsi="宋体" w:eastAsia="宋体" w:cs="宋体"/>
          <w:b w:val="0"/>
          <w:bCs w:val="0"/>
          <w:color w:val="auto"/>
          <w:kern w:val="0"/>
          <w:sz w:val="24"/>
          <w:szCs w:val="24"/>
          <w:highlight w:val="none"/>
        </w:rPr>
      </w:pPr>
    </w:p>
    <w:p w14:paraId="285B317A">
      <w:pPr>
        <w:pStyle w:val="5"/>
        <w:keepNext/>
        <w:keepLines/>
        <w:pageBreakBefore w:val="0"/>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316" w:name="_Toc29772"/>
      <w:bookmarkStart w:id="317" w:name="_Toc8870"/>
      <w:bookmarkStart w:id="318" w:name="_Toc29193"/>
      <w:bookmarkStart w:id="319" w:name="_Toc31367"/>
      <w:bookmarkStart w:id="320" w:name="_Toc25090"/>
      <w:bookmarkStart w:id="321" w:name="_Toc23478"/>
      <w:bookmarkStart w:id="322" w:name="_Toc18970"/>
      <w:bookmarkStart w:id="323" w:name="_Toc14960"/>
      <w:bookmarkStart w:id="324" w:name="_Toc23651"/>
      <w:bookmarkStart w:id="325" w:name="_Toc25313"/>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商务技术文件</w:t>
      </w:r>
      <w:bookmarkEnd w:id="316"/>
      <w:bookmarkEnd w:id="317"/>
      <w:bookmarkEnd w:id="318"/>
      <w:bookmarkEnd w:id="319"/>
      <w:bookmarkEnd w:id="320"/>
      <w:bookmarkEnd w:id="321"/>
    </w:p>
    <w:p w14:paraId="4D2EE1DE">
      <w:pPr>
        <w:pStyle w:val="6"/>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326" w:name="_Toc22531"/>
      <w:bookmarkStart w:id="327" w:name="_Toc26344"/>
      <w:bookmarkStart w:id="328" w:name="_Toc12767"/>
      <w:bookmarkStart w:id="329" w:name="_Toc1688"/>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投标函</w:t>
      </w:r>
      <w:bookmarkEnd w:id="326"/>
      <w:bookmarkEnd w:id="327"/>
      <w:bookmarkEnd w:id="328"/>
      <w:bookmarkEnd w:id="329"/>
    </w:p>
    <w:p w14:paraId="047BAC77">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u w:val="single"/>
        </w:rPr>
      </w:pPr>
      <w:r>
        <w:rPr>
          <w:rFonts w:hint="eastAsia" w:ascii="宋体" w:hAnsi="宋体" w:eastAsia="宋体" w:cs="宋体"/>
          <w:i/>
          <w:iCs/>
          <w:color w:val="auto"/>
          <w:sz w:val="24"/>
          <w:highlight w:val="none"/>
          <w:u w:val="single"/>
          <w:lang w:eastAsia="zh-CN"/>
        </w:rPr>
        <w:t>（采购人</w:t>
      </w:r>
      <w:r>
        <w:rPr>
          <w:rFonts w:hint="eastAsia" w:ascii="宋体" w:hAnsi="宋体" w:eastAsia="宋体" w:cs="宋体"/>
          <w:i/>
          <w:iCs/>
          <w:color w:val="auto"/>
          <w:sz w:val="24"/>
          <w:highlight w:val="none"/>
          <w:u w:val="single"/>
          <w:lang w:val="en-US" w:eastAsia="zh-CN"/>
        </w:rPr>
        <w:t>/采购代理机构</w:t>
      </w:r>
      <w:r>
        <w:rPr>
          <w:rFonts w:hint="eastAsia" w:ascii="宋体" w:hAnsi="宋体" w:eastAsia="宋体" w:cs="宋体"/>
          <w:i/>
          <w:iCs/>
          <w:color w:val="auto"/>
          <w:sz w:val="24"/>
          <w:highlight w:val="none"/>
          <w:u w:val="single"/>
          <w:lang w:eastAsia="zh-CN"/>
        </w:rPr>
        <w:t>）</w:t>
      </w:r>
      <w:r>
        <w:rPr>
          <w:rFonts w:hint="eastAsia" w:ascii="宋体" w:hAnsi="宋体" w:eastAsia="宋体" w:cs="宋体"/>
          <w:color w:val="auto"/>
          <w:sz w:val="24"/>
          <w:highlight w:val="none"/>
        </w:rPr>
        <w:t>：</w:t>
      </w:r>
    </w:p>
    <w:p w14:paraId="33EAB9D1">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授权</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投标人授权代理人姓名</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职务、职称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为我方代表，参加贵方组织的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w:t>
      </w:r>
      <w:r>
        <w:rPr>
          <w:rFonts w:hint="eastAsia" w:ascii="宋体" w:hAnsi="宋体" w:eastAsia="宋体" w:cs="宋体"/>
          <w:i/>
          <w:iCs/>
          <w:color w:val="auto"/>
          <w:sz w:val="24"/>
          <w:highlight w:val="none"/>
          <w:u w:val="single"/>
        </w:rPr>
        <w:t>项目名称</w:t>
      </w:r>
      <w:r>
        <w:rPr>
          <w:rFonts w:hint="eastAsia" w:ascii="宋体" w:hAnsi="宋体" w:eastAsia="宋体" w:cs="宋体"/>
          <w:i/>
          <w:iCs/>
          <w:color w:val="auto"/>
          <w:sz w:val="24"/>
          <w:highlight w:val="none"/>
          <w:u w:val="single"/>
          <w:lang w:val="en-US" w:eastAsia="zh-CN"/>
        </w:rPr>
        <w:t>及</w:t>
      </w:r>
      <w:r>
        <w:rPr>
          <w:rFonts w:hint="eastAsia" w:ascii="宋体" w:hAnsi="宋体" w:eastAsia="宋体" w:cs="宋体"/>
          <w:i/>
          <w:iCs/>
          <w:color w:val="auto"/>
          <w:sz w:val="24"/>
          <w:highlight w:val="none"/>
          <w:u w:val="single"/>
        </w:rPr>
        <w:t>编号</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招标的有关活动，并对此项目进行投标。为此：</w:t>
      </w:r>
    </w:p>
    <w:p w14:paraId="21B654D1">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1、我方同意在本项目</w:t>
      </w:r>
      <w:r>
        <w:rPr>
          <w:rFonts w:hint="eastAsia" w:ascii="宋体" w:hAnsi="宋体" w:eastAsia="宋体" w:cs="宋体"/>
          <w:color w:val="auto"/>
          <w:sz w:val="24"/>
          <w:highlight w:val="none"/>
          <w:lang w:eastAsia="zh-CN"/>
        </w:rPr>
        <w:t>采购文件</w:t>
      </w:r>
      <w:r>
        <w:rPr>
          <w:rFonts w:hint="eastAsia" w:ascii="宋体" w:hAnsi="宋体" w:eastAsia="宋体" w:cs="宋体"/>
          <w:color w:val="auto"/>
          <w:sz w:val="24"/>
          <w:highlight w:val="none"/>
        </w:rPr>
        <w:t>中规定的</w:t>
      </w:r>
      <w:r>
        <w:rPr>
          <w:rFonts w:hint="eastAsia" w:ascii="宋体" w:hAnsi="宋体" w:eastAsia="宋体" w:cs="宋体"/>
          <w:color w:val="auto"/>
          <w:sz w:val="24"/>
          <w:highlight w:val="none"/>
          <w:lang w:eastAsia="zh-CN"/>
        </w:rPr>
        <w:t>磋商有效期</w:t>
      </w:r>
      <w:r>
        <w:rPr>
          <w:rFonts w:hint="eastAsia" w:ascii="宋体" w:hAnsi="宋体" w:eastAsia="宋体" w:cs="宋体"/>
          <w:color w:val="auto"/>
          <w:sz w:val="24"/>
          <w:highlight w:val="none"/>
        </w:rPr>
        <w:t>内遵守本</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文件中的承诺且在此期限期满之前均具有约束力。</w:t>
      </w:r>
    </w:p>
    <w:p w14:paraId="1DF37E58">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2、提供投标人须知规定的全部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w:t>
      </w:r>
    </w:p>
    <w:p w14:paraId="0E61D969">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、按</w:t>
      </w:r>
      <w:r>
        <w:rPr>
          <w:rFonts w:hint="eastAsia" w:ascii="宋体" w:hAnsi="宋体" w:eastAsia="宋体" w:cs="宋体"/>
          <w:color w:val="auto"/>
          <w:sz w:val="24"/>
          <w:highlight w:val="none"/>
          <w:lang w:eastAsia="zh-CN"/>
        </w:rPr>
        <w:t>采购文件</w:t>
      </w:r>
      <w:r>
        <w:rPr>
          <w:rFonts w:hint="eastAsia" w:ascii="宋体" w:hAnsi="宋体" w:eastAsia="宋体" w:cs="宋体"/>
          <w:color w:val="auto"/>
          <w:sz w:val="24"/>
          <w:highlight w:val="none"/>
        </w:rPr>
        <w:t>要求提供服务的</w:t>
      </w:r>
      <w:r>
        <w:rPr>
          <w:rFonts w:hint="eastAsia" w:ascii="宋体" w:hAnsi="宋体" w:eastAsia="宋体" w:cs="宋体"/>
          <w:color w:val="auto"/>
          <w:sz w:val="24"/>
          <w:highlight w:val="none"/>
          <w:lang w:eastAsia="zh-CN"/>
        </w:rPr>
        <w:t>磋商报价</w:t>
      </w:r>
      <w:r>
        <w:rPr>
          <w:rFonts w:hint="eastAsia" w:ascii="宋体" w:hAnsi="宋体" w:eastAsia="宋体" w:cs="宋体"/>
          <w:color w:val="auto"/>
          <w:sz w:val="24"/>
          <w:highlight w:val="none"/>
        </w:rPr>
        <w:t>详见</w:t>
      </w:r>
      <w:r>
        <w:rPr>
          <w:rFonts w:hint="eastAsia" w:ascii="宋体" w:hAnsi="宋体" w:eastAsia="宋体" w:cs="宋体"/>
          <w:color w:val="auto"/>
          <w:sz w:val="24"/>
          <w:highlight w:val="none"/>
          <w:lang w:eastAsia="zh-CN"/>
        </w:rPr>
        <w:t>报价一览表</w:t>
      </w:r>
      <w:r>
        <w:rPr>
          <w:rFonts w:hint="eastAsia" w:ascii="宋体" w:hAnsi="宋体" w:eastAsia="宋体" w:cs="宋体"/>
          <w:color w:val="auto"/>
          <w:sz w:val="24"/>
          <w:highlight w:val="none"/>
        </w:rPr>
        <w:t>。</w:t>
      </w:r>
    </w:p>
    <w:p w14:paraId="207501E9">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、保证忠实地执行双方所签订的合同，并承担合同规定的责任和义务。</w:t>
      </w:r>
    </w:p>
    <w:p w14:paraId="6FD844A5">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、我方承诺完全满足和响应</w:t>
      </w:r>
      <w:r>
        <w:rPr>
          <w:rFonts w:hint="eastAsia" w:ascii="宋体" w:hAnsi="宋体" w:eastAsia="宋体" w:cs="宋体"/>
          <w:color w:val="auto"/>
          <w:sz w:val="24"/>
          <w:highlight w:val="none"/>
          <w:lang w:eastAsia="zh-CN"/>
        </w:rPr>
        <w:t>采购文件</w:t>
      </w:r>
      <w:r>
        <w:rPr>
          <w:rFonts w:hint="eastAsia" w:ascii="宋体" w:hAnsi="宋体" w:eastAsia="宋体" w:cs="宋体"/>
          <w:color w:val="auto"/>
          <w:sz w:val="24"/>
          <w:highlight w:val="none"/>
        </w:rPr>
        <w:t>中的各项技术和服务要求，若有偏差，已在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文件偏离表中予以明确特别说明。</w:t>
      </w:r>
    </w:p>
    <w:p w14:paraId="7FD86FC1">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、我方承诺：完全理解</w:t>
      </w:r>
      <w:r>
        <w:rPr>
          <w:rFonts w:hint="eastAsia" w:ascii="宋体" w:hAnsi="宋体" w:eastAsia="宋体" w:cs="宋体"/>
          <w:color w:val="auto"/>
          <w:sz w:val="24"/>
          <w:highlight w:val="none"/>
          <w:lang w:eastAsia="zh-CN"/>
        </w:rPr>
        <w:t>磋商报价</w:t>
      </w:r>
      <w:r>
        <w:rPr>
          <w:rFonts w:hint="eastAsia" w:ascii="宋体" w:hAnsi="宋体" w:eastAsia="宋体" w:cs="宋体"/>
          <w:color w:val="auto"/>
          <w:sz w:val="24"/>
          <w:highlight w:val="none"/>
        </w:rPr>
        <w:t>若超过项目预算</w:t>
      </w:r>
      <w:r>
        <w:rPr>
          <w:rFonts w:hint="eastAsia" w:ascii="宋体" w:hAnsi="宋体" w:eastAsia="宋体" w:cs="宋体"/>
          <w:color w:val="auto"/>
          <w:sz w:val="24"/>
          <w:highlight w:val="none"/>
          <w:lang w:val="en-US" w:eastAsia="zh-CN"/>
        </w:rPr>
        <w:t>或未按采购文件要求报价</w:t>
      </w:r>
      <w:r>
        <w:rPr>
          <w:rFonts w:hint="eastAsia" w:ascii="宋体" w:hAnsi="宋体" w:eastAsia="宋体" w:cs="宋体"/>
          <w:color w:val="auto"/>
          <w:sz w:val="24"/>
          <w:highlight w:val="none"/>
        </w:rPr>
        <w:t>时，投标将被拒绝。</w:t>
      </w:r>
    </w:p>
    <w:p w14:paraId="497B27BC">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、我方承诺：与在本项目中设计编制技术规格的机构及其附属机构无任何直接隶属关系和利益关联。</w:t>
      </w:r>
    </w:p>
    <w:p w14:paraId="27E1EFFE">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、我方承诺：</w:t>
      </w:r>
      <w:r>
        <w:rPr>
          <w:rFonts w:hint="eastAsia" w:ascii="宋体" w:hAnsi="宋体" w:eastAsia="宋体" w:cs="宋体"/>
          <w:color w:val="auto"/>
          <w:sz w:val="24"/>
          <w:highlight w:val="none"/>
          <w:lang w:eastAsia="zh-CN"/>
        </w:rPr>
        <w:t>磋商有效期为</w:t>
      </w:r>
      <w:r>
        <w:rPr>
          <w:rFonts w:hint="eastAsia" w:ascii="宋体" w:hAnsi="宋体" w:eastAsia="宋体" w:cs="宋体"/>
          <w:color w:val="auto"/>
          <w:sz w:val="24"/>
          <w:highlight w:val="none"/>
          <w:u w:val="single"/>
          <w:lang w:val="en-US" w:eastAsia="zh-CN"/>
        </w:rPr>
        <w:t xml:space="preserve"> 90 </w:t>
      </w:r>
      <w:r>
        <w:rPr>
          <w:rFonts w:hint="eastAsia" w:ascii="宋体" w:hAnsi="宋体" w:eastAsia="宋体" w:cs="宋体"/>
          <w:color w:val="auto"/>
          <w:sz w:val="24"/>
          <w:highlight w:val="none"/>
          <w:lang w:val="en-US" w:eastAsia="zh-CN"/>
        </w:rPr>
        <w:t>日（日历日），</w:t>
      </w:r>
      <w:r>
        <w:rPr>
          <w:rFonts w:hint="eastAsia" w:ascii="宋体" w:hAnsi="宋体" w:eastAsia="宋体" w:cs="宋体"/>
          <w:color w:val="auto"/>
          <w:sz w:val="24"/>
          <w:highlight w:val="none"/>
        </w:rPr>
        <w:t>如果在开标后规定的</w:t>
      </w:r>
      <w:r>
        <w:rPr>
          <w:rFonts w:hint="eastAsia" w:ascii="宋体" w:hAnsi="宋体" w:eastAsia="宋体" w:cs="宋体"/>
          <w:color w:val="auto"/>
          <w:sz w:val="24"/>
          <w:highlight w:val="none"/>
          <w:lang w:eastAsia="zh-CN"/>
        </w:rPr>
        <w:t>磋商有效期</w:t>
      </w:r>
      <w:r>
        <w:rPr>
          <w:rFonts w:hint="eastAsia" w:ascii="宋体" w:hAnsi="宋体" w:eastAsia="宋体" w:cs="宋体"/>
          <w:color w:val="auto"/>
          <w:sz w:val="24"/>
          <w:highlight w:val="none"/>
        </w:rPr>
        <w:t>内撤回投标，我方的</w:t>
      </w:r>
      <w:r>
        <w:rPr>
          <w:rFonts w:hint="eastAsia" w:ascii="宋体" w:hAnsi="宋体" w:eastAsia="宋体" w:cs="宋体"/>
          <w:color w:val="auto"/>
          <w:sz w:val="24"/>
          <w:highlight w:val="none"/>
          <w:lang w:eastAsia="zh-CN"/>
        </w:rPr>
        <w:t>磋商保证金</w:t>
      </w:r>
      <w:r>
        <w:rPr>
          <w:rFonts w:hint="eastAsia" w:ascii="宋体" w:hAnsi="宋体" w:eastAsia="宋体" w:cs="宋体"/>
          <w:color w:val="auto"/>
          <w:sz w:val="24"/>
          <w:highlight w:val="none"/>
        </w:rPr>
        <w:t>可被贵方没收。</w:t>
      </w:r>
    </w:p>
    <w:p w14:paraId="70D5063B">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、我方完全理解贵方不一定接受最低价的投标或收到的任何投标。</w:t>
      </w:r>
    </w:p>
    <w:p w14:paraId="7E16D607">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、我方承诺：</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7D383908">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、我方已详细审核全部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文件，包括</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文件修改书（如有的话）、参考资料及有关附件，确认无误。</w:t>
      </w:r>
    </w:p>
    <w:p w14:paraId="4110AC64">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、我方承诺：采购人若需追加采购本项目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文件所列服务的，在不改变合同其他实质性条款的前提下，按相同或更优惠的折扣率保证</w:t>
      </w:r>
      <w:r>
        <w:rPr>
          <w:rFonts w:hint="eastAsia" w:ascii="宋体" w:hAnsi="宋体" w:eastAsia="宋体" w:cs="宋体"/>
          <w:color w:val="auto"/>
          <w:sz w:val="24"/>
          <w:highlight w:val="none"/>
          <w:lang w:val="en-US" w:eastAsia="zh-CN"/>
        </w:rPr>
        <w:t>提供服务</w:t>
      </w:r>
      <w:r>
        <w:rPr>
          <w:rFonts w:hint="eastAsia" w:ascii="宋体" w:hAnsi="宋体" w:eastAsia="宋体" w:cs="宋体"/>
          <w:color w:val="auto"/>
          <w:sz w:val="24"/>
          <w:highlight w:val="none"/>
        </w:rPr>
        <w:t>。</w:t>
      </w:r>
    </w:p>
    <w:p w14:paraId="61123F8B">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、我方承诺：接受</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文件中的全部条款且无任何异议，保证遵守</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文件的规定。</w:t>
      </w:r>
    </w:p>
    <w:p w14:paraId="7DCBDCBA">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587C193">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1）提供虚假材料谋取中标、成交的；</w:t>
      </w:r>
    </w:p>
    <w:p w14:paraId="68D0220A">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2）采取不正当手段诋毁、排挤其他供应商的；</w:t>
      </w:r>
    </w:p>
    <w:p w14:paraId="22097537">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3）与采购人、其他供应商或者采购代理机构工作人员恶意串通的；</w:t>
      </w:r>
    </w:p>
    <w:p w14:paraId="5E37FCCD">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4）向采购人、采购代理机构工作人员行贿或者提供其他不正当利益的；</w:t>
      </w:r>
    </w:p>
    <w:p w14:paraId="186B2747">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5）在采购过程中与采购人进行协商谈判的；</w:t>
      </w:r>
    </w:p>
    <w:p w14:paraId="20B04A48">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6）拒绝有关部门监督检查或提供虚假情况的。</w:t>
      </w:r>
    </w:p>
    <w:p w14:paraId="3C11D72F">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36E2733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4E3E890B">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rPr>
      </w:pPr>
    </w:p>
    <w:p w14:paraId="300E24F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eastAsia="zh-CN"/>
        </w:rPr>
        <w:t>公章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37DCBEB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CEF570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签名或盖章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0EBF9B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0B18AD2">
      <w:pPr>
        <w:pStyle w:val="37"/>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5CB53E7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26A321D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2D969AB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327EFB5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01C0576C">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说明：除可填报项目外，对本投标函的任何修改将被视为非实质性响应投标，从而导致该投标被拒绝。</w:t>
      </w:r>
    </w:p>
    <w:p w14:paraId="5E7D6B7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5664824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09A317E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490B677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347F3BB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3C9EA58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1E6946C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1FC26A9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009499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1C74A1E">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30" w:name="_Toc27497"/>
      <w:bookmarkStart w:id="331" w:name="_Toc26956"/>
      <w:bookmarkStart w:id="332" w:name="_Toc17943"/>
      <w:bookmarkStart w:id="333" w:name="_Toc29934"/>
      <w:bookmarkStart w:id="334" w:name="_Toc217446088"/>
      <w:r>
        <w:rPr>
          <w:rFonts w:hint="eastAsia" w:ascii="宋体" w:hAnsi="宋体" w:eastAsia="宋体" w:cs="宋体"/>
          <w:color w:val="auto"/>
          <w:sz w:val="24"/>
          <w:szCs w:val="24"/>
          <w:highlight w:val="none"/>
          <w:lang w:eastAsia="zh-CN"/>
        </w:rPr>
        <w:t>（二）供应商基本情况表</w:t>
      </w:r>
      <w:bookmarkEnd w:id="330"/>
      <w:bookmarkEnd w:id="331"/>
      <w:bookmarkEnd w:id="332"/>
      <w:bookmarkEnd w:id="333"/>
      <w:bookmarkEnd w:id="334"/>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1120"/>
        <w:gridCol w:w="1192"/>
        <w:gridCol w:w="1306"/>
        <w:gridCol w:w="1792"/>
        <w:gridCol w:w="1030"/>
        <w:gridCol w:w="1388"/>
      </w:tblGrid>
      <w:tr w14:paraId="7ADF2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66E1155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供应商名称</w:t>
            </w:r>
          </w:p>
        </w:tc>
        <w:tc>
          <w:tcPr>
            <w:tcW w:w="7828" w:type="dxa"/>
            <w:gridSpan w:val="6"/>
            <w:noWrap w:val="0"/>
            <w:vAlign w:val="center"/>
          </w:tcPr>
          <w:p w14:paraId="01EDDB8C">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 w:val="24"/>
                <w:szCs w:val="24"/>
                <w:highlight w:val="none"/>
              </w:rPr>
            </w:pPr>
          </w:p>
        </w:tc>
      </w:tr>
      <w:tr w14:paraId="34F2A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74ED0BF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是否为联合体</w:t>
            </w:r>
          </w:p>
        </w:tc>
        <w:tc>
          <w:tcPr>
            <w:tcW w:w="7828" w:type="dxa"/>
            <w:gridSpan w:val="6"/>
            <w:noWrap w:val="0"/>
            <w:vAlign w:val="center"/>
          </w:tcPr>
          <w:p w14:paraId="2D21B3F3">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是     </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否</w:t>
            </w:r>
          </w:p>
        </w:tc>
      </w:tr>
      <w:tr w14:paraId="7E1DE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3E6F1B5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注册地址</w:t>
            </w:r>
          </w:p>
        </w:tc>
        <w:tc>
          <w:tcPr>
            <w:tcW w:w="3618" w:type="dxa"/>
            <w:gridSpan w:val="3"/>
            <w:noWrap w:val="0"/>
            <w:vAlign w:val="center"/>
          </w:tcPr>
          <w:p w14:paraId="6EB840E2">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 w:val="24"/>
                <w:szCs w:val="24"/>
                <w:highlight w:val="none"/>
              </w:rPr>
            </w:pPr>
          </w:p>
        </w:tc>
        <w:tc>
          <w:tcPr>
            <w:tcW w:w="1792" w:type="dxa"/>
            <w:noWrap w:val="0"/>
            <w:vAlign w:val="center"/>
          </w:tcPr>
          <w:p w14:paraId="09E310E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邮政编码</w:t>
            </w:r>
          </w:p>
        </w:tc>
        <w:tc>
          <w:tcPr>
            <w:tcW w:w="2418" w:type="dxa"/>
            <w:gridSpan w:val="2"/>
            <w:noWrap w:val="0"/>
            <w:vAlign w:val="center"/>
          </w:tcPr>
          <w:p w14:paraId="090DD88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r>
      <w:tr w14:paraId="62843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vMerge w:val="restart"/>
            <w:noWrap w:val="0"/>
            <w:vAlign w:val="center"/>
          </w:tcPr>
          <w:p w14:paraId="24CEC3C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联系方式</w:t>
            </w:r>
          </w:p>
        </w:tc>
        <w:tc>
          <w:tcPr>
            <w:tcW w:w="1120" w:type="dxa"/>
            <w:noWrap w:val="0"/>
            <w:vAlign w:val="center"/>
          </w:tcPr>
          <w:p w14:paraId="09B9B10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联系人</w:t>
            </w:r>
          </w:p>
        </w:tc>
        <w:tc>
          <w:tcPr>
            <w:tcW w:w="2498" w:type="dxa"/>
            <w:gridSpan w:val="2"/>
            <w:noWrap w:val="0"/>
            <w:vAlign w:val="center"/>
          </w:tcPr>
          <w:p w14:paraId="675146A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792" w:type="dxa"/>
            <w:noWrap w:val="0"/>
            <w:vAlign w:val="center"/>
          </w:tcPr>
          <w:p w14:paraId="3DB070C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w:t>
            </w:r>
          </w:p>
        </w:tc>
        <w:tc>
          <w:tcPr>
            <w:tcW w:w="2418" w:type="dxa"/>
            <w:gridSpan w:val="2"/>
            <w:noWrap w:val="0"/>
            <w:vAlign w:val="center"/>
          </w:tcPr>
          <w:p w14:paraId="62782B0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r>
      <w:tr w14:paraId="6B821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vMerge w:val="continue"/>
            <w:noWrap w:val="0"/>
            <w:vAlign w:val="center"/>
          </w:tcPr>
          <w:p w14:paraId="194EB91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120" w:type="dxa"/>
            <w:noWrap w:val="0"/>
            <w:vAlign w:val="center"/>
          </w:tcPr>
          <w:p w14:paraId="6DAB8EB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传真</w:t>
            </w:r>
          </w:p>
        </w:tc>
        <w:tc>
          <w:tcPr>
            <w:tcW w:w="2498" w:type="dxa"/>
            <w:gridSpan w:val="2"/>
            <w:noWrap w:val="0"/>
            <w:vAlign w:val="center"/>
          </w:tcPr>
          <w:p w14:paraId="1AB57AD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792" w:type="dxa"/>
            <w:noWrap w:val="0"/>
            <w:vAlign w:val="center"/>
          </w:tcPr>
          <w:p w14:paraId="78EC460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网址</w:t>
            </w:r>
          </w:p>
        </w:tc>
        <w:tc>
          <w:tcPr>
            <w:tcW w:w="2418" w:type="dxa"/>
            <w:gridSpan w:val="2"/>
            <w:noWrap w:val="0"/>
            <w:vAlign w:val="center"/>
          </w:tcPr>
          <w:p w14:paraId="216B140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r>
      <w:tr w14:paraId="35FB9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03F3F57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组织结构</w:t>
            </w:r>
          </w:p>
        </w:tc>
        <w:tc>
          <w:tcPr>
            <w:tcW w:w="7828" w:type="dxa"/>
            <w:gridSpan w:val="6"/>
            <w:noWrap w:val="0"/>
            <w:vAlign w:val="center"/>
          </w:tcPr>
          <w:p w14:paraId="5482CE68">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 w:val="24"/>
                <w:szCs w:val="24"/>
                <w:highlight w:val="none"/>
              </w:rPr>
            </w:pPr>
          </w:p>
        </w:tc>
      </w:tr>
      <w:tr w14:paraId="643FC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830" w:type="dxa"/>
            <w:noWrap w:val="0"/>
            <w:vAlign w:val="center"/>
          </w:tcPr>
          <w:p w14:paraId="3DF45DF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p>
        </w:tc>
        <w:tc>
          <w:tcPr>
            <w:tcW w:w="1120" w:type="dxa"/>
            <w:noWrap w:val="0"/>
            <w:vAlign w:val="center"/>
          </w:tcPr>
          <w:p w14:paraId="4918E68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姓名</w:t>
            </w:r>
          </w:p>
        </w:tc>
        <w:tc>
          <w:tcPr>
            <w:tcW w:w="1192" w:type="dxa"/>
            <w:noWrap w:val="0"/>
            <w:vAlign w:val="center"/>
          </w:tcPr>
          <w:p w14:paraId="4ACA2D1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306" w:type="dxa"/>
            <w:noWrap w:val="0"/>
            <w:vAlign w:val="center"/>
          </w:tcPr>
          <w:p w14:paraId="110F760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技术职称</w:t>
            </w:r>
          </w:p>
        </w:tc>
        <w:tc>
          <w:tcPr>
            <w:tcW w:w="1792" w:type="dxa"/>
            <w:noWrap w:val="0"/>
            <w:vAlign w:val="center"/>
          </w:tcPr>
          <w:p w14:paraId="0FC56DE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030" w:type="dxa"/>
            <w:noWrap w:val="0"/>
            <w:vAlign w:val="center"/>
          </w:tcPr>
          <w:p w14:paraId="1396C9C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w:t>
            </w:r>
          </w:p>
        </w:tc>
        <w:tc>
          <w:tcPr>
            <w:tcW w:w="1388" w:type="dxa"/>
            <w:noWrap w:val="0"/>
            <w:vAlign w:val="center"/>
          </w:tcPr>
          <w:p w14:paraId="55EC9F6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 w:val="24"/>
                <w:szCs w:val="24"/>
                <w:highlight w:val="none"/>
              </w:rPr>
            </w:pPr>
          </w:p>
        </w:tc>
      </w:tr>
      <w:tr w14:paraId="67528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830" w:type="dxa"/>
            <w:noWrap w:val="0"/>
            <w:vAlign w:val="center"/>
          </w:tcPr>
          <w:p w14:paraId="62E77D7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技术负责人</w:t>
            </w:r>
          </w:p>
        </w:tc>
        <w:tc>
          <w:tcPr>
            <w:tcW w:w="1120" w:type="dxa"/>
            <w:noWrap w:val="0"/>
            <w:vAlign w:val="center"/>
          </w:tcPr>
          <w:p w14:paraId="6F746AD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姓名</w:t>
            </w:r>
          </w:p>
        </w:tc>
        <w:tc>
          <w:tcPr>
            <w:tcW w:w="1192" w:type="dxa"/>
            <w:noWrap w:val="0"/>
            <w:vAlign w:val="center"/>
          </w:tcPr>
          <w:p w14:paraId="2ED0C17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306" w:type="dxa"/>
            <w:noWrap w:val="0"/>
            <w:vAlign w:val="center"/>
          </w:tcPr>
          <w:p w14:paraId="4671ABF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技术职称</w:t>
            </w:r>
          </w:p>
        </w:tc>
        <w:tc>
          <w:tcPr>
            <w:tcW w:w="1792" w:type="dxa"/>
            <w:noWrap w:val="0"/>
            <w:vAlign w:val="center"/>
          </w:tcPr>
          <w:p w14:paraId="1F06FEC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030" w:type="dxa"/>
            <w:noWrap w:val="0"/>
            <w:vAlign w:val="center"/>
          </w:tcPr>
          <w:p w14:paraId="46D5EEB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w:t>
            </w:r>
          </w:p>
        </w:tc>
        <w:tc>
          <w:tcPr>
            <w:tcW w:w="1388" w:type="dxa"/>
            <w:noWrap w:val="0"/>
            <w:vAlign w:val="center"/>
          </w:tcPr>
          <w:p w14:paraId="6E851A7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 w:val="24"/>
                <w:szCs w:val="24"/>
                <w:highlight w:val="none"/>
              </w:rPr>
            </w:pPr>
          </w:p>
        </w:tc>
      </w:tr>
      <w:tr w14:paraId="56127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07B1722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成立时间</w:t>
            </w:r>
          </w:p>
        </w:tc>
        <w:tc>
          <w:tcPr>
            <w:tcW w:w="2312" w:type="dxa"/>
            <w:gridSpan w:val="2"/>
            <w:noWrap w:val="0"/>
            <w:vAlign w:val="center"/>
          </w:tcPr>
          <w:p w14:paraId="565FB10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5516" w:type="dxa"/>
            <w:gridSpan w:val="4"/>
            <w:noWrap w:val="0"/>
            <w:vAlign w:val="center"/>
          </w:tcPr>
          <w:p w14:paraId="7D6568D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员工总人数：</w:t>
            </w:r>
          </w:p>
        </w:tc>
      </w:tr>
      <w:tr w14:paraId="674F5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084E564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企业资质等级</w:t>
            </w:r>
          </w:p>
        </w:tc>
        <w:tc>
          <w:tcPr>
            <w:tcW w:w="2312" w:type="dxa"/>
            <w:gridSpan w:val="2"/>
            <w:noWrap w:val="0"/>
            <w:vAlign w:val="center"/>
          </w:tcPr>
          <w:p w14:paraId="1FEF7D9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306" w:type="dxa"/>
            <w:vMerge w:val="restart"/>
            <w:noWrap w:val="0"/>
            <w:vAlign w:val="center"/>
          </w:tcPr>
          <w:p w14:paraId="6A9E29B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其中</w:t>
            </w:r>
          </w:p>
        </w:tc>
        <w:tc>
          <w:tcPr>
            <w:tcW w:w="1792" w:type="dxa"/>
            <w:noWrap w:val="0"/>
            <w:vAlign w:val="center"/>
          </w:tcPr>
          <w:p w14:paraId="053CCEB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项目经理</w:t>
            </w:r>
          </w:p>
        </w:tc>
        <w:tc>
          <w:tcPr>
            <w:tcW w:w="2418" w:type="dxa"/>
            <w:gridSpan w:val="2"/>
            <w:noWrap w:val="0"/>
            <w:vAlign w:val="center"/>
          </w:tcPr>
          <w:p w14:paraId="3244B9E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 w:val="24"/>
                <w:szCs w:val="24"/>
                <w:highlight w:val="none"/>
              </w:rPr>
            </w:pPr>
          </w:p>
        </w:tc>
      </w:tr>
      <w:tr w14:paraId="59E04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0AE75BC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营业执照号</w:t>
            </w:r>
          </w:p>
        </w:tc>
        <w:tc>
          <w:tcPr>
            <w:tcW w:w="2312" w:type="dxa"/>
            <w:gridSpan w:val="2"/>
            <w:noWrap w:val="0"/>
            <w:vAlign w:val="center"/>
          </w:tcPr>
          <w:p w14:paraId="4191878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306" w:type="dxa"/>
            <w:vMerge w:val="continue"/>
            <w:noWrap w:val="0"/>
            <w:vAlign w:val="center"/>
          </w:tcPr>
          <w:p w14:paraId="174DA6A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792" w:type="dxa"/>
            <w:noWrap w:val="0"/>
            <w:vAlign w:val="center"/>
          </w:tcPr>
          <w:p w14:paraId="0AA2521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高级职称人员</w:t>
            </w:r>
          </w:p>
        </w:tc>
        <w:tc>
          <w:tcPr>
            <w:tcW w:w="2418" w:type="dxa"/>
            <w:gridSpan w:val="2"/>
            <w:noWrap w:val="0"/>
            <w:vAlign w:val="center"/>
          </w:tcPr>
          <w:p w14:paraId="1DA08B6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 w:val="24"/>
                <w:szCs w:val="24"/>
                <w:highlight w:val="none"/>
              </w:rPr>
            </w:pPr>
          </w:p>
        </w:tc>
      </w:tr>
      <w:tr w14:paraId="3A6BC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4DE28CB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注册资金</w:t>
            </w:r>
          </w:p>
        </w:tc>
        <w:tc>
          <w:tcPr>
            <w:tcW w:w="2312" w:type="dxa"/>
            <w:gridSpan w:val="2"/>
            <w:noWrap w:val="0"/>
            <w:vAlign w:val="center"/>
          </w:tcPr>
          <w:p w14:paraId="572F921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306" w:type="dxa"/>
            <w:vMerge w:val="continue"/>
            <w:noWrap w:val="0"/>
            <w:vAlign w:val="center"/>
          </w:tcPr>
          <w:p w14:paraId="5C2CAC1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792" w:type="dxa"/>
            <w:noWrap w:val="0"/>
            <w:vAlign w:val="center"/>
          </w:tcPr>
          <w:p w14:paraId="4140908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中级职称人员</w:t>
            </w:r>
          </w:p>
        </w:tc>
        <w:tc>
          <w:tcPr>
            <w:tcW w:w="2418" w:type="dxa"/>
            <w:gridSpan w:val="2"/>
            <w:noWrap w:val="0"/>
            <w:vAlign w:val="center"/>
          </w:tcPr>
          <w:p w14:paraId="717AE5F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 w:val="24"/>
                <w:szCs w:val="24"/>
                <w:highlight w:val="none"/>
              </w:rPr>
            </w:pPr>
          </w:p>
        </w:tc>
      </w:tr>
      <w:tr w14:paraId="187C0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57A5A6A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开户银行</w:t>
            </w:r>
          </w:p>
        </w:tc>
        <w:tc>
          <w:tcPr>
            <w:tcW w:w="2312" w:type="dxa"/>
            <w:gridSpan w:val="2"/>
            <w:noWrap w:val="0"/>
            <w:vAlign w:val="center"/>
          </w:tcPr>
          <w:p w14:paraId="2849B88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306" w:type="dxa"/>
            <w:vMerge w:val="continue"/>
            <w:noWrap w:val="0"/>
            <w:vAlign w:val="center"/>
          </w:tcPr>
          <w:p w14:paraId="710960A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792" w:type="dxa"/>
            <w:noWrap w:val="0"/>
            <w:vAlign w:val="center"/>
          </w:tcPr>
          <w:p w14:paraId="71B7FE7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初级职称人员</w:t>
            </w:r>
          </w:p>
        </w:tc>
        <w:tc>
          <w:tcPr>
            <w:tcW w:w="2418" w:type="dxa"/>
            <w:gridSpan w:val="2"/>
            <w:noWrap w:val="0"/>
            <w:vAlign w:val="center"/>
          </w:tcPr>
          <w:p w14:paraId="5281068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 w:val="24"/>
                <w:szCs w:val="24"/>
                <w:highlight w:val="none"/>
              </w:rPr>
            </w:pPr>
          </w:p>
        </w:tc>
      </w:tr>
      <w:tr w14:paraId="64829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830" w:type="dxa"/>
            <w:noWrap w:val="0"/>
            <w:vAlign w:val="center"/>
          </w:tcPr>
          <w:p w14:paraId="19273E7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账号</w:t>
            </w:r>
          </w:p>
        </w:tc>
        <w:tc>
          <w:tcPr>
            <w:tcW w:w="2312" w:type="dxa"/>
            <w:gridSpan w:val="2"/>
            <w:noWrap w:val="0"/>
            <w:vAlign w:val="center"/>
          </w:tcPr>
          <w:p w14:paraId="0B10114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306" w:type="dxa"/>
            <w:vMerge w:val="continue"/>
            <w:noWrap w:val="0"/>
            <w:vAlign w:val="center"/>
          </w:tcPr>
          <w:p w14:paraId="6D4ADBB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p>
        </w:tc>
        <w:tc>
          <w:tcPr>
            <w:tcW w:w="1792" w:type="dxa"/>
            <w:noWrap w:val="0"/>
            <w:vAlign w:val="center"/>
          </w:tcPr>
          <w:p w14:paraId="0C7E443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技工</w:t>
            </w:r>
          </w:p>
        </w:tc>
        <w:tc>
          <w:tcPr>
            <w:tcW w:w="2418" w:type="dxa"/>
            <w:gridSpan w:val="2"/>
            <w:noWrap w:val="0"/>
            <w:vAlign w:val="center"/>
          </w:tcPr>
          <w:p w14:paraId="7E8E814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 w:val="24"/>
                <w:szCs w:val="24"/>
                <w:highlight w:val="none"/>
              </w:rPr>
            </w:pPr>
          </w:p>
        </w:tc>
      </w:tr>
      <w:tr w14:paraId="65526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2" w:hRule="atLeast"/>
          <w:jc w:val="center"/>
        </w:trPr>
        <w:tc>
          <w:tcPr>
            <w:tcW w:w="1830" w:type="dxa"/>
            <w:noWrap w:val="0"/>
            <w:vAlign w:val="center"/>
          </w:tcPr>
          <w:p w14:paraId="121888D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经营范围</w:t>
            </w:r>
          </w:p>
        </w:tc>
        <w:tc>
          <w:tcPr>
            <w:tcW w:w="7828" w:type="dxa"/>
            <w:gridSpan w:val="6"/>
            <w:noWrap w:val="0"/>
            <w:vAlign w:val="center"/>
          </w:tcPr>
          <w:p w14:paraId="589A380B">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
                <w:bCs/>
                <w:color w:val="auto"/>
                <w:kern w:val="0"/>
                <w:sz w:val="24"/>
                <w:szCs w:val="24"/>
                <w:highlight w:val="none"/>
              </w:rPr>
            </w:pPr>
          </w:p>
        </w:tc>
      </w:tr>
      <w:tr w14:paraId="40887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830" w:type="dxa"/>
            <w:noWrap w:val="0"/>
            <w:vAlign w:val="center"/>
          </w:tcPr>
          <w:p w14:paraId="520380C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c>
          <w:tcPr>
            <w:tcW w:w="7828" w:type="dxa"/>
            <w:gridSpan w:val="6"/>
            <w:noWrap w:val="0"/>
            <w:vAlign w:val="center"/>
          </w:tcPr>
          <w:p w14:paraId="0EDAEA4E">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 w:val="24"/>
                <w:szCs w:val="24"/>
                <w:highlight w:val="none"/>
              </w:rPr>
            </w:pPr>
          </w:p>
        </w:tc>
      </w:tr>
    </w:tbl>
    <w:p w14:paraId="136F172D">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51D3D17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5A9A04B">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66BC973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eastAsia="宋体" w:cs="宋体"/>
          <w:b w:val="0"/>
          <w:bCs w:val="0"/>
          <w:color w:val="auto"/>
          <w:kern w:val="0"/>
          <w:sz w:val="24"/>
          <w:szCs w:val="24"/>
          <w:highlight w:val="none"/>
          <w:u w:val="single"/>
          <w:lang w:val="en-US" w:eastAsia="zh-CN"/>
        </w:rPr>
        <w:t xml:space="preserve">                     </w:t>
      </w:r>
    </w:p>
    <w:p w14:paraId="526D859E">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71A57BE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eastAsia="宋体" w:cs="宋体"/>
          <w:b w:val="0"/>
          <w:bCs w:val="0"/>
          <w:color w:val="auto"/>
          <w:kern w:val="0"/>
          <w:sz w:val="24"/>
          <w:szCs w:val="24"/>
          <w:highlight w:val="none"/>
          <w:u w:val="single"/>
          <w:lang w:val="en-US" w:eastAsia="zh-CN"/>
        </w:rPr>
        <w:t xml:space="preserve">                   </w:t>
      </w:r>
    </w:p>
    <w:p w14:paraId="2B7C2CBA">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0C3496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052F7926">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2A590511">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699FC55">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35" w:name="_Toc2128"/>
      <w:bookmarkStart w:id="336" w:name="_Toc10050"/>
      <w:bookmarkStart w:id="337" w:name="_Toc6374"/>
      <w:bookmarkStart w:id="338" w:name="_Toc2219"/>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lang w:eastAsia="zh-CN"/>
        </w:rPr>
        <w:t>）</w:t>
      </w:r>
      <w:bookmarkEnd w:id="335"/>
      <w:r>
        <w:rPr>
          <w:rFonts w:hint="eastAsia" w:ascii="宋体" w:hAnsi="宋体" w:eastAsia="宋体" w:cs="宋体"/>
          <w:color w:val="auto"/>
          <w:sz w:val="24"/>
          <w:szCs w:val="24"/>
          <w:highlight w:val="none"/>
          <w:lang w:eastAsia="zh-CN"/>
        </w:rPr>
        <w:t>服务（技术）条款偏离表</w:t>
      </w:r>
      <w:bookmarkEnd w:id="336"/>
      <w:bookmarkEnd w:id="337"/>
      <w:bookmarkEnd w:id="338"/>
    </w:p>
    <w:p w14:paraId="37CF3710">
      <w:pPr>
        <w:spacing w:line="400" w:lineRule="atLeast"/>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项目名称</w:t>
      </w:r>
      <w:r>
        <w:rPr>
          <w:rFonts w:hint="eastAsia" w:ascii="宋体" w:hAnsi="宋体" w:eastAsia="宋体" w:cs="宋体"/>
          <w:color w:val="auto"/>
          <w:sz w:val="24"/>
          <w:highlight w:val="none"/>
        </w:rPr>
        <w:t>：</w:t>
      </w:r>
      <w:r>
        <w:rPr>
          <w:rFonts w:hint="eastAsia" w:ascii="宋体" w:hAnsi="宋体" w:cs="宋体"/>
          <w:color w:val="auto"/>
          <w:sz w:val="24"/>
          <w:szCs w:val="24"/>
          <w:highlight w:val="none"/>
          <w:u w:val="single"/>
          <w:lang w:val="en-US" w:eastAsia="zh-CN"/>
        </w:rPr>
        <w:t>吐鲁番市鄯善县人民医院安保服务采购项目</w:t>
      </w:r>
    </w:p>
    <w:p w14:paraId="6B49B7E1">
      <w:pPr>
        <w:spacing w:line="400" w:lineRule="atLeast"/>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项目编号：</w:t>
      </w:r>
      <w:r>
        <w:rPr>
          <w:rFonts w:hint="eastAsia" w:ascii="宋体" w:hAnsi="宋体" w:cs="宋体"/>
          <w:color w:val="auto"/>
          <w:sz w:val="24"/>
          <w:szCs w:val="24"/>
          <w:highlight w:val="none"/>
          <w:u w:val="single"/>
          <w:lang w:val="en-US" w:eastAsia="zh-CN"/>
        </w:rPr>
        <w:t>XJZN-2025-03117</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527"/>
        <w:gridCol w:w="1722"/>
        <w:gridCol w:w="2044"/>
        <w:gridCol w:w="1242"/>
        <w:gridCol w:w="1075"/>
        <w:gridCol w:w="1180"/>
      </w:tblGrid>
      <w:tr w14:paraId="7BDDF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1" w:hRule="atLeast"/>
          <w:jc w:val="center"/>
        </w:trPr>
        <w:tc>
          <w:tcPr>
            <w:tcW w:w="745" w:type="dxa"/>
            <w:noWrap w:val="0"/>
            <w:vAlign w:val="center"/>
          </w:tcPr>
          <w:p w14:paraId="50126C1E">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527" w:type="dxa"/>
            <w:noWrap w:val="0"/>
            <w:vAlign w:val="center"/>
          </w:tcPr>
          <w:p w14:paraId="2E937368">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服务要求</w:t>
            </w:r>
            <w:r>
              <w:rPr>
                <w:rFonts w:hint="eastAsia" w:ascii="宋体" w:hAnsi="宋体" w:eastAsia="宋体" w:cs="宋体"/>
                <w:color w:val="auto"/>
                <w:sz w:val="24"/>
                <w:highlight w:val="none"/>
                <w:lang w:eastAsia="zh-CN"/>
              </w:rPr>
              <w:t>条目号</w:t>
            </w:r>
          </w:p>
        </w:tc>
        <w:tc>
          <w:tcPr>
            <w:tcW w:w="1722" w:type="dxa"/>
            <w:noWrap w:val="0"/>
            <w:vAlign w:val="center"/>
          </w:tcPr>
          <w:p w14:paraId="47A21694">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文件要求</w:t>
            </w:r>
          </w:p>
        </w:tc>
        <w:tc>
          <w:tcPr>
            <w:tcW w:w="2044" w:type="dxa"/>
            <w:noWrap w:val="0"/>
            <w:vAlign w:val="center"/>
          </w:tcPr>
          <w:p w14:paraId="45644911">
            <w:pPr>
              <w:spacing w:line="40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投标响应情况</w:t>
            </w:r>
          </w:p>
        </w:tc>
        <w:tc>
          <w:tcPr>
            <w:tcW w:w="1242" w:type="dxa"/>
            <w:noWrap w:val="0"/>
            <w:vAlign w:val="center"/>
          </w:tcPr>
          <w:p w14:paraId="69A1DD6F">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偏离情况</w:t>
            </w:r>
          </w:p>
        </w:tc>
        <w:tc>
          <w:tcPr>
            <w:tcW w:w="1075" w:type="dxa"/>
            <w:noWrap w:val="0"/>
            <w:vAlign w:val="center"/>
          </w:tcPr>
          <w:p w14:paraId="52C0A54C">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tc>
        <w:tc>
          <w:tcPr>
            <w:tcW w:w="1180" w:type="dxa"/>
            <w:noWrap w:val="0"/>
            <w:vAlign w:val="center"/>
          </w:tcPr>
          <w:p w14:paraId="17B8CFB5">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对应页码</w:t>
            </w:r>
          </w:p>
        </w:tc>
      </w:tr>
      <w:tr w14:paraId="4D7D3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473C5246">
            <w:pPr>
              <w:spacing w:line="400" w:lineRule="atLeast"/>
              <w:jc w:val="center"/>
              <w:rPr>
                <w:rFonts w:hint="eastAsia" w:ascii="宋体" w:hAnsi="宋体" w:eastAsia="宋体" w:cs="宋体"/>
                <w:color w:val="auto"/>
                <w:sz w:val="24"/>
                <w:highlight w:val="none"/>
              </w:rPr>
            </w:pPr>
          </w:p>
        </w:tc>
        <w:tc>
          <w:tcPr>
            <w:tcW w:w="1527" w:type="dxa"/>
            <w:noWrap w:val="0"/>
            <w:vAlign w:val="top"/>
          </w:tcPr>
          <w:p w14:paraId="1B92CABD">
            <w:pPr>
              <w:spacing w:line="400" w:lineRule="atLeast"/>
              <w:jc w:val="center"/>
              <w:rPr>
                <w:rFonts w:hint="eastAsia" w:ascii="宋体" w:hAnsi="宋体" w:eastAsia="宋体" w:cs="宋体"/>
                <w:color w:val="auto"/>
                <w:sz w:val="24"/>
                <w:highlight w:val="none"/>
              </w:rPr>
            </w:pPr>
          </w:p>
        </w:tc>
        <w:tc>
          <w:tcPr>
            <w:tcW w:w="1722" w:type="dxa"/>
            <w:noWrap w:val="0"/>
            <w:vAlign w:val="top"/>
          </w:tcPr>
          <w:p w14:paraId="4820688D">
            <w:pPr>
              <w:spacing w:line="400" w:lineRule="atLeast"/>
              <w:jc w:val="center"/>
              <w:rPr>
                <w:rFonts w:hint="eastAsia" w:ascii="宋体" w:hAnsi="宋体" w:eastAsia="宋体" w:cs="宋体"/>
                <w:color w:val="auto"/>
                <w:sz w:val="24"/>
                <w:highlight w:val="none"/>
              </w:rPr>
            </w:pPr>
          </w:p>
        </w:tc>
        <w:tc>
          <w:tcPr>
            <w:tcW w:w="2044" w:type="dxa"/>
            <w:noWrap w:val="0"/>
            <w:vAlign w:val="top"/>
          </w:tcPr>
          <w:p w14:paraId="5122B2E6">
            <w:pPr>
              <w:spacing w:line="400" w:lineRule="atLeast"/>
              <w:jc w:val="center"/>
              <w:rPr>
                <w:rFonts w:hint="eastAsia" w:ascii="宋体" w:hAnsi="宋体" w:eastAsia="宋体" w:cs="宋体"/>
                <w:color w:val="auto"/>
                <w:sz w:val="24"/>
                <w:highlight w:val="none"/>
              </w:rPr>
            </w:pPr>
          </w:p>
        </w:tc>
        <w:tc>
          <w:tcPr>
            <w:tcW w:w="1242" w:type="dxa"/>
            <w:noWrap w:val="0"/>
            <w:vAlign w:val="top"/>
          </w:tcPr>
          <w:p w14:paraId="71A7F818">
            <w:pPr>
              <w:spacing w:line="400" w:lineRule="atLeast"/>
              <w:jc w:val="center"/>
              <w:rPr>
                <w:rFonts w:hint="eastAsia" w:ascii="宋体" w:hAnsi="宋体" w:eastAsia="宋体" w:cs="宋体"/>
                <w:color w:val="auto"/>
                <w:sz w:val="24"/>
                <w:highlight w:val="none"/>
              </w:rPr>
            </w:pPr>
          </w:p>
        </w:tc>
        <w:tc>
          <w:tcPr>
            <w:tcW w:w="1075" w:type="dxa"/>
            <w:noWrap w:val="0"/>
            <w:vAlign w:val="top"/>
          </w:tcPr>
          <w:p w14:paraId="48D61B48">
            <w:pPr>
              <w:spacing w:line="400" w:lineRule="atLeast"/>
              <w:jc w:val="center"/>
              <w:rPr>
                <w:rFonts w:hint="eastAsia" w:ascii="宋体" w:hAnsi="宋体" w:eastAsia="宋体" w:cs="宋体"/>
                <w:color w:val="auto"/>
                <w:sz w:val="24"/>
                <w:highlight w:val="none"/>
              </w:rPr>
            </w:pPr>
          </w:p>
        </w:tc>
        <w:tc>
          <w:tcPr>
            <w:tcW w:w="1180" w:type="dxa"/>
            <w:noWrap w:val="0"/>
            <w:vAlign w:val="top"/>
          </w:tcPr>
          <w:p w14:paraId="0E4F5267">
            <w:pPr>
              <w:spacing w:line="400" w:lineRule="atLeast"/>
              <w:jc w:val="center"/>
              <w:rPr>
                <w:rFonts w:hint="eastAsia" w:ascii="宋体" w:hAnsi="宋体" w:eastAsia="宋体" w:cs="宋体"/>
                <w:color w:val="auto"/>
                <w:sz w:val="24"/>
                <w:highlight w:val="none"/>
              </w:rPr>
            </w:pPr>
          </w:p>
        </w:tc>
      </w:tr>
      <w:tr w14:paraId="5D3FD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45" w:type="dxa"/>
            <w:noWrap w:val="0"/>
            <w:vAlign w:val="top"/>
          </w:tcPr>
          <w:p w14:paraId="07BDBB2A">
            <w:pPr>
              <w:spacing w:line="400" w:lineRule="atLeast"/>
              <w:jc w:val="center"/>
              <w:rPr>
                <w:rFonts w:hint="eastAsia" w:ascii="宋体" w:hAnsi="宋体" w:eastAsia="宋体" w:cs="宋体"/>
                <w:color w:val="auto"/>
                <w:sz w:val="24"/>
                <w:highlight w:val="none"/>
              </w:rPr>
            </w:pPr>
          </w:p>
        </w:tc>
        <w:tc>
          <w:tcPr>
            <w:tcW w:w="1527" w:type="dxa"/>
            <w:noWrap w:val="0"/>
            <w:vAlign w:val="top"/>
          </w:tcPr>
          <w:p w14:paraId="38FE1CE4">
            <w:pPr>
              <w:spacing w:line="400" w:lineRule="atLeast"/>
              <w:jc w:val="center"/>
              <w:rPr>
                <w:rFonts w:hint="eastAsia" w:ascii="宋体" w:hAnsi="宋体" w:eastAsia="宋体" w:cs="宋体"/>
                <w:color w:val="auto"/>
                <w:sz w:val="24"/>
                <w:highlight w:val="none"/>
              </w:rPr>
            </w:pPr>
          </w:p>
        </w:tc>
        <w:tc>
          <w:tcPr>
            <w:tcW w:w="1722" w:type="dxa"/>
            <w:noWrap w:val="0"/>
            <w:vAlign w:val="top"/>
          </w:tcPr>
          <w:p w14:paraId="69CED7AA">
            <w:pPr>
              <w:spacing w:line="400" w:lineRule="atLeast"/>
              <w:jc w:val="center"/>
              <w:rPr>
                <w:rFonts w:hint="eastAsia" w:ascii="宋体" w:hAnsi="宋体" w:eastAsia="宋体" w:cs="宋体"/>
                <w:color w:val="auto"/>
                <w:sz w:val="24"/>
                <w:highlight w:val="none"/>
              </w:rPr>
            </w:pPr>
          </w:p>
        </w:tc>
        <w:tc>
          <w:tcPr>
            <w:tcW w:w="2044" w:type="dxa"/>
            <w:noWrap w:val="0"/>
            <w:vAlign w:val="top"/>
          </w:tcPr>
          <w:p w14:paraId="193A2E5F">
            <w:pPr>
              <w:spacing w:line="400" w:lineRule="atLeast"/>
              <w:jc w:val="center"/>
              <w:rPr>
                <w:rFonts w:hint="eastAsia" w:ascii="宋体" w:hAnsi="宋体" w:eastAsia="宋体" w:cs="宋体"/>
                <w:color w:val="auto"/>
                <w:sz w:val="24"/>
                <w:highlight w:val="none"/>
              </w:rPr>
            </w:pPr>
          </w:p>
        </w:tc>
        <w:tc>
          <w:tcPr>
            <w:tcW w:w="1242" w:type="dxa"/>
            <w:noWrap w:val="0"/>
            <w:vAlign w:val="top"/>
          </w:tcPr>
          <w:p w14:paraId="4E02C65F">
            <w:pPr>
              <w:spacing w:line="400" w:lineRule="atLeast"/>
              <w:jc w:val="center"/>
              <w:rPr>
                <w:rFonts w:hint="eastAsia" w:ascii="宋体" w:hAnsi="宋体" w:eastAsia="宋体" w:cs="宋体"/>
                <w:color w:val="auto"/>
                <w:sz w:val="24"/>
                <w:highlight w:val="none"/>
              </w:rPr>
            </w:pPr>
          </w:p>
        </w:tc>
        <w:tc>
          <w:tcPr>
            <w:tcW w:w="1075" w:type="dxa"/>
            <w:noWrap w:val="0"/>
            <w:vAlign w:val="top"/>
          </w:tcPr>
          <w:p w14:paraId="36E38EF2">
            <w:pPr>
              <w:spacing w:line="400" w:lineRule="atLeast"/>
              <w:jc w:val="center"/>
              <w:rPr>
                <w:rFonts w:hint="eastAsia" w:ascii="宋体" w:hAnsi="宋体" w:eastAsia="宋体" w:cs="宋体"/>
                <w:color w:val="auto"/>
                <w:sz w:val="24"/>
                <w:highlight w:val="none"/>
              </w:rPr>
            </w:pPr>
          </w:p>
        </w:tc>
        <w:tc>
          <w:tcPr>
            <w:tcW w:w="1180" w:type="dxa"/>
            <w:noWrap w:val="0"/>
            <w:vAlign w:val="top"/>
          </w:tcPr>
          <w:p w14:paraId="1DB86B4E">
            <w:pPr>
              <w:spacing w:line="400" w:lineRule="atLeast"/>
              <w:jc w:val="center"/>
              <w:rPr>
                <w:rFonts w:hint="eastAsia" w:ascii="宋体" w:hAnsi="宋体" w:eastAsia="宋体" w:cs="宋体"/>
                <w:color w:val="auto"/>
                <w:sz w:val="24"/>
                <w:highlight w:val="none"/>
              </w:rPr>
            </w:pPr>
          </w:p>
        </w:tc>
      </w:tr>
      <w:tr w14:paraId="72AF0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291E7C04">
            <w:pPr>
              <w:spacing w:line="400" w:lineRule="atLeast"/>
              <w:jc w:val="center"/>
              <w:rPr>
                <w:rFonts w:hint="eastAsia" w:ascii="宋体" w:hAnsi="宋体" w:eastAsia="宋体" w:cs="宋体"/>
                <w:color w:val="auto"/>
                <w:sz w:val="24"/>
                <w:highlight w:val="none"/>
              </w:rPr>
            </w:pPr>
          </w:p>
        </w:tc>
        <w:tc>
          <w:tcPr>
            <w:tcW w:w="1527" w:type="dxa"/>
            <w:noWrap w:val="0"/>
            <w:vAlign w:val="top"/>
          </w:tcPr>
          <w:p w14:paraId="76422150">
            <w:pPr>
              <w:spacing w:line="400" w:lineRule="atLeast"/>
              <w:jc w:val="center"/>
              <w:rPr>
                <w:rFonts w:hint="eastAsia" w:ascii="宋体" w:hAnsi="宋体" w:eastAsia="宋体" w:cs="宋体"/>
                <w:color w:val="auto"/>
                <w:sz w:val="24"/>
                <w:highlight w:val="none"/>
              </w:rPr>
            </w:pPr>
          </w:p>
        </w:tc>
        <w:tc>
          <w:tcPr>
            <w:tcW w:w="1722" w:type="dxa"/>
            <w:noWrap w:val="0"/>
            <w:vAlign w:val="top"/>
          </w:tcPr>
          <w:p w14:paraId="5631BF1B">
            <w:pPr>
              <w:spacing w:line="400" w:lineRule="atLeast"/>
              <w:jc w:val="center"/>
              <w:rPr>
                <w:rFonts w:hint="eastAsia" w:ascii="宋体" w:hAnsi="宋体" w:eastAsia="宋体" w:cs="宋体"/>
                <w:color w:val="auto"/>
                <w:sz w:val="24"/>
                <w:highlight w:val="none"/>
              </w:rPr>
            </w:pPr>
          </w:p>
        </w:tc>
        <w:tc>
          <w:tcPr>
            <w:tcW w:w="2044" w:type="dxa"/>
            <w:noWrap w:val="0"/>
            <w:vAlign w:val="top"/>
          </w:tcPr>
          <w:p w14:paraId="5BB3C547">
            <w:pPr>
              <w:spacing w:line="400" w:lineRule="atLeast"/>
              <w:jc w:val="center"/>
              <w:rPr>
                <w:rFonts w:hint="eastAsia" w:ascii="宋体" w:hAnsi="宋体" w:eastAsia="宋体" w:cs="宋体"/>
                <w:color w:val="auto"/>
                <w:sz w:val="24"/>
                <w:highlight w:val="none"/>
              </w:rPr>
            </w:pPr>
          </w:p>
        </w:tc>
        <w:tc>
          <w:tcPr>
            <w:tcW w:w="1242" w:type="dxa"/>
            <w:noWrap w:val="0"/>
            <w:vAlign w:val="top"/>
          </w:tcPr>
          <w:p w14:paraId="7D035086">
            <w:pPr>
              <w:spacing w:line="400" w:lineRule="atLeast"/>
              <w:jc w:val="center"/>
              <w:rPr>
                <w:rFonts w:hint="eastAsia" w:ascii="宋体" w:hAnsi="宋体" w:eastAsia="宋体" w:cs="宋体"/>
                <w:color w:val="auto"/>
                <w:sz w:val="24"/>
                <w:highlight w:val="none"/>
              </w:rPr>
            </w:pPr>
          </w:p>
        </w:tc>
        <w:tc>
          <w:tcPr>
            <w:tcW w:w="1075" w:type="dxa"/>
            <w:noWrap w:val="0"/>
            <w:vAlign w:val="top"/>
          </w:tcPr>
          <w:p w14:paraId="748AADD7">
            <w:pPr>
              <w:spacing w:line="400" w:lineRule="atLeast"/>
              <w:jc w:val="center"/>
              <w:rPr>
                <w:rFonts w:hint="eastAsia" w:ascii="宋体" w:hAnsi="宋体" w:eastAsia="宋体" w:cs="宋体"/>
                <w:color w:val="auto"/>
                <w:sz w:val="24"/>
                <w:highlight w:val="none"/>
              </w:rPr>
            </w:pPr>
          </w:p>
        </w:tc>
        <w:tc>
          <w:tcPr>
            <w:tcW w:w="1180" w:type="dxa"/>
            <w:noWrap w:val="0"/>
            <w:vAlign w:val="top"/>
          </w:tcPr>
          <w:p w14:paraId="249D5031">
            <w:pPr>
              <w:spacing w:line="400" w:lineRule="atLeast"/>
              <w:jc w:val="center"/>
              <w:rPr>
                <w:rFonts w:hint="eastAsia" w:ascii="宋体" w:hAnsi="宋体" w:eastAsia="宋体" w:cs="宋体"/>
                <w:color w:val="auto"/>
                <w:sz w:val="24"/>
                <w:highlight w:val="none"/>
              </w:rPr>
            </w:pPr>
          </w:p>
        </w:tc>
      </w:tr>
      <w:tr w14:paraId="4D384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6C0912EB">
            <w:pPr>
              <w:spacing w:line="400" w:lineRule="atLeast"/>
              <w:jc w:val="center"/>
              <w:rPr>
                <w:rFonts w:hint="eastAsia" w:ascii="宋体" w:hAnsi="宋体" w:eastAsia="宋体" w:cs="宋体"/>
                <w:color w:val="auto"/>
                <w:sz w:val="24"/>
                <w:highlight w:val="none"/>
              </w:rPr>
            </w:pPr>
          </w:p>
        </w:tc>
        <w:tc>
          <w:tcPr>
            <w:tcW w:w="1527" w:type="dxa"/>
            <w:noWrap w:val="0"/>
            <w:vAlign w:val="top"/>
          </w:tcPr>
          <w:p w14:paraId="7D5D3AF7">
            <w:pPr>
              <w:spacing w:line="400" w:lineRule="atLeast"/>
              <w:jc w:val="center"/>
              <w:rPr>
                <w:rFonts w:hint="eastAsia" w:ascii="宋体" w:hAnsi="宋体" w:eastAsia="宋体" w:cs="宋体"/>
                <w:color w:val="auto"/>
                <w:sz w:val="24"/>
                <w:highlight w:val="none"/>
              </w:rPr>
            </w:pPr>
          </w:p>
        </w:tc>
        <w:tc>
          <w:tcPr>
            <w:tcW w:w="1722" w:type="dxa"/>
            <w:noWrap w:val="0"/>
            <w:vAlign w:val="top"/>
          </w:tcPr>
          <w:p w14:paraId="17A42701">
            <w:pPr>
              <w:spacing w:line="400" w:lineRule="atLeast"/>
              <w:jc w:val="center"/>
              <w:rPr>
                <w:rFonts w:hint="eastAsia" w:ascii="宋体" w:hAnsi="宋体" w:eastAsia="宋体" w:cs="宋体"/>
                <w:color w:val="auto"/>
                <w:sz w:val="24"/>
                <w:highlight w:val="none"/>
              </w:rPr>
            </w:pPr>
          </w:p>
        </w:tc>
        <w:tc>
          <w:tcPr>
            <w:tcW w:w="2044" w:type="dxa"/>
            <w:noWrap w:val="0"/>
            <w:vAlign w:val="top"/>
          </w:tcPr>
          <w:p w14:paraId="735DC7A1">
            <w:pPr>
              <w:spacing w:line="400" w:lineRule="atLeast"/>
              <w:jc w:val="center"/>
              <w:rPr>
                <w:rFonts w:hint="eastAsia" w:ascii="宋体" w:hAnsi="宋体" w:eastAsia="宋体" w:cs="宋体"/>
                <w:color w:val="auto"/>
                <w:sz w:val="24"/>
                <w:highlight w:val="none"/>
              </w:rPr>
            </w:pPr>
          </w:p>
        </w:tc>
        <w:tc>
          <w:tcPr>
            <w:tcW w:w="1242" w:type="dxa"/>
            <w:noWrap w:val="0"/>
            <w:vAlign w:val="top"/>
          </w:tcPr>
          <w:p w14:paraId="62C09710">
            <w:pPr>
              <w:spacing w:line="400" w:lineRule="atLeast"/>
              <w:jc w:val="center"/>
              <w:rPr>
                <w:rFonts w:hint="eastAsia" w:ascii="宋体" w:hAnsi="宋体" w:eastAsia="宋体" w:cs="宋体"/>
                <w:color w:val="auto"/>
                <w:sz w:val="24"/>
                <w:highlight w:val="none"/>
              </w:rPr>
            </w:pPr>
          </w:p>
        </w:tc>
        <w:tc>
          <w:tcPr>
            <w:tcW w:w="1075" w:type="dxa"/>
            <w:noWrap w:val="0"/>
            <w:vAlign w:val="top"/>
          </w:tcPr>
          <w:p w14:paraId="7C99375F">
            <w:pPr>
              <w:spacing w:line="400" w:lineRule="atLeast"/>
              <w:jc w:val="center"/>
              <w:rPr>
                <w:rFonts w:hint="eastAsia" w:ascii="宋体" w:hAnsi="宋体" w:eastAsia="宋体" w:cs="宋体"/>
                <w:color w:val="auto"/>
                <w:sz w:val="24"/>
                <w:highlight w:val="none"/>
              </w:rPr>
            </w:pPr>
          </w:p>
        </w:tc>
        <w:tc>
          <w:tcPr>
            <w:tcW w:w="1180" w:type="dxa"/>
            <w:noWrap w:val="0"/>
            <w:vAlign w:val="top"/>
          </w:tcPr>
          <w:p w14:paraId="424122A9">
            <w:pPr>
              <w:spacing w:line="400" w:lineRule="atLeast"/>
              <w:jc w:val="center"/>
              <w:rPr>
                <w:rFonts w:hint="eastAsia" w:ascii="宋体" w:hAnsi="宋体" w:eastAsia="宋体" w:cs="宋体"/>
                <w:color w:val="auto"/>
                <w:sz w:val="24"/>
                <w:highlight w:val="none"/>
              </w:rPr>
            </w:pPr>
          </w:p>
        </w:tc>
      </w:tr>
      <w:tr w14:paraId="2F385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50C3C215">
            <w:pPr>
              <w:spacing w:line="400" w:lineRule="atLeast"/>
              <w:jc w:val="center"/>
              <w:rPr>
                <w:rFonts w:hint="eastAsia" w:ascii="宋体" w:hAnsi="宋体" w:eastAsia="宋体" w:cs="宋体"/>
                <w:color w:val="auto"/>
                <w:sz w:val="24"/>
                <w:highlight w:val="none"/>
              </w:rPr>
            </w:pPr>
          </w:p>
        </w:tc>
        <w:tc>
          <w:tcPr>
            <w:tcW w:w="1527" w:type="dxa"/>
            <w:noWrap w:val="0"/>
            <w:vAlign w:val="top"/>
          </w:tcPr>
          <w:p w14:paraId="7073512C">
            <w:pPr>
              <w:spacing w:line="400" w:lineRule="atLeast"/>
              <w:jc w:val="center"/>
              <w:rPr>
                <w:rFonts w:hint="eastAsia" w:ascii="宋体" w:hAnsi="宋体" w:eastAsia="宋体" w:cs="宋体"/>
                <w:color w:val="auto"/>
                <w:sz w:val="24"/>
                <w:highlight w:val="none"/>
              </w:rPr>
            </w:pPr>
          </w:p>
        </w:tc>
        <w:tc>
          <w:tcPr>
            <w:tcW w:w="1722" w:type="dxa"/>
            <w:noWrap w:val="0"/>
            <w:vAlign w:val="top"/>
          </w:tcPr>
          <w:p w14:paraId="2304B457">
            <w:pPr>
              <w:spacing w:line="400" w:lineRule="atLeast"/>
              <w:jc w:val="center"/>
              <w:rPr>
                <w:rFonts w:hint="eastAsia" w:ascii="宋体" w:hAnsi="宋体" w:eastAsia="宋体" w:cs="宋体"/>
                <w:color w:val="auto"/>
                <w:sz w:val="24"/>
                <w:highlight w:val="none"/>
              </w:rPr>
            </w:pPr>
          </w:p>
        </w:tc>
        <w:tc>
          <w:tcPr>
            <w:tcW w:w="2044" w:type="dxa"/>
            <w:noWrap w:val="0"/>
            <w:vAlign w:val="top"/>
          </w:tcPr>
          <w:p w14:paraId="4C544C14">
            <w:pPr>
              <w:spacing w:line="400" w:lineRule="atLeast"/>
              <w:jc w:val="center"/>
              <w:rPr>
                <w:rFonts w:hint="eastAsia" w:ascii="宋体" w:hAnsi="宋体" w:eastAsia="宋体" w:cs="宋体"/>
                <w:color w:val="auto"/>
                <w:sz w:val="24"/>
                <w:highlight w:val="none"/>
              </w:rPr>
            </w:pPr>
          </w:p>
        </w:tc>
        <w:tc>
          <w:tcPr>
            <w:tcW w:w="1242" w:type="dxa"/>
            <w:noWrap w:val="0"/>
            <w:vAlign w:val="top"/>
          </w:tcPr>
          <w:p w14:paraId="08A94AB2">
            <w:pPr>
              <w:spacing w:line="400" w:lineRule="atLeast"/>
              <w:jc w:val="center"/>
              <w:rPr>
                <w:rFonts w:hint="eastAsia" w:ascii="宋体" w:hAnsi="宋体" w:eastAsia="宋体" w:cs="宋体"/>
                <w:color w:val="auto"/>
                <w:sz w:val="24"/>
                <w:highlight w:val="none"/>
              </w:rPr>
            </w:pPr>
          </w:p>
        </w:tc>
        <w:tc>
          <w:tcPr>
            <w:tcW w:w="1075" w:type="dxa"/>
            <w:noWrap w:val="0"/>
            <w:vAlign w:val="top"/>
          </w:tcPr>
          <w:p w14:paraId="39780150">
            <w:pPr>
              <w:spacing w:line="400" w:lineRule="atLeast"/>
              <w:jc w:val="center"/>
              <w:rPr>
                <w:rFonts w:hint="eastAsia" w:ascii="宋体" w:hAnsi="宋体" w:eastAsia="宋体" w:cs="宋体"/>
                <w:color w:val="auto"/>
                <w:sz w:val="24"/>
                <w:highlight w:val="none"/>
              </w:rPr>
            </w:pPr>
          </w:p>
        </w:tc>
        <w:tc>
          <w:tcPr>
            <w:tcW w:w="1180" w:type="dxa"/>
            <w:noWrap w:val="0"/>
            <w:vAlign w:val="top"/>
          </w:tcPr>
          <w:p w14:paraId="7C7C3576">
            <w:pPr>
              <w:spacing w:line="400" w:lineRule="atLeast"/>
              <w:jc w:val="center"/>
              <w:rPr>
                <w:rFonts w:hint="eastAsia" w:ascii="宋体" w:hAnsi="宋体" w:eastAsia="宋体" w:cs="宋体"/>
                <w:color w:val="auto"/>
                <w:sz w:val="24"/>
                <w:highlight w:val="none"/>
              </w:rPr>
            </w:pPr>
          </w:p>
        </w:tc>
      </w:tr>
      <w:tr w14:paraId="25377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0B2A2765">
            <w:pPr>
              <w:spacing w:line="400" w:lineRule="atLeast"/>
              <w:jc w:val="center"/>
              <w:rPr>
                <w:rFonts w:hint="eastAsia" w:ascii="宋体" w:hAnsi="宋体" w:eastAsia="宋体" w:cs="宋体"/>
                <w:color w:val="auto"/>
                <w:sz w:val="24"/>
                <w:highlight w:val="none"/>
              </w:rPr>
            </w:pPr>
          </w:p>
        </w:tc>
        <w:tc>
          <w:tcPr>
            <w:tcW w:w="1527" w:type="dxa"/>
            <w:noWrap w:val="0"/>
            <w:vAlign w:val="top"/>
          </w:tcPr>
          <w:p w14:paraId="3597B16C">
            <w:pPr>
              <w:spacing w:line="400" w:lineRule="atLeast"/>
              <w:jc w:val="center"/>
              <w:rPr>
                <w:rFonts w:hint="eastAsia" w:ascii="宋体" w:hAnsi="宋体" w:eastAsia="宋体" w:cs="宋体"/>
                <w:color w:val="auto"/>
                <w:sz w:val="24"/>
                <w:highlight w:val="none"/>
              </w:rPr>
            </w:pPr>
          </w:p>
        </w:tc>
        <w:tc>
          <w:tcPr>
            <w:tcW w:w="1722" w:type="dxa"/>
            <w:noWrap w:val="0"/>
            <w:vAlign w:val="top"/>
          </w:tcPr>
          <w:p w14:paraId="4F9E2A0B">
            <w:pPr>
              <w:spacing w:line="400" w:lineRule="atLeast"/>
              <w:jc w:val="center"/>
              <w:rPr>
                <w:rFonts w:hint="eastAsia" w:ascii="宋体" w:hAnsi="宋体" w:eastAsia="宋体" w:cs="宋体"/>
                <w:color w:val="auto"/>
                <w:sz w:val="24"/>
                <w:highlight w:val="none"/>
              </w:rPr>
            </w:pPr>
          </w:p>
        </w:tc>
        <w:tc>
          <w:tcPr>
            <w:tcW w:w="2044" w:type="dxa"/>
            <w:noWrap w:val="0"/>
            <w:vAlign w:val="top"/>
          </w:tcPr>
          <w:p w14:paraId="39FC4343">
            <w:pPr>
              <w:spacing w:line="400" w:lineRule="atLeast"/>
              <w:jc w:val="center"/>
              <w:rPr>
                <w:rFonts w:hint="eastAsia" w:ascii="宋体" w:hAnsi="宋体" w:eastAsia="宋体" w:cs="宋体"/>
                <w:color w:val="auto"/>
                <w:sz w:val="24"/>
                <w:highlight w:val="none"/>
              </w:rPr>
            </w:pPr>
          </w:p>
        </w:tc>
        <w:tc>
          <w:tcPr>
            <w:tcW w:w="1242" w:type="dxa"/>
            <w:noWrap w:val="0"/>
            <w:vAlign w:val="top"/>
          </w:tcPr>
          <w:p w14:paraId="4FCDD7DB">
            <w:pPr>
              <w:spacing w:line="400" w:lineRule="atLeast"/>
              <w:jc w:val="center"/>
              <w:rPr>
                <w:rFonts w:hint="eastAsia" w:ascii="宋体" w:hAnsi="宋体" w:eastAsia="宋体" w:cs="宋体"/>
                <w:color w:val="auto"/>
                <w:sz w:val="24"/>
                <w:highlight w:val="none"/>
              </w:rPr>
            </w:pPr>
          </w:p>
        </w:tc>
        <w:tc>
          <w:tcPr>
            <w:tcW w:w="1075" w:type="dxa"/>
            <w:noWrap w:val="0"/>
            <w:vAlign w:val="top"/>
          </w:tcPr>
          <w:p w14:paraId="6AECA865">
            <w:pPr>
              <w:spacing w:line="400" w:lineRule="atLeast"/>
              <w:jc w:val="center"/>
              <w:rPr>
                <w:rFonts w:hint="eastAsia" w:ascii="宋体" w:hAnsi="宋体" w:eastAsia="宋体" w:cs="宋体"/>
                <w:color w:val="auto"/>
                <w:sz w:val="24"/>
                <w:highlight w:val="none"/>
              </w:rPr>
            </w:pPr>
          </w:p>
        </w:tc>
        <w:tc>
          <w:tcPr>
            <w:tcW w:w="1180" w:type="dxa"/>
            <w:noWrap w:val="0"/>
            <w:vAlign w:val="top"/>
          </w:tcPr>
          <w:p w14:paraId="2D02904E">
            <w:pPr>
              <w:spacing w:line="400" w:lineRule="atLeast"/>
              <w:jc w:val="center"/>
              <w:rPr>
                <w:rFonts w:hint="eastAsia" w:ascii="宋体" w:hAnsi="宋体" w:eastAsia="宋体" w:cs="宋体"/>
                <w:color w:val="auto"/>
                <w:sz w:val="24"/>
                <w:highlight w:val="none"/>
              </w:rPr>
            </w:pPr>
          </w:p>
        </w:tc>
      </w:tr>
      <w:tr w14:paraId="118E9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3D5FAAC9">
            <w:pPr>
              <w:spacing w:line="400" w:lineRule="atLeast"/>
              <w:jc w:val="center"/>
              <w:rPr>
                <w:rFonts w:hint="eastAsia" w:ascii="宋体" w:hAnsi="宋体" w:eastAsia="宋体" w:cs="宋体"/>
                <w:color w:val="auto"/>
                <w:sz w:val="24"/>
                <w:highlight w:val="none"/>
              </w:rPr>
            </w:pPr>
          </w:p>
        </w:tc>
        <w:tc>
          <w:tcPr>
            <w:tcW w:w="1527" w:type="dxa"/>
            <w:noWrap w:val="0"/>
            <w:vAlign w:val="top"/>
          </w:tcPr>
          <w:p w14:paraId="28052FF5">
            <w:pPr>
              <w:spacing w:line="400" w:lineRule="atLeast"/>
              <w:jc w:val="center"/>
              <w:rPr>
                <w:rFonts w:hint="eastAsia" w:ascii="宋体" w:hAnsi="宋体" w:eastAsia="宋体" w:cs="宋体"/>
                <w:color w:val="auto"/>
                <w:sz w:val="24"/>
                <w:highlight w:val="none"/>
              </w:rPr>
            </w:pPr>
          </w:p>
        </w:tc>
        <w:tc>
          <w:tcPr>
            <w:tcW w:w="1722" w:type="dxa"/>
            <w:noWrap w:val="0"/>
            <w:vAlign w:val="top"/>
          </w:tcPr>
          <w:p w14:paraId="6E67ABC0">
            <w:pPr>
              <w:spacing w:line="400" w:lineRule="atLeast"/>
              <w:jc w:val="center"/>
              <w:rPr>
                <w:rFonts w:hint="eastAsia" w:ascii="宋体" w:hAnsi="宋体" w:eastAsia="宋体" w:cs="宋体"/>
                <w:color w:val="auto"/>
                <w:sz w:val="24"/>
                <w:highlight w:val="none"/>
              </w:rPr>
            </w:pPr>
          </w:p>
        </w:tc>
        <w:tc>
          <w:tcPr>
            <w:tcW w:w="2044" w:type="dxa"/>
            <w:noWrap w:val="0"/>
            <w:vAlign w:val="top"/>
          </w:tcPr>
          <w:p w14:paraId="6BB5AEFB">
            <w:pPr>
              <w:spacing w:line="400" w:lineRule="atLeast"/>
              <w:jc w:val="center"/>
              <w:rPr>
                <w:rFonts w:hint="eastAsia" w:ascii="宋体" w:hAnsi="宋体" w:eastAsia="宋体" w:cs="宋体"/>
                <w:color w:val="auto"/>
                <w:sz w:val="24"/>
                <w:highlight w:val="none"/>
              </w:rPr>
            </w:pPr>
          </w:p>
        </w:tc>
        <w:tc>
          <w:tcPr>
            <w:tcW w:w="1242" w:type="dxa"/>
            <w:noWrap w:val="0"/>
            <w:vAlign w:val="top"/>
          </w:tcPr>
          <w:p w14:paraId="6D90AEA5">
            <w:pPr>
              <w:spacing w:line="400" w:lineRule="atLeast"/>
              <w:jc w:val="center"/>
              <w:rPr>
                <w:rFonts w:hint="eastAsia" w:ascii="宋体" w:hAnsi="宋体" w:eastAsia="宋体" w:cs="宋体"/>
                <w:color w:val="auto"/>
                <w:sz w:val="24"/>
                <w:highlight w:val="none"/>
              </w:rPr>
            </w:pPr>
          </w:p>
        </w:tc>
        <w:tc>
          <w:tcPr>
            <w:tcW w:w="1075" w:type="dxa"/>
            <w:noWrap w:val="0"/>
            <w:vAlign w:val="top"/>
          </w:tcPr>
          <w:p w14:paraId="7ED9F14F">
            <w:pPr>
              <w:spacing w:line="400" w:lineRule="atLeast"/>
              <w:jc w:val="center"/>
              <w:rPr>
                <w:rFonts w:hint="eastAsia" w:ascii="宋体" w:hAnsi="宋体" w:eastAsia="宋体" w:cs="宋体"/>
                <w:color w:val="auto"/>
                <w:sz w:val="24"/>
                <w:highlight w:val="none"/>
              </w:rPr>
            </w:pPr>
          </w:p>
        </w:tc>
        <w:tc>
          <w:tcPr>
            <w:tcW w:w="1180" w:type="dxa"/>
            <w:noWrap w:val="0"/>
            <w:vAlign w:val="top"/>
          </w:tcPr>
          <w:p w14:paraId="1B728C53">
            <w:pPr>
              <w:spacing w:line="400" w:lineRule="atLeast"/>
              <w:jc w:val="center"/>
              <w:rPr>
                <w:rFonts w:hint="eastAsia" w:ascii="宋体" w:hAnsi="宋体" w:eastAsia="宋体" w:cs="宋体"/>
                <w:color w:val="auto"/>
                <w:sz w:val="24"/>
                <w:highlight w:val="none"/>
              </w:rPr>
            </w:pPr>
          </w:p>
        </w:tc>
      </w:tr>
      <w:tr w14:paraId="56DE2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34BCF85D">
            <w:pPr>
              <w:spacing w:line="400" w:lineRule="atLeast"/>
              <w:jc w:val="center"/>
              <w:rPr>
                <w:rFonts w:hint="eastAsia" w:ascii="宋体" w:hAnsi="宋体" w:eastAsia="宋体" w:cs="宋体"/>
                <w:color w:val="auto"/>
                <w:sz w:val="24"/>
                <w:highlight w:val="none"/>
              </w:rPr>
            </w:pPr>
          </w:p>
        </w:tc>
        <w:tc>
          <w:tcPr>
            <w:tcW w:w="1527" w:type="dxa"/>
            <w:noWrap w:val="0"/>
            <w:vAlign w:val="top"/>
          </w:tcPr>
          <w:p w14:paraId="38984F8B">
            <w:pPr>
              <w:spacing w:line="400" w:lineRule="atLeast"/>
              <w:jc w:val="center"/>
              <w:rPr>
                <w:rFonts w:hint="eastAsia" w:ascii="宋体" w:hAnsi="宋体" w:eastAsia="宋体" w:cs="宋体"/>
                <w:color w:val="auto"/>
                <w:sz w:val="24"/>
                <w:highlight w:val="none"/>
              </w:rPr>
            </w:pPr>
          </w:p>
        </w:tc>
        <w:tc>
          <w:tcPr>
            <w:tcW w:w="1722" w:type="dxa"/>
            <w:noWrap w:val="0"/>
            <w:vAlign w:val="top"/>
          </w:tcPr>
          <w:p w14:paraId="4610A54F">
            <w:pPr>
              <w:spacing w:line="400" w:lineRule="atLeast"/>
              <w:jc w:val="center"/>
              <w:rPr>
                <w:rFonts w:hint="eastAsia" w:ascii="宋体" w:hAnsi="宋体" w:eastAsia="宋体" w:cs="宋体"/>
                <w:color w:val="auto"/>
                <w:sz w:val="24"/>
                <w:highlight w:val="none"/>
              </w:rPr>
            </w:pPr>
          </w:p>
        </w:tc>
        <w:tc>
          <w:tcPr>
            <w:tcW w:w="2044" w:type="dxa"/>
            <w:noWrap w:val="0"/>
            <w:vAlign w:val="top"/>
          </w:tcPr>
          <w:p w14:paraId="347412DA">
            <w:pPr>
              <w:spacing w:line="400" w:lineRule="atLeast"/>
              <w:jc w:val="center"/>
              <w:rPr>
                <w:rFonts w:hint="eastAsia" w:ascii="宋体" w:hAnsi="宋体" w:eastAsia="宋体" w:cs="宋体"/>
                <w:color w:val="auto"/>
                <w:sz w:val="24"/>
                <w:highlight w:val="none"/>
              </w:rPr>
            </w:pPr>
          </w:p>
        </w:tc>
        <w:tc>
          <w:tcPr>
            <w:tcW w:w="1242" w:type="dxa"/>
            <w:noWrap w:val="0"/>
            <w:vAlign w:val="top"/>
          </w:tcPr>
          <w:p w14:paraId="1EB37D19">
            <w:pPr>
              <w:spacing w:line="400" w:lineRule="atLeast"/>
              <w:jc w:val="center"/>
              <w:rPr>
                <w:rFonts w:hint="eastAsia" w:ascii="宋体" w:hAnsi="宋体" w:eastAsia="宋体" w:cs="宋体"/>
                <w:color w:val="auto"/>
                <w:sz w:val="24"/>
                <w:highlight w:val="none"/>
              </w:rPr>
            </w:pPr>
          </w:p>
        </w:tc>
        <w:tc>
          <w:tcPr>
            <w:tcW w:w="1075" w:type="dxa"/>
            <w:noWrap w:val="0"/>
            <w:vAlign w:val="top"/>
          </w:tcPr>
          <w:p w14:paraId="646F1226">
            <w:pPr>
              <w:spacing w:line="400" w:lineRule="atLeast"/>
              <w:jc w:val="center"/>
              <w:rPr>
                <w:rFonts w:hint="eastAsia" w:ascii="宋体" w:hAnsi="宋体" w:eastAsia="宋体" w:cs="宋体"/>
                <w:color w:val="auto"/>
                <w:sz w:val="24"/>
                <w:highlight w:val="none"/>
              </w:rPr>
            </w:pPr>
          </w:p>
        </w:tc>
        <w:tc>
          <w:tcPr>
            <w:tcW w:w="1180" w:type="dxa"/>
            <w:noWrap w:val="0"/>
            <w:vAlign w:val="top"/>
          </w:tcPr>
          <w:p w14:paraId="5EB62C68">
            <w:pPr>
              <w:spacing w:line="400" w:lineRule="atLeast"/>
              <w:jc w:val="center"/>
              <w:rPr>
                <w:rFonts w:hint="eastAsia" w:ascii="宋体" w:hAnsi="宋体" w:eastAsia="宋体" w:cs="宋体"/>
                <w:color w:val="auto"/>
                <w:sz w:val="24"/>
                <w:highlight w:val="none"/>
              </w:rPr>
            </w:pPr>
          </w:p>
        </w:tc>
      </w:tr>
      <w:tr w14:paraId="3524F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03F64872">
            <w:pPr>
              <w:spacing w:line="400" w:lineRule="atLeast"/>
              <w:jc w:val="center"/>
              <w:rPr>
                <w:rFonts w:hint="eastAsia" w:ascii="宋体" w:hAnsi="宋体" w:eastAsia="宋体" w:cs="宋体"/>
                <w:color w:val="auto"/>
                <w:sz w:val="24"/>
                <w:highlight w:val="none"/>
              </w:rPr>
            </w:pPr>
          </w:p>
        </w:tc>
        <w:tc>
          <w:tcPr>
            <w:tcW w:w="1527" w:type="dxa"/>
            <w:noWrap w:val="0"/>
            <w:vAlign w:val="top"/>
          </w:tcPr>
          <w:p w14:paraId="71F5CA48">
            <w:pPr>
              <w:spacing w:line="400" w:lineRule="atLeast"/>
              <w:jc w:val="center"/>
              <w:rPr>
                <w:rFonts w:hint="eastAsia" w:ascii="宋体" w:hAnsi="宋体" w:eastAsia="宋体" w:cs="宋体"/>
                <w:color w:val="auto"/>
                <w:sz w:val="24"/>
                <w:highlight w:val="none"/>
              </w:rPr>
            </w:pPr>
          </w:p>
        </w:tc>
        <w:tc>
          <w:tcPr>
            <w:tcW w:w="1722" w:type="dxa"/>
            <w:noWrap w:val="0"/>
            <w:vAlign w:val="top"/>
          </w:tcPr>
          <w:p w14:paraId="06C31D7E">
            <w:pPr>
              <w:spacing w:line="400" w:lineRule="atLeast"/>
              <w:jc w:val="center"/>
              <w:rPr>
                <w:rFonts w:hint="eastAsia" w:ascii="宋体" w:hAnsi="宋体" w:eastAsia="宋体" w:cs="宋体"/>
                <w:color w:val="auto"/>
                <w:sz w:val="24"/>
                <w:highlight w:val="none"/>
              </w:rPr>
            </w:pPr>
          </w:p>
        </w:tc>
        <w:tc>
          <w:tcPr>
            <w:tcW w:w="2044" w:type="dxa"/>
            <w:noWrap w:val="0"/>
            <w:vAlign w:val="top"/>
          </w:tcPr>
          <w:p w14:paraId="772DDD28">
            <w:pPr>
              <w:spacing w:line="400" w:lineRule="atLeast"/>
              <w:jc w:val="center"/>
              <w:rPr>
                <w:rFonts w:hint="eastAsia" w:ascii="宋体" w:hAnsi="宋体" w:eastAsia="宋体" w:cs="宋体"/>
                <w:color w:val="auto"/>
                <w:sz w:val="24"/>
                <w:highlight w:val="none"/>
              </w:rPr>
            </w:pPr>
          </w:p>
        </w:tc>
        <w:tc>
          <w:tcPr>
            <w:tcW w:w="1242" w:type="dxa"/>
            <w:noWrap w:val="0"/>
            <w:vAlign w:val="top"/>
          </w:tcPr>
          <w:p w14:paraId="66B72F99">
            <w:pPr>
              <w:spacing w:line="400" w:lineRule="atLeast"/>
              <w:jc w:val="center"/>
              <w:rPr>
                <w:rFonts w:hint="eastAsia" w:ascii="宋体" w:hAnsi="宋体" w:eastAsia="宋体" w:cs="宋体"/>
                <w:color w:val="auto"/>
                <w:sz w:val="24"/>
                <w:highlight w:val="none"/>
              </w:rPr>
            </w:pPr>
          </w:p>
        </w:tc>
        <w:tc>
          <w:tcPr>
            <w:tcW w:w="1075" w:type="dxa"/>
            <w:noWrap w:val="0"/>
            <w:vAlign w:val="top"/>
          </w:tcPr>
          <w:p w14:paraId="24E69DCE">
            <w:pPr>
              <w:spacing w:line="400" w:lineRule="atLeast"/>
              <w:jc w:val="center"/>
              <w:rPr>
                <w:rFonts w:hint="eastAsia" w:ascii="宋体" w:hAnsi="宋体" w:eastAsia="宋体" w:cs="宋体"/>
                <w:color w:val="auto"/>
                <w:sz w:val="24"/>
                <w:highlight w:val="none"/>
              </w:rPr>
            </w:pPr>
          </w:p>
        </w:tc>
        <w:tc>
          <w:tcPr>
            <w:tcW w:w="1180" w:type="dxa"/>
            <w:noWrap w:val="0"/>
            <w:vAlign w:val="top"/>
          </w:tcPr>
          <w:p w14:paraId="44CE338B">
            <w:pPr>
              <w:spacing w:line="400" w:lineRule="atLeast"/>
              <w:jc w:val="center"/>
              <w:rPr>
                <w:rFonts w:hint="eastAsia" w:ascii="宋体" w:hAnsi="宋体" w:eastAsia="宋体" w:cs="宋体"/>
                <w:color w:val="auto"/>
                <w:sz w:val="24"/>
                <w:highlight w:val="none"/>
              </w:rPr>
            </w:pPr>
          </w:p>
        </w:tc>
      </w:tr>
      <w:tr w14:paraId="081B5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7089AFAD">
            <w:pPr>
              <w:spacing w:line="400" w:lineRule="atLeast"/>
              <w:jc w:val="center"/>
              <w:rPr>
                <w:rFonts w:hint="eastAsia" w:ascii="宋体" w:hAnsi="宋体" w:eastAsia="宋体" w:cs="宋体"/>
                <w:color w:val="auto"/>
                <w:sz w:val="24"/>
                <w:highlight w:val="none"/>
              </w:rPr>
            </w:pPr>
          </w:p>
        </w:tc>
        <w:tc>
          <w:tcPr>
            <w:tcW w:w="1527" w:type="dxa"/>
            <w:noWrap w:val="0"/>
            <w:vAlign w:val="top"/>
          </w:tcPr>
          <w:p w14:paraId="00CCD9CC">
            <w:pPr>
              <w:spacing w:line="400" w:lineRule="atLeast"/>
              <w:jc w:val="center"/>
              <w:rPr>
                <w:rFonts w:hint="eastAsia" w:ascii="宋体" w:hAnsi="宋体" w:eastAsia="宋体" w:cs="宋体"/>
                <w:color w:val="auto"/>
                <w:sz w:val="24"/>
                <w:highlight w:val="none"/>
              </w:rPr>
            </w:pPr>
          </w:p>
        </w:tc>
        <w:tc>
          <w:tcPr>
            <w:tcW w:w="1722" w:type="dxa"/>
            <w:noWrap w:val="0"/>
            <w:vAlign w:val="top"/>
          </w:tcPr>
          <w:p w14:paraId="74C48033">
            <w:pPr>
              <w:spacing w:line="400" w:lineRule="atLeast"/>
              <w:jc w:val="center"/>
              <w:rPr>
                <w:rFonts w:hint="eastAsia" w:ascii="宋体" w:hAnsi="宋体" w:eastAsia="宋体" w:cs="宋体"/>
                <w:color w:val="auto"/>
                <w:sz w:val="24"/>
                <w:highlight w:val="none"/>
              </w:rPr>
            </w:pPr>
          </w:p>
        </w:tc>
        <w:tc>
          <w:tcPr>
            <w:tcW w:w="2044" w:type="dxa"/>
            <w:noWrap w:val="0"/>
            <w:vAlign w:val="top"/>
          </w:tcPr>
          <w:p w14:paraId="533238CE">
            <w:pPr>
              <w:spacing w:line="400" w:lineRule="atLeast"/>
              <w:jc w:val="center"/>
              <w:rPr>
                <w:rFonts w:hint="eastAsia" w:ascii="宋体" w:hAnsi="宋体" w:eastAsia="宋体" w:cs="宋体"/>
                <w:color w:val="auto"/>
                <w:sz w:val="24"/>
                <w:highlight w:val="none"/>
              </w:rPr>
            </w:pPr>
          </w:p>
        </w:tc>
        <w:tc>
          <w:tcPr>
            <w:tcW w:w="1242" w:type="dxa"/>
            <w:noWrap w:val="0"/>
            <w:vAlign w:val="top"/>
          </w:tcPr>
          <w:p w14:paraId="5A43D0C1">
            <w:pPr>
              <w:spacing w:line="400" w:lineRule="atLeast"/>
              <w:jc w:val="center"/>
              <w:rPr>
                <w:rFonts w:hint="eastAsia" w:ascii="宋体" w:hAnsi="宋体" w:eastAsia="宋体" w:cs="宋体"/>
                <w:color w:val="auto"/>
                <w:sz w:val="24"/>
                <w:highlight w:val="none"/>
              </w:rPr>
            </w:pPr>
          </w:p>
        </w:tc>
        <w:tc>
          <w:tcPr>
            <w:tcW w:w="1075" w:type="dxa"/>
            <w:noWrap w:val="0"/>
            <w:vAlign w:val="top"/>
          </w:tcPr>
          <w:p w14:paraId="435FB1AC">
            <w:pPr>
              <w:spacing w:line="400" w:lineRule="atLeast"/>
              <w:jc w:val="center"/>
              <w:rPr>
                <w:rFonts w:hint="eastAsia" w:ascii="宋体" w:hAnsi="宋体" w:eastAsia="宋体" w:cs="宋体"/>
                <w:color w:val="auto"/>
                <w:sz w:val="24"/>
                <w:highlight w:val="none"/>
              </w:rPr>
            </w:pPr>
          </w:p>
        </w:tc>
        <w:tc>
          <w:tcPr>
            <w:tcW w:w="1180" w:type="dxa"/>
            <w:noWrap w:val="0"/>
            <w:vAlign w:val="top"/>
          </w:tcPr>
          <w:p w14:paraId="025FCC01">
            <w:pPr>
              <w:spacing w:line="400" w:lineRule="atLeast"/>
              <w:jc w:val="center"/>
              <w:rPr>
                <w:rFonts w:hint="eastAsia" w:ascii="宋体" w:hAnsi="宋体" w:eastAsia="宋体" w:cs="宋体"/>
                <w:color w:val="auto"/>
                <w:sz w:val="24"/>
                <w:highlight w:val="none"/>
              </w:rPr>
            </w:pPr>
          </w:p>
        </w:tc>
      </w:tr>
    </w:tbl>
    <w:p w14:paraId="6BAB5147">
      <w:pPr>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注：与</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文件中“第三部分</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需求</w:t>
      </w:r>
      <w:r>
        <w:rPr>
          <w:rFonts w:hint="eastAsia" w:ascii="宋体" w:hAnsi="宋体" w:eastAsia="宋体" w:cs="宋体"/>
          <w:color w:val="auto"/>
          <w:sz w:val="24"/>
          <w:szCs w:val="24"/>
          <w:highlight w:val="none"/>
          <w:lang w:val="en-US" w:eastAsia="zh-CN"/>
        </w:rPr>
        <w:t>-服务（技术）要求</w:t>
      </w:r>
      <w:r>
        <w:rPr>
          <w:rFonts w:hint="eastAsia" w:ascii="宋体" w:hAnsi="宋体" w:eastAsia="宋体" w:cs="宋体"/>
          <w:color w:val="auto"/>
          <w:sz w:val="24"/>
          <w:szCs w:val="24"/>
          <w:highlight w:val="none"/>
        </w:rPr>
        <w:t>”逐条对应填写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偏离情况</w:t>
      </w:r>
      <w:r>
        <w:rPr>
          <w:rFonts w:hint="eastAsia" w:ascii="宋体" w:hAnsi="宋体" w:eastAsia="宋体" w:cs="宋体"/>
          <w:color w:val="auto"/>
          <w:sz w:val="24"/>
          <w:szCs w:val="24"/>
          <w:highlight w:val="none"/>
          <w:lang w:eastAsia="zh-CN"/>
        </w:rPr>
        <w:t>”填写“正偏离”或“负偏离”或“无偏离”</w:t>
      </w:r>
      <w:r>
        <w:rPr>
          <w:rFonts w:hint="eastAsia" w:ascii="宋体" w:hAnsi="宋体" w:eastAsia="宋体" w:cs="宋体"/>
          <w:color w:val="auto"/>
          <w:sz w:val="24"/>
          <w:szCs w:val="24"/>
          <w:highlight w:val="none"/>
        </w:rPr>
        <w:t>。</w:t>
      </w:r>
    </w:p>
    <w:p w14:paraId="52E6686D">
      <w:pPr>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35D854AC">
      <w:pPr>
        <w:pStyle w:val="37"/>
        <w:keepNext w:val="0"/>
        <w:keepLines w:val="0"/>
        <w:pageBreakBefore w:val="0"/>
        <w:widowControl w:val="0"/>
        <w:kinsoku/>
        <w:wordWrap/>
        <w:overflowPunct/>
        <w:topLinePunct w:val="0"/>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2345B50">
      <w:pPr>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3135C7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eastAsia="宋体" w:cs="宋体"/>
          <w:b w:val="0"/>
          <w:bCs w:val="0"/>
          <w:color w:val="auto"/>
          <w:kern w:val="0"/>
          <w:sz w:val="24"/>
          <w:szCs w:val="24"/>
          <w:highlight w:val="none"/>
          <w:u w:val="single"/>
          <w:lang w:val="en-US" w:eastAsia="zh-CN"/>
        </w:rPr>
        <w:t xml:space="preserve">                     </w:t>
      </w:r>
    </w:p>
    <w:p w14:paraId="45C18846">
      <w:pPr>
        <w:pStyle w:val="37"/>
        <w:keepNext w:val="0"/>
        <w:keepLines w:val="0"/>
        <w:pageBreakBefore w:val="0"/>
        <w:widowControl w:val="0"/>
        <w:kinsoku/>
        <w:wordWrap/>
        <w:overflowPunct/>
        <w:topLinePunct w:val="0"/>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661E6F3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eastAsia="宋体" w:cs="宋体"/>
          <w:b w:val="0"/>
          <w:bCs w:val="0"/>
          <w:color w:val="auto"/>
          <w:kern w:val="0"/>
          <w:sz w:val="24"/>
          <w:szCs w:val="24"/>
          <w:highlight w:val="none"/>
          <w:u w:val="single"/>
          <w:lang w:val="en-US" w:eastAsia="zh-CN"/>
        </w:rPr>
        <w:t xml:space="preserve">                   </w:t>
      </w:r>
    </w:p>
    <w:p w14:paraId="7015CAC3">
      <w:pPr>
        <w:pStyle w:val="37"/>
        <w:keepNext w:val="0"/>
        <w:keepLines w:val="0"/>
        <w:pageBreakBefore w:val="0"/>
        <w:widowControl w:val="0"/>
        <w:kinsoku/>
        <w:wordWrap/>
        <w:overflowPunct/>
        <w:topLinePunct w:val="0"/>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11A660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60F2672F">
      <w:pPr>
        <w:pStyle w:val="48"/>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u w:val="single"/>
        </w:rPr>
      </w:pPr>
    </w:p>
    <w:p w14:paraId="3633513F">
      <w:pPr>
        <w:pStyle w:val="48"/>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u w:val="single"/>
        </w:rPr>
      </w:pPr>
    </w:p>
    <w:p w14:paraId="20F1DCAF">
      <w:pPr>
        <w:pStyle w:val="48"/>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u w:val="single"/>
        </w:rPr>
      </w:pPr>
    </w:p>
    <w:p w14:paraId="18409F44">
      <w:pPr>
        <w:pStyle w:val="48"/>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u w:val="single"/>
        </w:rPr>
      </w:pPr>
    </w:p>
    <w:p w14:paraId="1011F5A6">
      <w:pPr>
        <w:pStyle w:val="48"/>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u w:val="single"/>
        </w:rPr>
      </w:pPr>
    </w:p>
    <w:p w14:paraId="1A0739C4">
      <w:pPr>
        <w:pStyle w:val="48"/>
        <w:keepNext w:val="0"/>
        <w:keepLines w:val="0"/>
        <w:pageBreakBefore w:val="0"/>
        <w:widowControl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u w:val="single"/>
        </w:rPr>
      </w:pPr>
    </w:p>
    <w:p w14:paraId="468ADA2F">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39" w:name="_Toc17616"/>
      <w:bookmarkStart w:id="340" w:name="_Toc28285"/>
      <w:bookmarkStart w:id="341" w:name="_Toc22432"/>
      <w:bookmarkStart w:id="342" w:name="_Toc15051"/>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lang w:eastAsia="zh-CN"/>
        </w:rPr>
        <w:t>）商务条款偏离表</w:t>
      </w:r>
      <w:bookmarkEnd w:id="339"/>
      <w:bookmarkEnd w:id="340"/>
      <w:bookmarkEnd w:id="341"/>
      <w:bookmarkEnd w:id="342"/>
    </w:p>
    <w:p w14:paraId="31AB6164">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项目名称</w:t>
      </w:r>
      <w:r>
        <w:rPr>
          <w:rFonts w:hint="eastAsia" w:ascii="宋体" w:hAnsi="宋体" w:eastAsia="宋体" w:cs="宋体"/>
          <w:color w:val="auto"/>
          <w:sz w:val="24"/>
          <w:highlight w:val="none"/>
        </w:rPr>
        <w:t>：</w:t>
      </w:r>
      <w:r>
        <w:rPr>
          <w:rFonts w:hint="eastAsia" w:ascii="宋体" w:hAnsi="宋体" w:cs="宋体"/>
          <w:color w:val="auto"/>
          <w:sz w:val="24"/>
          <w:szCs w:val="24"/>
          <w:highlight w:val="none"/>
          <w:u w:val="single"/>
          <w:lang w:val="en-US" w:eastAsia="zh-CN"/>
        </w:rPr>
        <w:t>吐鲁番市鄯善县人民医院安保服务采购项目</w:t>
      </w:r>
    </w:p>
    <w:p w14:paraId="47D97F67">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项目编号：</w:t>
      </w:r>
      <w:r>
        <w:rPr>
          <w:rFonts w:hint="eastAsia" w:ascii="宋体" w:hAnsi="宋体" w:cs="宋体"/>
          <w:color w:val="auto"/>
          <w:sz w:val="24"/>
          <w:szCs w:val="24"/>
          <w:highlight w:val="none"/>
          <w:u w:val="single"/>
          <w:lang w:val="en-US" w:eastAsia="zh-CN"/>
        </w:rPr>
        <w:t>XJZN-2025-03117</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2140"/>
        <w:gridCol w:w="2495"/>
        <w:gridCol w:w="2741"/>
        <w:gridCol w:w="1444"/>
      </w:tblGrid>
      <w:tr w14:paraId="22F75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22" w:type="dxa"/>
            <w:noWrap w:val="0"/>
            <w:vAlign w:val="center"/>
          </w:tcPr>
          <w:p w14:paraId="2192FD53">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140" w:type="dxa"/>
            <w:noWrap w:val="0"/>
            <w:vAlign w:val="center"/>
          </w:tcPr>
          <w:p w14:paraId="5D8774D7">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商务</w:t>
            </w:r>
            <w:r>
              <w:rPr>
                <w:rFonts w:hint="eastAsia" w:ascii="宋体" w:hAnsi="宋体" w:eastAsia="宋体" w:cs="宋体"/>
                <w:color w:val="auto"/>
                <w:sz w:val="24"/>
                <w:highlight w:val="none"/>
                <w:lang w:val="en-US" w:eastAsia="zh-CN"/>
              </w:rPr>
              <w:t>要求</w:t>
            </w:r>
            <w:r>
              <w:rPr>
                <w:rFonts w:hint="eastAsia" w:ascii="宋体" w:hAnsi="宋体" w:eastAsia="宋体" w:cs="宋体"/>
                <w:color w:val="auto"/>
                <w:sz w:val="24"/>
                <w:highlight w:val="none"/>
              </w:rPr>
              <w:t>条目号</w:t>
            </w:r>
          </w:p>
        </w:tc>
        <w:tc>
          <w:tcPr>
            <w:tcW w:w="2495" w:type="dxa"/>
            <w:noWrap w:val="0"/>
            <w:vAlign w:val="center"/>
          </w:tcPr>
          <w:p w14:paraId="16D6F887">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文件商务条款</w:t>
            </w:r>
          </w:p>
        </w:tc>
        <w:tc>
          <w:tcPr>
            <w:tcW w:w="2741" w:type="dxa"/>
            <w:noWrap w:val="0"/>
            <w:vAlign w:val="center"/>
          </w:tcPr>
          <w:p w14:paraId="26D50AD8">
            <w:pPr>
              <w:spacing w:line="40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lang w:val="en-US" w:eastAsia="zh-CN"/>
              </w:rPr>
              <w:t>文件</w:t>
            </w:r>
            <w:r>
              <w:rPr>
                <w:rFonts w:hint="eastAsia" w:ascii="宋体" w:hAnsi="宋体" w:eastAsia="宋体" w:cs="宋体"/>
                <w:color w:val="auto"/>
                <w:sz w:val="24"/>
                <w:highlight w:val="none"/>
              </w:rPr>
              <w:t>商务条款</w:t>
            </w:r>
          </w:p>
        </w:tc>
        <w:tc>
          <w:tcPr>
            <w:tcW w:w="1444" w:type="dxa"/>
            <w:noWrap w:val="0"/>
            <w:vAlign w:val="center"/>
          </w:tcPr>
          <w:p w14:paraId="55F8F97D">
            <w:pPr>
              <w:spacing w:line="400" w:lineRule="atLeas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偏离情况</w:t>
            </w:r>
          </w:p>
        </w:tc>
      </w:tr>
      <w:tr w14:paraId="232E8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5FBE736">
            <w:pPr>
              <w:spacing w:line="400" w:lineRule="atLeast"/>
              <w:jc w:val="center"/>
              <w:rPr>
                <w:rFonts w:hint="eastAsia" w:ascii="宋体" w:hAnsi="宋体" w:eastAsia="宋体" w:cs="宋体"/>
                <w:color w:val="auto"/>
                <w:sz w:val="24"/>
                <w:highlight w:val="none"/>
              </w:rPr>
            </w:pPr>
          </w:p>
        </w:tc>
        <w:tc>
          <w:tcPr>
            <w:tcW w:w="2140" w:type="dxa"/>
            <w:noWrap w:val="0"/>
            <w:vAlign w:val="top"/>
          </w:tcPr>
          <w:p w14:paraId="05B68165">
            <w:pPr>
              <w:spacing w:line="400" w:lineRule="atLeast"/>
              <w:jc w:val="center"/>
              <w:rPr>
                <w:rFonts w:hint="eastAsia" w:ascii="宋体" w:hAnsi="宋体" w:eastAsia="宋体" w:cs="宋体"/>
                <w:color w:val="auto"/>
                <w:sz w:val="24"/>
                <w:highlight w:val="none"/>
              </w:rPr>
            </w:pPr>
          </w:p>
        </w:tc>
        <w:tc>
          <w:tcPr>
            <w:tcW w:w="2495" w:type="dxa"/>
            <w:noWrap w:val="0"/>
            <w:vAlign w:val="top"/>
          </w:tcPr>
          <w:p w14:paraId="34C61FD3">
            <w:pPr>
              <w:spacing w:line="400" w:lineRule="atLeast"/>
              <w:jc w:val="center"/>
              <w:rPr>
                <w:rFonts w:hint="eastAsia" w:ascii="宋体" w:hAnsi="宋体" w:eastAsia="宋体" w:cs="宋体"/>
                <w:color w:val="auto"/>
                <w:sz w:val="24"/>
                <w:highlight w:val="none"/>
              </w:rPr>
            </w:pPr>
          </w:p>
        </w:tc>
        <w:tc>
          <w:tcPr>
            <w:tcW w:w="2741" w:type="dxa"/>
            <w:noWrap w:val="0"/>
            <w:vAlign w:val="top"/>
          </w:tcPr>
          <w:p w14:paraId="62546734">
            <w:pPr>
              <w:spacing w:line="400" w:lineRule="atLeast"/>
              <w:jc w:val="center"/>
              <w:rPr>
                <w:rFonts w:hint="eastAsia" w:ascii="宋体" w:hAnsi="宋体" w:eastAsia="宋体" w:cs="宋体"/>
                <w:color w:val="auto"/>
                <w:sz w:val="24"/>
                <w:highlight w:val="none"/>
              </w:rPr>
            </w:pPr>
          </w:p>
        </w:tc>
        <w:tc>
          <w:tcPr>
            <w:tcW w:w="1444" w:type="dxa"/>
            <w:noWrap w:val="0"/>
            <w:vAlign w:val="top"/>
          </w:tcPr>
          <w:p w14:paraId="24F9AF44">
            <w:pPr>
              <w:spacing w:line="400" w:lineRule="atLeast"/>
              <w:jc w:val="center"/>
              <w:rPr>
                <w:rFonts w:hint="eastAsia" w:ascii="宋体" w:hAnsi="宋体" w:eastAsia="宋体" w:cs="宋体"/>
                <w:color w:val="auto"/>
                <w:sz w:val="24"/>
                <w:highlight w:val="none"/>
              </w:rPr>
            </w:pPr>
          </w:p>
        </w:tc>
      </w:tr>
      <w:tr w14:paraId="5671F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619AD26">
            <w:pPr>
              <w:spacing w:line="400" w:lineRule="atLeast"/>
              <w:jc w:val="center"/>
              <w:rPr>
                <w:rFonts w:hint="eastAsia" w:ascii="宋体" w:hAnsi="宋体" w:eastAsia="宋体" w:cs="宋体"/>
                <w:color w:val="auto"/>
                <w:sz w:val="24"/>
                <w:highlight w:val="none"/>
              </w:rPr>
            </w:pPr>
          </w:p>
        </w:tc>
        <w:tc>
          <w:tcPr>
            <w:tcW w:w="2140" w:type="dxa"/>
            <w:noWrap w:val="0"/>
            <w:vAlign w:val="top"/>
          </w:tcPr>
          <w:p w14:paraId="1C0AF60F">
            <w:pPr>
              <w:spacing w:line="400" w:lineRule="atLeast"/>
              <w:jc w:val="center"/>
              <w:rPr>
                <w:rFonts w:hint="eastAsia" w:ascii="宋体" w:hAnsi="宋体" w:eastAsia="宋体" w:cs="宋体"/>
                <w:color w:val="auto"/>
                <w:sz w:val="24"/>
                <w:highlight w:val="none"/>
              </w:rPr>
            </w:pPr>
          </w:p>
        </w:tc>
        <w:tc>
          <w:tcPr>
            <w:tcW w:w="2495" w:type="dxa"/>
            <w:noWrap w:val="0"/>
            <w:vAlign w:val="top"/>
          </w:tcPr>
          <w:p w14:paraId="63C5E4A0">
            <w:pPr>
              <w:spacing w:line="400" w:lineRule="atLeast"/>
              <w:jc w:val="center"/>
              <w:rPr>
                <w:rFonts w:hint="eastAsia" w:ascii="宋体" w:hAnsi="宋体" w:eastAsia="宋体" w:cs="宋体"/>
                <w:color w:val="auto"/>
                <w:sz w:val="24"/>
                <w:highlight w:val="none"/>
              </w:rPr>
            </w:pPr>
          </w:p>
        </w:tc>
        <w:tc>
          <w:tcPr>
            <w:tcW w:w="2741" w:type="dxa"/>
            <w:noWrap w:val="0"/>
            <w:vAlign w:val="top"/>
          </w:tcPr>
          <w:p w14:paraId="0015D083">
            <w:pPr>
              <w:spacing w:line="400" w:lineRule="atLeast"/>
              <w:jc w:val="center"/>
              <w:rPr>
                <w:rFonts w:hint="eastAsia" w:ascii="宋体" w:hAnsi="宋体" w:eastAsia="宋体" w:cs="宋体"/>
                <w:color w:val="auto"/>
                <w:sz w:val="24"/>
                <w:highlight w:val="none"/>
              </w:rPr>
            </w:pPr>
          </w:p>
        </w:tc>
        <w:tc>
          <w:tcPr>
            <w:tcW w:w="1444" w:type="dxa"/>
            <w:noWrap w:val="0"/>
            <w:vAlign w:val="top"/>
          </w:tcPr>
          <w:p w14:paraId="5187683C">
            <w:pPr>
              <w:spacing w:line="400" w:lineRule="atLeast"/>
              <w:jc w:val="center"/>
              <w:rPr>
                <w:rFonts w:hint="eastAsia" w:ascii="宋体" w:hAnsi="宋体" w:eastAsia="宋体" w:cs="宋体"/>
                <w:color w:val="auto"/>
                <w:sz w:val="24"/>
                <w:highlight w:val="none"/>
              </w:rPr>
            </w:pPr>
          </w:p>
        </w:tc>
      </w:tr>
      <w:tr w14:paraId="29A11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179F0AD">
            <w:pPr>
              <w:spacing w:line="400" w:lineRule="atLeast"/>
              <w:jc w:val="center"/>
              <w:rPr>
                <w:rFonts w:hint="eastAsia" w:ascii="宋体" w:hAnsi="宋体" w:eastAsia="宋体" w:cs="宋体"/>
                <w:color w:val="auto"/>
                <w:sz w:val="24"/>
                <w:highlight w:val="none"/>
              </w:rPr>
            </w:pPr>
          </w:p>
        </w:tc>
        <w:tc>
          <w:tcPr>
            <w:tcW w:w="2140" w:type="dxa"/>
            <w:noWrap w:val="0"/>
            <w:vAlign w:val="top"/>
          </w:tcPr>
          <w:p w14:paraId="5C2F0FF0">
            <w:pPr>
              <w:spacing w:line="400" w:lineRule="atLeast"/>
              <w:jc w:val="center"/>
              <w:rPr>
                <w:rFonts w:hint="eastAsia" w:ascii="宋体" w:hAnsi="宋体" w:eastAsia="宋体" w:cs="宋体"/>
                <w:color w:val="auto"/>
                <w:sz w:val="24"/>
                <w:highlight w:val="none"/>
              </w:rPr>
            </w:pPr>
          </w:p>
        </w:tc>
        <w:tc>
          <w:tcPr>
            <w:tcW w:w="2495" w:type="dxa"/>
            <w:noWrap w:val="0"/>
            <w:vAlign w:val="top"/>
          </w:tcPr>
          <w:p w14:paraId="2D60758E">
            <w:pPr>
              <w:spacing w:line="400" w:lineRule="atLeast"/>
              <w:jc w:val="center"/>
              <w:rPr>
                <w:rFonts w:hint="eastAsia" w:ascii="宋体" w:hAnsi="宋体" w:eastAsia="宋体" w:cs="宋体"/>
                <w:color w:val="auto"/>
                <w:sz w:val="24"/>
                <w:highlight w:val="none"/>
              </w:rPr>
            </w:pPr>
          </w:p>
        </w:tc>
        <w:tc>
          <w:tcPr>
            <w:tcW w:w="2741" w:type="dxa"/>
            <w:noWrap w:val="0"/>
            <w:vAlign w:val="top"/>
          </w:tcPr>
          <w:p w14:paraId="26F2AE5A">
            <w:pPr>
              <w:spacing w:line="400" w:lineRule="atLeast"/>
              <w:jc w:val="center"/>
              <w:rPr>
                <w:rFonts w:hint="eastAsia" w:ascii="宋体" w:hAnsi="宋体" w:eastAsia="宋体" w:cs="宋体"/>
                <w:color w:val="auto"/>
                <w:sz w:val="24"/>
                <w:highlight w:val="none"/>
              </w:rPr>
            </w:pPr>
          </w:p>
        </w:tc>
        <w:tc>
          <w:tcPr>
            <w:tcW w:w="1444" w:type="dxa"/>
            <w:noWrap w:val="0"/>
            <w:vAlign w:val="top"/>
          </w:tcPr>
          <w:p w14:paraId="1097C27C">
            <w:pPr>
              <w:spacing w:line="400" w:lineRule="atLeast"/>
              <w:jc w:val="center"/>
              <w:rPr>
                <w:rFonts w:hint="eastAsia" w:ascii="宋体" w:hAnsi="宋体" w:eastAsia="宋体" w:cs="宋体"/>
                <w:color w:val="auto"/>
                <w:sz w:val="24"/>
                <w:highlight w:val="none"/>
              </w:rPr>
            </w:pPr>
          </w:p>
        </w:tc>
      </w:tr>
      <w:tr w14:paraId="6011A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4677236">
            <w:pPr>
              <w:spacing w:line="400" w:lineRule="atLeast"/>
              <w:jc w:val="center"/>
              <w:rPr>
                <w:rFonts w:hint="eastAsia" w:ascii="宋体" w:hAnsi="宋体" w:eastAsia="宋体" w:cs="宋体"/>
                <w:color w:val="auto"/>
                <w:sz w:val="24"/>
                <w:highlight w:val="none"/>
              </w:rPr>
            </w:pPr>
          </w:p>
        </w:tc>
        <w:tc>
          <w:tcPr>
            <w:tcW w:w="2140" w:type="dxa"/>
            <w:noWrap w:val="0"/>
            <w:vAlign w:val="top"/>
          </w:tcPr>
          <w:p w14:paraId="34A491E9">
            <w:pPr>
              <w:spacing w:line="400" w:lineRule="atLeast"/>
              <w:jc w:val="center"/>
              <w:rPr>
                <w:rFonts w:hint="eastAsia" w:ascii="宋体" w:hAnsi="宋体" w:eastAsia="宋体" w:cs="宋体"/>
                <w:color w:val="auto"/>
                <w:sz w:val="24"/>
                <w:highlight w:val="none"/>
              </w:rPr>
            </w:pPr>
          </w:p>
        </w:tc>
        <w:tc>
          <w:tcPr>
            <w:tcW w:w="2495" w:type="dxa"/>
            <w:noWrap w:val="0"/>
            <w:vAlign w:val="top"/>
          </w:tcPr>
          <w:p w14:paraId="45D438CC">
            <w:pPr>
              <w:spacing w:line="400" w:lineRule="atLeast"/>
              <w:jc w:val="center"/>
              <w:rPr>
                <w:rFonts w:hint="eastAsia" w:ascii="宋体" w:hAnsi="宋体" w:eastAsia="宋体" w:cs="宋体"/>
                <w:color w:val="auto"/>
                <w:sz w:val="24"/>
                <w:highlight w:val="none"/>
              </w:rPr>
            </w:pPr>
          </w:p>
        </w:tc>
        <w:tc>
          <w:tcPr>
            <w:tcW w:w="2741" w:type="dxa"/>
            <w:noWrap w:val="0"/>
            <w:vAlign w:val="top"/>
          </w:tcPr>
          <w:p w14:paraId="40F7EB86">
            <w:pPr>
              <w:spacing w:line="400" w:lineRule="atLeast"/>
              <w:jc w:val="center"/>
              <w:rPr>
                <w:rFonts w:hint="eastAsia" w:ascii="宋体" w:hAnsi="宋体" w:eastAsia="宋体" w:cs="宋体"/>
                <w:color w:val="auto"/>
                <w:sz w:val="24"/>
                <w:highlight w:val="none"/>
              </w:rPr>
            </w:pPr>
          </w:p>
        </w:tc>
        <w:tc>
          <w:tcPr>
            <w:tcW w:w="1444" w:type="dxa"/>
            <w:noWrap w:val="0"/>
            <w:vAlign w:val="top"/>
          </w:tcPr>
          <w:p w14:paraId="675C82E6">
            <w:pPr>
              <w:spacing w:line="400" w:lineRule="atLeast"/>
              <w:jc w:val="center"/>
              <w:rPr>
                <w:rFonts w:hint="eastAsia" w:ascii="宋体" w:hAnsi="宋体" w:eastAsia="宋体" w:cs="宋体"/>
                <w:color w:val="auto"/>
                <w:sz w:val="24"/>
                <w:highlight w:val="none"/>
              </w:rPr>
            </w:pPr>
          </w:p>
        </w:tc>
      </w:tr>
      <w:tr w14:paraId="446D5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8A317B1">
            <w:pPr>
              <w:spacing w:line="400" w:lineRule="atLeast"/>
              <w:jc w:val="center"/>
              <w:rPr>
                <w:rFonts w:hint="eastAsia" w:ascii="宋体" w:hAnsi="宋体" w:eastAsia="宋体" w:cs="宋体"/>
                <w:color w:val="auto"/>
                <w:sz w:val="24"/>
                <w:highlight w:val="none"/>
              </w:rPr>
            </w:pPr>
          </w:p>
        </w:tc>
        <w:tc>
          <w:tcPr>
            <w:tcW w:w="2140" w:type="dxa"/>
            <w:noWrap w:val="0"/>
            <w:vAlign w:val="top"/>
          </w:tcPr>
          <w:p w14:paraId="40390BFD">
            <w:pPr>
              <w:spacing w:line="400" w:lineRule="atLeast"/>
              <w:jc w:val="center"/>
              <w:rPr>
                <w:rFonts w:hint="eastAsia" w:ascii="宋体" w:hAnsi="宋体" w:eastAsia="宋体" w:cs="宋体"/>
                <w:color w:val="auto"/>
                <w:sz w:val="24"/>
                <w:highlight w:val="none"/>
              </w:rPr>
            </w:pPr>
          </w:p>
        </w:tc>
        <w:tc>
          <w:tcPr>
            <w:tcW w:w="2495" w:type="dxa"/>
            <w:noWrap w:val="0"/>
            <w:vAlign w:val="top"/>
          </w:tcPr>
          <w:p w14:paraId="5FC7806E">
            <w:pPr>
              <w:spacing w:line="400" w:lineRule="atLeast"/>
              <w:jc w:val="center"/>
              <w:rPr>
                <w:rFonts w:hint="eastAsia" w:ascii="宋体" w:hAnsi="宋体" w:eastAsia="宋体" w:cs="宋体"/>
                <w:color w:val="auto"/>
                <w:sz w:val="24"/>
                <w:highlight w:val="none"/>
              </w:rPr>
            </w:pPr>
          </w:p>
        </w:tc>
        <w:tc>
          <w:tcPr>
            <w:tcW w:w="2741" w:type="dxa"/>
            <w:noWrap w:val="0"/>
            <w:vAlign w:val="top"/>
          </w:tcPr>
          <w:p w14:paraId="04F6C5B6">
            <w:pPr>
              <w:spacing w:line="400" w:lineRule="atLeast"/>
              <w:jc w:val="center"/>
              <w:rPr>
                <w:rFonts w:hint="eastAsia" w:ascii="宋体" w:hAnsi="宋体" w:eastAsia="宋体" w:cs="宋体"/>
                <w:color w:val="auto"/>
                <w:sz w:val="24"/>
                <w:highlight w:val="none"/>
              </w:rPr>
            </w:pPr>
          </w:p>
        </w:tc>
        <w:tc>
          <w:tcPr>
            <w:tcW w:w="1444" w:type="dxa"/>
            <w:noWrap w:val="0"/>
            <w:vAlign w:val="top"/>
          </w:tcPr>
          <w:p w14:paraId="4E83331A">
            <w:pPr>
              <w:spacing w:line="400" w:lineRule="atLeast"/>
              <w:jc w:val="center"/>
              <w:rPr>
                <w:rFonts w:hint="eastAsia" w:ascii="宋体" w:hAnsi="宋体" w:eastAsia="宋体" w:cs="宋体"/>
                <w:color w:val="auto"/>
                <w:sz w:val="24"/>
                <w:highlight w:val="none"/>
              </w:rPr>
            </w:pPr>
          </w:p>
        </w:tc>
      </w:tr>
      <w:tr w14:paraId="4E962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0DAA11DF">
            <w:pPr>
              <w:spacing w:line="400" w:lineRule="atLeast"/>
              <w:jc w:val="center"/>
              <w:rPr>
                <w:rFonts w:hint="eastAsia" w:ascii="宋体" w:hAnsi="宋体" w:eastAsia="宋体" w:cs="宋体"/>
                <w:color w:val="auto"/>
                <w:sz w:val="24"/>
                <w:highlight w:val="none"/>
              </w:rPr>
            </w:pPr>
          </w:p>
        </w:tc>
        <w:tc>
          <w:tcPr>
            <w:tcW w:w="2140" w:type="dxa"/>
            <w:noWrap w:val="0"/>
            <w:vAlign w:val="top"/>
          </w:tcPr>
          <w:p w14:paraId="1DC05F1E">
            <w:pPr>
              <w:spacing w:line="400" w:lineRule="atLeast"/>
              <w:jc w:val="center"/>
              <w:rPr>
                <w:rFonts w:hint="eastAsia" w:ascii="宋体" w:hAnsi="宋体" w:eastAsia="宋体" w:cs="宋体"/>
                <w:color w:val="auto"/>
                <w:sz w:val="24"/>
                <w:highlight w:val="none"/>
              </w:rPr>
            </w:pPr>
          </w:p>
        </w:tc>
        <w:tc>
          <w:tcPr>
            <w:tcW w:w="2495" w:type="dxa"/>
            <w:noWrap w:val="0"/>
            <w:vAlign w:val="top"/>
          </w:tcPr>
          <w:p w14:paraId="7CCF0F5B">
            <w:pPr>
              <w:spacing w:line="400" w:lineRule="atLeast"/>
              <w:jc w:val="center"/>
              <w:rPr>
                <w:rFonts w:hint="eastAsia" w:ascii="宋体" w:hAnsi="宋体" w:eastAsia="宋体" w:cs="宋体"/>
                <w:color w:val="auto"/>
                <w:sz w:val="24"/>
                <w:highlight w:val="none"/>
              </w:rPr>
            </w:pPr>
          </w:p>
        </w:tc>
        <w:tc>
          <w:tcPr>
            <w:tcW w:w="2741" w:type="dxa"/>
            <w:noWrap w:val="0"/>
            <w:vAlign w:val="top"/>
          </w:tcPr>
          <w:p w14:paraId="554078AC">
            <w:pPr>
              <w:spacing w:line="400" w:lineRule="atLeast"/>
              <w:jc w:val="center"/>
              <w:rPr>
                <w:rFonts w:hint="eastAsia" w:ascii="宋体" w:hAnsi="宋体" w:eastAsia="宋体" w:cs="宋体"/>
                <w:color w:val="auto"/>
                <w:sz w:val="24"/>
                <w:highlight w:val="none"/>
              </w:rPr>
            </w:pPr>
          </w:p>
        </w:tc>
        <w:tc>
          <w:tcPr>
            <w:tcW w:w="1444" w:type="dxa"/>
            <w:noWrap w:val="0"/>
            <w:vAlign w:val="top"/>
          </w:tcPr>
          <w:p w14:paraId="21065C8F">
            <w:pPr>
              <w:spacing w:line="400" w:lineRule="atLeast"/>
              <w:jc w:val="center"/>
              <w:rPr>
                <w:rFonts w:hint="eastAsia" w:ascii="宋体" w:hAnsi="宋体" w:eastAsia="宋体" w:cs="宋体"/>
                <w:color w:val="auto"/>
                <w:sz w:val="24"/>
                <w:highlight w:val="none"/>
              </w:rPr>
            </w:pPr>
          </w:p>
        </w:tc>
      </w:tr>
      <w:tr w14:paraId="37C2F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6099836">
            <w:pPr>
              <w:spacing w:line="400" w:lineRule="atLeast"/>
              <w:jc w:val="center"/>
              <w:rPr>
                <w:rFonts w:hint="eastAsia" w:ascii="宋体" w:hAnsi="宋体" w:eastAsia="宋体" w:cs="宋体"/>
                <w:color w:val="auto"/>
                <w:sz w:val="24"/>
                <w:highlight w:val="none"/>
              </w:rPr>
            </w:pPr>
          </w:p>
        </w:tc>
        <w:tc>
          <w:tcPr>
            <w:tcW w:w="2140" w:type="dxa"/>
            <w:noWrap w:val="0"/>
            <w:vAlign w:val="top"/>
          </w:tcPr>
          <w:p w14:paraId="4F22E4A2">
            <w:pPr>
              <w:spacing w:line="400" w:lineRule="atLeast"/>
              <w:jc w:val="center"/>
              <w:rPr>
                <w:rFonts w:hint="eastAsia" w:ascii="宋体" w:hAnsi="宋体" w:eastAsia="宋体" w:cs="宋体"/>
                <w:color w:val="auto"/>
                <w:sz w:val="24"/>
                <w:highlight w:val="none"/>
              </w:rPr>
            </w:pPr>
          </w:p>
        </w:tc>
        <w:tc>
          <w:tcPr>
            <w:tcW w:w="2495" w:type="dxa"/>
            <w:noWrap w:val="0"/>
            <w:vAlign w:val="top"/>
          </w:tcPr>
          <w:p w14:paraId="2D0FA966">
            <w:pPr>
              <w:spacing w:line="400" w:lineRule="atLeast"/>
              <w:jc w:val="center"/>
              <w:rPr>
                <w:rFonts w:hint="eastAsia" w:ascii="宋体" w:hAnsi="宋体" w:eastAsia="宋体" w:cs="宋体"/>
                <w:color w:val="auto"/>
                <w:sz w:val="24"/>
                <w:highlight w:val="none"/>
              </w:rPr>
            </w:pPr>
          </w:p>
        </w:tc>
        <w:tc>
          <w:tcPr>
            <w:tcW w:w="2741" w:type="dxa"/>
            <w:noWrap w:val="0"/>
            <w:vAlign w:val="top"/>
          </w:tcPr>
          <w:p w14:paraId="0BB04164">
            <w:pPr>
              <w:spacing w:line="400" w:lineRule="atLeast"/>
              <w:jc w:val="center"/>
              <w:rPr>
                <w:rFonts w:hint="eastAsia" w:ascii="宋体" w:hAnsi="宋体" w:eastAsia="宋体" w:cs="宋体"/>
                <w:color w:val="auto"/>
                <w:sz w:val="24"/>
                <w:highlight w:val="none"/>
              </w:rPr>
            </w:pPr>
          </w:p>
        </w:tc>
        <w:tc>
          <w:tcPr>
            <w:tcW w:w="1444" w:type="dxa"/>
            <w:noWrap w:val="0"/>
            <w:vAlign w:val="top"/>
          </w:tcPr>
          <w:p w14:paraId="08D53595">
            <w:pPr>
              <w:spacing w:line="400" w:lineRule="atLeast"/>
              <w:jc w:val="center"/>
              <w:rPr>
                <w:rFonts w:hint="eastAsia" w:ascii="宋体" w:hAnsi="宋体" w:eastAsia="宋体" w:cs="宋体"/>
                <w:color w:val="auto"/>
                <w:sz w:val="24"/>
                <w:highlight w:val="none"/>
              </w:rPr>
            </w:pPr>
          </w:p>
        </w:tc>
      </w:tr>
      <w:tr w14:paraId="2069C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2962714">
            <w:pPr>
              <w:spacing w:line="400" w:lineRule="atLeast"/>
              <w:jc w:val="center"/>
              <w:rPr>
                <w:rFonts w:hint="eastAsia" w:ascii="宋体" w:hAnsi="宋体" w:eastAsia="宋体" w:cs="宋体"/>
                <w:color w:val="auto"/>
                <w:sz w:val="24"/>
                <w:highlight w:val="none"/>
              </w:rPr>
            </w:pPr>
          </w:p>
        </w:tc>
        <w:tc>
          <w:tcPr>
            <w:tcW w:w="2140" w:type="dxa"/>
            <w:noWrap w:val="0"/>
            <w:vAlign w:val="top"/>
          </w:tcPr>
          <w:p w14:paraId="2BA4D6D6">
            <w:pPr>
              <w:spacing w:line="400" w:lineRule="atLeast"/>
              <w:jc w:val="center"/>
              <w:rPr>
                <w:rFonts w:hint="eastAsia" w:ascii="宋体" w:hAnsi="宋体" w:eastAsia="宋体" w:cs="宋体"/>
                <w:color w:val="auto"/>
                <w:sz w:val="24"/>
                <w:highlight w:val="none"/>
              </w:rPr>
            </w:pPr>
          </w:p>
        </w:tc>
        <w:tc>
          <w:tcPr>
            <w:tcW w:w="2495" w:type="dxa"/>
            <w:noWrap w:val="0"/>
            <w:vAlign w:val="top"/>
          </w:tcPr>
          <w:p w14:paraId="2DA5DCD3">
            <w:pPr>
              <w:spacing w:line="400" w:lineRule="atLeast"/>
              <w:jc w:val="center"/>
              <w:rPr>
                <w:rFonts w:hint="eastAsia" w:ascii="宋体" w:hAnsi="宋体" w:eastAsia="宋体" w:cs="宋体"/>
                <w:color w:val="auto"/>
                <w:sz w:val="24"/>
                <w:highlight w:val="none"/>
              </w:rPr>
            </w:pPr>
          </w:p>
        </w:tc>
        <w:tc>
          <w:tcPr>
            <w:tcW w:w="2741" w:type="dxa"/>
            <w:noWrap w:val="0"/>
            <w:vAlign w:val="top"/>
          </w:tcPr>
          <w:p w14:paraId="4548B5C4">
            <w:pPr>
              <w:spacing w:line="400" w:lineRule="atLeast"/>
              <w:jc w:val="center"/>
              <w:rPr>
                <w:rFonts w:hint="eastAsia" w:ascii="宋体" w:hAnsi="宋体" w:eastAsia="宋体" w:cs="宋体"/>
                <w:color w:val="auto"/>
                <w:sz w:val="24"/>
                <w:highlight w:val="none"/>
              </w:rPr>
            </w:pPr>
          </w:p>
        </w:tc>
        <w:tc>
          <w:tcPr>
            <w:tcW w:w="1444" w:type="dxa"/>
            <w:noWrap w:val="0"/>
            <w:vAlign w:val="top"/>
          </w:tcPr>
          <w:p w14:paraId="4D97B710">
            <w:pPr>
              <w:spacing w:line="400" w:lineRule="atLeast"/>
              <w:jc w:val="center"/>
              <w:rPr>
                <w:rFonts w:hint="eastAsia" w:ascii="宋体" w:hAnsi="宋体" w:eastAsia="宋体" w:cs="宋体"/>
                <w:color w:val="auto"/>
                <w:sz w:val="24"/>
                <w:highlight w:val="none"/>
              </w:rPr>
            </w:pPr>
          </w:p>
        </w:tc>
      </w:tr>
      <w:tr w14:paraId="404DF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2A056EFF">
            <w:pPr>
              <w:spacing w:line="400" w:lineRule="atLeast"/>
              <w:jc w:val="center"/>
              <w:rPr>
                <w:rFonts w:hint="eastAsia" w:ascii="宋体" w:hAnsi="宋体" w:eastAsia="宋体" w:cs="宋体"/>
                <w:color w:val="auto"/>
                <w:sz w:val="24"/>
                <w:highlight w:val="none"/>
              </w:rPr>
            </w:pPr>
          </w:p>
        </w:tc>
        <w:tc>
          <w:tcPr>
            <w:tcW w:w="2140" w:type="dxa"/>
            <w:noWrap w:val="0"/>
            <w:vAlign w:val="top"/>
          </w:tcPr>
          <w:p w14:paraId="036E2DBC">
            <w:pPr>
              <w:spacing w:line="400" w:lineRule="atLeast"/>
              <w:jc w:val="center"/>
              <w:rPr>
                <w:rFonts w:hint="eastAsia" w:ascii="宋体" w:hAnsi="宋体" w:eastAsia="宋体" w:cs="宋体"/>
                <w:color w:val="auto"/>
                <w:sz w:val="24"/>
                <w:highlight w:val="none"/>
              </w:rPr>
            </w:pPr>
          </w:p>
        </w:tc>
        <w:tc>
          <w:tcPr>
            <w:tcW w:w="2495" w:type="dxa"/>
            <w:noWrap w:val="0"/>
            <w:vAlign w:val="top"/>
          </w:tcPr>
          <w:p w14:paraId="6EB34E20">
            <w:pPr>
              <w:spacing w:line="400" w:lineRule="atLeast"/>
              <w:jc w:val="center"/>
              <w:rPr>
                <w:rFonts w:hint="eastAsia" w:ascii="宋体" w:hAnsi="宋体" w:eastAsia="宋体" w:cs="宋体"/>
                <w:color w:val="auto"/>
                <w:sz w:val="24"/>
                <w:highlight w:val="none"/>
              </w:rPr>
            </w:pPr>
          </w:p>
        </w:tc>
        <w:tc>
          <w:tcPr>
            <w:tcW w:w="2741" w:type="dxa"/>
            <w:noWrap w:val="0"/>
            <w:vAlign w:val="top"/>
          </w:tcPr>
          <w:p w14:paraId="2C3A8273">
            <w:pPr>
              <w:spacing w:line="400" w:lineRule="atLeast"/>
              <w:jc w:val="center"/>
              <w:rPr>
                <w:rFonts w:hint="eastAsia" w:ascii="宋体" w:hAnsi="宋体" w:eastAsia="宋体" w:cs="宋体"/>
                <w:color w:val="auto"/>
                <w:sz w:val="24"/>
                <w:highlight w:val="none"/>
              </w:rPr>
            </w:pPr>
          </w:p>
        </w:tc>
        <w:tc>
          <w:tcPr>
            <w:tcW w:w="1444" w:type="dxa"/>
            <w:noWrap w:val="0"/>
            <w:vAlign w:val="top"/>
          </w:tcPr>
          <w:p w14:paraId="082FA5FA">
            <w:pPr>
              <w:spacing w:line="400" w:lineRule="atLeast"/>
              <w:jc w:val="center"/>
              <w:rPr>
                <w:rFonts w:hint="eastAsia" w:ascii="宋体" w:hAnsi="宋体" w:eastAsia="宋体" w:cs="宋体"/>
                <w:color w:val="auto"/>
                <w:sz w:val="24"/>
                <w:highlight w:val="none"/>
              </w:rPr>
            </w:pPr>
          </w:p>
        </w:tc>
      </w:tr>
      <w:tr w14:paraId="7B615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27F13F2B">
            <w:pPr>
              <w:spacing w:line="400" w:lineRule="atLeast"/>
              <w:jc w:val="center"/>
              <w:rPr>
                <w:rFonts w:hint="eastAsia" w:ascii="宋体" w:hAnsi="宋体" w:eastAsia="宋体" w:cs="宋体"/>
                <w:color w:val="auto"/>
                <w:sz w:val="24"/>
                <w:highlight w:val="none"/>
              </w:rPr>
            </w:pPr>
          </w:p>
        </w:tc>
        <w:tc>
          <w:tcPr>
            <w:tcW w:w="2140" w:type="dxa"/>
            <w:noWrap w:val="0"/>
            <w:vAlign w:val="top"/>
          </w:tcPr>
          <w:p w14:paraId="2488BC86">
            <w:pPr>
              <w:spacing w:line="400" w:lineRule="atLeast"/>
              <w:jc w:val="center"/>
              <w:rPr>
                <w:rFonts w:hint="eastAsia" w:ascii="宋体" w:hAnsi="宋体" w:eastAsia="宋体" w:cs="宋体"/>
                <w:color w:val="auto"/>
                <w:sz w:val="24"/>
                <w:highlight w:val="none"/>
              </w:rPr>
            </w:pPr>
          </w:p>
        </w:tc>
        <w:tc>
          <w:tcPr>
            <w:tcW w:w="2495" w:type="dxa"/>
            <w:noWrap w:val="0"/>
            <w:vAlign w:val="top"/>
          </w:tcPr>
          <w:p w14:paraId="48658E00">
            <w:pPr>
              <w:spacing w:line="400" w:lineRule="atLeast"/>
              <w:jc w:val="center"/>
              <w:rPr>
                <w:rFonts w:hint="eastAsia" w:ascii="宋体" w:hAnsi="宋体" w:eastAsia="宋体" w:cs="宋体"/>
                <w:color w:val="auto"/>
                <w:sz w:val="24"/>
                <w:highlight w:val="none"/>
              </w:rPr>
            </w:pPr>
          </w:p>
        </w:tc>
        <w:tc>
          <w:tcPr>
            <w:tcW w:w="2741" w:type="dxa"/>
            <w:noWrap w:val="0"/>
            <w:vAlign w:val="top"/>
          </w:tcPr>
          <w:p w14:paraId="44404B96">
            <w:pPr>
              <w:spacing w:line="400" w:lineRule="atLeast"/>
              <w:jc w:val="center"/>
              <w:rPr>
                <w:rFonts w:hint="eastAsia" w:ascii="宋体" w:hAnsi="宋体" w:eastAsia="宋体" w:cs="宋体"/>
                <w:color w:val="auto"/>
                <w:sz w:val="24"/>
                <w:highlight w:val="none"/>
              </w:rPr>
            </w:pPr>
          </w:p>
        </w:tc>
        <w:tc>
          <w:tcPr>
            <w:tcW w:w="1444" w:type="dxa"/>
            <w:noWrap w:val="0"/>
            <w:vAlign w:val="top"/>
          </w:tcPr>
          <w:p w14:paraId="3BB962DA">
            <w:pPr>
              <w:spacing w:line="400" w:lineRule="atLeast"/>
              <w:jc w:val="center"/>
              <w:rPr>
                <w:rFonts w:hint="eastAsia" w:ascii="宋体" w:hAnsi="宋体" w:eastAsia="宋体" w:cs="宋体"/>
                <w:color w:val="auto"/>
                <w:sz w:val="24"/>
                <w:highlight w:val="none"/>
              </w:rPr>
            </w:pPr>
          </w:p>
        </w:tc>
      </w:tr>
      <w:tr w14:paraId="5223E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71C0BCFC">
            <w:pPr>
              <w:spacing w:line="400" w:lineRule="atLeast"/>
              <w:jc w:val="center"/>
              <w:rPr>
                <w:rFonts w:hint="eastAsia" w:ascii="宋体" w:hAnsi="宋体" w:eastAsia="宋体" w:cs="宋体"/>
                <w:color w:val="auto"/>
                <w:sz w:val="24"/>
                <w:highlight w:val="none"/>
              </w:rPr>
            </w:pPr>
          </w:p>
        </w:tc>
        <w:tc>
          <w:tcPr>
            <w:tcW w:w="2140" w:type="dxa"/>
            <w:noWrap w:val="0"/>
            <w:vAlign w:val="top"/>
          </w:tcPr>
          <w:p w14:paraId="5B420079">
            <w:pPr>
              <w:spacing w:line="400" w:lineRule="atLeast"/>
              <w:jc w:val="center"/>
              <w:rPr>
                <w:rFonts w:hint="eastAsia" w:ascii="宋体" w:hAnsi="宋体" w:eastAsia="宋体" w:cs="宋体"/>
                <w:color w:val="auto"/>
                <w:sz w:val="24"/>
                <w:highlight w:val="none"/>
              </w:rPr>
            </w:pPr>
          </w:p>
        </w:tc>
        <w:tc>
          <w:tcPr>
            <w:tcW w:w="2495" w:type="dxa"/>
            <w:noWrap w:val="0"/>
            <w:vAlign w:val="top"/>
          </w:tcPr>
          <w:p w14:paraId="02549375">
            <w:pPr>
              <w:spacing w:line="400" w:lineRule="atLeast"/>
              <w:jc w:val="center"/>
              <w:rPr>
                <w:rFonts w:hint="eastAsia" w:ascii="宋体" w:hAnsi="宋体" w:eastAsia="宋体" w:cs="宋体"/>
                <w:color w:val="auto"/>
                <w:sz w:val="24"/>
                <w:highlight w:val="none"/>
              </w:rPr>
            </w:pPr>
          </w:p>
        </w:tc>
        <w:tc>
          <w:tcPr>
            <w:tcW w:w="2741" w:type="dxa"/>
            <w:noWrap w:val="0"/>
            <w:vAlign w:val="top"/>
          </w:tcPr>
          <w:p w14:paraId="359778E8">
            <w:pPr>
              <w:spacing w:line="400" w:lineRule="atLeast"/>
              <w:jc w:val="center"/>
              <w:rPr>
                <w:rFonts w:hint="eastAsia" w:ascii="宋体" w:hAnsi="宋体" w:eastAsia="宋体" w:cs="宋体"/>
                <w:color w:val="auto"/>
                <w:sz w:val="24"/>
                <w:highlight w:val="none"/>
              </w:rPr>
            </w:pPr>
          </w:p>
        </w:tc>
        <w:tc>
          <w:tcPr>
            <w:tcW w:w="1444" w:type="dxa"/>
            <w:noWrap w:val="0"/>
            <w:vAlign w:val="top"/>
          </w:tcPr>
          <w:p w14:paraId="67CD0F5C">
            <w:pPr>
              <w:spacing w:line="400" w:lineRule="atLeast"/>
              <w:jc w:val="center"/>
              <w:rPr>
                <w:rFonts w:hint="eastAsia" w:ascii="宋体" w:hAnsi="宋体" w:eastAsia="宋体" w:cs="宋体"/>
                <w:color w:val="auto"/>
                <w:sz w:val="24"/>
                <w:highlight w:val="none"/>
              </w:rPr>
            </w:pPr>
          </w:p>
        </w:tc>
      </w:tr>
      <w:tr w14:paraId="01B1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3A28F51">
            <w:pPr>
              <w:spacing w:line="400" w:lineRule="atLeast"/>
              <w:jc w:val="center"/>
              <w:rPr>
                <w:rFonts w:hint="eastAsia" w:ascii="宋体" w:hAnsi="宋体" w:eastAsia="宋体" w:cs="宋体"/>
                <w:color w:val="auto"/>
                <w:sz w:val="24"/>
                <w:highlight w:val="none"/>
              </w:rPr>
            </w:pPr>
          </w:p>
        </w:tc>
        <w:tc>
          <w:tcPr>
            <w:tcW w:w="2140" w:type="dxa"/>
            <w:noWrap w:val="0"/>
            <w:vAlign w:val="top"/>
          </w:tcPr>
          <w:p w14:paraId="2C6FE70C">
            <w:pPr>
              <w:spacing w:line="400" w:lineRule="atLeast"/>
              <w:jc w:val="center"/>
              <w:rPr>
                <w:rFonts w:hint="eastAsia" w:ascii="宋体" w:hAnsi="宋体" w:eastAsia="宋体" w:cs="宋体"/>
                <w:color w:val="auto"/>
                <w:sz w:val="24"/>
                <w:highlight w:val="none"/>
              </w:rPr>
            </w:pPr>
          </w:p>
        </w:tc>
        <w:tc>
          <w:tcPr>
            <w:tcW w:w="2495" w:type="dxa"/>
            <w:noWrap w:val="0"/>
            <w:vAlign w:val="top"/>
          </w:tcPr>
          <w:p w14:paraId="14F6C5F2">
            <w:pPr>
              <w:spacing w:line="400" w:lineRule="atLeast"/>
              <w:jc w:val="center"/>
              <w:rPr>
                <w:rFonts w:hint="eastAsia" w:ascii="宋体" w:hAnsi="宋体" w:eastAsia="宋体" w:cs="宋体"/>
                <w:color w:val="auto"/>
                <w:sz w:val="24"/>
                <w:highlight w:val="none"/>
              </w:rPr>
            </w:pPr>
          </w:p>
        </w:tc>
        <w:tc>
          <w:tcPr>
            <w:tcW w:w="2741" w:type="dxa"/>
            <w:noWrap w:val="0"/>
            <w:vAlign w:val="top"/>
          </w:tcPr>
          <w:p w14:paraId="431087B8">
            <w:pPr>
              <w:spacing w:line="400" w:lineRule="atLeast"/>
              <w:jc w:val="center"/>
              <w:rPr>
                <w:rFonts w:hint="eastAsia" w:ascii="宋体" w:hAnsi="宋体" w:eastAsia="宋体" w:cs="宋体"/>
                <w:color w:val="auto"/>
                <w:sz w:val="24"/>
                <w:highlight w:val="none"/>
              </w:rPr>
            </w:pPr>
          </w:p>
        </w:tc>
        <w:tc>
          <w:tcPr>
            <w:tcW w:w="1444" w:type="dxa"/>
            <w:noWrap w:val="0"/>
            <w:vAlign w:val="top"/>
          </w:tcPr>
          <w:p w14:paraId="2DE95642">
            <w:pPr>
              <w:spacing w:line="400" w:lineRule="atLeast"/>
              <w:jc w:val="center"/>
              <w:rPr>
                <w:rFonts w:hint="eastAsia" w:ascii="宋体" w:hAnsi="宋体" w:eastAsia="宋体" w:cs="宋体"/>
                <w:color w:val="auto"/>
                <w:sz w:val="24"/>
                <w:highlight w:val="none"/>
              </w:rPr>
            </w:pPr>
          </w:p>
        </w:tc>
      </w:tr>
    </w:tbl>
    <w:p w14:paraId="2A280FE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注：与</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文件中“商务条款”逐条对应填写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“商务条款”</w:t>
      </w:r>
      <w:r>
        <w:rPr>
          <w:rFonts w:hint="eastAsia" w:ascii="宋体" w:hAnsi="宋体" w:eastAsia="宋体" w:cs="宋体"/>
          <w:color w:val="auto"/>
          <w:sz w:val="24"/>
          <w:szCs w:val="24"/>
          <w:highlight w:val="none"/>
          <w:lang w:eastAsia="zh-CN"/>
        </w:rPr>
        <w:t>为实质性响应条款，“</w:t>
      </w:r>
      <w:r>
        <w:rPr>
          <w:rFonts w:hint="eastAsia" w:ascii="宋体" w:hAnsi="宋体" w:eastAsia="宋体" w:cs="宋体"/>
          <w:color w:val="auto"/>
          <w:sz w:val="24"/>
          <w:szCs w:val="24"/>
          <w:highlight w:val="none"/>
        </w:rPr>
        <w:t>偏离情况</w:t>
      </w:r>
      <w:r>
        <w:rPr>
          <w:rFonts w:hint="eastAsia" w:ascii="宋体" w:hAnsi="宋体" w:eastAsia="宋体" w:cs="宋体"/>
          <w:color w:val="auto"/>
          <w:sz w:val="24"/>
          <w:szCs w:val="24"/>
          <w:highlight w:val="none"/>
          <w:lang w:eastAsia="zh-CN"/>
        </w:rPr>
        <w:t>”填写“正偏离”或“负偏离”或“无偏离”</w:t>
      </w:r>
      <w:r>
        <w:rPr>
          <w:rFonts w:hint="eastAsia" w:ascii="宋体" w:hAnsi="宋体" w:eastAsia="宋体" w:cs="宋体"/>
          <w:color w:val="auto"/>
          <w:sz w:val="24"/>
          <w:szCs w:val="24"/>
          <w:highlight w:val="none"/>
        </w:rPr>
        <w:t>。</w:t>
      </w:r>
    </w:p>
    <w:p w14:paraId="01AC285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13B87C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867D64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5BC5E4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eastAsia="宋体" w:cs="宋体"/>
          <w:b w:val="0"/>
          <w:bCs w:val="0"/>
          <w:color w:val="auto"/>
          <w:kern w:val="0"/>
          <w:sz w:val="24"/>
          <w:szCs w:val="24"/>
          <w:highlight w:val="none"/>
          <w:u w:val="single"/>
          <w:lang w:val="en-US" w:eastAsia="zh-CN"/>
        </w:rPr>
        <w:t xml:space="preserve">                     </w:t>
      </w:r>
    </w:p>
    <w:p w14:paraId="065320DA">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275062D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eastAsia="宋体" w:cs="宋体"/>
          <w:b w:val="0"/>
          <w:bCs w:val="0"/>
          <w:color w:val="auto"/>
          <w:kern w:val="0"/>
          <w:sz w:val="24"/>
          <w:szCs w:val="24"/>
          <w:highlight w:val="none"/>
          <w:u w:val="single"/>
          <w:lang w:val="en-US" w:eastAsia="zh-CN"/>
        </w:rPr>
        <w:t xml:space="preserve">                   </w:t>
      </w:r>
    </w:p>
    <w:p w14:paraId="71C56518">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696683A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5D4438D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jc w:val="center"/>
        <w:textAlignment w:val="auto"/>
        <w:rPr>
          <w:rFonts w:hint="eastAsia" w:ascii="宋体" w:hAnsi="宋体" w:eastAsia="宋体" w:cs="宋体"/>
          <w:color w:val="auto"/>
          <w:sz w:val="24"/>
          <w:szCs w:val="24"/>
          <w:highlight w:val="none"/>
        </w:rPr>
      </w:pPr>
    </w:p>
    <w:p w14:paraId="2BEE721D">
      <w:pPr>
        <w:pStyle w:val="37"/>
        <w:keepNext w:val="0"/>
        <w:keepLines w:val="0"/>
        <w:pageBreakBefore w:val="0"/>
        <w:widowControl w:val="0"/>
        <w:kinsoku/>
        <w:wordWrap/>
        <w:overflowPunct/>
        <w:topLinePunct w:val="0"/>
        <w:autoSpaceDE/>
        <w:autoSpaceDN/>
        <w:bidi w:val="0"/>
        <w:ind w:firstLine="480" w:firstLineChars="200"/>
        <w:textAlignment w:val="auto"/>
        <w:rPr>
          <w:rFonts w:hint="eastAsia" w:ascii="宋体" w:hAnsi="宋体" w:eastAsia="宋体" w:cs="宋体"/>
          <w:color w:val="auto"/>
          <w:sz w:val="24"/>
          <w:szCs w:val="24"/>
          <w:highlight w:val="none"/>
        </w:rPr>
      </w:pPr>
    </w:p>
    <w:p w14:paraId="53BA0BC7">
      <w:pPr>
        <w:keepNext w:val="0"/>
        <w:keepLines w:val="0"/>
        <w:pageBreakBefore w:val="0"/>
        <w:widowControl w:val="0"/>
        <w:kinsoku/>
        <w:wordWrap/>
        <w:overflowPunct/>
        <w:topLinePunct w:val="0"/>
        <w:autoSpaceDE/>
        <w:autoSpaceDN/>
        <w:bidi w:val="0"/>
        <w:ind w:firstLine="480" w:firstLineChars="200"/>
        <w:textAlignment w:val="auto"/>
        <w:rPr>
          <w:rFonts w:hint="eastAsia" w:ascii="宋体" w:hAnsi="宋体" w:eastAsia="宋体" w:cs="宋体"/>
          <w:color w:val="auto"/>
          <w:sz w:val="24"/>
          <w:szCs w:val="24"/>
          <w:highlight w:val="none"/>
        </w:rPr>
      </w:pPr>
    </w:p>
    <w:p w14:paraId="4AC31DEE">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43" w:name="_Toc4134"/>
      <w:bookmarkStart w:id="344" w:name="_Toc22773"/>
      <w:bookmarkStart w:id="345" w:name="_Toc15241"/>
      <w:bookmarkStart w:id="346" w:name="_Toc7509"/>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lang w:eastAsia="zh-CN"/>
        </w:rPr>
        <w:t>）</w:t>
      </w:r>
      <w:bookmarkEnd w:id="343"/>
      <w:bookmarkEnd w:id="344"/>
      <w:r>
        <w:rPr>
          <w:rFonts w:hint="eastAsia" w:ascii="宋体" w:hAnsi="宋体" w:eastAsia="宋体" w:cs="宋体"/>
          <w:color w:val="auto"/>
          <w:sz w:val="24"/>
          <w:szCs w:val="24"/>
          <w:highlight w:val="none"/>
          <w:lang w:eastAsia="zh-CN"/>
        </w:rPr>
        <w:t>近三年类似业绩</w:t>
      </w:r>
      <w:bookmarkEnd w:id="345"/>
      <w:bookmarkEnd w:id="346"/>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4" w:type="dxa"/>
          <w:bottom w:w="0" w:type="dxa"/>
          <w:right w:w="54" w:type="dxa"/>
        </w:tblCellMar>
      </w:tblPr>
      <w:tblGrid>
        <w:gridCol w:w="775"/>
        <w:gridCol w:w="3247"/>
        <w:gridCol w:w="1227"/>
        <w:gridCol w:w="1306"/>
        <w:gridCol w:w="1612"/>
        <w:gridCol w:w="1480"/>
      </w:tblGrid>
      <w:tr w14:paraId="7A4E1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75" w:type="dxa"/>
            <w:noWrap w:val="0"/>
            <w:vAlign w:val="center"/>
          </w:tcPr>
          <w:p w14:paraId="644926AA">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3247" w:type="dxa"/>
            <w:noWrap w:val="0"/>
            <w:vAlign w:val="center"/>
          </w:tcPr>
          <w:p w14:paraId="33E6C0A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项目名称</w:t>
            </w:r>
          </w:p>
        </w:tc>
        <w:tc>
          <w:tcPr>
            <w:tcW w:w="1227" w:type="dxa"/>
            <w:noWrap w:val="0"/>
            <w:vAlign w:val="center"/>
          </w:tcPr>
          <w:p w14:paraId="13DB9FD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lang w:eastAsia="zh-CN"/>
              </w:rPr>
              <w:t>合同</w:t>
            </w:r>
            <w:r>
              <w:rPr>
                <w:rFonts w:hint="eastAsia" w:ascii="宋体" w:hAnsi="宋体" w:eastAsia="宋体" w:cs="宋体"/>
                <w:b/>
                <w:color w:val="auto"/>
                <w:sz w:val="24"/>
                <w:szCs w:val="24"/>
                <w:highlight w:val="none"/>
              </w:rPr>
              <w:t>时间</w:t>
            </w:r>
          </w:p>
        </w:tc>
        <w:tc>
          <w:tcPr>
            <w:tcW w:w="1306" w:type="dxa"/>
            <w:noWrap w:val="0"/>
            <w:vAlign w:val="center"/>
          </w:tcPr>
          <w:p w14:paraId="4F0736F9">
            <w:pPr>
              <w:keepNext w:val="0"/>
              <w:keepLines w:val="0"/>
              <w:pageBreakBefore w:val="0"/>
              <w:widowControl w:val="0"/>
              <w:kinsoku/>
              <w:wordWrap/>
              <w:overflowPunct/>
              <w:topLinePunct w:val="0"/>
              <w:autoSpaceDE/>
              <w:autoSpaceDN/>
              <w:bidi w:val="0"/>
              <w:adjustRightInd w:val="0"/>
              <w:snapToGrid w:val="0"/>
              <w:spacing w:line="400" w:lineRule="exact"/>
              <w:ind w:firstLine="120" w:firstLineChars="50"/>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合同金额</w:t>
            </w:r>
          </w:p>
        </w:tc>
        <w:tc>
          <w:tcPr>
            <w:tcW w:w="1612" w:type="dxa"/>
            <w:noWrap w:val="0"/>
            <w:vAlign w:val="center"/>
          </w:tcPr>
          <w:p w14:paraId="000F42E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采购人</w:t>
            </w:r>
          </w:p>
        </w:tc>
        <w:tc>
          <w:tcPr>
            <w:tcW w:w="1480" w:type="dxa"/>
            <w:noWrap w:val="0"/>
            <w:vAlign w:val="center"/>
          </w:tcPr>
          <w:p w14:paraId="392D9E5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采购人联系方式</w:t>
            </w:r>
          </w:p>
        </w:tc>
      </w:tr>
      <w:tr w14:paraId="6530B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75" w:type="dxa"/>
            <w:noWrap w:val="0"/>
            <w:vAlign w:val="center"/>
          </w:tcPr>
          <w:p w14:paraId="45A1A3D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p>
        </w:tc>
        <w:tc>
          <w:tcPr>
            <w:tcW w:w="3247" w:type="dxa"/>
            <w:noWrap w:val="0"/>
            <w:vAlign w:val="center"/>
          </w:tcPr>
          <w:p w14:paraId="64E0CBD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227" w:type="dxa"/>
            <w:noWrap w:val="0"/>
            <w:vAlign w:val="center"/>
          </w:tcPr>
          <w:p w14:paraId="2C8148D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306" w:type="dxa"/>
            <w:noWrap w:val="0"/>
            <w:vAlign w:val="center"/>
          </w:tcPr>
          <w:p w14:paraId="7C78FE2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612" w:type="dxa"/>
            <w:noWrap w:val="0"/>
            <w:vAlign w:val="center"/>
          </w:tcPr>
          <w:p w14:paraId="5AFAE7A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480" w:type="dxa"/>
            <w:noWrap w:val="0"/>
            <w:vAlign w:val="center"/>
          </w:tcPr>
          <w:p w14:paraId="754C009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r>
      <w:tr w14:paraId="5AF73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75" w:type="dxa"/>
            <w:noWrap w:val="0"/>
            <w:vAlign w:val="center"/>
          </w:tcPr>
          <w:p w14:paraId="3642A33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p>
        </w:tc>
        <w:tc>
          <w:tcPr>
            <w:tcW w:w="3247" w:type="dxa"/>
            <w:noWrap w:val="0"/>
            <w:vAlign w:val="center"/>
          </w:tcPr>
          <w:p w14:paraId="1EA3210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227" w:type="dxa"/>
            <w:noWrap w:val="0"/>
            <w:vAlign w:val="center"/>
          </w:tcPr>
          <w:p w14:paraId="4C64252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306" w:type="dxa"/>
            <w:noWrap w:val="0"/>
            <w:vAlign w:val="center"/>
          </w:tcPr>
          <w:p w14:paraId="5960949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612" w:type="dxa"/>
            <w:noWrap w:val="0"/>
            <w:vAlign w:val="center"/>
          </w:tcPr>
          <w:p w14:paraId="04D6F14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480" w:type="dxa"/>
            <w:noWrap w:val="0"/>
            <w:vAlign w:val="center"/>
          </w:tcPr>
          <w:p w14:paraId="5EEF3F8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r>
      <w:tr w14:paraId="59207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75" w:type="dxa"/>
            <w:noWrap w:val="0"/>
            <w:vAlign w:val="center"/>
          </w:tcPr>
          <w:p w14:paraId="575371B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w:t>
            </w:r>
          </w:p>
        </w:tc>
        <w:tc>
          <w:tcPr>
            <w:tcW w:w="3247" w:type="dxa"/>
            <w:noWrap w:val="0"/>
            <w:vAlign w:val="center"/>
          </w:tcPr>
          <w:p w14:paraId="4F691C1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227" w:type="dxa"/>
            <w:noWrap w:val="0"/>
            <w:vAlign w:val="center"/>
          </w:tcPr>
          <w:p w14:paraId="1C0CCC7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306" w:type="dxa"/>
            <w:noWrap w:val="0"/>
            <w:vAlign w:val="center"/>
          </w:tcPr>
          <w:p w14:paraId="0967FF7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612" w:type="dxa"/>
            <w:noWrap w:val="0"/>
            <w:vAlign w:val="center"/>
          </w:tcPr>
          <w:p w14:paraId="15B96E9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480" w:type="dxa"/>
            <w:noWrap w:val="0"/>
            <w:vAlign w:val="center"/>
          </w:tcPr>
          <w:p w14:paraId="3BD5F03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r>
      <w:tr w14:paraId="02825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75" w:type="dxa"/>
            <w:noWrap w:val="0"/>
            <w:vAlign w:val="center"/>
          </w:tcPr>
          <w:p w14:paraId="2EAC5F9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p>
        </w:tc>
        <w:tc>
          <w:tcPr>
            <w:tcW w:w="3247" w:type="dxa"/>
            <w:noWrap w:val="0"/>
            <w:vAlign w:val="center"/>
          </w:tcPr>
          <w:p w14:paraId="02D1E09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227" w:type="dxa"/>
            <w:noWrap w:val="0"/>
            <w:vAlign w:val="center"/>
          </w:tcPr>
          <w:p w14:paraId="402EB60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306" w:type="dxa"/>
            <w:noWrap w:val="0"/>
            <w:vAlign w:val="center"/>
          </w:tcPr>
          <w:p w14:paraId="365C85C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612" w:type="dxa"/>
            <w:noWrap w:val="0"/>
            <w:vAlign w:val="center"/>
          </w:tcPr>
          <w:p w14:paraId="0DC7F29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480" w:type="dxa"/>
            <w:noWrap w:val="0"/>
            <w:vAlign w:val="center"/>
          </w:tcPr>
          <w:p w14:paraId="16BB6BA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r>
      <w:tr w14:paraId="2354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75" w:type="dxa"/>
            <w:noWrap w:val="0"/>
            <w:vAlign w:val="center"/>
          </w:tcPr>
          <w:p w14:paraId="0DE7671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3247" w:type="dxa"/>
            <w:noWrap w:val="0"/>
            <w:vAlign w:val="center"/>
          </w:tcPr>
          <w:p w14:paraId="18D8B3C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227" w:type="dxa"/>
            <w:noWrap w:val="0"/>
            <w:vAlign w:val="center"/>
          </w:tcPr>
          <w:p w14:paraId="444C2BD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306" w:type="dxa"/>
            <w:noWrap w:val="0"/>
            <w:vAlign w:val="center"/>
          </w:tcPr>
          <w:p w14:paraId="3B0FD9D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612" w:type="dxa"/>
            <w:noWrap w:val="0"/>
            <w:vAlign w:val="center"/>
          </w:tcPr>
          <w:p w14:paraId="6715A70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480" w:type="dxa"/>
            <w:noWrap w:val="0"/>
            <w:vAlign w:val="center"/>
          </w:tcPr>
          <w:p w14:paraId="791CC13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r>
      <w:tr w14:paraId="08C2B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75" w:type="dxa"/>
            <w:noWrap w:val="0"/>
            <w:vAlign w:val="center"/>
          </w:tcPr>
          <w:p w14:paraId="50436FD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3247" w:type="dxa"/>
            <w:noWrap w:val="0"/>
            <w:vAlign w:val="center"/>
          </w:tcPr>
          <w:p w14:paraId="07CB901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227" w:type="dxa"/>
            <w:noWrap w:val="0"/>
            <w:vAlign w:val="center"/>
          </w:tcPr>
          <w:p w14:paraId="6B1128F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306" w:type="dxa"/>
            <w:noWrap w:val="0"/>
            <w:vAlign w:val="center"/>
          </w:tcPr>
          <w:p w14:paraId="1DA923D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612" w:type="dxa"/>
            <w:noWrap w:val="0"/>
            <w:vAlign w:val="center"/>
          </w:tcPr>
          <w:p w14:paraId="7B48E63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c>
          <w:tcPr>
            <w:tcW w:w="1480" w:type="dxa"/>
            <w:noWrap w:val="0"/>
            <w:vAlign w:val="center"/>
          </w:tcPr>
          <w:p w14:paraId="5C60F2A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highlight w:val="none"/>
              </w:rPr>
            </w:pPr>
          </w:p>
        </w:tc>
      </w:tr>
    </w:tbl>
    <w:p w14:paraId="37F08A61">
      <w:pPr>
        <w:spacing w:line="400" w:lineRule="atLeast"/>
        <w:rPr>
          <w:rFonts w:hint="eastAsia" w:ascii="宋体" w:hAnsi="宋体" w:eastAsia="宋体" w:cs="宋体"/>
          <w:color w:val="auto"/>
          <w:sz w:val="24"/>
          <w:highlight w:val="none"/>
        </w:rPr>
      </w:pPr>
    </w:p>
    <w:p w14:paraId="0EFDCD5C">
      <w:pPr>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rPr>
        <w:t>注：</w:t>
      </w:r>
      <w:r>
        <w:rPr>
          <w:rFonts w:hint="eastAsia" w:ascii="宋体" w:hAnsi="宋体" w:eastAsia="宋体" w:cs="宋体"/>
          <w:b w:val="0"/>
          <w:bCs w:val="0"/>
          <w:color w:val="auto"/>
          <w:sz w:val="21"/>
          <w:szCs w:val="21"/>
          <w:highlight w:val="none"/>
        </w:rPr>
        <w:t>（需提供</w:t>
      </w:r>
      <w:r>
        <w:rPr>
          <w:rFonts w:hint="eastAsia" w:ascii="宋体" w:hAnsi="宋体" w:cs="宋体"/>
          <w:b w:val="0"/>
          <w:bCs w:val="0"/>
          <w:color w:val="auto"/>
          <w:sz w:val="21"/>
          <w:szCs w:val="21"/>
          <w:highlight w:val="none"/>
          <w:lang w:val="en-US" w:eastAsia="zh-CN"/>
        </w:rPr>
        <w:t>中标</w:t>
      </w:r>
      <w:r>
        <w:rPr>
          <w:rFonts w:hint="eastAsia" w:ascii="宋体" w:hAnsi="宋体" w:eastAsia="宋体" w:cs="宋体"/>
          <w:b w:val="0"/>
          <w:bCs w:val="0"/>
          <w:color w:val="auto"/>
          <w:sz w:val="21"/>
          <w:szCs w:val="21"/>
          <w:highlight w:val="none"/>
          <w:lang w:eastAsia="zh-CN"/>
        </w:rPr>
        <w:t>通知书</w:t>
      </w:r>
      <w:r>
        <w:rPr>
          <w:rFonts w:hint="eastAsia" w:ascii="宋体" w:hAnsi="宋体" w:cs="宋体"/>
          <w:b w:val="0"/>
          <w:bCs w:val="0"/>
          <w:color w:val="auto"/>
          <w:sz w:val="21"/>
          <w:szCs w:val="21"/>
          <w:highlight w:val="none"/>
          <w:lang w:val="en-US" w:eastAsia="zh-CN"/>
        </w:rPr>
        <w:t>或</w:t>
      </w:r>
      <w:r>
        <w:rPr>
          <w:rFonts w:hint="eastAsia" w:ascii="宋体" w:hAnsi="宋体" w:eastAsia="宋体" w:cs="宋体"/>
          <w:b w:val="0"/>
          <w:bCs w:val="0"/>
          <w:color w:val="auto"/>
          <w:sz w:val="21"/>
          <w:szCs w:val="21"/>
          <w:highlight w:val="none"/>
          <w:lang w:eastAsia="zh-CN"/>
        </w:rPr>
        <w:t>采购合同，采购</w:t>
      </w:r>
      <w:r>
        <w:rPr>
          <w:rFonts w:hint="eastAsia" w:ascii="宋体" w:hAnsi="宋体" w:eastAsia="宋体" w:cs="宋体"/>
          <w:b w:val="0"/>
          <w:bCs w:val="0"/>
          <w:color w:val="auto"/>
          <w:sz w:val="21"/>
          <w:szCs w:val="21"/>
          <w:highlight w:val="none"/>
        </w:rPr>
        <w:t>合同</w:t>
      </w:r>
      <w:r>
        <w:rPr>
          <w:rFonts w:hint="eastAsia" w:ascii="宋体" w:hAnsi="宋体" w:eastAsia="宋体" w:cs="宋体"/>
          <w:b w:val="0"/>
          <w:bCs w:val="0"/>
          <w:color w:val="auto"/>
          <w:sz w:val="21"/>
          <w:szCs w:val="21"/>
          <w:highlight w:val="none"/>
          <w:lang w:eastAsia="zh-CN"/>
        </w:rPr>
        <w:t>至少含</w:t>
      </w:r>
      <w:r>
        <w:rPr>
          <w:rFonts w:hint="eastAsia" w:ascii="宋体" w:hAnsi="宋体" w:eastAsia="宋体" w:cs="宋体"/>
          <w:b w:val="0"/>
          <w:bCs w:val="0"/>
          <w:color w:val="auto"/>
          <w:sz w:val="21"/>
          <w:szCs w:val="21"/>
          <w:highlight w:val="none"/>
        </w:rPr>
        <w:t>合同首页、合同金额页、双方签字盖章页</w:t>
      </w:r>
      <w:r>
        <w:rPr>
          <w:rFonts w:hint="eastAsia" w:ascii="宋体" w:hAnsi="宋体" w:eastAsia="宋体" w:cs="宋体"/>
          <w:b w:val="0"/>
          <w:bCs w:val="0"/>
          <w:color w:val="auto"/>
          <w:sz w:val="21"/>
          <w:szCs w:val="21"/>
          <w:highlight w:val="none"/>
          <w:lang w:eastAsia="zh-CN"/>
        </w:rPr>
        <w:t>，否则</w:t>
      </w:r>
      <w:r>
        <w:rPr>
          <w:rFonts w:hint="eastAsia" w:ascii="宋体" w:hAnsi="宋体" w:eastAsia="宋体" w:cs="宋体"/>
          <w:b w:val="0"/>
          <w:bCs w:val="0"/>
          <w:color w:val="auto"/>
          <w:sz w:val="21"/>
          <w:szCs w:val="21"/>
          <w:highlight w:val="none"/>
        </w:rPr>
        <w:t>不得分</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color w:val="auto"/>
          <w:szCs w:val="21"/>
          <w:highlight w:val="none"/>
          <w:lang w:eastAsia="zh-CN"/>
        </w:rPr>
        <w:t>相关证明材料如有虚假，供应商自行承担相关法律责任</w:t>
      </w:r>
      <w:r>
        <w:rPr>
          <w:rFonts w:hint="eastAsia" w:ascii="宋体" w:hAnsi="宋体" w:eastAsia="宋体" w:cs="宋体"/>
          <w:b/>
          <w:color w:val="auto"/>
          <w:szCs w:val="21"/>
          <w:highlight w:val="none"/>
        </w:rPr>
        <w:t>）</w:t>
      </w:r>
      <w:bookmarkStart w:id="347" w:name="_Toc7097287"/>
      <w:bookmarkStart w:id="348" w:name="_Toc361398097"/>
    </w:p>
    <w:p w14:paraId="4918A7F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0889D4B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5CB16992">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B1130E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eastAsia="宋体" w:cs="宋体"/>
          <w:b w:val="0"/>
          <w:bCs w:val="0"/>
          <w:color w:val="auto"/>
          <w:kern w:val="0"/>
          <w:sz w:val="24"/>
          <w:szCs w:val="24"/>
          <w:highlight w:val="none"/>
          <w:u w:val="single"/>
          <w:lang w:val="en-US" w:eastAsia="zh-CN"/>
        </w:rPr>
        <w:t xml:space="preserve">                     </w:t>
      </w:r>
    </w:p>
    <w:p w14:paraId="790F709B">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1B9B8BC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eastAsia="宋体" w:cs="宋体"/>
          <w:b w:val="0"/>
          <w:bCs w:val="0"/>
          <w:color w:val="auto"/>
          <w:kern w:val="0"/>
          <w:sz w:val="24"/>
          <w:szCs w:val="24"/>
          <w:highlight w:val="none"/>
          <w:u w:val="single"/>
          <w:lang w:val="en-US" w:eastAsia="zh-CN"/>
        </w:rPr>
        <w:t xml:space="preserve">                   </w:t>
      </w:r>
    </w:p>
    <w:p w14:paraId="4C81D94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F6BE40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1BDFB462">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0516D316">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D0913FB">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57D39E1C">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6C7CC6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ADC0C75">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6EEA14C">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0BAAE3D8">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A247A1F">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44C0974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05FE93B">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6E22C69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676B54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bookmarkEnd w:id="347"/>
    <w:bookmarkEnd w:id="348"/>
    <w:p w14:paraId="4A7263C1">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49" w:name="_Toc9030"/>
      <w:bookmarkStart w:id="350" w:name="_Toc864"/>
      <w:bookmarkStart w:id="351" w:name="_Toc62"/>
      <w:bookmarkStart w:id="352" w:name="_Toc14228"/>
      <w:bookmarkStart w:id="353" w:name="_Toc7097293"/>
      <w:bookmarkStart w:id="354" w:name="_Toc217714332"/>
      <w:bookmarkStart w:id="355" w:name="_Toc7097288"/>
      <w:bookmarkStart w:id="356" w:name="_Toc361398098"/>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lang w:eastAsia="zh-CN"/>
        </w:rPr>
        <w:t>）项目实施（服务）方案</w:t>
      </w:r>
      <w:bookmarkEnd w:id="349"/>
      <w:bookmarkEnd w:id="350"/>
      <w:bookmarkEnd w:id="351"/>
      <w:bookmarkEnd w:id="352"/>
    </w:p>
    <w:p w14:paraId="55116D68">
      <w:pPr>
        <w:jc w:val="center"/>
        <w:rPr>
          <w:rFonts w:hint="eastAsia" w:ascii="宋体" w:hAnsi="宋体" w:eastAsia="宋体" w:cs="宋体"/>
          <w:color w:val="auto"/>
          <w:highlight w:val="none"/>
        </w:rPr>
      </w:pPr>
      <w:r>
        <w:rPr>
          <w:rFonts w:hint="eastAsia" w:ascii="宋体" w:hAnsi="宋体" w:eastAsia="宋体" w:cs="宋体"/>
          <w:color w:val="auto"/>
          <w:highlight w:val="none"/>
        </w:rPr>
        <w:t>（格式自拟）</w:t>
      </w:r>
      <w:bookmarkEnd w:id="353"/>
    </w:p>
    <w:p w14:paraId="086CB00E">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C6CC5B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由各供应商自行编写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内容详尽、易于理解和评审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并富有建设性的项目</w:t>
      </w:r>
      <w:r>
        <w:rPr>
          <w:rFonts w:hint="eastAsia" w:ascii="宋体" w:hAnsi="宋体" w:eastAsia="宋体" w:cs="宋体"/>
          <w:color w:val="auto"/>
          <w:sz w:val="24"/>
          <w:szCs w:val="24"/>
          <w:highlight w:val="none"/>
          <w:lang w:eastAsia="zh-CN"/>
        </w:rPr>
        <w:t>实施（服务）</w:t>
      </w:r>
      <w:r>
        <w:rPr>
          <w:rFonts w:hint="eastAsia" w:ascii="宋体" w:hAnsi="宋体" w:eastAsia="宋体" w:cs="宋体"/>
          <w:color w:val="auto"/>
          <w:sz w:val="24"/>
          <w:szCs w:val="24"/>
          <w:highlight w:val="none"/>
        </w:rPr>
        <w:t>方案将在评标时具有优势。</w:t>
      </w:r>
    </w:p>
    <w:p w14:paraId="29515C6B">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2A2722E2">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29531EC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50103F0">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8AFA4EE">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B1D439D">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435B47F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D10952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77DF2F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6605623C">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2E604264">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4961396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F72922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54256B68">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4AA08965">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4156EE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7149F10">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6357CC6D">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0E86B1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CA83A66">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58745A90">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07C0805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47973416">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1A5B5B2A">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5F964724">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7E27C04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340B3AAE">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0BCA24F3">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24279F1C">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rPr>
      </w:pPr>
    </w:p>
    <w:p w14:paraId="501F3260">
      <w:pPr>
        <w:pStyle w:val="6"/>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57" w:name="_Toc17667"/>
      <w:bookmarkStart w:id="358" w:name="_Toc6489"/>
      <w:bookmarkStart w:id="359" w:name="_Toc19132"/>
      <w:bookmarkStart w:id="360" w:name="_Toc20059"/>
      <w:bookmarkStart w:id="361" w:name="_Toc6429"/>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lang w:eastAsia="zh-CN"/>
        </w:rPr>
        <w:t>）</w:t>
      </w:r>
      <w:bookmarkEnd w:id="357"/>
      <w:r>
        <w:rPr>
          <w:rFonts w:hint="eastAsia" w:ascii="宋体" w:hAnsi="宋体" w:eastAsia="宋体" w:cs="宋体"/>
          <w:color w:val="auto"/>
          <w:sz w:val="24"/>
          <w:szCs w:val="24"/>
          <w:highlight w:val="none"/>
          <w:lang w:eastAsia="zh-CN"/>
        </w:rPr>
        <w:t>服务承诺</w:t>
      </w:r>
      <w:bookmarkEnd w:id="358"/>
      <w:bookmarkEnd w:id="359"/>
      <w:bookmarkEnd w:id="360"/>
    </w:p>
    <w:p w14:paraId="6D46F269">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jc w:val="center"/>
        <w:textAlignment w:val="auto"/>
        <w:rPr>
          <w:rFonts w:hint="eastAsia" w:ascii="宋体" w:hAnsi="宋体" w:eastAsia="宋体" w:cs="宋体"/>
          <w:color w:val="auto"/>
          <w:sz w:val="24"/>
          <w:szCs w:val="24"/>
          <w:highlight w:val="none"/>
          <w:lang w:eastAsia="zh-CN"/>
        </w:rPr>
      </w:pPr>
    </w:p>
    <w:p w14:paraId="3F9A5DBE">
      <w:pPr>
        <w:shd w:val="clear" w:color="auto" w:fill="auto"/>
        <w:autoSpaceDE w:val="0"/>
        <w:autoSpaceDN w:val="0"/>
        <w:adjustRightInd w:val="0"/>
        <w:snapToGrid w:val="0"/>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u w:val="single"/>
          <w:lang w:val="en-US" w:eastAsia="zh-CN"/>
        </w:rPr>
        <w:t>（采购人/采购代理机构</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lang w:eastAsia="zh-CN"/>
        </w:rPr>
        <w:t>：</w:t>
      </w:r>
    </w:p>
    <w:p w14:paraId="16C94B66">
      <w:pPr>
        <w:keepNext w:val="0"/>
        <w:keepLines w:val="0"/>
        <w:pageBreakBefore w:val="0"/>
        <w:widowControl/>
        <w:shd w:val="clear" w:color="auto" w:fill="auto"/>
        <w:kinsoku w:val="0"/>
        <w:wordWrap/>
        <w:overflowPunct/>
        <w:topLinePunct w:val="0"/>
        <w:autoSpaceDE w:val="0"/>
        <w:autoSpaceDN w:val="0"/>
        <w:bidi w:val="0"/>
        <w:adjustRightInd w:val="0"/>
        <w:snapToGrid w:val="0"/>
        <w:spacing w:line="360" w:lineRule="auto"/>
        <w:ind w:firstLine="480" w:firstLineChars="200"/>
        <w:jc w:val="both"/>
        <w:textAlignment w:val="baseline"/>
        <w:rPr>
          <w:rFonts w:hint="default"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我单位承诺，</w:t>
      </w:r>
      <w:r>
        <w:rPr>
          <w:rFonts w:hint="eastAsia" w:ascii="宋体" w:hAnsi="宋体" w:eastAsia="宋体" w:cs="宋体"/>
          <w:color w:val="auto"/>
          <w:sz w:val="24"/>
          <w:highlight w:val="none"/>
          <w:lang w:val="en-US" w:eastAsia="zh-CN"/>
        </w:rPr>
        <w:t>完全响应采购文件的服务（技术）</w:t>
      </w:r>
      <w:r>
        <w:rPr>
          <w:rFonts w:hint="eastAsia" w:ascii="宋体" w:hAnsi="宋体" w:eastAsia="宋体" w:cs="宋体"/>
          <w:snapToGrid w:val="0"/>
          <w:color w:val="auto"/>
          <w:kern w:val="2"/>
          <w:sz w:val="24"/>
          <w:szCs w:val="21"/>
          <w:highlight w:val="none"/>
          <w:lang w:val="en-US" w:eastAsia="zh-CN" w:bidi="ar-SA"/>
        </w:rPr>
        <w:t>要求，承诺在提供</w:t>
      </w:r>
      <w:r>
        <w:rPr>
          <w:rFonts w:hint="eastAsia" w:ascii="宋体" w:hAnsi="宋体" w:cs="宋体"/>
          <w:snapToGrid w:val="0"/>
          <w:color w:val="auto"/>
          <w:kern w:val="2"/>
          <w:sz w:val="24"/>
          <w:szCs w:val="21"/>
          <w:highlight w:val="none"/>
          <w:lang w:val="en-US" w:eastAsia="zh-CN" w:bidi="ar-SA"/>
        </w:rPr>
        <w:t>安保服务</w:t>
      </w:r>
      <w:r>
        <w:rPr>
          <w:rFonts w:hint="eastAsia" w:ascii="宋体" w:hAnsi="宋体" w:eastAsia="宋体" w:cs="宋体"/>
          <w:snapToGrid w:val="0"/>
          <w:color w:val="auto"/>
          <w:kern w:val="2"/>
          <w:sz w:val="24"/>
          <w:szCs w:val="21"/>
          <w:highlight w:val="none"/>
          <w:lang w:val="en-US" w:eastAsia="zh-CN" w:bidi="ar-SA"/>
        </w:rPr>
        <w:t>中，如有未达到或违反服务（技术）要求条款，愿意</w:t>
      </w:r>
      <w:r>
        <w:rPr>
          <w:rFonts w:hint="eastAsia" w:ascii="宋体" w:hAnsi="宋体" w:eastAsia="宋体" w:cs="宋体"/>
          <w:snapToGrid w:val="0"/>
          <w:color w:val="auto"/>
          <w:kern w:val="2"/>
          <w:sz w:val="24"/>
          <w:szCs w:val="21"/>
          <w:highlight w:val="none"/>
          <w:u w:val="none"/>
          <w:lang w:val="en-US" w:eastAsia="zh-CN" w:bidi="ar-SA"/>
        </w:rPr>
        <w:t>接受因此导致的任何处理意见。</w:t>
      </w:r>
      <w:r>
        <w:rPr>
          <w:rFonts w:hint="eastAsia" w:ascii="宋体" w:hAnsi="宋体" w:eastAsia="宋体" w:cs="宋体"/>
          <w:color w:val="auto"/>
          <w:sz w:val="24"/>
          <w:szCs w:val="24"/>
          <w:highlight w:val="none"/>
          <w:lang w:val="en-US" w:eastAsia="zh-CN"/>
        </w:rPr>
        <w:t>承诺自承接本项目之日起30日内向采购人所在地的市级人民政府公安机关备案。</w:t>
      </w:r>
    </w:p>
    <w:p w14:paraId="51863E67">
      <w:pPr>
        <w:keepNext w:val="0"/>
        <w:keepLines w:val="0"/>
        <w:pageBreakBefore w:val="0"/>
        <w:widowControl/>
        <w:shd w:val="clear" w:color="auto" w:fill="auto"/>
        <w:kinsoku w:val="0"/>
        <w:wordWrap/>
        <w:overflowPunct/>
        <w:topLinePunct w:val="0"/>
        <w:autoSpaceDE w:val="0"/>
        <w:autoSpaceDN w:val="0"/>
        <w:bidi w:val="0"/>
        <w:adjustRightInd w:val="0"/>
        <w:snapToGrid w:val="0"/>
        <w:spacing w:line="360" w:lineRule="auto"/>
        <w:ind w:firstLine="480" w:firstLineChars="200"/>
        <w:jc w:val="center"/>
        <w:textAlignment w:val="baseline"/>
        <w:rPr>
          <w:rFonts w:hint="eastAsia" w:ascii="宋体" w:hAnsi="宋体" w:eastAsia="宋体" w:cs="宋体"/>
          <w:snapToGrid w:val="0"/>
          <w:color w:val="auto"/>
          <w:kern w:val="2"/>
          <w:sz w:val="24"/>
          <w:szCs w:val="21"/>
          <w:highlight w:val="none"/>
          <w:lang w:val="en-US" w:eastAsia="zh-CN" w:bidi="ar-SA"/>
        </w:rPr>
      </w:pPr>
    </w:p>
    <w:p w14:paraId="036235CD">
      <w:pPr>
        <w:keepNext w:val="0"/>
        <w:keepLines w:val="0"/>
        <w:pageBreakBefore w:val="0"/>
        <w:widowControl/>
        <w:shd w:val="clear" w:color="auto" w:fill="auto"/>
        <w:tabs>
          <w:tab w:val="left" w:pos="9135"/>
        </w:tabs>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rPr>
      </w:pPr>
    </w:p>
    <w:p w14:paraId="3DF8B634">
      <w:pPr>
        <w:keepNext w:val="0"/>
        <w:keepLines w:val="0"/>
        <w:pageBreakBefore w:val="0"/>
        <w:widowControl/>
        <w:shd w:val="clear" w:color="auto" w:fill="auto"/>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投标人名称（公章）：</w:t>
      </w:r>
      <w:r>
        <w:rPr>
          <w:rFonts w:hint="eastAsia" w:ascii="宋体" w:hAnsi="宋体" w:eastAsia="宋体" w:cs="宋体"/>
          <w:color w:val="auto"/>
          <w:kern w:val="0"/>
          <w:sz w:val="24"/>
          <w:szCs w:val="24"/>
          <w:highlight w:val="none"/>
          <w:u w:val="single"/>
        </w:rPr>
        <w:t xml:space="preserve">                     </w:t>
      </w:r>
    </w:p>
    <w:p w14:paraId="40404495">
      <w:pPr>
        <w:pStyle w:val="37"/>
        <w:keepNext w:val="0"/>
        <w:keepLines w:val="0"/>
        <w:pageBreakBefore w:val="0"/>
        <w:widowControl/>
        <w:shd w:val="clear" w:color="auto" w:fill="auto"/>
        <w:kinsoku w:val="0"/>
        <w:wordWrap/>
        <w:overflowPunct/>
        <w:topLinePunct w:val="0"/>
        <w:autoSpaceDE w:val="0"/>
        <w:autoSpaceDN w:val="0"/>
        <w:bidi w:val="0"/>
        <w:adjustRightInd w:val="0"/>
        <w:snapToGrid w:val="0"/>
        <w:spacing w:after="0" w:line="360" w:lineRule="auto"/>
        <w:ind w:firstLine="420" w:firstLineChars="200"/>
        <w:textAlignment w:val="baseline"/>
        <w:rPr>
          <w:rFonts w:hint="eastAsia" w:ascii="宋体" w:hAnsi="宋体" w:eastAsia="宋体" w:cs="宋体"/>
          <w:color w:val="auto"/>
          <w:highlight w:val="none"/>
          <w:lang w:val="en-US" w:eastAsia="zh-CN"/>
        </w:rPr>
      </w:pPr>
    </w:p>
    <w:p w14:paraId="7DEF3777">
      <w:pPr>
        <w:keepNext w:val="0"/>
        <w:keepLines w:val="0"/>
        <w:pageBreakBefore w:val="0"/>
        <w:widowControl/>
        <w:shd w:val="clear" w:color="auto" w:fill="auto"/>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法定代表人或委托代理人</w:t>
      </w:r>
      <w:r>
        <w:rPr>
          <w:rFonts w:hint="eastAsia" w:ascii="宋体" w:hAnsi="宋体" w:eastAsia="宋体" w:cs="宋体"/>
          <w:color w:val="auto"/>
          <w:sz w:val="24"/>
          <w:highlight w:val="none"/>
        </w:rPr>
        <w:t>（签字或盖章）</w:t>
      </w:r>
      <w:r>
        <w:rPr>
          <w:rFonts w:hint="eastAsia" w:ascii="宋体" w:hAnsi="宋体" w:eastAsia="宋体" w:cs="宋体"/>
          <w:color w:val="auto"/>
          <w:kern w:val="0"/>
          <w:sz w:val="24"/>
          <w:szCs w:val="24"/>
          <w:highlight w:val="none"/>
          <w:u w:val="single"/>
        </w:rPr>
        <w:t xml:space="preserve">                   </w:t>
      </w:r>
    </w:p>
    <w:p w14:paraId="1EC92CE3">
      <w:pPr>
        <w:pStyle w:val="37"/>
        <w:keepNext w:val="0"/>
        <w:keepLines w:val="0"/>
        <w:pageBreakBefore w:val="0"/>
        <w:widowControl/>
        <w:shd w:val="clear" w:color="auto" w:fill="auto"/>
        <w:kinsoku w:val="0"/>
        <w:wordWrap/>
        <w:overflowPunct/>
        <w:topLinePunct w:val="0"/>
        <w:autoSpaceDE w:val="0"/>
        <w:autoSpaceDN w:val="0"/>
        <w:bidi w:val="0"/>
        <w:adjustRightInd w:val="0"/>
        <w:snapToGrid w:val="0"/>
        <w:spacing w:after="0" w:line="360" w:lineRule="auto"/>
        <w:ind w:firstLine="420" w:firstLineChars="200"/>
        <w:textAlignment w:val="baseline"/>
        <w:rPr>
          <w:rFonts w:hint="eastAsia" w:ascii="宋体" w:hAnsi="宋体" w:eastAsia="宋体" w:cs="宋体"/>
          <w:color w:val="auto"/>
          <w:highlight w:val="none"/>
        </w:rPr>
      </w:pPr>
    </w:p>
    <w:p w14:paraId="629CBF34">
      <w:pPr>
        <w:shd w:val="clear" w:color="auto" w:fill="auto"/>
        <w:adjustRightInd w:val="0"/>
        <w:snapToGrid w:val="0"/>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日期：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3179DFE3">
      <w:pPr>
        <w:shd w:val="clear" w:color="auto" w:fill="auto"/>
        <w:rPr>
          <w:rFonts w:hint="eastAsia" w:ascii="宋体" w:hAnsi="宋体" w:eastAsia="宋体" w:cs="宋体"/>
          <w:snapToGrid w:val="0"/>
          <w:color w:val="auto"/>
          <w:kern w:val="2"/>
          <w:sz w:val="24"/>
          <w:szCs w:val="21"/>
          <w:highlight w:val="none"/>
          <w:lang w:val="en-US" w:eastAsia="zh-CN" w:bidi="ar-SA"/>
        </w:rPr>
      </w:pPr>
    </w:p>
    <w:p w14:paraId="2FACB52A">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22D9D79D">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72760E9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64974201">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63A63224">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2016C40A">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0DE3132D">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6AD3072B">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1961AD2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2F48842E">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374ED698">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249C65EC">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1E318C52">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35BC2A1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1B60681C">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3C7C523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737E0678">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68574E38">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59354997">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746D060A">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351AF389">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80" w:firstLineChars="200"/>
        <w:textAlignment w:val="auto"/>
        <w:rPr>
          <w:rFonts w:hint="eastAsia" w:ascii="宋体" w:hAnsi="宋体" w:eastAsia="宋体" w:cs="宋体"/>
          <w:color w:val="auto"/>
          <w:sz w:val="24"/>
          <w:szCs w:val="24"/>
          <w:highlight w:val="none"/>
          <w:lang w:eastAsia="zh-CN"/>
        </w:rPr>
      </w:pPr>
    </w:p>
    <w:p w14:paraId="22D911DF">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62" w:name="_Toc24488"/>
      <w:bookmarkStart w:id="363" w:name="_Toc13598"/>
      <w:bookmarkStart w:id="364" w:name="_Toc1707"/>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lang w:eastAsia="zh-CN"/>
        </w:rPr>
        <w:t>）服务团队</w:t>
      </w:r>
      <w:bookmarkEnd w:id="362"/>
      <w:bookmarkEnd w:id="363"/>
      <w:bookmarkEnd w:id="364"/>
    </w:p>
    <w:p w14:paraId="467420CF">
      <w:pPr>
        <w:tabs>
          <w:tab w:val="center" w:pos="4252"/>
        </w:tabs>
        <w:rPr>
          <w:rFonts w:hint="eastAsia" w:ascii="宋体" w:hAnsi="宋体" w:eastAsia="宋体" w:cs="宋体"/>
          <w:color w:val="auto"/>
          <w:szCs w:val="21"/>
          <w:highlight w:val="none"/>
        </w:rPr>
      </w:pPr>
    </w:p>
    <w:p w14:paraId="1F1CF07A">
      <w:pPr>
        <w:spacing w:line="400" w:lineRule="atLeast"/>
        <w:ind w:left="2880" w:hanging="2880"/>
        <w:rPr>
          <w:rFonts w:hint="eastAsia" w:ascii="宋体" w:hAnsi="宋体" w:eastAsia="宋体" w:cs="宋体"/>
          <w:color w:val="auto"/>
          <w:sz w:val="24"/>
          <w:highlight w:val="none"/>
          <w:u w:val="single"/>
          <w:lang w:eastAsia="zh-CN"/>
        </w:rPr>
      </w:pPr>
      <w:r>
        <w:rPr>
          <w:rFonts w:hint="eastAsia" w:ascii="宋体" w:hAnsi="宋体" w:eastAsia="宋体" w:cs="宋体"/>
          <w:color w:val="auto"/>
          <w:szCs w:val="21"/>
          <w:highlight w:val="none"/>
        </w:rPr>
        <w:t>项目名称：</w:t>
      </w:r>
      <w:r>
        <w:rPr>
          <w:rFonts w:hint="eastAsia" w:ascii="宋体" w:hAnsi="宋体" w:cs="宋体"/>
          <w:color w:val="auto"/>
          <w:sz w:val="24"/>
          <w:highlight w:val="none"/>
          <w:u w:val="single"/>
          <w:lang w:val="en-US" w:eastAsia="zh-CN"/>
        </w:rPr>
        <w:t>吐鲁番市鄯善县人民医院安保服务采购项目</w:t>
      </w:r>
    </w:p>
    <w:p w14:paraId="02CC26E9">
      <w:pPr>
        <w:tabs>
          <w:tab w:val="center" w:pos="4252"/>
        </w:tabs>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项目编号：</w:t>
      </w:r>
      <w:r>
        <w:rPr>
          <w:rFonts w:hint="eastAsia" w:ascii="宋体" w:hAnsi="宋体" w:cs="宋体"/>
          <w:color w:val="auto"/>
          <w:sz w:val="24"/>
          <w:szCs w:val="24"/>
          <w:highlight w:val="none"/>
          <w:u w:val="single"/>
          <w:lang w:val="en-US" w:eastAsia="zh-CN"/>
        </w:rPr>
        <w:t>XJZN-2025-03117</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516"/>
        <w:gridCol w:w="1200"/>
        <w:gridCol w:w="2320"/>
        <w:gridCol w:w="1860"/>
        <w:gridCol w:w="1961"/>
      </w:tblGrid>
      <w:tr w14:paraId="55861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780" w:type="dxa"/>
            <w:noWrap w:val="0"/>
            <w:vAlign w:val="center"/>
          </w:tcPr>
          <w:p w14:paraId="01E9FFD7">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516" w:type="dxa"/>
            <w:noWrap w:val="0"/>
            <w:vAlign w:val="center"/>
          </w:tcPr>
          <w:p w14:paraId="2F6B9781">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姓名</w:t>
            </w:r>
          </w:p>
        </w:tc>
        <w:tc>
          <w:tcPr>
            <w:tcW w:w="1200" w:type="dxa"/>
            <w:noWrap w:val="0"/>
            <w:vAlign w:val="center"/>
          </w:tcPr>
          <w:p w14:paraId="4E5A2EBE">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职务</w:t>
            </w:r>
          </w:p>
        </w:tc>
        <w:tc>
          <w:tcPr>
            <w:tcW w:w="2320" w:type="dxa"/>
            <w:noWrap w:val="0"/>
            <w:vAlign w:val="center"/>
          </w:tcPr>
          <w:p w14:paraId="6BC0BB10">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资质证书</w:t>
            </w:r>
          </w:p>
        </w:tc>
        <w:tc>
          <w:tcPr>
            <w:tcW w:w="1860" w:type="dxa"/>
            <w:noWrap w:val="0"/>
            <w:vAlign w:val="center"/>
          </w:tcPr>
          <w:p w14:paraId="5F1DE46D">
            <w:pPr>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联系电话</w:t>
            </w:r>
          </w:p>
        </w:tc>
        <w:tc>
          <w:tcPr>
            <w:tcW w:w="1961" w:type="dxa"/>
            <w:noWrap w:val="0"/>
            <w:vAlign w:val="center"/>
          </w:tcPr>
          <w:p w14:paraId="7E8EF921">
            <w:pPr>
              <w:jc w:val="center"/>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备注</w:t>
            </w:r>
          </w:p>
        </w:tc>
      </w:tr>
      <w:tr w14:paraId="712D1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80" w:type="dxa"/>
            <w:noWrap w:val="0"/>
            <w:vAlign w:val="center"/>
          </w:tcPr>
          <w:p w14:paraId="7BBBC509">
            <w:pPr>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p>
        </w:tc>
        <w:tc>
          <w:tcPr>
            <w:tcW w:w="1516" w:type="dxa"/>
            <w:noWrap w:val="0"/>
            <w:vAlign w:val="center"/>
          </w:tcPr>
          <w:p w14:paraId="057AA207">
            <w:pPr>
              <w:spacing w:line="360" w:lineRule="auto"/>
              <w:jc w:val="center"/>
              <w:rPr>
                <w:rFonts w:hint="eastAsia" w:ascii="宋体" w:hAnsi="宋体" w:eastAsia="宋体" w:cs="宋体"/>
                <w:color w:val="auto"/>
                <w:szCs w:val="21"/>
                <w:highlight w:val="none"/>
              </w:rPr>
            </w:pPr>
          </w:p>
        </w:tc>
        <w:tc>
          <w:tcPr>
            <w:tcW w:w="1200" w:type="dxa"/>
            <w:noWrap w:val="0"/>
            <w:vAlign w:val="center"/>
          </w:tcPr>
          <w:p w14:paraId="5F37DC3D">
            <w:pPr>
              <w:spacing w:line="360" w:lineRule="auto"/>
              <w:jc w:val="center"/>
              <w:rPr>
                <w:rFonts w:hint="eastAsia" w:ascii="宋体" w:hAnsi="宋体" w:eastAsia="宋体" w:cs="宋体"/>
                <w:color w:val="auto"/>
                <w:szCs w:val="21"/>
                <w:highlight w:val="none"/>
              </w:rPr>
            </w:pPr>
          </w:p>
        </w:tc>
        <w:tc>
          <w:tcPr>
            <w:tcW w:w="2320" w:type="dxa"/>
            <w:noWrap w:val="0"/>
            <w:vAlign w:val="center"/>
          </w:tcPr>
          <w:p w14:paraId="5EDF2E66">
            <w:pPr>
              <w:spacing w:line="360" w:lineRule="auto"/>
              <w:jc w:val="center"/>
              <w:rPr>
                <w:rFonts w:hint="eastAsia" w:ascii="宋体" w:hAnsi="宋体" w:eastAsia="宋体" w:cs="宋体"/>
                <w:color w:val="auto"/>
                <w:szCs w:val="21"/>
                <w:highlight w:val="none"/>
              </w:rPr>
            </w:pPr>
          </w:p>
        </w:tc>
        <w:tc>
          <w:tcPr>
            <w:tcW w:w="1860" w:type="dxa"/>
            <w:noWrap w:val="0"/>
            <w:vAlign w:val="center"/>
          </w:tcPr>
          <w:p w14:paraId="12CE2D16">
            <w:pPr>
              <w:spacing w:line="360" w:lineRule="auto"/>
              <w:jc w:val="center"/>
              <w:rPr>
                <w:rFonts w:hint="eastAsia" w:ascii="宋体" w:hAnsi="宋体" w:eastAsia="宋体" w:cs="宋体"/>
                <w:color w:val="auto"/>
                <w:szCs w:val="21"/>
                <w:highlight w:val="none"/>
              </w:rPr>
            </w:pPr>
          </w:p>
        </w:tc>
        <w:tc>
          <w:tcPr>
            <w:tcW w:w="1961" w:type="dxa"/>
            <w:noWrap w:val="0"/>
            <w:vAlign w:val="center"/>
          </w:tcPr>
          <w:p w14:paraId="192461C3">
            <w:pPr>
              <w:spacing w:line="360" w:lineRule="auto"/>
              <w:jc w:val="center"/>
              <w:rPr>
                <w:rFonts w:hint="eastAsia" w:ascii="宋体" w:hAnsi="宋体" w:eastAsia="宋体" w:cs="宋体"/>
                <w:color w:val="auto"/>
                <w:szCs w:val="21"/>
                <w:highlight w:val="none"/>
              </w:rPr>
            </w:pPr>
          </w:p>
        </w:tc>
      </w:tr>
      <w:tr w14:paraId="4B2AF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80" w:type="dxa"/>
            <w:noWrap w:val="0"/>
            <w:vAlign w:val="center"/>
          </w:tcPr>
          <w:p w14:paraId="3DBD2B40">
            <w:pPr>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w:t>
            </w:r>
          </w:p>
        </w:tc>
        <w:tc>
          <w:tcPr>
            <w:tcW w:w="1516" w:type="dxa"/>
            <w:noWrap w:val="0"/>
            <w:vAlign w:val="center"/>
          </w:tcPr>
          <w:p w14:paraId="58EE3DF2">
            <w:pPr>
              <w:spacing w:line="360" w:lineRule="auto"/>
              <w:jc w:val="center"/>
              <w:rPr>
                <w:rFonts w:hint="eastAsia" w:ascii="宋体" w:hAnsi="宋体" w:eastAsia="宋体" w:cs="宋体"/>
                <w:color w:val="auto"/>
                <w:szCs w:val="21"/>
                <w:highlight w:val="none"/>
              </w:rPr>
            </w:pPr>
          </w:p>
        </w:tc>
        <w:tc>
          <w:tcPr>
            <w:tcW w:w="1200" w:type="dxa"/>
            <w:noWrap w:val="0"/>
            <w:vAlign w:val="center"/>
          </w:tcPr>
          <w:p w14:paraId="5A6E20DB">
            <w:pPr>
              <w:spacing w:line="360" w:lineRule="auto"/>
              <w:jc w:val="center"/>
              <w:rPr>
                <w:rFonts w:hint="eastAsia" w:ascii="宋体" w:hAnsi="宋体" w:eastAsia="宋体" w:cs="宋体"/>
                <w:color w:val="auto"/>
                <w:szCs w:val="21"/>
                <w:highlight w:val="none"/>
              </w:rPr>
            </w:pPr>
          </w:p>
        </w:tc>
        <w:tc>
          <w:tcPr>
            <w:tcW w:w="2320" w:type="dxa"/>
            <w:noWrap w:val="0"/>
            <w:vAlign w:val="center"/>
          </w:tcPr>
          <w:p w14:paraId="60228B89">
            <w:pPr>
              <w:spacing w:line="360" w:lineRule="auto"/>
              <w:jc w:val="center"/>
              <w:rPr>
                <w:rFonts w:hint="eastAsia" w:ascii="宋体" w:hAnsi="宋体" w:eastAsia="宋体" w:cs="宋体"/>
                <w:color w:val="auto"/>
                <w:szCs w:val="21"/>
                <w:highlight w:val="none"/>
              </w:rPr>
            </w:pPr>
          </w:p>
        </w:tc>
        <w:tc>
          <w:tcPr>
            <w:tcW w:w="1860" w:type="dxa"/>
            <w:noWrap w:val="0"/>
            <w:vAlign w:val="center"/>
          </w:tcPr>
          <w:p w14:paraId="06A43E2B">
            <w:pPr>
              <w:spacing w:line="360" w:lineRule="auto"/>
              <w:jc w:val="center"/>
              <w:rPr>
                <w:rFonts w:hint="eastAsia" w:ascii="宋体" w:hAnsi="宋体" w:eastAsia="宋体" w:cs="宋体"/>
                <w:color w:val="auto"/>
                <w:szCs w:val="21"/>
                <w:highlight w:val="none"/>
              </w:rPr>
            </w:pPr>
          </w:p>
        </w:tc>
        <w:tc>
          <w:tcPr>
            <w:tcW w:w="1961" w:type="dxa"/>
            <w:noWrap w:val="0"/>
            <w:vAlign w:val="center"/>
          </w:tcPr>
          <w:p w14:paraId="42826FA9">
            <w:pPr>
              <w:spacing w:line="360" w:lineRule="auto"/>
              <w:jc w:val="center"/>
              <w:rPr>
                <w:rFonts w:hint="eastAsia" w:ascii="宋体" w:hAnsi="宋体" w:eastAsia="宋体" w:cs="宋体"/>
                <w:color w:val="auto"/>
                <w:szCs w:val="21"/>
                <w:highlight w:val="none"/>
              </w:rPr>
            </w:pPr>
          </w:p>
        </w:tc>
      </w:tr>
      <w:tr w14:paraId="1F31B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80" w:type="dxa"/>
            <w:noWrap w:val="0"/>
            <w:vAlign w:val="center"/>
          </w:tcPr>
          <w:p w14:paraId="251CA9B3">
            <w:pPr>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w:t>
            </w:r>
          </w:p>
        </w:tc>
        <w:tc>
          <w:tcPr>
            <w:tcW w:w="1516" w:type="dxa"/>
            <w:noWrap w:val="0"/>
            <w:vAlign w:val="center"/>
          </w:tcPr>
          <w:p w14:paraId="3ADB70D9">
            <w:pPr>
              <w:spacing w:line="360" w:lineRule="auto"/>
              <w:jc w:val="center"/>
              <w:rPr>
                <w:rFonts w:hint="eastAsia" w:ascii="宋体" w:hAnsi="宋体" w:eastAsia="宋体" w:cs="宋体"/>
                <w:color w:val="auto"/>
                <w:szCs w:val="21"/>
                <w:highlight w:val="none"/>
              </w:rPr>
            </w:pPr>
          </w:p>
        </w:tc>
        <w:tc>
          <w:tcPr>
            <w:tcW w:w="1200" w:type="dxa"/>
            <w:noWrap w:val="0"/>
            <w:vAlign w:val="center"/>
          </w:tcPr>
          <w:p w14:paraId="2B6D2A5C">
            <w:pPr>
              <w:spacing w:line="360" w:lineRule="auto"/>
              <w:jc w:val="center"/>
              <w:rPr>
                <w:rFonts w:hint="eastAsia" w:ascii="宋体" w:hAnsi="宋体" w:eastAsia="宋体" w:cs="宋体"/>
                <w:color w:val="auto"/>
                <w:szCs w:val="21"/>
                <w:highlight w:val="none"/>
              </w:rPr>
            </w:pPr>
          </w:p>
        </w:tc>
        <w:tc>
          <w:tcPr>
            <w:tcW w:w="2320" w:type="dxa"/>
            <w:noWrap w:val="0"/>
            <w:vAlign w:val="center"/>
          </w:tcPr>
          <w:p w14:paraId="011CB59A">
            <w:pPr>
              <w:spacing w:line="360" w:lineRule="auto"/>
              <w:jc w:val="center"/>
              <w:rPr>
                <w:rFonts w:hint="eastAsia" w:ascii="宋体" w:hAnsi="宋体" w:eastAsia="宋体" w:cs="宋体"/>
                <w:color w:val="auto"/>
                <w:szCs w:val="21"/>
                <w:highlight w:val="none"/>
              </w:rPr>
            </w:pPr>
          </w:p>
        </w:tc>
        <w:tc>
          <w:tcPr>
            <w:tcW w:w="1860" w:type="dxa"/>
            <w:noWrap w:val="0"/>
            <w:vAlign w:val="center"/>
          </w:tcPr>
          <w:p w14:paraId="4D733DBB">
            <w:pPr>
              <w:spacing w:line="360" w:lineRule="auto"/>
              <w:jc w:val="center"/>
              <w:rPr>
                <w:rFonts w:hint="eastAsia" w:ascii="宋体" w:hAnsi="宋体" w:eastAsia="宋体" w:cs="宋体"/>
                <w:color w:val="auto"/>
                <w:szCs w:val="21"/>
                <w:highlight w:val="none"/>
              </w:rPr>
            </w:pPr>
          </w:p>
        </w:tc>
        <w:tc>
          <w:tcPr>
            <w:tcW w:w="1961" w:type="dxa"/>
            <w:noWrap w:val="0"/>
            <w:vAlign w:val="center"/>
          </w:tcPr>
          <w:p w14:paraId="3124257D">
            <w:pPr>
              <w:spacing w:line="360" w:lineRule="auto"/>
              <w:jc w:val="center"/>
              <w:rPr>
                <w:rFonts w:hint="eastAsia" w:ascii="宋体" w:hAnsi="宋体" w:eastAsia="宋体" w:cs="宋体"/>
                <w:color w:val="auto"/>
                <w:szCs w:val="21"/>
                <w:highlight w:val="none"/>
              </w:rPr>
            </w:pPr>
          </w:p>
        </w:tc>
      </w:tr>
      <w:tr w14:paraId="0A1F8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80" w:type="dxa"/>
            <w:noWrap w:val="0"/>
            <w:vAlign w:val="center"/>
          </w:tcPr>
          <w:p w14:paraId="185C3253">
            <w:pPr>
              <w:spacing w:line="36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p>
        </w:tc>
        <w:tc>
          <w:tcPr>
            <w:tcW w:w="1516" w:type="dxa"/>
            <w:noWrap w:val="0"/>
            <w:vAlign w:val="center"/>
          </w:tcPr>
          <w:p w14:paraId="6E9BD290">
            <w:pPr>
              <w:spacing w:line="360" w:lineRule="auto"/>
              <w:jc w:val="center"/>
              <w:rPr>
                <w:rFonts w:hint="eastAsia" w:ascii="宋体" w:hAnsi="宋体" w:eastAsia="宋体" w:cs="宋体"/>
                <w:color w:val="auto"/>
                <w:szCs w:val="21"/>
                <w:highlight w:val="none"/>
              </w:rPr>
            </w:pPr>
          </w:p>
        </w:tc>
        <w:tc>
          <w:tcPr>
            <w:tcW w:w="1200" w:type="dxa"/>
            <w:noWrap w:val="0"/>
            <w:vAlign w:val="center"/>
          </w:tcPr>
          <w:p w14:paraId="2F8BF0CA">
            <w:pPr>
              <w:spacing w:line="360" w:lineRule="auto"/>
              <w:jc w:val="center"/>
              <w:rPr>
                <w:rFonts w:hint="eastAsia" w:ascii="宋体" w:hAnsi="宋体" w:eastAsia="宋体" w:cs="宋体"/>
                <w:color w:val="auto"/>
                <w:szCs w:val="21"/>
                <w:highlight w:val="none"/>
              </w:rPr>
            </w:pPr>
          </w:p>
        </w:tc>
        <w:tc>
          <w:tcPr>
            <w:tcW w:w="2320" w:type="dxa"/>
            <w:noWrap w:val="0"/>
            <w:vAlign w:val="center"/>
          </w:tcPr>
          <w:p w14:paraId="4EF02C12">
            <w:pPr>
              <w:spacing w:line="360" w:lineRule="auto"/>
              <w:jc w:val="center"/>
              <w:rPr>
                <w:rFonts w:hint="eastAsia" w:ascii="宋体" w:hAnsi="宋体" w:eastAsia="宋体" w:cs="宋体"/>
                <w:color w:val="auto"/>
                <w:szCs w:val="21"/>
                <w:highlight w:val="none"/>
              </w:rPr>
            </w:pPr>
          </w:p>
        </w:tc>
        <w:tc>
          <w:tcPr>
            <w:tcW w:w="1860" w:type="dxa"/>
            <w:noWrap w:val="0"/>
            <w:vAlign w:val="center"/>
          </w:tcPr>
          <w:p w14:paraId="7E3EFF82">
            <w:pPr>
              <w:spacing w:line="360" w:lineRule="auto"/>
              <w:jc w:val="center"/>
              <w:rPr>
                <w:rFonts w:hint="eastAsia" w:ascii="宋体" w:hAnsi="宋体" w:eastAsia="宋体" w:cs="宋体"/>
                <w:color w:val="auto"/>
                <w:szCs w:val="21"/>
                <w:highlight w:val="none"/>
              </w:rPr>
            </w:pPr>
          </w:p>
        </w:tc>
        <w:tc>
          <w:tcPr>
            <w:tcW w:w="1961" w:type="dxa"/>
            <w:noWrap w:val="0"/>
            <w:vAlign w:val="center"/>
          </w:tcPr>
          <w:p w14:paraId="66756FA9">
            <w:pPr>
              <w:spacing w:line="360" w:lineRule="auto"/>
              <w:jc w:val="center"/>
              <w:rPr>
                <w:rFonts w:hint="eastAsia" w:ascii="宋体" w:hAnsi="宋体" w:eastAsia="宋体" w:cs="宋体"/>
                <w:color w:val="auto"/>
                <w:szCs w:val="21"/>
                <w:highlight w:val="none"/>
              </w:rPr>
            </w:pPr>
          </w:p>
        </w:tc>
      </w:tr>
    </w:tbl>
    <w:p w14:paraId="6EB3096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lang w:eastAsia="zh-CN"/>
        </w:rPr>
      </w:pPr>
      <w:r>
        <w:rPr>
          <w:rFonts w:hint="eastAsia" w:ascii="宋体" w:hAnsi="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rPr>
        <w:t>此表可延长</w:t>
      </w:r>
      <w:r>
        <w:rPr>
          <w:rFonts w:hint="eastAsia" w:ascii="宋体" w:hAnsi="宋体" w:cs="宋体"/>
          <w:b w:val="0"/>
          <w:bCs w:val="0"/>
          <w:color w:val="auto"/>
          <w:kern w:val="0"/>
          <w:sz w:val="24"/>
          <w:szCs w:val="24"/>
          <w:highlight w:val="none"/>
          <w:lang w:eastAsia="zh-CN"/>
        </w:rPr>
        <w:t>）</w:t>
      </w:r>
    </w:p>
    <w:p w14:paraId="5BE7729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562CED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6BCF8C7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5102317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eastAsia="宋体" w:cs="宋体"/>
          <w:b w:val="0"/>
          <w:bCs w:val="0"/>
          <w:color w:val="auto"/>
          <w:kern w:val="0"/>
          <w:sz w:val="24"/>
          <w:szCs w:val="24"/>
          <w:highlight w:val="none"/>
          <w:u w:val="single"/>
          <w:lang w:val="en-US" w:eastAsia="zh-CN"/>
        </w:rPr>
        <w:t xml:space="preserve">                     </w:t>
      </w:r>
    </w:p>
    <w:p w14:paraId="1FE58390">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20" w:firstLineChars="200"/>
        <w:textAlignment w:val="auto"/>
        <w:rPr>
          <w:rFonts w:hint="eastAsia" w:ascii="宋体" w:hAnsi="宋体" w:eastAsia="宋体" w:cs="宋体"/>
          <w:color w:val="auto"/>
          <w:highlight w:val="none"/>
          <w:lang w:val="en-US" w:eastAsia="zh-CN"/>
        </w:rPr>
      </w:pPr>
    </w:p>
    <w:p w14:paraId="6009159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eastAsia="宋体" w:cs="宋体"/>
          <w:b w:val="0"/>
          <w:bCs w:val="0"/>
          <w:color w:val="auto"/>
          <w:kern w:val="0"/>
          <w:sz w:val="24"/>
          <w:szCs w:val="24"/>
          <w:highlight w:val="none"/>
          <w:u w:val="single"/>
          <w:lang w:val="en-US" w:eastAsia="zh-CN"/>
        </w:rPr>
        <w:t xml:space="preserve">                   </w:t>
      </w:r>
    </w:p>
    <w:p w14:paraId="74E9F1CC">
      <w:pPr>
        <w:pStyle w:val="37"/>
        <w:keepNext w:val="0"/>
        <w:keepLines w:val="0"/>
        <w:pageBreakBefore w:val="0"/>
        <w:widowControl w:val="0"/>
        <w:kinsoku/>
        <w:wordWrap/>
        <w:overflowPunct/>
        <w:topLinePunct w:val="0"/>
        <w:autoSpaceDE/>
        <w:autoSpaceDN/>
        <w:bidi w:val="0"/>
        <w:adjustRightInd w:val="0"/>
        <w:snapToGrid w:val="0"/>
        <w:spacing w:after="0" w:line="400" w:lineRule="exact"/>
        <w:ind w:firstLine="420" w:firstLineChars="200"/>
        <w:textAlignment w:val="auto"/>
        <w:rPr>
          <w:rFonts w:hint="eastAsia" w:ascii="宋体" w:hAnsi="宋体" w:eastAsia="宋体" w:cs="宋体"/>
          <w:color w:val="auto"/>
          <w:highlight w:val="none"/>
        </w:rPr>
      </w:pPr>
    </w:p>
    <w:p w14:paraId="532DC5D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CCC7D5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16E94B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1623D0D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4049D26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4ADC906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5A86D25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6A867E1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CABCAD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537CE8A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CC860F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F08084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EB45B2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3D1128C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bookmarkEnd w:id="354"/>
    <w:bookmarkEnd w:id="355"/>
    <w:bookmarkEnd w:id="356"/>
    <w:bookmarkEnd w:id="361"/>
    <w:p w14:paraId="7FB83D5D">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365" w:name="_Toc2523"/>
      <w:bookmarkStart w:id="366" w:name="_Toc8244"/>
      <w:bookmarkStart w:id="367" w:name="_Toc20526"/>
      <w:bookmarkStart w:id="368" w:name="_Toc16889"/>
      <w:bookmarkStart w:id="369" w:name="_Toc16135"/>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lang w:eastAsia="zh-CN"/>
        </w:rPr>
        <w:t>）其他有利于投标的资料及证明文件等</w:t>
      </w:r>
      <w:bookmarkEnd w:id="365"/>
      <w:bookmarkEnd w:id="366"/>
      <w:bookmarkEnd w:id="367"/>
      <w:bookmarkEnd w:id="368"/>
    </w:p>
    <w:p w14:paraId="40114DC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（如有）</w:t>
      </w:r>
      <w:bookmarkEnd w:id="369"/>
    </w:p>
    <w:p w14:paraId="05C047C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2DCD8B1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154F537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4337B7C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1705391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520AD70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2786D95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2099E02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552527A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872DC0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2ABDB03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3D3293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3391BAA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17E6641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47881BD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373725C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54A080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6478BF5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3204EF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2B7850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1180D08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484C0CE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19C67B1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683EDF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E49DE1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388BB9F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215FCCE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E56E40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046A58D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30D56E7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42340D7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3DAEAD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73ED9A0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textAlignment w:val="auto"/>
        <w:rPr>
          <w:rFonts w:hint="eastAsia" w:ascii="宋体" w:hAnsi="宋体" w:eastAsia="宋体" w:cs="宋体"/>
          <w:b w:val="0"/>
          <w:bCs w:val="0"/>
          <w:color w:val="auto"/>
          <w:kern w:val="0"/>
          <w:sz w:val="24"/>
          <w:szCs w:val="24"/>
          <w:highlight w:val="none"/>
        </w:rPr>
      </w:pPr>
    </w:p>
    <w:p w14:paraId="69F8E0C2">
      <w:pPr>
        <w:pStyle w:val="4"/>
        <w:rPr>
          <w:rFonts w:hint="eastAsia" w:ascii="宋体" w:hAnsi="宋体" w:eastAsia="宋体" w:cs="宋体"/>
          <w:b/>
          <w:bCs w:val="0"/>
          <w:color w:val="auto"/>
          <w:highlight w:val="none"/>
          <w:lang w:val="en-US" w:eastAsia="zh-CN"/>
        </w:rPr>
      </w:pPr>
      <w:bookmarkStart w:id="370" w:name="_Toc20856"/>
      <w:r>
        <w:rPr>
          <w:rFonts w:hint="eastAsia" w:ascii="宋体" w:hAnsi="宋体" w:eastAsia="宋体" w:cs="宋体"/>
          <w:b/>
          <w:bCs w:val="0"/>
          <w:color w:val="auto"/>
          <w:highlight w:val="none"/>
          <w:lang w:val="en-US" w:eastAsia="zh-CN"/>
        </w:rPr>
        <w:t>第七部分 附件</w:t>
      </w:r>
      <w:bookmarkEnd w:id="322"/>
      <w:bookmarkEnd w:id="323"/>
      <w:bookmarkEnd w:id="324"/>
      <w:bookmarkEnd w:id="325"/>
      <w:bookmarkEnd w:id="370"/>
    </w:p>
    <w:p w14:paraId="7D52C796">
      <w:pPr>
        <w:jc w:val="both"/>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附件</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p>
    <w:p w14:paraId="5FAAC007">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中小企业划型标准规定</w:t>
      </w:r>
    </w:p>
    <w:p w14:paraId="632BC2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8F4EA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一、根据《中华人民共和国中小企业促进法》和《国务院关于进一步促进中小企业发展的若干意见》（国发〔2009〕36号），制定本规定。</w:t>
      </w:r>
    </w:p>
    <w:p w14:paraId="663A2F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二、中小企业划分为中型、小型、微型三种类型，具体标准根据企业从业人员、营业收入、资产总额等指标，结合行业特点制定。</w:t>
      </w:r>
    </w:p>
    <w:p w14:paraId="408C31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AB295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四、各行业划型标准为：</w:t>
      </w:r>
    </w:p>
    <w:p w14:paraId="13C7313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（一）农、林、牧、渔业。</w:t>
      </w:r>
      <w:r>
        <w:rPr>
          <w:rFonts w:hint="eastAsia" w:ascii="宋体" w:hAnsi="宋体" w:eastAsia="宋体" w:cs="宋体"/>
          <w:color w:val="auto"/>
          <w:sz w:val="24"/>
          <w:szCs w:val="24"/>
          <w:highlight w:val="none"/>
          <w:lang w:eastAsia="zh-CN"/>
        </w:rPr>
        <w:t>营业收入20000万元以下的为中小微型企业。其中，营业收入500万元及以上的为中型企业，营业收入50万元及以上的为小型企业，营业收入50万元以下的为微型企业。</w:t>
      </w:r>
    </w:p>
    <w:p w14:paraId="337DC56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（二）工业。</w:t>
      </w:r>
      <w:r>
        <w:rPr>
          <w:rFonts w:hint="eastAsia" w:ascii="宋体" w:hAnsi="宋体" w:eastAsia="宋体" w:cs="宋体"/>
          <w:color w:val="auto"/>
          <w:sz w:val="24"/>
          <w:szCs w:val="24"/>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1532E3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（三）建筑业。</w:t>
      </w:r>
      <w:r>
        <w:rPr>
          <w:rFonts w:hint="eastAsia" w:ascii="宋体" w:hAnsi="宋体" w:eastAsia="宋体" w:cs="宋体"/>
          <w:color w:val="auto"/>
          <w:sz w:val="24"/>
          <w:szCs w:val="24"/>
          <w:highlight w:val="none"/>
          <w:lang w:eastAsia="zh-CN"/>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C877A3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（四）批发业。</w:t>
      </w:r>
      <w:r>
        <w:rPr>
          <w:rFonts w:hint="eastAsia" w:ascii="宋体" w:hAnsi="宋体" w:eastAsia="宋体" w:cs="宋体"/>
          <w:color w:val="auto"/>
          <w:sz w:val="24"/>
          <w:szCs w:val="24"/>
          <w:highlight w:val="none"/>
          <w:lang w:eastAsia="zh-CN"/>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B075EE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（五）零售业。</w:t>
      </w:r>
      <w:r>
        <w:rPr>
          <w:rFonts w:hint="eastAsia" w:ascii="宋体" w:hAnsi="宋体" w:eastAsia="宋体" w:cs="宋体"/>
          <w:color w:val="auto"/>
          <w:sz w:val="24"/>
          <w:szCs w:val="24"/>
          <w:highlight w:val="none"/>
          <w:lang w:eastAsia="zh-CN"/>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187ED0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（六）交通运输业。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06342A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（七）仓储业。</w:t>
      </w:r>
      <w:r>
        <w:rPr>
          <w:rFonts w:hint="eastAsia" w:ascii="宋体" w:hAnsi="宋体" w:eastAsia="宋体" w:cs="宋体"/>
          <w:color w:val="auto"/>
          <w:sz w:val="24"/>
          <w:szCs w:val="24"/>
          <w:highlight w:val="none"/>
          <w:lang w:eastAsia="zh-CN"/>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E4B902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（八）邮政业。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FC9F3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（九）住宿业。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F94C4A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（十）餐饮业。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87521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（十一）信息传输业。</w:t>
      </w:r>
      <w:r>
        <w:rPr>
          <w:rFonts w:hint="eastAsia" w:ascii="宋体" w:hAnsi="宋体" w:eastAsia="宋体" w:cs="宋体"/>
          <w:color w:val="auto"/>
          <w:sz w:val="24"/>
          <w:szCs w:val="24"/>
          <w:highlight w:val="none"/>
          <w:lang w:eastAsia="zh-CN"/>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E3C3D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（十二）软件和信息技术服务业。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A02BE5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（十三）房地产开发经营。</w:t>
      </w:r>
      <w:r>
        <w:rPr>
          <w:rFonts w:hint="eastAsia" w:ascii="宋体" w:hAnsi="宋体" w:eastAsia="宋体" w:cs="宋体"/>
          <w:color w:val="auto"/>
          <w:sz w:val="24"/>
          <w:szCs w:val="24"/>
          <w:highlight w:val="none"/>
          <w:lang w:eastAsia="zh-CN"/>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CBE009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（十四）物业管理。</w:t>
      </w:r>
      <w:r>
        <w:rPr>
          <w:rFonts w:hint="eastAsia" w:ascii="宋体" w:hAnsi="宋体" w:eastAsia="宋体" w:cs="宋体"/>
          <w:color w:val="auto"/>
          <w:sz w:val="24"/>
          <w:szCs w:val="24"/>
          <w:highlight w:val="none"/>
          <w:lang w:eastAsia="zh-CN"/>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BF2411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（十五）租赁和商务服务业。</w:t>
      </w:r>
      <w:r>
        <w:rPr>
          <w:rFonts w:hint="eastAsia" w:ascii="宋体" w:hAnsi="宋体" w:eastAsia="宋体" w:cs="宋体"/>
          <w:color w:val="auto"/>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6A501C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（十六）其他未列明行业。</w:t>
      </w:r>
      <w:r>
        <w:rPr>
          <w:rFonts w:hint="eastAsia" w:ascii="宋体" w:hAnsi="宋体" w:eastAsia="宋体" w:cs="宋体"/>
          <w:color w:val="auto"/>
          <w:sz w:val="24"/>
          <w:szCs w:val="24"/>
          <w:highlight w:val="none"/>
          <w:lang w:eastAsia="zh-CN"/>
        </w:rPr>
        <w:t>从业人员300人以下的为中小微型企业。其中，从业人员100人及以上的为中型企业；从业人员10人及以上的为小型企业；从业人员10人以下的为微型企业。</w:t>
      </w:r>
    </w:p>
    <w:p w14:paraId="5B5B07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五、企业类型的划分以统计部门的统计数据为依据。</w:t>
      </w:r>
    </w:p>
    <w:p w14:paraId="3BC6C04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290A92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75D40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八、本规定由工业和信息化部、国家统计局会同有关部门根据《国民经济行业分类》修订情况和企业发展变化情况适时修订。</w:t>
      </w:r>
    </w:p>
    <w:p w14:paraId="2365C7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九、本规定由工业和信息化部、国家统计局会同有关部门负责解释。</w:t>
      </w:r>
    </w:p>
    <w:p w14:paraId="4C35C1B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十、本规定自发布之日起执行，原国家经贸委、原国家计委、财政部和国家统计局2003年颁布的《中小企业标准暂行规定》同时废止。</w:t>
      </w:r>
    </w:p>
    <w:bookmarkEnd w:id="371"/>
    <w:sectPr>
      <w:headerReference r:id="rId7" w:type="default"/>
      <w:footerReference r:id="rId8" w:type="default"/>
      <w:pgSz w:w="11906" w:h="16838"/>
      <w:pgMar w:top="1417" w:right="1134" w:bottom="1134" w:left="1134" w:header="850" w:footer="850" w:gutter="0"/>
      <w:pgNumType w:fmt="decimal"/>
      <w:cols w:space="72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Calibri Light">
    <w:panose1 w:val="020F0302020204030204"/>
    <w:charset w:val="00"/>
    <w:family w:val="swiss"/>
    <w:pitch w:val="default"/>
    <w:sig w:usb0="E4002EFF" w:usb1="C000247B" w:usb2="00000009" w:usb3="00000000" w:csb0="200001FF" w:csb1="00000000"/>
  </w:font>
  <w:font w:name="Tms Rmn">
    <w:altName w:val="Segoe Print"/>
    <w:panose1 w:val="020206030400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CE254">
    <w:pPr>
      <w:pStyle w:val="26"/>
      <w:tabs>
        <w:tab w:val="left" w:pos="5522"/>
        <w:tab w:val="clear" w:pos="4153"/>
      </w:tabs>
      <w:rPr>
        <w:rFonts w:hint="eastAsia" w:eastAsia="宋体"/>
        <w:lang w:eastAsia="zh-CN"/>
      </w:rPr>
    </w:pP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F951C">
    <w:pPr>
      <w:pStyle w:val="26"/>
      <w:tabs>
        <w:tab w:val="left" w:pos="5522"/>
        <w:tab w:val="clear" w:pos="4153"/>
      </w:tabs>
      <w:rPr>
        <w:rFonts w:hint="eastAsia" w:eastAsia="宋体"/>
        <w:lang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0A5950">
                          <w:pPr>
                            <w:pStyle w:val="2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30A5950">
                    <w:pPr>
                      <w:pStyle w:val="2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DC2F9">
    <w:pPr>
      <w:pStyle w:val="2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D1A7BD3">
                          <w:pPr>
                            <w:pStyle w:val="26"/>
                          </w:pPr>
                          <w:r>
                            <w:fldChar w:fldCharType="begin"/>
                          </w:r>
                          <w:r>
                            <w:instrText xml:space="preserve"> PAGE  \* MERGEFORMAT </w:instrText>
                          </w:r>
                          <w:r>
                            <w:fldChar w:fldCharType="separate"/>
                          </w:r>
                          <w:r>
                            <w:t>43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3D1A7BD3">
                    <w:pPr>
                      <w:pStyle w:val="26"/>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AE74F">
    <w:pPr>
      <w:pStyle w:val="2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A96BEC">
                          <w:pPr>
                            <w:pStyle w:val="26"/>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2A96BEC">
                    <w:pPr>
                      <w:pStyle w:val="26"/>
                    </w:pPr>
                    <w:r>
                      <w:fldChar w:fldCharType="begin"/>
                    </w:r>
                    <w:r>
                      <w:instrText xml:space="preserve"> PAGE  \* MERGEFORMAT </w:instrText>
                    </w:r>
                    <w:r>
                      <w:fldChar w:fldCharType="separate"/>
                    </w:r>
                    <w:r>
                      <w:t>77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E00B8">
    <w:pPr>
      <w:pStyle w:val="27"/>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CE18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C"/>
    <w:multiLevelType w:val="multilevel"/>
    <w:tmpl w:val="0000000C"/>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6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xOTVkN2ZmMjVjM2EzNTY4MWNhM2I2OGZkMjAyOTMifQ=="/>
  </w:docVars>
  <w:rsids>
    <w:rsidRoot w:val="0052125D"/>
    <w:rsid w:val="0000015D"/>
    <w:rsid w:val="00002BF7"/>
    <w:rsid w:val="000036A4"/>
    <w:rsid w:val="00004DE9"/>
    <w:rsid w:val="00004F0F"/>
    <w:rsid w:val="00010132"/>
    <w:rsid w:val="000109F5"/>
    <w:rsid w:val="00011B28"/>
    <w:rsid w:val="00012450"/>
    <w:rsid w:val="000140B4"/>
    <w:rsid w:val="00014BFE"/>
    <w:rsid w:val="00016204"/>
    <w:rsid w:val="00016689"/>
    <w:rsid w:val="00017020"/>
    <w:rsid w:val="00017062"/>
    <w:rsid w:val="000170FE"/>
    <w:rsid w:val="00017E4B"/>
    <w:rsid w:val="00020140"/>
    <w:rsid w:val="000206CA"/>
    <w:rsid w:val="00020C1A"/>
    <w:rsid w:val="00020CC8"/>
    <w:rsid w:val="00021142"/>
    <w:rsid w:val="000211BC"/>
    <w:rsid w:val="00022A17"/>
    <w:rsid w:val="0002355F"/>
    <w:rsid w:val="00023BF8"/>
    <w:rsid w:val="000248DE"/>
    <w:rsid w:val="00025CCA"/>
    <w:rsid w:val="000276D5"/>
    <w:rsid w:val="000278E8"/>
    <w:rsid w:val="00032CEB"/>
    <w:rsid w:val="000347BC"/>
    <w:rsid w:val="00035B00"/>
    <w:rsid w:val="0003676D"/>
    <w:rsid w:val="00036D8B"/>
    <w:rsid w:val="00040002"/>
    <w:rsid w:val="00040630"/>
    <w:rsid w:val="000409E7"/>
    <w:rsid w:val="00040BE4"/>
    <w:rsid w:val="00042CC9"/>
    <w:rsid w:val="000436A3"/>
    <w:rsid w:val="00045522"/>
    <w:rsid w:val="00047086"/>
    <w:rsid w:val="00047441"/>
    <w:rsid w:val="0005037D"/>
    <w:rsid w:val="000509A8"/>
    <w:rsid w:val="00051A74"/>
    <w:rsid w:val="00052FBA"/>
    <w:rsid w:val="00055B0A"/>
    <w:rsid w:val="00057E29"/>
    <w:rsid w:val="00060535"/>
    <w:rsid w:val="00060A3E"/>
    <w:rsid w:val="00060FEE"/>
    <w:rsid w:val="000613BC"/>
    <w:rsid w:val="00061C30"/>
    <w:rsid w:val="000632A4"/>
    <w:rsid w:val="00064210"/>
    <w:rsid w:val="00065EBC"/>
    <w:rsid w:val="00066D82"/>
    <w:rsid w:val="00067219"/>
    <w:rsid w:val="00067B81"/>
    <w:rsid w:val="0007040B"/>
    <w:rsid w:val="00071303"/>
    <w:rsid w:val="00072659"/>
    <w:rsid w:val="000734C6"/>
    <w:rsid w:val="00073B42"/>
    <w:rsid w:val="00073F78"/>
    <w:rsid w:val="000750B5"/>
    <w:rsid w:val="00075A76"/>
    <w:rsid w:val="00075BAC"/>
    <w:rsid w:val="00075BC9"/>
    <w:rsid w:val="0007673C"/>
    <w:rsid w:val="00076A6D"/>
    <w:rsid w:val="00077BB7"/>
    <w:rsid w:val="0008022E"/>
    <w:rsid w:val="000809D2"/>
    <w:rsid w:val="000814AA"/>
    <w:rsid w:val="000829D3"/>
    <w:rsid w:val="00083316"/>
    <w:rsid w:val="000833CB"/>
    <w:rsid w:val="00084A24"/>
    <w:rsid w:val="0008547A"/>
    <w:rsid w:val="0008637F"/>
    <w:rsid w:val="00087870"/>
    <w:rsid w:val="00090AF4"/>
    <w:rsid w:val="00091032"/>
    <w:rsid w:val="00094218"/>
    <w:rsid w:val="000972CE"/>
    <w:rsid w:val="00097F91"/>
    <w:rsid w:val="000A17E8"/>
    <w:rsid w:val="000A273A"/>
    <w:rsid w:val="000A3720"/>
    <w:rsid w:val="000A5145"/>
    <w:rsid w:val="000A6D0A"/>
    <w:rsid w:val="000A7407"/>
    <w:rsid w:val="000B0379"/>
    <w:rsid w:val="000B09A1"/>
    <w:rsid w:val="000B123A"/>
    <w:rsid w:val="000B12E2"/>
    <w:rsid w:val="000B2E56"/>
    <w:rsid w:val="000B3B62"/>
    <w:rsid w:val="000B402B"/>
    <w:rsid w:val="000B4303"/>
    <w:rsid w:val="000B4800"/>
    <w:rsid w:val="000B5068"/>
    <w:rsid w:val="000B63B5"/>
    <w:rsid w:val="000B6A29"/>
    <w:rsid w:val="000B6E0E"/>
    <w:rsid w:val="000B6EC2"/>
    <w:rsid w:val="000B7C94"/>
    <w:rsid w:val="000C0FB2"/>
    <w:rsid w:val="000C1065"/>
    <w:rsid w:val="000C287F"/>
    <w:rsid w:val="000C2A14"/>
    <w:rsid w:val="000C2D34"/>
    <w:rsid w:val="000C33BB"/>
    <w:rsid w:val="000C3655"/>
    <w:rsid w:val="000C6F84"/>
    <w:rsid w:val="000D1CCC"/>
    <w:rsid w:val="000D24FF"/>
    <w:rsid w:val="000D3103"/>
    <w:rsid w:val="000D3AF9"/>
    <w:rsid w:val="000D3C0A"/>
    <w:rsid w:val="000D3C78"/>
    <w:rsid w:val="000D42D0"/>
    <w:rsid w:val="000D4686"/>
    <w:rsid w:val="000D59B1"/>
    <w:rsid w:val="000D6ED4"/>
    <w:rsid w:val="000E2C01"/>
    <w:rsid w:val="000E2E15"/>
    <w:rsid w:val="000E47C1"/>
    <w:rsid w:val="000E4D55"/>
    <w:rsid w:val="000E4DC5"/>
    <w:rsid w:val="000E5B41"/>
    <w:rsid w:val="000E6408"/>
    <w:rsid w:val="000E64B0"/>
    <w:rsid w:val="000E72A0"/>
    <w:rsid w:val="000F0107"/>
    <w:rsid w:val="000F0337"/>
    <w:rsid w:val="000F061E"/>
    <w:rsid w:val="000F3F17"/>
    <w:rsid w:val="000F53C7"/>
    <w:rsid w:val="000F78A4"/>
    <w:rsid w:val="000F7BDC"/>
    <w:rsid w:val="00100043"/>
    <w:rsid w:val="00100763"/>
    <w:rsid w:val="00100F59"/>
    <w:rsid w:val="0010124E"/>
    <w:rsid w:val="00103EC4"/>
    <w:rsid w:val="001040C5"/>
    <w:rsid w:val="00104C22"/>
    <w:rsid w:val="00104D40"/>
    <w:rsid w:val="001050EF"/>
    <w:rsid w:val="00105CCB"/>
    <w:rsid w:val="0011056E"/>
    <w:rsid w:val="0011066A"/>
    <w:rsid w:val="001108FF"/>
    <w:rsid w:val="001115C0"/>
    <w:rsid w:val="001121B9"/>
    <w:rsid w:val="00112399"/>
    <w:rsid w:val="001141ED"/>
    <w:rsid w:val="001155F7"/>
    <w:rsid w:val="00115DD6"/>
    <w:rsid w:val="00115DF1"/>
    <w:rsid w:val="00115FD2"/>
    <w:rsid w:val="00116318"/>
    <w:rsid w:val="0012116A"/>
    <w:rsid w:val="00121C63"/>
    <w:rsid w:val="0012488E"/>
    <w:rsid w:val="00124FFA"/>
    <w:rsid w:val="00125933"/>
    <w:rsid w:val="00126CC7"/>
    <w:rsid w:val="00127B17"/>
    <w:rsid w:val="00127F58"/>
    <w:rsid w:val="00130E85"/>
    <w:rsid w:val="00131471"/>
    <w:rsid w:val="00131CD4"/>
    <w:rsid w:val="001325D3"/>
    <w:rsid w:val="001331F4"/>
    <w:rsid w:val="00133DDA"/>
    <w:rsid w:val="0013617B"/>
    <w:rsid w:val="00136634"/>
    <w:rsid w:val="001375E6"/>
    <w:rsid w:val="0013773F"/>
    <w:rsid w:val="00140F14"/>
    <w:rsid w:val="00141040"/>
    <w:rsid w:val="001410F6"/>
    <w:rsid w:val="00141A0D"/>
    <w:rsid w:val="00141CE3"/>
    <w:rsid w:val="00142767"/>
    <w:rsid w:val="00142E9F"/>
    <w:rsid w:val="00144265"/>
    <w:rsid w:val="00144BE8"/>
    <w:rsid w:val="00146193"/>
    <w:rsid w:val="001465AC"/>
    <w:rsid w:val="00146D99"/>
    <w:rsid w:val="00147BB3"/>
    <w:rsid w:val="00150275"/>
    <w:rsid w:val="00150DF8"/>
    <w:rsid w:val="0015154D"/>
    <w:rsid w:val="001518A8"/>
    <w:rsid w:val="00151918"/>
    <w:rsid w:val="00151E25"/>
    <w:rsid w:val="001525DF"/>
    <w:rsid w:val="0015380F"/>
    <w:rsid w:val="00153F22"/>
    <w:rsid w:val="001547B4"/>
    <w:rsid w:val="0015486C"/>
    <w:rsid w:val="00156916"/>
    <w:rsid w:val="00157D12"/>
    <w:rsid w:val="00160B92"/>
    <w:rsid w:val="0016360C"/>
    <w:rsid w:val="00163C1E"/>
    <w:rsid w:val="00163E33"/>
    <w:rsid w:val="0016513A"/>
    <w:rsid w:val="00165E69"/>
    <w:rsid w:val="00166A88"/>
    <w:rsid w:val="00166AE2"/>
    <w:rsid w:val="0016778D"/>
    <w:rsid w:val="00170748"/>
    <w:rsid w:val="00170A9F"/>
    <w:rsid w:val="00171FBF"/>
    <w:rsid w:val="00172662"/>
    <w:rsid w:val="001734DF"/>
    <w:rsid w:val="00173A6B"/>
    <w:rsid w:val="0017489D"/>
    <w:rsid w:val="0017527A"/>
    <w:rsid w:val="0017603E"/>
    <w:rsid w:val="0017610B"/>
    <w:rsid w:val="001776F1"/>
    <w:rsid w:val="00177F86"/>
    <w:rsid w:val="00180371"/>
    <w:rsid w:val="00180C00"/>
    <w:rsid w:val="00181A1F"/>
    <w:rsid w:val="001823BB"/>
    <w:rsid w:val="00184964"/>
    <w:rsid w:val="00184BDD"/>
    <w:rsid w:val="00184D2D"/>
    <w:rsid w:val="00187216"/>
    <w:rsid w:val="001908BF"/>
    <w:rsid w:val="0019107E"/>
    <w:rsid w:val="00193AD6"/>
    <w:rsid w:val="00193EC3"/>
    <w:rsid w:val="001964BB"/>
    <w:rsid w:val="001A03EB"/>
    <w:rsid w:val="001A10AF"/>
    <w:rsid w:val="001A1509"/>
    <w:rsid w:val="001A177F"/>
    <w:rsid w:val="001A303A"/>
    <w:rsid w:val="001A50C7"/>
    <w:rsid w:val="001A56DB"/>
    <w:rsid w:val="001A7166"/>
    <w:rsid w:val="001A795C"/>
    <w:rsid w:val="001A79FA"/>
    <w:rsid w:val="001B00A1"/>
    <w:rsid w:val="001B03A1"/>
    <w:rsid w:val="001B326C"/>
    <w:rsid w:val="001B3AAA"/>
    <w:rsid w:val="001B3D5D"/>
    <w:rsid w:val="001C06F9"/>
    <w:rsid w:val="001C1D42"/>
    <w:rsid w:val="001C457E"/>
    <w:rsid w:val="001C4B62"/>
    <w:rsid w:val="001C5B01"/>
    <w:rsid w:val="001C605B"/>
    <w:rsid w:val="001C690A"/>
    <w:rsid w:val="001C768F"/>
    <w:rsid w:val="001D02E2"/>
    <w:rsid w:val="001D0937"/>
    <w:rsid w:val="001D0ED4"/>
    <w:rsid w:val="001D324E"/>
    <w:rsid w:val="001D5C1B"/>
    <w:rsid w:val="001D7122"/>
    <w:rsid w:val="001E0892"/>
    <w:rsid w:val="001E3F1D"/>
    <w:rsid w:val="001E5193"/>
    <w:rsid w:val="001E6169"/>
    <w:rsid w:val="001E6570"/>
    <w:rsid w:val="001E6590"/>
    <w:rsid w:val="001E7142"/>
    <w:rsid w:val="001F0434"/>
    <w:rsid w:val="001F06B9"/>
    <w:rsid w:val="001F1E47"/>
    <w:rsid w:val="001F3C8F"/>
    <w:rsid w:val="001F449A"/>
    <w:rsid w:val="001F456B"/>
    <w:rsid w:val="001F45CF"/>
    <w:rsid w:val="001F4ACE"/>
    <w:rsid w:val="001F51B0"/>
    <w:rsid w:val="001F6023"/>
    <w:rsid w:val="00200F92"/>
    <w:rsid w:val="00201567"/>
    <w:rsid w:val="0020239D"/>
    <w:rsid w:val="00202E68"/>
    <w:rsid w:val="00203312"/>
    <w:rsid w:val="00203A0B"/>
    <w:rsid w:val="00203C0C"/>
    <w:rsid w:val="002051AD"/>
    <w:rsid w:val="0020679E"/>
    <w:rsid w:val="00210A23"/>
    <w:rsid w:val="00210B88"/>
    <w:rsid w:val="00210C6B"/>
    <w:rsid w:val="0021114B"/>
    <w:rsid w:val="00211CEE"/>
    <w:rsid w:val="00214AD7"/>
    <w:rsid w:val="0021527C"/>
    <w:rsid w:val="00215867"/>
    <w:rsid w:val="00215AC7"/>
    <w:rsid w:val="00215BCC"/>
    <w:rsid w:val="00216461"/>
    <w:rsid w:val="0022118A"/>
    <w:rsid w:val="00221572"/>
    <w:rsid w:val="00221CF9"/>
    <w:rsid w:val="00222285"/>
    <w:rsid w:val="00222444"/>
    <w:rsid w:val="0022281A"/>
    <w:rsid w:val="00222DAA"/>
    <w:rsid w:val="002248E6"/>
    <w:rsid w:val="00224D12"/>
    <w:rsid w:val="002275B8"/>
    <w:rsid w:val="002277DF"/>
    <w:rsid w:val="00227AED"/>
    <w:rsid w:val="00233719"/>
    <w:rsid w:val="00233CE5"/>
    <w:rsid w:val="002351BB"/>
    <w:rsid w:val="00236B42"/>
    <w:rsid w:val="00240BA3"/>
    <w:rsid w:val="0024251A"/>
    <w:rsid w:val="00245DE9"/>
    <w:rsid w:val="002466DD"/>
    <w:rsid w:val="00246EE6"/>
    <w:rsid w:val="0024722A"/>
    <w:rsid w:val="002472CC"/>
    <w:rsid w:val="00247EB0"/>
    <w:rsid w:val="00250681"/>
    <w:rsid w:val="002511C0"/>
    <w:rsid w:val="00251732"/>
    <w:rsid w:val="0025263A"/>
    <w:rsid w:val="002526B3"/>
    <w:rsid w:val="0025290C"/>
    <w:rsid w:val="002541AF"/>
    <w:rsid w:val="002551AA"/>
    <w:rsid w:val="00255ADB"/>
    <w:rsid w:val="002565FF"/>
    <w:rsid w:val="00256F43"/>
    <w:rsid w:val="00257AB2"/>
    <w:rsid w:val="00261F10"/>
    <w:rsid w:val="00263345"/>
    <w:rsid w:val="00263598"/>
    <w:rsid w:val="0026411D"/>
    <w:rsid w:val="0026444C"/>
    <w:rsid w:val="0026680B"/>
    <w:rsid w:val="00266DBC"/>
    <w:rsid w:val="00266DBF"/>
    <w:rsid w:val="00266EC2"/>
    <w:rsid w:val="00270868"/>
    <w:rsid w:val="00271AC9"/>
    <w:rsid w:val="00272545"/>
    <w:rsid w:val="00273CF3"/>
    <w:rsid w:val="0027414C"/>
    <w:rsid w:val="00275062"/>
    <w:rsid w:val="00275287"/>
    <w:rsid w:val="0027594C"/>
    <w:rsid w:val="00275CBB"/>
    <w:rsid w:val="00275EEA"/>
    <w:rsid w:val="00276583"/>
    <w:rsid w:val="002772A9"/>
    <w:rsid w:val="0027785B"/>
    <w:rsid w:val="00277EB5"/>
    <w:rsid w:val="002808E4"/>
    <w:rsid w:val="002819B7"/>
    <w:rsid w:val="0028278D"/>
    <w:rsid w:val="00285566"/>
    <w:rsid w:val="002858EA"/>
    <w:rsid w:val="00285989"/>
    <w:rsid w:val="00285CF4"/>
    <w:rsid w:val="002904E4"/>
    <w:rsid w:val="002905C6"/>
    <w:rsid w:val="00290A14"/>
    <w:rsid w:val="00290C63"/>
    <w:rsid w:val="002927D4"/>
    <w:rsid w:val="002930CB"/>
    <w:rsid w:val="00294F9D"/>
    <w:rsid w:val="002950B5"/>
    <w:rsid w:val="002969D1"/>
    <w:rsid w:val="00297057"/>
    <w:rsid w:val="002971EF"/>
    <w:rsid w:val="002A014D"/>
    <w:rsid w:val="002A02A9"/>
    <w:rsid w:val="002A0809"/>
    <w:rsid w:val="002A0F32"/>
    <w:rsid w:val="002A1034"/>
    <w:rsid w:val="002A23F4"/>
    <w:rsid w:val="002A26FB"/>
    <w:rsid w:val="002A2C51"/>
    <w:rsid w:val="002A38B3"/>
    <w:rsid w:val="002A413D"/>
    <w:rsid w:val="002A581E"/>
    <w:rsid w:val="002A5ADA"/>
    <w:rsid w:val="002A5FB7"/>
    <w:rsid w:val="002A636F"/>
    <w:rsid w:val="002A66FB"/>
    <w:rsid w:val="002A6E29"/>
    <w:rsid w:val="002A6EFA"/>
    <w:rsid w:val="002A769D"/>
    <w:rsid w:val="002B00FF"/>
    <w:rsid w:val="002B02F4"/>
    <w:rsid w:val="002B0FBB"/>
    <w:rsid w:val="002B12AB"/>
    <w:rsid w:val="002B1BEA"/>
    <w:rsid w:val="002B28E4"/>
    <w:rsid w:val="002B3E81"/>
    <w:rsid w:val="002B5749"/>
    <w:rsid w:val="002B5905"/>
    <w:rsid w:val="002B5FED"/>
    <w:rsid w:val="002B7024"/>
    <w:rsid w:val="002B7486"/>
    <w:rsid w:val="002B773A"/>
    <w:rsid w:val="002C01A8"/>
    <w:rsid w:val="002C1985"/>
    <w:rsid w:val="002C207D"/>
    <w:rsid w:val="002C5621"/>
    <w:rsid w:val="002C5EC5"/>
    <w:rsid w:val="002C661C"/>
    <w:rsid w:val="002D0098"/>
    <w:rsid w:val="002D09C6"/>
    <w:rsid w:val="002D20E5"/>
    <w:rsid w:val="002D2650"/>
    <w:rsid w:val="002D3C7C"/>
    <w:rsid w:val="002D4F53"/>
    <w:rsid w:val="002D5176"/>
    <w:rsid w:val="002D54D7"/>
    <w:rsid w:val="002D6788"/>
    <w:rsid w:val="002D749F"/>
    <w:rsid w:val="002D7569"/>
    <w:rsid w:val="002E0071"/>
    <w:rsid w:val="002E02F1"/>
    <w:rsid w:val="002E0766"/>
    <w:rsid w:val="002E0C05"/>
    <w:rsid w:val="002E1D12"/>
    <w:rsid w:val="002E1F2B"/>
    <w:rsid w:val="002E6BAF"/>
    <w:rsid w:val="002E7F28"/>
    <w:rsid w:val="002F0E8B"/>
    <w:rsid w:val="002F11B7"/>
    <w:rsid w:val="002F165F"/>
    <w:rsid w:val="002F29D8"/>
    <w:rsid w:val="002F34AD"/>
    <w:rsid w:val="002F4115"/>
    <w:rsid w:val="002F55C3"/>
    <w:rsid w:val="002F5770"/>
    <w:rsid w:val="002F5974"/>
    <w:rsid w:val="002F5AF7"/>
    <w:rsid w:val="002F6EE5"/>
    <w:rsid w:val="002F7113"/>
    <w:rsid w:val="002F7C83"/>
    <w:rsid w:val="002F7D18"/>
    <w:rsid w:val="00300175"/>
    <w:rsid w:val="0030111D"/>
    <w:rsid w:val="00301322"/>
    <w:rsid w:val="00301F1D"/>
    <w:rsid w:val="003021A4"/>
    <w:rsid w:val="00302321"/>
    <w:rsid w:val="00302581"/>
    <w:rsid w:val="00302776"/>
    <w:rsid w:val="0030286D"/>
    <w:rsid w:val="0030550D"/>
    <w:rsid w:val="00305608"/>
    <w:rsid w:val="00306366"/>
    <w:rsid w:val="00307632"/>
    <w:rsid w:val="003079BB"/>
    <w:rsid w:val="00307C5C"/>
    <w:rsid w:val="003137EE"/>
    <w:rsid w:val="0031523F"/>
    <w:rsid w:val="003155A1"/>
    <w:rsid w:val="00315606"/>
    <w:rsid w:val="00315886"/>
    <w:rsid w:val="003165AF"/>
    <w:rsid w:val="00316F25"/>
    <w:rsid w:val="003208EF"/>
    <w:rsid w:val="003209A3"/>
    <w:rsid w:val="00321939"/>
    <w:rsid w:val="00322464"/>
    <w:rsid w:val="00322505"/>
    <w:rsid w:val="0032356F"/>
    <w:rsid w:val="003238BF"/>
    <w:rsid w:val="00323C18"/>
    <w:rsid w:val="00324C0B"/>
    <w:rsid w:val="00325AD1"/>
    <w:rsid w:val="00327AE0"/>
    <w:rsid w:val="00330E45"/>
    <w:rsid w:val="00331419"/>
    <w:rsid w:val="0033171A"/>
    <w:rsid w:val="00332B0E"/>
    <w:rsid w:val="00332BBE"/>
    <w:rsid w:val="00333057"/>
    <w:rsid w:val="00334759"/>
    <w:rsid w:val="003359F4"/>
    <w:rsid w:val="0033702E"/>
    <w:rsid w:val="003376BE"/>
    <w:rsid w:val="0033779C"/>
    <w:rsid w:val="00337D3F"/>
    <w:rsid w:val="00341CEF"/>
    <w:rsid w:val="00341EE9"/>
    <w:rsid w:val="003426A8"/>
    <w:rsid w:val="00342EF4"/>
    <w:rsid w:val="00343912"/>
    <w:rsid w:val="0034539B"/>
    <w:rsid w:val="00345F12"/>
    <w:rsid w:val="003462DC"/>
    <w:rsid w:val="00346938"/>
    <w:rsid w:val="00347085"/>
    <w:rsid w:val="0034787D"/>
    <w:rsid w:val="00350E10"/>
    <w:rsid w:val="003511FC"/>
    <w:rsid w:val="00351FFA"/>
    <w:rsid w:val="00354824"/>
    <w:rsid w:val="00354A58"/>
    <w:rsid w:val="003556FB"/>
    <w:rsid w:val="003569DC"/>
    <w:rsid w:val="003576AE"/>
    <w:rsid w:val="003617A4"/>
    <w:rsid w:val="00361ADE"/>
    <w:rsid w:val="00361C2A"/>
    <w:rsid w:val="0036419A"/>
    <w:rsid w:val="00364A8C"/>
    <w:rsid w:val="00364E94"/>
    <w:rsid w:val="00365665"/>
    <w:rsid w:val="00366C08"/>
    <w:rsid w:val="00366DA7"/>
    <w:rsid w:val="003678E6"/>
    <w:rsid w:val="00367EBF"/>
    <w:rsid w:val="00370654"/>
    <w:rsid w:val="003708C1"/>
    <w:rsid w:val="00370F63"/>
    <w:rsid w:val="00371367"/>
    <w:rsid w:val="00372047"/>
    <w:rsid w:val="00372691"/>
    <w:rsid w:val="003729AC"/>
    <w:rsid w:val="00372AF3"/>
    <w:rsid w:val="003742EF"/>
    <w:rsid w:val="00375158"/>
    <w:rsid w:val="003801AB"/>
    <w:rsid w:val="00380442"/>
    <w:rsid w:val="00380AE1"/>
    <w:rsid w:val="0038144C"/>
    <w:rsid w:val="00382DBB"/>
    <w:rsid w:val="00383662"/>
    <w:rsid w:val="00383DDA"/>
    <w:rsid w:val="0038524B"/>
    <w:rsid w:val="00387A5D"/>
    <w:rsid w:val="003912BB"/>
    <w:rsid w:val="0039159A"/>
    <w:rsid w:val="00391964"/>
    <w:rsid w:val="00391C67"/>
    <w:rsid w:val="003929AD"/>
    <w:rsid w:val="00392AA7"/>
    <w:rsid w:val="00392D94"/>
    <w:rsid w:val="00393FF4"/>
    <w:rsid w:val="003953DA"/>
    <w:rsid w:val="00396A8C"/>
    <w:rsid w:val="00396D49"/>
    <w:rsid w:val="00397C02"/>
    <w:rsid w:val="003A17E6"/>
    <w:rsid w:val="003A1C7A"/>
    <w:rsid w:val="003A3F50"/>
    <w:rsid w:val="003A5AB9"/>
    <w:rsid w:val="003A7850"/>
    <w:rsid w:val="003B0AE1"/>
    <w:rsid w:val="003B1395"/>
    <w:rsid w:val="003B2520"/>
    <w:rsid w:val="003B2EF0"/>
    <w:rsid w:val="003B47EB"/>
    <w:rsid w:val="003B52FD"/>
    <w:rsid w:val="003B62B2"/>
    <w:rsid w:val="003B75EE"/>
    <w:rsid w:val="003B795C"/>
    <w:rsid w:val="003C02C0"/>
    <w:rsid w:val="003C07AE"/>
    <w:rsid w:val="003C1343"/>
    <w:rsid w:val="003C1E80"/>
    <w:rsid w:val="003C463C"/>
    <w:rsid w:val="003C56C6"/>
    <w:rsid w:val="003C59DB"/>
    <w:rsid w:val="003C5A8B"/>
    <w:rsid w:val="003C7D0B"/>
    <w:rsid w:val="003D0450"/>
    <w:rsid w:val="003D2367"/>
    <w:rsid w:val="003D2625"/>
    <w:rsid w:val="003D50F0"/>
    <w:rsid w:val="003D5621"/>
    <w:rsid w:val="003D57AB"/>
    <w:rsid w:val="003D63B8"/>
    <w:rsid w:val="003D6CFC"/>
    <w:rsid w:val="003E0E64"/>
    <w:rsid w:val="003E24E9"/>
    <w:rsid w:val="003E3843"/>
    <w:rsid w:val="003E3F99"/>
    <w:rsid w:val="003E45C7"/>
    <w:rsid w:val="003E6657"/>
    <w:rsid w:val="003E7CAD"/>
    <w:rsid w:val="003E7FF4"/>
    <w:rsid w:val="003F0724"/>
    <w:rsid w:val="003F15E5"/>
    <w:rsid w:val="003F1DD2"/>
    <w:rsid w:val="003F3F23"/>
    <w:rsid w:val="003F4EBD"/>
    <w:rsid w:val="003F560B"/>
    <w:rsid w:val="003F60DB"/>
    <w:rsid w:val="003F7245"/>
    <w:rsid w:val="003F73F9"/>
    <w:rsid w:val="0040040B"/>
    <w:rsid w:val="00400899"/>
    <w:rsid w:val="00401061"/>
    <w:rsid w:val="004011DD"/>
    <w:rsid w:val="00402EBC"/>
    <w:rsid w:val="004032DC"/>
    <w:rsid w:val="00405964"/>
    <w:rsid w:val="00407429"/>
    <w:rsid w:val="00407E42"/>
    <w:rsid w:val="0041013D"/>
    <w:rsid w:val="00411CAE"/>
    <w:rsid w:val="00412A62"/>
    <w:rsid w:val="00412FF3"/>
    <w:rsid w:val="004130FB"/>
    <w:rsid w:val="004137C8"/>
    <w:rsid w:val="004147DF"/>
    <w:rsid w:val="004164E9"/>
    <w:rsid w:val="00416A1D"/>
    <w:rsid w:val="00416E94"/>
    <w:rsid w:val="0041723D"/>
    <w:rsid w:val="0041757B"/>
    <w:rsid w:val="00422B1C"/>
    <w:rsid w:val="00425F31"/>
    <w:rsid w:val="004277FF"/>
    <w:rsid w:val="004305CB"/>
    <w:rsid w:val="0043084B"/>
    <w:rsid w:val="00430EB3"/>
    <w:rsid w:val="0043156F"/>
    <w:rsid w:val="00432C66"/>
    <w:rsid w:val="00433EAF"/>
    <w:rsid w:val="00435B69"/>
    <w:rsid w:val="00435F5A"/>
    <w:rsid w:val="00440E2D"/>
    <w:rsid w:val="00441EBA"/>
    <w:rsid w:val="00442EC4"/>
    <w:rsid w:val="00444001"/>
    <w:rsid w:val="004444FE"/>
    <w:rsid w:val="0044549D"/>
    <w:rsid w:val="00445744"/>
    <w:rsid w:val="004461B0"/>
    <w:rsid w:val="004462FC"/>
    <w:rsid w:val="00446573"/>
    <w:rsid w:val="00446CE6"/>
    <w:rsid w:val="00447C0A"/>
    <w:rsid w:val="00447E0A"/>
    <w:rsid w:val="0045037B"/>
    <w:rsid w:val="00450737"/>
    <w:rsid w:val="00450953"/>
    <w:rsid w:val="004532A9"/>
    <w:rsid w:val="00454FE1"/>
    <w:rsid w:val="00455E4E"/>
    <w:rsid w:val="004565C0"/>
    <w:rsid w:val="004566A0"/>
    <w:rsid w:val="004566AF"/>
    <w:rsid w:val="00456A6A"/>
    <w:rsid w:val="00456BE3"/>
    <w:rsid w:val="00456E8D"/>
    <w:rsid w:val="00457F05"/>
    <w:rsid w:val="00460212"/>
    <w:rsid w:val="0046047F"/>
    <w:rsid w:val="00460C8C"/>
    <w:rsid w:val="00460D1A"/>
    <w:rsid w:val="0046129B"/>
    <w:rsid w:val="0046159C"/>
    <w:rsid w:val="00462FDC"/>
    <w:rsid w:val="00463371"/>
    <w:rsid w:val="004637D3"/>
    <w:rsid w:val="00463DA3"/>
    <w:rsid w:val="00464E97"/>
    <w:rsid w:val="00465BB4"/>
    <w:rsid w:val="00467E3D"/>
    <w:rsid w:val="00467ECA"/>
    <w:rsid w:val="00471803"/>
    <w:rsid w:val="00471986"/>
    <w:rsid w:val="00471AB5"/>
    <w:rsid w:val="004721DA"/>
    <w:rsid w:val="00473230"/>
    <w:rsid w:val="00474C02"/>
    <w:rsid w:val="00474ED1"/>
    <w:rsid w:val="00474F32"/>
    <w:rsid w:val="0047521F"/>
    <w:rsid w:val="00475224"/>
    <w:rsid w:val="004753E2"/>
    <w:rsid w:val="00475437"/>
    <w:rsid w:val="00476F04"/>
    <w:rsid w:val="004773CD"/>
    <w:rsid w:val="00481995"/>
    <w:rsid w:val="004832E4"/>
    <w:rsid w:val="004858D2"/>
    <w:rsid w:val="004861DC"/>
    <w:rsid w:val="00487467"/>
    <w:rsid w:val="0048752F"/>
    <w:rsid w:val="00487C6D"/>
    <w:rsid w:val="00487DB5"/>
    <w:rsid w:val="004938F3"/>
    <w:rsid w:val="00493C1C"/>
    <w:rsid w:val="0049407C"/>
    <w:rsid w:val="00494CBB"/>
    <w:rsid w:val="00495822"/>
    <w:rsid w:val="00495C71"/>
    <w:rsid w:val="00496630"/>
    <w:rsid w:val="00496B68"/>
    <w:rsid w:val="004972B1"/>
    <w:rsid w:val="00497BCB"/>
    <w:rsid w:val="004A12D2"/>
    <w:rsid w:val="004A1F13"/>
    <w:rsid w:val="004A2C88"/>
    <w:rsid w:val="004A5A62"/>
    <w:rsid w:val="004A5E66"/>
    <w:rsid w:val="004A75FB"/>
    <w:rsid w:val="004A7CB4"/>
    <w:rsid w:val="004B1575"/>
    <w:rsid w:val="004B3552"/>
    <w:rsid w:val="004B454A"/>
    <w:rsid w:val="004B4C80"/>
    <w:rsid w:val="004B510B"/>
    <w:rsid w:val="004B5169"/>
    <w:rsid w:val="004B5A50"/>
    <w:rsid w:val="004B611B"/>
    <w:rsid w:val="004B6791"/>
    <w:rsid w:val="004B73F1"/>
    <w:rsid w:val="004B7A3F"/>
    <w:rsid w:val="004C0551"/>
    <w:rsid w:val="004C0888"/>
    <w:rsid w:val="004C08B1"/>
    <w:rsid w:val="004C0F6E"/>
    <w:rsid w:val="004C151B"/>
    <w:rsid w:val="004C1AE6"/>
    <w:rsid w:val="004C1AF6"/>
    <w:rsid w:val="004C1F4D"/>
    <w:rsid w:val="004C2549"/>
    <w:rsid w:val="004C2AA2"/>
    <w:rsid w:val="004C2B88"/>
    <w:rsid w:val="004C2F7F"/>
    <w:rsid w:val="004C6040"/>
    <w:rsid w:val="004C6126"/>
    <w:rsid w:val="004C69C4"/>
    <w:rsid w:val="004D0EC9"/>
    <w:rsid w:val="004D1058"/>
    <w:rsid w:val="004D1549"/>
    <w:rsid w:val="004D1FC0"/>
    <w:rsid w:val="004D6301"/>
    <w:rsid w:val="004D6845"/>
    <w:rsid w:val="004D761A"/>
    <w:rsid w:val="004D7D03"/>
    <w:rsid w:val="004E219E"/>
    <w:rsid w:val="004E298A"/>
    <w:rsid w:val="004E385C"/>
    <w:rsid w:val="004E41F3"/>
    <w:rsid w:val="004E44A3"/>
    <w:rsid w:val="004E4E4E"/>
    <w:rsid w:val="004E5A7D"/>
    <w:rsid w:val="004E7CA2"/>
    <w:rsid w:val="004F1112"/>
    <w:rsid w:val="004F1466"/>
    <w:rsid w:val="004F1E29"/>
    <w:rsid w:val="004F29E1"/>
    <w:rsid w:val="004F305A"/>
    <w:rsid w:val="004F36D6"/>
    <w:rsid w:val="004F6AE9"/>
    <w:rsid w:val="004F7041"/>
    <w:rsid w:val="004F7974"/>
    <w:rsid w:val="004F7AF8"/>
    <w:rsid w:val="00500267"/>
    <w:rsid w:val="00501C55"/>
    <w:rsid w:val="00502392"/>
    <w:rsid w:val="00502884"/>
    <w:rsid w:val="00502B7E"/>
    <w:rsid w:val="0050452C"/>
    <w:rsid w:val="00504D3E"/>
    <w:rsid w:val="0050557B"/>
    <w:rsid w:val="00505A4D"/>
    <w:rsid w:val="00510349"/>
    <w:rsid w:val="00510AA4"/>
    <w:rsid w:val="00511258"/>
    <w:rsid w:val="00512482"/>
    <w:rsid w:val="00514E61"/>
    <w:rsid w:val="0051614F"/>
    <w:rsid w:val="00516C01"/>
    <w:rsid w:val="00516F5B"/>
    <w:rsid w:val="00517A4E"/>
    <w:rsid w:val="0052125D"/>
    <w:rsid w:val="00521261"/>
    <w:rsid w:val="0052225F"/>
    <w:rsid w:val="00524718"/>
    <w:rsid w:val="0052490C"/>
    <w:rsid w:val="00524B83"/>
    <w:rsid w:val="00524DEE"/>
    <w:rsid w:val="005253EF"/>
    <w:rsid w:val="005258E2"/>
    <w:rsid w:val="00526D63"/>
    <w:rsid w:val="0052719A"/>
    <w:rsid w:val="005313A0"/>
    <w:rsid w:val="00532435"/>
    <w:rsid w:val="005338B9"/>
    <w:rsid w:val="0053506C"/>
    <w:rsid w:val="0053583B"/>
    <w:rsid w:val="00535B1E"/>
    <w:rsid w:val="00537985"/>
    <w:rsid w:val="0054076F"/>
    <w:rsid w:val="00540E0E"/>
    <w:rsid w:val="00541953"/>
    <w:rsid w:val="0054241D"/>
    <w:rsid w:val="005432E9"/>
    <w:rsid w:val="005446D3"/>
    <w:rsid w:val="00544AE5"/>
    <w:rsid w:val="00545368"/>
    <w:rsid w:val="00547936"/>
    <w:rsid w:val="0055164B"/>
    <w:rsid w:val="00552D83"/>
    <w:rsid w:val="0055363E"/>
    <w:rsid w:val="00554655"/>
    <w:rsid w:val="00555921"/>
    <w:rsid w:val="00555B0D"/>
    <w:rsid w:val="00555ED1"/>
    <w:rsid w:val="00557777"/>
    <w:rsid w:val="00557869"/>
    <w:rsid w:val="00557C8E"/>
    <w:rsid w:val="005622FD"/>
    <w:rsid w:val="00562825"/>
    <w:rsid w:val="00562E8B"/>
    <w:rsid w:val="00562F4A"/>
    <w:rsid w:val="00563EF8"/>
    <w:rsid w:val="0056466A"/>
    <w:rsid w:val="00564AA7"/>
    <w:rsid w:val="00564ECB"/>
    <w:rsid w:val="00564EE8"/>
    <w:rsid w:val="00565396"/>
    <w:rsid w:val="005653DB"/>
    <w:rsid w:val="005661D1"/>
    <w:rsid w:val="005666EA"/>
    <w:rsid w:val="00566E80"/>
    <w:rsid w:val="00567868"/>
    <w:rsid w:val="0057117A"/>
    <w:rsid w:val="005711EF"/>
    <w:rsid w:val="005718D8"/>
    <w:rsid w:val="0057259A"/>
    <w:rsid w:val="00572979"/>
    <w:rsid w:val="00573785"/>
    <w:rsid w:val="005746CA"/>
    <w:rsid w:val="00574730"/>
    <w:rsid w:val="005752A3"/>
    <w:rsid w:val="005756DA"/>
    <w:rsid w:val="005759B9"/>
    <w:rsid w:val="00575C59"/>
    <w:rsid w:val="00575F33"/>
    <w:rsid w:val="00576B9C"/>
    <w:rsid w:val="005771C3"/>
    <w:rsid w:val="00580203"/>
    <w:rsid w:val="0058041F"/>
    <w:rsid w:val="00581697"/>
    <w:rsid w:val="0058267F"/>
    <w:rsid w:val="00585F15"/>
    <w:rsid w:val="0058771A"/>
    <w:rsid w:val="00590E8C"/>
    <w:rsid w:val="00591BE5"/>
    <w:rsid w:val="0059337A"/>
    <w:rsid w:val="00594DD1"/>
    <w:rsid w:val="00595C63"/>
    <w:rsid w:val="005968EA"/>
    <w:rsid w:val="00596D9D"/>
    <w:rsid w:val="005A0277"/>
    <w:rsid w:val="005A03EF"/>
    <w:rsid w:val="005A22EB"/>
    <w:rsid w:val="005A3E8F"/>
    <w:rsid w:val="005A4518"/>
    <w:rsid w:val="005A6486"/>
    <w:rsid w:val="005A677F"/>
    <w:rsid w:val="005A70BD"/>
    <w:rsid w:val="005A725D"/>
    <w:rsid w:val="005B03EB"/>
    <w:rsid w:val="005B2CAB"/>
    <w:rsid w:val="005B2ECF"/>
    <w:rsid w:val="005B317C"/>
    <w:rsid w:val="005B3860"/>
    <w:rsid w:val="005B38C8"/>
    <w:rsid w:val="005B49DB"/>
    <w:rsid w:val="005B51D5"/>
    <w:rsid w:val="005B55A0"/>
    <w:rsid w:val="005B5D2B"/>
    <w:rsid w:val="005B6ADE"/>
    <w:rsid w:val="005C041A"/>
    <w:rsid w:val="005C0F6E"/>
    <w:rsid w:val="005C13DD"/>
    <w:rsid w:val="005C14D4"/>
    <w:rsid w:val="005C1DE4"/>
    <w:rsid w:val="005C1E67"/>
    <w:rsid w:val="005C2F03"/>
    <w:rsid w:val="005C353A"/>
    <w:rsid w:val="005C53FC"/>
    <w:rsid w:val="005C6154"/>
    <w:rsid w:val="005C6208"/>
    <w:rsid w:val="005C789B"/>
    <w:rsid w:val="005D06BA"/>
    <w:rsid w:val="005D0C56"/>
    <w:rsid w:val="005D1F6F"/>
    <w:rsid w:val="005D401E"/>
    <w:rsid w:val="005D4C07"/>
    <w:rsid w:val="005D4E2E"/>
    <w:rsid w:val="005D56C0"/>
    <w:rsid w:val="005D575A"/>
    <w:rsid w:val="005D6887"/>
    <w:rsid w:val="005D68D4"/>
    <w:rsid w:val="005D7A29"/>
    <w:rsid w:val="005D7F58"/>
    <w:rsid w:val="005E0D37"/>
    <w:rsid w:val="005E30A4"/>
    <w:rsid w:val="005E4DBC"/>
    <w:rsid w:val="005E63FB"/>
    <w:rsid w:val="005E7248"/>
    <w:rsid w:val="005F0254"/>
    <w:rsid w:val="005F13A9"/>
    <w:rsid w:val="005F1633"/>
    <w:rsid w:val="005F1653"/>
    <w:rsid w:val="005F1A82"/>
    <w:rsid w:val="005F213C"/>
    <w:rsid w:val="005F25FC"/>
    <w:rsid w:val="005F2C59"/>
    <w:rsid w:val="005F619C"/>
    <w:rsid w:val="005F6716"/>
    <w:rsid w:val="005F6C49"/>
    <w:rsid w:val="006017E4"/>
    <w:rsid w:val="00603841"/>
    <w:rsid w:val="00604742"/>
    <w:rsid w:val="006049A6"/>
    <w:rsid w:val="00604C6C"/>
    <w:rsid w:val="006068F4"/>
    <w:rsid w:val="00606F9F"/>
    <w:rsid w:val="00614168"/>
    <w:rsid w:val="0061494F"/>
    <w:rsid w:val="00614B38"/>
    <w:rsid w:val="00615841"/>
    <w:rsid w:val="00617928"/>
    <w:rsid w:val="00617BED"/>
    <w:rsid w:val="00617CDC"/>
    <w:rsid w:val="00617F36"/>
    <w:rsid w:val="00620305"/>
    <w:rsid w:val="006219D0"/>
    <w:rsid w:val="00621E93"/>
    <w:rsid w:val="006242CC"/>
    <w:rsid w:val="00624379"/>
    <w:rsid w:val="006244B9"/>
    <w:rsid w:val="00624856"/>
    <w:rsid w:val="006253A5"/>
    <w:rsid w:val="006254F5"/>
    <w:rsid w:val="00630ACD"/>
    <w:rsid w:val="00631D37"/>
    <w:rsid w:val="0063253A"/>
    <w:rsid w:val="00632B5F"/>
    <w:rsid w:val="00632C39"/>
    <w:rsid w:val="00635DA5"/>
    <w:rsid w:val="00635F00"/>
    <w:rsid w:val="00636C8D"/>
    <w:rsid w:val="006374A3"/>
    <w:rsid w:val="006377ED"/>
    <w:rsid w:val="00637D83"/>
    <w:rsid w:val="0064015A"/>
    <w:rsid w:val="00640172"/>
    <w:rsid w:val="0064042B"/>
    <w:rsid w:val="00640794"/>
    <w:rsid w:val="00641580"/>
    <w:rsid w:val="00641B53"/>
    <w:rsid w:val="00641D8F"/>
    <w:rsid w:val="00641E17"/>
    <w:rsid w:val="00643374"/>
    <w:rsid w:val="00643928"/>
    <w:rsid w:val="00644312"/>
    <w:rsid w:val="00644EF4"/>
    <w:rsid w:val="006451F2"/>
    <w:rsid w:val="00645DF4"/>
    <w:rsid w:val="00651E6B"/>
    <w:rsid w:val="00652596"/>
    <w:rsid w:val="006531E0"/>
    <w:rsid w:val="006535D1"/>
    <w:rsid w:val="006536A4"/>
    <w:rsid w:val="006545A3"/>
    <w:rsid w:val="0065474F"/>
    <w:rsid w:val="00654981"/>
    <w:rsid w:val="006553E7"/>
    <w:rsid w:val="0065627B"/>
    <w:rsid w:val="00656A74"/>
    <w:rsid w:val="00656B0C"/>
    <w:rsid w:val="00660CBB"/>
    <w:rsid w:val="00662059"/>
    <w:rsid w:val="00662AA2"/>
    <w:rsid w:val="0066450E"/>
    <w:rsid w:val="006658F3"/>
    <w:rsid w:val="0066592C"/>
    <w:rsid w:val="0066700D"/>
    <w:rsid w:val="00667629"/>
    <w:rsid w:val="00667E96"/>
    <w:rsid w:val="0067368C"/>
    <w:rsid w:val="0067407D"/>
    <w:rsid w:val="006747CD"/>
    <w:rsid w:val="00675411"/>
    <w:rsid w:val="006769A8"/>
    <w:rsid w:val="0067721D"/>
    <w:rsid w:val="006779C6"/>
    <w:rsid w:val="00680302"/>
    <w:rsid w:val="006808B1"/>
    <w:rsid w:val="00684045"/>
    <w:rsid w:val="00684807"/>
    <w:rsid w:val="0068530C"/>
    <w:rsid w:val="00686E24"/>
    <w:rsid w:val="00687146"/>
    <w:rsid w:val="00687249"/>
    <w:rsid w:val="00687278"/>
    <w:rsid w:val="00687F65"/>
    <w:rsid w:val="006909DF"/>
    <w:rsid w:val="00690E7F"/>
    <w:rsid w:val="00692C04"/>
    <w:rsid w:val="006938B2"/>
    <w:rsid w:val="00694A63"/>
    <w:rsid w:val="0069577B"/>
    <w:rsid w:val="006957F2"/>
    <w:rsid w:val="006969E8"/>
    <w:rsid w:val="00696C50"/>
    <w:rsid w:val="00697734"/>
    <w:rsid w:val="006A0F35"/>
    <w:rsid w:val="006A16C6"/>
    <w:rsid w:val="006A22C6"/>
    <w:rsid w:val="006A3546"/>
    <w:rsid w:val="006A36C2"/>
    <w:rsid w:val="006A4134"/>
    <w:rsid w:val="006A62C4"/>
    <w:rsid w:val="006A78B0"/>
    <w:rsid w:val="006B048C"/>
    <w:rsid w:val="006B1595"/>
    <w:rsid w:val="006B169B"/>
    <w:rsid w:val="006B1CB8"/>
    <w:rsid w:val="006B2563"/>
    <w:rsid w:val="006B44A3"/>
    <w:rsid w:val="006B4E3E"/>
    <w:rsid w:val="006C00FC"/>
    <w:rsid w:val="006C02DB"/>
    <w:rsid w:val="006C163E"/>
    <w:rsid w:val="006C3A9F"/>
    <w:rsid w:val="006C4AF5"/>
    <w:rsid w:val="006C5014"/>
    <w:rsid w:val="006C5336"/>
    <w:rsid w:val="006C5394"/>
    <w:rsid w:val="006C62FD"/>
    <w:rsid w:val="006C7B6C"/>
    <w:rsid w:val="006D0A2F"/>
    <w:rsid w:val="006D1A82"/>
    <w:rsid w:val="006D1BCC"/>
    <w:rsid w:val="006D4814"/>
    <w:rsid w:val="006D5D4C"/>
    <w:rsid w:val="006D6BAE"/>
    <w:rsid w:val="006D6EDF"/>
    <w:rsid w:val="006D731D"/>
    <w:rsid w:val="006E03F5"/>
    <w:rsid w:val="006E176F"/>
    <w:rsid w:val="006E2768"/>
    <w:rsid w:val="006E2F91"/>
    <w:rsid w:val="006E4EA9"/>
    <w:rsid w:val="006E63BA"/>
    <w:rsid w:val="006E7190"/>
    <w:rsid w:val="006E73F0"/>
    <w:rsid w:val="006F0426"/>
    <w:rsid w:val="006F11AB"/>
    <w:rsid w:val="006F27D5"/>
    <w:rsid w:val="006F2884"/>
    <w:rsid w:val="006F28CB"/>
    <w:rsid w:val="006F400E"/>
    <w:rsid w:val="006F7377"/>
    <w:rsid w:val="006F7E24"/>
    <w:rsid w:val="00700A4F"/>
    <w:rsid w:val="00700E27"/>
    <w:rsid w:val="00700FA3"/>
    <w:rsid w:val="007031A3"/>
    <w:rsid w:val="007047F8"/>
    <w:rsid w:val="007054A3"/>
    <w:rsid w:val="007055AA"/>
    <w:rsid w:val="00706249"/>
    <w:rsid w:val="00706655"/>
    <w:rsid w:val="007070CE"/>
    <w:rsid w:val="00707DA0"/>
    <w:rsid w:val="0071021E"/>
    <w:rsid w:val="00710323"/>
    <w:rsid w:val="007116A0"/>
    <w:rsid w:val="0071451D"/>
    <w:rsid w:val="0071470C"/>
    <w:rsid w:val="00714A5F"/>
    <w:rsid w:val="00714B46"/>
    <w:rsid w:val="00721865"/>
    <w:rsid w:val="00721ECD"/>
    <w:rsid w:val="0072236B"/>
    <w:rsid w:val="007227E7"/>
    <w:rsid w:val="00722D87"/>
    <w:rsid w:val="00723CA6"/>
    <w:rsid w:val="007240CE"/>
    <w:rsid w:val="00724D10"/>
    <w:rsid w:val="00725638"/>
    <w:rsid w:val="00725A48"/>
    <w:rsid w:val="00727022"/>
    <w:rsid w:val="007277C2"/>
    <w:rsid w:val="00727B08"/>
    <w:rsid w:val="00727BEF"/>
    <w:rsid w:val="00727F84"/>
    <w:rsid w:val="007304D6"/>
    <w:rsid w:val="00730629"/>
    <w:rsid w:val="007307BE"/>
    <w:rsid w:val="0073291C"/>
    <w:rsid w:val="00732965"/>
    <w:rsid w:val="00732C86"/>
    <w:rsid w:val="007333AE"/>
    <w:rsid w:val="0073435E"/>
    <w:rsid w:val="007357EC"/>
    <w:rsid w:val="00736449"/>
    <w:rsid w:val="007364BF"/>
    <w:rsid w:val="00736632"/>
    <w:rsid w:val="0073756A"/>
    <w:rsid w:val="007375B0"/>
    <w:rsid w:val="007405B0"/>
    <w:rsid w:val="00740CE7"/>
    <w:rsid w:val="00741235"/>
    <w:rsid w:val="0074197C"/>
    <w:rsid w:val="007420C6"/>
    <w:rsid w:val="0074231C"/>
    <w:rsid w:val="0074232D"/>
    <w:rsid w:val="00742C75"/>
    <w:rsid w:val="007431B6"/>
    <w:rsid w:val="00744FB5"/>
    <w:rsid w:val="00745B01"/>
    <w:rsid w:val="00751038"/>
    <w:rsid w:val="007510EF"/>
    <w:rsid w:val="00751B54"/>
    <w:rsid w:val="007528C8"/>
    <w:rsid w:val="00753706"/>
    <w:rsid w:val="007537B0"/>
    <w:rsid w:val="007539FB"/>
    <w:rsid w:val="0075475E"/>
    <w:rsid w:val="00755A2C"/>
    <w:rsid w:val="00756318"/>
    <w:rsid w:val="007567C9"/>
    <w:rsid w:val="00756F47"/>
    <w:rsid w:val="007578F0"/>
    <w:rsid w:val="0076112A"/>
    <w:rsid w:val="00761F14"/>
    <w:rsid w:val="0076282A"/>
    <w:rsid w:val="00762E48"/>
    <w:rsid w:val="007643E4"/>
    <w:rsid w:val="007647AC"/>
    <w:rsid w:val="0076573A"/>
    <w:rsid w:val="00765FB8"/>
    <w:rsid w:val="0076612A"/>
    <w:rsid w:val="00767010"/>
    <w:rsid w:val="00767F7C"/>
    <w:rsid w:val="0077036A"/>
    <w:rsid w:val="00770947"/>
    <w:rsid w:val="007717E6"/>
    <w:rsid w:val="007719E2"/>
    <w:rsid w:val="00772576"/>
    <w:rsid w:val="007725D2"/>
    <w:rsid w:val="00773801"/>
    <w:rsid w:val="00774751"/>
    <w:rsid w:val="0077511B"/>
    <w:rsid w:val="00775944"/>
    <w:rsid w:val="007769D6"/>
    <w:rsid w:val="007806FF"/>
    <w:rsid w:val="007827DE"/>
    <w:rsid w:val="00783EBE"/>
    <w:rsid w:val="007846DA"/>
    <w:rsid w:val="00784B96"/>
    <w:rsid w:val="0078563F"/>
    <w:rsid w:val="00785656"/>
    <w:rsid w:val="007856E8"/>
    <w:rsid w:val="0078580C"/>
    <w:rsid w:val="00787022"/>
    <w:rsid w:val="00787C9C"/>
    <w:rsid w:val="0079093E"/>
    <w:rsid w:val="00792C5B"/>
    <w:rsid w:val="00794EE1"/>
    <w:rsid w:val="00795230"/>
    <w:rsid w:val="007A619A"/>
    <w:rsid w:val="007A67C2"/>
    <w:rsid w:val="007A7556"/>
    <w:rsid w:val="007A79D8"/>
    <w:rsid w:val="007B1DB1"/>
    <w:rsid w:val="007B341E"/>
    <w:rsid w:val="007B49BD"/>
    <w:rsid w:val="007B4F2D"/>
    <w:rsid w:val="007B5090"/>
    <w:rsid w:val="007B5C5B"/>
    <w:rsid w:val="007B6701"/>
    <w:rsid w:val="007C0A5F"/>
    <w:rsid w:val="007C135A"/>
    <w:rsid w:val="007C1E33"/>
    <w:rsid w:val="007C203C"/>
    <w:rsid w:val="007C22B3"/>
    <w:rsid w:val="007C24CF"/>
    <w:rsid w:val="007C255B"/>
    <w:rsid w:val="007C2DD1"/>
    <w:rsid w:val="007C4F30"/>
    <w:rsid w:val="007C4FA3"/>
    <w:rsid w:val="007C5F8E"/>
    <w:rsid w:val="007C6DAE"/>
    <w:rsid w:val="007D1C0F"/>
    <w:rsid w:val="007D3FCB"/>
    <w:rsid w:val="007D56ED"/>
    <w:rsid w:val="007D5725"/>
    <w:rsid w:val="007D5CC1"/>
    <w:rsid w:val="007D6460"/>
    <w:rsid w:val="007E143D"/>
    <w:rsid w:val="007E1931"/>
    <w:rsid w:val="007E2201"/>
    <w:rsid w:val="007E27D8"/>
    <w:rsid w:val="007E2871"/>
    <w:rsid w:val="007E57D8"/>
    <w:rsid w:val="007E69E6"/>
    <w:rsid w:val="007E6E5D"/>
    <w:rsid w:val="007F10B0"/>
    <w:rsid w:val="007F1479"/>
    <w:rsid w:val="007F182D"/>
    <w:rsid w:val="007F24AC"/>
    <w:rsid w:val="007F383D"/>
    <w:rsid w:val="007F478B"/>
    <w:rsid w:val="007F4D76"/>
    <w:rsid w:val="007F5478"/>
    <w:rsid w:val="007F6D79"/>
    <w:rsid w:val="007F7579"/>
    <w:rsid w:val="007F774B"/>
    <w:rsid w:val="007F7F73"/>
    <w:rsid w:val="0080096F"/>
    <w:rsid w:val="00800D85"/>
    <w:rsid w:val="00801550"/>
    <w:rsid w:val="0080158E"/>
    <w:rsid w:val="008024BB"/>
    <w:rsid w:val="00803255"/>
    <w:rsid w:val="00803435"/>
    <w:rsid w:val="0080350F"/>
    <w:rsid w:val="008035F0"/>
    <w:rsid w:val="0080477A"/>
    <w:rsid w:val="00804932"/>
    <w:rsid w:val="008050AF"/>
    <w:rsid w:val="008051D7"/>
    <w:rsid w:val="008057C2"/>
    <w:rsid w:val="00807D86"/>
    <w:rsid w:val="00810EDD"/>
    <w:rsid w:val="0081119A"/>
    <w:rsid w:val="0081128F"/>
    <w:rsid w:val="00811393"/>
    <w:rsid w:val="0081194E"/>
    <w:rsid w:val="00812D54"/>
    <w:rsid w:val="00812D80"/>
    <w:rsid w:val="00813AD8"/>
    <w:rsid w:val="00814EF9"/>
    <w:rsid w:val="00815816"/>
    <w:rsid w:val="00816002"/>
    <w:rsid w:val="00816672"/>
    <w:rsid w:val="00816BF8"/>
    <w:rsid w:val="0081706E"/>
    <w:rsid w:val="008171B5"/>
    <w:rsid w:val="0082091F"/>
    <w:rsid w:val="00820BD2"/>
    <w:rsid w:val="00820E3A"/>
    <w:rsid w:val="008212EF"/>
    <w:rsid w:val="008227F3"/>
    <w:rsid w:val="0082453E"/>
    <w:rsid w:val="00824745"/>
    <w:rsid w:val="00824B43"/>
    <w:rsid w:val="00824BDE"/>
    <w:rsid w:val="00825CE4"/>
    <w:rsid w:val="008265EB"/>
    <w:rsid w:val="00826EE0"/>
    <w:rsid w:val="008273B6"/>
    <w:rsid w:val="008304AA"/>
    <w:rsid w:val="0083065C"/>
    <w:rsid w:val="00830AA6"/>
    <w:rsid w:val="0083191D"/>
    <w:rsid w:val="00831B6A"/>
    <w:rsid w:val="00832A07"/>
    <w:rsid w:val="00833606"/>
    <w:rsid w:val="00834598"/>
    <w:rsid w:val="00834F92"/>
    <w:rsid w:val="00835786"/>
    <w:rsid w:val="00835C58"/>
    <w:rsid w:val="00835E1D"/>
    <w:rsid w:val="00836302"/>
    <w:rsid w:val="008370B0"/>
    <w:rsid w:val="00837E6A"/>
    <w:rsid w:val="0084049A"/>
    <w:rsid w:val="00840E5C"/>
    <w:rsid w:val="00841945"/>
    <w:rsid w:val="00843CE1"/>
    <w:rsid w:val="00844A98"/>
    <w:rsid w:val="00844ECE"/>
    <w:rsid w:val="00845CF4"/>
    <w:rsid w:val="008460F3"/>
    <w:rsid w:val="00846982"/>
    <w:rsid w:val="00851F33"/>
    <w:rsid w:val="00851F94"/>
    <w:rsid w:val="00852523"/>
    <w:rsid w:val="00852F85"/>
    <w:rsid w:val="00853AD2"/>
    <w:rsid w:val="00854A4E"/>
    <w:rsid w:val="00854A82"/>
    <w:rsid w:val="00855917"/>
    <w:rsid w:val="00856DC3"/>
    <w:rsid w:val="00857C16"/>
    <w:rsid w:val="00857D4C"/>
    <w:rsid w:val="008600CB"/>
    <w:rsid w:val="0086059A"/>
    <w:rsid w:val="008612C1"/>
    <w:rsid w:val="0086254F"/>
    <w:rsid w:val="00862DE2"/>
    <w:rsid w:val="00863354"/>
    <w:rsid w:val="008649DA"/>
    <w:rsid w:val="008652C6"/>
    <w:rsid w:val="008664EF"/>
    <w:rsid w:val="008669F0"/>
    <w:rsid w:val="008674BB"/>
    <w:rsid w:val="00871CC2"/>
    <w:rsid w:val="008726FE"/>
    <w:rsid w:val="00873AD1"/>
    <w:rsid w:val="00873EDA"/>
    <w:rsid w:val="008750E3"/>
    <w:rsid w:val="008802B7"/>
    <w:rsid w:val="008806A5"/>
    <w:rsid w:val="008806BA"/>
    <w:rsid w:val="008806D6"/>
    <w:rsid w:val="00881126"/>
    <w:rsid w:val="00883E26"/>
    <w:rsid w:val="008864EA"/>
    <w:rsid w:val="008878B7"/>
    <w:rsid w:val="00887976"/>
    <w:rsid w:val="00887C90"/>
    <w:rsid w:val="00887FE3"/>
    <w:rsid w:val="00890B62"/>
    <w:rsid w:val="00891BF2"/>
    <w:rsid w:val="00891CEE"/>
    <w:rsid w:val="00893F5F"/>
    <w:rsid w:val="00893FC8"/>
    <w:rsid w:val="00895355"/>
    <w:rsid w:val="00895415"/>
    <w:rsid w:val="00896B0D"/>
    <w:rsid w:val="00897342"/>
    <w:rsid w:val="008A01D5"/>
    <w:rsid w:val="008A1053"/>
    <w:rsid w:val="008A159E"/>
    <w:rsid w:val="008A2D32"/>
    <w:rsid w:val="008A42BB"/>
    <w:rsid w:val="008A431B"/>
    <w:rsid w:val="008A5589"/>
    <w:rsid w:val="008B1116"/>
    <w:rsid w:val="008B13BE"/>
    <w:rsid w:val="008B3DD2"/>
    <w:rsid w:val="008B4174"/>
    <w:rsid w:val="008B4AF7"/>
    <w:rsid w:val="008B54E2"/>
    <w:rsid w:val="008B5E7F"/>
    <w:rsid w:val="008B6422"/>
    <w:rsid w:val="008B6ACD"/>
    <w:rsid w:val="008B77EC"/>
    <w:rsid w:val="008B7F96"/>
    <w:rsid w:val="008C2555"/>
    <w:rsid w:val="008C2B3C"/>
    <w:rsid w:val="008C616C"/>
    <w:rsid w:val="008C6D55"/>
    <w:rsid w:val="008C724C"/>
    <w:rsid w:val="008C7C90"/>
    <w:rsid w:val="008C7E75"/>
    <w:rsid w:val="008D0B0F"/>
    <w:rsid w:val="008D0D75"/>
    <w:rsid w:val="008D7496"/>
    <w:rsid w:val="008E09B8"/>
    <w:rsid w:val="008E0F93"/>
    <w:rsid w:val="008E19BB"/>
    <w:rsid w:val="008E22D7"/>
    <w:rsid w:val="008E268D"/>
    <w:rsid w:val="008E3200"/>
    <w:rsid w:val="008E4751"/>
    <w:rsid w:val="008E71F2"/>
    <w:rsid w:val="008F1298"/>
    <w:rsid w:val="008F17DB"/>
    <w:rsid w:val="008F1AF5"/>
    <w:rsid w:val="008F1C5E"/>
    <w:rsid w:val="008F27CA"/>
    <w:rsid w:val="008F3F1E"/>
    <w:rsid w:val="008F40E3"/>
    <w:rsid w:val="008F494C"/>
    <w:rsid w:val="008F6EEB"/>
    <w:rsid w:val="009001B2"/>
    <w:rsid w:val="00900ECA"/>
    <w:rsid w:val="00901664"/>
    <w:rsid w:val="00903167"/>
    <w:rsid w:val="0090357F"/>
    <w:rsid w:val="0090373F"/>
    <w:rsid w:val="00903D72"/>
    <w:rsid w:val="00903E56"/>
    <w:rsid w:val="00904045"/>
    <w:rsid w:val="0090591D"/>
    <w:rsid w:val="0090757C"/>
    <w:rsid w:val="00910E27"/>
    <w:rsid w:val="00914988"/>
    <w:rsid w:val="00914B2B"/>
    <w:rsid w:val="009166F0"/>
    <w:rsid w:val="00916956"/>
    <w:rsid w:val="0091707B"/>
    <w:rsid w:val="009172DA"/>
    <w:rsid w:val="0092071F"/>
    <w:rsid w:val="009210C9"/>
    <w:rsid w:val="009231E2"/>
    <w:rsid w:val="00923745"/>
    <w:rsid w:val="009246A2"/>
    <w:rsid w:val="00924B4D"/>
    <w:rsid w:val="00924BC7"/>
    <w:rsid w:val="0092520C"/>
    <w:rsid w:val="00925A77"/>
    <w:rsid w:val="009301A8"/>
    <w:rsid w:val="009304EC"/>
    <w:rsid w:val="00931970"/>
    <w:rsid w:val="00932697"/>
    <w:rsid w:val="00934648"/>
    <w:rsid w:val="00935908"/>
    <w:rsid w:val="00936A2D"/>
    <w:rsid w:val="00940501"/>
    <w:rsid w:val="0094056E"/>
    <w:rsid w:val="009405F4"/>
    <w:rsid w:val="0094132A"/>
    <w:rsid w:val="0094172E"/>
    <w:rsid w:val="00941778"/>
    <w:rsid w:val="009423F2"/>
    <w:rsid w:val="00942ABE"/>
    <w:rsid w:val="00943150"/>
    <w:rsid w:val="0094342D"/>
    <w:rsid w:val="009445BF"/>
    <w:rsid w:val="00946865"/>
    <w:rsid w:val="00946B28"/>
    <w:rsid w:val="009509E6"/>
    <w:rsid w:val="0095274A"/>
    <w:rsid w:val="00952B34"/>
    <w:rsid w:val="009531E2"/>
    <w:rsid w:val="009531F4"/>
    <w:rsid w:val="00954FD0"/>
    <w:rsid w:val="00955A11"/>
    <w:rsid w:val="00955B88"/>
    <w:rsid w:val="00955C50"/>
    <w:rsid w:val="00956183"/>
    <w:rsid w:val="00956307"/>
    <w:rsid w:val="00956978"/>
    <w:rsid w:val="00960A4B"/>
    <w:rsid w:val="00961828"/>
    <w:rsid w:val="0096182A"/>
    <w:rsid w:val="009623E4"/>
    <w:rsid w:val="00965403"/>
    <w:rsid w:val="009657D3"/>
    <w:rsid w:val="00965C4D"/>
    <w:rsid w:val="00966387"/>
    <w:rsid w:val="0096639B"/>
    <w:rsid w:val="00966526"/>
    <w:rsid w:val="0097059D"/>
    <w:rsid w:val="00970F29"/>
    <w:rsid w:val="00971A20"/>
    <w:rsid w:val="00972E33"/>
    <w:rsid w:val="009737D3"/>
    <w:rsid w:val="00973CA7"/>
    <w:rsid w:val="00974043"/>
    <w:rsid w:val="0097411C"/>
    <w:rsid w:val="009755F5"/>
    <w:rsid w:val="00976314"/>
    <w:rsid w:val="009764FC"/>
    <w:rsid w:val="00976AF5"/>
    <w:rsid w:val="00976D09"/>
    <w:rsid w:val="0098026C"/>
    <w:rsid w:val="009805E8"/>
    <w:rsid w:val="0098299A"/>
    <w:rsid w:val="00982B4C"/>
    <w:rsid w:val="00983A3F"/>
    <w:rsid w:val="00983E90"/>
    <w:rsid w:val="009845F1"/>
    <w:rsid w:val="00984F86"/>
    <w:rsid w:val="009857A6"/>
    <w:rsid w:val="00986313"/>
    <w:rsid w:val="00986AEA"/>
    <w:rsid w:val="00986D75"/>
    <w:rsid w:val="00987FDD"/>
    <w:rsid w:val="009904B0"/>
    <w:rsid w:val="0099055B"/>
    <w:rsid w:val="00992934"/>
    <w:rsid w:val="009958F2"/>
    <w:rsid w:val="00995A8E"/>
    <w:rsid w:val="009962DF"/>
    <w:rsid w:val="0099656B"/>
    <w:rsid w:val="009969E7"/>
    <w:rsid w:val="009977BD"/>
    <w:rsid w:val="009A030A"/>
    <w:rsid w:val="009A08E0"/>
    <w:rsid w:val="009A0DC6"/>
    <w:rsid w:val="009A1BB7"/>
    <w:rsid w:val="009A3B7E"/>
    <w:rsid w:val="009A432C"/>
    <w:rsid w:val="009A4745"/>
    <w:rsid w:val="009A4B6B"/>
    <w:rsid w:val="009A4C4C"/>
    <w:rsid w:val="009A52A5"/>
    <w:rsid w:val="009A52CD"/>
    <w:rsid w:val="009A7448"/>
    <w:rsid w:val="009A78C7"/>
    <w:rsid w:val="009A7CC1"/>
    <w:rsid w:val="009B04F4"/>
    <w:rsid w:val="009B1E90"/>
    <w:rsid w:val="009B5C7B"/>
    <w:rsid w:val="009B778D"/>
    <w:rsid w:val="009C0078"/>
    <w:rsid w:val="009C0209"/>
    <w:rsid w:val="009C04DD"/>
    <w:rsid w:val="009C2805"/>
    <w:rsid w:val="009C2AF7"/>
    <w:rsid w:val="009C2C74"/>
    <w:rsid w:val="009C4C06"/>
    <w:rsid w:val="009C5780"/>
    <w:rsid w:val="009C6222"/>
    <w:rsid w:val="009D1F51"/>
    <w:rsid w:val="009D209A"/>
    <w:rsid w:val="009D2979"/>
    <w:rsid w:val="009D2A8F"/>
    <w:rsid w:val="009D2B5D"/>
    <w:rsid w:val="009D5527"/>
    <w:rsid w:val="009D5A23"/>
    <w:rsid w:val="009D5E93"/>
    <w:rsid w:val="009D6250"/>
    <w:rsid w:val="009D69D2"/>
    <w:rsid w:val="009D6C8E"/>
    <w:rsid w:val="009D6E22"/>
    <w:rsid w:val="009E09BA"/>
    <w:rsid w:val="009E0FFC"/>
    <w:rsid w:val="009E226C"/>
    <w:rsid w:val="009E2562"/>
    <w:rsid w:val="009E396A"/>
    <w:rsid w:val="009E6207"/>
    <w:rsid w:val="009E78BB"/>
    <w:rsid w:val="009F1E6D"/>
    <w:rsid w:val="009F33BC"/>
    <w:rsid w:val="009F4CD8"/>
    <w:rsid w:val="009F597D"/>
    <w:rsid w:val="009F5F33"/>
    <w:rsid w:val="009F6435"/>
    <w:rsid w:val="009F6B7E"/>
    <w:rsid w:val="009F6CC7"/>
    <w:rsid w:val="00A000AC"/>
    <w:rsid w:val="00A00328"/>
    <w:rsid w:val="00A007B7"/>
    <w:rsid w:val="00A00C66"/>
    <w:rsid w:val="00A126AA"/>
    <w:rsid w:val="00A126F5"/>
    <w:rsid w:val="00A12AF1"/>
    <w:rsid w:val="00A1404D"/>
    <w:rsid w:val="00A15114"/>
    <w:rsid w:val="00A1529F"/>
    <w:rsid w:val="00A17670"/>
    <w:rsid w:val="00A17F8F"/>
    <w:rsid w:val="00A2006B"/>
    <w:rsid w:val="00A20121"/>
    <w:rsid w:val="00A21666"/>
    <w:rsid w:val="00A218CE"/>
    <w:rsid w:val="00A236E3"/>
    <w:rsid w:val="00A23B52"/>
    <w:rsid w:val="00A23B58"/>
    <w:rsid w:val="00A242F3"/>
    <w:rsid w:val="00A24D04"/>
    <w:rsid w:val="00A26A41"/>
    <w:rsid w:val="00A27E7E"/>
    <w:rsid w:val="00A319A7"/>
    <w:rsid w:val="00A3206C"/>
    <w:rsid w:val="00A328C5"/>
    <w:rsid w:val="00A329FE"/>
    <w:rsid w:val="00A3368A"/>
    <w:rsid w:val="00A344CD"/>
    <w:rsid w:val="00A34AD5"/>
    <w:rsid w:val="00A357A8"/>
    <w:rsid w:val="00A358C6"/>
    <w:rsid w:val="00A359D6"/>
    <w:rsid w:val="00A359E1"/>
    <w:rsid w:val="00A3623A"/>
    <w:rsid w:val="00A3684E"/>
    <w:rsid w:val="00A40E1A"/>
    <w:rsid w:val="00A427EC"/>
    <w:rsid w:val="00A43020"/>
    <w:rsid w:val="00A433A0"/>
    <w:rsid w:val="00A44030"/>
    <w:rsid w:val="00A44508"/>
    <w:rsid w:val="00A4501C"/>
    <w:rsid w:val="00A4563D"/>
    <w:rsid w:val="00A465D6"/>
    <w:rsid w:val="00A46E7F"/>
    <w:rsid w:val="00A473C9"/>
    <w:rsid w:val="00A513A7"/>
    <w:rsid w:val="00A516A8"/>
    <w:rsid w:val="00A5307D"/>
    <w:rsid w:val="00A535BA"/>
    <w:rsid w:val="00A56BC0"/>
    <w:rsid w:val="00A56C28"/>
    <w:rsid w:val="00A5714C"/>
    <w:rsid w:val="00A579E4"/>
    <w:rsid w:val="00A57D5C"/>
    <w:rsid w:val="00A60156"/>
    <w:rsid w:val="00A60BD7"/>
    <w:rsid w:val="00A60D5C"/>
    <w:rsid w:val="00A618DB"/>
    <w:rsid w:val="00A61998"/>
    <w:rsid w:val="00A6229F"/>
    <w:rsid w:val="00A62494"/>
    <w:rsid w:val="00A625EB"/>
    <w:rsid w:val="00A62A4C"/>
    <w:rsid w:val="00A64071"/>
    <w:rsid w:val="00A65080"/>
    <w:rsid w:val="00A6587B"/>
    <w:rsid w:val="00A659B0"/>
    <w:rsid w:val="00A65A3C"/>
    <w:rsid w:val="00A66EB4"/>
    <w:rsid w:val="00A70E37"/>
    <w:rsid w:val="00A70ECC"/>
    <w:rsid w:val="00A726C9"/>
    <w:rsid w:val="00A73747"/>
    <w:rsid w:val="00A746DE"/>
    <w:rsid w:val="00A75C57"/>
    <w:rsid w:val="00A77B8A"/>
    <w:rsid w:val="00A80554"/>
    <w:rsid w:val="00A80D01"/>
    <w:rsid w:val="00A823EC"/>
    <w:rsid w:val="00A82D05"/>
    <w:rsid w:val="00A82DED"/>
    <w:rsid w:val="00A832CA"/>
    <w:rsid w:val="00A8356E"/>
    <w:rsid w:val="00A842C8"/>
    <w:rsid w:val="00A8462F"/>
    <w:rsid w:val="00A84727"/>
    <w:rsid w:val="00A84B60"/>
    <w:rsid w:val="00A85001"/>
    <w:rsid w:val="00A8595A"/>
    <w:rsid w:val="00A86713"/>
    <w:rsid w:val="00A87117"/>
    <w:rsid w:val="00A90EE6"/>
    <w:rsid w:val="00A919B4"/>
    <w:rsid w:val="00A94612"/>
    <w:rsid w:val="00A954A4"/>
    <w:rsid w:val="00A95ED5"/>
    <w:rsid w:val="00A967A4"/>
    <w:rsid w:val="00A96824"/>
    <w:rsid w:val="00A96FF0"/>
    <w:rsid w:val="00A9708B"/>
    <w:rsid w:val="00A971B3"/>
    <w:rsid w:val="00AA1A4F"/>
    <w:rsid w:val="00AA4791"/>
    <w:rsid w:val="00AA4E07"/>
    <w:rsid w:val="00AA4FE1"/>
    <w:rsid w:val="00AA6CE7"/>
    <w:rsid w:val="00AA71AF"/>
    <w:rsid w:val="00AB0301"/>
    <w:rsid w:val="00AB09D4"/>
    <w:rsid w:val="00AB0AE4"/>
    <w:rsid w:val="00AB0E2C"/>
    <w:rsid w:val="00AB10F1"/>
    <w:rsid w:val="00AB11A9"/>
    <w:rsid w:val="00AB1E66"/>
    <w:rsid w:val="00AB1F3C"/>
    <w:rsid w:val="00AB20AF"/>
    <w:rsid w:val="00AB38F3"/>
    <w:rsid w:val="00AB7630"/>
    <w:rsid w:val="00AC03BA"/>
    <w:rsid w:val="00AC080D"/>
    <w:rsid w:val="00AC127C"/>
    <w:rsid w:val="00AC2944"/>
    <w:rsid w:val="00AC3065"/>
    <w:rsid w:val="00AC491A"/>
    <w:rsid w:val="00AC6748"/>
    <w:rsid w:val="00AC6767"/>
    <w:rsid w:val="00AC6E0A"/>
    <w:rsid w:val="00AC76F4"/>
    <w:rsid w:val="00AD0807"/>
    <w:rsid w:val="00AD0A2F"/>
    <w:rsid w:val="00AD100A"/>
    <w:rsid w:val="00AD1A51"/>
    <w:rsid w:val="00AD3554"/>
    <w:rsid w:val="00AD4642"/>
    <w:rsid w:val="00AD555D"/>
    <w:rsid w:val="00AD683B"/>
    <w:rsid w:val="00AD7896"/>
    <w:rsid w:val="00AE267D"/>
    <w:rsid w:val="00AE276A"/>
    <w:rsid w:val="00AE31E6"/>
    <w:rsid w:val="00AE3202"/>
    <w:rsid w:val="00AE343E"/>
    <w:rsid w:val="00AE38D6"/>
    <w:rsid w:val="00AE46A4"/>
    <w:rsid w:val="00AE6286"/>
    <w:rsid w:val="00AE6DB1"/>
    <w:rsid w:val="00AE7228"/>
    <w:rsid w:val="00AF002C"/>
    <w:rsid w:val="00AF029B"/>
    <w:rsid w:val="00AF0CDC"/>
    <w:rsid w:val="00AF2A31"/>
    <w:rsid w:val="00AF2FF8"/>
    <w:rsid w:val="00AF41CC"/>
    <w:rsid w:val="00AF44FE"/>
    <w:rsid w:val="00AF5C85"/>
    <w:rsid w:val="00AF5E55"/>
    <w:rsid w:val="00AF6B12"/>
    <w:rsid w:val="00B0005F"/>
    <w:rsid w:val="00B001C1"/>
    <w:rsid w:val="00B010D0"/>
    <w:rsid w:val="00B02301"/>
    <w:rsid w:val="00B02717"/>
    <w:rsid w:val="00B02F2D"/>
    <w:rsid w:val="00B032A6"/>
    <w:rsid w:val="00B03D1E"/>
    <w:rsid w:val="00B04145"/>
    <w:rsid w:val="00B044B1"/>
    <w:rsid w:val="00B0521D"/>
    <w:rsid w:val="00B05A25"/>
    <w:rsid w:val="00B05AC4"/>
    <w:rsid w:val="00B06C45"/>
    <w:rsid w:val="00B10F0C"/>
    <w:rsid w:val="00B114C6"/>
    <w:rsid w:val="00B12666"/>
    <w:rsid w:val="00B12784"/>
    <w:rsid w:val="00B20910"/>
    <w:rsid w:val="00B20B21"/>
    <w:rsid w:val="00B2185B"/>
    <w:rsid w:val="00B2683C"/>
    <w:rsid w:val="00B26FE8"/>
    <w:rsid w:val="00B27B0A"/>
    <w:rsid w:val="00B31EFC"/>
    <w:rsid w:val="00B32D2A"/>
    <w:rsid w:val="00B3354F"/>
    <w:rsid w:val="00B33BAE"/>
    <w:rsid w:val="00B34B7A"/>
    <w:rsid w:val="00B35340"/>
    <w:rsid w:val="00B37893"/>
    <w:rsid w:val="00B37C24"/>
    <w:rsid w:val="00B401DF"/>
    <w:rsid w:val="00B404DE"/>
    <w:rsid w:val="00B40AFA"/>
    <w:rsid w:val="00B40CF3"/>
    <w:rsid w:val="00B414AF"/>
    <w:rsid w:val="00B41767"/>
    <w:rsid w:val="00B41F38"/>
    <w:rsid w:val="00B4236F"/>
    <w:rsid w:val="00B42B91"/>
    <w:rsid w:val="00B42C31"/>
    <w:rsid w:val="00B448C7"/>
    <w:rsid w:val="00B44973"/>
    <w:rsid w:val="00B45D2B"/>
    <w:rsid w:val="00B509A0"/>
    <w:rsid w:val="00B52070"/>
    <w:rsid w:val="00B525FF"/>
    <w:rsid w:val="00B53B3D"/>
    <w:rsid w:val="00B53CDD"/>
    <w:rsid w:val="00B542CA"/>
    <w:rsid w:val="00B54427"/>
    <w:rsid w:val="00B551F6"/>
    <w:rsid w:val="00B55501"/>
    <w:rsid w:val="00B55BDF"/>
    <w:rsid w:val="00B57161"/>
    <w:rsid w:val="00B5729C"/>
    <w:rsid w:val="00B5792E"/>
    <w:rsid w:val="00B601F0"/>
    <w:rsid w:val="00B61EE5"/>
    <w:rsid w:val="00B623AC"/>
    <w:rsid w:val="00B625EC"/>
    <w:rsid w:val="00B62762"/>
    <w:rsid w:val="00B62F08"/>
    <w:rsid w:val="00B63BA0"/>
    <w:rsid w:val="00B63FEC"/>
    <w:rsid w:val="00B64A9B"/>
    <w:rsid w:val="00B6685B"/>
    <w:rsid w:val="00B6724E"/>
    <w:rsid w:val="00B7084F"/>
    <w:rsid w:val="00B7184F"/>
    <w:rsid w:val="00B735BF"/>
    <w:rsid w:val="00B73A24"/>
    <w:rsid w:val="00B7407F"/>
    <w:rsid w:val="00B75DA3"/>
    <w:rsid w:val="00B75E4B"/>
    <w:rsid w:val="00B8016B"/>
    <w:rsid w:val="00B8017D"/>
    <w:rsid w:val="00B82989"/>
    <w:rsid w:val="00B82D7F"/>
    <w:rsid w:val="00B83FAB"/>
    <w:rsid w:val="00B84B5B"/>
    <w:rsid w:val="00B84BFA"/>
    <w:rsid w:val="00B854A9"/>
    <w:rsid w:val="00B85C2A"/>
    <w:rsid w:val="00B86000"/>
    <w:rsid w:val="00B874B9"/>
    <w:rsid w:val="00B90321"/>
    <w:rsid w:val="00B91504"/>
    <w:rsid w:val="00B916CB"/>
    <w:rsid w:val="00B92934"/>
    <w:rsid w:val="00B92D20"/>
    <w:rsid w:val="00B92DEB"/>
    <w:rsid w:val="00B946C9"/>
    <w:rsid w:val="00B94849"/>
    <w:rsid w:val="00B94CB4"/>
    <w:rsid w:val="00B959BB"/>
    <w:rsid w:val="00B95AE6"/>
    <w:rsid w:val="00B96204"/>
    <w:rsid w:val="00B965D8"/>
    <w:rsid w:val="00B969D4"/>
    <w:rsid w:val="00B97C16"/>
    <w:rsid w:val="00BA109A"/>
    <w:rsid w:val="00BA1EBB"/>
    <w:rsid w:val="00BA205A"/>
    <w:rsid w:val="00BA2F59"/>
    <w:rsid w:val="00BA3FC9"/>
    <w:rsid w:val="00BA4238"/>
    <w:rsid w:val="00BA48BC"/>
    <w:rsid w:val="00BA6026"/>
    <w:rsid w:val="00BA7A7A"/>
    <w:rsid w:val="00BB1076"/>
    <w:rsid w:val="00BB232E"/>
    <w:rsid w:val="00BB359C"/>
    <w:rsid w:val="00BB6306"/>
    <w:rsid w:val="00BB6723"/>
    <w:rsid w:val="00BB7031"/>
    <w:rsid w:val="00BB727A"/>
    <w:rsid w:val="00BB7339"/>
    <w:rsid w:val="00BB7D72"/>
    <w:rsid w:val="00BC0395"/>
    <w:rsid w:val="00BC0F23"/>
    <w:rsid w:val="00BC139B"/>
    <w:rsid w:val="00BC174E"/>
    <w:rsid w:val="00BC52D1"/>
    <w:rsid w:val="00BC5310"/>
    <w:rsid w:val="00BC5313"/>
    <w:rsid w:val="00BC6754"/>
    <w:rsid w:val="00BC7539"/>
    <w:rsid w:val="00BD0012"/>
    <w:rsid w:val="00BD0195"/>
    <w:rsid w:val="00BD02DC"/>
    <w:rsid w:val="00BD0D08"/>
    <w:rsid w:val="00BD1730"/>
    <w:rsid w:val="00BD1E38"/>
    <w:rsid w:val="00BD2982"/>
    <w:rsid w:val="00BD32A7"/>
    <w:rsid w:val="00BD4390"/>
    <w:rsid w:val="00BD64F5"/>
    <w:rsid w:val="00BD65D9"/>
    <w:rsid w:val="00BD6F9D"/>
    <w:rsid w:val="00BE07E3"/>
    <w:rsid w:val="00BE0D3C"/>
    <w:rsid w:val="00BE7862"/>
    <w:rsid w:val="00BF1057"/>
    <w:rsid w:val="00BF1667"/>
    <w:rsid w:val="00BF1AD9"/>
    <w:rsid w:val="00BF27E4"/>
    <w:rsid w:val="00BF6DCA"/>
    <w:rsid w:val="00BF7849"/>
    <w:rsid w:val="00BF7D1D"/>
    <w:rsid w:val="00C01051"/>
    <w:rsid w:val="00C0131E"/>
    <w:rsid w:val="00C01F80"/>
    <w:rsid w:val="00C03267"/>
    <w:rsid w:val="00C0374F"/>
    <w:rsid w:val="00C03B45"/>
    <w:rsid w:val="00C04C79"/>
    <w:rsid w:val="00C05CEB"/>
    <w:rsid w:val="00C06964"/>
    <w:rsid w:val="00C06F30"/>
    <w:rsid w:val="00C07FC8"/>
    <w:rsid w:val="00C10109"/>
    <w:rsid w:val="00C10918"/>
    <w:rsid w:val="00C1339A"/>
    <w:rsid w:val="00C14BBF"/>
    <w:rsid w:val="00C15031"/>
    <w:rsid w:val="00C15613"/>
    <w:rsid w:val="00C15789"/>
    <w:rsid w:val="00C15E8E"/>
    <w:rsid w:val="00C175BC"/>
    <w:rsid w:val="00C175FF"/>
    <w:rsid w:val="00C20012"/>
    <w:rsid w:val="00C20056"/>
    <w:rsid w:val="00C212E6"/>
    <w:rsid w:val="00C22850"/>
    <w:rsid w:val="00C22998"/>
    <w:rsid w:val="00C23E3F"/>
    <w:rsid w:val="00C24A86"/>
    <w:rsid w:val="00C24C58"/>
    <w:rsid w:val="00C24D69"/>
    <w:rsid w:val="00C261AD"/>
    <w:rsid w:val="00C316F2"/>
    <w:rsid w:val="00C32C02"/>
    <w:rsid w:val="00C331FF"/>
    <w:rsid w:val="00C33752"/>
    <w:rsid w:val="00C3381B"/>
    <w:rsid w:val="00C33FC4"/>
    <w:rsid w:val="00C344C8"/>
    <w:rsid w:val="00C34653"/>
    <w:rsid w:val="00C34D89"/>
    <w:rsid w:val="00C35965"/>
    <w:rsid w:val="00C36AD4"/>
    <w:rsid w:val="00C3782F"/>
    <w:rsid w:val="00C37C95"/>
    <w:rsid w:val="00C37E59"/>
    <w:rsid w:val="00C40013"/>
    <w:rsid w:val="00C40737"/>
    <w:rsid w:val="00C40781"/>
    <w:rsid w:val="00C43540"/>
    <w:rsid w:val="00C44183"/>
    <w:rsid w:val="00C441B6"/>
    <w:rsid w:val="00C441DC"/>
    <w:rsid w:val="00C44E8A"/>
    <w:rsid w:val="00C45DE9"/>
    <w:rsid w:val="00C47B45"/>
    <w:rsid w:val="00C5045C"/>
    <w:rsid w:val="00C50FDD"/>
    <w:rsid w:val="00C51684"/>
    <w:rsid w:val="00C517A9"/>
    <w:rsid w:val="00C518B9"/>
    <w:rsid w:val="00C52D46"/>
    <w:rsid w:val="00C52F10"/>
    <w:rsid w:val="00C54C6F"/>
    <w:rsid w:val="00C569B8"/>
    <w:rsid w:val="00C56E07"/>
    <w:rsid w:val="00C56F09"/>
    <w:rsid w:val="00C60ABF"/>
    <w:rsid w:val="00C61340"/>
    <w:rsid w:val="00C61E16"/>
    <w:rsid w:val="00C61E75"/>
    <w:rsid w:val="00C622EF"/>
    <w:rsid w:val="00C62C38"/>
    <w:rsid w:val="00C63285"/>
    <w:rsid w:val="00C641E9"/>
    <w:rsid w:val="00C64D96"/>
    <w:rsid w:val="00C65F6A"/>
    <w:rsid w:val="00C70ACD"/>
    <w:rsid w:val="00C71038"/>
    <w:rsid w:val="00C71269"/>
    <w:rsid w:val="00C72205"/>
    <w:rsid w:val="00C72E09"/>
    <w:rsid w:val="00C73D6A"/>
    <w:rsid w:val="00C74AD9"/>
    <w:rsid w:val="00C74F4B"/>
    <w:rsid w:val="00C75E5F"/>
    <w:rsid w:val="00C77303"/>
    <w:rsid w:val="00C77493"/>
    <w:rsid w:val="00C80781"/>
    <w:rsid w:val="00C83A29"/>
    <w:rsid w:val="00C83FDD"/>
    <w:rsid w:val="00C84E2A"/>
    <w:rsid w:val="00C8546C"/>
    <w:rsid w:val="00C85E80"/>
    <w:rsid w:val="00C871FD"/>
    <w:rsid w:val="00C906BB"/>
    <w:rsid w:val="00C91EB9"/>
    <w:rsid w:val="00C9213D"/>
    <w:rsid w:val="00C96178"/>
    <w:rsid w:val="00C96D05"/>
    <w:rsid w:val="00CA27A0"/>
    <w:rsid w:val="00CA2A90"/>
    <w:rsid w:val="00CA2B2B"/>
    <w:rsid w:val="00CA333F"/>
    <w:rsid w:val="00CA342B"/>
    <w:rsid w:val="00CA3F20"/>
    <w:rsid w:val="00CA46C9"/>
    <w:rsid w:val="00CA6A30"/>
    <w:rsid w:val="00CA7FCA"/>
    <w:rsid w:val="00CB0799"/>
    <w:rsid w:val="00CB36CF"/>
    <w:rsid w:val="00CB3DC5"/>
    <w:rsid w:val="00CB4584"/>
    <w:rsid w:val="00CB4E0F"/>
    <w:rsid w:val="00CB5865"/>
    <w:rsid w:val="00CB5BCF"/>
    <w:rsid w:val="00CB6C6B"/>
    <w:rsid w:val="00CB763D"/>
    <w:rsid w:val="00CC1300"/>
    <w:rsid w:val="00CC319D"/>
    <w:rsid w:val="00CC3A6D"/>
    <w:rsid w:val="00CC6DC2"/>
    <w:rsid w:val="00CC76DD"/>
    <w:rsid w:val="00CD01D7"/>
    <w:rsid w:val="00CD0737"/>
    <w:rsid w:val="00CD09FF"/>
    <w:rsid w:val="00CD118C"/>
    <w:rsid w:val="00CD250A"/>
    <w:rsid w:val="00CD37A3"/>
    <w:rsid w:val="00CD3AB0"/>
    <w:rsid w:val="00CD3E08"/>
    <w:rsid w:val="00CD617D"/>
    <w:rsid w:val="00CD6740"/>
    <w:rsid w:val="00CD6E37"/>
    <w:rsid w:val="00CD72B9"/>
    <w:rsid w:val="00CE00EC"/>
    <w:rsid w:val="00CE157D"/>
    <w:rsid w:val="00CE1DDF"/>
    <w:rsid w:val="00CE1FE0"/>
    <w:rsid w:val="00CE25C5"/>
    <w:rsid w:val="00CE2C8C"/>
    <w:rsid w:val="00CE3643"/>
    <w:rsid w:val="00CE3CA5"/>
    <w:rsid w:val="00CE5855"/>
    <w:rsid w:val="00CE6162"/>
    <w:rsid w:val="00CE656F"/>
    <w:rsid w:val="00CE6E52"/>
    <w:rsid w:val="00CE6EB7"/>
    <w:rsid w:val="00CF076F"/>
    <w:rsid w:val="00CF1387"/>
    <w:rsid w:val="00CF259B"/>
    <w:rsid w:val="00CF28CC"/>
    <w:rsid w:val="00CF2BAE"/>
    <w:rsid w:val="00CF2C5B"/>
    <w:rsid w:val="00CF3AA4"/>
    <w:rsid w:val="00CF43D2"/>
    <w:rsid w:val="00CF4592"/>
    <w:rsid w:val="00CF5109"/>
    <w:rsid w:val="00CF51E2"/>
    <w:rsid w:val="00CF5277"/>
    <w:rsid w:val="00CF6977"/>
    <w:rsid w:val="00CF6C46"/>
    <w:rsid w:val="00CF75AB"/>
    <w:rsid w:val="00D013BE"/>
    <w:rsid w:val="00D01947"/>
    <w:rsid w:val="00D02805"/>
    <w:rsid w:val="00D03C4D"/>
    <w:rsid w:val="00D04A00"/>
    <w:rsid w:val="00D0528B"/>
    <w:rsid w:val="00D05540"/>
    <w:rsid w:val="00D05BD8"/>
    <w:rsid w:val="00D066BE"/>
    <w:rsid w:val="00D07340"/>
    <w:rsid w:val="00D07494"/>
    <w:rsid w:val="00D100B8"/>
    <w:rsid w:val="00D11DAA"/>
    <w:rsid w:val="00D124E3"/>
    <w:rsid w:val="00D127B7"/>
    <w:rsid w:val="00D1371E"/>
    <w:rsid w:val="00D13BA6"/>
    <w:rsid w:val="00D14A22"/>
    <w:rsid w:val="00D15B19"/>
    <w:rsid w:val="00D17369"/>
    <w:rsid w:val="00D1789C"/>
    <w:rsid w:val="00D205D1"/>
    <w:rsid w:val="00D20765"/>
    <w:rsid w:val="00D20CCF"/>
    <w:rsid w:val="00D2249F"/>
    <w:rsid w:val="00D22EDB"/>
    <w:rsid w:val="00D23F2B"/>
    <w:rsid w:val="00D255CB"/>
    <w:rsid w:val="00D2606F"/>
    <w:rsid w:val="00D3094E"/>
    <w:rsid w:val="00D32276"/>
    <w:rsid w:val="00D32EB6"/>
    <w:rsid w:val="00D3446C"/>
    <w:rsid w:val="00D34AA1"/>
    <w:rsid w:val="00D34C4A"/>
    <w:rsid w:val="00D35A56"/>
    <w:rsid w:val="00D360B9"/>
    <w:rsid w:val="00D364BB"/>
    <w:rsid w:val="00D37165"/>
    <w:rsid w:val="00D418EA"/>
    <w:rsid w:val="00D42996"/>
    <w:rsid w:val="00D42ECC"/>
    <w:rsid w:val="00D43D14"/>
    <w:rsid w:val="00D43D27"/>
    <w:rsid w:val="00D45940"/>
    <w:rsid w:val="00D462C9"/>
    <w:rsid w:val="00D46654"/>
    <w:rsid w:val="00D50EB2"/>
    <w:rsid w:val="00D51C6D"/>
    <w:rsid w:val="00D52BA9"/>
    <w:rsid w:val="00D5333E"/>
    <w:rsid w:val="00D541EF"/>
    <w:rsid w:val="00D5445E"/>
    <w:rsid w:val="00D559A8"/>
    <w:rsid w:val="00D564C7"/>
    <w:rsid w:val="00D57392"/>
    <w:rsid w:val="00D60408"/>
    <w:rsid w:val="00D60B20"/>
    <w:rsid w:val="00D6195D"/>
    <w:rsid w:val="00D624D2"/>
    <w:rsid w:val="00D62644"/>
    <w:rsid w:val="00D627A2"/>
    <w:rsid w:val="00D6296B"/>
    <w:rsid w:val="00D6588B"/>
    <w:rsid w:val="00D66C7E"/>
    <w:rsid w:val="00D67131"/>
    <w:rsid w:val="00D6787B"/>
    <w:rsid w:val="00D67A2F"/>
    <w:rsid w:val="00D67B85"/>
    <w:rsid w:val="00D70086"/>
    <w:rsid w:val="00D7040B"/>
    <w:rsid w:val="00D7053E"/>
    <w:rsid w:val="00D70EFA"/>
    <w:rsid w:val="00D7147E"/>
    <w:rsid w:val="00D723B1"/>
    <w:rsid w:val="00D72DB9"/>
    <w:rsid w:val="00D73AB1"/>
    <w:rsid w:val="00D73DCC"/>
    <w:rsid w:val="00D74C26"/>
    <w:rsid w:val="00D75101"/>
    <w:rsid w:val="00D75D3C"/>
    <w:rsid w:val="00D80F20"/>
    <w:rsid w:val="00D81114"/>
    <w:rsid w:val="00D8120B"/>
    <w:rsid w:val="00D819C1"/>
    <w:rsid w:val="00D85E03"/>
    <w:rsid w:val="00D85E9C"/>
    <w:rsid w:val="00D87166"/>
    <w:rsid w:val="00D87DAF"/>
    <w:rsid w:val="00D87F4D"/>
    <w:rsid w:val="00D926F6"/>
    <w:rsid w:val="00D96B63"/>
    <w:rsid w:val="00DA0663"/>
    <w:rsid w:val="00DA0B8E"/>
    <w:rsid w:val="00DA11C8"/>
    <w:rsid w:val="00DA120F"/>
    <w:rsid w:val="00DA1B7A"/>
    <w:rsid w:val="00DA25E3"/>
    <w:rsid w:val="00DA2736"/>
    <w:rsid w:val="00DA3CA6"/>
    <w:rsid w:val="00DA3E62"/>
    <w:rsid w:val="00DA4E00"/>
    <w:rsid w:val="00DA576B"/>
    <w:rsid w:val="00DA6933"/>
    <w:rsid w:val="00DB25AE"/>
    <w:rsid w:val="00DB37A6"/>
    <w:rsid w:val="00DB4208"/>
    <w:rsid w:val="00DB4B34"/>
    <w:rsid w:val="00DB73D3"/>
    <w:rsid w:val="00DB76E2"/>
    <w:rsid w:val="00DB7F39"/>
    <w:rsid w:val="00DB7FA2"/>
    <w:rsid w:val="00DC13FC"/>
    <w:rsid w:val="00DC15DB"/>
    <w:rsid w:val="00DC1C85"/>
    <w:rsid w:val="00DC2B4A"/>
    <w:rsid w:val="00DC3B53"/>
    <w:rsid w:val="00DC3DD5"/>
    <w:rsid w:val="00DC4631"/>
    <w:rsid w:val="00DC5089"/>
    <w:rsid w:val="00DC678E"/>
    <w:rsid w:val="00DC7036"/>
    <w:rsid w:val="00DD02B2"/>
    <w:rsid w:val="00DD166A"/>
    <w:rsid w:val="00DD4073"/>
    <w:rsid w:val="00DD459A"/>
    <w:rsid w:val="00DD4721"/>
    <w:rsid w:val="00DD4A1E"/>
    <w:rsid w:val="00DD4D01"/>
    <w:rsid w:val="00DD564B"/>
    <w:rsid w:val="00DD5B99"/>
    <w:rsid w:val="00DD5BE3"/>
    <w:rsid w:val="00DD71A7"/>
    <w:rsid w:val="00DD7B37"/>
    <w:rsid w:val="00DE140D"/>
    <w:rsid w:val="00DE22A6"/>
    <w:rsid w:val="00DE6152"/>
    <w:rsid w:val="00DE62E9"/>
    <w:rsid w:val="00DE6970"/>
    <w:rsid w:val="00DE6CB2"/>
    <w:rsid w:val="00DF17D4"/>
    <w:rsid w:val="00DF1881"/>
    <w:rsid w:val="00DF396E"/>
    <w:rsid w:val="00DF3E0E"/>
    <w:rsid w:val="00DF4397"/>
    <w:rsid w:val="00DF555E"/>
    <w:rsid w:val="00DF7A44"/>
    <w:rsid w:val="00E009AE"/>
    <w:rsid w:val="00E00EAF"/>
    <w:rsid w:val="00E03D35"/>
    <w:rsid w:val="00E04148"/>
    <w:rsid w:val="00E04272"/>
    <w:rsid w:val="00E048E5"/>
    <w:rsid w:val="00E0647A"/>
    <w:rsid w:val="00E103C9"/>
    <w:rsid w:val="00E1074F"/>
    <w:rsid w:val="00E108A1"/>
    <w:rsid w:val="00E11B42"/>
    <w:rsid w:val="00E12032"/>
    <w:rsid w:val="00E12302"/>
    <w:rsid w:val="00E1231F"/>
    <w:rsid w:val="00E125C0"/>
    <w:rsid w:val="00E14ABD"/>
    <w:rsid w:val="00E14AD6"/>
    <w:rsid w:val="00E1581E"/>
    <w:rsid w:val="00E15AE3"/>
    <w:rsid w:val="00E16245"/>
    <w:rsid w:val="00E1647C"/>
    <w:rsid w:val="00E20280"/>
    <w:rsid w:val="00E20DE6"/>
    <w:rsid w:val="00E226A1"/>
    <w:rsid w:val="00E228E5"/>
    <w:rsid w:val="00E22E1F"/>
    <w:rsid w:val="00E2305C"/>
    <w:rsid w:val="00E23FCC"/>
    <w:rsid w:val="00E246B9"/>
    <w:rsid w:val="00E24EC5"/>
    <w:rsid w:val="00E25C6C"/>
    <w:rsid w:val="00E262FB"/>
    <w:rsid w:val="00E27942"/>
    <w:rsid w:val="00E30B2C"/>
    <w:rsid w:val="00E3129A"/>
    <w:rsid w:val="00E3200D"/>
    <w:rsid w:val="00E32688"/>
    <w:rsid w:val="00E332F2"/>
    <w:rsid w:val="00E33CEE"/>
    <w:rsid w:val="00E3497A"/>
    <w:rsid w:val="00E353A0"/>
    <w:rsid w:val="00E403BE"/>
    <w:rsid w:val="00E40418"/>
    <w:rsid w:val="00E40C5C"/>
    <w:rsid w:val="00E420BE"/>
    <w:rsid w:val="00E42440"/>
    <w:rsid w:val="00E42600"/>
    <w:rsid w:val="00E44F12"/>
    <w:rsid w:val="00E45317"/>
    <w:rsid w:val="00E4581C"/>
    <w:rsid w:val="00E46100"/>
    <w:rsid w:val="00E47854"/>
    <w:rsid w:val="00E5044C"/>
    <w:rsid w:val="00E5050B"/>
    <w:rsid w:val="00E52060"/>
    <w:rsid w:val="00E5215B"/>
    <w:rsid w:val="00E537FB"/>
    <w:rsid w:val="00E53CDA"/>
    <w:rsid w:val="00E55A0E"/>
    <w:rsid w:val="00E55B96"/>
    <w:rsid w:val="00E56F05"/>
    <w:rsid w:val="00E56FE2"/>
    <w:rsid w:val="00E5753E"/>
    <w:rsid w:val="00E578FF"/>
    <w:rsid w:val="00E60B7E"/>
    <w:rsid w:val="00E610D3"/>
    <w:rsid w:val="00E6170C"/>
    <w:rsid w:val="00E641D6"/>
    <w:rsid w:val="00E650FB"/>
    <w:rsid w:val="00E65CF6"/>
    <w:rsid w:val="00E6753E"/>
    <w:rsid w:val="00E70F19"/>
    <w:rsid w:val="00E71DFF"/>
    <w:rsid w:val="00E72EA7"/>
    <w:rsid w:val="00E73049"/>
    <w:rsid w:val="00E7307C"/>
    <w:rsid w:val="00E73C78"/>
    <w:rsid w:val="00E75E82"/>
    <w:rsid w:val="00E77754"/>
    <w:rsid w:val="00E80A7C"/>
    <w:rsid w:val="00E8292E"/>
    <w:rsid w:val="00E82BD8"/>
    <w:rsid w:val="00E83038"/>
    <w:rsid w:val="00E8395A"/>
    <w:rsid w:val="00E8566F"/>
    <w:rsid w:val="00E877A3"/>
    <w:rsid w:val="00E917C4"/>
    <w:rsid w:val="00E92EAF"/>
    <w:rsid w:val="00E92F4F"/>
    <w:rsid w:val="00E93512"/>
    <w:rsid w:val="00E93B93"/>
    <w:rsid w:val="00E93BA4"/>
    <w:rsid w:val="00E93EA7"/>
    <w:rsid w:val="00E9626F"/>
    <w:rsid w:val="00EA0C53"/>
    <w:rsid w:val="00EA1D67"/>
    <w:rsid w:val="00EA3163"/>
    <w:rsid w:val="00EA54AC"/>
    <w:rsid w:val="00EA5828"/>
    <w:rsid w:val="00EA641D"/>
    <w:rsid w:val="00EA7BB8"/>
    <w:rsid w:val="00EB1D13"/>
    <w:rsid w:val="00EB1F2D"/>
    <w:rsid w:val="00EB3031"/>
    <w:rsid w:val="00EB30D2"/>
    <w:rsid w:val="00EB3A0E"/>
    <w:rsid w:val="00EB4513"/>
    <w:rsid w:val="00EB7163"/>
    <w:rsid w:val="00EB74BE"/>
    <w:rsid w:val="00EC010B"/>
    <w:rsid w:val="00EC030A"/>
    <w:rsid w:val="00EC07C3"/>
    <w:rsid w:val="00EC1843"/>
    <w:rsid w:val="00EC22F2"/>
    <w:rsid w:val="00EC252E"/>
    <w:rsid w:val="00EC2B77"/>
    <w:rsid w:val="00EC4B77"/>
    <w:rsid w:val="00EC6B8B"/>
    <w:rsid w:val="00EC70FD"/>
    <w:rsid w:val="00EC7DED"/>
    <w:rsid w:val="00EC7EE8"/>
    <w:rsid w:val="00ED02AD"/>
    <w:rsid w:val="00ED0778"/>
    <w:rsid w:val="00ED079C"/>
    <w:rsid w:val="00ED1F38"/>
    <w:rsid w:val="00ED27B1"/>
    <w:rsid w:val="00ED3792"/>
    <w:rsid w:val="00ED4007"/>
    <w:rsid w:val="00ED41C0"/>
    <w:rsid w:val="00ED466D"/>
    <w:rsid w:val="00ED4DD0"/>
    <w:rsid w:val="00ED564C"/>
    <w:rsid w:val="00ED565A"/>
    <w:rsid w:val="00ED6D2C"/>
    <w:rsid w:val="00ED78AE"/>
    <w:rsid w:val="00EE1222"/>
    <w:rsid w:val="00EE2866"/>
    <w:rsid w:val="00EE2B81"/>
    <w:rsid w:val="00EE3845"/>
    <w:rsid w:val="00EE3D9B"/>
    <w:rsid w:val="00EE45FE"/>
    <w:rsid w:val="00EE4FFA"/>
    <w:rsid w:val="00EE511F"/>
    <w:rsid w:val="00EE5230"/>
    <w:rsid w:val="00EE5537"/>
    <w:rsid w:val="00EE5BCF"/>
    <w:rsid w:val="00EE6102"/>
    <w:rsid w:val="00EE7B47"/>
    <w:rsid w:val="00EF03E1"/>
    <w:rsid w:val="00EF13D8"/>
    <w:rsid w:val="00EF1F8F"/>
    <w:rsid w:val="00EF2870"/>
    <w:rsid w:val="00EF490C"/>
    <w:rsid w:val="00EF4B76"/>
    <w:rsid w:val="00EF4BFB"/>
    <w:rsid w:val="00EF5591"/>
    <w:rsid w:val="00EF5698"/>
    <w:rsid w:val="00EF617F"/>
    <w:rsid w:val="00F003CF"/>
    <w:rsid w:val="00F013E9"/>
    <w:rsid w:val="00F01E4B"/>
    <w:rsid w:val="00F04B53"/>
    <w:rsid w:val="00F04BCD"/>
    <w:rsid w:val="00F06463"/>
    <w:rsid w:val="00F06C32"/>
    <w:rsid w:val="00F075F4"/>
    <w:rsid w:val="00F07904"/>
    <w:rsid w:val="00F105BE"/>
    <w:rsid w:val="00F10BCE"/>
    <w:rsid w:val="00F111B0"/>
    <w:rsid w:val="00F11CF3"/>
    <w:rsid w:val="00F11F3C"/>
    <w:rsid w:val="00F121BA"/>
    <w:rsid w:val="00F13173"/>
    <w:rsid w:val="00F14532"/>
    <w:rsid w:val="00F15929"/>
    <w:rsid w:val="00F15E10"/>
    <w:rsid w:val="00F15EE9"/>
    <w:rsid w:val="00F16007"/>
    <w:rsid w:val="00F16483"/>
    <w:rsid w:val="00F175B1"/>
    <w:rsid w:val="00F22B62"/>
    <w:rsid w:val="00F23809"/>
    <w:rsid w:val="00F24400"/>
    <w:rsid w:val="00F25695"/>
    <w:rsid w:val="00F25A69"/>
    <w:rsid w:val="00F26D7F"/>
    <w:rsid w:val="00F271F6"/>
    <w:rsid w:val="00F27A8E"/>
    <w:rsid w:val="00F32039"/>
    <w:rsid w:val="00F32182"/>
    <w:rsid w:val="00F32605"/>
    <w:rsid w:val="00F32DA1"/>
    <w:rsid w:val="00F33F34"/>
    <w:rsid w:val="00F349A7"/>
    <w:rsid w:val="00F351A6"/>
    <w:rsid w:val="00F3533F"/>
    <w:rsid w:val="00F35C9C"/>
    <w:rsid w:val="00F36AE6"/>
    <w:rsid w:val="00F37025"/>
    <w:rsid w:val="00F41B91"/>
    <w:rsid w:val="00F426F7"/>
    <w:rsid w:val="00F4327A"/>
    <w:rsid w:val="00F45CD4"/>
    <w:rsid w:val="00F4635B"/>
    <w:rsid w:val="00F463A8"/>
    <w:rsid w:val="00F471E7"/>
    <w:rsid w:val="00F47425"/>
    <w:rsid w:val="00F5096E"/>
    <w:rsid w:val="00F50B25"/>
    <w:rsid w:val="00F51F71"/>
    <w:rsid w:val="00F54885"/>
    <w:rsid w:val="00F55174"/>
    <w:rsid w:val="00F553F4"/>
    <w:rsid w:val="00F55E85"/>
    <w:rsid w:val="00F60FE6"/>
    <w:rsid w:val="00F61606"/>
    <w:rsid w:val="00F623E6"/>
    <w:rsid w:val="00F62EE6"/>
    <w:rsid w:val="00F637CB"/>
    <w:rsid w:val="00F6552B"/>
    <w:rsid w:val="00F662CD"/>
    <w:rsid w:val="00F66F24"/>
    <w:rsid w:val="00F67DC1"/>
    <w:rsid w:val="00F70D5A"/>
    <w:rsid w:val="00F70EDD"/>
    <w:rsid w:val="00F715A7"/>
    <w:rsid w:val="00F73792"/>
    <w:rsid w:val="00F751AB"/>
    <w:rsid w:val="00F7523B"/>
    <w:rsid w:val="00F75701"/>
    <w:rsid w:val="00F767E2"/>
    <w:rsid w:val="00F76A14"/>
    <w:rsid w:val="00F76FAD"/>
    <w:rsid w:val="00F772BB"/>
    <w:rsid w:val="00F77302"/>
    <w:rsid w:val="00F81458"/>
    <w:rsid w:val="00F81A86"/>
    <w:rsid w:val="00F8209F"/>
    <w:rsid w:val="00F825BF"/>
    <w:rsid w:val="00F84747"/>
    <w:rsid w:val="00F848FB"/>
    <w:rsid w:val="00F85351"/>
    <w:rsid w:val="00F857FC"/>
    <w:rsid w:val="00F86708"/>
    <w:rsid w:val="00F86A0C"/>
    <w:rsid w:val="00F8722C"/>
    <w:rsid w:val="00F87F27"/>
    <w:rsid w:val="00F91073"/>
    <w:rsid w:val="00F9194A"/>
    <w:rsid w:val="00F92140"/>
    <w:rsid w:val="00F929DF"/>
    <w:rsid w:val="00F9384E"/>
    <w:rsid w:val="00F93CE5"/>
    <w:rsid w:val="00F944F5"/>
    <w:rsid w:val="00F94AB3"/>
    <w:rsid w:val="00F95FA1"/>
    <w:rsid w:val="00FA14FA"/>
    <w:rsid w:val="00FA18B0"/>
    <w:rsid w:val="00FA3616"/>
    <w:rsid w:val="00FA4A6F"/>
    <w:rsid w:val="00FA60F5"/>
    <w:rsid w:val="00FA62CC"/>
    <w:rsid w:val="00FA635A"/>
    <w:rsid w:val="00FB0962"/>
    <w:rsid w:val="00FB0E56"/>
    <w:rsid w:val="00FB0EB3"/>
    <w:rsid w:val="00FB3021"/>
    <w:rsid w:val="00FB52CD"/>
    <w:rsid w:val="00FB68ED"/>
    <w:rsid w:val="00FB6B6B"/>
    <w:rsid w:val="00FB7800"/>
    <w:rsid w:val="00FB7C05"/>
    <w:rsid w:val="00FC21B5"/>
    <w:rsid w:val="00FC2C10"/>
    <w:rsid w:val="00FC2CDA"/>
    <w:rsid w:val="00FC2F51"/>
    <w:rsid w:val="00FC31F9"/>
    <w:rsid w:val="00FC39C1"/>
    <w:rsid w:val="00FC46FB"/>
    <w:rsid w:val="00FC49A7"/>
    <w:rsid w:val="00FC6D75"/>
    <w:rsid w:val="00FC7BBA"/>
    <w:rsid w:val="00FD0391"/>
    <w:rsid w:val="00FD03FE"/>
    <w:rsid w:val="00FD05D1"/>
    <w:rsid w:val="00FD101A"/>
    <w:rsid w:val="00FD110D"/>
    <w:rsid w:val="00FD1A3D"/>
    <w:rsid w:val="00FD1AB2"/>
    <w:rsid w:val="00FD1F4C"/>
    <w:rsid w:val="00FD33F8"/>
    <w:rsid w:val="00FD3A8C"/>
    <w:rsid w:val="00FD443C"/>
    <w:rsid w:val="00FD4D78"/>
    <w:rsid w:val="00FD4F82"/>
    <w:rsid w:val="00FD523A"/>
    <w:rsid w:val="00FD5A8F"/>
    <w:rsid w:val="00FD69CF"/>
    <w:rsid w:val="00FE0A06"/>
    <w:rsid w:val="00FE0C72"/>
    <w:rsid w:val="00FE1D7E"/>
    <w:rsid w:val="00FE244A"/>
    <w:rsid w:val="00FE2C03"/>
    <w:rsid w:val="00FE60D4"/>
    <w:rsid w:val="00FE707D"/>
    <w:rsid w:val="00FE764E"/>
    <w:rsid w:val="00FF2005"/>
    <w:rsid w:val="00FF2392"/>
    <w:rsid w:val="00FF3045"/>
    <w:rsid w:val="00FF37EA"/>
    <w:rsid w:val="0116777B"/>
    <w:rsid w:val="0147778C"/>
    <w:rsid w:val="014A562A"/>
    <w:rsid w:val="0152166C"/>
    <w:rsid w:val="01623D09"/>
    <w:rsid w:val="01D3689B"/>
    <w:rsid w:val="01E70628"/>
    <w:rsid w:val="01E96B3E"/>
    <w:rsid w:val="01FB6A73"/>
    <w:rsid w:val="020B2800"/>
    <w:rsid w:val="021011F1"/>
    <w:rsid w:val="021C6494"/>
    <w:rsid w:val="02385BC0"/>
    <w:rsid w:val="02537ED9"/>
    <w:rsid w:val="02703098"/>
    <w:rsid w:val="027443DD"/>
    <w:rsid w:val="02922A4D"/>
    <w:rsid w:val="02995184"/>
    <w:rsid w:val="02B703B8"/>
    <w:rsid w:val="02BC02C6"/>
    <w:rsid w:val="02C07C23"/>
    <w:rsid w:val="02FE40DF"/>
    <w:rsid w:val="03064AB8"/>
    <w:rsid w:val="031720BE"/>
    <w:rsid w:val="032112FF"/>
    <w:rsid w:val="032C4E72"/>
    <w:rsid w:val="034461F1"/>
    <w:rsid w:val="03587E2F"/>
    <w:rsid w:val="03600162"/>
    <w:rsid w:val="03713FE6"/>
    <w:rsid w:val="03B14F8F"/>
    <w:rsid w:val="03BB7FBE"/>
    <w:rsid w:val="03D80973"/>
    <w:rsid w:val="03F93A73"/>
    <w:rsid w:val="042046F5"/>
    <w:rsid w:val="042438DC"/>
    <w:rsid w:val="042C2237"/>
    <w:rsid w:val="04333FF8"/>
    <w:rsid w:val="04363AE8"/>
    <w:rsid w:val="043A4A52"/>
    <w:rsid w:val="04A078E9"/>
    <w:rsid w:val="04AE7B23"/>
    <w:rsid w:val="04B74C29"/>
    <w:rsid w:val="04BC0B75"/>
    <w:rsid w:val="04C3537C"/>
    <w:rsid w:val="04FD3055"/>
    <w:rsid w:val="055302A8"/>
    <w:rsid w:val="05801F36"/>
    <w:rsid w:val="05835C7C"/>
    <w:rsid w:val="05892345"/>
    <w:rsid w:val="0596396F"/>
    <w:rsid w:val="05B72A07"/>
    <w:rsid w:val="05DD1F63"/>
    <w:rsid w:val="05DF03B2"/>
    <w:rsid w:val="05DF6D79"/>
    <w:rsid w:val="0604763E"/>
    <w:rsid w:val="060774EA"/>
    <w:rsid w:val="060B71A1"/>
    <w:rsid w:val="061D3091"/>
    <w:rsid w:val="061D6940"/>
    <w:rsid w:val="062065A2"/>
    <w:rsid w:val="06445A90"/>
    <w:rsid w:val="06683940"/>
    <w:rsid w:val="0698114A"/>
    <w:rsid w:val="06A260DB"/>
    <w:rsid w:val="06A3557F"/>
    <w:rsid w:val="06C54CB0"/>
    <w:rsid w:val="06C8511E"/>
    <w:rsid w:val="06ED1DBA"/>
    <w:rsid w:val="073065CD"/>
    <w:rsid w:val="0731401A"/>
    <w:rsid w:val="07B436A2"/>
    <w:rsid w:val="07BE63FF"/>
    <w:rsid w:val="07DE5C0B"/>
    <w:rsid w:val="07E147B8"/>
    <w:rsid w:val="07E8334B"/>
    <w:rsid w:val="07F70D38"/>
    <w:rsid w:val="08066F25"/>
    <w:rsid w:val="085252F5"/>
    <w:rsid w:val="08634E11"/>
    <w:rsid w:val="086E2125"/>
    <w:rsid w:val="08712537"/>
    <w:rsid w:val="087A47B0"/>
    <w:rsid w:val="089E5A26"/>
    <w:rsid w:val="08AC1D6F"/>
    <w:rsid w:val="08AC272D"/>
    <w:rsid w:val="08CA6700"/>
    <w:rsid w:val="08E01CD2"/>
    <w:rsid w:val="090369F3"/>
    <w:rsid w:val="09071A9A"/>
    <w:rsid w:val="09446DAF"/>
    <w:rsid w:val="095A1F62"/>
    <w:rsid w:val="097A2018"/>
    <w:rsid w:val="09B3414B"/>
    <w:rsid w:val="09B41737"/>
    <w:rsid w:val="09B7394A"/>
    <w:rsid w:val="09C77F09"/>
    <w:rsid w:val="09F340E8"/>
    <w:rsid w:val="0A1E0060"/>
    <w:rsid w:val="0A64571E"/>
    <w:rsid w:val="0A663A13"/>
    <w:rsid w:val="0A6B0722"/>
    <w:rsid w:val="0A732D15"/>
    <w:rsid w:val="0A8239F7"/>
    <w:rsid w:val="0A83110A"/>
    <w:rsid w:val="0AA7367A"/>
    <w:rsid w:val="0ABA6A9F"/>
    <w:rsid w:val="0AC719E9"/>
    <w:rsid w:val="0AD70176"/>
    <w:rsid w:val="0AE12C47"/>
    <w:rsid w:val="0AEB45DF"/>
    <w:rsid w:val="0B2C1A87"/>
    <w:rsid w:val="0B2E07E8"/>
    <w:rsid w:val="0B3441CC"/>
    <w:rsid w:val="0B5C46DD"/>
    <w:rsid w:val="0B68780A"/>
    <w:rsid w:val="0B7078E0"/>
    <w:rsid w:val="0B9219F7"/>
    <w:rsid w:val="0BD8633A"/>
    <w:rsid w:val="0BDE31F1"/>
    <w:rsid w:val="0BFC28FD"/>
    <w:rsid w:val="0C153254"/>
    <w:rsid w:val="0C265EEF"/>
    <w:rsid w:val="0C3705D6"/>
    <w:rsid w:val="0C7200CD"/>
    <w:rsid w:val="0C8B0E88"/>
    <w:rsid w:val="0C905542"/>
    <w:rsid w:val="0C957729"/>
    <w:rsid w:val="0CA778FA"/>
    <w:rsid w:val="0CD71C10"/>
    <w:rsid w:val="0CD849FA"/>
    <w:rsid w:val="0CDF6425"/>
    <w:rsid w:val="0CE3387A"/>
    <w:rsid w:val="0CF34325"/>
    <w:rsid w:val="0CF62EA7"/>
    <w:rsid w:val="0CFE2CC9"/>
    <w:rsid w:val="0D0C4BF1"/>
    <w:rsid w:val="0D1C451A"/>
    <w:rsid w:val="0D584344"/>
    <w:rsid w:val="0D5E5BB6"/>
    <w:rsid w:val="0D817CDD"/>
    <w:rsid w:val="0D8C77B4"/>
    <w:rsid w:val="0D9A1BBB"/>
    <w:rsid w:val="0DAE556B"/>
    <w:rsid w:val="0DCE7600"/>
    <w:rsid w:val="0DD405FA"/>
    <w:rsid w:val="0E0A401C"/>
    <w:rsid w:val="0E12729B"/>
    <w:rsid w:val="0E3D6F8A"/>
    <w:rsid w:val="0E5F599D"/>
    <w:rsid w:val="0E605777"/>
    <w:rsid w:val="0E886806"/>
    <w:rsid w:val="0E892719"/>
    <w:rsid w:val="0EAF61B1"/>
    <w:rsid w:val="0EB321BB"/>
    <w:rsid w:val="0ED979A5"/>
    <w:rsid w:val="0EDF62A7"/>
    <w:rsid w:val="0EE30F3F"/>
    <w:rsid w:val="0EF40E0C"/>
    <w:rsid w:val="0F044EEE"/>
    <w:rsid w:val="0F097AD2"/>
    <w:rsid w:val="0F0D0EA4"/>
    <w:rsid w:val="0F173B81"/>
    <w:rsid w:val="0F5F0397"/>
    <w:rsid w:val="0F994834"/>
    <w:rsid w:val="0FC14BAE"/>
    <w:rsid w:val="0FC463B6"/>
    <w:rsid w:val="0FE15B66"/>
    <w:rsid w:val="0FF8717C"/>
    <w:rsid w:val="10345380"/>
    <w:rsid w:val="107A6B0B"/>
    <w:rsid w:val="109E028E"/>
    <w:rsid w:val="10A15589"/>
    <w:rsid w:val="10A96860"/>
    <w:rsid w:val="10C15C25"/>
    <w:rsid w:val="10CD3604"/>
    <w:rsid w:val="10DF5C9C"/>
    <w:rsid w:val="11005969"/>
    <w:rsid w:val="1102449D"/>
    <w:rsid w:val="11091AB4"/>
    <w:rsid w:val="115C1DEA"/>
    <w:rsid w:val="11643444"/>
    <w:rsid w:val="1195598F"/>
    <w:rsid w:val="11985C5E"/>
    <w:rsid w:val="11D84431"/>
    <w:rsid w:val="120565E5"/>
    <w:rsid w:val="121D6EB6"/>
    <w:rsid w:val="12222A5F"/>
    <w:rsid w:val="12242DA9"/>
    <w:rsid w:val="122B50E3"/>
    <w:rsid w:val="124741E6"/>
    <w:rsid w:val="126A6061"/>
    <w:rsid w:val="127D2F5A"/>
    <w:rsid w:val="127F3C4B"/>
    <w:rsid w:val="128027B0"/>
    <w:rsid w:val="12881DA8"/>
    <w:rsid w:val="12B72298"/>
    <w:rsid w:val="12C34AFE"/>
    <w:rsid w:val="12CB18A0"/>
    <w:rsid w:val="12DD1BBF"/>
    <w:rsid w:val="12F87449"/>
    <w:rsid w:val="130C3737"/>
    <w:rsid w:val="130F6D46"/>
    <w:rsid w:val="13133623"/>
    <w:rsid w:val="132462F6"/>
    <w:rsid w:val="13336E3E"/>
    <w:rsid w:val="134E3A4D"/>
    <w:rsid w:val="13597AE3"/>
    <w:rsid w:val="136F2725"/>
    <w:rsid w:val="137479A9"/>
    <w:rsid w:val="137A414D"/>
    <w:rsid w:val="13936861"/>
    <w:rsid w:val="13A441A3"/>
    <w:rsid w:val="13A67713"/>
    <w:rsid w:val="13BA3963"/>
    <w:rsid w:val="13FD3CDB"/>
    <w:rsid w:val="141C2D20"/>
    <w:rsid w:val="14627FE2"/>
    <w:rsid w:val="14B05B25"/>
    <w:rsid w:val="14B73E1F"/>
    <w:rsid w:val="14BF5DE0"/>
    <w:rsid w:val="14EB6229"/>
    <w:rsid w:val="15010BE0"/>
    <w:rsid w:val="150D0533"/>
    <w:rsid w:val="155041B0"/>
    <w:rsid w:val="15521BF0"/>
    <w:rsid w:val="156404B5"/>
    <w:rsid w:val="156559DE"/>
    <w:rsid w:val="159A5AE5"/>
    <w:rsid w:val="15B100BB"/>
    <w:rsid w:val="15B8435D"/>
    <w:rsid w:val="15DE4983"/>
    <w:rsid w:val="15FB0884"/>
    <w:rsid w:val="16180218"/>
    <w:rsid w:val="1631473A"/>
    <w:rsid w:val="163F3B4C"/>
    <w:rsid w:val="16551BAC"/>
    <w:rsid w:val="165C6DCA"/>
    <w:rsid w:val="16781D3E"/>
    <w:rsid w:val="167C26C4"/>
    <w:rsid w:val="16A62C90"/>
    <w:rsid w:val="16A9014A"/>
    <w:rsid w:val="16AC2437"/>
    <w:rsid w:val="16D5092B"/>
    <w:rsid w:val="17047A76"/>
    <w:rsid w:val="17343EB7"/>
    <w:rsid w:val="1747243C"/>
    <w:rsid w:val="174806A4"/>
    <w:rsid w:val="174849AE"/>
    <w:rsid w:val="175B112F"/>
    <w:rsid w:val="176534B8"/>
    <w:rsid w:val="176F4EEF"/>
    <w:rsid w:val="176F6E3D"/>
    <w:rsid w:val="177E44BC"/>
    <w:rsid w:val="178A7F7B"/>
    <w:rsid w:val="17B82E75"/>
    <w:rsid w:val="17C42352"/>
    <w:rsid w:val="17CA01A2"/>
    <w:rsid w:val="181D7F98"/>
    <w:rsid w:val="18291354"/>
    <w:rsid w:val="183803E2"/>
    <w:rsid w:val="18544AF5"/>
    <w:rsid w:val="1861483C"/>
    <w:rsid w:val="187148C3"/>
    <w:rsid w:val="189E6E71"/>
    <w:rsid w:val="18D102BE"/>
    <w:rsid w:val="18E335E4"/>
    <w:rsid w:val="18F6151F"/>
    <w:rsid w:val="191E2858"/>
    <w:rsid w:val="19341F4D"/>
    <w:rsid w:val="194B373A"/>
    <w:rsid w:val="194F4FD8"/>
    <w:rsid w:val="19AF4742"/>
    <w:rsid w:val="19CD4B54"/>
    <w:rsid w:val="19CF5E52"/>
    <w:rsid w:val="19DE6CED"/>
    <w:rsid w:val="19E25E4D"/>
    <w:rsid w:val="19EC040D"/>
    <w:rsid w:val="19F24C95"/>
    <w:rsid w:val="1A28175F"/>
    <w:rsid w:val="1A312930"/>
    <w:rsid w:val="1A46593A"/>
    <w:rsid w:val="1A472154"/>
    <w:rsid w:val="1A484C81"/>
    <w:rsid w:val="1A9B4DC1"/>
    <w:rsid w:val="1A9E5637"/>
    <w:rsid w:val="1AA11864"/>
    <w:rsid w:val="1AAA41EF"/>
    <w:rsid w:val="1AAC4325"/>
    <w:rsid w:val="1AB772B9"/>
    <w:rsid w:val="1AC5485C"/>
    <w:rsid w:val="1AD06319"/>
    <w:rsid w:val="1AD177BE"/>
    <w:rsid w:val="1AED005A"/>
    <w:rsid w:val="1B210BF7"/>
    <w:rsid w:val="1B2B711A"/>
    <w:rsid w:val="1B352404"/>
    <w:rsid w:val="1B356450"/>
    <w:rsid w:val="1B4D19EC"/>
    <w:rsid w:val="1B59213E"/>
    <w:rsid w:val="1B624CE1"/>
    <w:rsid w:val="1B83535C"/>
    <w:rsid w:val="1BAD248A"/>
    <w:rsid w:val="1BC207A0"/>
    <w:rsid w:val="1BD712B5"/>
    <w:rsid w:val="1BDB2C1D"/>
    <w:rsid w:val="1BEB0C7E"/>
    <w:rsid w:val="1C02130A"/>
    <w:rsid w:val="1C2F13E7"/>
    <w:rsid w:val="1C3F60F3"/>
    <w:rsid w:val="1C8177A0"/>
    <w:rsid w:val="1C927539"/>
    <w:rsid w:val="1CB749BF"/>
    <w:rsid w:val="1CBB2985"/>
    <w:rsid w:val="1CBF1F20"/>
    <w:rsid w:val="1CF03F76"/>
    <w:rsid w:val="1D0D3CA0"/>
    <w:rsid w:val="1D181B85"/>
    <w:rsid w:val="1D1A4201"/>
    <w:rsid w:val="1D3C38E1"/>
    <w:rsid w:val="1D3F2526"/>
    <w:rsid w:val="1D4A5240"/>
    <w:rsid w:val="1D5B2879"/>
    <w:rsid w:val="1D8521C7"/>
    <w:rsid w:val="1D884F5D"/>
    <w:rsid w:val="1D943C17"/>
    <w:rsid w:val="1DEA1FEA"/>
    <w:rsid w:val="1DF57AB8"/>
    <w:rsid w:val="1E0F2F88"/>
    <w:rsid w:val="1E17083B"/>
    <w:rsid w:val="1E1A3944"/>
    <w:rsid w:val="1E1A4F84"/>
    <w:rsid w:val="1E202699"/>
    <w:rsid w:val="1E375865"/>
    <w:rsid w:val="1E533BEB"/>
    <w:rsid w:val="1E89503E"/>
    <w:rsid w:val="1EB66D3E"/>
    <w:rsid w:val="1ECC1B10"/>
    <w:rsid w:val="1EDF0728"/>
    <w:rsid w:val="1F3A5DE3"/>
    <w:rsid w:val="1F811C64"/>
    <w:rsid w:val="1F863097"/>
    <w:rsid w:val="1F8945F2"/>
    <w:rsid w:val="1FDE1343"/>
    <w:rsid w:val="1FF926D1"/>
    <w:rsid w:val="1FFF0B3A"/>
    <w:rsid w:val="2000527E"/>
    <w:rsid w:val="20035920"/>
    <w:rsid w:val="201160CA"/>
    <w:rsid w:val="203931EC"/>
    <w:rsid w:val="20563EDC"/>
    <w:rsid w:val="20657CBF"/>
    <w:rsid w:val="206C6FD6"/>
    <w:rsid w:val="20737D39"/>
    <w:rsid w:val="209C0405"/>
    <w:rsid w:val="20FB5B12"/>
    <w:rsid w:val="2102657B"/>
    <w:rsid w:val="210748E4"/>
    <w:rsid w:val="2114493E"/>
    <w:rsid w:val="2116472F"/>
    <w:rsid w:val="211F1734"/>
    <w:rsid w:val="214E56EB"/>
    <w:rsid w:val="215336B9"/>
    <w:rsid w:val="21A05430"/>
    <w:rsid w:val="21C1142A"/>
    <w:rsid w:val="21F370EB"/>
    <w:rsid w:val="21FA7BC8"/>
    <w:rsid w:val="22066484"/>
    <w:rsid w:val="2227302F"/>
    <w:rsid w:val="22496B1D"/>
    <w:rsid w:val="224F4AB9"/>
    <w:rsid w:val="227E3941"/>
    <w:rsid w:val="22876202"/>
    <w:rsid w:val="22975E54"/>
    <w:rsid w:val="22BA61A6"/>
    <w:rsid w:val="22D363EE"/>
    <w:rsid w:val="22D832C6"/>
    <w:rsid w:val="22E12559"/>
    <w:rsid w:val="22EA5D72"/>
    <w:rsid w:val="231F1167"/>
    <w:rsid w:val="2325451D"/>
    <w:rsid w:val="23391AB0"/>
    <w:rsid w:val="235C2BD4"/>
    <w:rsid w:val="236927BF"/>
    <w:rsid w:val="239B3725"/>
    <w:rsid w:val="23AA41E4"/>
    <w:rsid w:val="23C20136"/>
    <w:rsid w:val="23CF631A"/>
    <w:rsid w:val="23E14767"/>
    <w:rsid w:val="23EE46D2"/>
    <w:rsid w:val="23EE53EE"/>
    <w:rsid w:val="23F37E91"/>
    <w:rsid w:val="23FF4341"/>
    <w:rsid w:val="24151A48"/>
    <w:rsid w:val="241F1A4B"/>
    <w:rsid w:val="242E4677"/>
    <w:rsid w:val="24414013"/>
    <w:rsid w:val="246C4345"/>
    <w:rsid w:val="24747FE9"/>
    <w:rsid w:val="248215A8"/>
    <w:rsid w:val="249E0554"/>
    <w:rsid w:val="24BD491C"/>
    <w:rsid w:val="24CD0B4F"/>
    <w:rsid w:val="24D32F62"/>
    <w:rsid w:val="24D81537"/>
    <w:rsid w:val="24E858CB"/>
    <w:rsid w:val="24EB70A7"/>
    <w:rsid w:val="24F81438"/>
    <w:rsid w:val="251D2168"/>
    <w:rsid w:val="252C7800"/>
    <w:rsid w:val="252D1F22"/>
    <w:rsid w:val="254D69EA"/>
    <w:rsid w:val="2555132B"/>
    <w:rsid w:val="256E6445"/>
    <w:rsid w:val="2581038F"/>
    <w:rsid w:val="258D6114"/>
    <w:rsid w:val="25900E53"/>
    <w:rsid w:val="25B11518"/>
    <w:rsid w:val="25B44AAA"/>
    <w:rsid w:val="25B86563"/>
    <w:rsid w:val="25C34C29"/>
    <w:rsid w:val="25D05644"/>
    <w:rsid w:val="25FE4C06"/>
    <w:rsid w:val="26265037"/>
    <w:rsid w:val="2637307C"/>
    <w:rsid w:val="26485289"/>
    <w:rsid w:val="26807ACE"/>
    <w:rsid w:val="269A36F2"/>
    <w:rsid w:val="26AF17E3"/>
    <w:rsid w:val="26BE7EBA"/>
    <w:rsid w:val="26CF7759"/>
    <w:rsid w:val="26DA1936"/>
    <w:rsid w:val="26E41878"/>
    <w:rsid w:val="270C7ECD"/>
    <w:rsid w:val="270D2FA3"/>
    <w:rsid w:val="27893DAB"/>
    <w:rsid w:val="278D4858"/>
    <w:rsid w:val="27B87074"/>
    <w:rsid w:val="27C46EE5"/>
    <w:rsid w:val="27E21CEF"/>
    <w:rsid w:val="27F57A80"/>
    <w:rsid w:val="28061557"/>
    <w:rsid w:val="28090A48"/>
    <w:rsid w:val="28464EB7"/>
    <w:rsid w:val="285122C7"/>
    <w:rsid w:val="28AF7842"/>
    <w:rsid w:val="28C77545"/>
    <w:rsid w:val="28CB6BB5"/>
    <w:rsid w:val="28D9012F"/>
    <w:rsid w:val="290F029B"/>
    <w:rsid w:val="290F4933"/>
    <w:rsid w:val="2938027B"/>
    <w:rsid w:val="29601FE4"/>
    <w:rsid w:val="29816226"/>
    <w:rsid w:val="298A6908"/>
    <w:rsid w:val="29A053DC"/>
    <w:rsid w:val="29E32B93"/>
    <w:rsid w:val="29E854A6"/>
    <w:rsid w:val="29F10FDB"/>
    <w:rsid w:val="2A077209"/>
    <w:rsid w:val="2A1A66DA"/>
    <w:rsid w:val="2A2855AB"/>
    <w:rsid w:val="2A454950"/>
    <w:rsid w:val="2A5D4D9B"/>
    <w:rsid w:val="2A676E5E"/>
    <w:rsid w:val="2AC800C8"/>
    <w:rsid w:val="2AD058AF"/>
    <w:rsid w:val="2AD96DF8"/>
    <w:rsid w:val="2AEA129A"/>
    <w:rsid w:val="2AF31683"/>
    <w:rsid w:val="2B244F52"/>
    <w:rsid w:val="2B2D49EB"/>
    <w:rsid w:val="2B302B18"/>
    <w:rsid w:val="2B340F22"/>
    <w:rsid w:val="2B3E6CA6"/>
    <w:rsid w:val="2B683676"/>
    <w:rsid w:val="2B6D0E87"/>
    <w:rsid w:val="2B71701A"/>
    <w:rsid w:val="2B747E23"/>
    <w:rsid w:val="2B890BEA"/>
    <w:rsid w:val="2BC47845"/>
    <w:rsid w:val="2BDD67B9"/>
    <w:rsid w:val="2BE041B6"/>
    <w:rsid w:val="2C22032B"/>
    <w:rsid w:val="2C3C17A7"/>
    <w:rsid w:val="2C467803"/>
    <w:rsid w:val="2C4A68FF"/>
    <w:rsid w:val="2C5426F5"/>
    <w:rsid w:val="2C8E5964"/>
    <w:rsid w:val="2CA31F00"/>
    <w:rsid w:val="2CEC6B1D"/>
    <w:rsid w:val="2CF47464"/>
    <w:rsid w:val="2CFD1174"/>
    <w:rsid w:val="2D21418D"/>
    <w:rsid w:val="2D372E6C"/>
    <w:rsid w:val="2D64627A"/>
    <w:rsid w:val="2D67415A"/>
    <w:rsid w:val="2D730A2A"/>
    <w:rsid w:val="2D816BEE"/>
    <w:rsid w:val="2D8A6590"/>
    <w:rsid w:val="2D986EC3"/>
    <w:rsid w:val="2DD030F1"/>
    <w:rsid w:val="2DDE7B9A"/>
    <w:rsid w:val="2DE46B18"/>
    <w:rsid w:val="2DE7157C"/>
    <w:rsid w:val="2DF83A39"/>
    <w:rsid w:val="2E15498A"/>
    <w:rsid w:val="2E1818FA"/>
    <w:rsid w:val="2E310CF9"/>
    <w:rsid w:val="2E34449C"/>
    <w:rsid w:val="2E43788A"/>
    <w:rsid w:val="2E6D3CF6"/>
    <w:rsid w:val="2E76495E"/>
    <w:rsid w:val="2E8C6CBE"/>
    <w:rsid w:val="2ECF0E5B"/>
    <w:rsid w:val="2ED0787C"/>
    <w:rsid w:val="2ED346EB"/>
    <w:rsid w:val="2F254CD4"/>
    <w:rsid w:val="2F4405B0"/>
    <w:rsid w:val="2F550B41"/>
    <w:rsid w:val="2F685A3D"/>
    <w:rsid w:val="2F794765"/>
    <w:rsid w:val="2FB00DCA"/>
    <w:rsid w:val="2FDB37C9"/>
    <w:rsid w:val="2FDE4FD2"/>
    <w:rsid w:val="30010C4A"/>
    <w:rsid w:val="3004472A"/>
    <w:rsid w:val="300B2A73"/>
    <w:rsid w:val="300D1C5A"/>
    <w:rsid w:val="30342EF2"/>
    <w:rsid w:val="3050190A"/>
    <w:rsid w:val="305247F6"/>
    <w:rsid w:val="307C218D"/>
    <w:rsid w:val="30C44045"/>
    <w:rsid w:val="30D36097"/>
    <w:rsid w:val="30E21CAB"/>
    <w:rsid w:val="31070477"/>
    <w:rsid w:val="310D4072"/>
    <w:rsid w:val="312132A7"/>
    <w:rsid w:val="31452D34"/>
    <w:rsid w:val="31822DF7"/>
    <w:rsid w:val="31863A5B"/>
    <w:rsid w:val="319B675C"/>
    <w:rsid w:val="31C615EA"/>
    <w:rsid w:val="31CB29E3"/>
    <w:rsid w:val="31D67BED"/>
    <w:rsid w:val="32005BDF"/>
    <w:rsid w:val="32385805"/>
    <w:rsid w:val="3261739C"/>
    <w:rsid w:val="32833713"/>
    <w:rsid w:val="3284187F"/>
    <w:rsid w:val="3289186C"/>
    <w:rsid w:val="32A01FA9"/>
    <w:rsid w:val="32B47464"/>
    <w:rsid w:val="32C71E59"/>
    <w:rsid w:val="32CA4F81"/>
    <w:rsid w:val="32CA69E2"/>
    <w:rsid w:val="32D51FFE"/>
    <w:rsid w:val="32F35191"/>
    <w:rsid w:val="32FB322A"/>
    <w:rsid w:val="331208C1"/>
    <w:rsid w:val="332C55B2"/>
    <w:rsid w:val="335D5EB0"/>
    <w:rsid w:val="339548A2"/>
    <w:rsid w:val="33A51F6D"/>
    <w:rsid w:val="33A84FFE"/>
    <w:rsid w:val="33AF5B34"/>
    <w:rsid w:val="33AF647E"/>
    <w:rsid w:val="33C30645"/>
    <w:rsid w:val="33C34CDB"/>
    <w:rsid w:val="33D6173F"/>
    <w:rsid w:val="33F702EF"/>
    <w:rsid w:val="341102E5"/>
    <w:rsid w:val="341C4AEB"/>
    <w:rsid w:val="343F6112"/>
    <w:rsid w:val="344019D6"/>
    <w:rsid w:val="344A5131"/>
    <w:rsid w:val="34553690"/>
    <w:rsid w:val="345E211C"/>
    <w:rsid w:val="3461211F"/>
    <w:rsid w:val="346E6967"/>
    <w:rsid w:val="34814D76"/>
    <w:rsid w:val="34832964"/>
    <w:rsid w:val="34870AD4"/>
    <w:rsid w:val="34B0269C"/>
    <w:rsid w:val="34D003D8"/>
    <w:rsid w:val="34E41B48"/>
    <w:rsid w:val="34ED24BA"/>
    <w:rsid w:val="34F90408"/>
    <w:rsid w:val="34FB6670"/>
    <w:rsid w:val="350D526F"/>
    <w:rsid w:val="35237865"/>
    <w:rsid w:val="35315E89"/>
    <w:rsid w:val="3540076A"/>
    <w:rsid w:val="355326C8"/>
    <w:rsid w:val="35997A13"/>
    <w:rsid w:val="359C6310"/>
    <w:rsid w:val="35A3072E"/>
    <w:rsid w:val="35AD0569"/>
    <w:rsid w:val="35B45487"/>
    <w:rsid w:val="35BC2E47"/>
    <w:rsid w:val="35EC649F"/>
    <w:rsid w:val="35F2556C"/>
    <w:rsid w:val="35F745D6"/>
    <w:rsid w:val="36096D50"/>
    <w:rsid w:val="360F5582"/>
    <w:rsid w:val="36345EE6"/>
    <w:rsid w:val="3638300C"/>
    <w:rsid w:val="3645721A"/>
    <w:rsid w:val="366468EE"/>
    <w:rsid w:val="36822C0E"/>
    <w:rsid w:val="36985DB9"/>
    <w:rsid w:val="369C3ADB"/>
    <w:rsid w:val="369D1D95"/>
    <w:rsid w:val="36B3674F"/>
    <w:rsid w:val="36C4699B"/>
    <w:rsid w:val="36C46BAE"/>
    <w:rsid w:val="36C6075F"/>
    <w:rsid w:val="36D2467D"/>
    <w:rsid w:val="37074CED"/>
    <w:rsid w:val="370F3CC8"/>
    <w:rsid w:val="37111108"/>
    <w:rsid w:val="372134B9"/>
    <w:rsid w:val="3740235C"/>
    <w:rsid w:val="374874A7"/>
    <w:rsid w:val="374D7DDC"/>
    <w:rsid w:val="376A2689"/>
    <w:rsid w:val="376E66F5"/>
    <w:rsid w:val="377759CE"/>
    <w:rsid w:val="37784268"/>
    <w:rsid w:val="3790083E"/>
    <w:rsid w:val="37B85359"/>
    <w:rsid w:val="37CF3154"/>
    <w:rsid w:val="37E868CC"/>
    <w:rsid w:val="3806533B"/>
    <w:rsid w:val="38411EC3"/>
    <w:rsid w:val="38436108"/>
    <w:rsid w:val="385D2040"/>
    <w:rsid w:val="386C58FB"/>
    <w:rsid w:val="386D15ED"/>
    <w:rsid w:val="386F5D34"/>
    <w:rsid w:val="388E7B3B"/>
    <w:rsid w:val="389F7463"/>
    <w:rsid w:val="38BC43FE"/>
    <w:rsid w:val="38E7229C"/>
    <w:rsid w:val="38F77A7C"/>
    <w:rsid w:val="39007C46"/>
    <w:rsid w:val="390E5FBA"/>
    <w:rsid w:val="39233DD7"/>
    <w:rsid w:val="39312102"/>
    <w:rsid w:val="394A181A"/>
    <w:rsid w:val="394F164B"/>
    <w:rsid w:val="39641BFD"/>
    <w:rsid w:val="397365EB"/>
    <w:rsid w:val="397866BF"/>
    <w:rsid w:val="397D07CE"/>
    <w:rsid w:val="399368AE"/>
    <w:rsid w:val="39A3465F"/>
    <w:rsid w:val="39CC4FC8"/>
    <w:rsid w:val="39F039A5"/>
    <w:rsid w:val="39F27746"/>
    <w:rsid w:val="3A2636DC"/>
    <w:rsid w:val="3A2E433E"/>
    <w:rsid w:val="3A3D6FB9"/>
    <w:rsid w:val="3A4F0AA8"/>
    <w:rsid w:val="3A540249"/>
    <w:rsid w:val="3A577D39"/>
    <w:rsid w:val="3A6A7A6C"/>
    <w:rsid w:val="3A774B99"/>
    <w:rsid w:val="3AB54628"/>
    <w:rsid w:val="3AD106A0"/>
    <w:rsid w:val="3AD5012E"/>
    <w:rsid w:val="3ADC3D9A"/>
    <w:rsid w:val="3ADD0D4C"/>
    <w:rsid w:val="3AE45C9E"/>
    <w:rsid w:val="3B0752BB"/>
    <w:rsid w:val="3B164288"/>
    <w:rsid w:val="3B1B050E"/>
    <w:rsid w:val="3B3E7727"/>
    <w:rsid w:val="3B540A84"/>
    <w:rsid w:val="3B5E1568"/>
    <w:rsid w:val="3B6650C4"/>
    <w:rsid w:val="3B744366"/>
    <w:rsid w:val="3B89436A"/>
    <w:rsid w:val="3B947431"/>
    <w:rsid w:val="3B98620E"/>
    <w:rsid w:val="3BA70CAA"/>
    <w:rsid w:val="3BC81113"/>
    <w:rsid w:val="3BE22E3E"/>
    <w:rsid w:val="3C0F11E1"/>
    <w:rsid w:val="3C1C08F5"/>
    <w:rsid w:val="3C270904"/>
    <w:rsid w:val="3C3555CB"/>
    <w:rsid w:val="3C4F6CF4"/>
    <w:rsid w:val="3C552056"/>
    <w:rsid w:val="3C555C6E"/>
    <w:rsid w:val="3C5E44F1"/>
    <w:rsid w:val="3C6873ED"/>
    <w:rsid w:val="3C78486F"/>
    <w:rsid w:val="3CC0209C"/>
    <w:rsid w:val="3CC13E09"/>
    <w:rsid w:val="3CFA39F6"/>
    <w:rsid w:val="3D075E8B"/>
    <w:rsid w:val="3D190EB8"/>
    <w:rsid w:val="3D290E6A"/>
    <w:rsid w:val="3D412F9C"/>
    <w:rsid w:val="3D416E0F"/>
    <w:rsid w:val="3D885C52"/>
    <w:rsid w:val="3D90702A"/>
    <w:rsid w:val="3DB31829"/>
    <w:rsid w:val="3DC814FA"/>
    <w:rsid w:val="3DD337BF"/>
    <w:rsid w:val="3DDC47DD"/>
    <w:rsid w:val="3DE232DC"/>
    <w:rsid w:val="3DE90459"/>
    <w:rsid w:val="3DF07D2A"/>
    <w:rsid w:val="3E183DA2"/>
    <w:rsid w:val="3E1A39C9"/>
    <w:rsid w:val="3E3C3A83"/>
    <w:rsid w:val="3E467691"/>
    <w:rsid w:val="3E4D66BD"/>
    <w:rsid w:val="3E573E64"/>
    <w:rsid w:val="3E6E176D"/>
    <w:rsid w:val="3E8101E0"/>
    <w:rsid w:val="3ED93D06"/>
    <w:rsid w:val="3EDE6349"/>
    <w:rsid w:val="3EFC708B"/>
    <w:rsid w:val="3EFF2568"/>
    <w:rsid w:val="3F0703D7"/>
    <w:rsid w:val="3F2747C1"/>
    <w:rsid w:val="3F751C3F"/>
    <w:rsid w:val="3F80388E"/>
    <w:rsid w:val="3F804BFC"/>
    <w:rsid w:val="3F871EEC"/>
    <w:rsid w:val="3F8A6C56"/>
    <w:rsid w:val="3F9335C1"/>
    <w:rsid w:val="3FA56E51"/>
    <w:rsid w:val="3FAA090B"/>
    <w:rsid w:val="3FAC7296"/>
    <w:rsid w:val="3FB965CD"/>
    <w:rsid w:val="3FD37E62"/>
    <w:rsid w:val="3FD74657"/>
    <w:rsid w:val="3FE36681"/>
    <w:rsid w:val="3FF51136"/>
    <w:rsid w:val="3FFD6C8D"/>
    <w:rsid w:val="40012419"/>
    <w:rsid w:val="40161AFD"/>
    <w:rsid w:val="40197CC6"/>
    <w:rsid w:val="40273D0A"/>
    <w:rsid w:val="40346BF3"/>
    <w:rsid w:val="403B7109"/>
    <w:rsid w:val="404623E2"/>
    <w:rsid w:val="405B446E"/>
    <w:rsid w:val="407E1612"/>
    <w:rsid w:val="40AE327E"/>
    <w:rsid w:val="40C304AF"/>
    <w:rsid w:val="40C652D1"/>
    <w:rsid w:val="410A78B3"/>
    <w:rsid w:val="413122BF"/>
    <w:rsid w:val="41456B3D"/>
    <w:rsid w:val="41472D43"/>
    <w:rsid w:val="415B1FFA"/>
    <w:rsid w:val="41717932"/>
    <w:rsid w:val="41951664"/>
    <w:rsid w:val="41A27AEC"/>
    <w:rsid w:val="41A46588"/>
    <w:rsid w:val="41BC5B38"/>
    <w:rsid w:val="41C1797D"/>
    <w:rsid w:val="41C53403"/>
    <w:rsid w:val="41E063B2"/>
    <w:rsid w:val="42291FBB"/>
    <w:rsid w:val="422D7467"/>
    <w:rsid w:val="4230334A"/>
    <w:rsid w:val="424711C0"/>
    <w:rsid w:val="424B6E23"/>
    <w:rsid w:val="42544394"/>
    <w:rsid w:val="42962F7E"/>
    <w:rsid w:val="42967AE7"/>
    <w:rsid w:val="42B71C32"/>
    <w:rsid w:val="42BF2417"/>
    <w:rsid w:val="42DA1CE1"/>
    <w:rsid w:val="42F41A74"/>
    <w:rsid w:val="42F4437C"/>
    <w:rsid w:val="432140C5"/>
    <w:rsid w:val="434F29C3"/>
    <w:rsid w:val="43666688"/>
    <w:rsid w:val="4371282F"/>
    <w:rsid w:val="439B0914"/>
    <w:rsid w:val="43A72708"/>
    <w:rsid w:val="43BA05BB"/>
    <w:rsid w:val="43C90ACF"/>
    <w:rsid w:val="43CA24AF"/>
    <w:rsid w:val="43D06C56"/>
    <w:rsid w:val="43D8596A"/>
    <w:rsid w:val="43EF0FE2"/>
    <w:rsid w:val="43F13908"/>
    <w:rsid w:val="440F088D"/>
    <w:rsid w:val="44410158"/>
    <w:rsid w:val="445B3F43"/>
    <w:rsid w:val="44636210"/>
    <w:rsid w:val="44780FD8"/>
    <w:rsid w:val="44BF4563"/>
    <w:rsid w:val="44D973DE"/>
    <w:rsid w:val="44E20BBB"/>
    <w:rsid w:val="44E36BB1"/>
    <w:rsid w:val="44EB5B15"/>
    <w:rsid w:val="44F80C11"/>
    <w:rsid w:val="453E2BF0"/>
    <w:rsid w:val="453F4FA5"/>
    <w:rsid w:val="455A506F"/>
    <w:rsid w:val="45A33909"/>
    <w:rsid w:val="45BB1A5C"/>
    <w:rsid w:val="45BE5249"/>
    <w:rsid w:val="45C41F63"/>
    <w:rsid w:val="45D430C6"/>
    <w:rsid w:val="45E85CE9"/>
    <w:rsid w:val="460D5750"/>
    <w:rsid w:val="46156FBC"/>
    <w:rsid w:val="462206E9"/>
    <w:rsid w:val="463319CB"/>
    <w:rsid w:val="46345B87"/>
    <w:rsid w:val="463C56F5"/>
    <w:rsid w:val="465B295F"/>
    <w:rsid w:val="467702DD"/>
    <w:rsid w:val="467F70E2"/>
    <w:rsid w:val="468D2996"/>
    <w:rsid w:val="468E79C8"/>
    <w:rsid w:val="46BB74DD"/>
    <w:rsid w:val="47023704"/>
    <w:rsid w:val="471D19C3"/>
    <w:rsid w:val="471F6F04"/>
    <w:rsid w:val="472105C7"/>
    <w:rsid w:val="47270052"/>
    <w:rsid w:val="472E0153"/>
    <w:rsid w:val="47911949"/>
    <w:rsid w:val="4798508E"/>
    <w:rsid w:val="479E6FA7"/>
    <w:rsid w:val="47A8105C"/>
    <w:rsid w:val="47B045A5"/>
    <w:rsid w:val="47C768E9"/>
    <w:rsid w:val="47E7599A"/>
    <w:rsid w:val="47F15442"/>
    <w:rsid w:val="47F41A4D"/>
    <w:rsid w:val="47FC6262"/>
    <w:rsid w:val="480E66C8"/>
    <w:rsid w:val="48142DC6"/>
    <w:rsid w:val="48304E3E"/>
    <w:rsid w:val="483418F2"/>
    <w:rsid w:val="484D62D8"/>
    <w:rsid w:val="485F237C"/>
    <w:rsid w:val="48611982"/>
    <w:rsid w:val="488D7223"/>
    <w:rsid w:val="48BF5433"/>
    <w:rsid w:val="48CE7418"/>
    <w:rsid w:val="48E90410"/>
    <w:rsid w:val="48FA5541"/>
    <w:rsid w:val="490E1422"/>
    <w:rsid w:val="4954753E"/>
    <w:rsid w:val="495523F7"/>
    <w:rsid w:val="495F4514"/>
    <w:rsid w:val="496F5FB7"/>
    <w:rsid w:val="49706721"/>
    <w:rsid w:val="4972249A"/>
    <w:rsid w:val="49844CAB"/>
    <w:rsid w:val="499B0E67"/>
    <w:rsid w:val="49AC4633"/>
    <w:rsid w:val="49AF43A5"/>
    <w:rsid w:val="49B20049"/>
    <w:rsid w:val="49CC7214"/>
    <w:rsid w:val="4A012E2B"/>
    <w:rsid w:val="4A240CC9"/>
    <w:rsid w:val="4A7D0DB9"/>
    <w:rsid w:val="4A915202"/>
    <w:rsid w:val="4AAF6DD6"/>
    <w:rsid w:val="4ABC1B7E"/>
    <w:rsid w:val="4ABE695E"/>
    <w:rsid w:val="4ABF1B34"/>
    <w:rsid w:val="4AD71745"/>
    <w:rsid w:val="4AED3C84"/>
    <w:rsid w:val="4B261479"/>
    <w:rsid w:val="4B487BD8"/>
    <w:rsid w:val="4B54263B"/>
    <w:rsid w:val="4B8403A9"/>
    <w:rsid w:val="4BB3139E"/>
    <w:rsid w:val="4BBC4C93"/>
    <w:rsid w:val="4BC364BA"/>
    <w:rsid w:val="4BEC5B42"/>
    <w:rsid w:val="4C16091A"/>
    <w:rsid w:val="4C4908C3"/>
    <w:rsid w:val="4C630603"/>
    <w:rsid w:val="4C8A1C32"/>
    <w:rsid w:val="4CA07609"/>
    <w:rsid w:val="4CAE4474"/>
    <w:rsid w:val="4CD95F2E"/>
    <w:rsid w:val="4CDD7C2A"/>
    <w:rsid w:val="4CEA67EB"/>
    <w:rsid w:val="4CEB3486"/>
    <w:rsid w:val="4CEC4311"/>
    <w:rsid w:val="4D5B310E"/>
    <w:rsid w:val="4D6472C5"/>
    <w:rsid w:val="4D6611D1"/>
    <w:rsid w:val="4D7C5695"/>
    <w:rsid w:val="4D8F6BFD"/>
    <w:rsid w:val="4DAD6AA5"/>
    <w:rsid w:val="4DB20D79"/>
    <w:rsid w:val="4DDC6397"/>
    <w:rsid w:val="4DEC6CD7"/>
    <w:rsid w:val="4DF91468"/>
    <w:rsid w:val="4E1472CC"/>
    <w:rsid w:val="4E327DB5"/>
    <w:rsid w:val="4E4071AD"/>
    <w:rsid w:val="4E453121"/>
    <w:rsid w:val="4E605A47"/>
    <w:rsid w:val="4E6508E9"/>
    <w:rsid w:val="4E6B689F"/>
    <w:rsid w:val="4E7836A3"/>
    <w:rsid w:val="4E7E3D18"/>
    <w:rsid w:val="4E8A2033"/>
    <w:rsid w:val="4E8E5131"/>
    <w:rsid w:val="4EA52348"/>
    <w:rsid w:val="4EAB10C6"/>
    <w:rsid w:val="4EAD62CE"/>
    <w:rsid w:val="4EBC4CF2"/>
    <w:rsid w:val="4ED053BA"/>
    <w:rsid w:val="4ED3034E"/>
    <w:rsid w:val="4EE4321B"/>
    <w:rsid w:val="4EFA29B0"/>
    <w:rsid w:val="4F04441F"/>
    <w:rsid w:val="4F095D2D"/>
    <w:rsid w:val="4F113C33"/>
    <w:rsid w:val="4F16058D"/>
    <w:rsid w:val="4F1C76BB"/>
    <w:rsid w:val="4F37063D"/>
    <w:rsid w:val="4F3A0F47"/>
    <w:rsid w:val="4F624B23"/>
    <w:rsid w:val="4F73064E"/>
    <w:rsid w:val="4F8F7860"/>
    <w:rsid w:val="4F90367A"/>
    <w:rsid w:val="4FC918B1"/>
    <w:rsid w:val="4FD20061"/>
    <w:rsid w:val="4FDD44A2"/>
    <w:rsid w:val="50096F88"/>
    <w:rsid w:val="501462CD"/>
    <w:rsid w:val="50154AD1"/>
    <w:rsid w:val="501A1195"/>
    <w:rsid w:val="5020676C"/>
    <w:rsid w:val="502760C7"/>
    <w:rsid w:val="502838B2"/>
    <w:rsid w:val="502F2D27"/>
    <w:rsid w:val="505A5A36"/>
    <w:rsid w:val="50636D84"/>
    <w:rsid w:val="506473FC"/>
    <w:rsid w:val="506C5B2C"/>
    <w:rsid w:val="50803A72"/>
    <w:rsid w:val="508358A5"/>
    <w:rsid w:val="50A8054F"/>
    <w:rsid w:val="50AC6291"/>
    <w:rsid w:val="50E22BB9"/>
    <w:rsid w:val="50F72818"/>
    <w:rsid w:val="51082263"/>
    <w:rsid w:val="510A3C02"/>
    <w:rsid w:val="510C2540"/>
    <w:rsid w:val="51145C6A"/>
    <w:rsid w:val="51662699"/>
    <w:rsid w:val="5198572E"/>
    <w:rsid w:val="51BC69A8"/>
    <w:rsid w:val="51C92E73"/>
    <w:rsid w:val="51E51A98"/>
    <w:rsid w:val="5201085F"/>
    <w:rsid w:val="523208A0"/>
    <w:rsid w:val="523B025A"/>
    <w:rsid w:val="52437B83"/>
    <w:rsid w:val="5245699D"/>
    <w:rsid w:val="52614E59"/>
    <w:rsid w:val="52633A4F"/>
    <w:rsid w:val="528374C6"/>
    <w:rsid w:val="528F19C6"/>
    <w:rsid w:val="52983C29"/>
    <w:rsid w:val="52CC3B94"/>
    <w:rsid w:val="52DC7DB4"/>
    <w:rsid w:val="52FA2762"/>
    <w:rsid w:val="5302038E"/>
    <w:rsid w:val="53157A4A"/>
    <w:rsid w:val="53221C49"/>
    <w:rsid w:val="532408EC"/>
    <w:rsid w:val="53256E3A"/>
    <w:rsid w:val="53574187"/>
    <w:rsid w:val="536A2750"/>
    <w:rsid w:val="53881011"/>
    <w:rsid w:val="53891790"/>
    <w:rsid w:val="53991EB9"/>
    <w:rsid w:val="539F2EA5"/>
    <w:rsid w:val="53B65CA9"/>
    <w:rsid w:val="53C27B7A"/>
    <w:rsid w:val="53C6520D"/>
    <w:rsid w:val="53CC0C88"/>
    <w:rsid w:val="53D224B3"/>
    <w:rsid w:val="53DB75F2"/>
    <w:rsid w:val="540A3C52"/>
    <w:rsid w:val="543109BA"/>
    <w:rsid w:val="544B4C90"/>
    <w:rsid w:val="545C6EC8"/>
    <w:rsid w:val="548C46CA"/>
    <w:rsid w:val="549777FD"/>
    <w:rsid w:val="54AF3253"/>
    <w:rsid w:val="54F907A4"/>
    <w:rsid w:val="55000AEA"/>
    <w:rsid w:val="55307659"/>
    <w:rsid w:val="5541746F"/>
    <w:rsid w:val="556645F8"/>
    <w:rsid w:val="55852C7F"/>
    <w:rsid w:val="55BA3084"/>
    <w:rsid w:val="55C55567"/>
    <w:rsid w:val="55E0339D"/>
    <w:rsid w:val="56582A17"/>
    <w:rsid w:val="566E223B"/>
    <w:rsid w:val="569E47FB"/>
    <w:rsid w:val="56B63238"/>
    <w:rsid w:val="56C143DD"/>
    <w:rsid w:val="56D15222"/>
    <w:rsid w:val="57050D14"/>
    <w:rsid w:val="571050A0"/>
    <w:rsid w:val="572727CF"/>
    <w:rsid w:val="57563A10"/>
    <w:rsid w:val="577A7AEB"/>
    <w:rsid w:val="577B59BA"/>
    <w:rsid w:val="57876F3A"/>
    <w:rsid w:val="57A77B24"/>
    <w:rsid w:val="57C93BCD"/>
    <w:rsid w:val="57D1072E"/>
    <w:rsid w:val="581630AE"/>
    <w:rsid w:val="58225E0E"/>
    <w:rsid w:val="583B103E"/>
    <w:rsid w:val="58424AB5"/>
    <w:rsid w:val="586754BA"/>
    <w:rsid w:val="5868641C"/>
    <w:rsid w:val="586B78FF"/>
    <w:rsid w:val="589A727B"/>
    <w:rsid w:val="58C77D96"/>
    <w:rsid w:val="58D05A14"/>
    <w:rsid w:val="58D273AD"/>
    <w:rsid w:val="59023C09"/>
    <w:rsid w:val="595455B5"/>
    <w:rsid w:val="59575208"/>
    <w:rsid w:val="595F0197"/>
    <w:rsid w:val="598E498E"/>
    <w:rsid w:val="59A017A0"/>
    <w:rsid w:val="59D220B1"/>
    <w:rsid w:val="59F22154"/>
    <w:rsid w:val="5A072091"/>
    <w:rsid w:val="5A07278A"/>
    <w:rsid w:val="5A0A2170"/>
    <w:rsid w:val="5A1048E4"/>
    <w:rsid w:val="5A250D38"/>
    <w:rsid w:val="5A4F3C35"/>
    <w:rsid w:val="5A592E3F"/>
    <w:rsid w:val="5A6E148A"/>
    <w:rsid w:val="5A9164F8"/>
    <w:rsid w:val="5A9970C2"/>
    <w:rsid w:val="5AB521E6"/>
    <w:rsid w:val="5ABF12B7"/>
    <w:rsid w:val="5AD4003F"/>
    <w:rsid w:val="5AE7689A"/>
    <w:rsid w:val="5AEB1D12"/>
    <w:rsid w:val="5AF21D0D"/>
    <w:rsid w:val="5AFD292B"/>
    <w:rsid w:val="5B0E4FB1"/>
    <w:rsid w:val="5B12588A"/>
    <w:rsid w:val="5B163C90"/>
    <w:rsid w:val="5B1F1240"/>
    <w:rsid w:val="5B305BA0"/>
    <w:rsid w:val="5B524A50"/>
    <w:rsid w:val="5B7A4984"/>
    <w:rsid w:val="5B9802BD"/>
    <w:rsid w:val="5B990DDB"/>
    <w:rsid w:val="5BA07554"/>
    <w:rsid w:val="5BC416A9"/>
    <w:rsid w:val="5BE03AD5"/>
    <w:rsid w:val="5BE701A7"/>
    <w:rsid w:val="5BE70AC5"/>
    <w:rsid w:val="5BE81346"/>
    <w:rsid w:val="5BF84A80"/>
    <w:rsid w:val="5C1D5966"/>
    <w:rsid w:val="5C2926E6"/>
    <w:rsid w:val="5C2C1198"/>
    <w:rsid w:val="5C2F5FC8"/>
    <w:rsid w:val="5C3F683A"/>
    <w:rsid w:val="5C4C054D"/>
    <w:rsid w:val="5C540E99"/>
    <w:rsid w:val="5C5A60FF"/>
    <w:rsid w:val="5C5F68AD"/>
    <w:rsid w:val="5C6402E7"/>
    <w:rsid w:val="5C73547D"/>
    <w:rsid w:val="5C766B76"/>
    <w:rsid w:val="5C7E60FB"/>
    <w:rsid w:val="5CE01DE0"/>
    <w:rsid w:val="5D0F3D7C"/>
    <w:rsid w:val="5D1171C3"/>
    <w:rsid w:val="5D150487"/>
    <w:rsid w:val="5D1A2A7C"/>
    <w:rsid w:val="5D1B7F69"/>
    <w:rsid w:val="5D2C75B6"/>
    <w:rsid w:val="5D3649BD"/>
    <w:rsid w:val="5D573851"/>
    <w:rsid w:val="5D734503"/>
    <w:rsid w:val="5D93648C"/>
    <w:rsid w:val="5DC664B8"/>
    <w:rsid w:val="5DE15411"/>
    <w:rsid w:val="5DF14806"/>
    <w:rsid w:val="5DF50013"/>
    <w:rsid w:val="5E083EFA"/>
    <w:rsid w:val="5E117F39"/>
    <w:rsid w:val="5E303C41"/>
    <w:rsid w:val="5E4044BD"/>
    <w:rsid w:val="5E4C6E9B"/>
    <w:rsid w:val="5E632471"/>
    <w:rsid w:val="5E863619"/>
    <w:rsid w:val="5E8C5954"/>
    <w:rsid w:val="5E94715A"/>
    <w:rsid w:val="5E98323E"/>
    <w:rsid w:val="5EA90CA0"/>
    <w:rsid w:val="5F0F70FF"/>
    <w:rsid w:val="5F2A7A3E"/>
    <w:rsid w:val="5F381FDB"/>
    <w:rsid w:val="5F4F1518"/>
    <w:rsid w:val="5F5521EA"/>
    <w:rsid w:val="5F6D7EDA"/>
    <w:rsid w:val="5F9518CA"/>
    <w:rsid w:val="5F972372"/>
    <w:rsid w:val="5F9A004A"/>
    <w:rsid w:val="5FC11B8B"/>
    <w:rsid w:val="5FDE3D68"/>
    <w:rsid w:val="5FF226BE"/>
    <w:rsid w:val="6004506B"/>
    <w:rsid w:val="600E71BC"/>
    <w:rsid w:val="601201C1"/>
    <w:rsid w:val="604F42C0"/>
    <w:rsid w:val="6058330C"/>
    <w:rsid w:val="609B1E7E"/>
    <w:rsid w:val="60B65D19"/>
    <w:rsid w:val="60DB582B"/>
    <w:rsid w:val="61043076"/>
    <w:rsid w:val="6109328C"/>
    <w:rsid w:val="610E5A47"/>
    <w:rsid w:val="61127D2A"/>
    <w:rsid w:val="61272EA6"/>
    <w:rsid w:val="6137289C"/>
    <w:rsid w:val="6162299C"/>
    <w:rsid w:val="61812CD7"/>
    <w:rsid w:val="61A80D15"/>
    <w:rsid w:val="61F14216"/>
    <w:rsid w:val="62242DB4"/>
    <w:rsid w:val="626A084D"/>
    <w:rsid w:val="627A0751"/>
    <w:rsid w:val="628B60ED"/>
    <w:rsid w:val="628C5F22"/>
    <w:rsid w:val="62C24E6C"/>
    <w:rsid w:val="62D60A84"/>
    <w:rsid w:val="62E37F5D"/>
    <w:rsid w:val="62E41CCF"/>
    <w:rsid w:val="631A0F8F"/>
    <w:rsid w:val="631B7697"/>
    <w:rsid w:val="631C52FD"/>
    <w:rsid w:val="63211453"/>
    <w:rsid w:val="63236775"/>
    <w:rsid w:val="63383313"/>
    <w:rsid w:val="63390458"/>
    <w:rsid w:val="634467FD"/>
    <w:rsid w:val="63451A7E"/>
    <w:rsid w:val="634632A4"/>
    <w:rsid w:val="635D206F"/>
    <w:rsid w:val="637E7E6A"/>
    <w:rsid w:val="640C67DF"/>
    <w:rsid w:val="64610CE9"/>
    <w:rsid w:val="646F6853"/>
    <w:rsid w:val="64813139"/>
    <w:rsid w:val="64CD4361"/>
    <w:rsid w:val="64CE04C8"/>
    <w:rsid w:val="64D74BF5"/>
    <w:rsid w:val="64DC1AA7"/>
    <w:rsid w:val="64E56BB3"/>
    <w:rsid w:val="64EE4632"/>
    <w:rsid w:val="64F63B27"/>
    <w:rsid w:val="65031DA0"/>
    <w:rsid w:val="654E162E"/>
    <w:rsid w:val="65633682"/>
    <w:rsid w:val="65633D39"/>
    <w:rsid w:val="657C4227"/>
    <w:rsid w:val="658629C7"/>
    <w:rsid w:val="65AA2760"/>
    <w:rsid w:val="65BF752E"/>
    <w:rsid w:val="65C75E92"/>
    <w:rsid w:val="662A2A16"/>
    <w:rsid w:val="663A71E2"/>
    <w:rsid w:val="663E69E2"/>
    <w:rsid w:val="66624AC4"/>
    <w:rsid w:val="669E7FD2"/>
    <w:rsid w:val="66AC478B"/>
    <w:rsid w:val="66C93F10"/>
    <w:rsid w:val="66CB4B3F"/>
    <w:rsid w:val="66D97E53"/>
    <w:rsid w:val="66DE37E3"/>
    <w:rsid w:val="66ED50C5"/>
    <w:rsid w:val="6719080F"/>
    <w:rsid w:val="672C7BF9"/>
    <w:rsid w:val="673E213F"/>
    <w:rsid w:val="674B29EC"/>
    <w:rsid w:val="674C5903"/>
    <w:rsid w:val="67776BA1"/>
    <w:rsid w:val="677B0DB5"/>
    <w:rsid w:val="677D408C"/>
    <w:rsid w:val="678468F7"/>
    <w:rsid w:val="678621C2"/>
    <w:rsid w:val="6796319D"/>
    <w:rsid w:val="679A4C3E"/>
    <w:rsid w:val="67C77394"/>
    <w:rsid w:val="67DA238A"/>
    <w:rsid w:val="67F73C7E"/>
    <w:rsid w:val="680D3662"/>
    <w:rsid w:val="68332830"/>
    <w:rsid w:val="684D7CB7"/>
    <w:rsid w:val="686E4199"/>
    <w:rsid w:val="6888733C"/>
    <w:rsid w:val="68945B31"/>
    <w:rsid w:val="68A04182"/>
    <w:rsid w:val="68B3184E"/>
    <w:rsid w:val="68C33D20"/>
    <w:rsid w:val="68E00589"/>
    <w:rsid w:val="68E00B13"/>
    <w:rsid w:val="68F551AA"/>
    <w:rsid w:val="69197C1D"/>
    <w:rsid w:val="691F5B14"/>
    <w:rsid w:val="693613AC"/>
    <w:rsid w:val="693E160F"/>
    <w:rsid w:val="69D5262D"/>
    <w:rsid w:val="69E20CF4"/>
    <w:rsid w:val="6A406CD7"/>
    <w:rsid w:val="6A406CE0"/>
    <w:rsid w:val="6A4A65E1"/>
    <w:rsid w:val="6A5C18FD"/>
    <w:rsid w:val="6A6B167A"/>
    <w:rsid w:val="6A734615"/>
    <w:rsid w:val="6A7A02E7"/>
    <w:rsid w:val="6A800F11"/>
    <w:rsid w:val="6A840C8C"/>
    <w:rsid w:val="6A9E0341"/>
    <w:rsid w:val="6A9E05A7"/>
    <w:rsid w:val="6AA3671B"/>
    <w:rsid w:val="6AC17F28"/>
    <w:rsid w:val="6AC326FD"/>
    <w:rsid w:val="6AD15B89"/>
    <w:rsid w:val="6AE81278"/>
    <w:rsid w:val="6B657E75"/>
    <w:rsid w:val="6B7943F0"/>
    <w:rsid w:val="6B7E0EC4"/>
    <w:rsid w:val="6B99520C"/>
    <w:rsid w:val="6B9B38B7"/>
    <w:rsid w:val="6BBD3773"/>
    <w:rsid w:val="6BE41209"/>
    <w:rsid w:val="6BE74161"/>
    <w:rsid w:val="6BF608B1"/>
    <w:rsid w:val="6C0B7144"/>
    <w:rsid w:val="6C1D1EC4"/>
    <w:rsid w:val="6C3E68E0"/>
    <w:rsid w:val="6C47110C"/>
    <w:rsid w:val="6C6B4DFB"/>
    <w:rsid w:val="6C8C09E7"/>
    <w:rsid w:val="6CC8224D"/>
    <w:rsid w:val="6D132A5D"/>
    <w:rsid w:val="6D1E603D"/>
    <w:rsid w:val="6D5216B1"/>
    <w:rsid w:val="6D665341"/>
    <w:rsid w:val="6D836174"/>
    <w:rsid w:val="6D8C3201"/>
    <w:rsid w:val="6D9115EF"/>
    <w:rsid w:val="6DA02D87"/>
    <w:rsid w:val="6DBE1390"/>
    <w:rsid w:val="6DE60787"/>
    <w:rsid w:val="6DE76703"/>
    <w:rsid w:val="6DEB45FA"/>
    <w:rsid w:val="6E0E0C26"/>
    <w:rsid w:val="6E2C3B9C"/>
    <w:rsid w:val="6E477D47"/>
    <w:rsid w:val="6E502867"/>
    <w:rsid w:val="6E513E51"/>
    <w:rsid w:val="6E5B1D61"/>
    <w:rsid w:val="6E7E12A0"/>
    <w:rsid w:val="6E976E60"/>
    <w:rsid w:val="6E9E3C70"/>
    <w:rsid w:val="6EBD7AA5"/>
    <w:rsid w:val="6F106AA9"/>
    <w:rsid w:val="6F212B04"/>
    <w:rsid w:val="6F3829E8"/>
    <w:rsid w:val="6F47666A"/>
    <w:rsid w:val="6F5A6ABC"/>
    <w:rsid w:val="6F6C4D78"/>
    <w:rsid w:val="6F775B12"/>
    <w:rsid w:val="6F8930EB"/>
    <w:rsid w:val="6FA26D85"/>
    <w:rsid w:val="6FB53A26"/>
    <w:rsid w:val="6FB57CB8"/>
    <w:rsid w:val="6FBB7E54"/>
    <w:rsid w:val="6FD3048F"/>
    <w:rsid w:val="6FD35267"/>
    <w:rsid w:val="6FEA5300"/>
    <w:rsid w:val="6FF54D6B"/>
    <w:rsid w:val="70210F8A"/>
    <w:rsid w:val="702119D7"/>
    <w:rsid w:val="70402B58"/>
    <w:rsid w:val="70827ED1"/>
    <w:rsid w:val="708E42F1"/>
    <w:rsid w:val="708F3534"/>
    <w:rsid w:val="7093022F"/>
    <w:rsid w:val="70A638A4"/>
    <w:rsid w:val="70CE2391"/>
    <w:rsid w:val="70F817F1"/>
    <w:rsid w:val="70FC24C5"/>
    <w:rsid w:val="71220E80"/>
    <w:rsid w:val="716C5C89"/>
    <w:rsid w:val="716F24BA"/>
    <w:rsid w:val="7170328E"/>
    <w:rsid w:val="71791D68"/>
    <w:rsid w:val="718331D3"/>
    <w:rsid w:val="71BC3FFC"/>
    <w:rsid w:val="71C42AE5"/>
    <w:rsid w:val="71C57B3B"/>
    <w:rsid w:val="72011A28"/>
    <w:rsid w:val="7204296F"/>
    <w:rsid w:val="725C69B6"/>
    <w:rsid w:val="72610B3E"/>
    <w:rsid w:val="72712A3F"/>
    <w:rsid w:val="72BC6071"/>
    <w:rsid w:val="72D46D88"/>
    <w:rsid w:val="72D75763"/>
    <w:rsid w:val="72EE1FBA"/>
    <w:rsid w:val="7304755E"/>
    <w:rsid w:val="73171CA3"/>
    <w:rsid w:val="733F2267"/>
    <w:rsid w:val="735C324C"/>
    <w:rsid w:val="73727F0B"/>
    <w:rsid w:val="7375030D"/>
    <w:rsid w:val="738A2431"/>
    <w:rsid w:val="73A46481"/>
    <w:rsid w:val="73D00EB5"/>
    <w:rsid w:val="73E664D9"/>
    <w:rsid w:val="73FF12FD"/>
    <w:rsid w:val="74033A4E"/>
    <w:rsid w:val="74297CC7"/>
    <w:rsid w:val="742B1FE0"/>
    <w:rsid w:val="742D3B64"/>
    <w:rsid w:val="74626AE3"/>
    <w:rsid w:val="746F2C65"/>
    <w:rsid w:val="748440A7"/>
    <w:rsid w:val="74981FF4"/>
    <w:rsid w:val="74BA06CD"/>
    <w:rsid w:val="74F160B9"/>
    <w:rsid w:val="74FA13BB"/>
    <w:rsid w:val="75086A21"/>
    <w:rsid w:val="75144B05"/>
    <w:rsid w:val="751722F8"/>
    <w:rsid w:val="753161AE"/>
    <w:rsid w:val="7548217D"/>
    <w:rsid w:val="754D70FE"/>
    <w:rsid w:val="755A3AFE"/>
    <w:rsid w:val="75632BA7"/>
    <w:rsid w:val="756B7F54"/>
    <w:rsid w:val="756F72A4"/>
    <w:rsid w:val="75AB413E"/>
    <w:rsid w:val="75CB54E1"/>
    <w:rsid w:val="760D0D18"/>
    <w:rsid w:val="761A15FE"/>
    <w:rsid w:val="76375C9A"/>
    <w:rsid w:val="763C5D0A"/>
    <w:rsid w:val="763E2A36"/>
    <w:rsid w:val="766E27F2"/>
    <w:rsid w:val="7681073F"/>
    <w:rsid w:val="76830F93"/>
    <w:rsid w:val="76B32A3E"/>
    <w:rsid w:val="76D6415E"/>
    <w:rsid w:val="76D80CE3"/>
    <w:rsid w:val="76F75171"/>
    <w:rsid w:val="77075720"/>
    <w:rsid w:val="7707575C"/>
    <w:rsid w:val="770C6363"/>
    <w:rsid w:val="771D64E7"/>
    <w:rsid w:val="772C132D"/>
    <w:rsid w:val="7739441A"/>
    <w:rsid w:val="773D0465"/>
    <w:rsid w:val="77526C08"/>
    <w:rsid w:val="776E01EB"/>
    <w:rsid w:val="77841137"/>
    <w:rsid w:val="778B4A53"/>
    <w:rsid w:val="77A2369A"/>
    <w:rsid w:val="77C5612C"/>
    <w:rsid w:val="77E51F05"/>
    <w:rsid w:val="77E837A3"/>
    <w:rsid w:val="77F4039A"/>
    <w:rsid w:val="78136043"/>
    <w:rsid w:val="781454A1"/>
    <w:rsid w:val="78277BFB"/>
    <w:rsid w:val="784651FA"/>
    <w:rsid w:val="785E4B2C"/>
    <w:rsid w:val="786B2585"/>
    <w:rsid w:val="787D267C"/>
    <w:rsid w:val="7886716E"/>
    <w:rsid w:val="78A4003D"/>
    <w:rsid w:val="78B845F8"/>
    <w:rsid w:val="78BA52CD"/>
    <w:rsid w:val="78D268B3"/>
    <w:rsid w:val="78EF57FD"/>
    <w:rsid w:val="790F2FD4"/>
    <w:rsid w:val="79541688"/>
    <w:rsid w:val="79607369"/>
    <w:rsid w:val="79671759"/>
    <w:rsid w:val="79673B28"/>
    <w:rsid w:val="797075DA"/>
    <w:rsid w:val="79A16664"/>
    <w:rsid w:val="79A731EA"/>
    <w:rsid w:val="79E32DA6"/>
    <w:rsid w:val="79E75E88"/>
    <w:rsid w:val="79E8213C"/>
    <w:rsid w:val="7A1962D7"/>
    <w:rsid w:val="7A1B3C8B"/>
    <w:rsid w:val="7A3C3862"/>
    <w:rsid w:val="7A7E219D"/>
    <w:rsid w:val="7A9C474B"/>
    <w:rsid w:val="7AA4721B"/>
    <w:rsid w:val="7ABD1DBC"/>
    <w:rsid w:val="7AD268B9"/>
    <w:rsid w:val="7B0040A1"/>
    <w:rsid w:val="7B191DBE"/>
    <w:rsid w:val="7B2366D3"/>
    <w:rsid w:val="7B2712B4"/>
    <w:rsid w:val="7B276391"/>
    <w:rsid w:val="7B363838"/>
    <w:rsid w:val="7B4414D8"/>
    <w:rsid w:val="7B65510B"/>
    <w:rsid w:val="7B6E04ED"/>
    <w:rsid w:val="7B7D5F7C"/>
    <w:rsid w:val="7B9854E0"/>
    <w:rsid w:val="7B9E2238"/>
    <w:rsid w:val="7BA80079"/>
    <w:rsid w:val="7BAE6AB2"/>
    <w:rsid w:val="7BB114E4"/>
    <w:rsid w:val="7BB368A2"/>
    <w:rsid w:val="7BB41C3D"/>
    <w:rsid w:val="7BC7773B"/>
    <w:rsid w:val="7BDC50A2"/>
    <w:rsid w:val="7C132407"/>
    <w:rsid w:val="7C18457A"/>
    <w:rsid w:val="7C4B4301"/>
    <w:rsid w:val="7C5C4B32"/>
    <w:rsid w:val="7C6077C0"/>
    <w:rsid w:val="7C6558D0"/>
    <w:rsid w:val="7C7B2841"/>
    <w:rsid w:val="7C865339"/>
    <w:rsid w:val="7CA63CDF"/>
    <w:rsid w:val="7CA76FDA"/>
    <w:rsid w:val="7CD87D18"/>
    <w:rsid w:val="7D09128A"/>
    <w:rsid w:val="7D0B0461"/>
    <w:rsid w:val="7D0F2F68"/>
    <w:rsid w:val="7D282903"/>
    <w:rsid w:val="7D401A7F"/>
    <w:rsid w:val="7D4071CA"/>
    <w:rsid w:val="7D53640E"/>
    <w:rsid w:val="7D741635"/>
    <w:rsid w:val="7D9D09C0"/>
    <w:rsid w:val="7DB27E72"/>
    <w:rsid w:val="7DB303AF"/>
    <w:rsid w:val="7DBC6EA6"/>
    <w:rsid w:val="7DC354CD"/>
    <w:rsid w:val="7DD56239"/>
    <w:rsid w:val="7DE71B9A"/>
    <w:rsid w:val="7DF838D1"/>
    <w:rsid w:val="7E002EC9"/>
    <w:rsid w:val="7E015867"/>
    <w:rsid w:val="7E226135"/>
    <w:rsid w:val="7E2F166A"/>
    <w:rsid w:val="7E4455CB"/>
    <w:rsid w:val="7E525E1A"/>
    <w:rsid w:val="7E5B0B2B"/>
    <w:rsid w:val="7E631DD5"/>
    <w:rsid w:val="7E672D78"/>
    <w:rsid w:val="7E753116"/>
    <w:rsid w:val="7E897702"/>
    <w:rsid w:val="7EC00FD6"/>
    <w:rsid w:val="7EC62364"/>
    <w:rsid w:val="7ECB44A7"/>
    <w:rsid w:val="7EFC7B34"/>
    <w:rsid w:val="7F0A4FAE"/>
    <w:rsid w:val="7F0B22F0"/>
    <w:rsid w:val="7F476610"/>
    <w:rsid w:val="7F4C39AE"/>
    <w:rsid w:val="7F567244"/>
    <w:rsid w:val="7F761634"/>
    <w:rsid w:val="7F800765"/>
    <w:rsid w:val="7F8A5140"/>
    <w:rsid w:val="7F8E48CA"/>
    <w:rsid w:val="7FA3022B"/>
    <w:rsid w:val="7FD75920"/>
    <w:rsid w:val="7FEB16FE"/>
    <w:rsid w:val="7FEE40C2"/>
    <w:rsid w:val="7FF5738C"/>
    <w:rsid w:val="7FFC766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uiPriority="0" w:name="toc 4"/>
    <w:lsdException w:uiPriority="0" w:name="toc 5"/>
    <w:lsdException w:qFormat="1" w:unhideWhenUsed="0" w:uiPriority="0" w:semiHidden="0" w:name="toc 6"/>
    <w:lsdException w:uiPriority="0" w:name="toc 7"/>
    <w:lsdException w:uiPriority="0" w:name="toc 8"/>
    <w:lsdException w:uiPriority="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iPriority="0" w:name="List Number"/>
    <w:lsdException w:qFormat="1" w:unhideWhenUsed="0" w:uiPriority="0" w:semiHidden="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99"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qFormat="1" w:uiPriority="0" w:semiHidden="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semiHidden="0"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4">
    <w:name w:val="heading 1"/>
    <w:basedOn w:val="1"/>
    <w:next w:val="1"/>
    <w:link w:val="50"/>
    <w:autoRedefine/>
    <w:qFormat/>
    <w:uiPriority w:val="9"/>
    <w:pPr>
      <w:keepNext/>
      <w:keepLines/>
      <w:spacing w:line="360" w:lineRule="auto"/>
      <w:ind w:left="0" w:leftChars="0"/>
      <w:jc w:val="center"/>
      <w:outlineLvl w:val="0"/>
    </w:pPr>
    <w:rPr>
      <w:bCs/>
      <w:kern w:val="44"/>
      <w:sz w:val="32"/>
      <w:szCs w:val="44"/>
    </w:rPr>
  </w:style>
  <w:style w:type="paragraph" w:styleId="5">
    <w:name w:val="heading 2"/>
    <w:basedOn w:val="1"/>
    <w:next w:val="1"/>
    <w:link w:val="51"/>
    <w:autoRedefine/>
    <w:qFormat/>
    <w:uiPriority w:val="0"/>
    <w:pPr>
      <w:keepNext/>
      <w:keepLines/>
      <w:spacing w:line="360" w:lineRule="auto"/>
      <w:contextualSpacing/>
      <w:jc w:val="center"/>
      <w:outlineLvl w:val="1"/>
    </w:pPr>
    <w:rPr>
      <w:rFonts w:ascii="Cambria" w:hAnsi="Cambria"/>
      <w:b/>
      <w:sz w:val="28"/>
      <w:szCs w:val="28"/>
    </w:rPr>
  </w:style>
  <w:style w:type="paragraph" w:styleId="6">
    <w:name w:val="heading 3"/>
    <w:basedOn w:val="1"/>
    <w:next w:val="1"/>
    <w:link w:val="67"/>
    <w:autoRedefine/>
    <w:qFormat/>
    <w:uiPriority w:val="0"/>
    <w:pPr>
      <w:adjustRightInd w:val="0"/>
      <w:snapToGrid w:val="0"/>
      <w:spacing w:line="500" w:lineRule="exact"/>
      <w:ind w:left="-88" w:leftChars="-42"/>
      <w:jc w:val="center"/>
      <w:outlineLvl w:val="2"/>
    </w:pPr>
    <w:rPr>
      <w:rFonts w:ascii="仿宋_GB2312" w:hAnsi="宋体"/>
      <w:b/>
      <w:sz w:val="32"/>
      <w:szCs w:val="32"/>
    </w:rPr>
  </w:style>
  <w:style w:type="paragraph" w:styleId="7">
    <w:name w:val="heading 4"/>
    <w:basedOn w:val="1"/>
    <w:next w:val="1"/>
    <w:link w:val="53"/>
    <w:autoRedefine/>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54"/>
    <w:autoRedefine/>
    <w:qFormat/>
    <w:uiPriority w:val="0"/>
    <w:pPr>
      <w:keepNext/>
      <w:keepLines/>
      <w:spacing w:before="280" w:after="290" w:line="376" w:lineRule="auto"/>
      <w:outlineLvl w:val="4"/>
    </w:pPr>
    <w:rPr>
      <w:b/>
      <w:bCs/>
      <w:sz w:val="28"/>
      <w:szCs w:val="28"/>
    </w:rPr>
  </w:style>
  <w:style w:type="paragraph" w:styleId="9">
    <w:name w:val="heading 6"/>
    <w:basedOn w:val="8"/>
    <w:next w:val="1"/>
    <w:link w:val="55"/>
    <w:autoRedefine/>
    <w:qFormat/>
    <w:uiPriority w:val="0"/>
    <w:pPr>
      <w:tabs>
        <w:tab w:val="left" w:pos="1440"/>
      </w:tabs>
      <w:spacing w:before="260" w:after="260" w:line="360" w:lineRule="auto"/>
      <w:ind w:left="1134" w:hanging="1134"/>
      <w:outlineLvl w:val="5"/>
    </w:pPr>
    <w:rPr>
      <w:sz w:val="30"/>
      <w:szCs w:val="18"/>
    </w:rPr>
  </w:style>
  <w:style w:type="paragraph" w:styleId="10">
    <w:name w:val="heading 7"/>
    <w:basedOn w:val="9"/>
    <w:next w:val="1"/>
    <w:link w:val="56"/>
    <w:autoRedefine/>
    <w:qFormat/>
    <w:uiPriority w:val="0"/>
    <w:pPr>
      <w:tabs>
        <w:tab w:val="left" w:pos="1800"/>
        <w:tab w:val="clear" w:pos="1440"/>
      </w:tabs>
      <w:ind w:left="1276" w:hanging="1276"/>
      <w:outlineLvl w:val="6"/>
    </w:pPr>
  </w:style>
  <w:style w:type="paragraph" w:styleId="11">
    <w:name w:val="heading 8"/>
    <w:basedOn w:val="10"/>
    <w:next w:val="1"/>
    <w:link w:val="57"/>
    <w:autoRedefine/>
    <w:qFormat/>
    <w:uiPriority w:val="0"/>
    <w:pPr>
      <w:ind w:left="1418" w:hanging="1418"/>
      <w:outlineLvl w:val="7"/>
    </w:pPr>
  </w:style>
  <w:style w:type="paragraph" w:styleId="12">
    <w:name w:val="heading 9"/>
    <w:basedOn w:val="11"/>
    <w:next w:val="1"/>
    <w:link w:val="58"/>
    <w:autoRedefine/>
    <w:qFormat/>
    <w:uiPriority w:val="0"/>
    <w:pPr>
      <w:tabs>
        <w:tab w:val="left" w:pos="2160"/>
        <w:tab w:val="clear" w:pos="1800"/>
      </w:tabs>
      <w:ind w:left="1559" w:hanging="1559"/>
      <w:outlineLvl w:val="8"/>
    </w:pPr>
  </w:style>
  <w:style w:type="character" w:default="1" w:styleId="40">
    <w:name w:val="Default Paragraph Font"/>
    <w:autoRedefine/>
    <w:unhideWhenUsed/>
    <w:qFormat/>
    <w:uiPriority w:val="1"/>
  </w:style>
  <w:style w:type="table" w:default="1" w:styleId="38">
    <w:name w:val="Normal Table"/>
    <w:autoRedefine/>
    <w:unhideWhenUsed/>
    <w:qFormat/>
    <w:uiPriority w:val="99"/>
    <w:tblPr>
      <w:tblCellMar>
        <w:top w:w="0" w:type="dxa"/>
        <w:left w:w="108" w:type="dxa"/>
        <w:bottom w:w="0" w:type="dxa"/>
        <w:right w:w="108" w:type="dxa"/>
      </w:tblCellMar>
    </w:tblPr>
  </w:style>
  <w:style w:type="paragraph" w:styleId="2">
    <w:name w:val="Body Text First Indent 2"/>
    <w:basedOn w:val="3"/>
    <w:autoRedefine/>
    <w:qFormat/>
    <w:uiPriority w:val="0"/>
    <w:pPr>
      <w:spacing w:after="120" w:line="240" w:lineRule="auto"/>
      <w:ind w:left="420" w:leftChars="200" w:firstLine="420" w:firstLineChars="200"/>
    </w:pPr>
    <w:rPr>
      <w:sz w:val="21"/>
      <w:szCs w:val="24"/>
    </w:rPr>
  </w:style>
  <w:style w:type="paragraph" w:styleId="3">
    <w:name w:val="Body Text Indent"/>
    <w:basedOn w:val="1"/>
    <w:autoRedefine/>
    <w:qFormat/>
    <w:uiPriority w:val="0"/>
    <w:pPr>
      <w:ind w:firstLine="830" w:firstLineChars="352"/>
    </w:pPr>
    <w:rPr>
      <w:rFonts w:ascii="仿宋_GB2312" w:eastAsia="仿宋_GB2312"/>
      <w:sz w:val="32"/>
      <w:szCs w:val="20"/>
    </w:rPr>
  </w:style>
  <w:style w:type="paragraph" w:styleId="13">
    <w:name w:val="Normal Indent"/>
    <w:basedOn w:val="1"/>
    <w:next w:val="1"/>
    <w:link w:val="59"/>
    <w:autoRedefine/>
    <w:unhideWhenUsed/>
    <w:qFormat/>
    <w:uiPriority w:val="0"/>
    <w:pPr>
      <w:ind w:firstLine="420" w:firstLineChars="200"/>
    </w:pPr>
  </w:style>
  <w:style w:type="paragraph" w:styleId="14">
    <w:name w:val="index 5"/>
    <w:basedOn w:val="1"/>
    <w:next w:val="1"/>
    <w:autoRedefine/>
    <w:qFormat/>
    <w:uiPriority w:val="0"/>
    <w:pPr>
      <w:ind w:left="800" w:leftChars="800"/>
    </w:pPr>
    <w:rPr>
      <w:szCs w:val="20"/>
      <w:lang w:bidi="he-IL"/>
    </w:rPr>
  </w:style>
  <w:style w:type="paragraph" w:styleId="15">
    <w:name w:val="Document Map"/>
    <w:basedOn w:val="1"/>
    <w:link w:val="60"/>
    <w:autoRedefine/>
    <w:qFormat/>
    <w:uiPriority w:val="0"/>
    <w:rPr>
      <w:rFonts w:ascii="宋体"/>
      <w:sz w:val="18"/>
      <w:szCs w:val="18"/>
    </w:rPr>
  </w:style>
  <w:style w:type="paragraph" w:styleId="16">
    <w:name w:val="toa heading"/>
    <w:basedOn w:val="1"/>
    <w:next w:val="1"/>
    <w:autoRedefine/>
    <w:qFormat/>
    <w:uiPriority w:val="0"/>
    <w:pPr>
      <w:spacing w:before="120"/>
    </w:pPr>
    <w:rPr>
      <w:rFonts w:ascii="Arial" w:hAnsi="Arial"/>
      <w:sz w:val="24"/>
      <w:szCs w:val="21"/>
    </w:rPr>
  </w:style>
  <w:style w:type="paragraph" w:styleId="17">
    <w:name w:val="annotation text"/>
    <w:basedOn w:val="1"/>
    <w:link w:val="61"/>
    <w:autoRedefine/>
    <w:qFormat/>
    <w:uiPriority w:val="0"/>
    <w:pPr>
      <w:jc w:val="left"/>
    </w:pPr>
  </w:style>
  <w:style w:type="paragraph" w:styleId="18">
    <w:name w:val="Salutation"/>
    <w:basedOn w:val="1"/>
    <w:next w:val="1"/>
    <w:autoRedefine/>
    <w:qFormat/>
    <w:uiPriority w:val="99"/>
    <w:rPr>
      <w:rFonts w:ascii="宋体"/>
      <w:b/>
      <w:sz w:val="28"/>
    </w:rPr>
  </w:style>
  <w:style w:type="paragraph" w:styleId="19">
    <w:name w:val="Body Text"/>
    <w:basedOn w:val="1"/>
    <w:autoRedefine/>
    <w:unhideWhenUsed/>
    <w:qFormat/>
    <w:uiPriority w:val="0"/>
    <w:pPr>
      <w:spacing w:after="120"/>
    </w:pPr>
  </w:style>
  <w:style w:type="paragraph" w:styleId="20">
    <w:name w:val="List 2"/>
    <w:basedOn w:val="1"/>
    <w:next w:val="21"/>
    <w:autoRedefine/>
    <w:qFormat/>
    <w:uiPriority w:val="0"/>
    <w:pPr>
      <w:ind w:left="100" w:leftChars="200" w:hanging="200" w:hangingChars="200"/>
    </w:pPr>
  </w:style>
  <w:style w:type="paragraph" w:styleId="21">
    <w:name w:val="Plain Text"/>
    <w:basedOn w:val="1"/>
    <w:link w:val="62"/>
    <w:autoRedefine/>
    <w:qFormat/>
    <w:uiPriority w:val="0"/>
    <w:rPr>
      <w:rFonts w:ascii="宋体" w:hAnsi="Courier New"/>
      <w:szCs w:val="21"/>
    </w:rPr>
  </w:style>
  <w:style w:type="paragraph" w:styleId="22">
    <w:name w:val="Block Text"/>
    <w:basedOn w:val="1"/>
    <w:autoRedefine/>
    <w:qFormat/>
    <w:uiPriority w:val="0"/>
    <w:pPr>
      <w:autoSpaceDE w:val="0"/>
      <w:autoSpaceDN w:val="0"/>
      <w:adjustRightInd w:val="0"/>
      <w:spacing w:line="500" w:lineRule="exact"/>
      <w:ind w:left="391" w:right="246"/>
    </w:pPr>
    <w:rPr>
      <w:rFonts w:ascii="仿宋_GB2312" w:eastAsia="仿宋_GB2312"/>
      <w:kern w:val="0"/>
      <w:sz w:val="24"/>
    </w:rPr>
  </w:style>
  <w:style w:type="paragraph" w:styleId="23">
    <w:name w:val="toc 3"/>
    <w:basedOn w:val="1"/>
    <w:next w:val="1"/>
    <w:autoRedefine/>
    <w:unhideWhenUsed/>
    <w:qFormat/>
    <w:uiPriority w:val="39"/>
    <w:pPr>
      <w:ind w:left="840" w:leftChars="400"/>
    </w:pPr>
  </w:style>
  <w:style w:type="paragraph" w:styleId="24">
    <w:name w:val="Date"/>
    <w:basedOn w:val="1"/>
    <w:next w:val="1"/>
    <w:autoRedefine/>
    <w:qFormat/>
    <w:uiPriority w:val="0"/>
    <w:pPr>
      <w:ind w:left="100" w:leftChars="2500"/>
    </w:pPr>
    <w:rPr>
      <w:rFonts w:ascii="宋体" w:hAnsi="Courier New" w:cs="Courier New"/>
      <w:szCs w:val="21"/>
    </w:rPr>
  </w:style>
  <w:style w:type="paragraph" w:styleId="25">
    <w:name w:val="Balloon Text"/>
    <w:basedOn w:val="1"/>
    <w:autoRedefine/>
    <w:semiHidden/>
    <w:qFormat/>
    <w:uiPriority w:val="0"/>
    <w:rPr>
      <w:sz w:val="18"/>
      <w:szCs w:val="18"/>
    </w:rPr>
  </w:style>
  <w:style w:type="paragraph" w:styleId="26">
    <w:name w:val="footer"/>
    <w:basedOn w:val="1"/>
    <w:autoRedefine/>
    <w:qFormat/>
    <w:uiPriority w:val="0"/>
    <w:pPr>
      <w:tabs>
        <w:tab w:val="center" w:pos="4153"/>
        <w:tab w:val="right" w:pos="8306"/>
      </w:tabs>
      <w:snapToGrid w:val="0"/>
      <w:jc w:val="left"/>
    </w:pPr>
    <w:rPr>
      <w:sz w:val="18"/>
      <w:szCs w:val="18"/>
    </w:rPr>
  </w:style>
  <w:style w:type="paragraph" w:styleId="27">
    <w:name w:val="header"/>
    <w:basedOn w:val="1"/>
    <w:link w:val="63"/>
    <w:autoRedefine/>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autoRedefine/>
    <w:qFormat/>
    <w:uiPriority w:val="39"/>
    <w:pPr>
      <w:tabs>
        <w:tab w:val="right" w:leader="dot" w:pos="8222"/>
      </w:tabs>
      <w:spacing w:line="440" w:lineRule="exact"/>
      <w:ind w:right="231" w:rightChars="110"/>
    </w:pPr>
    <w:rPr>
      <w:rFonts w:ascii="Times New Roman" w:hAnsi="Times New Roman" w:eastAsia="宋体"/>
      <w:sz w:val="21"/>
    </w:rPr>
  </w:style>
  <w:style w:type="paragraph" w:styleId="29">
    <w:name w:val="footnote text"/>
    <w:basedOn w:val="1"/>
    <w:next w:val="14"/>
    <w:autoRedefine/>
    <w:qFormat/>
    <w:uiPriority w:val="0"/>
    <w:pPr>
      <w:snapToGrid w:val="0"/>
      <w:jc w:val="left"/>
    </w:pPr>
    <w:rPr>
      <w:sz w:val="18"/>
    </w:rPr>
  </w:style>
  <w:style w:type="paragraph" w:styleId="30">
    <w:name w:val="toc 6"/>
    <w:basedOn w:val="1"/>
    <w:next w:val="1"/>
    <w:qFormat/>
    <w:uiPriority w:val="0"/>
    <w:pPr>
      <w:ind w:left="2100" w:leftChars="1000"/>
    </w:pPr>
    <w:rPr>
      <w:rFonts w:ascii="Calibri" w:hAnsi="Calibri"/>
    </w:rPr>
  </w:style>
  <w:style w:type="paragraph" w:styleId="31">
    <w:name w:val="Body Text Indent 3"/>
    <w:basedOn w:val="1"/>
    <w:link w:val="64"/>
    <w:autoRedefine/>
    <w:unhideWhenUsed/>
    <w:qFormat/>
    <w:uiPriority w:val="0"/>
    <w:pPr>
      <w:spacing w:after="120"/>
      <w:ind w:left="420" w:leftChars="200"/>
    </w:pPr>
    <w:rPr>
      <w:sz w:val="16"/>
      <w:szCs w:val="16"/>
    </w:rPr>
  </w:style>
  <w:style w:type="paragraph" w:styleId="32">
    <w:name w:val="toc 2"/>
    <w:basedOn w:val="1"/>
    <w:next w:val="1"/>
    <w:autoRedefine/>
    <w:qFormat/>
    <w:uiPriority w:val="39"/>
    <w:pPr>
      <w:tabs>
        <w:tab w:val="right" w:leader="dot" w:pos="8222"/>
      </w:tabs>
      <w:ind w:left="420" w:leftChars="200"/>
      <w:jc w:val="left"/>
    </w:pPr>
    <w:rPr>
      <w:sz w:val="28"/>
    </w:rPr>
  </w:style>
  <w:style w:type="paragraph" w:styleId="33">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34">
    <w:name w:val="index 1"/>
    <w:basedOn w:val="1"/>
    <w:next w:val="1"/>
    <w:autoRedefine/>
    <w:qFormat/>
    <w:uiPriority w:val="0"/>
    <w:pPr>
      <w:widowControl w:val="0"/>
      <w:jc w:val="center"/>
    </w:pPr>
    <w:rPr>
      <w:kern w:val="2"/>
      <w:szCs w:val="24"/>
    </w:rPr>
  </w:style>
  <w:style w:type="paragraph" w:styleId="35">
    <w:name w:val="Title"/>
    <w:basedOn w:val="5"/>
    <w:next w:val="1"/>
    <w:link w:val="65"/>
    <w:autoRedefine/>
    <w:qFormat/>
    <w:uiPriority w:val="0"/>
    <w:pPr>
      <w:jc w:val="both"/>
    </w:pPr>
    <w:rPr>
      <w:rFonts w:ascii="宋体" w:hAnsi="宋体"/>
      <w:sz w:val="44"/>
    </w:rPr>
  </w:style>
  <w:style w:type="paragraph" w:styleId="36">
    <w:name w:val="annotation subject"/>
    <w:basedOn w:val="17"/>
    <w:next w:val="17"/>
    <w:link w:val="66"/>
    <w:autoRedefine/>
    <w:qFormat/>
    <w:uiPriority w:val="99"/>
    <w:rPr>
      <w:b/>
      <w:sz w:val="28"/>
      <w:szCs w:val="20"/>
    </w:rPr>
  </w:style>
  <w:style w:type="paragraph" w:styleId="37">
    <w:name w:val="Body Text First Indent"/>
    <w:basedOn w:val="19"/>
    <w:next w:val="1"/>
    <w:autoRedefine/>
    <w:qFormat/>
    <w:uiPriority w:val="0"/>
    <w:pPr>
      <w:snapToGrid/>
      <w:spacing w:after="120" w:afterLines="0" w:line="240" w:lineRule="auto"/>
      <w:ind w:firstLine="420" w:firstLineChars="100"/>
    </w:pPr>
    <w:rPr>
      <w:sz w:val="21"/>
      <w:szCs w:val="24"/>
    </w:rPr>
  </w:style>
  <w:style w:type="table" w:styleId="39">
    <w:name w:val="Table Grid"/>
    <w:basedOn w:val="3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basedOn w:val="40"/>
    <w:autoRedefine/>
    <w:qFormat/>
    <w:uiPriority w:val="0"/>
    <w:rPr>
      <w:b/>
      <w:bCs/>
    </w:rPr>
  </w:style>
  <w:style w:type="character" w:styleId="42">
    <w:name w:val="page number"/>
    <w:basedOn w:val="40"/>
    <w:autoRedefine/>
    <w:qFormat/>
    <w:uiPriority w:val="0"/>
  </w:style>
  <w:style w:type="character" w:styleId="43">
    <w:name w:val="Emphasis"/>
    <w:basedOn w:val="40"/>
    <w:autoRedefine/>
    <w:qFormat/>
    <w:uiPriority w:val="0"/>
    <w:rPr>
      <w:i/>
    </w:rPr>
  </w:style>
  <w:style w:type="character" w:styleId="44">
    <w:name w:val="Hyperlink"/>
    <w:basedOn w:val="40"/>
    <w:autoRedefine/>
    <w:qFormat/>
    <w:uiPriority w:val="99"/>
    <w:rPr>
      <w:color w:val="0000FF"/>
      <w:u w:val="single"/>
    </w:rPr>
  </w:style>
  <w:style w:type="character" w:styleId="45">
    <w:name w:val="annotation reference"/>
    <w:basedOn w:val="40"/>
    <w:autoRedefine/>
    <w:unhideWhenUsed/>
    <w:qFormat/>
    <w:uiPriority w:val="0"/>
    <w:rPr>
      <w:sz w:val="21"/>
      <w:szCs w:val="21"/>
    </w:rPr>
  </w:style>
  <w:style w:type="character" w:styleId="46">
    <w:name w:val="HTML Sample"/>
    <w:basedOn w:val="40"/>
    <w:autoRedefine/>
    <w:semiHidden/>
    <w:unhideWhenUsed/>
    <w:qFormat/>
    <w:uiPriority w:val="0"/>
    <w:rPr>
      <w:rFonts w:ascii="Courier New" w:hAnsi="Courier New"/>
    </w:rPr>
  </w:style>
  <w:style w:type="paragraph" w:customStyle="1" w:styleId="47">
    <w:name w:val="BodyText"/>
    <w:basedOn w:val="1"/>
    <w:qFormat/>
    <w:uiPriority w:val="0"/>
    <w:pPr>
      <w:tabs>
        <w:tab w:val="left" w:pos="562"/>
        <w:tab w:val="left" w:pos="3372"/>
        <w:tab w:val="left" w:pos="3653"/>
      </w:tabs>
      <w:jc w:val="both"/>
      <w:textAlignment w:val="baseline"/>
    </w:pPr>
    <w:rPr>
      <w:rFonts w:ascii="Times New Roman" w:hAnsi="Times New Roman" w:eastAsia="宋体"/>
      <w:kern w:val="2"/>
      <w:sz w:val="24"/>
      <w:szCs w:val="24"/>
      <w:lang w:val="en-US" w:eastAsia="zh-CN" w:bidi="ar-SA"/>
    </w:rPr>
  </w:style>
  <w:style w:type="paragraph" w:customStyle="1" w:styleId="48">
    <w:name w:val="Default"/>
    <w:next w:val="49"/>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9">
    <w:name w:val="大标题"/>
    <w:basedOn w:val="1"/>
    <w:next w:val="2"/>
    <w:autoRedefine/>
    <w:qFormat/>
    <w:uiPriority w:val="0"/>
    <w:pPr>
      <w:jc w:val="center"/>
    </w:pPr>
    <w:rPr>
      <w:rFonts w:ascii="Arial" w:hAnsi="Arial" w:eastAsia="宋体" w:cs="Times New Roman"/>
      <w:b/>
      <w:sz w:val="28"/>
      <w:szCs w:val="24"/>
    </w:rPr>
  </w:style>
  <w:style w:type="character" w:customStyle="1" w:styleId="50">
    <w:name w:val="标题 1 Char"/>
    <w:link w:val="4"/>
    <w:autoRedefine/>
    <w:qFormat/>
    <w:uiPriority w:val="9"/>
    <w:rPr>
      <w:rFonts w:ascii="Cambria" w:hAnsi="Cambria" w:eastAsia="宋体"/>
      <w:b/>
      <w:bCs/>
      <w:kern w:val="44"/>
      <w:sz w:val="32"/>
      <w:szCs w:val="44"/>
    </w:rPr>
  </w:style>
  <w:style w:type="character" w:customStyle="1" w:styleId="51">
    <w:name w:val="标题 2 Char"/>
    <w:link w:val="5"/>
    <w:autoRedefine/>
    <w:qFormat/>
    <w:uiPriority w:val="0"/>
    <w:rPr>
      <w:rFonts w:ascii="Cambria" w:hAnsi="Cambria" w:eastAsia="宋体"/>
      <w:b/>
      <w:kern w:val="2"/>
      <w:sz w:val="28"/>
      <w:szCs w:val="28"/>
    </w:rPr>
  </w:style>
  <w:style w:type="character" w:customStyle="1" w:styleId="52">
    <w:name w:val="标题 3 字符"/>
    <w:link w:val="6"/>
    <w:autoRedefine/>
    <w:semiHidden/>
    <w:qFormat/>
    <w:locked/>
    <w:uiPriority w:val="99"/>
    <w:rPr>
      <w:rFonts w:cs="Times New Roman"/>
      <w:b/>
      <w:bCs/>
      <w:sz w:val="32"/>
      <w:szCs w:val="32"/>
    </w:rPr>
  </w:style>
  <w:style w:type="character" w:customStyle="1" w:styleId="53">
    <w:name w:val="标题 4 Char"/>
    <w:link w:val="7"/>
    <w:autoRedefine/>
    <w:qFormat/>
    <w:uiPriority w:val="0"/>
    <w:rPr>
      <w:rFonts w:ascii="Arial" w:hAnsi="Arial" w:eastAsia="黑体"/>
      <w:b/>
      <w:bCs/>
      <w:kern w:val="2"/>
      <w:sz w:val="28"/>
      <w:szCs w:val="28"/>
    </w:rPr>
  </w:style>
  <w:style w:type="character" w:customStyle="1" w:styleId="54">
    <w:name w:val="标题 5 Char"/>
    <w:link w:val="8"/>
    <w:autoRedefine/>
    <w:qFormat/>
    <w:uiPriority w:val="0"/>
    <w:rPr>
      <w:rFonts w:ascii="Calibri" w:hAnsi="Calibri"/>
      <w:b/>
      <w:bCs/>
      <w:kern w:val="2"/>
      <w:sz w:val="28"/>
      <w:szCs w:val="28"/>
    </w:rPr>
  </w:style>
  <w:style w:type="character" w:customStyle="1" w:styleId="55">
    <w:name w:val="标题 6 Char"/>
    <w:link w:val="9"/>
    <w:autoRedefine/>
    <w:qFormat/>
    <w:uiPriority w:val="0"/>
    <w:rPr>
      <w:b/>
      <w:bCs/>
      <w:kern w:val="2"/>
      <w:sz w:val="30"/>
      <w:szCs w:val="18"/>
    </w:rPr>
  </w:style>
  <w:style w:type="character" w:customStyle="1" w:styleId="56">
    <w:name w:val="标题 7 Char"/>
    <w:link w:val="10"/>
    <w:autoRedefine/>
    <w:qFormat/>
    <w:uiPriority w:val="0"/>
    <w:rPr>
      <w:b/>
      <w:bCs/>
      <w:kern w:val="2"/>
      <w:sz w:val="30"/>
      <w:szCs w:val="18"/>
    </w:rPr>
  </w:style>
  <w:style w:type="character" w:customStyle="1" w:styleId="57">
    <w:name w:val="标题 8 Char"/>
    <w:link w:val="11"/>
    <w:autoRedefine/>
    <w:qFormat/>
    <w:uiPriority w:val="0"/>
    <w:rPr>
      <w:b/>
      <w:bCs/>
      <w:kern w:val="2"/>
      <w:sz w:val="30"/>
      <w:szCs w:val="18"/>
    </w:rPr>
  </w:style>
  <w:style w:type="character" w:customStyle="1" w:styleId="58">
    <w:name w:val="标题 9 Char"/>
    <w:link w:val="12"/>
    <w:autoRedefine/>
    <w:qFormat/>
    <w:uiPriority w:val="0"/>
    <w:rPr>
      <w:b/>
      <w:bCs/>
      <w:kern w:val="2"/>
      <w:sz w:val="30"/>
      <w:szCs w:val="18"/>
    </w:rPr>
  </w:style>
  <w:style w:type="character" w:customStyle="1" w:styleId="59">
    <w:name w:val="正文缩进 Char"/>
    <w:link w:val="13"/>
    <w:autoRedefine/>
    <w:qFormat/>
    <w:uiPriority w:val="0"/>
    <w:rPr>
      <w:rFonts w:ascii="Calibri" w:hAnsi="Calibri" w:eastAsia="宋体"/>
      <w:kern w:val="2"/>
      <w:sz w:val="21"/>
      <w:szCs w:val="22"/>
      <w:lang w:val="en-US" w:eastAsia="zh-CN" w:bidi="ar-SA"/>
    </w:rPr>
  </w:style>
  <w:style w:type="character" w:customStyle="1" w:styleId="60">
    <w:name w:val="文档结构图 Char"/>
    <w:basedOn w:val="40"/>
    <w:link w:val="15"/>
    <w:autoRedefine/>
    <w:qFormat/>
    <w:uiPriority w:val="0"/>
    <w:rPr>
      <w:rFonts w:ascii="宋体" w:hAnsi="Calibri"/>
      <w:kern w:val="2"/>
      <w:sz w:val="18"/>
      <w:szCs w:val="18"/>
    </w:rPr>
  </w:style>
  <w:style w:type="character" w:customStyle="1" w:styleId="61">
    <w:name w:val="批注文字 Char"/>
    <w:basedOn w:val="40"/>
    <w:link w:val="17"/>
    <w:autoRedefine/>
    <w:qFormat/>
    <w:uiPriority w:val="0"/>
    <w:rPr>
      <w:rFonts w:ascii="Calibri" w:hAnsi="Calibri"/>
      <w:kern w:val="2"/>
      <w:sz w:val="21"/>
      <w:szCs w:val="22"/>
    </w:rPr>
  </w:style>
  <w:style w:type="character" w:customStyle="1" w:styleId="62">
    <w:name w:val="纯文本 Char"/>
    <w:link w:val="21"/>
    <w:autoRedefine/>
    <w:qFormat/>
    <w:locked/>
    <w:uiPriority w:val="0"/>
    <w:rPr>
      <w:rFonts w:ascii="宋体" w:hAnsi="Courier New" w:eastAsia="宋体" w:cs="Courier New"/>
      <w:kern w:val="2"/>
      <w:sz w:val="21"/>
      <w:szCs w:val="21"/>
    </w:rPr>
  </w:style>
  <w:style w:type="character" w:customStyle="1" w:styleId="63">
    <w:name w:val="页眉 Char"/>
    <w:link w:val="27"/>
    <w:autoRedefine/>
    <w:qFormat/>
    <w:uiPriority w:val="99"/>
    <w:rPr>
      <w:rFonts w:ascii="Calibri" w:hAnsi="Calibri" w:eastAsia="宋体" w:cs="Times New Roman"/>
      <w:kern w:val="2"/>
      <w:sz w:val="18"/>
      <w:szCs w:val="18"/>
    </w:rPr>
  </w:style>
  <w:style w:type="character" w:customStyle="1" w:styleId="64">
    <w:name w:val="正文文本缩进 3 Char"/>
    <w:basedOn w:val="40"/>
    <w:link w:val="31"/>
    <w:autoRedefine/>
    <w:semiHidden/>
    <w:qFormat/>
    <w:uiPriority w:val="0"/>
    <w:rPr>
      <w:rFonts w:ascii="Calibri" w:hAnsi="Calibri"/>
      <w:kern w:val="2"/>
      <w:sz w:val="16"/>
      <w:szCs w:val="16"/>
    </w:rPr>
  </w:style>
  <w:style w:type="character" w:customStyle="1" w:styleId="65">
    <w:name w:val="标题 Char"/>
    <w:link w:val="35"/>
    <w:autoRedefine/>
    <w:qFormat/>
    <w:uiPriority w:val="0"/>
    <w:rPr>
      <w:rFonts w:ascii="宋体" w:hAnsi="宋体" w:eastAsia="宋体"/>
      <w:b/>
      <w:kern w:val="2"/>
      <w:sz w:val="44"/>
      <w:szCs w:val="28"/>
    </w:rPr>
  </w:style>
  <w:style w:type="character" w:customStyle="1" w:styleId="66">
    <w:name w:val="批注主题 Char"/>
    <w:link w:val="36"/>
    <w:autoRedefine/>
    <w:qFormat/>
    <w:uiPriority w:val="99"/>
    <w:rPr>
      <w:b/>
      <w:kern w:val="2"/>
      <w:sz w:val="28"/>
    </w:rPr>
  </w:style>
  <w:style w:type="character" w:customStyle="1" w:styleId="67">
    <w:name w:val="标题 3 Char"/>
    <w:link w:val="6"/>
    <w:autoRedefine/>
    <w:qFormat/>
    <w:uiPriority w:val="0"/>
    <w:rPr>
      <w:rFonts w:ascii="仿宋_GB2312" w:hAnsi="宋体" w:eastAsia="宋体"/>
      <w:b/>
      <w:kern w:val="2"/>
      <w:sz w:val="32"/>
      <w:szCs w:val="32"/>
    </w:rPr>
  </w:style>
  <w:style w:type="paragraph" w:customStyle="1" w:styleId="68">
    <w:name w:val="标题 5（有编号）（绿盟科技）"/>
    <w:basedOn w:val="1"/>
    <w:next w:val="69"/>
    <w:autoRedefine/>
    <w:qFormat/>
    <w:uiPriority w:val="0"/>
    <w:pPr>
      <w:keepNext/>
      <w:keepLines/>
      <w:numPr>
        <w:ilvl w:val="4"/>
        <w:numId w:val="1"/>
      </w:numPr>
      <w:spacing w:before="280" w:after="156" w:line="377" w:lineRule="auto"/>
      <w:jc w:val="left"/>
      <w:outlineLvl w:val="4"/>
    </w:pPr>
    <w:rPr>
      <w:rFonts w:ascii="Arial" w:hAnsi="Arial" w:eastAsia="黑体" w:cs="Times New Roman"/>
      <w:b/>
      <w:sz w:val="24"/>
      <w:szCs w:val="28"/>
    </w:rPr>
  </w:style>
  <w:style w:type="paragraph" w:customStyle="1" w:styleId="69">
    <w:name w:val="正文（绿盟科技）"/>
    <w:autoRedefine/>
    <w:qFormat/>
    <w:uiPriority w:val="0"/>
    <w:pPr>
      <w:spacing w:line="300" w:lineRule="auto"/>
    </w:pPr>
    <w:rPr>
      <w:rFonts w:ascii="Arial" w:hAnsi="Arial" w:eastAsia="宋体" w:cs="黑体"/>
      <w:sz w:val="21"/>
      <w:szCs w:val="21"/>
      <w:lang w:val="en-US" w:eastAsia="zh-CN" w:bidi="ar-SA"/>
    </w:rPr>
  </w:style>
  <w:style w:type="character" w:customStyle="1" w:styleId="70">
    <w:name w:val="批注主题 Char1"/>
    <w:basedOn w:val="61"/>
    <w:autoRedefine/>
    <w:qFormat/>
    <w:uiPriority w:val="0"/>
    <w:rPr>
      <w:rFonts w:ascii="Calibri" w:hAnsi="Calibri"/>
      <w:b/>
      <w:bCs/>
      <w:kern w:val="2"/>
      <w:sz w:val="21"/>
      <w:szCs w:val="22"/>
    </w:rPr>
  </w:style>
  <w:style w:type="character" w:customStyle="1" w:styleId="71">
    <w:name w:val="普通文字 Char Char2"/>
    <w:autoRedefine/>
    <w:qFormat/>
    <w:uiPriority w:val="0"/>
    <w:rPr>
      <w:rFonts w:ascii="宋体" w:hAnsi="Courier New" w:cs="Courier New"/>
      <w:kern w:val="2"/>
      <w:sz w:val="21"/>
      <w:szCs w:val="21"/>
    </w:rPr>
  </w:style>
  <w:style w:type="character" w:customStyle="1" w:styleId="72">
    <w:name w:val="font21"/>
    <w:basedOn w:val="40"/>
    <w:autoRedefine/>
    <w:qFormat/>
    <w:uiPriority w:val="0"/>
    <w:rPr>
      <w:rFonts w:hint="eastAsia" w:ascii="宋体" w:hAnsi="宋体" w:eastAsia="宋体" w:cs="宋体"/>
      <w:color w:val="000000"/>
      <w:sz w:val="24"/>
      <w:szCs w:val="24"/>
      <w:u w:val="none"/>
    </w:rPr>
  </w:style>
  <w:style w:type="character" w:customStyle="1" w:styleId="73">
    <w:name w:val="需求样式 Char"/>
    <w:link w:val="74"/>
    <w:autoRedefine/>
    <w:qFormat/>
    <w:uiPriority w:val="0"/>
    <w:rPr>
      <w:b/>
      <w:bCs/>
      <w:kern w:val="44"/>
      <w:sz w:val="32"/>
      <w:szCs w:val="28"/>
    </w:rPr>
  </w:style>
  <w:style w:type="paragraph" w:customStyle="1" w:styleId="74">
    <w:name w:val="需求样式"/>
    <w:basedOn w:val="4"/>
    <w:link w:val="73"/>
    <w:autoRedefine/>
    <w:qFormat/>
    <w:uiPriority w:val="0"/>
    <w:pPr>
      <w:spacing w:before="120" w:after="120" w:line="360" w:lineRule="auto"/>
      <w:ind w:left="425" w:hanging="425"/>
    </w:pPr>
    <w:rPr>
      <w:rFonts w:ascii="Calibri" w:hAnsi="Calibri"/>
      <w:szCs w:val="28"/>
    </w:rPr>
  </w:style>
  <w:style w:type="character" w:customStyle="1" w:styleId="75">
    <w:name w:val="bookmark-item uuid-1536114797846 code-23002"/>
    <w:basedOn w:val="40"/>
    <w:autoRedefine/>
    <w:qFormat/>
    <w:uiPriority w:val="0"/>
  </w:style>
  <w:style w:type="character" w:customStyle="1" w:styleId="76">
    <w:name w:val="font51"/>
    <w:basedOn w:val="40"/>
    <w:autoRedefine/>
    <w:qFormat/>
    <w:uiPriority w:val="0"/>
    <w:rPr>
      <w:rFonts w:hint="eastAsia" w:ascii="宋体" w:hAnsi="宋体" w:eastAsia="宋体" w:cs="宋体"/>
      <w:color w:val="000000"/>
      <w:sz w:val="20"/>
      <w:szCs w:val="20"/>
      <w:u w:val="none"/>
    </w:rPr>
  </w:style>
  <w:style w:type="character" w:customStyle="1" w:styleId="77">
    <w:name w:val="2册标题2 Char"/>
    <w:link w:val="78"/>
    <w:autoRedefine/>
    <w:qFormat/>
    <w:uiPriority w:val="0"/>
    <w:rPr>
      <w:rFonts w:ascii="Arial" w:hAnsi="Arial" w:eastAsia="黑体"/>
      <w:kern w:val="2"/>
      <w:sz w:val="30"/>
    </w:rPr>
  </w:style>
  <w:style w:type="paragraph" w:customStyle="1" w:styleId="78">
    <w:name w:val="2册标题2"/>
    <w:basedOn w:val="1"/>
    <w:next w:val="1"/>
    <w:link w:val="77"/>
    <w:autoRedefine/>
    <w:qFormat/>
    <w:uiPriority w:val="0"/>
    <w:pPr>
      <w:spacing w:beforeLines="50" w:afterLines="50" w:line="300" w:lineRule="auto"/>
      <w:outlineLvl w:val="1"/>
    </w:pPr>
    <w:rPr>
      <w:rFonts w:ascii="Arial" w:hAnsi="Arial" w:eastAsia="黑体"/>
      <w:sz w:val="30"/>
      <w:szCs w:val="20"/>
    </w:rPr>
  </w:style>
  <w:style w:type="character" w:customStyle="1" w:styleId="79">
    <w:name w:val="font81"/>
    <w:basedOn w:val="40"/>
    <w:autoRedefine/>
    <w:qFormat/>
    <w:uiPriority w:val="0"/>
    <w:rPr>
      <w:rFonts w:hint="default" w:ascii="Calibri" w:hAnsi="Calibri" w:cs="Calibri"/>
      <w:color w:val="000000"/>
      <w:sz w:val="20"/>
      <w:szCs w:val="20"/>
      <w:u w:val="none"/>
    </w:rPr>
  </w:style>
  <w:style w:type="character" w:customStyle="1" w:styleId="80">
    <w:name w:val="case31"/>
    <w:autoRedefine/>
    <w:qFormat/>
    <w:uiPriority w:val="0"/>
    <w:rPr>
      <w:rFonts w:hint="default"/>
      <w:spacing w:val="390"/>
      <w:sz w:val="21"/>
      <w:szCs w:val="21"/>
    </w:rPr>
  </w:style>
  <w:style w:type="character" w:customStyle="1" w:styleId="81">
    <w:name w:val="font41"/>
    <w:basedOn w:val="40"/>
    <w:autoRedefine/>
    <w:qFormat/>
    <w:uiPriority w:val="0"/>
    <w:rPr>
      <w:rFonts w:hint="eastAsia" w:ascii="宋体" w:hAnsi="宋体" w:eastAsia="宋体" w:cs="宋体"/>
      <w:b/>
      <w:color w:val="000000"/>
      <w:sz w:val="18"/>
      <w:szCs w:val="18"/>
      <w:u w:val="none"/>
    </w:rPr>
  </w:style>
  <w:style w:type="paragraph" w:customStyle="1" w:styleId="82">
    <w:name w:val="Normal_16"/>
    <w:autoRedefine/>
    <w:qFormat/>
    <w:uiPriority w:val="0"/>
    <w:rPr>
      <w:rFonts w:ascii="黑体" w:hAnsi="黑体" w:eastAsia="黑体" w:cs="Times New Roman"/>
      <w:b/>
      <w:sz w:val="32"/>
      <w:szCs w:val="24"/>
      <w:lang w:val="en-US" w:eastAsia="zh-CN" w:bidi="ar-SA"/>
    </w:rPr>
  </w:style>
  <w:style w:type="paragraph" w:customStyle="1" w:styleId="83">
    <w:name w:val="默认段落字体 Para Char"/>
    <w:basedOn w:val="1"/>
    <w:autoRedefine/>
    <w:qFormat/>
    <w:uiPriority w:val="0"/>
    <w:pPr>
      <w:adjustRightInd w:val="0"/>
      <w:spacing w:line="360" w:lineRule="auto"/>
    </w:pPr>
    <w:rPr>
      <w:rFonts w:eastAsia="微软雅黑"/>
      <w:szCs w:val="24"/>
    </w:rPr>
  </w:style>
  <w:style w:type="paragraph" w:customStyle="1" w:styleId="84">
    <w:name w:val="SF正文"/>
    <w:basedOn w:val="1"/>
    <w:autoRedefine/>
    <w:qFormat/>
    <w:uiPriority w:val="0"/>
    <w:pPr>
      <w:spacing w:line="460" w:lineRule="exact"/>
      <w:ind w:firstLine="200" w:firstLineChars="200"/>
    </w:pPr>
    <w:rPr>
      <w:rFonts w:ascii="Century Gothic" w:hAnsi="Century Gothic" w:eastAsia="宋体"/>
      <w:sz w:val="24"/>
      <w:szCs w:val="24"/>
    </w:rPr>
  </w:style>
  <w:style w:type="paragraph" w:customStyle="1" w:styleId="85">
    <w:name w:val="No Spacing"/>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88">
    <w:name w:val="缺省文本"/>
    <w:autoRedefine/>
    <w:qFormat/>
    <w:uiPriority w:val="0"/>
    <w:pPr>
      <w:widowControl w:val="0"/>
      <w:autoSpaceDE w:val="0"/>
      <w:autoSpaceDN w:val="0"/>
      <w:adjustRightInd w:val="0"/>
      <w:spacing w:after="0" w:line="240" w:lineRule="auto"/>
    </w:pPr>
    <w:rPr>
      <w:rFonts w:ascii="Times New Roman" w:hAnsi="Times New Roman" w:eastAsia="宋体" w:cs="Times New Roman"/>
      <w:color w:val="000000"/>
      <w:sz w:val="20"/>
      <w:szCs w:val="20"/>
      <w:lang w:val="en-US" w:eastAsia="zh-CN" w:bidi="ar-SA"/>
    </w:rPr>
  </w:style>
  <w:style w:type="paragraph" w:customStyle="1" w:styleId="89">
    <w:name w:val="标书正文"/>
    <w:basedOn w:val="1"/>
    <w:autoRedefine/>
    <w:qFormat/>
    <w:uiPriority w:val="99"/>
    <w:pPr>
      <w:spacing w:line="560" w:lineRule="exact"/>
      <w:ind w:firstLine="723" w:firstLineChars="200"/>
      <w:jc w:val="center"/>
    </w:pPr>
    <w:rPr>
      <w:rFonts w:ascii="仿宋_GB2312" w:eastAsia="仿宋_GB2312"/>
      <w:b/>
      <w:sz w:val="36"/>
    </w:rPr>
  </w:style>
  <w:style w:type="paragraph" w:customStyle="1" w:styleId="90">
    <w:name w:val="È±Ê¡ÎÄ±¾"/>
    <w:basedOn w:val="1"/>
    <w:autoRedefine/>
    <w:qFormat/>
    <w:uiPriority w:val="0"/>
    <w:pPr>
      <w:widowControl/>
      <w:overflowPunct w:val="0"/>
      <w:autoSpaceDE w:val="0"/>
      <w:autoSpaceDN w:val="0"/>
      <w:adjustRightInd w:val="0"/>
      <w:jc w:val="left"/>
    </w:pPr>
    <w:rPr>
      <w:kern w:val="0"/>
      <w:sz w:val="24"/>
    </w:rPr>
  </w:style>
  <w:style w:type="paragraph" w:customStyle="1" w:styleId="91">
    <w:name w:val="正文_1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3">
    <w:name w:val="日期_0"/>
    <w:basedOn w:val="86"/>
    <w:next w:val="86"/>
    <w:autoRedefine/>
    <w:qFormat/>
    <w:uiPriority w:val="0"/>
    <w:pPr>
      <w:ind w:left="100" w:leftChars="2500"/>
    </w:pPr>
    <w:rPr>
      <w:kern w:val="0"/>
      <w:sz w:val="20"/>
    </w:rPr>
  </w:style>
  <w:style w:type="paragraph" w:customStyle="1" w:styleId="94">
    <w:name w:val="Normal_5"/>
    <w:autoRedefine/>
    <w:qFormat/>
    <w:uiPriority w:val="0"/>
    <w:rPr>
      <w:rFonts w:ascii="黑体" w:hAnsi="黑体" w:eastAsia="黑体" w:cs="Times New Roman"/>
      <w:b/>
      <w:sz w:val="32"/>
      <w:szCs w:val="24"/>
      <w:lang w:val="en-US" w:eastAsia="zh-CN" w:bidi="ar-SA"/>
    </w:rPr>
  </w:style>
  <w:style w:type="paragraph" w:customStyle="1" w:styleId="95">
    <w:name w:val="正文_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
    <w:name w:val="正文_1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98">
    <w:name w:val="列出段落1"/>
    <w:basedOn w:val="1"/>
    <w:autoRedefine/>
    <w:qFormat/>
    <w:uiPriority w:val="34"/>
    <w:pPr>
      <w:ind w:firstLine="420" w:firstLineChars="200"/>
    </w:pPr>
  </w:style>
  <w:style w:type="paragraph" w:customStyle="1" w:styleId="99">
    <w:name w:val="正文_1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0">
    <w:name w:val="Normal"/>
    <w:autoRedefine/>
    <w:qFormat/>
    <w:uiPriority w:val="0"/>
    <w:rPr>
      <w:rFonts w:ascii="Times New Roman" w:hAnsi="Times New Roman" w:eastAsia="Times New Roman" w:cs="Times New Roman"/>
      <w:sz w:val="24"/>
      <w:szCs w:val="24"/>
      <w:lang w:val="en-US" w:eastAsia="zh-CN" w:bidi="ar-SA"/>
    </w:rPr>
  </w:style>
  <w:style w:type="paragraph" w:customStyle="1" w:styleId="101">
    <w:name w:val="样式3"/>
    <w:basedOn w:val="21"/>
    <w:autoRedefine/>
    <w:qFormat/>
    <w:uiPriority w:val="0"/>
    <w:pPr>
      <w:spacing w:line="240" w:lineRule="atLeast"/>
      <w:outlineLvl w:val="0"/>
    </w:pPr>
    <w:rPr>
      <w:sz w:val="28"/>
      <w:szCs w:val="24"/>
    </w:rPr>
  </w:style>
  <w:style w:type="paragraph" w:customStyle="1" w:styleId="102">
    <w:name w:val="标题 2_0_0"/>
    <w:basedOn w:val="103"/>
    <w:next w:val="97"/>
    <w:autoRedefine/>
    <w:qFormat/>
    <w:uiPriority w:val="0"/>
    <w:pPr>
      <w:outlineLvl w:val="1"/>
    </w:pPr>
    <w:rPr>
      <w:rFonts w:ascii="Calibri" w:hAnsi="Calibri" w:eastAsia="宋体"/>
      <w:lang w:eastAsia="zh-CN"/>
    </w:rPr>
  </w:style>
  <w:style w:type="paragraph" w:customStyle="1" w:styleId="103">
    <w:name w:val="标题 3_0_0"/>
    <w:basedOn w:val="104"/>
    <w:next w:val="104"/>
    <w:autoRedefine/>
    <w:qFormat/>
    <w:uiPriority w:val="0"/>
    <w:pPr>
      <w:keepNext/>
      <w:keepLines/>
      <w:spacing w:before="120" w:after="120" w:line="360" w:lineRule="auto"/>
      <w:jc w:val="center"/>
      <w:outlineLvl w:val="2"/>
    </w:pPr>
    <w:rPr>
      <w:rFonts w:ascii="宋体" w:hAnsi="宋体"/>
      <w:b/>
      <w:bCs/>
      <w:kern w:val="0"/>
      <w:sz w:val="36"/>
      <w:szCs w:val="18"/>
    </w:rPr>
  </w:style>
  <w:style w:type="paragraph" w:customStyle="1" w:styleId="104">
    <w:name w:val="正文_0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105">
    <w:name w:val="Normal_11"/>
    <w:autoRedefine/>
    <w:qFormat/>
    <w:uiPriority w:val="0"/>
    <w:rPr>
      <w:rFonts w:ascii="黑体" w:hAnsi="黑体" w:eastAsia="黑体" w:cs="Times New Roman"/>
      <w:b/>
      <w:sz w:val="32"/>
      <w:szCs w:val="24"/>
      <w:lang w:val="en-US" w:eastAsia="zh-CN" w:bidi="ar-SA"/>
    </w:rPr>
  </w:style>
  <w:style w:type="paragraph" w:customStyle="1" w:styleId="106">
    <w:name w:val="TOC 标题1"/>
    <w:basedOn w:val="4"/>
    <w:next w:val="1"/>
    <w:autoRedefine/>
    <w:qFormat/>
    <w:uiPriority w:val="39"/>
    <w:pPr>
      <w:widowControl/>
      <w:spacing w:before="480" w:after="0" w:line="276" w:lineRule="auto"/>
      <w:jc w:val="left"/>
      <w:outlineLvl w:val="9"/>
    </w:pPr>
    <w:rPr>
      <w:rFonts w:ascii="Cambria" w:hAnsi="Cambria"/>
      <w:color w:val="365F91"/>
      <w:kern w:val="0"/>
      <w:sz w:val="28"/>
    </w:rPr>
  </w:style>
  <w:style w:type="paragraph" w:customStyle="1" w:styleId="107">
    <w:name w:val="标题 3_0"/>
    <w:basedOn w:val="87"/>
    <w:next w:val="87"/>
    <w:autoRedefine/>
    <w:qFormat/>
    <w:uiPriority w:val="0"/>
    <w:pPr>
      <w:adjustRightInd w:val="0"/>
      <w:snapToGrid w:val="0"/>
      <w:spacing w:line="500" w:lineRule="exact"/>
      <w:ind w:left="0" w:firstLine="0"/>
      <w:jc w:val="center"/>
      <w:outlineLvl w:val="2"/>
    </w:pPr>
    <w:rPr>
      <w:rFonts w:ascii="宋体" w:hAnsi="宋体" w:eastAsia="宋体"/>
      <w:b/>
      <w:sz w:val="32"/>
      <w:szCs w:val="32"/>
    </w:rPr>
  </w:style>
  <w:style w:type="paragraph" w:customStyle="1" w:styleId="108">
    <w:name w:val="修订1"/>
    <w:autoRedefine/>
    <w:semiHidden/>
    <w:qFormat/>
    <w:uiPriority w:val="99"/>
    <w:rPr>
      <w:rFonts w:ascii="Times New Roman" w:hAnsi="Times New Roman" w:eastAsia="宋体" w:cs="Times New Roman"/>
      <w:kern w:val="2"/>
      <w:sz w:val="21"/>
      <w:szCs w:val="22"/>
      <w:lang w:val="en-US" w:eastAsia="zh-CN" w:bidi="ar-SA"/>
    </w:rPr>
  </w:style>
  <w:style w:type="paragraph" w:customStyle="1" w:styleId="109">
    <w:name w:val="正文文本缩进_1"/>
    <w:basedOn w:val="95"/>
    <w:autoRedefine/>
    <w:qFormat/>
    <w:uiPriority w:val="0"/>
    <w:pPr>
      <w:spacing w:line="500" w:lineRule="exact"/>
      <w:ind w:left="1588" w:leftChars="832" w:firstLine="433" w:firstLineChars="196"/>
    </w:pPr>
    <w:rPr>
      <w:kern w:val="0"/>
      <w:sz w:val="24"/>
    </w:rPr>
  </w:style>
  <w:style w:type="paragraph" w:customStyle="1" w:styleId="110">
    <w:name w:val="样式 样式 样式 左侧:  2 字符1 + 首行缩进:  2 字符1 + 首行缩进:  2 字符"/>
    <w:basedOn w:val="1"/>
    <w:autoRedefine/>
    <w:qFormat/>
    <w:uiPriority w:val="0"/>
    <w:pPr>
      <w:widowControl/>
      <w:adjustRightInd w:val="0"/>
      <w:spacing w:before="60" w:beforeLines="0" w:after="120" w:afterLines="0" w:line="440" w:lineRule="atLeast"/>
      <w:ind w:firstLine="480"/>
      <w:textAlignment w:val="baseline"/>
    </w:pPr>
    <w:rPr>
      <w:sz w:val="24"/>
    </w:rPr>
  </w:style>
  <w:style w:type="paragraph" w:customStyle="1" w:styleId="111">
    <w:name w:val="样式1"/>
    <w:basedOn w:val="1"/>
    <w:autoRedefine/>
    <w:qFormat/>
    <w:uiPriority w:val="0"/>
    <w:pPr>
      <w:tabs>
        <w:tab w:val="left" w:pos="709"/>
      </w:tabs>
      <w:adjustRightInd w:val="0"/>
      <w:ind w:left="709" w:hanging="709"/>
      <w:textAlignment w:val="baseline"/>
    </w:pPr>
    <w:rPr>
      <w:rFonts w:ascii="宋体" w:hAnsi="宋体"/>
      <w:kern w:val="0"/>
      <w:szCs w:val="21"/>
    </w:rPr>
  </w:style>
  <w:style w:type="paragraph" w:customStyle="1" w:styleId="112">
    <w:name w:val="正文文本_1"/>
    <w:basedOn w:val="99"/>
    <w:autoRedefine/>
    <w:qFormat/>
    <w:uiPriority w:val="0"/>
    <w:pPr>
      <w:spacing w:after="120"/>
    </w:pPr>
    <w:rPr>
      <w:kern w:val="0"/>
      <w:sz w:val="20"/>
    </w:rPr>
  </w:style>
  <w:style w:type="paragraph" w:customStyle="1" w:styleId="113">
    <w:name w:val="正文 New New New New New New"/>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114">
    <w:name w:val="列出段落2"/>
    <w:basedOn w:val="1"/>
    <w:autoRedefine/>
    <w:qFormat/>
    <w:uiPriority w:val="34"/>
    <w:pPr>
      <w:ind w:firstLine="420" w:firstLineChars="200"/>
    </w:pPr>
    <w:rPr>
      <w:rFonts w:ascii="Calibri" w:hAnsi="Calibri" w:eastAsia="宋体" w:cs="Times New Roman"/>
    </w:rPr>
  </w:style>
  <w:style w:type="paragraph" w:customStyle="1" w:styleId="115">
    <w:name w:val="Normal_3"/>
    <w:autoRedefine/>
    <w:qFormat/>
    <w:uiPriority w:val="0"/>
    <w:rPr>
      <w:rFonts w:ascii="黑体" w:hAnsi="黑体" w:eastAsia="黑体" w:cs="Times New Roman"/>
      <w:b/>
      <w:sz w:val="32"/>
      <w:szCs w:val="24"/>
      <w:lang w:val="en-US" w:eastAsia="zh-CN" w:bidi="ar-SA"/>
    </w:rPr>
  </w:style>
  <w:style w:type="paragraph" w:customStyle="1" w:styleId="116">
    <w:name w:val="_Style 70"/>
    <w:basedOn w:val="1"/>
    <w:next w:val="117"/>
    <w:autoRedefine/>
    <w:qFormat/>
    <w:uiPriority w:val="99"/>
    <w:pPr>
      <w:ind w:firstLine="420" w:firstLineChars="200"/>
    </w:pPr>
    <w:rPr>
      <w:rFonts w:ascii="Calibri" w:hAnsi="Calibri"/>
      <w:szCs w:val="22"/>
    </w:rPr>
  </w:style>
  <w:style w:type="paragraph" w:styleId="117">
    <w:name w:val="List Paragraph"/>
    <w:basedOn w:val="1"/>
    <w:autoRedefine/>
    <w:qFormat/>
    <w:uiPriority w:val="1"/>
    <w:pPr>
      <w:ind w:firstLine="420" w:firstLineChars="200"/>
    </w:pPr>
  </w:style>
  <w:style w:type="paragraph" w:customStyle="1" w:styleId="118">
    <w:name w:val="正文文本缩进_0_0"/>
    <w:basedOn w:val="92"/>
    <w:autoRedefine/>
    <w:qFormat/>
    <w:uiPriority w:val="0"/>
    <w:pPr>
      <w:spacing w:line="500" w:lineRule="exact"/>
      <w:ind w:left="1588" w:leftChars="832" w:firstLine="433" w:firstLineChars="196"/>
    </w:pPr>
    <w:rPr>
      <w:kern w:val="0"/>
      <w:sz w:val="24"/>
    </w:rPr>
  </w:style>
  <w:style w:type="paragraph" w:customStyle="1" w:styleId="119">
    <w:name w:val="Table Paragraph"/>
    <w:basedOn w:val="1"/>
    <w:autoRedefine/>
    <w:qFormat/>
    <w:uiPriority w:val="1"/>
    <w:rPr>
      <w:rFonts w:ascii="宋体" w:hAnsi="宋体" w:eastAsia="宋体" w:cs="宋体"/>
      <w:lang w:val="zh-CN" w:eastAsia="zh-CN" w:bidi="zh-CN"/>
    </w:rPr>
  </w:style>
  <w:style w:type="paragraph" w:customStyle="1" w:styleId="120">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
    <w:name w:val="Normal_13"/>
    <w:autoRedefine/>
    <w:qFormat/>
    <w:uiPriority w:val="0"/>
    <w:rPr>
      <w:rFonts w:ascii="黑体" w:hAnsi="黑体" w:eastAsia="黑体" w:cs="Times New Roman"/>
      <w:b/>
      <w:sz w:val="32"/>
      <w:szCs w:val="24"/>
      <w:lang w:val="en-US" w:eastAsia="zh-CN" w:bidi="ar-SA"/>
    </w:rPr>
  </w:style>
  <w:style w:type="paragraph" w:customStyle="1" w:styleId="122">
    <w:name w:val="标题 2_0"/>
    <w:basedOn w:val="87"/>
    <w:next w:val="87"/>
    <w:autoRedefine/>
    <w:qFormat/>
    <w:uiPriority w:val="0"/>
    <w:pPr>
      <w:keepNext/>
      <w:keepLines/>
      <w:spacing w:before="260" w:after="260" w:line="416" w:lineRule="auto"/>
      <w:ind w:left="0" w:firstLine="0"/>
      <w:jc w:val="center"/>
      <w:outlineLvl w:val="1"/>
    </w:pPr>
    <w:rPr>
      <w:rFonts w:ascii="Calibri Light" w:hAnsi="Calibri Light" w:eastAsia="宋体" w:cs="Times New Roman"/>
      <w:b/>
      <w:bCs/>
      <w:sz w:val="32"/>
      <w:szCs w:val="32"/>
    </w:rPr>
  </w:style>
  <w:style w:type="paragraph" w:customStyle="1" w:styleId="123">
    <w:name w:val="正文_0_0_1"/>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124">
    <w:name w:val="正文空2格  1."/>
    <w:basedOn w:val="1"/>
    <w:autoRedefine/>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paragraph" w:customStyle="1" w:styleId="125">
    <w:name w:val="TOC Heading"/>
    <w:basedOn w:val="4"/>
    <w:next w:val="1"/>
    <w:autoRedefine/>
    <w:unhideWhenUsed/>
    <w:qFormat/>
    <w:uiPriority w:val="39"/>
    <w:pPr>
      <w:widowControl/>
      <w:spacing w:before="240" w:after="0" w:line="259" w:lineRule="auto"/>
      <w:jc w:val="left"/>
      <w:outlineLvl w:val="9"/>
    </w:pPr>
    <w:rPr>
      <w:rFonts w:ascii="Cambria" w:hAnsi="Cambria" w:eastAsia="宋体" w:cs="Times New Roman"/>
      <w:bCs w:val="0"/>
      <w:color w:val="366091"/>
      <w:kern w:val="0"/>
      <w:sz w:val="32"/>
      <w:szCs w:val="32"/>
    </w:rPr>
  </w:style>
  <w:style w:type="paragraph" w:customStyle="1" w:styleId="126">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27">
    <w:name w:val="样式2"/>
    <w:basedOn w:val="1"/>
    <w:autoRedefine/>
    <w:qFormat/>
    <w:uiPriority w:val="0"/>
    <w:pPr>
      <w:adjustRightInd w:val="0"/>
      <w:spacing w:line="410" w:lineRule="atLeast"/>
      <w:jc w:val="left"/>
      <w:textAlignment w:val="baseline"/>
    </w:pPr>
    <w:rPr>
      <w:rFonts w:ascii="Times New Roman" w:hAnsi="Times New Roman" w:eastAsia="宋体" w:cs="Times New Roman"/>
      <w:kern w:val="0"/>
      <w:sz w:val="24"/>
      <w:szCs w:val="20"/>
    </w:rPr>
  </w:style>
  <w:style w:type="paragraph" w:customStyle="1" w:styleId="128">
    <w:name w:val="段"/>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character" w:customStyle="1" w:styleId="129">
    <w:name w:val="font31"/>
    <w:basedOn w:val="40"/>
    <w:autoRedefine/>
    <w:qFormat/>
    <w:uiPriority w:val="0"/>
    <w:rPr>
      <w:rFonts w:hint="eastAsia" w:ascii="宋体" w:hAnsi="宋体" w:eastAsia="宋体" w:cs="宋体"/>
      <w:color w:val="FF0000"/>
      <w:sz w:val="18"/>
      <w:szCs w:val="18"/>
      <w:u w:val="none"/>
    </w:rPr>
  </w:style>
  <w:style w:type="character" w:customStyle="1" w:styleId="130">
    <w:name w:val="NormalCharacter"/>
    <w:autoRedefine/>
    <w:semiHidden/>
    <w:qFormat/>
    <w:uiPriority w:val="0"/>
  </w:style>
  <w:style w:type="paragraph" w:customStyle="1" w:styleId="131">
    <w:name w:val="188"/>
    <w:basedOn w:val="1"/>
    <w:autoRedefine/>
    <w:qFormat/>
    <w:uiPriority w:val="0"/>
    <w:pPr>
      <w:widowControl/>
      <w:spacing w:line="240" w:lineRule="auto"/>
      <w:ind w:left="720"/>
      <w:contextualSpacing/>
      <w:jc w:val="left"/>
      <w:textAlignment w:val="auto"/>
    </w:pPr>
    <w:rPr>
      <w:rFonts w:ascii="Calibri" w:hAnsi="Calibri" w:eastAsia="宋体"/>
      <w:sz w:val="24"/>
      <w:szCs w:val="24"/>
      <w:lang w:val="en-US" w:eastAsia="en-US" w:bidi="ar-SA"/>
    </w:rPr>
  </w:style>
  <w:style w:type="paragraph" w:customStyle="1" w:styleId="132">
    <w:name w:val="List Paragraph1"/>
    <w:basedOn w:val="1"/>
    <w:autoRedefine/>
    <w:qFormat/>
    <w:uiPriority w:val="34"/>
    <w:pPr>
      <w:ind w:firstLine="420" w:firstLineChars="200"/>
    </w:pPr>
  </w:style>
  <w:style w:type="paragraph" w:customStyle="1" w:styleId="133">
    <w:name w:val="答复表头"/>
    <w:basedOn w:val="134"/>
    <w:next w:val="1"/>
    <w:autoRedefine/>
    <w:qFormat/>
    <w:uiPriority w:val="0"/>
    <w:pPr>
      <w:tabs>
        <w:tab w:val="left" w:pos="480"/>
      </w:tabs>
    </w:pPr>
    <w:rPr>
      <w:rFonts w:ascii="Calibri" w:hAnsi="Calibri" w:eastAsia="宋体" w:cs="Times New Roman"/>
      <w:b/>
    </w:rPr>
  </w:style>
  <w:style w:type="paragraph" w:customStyle="1" w:styleId="134">
    <w:name w:val="正表头"/>
    <w:basedOn w:val="1"/>
    <w:autoRedefine/>
    <w:qFormat/>
    <w:uiPriority w:val="0"/>
    <w:pPr>
      <w:tabs>
        <w:tab w:val="left" w:pos="480"/>
      </w:tabs>
      <w:autoSpaceDE w:val="0"/>
      <w:autoSpaceDN w:val="0"/>
      <w:adjustRightInd w:val="0"/>
      <w:jc w:val="center"/>
      <w:textAlignment w:val="baseline"/>
    </w:pPr>
    <w:rPr>
      <w:rFonts w:ascii="宋体" w:hAnsi="Tms Rmn" w:eastAsia="宋体" w:cs="Times New Roman"/>
      <w:color w:val="000000"/>
      <w:kern w:val="0"/>
    </w:rPr>
  </w:style>
  <w:style w:type="character" w:customStyle="1" w:styleId="135">
    <w:name w:val="font11"/>
    <w:basedOn w:val="40"/>
    <w:autoRedefine/>
    <w:qFormat/>
    <w:uiPriority w:val="0"/>
    <w:rPr>
      <w:rFonts w:hint="eastAsia" w:ascii="宋体" w:hAnsi="宋体" w:eastAsia="宋体" w:cs="宋体"/>
      <w:b/>
      <w:bCs/>
      <w:color w:val="000000"/>
      <w:sz w:val="24"/>
      <w:szCs w:val="24"/>
      <w:u w:val="none"/>
    </w:rPr>
  </w:style>
  <w:style w:type="character" w:customStyle="1" w:styleId="136">
    <w:name w:val="font01"/>
    <w:basedOn w:val="40"/>
    <w:autoRedefine/>
    <w:qFormat/>
    <w:uiPriority w:val="0"/>
    <w:rPr>
      <w:rFonts w:hint="eastAsia" w:ascii="宋体" w:hAnsi="宋体" w:eastAsia="宋体" w:cs="宋体"/>
      <w:color w:val="000000"/>
      <w:sz w:val="24"/>
      <w:szCs w:val="24"/>
      <w:u w:val="none"/>
    </w:rPr>
  </w:style>
  <w:style w:type="paragraph" w:customStyle="1" w:styleId="137">
    <w:name w:val="正文文本_0"/>
    <w:basedOn w:val="97"/>
    <w:autoRedefine/>
    <w:qFormat/>
    <w:uiPriority w:val="0"/>
    <w:pPr>
      <w:spacing w:after="120"/>
    </w:pPr>
    <w:rPr>
      <w:kern w:val="0"/>
      <w:sz w:val="20"/>
    </w:rPr>
  </w:style>
  <w:style w:type="character" w:customStyle="1" w:styleId="138">
    <w:name w:val="样式 仿宋"/>
    <w:autoRedefine/>
    <w:qFormat/>
    <w:uiPriority w:val="99"/>
    <w:rPr>
      <w:rFonts w:ascii="仿宋" w:hAnsi="仿宋" w:eastAsia="仿宋"/>
      <w:kern w:val="1"/>
    </w:rPr>
  </w:style>
  <w:style w:type="paragraph" w:customStyle="1" w:styleId="139">
    <w:name w:val="列表段落1"/>
    <w:basedOn w:val="1"/>
    <w:autoRedefine/>
    <w:qFormat/>
    <w:uiPriority w:val="34"/>
    <w:pPr>
      <w:ind w:firstLine="420" w:firstLineChars="200"/>
      <w:jc w:val="left"/>
    </w:pPr>
    <w:rPr>
      <w:rFonts w:cs="黑体"/>
      <w:kern w:val="0"/>
      <w:sz w:val="22"/>
      <w:lang w:eastAsia="en-US"/>
    </w:rPr>
  </w:style>
  <w:style w:type="paragraph" w:customStyle="1" w:styleId="140">
    <w:name w:val="TOAHeading"/>
    <w:basedOn w:val="1"/>
    <w:next w:val="1"/>
    <w:autoRedefine/>
    <w:qFormat/>
    <w:uiPriority w:val="0"/>
    <w:pPr>
      <w:spacing w:before="120"/>
      <w:jc w:val="both"/>
      <w:textAlignment w:val="baseline"/>
    </w:pPr>
    <w:rPr>
      <w:rFonts w:ascii="Arial" w:hAnsi="Arial" w:eastAsia="宋体"/>
      <w:kern w:val="2"/>
      <w:sz w:val="24"/>
      <w:szCs w:val="22"/>
      <w:lang w:val="en-US" w:eastAsia="zh-CN" w:bidi="ar-SA"/>
    </w:rPr>
  </w:style>
  <w:style w:type="table" w:customStyle="1" w:styleId="141">
    <w:name w:val="Table Normal"/>
    <w:autoRedefine/>
    <w:semiHidden/>
    <w:unhideWhenUsed/>
    <w:qFormat/>
    <w:uiPriority w:val="0"/>
    <w:tblPr>
      <w:tblCellMar>
        <w:top w:w="0" w:type="dxa"/>
        <w:left w:w="0" w:type="dxa"/>
        <w:bottom w:w="0" w:type="dxa"/>
        <w:right w:w="0" w:type="dxa"/>
      </w:tblCellMar>
    </w:tblPr>
  </w:style>
  <w:style w:type="paragraph" w:customStyle="1" w:styleId="142">
    <w:name w:val="Normal_0"/>
    <w:autoRedefine/>
    <w:qFormat/>
    <w:uiPriority w:val="0"/>
    <w:rPr>
      <w:rFonts w:ascii="Times New Roman" w:hAnsi="Times New Roman" w:eastAsia="Times New Roman" w:cs="Times New Roman"/>
      <w:sz w:val="24"/>
      <w:szCs w:val="24"/>
      <w:lang w:val="en-US" w:eastAsia="zh-CN" w:bidi="ar-SA"/>
    </w:rPr>
  </w:style>
  <w:style w:type="paragraph" w:customStyle="1" w:styleId="143">
    <w:name w:val="Normal_1"/>
    <w:autoRedefine/>
    <w:qFormat/>
    <w:uiPriority w:val="0"/>
    <w:rPr>
      <w:rFonts w:ascii="黑体" w:hAnsi="黑体" w:eastAsia="黑体" w:cs="Times New Roman"/>
      <w:b/>
      <w:sz w:val="32"/>
      <w:szCs w:val="24"/>
      <w:lang w:val="en-US" w:eastAsia="zh-CN" w:bidi="ar-SA"/>
    </w:rPr>
  </w:style>
  <w:style w:type="paragraph" w:customStyle="1" w:styleId="144">
    <w:name w:val="正文1"/>
    <w:autoRedefine/>
    <w:qFormat/>
    <w:uiPriority w:val="0"/>
    <w:pPr>
      <w:widowControl w:val="0"/>
      <w:jc w:val="both"/>
    </w:pPr>
    <w:rPr>
      <w:rFonts w:ascii="Times New Roman" w:hAnsi="Times New Roman" w:eastAsia="Times New Roman"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77</Pages>
  <Words>4810</Words>
  <Characters>5448</Characters>
  <Lines>224</Lines>
  <Paragraphs>63</Paragraphs>
  <TotalTime>27</TotalTime>
  <ScaleCrop>false</ScaleCrop>
  <LinksUpToDate>false</LinksUpToDate>
  <CharactersWithSpaces>5553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2019-07-12T08:56:00Z</dcterms:created>
  <dc:creator>微软用户</dc:creator>
  <cp:lastModifiedBy>新疆中诺</cp:lastModifiedBy>
  <cp:lastPrinted>2024-04-05T03:32:00Z</cp:lastPrinted>
  <dcterms:modified xsi:type="dcterms:W3CDTF">2025-04-02T13:35:05Z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AE28377FA6F34CDA8667799BB9E32F4E_13</vt:lpwstr>
  </property>
  <property fmtid="{D5CDD505-2E9C-101B-9397-08002B2CF9AE}" pid="4" name="KSOTemplateDocerSaveRecord">
    <vt:lpwstr>eyJoZGlkIjoiNzUxOTVkN2ZmMjVjM2EzNTY4MWNhM2I2OGZkMjAyOTMiLCJ1c2VySWQiOiI1NzAwMjgzMDcifQ==</vt:lpwstr>
  </property>
</Properties>
</file>