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028610">
      <w:pPr>
        <w:pStyle w:val="7"/>
        <w:keepNext w:val="0"/>
        <w:keepLines w:val="0"/>
        <w:pageBreakBefore w:val="0"/>
        <w:kinsoku/>
        <w:wordWrap/>
        <w:overflowPunct/>
        <w:topLinePunct w:val="0"/>
        <w:bidi w:val="0"/>
        <w:spacing w:line="241" w:lineRule="auto"/>
      </w:pPr>
    </w:p>
    <w:p w14:paraId="6B3CFE89">
      <w:pPr>
        <w:pStyle w:val="7"/>
        <w:keepNext w:val="0"/>
        <w:keepLines w:val="0"/>
        <w:pageBreakBefore w:val="0"/>
        <w:kinsoku/>
        <w:wordWrap/>
        <w:overflowPunct/>
        <w:topLinePunct w:val="0"/>
        <w:bidi w:val="0"/>
        <w:spacing w:line="241" w:lineRule="auto"/>
      </w:pPr>
    </w:p>
    <w:p w14:paraId="6EC2E887">
      <w:pPr>
        <w:pStyle w:val="7"/>
        <w:keepNext w:val="0"/>
        <w:keepLines w:val="0"/>
        <w:pageBreakBefore w:val="0"/>
        <w:kinsoku/>
        <w:wordWrap/>
        <w:overflowPunct/>
        <w:topLinePunct w:val="0"/>
        <w:bidi w:val="0"/>
        <w:spacing w:line="241" w:lineRule="auto"/>
      </w:pPr>
    </w:p>
    <w:p w14:paraId="716AC5EF">
      <w:pPr>
        <w:pStyle w:val="7"/>
        <w:keepNext w:val="0"/>
        <w:keepLines w:val="0"/>
        <w:pageBreakBefore w:val="0"/>
        <w:kinsoku/>
        <w:wordWrap/>
        <w:overflowPunct/>
        <w:topLinePunct w:val="0"/>
        <w:bidi w:val="0"/>
        <w:spacing w:line="242" w:lineRule="auto"/>
      </w:pPr>
    </w:p>
    <w:p w14:paraId="48E44156">
      <w:pPr>
        <w:pStyle w:val="7"/>
        <w:keepNext w:val="0"/>
        <w:keepLines w:val="0"/>
        <w:pageBreakBefore w:val="0"/>
        <w:kinsoku/>
        <w:wordWrap/>
        <w:overflowPunct/>
        <w:topLinePunct w:val="0"/>
        <w:bidi w:val="0"/>
        <w:spacing w:line="242" w:lineRule="auto"/>
      </w:pPr>
    </w:p>
    <w:p w14:paraId="23D55505">
      <w:pPr>
        <w:pStyle w:val="17"/>
        <w:keepNext w:val="0"/>
        <w:keepLines w:val="0"/>
        <w:pageBreakBefore w:val="0"/>
        <w:kinsoku/>
        <w:wordWrap/>
        <w:overflowPunct/>
        <w:topLinePunct w:val="0"/>
        <w:bidi w:val="0"/>
        <w:spacing w:line="360" w:lineRule="auto"/>
        <w:jc w:val="center"/>
        <w:rPr>
          <w:rFonts w:hint="default" w:ascii="宋体" w:hAnsi="宋体" w:cs="Times New Roman"/>
          <w:b/>
          <w:bCs/>
          <w:color w:val="auto"/>
          <w:sz w:val="28"/>
          <w:szCs w:val="28"/>
          <w:highlight w:val="none"/>
          <w:lang w:eastAsia="zh-CN"/>
        </w:rPr>
      </w:pPr>
      <w:r>
        <w:rPr>
          <w:rFonts w:hint="default" w:ascii="宋体" w:hAnsi="宋体" w:cs="Times New Roman"/>
          <w:b/>
          <w:bCs/>
          <w:color w:val="auto"/>
          <w:sz w:val="28"/>
          <w:szCs w:val="28"/>
          <w:highlight w:val="none"/>
          <w:lang w:eastAsia="zh-CN"/>
        </w:rPr>
        <w:t>博乐市2025年中央财政林业草原改革发展资金</w:t>
      </w:r>
    </w:p>
    <w:p w14:paraId="017449D1">
      <w:pPr>
        <w:pStyle w:val="17"/>
        <w:keepNext w:val="0"/>
        <w:keepLines w:val="0"/>
        <w:pageBreakBefore w:val="0"/>
        <w:kinsoku/>
        <w:wordWrap/>
        <w:overflowPunct/>
        <w:topLinePunct w:val="0"/>
        <w:bidi w:val="0"/>
        <w:spacing w:line="360" w:lineRule="auto"/>
        <w:jc w:val="center"/>
        <w:rPr>
          <w:rFonts w:hint="default" w:ascii="宋体" w:hAnsi="宋体" w:eastAsia="宋体" w:cs="Times New Roman"/>
          <w:b/>
          <w:bCs/>
          <w:color w:val="auto"/>
          <w:sz w:val="28"/>
          <w:szCs w:val="28"/>
          <w:highlight w:val="none"/>
          <w:lang w:eastAsia="zh-CN"/>
        </w:rPr>
      </w:pPr>
      <w:r>
        <w:rPr>
          <w:rFonts w:hint="default" w:ascii="宋体" w:hAnsi="宋体" w:cs="Times New Roman"/>
          <w:b/>
          <w:bCs/>
          <w:color w:val="auto"/>
          <w:sz w:val="28"/>
          <w:szCs w:val="28"/>
          <w:highlight w:val="none"/>
          <w:lang w:eastAsia="zh-CN"/>
        </w:rPr>
        <w:t>（草原有害生物防治）项目</w:t>
      </w:r>
    </w:p>
    <w:p w14:paraId="363C6D0B">
      <w:pPr>
        <w:pStyle w:val="17"/>
        <w:keepNext w:val="0"/>
        <w:keepLines w:val="0"/>
        <w:pageBreakBefore w:val="0"/>
        <w:kinsoku/>
        <w:wordWrap/>
        <w:overflowPunct/>
        <w:topLinePunct w:val="0"/>
        <w:bidi w:val="0"/>
        <w:spacing w:line="360" w:lineRule="auto"/>
        <w:jc w:val="center"/>
        <w:rPr>
          <w:rFonts w:hint="default" w:ascii="宋体" w:hAnsi="宋体" w:eastAsia="宋体" w:cs="Times New Roman"/>
          <w:b/>
          <w:bCs/>
          <w:color w:val="auto"/>
          <w:sz w:val="28"/>
          <w:szCs w:val="28"/>
          <w:highlight w:val="none"/>
          <w:lang w:val="en-US"/>
        </w:rPr>
      </w:pPr>
    </w:p>
    <w:p w14:paraId="70872E2B">
      <w:pPr>
        <w:pStyle w:val="17"/>
        <w:keepNext w:val="0"/>
        <w:keepLines w:val="0"/>
        <w:pageBreakBefore w:val="0"/>
        <w:kinsoku/>
        <w:wordWrap/>
        <w:overflowPunct/>
        <w:topLinePunct w:val="0"/>
        <w:bidi w:val="0"/>
        <w:spacing w:line="360" w:lineRule="auto"/>
        <w:ind w:firstLine="723" w:firstLineChars="200"/>
        <w:jc w:val="center"/>
        <w:rPr>
          <w:rFonts w:hint="eastAsia" w:ascii="宋体" w:hAnsi="宋体" w:cs="Times New Roman"/>
          <w:b/>
          <w:bCs/>
          <w:color w:val="auto"/>
          <w:sz w:val="36"/>
          <w:szCs w:val="36"/>
          <w:highlight w:val="none"/>
          <w:lang w:val="en-US" w:eastAsia="zh-CN"/>
        </w:rPr>
      </w:pPr>
    </w:p>
    <w:p w14:paraId="47B1C280">
      <w:pPr>
        <w:pStyle w:val="17"/>
        <w:keepNext w:val="0"/>
        <w:keepLines w:val="0"/>
        <w:pageBreakBefore w:val="0"/>
        <w:kinsoku/>
        <w:wordWrap/>
        <w:overflowPunct/>
        <w:topLinePunct w:val="0"/>
        <w:bidi w:val="0"/>
        <w:spacing w:line="360" w:lineRule="auto"/>
        <w:jc w:val="center"/>
        <w:rPr>
          <w:rFonts w:hint="default" w:ascii="宋体" w:hAnsi="宋体" w:eastAsia="宋体" w:cs="Times New Roman"/>
          <w:b/>
          <w:bCs/>
          <w:color w:val="auto"/>
          <w:sz w:val="36"/>
          <w:szCs w:val="36"/>
          <w:highlight w:val="none"/>
          <w:lang w:val="en-US" w:eastAsia="zh-CN"/>
        </w:rPr>
      </w:pPr>
      <w:r>
        <w:rPr>
          <w:rFonts w:hint="eastAsia" w:ascii="宋体" w:hAnsi="宋体" w:cs="Times New Roman"/>
          <w:b/>
          <w:bCs/>
          <w:color w:val="auto"/>
          <w:sz w:val="36"/>
          <w:szCs w:val="36"/>
          <w:highlight w:val="none"/>
          <w:lang w:val="en-US" w:eastAsia="zh-CN"/>
        </w:rPr>
        <w:t>竞争性磋商文件</w:t>
      </w:r>
    </w:p>
    <w:p w14:paraId="3DC59D7A">
      <w:pPr>
        <w:pStyle w:val="17"/>
        <w:keepNext w:val="0"/>
        <w:keepLines w:val="0"/>
        <w:pageBreakBefore w:val="0"/>
        <w:kinsoku/>
        <w:wordWrap/>
        <w:overflowPunct/>
        <w:topLinePunct w:val="0"/>
        <w:bidi w:val="0"/>
        <w:spacing w:line="360" w:lineRule="auto"/>
        <w:rPr>
          <w:rFonts w:hint="eastAsia" w:ascii="宋体" w:hAnsi="宋体" w:eastAsia="宋体" w:cs="宋体"/>
          <w:b/>
          <w:bCs/>
          <w:color w:val="auto"/>
          <w:sz w:val="28"/>
          <w:szCs w:val="28"/>
          <w:highlight w:val="none"/>
          <w:lang w:val="en-US"/>
        </w:rPr>
      </w:pPr>
    </w:p>
    <w:p w14:paraId="407DD7B0">
      <w:pPr>
        <w:pStyle w:val="17"/>
        <w:keepNext w:val="0"/>
        <w:keepLines w:val="0"/>
        <w:pageBreakBefore w:val="0"/>
        <w:kinsoku/>
        <w:wordWrap/>
        <w:overflowPunct/>
        <w:topLinePunct w:val="0"/>
        <w:bidi w:val="0"/>
        <w:spacing w:line="360" w:lineRule="auto"/>
        <w:rPr>
          <w:rFonts w:hint="eastAsia" w:ascii="宋体" w:hAnsi="宋体" w:eastAsia="宋体" w:cs="宋体"/>
          <w:b/>
          <w:bCs/>
          <w:color w:val="auto"/>
          <w:sz w:val="28"/>
          <w:szCs w:val="28"/>
          <w:highlight w:val="none"/>
          <w:lang w:val="en-US"/>
        </w:rPr>
      </w:pPr>
    </w:p>
    <w:p w14:paraId="2BBD32AB">
      <w:pPr>
        <w:pStyle w:val="17"/>
        <w:keepNext w:val="0"/>
        <w:keepLines w:val="0"/>
        <w:pageBreakBefore w:val="0"/>
        <w:kinsoku/>
        <w:wordWrap/>
        <w:overflowPunct/>
        <w:topLinePunct w:val="0"/>
        <w:bidi w:val="0"/>
        <w:spacing w:line="360" w:lineRule="auto"/>
        <w:rPr>
          <w:rFonts w:hint="eastAsia" w:ascii="宋体" w:hAnsi="宋体" w:eastAsia="宋体" w:cs="宋体"/>
          <w:b/>
          <w:bCs/>
          <w:color w:val="auto"/>
          <w:sz w:val="28"/>
          <w:szCs w:val="28"/>
          <w:highlight w:val="none"/>
          <w:lang w:val="en-US"/>
        </w:rPr>
      </w:pPr>
    </w:p>
    <w:p w14:paraId="5F818F61">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eastAsia" w:ascii="宋体" w:hAnsi="宋体" w:eastAsia="宋体" w:cs="宋体"/>
          <w:b/>
          <w:bCs w:val="0"/>
          <w:color w:val="auto"/>
          <w:sz w:val="28"/>
          <w:szCs w:val="28"/>
        </w:rPr>
      </w:pPr>
      <w:r>
        <w:rPr>
          <w:rFonts w:hint="eastAsia" w:ascii="宋体" w:hAnsi="宋体" w:eastAsia="宋体" w:cs="宋体"/>
          <w:b/>
          <w:bCs w:val="0"/>
          <w:color w:val="auto"/>
          <w:sz w:val="28"/>
          <w:szCs w:val="28"/>
        </w:rPr>
        <w:t>采购单位（盖章）：</w:t>
      </w:r>
      <w:r>
        <w:rPr>
          <w:rFonts w:hint="eastAsia" w:ascii="宋体" w:hAnsi="宋体" w:eastAsia="宋体" w:cs="宋体"/>
          <w:b/>
          <w:bCs w:val="0"/>
          <w:color w:val="auto"/>
          <w:sz w:val="28"/>
          <w:szCs w:val="28"/>
          <w:lang w:val="en-US" w:eastAsia="zh-CN"/>
        </w:rPr>
        <w:t>博乐市草原工作站</w:t>
      </w:r>
    </w:p>
    <w:p w14:paraId="1AD80B83">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eastAsia" w:ascii="宋体" w:hAnsi="宋体" w:eastAsia="宋体" w:cs="宋体"/>
          <w:b/>
          <w:bCs w:val="0"/>
          <w:color w:val="auto"/>
          <w:sz w:val="28"/>
          <w:szCs w:val="28"/>
        </w:rPr>
      </w:pPr>
    </w:p>
    <w:p w14:paraId="46BCFCF2">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eastAsia" w:ascii="宋体" w:hAnsi="宋体" w:eastAsia="宋体" w:cs="宋体"/>
          <w:b/>
          <w:bCs w:val="0"/>
          <w:color w:val="auto"/>
          <w:sz w:val="28"/>
          <w:szCs w:val="28"/>
        </w:rPr>
      </w:pPr>
      <w:r>
        <w:rPr>
          <w:rFonts w:hint="eastAsia" w:ascii="宋体" w:hAnsi="宋体" w:eastAsia="宋体" w:cs="宋体"/>
          <w:b/>
          <w:bCs w:val="0"/>
          <w:color w:val="auto"/>
          <w:sz w:val="28"/>
          <w:szCs w:val="28"/>
        </w:rPr>
        <w:t>招标代理机构：</w:t>
      </w:r>
      <w:r>
        <w:rPr>
          <w:rFonts w:hint="eastAsia" w:ascii="宋体" w:hAnsi="宋体" w:eastAsia="宋体" w:cs="宋体"/>
          <w:b/>
          <w:bCs w:val="0"/>
          <w:color w:val="auto"/>
          <w:sz w:val="28"/>
          <w:szCs w:val="28"/>
          <w:lang w:val="en-US" w:eastAsia="zh-CN"/>
        </w:rPr>
        <w:t>新疆金典引航项目管理咨询有限责任公司</w:t>
      </w:r>
    </w:p>
    <w:p w14:paraId="5C40305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val="0"/>
          <w:color w:val="auto"/>
          <w:sz w:val="28"/>
          <w:szCs w:val="28"/>
        </w:rPr>
      </w:pPr>
    </w:p>
    <w:p w14:paraId="0C0E254A">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eastAsia" w:ascii="宋体" w:hAnsi="宋体" w:eastAsia="宋体" w:cs="宋体"/>
          <w:b/>
          <w:bCs w:val="0"/>
          <w:color w:val="auto"/>
          <w:sz w:val="28"/>
          <w:szCs w:val="28"/>
          <w:lang w:val="en-US" w:eastAsia="zh-CN"/>
        </w:rPr>
      </w:pPr>
      <w:r>
        <w:rPr>
          <w:rFonts w:hint="eastAsia" w:ascii="宋体" w:hAnsi="宋体" w:eastAsia="宋体" w:cs="宋体"/>
          <w:b/>
          <w:bCs w:val="0"/>
          <w:color w:val="auto"/>
          <w:sz w:val="28"/>
          <w:szCs w:val="28"/>
        </w:rPr>
        <w:t>联系人：</w:t>
      </w:r>
      <w:r>
        <w:rPr>
          <w:rFonts w:hint="eastAsia" w:ascii="宋体" w:hAnsi="宋体" w:eastAsia="宋体" w:cs="宋体"/>
          <w:b/>
          <w:bCs w:val="0"/>
          <w:color w:val="auto"/>
          <w:sz w:val="28"/>
          <w:szCs w:val="28"/>
          <w:lang w:val="en-US" w:eastAsia="zh-CN"/>
        </w:rPr>
        <w:t>杨帆</w:t>
      </w:r>
    </w:p>
    <w:p w14:paraId="4668124F">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val="0"/>
          <w:color w:val="auto"/>
          <w:sz w:val="28"/>
          <w:szCs w:val="28"/>
          <w:lang w:val="en-US" w:eastAsia="zh-CN"/>
        </w:rPr>
      </w:pPr>
    </w:p>
    <w:p w14:paraId="79AE4FAC">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default" w:ascii="宋体" w:hAnsi="宋体" w:eastAsia="宋体" w:cs="宋体"/>
          <w:b/>
          <w:bCs w:val="0"/>
          <w:color w:val="auto"/>
          <w:sz w:val="28"/>
          <w:szCs w:val="28"/>
          <w:lang w:val="en-US" w:eastAsia="zh-CN"/>
        </w:rPr>
      </w:pPr>
      <w:r>
        <w:rPr>
          <w:rFonts w:hint="eastAsia" w:ascii="宋体" w:hAnsi="宋体" w:eastAsia="宋体" w:cs="宋体"/>
          <w:b/>
          <w:bCs w:val="0"/>
          <w:color w:val="auto"/>
          <w:sz w:val="28"/>
          <w:szCs w:val="28"/>
        </w:rPr>
        <w:t>联系电话：</w:t>
      </w:r>
      <w:r>
        <w:rPr>
          <w:rFonts w:hint="eastAsia" w:ascii="宋体" w:hAnsi="宋体" w:eastAsia="宋体" w:cs="宋体"/>
          <w:b/>
          <w:bCs w:val="0"/>
          <w:color w:val="auto"/>
          <w:sz w:val="28"/>
          <w:szCs w:val="28"/>
          <w:lang w:val="en-US" w:eastAsia="zh-CN"/>
        </w:rPr>
        <w:t>17609096509</w:t>
      </w:r>
    </w:p>
    <w:p w14:paraId="6B05CEBF">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val="0"/>
          <w:color w:val="auto"/>
          <w:sz w:val="28"/>
          <w:szCs w:val="28"/>
          <w:lang w:val="en-US" w:eastAsia="zh-CN"/>
        </w:rPr>
      </w:pPr>
    </w:p>
    <w:p w14:paraId="74D49689">
      <w:pPr>
        <w:keepNext w:val="0"/>
        <w:keepLines w:val="0"/>
        <w:pageBreakBefore w:val="0"/>
        <w:widowControl w:val="0"/>
        <w:kinsoku/>
        <w:wordWrap/>
        <w:overflowPunct/>
        <w:topLinePunct w:val="0"/>
        <w:autoSpaceDE/>
        <w:autoSpaceDN/>
        <w:bidi w:val="0"/>
        <w:adjustRightInd/>
        <w:snapToGrid/>
        <w:spacing w:line="480" w:lineRule="auto"/>
        <w:ind w:firstLine="562" w:firstLineChars="200"/>
        <w:textAlignment w:val="auto"/>
        <w:rPr>
          <w:rFonts w:hint="eastAsia" w:ascii="宋体" w:hAnsi="宋体" w:eastAsia="宋体" w:cs="宋体"/>
          <w:b/>
          <w:bCs w:val="0"/>
          <w:color w:val="auto"/>
          <w:sz w:val="28"/>
          <w:szCs w:val="28"/>
          <w:lang w:val="en-US" w:eastAsia="zh-CN"/>
        </w:rPr>
      </w:pPr>
      <w:r>
        <w:rPr>
          <w:rFonts w:hint="eastAsia" w:ascii="宋体" w:hAnsi="宋体" w:eastAsia="宋体" w:cs="宋体"/>
          <w:b/>
          <w:bCs w:val="0"/>
          <w:color w:val="auto"/>
          <w:sz w:val="28"/>
          <w:szCs w:val="28"/>
          <w:lang w:val="en-US" w:eastAsia="zh-CN"/>
        </w:rPr>
        <w:t>联系地址：博乐市北京南路汇嘉广场6号楼6楼</w:t>
      </w:r>
    </w:p>
    <w:p w14:paraId="5F893541">
      <w:pPr>
        <w:pStyle w:val="2"/>
        <w:keepNext w:val="0"/>
        <w:keepLines w:val="0"/>
        <w:pageBreakBefore w:val="0"/>
        <w:kinsoku/>
        <w:wordWrap/>
        <w:overflowPunct/>
        <w:topLinePunct w:val="0"/>
        <w:bidi w:val="0"/>
        <w:rPr>
          <w:rFonts w:hint="eastAsia" w:ascii="宋体" w:hAnsi="宋体" w:eastAsia="宋体" w:cs="宋体"/>
          <w:b/>
          <w:bCs w:val="0"/>
          <w:color w:val="auto"/>
          <w:sz w:val="28"/>
          <w:szCs w:val="28"/>
          <w:lang w:val="en-US" w:eastAsia="zh-CN"/>
        </w:rPr>
      </w:pPr>
    </w:p>
    <w:p w14:paraId="63EAB091">
      <w:pPr>
        <w:pStyle w:val="2"/>
        <w:keepNext w:val="0"/>
        <w:keepLines w:val="0"/>
        <w:pageBreakBefore w:val="0"/>
        <w:kinsoku/>
        <w:wordWrap/>
        <w:overflowPunct/>
        <w:topLinePunct w:val="0"/>
        <w:bidi w:val="0"/>
        <w:rPr>
          <w:rFonts w:hint="eastAsia" w:ascii="宋体" w:hAnsi="宋体" w:eastAsia="宋体" w:cs="宋体"/>
          <w:b/>
          <w:bCs w:val="0"/>
          <w:color w:val="auto"/>
          <w:sz w:val="28"/>
          <w:szCs w:val="28"/>
          <w:lang w:val="en-US" w:eastAsia="zh-CN"/>
        </w:rPr>
      </w:pPr>
    </w:p>
    <w:p w14:paraId="55C8D0DD">
      <w:pPr>
        <w:pStyle w:val="2"/>
        <w:keepNext w:val="0"/>
        <w:keepLines w:val="0"/>
        <w:pageBreakBefore w:val="0"/>
        <w:kinsoku/>
        <w:wordWrap/>
        <w:overflowPunct/>
        <w:topLinePunct w:val="0"/>
        <w:bidi w:val="0"/>
        <w:jc w:val="center"/>
        <w:rPr>
          <w:rFonts w:hint="default" w:ascii="宋体" w:hAnsi="宋体" w:eastAsia="宋体" w:cs="宋体"/>
          <w:b/>
          <w:bCs w:val="0"/>
          <w:color w:val="auto"/>
          <w:sz w:val="28"/>
          <w:szCs w:val="28"/>
          <w:lang w:val="en-US" w:eastAsia="zh-CN"/>
        </w:rPr>
      </w:pPr>
      <w:r>
        <w:rPr>
          <w:rFonts w:hint="eastAsia" w:ascii="宋体" w:hAnsi="宋体" w:eastAsia="宋体" w:cs="宋体"/>
          <w:b/>
          <w:bCs w:val="0"/>
          <w:color w:val="auto"/>
          <w:sz w:val="28"/>
          <w:szCs w:val="28"/>
          <w:lang w:val="en-US" w:eastAsia="zh-CN"/>
        </w:rPr>
        <w:t>日期：202</w:t>
      </w:r>
      <w:r>
        <w:rPr>
          <w:rFonts w:hint="eastAsia" w:ascii="宋体" w:hAnsi="宋体" w:cs="宋体"/>
          <w:b/>
          <w:bCs w:val="0"/>
          <w:color w:val="auto"/>
          <w:sz w:val="28"/>
          <w:szCs w:val="28"/>
          <w:lang w:val="en-US" w:eastAsia="zh-CN"/>
        </w:rPr>
        <w:t>5</w:t>
      </w:r>
      <w:r>
        <w:rPr>
          <w:rFonts w:hint="eastAsia" w:ascii="宋体" w:hAnsi="宋体" w:eastAsia="宋体" w:cs="宋体"/>
          <w:b/>
          <w:bCs w:val="0"/>
          <w:color w:val="auto"/>
          <w:sz w:val="28"/>
          <w:szCs w:val="28"/>
          <w:lang w:val="en-US" w:eastAsia="zh-CN"/>
        </w:rPr>
        <w:t>年</w:t>
      </w:r>
      <w:r>
        <w:rPr>
          <w:rFonts w:hint="eastAsia" w:ascii="宋体" w:hAnsi="宋体" w:cs="宋体"/>
          <w:b/>
          <w:bCs w:val="0"/>
          <w:color w:val="auto"/>
          <w:sz w:val="28"/>
          <w:szCs w:val="28"/>
          <w:lang w:val="en-US" w:eastAsia="zh-CN"/>
        </w:rPr>
        <w:t>4</w:t>
      </w:r>
      <w:r>
        <w:rPr>
          <w:rFonts w:hint="eastAsia" w:ascii="宋体" w:hAnsi="宋体" w:eastAsia="宋体" w:cs="宋体"/>
          <w:b/>
          <w:bCs w:val="0"/>
          <w:color w:val="auto"/>
          <w:sz w:val="28"/>
          <w:szCs w:val="28"/>
          <w:lang w:val="en-US" w:eastAsia="zh-CN"/>
        </w:rPr>
        <w:t>月</w:t>
      </w:r>
    </w:p>
    <w:p w14:paraId="3E4123BE">
      <w:pPr>
        <w:pStyle w:val="7"/>
        <w:keepNext w:val="0"/>
        <w:keepLines w:val="0"/>
        <w:pageBreakBefore w:val="0"/>
        <w:kinsoku/>
        <w:wordWrap/>
        <w:overflowPunct/>
        <w:topLinePunct w:val="0"/>
        <w:bidi w:val="0"/>
      </w:pPr>
    </w:p>
    <w:p w14:paraId="2A43DB74">
      <w:pPr>
        <w:pStyle w:val="7"/>
        <w:keepNext w:val="0"/>
        <w:keepLines w:val="0"/>
        <w:pageBreakBefore w:val="0"/>
        <w:kinsoku/>
        <w:wordWrap/>
        <w:overflowPunct/>
        <w:topLinePunct w:val="0"/>
        <w:bidi w:val="0"/>
        <w:spacing w:line="260" w:lineRule="auto"/>
      </w:pPr>
    </w:p>
    <w:p w14:paraId="45617BAF">
      <w:pPr>
        <w:pStyle w:val="7"/>
        <w:keepNext w:val="0"/>
        <w:keepLines w:val="0"/>
        <w:pageBreakBefore w:val="0"/>
        <w:kinsoku/>
        <w:wordWrap/>
        <w:overflowPunct/>
        <w:topLinePunct w:val="0"/>
        <w:bidi w:val="0"/>
        <w:spacing w:line="261" w:lineRule="auto"/>
      </w:pPr>
      <w:bookmarkStart w:id="46" w:name="_GoBack"/>
      <w:bookmarkEnd w:id="46"/>
    </w:p>
    <w:p w14:paraId="13950BA3">
      <w:pPr>
        <w:pStyle w:val="7"/>
        <w:keepNext w:val="0"/>
        <w:keepLines w:val="0"/>
        <w:pageBreakBefore w:val="0"/>
        <w:kinsoku/>
        <w:wordWrap/>
        <w:overflowPunct/>
        <w:topLinePunct w:val="0"/>
        <w:bidi w:val="0"/>
        <w:spacing w:line="261" w:lineRule="auto"/>
      </w:pPr>
    </w:p>
    <w:sdt>
      <w:sdtPr>
        <w:rPr>
          <w:rFonts w:hint="eastAsia" w:ascii="黑体" w:hAnsi="黑体" w:eastAsia="黑体" w:cs="黑体"/>
          <w:snapToGrid w:val="0"/>
          <w:color w:val="000000"/>
          <w:kern w:val="0"/>
          <w:sz w:val="36"/>
          <w:szCs w:val="36"/>
          <w:lang w:val="en-US" w:eastAsia="en-US" w:bidi="ar-SA"/>
        </w:rPr>
        <w:id w:val="147458914"/>
        <w15:color w:val="DBDBDB"/>
        <w:docPartObj>
          <w:docPartGallery w:val="Table of Contents"/>
          <w:docPartUnique/>
        </w:docPartObj>
      </w:sdtPr>
      <w:sdtEndPr>
        <w:rPr>
          <w:rFonts w:hint="eastAsia" w:ascii="Calibri" w:hAnsi="Calibri" w:eastAsia="宋体" w:cs="Calibri"/>
          <w:snapToGrid w:val="0"/>
          <w:color w:val="000000"/>
          <w:kern w:val="2"/>
          <w:sz w:val="21"/>
          <w:szCs w:val="21"/>
          <w:lang w:val="en-US" w:eastAsia="zh-CN" w:bidi="ar-SA"/>
        </w:rPr>
      </w:sdtEndPr>
      <w:sdtContent>
        <w:p w14:paraId="3845862D">
          <w:pPr>
            <w:spacing w:before="0" w:beforeLines="0" w:after="0" w:afterLines="0" w:line="240" w:lineRule="auto"/>
            <w:ind w:left="0" w:leftChars="0" w:right="0" w:rightChars="0" w:firstLine="0" w:firstLineChars="0"/>
            <w:jc w:val="center"/>
            <w:rPr>
              <w:rFonts w:hint="eastAsia" w:ascii="黑体" w:hAnsi="黑体" w:eastAsia="黑体" w:cs="黑体"/>
              <w:sz w:val="36"/>
              <w:szCs w:val="36"/>
            </w:rPr>
          </w:pPr>
          <w:r>
            <w:rPr>
              <w:rFonts w:hint="eastAsia" w:ascii="黑体" w:hAnsi="黑体" w:eastAsia="黑体" w:cs="黑体"/>
              <w:sz w:val="36"/>
              <w:szCs w:val="36"/>
            </w:rPr>
            <w:t>目录</w:t>
          </w:r>
        </w:p>
        <w:p w14:paraId="3EADEB10">
          <w:pPr>
            <w:pStyle w:val="2"/>
            <w:rPr>
              <w:rFonts w:hint="eastAsia"/>
            </w:rPr>
          </w:pPr>
        </w:p>
        <w:p w14:paraId="59868730">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sz w:val="32"/>
              <w:szCs w:val="32"/>
            </w:rPr>
          </w:pPr>
          <w:r>
            <w:fldChar w:fldCharType="begin"/>
          </w:r>
          <w:r>
            <w:instrText xml:space="preserve">TOC \o "1-1" \h \u </w:instrText>
          </w:r>
          <w:r>
            <w:fldChar w:fldCharType="separate"/>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_Toc31562 </w:instrText>
          </w:r>
          <w:r>
            <w:rPr>
              <w:rFonts w:hint="eastAsia" w:ascii="仿宋" w:hAnsi="仿宋" w:eastAsia="仿宋" w:cs="仿宋"/>
              <w:sz w:val="32"/>
              <w:szCs w:val="32"/>
            </w:rPr>
            <w:fldChar w:fldCharType="separate"/>
          </w:r>
          <w:r>
            <w:rPr>
              <w:rFonts w:hint="eastAsia" w:ascii="仿宋" w:hAnsi="仿宋" w:eastAsia="仿宋" w:cs="仿宋"/>
              <w:bCs/>
              <w:spacing w:val="6"/>
              <w:sz w:val="32"/>
              <w:szCs w:val="48"/>
            </w:rPr>
            <w:t>第一章</w:t>
          </w:r>
          <w:r>
            <w:rPr>
              <w:rFonts w:hint="eastAsia" w:ascii="仿宋" w:hAnsi="仿宋" w:eastAsia="仿宋" w:cs="仿宋"/>
              <w:bCs/>
              <w:spacing w:val="6"/>
              <w:sz w:val="32"/>
              <w:szCs w:val="48"/>
              <w:lang w:val="en-US" w:eastAsia="zh-CN"/>
            </w:rPr>
            <w:t xml:space="preserve">  </w:t>
          </w:r>
          <w:r>
            <w:rPr>
              <w:rFonts w:hint="eastAsia" w:ascii="仿宋" w:hAnsi="仿宋" w:eastAsia="仿宋" w:cs="仿宋"/>
              <w:bCs/>
              <w:spacing w:val="6"/>
              <w:sz w:val="32"/>
              <w:szCs w:val="48"/>
            </w:rPr>
            <w:t>竞争性磋商公告</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_Toc31562 \h </w:instrText>
          </w:r>
          <w:r>
            <w:rPr>
              <w:rFonts w:hint="eastAsia" w:ascii="仿宋" w:hAnsi="仿宋" w:eastAsia="仿宋" w:cs="仿宋"/>
              <w:sz w:val="32"/>
              <w:szCs w:val="32"/>
            </w:rPr>
            <w:fldChar w:fldCharType="separate"/>
          </w:r>
          <w:r>
            <w:rPr>
              <w:rFonts w:hint="eastAsia" w:ascii="仿宋" w:hAnsi="仿宋" w:eastAsia="仿宋" w:cs="仿宋"/>
              <w:sz w:val="32"/>
              <w:szCs w:val="32"/>
            </w:rPr>
            <w:t>1</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52315554">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_Toc27045 </w:instrText>
          </w:r>
          <w:r>
            <w:rPr>
              <w:rFonts w:hint="eastAsia" w:ascii="仿宋" w:hAnsi="仿宋" w:eastAsia="仿宋" w:cs="仿宋"/>
              <w:sz w:val="32"/>
              <w:szCs w:val="32"/>
            </w:rPr>
            <w:fldChar w:fldCharType="separate"/>
          </w:r>
          <w:r>
            <w:rPr>
              <w:rFonts w:hint="eastAsia" w:ascii="仿宋" w:hAnsi="仿宋" w:eastAsia="仿宋" w:cs="仿宋"/>
              <w:bCs/>
              <w:spacing w:val="6"/>
              <w:sz w:val="32"/>
              <w:szCs w:val="44"/>
            </w:rPr>
            <w:t>第二章</w:t>
          </w:r>
          <w:r>
            <w:rPr>
              <w:rFonts w:hint="eastAsia" w:ascii="仿宋" w:hAnsi="仿宋" w:eastAsia="仿宋" w:cs="仿宋"/>
              <w:bCs/>
              <w:spacing w:val="6"/>
              <w:sz w:val="32"/>
              <w:szCs w:val="44"/>
              <w:lang w:val="en-US" w:eastAsia="zh-CN"/>
            </w:rPr>
            <w:t xml:space="preserve">  </w:t>
          </w:r>
          <w:r>
            <w:rPr>
              <w:rFonts w:hint="eastAsia" w:ascii="仿宋" w:hAnsi="仿宋" w:eastAsia="仿宋" w:cs="仿宋"/>
              <w:bCs/>
              <w:spacing w:val="6"/>
              <w:sz w:val="32"/>
              <w:szCs w:val="44"/>
            </w:rPr>
            <w:t>竞争性磋商须知</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_Toc27045 \h </w:instrText>
          </w:r>
          <w:r>
            <w:rPr>
              <w:rFonts w:hint="eastAsia" w:ascii="仿宋" w:hAnsi="仿宋" w:eastAsia="仿宋" w:cs="仿宋"/>
              <w:sz w:val="32"/>
              <w:szCs w:val="32"/>
            </w:rPr>
            <w:fldChar w:fldCharType="separate"/>
          </w:r>
          <w:r>
            <w:rPr>
              <w:rFonts w:hint="eastAsia" w:ascii="仿宋" w:hAnsi="仿宋" w:eastAsia="仿宋" w:cs="仿宋"/>
              <w:sz w:val="32"/>
              <w:szCs w:val="32"/>
            </w:rPr>
            <w:t>4</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2CDACBB7">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_Toc16333 </w:instrText>
          </w:r>
          <w:r>
            <w:rPr>
              <w:rFonts w:hint="eastAsia" w:ascii="仿宋" w:hAnsi="仿宋" w:eastAsia="仿宋" w:cs="仿宋"/>
              <w:sz w:val="32"/>
              <w:szCs w:val="32"/>
            </w:rPr>
            <w:fldChar w:fldCharType="separate"/>
          </w:r>
          <w:r>
            <w:rPr>
              <w:rFonts w:hint="eastAsia" w:ascii="仿宋" w:hAnsi="仿宋" w:eastAsia="仿宋" w:cs="仿宋"/>
              <w:bCs/>
              <w:spacing w:val="3"/>
              <w:sz w:val="32"/>
              <w:szCs w:val="44"/>
            </w:rPr>
            <w:t>第三章</w:t>
          </w:r>
          <w:r>
            <w:rPr>
              <w:rFonts w:hint="eastAsia" w:ascii="仿宋" w:hAnsi="仿宋" w:eastAsia="仿宋" w:cs="仿宋"/>
              <w:bCs/>
              <w:spacing w:val="3"/>
              <w:sz w:val="32"/>
              <w:szCs w:val="44"/>
              <w:lang w:val="en-US" w:eastAsia="zh-CN"/>
            </w:rPr>
            <w:t xml:space="preserve">  </w:t>
          </w:r>
          <w:r>
            <w:rPr>
              <w:rFonts w:hint="eastAsia" w:ascii="仿宋" w:hAnsi="仿宋" w:eastAsia="仿宋" w:cs="仿宋"/>
              <w:bCs/>
              <w:spacing w:val="3"/>
              <w:sz w:val="32"/>
              <w:szCs w:val="44"/>
            </w:rPr>
            <w:t>采购需求</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_Toc16333 \h </w:instrText>
          </w:r>
          <w:r>
            <w:rPr>
              <w:rFonts w:hint="eastAsia" w:ascii="仿宋" w:hAnsi="仿宋" w:eastAsia="仿宋" w:cs="仿宋"/>
              <w:sz w:val="32"/>
              <w:szCs w:val="32"/>
            </w:rPr>
            <w:fldChar w:fldCharType="separate"/>
          </w:r>
          <w:r>
            <w:rPr>
              <w:rFonts w:hint="eastAsia" w:ascii="仿宋" w:hAnsi="仿宋" w:eastAsia="仿宋" w:cs="仿宋"/>
              <w:sz w:val="32"/>
              <w:szCs w:val="32"/>
            </w:rPr>
            <w:t>23</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7E28900C">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_Toc732 </w:instrText>
          </w:r>
          <w:r>
            <w:rPr>
              <w:rFonts w:hint="eastAsia" w:ascii="仿宋" w:hAnsi="仿宋" w:eastAsia="仿宋" w:cs="仿宋"/>
              <w:sz w:val="32"/>
              <w:szCs w:val="32"/>
            </w:rPr>
            <w:fldChar w:fldCharType="separate"/>
          </w:r>
          <w:r>
            <w:rPr>
              <w:rFonts w:hint="eastAsia" w:ascii="仿宋" w:hAnsi="仿宋" w:eastAsia="仿宋" w:cs="仿宋"/>
              <w:bCs/>
              <w:spacing w:val="5"/>
              <w:sz w:val="32"/>
              <w:szCs w:val="44"/>
            </w:rPr>
            <w:t>第四章</w:t>
          </w:r>
          <w:r>
            <w:rPr>
              <w:rFonts w:hint="eastAsia" w:ascii="仿宋" w:hAnsi="仿宋" w:eastAsia="仿宋" w:cs="仿宋"/>
              <w:bCs/>
              <w:spacing w:val="5"/>
              <w:sz w:val="32"/>
              <w:szCs w:val="44"/>
              <w:lang w:val="en-US" w:eastAsia="zh-CN"/>
            </w:rPr>
            <w:t xml:space="preserve">  </w:t>
          </w:r>
          <w:r>
            <w:rPr>
              <w:rFonts w:hint="eastAsia" w:ascii="仿宋" w:hAnsi="仿宋" w:eastAsia="仿宋" w:cs="仿宋"/>
              <w:bCs/>
              <w:spacing w:val="5"/>
              <w:sz w:val="32"/>
              <w:szCs w:val="44"/>
            </w:rPr>
            <w:t>评审程序、评审方法和评审标准</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_Toc732 \h </w:instrText>
          </w:r>
          <w:r>
            <w:rPr>
              <w:rFonts w:hint="eastAsia" w:ascii="仿宋" w:hAnsi="仿宋" w:eastAsia="仿宋" w:cs="仿宋"/>
              <w:sz w:val="32"/>
              <w:szCs w:val="32"/>
            </w:rPr>
            <w:fldChar w:fldCharType="separate"/>
          </w:r>
          <w:r>
            <w:rPr>
              <w:rFonts w:hint="eastAsia" w:ascii="仿宋" w:hAnsi="仿宋" w:eastAsia="仿宋" w:cs="仿宋"/>
              <w:sz w:val="32"/>
              <w:szCs w:val="32"/>
            </w:rPr>
            <w:t>30</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6EBBEA3B">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_Toc11658 </w:instrText>
          </w:r>
          <w:r>
            <w:rPr>
              <w:rFonts w:hint="eastAsia" w:ascii="仿宋" w:hAnsi="仿宋" w:eastAsia="仿宋" w:cs="仿宋"/>
              <w:sz w:val="32"/>
              <w:szCs w:val="32"/>
            </w:rPr>
            <w:fldChar w:fldCharType="separate"/>
          </w:r>
          <w:r>
            <w:rPr>
              <w:rFonts w:hint="eastAsia" w:ascii="仿宋" w:hAnsi="仿宋" w:eastAsia="仿宋" w:cs="仿宋"/>
              <w:bCs/>
              <w:spacing w:val="-3"/>
              <w:sz w:val="32"/>
              <w:szCs w:val="44"/>
            </w:rPr>
            <w:t>第五章</w:t>
          </w:r>
          <w:r>
            <w:rPr>
              <w:rFonts w:hint="eastAsia" w:ascii="仿宋" w:hAnsi="仿宋" w:eastAsia="仿宋" w:cs="仿宋"/>
              <w:bCs/>
              <w:spacing w:val="-3"/>
              <w:sz w:val="32"/>
              <w:szCs w:val="44"/>
              <w:lang w:val="en-US" w:eastAsia="zh-CN"/>
            </w:rPr>
            <w:t xml:space="preserve">  </w:t>
          </w:r>
          <w:r>
            <w:rPr>
              <w:rFonts w:hint="eastAsia" w:ascii="仿宋" w:hAnsi="仿宋" w:eastAsia="仿宋" w:cs="仿宋"/>
              <w:bCs/>
              <w:spacing w:val="-3"/>
              <w:sz w:val="32"/>
              <w:szCs w:val="44"/>
            </w:rPr>
            <w:t>合同主要条款</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_Toc11658 \h </w:instrText>
          </w:r>
          <w:r>
            <w:rPr>
              <w:rFonts w:hint="eastAsia" w:ascii="仿宋" w:hAnsi="仿宋" w:eastAsia="仿宋" w:cs="仿宋"/>
              <w:sz w:val="32"/>
              <w:szCs w:val="32"/>
            </w:rPr>
            <w:fldChar w:fldCharType="separate"/>
          </w:r>
          <w:r>
            <w:rPr>
              <w:rFonts w:hint="eastAsia" w:ascii="仿宋" w:hAnsi="仿宋" w:eastAsia="仿宋" w:cs="仿宋"/>
              <w:sz w:val="32"/>
              <w:szCs w:val="32"/>
            </w:rPr>
            <w:t>38</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610B06B1">
          <w:pPr>
            <w:pStyle w:val="10"/>
            <w:keepNext w:val="0"/>
            <w:keepLines w:val="0"/>
            <w:pageBreakBefore w:val="0"/>
            <w:widowControl/>
            <w:tabs>
              <w:tab w:val="right" w:leader="dot" w:pos="9746"/>
            </w:tabs>
            <w:kinsoku w:val="0"/>
            <w:wordWrap/>
            <w:overflowPunct/>
            <w:topLinePunct w:val="0"/>
            <w:autoSpaceDE w:val="0"/>
            <w:autoSpaceDN w:val="0"/>
            <w:bidi w:val="0"/>
            <w:adjustRightInd w:val="0"/>
            <w:snapToGrid w:val="0"/>
            <w:spacing w:line="480" w:lineRule="auto"/>
            <w:textAlignment w:val="baseline"/>
            <w:rPr>
              <w:sz w:val="22"/>
              <w:szCs w:val="2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_Toc7533 </w:instrText>
          </w:r>
          <w:r>
            <w:rPr>
              <w:rFonts w:hint="eastAsia" w:ascii="仿宋" w:hAnsi="仿宋" w:eastAsia="仿宋" w:cs="仿宋"/>
              <w:sz w:val="32"/>
              <w:szCs w:val="32"/>
            </w:rPr>
            <w:fldChar w:fldCharType="separate"/>
          </w:r>
          <w:r>
            <w:rPr>
              <w:rFonts w:hint="eastAsia" w:ascii="仿宋" w:hAnsi="仿宋" w:eastAsia="仿宋" w:cs="仿宋"/>
              <w:bCs/>
              <w:spacing w:val="-7"/>
              <w:sz w:val="32"/>
              <w:szCs w:val="44"/>
            </w:rPr>
            <w:t>第六章</w:t>
          </w:r>
          <w:r>
            <w:rPr>
              <w:rFonts w:hint="eastAsia" w:ascii="仿宋" w:hAnsi="仿宋" w:eastAsia="仿宋" w:cs="仿宋"/>
              <w:bCs/>
              <w:spacing w:val="-7"/>
              <w:sz w:val="32"/>
              <w:szCs w:val="44"/>
              <w:lang w:val="en-US" w:eastAsia="zh-CN"/>
            </w:rPr>
            <w:t xml:space="preserve">  </w:t>
          </w:r>
          <w:r>
            <w:rPr>
              <w:rFonts w:hint="eastAsia" w:ascii="仿宋" w:hAnsi="仿宋" w:eastAsia="仿宋" w:cs="仿宋"/>
              <w:bCs/>
              <w:spacing w:val="-7"/>
              <w:sz w:val="32"/>
              <w:szCs w:val="44"/>
            </w:rPr>
            <w:t>响应文件格式</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_Toc7533 \h </w:instrText>
          </w:r>
          <w:r>
            <w:rPr>
              <w:rFonts w:hint="eastAsia" w:ascii="仿宋" w:hAnsi="仿宋" w:eastAsia="仿宋" w:cs="仿宋"/>
              <w:sz w:val="32"/>
              <w:szCs w:val="32"/>
            </w:rPr>
            <w:fldChar w:fldCharType="separate"/>
          </w:r>
          <w:r>
            <w:rPr>
              <w:rFonts w:hint="eastAsia" w:ascii="仿宋" w:hAnsi="仿宋" w:eastAsia="仿宋" w:cs="仿宋"/>
              <w:sz w:val="32"/>
              <w:szCs w:val="32"/>
            </w:rPr>
            <w:t>48</w:t>
          </w:r>
          <w:r>
            <w:rPr>
              <w:rFonts w:hint="eastAsia" w:ascii="仿宋" w:hAnsi="仿宋" w:eastAsia="仿宋" w:cs="仿宋"/>
              <w:sz w:val="32"/>
              <w:szCs w:val="32"/>
            </w:rPr>
            <w:fldChar w:fldCharType="end"/>
          </w:r>
          <w:r>
            <w:rPr>
              <w:rFonts w:hint="eastAsia" w:ascii="仿宋" w:hAnsi="仿宋" w:eastAsia="仿宋" w:cs="仿宋"/>
              <w:sz w:val="32"/>
              <w:szCs w:val="32"/>
            </w:rPr>
            <w:fldChar w:fldCharType="end"/>
          </w:r>
        </w:p>
        <w:p w14:paraId="75A1314A">
          <w:pPr>
            <w:pStyle w:val="10"/>
            <w:tabs>
              <w:tab w:val="right" w:leader="dot" w:pos="9746"/>
            </w:tabs>
          </w:pPr>
        </w:p>
        <w:p w14:paraId="5ACEE9C5">
          <w:pPr>
            <w:pStyle w:val="2"/>
            <w:rPr>
              <w:rFonts w:ascii="Calibri" w:hAnsi="Calibri" w:eastAsia="宋体" w:cs="Calibri"/>
              <w:kern w:val="2"/>
              <w:sz w:val="21"/>
              <w:szCs w:val="21"/>
              <w:lang w:val="en-US" w:eastAsia="zh-CN" w:bidi="ar-SA"/>
            </w:rPr>
          </w:pPr>
          <w:r>
            <w:fldChar w:fldCharType="end"/>
          </w:r>
        </w:p>
      </w:sdtContent>
    </w:sdt>
    <w:p w14:paraId="09129030">
      <w:pPr>
        <w:pStyle w:val="2"/>
        <w:rPr>
          <w:rFonts w:ascii="Calibri" w:hAnsi="Calibri" w:eastAsia="宋体" w:cs="Calibri"/>
          <w:kern w:val="2"/>
          <w:sz w:val="21"/>
          <w:szCs w:val="21"/>
          <w:lang w:val="en-US" w:eastAsia="zh-CN" w:bidi="ar-SA"/>
        </w:rPr>
        <w:sectPr>
          <w:headerReference r:id="rId5" w:type="default"/>
          <w:footerReference r:id="rId6" w:type="default"/>
          <w:pgSz w:w="11906" w:h="16839"/>
          <w:pgMar w:top="1440" w:right="1080" w:bottom="1440" w:left="1080" w:header="0" w:footer="994" w:gutter="0"/>
          <w:cols w:space="720" w:num="1"/>
        </w:sectPr>
      </w:pPr>
    </w:p>
    <w:p w14:paraId="326CF7BC">
      <w:pPr>
        <w:keepNext w:val="0"/>
        <w:keepLines w:val="0"/>
        <w:pageBreakBefore w:val="0"/>
        <w:kinsoku/>
        <w:wordWrap/>
        <w:overflowPunct/>
        <w:topLinePunct w:val="0"/>
        <w:bidi w:val="0"/>
        <w:spacing w:before="113" w:line="223" w:lineRule="auto"/>
        <w:ind w:left="2465" w:leftChars="0"/>
        <w:outlineLvl w:val="0"/>
        <w:rPr>
          <w:rFonts w:ascii="宋体" w:hAnsi="宋体" w:eastAsia="宋体" w:cs="宋体"/>
          <w:sz w:val="35"/>
          <w:szCs w:val="35"/>
        </w:rPr>
      </w:pPr>
      <w:bookmarkStart w:id="0" w:name="_Toc31562"/>
      <w:r>
        <w:rPr>
          <w:rFonts w:ascii="宋体" w:hAnsi="宋体" w:eastAsia="宋体" w:cs="宋体"/>
          <w:b/>
          <w:bCs/>
          <w:color w:val="333333"/>
          <w:spacing w:val="6"/>
          <w:sz w:val="35"/>
          <w:szCs w:val="35"/>
        </w:rPr>
        <w:t>第一章竞争性磋商公告</w:t>
      </w:r>
      <w:bookmarkEnd w:id="0"/>
    </w:p>
    <w:p w14:paraId="16E9EB44">
      <w:pPr>
        <w:pStyle w:val="7"/>
        <w:keepNext w:val="0"/>
        <w:keepLines w:val="0"/>
        <w:pageBreakBefore w:val="0"/>
        <w:kinsoku/>
        <w:wordWrap/>
        <w:overflowPunct/>
        <w:topLinePunct w:val="0"/>
        <w:bidi w:val="0"/>
        <w:spacing w:line="252" w:lineRule="auto"/>
      </w:pPr>
    </w:p>
    <w:p w14:paraId="4846619A">
      <w:pPr>
        <w:keepNext w:val="0"/>
        <w:keepLines w:val="0"/>
        <w:pageBreakBefore w:val="0"/>
        <w:kinsoku/>
        <w:wordWrap/>
        <w:overflowPunct/>
        <w:topLinePunct w:val="0"/>
        <w:bidi w:val="0"/>
        <w:spacing w:before="78" w:line="219" w:lineRule="auto"/>
        <w:ind w:left="4" w:firstLine="466" w:firstLineChars="200"/>
        <w:rPr>
          <w:rFonts w:ascii="宋体" w:hAnsi="宋体" w:eastAsia="宋体" w:cs="宋体"/>
          <w:b/>
          <w:bCs/>
          <w:sz w:val="24"/>
          <w:szCs w:val="24"/>
        </w:rPr>
      </w:pPr>
      <w:r>
        <w:rPr>
          <w:rFonts w:ascii="宋体" w:hAnsi="宋体" w:eastAsia="宋体" w:cs="宋体"/>
          <w:b/>
          <w:bCs/>
          <w:spacing w:val="-4"/>
          <w:sz w:val="24"/>
          <w:szCs w:val="24"/>
        </w:rPr>
        <w:t>项目概况</w:t>
      </w:r>
    </w:p>
    <w:p w14:paraId="624B805E">
      <w:pPr>
        <w:keepNext w:val="0"/>
        <w:keepLines w:val="0"/>
        <w:pageBreakBefore w:val="0"/>
        <w:kinsoku/>
        <w:wordWrap/>
        <w:overflowPunct/>
        <w:topLinePunct w:val="0"/>
        <w:bidi w:val="0"/>
        <w:spacing w:before="120" w:line="303" w:lineRule="auto"/>
        <w:ind w:right="2" w:firstLine="481"/>
        <w:jc w:val="both"/>
        <w:rPr>
          <w:rFonts w:ascii="宋体" w:hAnsi="宋体" w:eastAsia="宋体" w:cs="宋体"/>
          <w:sz w:val="24"/>
          <w:szCs w:val="24"/>
        </w:rPr>
      </w:pPr>
      <w:r>
        <w:rPr>
          <w:rFonts w:hint="eastAsia" w:ascii="宋体" w:hAnsi="宋体" w:eastAsia="宋体" w:cs="宋体"/>
          <w:spacing w:val="-3"/>
          <w:sz w:val="24"/>
          <w:szCs w:val="24"/>
          <w:u w:val="single"/>
          <w:lang w:eastAsia="zh-CN"/>
        </w:rPr>
        <w:t>博乐市2025年中央财政林业草原改革发展资金（草原有害生物防治）项目</w:t>
      </w:r>
      <w:r>
        <w:rPr>
          <w:rFonts w:ascii="宋体" w:hAnsi="宋体" w:eastAsia="宋体" w:cs="宋体"/>
          <w:spacing w:val="-3"/>
          <w:sz w:val="24"/>
          <w:szCs w:val="24"/>
        </w:rPr>
        <w:t>的潜</w:t>
      </w:r>
      <w:r>
        <w:rPr>
          <w:rFonts w:ascii="宋体" w:hAnsi="宋体" w:eastAsia="宋体" w:cs="宋体"/>
          <w:spacing w:val="-1"/>
          <w:sz w:val="24"/>
          <w:szCs w:val="24"/>
        </w:rPr>
        <w:t>在供应商应在</w:t>
      </w:r>
      <w:r>
        <w:rPr>
          <w:rFonts w:ascii="宋体" w:hAnsi="宋体" w:eastAsia="宋体" w:cs="宋体"/>
          <w:spacing w:val="-1"/>
          <w:sz w:val="24"/>
          <w:szCs w:val="24"/>
          <w:u w:val="single" w:color="auto"/>
        </w:rPr>
        <w:t>新疆政府采购网政采云平台（http://www.ccgp-xinjiang.gov.cn</w:t>
      </w:r>
      <w:r>
        <w:rPr>
          <w:rFonts w:ascii="宋体" w:hAnsi="宋体" w:eastAsia="宋体" w:cs="宋体"/>
          <w:spacing w:val="-2"/>
          <w:sz w:val="24"/>
          <w:szCs w:val="24"/>
          <w:u w:val="single" w:color="auto"/>
        </w:rPr>
        <w:t>/）</w:t>
      </w:r>
      <w:r>
        <w:rPr>
          <w:rFonts w:ascii="宋体" w:hAnsi="宋体" w:eastAsia="宋体" w:cs="宋体"/>
          <w:spacing w:val="-2"/>
          <w:sz w:val="24"/>
          <w:szCs w:val="24"/>
        </w:rPr>
        <w:t>获取</w:t>
      </w:r>
      <w:r>
        <w:rPr>
          <w:rFonts w:ascii="宋体" w:hAnsi="宋体" w:eastAsia="宋体" w:cs="宋体"/>
          <w:spacing w:val="-5"/>
          <w:sz w:val="24"/>
          <w:szCs w:val="24"/>
        </w:rPr>
        <w:t>采购文件，并于</w:t>
      </w:r>
      <w:r>
        <w:rPr>
          <w:rFonts w:hint="eastAsia" w:ascii="宋体" w:hAnsi="宋体" w:eastAsia="宋体" w:cs="宋体"/>
          <w:spacing w:val="-3"/>
          <w:sz w:val="24"/>
          <w:szCs w:val="24"/>
          <w:u w:val="single"/>
          <w:lang w:eastAsia="zh-CN"/>
        </w:rPr>
        <w:t>2025年5月6日16点00分</w:t>
      </w:r>
      <w:r>
        <w:rPr>
          <w:rFonts w:ascii="宋体" w:hAnsi="宋体" w:eastAsia="宋体" w:cs="宋体"/>
          <w:spacing w:val="-6"/>
          <w:sz w:val="24"/>
          <w:szCs w:val="24"/>
        </w:rPr>
        <w:t>（北京时间）前提交响应文件。</w:t>
      </w:r>
    </w:p>
    <w:p w14:paraId="0CACCC8D">
      <w:pPr>
        <w:keepNext w:val="0"/>
        <w:keepLines w:val="0"/>
        <w:pageBreakBefore w:val="0"/>
        <w:kinsoku/>
        <w:wordWrap/>
        <w:overflowPunct/>
        <w:topLinePunct w:val="0"/>
        <w:bidi w:val="0"/>
        <w:spacing w:before="37" w:line="219" w:lineRule="auto"/>
        <w:ind w:left="4" w:firstLine="474" w:firstLineChars="200"/>
        <w:rPr>
          <w:rFonts w:ascii="宋体" w:hAnsi="宋体" w:eastAsia="宋体" w:cs="宋体"/>
          <w:b/>
          <w:bCs/>
          <w:sz w:val="24"/>
          <w:szCs w:val="24"/>
        </w:rPr>
      </w:pPr>
      <w:r>
        <w:rPr>
          <w:rFonts w:ascii="宋体" w:hAnsi="宋体" w:eastAsia="宋体" w:cs="宋体"/>
          <w:b/>
          <w:bCs/>
          <w:spacing w:val="-2"/>
          <w:sz w:val="24"/>
          <w:szCs w:val="24"/>
        </w:rPr>
        <w:t>一、项目基本情况</w:t>
      </w:r>
    </w:p>
    <w:p w14:paraId="42D0A3A9">
      <w:pPr>
        <w:keepNext w:val="0"/>
        <w:keepLines w:val="0"/>
        <w:pageBreakBefore w:val="0"/>
        <w:kinsoku/>
        <w:wordWrap/>
        <w:overflowPunct/>
        <w:topLinePunct w:val="0"/>
        <w:bidi w:val="0"/>
        <w:spacing w:before="119" w:line="219" w:lineRule="auto"/>
        <w:ind w:left="4" w:firstLine="476" w:firstLineChars="200"/>
        <w:rPr>
          <w:rFonts w:hint="default" w:ascii="宋体" w:hAnsi="宋体" w:eastAsia="宋体" w:cs="宋体"/>
          <w:sz w:val="24"/>
          <w:szCs w:val="24"/>
          <w:lang w:val="en-US" w:eastAsia="zh-CN"/>
        </w:rPr>
      </w:pPr>
      <w:r>
        <w:rPr>
          <w:rFonts w:ascii="宋体" w:hAnsi="宋体" w:eastAsia="宋体" w:cs="宋体"/>
          <w:spacing w:val="-1"/>
          <w:sz w:val="24"/>
          <w:szCs w:val="24"/>
        </w:rPr>
        <w:t>项目编号：</w:t>
      </w:r>
      <w:r>
        <w:rPr>
          <w:rFonts w:hint="eastAsia" w:ascii="宋体" w:hAnsi="宋体" w:eastAsia="宋体" w:cs="宋体"/>
          <w:spacing w:val="-1"/>
          <w:sz w:val="24"/>
          <w:szCs w:val="24"/>
          <w:lang w:val="en-US" w:eastAsia="zh-CN"/>
        </w:rPr>
        <w:t>JDYHCS2025-01</w:t>
      </w:r>
    </w:p>
    <w:p w14:paraId="00EA5EDD">
      <w:pPr>
        <w:keepNext w:val="0"/>
        <w:keepLines w:val="0"/>
        <w:pageBreakBefore w:val="0"/>
        <w:widowControl w:val="0"/>
        <w:numPr>
          <w:ilvl w:val="0"/>
          <w:numId w:val="0"/>
        </w:numPr>
        <w:kinsoku/>
        <w:wordWrap/>
        <w:overflowPunct/>
        <w:topLinePunct w:val="0"/>
        <w:bidi w:val="0"/>
        <w:spacing w:line="440" w:lineRule="exact"/>
        <w:ind w:left="1679" w:leftChars="228" w:hanging="1200" w:hangingChars="500"/>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项目名称：博乐市2025年中央财政林业草原改革发展资金（草原有害生物防治）项目</w:t>
      </w:r>
    </w:p>
    <w:p w14:paraId="532E690A">
      <w:pPr>
        <w:keepNext w:val="0"/>
        <w:keepLines w:val="0"/>
        <w:pageBreakBefore w:val="0"/>
        <w:kinsoku/>
        <w:wordWrap/>
        <w:overflowPunct/>
        <w:topLinePunct w:val="0"/>
        <w:bidi w:val="0"/>
        <w:spacing w:before="121" w:line="298" w:lineRule="auto"/>
        <w:ind w:right="815" w:firstLine="476" w:firstLineChars="200"/>
        <w:rPr>
          <w:rFonts w:ascii="宋体" w:hAnsi="宋体" w:eastAsia="宋体" w:cs="宋体"/>
          <w:sz w:val="24"/>
          <w:szCs w:val="24"/>
        </w:rPr>
      </w:pPr>
      <w:r>
        <w:rPr>
          <w:rFonts w:ascii="宋体" w:hAnsi="宋体" w:eastAsia="宋体" w:cs="宋体"/>
          <w:spacing w:val="-1"/>
          <w:sz w:val="24"/>
          <w:szCs w:val="24"/>
        </w:rPr>
        <w:t>采购方式：竞争性磋商</w:t>
      </w:r>
    </w:p>
    <w:p w14:paraId="0BA846E9">
      <w:pPr>
        <w:keepNext w:val="0"/>
        <w:keepLines w:val="0"/>
        <w:pageBreakBefore w:val="0"/>
        <w:widowControl w:val="0"/>
        <w:numPr>
          <w:ilvl w:val="0"/>
          <w:numId w:val="0"/>
        </w:numPr>
        <w:kinsoku/>
        <w:wordWrap/>
        <w:overflowPunct/>
        <w:topLinePunct w:val="0"/>
        <w:bidi w:val="0"/>
        <w:spacing w:line="440" w:lineRule="exact"/>
        <w:ind w:firstLine="480" w:firstLineChars="200"/>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预算金额（元）：744000.00</w:t>
      </w:r>
    </w:p>
    <w:p w14:paraId="71D3D404">
      <w:pPr>
        <w:keepNext w:val="0"/>
        <w:keepLines w:val="0"/>
        <w:pageBreakBefore w:val="0"/>
        <w:widowControl w:val="0"/>
        <w:numPr>
          <w:ilvl w:val="0"/>
          <w:numId w:val="0"/>
        </w:numPr>
        <w:kinsoku/>
        <w:wordWrap/>
        <w:overflowPunct/>
        <w:topLinePunct w:val="0"/>
        <w:bidi w:val="0"/>
        <w:spacing w:line="440" w:lineRule="exact"/>
        <w:ind w:firstLine="480" w:firstLineChars="200"/>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最高限价（元）：706800.00</w:t>
      </w:r>
    </w:p>
    <w:p w14:paraId="35411958">
      <w:pPr>
        <w:keepNext w:val="0"/>
        <w:keepLines w:val="0"/>
        <w:pageBreakBefore w:val="0"/>
        <w:widowControl/>
        <w:kinsoku/>
        <w:wordWrap/>
        <w:overflowPunct/>
        <w:topLinePunct w:val="0"/>
        <w:autoSpaceDE w:val="0"/>
        <w:autoSpaceDN w:val="0"/>
        <w:bidi w:val="0"/>
        <w:adjustRightInd w:val="0"/>
        <w:snapToGrid w:val="0"/>
        <w:spacing w:line="360" w:lineRule="auto"/>
        <w:ind w:firstLine="464" w:firstLineChars="200"/>
        <w:textAlignment w:val="baseline"/>
        <w:rPr>
          <w:rFonts w:ascii="宋体" w:hAnsi="宋体" w:eastAsia="宋体" w:cs="宋体"/>
          <w:sz w:val="24"/>
          <w:szCs w:val="24"/>
        </w:rPr>
      </w:pPr>
      <w:r>
        <w:rPr>
          <w:rFonts w:ascii="宋体" w:hAnsi="宋体" w:eastAsia="宋体" w:cs="宋体"/>
          <w:spacing w:val="-4"/>
          <w:sz w:val="24"/>
          <w:szCs w:val="24"/>
        </w:rPr>
        <w:t>采购需求：</w:t>
      </w:r>
      <w:r>
        <w:rPr>
          <w:rFonts w:hint="default" w:ascii="宋体" w:hAnsi="宋体" w:eastAsia="宋体" w:cs="宋体"/>
          <w:spacing w:val="-4"/>
          <w:sz w:val="24"/>
          <w:szCs w:val="24"/>
          <w:lang w:val="en-US" w:eastAsia="zh-CN"/>
        </w:rPr>
        <w:t>鼠害防治1万亩，虫害防治9万亩。详见竞争性磋商文件。</w:t>
      </w:r>
    </w:p>
    <w:p w14:paraId="553C1D1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pacing w:val="-4"/>
          <w:sz w:val="24"/>
          <w:szCs w:val="24"/>
          <w:lang w:eastAsia="zh-CN"/>
        </w:rPr>
      </w:pPr>
      <w:r>
        <w:rPr>
          <w:rFonts w:ascii="宋体" w:hAnsi="宋体" w:eastAsia="宋体" w:cs="宋体"/>
          <w:spacing w:val="-7"/>
          <w:sz w:val="24"/>
          <w:szCs w:val="24"/>
        </w:rPr>
        <w:t>合同履行期限：</w:t>
      </w:r>
      <w:r>
        <w:rPr>
          <w:rFonts w:hint="eastAsia" w:ascii="宋体" w:hAnsi="宋体" w:eastAsia="宋体" w:cs="宋体"/>
          <w:spacing w:val="-4"/>
          <w:sz w:val="24"/>
          <w:szCs w:val="24"/>
        </w:rPr>
        <w:t>自合同签订生效之日起至2025年10月31日前完成。</w:t>
      </w:r>
    </w:p>
    <w:p w14:paraId="64FFFD29">
      <w:pPr>
        <w:keepNext w:val="0"/>
        <w:keepLines w:val="0"/>
        <w:pageBreakBefore w:val="0"/>
        <w:widowControl/>
        <w:kinsoku/>
        <w:wordWrap/>
        <w:overflowPunct/>
        <w:topLinePunct w:val="0"/>
        <w:autoSpaceDE w:val="0"/>
        <w:autoSpaceDN w:val="0"/>
        <w:bidi w:val="0"/>
        <w:adjustRightInd w:val="0"/>
        <w:snapToGrid w:val="0"/>
        <w:spacing w:before="36" w:line="360" w:lineRule="auto"/>
        <w:ind w:right="1794" w:firstLine="476" w:firstLineChars="200"/>
        <w:textAlignment w:val="baseline"/>
        <w:rPr>
          <w:rFonts w:ascii="宋体" w:hAnsi="宋体" w:eastAsia="宋体" w:cs="宋体"/>
          <w:sz w:val="24"/>
          <w:szCs w:val="24"/>
        </w:rPr>
      </w:pPr>
      <w:r>
        <w:rPr>
          <w:rFonts w:ascii="宋体" w:hAnsi="宋体" w:eastAsia="宋体" w:cs="宋体"/>
          <w:spacing w:val="-1"/>
          <w:sz w:val="24"/>
          <w:szCs w:val="24"/>
        </w:rPr>
        <w:t>本项目不接受联合体投标。</w:t>
      </w:r>
    </w:p>
    <w:p w14:paraId="1EBA82D0">
      <w:pPr>
        <w:keepNext w:val="0"/>
        <w:keepLines w:val="0"/>
        <w:pageBreakBefore w:val="0"/>
        <w:kinsoku/>
        <w:wordWrap/>
        <w:overflowPunct/>
        <w:topLinePunct w:val="0"/>
        <w:bidi w:val="0"/>
        <w:spacing w:before="38" w:line="219" w:lineRule="auto"/>
        <w:ind w:left="4" w:firstLine="474" w:firstLineChars="200"/>
        <w:rPr>
          <w:rFonts w:ascii="宋体" w:hAnsi="宋体" w:eastAsia="宋体" w:cs="宋体"/>
          <w:b/>
          <w:bCs/>
          <w:sz w:val="24"/>
          <w:szCs w:val="24"/>
        </w:rPr>
      </w:pPr>
      <w:r>
        <w:rPr>
          <w:rFonts w:ascii="宋体" w:hAnsi="宋体" w:eastAsia="宋体" w:cs="宋体"/>
          <w:b/>
          <w:bCs/>
          <w:spacing w:val="-2"/>
          <w:sz w:val="24"/>
          <w:szCs w:val="24"/>
        </w:rPr>
        <w:t>二、申请人的资格要求：</w:t>
      </w:r>
    </w:p>
    <w:p w14:paraId="27BB3CC4">
      <w:pPr>
        <w:keepNext w:val="0"/>
        <w:keepLines w:val="0"/>
        <w:pageBreakBefore w:val="0"/>
        <w:kinsoku/>
        <w:wordWrap/>
        <w:overflowPunct/>
        <w:topLinePunct w:val="0"/>
        <w:bidi w:val="0"/>
        <w:spacing w:before="117" w:line="219" w:lineRule="auto"/>
        <w:ind w:left="18" w:firstLine="476" w:firstLineChars="200"/>
        <w:rPr>
          <w:rFonts w:ascii="宋体" w:hAnsi="宋体" w:eastAsia="宋体" w:cs="宋体"/>
          <w:sz w:val="24"/>
          <w:szCs w:val="24"/>
        </w:rPr>
      </w:pPr>
      <w:r>
        <w:rPr>
          <w:rFonts w:ascii="宋体" w:hAnsi="宋体" w:eastAsia="宋体" w:cs="宋体"/>
          <w:spacing w:val="-1"/>
          <w:sz w:val="24"/>
          <w:szCs w:val="24"/>
        </w:rPr>
        <w:t>1.满足《中华人民共和国政府采购法》第二十二条</w:t>
      </w:r>
      <w:r>
        <w:rPr>
          <w:rFonts w:ascii="宋体" w:hAnsi="宋体" w:eastAsia="宋体" w:cs="宋体"/>
          <w:spacing w:val="-2"/>
          <w:sz w:val="24"/>
          <w:szCs w:val="24"/>
        </w:rPr>
        <w:t>规定。</w:t>
      </w:r>
    </w:p>
    <w:p w14:paraId="44D93269">
      <w:pPr>
        <w:keepNext w:val="0"/>
        <w:keepLines w:val="0"/>
        <w:pageBreakBefore w:val="0"/>
        <w:kinsoku/>
        <w:wordWrap/>
        <w:overflowPunct/>
        <w:topLinePunct w:val="0"/>
        <w:autoSpaceDE/>
        <w:autoSpaceDN/>
        <w:bidi w:val="0"/>
        <w:spacing w:line="440" w:lineRule="exact"/>
        <w:ind w:firstLine="484" w:firstLineChars="200"/>
        <w:textAlignment w:val="auto"/>
        <w:rPr>
          <w:rFonts w:hint="eastAsia" w:ascii="宋体" w:hAnsi="宋体" w:eastAsia="宋体" w:cs="宋体"/>
          <w:b/>
          <w:bCs/>
          <w:spacing w:val="1"/>
          <w:sz w:val="24"/>
          <w:szCs w:val="24"/>
          <w:lang w:val="zh-CN" w:eastAsia="zh-CN"/>
        </w:rPr>
      </w:pPr>
      <w:r>
        <w:rPr>
          <w:rFonts w:ascii="宋体" w:hAnsi="宋体" w:eastAsia="宋体" w:cs="宋体"/>
          <w:spacing w:val="1"/>
          <w:sz w:val="24"/>
          <w:szCs w:val="24"/>
        </w:rPr>
        <w:t>2.落实政府采购政策需满足的资格要求</w:t>
      </w:r>
      <w:r>
        <w:rPr>
          <w:rFonts w:ascii="宋体" w:hAnsi="宋体" w:eastAsia="宋体" w:cs="宋体"/>
          <w:spacing w:val="-7"/>
          <w:sz w:val="24"/>
          <w:szCs w:val="24"/>
        </w:rPr>
        <w:t>：</w:t>
      </w:r>
      <w:r>
        <w:rPr>
          <w:rFonts w:hint="eastAsia" w:ascii="宋体" w:hAnsi="宋体" w:eastAsia="宋体" w:cs="宋体"/>
          <w:b/>
          <w:bCs/>
          <w:spacing w:val="1"/>
          <w:sz w:val="24"/>
          <w:szCs w:val="24"/>
          <w:lang w:val="zh-CN" w:eastAsia="zh-CN"/>
        </w:rPr>
        <w:t>本项目属于专门面向</w:t>
      </w:r>
      <w:r>
        <w:rPr>
          <w:rFonts w:hint="eastAsia" w:ascii="宋体" w:hAnsi="宋体" w:eastAsia="宋体" w:cs="宋体"/>
          <w:b/>
          <w:bCs/>
          <w:spacing w:val="1"/>
          <w:sz w:val="24"/>
          <w:szCs w:val="24"/>
          <w:lang w:val="en-US" w:eastAsia="zh-CN"/>
        </w:rPr>
        <w:t>小微</w:t>
      </w:r>
      <w:r>
        <w:rPr>
          <w:rFonts w:hint="eastAsia" w:ascii="宋体" w:hAnsi="宋体" w:eastAsia="宋体" w:cs="宋体"/>
          <w:b/>
          <w:bCs/>
          <w:spacing w:val="1"/>
          <w:sz w:val="24"/>
          <w:szCs w:val="24"/>
          <w:lang w:val="zh-CN" w:eastAsia="zh-CN"/>
        </w:rPr>
        <w:t>企业采购项目。</w:t>
      </w:r>
    </w:p>
    <w:p w14:paraId="00029300">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hint="eastAsia" w:ascii="宋体" w:hAnsi="宋体" w:eastAsia="宋体" w:cs="宋体"/>
          <w:spacing w:val="-7"/>
          <w:sz w:val="24"/>
          <w:szCs w:val="24"/>
          <w:lang w:val="en-US" w:eastAsia="zh-CN"/>
        </w:rPr>
        <w:t>(</w:t>
      </w:r>
      <w:r>
        <w:rPr>
          <w:rFonts w:ascii="宋体" w:hAnsi="宋体" w:eastAsia="宋体" w:cs="宋体"/>
          <w:spacing w:val="-7"/>
          <w:sz w:val="24"/>
          <w:szCs w:val="24"/>
        </w:rPr>
        <w:t>1）根据财政部、工业和信息化部《关于印发《政府采购促进中小企业发展管理办法》的通知》（财库[2020]46号文）和《关于进一步加大政府采购支持中小企业力度的通知》财库〔2022〕19号规定：本项目专门面向中小企业采购。</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（2）财政部、国家发展改革委、生态环境部、市场监管总局《关于调整优化节能产品、环境标志产品政府采购执行机制的通知》（财库[2019]9号文）；</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（3）财政部、生态环境部《关于印发环境标志产品政府采购品目清单的通知》（财库[2019]18号文）；</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（4）财政部、发展改革委《关于印发节能产品政府采购品目清单的通知》（财库[2019]19号文）；</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（5）市场监管总局《市场监管总局关于发布参与实施政府采购节能产品、环境标志产品认证机构名录的公告》（2019年第16号）；</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（6）财政部、民政部、中国残疾人联合会《关于促进残疾人就业政府采购政策的通知》（财库[2017]141号）；</w:t>
      </w:r>
      <w:r>
        <w:rPr>
          <w:rFonts w:hint="eastAsia" w:ascii="宋体" w:hAnsi="宋体" w:eastAsia="宋体" w:cs="宋体"/>
          <w:spacing w:val="-7"/>
          <w:sz w:val="24"/>
          <w:szCs w:val="24"/>
        </w:rPr>
        <w:br w:type="textWrapping"/>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7"/>
          <w:sz w:val="24"/>
          <w:szCs w:val="24"/>
        </w:rPr>
        <w:t>（</w:t>
      </w:r>
      <w:r>
        <w:rPr>
          <w:rFonts w:hint="eastAsia" w:ascii="宋体" w:hAnsi="宋体" w:eastAsia="宋体" w:cs="宋体"/>
          <w:spacing w:val="-7"/>
          <w:sz w:val="24"/>
          <w:szCs w:val="24"/>
          <w:lang w:val="en-US" w:eastAsia="zh-CN"/>
        </w:rPr>
        <w:t>7</w:t>
      </w:r>
      <w:r>
        <w:rPr>
          <w:rFonts w:hint="eastAsia" w:ascii="宋体" w:hAnsi="宋体" w:eastAsia="宋体" w:cs="宋体"/>
          <w:spacing w:val="-7"/>
          <w:sz w:val="24"/>
          <w:szCs w:val="24"/>
        </w:rPr>
        <w:t>）财政部、SF部《关于政府采购支持JY企业发展有关问题的通知》（财库[2014]68号文）。 </w:t>
      </w:r>
    </w:p>
    <w:p w14:paraId="3D9FD65E">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3.本项目的特定资格要求：（1）投标人须具备有效的营业执照，具有独立承担民事责任能力和良好诚信的合法经营单位，并在人员、设备、资金等方面具备相应的能力；</w:t>
      </w:r>
    </w:p>
    <w:p w14:paraId="7D39B0B1">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（2）如在“信用中国”网站（www.creditchina.gov.cn）、中国政府采购网（www.ccgp.gov.cn）被列入失信被执行人、重大税收违法案件当事人名单、政府采购严重违法失信行为记录名单的（尚在处罚期内的），将拒绝其参</w:t>
      </w:r>
      <w:r>
        <w:rPr>
          <w:rFonts w:hint="eastAsia" w:ascii="宋体" w:hAnsi="宋体" w:eastAsia="宋体" w:cs="宋体"/>
          <w:spacing w:val="-7"/>
          <w:sz w:val="24"/>
          <w:szCs w:val="24"/>
          <w:lang w:eastAsia="zh-CN"/>
        </w:rPr>
        <w:t>加</w:t>
      </w:r>
      <w:r>
        <w:rPr>
          <w:rFonts w:ascii="宋体" w:hAnsi="宋体" w:eastAsia="宋体" w:cs="宋体"/>
          <w:spacing w:val="-7"/>
          <w:sz w:val="24"/>
          <w:szCs w:val="24"/>
        </w:rPr>
        <w:t>本次政府采购活动（查询结果截图日期必须在发布公告日期之后）。</w:t>
      </w:r>
    </w:p>
    <w:p w14:paraId="2CC1AFCB">
      <w:pPr>
        <w:keepNext w:val="0"/>
        <w:keepLines w:val="0"/>
        <w:pageBreakBefore w:val="0"/>
        <w:kinsoku/>
        <w:wordWrap/>
        <w:overflowPunct/>
        <w:topLinePunct w:val="0"/>
        <w:autoSpaceDE/>
        <w:autoSpaceDN/>
        <w:bidi w:val="0"/>
        <w:spacing w:line="440" w:lineRule="exact"/>
        <w:ind w:firstLine="454" w:firstLineChars="200"/>
        <w:textAlignment w:val="auto"/>
        <w:rPr>
          <w:rFonts w:ascii="宋体" w:hAnsi="宋体" w:eastAsia="宋体" w:cs="宋体"/>
          <w:b/>
          <w:bCs/>
          <w:spacing w:val="-7"/>
          <w:sz w:val="24"/>
          <w:szCs w:val="24"/>
        </w:rPr>
      </w:pPr>
      <w:r>
        <w:rPr>
          <w:rFonts w:ascii="宋体" w:hAnsi="宋体" w:eastAsia="宋体" w:cs="宋体"/>
          <w:b/>
          <w:bCs/>
          <w:spacing w:val="-7"/>
          <w:sz w:val="24"/>
          <w:szCs w:val="24"/>
        </w:rPr>
        <w:t>三、获取采购文件</w:t>
      </w:r>
    </w:p>
    <w:p w14:paraId="7DA6B5A7">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时间：202</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年</w:t>
      </w:r>
      <w:r>
        <w:rPr>
          <w:rFonts w:hint="eastAsia" w:ascii="宋体" w:hAnsi="宋体" w:eastAsia="宋体" w:cs="宋体"/>
          <w:spacing w:val="-7"/>
          <w:sz w:val="24"/>
          <w:szCs w:val="24"/>
          <w:lang w:val="en-US" w:eastAsia="zh-CN"/>
        </w:rPr>
        <w:t>4</w:t>
      </w:r>
      <w:r>
        <w:rPr>
          <w:rFonts w:ascii="宋体" w:hAnsi="宋体" w:eastAsia="宋体" w:cs="宋体"/>
          <w:spacing w:val="-7"/>
          <w:sz w:val="24"/>
          <w:szCs w:val="24"/>
        </w:rPr>
        <w:t>月</w:t>
      </w:r>
      <w:r>
        <w:rPr>
          <w:rFonts w:hint="eastAsia" w:ascii="宋体" w:hAnsi="宋体" w:eastAsia="宋体" w:cs="宋体"/>
          <w:spacing w:val="-7"/>
          <w:sz w:val="24"/>
          <w:szCs w:val="24"/>
          <w:lang w:val="en-US" w:eastAsia="zh-CN"/>
        </w:rPr>
        <w:t>22</w:t>
      </w:r>
      <w:r>
        <w:rPr>
          <w:rFonts w:ascii="宋体" w:hAnsi="宋体" w:eastAsia="宋体" w:cs="宋体"/>
          <w:spacing w:val="-7"/>
          <w:sz w:val="24"/>
          <w:szCs w:val="24"/>
        </w:rPr>
        <w:t>日至202</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年</w:t>
      </w:r>
      <w:r>
        <w:rPr>
          <w:rFonts w:hint="eastAsia" w:ascii="宋体" w:hAnsi="宋体" w:eastAsia="宋体" w:cs="宋体"/>
          <w:spacing w:val="-7"/>
          <w:sz w:val="24"/>
          <w:szCs w:val="24"/>
          <w:lang w:val="en-US" w:eastAsia="zh-CN"/>
        </w:rPr>
        <w:t>4</w:t>
      </w:r>
      <w:r>
        <w:rPr>
          <w:rFonts w:ascii="宋体" w:hAnsi="宋体" w:eastAsia="宋体" w:cs="宋体"/>
          <w:spacing w:val="-7"/>
          <w:sz w:val="24"/>
          <w:szCs w:val="24"/>
        </w:rPr>
        <w:t>月</w:t>
      </w:r>
      <w:r>
        <w:rPr>
          <w:rFonts w:hint="eastAsia" w:ascii="宋体" w:hAnsi="宋体" w:eastAsia="宋体" w:cs="宋体"/>
          <w:spacing w:val="-7"/>
          <w:sz w:val="24"/>
          <w:szCs w:val="24"/>
          <w:lang w:val="en-US" w:eastAsia="zh-CN"/>
        </w:rPr>
        <w:t>29</w:t>
      </w:r>
      <w:r>
        <w:rPr>
          <w:rFonts w:ascii="宋体" w:hAnsi="宋体" w:eastAsia="宋体" w:cs="宋体"/>
          <w:spacing w:val="-7"/>
          <w:sz w:val="24"/>
          <w:szCs w:val="24"/>
        </w:rPr>
        <w:t>日，每天上午</w:t>
      </w:r>
      <w:r>
        <w:rPr>
          <w:rFonts w:hint="eastAsia" w:ascii="宋体" w:hAnsi="宋体" w:eastAsia="宋体" w:cs="宋体"/>
          <w:spacing w:val="-7"/>
          <w:sz w:val="24"/>
          <w:szCs w:val="24"/>
          <w:lang w:val="en-US" w:eastAsia="zh-CN"/>
        </w:rPr>
        <w:t>10</w:t>
      </w:r>
      <w:r>
        <w:rPr>
          <w:rFonts w:ascii="宋体" w:hAnsi="宋体" w:eastAsia="宋体" w:cs="宋体"/>
          <w:spacing w:val="-7"/>
          <w:sz w:val="24"/>
          <w:szCs w:val="24"/>
        </w:rPr>
        <w:t>:00至</w:t>
      </w:r>
      <w:r>
        <w:rPr>
          <w:rFonts w:hint="eastAsia" w:ascii="宋体" w:hAnsi="宋体" w:eastAsia="宋体" w:cs="宋体"/>
          <w:spacing w:val="-7"/>
          <w:sz w:val="24"/>
          <w:szCs w:val="24"/>
          <w:lang w:val="en-US" w:eastAsia="zh-CN"/>
        </w:rPr>
        <w:t>12:00</w:t>
      </w:r>
      <w:r>
        <w:rPr>
          <w:rFonts w:ascii="宋体" w:hAnsi="宋体" w:eastAsia="宋体" w:cs="宋体"/>
          <w:spacing w:val="-7"/>
          <w:sz w:val="24"/>
          <w:szCs w:val="24"/>
        </w:rPr>
        <w:t>，下午</w:t>
      </w:r>
      <w:r>
        <w:rPr>
          <w:rFonts w:hint="eastAsia" w:ascii="宋体" w:hAnsi="宋体" w:eastAsia="宋体" w:cs="宋体"/>
          <w:spacing w:val="-7"/>
          <w:sz w:val="24"/>
          <w:szCs w:val="24"/>
          <w:lang w:val="en-US" w:eastAsia="zh-CN"/>
        </w:rPr>
        <w:t>12:00</w:t>
      </w:r>
      <w:r>
        <w:rPr>
          <w:rFonts w:ascii="宋体" w:hAnsi="宋体" w:eastAsia="宋体" w:cs="宋体"/>
          <w:spacing w:val="-7"/>
          <w:sz w:val="24"/>
          <w:szCs w:val="24"/>
        </w:rPr>
        <w:t>至</w:t>
      </w:r>
      <w:r>
        <w:rPr>
          <w:rFonts w:hint="eastAsia" w:ascii="宋体" w:hAnsi="宋体" w:eastAsia="宋体" w:cs="宋体"/>
          <w:spacing w:val="-7"/>
          <w:sz w:val="24"/>
          <w:szCs w:val="24"/>
          <w:lang w:val="en-US" w:eastAsia="zh-CN"/>
        </w:rPr>
        <w:t>23:59</w:t>
      </w:r>
      <w:r>
        <w:rPr>
          <w:rFonts w:ascii="宋体" w:hAnsi="宋体" w:eastAsia="宋体" w:cs="宋体"/>
          <w:spacing w:val="-7"/>
          <w:sz w:val="24"/>
          <w:szCs w:val="24"/>
        </w:rPr>
        <w:t>（北京时间，法定节假日除外）</w:t>
      </w:r>
    </w:p>
    <w:p w14:paraId="5978CD41">
      <w:pPr>
        <w:keepNext w:val="0"/>
        <w:keepLines w:val="0"/>
        <w:pageBreakBefore w:val="0"/>
        <w:kinsoku/>
        <w:wordWrap/>
        <w:overflowPunct/>
        <w:topLinePunct w:val="0"/>
        <w:autoSpaceDE/>
        <w:autoSpaceDN/>
        <w:bidi w:val="0"/>
        <w:spacing w:line="440" w:lineRule="exact"/>
        <w:ind w:firstLine="452" w:firstLineChars="200"/>
        <w:textAlignment w:val="auto"/>
        <w:rPr>
          <w:rFonts w:hint="default" w:ascii="宋体" w:hAnsi="宋体" w:eastAsia="宋体" w:cs="宋体"/>
          <w:spacing w:val="-7"/>
          <w:sz w:val="24"/>
          <w:szCs w:val="24"/>
          <w:lang w:val="en-US"/>
        </w:rPr>
      </w:pPr>
      <w:r>
        <w:rPr>
          <w:rFonts w:ascii="宋体" w:hAnsi="宋体" w:eastAsia="宋体" w:cs="宋体"/>
          <w:spacing w:val="-7"/>
          <w:sz w:val="24"/>
          <w:szCs w:val="24"/>
        </w:rPr>
        <w:t>地点：</w:t>
      </w:r>
      <w:r>
        <w:rPr>
          <w:rFonts w:hint="eastAsia" w:ascii="宋体" w:hAnsi="宋体" w:eastAsia="宋体" w:cs="宋体"/>
          <w:spacing w:val="-7"/>
          <w:sz w:val="24"/>
          <w:szCs w:val="24"/>
          <w:lang w:val="en-US" w:eastAsia="zh-CN"/>
        </w:rPr>
        <w:t>政采云平台（https://www.zcygov.cn/)</w:t>
      </w:r>
    </w:p>
    <w:p w14:paraId="6F083C1A">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方式：</w:t>
      </w:r>
      <w:r>
        <w:rPr>
          <w:rFonts w:hint="eastAsia" w:ascii="宋体" w:hAnsi="宋体" w:eastAsia="宋体" w:cs="宋体"/>
          <w:spacing w:val="-7"/>
          <w:sz w:val="24"/>
          <w:szCs w:val="24"/>
          <w:lang w:val="en-US" w:eastAsia="zh-CN"/>
        </w:rPr>
        <w:t>供应商登录政采云平台https://www.zcygov.cn/在线申请获取采购文件（进入“项目采购”应用，在获取采购文件菜单中选择项目，申请获取采购文件）</w:t>
      </w:r>
    </w:p>
    <w:p w14:paraId="1F4EA567">
      <w:pPr>
        <w:keepNext w:val="0"/>
        <w:keepLines w:val="0"/>
        <w:pageBreakBefore w:val="0"/>
        <w:kinsoku/>
        <w:wordWrap/>
        <w:overflowPunct/>
        <w:topLinePunct w:val="0"/>
        <w:autoSpaceDE/>
        <w:autoSpaceDN/>
        <w:bidi w:val="0"/>
        <w:spacing w:line="440" w:lineRule="exact"/>
        <w:ind w:firstLine="454" w:firstLineChars="200"/>
        <w:textAlignment w:val="auto"/>
        <w:rPr>
          <w:rFonts w:ascii="宋体" w:hAnsi="宋体" w:eastAsia="宋体" w:cs="宋体"/>
          <w:b/>
          <w:bCs/>
          <w:spacing w:val="-7"/>
          <w:sz w:val="24"/>
          <w:szCs w:val="24"/>
        </w:rPr>
      </w:pPr>
      <w:r>
        <w:rPr>
          <w:rFonts w:ascii="宋体" w:hAnsi="宋体" w:eastAsia="宋体" w:cs="宋体"/>
          <w:b/>
          <w:bCs/>
          <w:spacing w:val="-7"/>
          <w:sz w:val="24"/>
          <w:szCs w:val="24"/>
        </w:rPr>
        <w:t>四、响应文件提交</w:t>
      </w:r>
    </w:p>
    <w:p w14:paraId="1FF48FF6">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截止时间：</w:t>
      </w:r>
      <w:r>
        <w:rPr>
          <w:rFonts w:hint="eastAsia" w:ascii="宋体" w:hAnsi="宋体" w:eastAsia="宋体" w:cs="宋体"/>
          <w:spacing w:val="-7"/>
          <w:sz w:val="24"/>
          <w:szCs w:val="24"/>
          <w:lang w:eastAsia="zh-CN"/>
        </w:rPr>
        <w:t>2025年5月6日16点00分</w:t>
      </w:r>
      <w:r>
        <w:rPr>
          <w:rFonts w:ascii="宋体" w:hAnsi="宋体" w:eastAsia="宋体" w:cs="宋体"/>
          <w:spacing w:val="-7"/>
          <w:sz w:val="24"/>
          <w:szCs w:val="24"/>
        </w:rPr>
        <w:t>（北京时间）</w:t>
      </w:r>
    </w:p>
    <w:p w14:paraId="69FA285C">
      <w:pPr>
        <w:keepNext w:val="0"/>
        <w:keepLines w:val="0"/>
        <w:pageBreakBefore w:val="0"/>
        <w:kinsoku/>
        <w:wordWrap/>
        <w:overflowPunct/>
        <w:topLinePunct w:val="0"/>
        <w:autoSpaceDE/>
        <w:autoSpaceDN/>
        <w:bidi w:val="0"/>
        <w:spacing w:line="440" w:lineRule="exact"/>
        <w:ind w:firstLine="452" w:firstLineChars="200"/>
        <w:textAlignment w:val="auto"/>
        <w:rPr>
          <w:rFonts w:hint="default" w:ascii="宋体" w:hAnsi="宋体" w:eastAsia="宋体" w:cs="宋体"/>
          <w:spacing w:val="-7"/>
          <w:sz w:val="24"/>
          <w:szCs w:val="24"/>
          <w:lang w:val="en-US"/>
        </w:rPr>
      </w:pPr>
      <w:r>
        <w:rPr>
          <w:rFonts w:ascii="宋体" w:hAnsi="宋体" w:eastAsia="宋体" w:cs="宋体"/>
          <w:spacing w:val="-7"/>
          <w:sz w:val="24"/>
          <w:szCs w:val="24"/>
        </w:rPr>
        <w:t>地点：请使用CA数字证书登录政采云平台</w:t>
      </w:r>
      <w:r>
        <w:rPr>
          <w:rFonts w:hint="eastAsia" w:ascii="宋体" w:hAnsi="宋体" w:eastAsia="宋体" w:cs="宋体"/>
          <w:spacing w:val="-7"/>
          <w:sz w:val="24"/>
          <w:szCs w:val="24"/>
          <w:lang w:val="en-US" w:eastAsia="zh-CN"/>
        </w:rPr>
        <w:t>政采云平台(https://www.zcygov.cn/)</w:t>
      </w:r>
    </w:p>
    <w:p w14:paraId="4D817BF5">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上传加密版投标文件。</w:t>
      </w:r>
    </w:p>
    <w:p w14:paraId="273EE3C1">
      <w:pPr>
        <w:keepNext w:val="0"/>
        <w:keepLines w:val="0"/>
        <w:pageBreakBefore w:val="0"/>
        <w:kinsoku/>
        <w:wordWrap/>
        <w:overflowPunct/>
        <w:topLinePunct w:val="0"/>
        <w:autoSpaceDE/>
        <w:autoSpaceDN/>
        <w:bidi w:val="0"/>
        <w:spacing w:line="440" w:lineRule="exact"/>
        <w:ind w:firstLine="454" w:firstLineChars="200"/>
        <w:textAlignment w:val="auto"/>
        <w:rPr>
          <w:rFonts w:ascii="宋体" w:hAnsi="宋体" w:eastAsia="宋体" w:cs="宋体"/>
          <w:b/>
          <w:bCs/>
          <w:spacing w:val="-7"/>
          <w:sz w:val="24"/>
          <w:szCs w:val="24"/>
        </w:rPr>
      </w:pPr>
      <w:r>
        <w:rPr>
          <w:rFonts w:ascii="宋体" w:hAnsi="宋体" w:eastAsia="宋体" w:cs="宋体"/>
          <w:b/>
          <w:bCs/>
          <w:spacing w:val="-7"/>
          <w:sz w:val="24"/>
          <w:szCs w:val="24"/>
        </w:rPr>
        <w:t>五、响应开启</w:t>
      </w:r>
    </w:p>
    <w:p w14:paraId="5E157781">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时间：</w:t>
      </w:r>
      <w:r>
        <w:rPr>
          <w:rFonts w:hint="eastAsia" w:ascii="宋体" w:hAnsi="宋体" w:eastAsia="宋体" w:cs="宋体"/>
          <w:spacing w:val="-7"/>
          <w:sz w:val="24"/>
          <w:szCs w:val="24"/>
          <w:lang w:eastAsia="zh-CN"/>
        </w:rPr>
        <w:t>2025年5月6日16点00分</w:t>
      </w:r>
      <w:r>
        <w:rPr>
          <w:rFonts w:ascii="宋体" w:hAnsi="宋体" w:eastAsia="宋体" w:cs="宋体"/>
          <w:spacing w:val="-7"/>
          <w:sz w:val="24"/>
          <w:szCs w:val="24"/>
        </w:rPr>
        <w:t>（北京时间）</w:t>
      </w:r>
    </w:p>
    <w:p w14:paraId="20982D40">
      <w:pPr>
        <w:keepNext w:val="0"/>
        <w:keepLines w:val="0"/>
        <w:pageBreakBefore w:val="0"/>
        <w:kinsoku/>
        <w:wordWrap/>
        <w:overflowPunct/>
        <w:topLinePunct w:val="0"/>
        <w:autoSpaceDE/>
        <w:autoSpaceDN/>
        <w:bidi w:val="0"/>
        <w:spacing w:line="440" w:lineRule="exact"/>
        <w:ind w:firstLine="452" w:firstLineChars="200"/>
        <w:textAlignment w:val="auto"/>
        <w:rPr>
          <w:rFonts w:ascii="宋体" w:hAnsi="宋体" w:eastAsia="宋体" w:cs="宋体"/>
          <w:spacing w:val="-7"/>
          <w:sz w:val="24"/>
          <w:szCs w:val="24"/>
        </w:rPr>
      </w:pPr>
      <w:r>
        <w:rPr>
          <w:rFonts w:ascii="宋体" w:hAnsi="宋体" w:eastAsia="宋体" w:cs="宋体"/>
          <w:spacing w:val="-7"/>
          <w:sz w:val="24"/>
          <w:szCs w:val="24"/>
        </w:rPr>
        <w:t>地点：投标人登录政采云平台https://www.zcygov.cn/，进入“项目采购-开标评标-右边选择对应项目点击“进入项目”进入开标大厅。</w:t>
      </w:r>
    </w:p>
    <w:p w14:paraId="3BBA816D">
      <w:pPr>
        <w:keepNext w:val="0"/>
        <w:keepLines w:val="0"/>
        <w:pageBreakBefore w:val="0"/>
        <w:kinsoku/>
        <w:wordWrap/>
        <w:overflowPunct/>
        <w:topLinePunct w:val="0"/>
        <w:autoSpaceDE/>
        <w:autoSpaceDN/>
        <w:bidi w:val="0"/>
        <w:spacing w:line="440" w:lineRule="exact"/>
        <w:ind w:firstLine="454" w:firstLineChars="200"/>
        <w:textAlignment w:val="auto"/>
        <w:rPr>
          <w:rFonts w:ascii="宋体" w:hAnsi="宋体" w:eastAsia="宋体" w:cs="宋体"/>
          <w:b/>
          <w:bCs/>
          <w:spacing w:val="-7"/>
          <w:sz w:val="24"/>
          <w:szCs w:val="24"/>
        </w:rPr>
      </w:pPr>
      <w:r>
        <w:rPr>
          <w:rFonts w:ascii="宋体" w:hAnsi="宋体" w:eastAsia="宋体" w:cs="宋体"/>
          <w:b/>
          <w:bCs/>
          <w:spacing w:val="-7"/>
          <w:sz w:val="24"/>
          <w:szCs w:val="24"/>
        </w:rPr>
        <w:t>六、公告期限</w:t>
      </w:r>
    </w:p>
    <w:p w14:paraId="3F85A8CB">
      <w:pPr>
        <w:keepNext w:val="0"/>
        <w:keepLines w:val="0"/>
        <w:pageBreakBefore w:val="0"/>
        <w:kinsoku/>
        <w:wordWrap/>
        <w:overflowPunct/>
        <w:topLinePunct w:val="0"/>
        <w:bidi w:val="0"/>
        <w:spacing w:before="122" w:line="218" w:lineRule="auto"/>
        <w:ind w:left="41" w:firstLine="460" w:firstLineChars="200"/>
        <w:rPr>
          <w:rFonts w:ascii="宋体" w:hAnsi="宋体" w:eastAsia="宋体" w:cs="宋体"/>
          <w:sz w:val="24"/>
          <w:szCs w:val="24"/>
        </w:rPr>
      </w:pPr>
      <w:r>
        <w:rPr>
          <w:rFonts w:ascii="宋体" w:hAnsi="宋体" w:eastAsia="宋体" w:cs="宋体"/>
          <w:spacing w:val="-5"/>
          <w:sz w:val="24"/>
          <w:szCs w:val="24"/>
        </w:rPr>
        <w:t>自本公告发布之日起5个工作日。</w:t>
      </w:r>
    </w:p>
    <w:p w14:paraId="3F990941">
      <w:pPr>
        <w:keepNext w:val="0"/>
        <w:keepLines w:val="0"/>
        <w:pageBreakBefore w:val="0"/>
        <w:kinsoku/>
        <w:wordWrap/>
        <w:overflowPunct/>
        <w:topLinePunct w:val="0"/>
        <w:bidi w:val="0"/>
        <w:spacing w:before="123" w:line="220" w:lineRule="auto"/>
        <w:ind w:firstLine="474" w:firstLineChars="200"/>
        <w:rPr>
          <w:rFonts w:ascii="宋体" w:hAnsi="宋体" w:eastAsia="宋体" w:cs="宋体"/>
          <w:b/>
          <w:bCs/>
          <w:sz w:val="24"/>
          <w:szCs w:val="24"/>
        </w:rPr>
      </w:pPr>
      <w:r>
        <w:rPr>
          <w:rFonts w:ascii="宋体" w:hAnsi="宋体" w:eastAsia="宋体" w:cs="宋体"/>
          <w:b/>
          <w:bCs/>
          <w:spacing w:val="-2"/>
          <w:sz w:val="24"/>
          <w:szCs w:val="24"/>
        </w:rPr>
        <w:t>七、其他补充事宜</w:t>
      </w:r>
    </w:p>
    <w:p w14:paraId="5A687D4A">
      <w:pPr>
        <w:keepNext w:val="0"/>
        <w:keepLines w:val="0"/>
        <w:pageBreakBefore w:val="0"/>
        <w:kinsoku/>
        <w:wordWrap/>
        <w:overflowPunct/>
        <w:topLinePunct w:val="0"/>
        <w:bidi w:val="0"/>
        <w:spacing w:before="122" w:line="219" w:lineRule="auto"/>
        <w:ind w:left="1" w:firstLine="474" w:firstLineChars="200"/>
        <w:rPr>
          <w:rFonts w:ascii="宋体" w:hAnsi="宋体" w:eastAsia="宋体" w:cs="宋体"/>
          <w:b/>
          <w:bCs/>
          <w:sz w:val="24"/>
          <w:szCs w:val="24"/>
        </w:rPr>
      </w:pPr>
      <w:r>
        <w:rPr>
          <w:rFonts w:ascii="宋体" w:hAnsi="宋体" w:eastAsia="宋体" w:cs="宋体"/>
          <w:b/>
          <w:bCs/>
          <w:spacing w:val="-2"/>
          <w:sz w:val="24"/>
          <w:szCs w:val="24"/>
        </w:rPr>
        <w:t>特别提示：</w:t>
      </w:r>
    </w:p>
    <w:p w14:paraId="14F5A9FE">
      <w:pPr>
        <w:keepNext w:val="0"/>
        <w:keepLines w:val="0"/>
        <w:pageBreakBefore w:val="0"/>
        <w:widowControl w:val="0"/>
        <w:numPr>
          <w:ilvl w:val="0"/>
          <w:numId w:val="0"/>
        </w:numPr>
        <w:kinsoku/>
        <w:wordWrap/>
        <w:overflowPunct/>
        <w:topLinePunct w:val="0"/>
        <w:bidi w:val="0"/>
        <w:spacing w:line="440" w:lineRule="exact"/>
        <w:ind w:firstLine="480" w:firstLineChars="200"/>
        <w:rPr>
          <w:rFonts w:hint="default"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eastAsia="zh-CN"/>
        </w:rPr>
        <w:t>1、本项目实行网上投标，采用电子投标文件。若供应商参与投标，自行承担投标一切费用。2、各供应商应在开标前应确保成为新疆维吾尔自治区政府采购网正式注册入库供应商，并完成CA数字证书申领。因未注册入库、未办理CA数字证书等原因造成无法投标或投标失败等后果由供应商自行承担。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4、有意向参与新疆区域电子开评标的供应商，可访问新疆数字证书认证中心官方网站（https://www.xjca.com.cn/）或下载“新疆政务通”APP自行进行申领。如需咨询，请联系新疆CA服务热线0991-28192905、若因投标单位个人原因，招标文件获取时未在两个平台同时获取，导致开标后中标结果公示未能及时发出，投标人需自行承担责任。</w:t>
      </w:r>
    </w:p>
    <w:p w14:paraId="3978D102">
      <w:pPr>
        <w:keepNext w:val="0"/>
        <w:keepLines w:val="0"/>
        <w:pageBreakBefore w:val="0"/>
        <w:widowControl w:val="0"/>
        <w:numPr>
          <w:ilvl w:val="0"/>
          <w:numId w:val="0"/>
        </w:numPr>
        <w:kinsoku/>
        <w:wordWrap/>
        <w:overflowPunct/>
        <w:topLinePunct w:val="0"/>
        <w:bidi w:val="0"/>
        <w:spacing w:line="440" w:lineRule="exact"/>
        <w:ind w:firstLine="482" w:firstLineChars="200"/>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八、凡对本次采购提出询问，请按以下方式联系。</w:t>
      </w:r>
    </w:p>
    <w:p w14:paraId="68665AF1">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1.采购人信息</w:t>
      </w:r>
    </w:p>
    <w:p w14:paraId="403F0D04">
      <w:pPr>
        <w:keepNext w:val="0"/>
        <w:keepLines w:val="0"/>
        <w:pageBreakBefore w:val="0"/>
        <w:kinsoku/>
        <w:wordWrap/>
        <w:overflowPunct/>
        <w:topLinePunct w:val="0"/>
        <w:bidi w:val="0"/>
        <w:spacing w:line="500" w:lineRule="exact"/>
        <w:ind w:firstLine="476" w:firstLineChars="200"/>
        <w:rPr>
          <w:rFonts w:hint="eastAsia" w:ascii="宋体" w:hAnsi="宋体" w:eastAsia="宋体" w:cs="宋体"/>
          <w:color w:val="000000" w:themeColor="text1"/>
          <w:spacing w:val="-3"/>
          <w:sz w:val="24"/>
          <w:szCs w:val="24"/>
          <w:lang w:eastAsia="zh-CN"/>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名称：</w:t>
      </w:r>
      <w:r>
        <w:rPr>
          <w:rFonts w:hint="eastAsia" w:ascii="宋体" w:hAnsi="宋体" w:eastAsia="宋体" w:cs="宋体"/>
          <w:color w:val="000000" w:themeColor="text1"/>
          <w:spacing w:val="-3"/>
          <w:sz w:val="24"/>
          <w:szCs w:val="24"/>
          <w:lang w:val="en-US" w:eastAsia="zh-CN"/>
          <w14:textFill>
            <w14:solidFill>
              <w14:schemeClr w14:val="tx1"/>
            </w14:solidFill>
          </w14:textFill>
        </w:rPr>
        <w:t>博乐市草原工作站</w:t>
      </w:r>
    </w:p>
    <w:p w14:paraId="6B66A0F0">
      <w:pPr>
        <w:keepNext w:val="0"/>
        <w:keepLines w:val="0"/>
        <w:pageBreakBefore w:val="0"/>
        <w:kinsoku/>
        <w:wordWrap/>
        <w:overflowPunct/>
        <w:topLinePunct w:val="0"/>
        <w:bidi w:val="0"/>
        <w:spacing w:before="34" w:line="299" w:lineRule="auto"/>
        <w:ind w:right="4151" w:firstLine="472" w:firstLineChars="200"/>
        <w:rPr>
          <w:rFonts w:hint="eastAsia" w:ascii="宋体" w:hAnsi="宋体" w:eastAsia="宋体" w:cs="宋体"/>
          <w:color w:val="000000" w:themeColor="text1"/>
          <w:sz w:val="24"/>
          <w:szCs w:val="24"/>
          <w:lang w:val="en-US" w:eastAsia="zh-CN"/>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地址：</w:t>
      </w:r>
      <w:r>
        <w:rPr>
          <w:rFonts w:hint="eastAsia" w:ascii="宋体" w:hAnsi="宋体" w:eastAsia="宋体" w:cs="宋体"/>
          <w:color w:val="000000" w:themeColor="text1"/>
          <w:spacing w:val="-2"/>
          <w:sz w:val="24"/>
          <w:szCs w:val="24"/>
          <w:lang w:val="en-US" w:eastAsia="zh-CN"/>
          <w14:textFill>
            <w14:solidFill>
              <w14:schemeClr w14:val="tx1"/>
            </w14:solidFill>
          </w14:textFill>
        </w:rPr>
        <w:t>博乐市</w:t>
      </w:r>
    </w:p>
    <w:p w14:paraId="78389A9B">
      <w:pPr>
        <w:keepNext w:val="0"/>
        <w:keepLines w:val="0"/>
        <w:pageBreakBefore w:val="0"/>
        <w:kinsoku/>
        <w:wordWrap/>
        <w:overflowPunct/>
        <w:topLinePunct w:val="0"/>
        <w:bidi w:val="0"/>
        <w:spacing w:before="35" w:line="219" w:lineRule="auto"/>
        <w:ind w:left="1" w:firstLine="472" w:firstLineChars="200"/>
        <w:rPr>
          <w:rFonts w:hint="eastAsia"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联系人：</w:t>
      </w:r>
      <w:r>
        <w:rPr>
          <w:rFonts w:hint="eastAsia" w:ascii="宋体" w:hAnsi="宋体" w:eastAsia="宋体" w:cs="宋体"/>
          <w:color w:val="auto"/>
          <w:spacing w:val="0"/>
          <w:w w:val="100"/>
          <w:position w:val="0"/>
          <w:sz w:val="24"/>
          <w:szCs w:val="24"/>
          <w:lang w:eastAsia="zh-CN"/>
        </w:rPr>
        <w:t>艾站长</w:t>
      </w:r>
    </w:p>
    <w:p w14:paraId="67B8958B">
      <w:pPr>
        <w:keepNext w:val="0"/>
        <w:keepLines w:val="0"/>
        <w:pageBreakBefore w:val="0"/>
        <w:widowControl/>
        <w:kinsoku/>
        <w:wordWrap/>
        <w:overflowPunct/>
        <w:topLinePunct w:val="0"/>
        <w:autoSpaceDE w:val="0"/>
        <w:autoSpaceDN w:val="0"/>
        <w:bidi w:val="0"/>
        <w:adjustRightInd w:val="0"/>
        <w:snapToGrid w:val="0"/>
        <w:spacing w:line="298" w:lineRule="auto"/>
        <w:ind w:left="0" w:right="0" w:firstLine="476" w:firstLineChars="200"/>
        <w:textAlignment w:val="baseline"/>
        <w:rPr>
          <w:rFonts w:hint="eastAsia" w:ascii="宋体" w:hAnsi="宋体" w:eastAsia="宋体" w:cs="宋体"/>
          <w:color w:val="000000" w:themeColor="text1"/>
          <w:spacing w:val="-1"/>
          <w:sz w:val="24"/>
          <w:szCs w:val="24"/>
          <w:lang w:val="en-US" w:eastAsia="zh-CN"/>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联系方式：</w:t>
      </w:r>
      <w:r>
        <w:rPr>
          <w:rFonts w:hint="eastAsia" w:ascii="宋体" w:hAnsi="宋体" w:eastAsia="宋体" w:cs="宋体"/>
          <w:color w:val="000000" w:themeColor="text1"/>
          <w:spacing w:val="-1"/>
          <w:sz w:val="24"/>
          <w:szCs w:val="24"/>
          <w14:textFill>
            <w14:solidFill>
              <w14:schemeClr w14:val="tx1"/>
            </w14:solidFill>
          </w14:textFill>
        </w:rPr>
        <w:t>0909-2225027</w:t>
      </w:r>
    </w:p>
    <w:p w14:paraId="151C1B00">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2.采购代理机构信息</w:t>
      </w:r>
    </w:p>
    <w:p w14:paraId="237C441A">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名称：新疆金典引航项目管理咨询有限责任公司</w:t>
      </w:r>
    </w:p>
    <w:p w14:paraId="718FBF0C">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地址：博乐市北京南路汇嘉广场6号楼6楼</w:t>
      </w:r>
    </w:p>
    <w:p w14:paraId="407115F2">
      <w:pPr>
        <w:keepNext w:val="0"/>
        <w:keepLines w:val="0"/>
        <w:pageBreakBefore w:val="0"/>
        <w:kinsoku/>
        <w:wordWrap/>
        <w:overflowPunct/>
        <w:topLinePunct w:val="0"/>
        <w:bidi w:val="0"/>
        <w:spacing w:before="34" w:line="304" w:lineRule="auto"/>
        <w:ind w:right="4031" w:firstLine="476" w:firstLineChars="200"/>
        <w:jc w:val="both"/>
        <w:rPr>
          <w:rFonts w:hint="default" w:ascii="宋体" w:hAnsi="宋体" w:eastAsia="宋体" w:cs="宋体"/>
          <w:sz w:val="24"/>
          <w:szCs w:val="24"/>
          <w:lang w:val="en-US" w:eastAsia="zh-CN"/>
        </w:rPr>
      </w:pPr>
      <w:r>
        <w:rPr>
          <w:rFonts w:ascii="宋体" w:hAnsi="宋体" w:eastAsia="宋体" w:cs="宋体"/>
          <w:spacing w:val="-1"/>
          <w:sz w:val="24"/>
          <w:szCs w:val="24"/>
        </w:rPr>
        <w:t>联系方式：</w:t>
      </w:r>
      <w:r>
        <w:rPr>
          <w:rFonts w:hint="eastAsia" w:ascii="宋体" w:hAnsi="宋体" w:eastAsia="宋体" w:cs="宋体"/>
          <w:spacing w:val="-1"/>
          <w:sz w:val="24"/>
          <w:szCs w:val="24"/>
          <w:lang w:val="en-US" w:eastAsia="zh-CN"/>
        </w:rPr>
        <w:t>0909-2221262</w:t>
      </w:r>
    </w:p>
    <w:p w14:paraId="0D3D47C6">
      <w:pPr>
        <w:keepNext w:val="0"/>
        <w:keepLines w:val="0"/>
        <w:pageBreakBefore w:val="0"/>
        <w:kinsoku/>
        <w:wordWrap/>
        <w:overflowPunct/>
        <w:topLinePunct w:val="0"/>
        <w:bidi w:val="0"/>
        <w:spacing w:before="32" w:line="220" w:lineRule="auto"/>
        <w:ind w:left="5" w:firstLine="472" w:firstLineChars="200"/>
        <w:rPr>
          <w:rFonts w:ascii="宋体" w:hAnsi="宋体" w:eastAsia="宋体" w:cs="宋体"/>
          <w:sz w:val="24"/>
          <w:szCs w:val="24"/>
        </w:rPr>
      </w:pPr>
      <w:r>
        <w:rPr>
          <w:rFonts w:ascii="宋体" w:hAnsi="宋体" w:eastAsia="宋体" w:cs="宋体"/>
          <w:spacing w:val="-2"/>
          <w:sz w:val="24"/>
          <w:szCs w:val="24"/>
        </w:rPr>
        <w:t>3.项目联系方式</w:t>
      </w:r>
    </w:p>
    <w:p w14:paraId="77270DC0">
      <w:pPr>
        <w:keepNext w:val="0"/>
        <w:keepLines w:val="0"/>
        <w:pageBreakBefore w:val="0"/>
        <w:kinsoku/>
        <w:wordWrap/>
        <w:overflowPunct/>
        <w:topLinePunct w:val="0"/>
        <w:bidi w:val="0"/>
        <w:spacing w:before="120" w:line="220" w:lineRule="auto"/>
        <w:ind w:left="4" w:firstLine="472" w:firstLineChars="200"/>
        <w:rPr>
          <w:rFonts w:hint="eastAsia" w:ascii="宋体" w:hAnsi="宋体" w:eastAsia="宋体" w:cs="宋体"/>
          <w:sz w:val="24"/>
          <w:szCs w:val="24"/>
          <w:lang w:val="en-US" w:eastAsia="zh-CN"/>
        </w:rPr>
      </w:pPr>
      <w:r>
        <w:rPr>
          <w:rFonts w:ascii="宋体" w:hAnsi="宋体" w:eastAsia="宋体" w:cs="宋体"/>
          <w:spacing w:val="-2"/>
          <w:sz w:val="24"/>
          <w:szCs w:val="24"/>
        </w:rPr>
        <w:t>项目联系人：</w:t>
      </w:r>
      <w:r>
        <w:rPr>
          <w:rFonts w:hint="eastAsia" w:ascii="宋体" w:hAnsi="宋体" w:eastAsia="宋体" w:cs="宋体"/>
          <w:spacing w:val="-2"/>
          <w:sz w:val="24"/>
          <w:szCs w:val="24"/>
          <w:lang w:val="en-US" w:eastAsia="zh-CN"/>
        </w:rPr>
        <w:t>杨帆</w:t>
      </w:r>
    </w:p>
    <w:p w14:paraId="203575BC">
      <w:pPr>
        <w:keepNext w:val="0"/>
        <w:keepLines w:val="0"/>
        <w:pageBreakBefore w:val="0"/>
        <w:kinsoku/>
        <w:wordWrap/>
        <w:overflowPunct/>
        <w:topLinePunct w:val="0"/>
        <w:bidi w:val="0"/>
        <w:spacing w:before="120" w:line="221" w:lineRule="auto"/>
        <w:ind w:left="29" w:firstLine="472" w:firstLineChars="200"/>
        <w:rPr>
          <w:rFonts w:hint="default" w:ascii="宋体" w:hAnsi="宋体" w:eastAsia="宋体" w:cs="宋体"/>
          <w:sz w:val="24"/>
          <w:szCs w:val="24"/>
          <w:lang w:val="en-US" w:eastAsia="zh-CN"/>
        </w:rPr>
      </w:pPr>
      <w:r>
        <w:rPr>
          <w:rFonts w:ascii="宋体" w:hAnsi="宋体" w:eastAsia="宋体" w:cs="宋体"/>
          <w:spacing w:val="-2"/>
          <w:sz w:val="24"/>
          <w:szCs w:val="24"/>
        </w:rPr>
        <w:t>电话：</w:t>
      </w:r>
      <w:r>
        <w:rPr>
          <w:rFonts w:hint="eastAsia" w:ascii="宋体" w:hAnsi="宋体" w:eastAsia="宋体" w:cs="宋体"/>
          <w:spacing w:val="-2"/>
          <w:sz w:val="24"/>
          <w:szCs w:val="24"/>
          <w:lang w:val="en-US" w:eastAsia="zh-CN"/>
        </w:rPr>
        <w:t>0909-2221262</w:t>
      </w:r>
    </w:p>
    <w:p w14:paraId="57CAD676">
      <w:pPr>
        <w:keepNext w:val="0"/>
        <w:keepLines w:val="0"/>
        <w:pageBreakBefore w:val="0"/>
        <w:kinsoku/>
        <w:wordWrap/>
        <w:overflowPunct/>
        <w:topLinePunct w:val="0"/>
        <w:bidi w:val="0"/>
        <w:spacing w:before="118" w:line="219" w:lineRule="auto"/>
        <w:ind w:left="5283"/>
        <w:jc w:val="right"/>
        <w:rPr>
          <w:rFonts w:ascii="宋体" w:hAnsi="宋体" w:eastAsia="宋体" w:cs="宋体"/>
          <w:sz w:val="24"/>
          <w:szCs w:val="24"/>
        </w:rPr>
      </w:pPr>
      <w:r>
        <w:rPr>
          <w:rFonts w:ascii="宋体" w:hAnsi="宋体" w:eastAsia="宋体" w:cs="宋体"/>
          <w:spacing w:val="-7"/>
          <w:sz w:val="24"/>
          <w:szCs w:val="24"/>
        </w:rPr>
        <w:t>202</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年</w:t>
      </w:r>
      <w:r>
        <w:rPr>
          <w:rFonts w:hint="eastAsia" w:ascii="宋体" w:hAnsi="宋体" w:eastAsia="宋体" w:cs="宋体"/>
          <w:spacing w:val="-7"/>
          <w:sz w:val="24"/>
          <w:szCs w:val="24"/>
          <w:lang w:val="en-US" w:eastAsia="zh-CN"/>
        </w:rPr>
        <w:t>4</w:t>
      </w:r>
      <w:r>
        <w:rPr>
          <w:rFonts w:ascii="宋体" w:hAnsi="宋体" w:eastAsia="宋体" w:cs="宋体"/>
          <w:spacing w:val="-7"/>
          <w:sz w:val="24"/>
          <w:szCs w:val="24"/>
        </w:rPr>
        <w:t>月</w:t>
      </w:r>
      <w:r>
        <w:rPr>
          <w:rFonts w:hint="eastAsia" w:ascii="宋体" w:hAnsi="宋体" w:eastAsia="宋体" w:cs="宋体"/>
          <w:spacing w:val="-7"/>
          <w:sz w:val="24"/>
          <w:szCs w:val="24"/>
          <w:lang w:val="en-US" w:eastAsia="zh-CN"/>
        </w:rPr>
        <w:t>18</w:t>
      </w:r>
      <w:r>
        <w:rPr>
          <w:rFonts w:ascii="宋体" w:hAnsi="宋体" w:eastAsia="宋体" w:cs="宋体"/>
          <w:spacing w:val="-7"/>
          <w:sz w:val="24"/>
          <w:szCs w:val="24"/>
        </w:rPr>
        <w:t>日</w:t>
      </w:r>
    </w:p>
    <w:p w14:paraId="27C05239">
      <w:pPr>
        <w:keepNext w:val="0"/>
        <w:keepLines w:val="0"/>
        <w:pageBreakBefore w:val="0"/>
        <w:kinsoku/>
        <w:wordWrap/>
        <w:overflowPunct/>
        <w:topLinePunct w:val="0"/>
        <w:bidi w:val="0"/>
        <w:spacing w:before="127" w:line="288" w:lineRule="auto"/>
        <w:ind w:right="80" w:firstLine="5"/>
        <w:sectPr>
          <w:footerReference r:id="rId7" w:type="default"/>
          <w:pgSz w:w="11906" w:h="16839"/>
          <w:pgMar w:top="1440" w:right="1080" w:bottom="1440" w:left="1080" w:header="0" w:footer="994" w:gutter="0"/>
          <w:pgNumType w:fmt="decimal" w:start="1"/>
          <w:cols w:space="720" w:num="1"/>
        </w:sectPr>
      </w:pPr>
    </w:p>
    <w:p w14:paraId="1064BC99">
      <w:pPr>
        <w:keepNext w:val="0"/>
        <w:keepLines w:val="0"/>
        <w:pageBreakBefore w:val="0"/>
        <w:kinsoku/>
        <w:wordWrap/>
        <w:overflowPunct/>
        <w:topLinePunct w:val="0"/>
        <w:bidi w:val="0"/>
        <w:spacing w:before="101" w:line="224" w:lineRule="auto"/>
        <w:jc w:val="center"/>
        <w:outlineLvl w:val="0"/>
        <w:rPr>
          <w:rFonts w:ascii="宋体" w:hAnsi="宋体" w:eastAsia="宋体" w:cs="宋体"/>
          <w:sz w:val="31"/>
          <w:szCs w:val="31"/>
        </w:rPr>
      </w:pPr>
      <w:bookmarkStart w:id="1" w:name="_Toc27045"/>
      <w:r>
        <w:rPr>
          <w:rFonts w:ascii="宋体" w:hAnsi="宋体" w:eastAsia="宋体" w:cs="宋体"/>
          <w:b/>
          <w:bCs/>
          <w:spacing w:val="6"/>
          <w:sz w:val="31"/>
          <w:szCs w:val="31"/>
        </w:rPr>
        <w:t>第二章竞争性磋商须知</w:t>
      </w:r>
      <w:bookmarkEnd w:id="1"/>
    </w:p>
    <w:tbl>
      <w:tblPr>
        <w:tblStyle w:val="15"/>
        <w:tblpPr w:leftFromText="180" w:rightFromText="180" w:vertAnchor="text" w:horzAnchor="page" w:tblpX="1407" w:tblpY="86"/>
        <w:tblOverlap w:val="never"/>
        <w:tblW w:w="5016"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73"/>
        <w:gridCol w:w="1745"/>
        <w:gridCol w:w="7265"/>
      </w:tblGrid>
      <w:tr w14:paraId="7CDD3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95" w:type="pct"/>
            <w:vAlign w:val="center"/>
          </w:tcPr>
          <w:p w14:paraId="7196B815">
            <w:pPr>
              <w:jc w:val="center"/>
              <w:rPr>
                <w:rFonts w:hint="eastAsia" w:ascii="宋体" w:hAnsi="宋体" w:eastAsia="宋体" w:cs="宋体"/>
                <w:sz w:val="20"/>
                <w:szCs w:val="20"/>
              </w:rPr>
            </w:pPr>
            <w:r>
              <w:rPr>
                <w:rFonts w:ascii="宋体" w:hAnsi="宋体" w:eastAsia="宋体" w:cs="宋体"/>
                <w:b/>
                <w:bCs/>
                <w:spacing w:val="-12"/>
                <w:sz w:val="24"/>
                <w:szCs w:val="24"/>
              </w:rPr>
              <w:br w:type="page"/>
            </w:r>
            <w:r>
              <w:rPr>
                <w:rFonts w:hint="eastAsia" w:ascii="宋体" w:hAnsi="宋体" w:eastAsia="宋体" w:cs="宋体"/>
                <w:b/>
                <w:bCs/>
                <w:spacing w:val="-4"/>
                <w:sz w:val="20"/>
                <w:szCs w:val="20"/>
              </w:rPr>
              <w:t>条款</w:t>
            </w:r>
            <w:r>
              <w:rPr>
                <w:rFonts w:hint="eastAsia" w:ascii="宋体" w:hAnsi="宋体" w:eastAsia="宋体" w:cs="宋体"/>
                <w:b/>
                <w:bCs/>
                <w:sz w:val="20"/>
                <w:szCs w:val="20"/>
              </w:rPr>
              <w:t>号</w:t>
            </w:r>
          </w:p>
        </w:tc>
        <w:tc>
          <w:tcPr>
            <w:tcW w:w="892" w:type="pct"/>
            <w:vAlign w:val="center"/>
          </w:tcPr>
          <w:p w14:paraId="1DDFC63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rPr>
            </w:pPr>
            <w:r>
              <w:rPr>
                <w:rFonts w:hint="eastAsia" w:ascii="宋体" w:hAnsi="宋体" w:eastAsia="宋体" w:cs="宋体"/>
                <w:b/>
                <w:bCs/>
                <w:spacing w:val="6"/>
                <w:sz w:val="20"/>
                <w:szCs w:val="20"/>
              </w:rPr>
              <w:t>条款名称</w:t>
            </w:r>
          </w:p>
        </w:tc>
        <w:tc>
          <w:tcPr>
            <w:tcW w:w="3711" w:type="pct"/>
            <w:vAlign w:val="center"/>
          </w:tcPr>
          <w:p w14:paraId="709040C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rPr>
            </w:pPr>
            <w:r>
              <w:rPr>
                <w:rFonts w:hint="eastAsia" w:ascii="宋体" w:hAnsi="宋体" w:eastAsia="宋体" w:cs="宋体"/>
                <w:b/>
                <w:bCs/>
                <w:spacing w:val="6"/>
                <w:sz w:val="20"/>
                <w:szCs w:val="20"/>
              </w:rPr>
              <w:t>编列内容</w:t>
            </w:r>
          </w:p>
        </w:tc>
      </w:tr>
      <w:tr w14:paraId="0B2A03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vAlign w:val="center"/>
          </w:tcPr>
          <w:p w14:paraId="615C7BBD">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372" w:firstLineChars="200"/>
              <w:jc w:val="both"/>
              <w:textAlignment w:val="baseline"/>
              <w:rPr>
                <w:rFonts w:hint="eastAsia" w:asciiTheme="minorEastAsia" w:hAnsiTheme="minorEastAsia" w:eastAsiaTheme="minorEastAsia" w:cstheme="minorEastAsia"/>
                <w:b w:val="0"/>
                <w:bCs w:val="0"/>
                <w:sz w:val="19"/>
                <w:szCs w:val="19"/>
              </w:rPr>
            </w:pPr>
            <w:r>
              <w:rPr>
                <w:rFonts w:hint="eastAsia" w:asciiTheme="minorEastAsia" w:hAnsiTheme="minorEastAsia" w:eastAsiaTheme="minorEastAsia" w:cstheme="minorEastAsia"/>
                <w:b w:val="0"/>
                <w:bCs w:val="0"/>
                <w:spacing w:val="-2"/>
                <w:sz w:val="19"/>
                <w:szCs w:val="19"/>
              </w:rPr>
              <w:t>1</w:t>
            </w:r>
          </w:p>
        </w:tc>
        <w:tc>
          <w:tcPr>
            <w:tcW w:w="892" w:type="pct"/>
            <w:vAlign w:val="center"/>
          </w:tcPr>
          <w:p w14:paraId="4BF78BD7">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8" w:firstLineChars="200"/>
              <w:textAlignment w:val="baseline"/>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spacing w:val="7"/>
              </w:rPr>
              <w:t>采购人</w:t>
            </w:r>
          </w:p>
        </w:tc>
        <w:tc>
          <w:tcPr>
            <w:tcW w:w="3711" w:type="pct"/>
            <w:vAlign w:val="center"/>
          </w:tcPr>
          <w:p w14:paraId="71618E9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32" w:firstLineChars="200"/>
              <w:textAlignment w:val="baseline"/>
              <w:rPr>
                <w:rFonts w:hint="eastAsia" w:ascii="宋体" w:hAnsi="宋体" w:eastAsia="宋体" w:cs="宋体"/>
                <w:color w:val="000000" w:themeColor="text1"/>
                <w:spacing w:val="6"/>
                <w14:textFill>
                  <w14:solidFill>
                    <w14:schemeClr w14:val="tx1"/>
                  </w14:solidFill>
                </w14:textFill>
              </w:rPr>
            </w:pPr>
            <w:r>
              <w:rPr>
                <w:rFonts w:hint="eastAsia" w:ascii="宋体" w:hAnsi="宋体" w:eastAsia="宋体" w:cs="宋体"/>
                <w:color w:val="000000" w:themeColor="text1"/>
                <w:spacing w:val="8"/>
                <w14:textFill>
                  <w14:solidFill>
                    <w14:schemeClr w14:val="tx1"/>
                  </w14:solidFill>
                </w14:textFill>
              </w:rPr>
              <w:t>名称</w:t>
            </w:r>
            <w:r>
              <w:rPr>
                <w:rFonts w:hint="eastAsia" w:ascii="宋体" w:hAnsi="宋体" w:eastAsia="宋体" w:cs="宋体"/>
                <w:color w:val="000000" w:themeColor="text1"/>
                <w:spacing w:val="6"/>
                <w14:textFill>
                  <w14:solidFill>
                    <w14:schemeClr w14:val="tx1"/>
                  </w14:solidFill>
                </w14:textFill>
              </w:rPr>
              <w:t>：</w:t>
            </w:r>
            <w:r>
              <w:rPr>
                <w:rFonts w:hint="eastAsia" w:cs="宋体"/>
                <w:color w:val="000000" w:themeColor="text1"/>
                <w:spacing w:val="6"/>
                <w:lang w:val="en-US" w:eastAsia="zh-CN"/>
                <w14:textFill>
                  <w14:solidFill>
                    <w14:schemeClr w14:val="tx1"/>
                  </w14:solidFill>
                </w14:textFill>
              </w:rPr>
              <w:t>博乐市草原工作站</w:t>
            </w:r>
          </w:p>
          <w:p w14:paraId="629ED33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4" w:firstLineChars="200"/>
              <w:textAlignment w:val="baseline"/>
              <w:rPr>
                <w:rFonts w:hint="eastAsia" w:ascii="宋体" w:hAnsi="宋体" w:eastAsia="宋体" w:cs="宋体"/>
                <w:color w:val="000000" w:themeColor="text1"/>
                <w:spacing w:val="6"/>
                <w:lang w:val="en-US" w:eastAsia="zh-CN"/>
                <w14:textFill>
                  <w14:solidFill>
                    <w14:schemeClr w14:val="tx1"/>
                  </w14:solidFill>
                </w14:textFill>
              </w:rPr>
            </w:pPr>
            <w:r>
              <w:rPr>
                <w:rFonts w:hint="eastAsia" w:ascii="宋体" w:hAnsi="宋体" w:eastAsia="宋体" w:cs="宋体"/>
                <w:color w:val="000000" w:themeColor="text1"/>
                <w:spacing w:val="6"/>
                <w14:textFill>
                  <w14:solidFill>
                    <w14:schemeClr w14:val="tx1"/>
                  </w14:solidFill>
                </w14:textFill>
              </w:rPr>
              <w:t>地址：</w:t>
            </w:r>
            <w:r>
              <w:rPr>
                <w:rFonts w:hint="eastAsia" w:cs="宋体"/>
                <w:color w:val="000000" w:themeColor="text1"/>
                <w:spacing w:val="6"/>
                <w:lang w:val="en-US" w:eastAsia="zh-CN"/>
                <w14:textFill>
                  <w14:solidFill>
                    <w14:schemeClr w14:val="tx1"/>
                  </w14:solidFill>
                </w14:textFill>
              </w:rPr>
              <w:t>博乐市</w:t>
            </w:r>
          </w:p>
          <w:p w14:paraId="1A4F298B">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4" w:firstLineChars="200"/>
              <w:textAlignment w:val="baseline"/>
              <w:rPr>
                <w:rFonts w:hint="eastAsia" w:ascii="宋体" w:hAnsi="宋体" w:eastAsia="宋体" w:cs="宋体"/>
                <w:color w:val="000000" w:themeColor="text1"/>
                <w:spacing w:val="6"/>
                <w:lang w:val="en-US" w:eastAsia="zh-CN"/>
                <w14:textFill>
                  <w14:solidFill>
                    <w14:schemeClr w14:val="tx1"/>
                  </w14:solidFill>
                </w14:textFill>
              </w:rPr>
            </w:pPr>
            <w:r>
              <w:rPr>
                <w:rFonts w:hint="eastAsia" w:ascii="宋体" w:hAnsi="宋体" w:eastAsia="宋体" w:cs="宋体"/>
                <w:color w:val="000000" w:themeColor="text1"/>
                <w:spacing w:val="6"/>
                <w14:textFill>
                  <w14:solidFill>
                    <w14:schemeClr w14:val="tx1"/>
                  </w14:solidFill>
                </w14:textFill>
              </w:rPr>
              <w:t>联系人：</w:t>
            </w:r>
            <w:r>
              <w:rPr>
                <w:rFonts w:hint="eastAsia" w:cs="宋体"/>
                <w:color w:val="000000" w:themeColor="text1"/>
                <w:spacing w:val="6"/>
                <w:lang w:val="en-US" w:eastAsia="zh-CN"/>
                <w14:textFill>
                  <w14:solidFill>
                    <w14:schemeClr w14:val="tx1"/>
                  </w14:solidFill>
                </w14:textFill>
              </w:rPr>
              <w:t>艾站长</w:t>
            </w:r>
          </w:p>
          <w:p w14:paraId="04AD21A1">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4" w:firstLineChars="200"/>
              <w:textAlignment w:val="baseline"/>
              <w:rPr>
                <w:rFonts w:hint="eastAsia" w:ascii="宋体" w:hAnsi="宋体" w:eastAsia="宋体" w:cs="宋体"/>
              </w:rPr>
            </w:pPr>
            <w:r>
              <w:rPr>
                <w:rFonts w:hint="eastAsia" w:ascii="宋体" w:hAnsi="宋体" w:eastAsia="宋体" w:cs="宋体"/>
                <w:color w:val="000000" w:themeColor="text1"/>
                <w:spacing w:val="6"/>
                <w14:textFill>
                  <w14:solidFill>
                    <w14:schemeClr w14:val="tx1"/>
                  </w14:solidFill>
                </w14:textFill>
              </w:rPr>
              <w:t>电话：</w:t>
            </w:r>
            <w:r>
              <w:rPr>
                <w:rFonts w:hint="eastAsia" w:cs="宋体"/>
                <w:color w:val="000000" w:themeColor="text1"/>
                <w:spacing w:val="6"/>
                <w:lang w:val="en-US" w:eastAsia="zh-CN"/>
                <w14:textFill>
                  <w14:solidFill>
                    <w14:schemeClr w14:val="tx1"/>
                  </w14:solidFill>
                </w14:textFill>
              </w:rPr>
              <w:t>0909-2225027</w:t>
            </w:r>
          </w:p>
        </w:tc>
      </w:tr>
      <w:tr w14:paraId="4CD02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1" w:hRule="atLeast"/>
        </w:trPr>
        <w:tc>
          <w:tcPr>
            <w:tcW w:w="395" w:type="pct"/>
            <w:shd w:val="clear" w:color="auto" w:fill="auto"/>
            <w:vAlign w:val="center"/>
          </w:tcPr>
          <w:p w14:paraId="15E213B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2</w:t>
            </w:r>
          </w:p>
        </w:tc>
        <w:tc>
          <w:tcPr>
            <w:tcW w:w="892" w:type="pct"/>
            <w:shd w:val="clear" w:color="auto" w:fill="auto"/>
            <w:vAlign w:val="center"/>
          </w:tcPr>
          <w:p w14:paraId="2F2FDCF0">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招标代理机构</w:t>
            </w:r>
          </w:p>
        </w:tc>
        <w:tc>
          <w:tcPr>
            <w:tcW w:w="3711" w:type="pct"/>
            <w:shd w:val="clear" w:color="auto" w:fill="auto"/>
            <w:vAlign w:val="top"/>
          </w:tcPr>
          <w:p w14:paraId="03D91E5C">
            <w:pPr>
              <w:pStyle w:val="16"/>
              <w:keepNext w:val="0"/>
              <w:keepLines w:val="0"/>
              <w:pageBreakBefore w:val="0"/>
              <w:widowControl/>
              <w:kinsoku/>
              <w:wordWrap/>
              <w:overflowPunct/>
              <w:topLinePunct w:val="0"/>
              <w:autoSpaceDE w:val="0"/>
              <w:autoSpaceDN w:val="0"/>
              <w:bidi w:val="0"/>
              <w:adjustRightInd w:val="0"/>
              <w:snapToGrid w:val="0"/>
              <w:spacing w:before="0" w:beforeLines="50" w:line="240" w:lineRule="auto"/>
              <w:ind w:left="0" w:right="0" w:firstLine="432" w:firstLineChars="200"/>
              <w:textAlignment w:val="baseline"/>
              <w:rPr>
                <w:rFonts w:hint="eastAsia" w:ascii="宋体" w:hAnsi="宋体" w:eastAsia="宋体" w:cs="宋体"/>
                <w:lang w:val="en-US" w:eastAsia="zh-CN"/>
              </w:rPr>
            </w:pPr>
            <w:r>
              <w:rPr>
                <w:rFonts w:hint="eastAsia" w:ascii="宋体" w:hAnsi="宋体" w:eastAsia="宋体" w:cs="宋体"/>
                <w:spacing w:val="8"/>
              </w:rPr>
              <w:t>名称：</w:t>
            </w:r>
            <w:r>
              <w:rPr>
                <w:rFonts w:hint="eastAsia" w:cs="宋体"/>
                <w:spacing w:val="8"/>
                <w:lang w:val="en-US" w:eastAsia="zh-CN"/>
              </w:rPr>
              <w:t>新疆金典引航项目管理咨询有限责任公司</w:t>
            </w:r>
          </w:p>
          <w:p w14:paraId="55D4C30D">
            <w:pPr>
              <w:pStyle w:val="16"/>
              <w:keepNext w:val="0"/>
              <w:keepLines w:val="0"/>
              <w:pageBreakBefore w:val="0"/>
              <w:widowControl/>
              <w:kinsoku/>
              <w:wordWrap/>
              <w:overflowPunct/>
              <w:topLinePunct w:val="0"/>
              <w:autoSpaceDE w:val="0"/>
              <w:autoSpaceDN w:val="0"/>
              <w:bidi w:val="0"/>
              <w:adjustRightInd w:val="0"/>
              <w:snapToGrid w:val="0"/>
              <w:spacing w:before="0" w:beforeLines="50" w:line="240" w:lineRule="auto"/>
              <w:ind w:left="0" w:right="0" w:firstLine="428" w:firstLineChars="200"/>
              <w:textAlignment w:val="baseline"/>
              <w:rPr>
                <w:rFonts w:hint="eastAsia" w:ascii="宋体" w:hAnsi="宋体" w:eastAsia="宋体" w:cs="宋体"/>
                <w:lang w:val="en-US" w:eastAsia="zh-CN"/>
              </w:rPr>
            </w:pPr>
            <w:r>
              <w:rPr>
                <w:rFonts w:hint="eastAsia" w:ascii="宋体" w:hAnsi="宋体" w:eastAsia="宋体" w:cs="宋体"/>
                <w:spacing w:val="7"/>
              </w:rPr>
              <w:t>地址：</w:t>
            </w:r>
            <w:r>
              <w:rPr>
                <w:rFonts w:hint="eastAsia" w:cs="宋体"/>
                <w:spacing w:val="7"/>
                <w:lang w:val="en-US" w:eastAsia="zh-CN"/>
              </w:rPr>
              <w:t>博乐市北京南路汇嘉广场6号楼6楼</w:t>
            </w:r>
          </w:p>
          <w:p w14:paraId="0CCF6EF3">
            <w:pPr>
              <w:pStyle w:val="16"/>
              <w:keepNext w:val="0"/>
              <w:keepLines w:val="0"/>
              <w:pageBreakBefore w:val="0"/>
              <w:widowControl/>
              <w:kinsoku/>
              <w:wordWrap/>
              <w:overflowPunct/>
              <w:topLinePunct w:val="0"/>
              <w:autoSpaceDE w:val="0"/>
              <w:autoSpaceDN w:val="0"/>
              <w:bidi w:val="0"/>
              <w:adjustRightInd w:val="0"/>
              <w:snapToGrid w:val="0"/>
              <w:spacing w:before="0" w:beforeLines="50" w:line="240" w:lineRule="auto"/>
              <w:ind w:left="0" w:right="0" w:firstLine="436" w:firstLineChars="200"/>
              <w:textAlignment w:val="baseline"/>
              <w:rPr>
                <w:rFonts w:hint="eastAsia" w:ascii="宋体" w:hAnsi="宋体" w:eastAsia="宋体" w:cs="宋体"/>
                <w:lang w:val="en-US" w:eastAsia="zh-CN"/>
              </w:rPr>
            </w:pPr>
            <w:r>
              <w:rPr>
                <w:rFonts w:hint="eastAsia" w:ascii="宋体" w:hAnsi="宋体" w:eastAsia="宋体" w:cs="宋体"/>
                <w:spacing w:val="9"/>
              </w:rPr>
              <w:t>联系人：</w:t>
            </w:r>
            <w:r>
              <w:rPr>
                <w:rFonts w:hint="eastAsia" w:cs="宋体"/>
                <w:spacing w:val="9"/>
                <w:lang w:val="en-US" w:eastAsia="zh-CN"/>
              </w:rPr>
              <w:t>杨帆</w:t>
            </w:r>
          </w:p>
          <w:p w14:paraId="4F989A50">
            <w:pPr>
              <w:pStyle w:val="16"/>
              <w:keepNext w:val="0"/>
              <w:keepLines w:val="0"/>
              <w:pageBreakBefore w:val="0"/>
              <w:widowControl/>
              <w:kinsoku/>
              <w:wordWrap/>
              <w:overflowPunct/>
              <w:topLinePunct w:val="0"/>
              <w:autoSpaceDE w:val="0"/>
              <w:autoSpaceDN w:val="0"/>
              <w:bidi w:val="0"/>
              <w:adjustRightInd w:val="0"/>
              <w:snapToGrid w:val="0"/>
              <w:spacing w:before="0" w:beforeLines="50" w:line="240" w:lineRule="auto"/>
              <w:ind w:left="0" w:leftChars="0" w:right="0" w:firstLine="416" w:firstLineChars="200"/>
              <w:textAlignment w:val="baseline"/>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4"/>
              </w:rPr>
              <w:t>电话：</w:t>
            </w:r>
            <w:r>
              <w:rPr>
                <w:rFonts w:hint="eastAsia" w:ascii="宋体" w:hAnsi="宋体" w:eastAsia="宋体" w:cs="宋体"/>
                <w:spacing w:val="4"/>
                <w:lang w:val="en-US" w:eastAsia="zh-CN"/>
              </w:rPr>
              <w:t>19109096789</w:t>
            </w:r>
          </w:p>
        </w:tc>
      </w:tr>
      <w:tr w14:paraId="4CC422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395" w:type="pct"/>
            <w:shd w:val="clear" w:color="auto" w:fill="auto"/>
            <w:vAlign w:val="center"/>
          </w:tcPr>
          <w:p w14:paraId="081C38A9">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3</w:t>
            </w:r>
          </w:p>
        </w:tc>
        <w:tc>
          <w:tcPr>
            <w:tcW w:w="892" w:type="pct"/>
            <w:shd w:val="clear" w:color="auto" w:fill="auto"/>
            <w:vAlign w:val="center"/>
          </w:tcPr>
          <w:p w14:paraId="57B55DA0">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采购项目名称</w:t>
            </w:r>
          </w:p>
        </w:tc>
        <w:tc>
          <w:tcPr>
            <w:tcW w:w="3711" w:type="pct"/>
            <w:shd w:val="clear" w:color="auto" w:fill="auto"/>
            <w:vAlign w:val="top"/>
          </w:tcPr>
          <w:p w14:paraId="6812EE04">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rightChars="0" w:firstLine="436" w:firstLineChars="200"/>
              <w:textAlignment w:val="baseline"/>
              <w:rPr>
                <w:rFonts w:hint="eastAsia" w:ascii="Arial" w:hAnsi="Arial" w:eastAsia="宋体" w:cs="Arial"/>
                <w:snapToGrid w:val="0"/>
                <w:color w:val="000000"/>
                <w:kern w:val="0"/>
                <w:sz w:val="21"/>
                <w:szCs w:val="21"/>
                <w:lang w:val="en-US" w:eastAsia="zh-CN" w:bidi="ar-SA"/>
              </w:rPr>
            </w:pPr>
            <w:r>
              <w:rPr>
                <w:rFonts w:hint="eastAsia" w:ascii="宋体" w:hAnsi="宋体" w:eastAsia="宋体" w:cs="宋体"/>
                <w:snapToGrid w:val="0"/>
                <w:color w:val="000000"/>
                <w:spacing w:val="9"/>
                <w:kern w:val="0"/>
                <w:sz w:val="20"/>
                <w:szCs w:val="20"/>
                <w:lang w:val="en-US" w:eastAsia="zh-CN" w:bidi="ar-SA"/>
              </w:rPr>
              <w:t>博乐市2025年中央财政林业草原改革发展资金（草原有害生物防治）项目</w:t>
            </w:r>
          </w:p>
        </w:tc>
      </w:tr>
      <w:tr w14:paraId="702AE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395" w:type="pct"/>
            <w:shd w:val="clear" w:color="auto" w:fill="auto"/>
            <w:vAlign w:val="center"/>
          </w:tcPr>
          <w:p w14:paraId="13400FD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4</w:t>
            </w:r>
          </w:p>
        </w:tc>
        <w:tc>
          <w:tcPr>
            <w:tcW w:w="892" w:type="pct"/>
            <w:shd w:val="clear" w:color="auto" w:fill="auto"/>
            <w:vAlign w:val="center"/>
          </w:tcPr>
          <w:p w14:paraId="7A61999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采购方式</w:t>
            </w:r>
          </w:p>
        </w:tc>
        <w:tc>
          <w:tcPr>
            <w:tcW w:w="3711" w:type="pct"/>
            <w:shd w:val="clear" w:color="auto" w:fill="auto"/>
            <w:vAlign w:val="top"/>
          </w:tcPr>
          <w:p w14:paraId="39C1FDF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8" w:firstLineChars="200"/>
              <w:textAlignment w:val="baseline"/>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rPr>
              <w:t>竞争性磋商</w:t>
            </w:r>
          </w:p>
        </w:tc>
      </w:tr>
      <w:tr w14:paraId="77EF6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7" w:hRule="atLeast"/>
        </w:trPr>
        <w:tc>
          <w:tcPr>
            <w:tcW w:w="395" w:type="pct"/>
            <w:shd w:val="clear" w:color="auto" w:fill="auto"/>
            <w:vAlign w:val="center"/>
          </w:tcPr>
          <w:p w14:paraId="1A8CB047">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5</w:t>
            </w:r>
          </w:p>
        </w:tc>
        <w:tc>
          <w:tcPr>
            <w:tcW w:w="892" w:type="pct"/>
            <w:shd w:val="clear" w:color="auto" w:fill="auto"/>
            <w:vAlign w:val="center"/>
          </w:tcPr>
          <w:p w14:paraId="75AFFD5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采购预算价</w:t>
            </w:r>
            <w:r>
              <w:rPr>
                <w:rFonts w:hint="eastAsia" w:asciiTheme="minorEastAsia" w:hAnsiTheme="minorEastAsia" w:eastAsiaTheme="minorEastAsia" w:cstheme="minorEastAsia"/>
                <w:b w:val="0"/>
                <w:bCs w:val="0"/>
                <w:spacing w:val="-1"/>
              </w:rPr>
              <w:t>（元）</w:t>
            </w:r>
          </w:p>
        </w:tc>
        <w:tc>
          <w:tcPr>
            <w:tcW w:w="3711" w:type="pct"/>
            <w:shd w:val="clear" w:color="auto" w:fill="auto"/>
            <w:vAlign w:val="top"/>
          </w:tcPr>
          <w:p w14:paraId="62C1A5B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12" w:firstLineChars="200"/>
              <w:textAlignment w:val="baseline"/>
              <w:rPr>
                <w:rFonts w:hint="eastAsia" w:ascii="宋体" w:hAnsi="宋体" w:eastAsia="宋体" w:cs="宋体"/>
                <w:snapToGrid w:val="0"/>
                <w:color w:val="000000"/>
                <w:kern w:val="0"/>
                <w:sz w:val="20"/>
                <w:szCs w:val="20"/>
                <w:lang w:val="en-US" w:eastAsia="zh-CN" w:bidi="ar-SA"/>
              </w:rPr>
            </w:pPr>
            <w:r>
              <w:rPr>
                <w:rFonts w:hint="eastAsia" w:cs="宋体"/>
                <w:spacing w:val="3"/>
                <w:lang w:val="en-US" w:eastAsia="zh-CN"/>
              </w:rPr>
              <w:t>744000.00</w:t>
            </w:r>
          </w:p>
        </w:tc>
      </w:tr>
      <w:tr w14:paraId="31EFE6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395" w:type="pct"/>
            <w:shd w:val="clear" w:color="auto" w:fill="auto"/>
            <w:vAlign w:val="center"/>
          </w:tcPr>
          <w:p w14:paraId="74FFA84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6</w:t>
            </w:r>
          </w:p>
        </w:tc>
        <w:tc>
          <w:tcPr>
            <w:tcW w:w="892" w:type="pct"/>
            <w:shd w:val="clear" w:color="auto" w:fill="auto"/>
            <w:vAlign w:val="center"/>
          </w:tcPr>
          <w:p w14:paraId="7298A97C">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采购限价（元）</w:t>
            </w:r>
          </w:p>
        </w:tc>
        <w:tc>
          <w:tcPr>
            <w:tcW w:w="3711" w:type="pct"/>
            <w:shd w:val="clear" w:color="auto" w:fill="auto"/>
            <w:vAlign w:val="top"/>
          </w:tcPr>
          <w:p w14:paraId="155AE39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8" w:firstLineChars="200"/>
              <w:textAlignment w:val="baseline"/>
              <w:rPr>
                <w:rFonts w:hint="eastAsia" w:ascii="宋体" w:hAnsi="宋体" w:eastAsia="宋体" w:cs="宋体"/>
                <w:snapToGrid w:val="0"/>
                <w:color w:val="000000"/>
                <w:kern w:val="0"/>
                <w:sz w:val="20"/>
                <w:szCs w:val="20"/>
                <w:lang w:val="en-US" w:eastAsia="en-US" w:bidi="ar-SA"/>
              </w:rPr>
            </w:pPr>
            <w:r>
              <w:rPr>
                <w:rFonts w:hint="eastAsia" w:cs="宋体"/>
                <w:spacing w:val="7"/>
                <w:lang w:val="en-US" w:eastAsia="zh-CN"/>
              </w:rPr>
              <w:t>706800.00</w:t>
            </w:r>
            <w:r>
              <w:rPr>
                <w:rFonts w:hint="eastAsia" w:ascii="宋体" w:hAnsi="宋体" w:eastAsia="宋体" w:cs="宋体"/>
                <w:color w:val="auto"/>
                <w:spacing w:val="7"/>
              </w:rPr>
              <w:t>（如超过</w:t>
            </w:r>
            <w:r>
              <w:rPr>
                <w:rFonts w:hint="eastAsia" w:cs="宋体"/>
                <w:color w:val="auto"/>
                <w:spacing w:val="7"/>
                <w:lang w:val="en-US" w:eastAsia="zh-CN"/>
              </w:rPr>
              <w:t>采购限</w:t>
            </w:r>
            <w:r>
              <w:rPr>
                <w:rFonts w:hint="eastAsia" w:ascii="宋体" w:hAnsi="宋体" w:eastAsia="宋体" w:cs="宋体"/>
                <w:color w:val="auto"/>
                <w:spacing w:val="7"/>
              </w:rPr>
              <w:t>价的按废标处理）</w:t>
            </w:r>
          </w:p>
        </w:tc>
      </w:tr>
      <w:tr w14:paraId="0491E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395" w:type="pct"/>
            <w:shd w:val="clear" w:color="auto" w:fill="auto"/>
            <w:vAlign w:val="center"/>
          </w:tcPr>
          <w:p w14:paraId="428E21D3">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7</w:t>
            </w:r>
          </w:p>
        </w:tc>
        <w:tc>
          <w:tcPr>
            <w:tcW w:w="892" w:type="pct"/>
            <w:shd w:val="clear" w:color="auto" w:fill="auto"/>
            <w:vAlign w:val="center"/>
          </w:tcPr>
          <w:p w14:paraId="34C9FAE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采购需求</w:t>
            </w:r>
          </w:p>
        </w:tc>
        <w:tc>
          <w:tcPr>
            <w:tcW w:w="3711" w:type="pct"/>
            <w:shd w:val="clear" w:color="auto" w:fill="auto"/>
            <w:vAlign w:val="top"/>
          </w:tcPr>
          <w:p w14:paraId="3CB01628">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rightChars="0" w:firstLine="428" w:firstLineChars="200"/>
              <w:textAlignment w:val="baseline"/>
              <w:rPr>
                <w:rFonts w:hint="eastAsia" w:ascii="宋体" w:hAnsi="宋体" w:eastAsia="宋体" w:cs="宋体"/>
                <w:snapToGrid w:val="0"/>
                <w:color w:val="000000"/>
                <w:spacing w:val="7"/>
                <w:kern w:val="0"/>
                <w:sz w:val="20"/>
                <w:szCs w:val="20"/>
                <w:lang w:val="en-US" w:eastAsia="zh-CN" w:bidi="ar-SA"/>
              </w:rPr>
            </w:pPr>
            <w:r>
              <w:rPr>
                <w:rFonts w:hint="eastAsia" w:ascii="宋体" w:hAnsi="宋体" w:eastAsia="宋体" w:cs="宋体"/>
                <w:snapToGrid w:val="0"/>
                <w:color w:val="000000"/>
                <w:spacing w:val="7"/>
                <w:kern w:val="0"/>
                <w:sz w:val="20"/>
                <w:szCs w:val="20"/>
                <w:lang w:val="en-US" w:eastAsia="zh-CN" w:bidi="ar-SA"/>
              </w:rPr>
              <w:t>鼠害防治1万亩，虫害防治9万亩。详见竞争性磋商文件。</w:t>
            </w:r>
          </w:p>
        </w:tc>
      </w:tr>
      <w:tr w14:paraId="0B1E5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395" w:type="pct"/>
            <w:shd w:val="clear" w:color="auto" w:fill="auto"/>
            <w:vAlign w:val="center"/>
          </w:tcPr>
          <w:p w14:paraId="71F94E6F">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8</w:t>
            </w:r>
          </w:p>
        </w:tc>
        <w:tc>
          <w:tcPr>
            <w:tcW w:w="892" w:type="pct"/>
            <w:shd w:val="clear" w:color="auto" w:fill="auto"/>
            <w:vAlign w:val="center"/>
          </w:tcPr>
          <w:p w14:paraId="6B25FB2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合同履行期限</w:t>
            </w:r>
          </w:p>
        </w:tc>
        <w:tc>
          <w:tcPr>
            <w:tcW w:w="3711" w:type="pct"/>
            <w:shd w:val="clear" w:color="auto" w:fill="auto"/>
            <w:vAlign w:val="top"/>
          </w:tcPr>
          <w:p w14:paraId="68C9701D">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rightChars="0" w:firstLine="428" w:firstLineChars="200"/>
              <w:textAlignment w:val="baseline"/>
              <w:rPr>
                <w:rFonts w:hint="eastAsia" w:ascii="宋体" w:hAnsi="宋体" w:eastAsia="宋体" w:cs="宋体"/>
                <w:snapToGrid w:val="0"/>
                <w:color w:val="000000"/>
                <w:spacing w:val="7"/>
                <w:kern w:val="0"/>
                <w:sz w:val="20"/>
                <w:szCs w:val="20"/>
                <w:lang w:val="en-US" w:eastAsia="zh-CN" w:bidi="ar-SA"/>
              </w:rPr>
            </w:pPr>
            <w:r>
              <w:rPr>
                <w:rFonts w:hint="eastAsia" w:ascii="宋体" w:hAnsi="宋体" w:eastAsia="宋体" w:cs="宋体"/>
                <w:snapToGrid w:val="0"/>
                <w:color w:val="000000"/>
                <w:spacing w:val="7"/>
                <w:kern w:val="0"/>
                <w:sz w:val="20"/>
                <w:szCs w:val="20"/>
                <w:lang w:val="en-US" w:eastAsia="zh-CN" w:bidi="ar-SA"/>
              </w:rPr>
              <w:t>自合同签订生效之日起至2025年10月31日前完成。</w:t>
            </w:r>
          </w:p>
        </w:tc>
      </w:tr>
      <w:tr w14:paraId="636090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9" w:hRule="atLeast"/>
        </w:trPr>
        <w:tc>
          <w:tcPr>
            <w:tcW w:w="395" w:type="pct"/>
            <w:shd w:val="clear" w:color="auto" w:fill="auto"/>
            <w:vAlign w:val="center"/>
          </w:tcPr>
          <w:p w14:paraId="59BA0163">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9</w:t>
            </w:r>
          </w:p>
        </w:tc>
        <w:tc>
          <w:tcPr>
            <w:tcW w:w="892" w:type="pct"/>
            <w:shd w:val="clear" w:color="auto" w:fill="auto"/>
            <w:vAlign w:val="center"/>
          </w:tcPr>
          <w:p w14:paraId="783F5E03">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6"/>
                <w:lang w:val="en-US" w:eastAsia="zh-CN"/>
              </w:rPr>
              <w:t>项目</w:t>
            </w:r>
            <w:r>
              <w:rPr>
                <w:rFonts w:hint="eastAsia" w:asciiTheme="minorEastAsia" w:hAnsiTheme="minorEastAsia" w:eastAsiaTheme="minorEastAsia" w:cstheme="minorEastAsia"/>
                <w:b w:val="0"/>
                <w:bCs w:val="0"/>
                <w:spacing w:val="6"/>
              </w:rPr>
              <w:t>地点</w:t>
            </w:r>
          </w:p>
        </w:tc>
        <w:tc>
          <w:tcPr>
            <w:tcW w:w="3711" w:type="pct"/>
            <w:shd w:val="clear" w:color="auto" w:fill="auto"/>
            <w:vAlign w:val="top"/>
          </w:tcPr>
          <w:p w14:paraId="1A70D3DC">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ascii="宋体" w:hAnsi="宋体" w:eastAsia="宋体" w:cs="宋体"/>
                <w:snapToGrid w:val="0"/>
                <w:color w:val="auto"/>
                <w:spacing w:val="0"/>
                <w:w w:val="100"/>
                <w:kern w:val="0"/>
                <w:position w:val="0"/>
                <w:sz w:val="20"/>
                <w:szCs w:val="20"/>
                <w:lang w:val="en-US" w:eastAsia="zh" w:bidi="ar-SA"/>
              </w:rPr>
            </w:pPr>
            <w:r>
              <w:rPr>
                <w:rFonts w:hint="eastAsia" w:ascii="宋体" w:hAnsi="宋体" w:eastAsia="宋体" w:cs="宋体"/>
                <w:snapToGrid w:val="0"/>
                <w:color w:val="auto"/>
                <w:spacing w:val="0"/>
                <w:w w:val="100"/>
                <w:kern w:val="0"/>
                <w:position w:val="0"/>
                <w:sz w:val="20"/>
                <w:szCs w:val="20"/>
                <w:lang w:val="en-US" w:eastAsia="zh" w:bidi="ar-SA"/>
              </w:rPr>
              <w:t>鼠害预防：小营盘镇赛里木湖区域。</w:t>
            </w:r>
          </w:p>
          <w:p w14:paraId="0314A6AF">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textAlignment w:val="baseline"/>
              <w:rPr>
                <w:rFonts w:hint="eastAsia" w:ascii="宋体" w:hAnsi="宋体" w:eastAsia="宋体" w:cs="宋体"/>
                <w:snapToGrid w:val="0"/>
                <w:color w:val="000000"/>
                <w:spacing w:val="7"/>
                <w:kern w:val="0"/>
                <w:sz w:val="20"/>
                <w:szCs w:val="20"/>
                <w:lang w:val="en-US" w:eastAsia="zh-CN" w:bidi="ar-SA"/>
              </w:rPr>
            </w:pPr>
            <w:r>
              <w:rPr>
                <w:rFonts w:hint="eastAsia" w:ascii="宋体" w:hAnsi="宋体" w:eastAsia="宋体" w:cs="宋体"/>
                <w:snapToGrid w:val="0"/>
                <w:color w:val="auto"/>
                <w:spacing w:val="0"/>
                <w:w w:val="100"/>
                <w:kern w:val="0"/>
                <w:position w:val="0"/>
                <w:sz w:val="20"/>
                <w:szCs w:val="20"/>
                <w:lang w:val="en-US" w:eastAsia="zh" w:bidi="ar-SA"/>
              </w:rPr>
              <w:t>虫害防治：乌图布拉格镇卡尔噶西镇区域、赛里木湖区域，青得里镇亚麻滩区域、小营盘镇乌尔哈纳、小营盘青稞稞。</w:t>
            </w:r>
          </w:p>
        </w:tc>
      </w:tr>
      <w:tr w14:paraId="32A290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395" w:type="pct"/>
            <w:shd w:val="clear" w:color="auto" w:fill="auto"/>
            <w:vAlign w:val="center"/>
          </w:tcPr>
          <w:p w14:paraId="46F2860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10</w:t>
            </w:r>
          </w:p>
        </w:tc>
        <w:tc>
          <w:tcPr>
            <w:tcW w:w="892" w:type="pct"/>
            <w:shd w:val="clear" w:color="auto" w:fill="auto"/>
            <w:vAlign w:val="center"/>
          </w:tcPr>
          <w:p w14:paraId="1F75F819">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zh-CN" w:bidi="ar-SA"/>
              </w:rPr>
            </w:pPr>
            <w:r>
              <w:rPr>
                <w:rFonts w:hint="eastAsia" w:asciiTheme="minorEastAsia" w:hAnsiTheme="minorEastAsia" w:eastAsiaTheme="minorEastAsia" w:cstheme="minorEastAsia"/>
                <w:b w:val="0"/>
                <w:bCs w:val="0"/>
                <w:spacing w:val="8"/>
              </w:rPr>
              <w:t>技术性能指标</w:t>
            </w:r>
          </w:p>
        </w:tc>
        <w:tc>
          <w:tcPr>
            <w:tcW w:w="3711" w:type="pct"/>
            <w:shd w:val="clear" w:color="auto" w:fill="auto"/>
            <w:vAlign w:val="top"/>
          </w:tcPr>
          <w:p w14:paraId="6EA15A51">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16" w:firstLineChars="200"/>
              <w:textAlignment w:val="baseline"/>
              <w:rPr>
                <w:rFonts w:hint="eastAsia" w:ascii="宋体" w:hAnsi="宋体" w:eastAsia="宋体" w:cs="宋体"/>
                <w:snapToGrid w:val="0"/>
                <w:color w:val="000000"/>
                <w:kern w:val="0"/>
                <w:sz w:val="20"/>
                <w:szCs w:val="20"/>
                <w:lang w:val="en-US" w:eastAsia="zh" w:bidi="ar-SA"/>
              </w:rPr>
            </w:pPr>
            <w:r>
              <w:rPr>
                <w:rFonts w:hint="eastAsia" w:ascii="宋体" w:hAnsi="宋体" w:eastAsia="宋体" w:cs="宋体"/>
                <w:spacing w:val="4"/>
              </w:rPr>
              <w:t>合格</w:t>
            </w:r>
          </w:p>
        </w:tc>
      </w:tr>
      <w:tr w14:paraId="1C39A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trPr>
        <w:tc>
          <w:tcPr>
            <w:tcW w:w="395" w:type="pct"/>
            <w:shd w:val="clear" w:color="auto" w:fill="auto"/>
            <w:vAlign w:val="center"/>
          </w:tcPr>
          <w:p w14:paraId="20A2625F">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11</w:t>
            </w:r>
          </w:p>
        </w:tc>
        <w:tc>
          <w:tcPr>
            <w:tcW w:w="892" w:type="pct"/>
            <w:shd w:val="clear" w:color="auto" w:fill="auto"/>
            <w:vAlign w:val="center"/>
          </w:tcPr>
          <w:p w14:paraId="332670B5">
            <w:pPr>
              <w:pStyle w:val="16"/>
              <w:keepNext w:val="0"/>
              <w:keepLines w:val="0"/>
              <w:pageBreakBefore w:val="0"/>
              <w:widowControl/>
              <w:kinsoku/>
              <w:wordWrap/>
              <w:overflowPunct/>
              <w:topLinePunct w:val="0"/>
              <w:autoSpaceDE w:val="0"/>
              <w:autoSpaceDN w:val="0"/>
              <w:bidi w:val="0"/>
              <w:adjustRightInd w:val="0"/>
              <w:snapToGrid w:val="0"/>
              <w:spacing w:line="360" w:lineRule="auto"/>
              <w:ind w:right="0" w:rightChars="0"/>
              <w:jc w:val="left"/>
              <w:textAlignment w:val="baseline"/>
              <w:rPr>
                <w:rFonts w:hint="eastAsia" w:asciiTheme="minorEastAsia" w:hAnsiTheme="minorEastAsia" w:eastAsiaTheme="minorEastAsia" w:cstheme="minorEastAsia"/>
                <w:b w:val="0"/>
                <w:bCs w:val="0"/>
                <w:snapToGrid w:val="0"/>
                <w:color w:val="000000"/>
                <w:kern w:val="0"/>
                <w:sz w:val="20"/>
                <w:szCs w:val="20"/>
                <w:lang w:val="en-US" w:eastAsia="zh-CN" w:bidi="ar-SA"/>
              </w:rPr>
            </w:pPr>
            <w:r>
              <w:rPr>
                <w:rFonts w:hint="eastAsia" w:asciiTheme="minorEastAsia" w:hAnsiTheme="minorEastAsia" w:eastAsiaTheme="minorEastAsia" w:cstheme="minorEastAsia"/>
                <w:b w:val="0"/>
                <w:bCs w:val="0"/>
                <w:spacing w:val="8"/>
                <w:sz w:val="19"/>
                <w:szCs w:val="19"/>
              </w:rPr>
              <w:t>项</w:t>
            </w:r>
            <w:r>
              <w:rPr>
                <w:rFonts w:hint="eastAsia" w:asciiTheme="minorEastAsia" w:hAnsiTheme="minorEastAsia" w:eastAsiaTheme="minorEastAsia" w:cstheme="minorEastAsia"/>
                <w:b w:val="0"/>
                <w:bCs w:val="0"/>
                <w:spacing w:val="8"/>
              </w:rPr>
              <w:t>目采购标的对应的中小企业划分标准所属行业</w:t>
            </w:r>
          </w:p>
        </w:tc>
        <w:tc>
          <w:tcPr>
            <w:tcW w:w="3711" w:type="pct"/>
            <w:shd w:val="clear" w:color="auto" w:fill="auto"/>
            <w:vAlign w:val="top"/>
          </w:tcPr>
          <w:p w14:paraId="18E6CFC0">
            <w:pPr>
              <w:keepNext w:val="0"/>
              <w:keepLines w:val="0"/>
              <w:pageBreakBefore w:val="0"/>
              <w:widowControl/>
              <w:suppressLineNumbers w:val="0"/>
              <w:kinsoku/>
              <w:wordWrap/>
              <w:overflowPunct/>
              <w:topLinePunct w:val="0"/>
              <w:autoSpaceDE w:val="0"/>
              <w:autoSpaceDN w:val="0"/>
              <w:bidi w:val="0"/>
              <w:adjustRightInd w:val="0"/>
              <w:snapToGrid w:val="0"/>
              <w:spacing w:before="313" w:beforeLines="100" w:line="360" w:lineRule="auto"/>
              <w:ind w:left="0" w:right="0" w:firstLine="450" w:firstLineChars="200"/>
              <w:jc w:val="left"/>
              <w:textAlignment w:val="baseline"/>
              <w:rPr>
                <w:rFonts w:hint="default" w:ascii="宋体" w:hAnsi="宋体" w:eastAsia="宋体" w:cs="宋体"/>
                <w:snapToGrid w:val="0"/>
                <w:color w:val="000000"/>
                <w:kern w:val="0"/>
                <w:sz w:val="21"/>
                <w:szCs w:val="21"/>
                <w:lang w:val="en-US" w:eastAsia="zh" w:bidi="ar-SA"/>
              </w:rPr>
            </w:pPr>
            <w:r>
              <w:rPr>
                <w:rFonts w:hint="eastAsia" w:ascii="宋体" w:hAnsi="宋体" w:eastAsia="宋体" w:cs="宋体"/>
                <w:b/>
                <w:bCs/>
                <w:snapToGrid w:val="0"/>
                <w:color w:val="000000"/>
                <w:spacing w:val="12"/>
                <w:kern w:val="0"/>
                <w:sz w:val="20"/>
                <w:szCs w:val="20"/>
                <w:lang w:val="en-US" w:eastAsia="zh-CN" w:bidi="ar-SA"/>
              </w:rPr>
              <w:t>其他未列明行业(后附中小企业划型标准规定，见第65页附件1)</w:t>
            </w:r>
          </w:p>
        </w:tc>
      </w:tr>
      <w:tr w14:paraId="51C39C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6C82AB0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12</w:t>
            </w:r>
          </w:p>
        </w:tc>
        <w:tc>
          <w:tcPr>
            <w:tcW w:w="892" w:type="pct"/>
            <w:shd w:val="clear" w:color="auto" w:fill="auto"/>
            <w:vAlign w:val="center"/>
          </w:tcPr>
          <w:p w14:paraId="0E58035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18"/>
                <w:szCs w:val="18"/>
                <w:lang w:val="en-US" w:eastAsia="zh-CN" w:bidi="ar-SA"/>
              </w:rPr>
            </w:pPr>
            <w:r>
              <w:rPr>
                <w:rFonts w:hint="eastAsia" w:asciiTheme="minorEastAsia" w:hAnsiTheme="minorEastAsia" w:eastAsiaTheme="minorEastAsia" w:cstheme="minorEastAsia"/>
                <w:b w:val="0"/>
                <w:bCs w:val="0"/>
                <w:spacing w:val="8"/>
                <w:sz w:val="18"/>
                <w:szCs w:val="18"/>
              </w:rPr>
              <w:t>投标人资格要求</w:t>
            </w:r>
          </w:p>
        </w:tc>
        <w:tc>
          <w:tcPr>
            <w:tcW w:w="3711" w:type="pct"/>
            <w:shd w:val="clear" w:color="auto" w:fill="auto"/>
            <w:vAlign w:val="top"/>
          </w:tcPr>
          <w:p w14:paraId="6819629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2" w:firstLineChars="200"/>
              <w:textAlignment w:val="baseline"/>
              <w:rPr>
                <w:rFonts w:hint="eastAsia" w:ascii="宋体" w:hAnsi="宋体" w:eastAsia="宋体" w:cs="宋体"/>
                <w:b/>
                <w:bCs/>
                <w:snapToGrid w:val="0"/>
                <w:color w:val="000000"/>
                <w:spacing w:val="7"/>
                <w:kern w:val="0"/>
                <w:sz w:val="18"/>
                <w:szCs w:val="18"/>
                <w:lang w:val="en-US" w:eastAsia="zh-CN" w:bidi="ar-SA"/>
              </w:rPr>
            </w:pPr>
            <w:r>
              <w:rPr>
                <w:rFonts w:hint="eastAsia" w:ascii="宋体" w:hAnsi="宋体" w:eastAsia="宋体" w:cs="宋体"/>
                <w:b/>
                <w:bCs/>
                <w:kern w:val="2"/>
                <w:sz w:val="21"/>
                <w:szCs w:val="20"/>
                <w:lang w:val="zh-CN" w:eastAsia="zh-CN" w:bidi="ar-SA"/>
              </w:rPr>
              <w:t>本项目属于专门面向</w:t>
            </w:r>
            <w:r>
              <w:rPr>
                <w:rFonts w:hint="eastAsia" w:ascii="宋体" w:hAnsi="宋体" w:eastAsia="宋体" w:cs="宋体"/>
                <w:b/>
                <w:bCs/>
                <w:kern w:val="2"/>
                <w:sz w:val="21"/>
                <w:szCs w:val="20"/>
                <w:lang w:val="en-US" w:eastAsia="zh-CN" w:bidi="ar-SA"/>
              </w:rPr>
              <w:t>小微</w:t>
            </w:r>
            <w:r>
              <w:rPr>
                <w:rFonts w:hint="eastAsia" w:ascii="宋体" w:hAnsi="宋体" w:eastAsia="宋体" w:cs="宋体"/>
                <w:b/>
                <w:bCs/>
                <w:kern w:val="2"/>
                <w:sz w:val="21"/>
                <w:szCs w:val="20"/>
                <w:lang w:val="zh-CN" w:eastAsia="zh-CN" w:bidi="ar-SA"/>
              </w:rPr>
              <w:t>企业采购项目。</w:t>
            </w:r>
          </w:p>
          <w:p w14:paraId="704C0E11">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388" w:firstLineChars="200"/>
              <w:textAlignment w:val="baseline"/>
              <w:rPr>
                <w:rFonts w:hint="eastAsia" w:ascii="宋体" w:hAnsi="宋体" w:eastAsia="宋体" w:cs="宋体"/>
                <w:snapToGrid w:val="0"/>
                <w:color w:val="000000"/>
                <w:spacing w:val="7"/>
                <w:kern w:val="0"/>
                <w:sz w:val="18"/>
                <w:szCs w:val="18"/>
                <w:lang w:val="en-US" w:eastAsia="zh-CN" w:bidi="ar-SA"/>
              </w:rPr>
            </w:pPr>
            <w:r>
              <w:rPr>
                <w:rFonts w:hint="eastAsia" w:ascii="宋体" w:hAnsi="宋体" w:eastAsia="宋体" w:cs="宋体"/>
                <w:snapToGrid w:val="0"/>
                <w:color w:val="000000"/>
                <w:spacing w:val="7"/>
                <w:kern w:val="0"/>
                <w:sz w:val="18"/>
                <w:szCs w:val="18"/>
                <w:lang w:val="en-US" w:eastAsia="zh-CN" w:bidi="ar-SA"/>
              </w:rPr>
              <w:t>资质要求：（1）投标人须具备有效的营业执照，具有独立承担民事责任能力和良好诚信的合法经营单位，并在人员、设备、资金等方面具备相应的能力；</w:t>
            </w:r>
          </w:p>
          <w:p w14:paraId="3ADAD34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388" w:firstLineChars="200"/>
              <w:textAlignment w:val="baseline"/>
              <w:rPr>
                <w:rFonts w:hint="eastAsia" w:ascii="宋体" w:hAnsi="宋体" w:eastAsia="宋体" w:cs="宋体"/>
                <w:snapToGrid w:val="0"/>
                <w:color w:val="000000"/>
                <w:spacing w:val="7"/>
                <w:kern w:val="0"/>
                <w:sz w:val="18"/>
                <w:szCs w:val="18"/>
                <w:lang w:val="en-US" w:eastAsia="zh-CN" w:bidi="ar-SA"/>
              </w:rPr>
            </w:pPr>
            <w:r>
              <w:rPr>
                <w:rFonts w:hint="eastAsia" w:ascii="宋体" w:hAnsi="宋体" w:eastAsia="宋体" w:cs="宋体"/>
                <w:snapToGrid w:val="0"/>
                <w:color w:val="000000"/>
                <w:spacing w:val="7"/>
                <w:kern w:val="0"/>
                <w:sz w:val="18"/>
                <w:szCs w:val="18"/>
                <w:lang w:val="en-US" w:eastAsia="zh-CN" w:bidi="ar-SA"/>
              </w:rPr>
              <w:t>（2）供应商为法人或者其他组织的提供其营业执照等证明文件(如营业执照或者事业单位法人证书或者执业许可证等)，供应商为自然人的提供其身份证复印件加盖公章；(必须提供，否则响应文件按无效响应处理)，法人授权委托书及被授权人身份证加盖公章；</w:t>
            </w:r>
          </w:p>
          <w:p w14:paraId="2CDA9DA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388" w:firstLineChars="200"/>
              <w:textAlignment w:val="baseline"/>
              <w:rPr>
                <w:rFonts w:hint="eastAsia" w:ascii="宋体" w:hAnsi="宋体" w:eastAsia="宋体" w:cs="宋体"/>
                <w:snapToGrid w:val="0"/>
                <w:color w:val="000000"/>
                <w:spacing w:val="7"/>
                <w:kern w:val="0"/>
                <w:sz w:val="18"/>
                <w:szCs w:val="18"/>
                <w:lang w:val="en-US" w:eastAsia="zh-CN" w:bidi="ar-SA"/>
              </w:rPr>
            </w:pPr>
            <w:r>
              <w:rPr>
                <w:rFonts w:hint="eastAsia" w:ascii="宋体" w:hAnsi="宋体" w:eastAsia="宋体" w:cs="宋体"/>
                <w:snapToGrid w:val="0"/>
                <w:color w:val="000000"/>
                <w:spacing w:val="7"/>
                <w:kern w:val="0"/>
                <w:sz w:val="18"/>
                <w:szCs w:val="18"/>
                <w:lang w:val="en-US" w:eastAsia="zh-CN" w:bidi="ar-SA"/>
              </w:rPr>
              <w:t>（3）如在“信用中国”网站（www.creditchina.gov.cn）、中国政府采购网（www.ccgp.gov.cn）被列入失信被执行人、重大税收违法案件当事人名单、政府采购严重违法失信行为记录名单的（尚在处罚期内的），将拒绝其</w:t>
            </w:r>
            <w:r>
              <w:rPr>
                <w:rFonts w:hint="eastAsia" w:cs="宋体"/>
                <w:snapToGrid w:val="0"/>
                <w:color w:val="000000"/>
                <w:spacing w:val="7"/>
                <w:kern w:val="0"/>
                <w:sz w:val="18"/>
                <w:szCs w:val="18"/>
                <w:lang w:val="en-US" w:eastAsia="zh-CN" w:bidi="ar-SA"/>
              </w:rPr>
              <w:t>加</w:t>
            </w:r>
            <w:r>
              <w:rPr>
                <w:rFonts w:hint="eastAsia" w:ascii="宋体" w:hAnsi="宋体" w:eastAsia="宋体" w:cs="宋体"/>
                <w:snapToGrid w:val="0"/>
                <w:color w:val="000000"/>
                <w:spacing w:val="7"/>
                <w:kern w:val="0"/>
                <w:sz w:val="18"/>
                <w:szCs w:val="18"/>
                <w:lang w:val="en-US" w:eastAsia="zh-CN" w:bidi="ar-SA"/>
              </w:rPr>
              <w:t>参加本次政府采购活动（查询结果截图日期必须在发布公告日期之后）</w:t>
            </w:r>
          </w:p>
          <w:p w14:paraId="35CA35C0">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8" w:firstLineChars="200"/>
              <w:textAlignment w:val="baseline"/>
              <w:rPr>
                <w:rFonts w:hint="eastAsia" w:ascii="宋体" w:hAnsi="宋体" w:eastAsia="宋体" w:cs="宋体"/>
                <w:snapToGrid w:val="0"/>
                <w:color w:val="000000"/>
                <w:kern w:val="0"/>
                <w:sz w:val="18"/>
                <w:szCs w:val="18"/>
                <w:lang w:val="en-US" w:eastAsia="zh" w:bidi="ar-SA"/>
              </w:rPr>
            </w:pPr>
            <w:r>
              <w:rPr>
                <w:rFonts w:hint="eastAsia" w:ascii="宋体" w:hAnsi="宋体" w:eastAsia="宋体" w:cs="宋体"/>
                <w:snapToGrid w:val="0"/>
                <w:color w:val="000000"/>
                <w:spacing w:val="7"/>
                <w:kern w:val="0"/>
                <w:sz w:val="20"/>
                <w:szCs w:val="20"/>
                <w:lang w:val="en-US" w:eastAsia="zh-CN" w:bidi="ar-SA"/>
              </w:rPr>
              <w:t>（</w:t>
            </w:r>
            <w:r>
              <w:rPr>
                <w:rFonts w:hint="eastAsia" w:ascii="宋体" w:hAnsi="宋体" w:eastAsia="宋体" w:cs="宋体"/>
                <w:snapToGrid w:val="0"/>
                <w:color w:val="000000"/>
                <w:spacing w:val="7"/>
                <w:kern w:val="0"/>
                <w:sz w:val="18"/>
                <w:szCs w:val="18"/>
                <w:lang w:val="en-US" w:eastAsia="zh-CN" w:bidi="ar-SA"/>
              </w:rPr>
              <w:t>4）中小企业声明函。(必须提供，否则作无效响应处理，请根据要求单独上传《中小企业声明函》。格式以采购文件要求为准。)</w:t>
            </w:r>
          </w:p>
        </w:tc>
      </w:tr>
      <w:tr w14:paraId="16C9C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 w:hRule="atLeast"/>
        </w:trPr>
        <w:tc>
          <w:tcPr>
            <w:tcW w:w="395" w:type="pct"/>
            <w:shd w:val="clear" w:color="auto" w:fill="auto"/>
            <w:vAlign w:val="center"/>
          </w:tcPr>
          <w:p w14:paraId="7F9F2AA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13</w:t>
            </w:r>
          </w:p>
        </w:tc>
        <w:tc>
          <w:tcPr>
            <w:tcW w:w="892" w:type="pct"/>
            <w:shd w:val="clear" w:color="auto" w:fill="auto"/>
            <w:vAlign w:val="center"/>
          </w:tcPr>
          <w:p w14:paraId="55F1826B">
            <w:pPr>
              <w:pStyle w:val="16"/>
              <w:keepNext w:val="0"/>
              <w:keepLines w:val="0"/>
              <w:pageBreakBefore w:val="0"/>
              <w:widowControl/>
              <w:kinsoku/>
              <w:wordWrap/>
              <w:overflowPunct/>
              <w:topLinePunct w:val="0"/>
              <w:autoSpaceDE w:val="0"/>
              <w:autoSpaceDN w:val="0"/>
              <w:bidi w:val="0"/>
              <w:adjustRightInd w:val="0"/>
              <w:snapToGrid w:val="0"/>
              <w:spacing w:before="0" w:beforeLines="50" w:line="360" w:lineRule="auto"/>
              <w:ind w:right="0" w:rightChars="0"/>
              <w:textAlignment w:val="baseline"/>
              <w:rPr>
                <w:rFonts w:hint="eastAsia" w:asciiTheme="minorEastAsia" w:hAnsiTheme="minorEastAsia" w:eastAsiaTheme="minorEastAsia" w:cstheme="minorEastAsia"/>
                <w:b w:val="0"/>
                <w:bCs w:val="0"/>
                <w:spacing w:val="8"/>
              </w:rPr>
            </w:pPr>
            <w:r>
              <w:rPr>
                <w:rFonts w:hint="eastAsia" w:asciiTheme="minorEastAsia" w:hAnsiTheme="minorEastAsia" w:eastAsiaTheme="minorEastAsia" w:cstheme="minorEastAsia"/>
                <w:b w:val="0"/>
                <w:bCs w:val="0"/>
                <w:spacing w:val="8"/>
              </w:rPr>
              <w:t>是否接受联合体</w:t>
            </w:r>
          </w:p>
          <w:p w14:paraId="317D856D">
            <w:pPr>
              <w:pStyle w:val="16"/>
              <w:keepNext w:val="0"/>
              <w:keepLines w:val="0"/>
              <w:pageBreakBefore w:val="0"/>
              <w:widowControl/>
              <w:kinsoku/>
              <w:wordWrap/>
              <w:overflowPunct/>
              <w:topLinePunct w:val="0"/>
              <w:autoSpaceDE w:val="0"/>
              <w:autoSpaceDN w:val="0"/>
              <w:bidi w:val="0"/>
              <w:adjustRightInd w:val="0"/>
              <w:snapToGrid w:val="0"/>
              <w:spacing w:before="0" w:beforeLines="50" w:line="360" w:lineRule="auto"/>
              <w:ind w:right="0" w:righ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3"/>
              </w:rPr>
              <w:t>投标</w:t>
            </w:r>
          </w:p>
        </w:tc>
        <w:tc>
          <w:tcPr>
            <w:tcW w:w="3711" w:type="pct"/>
            <w:shd w:val="clear" w:color="auto" w:fill="auto"/>
            <w:vAlign w:val="top"/>
          </w:tcPr>
          <w:p w14:paraId="52384F3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0" w:firstLineChars="200"/>
              <w:textAlignment w:val="baseline"/>
              <w:rPr>
                <w:rFonts w:hint="eastAsia" w:ascii="宋体" w:hAnsi="宋体" w:eastAsia="宋体" w:cs="宋体"/>
                <w:snapToGrid w:val="0"/>
                <w:color w:val="000000"/>
                <w:kern w:val="0"/>
                <w:sz w:val="20"/>
                <w:szCs w:val="20"/>
                <w:lang w:val="en-US" w:eastAsia="zh-CN" w:bidi="ar-SA"/>
              </w:rPr>
            </w:pPr>
            <w:r>
              <w:rPr>
                <w:spacing w:val="5"/>
              </w:rPr>
              <w:t>不接受</w:t>
            </w:r>
          </w:p>
        </w:tc>
      </w:tr>
      <w:tr w14:paraId="036928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395" w:type="pct"/>
            <w:shd w:val="clear" w:color="auto" w:fill="auto"/>
            <w:vAlign w:val="center"/>
          </w:tcPr>
          <w:p w14:paraId="3667494B">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14</w:t>
            </w:r>
          </w:p>
        </w:tc>
        <w:tc>
          <w:tcPr>
            <w:tcW w:w="892" w:type="pct"/>
            <w:shd w:val="clear" w:color="auto" w:fill="auto"/>
            <w:vAlign w:val="center"/>
          </w:tcPr>
          <w:p w14:paraId="5197DD9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righ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3"/>
              </w:rPr>
              <w:t>资格证明文件</w:t>
            </w:r>
            <w:r>
              <w:rPr>
                <w:rFonts w:hint="eastAsia" w:asciiTheme="minorEastAsia" w:hAnsiTheme="minorEastAsia" w:eastAsiaTheme="minorEastAsia" w:cstheme="minorEastAsia"/>
                <w:b w:val="0"/>
                <w:bCs w:val="0"/>
                <w:spacing w:val="2"/>
              </w:rPr>
              <w:t>组成</w:t>
            </w:r>
          </w:p>
        </w:tc>
        <w:tc>
          <w:tcPr>
            <w:tcW w:w="3711" w:type="pct"/>
            <w:shd w:val="clear" w:color="auto" w:fill="auto"/>
            <w:vAlign w:val="top"/>
          </w:tcPr>
          <w:p w14:paraId="44B90B8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0" w:firstLineChars="200"/>
              <w:textAlignment w:val="baseline"/>
            </w:pPr>
            <w:r>
              <w:rPr>
                <w:spacing w:val="10"/>
              </w:rPr>
              <w:t>1、供应商为法人或者其他组织的提供其营业执照等证明文件(如营业</w:t>
            </w:r>
            <w:r>
              <w:rPr>
                <w:spacing w:val="8"/>
              </w:rPr>
              <w:t>执照或者事业单位法人证书或者执业许可证等)，供应商为自然人的提供其身份证复印件加盖公章；(必须提供，否则响应文件按无效响应处理)，法人授权委托书及被授权人身份证加盖公章；</w:t>
            </w:r>
          </w:p>
          <w:p w14:paraId="1D5E4F0D">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36" w:firstLineChars="200"/>
              <w:textAlignment w:val="baseline"/>
            </w:pPr>
            <w:r>
              <w:rPr>
                <w:spacing w:val="9"/>
              </w:rPr>
              <w:t>2、中小企业声明函。(必须提供，否则作无</w:t>
            </w:r>
            <w:r>
              <w:rPr>
                <w:spacing w:val="8"/>
              </w:rPr>
              <w:t>效响应处理，请根据要求</w:t>
            </w:r>
            <w:r>
              <w:rPr>
                <w:spacing w:val="9"/>
              </w:rPr>
              <w:t>单独上传《中小企业声明函》。格式以采购文件要求为准。)</w:t>
            </w:r>
          </w:p>
          <w:p w14:paraId="18856E1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26" w:firstLineChars="200"/>
              <w:jc w:val="both"/>
              <w:textAlignment w:val="baseline"/>
            </w:pPr>
            <w:r>
              <w:rPr>
                <w:b/>
                <w:bCs/>
                <w:spacing w:val="6"/>
              </w:rPr>
              <w:t>3、(采购人或采购代理机构根据采购公告对应的特定资格要求及特定</w:t>
            </w:r>
            <w:r>
              <w:rPr>
                <w:b/>
                <w:bCs/>
                <w:spacing w:val="7"/>
              </w:rPr>
              <w:t>条件设置供应商提供的资格证明材料)；(必须</w:t>
            </w:r>
            <w:r>
              <w:rPr>
                <w:b/>
                <w:bCs/>
                <w:spacing w:val="6"/>
              </w:rPr>
              <w:t>提供，否则响应文件按无效响应处理)</w:t>
            </w:r>
          </w:p>
          <w:p w14:paraId="3D362973">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leftChars="0" w:right="0" w:rightChars="0" w:firstLine="426" w:firstLineChars="200"/>
              <w:textAlignment w:val="baseline"/>
              <w:rPr>
                <w:rFonts w:hint="eastAsia" w:ascii="宋体" w:hAnsi="宋体" w:eastAsia="宋体" w:cs="宋体"/>
                <w:snapToGrid w:val="0"/>
                <w:color w:val="000000"/>
                <w:kern w:val="0"/>
                <w:sz w:val="20"/>
                <w:szCs w:val="20"/>
                <w:lang w:val="en-US" w:eastAsia="zh-CN" w:bidi="ar-SA"/>
              </w:rPr>
            </w:pPr>
            <w:r>
              <w:rPr>
                <w:b/>
                <w:bCs/>
                <w:spacing w:val="6"/>
              </w:rPr>
              <w:t>注：以上标明“必须提供”的材料属于复印件的扫描件的，必须加盖</w:t>
            </w:r>
            <w:r>
              <w:rPr>
                <w:b/>
                <w:bCs/>
                <w:spacing w:val="7"/>
              </w:rPr>
              <w:t>供应商电子公章，否则响应文件按无效响应处理。</w:t>
            </w:r>
          </w:p>
        </w:tc>
      </w:tr>
      <w:tr w14:paraId="65CD0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3CB0B971">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7CFDAE1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15</w:t>
            </w:r>
          </w:p>
        </w:tc>
        <w:tc>
          <w:tcPr>
            <w:tcW w:w="892" w:type="pct"/>
            <w:shd w:val="clear" w:color="auto" w:fill="auto"/>
            <w:vAlign w:val="center"/>
          </w:tcPr>
          <w:p w14:paraId="4EDCD6E2">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textAlignment w:val="baseline"/>
              <w:rPr>
                <w:rFonts w:hint="eastAsia" w:asciiTheme="minorEastAsia" w:hAnsiTheme="minorEastAsia" w:eastAsiaTheme="minorEastAsia" w:cstheme="minorEastAsia"/>
                <w:b w:val="0"/>
                <w:bCs w:val="0"/>
                <w:sz w:val="21"/>
              </w:rPr>
            </w:pPr>
          </w:p>
          <w:p w14:paraId="5D4F34C1">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5"/>
              </w:rPr>
              <w:t>商务文件组成</w:t>
            </w:r>
          </w:p>
        </w:tc>
        <w:tc>
          <w:tcPr>
            <w:tcW w:w="3711" w:type="pct"/>
            <w:shd w:val="clear" w:color="auto" w:fill="auto"/>
            <w:vAlign w:val="top"/>
          </w:tcPr>
          <w:p w14:paraId="1B64D7D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1、无串标行为承诺函及投标资格声明(必须提供，否则作无效响应处理)</w:t>
            </w:r>
          </w:p>
          <w:p w14:paraId="14637C0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2、法定代表人身份证明书及法定代表人有效身份证正反面复印件；</w:t>
            </w:r>
          </w:p>
          <w:p w14:paraId="0DB458E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(除自然人竞标外必须提供，否则响应文件按无效响应处理)</w:t>
            </w:r>
          </w:p>
          <w:p w14:paraId="11DAB30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3、法定代表人授权委托书及委托代理人有效身份证正反面复印件；</w:t>
            </w:r>
          </w:p>
          <w:p w14:paraId="2432C4C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(委托代理时必须提供，否则响应文件按无效响应处理)</w:t>
            </w:r>
          </w:p>
          <w:p w14:paraId="0C92E0B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4、商务条款偏离表；(必须提供，否则响应文件按无效响应处理)</w:t>
            </w:r>
          </w:p>
          <w:p w14:paraId="1CD58F7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5、投标人情况介绍；</w:t>
            </w:r>
          </w:p>
          <w:p w14:paraId="66EDCFFB">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6、投标人类似业绩的证明文件（如有）</w:t>
            </w:r>
          </w:p>
          <w:p w14:paraId="3161A15C">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rPr>
                <w:rFonts w:hint="eastAsia"/>
              </w:rPr>
            </w:pPr>
            <w:r>
              <w:rPr>
                <w:rFonts w:hint="eastAsia"/>
              </w:rPr>
              <w:t>7、供应商认为需要提供的其他有关资料。</w:t>
            </w:r>
          </w:p>
          <w:p w14:paraId="7BB4CC77">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textAlignment w:val="baseline"/>
            </w:pPr>
            <w:r>
              <w:t>注：</w:t>
            </w:r>
            <w:r>
              <w:rPr>
                <w:spacing w:val="-2"/>
              </w:rPr>
              <w:t>1.法定代表人授权委托书必须由法定代表人及委托代</w:t>
            </w:r>
            <w:r>
              <w:rPr>
                <w:spacing w:val="-3"/>
              </w:rPr>
              <w:t>理人签字，并加盖供</w:t>
            </w:r>
            <w:r>
              <w:t>应商公章，否则响应文件按无效响应处理。</w:t>
            </w:r>
          </w:p>
          <w:p w14:paraId="02BC26C9">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rightChars="0" w:firstLine="452" w:firstLineChars="200"/>
              <w:textAlignment w:val="baseline"/>
              <w:rPr>
                <w:rFonts w:hint="eastAsia" w:ascii="宋体" w:hAnsi="宋体" w:eastAsia="宋体" w:cs="宋体"/>
                <w:snapToGrid w:val="0"/>
                <w:color w:val="000000"/>
                <w:kern w:val="0"/>
                <w:sz w:val="20"/>
                <w:szCs w:val="20"/>
                <w:lang w:val="en-US" w:eastAsia="zh-CN" w:bidi="ar-SA"/>
              </w:rPr>
            </w:pPr>
            <w:r>
              <w:rPr>
                <w:spacing w:val="13"/>
              </w:rPr>
              <w:t>2.以上标明“必须提供”的材料属于复印件的扫描件的，必须</w:t>
            </w:r>
            <w:r>
              <w:rPr>
                <w:spacing w:val="12"/>
              </w:rPr>
              <w:t>加盖供</w:t>
            </w:r>
            <w:r>
              <w:rPr>
                <w:spacing w:val="-1"/>
              </w:rPr>
              <w:t>应商电子公章，否则响应文件按无效响应处理。</w:t>
            </w:r>
          </w:p>
        </w:tc>
      </w:tr>
      <w:tr w14:paraId="7B09AC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5864517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16</w:t>
            </w:r>
          </w:p>
        </w:tc>
        <w:tc>
          <w:tcPr>
            <w:tcW w:w="892" w:type="pct"/>
            <w:shd w:val="clear" w:color="auto" w:fill="auto"/>
            <w:vAlign w:val="center"/>
          </w:tcPr>
          <w:p w14:paraId="1D86A14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5"/>
              </w:rPr>
              <w:t>技术文件组成</w:t>
            </w:r>
          </w:p>
        </w:tc>
        <w:tc>
          <w:tcPr>
            <w:tcW w:w="3711" w:type="pct"/>
            <w:shd w:val="clear" w:color="auto" w:fill="auto"/>
            <w:vAlign w:val="top"/>
          </w:tcPr>
          <w:p w14:paraId="44A2413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1.组织服务方案；(必须提供，否则响应文件按无效响应处理)</w:t>
            </w:r>
          </w:p>
          <w:p w14:paraId="3145930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2.售后服务承诺及方案；(必须提供，否则响应文件按无效响应处理)</w:t>
            </w:r>
          </w:p>
          <w:p w14:paraId="01626ED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3.项目实施人员一览表(必须提供，否则响应文件按无效响应处理)</w:t>
            </w:r>
          </w:p>
          <w:p w14:paraId="6A02C8DF">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4.服务大纲(必须提供，否则响应文件按无效响应处理)</w:t>
            </w:r>
          </w:p>
          <w:p w14:paraId="3C5C49A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5.投标人对本项目的合理化建议；</w:t>
            </w:r>
          </w:p>
          <w:p w14:paraId="677B6E3B">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6.其他优惠条件及特殊承诺(如有)</w:t>
            </w:r>
          </w:p>
          <w:p w14:paraId="55D4D3C6">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spacing w:val="12"/>
              </w:rPr>
            </w:pPr>
            <w:r>
              <w:rPr>
                <w:rFonts w:hint="eastAsia"/>
                <w:spacing w:val="12"/>
              </w:rPr>
              <w:t>7.认为需要的其他技术文件或说明(如有)（根据采购文件的要求和投标人认为需要提供的资料）</w:t>
            </w:r>
          </w:p>
          <w:p w14:paraId="38241D66">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8" w:firstLineChars="200"/>
              <w:textAlignment w:val="baseline"/>
              <w:rPr>
                <w:rFonts w:hint="eastAsia" w:ascii="宋体" w:hAnsi="宋体" w:eastAsia="宋体" w:cs="宋体"/>
                <w:snapToGrid w:val="0"/>
                <w:color w:val="000000"/>
                <w:kern w:val="0"/>
                <w:sz w:val="20"/>
                <w:szCs w:val="20"/>
                <w:lang w:val="en-US" w:eastAsia="zh-CN" w:bidi="ar-SA"/>
              </w:rPr>
            </w:pPr>
            <w:r>
              <w:rPr>
                <w:spacing w:val="12"/>
              </w:rPr>
              <w:t>注：</w:t>
            </w:r>
            <w:r>
              <w:rPr>
                <w:rFonts w:hint="eastAsia"/>
                <w:spacing w:val="12"/>
              </w:rPr>
              <w:t>以上标明“必须提供”的材料，必须加盖供应商电子公章，否则响应文件按无效响应处理。</w:t>
            </w:r>
          </w:p>
        </w:tc>
      </w:tr>
      <w:tr w14:paraId="20591F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395" w:type="pct"/>
            <w:shd w:val="clear" w:color="auto" w:fill="auto"/>
            <w:vAlign w:val="center"/>
          </w:tcPr>
          <w:p w14:paraId="412BBD9D">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17</w:t>
            </w:r>
          </w:p>
        </w:tc>
        <w:tc>
          <w:tcPr>
            <w:tcW w:w="892" w:type="pct"/>
            <w:shd w:val="clear" w:color="auto" w:fill="auto"/>
            <w:vAlign w:val="center"/>
          </w:tcPr>
          <w:p w14:paraId="553C683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6"/>
              </w:rPr>
              <w:t>报价文件组成</w:t>
            </w:r>
          </w:p>
        </w:tc>
        <w:tc>
          <w:tcPr>
            <w:tcW w:w="3711" w:type="pct"/>
            <w:shd w:val="clear" w:color="auto" w:fill="auto"/>
            <w:vAlign w:val="top"/>
          </w:tcPr>
          <w:p w14:paraId="50042C88">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364" w:firstLineChars="200"/>
              <w:textAlignment w:val="baseline"/>
            </w:pPr>
            <w:r>
              <w:rPr>
                <w:spacing w:val="-9"/>
              </w:rPr>
              <w:t>1.响应函；(必须提供，否则作无效响应</w:t>
            </w:r>
            <w:r>
              <w:rPr>
                <w:spacing w:val="-10"/>
              </w:rPr>
              <w:t>处理)</w:t>
            </w:r>
          </w:p>
          <w:p w14:paraId="5A4A5EB6">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leftChars="0" w:right="0" w:rightChars="0" w:firstLine="424" w:firstLineChars="200"/>
              <w:textAlignment w:val="baseline"/>
              <w:rPr>
                <w:rFonts w:hint="eastAsia" w:ascii="宋体" w:hAnsi="宋体" w:eastAsia="宋体" w:cs="宋体"/>
                <w:snapToGrid w:val="0"/>
                <w:color w:val="000000"/>
                <w:kern w:val="0"/>
                <w:sz w:val="20"/>
                <w:szCs w:val="20"/>
                <w:lang w:val="en-US" w:eastAsia="zh-CN" w:bidi="ar-SA"/>
              </w:rPr>
            </w:pPr>
            <w:r>
              <w:rPr>
                <w:spacing w:val="6"/>
              </w:rPr>
              <w:t>2.响应报价表；(必须提供，否则响应文件按无效响应处理)</w:t>
            </w:r>
          </w:p>
        </w:tc>
      </w:tr>
      <w:tr w14:paraId="44C867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3" w:hRule="atLeast"/>
        </w:trPr>
        <w:tc>
          <w:tcPr>
            <w:tcW w:w="395" w:type="pct"/>
            <w:shd w:val="clear" w:color="auto" w:fill="auto"/>
            <w:vAlign w:val="center"/>
          </w:tcPr>
          <w:p w14:paraId="2B42EF3F">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18</w:t>
            </w:r>
          </w:p>
        </w:tc>
        <w:tc>
          <w:tcPr>
            <w:tcW w:w="892" w:type="pct"/>
            <w:shd w:val="clear" w:color="auto" w:fill="auto"/>
            <w:vAlign w:val="center"/>
          </w:tcPr>
          <w:p w14:paraId="56DECBC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righ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2"/>
              </w:rPr>
              <w:t>响应文件电子版要</w:t>
            </w:r>
            <w:r>
              <w:rPr>
                <w:rFonts w:hint="eastAsia" w:asciiTheme="minorEastAsia" w:hAnsiTheme="minorEastAsia" w:eastAsiaTheme="minorEastAsia" w:cstheme="minorEastAsia"/>
                <w:b w:val="0"/>
                <w:bCs w:val="0"/>
              </w:rPr>
              <w:t>求</w:t>
            </w:r>
          </w:p>
        </w:tc>
        <w:tc>
          <w:tcPr>
            <w:tcW w:w="3711" w:type="pct"/>
            <w:shd w:val="clear" w:color="auto" w:fill="auto"/>
            <w:vAlign w:val="top"/>
          </w:tcPr>
          <w:p w14:paraId="0DB01B8A">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right="0" w:firstLine="444" w:firstLineChars="200"/>
              <w:textAlignment w:val="baseline"/>
            </w:pPr>
            <w:r>
              <w:rPr>
                <w:spacing w:val="11"/>
              </w:rPr>
              <w:t>编写(未附格式的，由供应商自行拟定)，不可涂改并按照要求</w:t>
            </w:r>
            <w:r>
              <w:rPr>
                <w:spacing w:val="10"/>
              </w:rPr>
              <w:t>加盖</w:t>
            </w:r>
            <w:r>
              <w:rPr>
                <w:spacing w:val="2"/>
              </w:rPr>
              <w:t>电子公章，否则响应文件按无效响应处理。</w:t>
            </w:r>
          </w:p>
          <w:p w14:paraId="2042B54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0" w:leftChars="0" w:right="0" w:rightChars="0" w:firstLine="412" w:firstLineChars="200"/>
              <w:textAlignment w:val="baseline"/>
              <w:rPr>
                <w:rFonts w:ascii="宋体" w:hAnsi="宋体" w:eastAsia="宋体" w:cs="宋体"/>
                <w:snapToGrid w:val="0"/>
                <w:color w:val="000000"/>
                <w:kern w:val="0"/>
                <w:sz w:val="20"/>
                <w:szCs w:val="20"/>
                <w:lang w:val="en-US" w:eastAsia="en-US" w:bidi="ar-SA"/>
              </w:rPr>
            </w:pPr>
            <w:r>
              <w:rPr>
                <w:spacing w:val="3"/>
              </w:rPr>
              <w:t>2.响应文件电子版密封方式：电子响应文件通过平台制作</w:t>
            </w:r>
            <w:r>
              <w:rPr>
                <w:spacing w:val="2"/>
              </w:rPr>
              <w:t>完成，使用有</w:t>
            </w:r>
            <w:r>
              <w:rPr>
                <w:spacing w:val="4"/>
              </w:rPr>
              <w:t>效</w:t>
            </w:r>
            <w:r>
              <w:t>CA</w:t>
            </w:r>
            <w:r>
              <w:rPr>
                <w:spacing w:val="4"/>
              </w:rPr>
              <w:t>证书进行加密，加密完成后在“政采云”平台递交。</w:t>
            </w:r>
          </w:p>
        </w:tc>
      </w:tr>
      <w:tr w14:paraId="5D366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39B57F5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72"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19</w:t>
            </w:r>
          </w:p>
        </w:tc>
        <w:tc>
          <w:tcPr>
            <w:tcW w:w="892" w:type="pct"/>
            <w:shd w:val="clear" w:color="auto" w:fill="auto"/>
            <w:vAlign w:val="center"/>
          </w:tcPr>
          <w:p w14:paraId="7F9E9EE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rPr>
              <w:t>响应报价要求</w:t>
            </w:r>
          </w:p>
        </w:tc>
        <w:tc>
          <w:tcPr>
            <w:tcW w:w="3711" w:type="pct"/>
            <w:shd w:val="clear" w:color="auto" w:fill="auto"/>
            <w:vAlign w:val="top"/>
          </w:tcPr>
          <w:p w14:paraId="0FF3AAE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rightChars="0" w:firstLine="436" w:firstLineChars="200"/>
              <w:textAlignment w:val="baseline"/>
              <w:rPr>
                <w:rFonts w:ascii="宋体" w:hAnsi="宋体" w:eastAsia="宋体" w:cs="宋体"/>
                <w:snapToGrid w:val="0"/>
                <w:color w:val="000000"/>
                <w:kern w:val="0"/>
                <w:sz w:val="20"/>
                <w:szCs w:val="20"/>
                <w:lang w:val="en-US" w:eastAsia="en-US" w:bidi="ar-SA"/>
              </w:rPr>
            </w:pPr>
            <w:r>
              <w:rPr>
                <w:spacing w:val="9"/>
              </w:rPr>
              <w:t>响应报价必须包含满足本次竞标全部采购需求所应提供的服务，以及</w:t>
            </w:r>
            <w:r>
              <w:rPr>
                <w:spacing w:val="5"/>
              </w:rPr>
              <w:t>伴随的货物和工程(如有)的价格；包含竞标服务、产品、工程的成本、</w:t>
            </w:r>
            <w:r>
              <w:rPr>
                <w:spacing w:val="-6"/>
              </w:rPr>
              <w:t>运输(含保险)、安装(如有)、调试（如有）、</w:t>
            </w:r>
            <w:r>
              <w:rPr>
                <w:spacing w:val="-7"/>
              </w:rPr>
              <w:t>检验、技术服务、培训、税</w:t>
            </w:r>
            <w:r>
              <w:rPr>
                <w:spacing w:val="-10"/>
              </w:rPr>
              <w:t>费等所有费用。(采购需求另有约定的，从其约定。)</w:t>
            </w:r>
          </w:p>
        </w:tc>
      </w:tr>
      <w:tr w14:paraId="1B2895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395" w:type="pct"/>
            <w:shd w:val="clear" w:color="auto" w:fill="auto"/>
            <w:vAlign w:val="center"/>
          </w:tcPr>
          <w:p w14:paraId="19BD2970">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20</w:t>
            </w:r>
          </w:p>
        </w:tc>
        <w:tc>
          <w:tcPr>
            <w:tcW w:w="892" w:type="pct"/>
            <w:shd w:val="clear" w:color="auto" w:fill="auto"/>
            <w:vAlign w:val="center"/>
          </w:tcPr>
          <w:p w14:paraId="0BC43EB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2"/>
                <w:lang w:val="en-US" w:eastAsia="zh-CN"/>
              </w:rPr>
              <w:t>投</w:t>
            </w:r>
            <w:r>
              <w:rPr>
                <w:rFonts w:hint="eastAsia" w:asciiTheme="minorEastAsia" w:hAnsiTheme="minorEastAsia" w:eastAsiaTheme="minorEastAsia" w:cstheme="minorEastAsia"/>
                <w:b w:val="0"/>
                <w:bCs w:val="0"/>
                <w:spacing w:val="2"/>
              </w:rPr>
              <w:t>标有效期</w:t>
            </w:r>
          </w:p>
        </w:tc>
        <w:tc>
          <w:tcPr>
            <w:tcW w:w="3711" w:type="pct"/>
            <w:shd w:val="clear" w:color="auto" w:fill="auto"/>
            <w:vAlign w:val="top"/>
          </w:tcPr>
          <w:p w14:paraId="4359024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0" w:firstLineChars="200"/>
              <w:textAlignment w:val="baseline"/>
              <w:rPr>
                <w:rFonts w:ascii="宋体" w:hAnsi="宋体" w:eastAsia="宋体" w:cs="宋体"/>
                <w:snapToGrid w:val="0"/>
                <w:color w:val="000000"/>
                <w:kern w:val="0"/>
                <w:sz w:val="20"/>
                <w:szCs w:val="20"/>
                <w:lang w:val="en-US" w:eastAsia="en-US" w:bidi="ar-SA"/>
              </w:rPr>
            </w:pPr>
            <w:r>
              <w:t>90日</w:t>
            </w:r>
          </w:p>
        </w:tc>
      </w:tr>
      <w:tr w14:paraId="303CA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395" w:type="pct"/>
            <w:shd w:val="clear" w:color="auto" w:fill="auto"/>
            <w:vAlign w:val="center"/>
          </w:tcPr>
          <w:p w14:paraId="1C155F6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21</w:t>
            </w:r>
          </w:p>
        </w:tc>
        <w:tc>
          <w:tcPr>
            <w:tcW w:w="892" w:type="pct"/>
            <w:shd w:val="clear" w:color="auto" w:fill="auto"/>
            <w:vAlign w:val="center"/>
          </w:tcPr>
          <w:p w14:paraId="211B7837">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5"/>
              </w:rPr>
              <w:t>磋商保证金</w:t>
            </w:r>
          </w:p>
        </w:tc>
        <w:tc>
          <w:tcPr>
            <w:tcW w:w="3711" w:type="pct"/>
            <w:shd w:val="clear" w:color="auto" w:fill="auto"/>
            <w:vAlign w:val="top"/>
          </w:tcPr>
          <w:p w14:paraId="767946F1">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4" w:firstLineChars="200"/>
              <w:textAlignment w:val="baseline"/>
              <w:rPr>
                <w:rFonts w:ascii="宋体" w:hAnsi="宋体" w:eastAsia="宋体" w:cs="宋体"/>
                <w:snapToGrid w:val="0"/>
                <w:color w:val="000000"/>
                <w:kern w:val="0"/>
                <w:sz w:val="20"/>
                <w:szCs w:val="20"/>
                <w:lang w:val="en-US" w:eastAsia="en-US" w:bidi="ar-SA"/>
              </w:rPr>
            </w:pPr>
            <w:r>
              <w:rPr>
                <w:spacing w:val="6"/>
              </w:rPr>
              <w:t>本项目不收取磋商保证金。</w:t>
            </w:r>
          </w:p>
        </w:tc>
      </w:tr>
      <w:tr w14:paraId="6937C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395" w:type="pct"/>
            <w:shd w:val="clear" w:color="auto" w:fill="auto"/>
            <w:vAlign w:val="center"/>
          </w:tcPr>
          <w:p w14:paraId="4643BE35">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22</w:t>
            </w:r>
          </w:p>
        </w:tc>
        <w:tc>
          <w:tcPr>
            <w:tcW w:w="892" w:type="pct"/>
            <w:shd w:val="clear" w:color="auto" w:fill="auto"/>
            <w:vAlign w:val="center"/>
          </w:tcPr>
          <w:p w14:paraId="6C9CC91B">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投标截止时间</w:t>
            </w:r>
          </w:p>
        </w:tc>
        <w:tc>
          <w:tcPr>
            <w:tcW w:w="3711" w:type="pct"/>
            <w:shd w:val="clear" w:color="auto" w:fill="auto"/>
            <w:vAlign w:val="top"/>
          </w:tcPr>
          <w:p w14:paraId="3556A3E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08" w:firstLineChars="200"/>
              <w:textAlignment w:val="baseline"/>
              <w:rPr>
                <w:rFonts w:ascii="宋体" w:hAnsi="宋体" w:eastAsia="宋体" w:cs="宋体"/>
                <w:snapToGrid w:val="0"/>
                <w:color w:val="000000"/>
                <w:kern w:val="0"/>
                <w:sz w:val="20"/>
                <w:szCs w:val="20"/>
                <w:lang w:val="en-US" w:eastAsia="en-US" w:bidi="ar-SA"/>
              </w:rPr>
            </w:pPr>
            <w:r>
              <w:rPr>
                <w:spacing w:val="2"/>
              </w:rPr>
              <w:t>截止时间：</w:t>
            </w:r>
            <w:r>
              <w:rPr>
                <w:rFonts w:hint="eastAsia"/>
                <w:spacing w:val="2"/>
                <w:lang w:eastAsia="zh-CN"/>
              </w:rPr>
              <w:t>2025年5月6日16点00分</w:t>
            </w:r>
            <w:r>
              <w:rPr>
                <w:spacing w:val="2"/>
              </w:rPr>
              <w:t>（北京时间）</w:t>
            </w:r>
          </w:p>
        </w:tc>
      </w:tr>
      <w:tr w14:paraId="02854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1902CC8E">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72638209">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23</w:t>
            </w:r>
          </w:p>
        </w:tc>
        <w:tc>
          <w:tcPr>
            <w:tcW w:w="892" w:type="pct"/>
            <w:shd w:val="clear" w:color="auto" w:fill="auto"/>
            <w:vAlign w:val="center"/>
          </w:tcPr>
          <w:p w14:paraId="02A7086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rightChars="0"/>
              <w:textAlignment w:val="baseline"/>
              <w:rPr>
                <w:rFonts w:hint="eastAsia" w:asciiTheme="minorEastAsia" w:hAnsiTheme="minorEastAsia" w:eastAsiaTheme="minorEastAsia" w:cstheme="minorEastAsia"/>
                <w:b w:val="0"/>
                <w:bCs w:val="0"/>
                <w:spacing w:val="8"/>
              </w:rPr>
            </w:pPr>
            <w:r>
              <w:rPr>
                <w:rFonts w:hint="eastAsia" w:asciiTheme="minorEastAsia" w:hAnsiTheme="minorEastAsia" w:eastAsiaTheme="minorEastAsia" w:cstheme="minorEastAsia"/>
                <w:b w:val="0"/>
                <w:bCs w:val="0"/>
                <w:spacing w:val="8"/>
              </w:rPr>
              <w:t>开标时间和</w:t>
            </w:r>
          </w:p>
          <w:p w14:paraId="3602BA4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righ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地</w:t>
            </w:r>
            <w:r>
              <w:rPr>
                <w:rFonts w:hint="eastAsia" w:asciiTheme="minorEastAsia" w:hAnsiTheme="minorEastAsia" w:eastAsiaTheme="minorEastAsia" w:cstheme="minorEastAsia"/>
                <w:b w:val="0"/>
                <w:bCs w:val="0"/>
              </w:rPr>
              <w:t>点</w:t>
            </w:r>
          </w:p>
        </w:tc>
        <w:tc>
          <w:tcPr>
            <w:tcW w:w="3711" w:type="pct"/>
            <w:shd w:val="clear" w:color="auto" w:fill="auto"/>
            <w:vAlign w:val="top"/>
          </w:tcPr>
          <w:p w14:paraId="17B9910F">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8" w:firstLineChars="200"/>
              <w:textAlignment w:val="baseline"/>
            </w:pPr>
            <w:r>
              <w:rPr>
                <w:spacing w:val="2"/>
              </w:rPr>
              <w:t>开标时间：</w:t>
            </w:r>
            <w:r>
              <w:rPr>
                <w:rFonts w:hint="eastAsia"/>
                <w:spacing w:val="2"/>
                <w:lang w:eastAsia="zh-CN"/>
              </w:rPr>
              <w:t>2025年5月6日16点00分</w:t>
            </w:r>
            <w:r>
              <w:rPr>
                <w:spacing w:val="2"/>
              </w:rPr>
              <w:t>（北京时间）</w:t>
            </w:r>
          </w:p>
          <w:p w14:paraId="6B794974">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rightChars="0" w:firstLine="436" w:firstLineChars="200"/>
              <w:textAlignment w:val="baseline"/>
              <w:rPr>
                <w:rFonts w:ascii="宋体" w:hAnsi="宋体" w:eastAsia="宋体" w:cs="宋体"/>
                <w:snapToGrid w:val="0"/>
                <w:color w:val="000000"/>
                <w:kern w:val="0"/>
                <w:sz w:val="20"/>
                <w:szCs w:val="20"/>
                <w:lang w:val="en-US" w:eastAsia="en-US" w:bidi="ar-SA"/>
              </w:rPr>
            </w:pPr>
            <w:r>
              <w:rPr>
                <w:spacing w:val="9"/>
              </w:rPr>
              <w:t>开标地点：</w:t>
            </w:r>
            <w:r>
              <w:rPr>
                <w:rFonts w:hint="eastAsia"/>
                <w:spacing w:val="9"/>
                <w:lang w:eastAsia="zh-CN"/>
              </w:rPr>
              <w:t>（</w:t>
            </w:r>
            <w:r>
              <w:rPr>
                <w:rFonts w:hint="eastAsia"/>
                <w:spacing w:val="9"/>
                <w:lang w:val="en-US" w:eastAsia="zh-CN"/>
              </w:rPr>
              <w:t>政采云平台https://www.zcygov.cn/）</w:t>
            </w:r>
          </w:p>
        </w:tc>
      </w:tr>
      <w:tr w14:paraId="5B29CD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395" w:type="pct"/>
            <w:shd w:val="clear" w:color="auto" w:fill="auto"/>
            <w:vAlign w:val="center"/>
          </w:tcPr>
          <w:p w14:paraId="4E7B0177">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24</w:t>
            </w:r>
          </w:p>
        </w:tc>
        <w:tc>
          <w:tcPr>
            <w:tcW w:w="892" w:type="pct"/>
            <w:shd w:val="clear" w:color="auto" w:fill="auto"/>
            <w:vAlign w:val="center"/>
          </w:tcPr>
          <w:p w14:paraId="2444073C">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3"/>
              </w:rPr>
              <w:t>履约保证金</w:t>
            </w:r>
          </w:p>
        </w:tc>
        <w:tc>
          <w:tcPr>
            <w:tcW w:w="3711" w:type="pct"/>
            <w:shd w:val="clear" w:color="auto" w:fill="auto"/>
            <w:vAlign w:val="top"/>
          </w:tcPr>
          <w:p w14:paraId="0936F158">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428" w:firstLineChars="200"/>
              <w:textAlignment w:val="baseline"/>
              <w:rPr>
                <w:rFonts w:ascii="宋体" w:hAnsi="宋体" w:eastAsia="宋体" w:cs="宋体"/>
                <w:snapToGrid w:val="0"/>
                <w:color w:val="000000"/>
                <w:kern w:val="0"/>
                <w:sz w:val="20"/>
                <w:szCs w:val="20"/>
                <w:lang w:val="en-US" w:eastAsia="en-US" w:bidi="ar-SA"/>
              </w:rPr>
            </w:pPr>
            <w:r>
              <w:rPr>
                <w:spacing w:val="7"/>
              </w:rPr>
              <w:t>本项目不收取履约保证金</w:t>
            </w:r>
          </w:p>
        </w:tc>
      </w:tr>
      <w:tr w14:paraId="1C791C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trPr>
        <w:tc>
          <w:tcPr>
            <w:tcW w:w="395" w:type="pct"/>
            <w:shd w:val="clear" w:color="auto" w:fill="auto"/>
            <w:vAlign w:val="center"/>
          </w:tcPr>
          <w:p w14:paraId="69609B8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25</w:t>
            </w:r>
          </w:p>
        </w:tc>
        <w:tc>
          <w:tcPr>
            <w:tcW w:w="892" w:type="pct"/>
            <w:shd w:val="clear" w:color="auto" w:fill="auto"/>
            <w:vAlign w:val="center"/>
          </w:tcPr>
          <w:p w14:paraId="3C36F08B">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4"/>
              </w:rPr>
              <w:t>采购代理费</w:t>
            </w:r>
          </w:p>
        </w:tc>
        <w:tc>
          <w:tcPr>
            <w:tcW w:w="3711" w:type="pct"/>
            <w:shd w:val="clear" w:color="auto" w:fill="auto"/>
            <w:vAlign w:val="top"/>
          </w:tcPr>
          <w:p w14:paraId="530A37E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jc w:val="both"/>
              <w:textAlignment w:val="baseline"/>
              <w:rPr>
                <w:rFonts w:hint="default" w:eastAsia="宋体"/>
                <w:lang w:val="en-US" w:eastAsia="zh-CN"/>
              </w:rPr>
            </w:pPr>
            <w:r>
              <w:rPr>
                <w:rFonts w:hint="default" w:eastAsia="宋体"/>
                <w:lang w:val="en-US" w:eastAsia="zh-CN"/>
              </w:rPr>
              <w:t>1、代理服务费计算方法：收费标准参照《新疆维吾尔自治区招标代理服务收费指导意见》的通知-新建招协[2024]4号，计算标准二，中标价为基数计取。</w:t>
            </w:r>
          </w:p>
          <w:p w14:paraId="66FAD76E">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jc w:val="both"/>
              <w:textAlignment w:val="baseline"/>
              <w:rPr>
                <w:rFonts w:hint="default" w:eastAsia="宋体"/>
                <w:lang w:val="en-US" w:eastAsia="zh-CN"/>
              </w:rPr>
            </w:pPr>
            <w:r>
              <w:rPr>
                <w:rFonts w:hint="default" w:eastAsia="宋体"/>
                <w:lang w:val="en-US" w:eastAsia="zh-CN"/>
              </w:rPr>
              <w:t>2、代理报酬支付方式：由中标人支付。</w:t>
            </w:r>
          </w:p>
          <w:p w14:paraId="78E5B3CC">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00" w:firstLineChars="200"/>
              <w:jc w:val="both"/>
              <w:textAlignment w:val="baseline"/>
              <w:rPr>
                <w:rFonts w:hint="default" w:ascii="宋体" w:hAnsi="宋体" w:eastAsia="宋体" w:cs="宋体"/>
                <w:snapToGrid w:val="0"/>
                <w:color w:val="000000"/>
                <w:kern w:val="0"/>
                <w:sz w:val="20"/>
                <w:szCs w:val="20"/>
                <w:lang w:val="en-US" w:eastAsia="zh-CN" w:bidi="ar-SA"/>
              </w:rPr>
            </w:pPr>
            <w:r>
              <w:rPr>
                <w:rFonts w:hint="default" w:eastAsia="宋体"/>
                <w:lang w:val="en-US" w:eastAsia="zh-CN"/>
              </w:rPr>
              <w:t>3、代理报酬的支付时间：由中标人领取中标通知书时支付。</w:t>
            </w:r>
          </w:p>
        </w:tc>
      </w:tr>
      <w:tr w14:paraId="09381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55" w:hRule="atLeast"/>
        </w:trPr>
        <w:tc>
          <w:tcPr>
            <w:tcW w:w="395" w:type="pct"/>
            <w:shd w:val="clear" w:color="auto" w:fill="auto"/>
            <w:vAlign w:val="center"/>
          </w:tcPr>
          <w:p w14:paraId="19F9FAEC">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11AABB0C">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31DD8AE6">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45E160FF">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1FB8EAC2">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r>
              <w:rPr>
                <w:rFonts w:hint="eastAsia" w:asciiTheme="minorEastAsia" w:hAnsiTheme="minorEastAsia" w:eastAsiaTheme="minorEastAsia" w:cstheme="minorEastAsia"/>
                <w:b w:val="0"/>
                <w:bCs w:val="0"/>
                <w:sz w:val="21"/>
              </w:rPr>
              <w:t>26</w:t>
            </w:r>
          </w:p>
          <w:p w14:paraId="21AFBE87">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5993E425">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7E1FCB4F">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3D2FAB6A">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p>
        </w:tc>
        <w:tc>
          <w:tcPr>
            <w:tcW w:w="892" w:type="pct"/>
            <w:shd w:val="clear" w:color="auto" w:fill="auto"/>
            <w:vAlign w:val="center"/>
          </w:tcPr>
          <w:p w14:paraId="6EFB4E99">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right="0" w:righ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5"/>
              </w:rPr>
              <w:t>“不见面”电</w:t>
            </w:r>
            <w:r>
              <w:rPr>
                <w:rFonts w:hint="eastAsia" w:asciiTheme="minorEastAsia" w:hAnsiTheme="minorEastAsia" w:eastAsiaTheme="minorEastAsia" w:cstheme="minorEastAsia"/>
                <w:b w:val="0"/>
                <w:bCs w:val="0"/>
                <w:spacing w:val="7"/>
              </w:rPr>
              <w:t>子开评标</w:t>
            </w:r>
          </w:p>
        </w:tc>
        <w:tc>
          <w:tcPr>
            <w:tcW w:w="3711" w:type="pct"/>
            <w:shd w:val="clear" w:color="auto" w:fill="auto"/>
            <w:vAlign w:val="top"/>
          </w:tcPr>
          <w:p w14:paraId="47BB0523">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26" w:firstLineChars="200"/>
              <w:textAlignment w:val="baseline"/>
            </w:pPr>
            <w:r>
              <w:rPr>
                <w:b/>
                <w:bCs/>
                <w:spacing w:val="6"/>
              </w:rPr>
              <w:t>采用不见面开标：</w:t>
            </w:r>
          </w:p>
          <w:p w14:paraId="2AF67984">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18" w:firstLineChars="200"/>
              <w:textAlignment w:val="baseline"/>
            </w:pPr>
            <w:r>
              <w:rPr>
                <w:b/>
                <w:bCs/>
                <w:spacing w:val="4"/>
              </w:rPr>
              <w:t>响应文件提交时间：同投标截止时间</w:t>
            </w:r>
          </w:p>
          <w:p w14:paraId="4484559C">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34" w:firstLineChars="200"/>
              <w:textAlignment w:val="baseline"/>
            </w:pPr>
            <w:r>
              <w:rPr>
                <w:b/>
                <w:bCs/>
                <w:spacing w:val="8"/>
              </w:rPr>
              <w:t>开标地点：政采云远程不见面开标大厅</w:t>
            </w:r>
            <w:r>
              <w:rPr>
                <w:b/>
                <w:bCs/>
                <w:spacing w:val="6"/>
              </w:rPr>
              <w:t>不见面开标默认解密时长：30分钟</w:t>
            </w:r>
          </w:p>
          <w:p w14:paraId="048906B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34" w:firstLineChars="200"/>
              <w:textAlignment w:val="baseline"/>
            </w:pPr>
            <w:r>
              <w:rPr>
                <w:b/>
                <w:bCs/>
                <w:spacing w:val="8"/>
              </w:rPr>
              <w:t>关于能否延长解密时间的约定：开标现场若发现默认解密时长不足，由</w:t>
            </w:r>
            <w:r>
              <w:rPr>
                <w:b/>
                <w:bCs/>
                <w:spacing w:val="7"/>
              </w:rPr>
              <w:t>采购人决定是否延长解密时长。</w:t>
            </w:r>
          </w:p>
          <w:p w14:paraId="4AB0DF4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50" w:firstLineChars="200"/>
              <w:textAlignment w:val="baseline"/>
            </w:pPr>
            <w:r>
              <w:rPr>
                <w:b/>
                <w:bCs/>
                <w:spacing w:val="12"/>
              </w:rPr>
              <w:t>注：供应商可通过账号密码或</w:t>
            </w:r>
            <w:r>
              <w:rPr>
                <w:b/>
                <w:bCs/>
              </w:rPr>
              <w:t>CA</w:t>
            </w:r>
            <w:r>
              <w:rPr>
                <w:b/>
                <w:bCs/>
                <w:spacing w:val="12"/>
              </w:rPr>
              <w:t>登录政采云客户端进行投标文件的制</w:t>
            </w:r>
            <w:r>
              <w:rPr>
                <w:b/>
                <w:bCs/>
                <w:spacing w:val="7"/>
              </w:rPr>
              <w:t>作，本项目采用电子版投标文件。</w:t>
            </w:r>
          </w:p>
          <w:p w14:paraId="4B15B1AC">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26" w:firstLineChars="200"/>
              <w:textAlignment w:val="baseline"/>
            </w:pPr>
            <w:r>
              <w:rPr>
                <w:b/>
                <w:bCs/>
                <w:spacing w:val="6"/>
              </w:rPr>
              <w:t>采用不见面开标：</w:t>
            </w:r>
          </w:p>
          <w:p w14:paraId="1E314BB5">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26" w:firstLineChars="200"/>
              <w:textAlignment w:val="baseline"/>
            </w:pPr>
            <w:r>
              <w:rPr>
                <w:b/>
                <w:bCs/>
                <w:spacing w:val="6"/>
              </w:rPr>
              <w:t>1．本项目采用不见面开标、投标人需要递</w:t>
            </w:r>
            <w:r>
              <w:rPr>
                <w:b/>
                <w:bCs/>
                <w:spacing w:val="5"/>
              </w:rPr>
              <w:t>交电子响应文件，加密的电子</w:t>
            </w:r>
            <w:r>
              <w:rPr>
                <w:b/>
                <w:bCs/>
                <w:spacing w:val="-6"/>
              </w:rPr>
              <w:t>响应文件，在投标截止时间前通过政采云平台</w:t>
            </w:r>
            <w:r>
              <w:rPr>
                <w:b/>
                <w:bCs/>
                <w:spacing w:val="8"/>
              </w:rPr>
              <w:t>（</w:t>
            </w:r>
            <w:r>
              <w:fldChar w:fldCharType="begin"/>
            </w:r>
            <w:r>
              <w:instrText xml:space="preserve"> HYPERLINK "https://www.zcygov.cn/" </w:instrText>
            </w:r>
            <w:r>
              <w:fldChar w:fldCharType="separate"/>
            </w:r>
            <w:r>
              <w:rPr>
                <w:b/>
                <w:bCs/>
              </w:rPr>
              <w:t>https</w:t>
            </w:r>
            <w:r>
              <w:rPr>
                <w:b/>
                <w:bCs/>
                <w:spacing w:val="8"/>
              </w:rPr>
              <w:t>://</w:t>
            </w:r>
            <w:r>
              <w:rPr>
                <w:b/>
                <w:bCs/>
              </w:rPr>
              <w:t>www</w:t>
            </w:r>
            <w:r>
              <w:rPr>
                <w:b/>
                <w:bCs/>
                <w:spacing w:val="8"/>
              </w:rPr>
              <w:t>.</w:t>
            </w:r>
            <w:r>
              <w:rPr>
                <w:b/>
                <w:bCs/>
              </w:rPr>
              <w:t>zcygov</w:t>
            </w:r>
            <w:r>
              <w:rPr>
                <w:b/>
                <w:bCs/>
                <w:spacing w:val="8"/>
              </w:rPr>
              <w:t>.</w:t>
            </w:r>
            <w:r>
              <w:rPr>
                <w:b/>
                <w:bCs/>
              </w:rPr>
              <w:t>cn</w:t>
            </w:r>
            <w:r>
              <w:rPr>
                <w:b/>
                <w:bCs/>
                <w:spacing w:val="8"/>
              </w:rPr>
              <w:t>/</w:t>
            </w:r>
            <w:r>
              <w:rPr>
                <w:b/>
                <w:bCs/>
                <w:spacing w:val="8"/>
              </w:rPr>
              <w:fldChar w:fldCharType="end"/>
            </w:r>
            <w:r>
              <w:rPr>
                <w:b/>
                <w:bCs/>
                <w:spacing w:val="8"/>
              </w:rPr>
              <w:t>）上传到指定位置。无需递交纸质文件。</w:t>
            </w:r>
          </w:p>
          <w:p w14:paraId="6E9464A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38" w:firstLineChars="200"/>
              <w:textAlignment w:val="baseline"/>
            </w:pPr>
            <w:r>
              <w:rPr>
                <w:b/>
                <w:bCs/>
                <w:spacing w:val="9"/>
              </w:rPr>
              <w:t>2.本项目采用远程不见面交易的模式。开标当日，投标人无需到达开标</w:t>
            </w:r>
            <w:r>
              <w:rPr>
                <w:b/>
                <w:bCs/>
                <w:spacing w:val="10"/>
              </w:rPr>
              <w:t>现场，仅需在任意地点通过政采云平台（</w:t>
            </w:r>
            <w:r>
              <w:rPr>
                <w:b/>
                <w:bCs/>
              </w:rPr>
              <w:t>https</w:t>
            </w:r>
            <w:r>
              <w:rPr>
                <w:b/>
                <w:bCs/>
                <w:spacing w:val="10"/>
              </w:rPr>
              <w:t>://</w:t>
            </w:r>
            <w:r>
              <w:rPr>
                <w:b/>
                <w:bCs/>
              </w:rPr>
              <w:t>www</w:t>
            </w:r>
            <w:r>
              <w:rPr>
                <w:b/>
                <w:bCs/>
                <w:spacing w:val="10"/>
              </w:rPr>
              <w:t>.</w:t>
            </w:r>
            <w:r>
              <w:rPr>
                <w:b/>
                <w:bCs/>
              </w:rPr>
              <w:t>zcygov</w:t>
            </w:r>
            <w:r>
              <w:rPr>
                <w:b/>
                <w:bCs/>
                <w:spacing w:val="10"/>
              </w:rPr>
              <w:t>.</w:t>
            </w:r>
            <w:r>
              <w:rPr>
                <w:b/>
                <w:bCs/>
              </w:rPr>
              <w:t>cn</w:t>
            </w:r>
            <w:r>
              <w:rPr>
                <w:b/>
                <w:bCs/>
                <w:spacing w:val="10"/>
              </w:rPr>
              <w:t>/）完成远程解密、提疑澄清、开标唱标、结果公布等</w:t>
            </w:r>
            <w:r>
              <w:rPr>
                <w:b/>
                <w:bCs/>
                <w:spacing w:val="9"/>
              </w:rPr>
              <w:t>交互环节。投标人必须</w:t>
            </w:r>
            <w:r>
              <w:rPr>
                <w:b/>
                <w:bCs/>
                <w:spacing w:val="7"/>
              </w:rPr>
              <w:t>使用能正确解密响应文件的“</w:t>
            </w:r>
            <w:r>
              <w:rPr>
                <w:b/>
                <w:bCs/>
              </w:rPr>
              <w:t>CA</w:t>
            </w:r>
            <w:r>
              <w:rPr>
                <w:b/>
                <w:bCs/>
                <w:spacing w:val="7"/>
              </w:rPr>
              <w:t>锁”在规定的时间内完成远程</w:t>
            </w:r>
            <w:r>
              <w:rPr>
                <w:b/>
                <w:bCs/>
                <w:spacing w:val="6"/>
              </w:rPr>
              <w:t>解密，因</w:t>
            </w:r>
            <w:r>
              <w:rPr>
                <w:b/>
                <w:bCs/>
                <w:spacing w:val="10"/>
              </w:rPr>
              <w:t>投标人原因未能解密、解密失败或解密超时，视</w:t>
            </w:r>
            <w:r>
              <w:rPr>
                <w:b/>
                <w:bCs/>
                <w:spacing w:val="9"/>
              </w:rPr>
              <w:t>为投标人撤销其响应文</w:t>
            </w:r>
            <w:r>
              <w:rPr>
                <w:b/>
                <w:bCs/>
                <w:spacing w:val="8"/>
              </w:rPr>
              <w:t>件，系统内响应文件将被退回；因采购人原因或网上招投标平台发生故</w:t>
            </w:r>
            <w:r>
              <w:rPr>
                <w:b/>
                <w:bCs/>
                <w:spacing w:val="10"/>
              </w:rPr>
              <w:t>障，导致无法按时完成响应文件解密或开、评标</w:t>
            </w:r>
            <w:r>
              <w:rPr>
                <w:b/>
                <w:bCs/>
                <w:spacing w:val="9"/>
              </w:rPr>
              <w:t>工作无法进行的，可根</w:t>
            </w:r>
            <w:r>
              <w:rPr>
                <w:b/>
                <w:bCs/>
                <w:spacing w:val="10"/>
              </w:rPr>
              <w:t>据实际情况相应延迟解密时间或调整开、评标时</w:t>
            </w:r>
            <w:r>
              <w:rPr>
                <w:b/>
                <w:bCs/>
                <w:spacing w:val="9"/>
              </w:rPr>
              <w:t>间（友情提示：若投标</w:t>
            </w:r>
            <w:r>
              <w:rPr>
                <w:b/>
                <w:bCs/>
                <w:spacing w:val="10"/>
              </w:rPr>
              <w:t>人已领取副锁（含多把副锁）请注意正副锁的使</w:t>
            </w:r>
            <w:r>
              <w:rPr>
                <w:b/>
                <w:bCs/>
                <w:spacing w:val="9"/>
              </w:rPr>
              <w:t>用差别，务必使用生成</w:t>
            </w:r>
            <w:r>
              <w:rPr>
                <w:b/>
                <w:bCs/>
                <w:spacing w:val="6"/>
              </w:rPr>
              <w:t>响应文件的那把锁解密）。</w:t>
            </w:r>
          </w:p>
          <w:p w14:paraId="507171DC">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210" w:leftChars="100" w:right="210" w:rightChars="100" w:firstLine="438" w:firstLineChars="200"/>
              <w:textAlignment w:val="baseline"/>
              <w:rPr>
                <w:rFonts w:hint="default" w:ascii="宋体" w:hAnsi="宋体" w:eastAsia="宋体" w:cs="宋体"/>
                <w:snapToGrid w:val="0"/>
                <w:color w:val="000000"/>
                <w:kern w:val="0"/>
                <w:sz w:val="20"/>
                <w:szCs w:val="20"/>
                <w:lang w:val="en-US" w:eastAsia="zh-CN" w:bidi="ar-SA"/>
              </w:rPr>
            </w:pPr>
            <w:r>
              <w:rPr>
                <w:b/>
                <w:bCs/>
                <w:spacing w:val="9"/>
              </w:rPr>
              <w:t>3.远程开标前，投标人务必在政采云平台（</w:t>
            </w:r>
            <w:r>
              <w:rPr>
                <w:b/>
                <w:bCs/>
              </w:rPr>
              <w:t>https</w:t>
            </w:r>
            <w:r>
              <w:rPr>
                <w:b/>
                <w:bCs/>
                <w:spacing w:val="9"/>
              </w:rPr>
              <w:t>://</w:t>
            </w:r>
            <w:r>
              <w:rPr>
                <w:b/>
                <w:bCs/>
              </w:rPr>
              <w:t>www</w:t>
            </w:r>
            <w:r>
              <w:rPr>
                <w:b/>
                <w:bCs/>
                <w:spacing w:val="9"/>
              </w:rPr>
              <w:t>.</w:t>
            </w:r>
            <w:r>
              <w:rPr>
                <w:b/>
                <w:bCs/>
              </w:rPr>
              <w:t>zcygov</w:t>
            </w:r>
            <w:r>
              <w:rPr>
                <w:b/>
                <w:bCs/>
                <w:spacing w:val="9"/>
              </w:rPr>
              <w:t>.</w:t>
            </w:r>
            <w:r>
              <w:rPr>
                <w:b/>
                <w:bCs/>
              </w:rPr>
              <w:t>cn</w:t>
            </w:r>
            <w:r>
              <w:rPr>
                <w:b/>
                <w:bCs/>
                <w:spacing w:val="9"/>
              </w:rPr>
              <w:t>/）</w:t>
            </w:r>
            <w:r>
              <w:rPr>
                <w:b/>
                <w:bCs/>
                <w:spacing w:val="8"/>
              </w:rPr>
              <w:t>响应文件上传模块中使用“模拟解密”功能，验证本机远程自助解密环</w:t>
            </w:r>
            <w:r>
              <w:rPr>
                <w:b/>
                <w:bCs/>
                <w:spacing w:val="-3"/>
              </w:rPr>
              <w:t>境</w:t>
            </w:r>
            <w:r>
              <w:rPr>
                <w:rFonts w:hint="eastAsia"/>
                <w:b/>
                <w:bCs/>
                <w:spacing w:val="-3"/>
                <w:lang w:eastAsia="zh-CN"/>
              </w:rPr>
              <w:t>。</w:t>
            </w:r>
            <w:r>
              <w:rPr>
                <w:b/>
                <w:bCs/>
                <w:spacing w:val="8"/>
              </w:rPr>
              <w:t>响应文件格式文件要求盖单位章和（或）签字的地方，供应商均应使用</w:t>
            </w:r>
            <w:r>
              <w:rPr>
                <w:b/>
                <w:bCs/>
              </w:rPr>
              <w:t>CA</w:t>
            </w:r>
            <w:r>
              <w:rPr>
                <w:b/>
                <w:bCs/>
                <w:spacing w:val="8"/>
              </w:rPr>
              <w:t>数字证书加盖供应商的单位电子签章和（或）法定代表人的个</w:t>
            </w:r>
            <w:r>
              <w:rPr>
                <w:b/>
                <w:bCs/>
                <w:spacing w:val="7"/>
              </w:rPr>
              <w:t>人电子</w:t>
            </w:r>
            <w:r>
              <w:rPr>
                <w:b/>
                <w:bCs/>
                <w:spacing w:val="2"/>
              </w:rPr>
              <w:t>签名。</w:t>
            </w:r>
          </w:p>
        </w:tc>
      </w:tr>
      <w:tr w14:paraId="3327C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3" w:hRule="atLeast"/>
        </w:trPr>
        <w:tc>
          <w:tcPr>
            <w:tcW w:w="395" w:type="pct"/>
            <w:shd w:val="clear" w:color="auto" w:fill="auto"/>
            <w:vAlign w:val="center"/>
          </w:tcPr>
          <w:p w14:paraId="4C5C992F">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jc w:val="both"/>
              <w:textAlignment w:val="baseline"/>
              <w:rPr>
                <w:rFonts w:hint="eastAsia" w:asciiTheme="minorEastAsia" w:hAnsiTheme="minorEastAsia" w:eastAsiaTheme="minorEastAsia" w:cstheme="minorEastAsia"/>
                <w:b w:val="0"/>
                <w:bCs w:val="0"/>
                <w:sz w:val="21"/>
              </w:rPr>
            </w:pPr>
          </w:p>
          <w:p w14:paraId="74257CE2">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firstLine="396" w:firstLineChars="20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27</w:t>
            </w:r>
          </w:p>
        </w:tc>
        <w:tc>
          <w:tcPr>
            <w:tcW w:w="892" w:type="pct"/>
            <w:shd w:val="clear" w:color="auto" w:fill="auto"/>
            <w:vAlign w:val="center"/>
          </w:tcPr>
          <w:p w14:paraId="1979A5B4">
            <w:pPr>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right="0" w:firstLine="420" w:firstLineChars="200"/>
              <w:textAlignment w:val="baseline"/>
              <w:rPr>
                <w:rFonts w:hint="eastAsia" w:asciiTheme="minorEastAsia" w:hAnsiTheme="minorEastAsia" w:eastAsiaTheme="minorEastAsia" w:cstheme="minorEastAsia"/>
                <w:b w:val="0"/>
                <w:bCs w:val="0"/>
                <w:sz w:val="21"/>
              </w:rPr>
            </w:pPr>
          </w:p>
          <w:p w14:paraId="75905806">
            <w:pPr>
              <w:pStyle w:val="16"/>
              <w:keepNext w:val="0"/>
              <w:keepLines w:val="0"/>
              <w:pageBreakBefore w:val="0"/>
              <w:widowControl/>
              <w:kinsoku/>
              <w:wordWrap/>
              <w:overflowPunct/>
              <w:topLinePunct w:val="0"/>
              <w:autoSpaceDE w:val="0"/>
              <w:autoSpaceDN w:val="0"/>
              <w:bidi w:val="0"/>
              <w:adjustRightInd w:val="0"/>
              <w:snapToGrid w:val="0"/>
              <w:spacing w:before="313" w:beforeLines="100" w:line="360" w:lineRule="auto"/>
              <w:ind w:left="0" w:leftChars="0" w:right="0" w:rightChars="0" w:firstLine="432" w:firstLineChars="20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8"/>
              </w:rPr>
              <w:t>政府采购优惠</w:t>
            </w:r>
            <w:r>
              <w:rPr>
                <w:rFonts w:hint="eastAsia" w:asciiTheme="minorEastAsia" w:hAnsiTheme="minorEastAsia" w:eastAsiaTheme="minorEastAsia" w:cstheme="minorEastAsia"/>
                <w:b w:val="0"/>
                <w:bCs w:val="0"/>
                <w:spacing w:val="5"/>
              </w:rPr>
              <w:t>政策</w:t>
            </w:r>
          </w:p>
        </w:tc>
        <w:tc>
          <w:tcPr>
            <w:tcW w:w="3711" w:type="pct"/>
            <w:shd w:val="clear" w:color="auto" w:fill="auto"/>
            <w:vAlign w:val="top"/>
          </w:tcPr>
          <w:p w14:paraId="0B4F7298">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18" w:firstLineChars="200"/>
              <w:textAlignment w:val="baseline"/>
              <w:rPr>
                <w:color w:val="auto"/>
              </w:rPr>
            </w:pPr>
            <w:r>
              <w:rPr>
                <w:b/>
                <w:bCs/>
                <w:color w:val="auto"/>
                <w:spacing w:val="4"/>
              </w:rPr>
              <w:t>1、符合政府采购优先采购节能产品、环境标志产品</w:t>
            </w:r>
            <w:r>
              <w:rPr>
                <w:b/>
                <w:bCs/>
                <w:color w:val="auto"/>
                <w:spacing w:val="3"/>
              </w:rPr>
              <w:t>的，实行价格评审优</w:t>
            </w:r>
            <w:r>
              <w:rPr>
                <w:b/>
                <w:bCs/>
                <w:color w:val="auto"/>
                <w:spacing w:val="7"/>
              </w:rPr>
              <w:t>惠（由投标人在报价文件中选择并填报，评标时进行价格评审优惠</w:t>
            </w:r>
            <w:r>
              <w:rPr>
                <w:b/>
                <w:bCs/>
                <w:color w:val="auto"/>
                <w:spacing w:val="26"/>
              </w:rPr>
              <w:t>）；</w:t>
            </w:r>
            <w:r>
              <w:rPr>
                <w:b/>
                <w:bCs/>
                <w:color w:val="auto"/>
                <w:spacing w:val="8"/>
              </w:rPr>
              <w:t>投标人符合政府采购促进中小企业（监狱企</w:t>
            </w:r>
            <w:r>
              <w:rPr>
                <w:b/>
                <w:bCs/>
                <w:color w:val="auto"/>
                <w:spacing w:val="7"/>
              </w:rPr>
              <w:t>业、残疾人福利性单位）发</w:t>
            </w:r>
            <w:r>
              <w:rPr>
                <w:b/>
                <w:bCs/>
                <w:color w:val="auto"/>
                <w:spacing w:val="3"/>
              </w:rPr>
              <w:t>展政策的，其评标时给予价格评审优惠，用扣除后的价格参与评审打分。</w:t>
            </w:r>
            <w:r>
              <w:rPr>
                <w:b/>
                <w:bCs/>
                <w:color w:val="auto"/>
                <w:spacing w:val="22"/>
              </w:rPr>
              <w:t>财政部门关于政府采购优先采购的政策规定可在中国政府采购网</w:t>
            </w:r>
            <w:r>
              <w:rPr>
                <w:b/>
                <w:bCs/>
                <w:color w:val="auto"/>
                <w:spacing w:val="4"/>
              </w:rPr>
              <w:t>(</w:t>
            </w:r>
            <w:r>
              <w:rPr>
                <w:b/>
                <w:bCs/>
                <w:color w:val="auto"/>
              </w:rPr>
              <w:t>www</w:t>
            </w:r>
            <w:r>
              <w:rPr>
                <w:b/>
                <w:bCs/>
                <w:color w:val="auto"/>
                <w:spacing w:val="4"/>
              </w:rPr>
              <w:t>.</w:t>
            </w:r>
            <w:r>
              <w:rPr>
                <w:b/>
                <w:bCs/>
                <w:color w:val="auto"/>
              </w:rPr>
              <w:t>ccgp</w:t>
            </w:r>
            <w:r>
              <w:rPr>
                <w:b/>
                <w:bCs/>
                <w:color w:val="auto"/>
                <w:spacing w:val="4"/>
              </w:rPr>
              <w:t>.</w:t>
            </w:r>
            <w:r>
              <w:rPr>
                <w:b/>
                <w:bCs/>
                <w:color w:val="auto"/>
              </w:rPr>
              <w:t>gov</w:t>
            </w:r>
            <w:r>
              <w:rPr>
                <w:b/>
                <w:bCs/>
                <w:color w:val="auto"/>
                <w:spacing w:val="4"/>
              </w:rPr>
              <w:t>.</w:t>
            </w:r>
            <w:r>
              <w:rPr>
                <w:b/>
                <w:bCs/>
                <w:color w:val="auto"/>
              </w:rPr>
              <w:t>cn</w:t>
            </w:r>
            <w:r>
              <w:rPr>
                <w:b/>
                <w:bCs/>
                <w:color w:val="auto"/>
                <w:spacing w:val="4"/>
              </w:rPr>
              <w:t>)查询。同一项目中部分产品属于优先采购政策的，评</w:t>
            </w:r>
            <w:r>
              <w:rPr>
                <w:b/>
                <w:bCs/>
                <w:color w:val="auto"/>
                <w:spacing w:val="5"/>
              </w:rPr>
              <w:t>标时只对该部分产品的报价实行价格优惠。</w:t>
            </w:r>
          </w:p>
          <w:p w14:paraId="31B8CB5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06" w:firstLineChars="200"/>
              <w:textAlignment w:val="baseline"/>
              <w:rPr>
                <w:color w:val="auto"/>
              </w:rPr>
            </w:pPr>
            <w:r>
              <w:rPr>
                <w:b/>
                <w:bCs/>
                <w:color w:val="auto"/>
                <w:spacing w:val="1"/>
              </w:rPr>
              <w:t>（1）支持中小企业发展：对于经主管预算单位统筹后未</w:t>
            </w:r>
            <w:r>
              <w:rPr>
                <w:b/>
                <w:bCs/>
                <w:color w:val="auto"/>
              </w:rPr>
              <w:t>预留份额专门面</w:t>
            </w:r>
            <w:r>
              <w:rPr>
                <w:b/>
                <w:bCs/>
                <w:color w:val="auto"/>
                <w:spacing w:val="8"/>
              </w:rPr>
              <w:t>向中小企业采购的采购项目，以及预留份额项目中的非预留部分采购</w:t>
            </w:r>
            <w:r>
              <w:rPr>
                <w:b/>
                <w:bCs/>
                <w:color w:val="auto"/>
                <w:spacing w:val="7"/>
              </w:rPr>
              <w:t>包，给予小型和微型企业产品的价格给予10%-20%的扣除，用扣除后的</w:t>
            </w:r>
            <w:r>
              <w:rPr>
                <w:b/>
                <w:bCs/>
                <w:color w:val="auto"/>
                <w:spacing w:val="8"/>
              </w:rPr>
              <w:t>价格参与评标，监狱企业参加政府采购活动时</w:t>
            </w:r>
            <w:r>
              <w:rPr>
                <w:b/>
                <w:bCs/>
                <w:color w:val="auto"/>
                <w:spacing w:val="7"/>
              </w:rPr>
              <w:t>，应当提供由省级以上监</w:t>
            </w:r>
            <w:r>
              <w:rPr>
                <w:b/>
                <w:bCs/>
                <w:color w:val="auto"/>
                <w:spacing w:val="8"/>
              </w:rPr>
              <w:t>狱管理局、戒毒管理局（含新疆生产建设兵团</w:t>
            </w:r>
            <w:r>
              <w:rPr>
                <w:b/>
                <w:bCs/>
                <w:color w:val="auto"/>
                <w:spacing w:val="7"/>
              </w:rPr>
              <w:t>）出具的属于监狱企业的</w:t>
            </w:r>
            <w:r>
              <w:rPr>
                <w:b/>
                <w:bCs/>
                <w:color w:val="auto"/>
                <w:spacing w:val="8"/>
              </w:rPr>
              <w:t>证明文件。在政府采购活动中，监狱企业视同</w:t>
            </w:r>
            <w:r>
              <w:rPr>
                <w:b/>
                <w:bCs/>
                <w:color w:val="auto"/>
                <w:spacing w:val="7"/>
              </w:rPr>
              <w:t>小型、微型企业，享受预</w:t>
            </w:r>
            <w:r>
              <w:rPr>
                <w:b/>
                <w:bCs/>
                <w:color w:val="auto"/>
                <w:spacing w:val="3"/>
              </w:rPr>
              <w:t>留份额、评标中价格扣除等政府采购促进中小企业发展的政府采购政策。</w:t>
            </w:r>
            <w:r>
              <w:rPr>
                <w:b/>
                <w:bCs/>
                <w:color w:val="auto"/>
                <w:spacing w:val="2"/>
              </w:rPr>
              <w:t>本项目具体扣除比例为10%。</w:t>
            </w:r>
          </w:p>
          <w:p w14:paraId="79835C52">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18" w:firstLineChars="200"/>
              <w:textAlignment w:val="baseline"/>
              <w:rPr>
                <w:color w:val="auto"/>
              </w:rPr>
            </w:pPr>
            <w:r>
              <w:rPr>
                <w:b/>
                <w:bCs/>
                <w:color w:val="auto"/>
                <w:spacing w:val="4"/>
              </w:rPr>
              <w:t>（3）政府采购促进残疾人就业：符合条件的残疾人福利性单位在参加政</w:t>
            </w:r>
            <w:r>
              <w:rPr>
                <w:b/>
                <w:bCs/>
                <w:color w:val="auto"/>
                <w:spacing w:val="1"/>
              </w:rPr>
              <w:t>府采购活动时，应当提供规定的《残疾人福利性单位声明函》（见附件</w:t>
            </w:r>
            <w:r>
              <w:rPr>
                <w:b/>
                <w:bCs/>
                <w:color w:val="auto"/>
                <w:spacing w:val="-48"/>
                <w:w w:val="91"/>
              </w:rPr>
              <w:t>），</w:t>
            </w:r>
            <w:r>
              <w:rPr>
                <w:b/>
                <w:bCs/>
                <w:color w:val="auto"/>
                <w:spacing w:val="8"/>
              </w:rPr>
              <w:t>并对声明的真实性负责。任何单位或者个人在政府采购活动中均不得要求残疾人福利性单位提供其他证明声明函内容的材料。残疾人福利性单位视同小型、微型企业，享受评标中价格扣除等促进中小企业发展的政</w:t>
            </w:r>
            <w:r>
              <w:rPr>
                <w:b/>
                <w:bCs/>
                <w:color w:val="auto"/>
                <w:spacing w:val="4"/>
              </w:rPr>
              <w:t>府采购政策。本项目具体扣除比例为10%。</w:t>
            </w:r>
          </w:p>
          <w:p w14:paraId="3B36502B">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26" w:firstLineChars="200"/>
              <w:textAlignment w:val="baseline"/>
              <w:rPr>
                <w:color w:val="auto"/>
              </w:rPr>
            </w:pPr>
            <w:r>
              <w:rPr>
                <w:b/>
                <w:bCs/>
                <w:color w:val="auto"/>
                <w:spacing w:val="6"/>
              </w:rPr>
              <w:t>（4）节能产品、环境标志产品的产品优惠：按国家有关节能</w:t>
            </w:r>
            <w:r>
              <w:rPr>
                <w:b/>
                <w:bCs/>
                <w:color w:val="auto"/>
                <w:spacing w:val="5"/>
              </w:rPr>
              <w:t>、环保政策</w:t>
            </w:r>
            <w:r>
              <w:rPr>
                <w:b/>
                <w:bCs/>
                <w:color w:val="auto"/>
                <w:spacing w:val="1"/>
              </w:rPr>
              <w:t>执行。</w:t>
            </w:r>
          </w:p>
          <w:p w14:paraId="7532FC63">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42" w:firstLineChars="200"/>
              <w:jc w:val="both"/>
              <w:textAlignment w:val="baseline"/>
              <w:rPr>
                <w:color w:val="auto"/>
              </w:rPr>
            </w:pPr>
            <w:r>
              <w:rPr>
                <w:b/>
                <w:bCs/>
                <w:color w:val="auto"/>
                <w:spacing w:val="10"/>
              </w:rPr>
              <w:t>注：当面向中小企业采购时，根据《政府采购</w:t>
            </w:r>
            <w:r>
              <w:rPr>
                <w:b/>
                <w:bCs/>
                <w:color w:val="auto"/>
                <w:spacing w:val="9"/>
              </w:rPr>
              <w:t>促进中小企业发展管理办</w:t>
            </w:r>
            <w:r>
              <w:rPr>
                <w:b/>
                <w:bCs/>
                <w:color w:val="auto"/>
                <w:spacing w:val="5"/>
              </w:rPr>
              <w:t>法》第十一条中小企业参加政府采购活动，应当出具本办法规定的《中</w:t>
            </w:r>
            <w:r>
              <w:rPr>
                <w:b/>
                <w:bCs/>
                <w:color w:val="auto"/>
                <w:spacing w:val="8"/>
              </w:rPr>
              <w:t>小企业声明函》，否则不得享受相关中小企业扶持政策。任何单位和个</w:t>
            </w:r>
            <w:r>
              <w:rPr>
                <w:b/>
                <w:bCs/>
                <w:color w:val="auto"/>
                <w:spacing w:val="10"/>
              </w:rPr>
              <w:t>人不得要求供应商提供《中小企业声明函》之外</w:t>
            </w:r>
            <w:r>
              <w:rPr>
                <w:b/>
                <w:bCs/>
                <w:color w:val="auto"/>
                <w:spacing w:val="9"/>
              </w:rPr>
              <w:t>的中小企业身份证明文</w:t>
            </w:r>
            <w:r>
              <w:rPr>
                <w:b/>
                <w:bCs/>
                <w:color w:val="auto"/>
                <w:spacing w:val="-2"/>
              </w:rPr>
              <w:t>件。</w:t>
            </w:r>
          </w:p>
          <w:p w14:paraId="1CC4168C">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02" w:firstLineChars="200"/>
              <w:textAlignment w:val="baseline"/>
            </w:pPr>
            <w:r>
              <w:rPr>
                <w:b/>
                <w:bCs/>
              </w:rPr>
              <w:t>在政府采购活动中，供应商提供的货物、工程或者服务符合下列情形的，</w:t>
            </w:r>
            <w:r>
              <w:rPr>
                <w:b/>
                <w:bCs/>
                <w:spacing w:val="5"/>
              </w:rPr>
              <w:t>享受本办法规定的中小企业扶持政策：</w:t>
            </w:r>
          </w:p>
          <w:p w14:paraId="2A17858A">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38" w:firstLineChars="200"/>
              <w:textAlignment w:val="baseline"/>
            </w:pPr>
            <w:r>
              <w:rPr>
                <w:b/>
                <w:bCs/>
                <w:spacing w:val="9"/>
              </w:rPr>
              <w:t>（一）在货物采购项目中，货物由中小企业制造，即货物由中小企业生</w:t>
            </w:r>
            <w:r>
              <w:rPr>
                <w:b/>
                <w:bCs/>
                <w:spacing w:val="7"/>
              </w:rPr>
              <w:t>产且使用该中小企业商号或者注册商标；</w:t>
            </w:r>
          </w:p>
          <w:p w14:paraId="3F4CEF0E">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38" w:firstLineChars="200"/>
              <w:textAlignment w:val="baseline"/>
            </w:pPr>
            <w:r>
              <w:rPr>
                <w:b/>
                <w:bCs/>
                <w:spacing w:val="9"/>
              </w:rPr>
              <w:t>（二）在工程采购项目中，工程由中小企业承建，即工程施工单位为中</w:t>
            </w:r>
            <w:r>
              <w:rPr>
                <w:b/>
                <w:bCs/>
                <w:spacing w:val="2"/>
              </w:rPr>
              <w:t>小企业；</w:t>
            </w:r>
          </w:p>
          <w:p w14:paraId="385A64C9">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30" w:firstLineChars="200"/>
              <w:jc w:val="both"/>
              <w:textAlignment w:val="baseline"/>
            </w:pPr>
            <w:r>
              <w:rPr>
                <w:b/>
                <w:bCs/>
                <w:spacing w:val="7"/>
              </w:rPr>
              <w:t>（三）在服务采购项目中，服务由中小企业承接，即提供服务的人员为</w:t>
            </w:r>
            <w:r>
              <w:rPr>
                <w:b/>
                <w:bCs/>
                <w:spacing w:val="2"/>
              </w:rPr>
              <w:t>中小企业依照《中华人民共和国劳动合同法》订立劳动合同的从业人</w:t>
            </w:r>
            <w:r>
              <w:rPr>
                <w:b/>
                <w:bCs/>
                <w:spacing w:val="1"/>
              </w:rPr>
              <w:t>员。</w:t>
            </w:r>
            <w:r>
              <w:rPr>
                <w:b/>
                <w:bCs/>
                <w:spacing w:val="8"/>
              </w:rPr>
              <w:t>在货物采购项目中，供应商提供的货物既有中</w:t>
            </w:r>
            <w:r>
              <w:rPr>
                <w:b/>
                <w:bCs/>
                <w:spacing w:val="7"/>
              </w:rPr>
              <w:t>小企业制造货物，也有大</w:t>
            </w:r>
            <w:r>
              <w:rPr>
                <w:b/>
                <w:bCs/>
                <w:spacing w:val="6"/>
              </w:rPr>
              <w:t>型企业制造货物的，不享受本办法规定的中小企业扶持政策。</w:t>
            </w:r>
          </w:p>
          <w:p w14:paraId="25B1D19F">
            <w:pPr>
              <w:pStyle w:val="16"/>
              <w:keepNext w:val="0"/>
              <w:keepLines w:val="0"/>
              <w:pageBreakBefore w:val="0"/>
              <w:widowControl/>
              <w:kinsoku/>
              <w:wordWrap/>
              <w:overflowPunct/>
              <w:topLinePunct w:val="0"/>
              <w:autoSpaceDE w:val="0"/>
              <w:autoSpaceDN w:val="0"/>
              <w:bidi w:val="0"/>
              <w:adjustRightInd w:val="0"/>
              <w:snapToGrid w:val="0"/>
              <w:spacing w:before="157" w:beforeLines="50" w:line="240" w:lineRule="auto"/>
              <w:ind w:left="105" w:leftChars="50" w:right="105" w:rightChars="50" w:firstLine="438" w:firstLineChars="200"/>
              <w:jc w:val="both"/>
              <w:textAlignment w:val="baseline"/>
              <w:rPr>
                <w:rFonts w:ascii="宋体" w:hAnsi="宋体" w:eastAsia="宋体" w:cs="宋体"/>
                <w:snapToGrid w:val="0"/>
                <w:color w:val="000000"/>
                <w:kern w:val="0"/>
                <w:sz w:val="20"/>
                <w:szCs w:val="20"/>
                <w:lang w:val="en-US" w:eastAsia="en-US" w:bidi="ar-SA"/>
              </w:rPr>
            </w:pPr>
            <w:r>
              <w:rPr>
                <w:b/>
                <w:bCs/>
                <w:spacing w:val="9"/>
              </w:rPr>
              <w:t>以联合体形式参加政府采购活动，联合体各方均为中小企业的</w:t>
            </w:r>
            <w:r>
              <w:rPr>
                <w:b/>
                <w:bCs/>
                <w:spacing w:val="8"/>
              </w:rPr>
              <w:t>，联合体</w:t>
            </w:r>
            <w:r>
              <w:rPr>
                <w:b/>
                <w:bCs/>
                <w:spacing w:val="10"/>
              </w:rPr>
              <w:t>视同中小企业。其中，联合体各方均为小微企业</w:t>
            </w:r>
            <w:r>
              <w:rPr>
                <w:b/>
                <w:bCs/>
                <w:spacing w:val="9"/>
              </w:rPr>
              <w:t>的，联合体视同小微企</w:t>
            </w:r>
            <w:r>
              <w:rPr>
                <w:b/>
                <w:bCs/>
                <w:spacing w:val="-2"/>
              </w:rPr>
              <w:t>业。</w:t>
            </w:r>
          </w:p>
        </w:tc>
      </w:tr>
      <w:tr w14:paraId="66575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6" w:hRule="atLeast"/>
        </w:trPr>
        <w:tc>
          <w:tcPr>
            <w:tcW w:w="395" w:type="pct"/>
            <w:shd w:val="clear" w:color="auto" w:fill="auto"/>
            <w:vAlign w:val="center"/>
          </w:tcPr>
          <w:p w14:paraId="1E6F64DF">
            <w:pPr>
              <w:pStyle w:val="16"/>
              <w:keepNext w:val="0"/>
              <w:keepLines w:val="0"/>
              <w:pageBreakBefore w:val="0"/>
              <w:kinsoku/>
              <w:wordWrap/>
              <w:overflowPunct/>
              <w:topLinePunct w:val="0"/>
              <w:bidi w:val="0"/>
              <w:adjustRightInd w:val="0"/>
              <w:snapToGrid w:val="0"/>
              <w:spacing w:before="313" w:beforeLines="100" w:line="189" w:lineRule="auto"/>
              <w:ind w:left="282" w:leftChars="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28</w:t>
            </w:r>
          </w:p>
        </w:tc>
        <w:tc>
          <w:tcPr>
            <w:tcW w:w="892" w:type="pct"/>
            <w:shd w:val="clear" w:color="auto" w:fill="auto"/>
            <w:vAlign w:val="center"/>
          </w:tcPr>
          <w:p w14:paraId="5FAE1BE3">
            <w:pPr>
              <w:pStyle w:val="16"/>
              <w:keepNext w:val="0"/>
              <w:keepLines w:val="0"/>
              <w:pageBreakBefore w:val="0"/>
              <w:kinsoku/>
              <w:wordWrap/>
              <w:overflowPunct/>
              <w:topLinePunct w:val="0"/>
              <w:bidi w:val="0"/>
              <w:adjustRightInd w:val="0"/>
              <w:snapToGrid w:val="0"/>
              <w:spacing w:before="313" w:beforeLines="100" w:line="228" w:lineRule="auto"/>
              <w:ind w:left="120" w:lef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4"/>
              </w:rPr>
              <w:t>其他</w:t>
            </w:r>
          </w:p>
        </w:tc>
        <w:tc>
          <w:tcPr>
            <w:tcW w:w="3711" w:type="pct"/>
            <w:shd w:val="clear" w:color="auto" w:fill="auto"/>
            <w:vAlign w:val="top"/>
          </w:tcPr>
          <w:p w14:paraId="19A06277">
            <w:pPr>
              <w:pStyle w:val="16"/>
              <w:keepNext w:val="0"/>
              <w:keepLines w:val="0"/>
              <w:pageBreakBefore w:val="0"/>
              <w:widowControl/>
              <w:kinsoku/>
              <w:wordWrap/>
              <w:overflowPunct/>
              <w:topLinePunct w:val="0"/>
              <w:autoSpaceDE w:val="0"/>
              <w:autoSpaceDN w:val="0"/>
              <w:bidi w:val="0"/>
              <w:adjustRightInd w:val="0"/>
              <w:snapToGrid w:val="0"/>
              <w:spacing w:before="157" w:beforeLines="50" w:line="276" w:lineRule="auto"/>
              <w:ind w:left="119" w:leftChars="0" w:right="6" w:rightChars="0" w:firstLine="426" w:firstLineChars="200"/>
              <w:jc w:val="left"/>
              <w:textAlignment w:val="baseline"/>
              <w:rPr>
                <w:rFonts w:ascii="宋体" w:hAnsi="宋体" w:eastAsia="宋体" w:cs="宋体"/>
                <w:snapToGrid w:val="0"/>
                <w:color w:val="000000"/>
                <w:kern w:val="0"/>
                <w:sz w:val="20"/>
                <w:szCs w:val="20"/>
                <w:lang w:val="en-US" w:eastAsia="en-US" w:bidi="ar-SA"/>
              </w:rPr>
            </w:pPr>
            <w:r>
              <w:rPr>
                <w:b/>
                <w:bCs/>
                <w:spacing w:val="6"/>
              </w:rPr>
              <w:t>若投标人对招标文件有疑问的：因报名系统实行封闭运行，投标企业报名信息保密，因此采购文件质疑答疑均在会员报名系统中进行，不接受的采购文件书面质疑。请报名投标企业严格按法定时间进行采购文件质疑，并及时查看答疑回复。请会员登录在已报名项目中网上提问部</w:t>
            </w:r>
            <w:r>
              <w:rPr>
                <w:b/>
                <w:bCs/>
                <w:spacing w:val="5"/>
              </w:rPr>
              <w:t>分提</w:t>
            </w:r>
            <w:r>
              <w:rPr>
                <w:b/>
                <w:bCs/>
                <w:spacing w:val="7"/>
              </w:rPr>
              <w:t>交质疑问题，逾期不接受对采购文件的质疑。</w:t>
            </w:r>
          </w:p>
        </w:tc>
      </w:tr>
      <w:tr w14:paraId="7AAE24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7" w:hRule="atLeast"/>
        </w:trPr>
        <w:tc>
          <w:tcPr>
            <w:tcW w:w="395" w:type="pct"/>
            <w:shd w:val="clear" w:color="auto" w:fill="auto"/>
            <w:vAlign w:val="center"/>
          </w:tcPr>
          <w:p w14:paraId="0906B684">
            <w:pPr>
              <w:pStyle w:val="16"/>
              <w:keepNext w:val="0"/>
              <w:keepLines w:val="0"/>
              <w:pageBreakBefore w:val="0"/>
              <w:kinsoku/>
              <w:wordWrap/>
              <w:overflowPunct/>
              <w:topLinePunct w:val="0"/>
              <w:bidi w:val="0"/>
              <w:adjustRightInd w:val="0"/>
              <w:snapToGrid w:val="0"/>
              <w:spacing w:before="313" w:beforeLines="100" w:line="189" w:lineRule="auto"/>
              <w:ind w:left="230" w:leftChars="0"/>
              <w:jc w:val="both"/>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1"/>
              </w:rPr>
              <w:t>29</w:t>
            </w:r>
          </w:p>
        </w:tc>
        <w:tc>
          <w:tcPr>
            <w:tcW w:w="892" w:type="pct"/>
            <w:shd w:val="clear" w:color="auto" w:fill="auto"/>
            <w:vAlign w:val="center"/>
          </w:tcPr>
          <w:p w14:paraId="147D0132">
            <w:pPr>
              <w:pStyle w:val="16"/>
              <w:keepNext w:val="0"/>
              <w:keepLines w:val="0"/>
              <w:pageBreakBefore w:val="0"/>
              <w:kinsoku/>
              <w:wordWrap/>
              <w:overflowPunct/>
              <w:topLinePunct w:val="0"/>
              <w:bidi w:val="0"/>
              <w:adjustRightInd w:val="0"/>
              <w:snapToGrid w:val="0"/>
              <w:spacing w:before="313" w:beforeLines="100" w:line="228" w:lineRule="auto"/>
              <w:ind w:left="429" w:leftChars="0"/>
              <w:textAlignment w:val="baseline"/>
              <w:rPr>
                <w:rFonts w:hint="eastAsia" w:asciiTheme="minorEastAsia" w:hAnsiTheme="minorEastAsia" w:eastAsiaTheme="minorEastAsia" w:cstheme="minorEastAsia"/>
                <w:b w:val="0"/>
                <w:bCs w:val="0"/>
                <w:snapToGrid w:val="0"/>
                <w:color w:val="000000"/>
                <w:kern w:val="0"/>
                <w:sz w:val="20"/>
                <w:szCs w:val="20"/>
                <w:lang w:val="en-US" w:eastAsia="en-US" w:bidi="ar-SA"/>
              </w:rPr>
            </w:pPr>
            <w:r>
              <w:rPr>
                <w:rFonts w:hint="eastAsia" w:asciiTheme="minorEastAsia" w:hAnsiTheme="minorEastAsia" w:eastAsiaTheme="minorEastAsia" w:cstheme="minorEastAsia"/>
                <w:b w:val="0"/>
                <w:bCs w:val="0"/>
                <w:spacing w:val="7"/>
              </w:rPr>
              <w:t>注意事项</w:t>
            </w:r>
          </w:p>
        </w:tc>
        <w:tc>
          <w:tcPr>
            <w:tcW w:w="3711" w:type="pct"/>
            <w:shd w:val="clear" w:color="auto" w:fill="auto"/>
            <w:vAlign w:val="top"/>
          </w:tcPr>
          <w:p w14:paraId="00754201">
            <w:pPr>
              <w:pStyle w:val="16"/>
              <w:keepNext w:val="0"/>
              <w:keepLines w:val="0"/>
              <w:pageBreakBefore w:val="0"/>
              <w:kinsoku/>
              <w:wordWrap/>
              <w:overflowPunct/>
              <w:topLinePunct w:val="0"/>
              <w:bidi w:val="0"/>
              <w:adjustRightInd w:val="0"/>
              <w:snapToGrid w:val="0"/>
              <w:spacing w:before="313" w:beforeLines="100" w:line="282" w:lineRule="auto"/>
              <w:ind w:left="118" w:firstLine="17"/>
              <w:jc w:val="both"/>
              <w:textAlignment w:val="baseline"/>
            </w:pPr>
            <w:r>
              <w:rPr>
                <w:b/>
                <w:bCs/>
                <w:spacing w:val="7"/>
              </w:rPr>
              <w:t>1.投标人需办理政采云</w:t>
            </w:r>
            <w:r>
              <w:rPr>
                <w:b/>
                <w:bCs/>
              </w:rPr>
              <w:t>CA</w:t>
            </w:r>
            <w:r>
              <w:rPr>
                <w:b/>
                <w:bCs/>
                <w:spacing w:val="7"/>
              </w:rPr>
              <w:t>投标锁，在新疆政府采购</w:t>
            </w:r>
            <w:r>
              <w:rPr>
                <w:b/>
                <w:bCs/>
                <w:spacing w:val="6"/>
              </w:rPr>
              <w:t>网下载专区下载进</w:t>
            </w:r>
            <w:r>
              <w:rPr>
                <w:b/>
                <w:bCs/>
                <w:spacing w:val="11"/>
              </w:rPr>
              <w:t>入“新疆维吾尔自治区全流程电子招投标项目管理系统--供应商客户</w:t>
            </w:r>
            <w:r>
              <w:rPr>
                <w:b/>
                <w:bCs/>
                <w:spacing w:val="-1"/>
              </w:rPr>
              <w:t>端”，了解学习投标文件的制作，制作投标文件，递交电子加密</w:t>
            </w:r>
            <w:r>
              <w:rPr>
                <w:b/>
                <w:bCs/>
                <w:spacing w:val="-2"/>
              </w:rPr>
              <w:t>投标书，</w:t>
            </w:r>
            <w:r>
              <w:rPr>
                <w:b/>
                <w:bCs/>
                <w:spacing w:val="5"/>
              </w:rPr>
              <w:t>投标企业须通过政采云平台（</w:t>
            </w:r>
            <w:r>
              <w:rPr>
                <w:b/>
                <w:bCs/>
              </w:rPr>
              <w:t>http</w:t>
            </w:r>
            <w:r>
              <w:rPr>
                <w:b/>
                <w:bCs/>
                <w:spacing w:val="5"/>
              </w:rPr>
              <w:t>://</w:t>
            </w:r>
            <w:r>
              <w:rPr>
                <w:b/>
                <w:bCs/>
              </w:rPr>
              <w:t>www</w:t>
            </w:r>
            <w:r>
              <w:rPr>
                <w:b/>
                <w:bCs/>
                <w:spacing w:val="5"/>
              </w:rPr>
              <w:t>.</w:t>
            </w:r>
            <w:r>
              <w:rPr>
                <w:b/>
                <w:bCs/>
              </w:rPr>
              <w:t>ccgp</w:t>
            </w:r>
            <w:r>
              <w:rPr>
                <w:b/>
                <w:bCs/>
                <w:spacing w:val="5"/>
              </w:rPr>
              <w:t>-</w:t>
            </w:r>
            <w:r>
              <w:rPr>
                <w:b/>
                <w:bCs/>
              </w:rPr>
              <w:t>xinjiang</w:t>
            </w:r>
            <w:r>
              <w:rPr>
                <w:b/>
                <w:bCs/>
                <w:spacing w:val="5"/>
              </w:rPr>
              <w:t>.</w:t>
            </w:r>
            <w:r>
              <w:rPr>
                <w:b/>
                <w:bCs/>
              </w:rPr>
              <w:t>gov</w:t>
            </w:r>
            <w:r>
              <w:rPr>
                <w:b/>
                <w:bCs/>
                <w:spacing w:val="4"/>
              </w:rPr>
              <w:t>.</w:t>
            </w:r>
            <w:r>
              <w:rPr>
                <w:b/>
                <w:bCs/>
              </w:rPr>
              <w:t>cn</w:t>
            </w:r>
            <w:r>
              <w:rPr>
                <w:b/>
                <w:bCs/>
                <w:spacing w:val="4"/>
              </w:rPr>
              <w:t>/）上传电子投标文件。</w:t>
            </w:r>
          </w:p>
          <w:p w14:paraId="4AE702AE">
            <w:pPr>
              <w:pStyle w:val="16"/>
              <w:keepNext w:val="0"/>
              <w:keepLines w:val="0"/>
              <w:pageBreakBefore w:val="0"/>
              <w:kinsoku/>
              <w:wordWrap/>
              <w:overflowPunct/>
              <w:topLinePunct w:val="0"/>
              <w:bidi w:val="0"/>
              <w:adjustRightInd w:val="0"/>
              <w:snapToGrid w:val="0"/>
              <w:spacing w:before="313" w:beforeLines="100" w:line="286" w:lineRule="auto"/>
              <w:ind w:left="119" w:firstLine="3"/>
              <w:jc w:val="both"/>
              <w:textAlignment w:val="baseline"/>
            </w:pPr>
            <w:r>
              <w:rPr>
                <w:b/>
                <w:bCs/>
                <w:spacing w:val="5"/>
              </w:rPr>
              <w:t>2.采购文件中要求在线投标的项目，必须下载投标客户端进</w:t>
            </w:r>
            <w:r>
              <w:rPr>
                <w:b/>
                <w:bCs/>
                <w:spacing w:val="4"/>
              </w:rPr>
              <w:t>行投标文件</w:t>
            </w:r>
            <w:r>
              <w:rPr>
                <w:b/>
                <w:bCs/>
                <w:spacing w:val="5"/>
              </w:rPr>
              <w:t>的编制。并按照本采购文件和投标客户端的要求编制并加密投标文件在</w:t>
            </w:r>
            <w:r>
              <w:rPr>
                <w:b/>
                <w:bCs/>
                <w:spacing w:val="6"/>
              </w:rPr>
              <w:t>左侧菜单【投标文件上传】页面进行上传。未按规定加密的投标文件，</w:t>
            </w:r>
            <w:r>
              <w:rPr>
                <w:b/>
                <w:bCs/>
                <w:spacing w:val="5"/>
              </w:rPr>
              <w:t>投标文件将被拒收。逾期上传或者未上传指定地点的响应文件，采购人</w:t>
            </w:r>
            <w:r>
              <w:rPr>
                <w:b/>
                <w:bCs/>
                <w:spacing w:val="4"/>
              </w:rPr>
              <w:t>不予受理。“电子招投标供应商客户端”请供应商自行前往“新疆政府</w:t>
            </w:r>
            <w:r>
              <w:rPr>
                <w:b/>
                <w:bCs/>
                <w:spacing w:val="12"/>
              </w:rPr>
              <w:t>采购网—下载专区—新疆维吾尔自治区全流程电子招投标项目管理系</w:t>
            </w:r>
            <w:r>
              <w:rPr>
                <w:b/>
                <w:bCs/>
                <w:spacing w:val="4"/>
              </w:rPr>
              <w:t>统--电子招投标供应商客户端”版块获取。投标文件开启当日，供应商</w:t>
            </w:r>
            <w:r>
              <w:rPr>
                <w:b/>
                <w:bCs/>
                <w:spacing w:val="5"/>
              </w:rPr>
              <w:t>需通过政采云平台“不见面”开标大厅完成远程解密、开标（磋商）、澄清、在线多轮报价、结果公布等交互环节。供应商必须使用能正确解</w:t>
            </w:r>
            <w:r>
              <w:rPr>
                <w:b/>
                <w:bCs/>
                <w:spacing w:val="9"/>
              </w:rPr>
              <w:t>密响应文件的“</w:t>
            </w:r>
            <w:r>
              <w:rPr>
                <w:b/>
                <w:bCs/>
              </w:rPr>
              <w:t>CA</w:t>
            </w:r>
            <w:r>
              <w:rPr>
                <w:b/>
                <w:bCs/>
                <w:spacing w:val="9"/>
              </w:rPr>
              <w:t>锁”在规定的时间内完成远程解密，因供应商原因</w:t>
            </w:r>
            <w:r>
              <w:rPr>
                <w:b/>
                <w:bCs/>
                <w:spacing w:val="5"/>
              </w:rPr>
              <w:t>未能解密、解密失败或解密超时，视为供应商撤销其响应文件。务必使用生成投标文件的那把锁解密，请在互联网网络环境较稳定的电脑端登录，因投标人网络环境或硬件配备不达标等原因影响开标的，造成的后果由投标人自行承担。</w:t>
            </w:r>
          </w:p>
          <w:p w14:paraId="05AC17E2">
            <w:pPr>
              <w:pStyle w:val="16"/>
              <w:keepNext w:val="0"/>
              <w:keepLines w:val="0"/>
              <w:pageBreakBefore w:val="0"/>
              <w:kinsoku/>
              <w:wordWrap/>
              <w:overflowPunct/>
              <w:topLinePunct w:val="0"/>
              <w:bidi w:val="0"/>
              <w:adjustRightInd w:val="0"/>
              <w:snapToGrid w:val="0"/>
              <w:spacing w:before="313" w:beforeLines="100" w:line="280" w:lineRule="auto"/>
              <w:ind w:left="122" w:leftChars="0" w:firstLine="1" w:firstLineChars="0"/>
              <w:jc w:val="both"/>
              <w:textAlignment w:val="baseline"/>
              <w:rPr>
                <w:rFonts w:ascii="宋体" w:hAnsi="宋体" w:eastAsia="宋体" w:cs="宋体"/>
                <w:snapToGrid w:val="0"/>
                <w:color w:val="000000"/>
                <w:kern w:val="0"/>
                <w:sz w:val="20"/>
                <w:szCs w:val="20"/>
                <w:lang w:val="en-US" w:eastAsia="en-US" w:bidi="ar-SA"/>
              </w:rPr>
            </w:pPr>
            <w:r>
              <w:rPr>
                <w:b/>
                <w:bCs/>
                <w:spacing w:val="4"/>
              </w:rPr>
              <w:t>3.投标人将政采云电子交易客户端下载、安装完成后，可通过账号密码</w:t>
            </w:r>
            <w:r>
              <w:rPr>
                <w:b/>
                <w:bCs/>
                <w:spacing w:val="2"/>
              </w:rPr>
              <w:t>或</w:t>
            </w:r>
            <w:r>
              <w:rPr>
                <w:b/>
                <w:bCs/>
              </w:rPr>
              <w:t>CA</w:t>
            </w:r>
            <w:r>
              <w:rPr>
                <w:b/>
                <w:bCs/>
                <w:spacing w:val="2"/>
              </w:rPr>
              <w:t>登录客户端进行投标响应文件制作。在使用政采云投标客户端时，</w:t>
            </w:r>
            <w:r>
              <w:rPr>
                <w:b/>
                <w:bCs/>
                <w:spacing w:val="-5"/>
              </w:rPr>
              <w:t>建议使用WIN7及以上操作系统。客户端请至政采云平台</w:t>
            </w:r>
            <w:r>
              <w:rPr>
                <w:b/>
                <w:bCs/>
                <w:spacing w:val="4"/>
              </w:rPr>
              <w:t>（</w:t>
            </w:r>
            <w:r>
              <w:fldChar w:fldCharType="begin"/>
            </w:r>
            <w:r>
              <w:instrText xml:space="preserve"> HYPERLINK "http://www.ccgp-xinjiang.gov.cn/" </w:instrText>
            </w:r>
            <w:r>
              <w:fldChar w:fldCharType="separate"/>
            </w:r>
            <w:r>
              <w:rPr>
                <w:b/>
                <w:bCs/>
              </w:rPr>
              <w:t>http</w:t>
            </w:r>
            <w:r>
              <w:rPr>
                <w:b/>
                <w:bCs/>
                <w:spacing w:val="4"/>
              </w:rPr>
              <w:t>://</w:t>
            </w:r>
            <w:r>
              <w:rPr>
                <w:b/>
                <w:bCs/>
              </w:rPr>
              <w:t>www</w:t>
            </w:r>
            <w:r>
              <w:rPr>
                <w:b/>
                <w:bCs/>
                <w:spacing w:val="4"/>
              </w:rPr>
              <w:t>.</w:t>
            </w:r>
            <w:r>
              <w:rPr>
                <w:b/>
                <w:bCs/>
              </w:rPr>
              <w:t>ccgp</w:t>
            </w:r>
            <w:r>
              <w:rPr>
                <w:b/>
                <w:bCs/>
                <w:spacing w:val="4"/>
              </w:rPr>
              <w:t>-</w:t>
            </w:r>
            <w:r>
              <w:rPr>
                <w:b/>
                <w:bCs/>
              </w:rPr>
              <w:t>xinjiang</w:t>
            </w:r>
            <w:r>
              <w:rPr>
                <w:b/>
                <w:bCs/>
                <w:spacing w:val="4"/>
              </w:rPr>
              <w:t>.</w:t>
            </w:r>
            <w:r>
              <w:rPr>
                <w:b/>
                <w:bCs/>
              </w:rPr>
              <w:t>gov</w:t>
            </w:r>
            <w:r>
              <w:rPr>
                <w:b/>
                <w:bCs/>
                <w:spacing w:val="4"/>
              </w:rPr>
              <w:t>.</w:t>
            </w:r>
            <w:r>
              <w:rPr>
                <w:b/>
                <w:bCs/>
              </w:rPr>
              <w:t>cn</w:t>
            </w:r>
            <w:r>
              <w:rPr>
                <w:b/>
                <w:bCs/>
                <w:spacing w:val="4"/>
              </w:rPr>
              <w:t>/</w:t>
            </w:r>
            <w:r>
              <w:rPr>
                <w:b/>
                <w:bCs/>
                <w:spacing w:val="4"/>
              </w:rPr>
              <w:fldChar w:fldCharType="end"/>
            </w:r>
            <w:r>
              <w:rPr>
                <w:b/>
                <w:bCs/>
                <w:spacing w:val="4"/>
              </w:rPr>
              <w:t>）下载专区查看，如有问题可拨</w:t>
            </w:r>
            <w:r>
              <w:rPr>
                <w:b/>
                <w:bCs/>
                <w:spacing w:val="9"/>
              </w:rPr>
              <w:t>打政采云客户服务热线95763进行咨询。供应商应当在投标截止时间</w:t>
            </w:r>
            <w:r>
              <w:rPr>
                <w:b/>
                <w:bCs/>
              </w:rPr>
              <w:t>前，将“电子招投标供应商客户端”生成的“电子加密投标文件”上传</w:t>
            </w:r>
            <w:r>
              <w:rPr>
                <w:b/>
                <w:bCs/>
                <w:spacing w:val="4"/>
              </w:rPr>
              <w:t>电子交易平台。</w:t>
            </w:r>
          </w:p>
        </w:tc>
      </w:tr>
      <w:tr w14:paraId="0850F5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395" w:type="pct"/>
            <w:shd w:val="clear" w:color="auto" w:fill="auto"/>
            <w:vAlign w:val="center"/>
          </w:tcPr>
          <w:p w14:paraId="2C8E0D83">
            <w:pPr>
              <w:pStyle w:val="16"/>
              <w:keepNext w:val="0"/>
              <w:keepLines w:val="0"/>
              <w:pageBreakBefore w:val="0"/>
              <w:widowControl w:val="0"/>
              <w:kinsoku/>
              <w:wordWrap/>
              <w:overflowPunct w:val="0"/>
              <w:topLinePunct/>
              <w:autoSpaceDE/>
              <w:autoSpaceDN/>
              <w:bidi w:val="0"/>
              <w:adjustRightInd w:val="0"/>
              <w:snapToGrid w:val="0"/>
              <w:spacing w:before="313" w:beforeLines="100" w:line="221" w:lineRule="auto"/>
              <w:jc w:val="center"/>
              <w:textAlignment w:val="baseline"/>
              <w:rPr>
                <w:rFonts w:ascii="宋体" w:hAnsi="宋体" w:eastAsia="宋体" w:cs="宋体"/>
                <w:snapToGrid w:val="0"/>
                <w:color w:val="000000"/>
                <w:kern w:val="0"/>
                <w:sz w:val="24"/>
                <w:szCs w:val="24"/>
                <w:lang w:val="en-US" w:eastAsia="en-US" w:bidi="ar-SA"/>
              </w:rPr>
            </w:pPr>
            <w:r>
              <w:rPr>
                <w:b/>
                <w:bCs/>
                <w:spacing w:val="-9"/>
              </w:rPr>
              <w:t>备注</w:t>
            </w:r>
          </w:p>
        </w:tc>
        <w:tc>
          <w:tcPr>
            <w:tcW w:w="4604" w:type="pct"/>
            <w:gridSpan w:val="2"/>
            <w:shd w:val="clear" w:color="auto" w:fill="auto"/>
            <w:vAlign w:val="top"/>
          </w:tcPr>
          <w:p w14:paraId="50071250">
            <w:pPr>
              <w:pStyle w:val="16"/>
              <w:keepNext w:val="0"/>
              <w:keepLines w:val="0"/>
              <w:pageBreakBefore w:val="0"/>
              <w:widowControl w:val="0"/>
              <w:numPr>
                <w:ilvl w:val="0"/>
                <w:numId w:val="1"/>
              </w:numPr>
              <w:kinsoku/>
              <w:wordWrap/>
              <w:overflowPunct w:val="0"/>
              <w:topLinePunct/>
              <w:autoSpaceDE/>
              <w:autoSpaceDN/>
              <w:bidi w:val="0"/>
              <w:adjustRightInd w:val="0"/>
              <w:snapToGrid w:val="0"/>
              <w:spacing w:before="313" w:beforeLines="100" w:line="329" w:lineRule="auto"/>
              <w:ind w:left="128" w:right="105" w:hanging="1"/>
              <w:jc w:val="both"/>
              <w:textAlignment w:val="baseline"/>
              <w:rPr>
                <w:b/>
                <w:bCs/>
                <w:spacing w:val="-3"/>
              </w:rPr>
            </w:pPr>
            <w:r>
              <w:rPr>
                <w:b/>
                <w:bCs/>
                <w:spacing w:val="-10"/>
              </w:rPr>
              <w:t>采购文件中部分加“*”、“★”、加</w:t>
            </w:r>
            <w:r>
              <w:rPr>
                <w:b/>
                <w:bCs/>
                <w:spacing w:val="-11"/>
              </w:rPr>
              <w:t>粗、加下划线、废标、无效标、投标被拒绝字样</w:t>
            </w:r>
            <w:r>
              <w:rPr>
                <w:b/>
                <w:bCs/>
                <w:spacing w:val="-3"/>
              </w:rPr>
              <w:t>的条款，为招标的实质性要求和条件，着重提醒各投标人注意，并认真查看采购文件中的每一个条款及要求，因误读采购文件而造成的后果，招标人概不负责。</w:t>
            </w:r>
          </w:p>
          <w:p w14:paraId="671C7754">
            <w:pPr>
              <w:pStyle w:val="16"/>
              <w:keepNext w:val="0"/>
              <w:keepLines w:val="0"/>
              <w:pageBreakBefore w:val="0"/>
              <w:widowControl w:val="0"/>
              <w:kinsoku/>
              <w:wordWrap/>
              <w:overflowPunct w:val="0"/>
              <w:topLinePunct/>
              <w:autoSpaceDE/>
              <w:autoSpaceDN/>
              <w:bidi w:val="0"/>
              <w:adjustRightInd w:val="0"/>
              <w:snapToGrid w:val="0"/>
              <w:spacing w:before="313" w:beforeLines="100" w:line="308" w:lineRule="auto"/>
              <w:ind w:left="110" w:leftChars="0" w:right="105" w:rightChars="0" w:firstLine="1" w:firstLineChars="0"/>
              <w:jc w:val="both"/>
              <w:textAlignment w:val="baseline"/>
              <w:rPr>
                <w:rFonts w:ascii="宋体" w:hAnsi="宋体" w:eastAsia="宋体" w:cs="宋体"/>
                <w:snapToGrid w:val="0"/>
                <w:color w:val="000000"/>
                <w:kern w:val="0"/>
                <w:sz w:val="24"/>
                <w:szCs w:val="24"/>
                <w:lang w:val="en-US" w:eastAsia="en-US" w:bidi="ar-SA"/>
              </w:rPr>
            </w:pPr>
            <w:r>
              <w:rPr>
                <w:b/>
                <w:bCs/>
                <w:spacing w:val="-5"/>
              </w:rPr>
              <w:t>2、响应性文件中有弄虚作假的内容，其响应性</w:t>
            </w:r>
            <w:r>
              <w:rPr>
                <w:b/>
                <w:bCs/>
                <w:spacing w:val="-6"/>
              </w:rPr>
              <w:t>文件作废。（如假证书、假业绩、隐瞒不</w:t>
            </w:r>
            <w:r>
              <w:rPr>
                <w:b/>
                <w:bCs/>
                <w:spacing w:val="-2"/>
              </w:rPr>
              <w:t>良行为记录、夸大荣誉、使用非本单位在职员工的相关证件</w:t>
            </w:r>
            <w:r>
              <w:rPr>
                <w:b/>
                <w:bCs/>
                <w:spacing w:val="-3"/>
              </w:rPr>
              <w:t>及不符合采购文件规定的条</w:t>
            </w:r>
            <w:r>
              <w:rPr>
                <w:b/>
                <w:bCs/>
              </w:rPr>
              <w:t>款等</w:t>
            </w:r>
            <w:r>
              <w:rPr>
                <w:b/>
                <w:bCs/>
                <w:spacing w:val="-45"/>
              </w:rPr>
              <w:t>）；</w:t>
            </w:r>
            <w:r>
              <w:rPr>
                <w:b/>
                <w:bCs/>
              </w:rPr>
              <w:t>在签订合同之前，投标人如发现投标人的响应性文件有弄虚作假内容，招标人</w:t>
            </w:r>
            <w:r>
              <w:rPr>
                <w:b/>
                <w:bCs/>
                <w:spacing w:val="-3"/>
              </w:rPr>
              <w:t>可拒绝与其签订合同。</w:t>
            </w:r>
          </w:p>
        </w:tc>
      </w:tr>
      <w:tr w14:paraId="6E5BEC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4" w:hRule="atLeast"/>
        </w:trPr>
        <w:tc>
          <w:tcPr>
            <w:tcW w:w="5000" w:type="pct"/>
            <w:gridSpan w:val="3"/>
            <w:shd w:val="clear" w:color="auto" w:fill="auto"/>
            <w:vAlign w:val="top"/>
          </w:tcPr>
          <w:p w14:paraId="3F1BD729">
            <w:pPr>
              <w:pStyle w:val="16"/>
              <w:keepNext w:val="0"/>
              <w:keepLines w:val="0"/>
              <w:pageBreakBefore w:val="0"/>
              <w:widowControl w:val="0"/>
              <w:kinsoku/>
              <w:wordWrap/>
              <w:overflowPunct w:val="0"/>
              <w:topLinePunct/>
              <w:autoSpaceDE/>
              <w:autoSpaceDN/>
              <w:bidi w:val="0"/>
              <w:adjustRightInd w:val="0"/>
              <w:snapToGrid w:val="0"/>
              <w:spacing w:before="313" w:beforeLines="100" w:line="308" w:lineRule="auto"/>
              <w:ind w:left="110" w:leftChars="0" w:right="105" w:rightChars="0" w:firstLine="1" w:firstLineChars="0"/>
              <w:jc w:val="both"/>
              <w:textAlignment w:val="baseline"/>
              <w:rPr>
                <w:b/>
                <w:bCs/>
                <w:spacing w:val="-5"/>
              </w:rPr>
            </w:pPr>
            <w:r>
              <w:rPr>
                <w:b/>
                <w:bCs/>
                <w:spacing w:val="-3"/>
              </w:rPr>
              <w:t>投标人应保证在本项目使用的任何产品和服务（包括部分使用）时，不会产生因第三方提出侵犯其专利权、商标权或其它知识产权而引起的法律和经济纠纷，如因专利权、商标权或其它知识产</w:t>
            </w:r>
            <w:r>
              <w:rPr>
                <w:b/>
                <w:bCs/>
                <w:spacing w:val="-2"/>
              </w:rPr>
              <w:t>权而引起法律和经济纠纷，由投标人承担所有相关责任的同时不得耽误本项目供货。</w:t>
            </w:r>
          </w:p>
        </w:tc>
      </w:tr>
    </w:tbl>
    <w:p w14:paraId="61F361DC">
      <w:pPr>
        <w:pStyle w:val="2"/>
      </w:pPr>
    </w:p>
    <w:p w14:paraId="20D8DDF1">
      <w:pPr>
        <w:rPr>
          <w:rFonts w:ascii="宋体" w:hAnsi="宋体" w:eastAsia="宋体" w:cs="宋体"/>
          <w:b/>
          <w:bCs/>
          <w:spacing w:val="-12"/>
          <w:sz w:val="24"/>
          <w:szCs w:val="24"/>
        </w:rPr>
      </w:pPr>
    </w:p>
    <w:p w14:paraId="39F8D33F">
      <w:pPr>
        <w:rPr>
          <w:rFonts w:ascii="宋体" w:hAnsi="宋体" w:eastAsia="宋体" w:cs="宋体"/>
          <w:b/>
          <w:bCs/>
          <w:spacing w:val="-12"/>
          <w:sz w:val="24"/>
          <w:szCs w:val="24"/>
        </w:rPr>
      </w:pPr>
      <w:r>
        <w:rPr>
          <w:rFonts w:ascii="宋体" w:hAnsi="宋体" w:eastAsia="宋体" w:cs="宋体"/>
          <w:b/>
          <w:bCs/>
          <w:spacing w:val="-12"/>
          <w:sz w:val="24"/>
          <w:szCs w:val="24"/>
        </w:rPr>
        <w:br w:type="page"/>
      </w:r>
    </w:p>
    <w:p w14:paraId="36F2DA66">
      <w:pPr>
        <w:keepNext w:val="0"/>
        <w:keepLines w:val="0"/>
        <w:pageBreakBefore w:val="0"/>
        <w:kinsoku/>
        <w:wordWrap/>
        <w:overflowPunct/>
        <w:topLinePunct w:val="0"/>
        <w:bidi w:val="0"/>
        <w:spacing w:before="78" w:line="220" w:lineRule="auto"/>
        <w:ind w:left="492"/>
        <w:rPr>
          <w:rFonts w:ascii="宋体" w:hAnsi="宋体" w:eastAsia="宋体" w:cs="宋体"/>
          <w:sz w:val="24"/>
          <w:szCs w:val="24"/>
        </w:rPr>
      </w:pPr>
      <w:r>
        <w:rPr>
          <w:rFonts w:ascii="宋体" w:hAnsi="宋体" w:eastAsia="宋体" w:cs="宋体"/>
          <w:b/>
          <w:bCs/>
          <w:spacing w:val="-12"/>
          <w:sz w:val="24"/>
          <w:szCs w:val="24"/>
        </w:rPr>
        <w:t>一、总则</w:t>
      </w:r>
    </w:p>
    <w:p w14:paraId="02E575FF">
      <w:pPr>
        <w:keepNext w:val="0"/>
        <w:keepLines w:val="0"/>
        <w:pageBreakBefore w:val="0"/>
        <w:kinsoku/>
        <w:wordWrap/>
        <w:overflowPunct/>
        <w:topLinePunct w:val="0"/>
        <w:bidi w:val="0"/>
        <w:spacing w:before="181" w:line="220" w:lineRule="auto"/>
        <w:ind w:left="505"/>
        <w:rPr>
          <w:rFonts w:ascii="宋体" w:hAnsi="宋体" w:eastAsia="宋体" w:cs="宋体"/>
          <w:sz w:val="24"/>
          <w:szCs w:val="24"/>
        </w:rPr>
      </w:pPr>
      <w:r>
        <w:rPr>
          <w:rFonts w:ascii="宋体" w:hAnsi="宋体" w:eastAsia="宋体" w:cs="宋体"/>
          <w:spacing w:val="-5"/>
          <w:sz w:val="24"/>
          <w:szCs w:val="24"/>
        </w:rPr>
        <w:t>1、适用范围</w:t>
      </w:r>
    </w:p>
    <w:p w14:paraId="593BD099">
      <w:pPr>
        <w:keepNext w:val="0"/>
        <w:keepLines w:val="0"/>
        <w:pageBreakBefore w:val="0"/>
        <w:kinsoku/>
        <w:wordWrap/>
        <w:overflowPunct/>
        <w:topLinePunct w:val="0"/>
        <w:bidi w:val="0"/>
        <w:spacing w:before="180" w:line="325" w:lineRule="auto"/>
        <w:ind w:left="6" w:firstLine="499"/>
        <w:rPr>
          <w:rFonts w:ascii="宋体" w:hAnsi="宋体" w:eastAsia="宋体" w:cs="宋体"/>
          <w:sz w:val="24"/>
          <w:szCs w:val="24"/>
        </w:rPr>
      </w:pPr>
      <w:r>
        <w:rPr>
          <w:rFonts w:ascii="宋体" w:hAnsi="宋体" w:eastAsia="宋体" w:cs="宋体"/>
          <w:spacing w:val="-2"/>
          <w:sz w:val="24"/>
          <w:szCs w:val="24"/>
        </w:rPr>
        <w:t>1.1本项目采购人、采购代理机构、供应商、磋商小组的相关行为均受《中华人民</w:t>
      </w:r>
      <w:r>
        <w:rPr>
          <w:rFonts w:ascii="宋体" w:hAnsi="宋体" w:eastAsia="宋体" w:cs="宋体"/>
          <w:spacing w:val="-1"/>
          <w:sz w:val="24"/>
          <w:szCs w:val="24"/>
        </w:rPr>
        <w:t>共和国政府采购法》《中华人民共和国政府</w:t>
      </w:r>
      <w:r>
        <w:rPr>
          <w:rFonts w:ascii="宋体" w:hAnsi="宋体" w:eastAsia="宋体" w:cs="宋体"/>
          <w:spacing w:val="-2"/>
          <w:sz w:val="24"/>
          <w:szCs w:val="24"/>
        </w:rPr>
        <w:t>采购法实施条例》《政府采购竞争性磋商采</w:t>
      </w:r>
      <w:r>
        <w:rPr>
          <w:rFonts w:ascii="宋体" w:hAnsi="宋体" w:eastAsia="宋体" w:cs="宋体"/>
          <w:spacing w:val="-1"/>
          <w:sz w:val="24"/>
          <w:szCs w:val="24"/>
        </w:rPr>
        <w:t>购方式管理暂行办法》《财政部关于政府采</w:t>
      </w:r>
      <w:r>
        <w:rPr>
          <w:rFonts w:ascii="宋体" w:hAnsi="宋体" w:eastAsia="宋体" w:cs="宋体"/>
          <w:spacing w:val="-2"/>
          <w:sz w:val="24"/>
          <w:szCs w:val="24"/>
        </w:rPr>
        <w:t>购竞争性磋商采购方式管理暂行办法有关问</w:t>
      </w:r>
      <w:r>
        <w:rPr>
          <w:rFonts w:ascii="宋体" w:hAnsi="宋体" w:eastAsia="宋体" w:cs="宋体"/>
          <w:sz w:val="24"/>
          <w:szCs w:val="24"/>
        </w:rPr>
        <w:t>题的补充通知》及本项目本级和上级财政部门政府采购有关</w:t>
      </w:r>
      <w:r>
        <w:rPr>
          <w:rFonts w:ascii="宋体" w:hAnsi="宋体" w:eastAsia="宋体" w:cs="宋体"/>
          <w:spacing w:val="-1"/>
          <w:sz w:val="24"/>
          <w:szCs w:val="24"/>
        </w:rPr>
        <w:t>规定的约束和保护。</w:t>
      </w:r>
    </w:p>
    <w:p w14:paraId="0AD4E883">
      <w:pPr>
        <w:keepNext w:val="0"/>
        <w:keepLines w:val="0"/>
        <w:pageBreakBefore w:val="0"/>
        <w:kinsoku/>
        <w:wordWrap/>
        <w:overflowPunct/>
        <w:topLinePunct w:val="0"/>
        <w:bidi w:val="0"/>
        <w:spacing w:before="183" w:line="290" w:lineRule="auto"/>
        <w:ind w:left="50" w:firstLine="455"/>
        <w:rPr>
          <w:rFonts w:ascii="宋体" w:hAnsi="宋体" w:eastAsia="宋体" w:cs="宋体"/>
          <w:sz w:val="24"/>
          <w:szCs w:val="24"/>
        </w:rPr>
      </w:pPr>
      <w:r>
        <w:rPr>
          <w:rFonts w:ascii="宋体" w:hAnsi="宋体" w:eastAsia="宋体" w:cs="宋体"/>
          <w:spacing w:val="1"/>
          <w:sz w:val="24"/>
          <w:szCs w:val="24"/>
        </w:rPr>
        <w:t>1.2本竞争性磋商文件(以下简称磋商文件)适用于本项目的所有采购程序和环节</w:t>
      </w:r>
      <w:r>
        <w:rPr>
          <w:rFonts w:ascii="宋体" w:hAnsi="宋体" w:eastAsia="宋体" w:cs="宋体"/>
          <w:spacing w:val="-3"/>
          <w:sz w:val="24"/>
          <w:szCs w:val="24"/>
        </w:rPr>
        <w:t>(法律、法规另有规定的，从其规定)。</w:t>
      </w:r>
    </w:p>
    <w:p w14:paraId="60CF5724">
      <w:pPr>
        <w:pStyle w:val="7"/>
        <w:keepNext w:val="0"/>
        <w:keepLines w:val="0"/>
        <w:pageBreakBefore w:val="0"/>
        <w:kinsoku/>
        <w:wordWrap/>
        <w:overflowPunct/>
        <w:topLinePunct w:val="0"/>
        <w:bidi w:val="0"/>
        <w:spacing w:line="255" w:lineRule="auto"/>
        <w:ind w:firstLine="476" w:firstLineChars="200"/>
      </w:pPr>
      <w:r>
        <w:rPr>
          <w:rFonts w:ascii="宋体" w:hAnsi="宋体" w:eastAsia="宋体" w:cs="宋体"/>
          <w:spacing w:val="-1"/>
          <w:sz w:val="24"/>
          <w:szCs w:val="24"/>
        </w:rPr>
        <w:t>1.3竞争性磋商是指采购人、政府采购代理机构通过组建竞争性磋商小组与符合条</w:t>
      </w:r>
    </w:p>
    <w:p w14:paraId="6B2BA7D4">
      <w:pPr>
        <w:keepNext w:val="0"/>
        <w:keepLines w:val="0"/>
        <w:pageBreakBefore w:val="0"/>
        <w:kinsoku/>
        <w:wordWrap/>
        <w:overflowPunct/>
        <w:topLinePunct w:val="0"/>
        <w:bidi w:val="0"/>
        <w:spacing w:before="78" w:line="346" w:lineRule="auto"/>
        <w:ind w:left="1" w:right="2" w:hanging="1"/>
        <w:rPr>
          <w:rFonts w:ascii="宋体" w:hAnsi="宋体" w:eastAsia="宋体" w:cs="宋体"/>
          <w:sz w:val="24"/>
          <w:szCs w:val="24"/>
        </w:rPr>
      </w:pPr>
      <w:r>
        <w:rPr>
          <w:rFonts w:ascii="宋体" w:hAnsi="宋体" w:eastAsia="宋体" w:cs="宋体"/>
          <w:spacing w:val="5"/>
          <w:sz w:val="24"/>
          <w:szCs w:val="24"/>
        </w:rPr>
        <w:t>件的供应商就采购服务事宜进行磋商，供应商按照磋商文件的要求提交响应文</w:t>
      </w:r>
      <w:r>
        <w:rPr>
          <w:rFonts w:ascii="宋体" w:hAnsi="宋体" w:eastAsia="宋体" w:cs="宋体"/>
          <w:spacing w:val="4"/>
          <w:sz w:val="24"/>
          <w:szCs w:val="24"/>
        </w:rPr>
        <w:t>件和报</w:t>
      </w:r>
      <w:r>
        <w:rPr>
          <w:rFonts w:ascii="宋体" w:hAnsi="宋体" w:eastAsia="宋体" w:cs="宋体"/>
          <w:sz w:val="24"/>
          <w:szCs w:val="24"/>
        </w:rPr>
        <w:t>价，采购人从磋商小组评审后提出的候选供应商名单中确</w:t>
      </w:r>
      <w:r>
        <w:rPr>
          <w:rFonts w:ascii="宋体" w:hAnsi="宋体" w:eastAsia="宋体" w:cs="宋体"/>
          <w:spacing w:val="-1"/>
          <w:sz w:val="24"/>
          <w:szCs w:val="24"/>
        </w:rPr>
        <w:t>定成交供应商的采购方式。</w:t>
      </w:r>
    </w:p>
    <w:p w14:paraId="252A82E0">
      <w:pPr>
        <w:keepNext w:val="0"/>
        <w:keepLines w:val="0"/>
        <w:pageBreakBefore w:val="0"/>
        <w:kinsoku/>
        <w:wordWrap/>
        <w:overflowPunct/>
        <w:topLinePunct w:val="0"/>
        <w:bidi w:val="0"/>
        <w:spacing w:before="36" w:line="220" w:lineRule="auto"/>
        <w:ind w:left="483"/>
        <w:rPr>
          <w:rFonts w:ascii="宋体" w:hAnsi="宋体" w:eastAsia="宋体" w:cs="宋体"/>
          <w:sz w:val="24"/>
          <w:szCs w:val="24"/>
        </w:rPr>
      </w:pPr>
      <w:r>
        <w:rPr>
          <w:rFonts w:ascii="宋体" w:hAnsi="宋体" w:eastAsia="宋体" w:cs="宋体"/>
          <w:spacing w:val="-4"/>
          <w:sz w:val="24"/>
          <w:szCs w:val="24"/>
        </w:rPr>
        <w:t>2、定义</w:t>
      </w:r>
    </w:p>
    <w:p w14:paraId="61328C7B">
      <w:pPr>
        <w:keepNext w:val="0"/>
        <w:keepLines w:val="0"/>
        <w:pageBreakBefore w:val="0"/>
        <w:kinsoku/>
        <w:wordWrap/>
        <w:overflowPunct/>
        <w:topLinePunct w:val="0"/>
        <w:bidi w:val="0"/>
        <w:spacing w:before="181" w:line="219" w:lineRule="auto"/>
        <w:ind w:left="483"/>
        <w:rPr>
          <w:rFonts w:ascii="宋体" w:hAnsi="宋体" w:eastAsia="宋体" w:cs="宋体"/>
          <w:sz w:val="24"/>
          <w:szCs w:val="24"/>
        </w:rPr>
      </w:pPr>
      <w:r>
        <w:rPr>
          <w:rFonts w:ascii="宋体" w:hAnsi="宋体" w:eastAsia="宋体" w:cs="宋体"/>
          <w:spacing w:val="-1"/>
          <w:sz w:val="24"/>
          <w:szCs w:val="24"/>
        </w:rPr>
        <w:t>2.1“采购人”是指依法进行政府采购的国家机</w:t>
      </w:r>
      <w:r>
        <w:rPr>
          <w:rFonts w:ascii="宋体" w:hAnsi="宋体" w:eastAsia="宋体" w:cs="宋体"/>
          <w:spacing w:val="-2"/>
          <w:sz w:val="24"/>
          <w:szCs w:val="24"/>
        </w:rPr>
        <w:t>关、事业单位、团体组织。</w:t>
      </w:r>
    </w:p>
    <w:p w14:paraId="2A3B0649">
      <w:pPr>
        <w:keepNext w:val="0"/>
        <w:keepLines w:val="0"/>
        <w:pageBreakBefore w:val="0"/>
        <w:kinsoku/>
        <w:wordWrap/>
        <w:overflowPunct/>
        <w:topLinePunct w:val="0"/>
        <w:bidi w:val="0"/>
        <w:spacing w:before="184" w:line="346" w:lineRule="auto"/>
        <w:ind w:right="2" w:firstLine="483"/>
        <w:rPr>
          <w:rFonts w:ascii="宋体" w:hAnsi="宋体" w:eastAsia="宋体" w:cs="宋体"/>
          <w:sz w:val="24"/>
          <w:szCs w:val="24"/>
        </w:rPr>
      </w:pPr>
      <w:r>
        <w:rPr>
          <w:rFonts w:ascii="宋体" w:hAnsi="宋体" w:eastAsia="宋体" w:cs="宋体"/>
          <w:spacing w:val="1"/>
          <w:sz w:val="24"/>
          <w:szCs w:val="24"/>
        </w:rPr>
        <w:t>2.2“采购代理机构”是指政府采购集中采购机构和</w:t>
      </w:r>
      <w:r>
        <w:rPr>
          <w:rFonts w:ascii="宋体" w:hAnsi="宋体" w:eastAsia="宋体" w:cs="宋体"/>
          <w:sz w:val="24"/>
          <w:szCs w:val="24"/>
        </w:rPr>
        <w:t>集中采购机构以外的采购代理</w:t>
      </w:r>
      <w:r>
        <w:rPr>
          <w:rFonts w:ascii="宋体" w:hAnsi="宋体" w:eastAsia="宋体" w:cs="宋体"/>
          <w:spacing w:val="-3"/>
          <w:sz w:val="24"/>
          <w:szCs w:val="24"/>
        </w:rPr>
        <w:t>机构。</w:t>
      </w:r>
    </w:p>
    <w:p w14:paraId="70183A91">
      <w:pPr>
        <w:keepNext w:val="0"/>
        <w:keepLines w:val="0"/>
        <w:pageBreakBefore w:val="0"/>
        <w:kinsoku/>
        <w:wordWrap/>
        <w:overflowPunct/>
        <w:topLinePunct w:val="0"/>
        <w:bidi w:val="0"/>
        <w:spacing w:before="36" w:line="348" w:lineRule="auto"/>
        <w:ind w:left="2" w:right="2" w:firstLine="480"/>
        <w:rPr>
          <w:rFonts w:ascii="宋体" w:hAnsi="宋体" w:eastAsia="宋体" w:cs="宋体"/>
          <w:sz w:val="24"/>
          <w:szCs w:val="24"/>
        </w:rPr>
      </w:pPr>
      <w:r>
        <w:rPr>
          <w:rFonts w:ascii="宋体" w:hAnsi="宋体" w:eastAsia="宋体" w:cs="宋体"/>
          <w:spacing w:val="1"/>
          <w:sz w:val="24"/>
          <w:szCs w:val="24"/>
        </w:rPr>
        <w:t>2.3“供应商”是指向采购人提供货物、工程或者服</w:t>
      </w:r>
      <w:r>
        <w:rPr>
          <w:rFonts w:ascii="宋体" w:hAnsi="宋体" w:eastAsia="宋体" w:cs="宋体"/>
          <w:sz w:val="24"/>
          <w:szCs w:val="24"/>
        </w:rPr>
        <w:t>务的法人、其他组织或者自然</w:t>
      </w:r>
      <w:r>
        <w:rPr>
          <w:rFonts w:ascii="宋体" w:hAnsi="宋体" w:eastAsia="宋体" w:cs="宋体"/>
          <w:spacing w:val="-6"/>
          <w:sz w:val="24"/>
          <w:szCs w:val="24"/>
        </w:rPr>
        <w:t>人。</w:t>
      </w:r>
    </w:p>
    <w:p w14:paraId="755E32A3">
      <w:pPr>
        <w:keepNext w:val="0"/>
        <w:keepLines w:val="0"/>
        <w:pageBreakBefore w:val="0"/>
        <w:kinsoku/>
        <w:wordWrap/>
        <w:overflowPunct/>
        <w:topLinePunct w:val="0"/>
        <w:bidi w:val="0"/>
        <w:spacing w:before="30" w:line="219" w:lineRule="auto"/>
        <w:ind w:left="483"/>
        <w:rPr>
          <w:rFonts w:ascii="宋体" w:hAnsi="宋体" w:eastAsia="宋体" w:cs="宋体"/>
          <w:sz w:val="24"/>
          <w:szCs w:val="24"/>
        </w:rPr>
      </w:pPr>
      <w:r>
        <w:rPr>
          <w:rFonts w:ascii="宋体" w:hAnsi="宋体" w:eastAsia="宋体" w:cs="宋体"/>
          <w:spacing w:val="-2"/>
          <w:sz w:val="24"/>
          <w:szCs w:val="24"/>
        </w:rPr>
        <w:t>2.4“服务”是指除货物和工程以外的其他政府采购对象。</w:t>
      </w:r>
    </w:p>
    <w:p w14:paraId="20C1A07E">
      <w:pPr>
        <w:keepNext w:val="0"/>
        <w:keepLines w:val="0"/>
        <w:pageBreakBefore w:val="0"/>
        <w:kinsoku/>
        <w:wordWrap/>
        <w:overflowPunct/>
        <w:topLinePunct w:val="0"/>
        <w:bidi w:val="0"/>
        <w:spacing w:before="183" w:line="347" w:lineRule="auto"/>
        <w:ind w:left="5" w:right="2" w:firstLine="478"/>
        <w:rPr>
          <w:rFonts w:ascii="宋体" w:hAnsi="宋体" w:eastAsia="宋体" w:cs="宋体"/>
          <w:sz w:val="24"/>
          <w:szCs w:val="24"/>
        </w:rPr>
      </w:pPr>
      <w:r>
        <w:rPr>
          <w:rFonts w:ascii="宋体" w:hAnsi="宋体" w:eastAsia="宋体" w:cs="宋体"/>
          <w:spacing w:val="1"/>
          <w:sz w:val="24"/>
          <w:szCs w:val="24"/>
        </w:rPr>
        <w:t>2.5“竞标”是指供应商按照本项目竞争性磋商公告</w:t>
      </w:r>
      <w:r>
        <w:rPr>
          <w:rFonts w:ascii="宋体" w:hAnsi="宋体" w:eastAsia="宋体" w:cs="宋体"/>
          <w:sz w:val="24"/>
          <w:szCs w:val="24"/>
        </w:rPr>
        <w:t>或者邀请函规定的方式获取磋</w:t>
      </w:r>
      <w:r>
        <w:rPr>
          <w:rFonts w:ascii="宋体" w:hAnsi="宋体" w:eastAsia="宋体" w:cs="宋体"/>
          <w:spacing w:val="-1"/>
          <w:sz w:val="24"/>
          <w:szCs w:val="24"/>
        </w:rPr>
        <w:t>商文件、提交响应文件并希望获得标的的行为。</w:t>
      </w:r>
    </w:p>
    <w:p w14:paraId="3C079BEC">
      <w:pPr>
        <w:keepNext w:val="0"/>
        <w:keepLines w:val="0"/>
        <w:pageBreakBefore w:val="0"/>
        <w:kinsoku/>
        <w:wordWrap/>
        <w:overflowPunct/>
        <w:topLinePunct w:val="0"/>
        <w:bidi w:val="0"/>
        <w:spacing w:before="34" w:line="347" w:lineRule="auto"/>
        <w:ind w:left="2" w:firstLine="480"/>
        <w:rPr>
          <w:rFonts w:ascii="宋体" w:hAnsi="宋体" w:eastAsia="宋体" w:cs="宋体"/>
          <w:sz w:val="24"/>
          <w:szCs w:val="24"/>
        </w:rPr>
      </w:pPr>
      <w:r>
        <w:rPr>
          <w:rFonts w:ascii="宋体" w:hAnsi="宋体" w:eastAsia="宋体" w:cs="宋体"/>
          <w:spacing w:val="1"/>
          <w:sz w:val="24"/>
          <w:szCs w:val="24"/>
        </w:rPr>
        <w:t>2.6“响应文件”是指：供应商根据本磋商文件要求，编</w:t>
      </w:r>
      <w:r>
        <w:rPr>
          <w:rFonts w:ascii="宋体" w:hAnsi="宋体" w:eastAsia="宋体" w:cs="宋体"/>
          <w:sz w:val="24"/>
          <w:szCs w:val="24"/>
        </w:rPr>
        <w:t>制包含资格证明、报价商</w:t>
      </w:r>
      <w:r>
        <w:rPr>
          <w:rFonts w:ascii="宋体" w:hAnsi="宋体" w:eastAsia="宋体" w:cs="宋体"/>
          <w:spacing w:val="-2"/>
          <w:sz w:val="24"/>
          <w:szCs w:val="24"/>
        </w:rPr>
        <w:t>务技术等所有内容的文件</w:t>
      </w:r>
    </w:p>
    <w:p w14:paraId="1653C024">
      <w:pPr>
        <w:keepNext w:val="0"/>
        <w:keepLines w:val="0"/>
        <w:pageBreakBefore w:val="0"/>
        <w:kinsoku/>
        <w:wordWrap/>
        <w:overflowPunct/>
        <w:topLinePunct w:val="0"/>
        <w:bidi w:val="0"/>
        <w:spacing w:before="35" w:line="346" w:lineRule="auto"/>
        <w:ind w:left="2" w:firstLine="480"/>
        <w:rPr>
          <w:rFonts w:ascii="宋体" w:hAnsi="宋体" w:eastAsia="宋体" w:cs="宋体"/>
          <w:sz w:val="24"/>
          <w:szCs w:val="24"/>
        </w:rPr>
      </w:pPr>
      <w:r>
        <w:rPr>
          <w:rFonts w:ascii="宋体" w:hAnsi="宋体" w:eastAsia="宋体" w:cs="宋体"/>
          <w:spacing w:val="1"/>
          <w:sz w:val="24"/>
          <w:szCs w:val="24"/>
        </w:rPr>
        <w:t>2.7“实质性要求”是指磋商文件中已经指明不满足则响</w:t>
      </w:r>
      <w:r>
        <w:rPr>
          <w:rFonts w:ascii="宋体" w:hAnsi="宋体" w:eastAsia="宋体" w:cs="宋体"/>
          <w:sz w:val="24"/>
          <w:szCs w:val="24"/>
        </w:rPr>
        <w:t>应文件按无效响应处理的</w:t>
      </w:r>
      <w:r>
        <w:rPr>
          <w:rFonts w:ascii="宋体" w:hAnsi="宋体" w:eastAsia="宋体" w:cs="宋体"/>
          <w:spacing w:val="-1"/>
          <w:sz w:val="24"/>
          <w:szCs w:val="24"/>
        </w:rPr>
        <w:t>条款，或者不能负偏离的条款，或者采购需求中带星标的条款。</w:t>
      </w:r>
    </w:p>
    <w:p w14:paraId="3A06772E">
      <w:pPr>
        <w:keepNext w:val="0"/>
        <w:keepLines w:val="0"/>
        <w:pageBreakBefore w:val="0"/>
        <w:kinsoku/>
        <w:wordWrap/>
        <w:overflowPunct/>
        <w:topLinePunct w:val="0"/>
        <w:bidi w:val="0"/>
        <w:spacing w:before="36" w:line="346" w:lineRule="auto"/>
        <w:ind w:left="4" w:right="2" w:firstLine="479"/>
        <w:rPr>
          <w:rFonts w:ascii="宋体" w:hAnsi="宋体" w:eastAsia="宋体" w:cs="宋体"/>
          <w:sz w:val="24"/>
          <w:szCs w:val="24"/>
        </w:rPr>
      </w:pPr>
      <w:r>
        <w:rPr>
          <w:rFonts w:ascii="宋体" w:hAnsi="宋体" w:eastAsia="宋体" w:cs="宋体"/>
          <w:sz w:val="24"/>
          <w:szCs w:val="24"/>
        </w:rPr>
        <w:t>2.8“正偏离”，是指响应文件对磋商文件“采购需求”中有关</w:t>
      </w:r>
      <w:r>
        <w:rPr>
          <w:rFonts w:ascii="宋体" w:hAnsi="宋体" w:eastAsia="宋体" w:cs="宋体"/>
          <w:spacing w:val="-1"/>
          <w:sz w:val="24"/>
          <w:szCs w:val="24"/>
        </w:rPr>
        <w:t>条款作出的响应优于条款要求并有利于采购人的情形。</w:t>
      </w:r>
    </w:p>
    <w:p w14:paraId="386CA6B9">
      <w:pPr>
        <w:keepNext w:val="0"/>
        <w:keepLines w:val="0"/>
        <w:pageBreakBefore w:val="0"/>
        <w:kinsoku/>
        <w:wordWrap/>
        <w:overflowPunct/>
        <w:topLinePunct w:val="0"/>
        <w:bidi w:val="0"/>
        <w:spacing w:before="37" w:line="346" w:lineRule="auto"/>
        <w:ind w:right="2" w:firstLine="482"/>
        <w:rPr>
          <w:rFonts w:ascii="宋体" w:hAnsi="宋体" w:eastAsia="宋体" w:cs="宋体"/>
          <w:sz w:val="24"/>
          <w:szCs w:val="24"/>
        </w:rPr>
      </w:pPr>
      <w:r>
        <w:rPr>
          <w:rFonts w:ascii="宋体" w:hAnsi="宋体" w:eastAsia="宋体" w:cs="宋体"/>
          <w:sz w:val="24"/>
          <w:szCs w:val="24"/>
        </w:rPr>
        <w:t>2.9“负偏离”，是指响应文件对磋商文件“采购需求”中有关</w:t>
      </w:r>
      <w:r>
        <w:rPr>
          <w:rFonts w:ascii="宋体" w:hAnsi="宋体" w:eastAsia="宋体" w:cs="宋体"/>
          <w:spacing w:val="-1"/>
          <w:sz w:val="24"/>
          <w:szCs w:val="24"/>
        </w:rPr>
        <w:t>条款作出的响应不满足条款要求，导致采购人要求不能得到满足的情形。</w:t>
      </w:r>
    </w:p>
    <w:p w14:paraId="7653ECC9">
      <w:pPr>
        <w:keepNext w:val="0"/>
        <w:keepLines w:val="0"/>
        <w:pageBreakBefore w:val="0"/>
        <w:kinsoku/>
        <w:wordWrap/>
        <w:overflowPunct/>
        <w:topLinePunct w:val="0"/>
        <w:bidi w:val="0"/>
        <w:spacing w:before="35" w:line="219" w:lineRule="auto"/>
        <w:ind w:left="483"/>
        <w:rPr>
          <w:rFonts w:ascii="宋体" w:hAnsi="宋体" w:eastAsia="宋体" w:cs="宋体"/>
          <w:sz w:val="24"/>
          <w:szCs w:val="24"/>
        </w:rPr>
      </w:pPr>
      <w:r>
        <w:rPr>
          <w:rFonts w:ascii="宋体" w:hAnsi="宋体" w:eastAsia="宋体" w:cs="宋体"/>
          <w:spacing w:val="-2"/>
          <w:sz w:val="24"/>
          <w:szCs w:val="24"/>
        </w:rPr>
        <w:t>2.10“允许负偏离的条款”是指采购需求中的不属于“实质性要</w:t>
      </w:r>
      <w:r>
        <w:rPr>
          <w:rFonts w:ascii="宋体" w:hAnsi="宋体" w:eastAsia="宋体" w:cs="宋体"/>
          <w:spacing w:val="-3"/>
          <w:sz w:val="24"/>
          <w:szCs w:val="24"/>
        </w:rPr>
        <w:t>求”的条款。</w:t>
      </w:r>
    </w:p>
    <w:p w14:paraId="78D568DA">
      <w:pPr>
        <w:keepNext w:val="0"/>
        <w:keepLines w:val="0"/>
        <w:pageBreakBefore w:val="0"/>
        <w:kinsoku/>
        <w:wordWrap/>
        <w:overflowPunct/>
        <w:topLinePunct w:val="0"/>
        <w:bidi w:val="0"/>
        <w:spacing w:before="183" w:line="347" w:lineRule="auto"/>
        <w:ind w:right="2" w:firstLine="483"/>
        <w:rPr>
          <w:rFonts w:ascii="宋体" w:hAnsi="宋体" w:eastAsia="宋体" w:cs="宋体"/>
          <w:sz w:val="24"/>
          <w:szCs w:val="24"/>
        </w:rPr>
      </w:pPr>
      <w:r>
        <w:rPr>
          <w:rFonts w:ascii="宋体" w:hAnsi="宋体" w:eastAsia="宋体" w:cs="宋体"/>
          <w:spacing w:val="1"/>
          <w:sz w:val="24"/>
          <w:szCs w:val="24"/>
        </w:rPr>
        <w:t>2.11“书面形式”是指合同书、信件和数据电文(</w:t>
      </w:r>
      <w:r>
        <w:rPr>
          <w:rFonts w:ascii="宋体" w:hAnsi="宋体" w:eastAsia="宋体" w:cs="宋体"/>
          <w:sz w:val="24"/>
          <w:szCs w:val="24"/>
        </w:rPr>
        <w:t>包括电报、电传、传真、电子数</w:t>
      </w:r>
      <w:r>
        <w:rPr>
          <w:rFonts w:ascii="宋体" w:hAnsi="宋体" w:eastAsia="宋体" w:cs="宋体"/>
          <w:spacing w:val="-1"/>
          <w:sz w:val="24"/>
          <w:szCs w:val="24"/>
        </w:rPr>
        <w:t>据交换和电子邮件)等可以有形地表现所载内容的形式。</w:t>
      </w:r>
    </w:p>
    <w:p w14:paraId="16526EC5">
      <w:pPr>
        <w:keepNext w:val="0"/>
        <w:keepLines w:val="0"/>
        <w:pageBreakBefore w:val="0"/>
        <w:kinsoku/>
        <w:wordWrap/>
        <w:overflowPunct/>
        <w:topLinePunct w:val="0"/>
        <w:bidi w:val="0"/>
        <w:spacing w:before="34" w:line="218" w:lineRule="auto"/>
        <w:ind w:left="483"/>
        <w:rPr>
          <w:rFonts w:ascii="宋体" w:hAnsi="宋体" w:eastAsia="宋体" w:cs="宋体"/>
          <w:sz w:val="24"/>
          <w:szCs w:val="24"/>
        </w:rPr>
      </w:pPr>
      <w:r>
        <w:rPr>
          <w:rFonts w:ascii="宋体" w:hAnsi="宋体" w:eastAsia="宋体" w:cs="宋体"/>
          <w:spacing w:val="-2"/>
          <w:sz w:val="24"/>
          <w:szCs w:val="24"/>
        </w:rPr>
        <w:t>2.12“首次报价”是指供应商提交的首次响应文件中的报价。</w:t>
      </w:r>
    </w:p>
    <w:p w14:paraId="71BD70CA">
      <w:pPr>
        <w:keepNext w:val="0"/>
        <w:keepLines w:val="0"/>
        <w:pageBreakBefore w:val="0"/>
        <w:kinsoku/>
        <w:wordWrap/>
        <w:overflowPunct/>
        <w:topLinePunct w:val="0"/>
        <w:bidi w:val="0"/>
        <w:spacing w:before="185" w:line="346" w:lineRule="auto"/>
        <w:ind w:left="15" w:right="2" w:firstLine="468"/>
        <w:rPr>
          <w:rFonts w:ascii="宋体" w:hAnsi="宋体" w:eastAsia="宋体" w:cs="宋体"/>
          <w:sz w:val="24"/>
          <w:szCs w:val="24"/>
        </w:rPr>
      </w:pPr>
      <w:r>
        <w:rPr>
          <w:rFonts w:ascii="宋体" w:hAnsi="宋体" w:eastAsia="宋体" w:cs="宋体"/>
          <w:spacing w:val="1"/>
          <w:sz w:val="24"/>
          <w:szCs w:val="24"/>
        </w:rPr>
        <w:t>2.13“评审报价”是指供应商提交的最后报价并经</w:t>
      </w:r>
      <w:r>
        <w:rPr>
          <w:rFonts w:ascii="宋体" w:hAnsi="宋体" w:eastAsia="宋体" w:cs="宋体"/>
          <w:sz w:val="24"/>
          <w:szCs w:val="24"/>
        </w:rPr>
        <w:t>修正(如有)和政策功能价格扣</w:t>
      </w:r>
      <w:r>
        <w:rPr>
          <w:rFonts w:ascii="宋体" w:hAnsi="宋体" w:eastAsia="宋体" w:cs="宋体"/>
          <w:spacing w:val="-3"/>
          <w:sz w:val="24"/>
          <w:szCs w:val="24"/>
        </w:rPr>
        <w:t>除(如有)后的价格。</w:t>
      </w:r>
    </w:p>
    <w:p w14:paraId="01470B01">
      <w:pPr>
        <w:keepNext w:val="0"/>
        <w:keepLines w:val="0"/>
        <w:pageBreakBefore w:val="0"/>
        <w:kinsoku/>
        <w:wordWrap/>
        <w:overflowPunct/>
        <w:topLinePunct w:val="0"/>
        <w:bidi w:val="0"/>
        <w:spacing w:before="36" w:line="219" w:lineRule="auto"/>
        <w:ind w:left="485"/>
        <w:rPr>
          <w:rFonts w:ascii="宋体" w:hAnsi="宋体" w:eastAsia="宋体" w:cs="宋体"/>
          <w:sz w:val="24"/>
          <w:szCs w:val="24"/>
        </w:rPr>
      </w:pPr>
      <w:r>
        <w:rPr>
          <w:rFonts w:ascii="宋体" w:hAnsi="宋体" w:eastAsia="宋体" w:cs="宋体"/>
          <w:spacing w:val="-2"/>
          <w:sz w:val="24"/>
          <w:szCs w:val="24"/>
        </w:rPr>
        <w:t>3.供应商的资格条件</w:t>
      </w:r>
    </w:p>
    <w:p w14:paraId="1A7D2104">
      <w:pPr>
        <w:keepNext w:val="0"/>
        <w:keepLines w:val="0"/>
        <w:pageBreakBefore w:val="0"/>
        <w:kinsoku/>
        <w:wordWrap/>
        <w:overflowPunct/>
        <w:topLinePunct w:val="0"/>
        <w:bidi w:val="0"/>
        <w:spacing w:before="184" w:line="347" w:lineRule="auto"/>
        <w:ind w:left="479" w:right="4073" w:hanging="479"/>
        <w:rPr>
          <w:rFonts w:ascii="宋体" w:hAnsi="宋体" w:eastAsia="宋体" w:cs="宋体"/>
          <w:spacing w:val="-4"/>
          <w:sz w:val="24"/>
          <w:szCs w:val="24"/>
        </w:rPr>
      </w:pPr>
      <w:r>
        <w:rPr>
          <w:rFonts w:ascii="宋体" w:hAnsi="宋体" w:eastAsia="宋体" w:cs="宋体"/>
          <w:spacing w:val="-4"/>
          <w:sz w:val="24"/>
          <w:szCs w:val="24"/>
        </w:rPr>
        <w:t>供应商的资格条件详见“供应商须知前附表”。</w:t>
      </w:r>
    </w:p>
    <w:p w14:paraId="22B2C304">
      <w:pPr>
        <w:keepNext w:val="0"/>
        <w:keepLines w:val="0"/>
        <w:pageBreakBefore w:val="0"/>
        <w:kinsoku/>
        <w:wordWrap/>
        <w:overflowPunct/>
        <w:topLinePunct w:val="0"/>
        <w:bidi w:val="0"/>
        <w:spacing w:before="184" w:line="347" w:lineRule="auto"/>
        <w:ind w:left="479" w:right="4073" w:hanging="479"/>
        <w:rPr>
          <w:rFonts w:ascii="宋体" w:hAnsi="宋体" w:eastAsia="宋体" w:cs="宋体"/>
          <w:sz w:val="24"/>
          <w:szCs w:val="24"/>
        </w:rPr>
      </w:pPr>
      <w:r>
        <w:rPr>
          <w:rFonts w:ascii="宋体" w:hAnsi="宋体" w:eastAsia="宋体" w:cs="宋体"/>
          <w:spacing w:val="-2"/>
          <w:sz w:val="24"/>
          <w:szCs w:val="24"/>
        </w:rPr>
        <w:t>4.磋商费用</w:t>
      </w:r>
    </w:p>
    <w:p w14:paraId="4027A5A1">
      <w:pPr>
        <w:keepNext w:val="0"/>
        <w:keepLines w:val="0"/>
        <w:pageBreakBefore w:val="0"/>
        <w:kinsoku/>
        <w:wordWrap/>
        <w:overflowPunct/>
        <w:topLinePunct w:val="0"/>
        <w:bidi w:val="0"/>
        <w:spacing w:before="33" w:line="347" w:lineRule="auto"/>
        <w:ind w:left="4" w:right="2" w:hanging="4"/>
        <w:rPr>
          <w:rFonts w:ascii="宋体" w:hAnsi="宋体" w:eastAsia="宋体" w:cs="宋体"/>
          <w:sz w:val="24"/>
          <w:szCs w:val="24"/>
        </w:rPr>
      </w:pPr>
      <w:r>
        <w:rPr>
          <w:rFonts w:ascii="宋体" w:hAnsi="宋体" w:eastAsia="宋体" w:cs="宋体"/>
          <w:spacing w:val="-2"/>
          <w:sz w:val="24"/>
          <w:szCs w:val="24"/>
        </w:rPr>
        <w:t>供应商应承担参与本次采购活动有关的所有费用，包括但不限于、勘查现场、编制和提</w:t>
      </w:r>
      <w:r>
        <w:rPr>
          <w:rFonts w:ascii="宋体" w:hAnsi="宋体" w:eastAsia="宋体" w:cs="宋体"/>
          <w:sz w:val="24"/>
          <w:szCs w:val="24"/>
        </w:rPr>
        <w:t>交响应文件、参加磋商与应答、签订合同等，</w:t>
      </w:r>
      <w:r>
        <w:rPr>
          <w:rFonts w:ascii="宋体" w:hAnsi="宋体" w:eastAsia="宋体" w:cs="宋体"/>
          <w:spacing w:val="-1"/>
          <w:sz w:val="24"/>
          <w:szCs w:val="24"/>
        </w:rPr>
        <w:t>不论竞标结果如何，均应自行承担。</w:t>
      </w:r>
    </w:p>
    <w:p w14:paraId="3600DA42">
      <w:pPr>
        <w:keepNext w:val="0"/>
        <w:keepLines w:val="0"/>
        <w:pageBreakBefore w:val="0"/>
        <w:numPr>
          <w:ilvl w:val="0"/>
          <w:numId w:val="2"/>
        </w:numPr>
        <w:kinsoku/>
        <w:wordWrap/>
        <w:overflowPunct/>
        <w:topLinePunct w:val="0"/>
        <w:bidi w:val="0"/>
        <w:spacing w:before="78" w:line="219" w:lineRule="auto"/>
        <w:ind w:left="486"/>
        <w:rPr>
          <w:rFonts w:ascii="宋体" w:hAnsi="宋体" w:eastAsia="宋体" w:cs="宋体"/>
          <w:spacing w:val="-3"/>
          <w:sz w:val="24"/>
          <w:szCs w:val="24"/>
        </w:rPr>
      </w:pPr>
      <w:r>
        <w:rPr>
          <w:rFonts w:ascii="宋体" w:hAnsi="宋体" w:eastAsia="宋体" w:cs="宋体"/>
          <w:spacing w:val="-3"/>
          <w:sz w:val="24"/>
          <w:szCs w:val="24"/>
        </w:rPr>
        <w:t>联合体竞标</w:t>
      </w:r>
    </w:p>
    <w:p w14:paraId="2BE99F53">
      <w:pPr>
        <w:keepNext w:val="0"/>
        <w:keepLines w:val="0"/>
        <w:pageBreakBefore w:val="0"/>
        <w:numPr>
          <w:ilvl w:val="0"/>
          <w:numId w:val="0"/>
        </w:numPr>
        <w:kinsoku/>
        <w:wordWrap/>
        <w:overflowPunct/>
        <w:topLinePunct w:val="0"/>
        <w:bidi w:val="0"/>
        <w:spacing w:before="78" w:line="219" w:lineRule="auto"/>
        <w:ind w:firstLine="476" w:firstLineChars="200"/>
        <w:rPr>
          <w:rFonts w:ascii="宋体" w:hAnsi="宋体" w:eastAsia="宋体" w:cs="宋体"/>
          <w:sz w:val="24"/>
          <w:szCs w:val="24"/>
        </w:rPr>
      </w:pPr>
      <w:r>
        <w:rPr>
          <w:rFonts w:ascii="宋体" w:hAnsi="宋体" w:eastAsia="宋体" w:cs="宋体"/>
          <w:spacing w:val="-1"/>
          <w:sz w:val="24"/>
          <w:szCs w:val="24"/>
        </w:rPr>
        <w:t>5.1本项目是否接受联合体竞标，详见“供应商须知前附表”。</w:t>
      </w:r>
    </w:p>
    <w:p w14:paraId="3E21D0AA">
      <w:pPr>
        <w:keepNext w:val="0"/>
        <w:keepLines w:val="0"/>
        <w:pageBreakBefore w:val="0"/>
        <w:kinsoku/>
        <w:wordWrap/>
        <w:overflowPunct/>
        <w:topLinePunct w:val="0"/>
        <w:bidi w:val="0"/>
        <w:spacing w:before="183" w:line="290" w:lineRule="auto"/>
        <w:ind w:left="483" w:right="1440" w:firstLine="2"/>
        <w:rPr>
          <w:rFonts w:ascii="宋体" w:hAnsi="宋体" w:eastAsia="宋体" w:cs="宋体"/>
          <w:sz w:val="24"/>
          <w:szCs w:val="24"/>
        </w:rPr>
      </w:pPr>
      <w:r>
        <w:rPr>
          <w:rFonts w:ascii="宋体" w:hAnsi="宋体" w:eastAsia="宋体" w:cs="宋体"/>
          <w:spacing w:val="-2"/>
          <w:sz w:val="24"/>
          <w:szCs w:val="24"/>
        </w:rPr>
        <w:t>5.2如接受联合体竞标，联合体竞标要求详见“供应商须知前附表。</w:t>
      </w:r>
      <w:r>
        <w:rPr>
          <w:rFonts w:ascii="宋体" w:hAnsi="宋体" w:eastAsia="宋体" w:cs="宋体"/>
          <w:spacing w:val="-3"/>
          <w:sz w:val="24"/>
          <w:szCs w:val="24"/>
        </w:rPr>
        <w:t>6.分包</w:t>
      </w:r>
    </w:p>
    <w:p w14:paraId="545C2938">
      <w:pPr>
        <w:keepNext w:val="0"/>
        <w:keepLines w:val="0"/>
        <w:pageBreakBefore w:val="0"/>
        <w:kinsoku/>
        <w:wordWrap/>
        <w:overflowPunct/>
        <w:topLinePunct w:val="0"/>
        <w:bidi w:val="0"/>
        <w:spacing w:before="181" w:line="290" w:lineRule="auto"/>
        <w:ind w:left="486" w:right="5520" w:hanging="3"/>
        <w:rPr>
          <w:rFonts w:hint="eastAsia" w:ascii="宋体" w:hAnsi="宋体" w:eastAsia="宋体" w:cs="宋体"/>
          <w:spacing w:val="7"/>
          <w:sz w:val="24"/>
          <w:szCs w:val="24"/>
          <w:lang w:eastAsia="zh-CN"/>
        </w:rPr>
      </w:pPr>
      <w:r>
        <w:rPr>
          <w:rFonts w:ascii="宋体" w:hAnsi="宋体" w:eastAsia="宋体" w:cs="宋体"/>
          <w:spacing w:val="-4"/>
          <w:sz w:val="24"/>
          <w:szCs w:val="24"/>
        </w:rPr>
        <w:t>6.1本项目不允许违法分包。</w:t>
      </w:r>
    </w:p>
    <w:p w14:paraId="7F971BBC">
      <w:pPr>
        <w:keepNext w:val="0"/>
        <w:keepLines w:val="0"/>
        <w:pageBreakBefore w:val="0"/>
        <w:kinsoku/>
        <w:wordWrap/>
        <w:overflowPunct/>
        <w:topLinePunct w:val="0"/>
        <w:bidi w:val="0"/>
        <w:spacing w:before="181" w:line="290" w:lineRule="auto"/>
        <w:ind w:left="486" w:right="5520" w:hanging="3"/>
        <w:rPr>
          <w:rFonts w:ascii="宋体" w:hAnsi="宋体" w:eastAsia="宋体" w:cs="宋体"/>
          <w:sz w:val="24"/>
          <w:szCs w:val="24"/>
        </w:rPr>
      </w:pPr>
      <w:r>
        <w:rPr>
          <w:rFonts w:ascii="宋体" w:hAnsi="宋体" w:eastAsia="宋体" w:cs="宋体"/>
          <w:spacing w:val="-3"/>
          <w:sz w:val="24"/>
          <w:szCs w:val="24"/>
        </w:rPr>
        <w:t>7.特别说明</w:t>
      </w:r>
    </w:p>
    <w:p w14:paraId="72D41D1C">
      <w:pPr>
        <w:keepNext w:val="0"/>
        <w:keepLines w:val="0"/>
        <w:pageBreakBefore w:val="0"/>
        <w:kinsoku/>
        <w:wordWrap/>
        <w:overflowPunct/>
        <w:topLinePunct w:val="0"/>
        <w:bidi w:val="0"/>
        <w:spacing w:before="182" w:line="290" w:lineRule="auto"/>
        <w:ind w:firstLine="486"/>
        <w:rPr>
          <w:rFonts w:ascii="宋体" w:hAnsi="宋体" w:eastAsia="宋体" w:cs="宋体"/>
          <w:sz w:val="24"/>
          <w:szCs w:val="24"/>
        </w:rPr>
      </w:pPr>
      <w:r>
        <w:rPr>
          <w:rFonts w:ascii="宋体" w:hAnsi="宋体" w:eastAsia="宋体" w:cs="宋体"/>
          <w:spacing w:val="-1"/>
          <w:sz w:val="24"/>
          <w:szCs w:val="24"/>
        </w:rPr>
        <w:t>7.1如果本磋商文件要求提供投标人的资</w:t>
      </w:r>
      <w:r>
        <w:rPr>
          <w:rFonts w:ascii="宋体" w:hAnsi="宋体" w:eastAsia="宋体" w:cs="宋体"/>
          <w:spacing w:val="-2"/>
          <w:sz w:val="24"/>
          <w:szCs w:val="24"/>
        </w:rPr>
        <w:t>格、信誉、业绩等材料的，资格、信誉、业绩等必须为</w:t>
      </w:r>
      <w:r>
        <w:rPr>
          <w:rFonts w:ascii="宋体" w:hAnsi="宋体" w:eastAsia="宋体" w:cs="宋体"/>
          <w:b/>
          <w:bCs/>
          <w:spacing w:val="-2"/>
          <w:sz w:val="24"/>
          <w:szCs w:val="24"/>
        </w:rPr>
        <w:t>投标人所拥有或自身获得</w:t>
      </w:r>
      <w:r>
        <w:rPr>
          <w:rFonts w:ascii="宋体" w:hAnsi="宋体" w:eastAsia="宋体" w:cs="宋体"/>
          <w:spacing w:val="-2"/>
          <w:sz w:val="24"/>
          <w:szCs w:val="24"/>
        </w:rPr>
        <w:t>。</w:t>
      </w:r>
    </w:p>
    <w:p w14:paraId="493BB4BA">
      <w:pPr>
        <w:keepNext w:val="0"/>
        <w:keepLines w:val="0"/>
        <w:pageBreakBefore w:val="0"/>
        <w:kinsoku/>
        <w:wordWrap/>
        <w:overflowPunct/>
        <w:topLinePunct w:val="0"/>
        <w:bidi w:val="0"/>
        <w:spacing w:before="183" w:line="289" w:lineRule="auto"/>
        <w:ind w:left="7" w:right="18" w:firstLine="480"/>
        <w:rPr>
          <w:rFonts w:ascii="宋体" w:hAnsi="宋体" w:eastAsia="宋体" w:cs="宋体"/>
          <w:sz w:val="24"/>
          <w:szCs w:val="24"/>
        </w:rPr>
      </w:pPr>
      <w:r>
        <w:rPr>
          <w:rFonts w:ascii="宋体" w:hAnsi="宋体" w:eastAsia="宋体" w:cs="宋体"/>
          <w:spacing w:val="-2"/>
          <w:sz w:val="24"/>
          <w:szCs w:val="24"/>
        </w:rPr>
        <w:t>7.2供应商应仔细阅读磋商文件的所有内容，按照磋商文件的要求提交响应文件，</w:t>
      </w:r>
      <w:r>
        <w:rPr>
          <w:rFonts w:ascii="宋体" w:hAnsi="宋体" w:eastAsia="宋体" w:cs="宋体"/>
          <w:spacing w:val="-1"/>
          <w:sz w:val="24"/>
          <w:szCs w:val="24"/>
        </w:rPr>
        <w:t>并对所提供的全部资料的真实性承担法律责任。</w:t>
      </w:r>
    </w:p>
    <w:p w14:paraId="29F6FB04">
      <w:pPr>
        <w:keepNext w:val="0"/>
        <w:keepLines w:val="0"/>
        <w:pageBreakBefore w:val="0"/>
        <w:kinsoku/>
        <w:wordWrap/>
        <w:overflowPunct/>
        <w:topLinePunct w:val="0"/>
        <w:bidi w:val="0"/>
        <w:spacing w:before="183" w:line="313" w:lineRule="auto"/>
        <w:ind w:left="5" w:right="8" w:firstLine="481"/>
        <w:rPr>
          <w:rFonts w:ascii="宋体" w:hAnsi="宋体" w:eastAsia="宋体" w:cs="宋体"/>
          <w:sz w:val="24"/>
          <w:szCs w:val="24"/>
        </w:rPr>
      </w:pPr>
      <w:r>
        <w:rPr>
          <w:rFonts w:ascii="宋体" w:hAnsi="宋体" w:eastAsia="宋体" w:cs="宋体"/>
          <w:spacing w:val="-2"/>
          <w:sz w:val="24"/>
          <w:szCs w:val="24"/>
        </w:rPr>
        <w:t>7.3供应商在竞标活动中提供任何疑似虚假材料，将报监管部门查处；签订合同后发现的，成交供应商须依照《中华人民共和国消费者权益保护法》规定赔偿采购人，且</w:t>
      </w:r>
      <w:r>
        <w:rPr>
          <w:rFonts w:ascii="宋体" w:hAnsi="宋体" w:eastAsia="宋体" w:cs="宋体"/>
          <w:spacing w:val="-1"/>
          <w:sz w:val="24"/>
          <w:szCs w:val="24"/>
        </w:rPr>
        <w:t>民事赔偿并不免除违法供应商的行政与刑事责任。</w:t>
      </w:r>
    </w:p>
    <w:p w14:paraId="16B6DFEA">
      <w:pPr>
        <w:keepNext w:val="0"/>
        <w:keepLines w:val="0"/>
        <w:pageBreakBefore w:val="0"/>
        <w:kinsoku/>
        <w:wordWrap/>
        <w:overflowPunct/>
        <w:topLinePunct w:val="0"/>
        <w:bidi w:val="0"/>
        <w:spacing w:before="183" w:line="291" w:lineRule="auto"/>
        <w:ind w:left="17" w:right="8" w:firstLine="470"/>
        <w:rPr>
          <w:rFonts w:ascii="宋体" w:hAnsi="宋体" w:eastAsia="宋体" w:cs="宋体"/>
          <w:sz w:val="24"/>
          <w:szCs w:val="24"/>
        </w:rPr>
      </w:pPr>
      <w:r>
        <w:rPr>
          <w:rFonts w:ascii="宋体" w:hAnsi="宋体" w:eastAsia="宋体" w:cs="宋体"/>
          <w:spacing w:val="-2"/>
          <w:sz w:val="24"/>
          <w:szCs w:val="24"/>
        </w:rPr>
        <w:t>7.4在政府采购活动中，采购人员及相关人员与供应商有下列利害关系之一的，应</w:t>
      </w:r>
      <w:r>
        <w:rPr>
          <w:rFonts w:ascii="宋体" w:hAnsi="宋体" w:eastAsia="宋体" w:cs="宋体"/>
          <w:spacing w:val="-7"/>
          <w:sz w:val="24"/>
          <w:szCs w:val="24"/>
        </w:rPr>
        <w:t>当回避：</w:t>
      </w:r>
    </w:p>
    <w:p w14:paraId="774BA85E">
      <w:pPr>
        <w:keepNext w:val="0"/>
        <w:keepLines w:val="0"/>
        <w:pageBreakBefore w:val="0"/>
        <w:kinsoku/>
        <w:wordWrap/>
        <w:overflowPunct/>
        <w:topLinePunct w:val="0"/>
        <w:bidi w:val="0"/>
        <w:spacing w:before="179" w:line="219" w:lineRule="auto"/>
        <w:ind w:left="524"/>
        <w:rPr>
          <w:rFonts w:ascii="宋体" w:hAnsi="宋体" w:eastAsia="宋体" w:cs="宋体"/>
          <w:sz w:val="24"/>
          <w:szCs w:val="24"/>
        </w:rPr>
      </w:pPr>
      <w:r>
        <w:rPr>
          <w:rFonts w:ascii="宋体" w:hAnsi="宋体" w:eastAsia="宋体" w:cs="宋体"/>
          <w:spacing w:val="-2"/>
          <w:sz w:val="24"/>
          <w:szCs w:val="24"/>
        </w:rPr>
        <w:t>(1)参加采购活动前3年内与供应商存在劳动关系；</w:t>
      </w:r>
    </w:p>
    <w:p w14:paraId="35FAF084">
      <w:pPr>
        <w:keepNext w:val="0"/>
        <w:keepLines w:val="0"/>
        <w:pageBreakBefore w:val="0"/>
        <w:kinsoku/>
        <w:wordWrap/>
        <w:overflowPunct/>
        <w:topLinePunct w:val="0"/>
        <w:bidi w:val="0"/>
        <w:spacing w:before="183" w:line="219" w:lineRule="auto"/>
        <w:ind w:left="524"/>
        <w:rPr>
          <w:rFonts w:ascii="宋体" w:hAnsi="宋体" w:eastAsia="宋体" w:cs="宋体"/>
          <w:sz w:val="24"/>
          <w:szCs w:val="24"/>
        </w:rPr>
      </w:pPr>
      <w:r>
        <w:rPr>
          <w:rFonts w:ascii="宋体" w:hAnsi="宋体" w:eastAsia="宋体" w:cs="宋体"/>
          <w:spacing w:val="-2"/>
          <w:sz w:val="24"/>
          <w:szCs w:val="24"/>
        </w:rPr>
        <w:t>(2)参加采购活动前3年内担任供应商的董事、监事；</w:t>
      </w:r>
    </w:p>
    <w:p w14:paraId="39628735">
      <w:pPr>
        <w:keepNext w:val="0"/>
        <w:keepLines w:val="0"/>
        <w:pageBreakBefore w:val="0"/>
        <w:kinsoku/>
        <w:wordWrap/>
        <w:overflowPunct/>
        <w:topLinePunct w:val="0"/>
        <w:bidi w:val="0"/>
        <w:spacing w:before="184" w:line="219" w:lineRule="auto"/>
        <w:ind w:left="524"/>
        <w:rPr>
          <w:rFonts w:ascii="宋体" w:hAnsi="宋体" w:eastAsia="宋体" w:cs="宋体"/>
          <w:sz w:val="24"/>
          <w:szCs w:val="24"/>
        </w:rPr>
      </w:pPr>
      <w:r>
        <w:rPr>
          <w:rFonts w:ascii="宋体" w:hAnsi="宋体" w:eastAsia="宋体" w:cs="宋体"/>
          <w:spacing w:val="-2"/>
          <w:sz w:val="24"/>
          <w:szCs w:val="24"/>
        </w:rPr>
        <w:t>(3)参加采购活动前3年内是供应商的控股股东或者实际控制人；</w:t>
      </w:r>
    </w:p>
    <w:p w14:paraId="0AB554B3">
      <w:pPr>
        <w:keepNext w:val="0"/>
        <w:keepLines w:val="0"/>
        <w:pageBreakBefore w:val="0"/>
        <w:kinsoku/>
        <w:wordWrap/>
        <w:overflowPunct/>
        <w:topLinePunct w:val="0"/>
        <w:bidi w:val="0"/>
        <w:spacing w:before="183" w:line="290" w:lineRule="auto"/>
        <w:ind w:right="8" w:firstLine="523"/>
        <w:rPr>
          <w:rFonts w:ascii="宋体" w:hAnsi="宋体" w:eastAsia="宋体" w:cs="宋体"/>
          <w:sz w:val="24"/>
          <w:szCs w:val="24"/>
        </w:rPr>
      </w:pPr>
      <w:r>
        <w:rPr>
          <w:rFonts w:ascii="宋体" w:hAnsi="宋体" w:eastAsia="宋体" w:cs="宋体"/>
          <w:spacing w:val="1"/>
          <w:sz w:val="24"/>
          <w:szCs w:val="24"/>
        </w:rPr>
        <w:t>(4)与供应商的法定代表人或者负责人有</w:t>
      </w:r>
      <w:r>
        <w:rPr>
          <w:rFonts w:ascii="宋体" w:hAnsi="宋体" w:eastAsia="宋体" w:cs="宋体"/>
          <w:sz w:val="24"/>
          <w:szCs w:val="24"/>
        </w:rPr>
        <w:t>夫妻、直系血亲、三代以内旁系血亲或者</w:t>
      </w:r>
      <w:r>
        <w:rPr>
          <w:rFonts w:ascii="宋体" w:hAnsi="宋体" w:eastAsia="宋体" w:cs="宋体"/>
          <w:spacing w:val="-2"/>
          <w:sz w:val="24"/>
          <w:szCs w:val="24"/>
        </w:rPr>
        <w:t>近姻亲关系；</w:t>
      </w:r>
    </w:p>
    <w:p w14:paraId="140E597E">
      <w:pPr>
        <w:keepNext w:val="0"/>
        <w:keepLines w:val="0"/>
        <w:pageBreakBefore w:val="0"/>
        <w:kinsoku/>
        <w:wordWrap/>
        <w:overflowPunct/>
        <w:topLinePunct w:val="0"/>
        <w:bidi w:val="0"/>
        <w:spacing w:before="182" w:line="219" w:lineRule="auto"/>
        <w:ind w:left="524"/>
        <w:rPr>
          <w:rFonts w:ascii="宋体" w:hAnsi="宋体" w:eastAsia="宋体" w:cs="宋体"/>
          <w:sz w:val="24"/>
          <w:szCs w:val="24"/>
        </w:rPr>
      </w:pPr>
      <w:r>
        <w:rPr>
          <w:rFonts w:ascii="宋体" w:hAnsi="宋体" w:eastAsia="宋体" w:cs="宋体"/>
          <w:spacing w:val="-2"/>
          <w:sz w:val="24"/>
          <w:szCs w:val="24"/>
        </w:rPr>
        <w:t>(5)与供应商有其他可能影响政府采购活动公平、公正进行的关系。</w:t>
      </w:r>
    </w:p>
    <w:p w14:paraId="2F4A9A19">
      <w:pPr>
        <w:keepNext w:val="0"/>
        <w:keepLines w:val="0"/>
        <w:pageBreakBefore w:val="0"/>
        <w:kinsoku/>
        <w:wordWrap/>
        <w:overflowPunct/>
        <w:topLinePunct w:val="0"/>
        <w:bidi w:val="0"/>
        <w:spacing w:before="184" w:line="351" w:lineRule="auto"/>
        <w:ind w:right="8" w:firstLine="1"/>
        <w:jc w:val="both"/>
        <w:rPr>
          <w:rFonts w:ascii="宋体" w:hAnsi="宋体" w:eastAsia="宋体" w:cs="宋体"/>
          <w:sz w:val="24"/>
          <w:szCs w:val="24"/>
        </w:rPr>
      </w:pPr>
      <w:r>
        <w:rPr>
          <w:rFonts w:ascii="宋体" w:hAnsi="宋体" w:eastAsia="宋体" w:cs="宋体"/>
          <w:spacing w:val="-2"/>
          <w:sz w:val="24"/>
          <w:szCs w:val="24"/>
        </w:rPr>
        <w:t>供应商认为采购人员及相关人员与其他供应商有利害关系的，可以向采购人或者采购代</w:t>
      </w:r>
      <w:r>
        <w:rPr>
          <w:rFonts w:ascii="宋体" w:hAnsi="宋体" w:eastAsia="宋体" w:cs="宋体"/>
          <w:spacing w:val="2"/>
          <w:sz w:val="24"/>
          <w:szCs w:val="24"/>
        </w:rPr>
        <w:t>理机构书面提出回避申请，并说明理由。采购人或者采</w:t>
      </w:r>
      <w:r>
        <w:rPr>
          <w:rFonts w:ascii="宋体" w:hAnsi="宋体" w:eastAsia="宋体" w:cs="宋体"/>
          <w:spacing w:val="1"/>
          <w:sz w:val="24"/>
          <w:szCs w:val="24"/>
        </w:rPr>
        <w:t>购代理机构应当及时询问被申</w:t>
      </w:r>
      <w:r>
        <w:rPr>
          <w:rFonts w:ascii="宋体" w:hAnsi="宋体" w:eastAsia="宋体" w:cs="宋体"/>
          <w:spacing w:val="-1"/>
          <w:sz w:val="24"/>
          <w:szCs w:val="24"/>
        </w:rPr>
        <w:t>请回避人员，有利害关系的被申请回避人员应当回避。</w:t>
      </w:r>
    </w:p>
    <w:p w14:paraId="7AFFA8EA">
      <w:pPr>
        <w:keepNext w:val="0"/>
        <w:keepLines w:val="0"/>
        <w:pageBreakBefore w:val="0"/>
        <w:kinsoku/>
        <w:wordWrap/>
        <w:overflowPunct/>
        <w:topLinePunct w:val="0"/>
        <w:bidi w:val="0"/>
        <w:spacing w:before="34" w:line="219" w:lineRule="auto"/>
        <w:ind w:left="487"/>
        <w:rPr>
          <w:rFonts w:ascii="宋体" w:hAnsi="宋体" w:eastAsia="宋体" w:cs="宋体"/>
          <w:sz w:val="24"/>
          <w:szCs w:val="24"/>
        </w:rPr>
      </w:pPr>
      <w:r>
        <w:rPr>
          <w:rFonts w:ascii="宋体" w:hAnsi="宋体" w:eastAsia="宋体" w:cs="宋体"/>
          <w:spacing w:val="-1"/>
          <w:sz w:val="24"/>
          <w:szCs w:val="24"/>
        </w:rPr>
        <w:t>7.5有下列情形之一的视为供应商相互串通竞标，响应文件将被视为无效：</w:t>
      </w:r>
    </w:p>
    <w:p w14:paraId="0B1BC35C">
      <w:pPr>
        <w:keepNext w:val="0"/>
        <w:keepLines w:val="0"/>
        <w:pageBreakBefore w:val="0"/>
        <w:kinsoku/>
        <w:wordWrap/>
        <w:overflowPunct/>
        <w:topLinePunct w:val="0"/>
        <w:bidi w:val="0"/>
        <w:spacing w:before="185" w:line="219" w:lineRule="auto"/>
        <w:ind w:left="493"/>
        <w:rPr>
          <w:rFonts w:ascii="宋体" w:hAnsi="宋体" w:eastAsia="宋体" w:cs="宋体"/>
          <w:sz w:val="24"/>
          <w:szCs w:val="24"/>
        </w:rPr>
      </w:pPr>
      <w:r>
        <w:rPr>
          <w:rFonts w:ascii="宋体" w:hAnsi="宋体" w:eastAsia="宋体" w:cs="宋体"/>
          <w:spacing w:val="-1"/>
          <w:sz w:val="24"/>
          <w:szCs w:val="24"/>
        </w:rPr>
        <w:t>（一）不同投标人的投标文件由同一单位或者个人编制：</w:t>
      </w:r>
    </w:p>
    <w:p w14:paraId="2BC4D3A6">
      <w:pPr>
        <w:keepNext w:val="0"/>
        <w:keepLines w:val="0"/>
        <w:pageBreakBefore w:val="0"/>
        <w:kinsoku/>
        <w:wordWrap/>
        <w:overflowPunct/>
        <w:topLinePunct w:val="0"/>
        <w:bidi w:val="0"/>
        <w:spacing w:before="183" w:line="346" w:lineRule="auto"/>
        <w:ind w:left="1" w:right="8" w:firstLine="497"/>
        <w:rPr>
          <w:rFonts w:ascii="宋体" w:hAnsi="宋体" w:eastAsia="宋体" w:cs="宋体"/>
          <w:sz w:val="24"/>
          <w:szCs w:val="24"/>
        </w:rPr>
      </w:pPr>
      <w:r>
        <w:rPr>
          <w:rFonts w:ascii="宋体" w:hAnsi="宋体" w:eastAsia="宋体" w:cs="宋体"/>
          <w:spacing w:val="-2"/>
          <w:sz w:val="24"/>
          <w:szCs w:val="24"/>
        </w:rPr>
        <w:t>1.采用电子招投标的，不同投标人编制电子投标文件或者资格预审申请文件</w:t>
      </w:r>
      <w:r>
        <w:rPr>
          <w:rFonts w:ascii="宋体" w:hAnsi="宋体" w:eastAsia="宋体" w:cs="宋体"/>
          <w:spacing w:val="-3"/>
          <w:sz w:val="24"/>
          <w:szCs w:val="24"/>
        </w:rPr>
        <w:t>使用的</w:t>
      </w:r>
      <w:r>
        <w:rPr>
          <w:rFonts w:ascii="宋体" w:hAnsi="宋体" w:eastAsia="宋体" w:cs="宋体"/>
          <w:spacing w:val="-1"/>
          <w:sz w:val="24"/>
          <w:szCs w:val="24"/>
        </w:rPr>
        <w:t>计算机网卡MAC地址、CPU序列号和硬盘序列号等硬件识别信息均相同的；</w:t>
      </w:r>
    </w:p>
    <w:p w14:paraId="6AD08699">
      <w:pPr>
        <w:keepNext w:val="0"/>
        <w:keepLines w:val="0"/>
        <w:pageBreakBefore w:val="0"/>
        <w:kinsoku/>
        <w:wordWrap/>
        <w:overflowPunct/>
        <w:topLinePunct w:val="0"/>
        <w:bidi w:val="0"/>
        <w:spacing w:before="36" w:line="351" w:lineRule="auto"/>
        <w:ind w:right="8" w:firstLine="483"/>
        <w:rPr>
          <w:rFonts w:ascii="宋体" w:hAnsi="宋体" w:eastAsia="宋体" w:cs="宋体"/>
          <w:sz w:val="24"/>
          <w:szCs w:val="24"/>
        </w:rPr>
      </w:pPr>
      <w:r>
        <w:rPr>
          <w:rFonts w:ascii="宋体" w:hAnsi="宋体" w:eastAsia="宋体" w:cs="宋体"/>
          <w:spacing w:val="-2"/>
          <w:sz w:val="24"/>
          <w:szCs w:val="24"/>
        </w:rPr>
        <w:t>2.采用电子招投标的，不同投标人的电子投标文件或者资格预审申请文件上传、解</w:t>
      </w:r>
      <w:r>
        <w:rPr>
          <w:rFonts w:ascii="宋体" w:hAnsi="宋体" w:eastAsia="宋体" w:cs="宋体"/>
          <w:sz w:val="24"/>
          <w:szCs w:val="24"/>
        </w:rPr>
        <w:t>密计算机的网卡MAC地址、CPU序列号和硬盘</w:t>
      </w:r>
      <w:r>
        <w:rPr>
          <w:rFonts w:ascii="宋体" w:hAnsi="宋体" w:eastAsia="宋体" w:cs="宋体"/>
          <w:spacing w:val="-1"/>
          <w:sz w:val="24"/>
          <w:szCs w:val="24"/>
        </w:rPr>
        <w:t>序列号等硬件识别信息均相同的（开标现场上传电子投标文件的除外</w:t>
      </w:r>
      <w:r>
        <w:rPr>
          <w:rFonts w:ascii="宋体" w:hAnsi="宋体" w:eastAsia="宋体" w:cs="宋体"/>
          <w:spacing w:val="1"/>
          <w:sz w:val="24"/>
          <w:szCs w:val="24"/>
        </w:rPr>
        <w:t>）；</w:t>
      </w:r>
    </w:p>
    <w:p w14:paraId="11AE1686">
      <w:pPr>
        <w:pStyle w:val="7"/>
        <w:keepNext w:val="0"/>
        <w:keepLines w:val="0"/>
        <w:pageBreakBefore w:val="0"/>
        <w:kinsoku/>
        <w:wordWrap/>
        <w:overflowPunct/>
        <w:topLinePunct w:val="0"/>
        <w:bidi w:val="0"/>
        <w:spacing w:line="255" w:lineRule="auto"/>
        <w:ind w:firstLine="476" w:firstLineChars="200"/>
      </w:pPr>
      <w:r>
        <w:rPr>
          <w:rFonts w:ascii="宋体" w:hAnsi="宋体" w:eastAsia="宋体" w:cs="宋体"/>
          <w:spacing w:val="-1"/>
          <w:sz w:val="24"/>
          <w:szCs w:val="24"/>
        </w:rPr>
        <w:t>3、不同投标人的投标文件异常一致或者投标报价呈规律性差异；</w:t>
      </w:r>
    </w:p>
    <w:p w14:paraId="6D4D2B78">
      <w:pPr>
        <w:keepNext w:val="0"/>
        <w:keepLines w:val="0"/>
        <w:pageBreakBefore w:val="0"/>
        <w:kinsoku/>
        <w:wordWrap/>
        <w:overflowPunct/>
        <w:topLinePunct w:val="0"/>
        <w:bidi w:val="0"/>
        <w:spacing w:before="78" w:line="219" w:lineRule="auto"/>
        <w:ind w:left="493"/>
        <w:rPr>
          <w:rFonts w:ascii="宋体" w:hAnsi="宋体" w:eastAsia="宋体" w:cs="宋体"/>
          <w:sz w:val="24"/>
          <w:szCs w:val="24"/>
        </w:rPr>
      </w:pPr>
      <w:r>
        <w:rPr>
          <w:rFonts w:ascii="宋体" w:hAnsi="宋体" w:eastAsia="宋体" w:cs="宋体"/>
          <w:spacing w:val="-1"/>
          <w:sz w:val="24"/>
          <w:szCs w:val="24"/>
        </w:rPr>
        <w:t>（1）不同投标人的投标文件经查重分析，存在两处及以上细节错误的；</w:t>
      </w:r>
    </w:p>
    <w:p w14:paraId="763246B8">
      <w:pPr>
        <w:keepNext w:val="0"/>
        <w:keepLines w:val="0"/>
        <w:pageBreakBefore w:val="0"/>
        <w:kinsoku/>
        <w:wordWrap/>
        <w:overflowPunct/>
        <w:topLinePunct w:val="0"/>
        <w:bidi w:val="0"/>
        <w:spacing w:before="182" w:line="218" w:lineRule="auto"/>
        <w:ind w:left="493"/>
        <w:rPr>
          <w:rFonts w:ascii="宋体" w:hAnsi="宋体" w:eastAsia="宋体" w:cs="宋体"/>
          <w:sz w:val="24"/>
          <w:szCs w:val="24"/>
        </w:rPr>
      </w:pPr>
      <w:r>
        <w:rPr>
          <w:rFonts w:ascii="宋体" w:hAnsi="宋体" w:eastAsia="宋体" w:cs="宋体"/>
          <w:spacing w:val="-1"/>
          <w:sz w:val="24"/>
          <w:szCs w:val="24"/>
        </w:rPr>
        <w:t>（2）不同投标人的投标报价呈等差数列或者规律性的百分比；</w:t>
      </w:r>
    </w:p>
    <w:p w14:paraId="5CFE8995">
      <w:pPr>
        <w:keepNext w:val="0"/>
        <w:keepLines w:val="0"/>
        <w:pageBreakBefore w:val="0"/>
        <w:kinsoku/>
        <w:wordWrap/>
        <w:overflowPunct/>
        <w:topLinePunct w:val="0"/>
        <w:bidi w:val="0"/>
        <w:spacing w:before="184" w:line="218" w:lineRule="auto"/>
        <w:ind w:left="493"/>
        <w:rPr>
          <w:rFonts w:ascii="宋体" w:hAnsi="宋体" w:eastAsia="宋体" w:cs="宋体"/>
          <w:sz w:val="24"/>
          <w:szCs w:val="24"/>
        </w:rPr>
      </w:pPr>
      <w:r>
        <w:rPr>
          <w:rFonts w:ascii="宋体" w:hAnsi="宋体" w:eastAsia="宋体" w:cs="宋体"/>
          <w:spacing w:val="-1"/>
          <w:sz w:val="24"/>
          <w:szCs w:val="24"/>
        </w:rPr>
        <w:t>（3）不同投标人的投标文件异常一致或者投标报价呈规律性差异的其他情形。</w:t>
      </w:r>
    </w:p>
    <w:p w14:paraId="35CF42CC">
      <w:pPr>
        <w:keepNext w:val="0"/>
        <w:keepLines w:val="0"/>
        <w:pageBreakBefore w:val="0"/>
        <w:kinsoku/>
        <w:wordWrap/>
        <w:overflowPunct/>
        <w:topLinePunct w:val="0"/>
        <w:bidi w:val="0"/>
        <w:spacing w:before="184" w:line="219" w:lineRule="auto"/>
        <w:ind w:left="480"/>
        <w:rPr>
          <w:rFonts w:ascii="宋体" w:hAnsi="宋体" w:eastAsia="宋体" w:cs="宋体"/>
          <w:sz w:val="24"/>
          <w:szCs w:val="24"/>
        </w:rPr>
      </w:pPr>
      <w:r>
        <w:rPr>
          <w:rFonts w:ascii="宋体" w:hAnsi="宋体" w:eastAsia="宋体" w:cs="宋体"/>
          <w:sz w:val="24"/>
          <w:szCs w:val="24"/>
        </w:rPr>
        <w:t>4、不同投标人的投标文件由同一投标人的附</w:t>
      </w:r>
      <w:r>
        <w:rPr>
          <w:rFonts w:ascii="宋体" w:hAnsi="宋体" w:eastAsia="宋体" w:cs="宋体"/>
          <w:spacing w:val="-1"/>
          <w:sz w:val="24"/>
          <w:szCs w:val="24"/>
        </w:rPr>
        <w:t>属设备打印、复印的。</w:t>
      </w:r>
    </w:p>
    <w:p w14:paraId="789544AE">
      <w:pPr>
        <w:keepNext w:val="0"/>
        <w:keepLines w:val="0"/>
        <w:pageBreakBefore w:val="0"/>
        <w:kinsoku/>
        <w:wordWrap/>
        <w:overflowPunct/>
        <w:topLinePunct w:val="0"/>
        <w:bidi w:val="0"/>
        <w:spacing w:before="184" w:line="219" w:lineRule="auto"/>
        <w:ind w:left="493"/>
        <w:rPr>
          <w:rFonts w:ascii="宋体" w:hAnsi="宋体" w:eastAsia="宋体" w:cs="宋体"/>
          <w:sz w:val="24"/>
          <w:szCs w:val="24"/>
        </w:rPr>
      </w:pPr>
      <w:r>
        <w:rPr>
          <w:rFonts w:ascii="宋体" w:hAnsi="宋体" w:eastAsia="宋体" w:cs="宋体"/>
          <w:spacing w:val="-1"/>
          <w:sz w:val="24"/>
          <w:szCs w:val="24"/>
        </w:rPr>
        <w:t>（一）不同投标人委托同一单位或者个人办理投标事宜；</w:t>
      </w:r>
    </w:p>
    <w:p w14:paraId="639357F4">
      <w:pPr>
        <w:keepNext w:val="0"/>
        <w:keepLines w:val="0"/>
        <w:pageBreakBefore w:val="0"/>
        <w:kinsoku/>
        <w:wordWrap/>
        <w:overflowPunct/>
        <w:topLinePunct w:val="0"/>
        <w:bidi w:val="0"/>
        <w:spacing w:before="184" w:line="289" w:lineRule="auto"/>
        <w:ind w:firstLine="493"/>
        <w:rPr>
          <w:rFonts w:ascii="宋体" w:hAnsi="宋体" w:eastAsia="宋体" w:cs="宋体"/>
          <w:sz w:val="24"/>
          <w:szCs w:val="24"/>
        </w:rPr>
      </w:pPr>
      <w:r>
        <w:rPr>
          <w:rFonts w:ascii="宋体" w:hAnsi="宋体" w:eastAsia="宋体" w:cs="宋体"/>
          <w:spacing w:val="-2"/>
          <w:sz w:val="24"/>
          <w:szCs w:val="24"/>
        </w:rPr>
        <w:t>（二）不同投标人的法定代表人、委托代理人、项目负责人等人员有在同一个单位缴纳社会保险；</w:t>
      </w:r>
    </w:p>
    <w:p w14:paraId="3DDF8C43">
      <w:pPr>
        <w:keepNext w:val="0"/>
        <w:keepLines w:val="0"/>
        <w:pageBreakBefore w:val="0"/>
        <w:kinsoku/>
        <w:wordWrap/>
        <w:overflowPunct/>
        <w:topLinePunct w:val="0"/>
        <w:bidi w:val="0"/>
        <w:spacing w:before="184" w:line="219" w:lineRule="auto"/>
        <w:ind w:left="493"/>
        <w:rPr>
          <w:rFonts w:ascii="宋体" w:hAnsi="宋体" w:eastAsia="宋体" w:cs="宋体"/>
          <w:sz w:val="24"/>
          <w:szCs w:val="24"/>
        </w:rPr>
      </w:pPr>
      <w:r>
        <w:rPr>
          <w:rFonts w:ascii="宋体" w:hAnsi="宋体" w:eastAsia="宋体" w:cs="宋体"/>
          <w:spacing w:val="-1"/>
          <w:sz w:val="24"/>
          <w:szCs w:val="24"/>
        </w:rPr>
        <w:t>（三）不同投标人的投标文件载明的项目管理成员为同一人或同一单位；</w:t>
      </w:r>
    </w:p>
    <w:p w14:paraId="54F3166D">
      <w:pPr>
        <w:keepNext w:val="0"/>
        <w:keepLines w:val="0"/>
        <w:pageBreakBefore w:val="0"/>
        <w:kinsoku/>
        <w:wordWrap/>
        <w:overflowPunct/>
        <w:topLinePunct w:val="0"/>
        <w:bidi w:val="0"/>
        <w:spacing w:before="183" w:line="219" w:lineRule="auto"/>
        <w:ind w:left="493"/>
        <w:rPr>
          <w:rFonts w:ascii="宋体" w:hAnsi="宋体" w:eastAsia="宋体" w:cs="宋体"/>
          <w:sz w:val="24"/>
          <w:szCs w:val="24"/>
        </w:rPr>
      </w:pPr>
      <w:r>
        <w:rPr>
          <w:rFonts w:ascii="宋体" w:hAnsi="宋体" w:eastAsia="宋体" w:cs="宋体"/>
          <w:spacing w:val="-2"/>
          <w:sz w:val="24"/>
          <w:szCs w:val="24"/>
        </w:rPr>
        <w:t>（四）不同投标人的投标文件相互混装；</w:t>
      </w:r>
    </w:p>
    <w:p w14:paraId="5CF7E8D1">
      <w:pPr>
        <w:keepNext w:val="0"/>
        <w:keepLines w:val="0"/>
        <w:pageBreakBefore w:val="0"/>
        <w:kinsoku/>
        <w:wordWrap/>
        <w:overflowPunct/>
        <w:topLinePunct w:val="0"/>
        <w:bidi w:val="0"/>
        <w:spacing w:before="183" w:line="219" w:lineRule="auto"/>
        <w:ind w:left="487"/>
        <w:rPr>
          <w:rFonts w:ascii="宋体" w:hAnsi="宋体" w:eastAsia="宋体" w:cs="宋体"/>
          <w:sz w:val="24"/>
          <w:szCs w:val="24"/>
        </w:rPr>
      </w:pPr>
      <w:r>
        <w:rPr>
          <w:rFonts w:ascii="宋体" w:hAnsi="宋体" w:eastAsia="宋体" w:cs="宋体"/>
          <w:sz w:val="24"/>
          <w:szCs w:val="24"/>
        </w:rPr>
        <w:t>7.6供应商有下列情形之一的，属于恶</w:t>
      </w:r>
      <w:r>
        <w:rPr>
          <w:rFonts w:ascii="宋体" w:hAnsi="宋体" w:eastAsia="宋体" w:cs="宋体"/>
          <w:spacing w:val="-1"/>
          <w:sz w:val="24"/>
          <w:szCs w:val="24"/>
        </w:rPr>
        <w:t>意串通行为，将报同级监督管理部门：</w:t>
      </w:r>
    </w:p>
    <w:p w14:paraId="0A5086A5">
      <w:pPr>
        <w:keepNext w:val="0"/>
        <w:keepLines w:val="0"/>
        <w:pageBreakBefore w:val="0"/>
        <w:kinsoku/>
        <w:wordWrap/>
        <w:overflowPunct/>
        <w:topLinePunct w:val="0"/>
        <w:bidi w:val="0"/>
        <w:spacing w:before="183" w:line="290" w:lineRule="auto"/>
        <w:ind w:left="7" w:firstLine="516"/>
        <w:rPr>
          <w:rFonts w:ascii="宋体" w:hAnsi="宋体" w:eastAsia="宋体" w:cs="宋体"/>
          <w:sz w:val="24"/>
          <w:szCs w:val="24"/>
        </w:rPr>
      </w:pPr>
      <w:r>
        <w:rPr>
          <w:rFonts w:ascii="宋体" w:hAnsi="宋体" w:eastAsia="宋体" w:cs="宋体"/>
          <w:spacing w:val="1"/>
          <w:sz w:val="24"/>
          <w:szCs w:val="24"/>
        </w:rPr>
        <w:t>(1)供应商直接或者间接从采购人或者采</w:t>
      </w:r>
      <w:r>
        <w:rPr>
          <w:rFonts w:ascii="宋体" w:hAnsi="宋体" w:eastAsia="宋体" w:cs="宋体"/>
          <w:sz w:val="24"/>
          <w:szCs w:val="24"/>
        </w:rPr>
        <w:t>购代理机构处获得其他供应商的相关信息</w:t>
      </w:r>
      <w:r>
        <w:rPr>
          <w:rFonts w:ascii="宋体" w:hAnsi="宋体" w:eastAsia="宋体" w:cs="宋体"/>
          <w:spacing w:val="-2"/>
          <w:sz w:val="24"/>
          <w:szCs w:val="24"/>
        </w:rPr>
        <w:t>并修改其响应文件；</w:t>
      </w:r>
    </w:p>
    <w:p w14:paraId="405F40A6">
      <w:pPr>
        <w:keepNext w:val="0"/>
        <w:keepLines w:val="0"/>
        <w:pageBreakBefore w:val="0"/>
        <w:kinsoku/>
        <w:wordWrap/>
        <w:overflowPunct/>
        <w:topLinePunct w:val="0"/>
        <w:bidi w:val="0"/>
        <w:spacing w:before="182" w:line="219" w:lineRule="auto"/>
        <w:ind w:left="524"/>
        <w:rPr>
          <w:rFonts w:ascii="宋体" w:hAnsi="宋体" w:eastAsia="宋体" w:cs="宋体"/>
          <w:sz w:val="24"/>
          <w:szCs w:val="24"/>
        </w:rPr>
      </w:pPr>
      <w:r>
        <w:rPr>
          <w:rFonts w:ascii="宋体" w:hAnsi="宋体" w:eastAsia="宋体" w:cs="宋体"/>
          <w:spacing w:val="-2"/>
          <w:sz w:val="24"/>
          <w:szCs w:val="24"/>
        </w:rPr>
        <w:t>(2)供应商按照采购人或者采购代理机构的授意撤换、修改响应文件；</w:t>
      </w:r>
    </w:p>
    <w:p w14:paraId="433312A8">
      <w:pPr>
        <w:keepNext w:val="0"/>
        <w:keepLines w:val="0"/>
        <w:pageBreakBefore w:val="0"/>
        <w:kinsoku/>
        <w:wordWrap/>
        <w:overflowPunct/>
        <w:topLinePunct w:val="0"/>
        <w:bidi w:val="0"/>
        <w:spacing w:before="184" w:line="218" w:lineRule="auto"/>
        <w:ind w:left="524"/>
        <w:rPr>
          <w:rFonts w:ascii="宋体" w:hAnsi="宋体" w:eastAsia="宋体" w:cs="宋体"/>
          <w:sz w:val="24"/>
          <w:szCs w:val="24"/>
        </w:rPr>
      </w:pPr>
      <w:r>
        <w:rPr>
          <w:rFonts w:ascii="宋体" w:hAnsi="宋体" w:eastAsia="宋体" w:cs="宋体"/>
          <w:spacing w:val="-2"/>
          <w:sz w:val="24"/>
          <w:szCs w:val="24"/>
        </w:rPr>
        <w:t>(3)供应商之间协商报价、技术方案等响应文件或者响应文件的实质性内容；</w:t>
      </w:r>
    </w:p>
    <w:p w14:paraId="5E516D95">
      <w:pPr>
        <w:keepNext w:val="0"/>
        <w:keepLines w:val="0"/>
        <w:pageBreakBefore w:val="0"/>
        <w:kinsoku/>
        <w:wordWrap/>
        <w:overflowPunct/>
        <w:topLinePunct w:val="0"/>
        <w:bidi w:val="0"/>
        <w:spacing w:before="185" w:line="289" w:lineRule="auto"/>
        <w:ind w:firstLine="523"/>
        <w:rPr>
          <w:rFonts w:ascii="宋体" w:hAnsi="宋体" w:eastAsia="宋体" w:cs="宋体"/>
          <w:sz w:val="24"/>
          <w:szCs w:val="24"/>
        </w:rPr>
      </w:pPr>
      <w:r>
        <w:rPr>
          <w:rFonts w:ascii="宋体" w:hAnsi="宋体" w:eastAsia="宋体" w:cs="宋体"/>
          <w:spacing w:val="1"/>
          <w:sz w:val="24"/>
          <w:szCs w:val="24"/>
        </w:rPr>
        <w:t>(4)属于同一集团、协会、商会等组织成</w:t>
      </w:r>
      <w:r>
        <w:rPr>
          <w:rFonts w:ascii="宋体" w:hAnsi="宋体" w:eastAsia="宋体" w:cs="宋体"/>
          <w:sz w:val="24"/>
          <w:szCs w:val="24"/>
        </w:rPr>
        <w:t>员的供应商按照该组织要求协同参加政府</w:t>
      </w:r>
      <w:r>
        <w:rPr>
          <w:rFonts w:ascii="宋体" w:hAnsi="宋体" w:eastAsia="宋体" w:cs="宋体"/>
          <w:spacing w:val="-2"/>
          <w:sz w:val="24"/>
          <w:szCs w:val="24"/>
        </w:rPr>
        <w:t>采购活动；</w:t>
      </w:r>
    </w:p>
    <w:p w14:paraId="7916D402">
      <w:pPr>
        <w:keepNext w:val="0"/>
        <w:keepLines w:val="0"/>
        <w:pageBreakBefore w:val="0"/>
        <w:kinsoku/>
        <w:wordWrap/>
        <w:overflowPunct/>
        <w:topLinePunct w:val="0"/>
        <w:bidi w:val="0"/>
        <w:spacing w:before="185" w:line="313" w:lineRule="auto"/>
        <w:ind w:left="1" w:firstLine="522"/>
        <w:rPr>
          <w:rFonts w:ascii="宋体" w:hAnsi="宋体" w:eastAsia="宋体" w:cs="宋体"/>
          <w:sz w:val="24"/>
          <w:szCs w:val="24"/>
        </w:rPr>
      </w:pPr>
      <w:r>
        <w:rPr>
          <w:rFonts w:ascii="宋体" w:hAnsi="宋体" w:eastAsia="宋体" w:cs="宋体"/>
          <w:spacing w:val="1"/>
          <w:sz w:val="24"/>
          <w:szCs w:val="24"/>
        </w:rPr>
        <w:t>(5)供应商之间事先约定一致抬高或者压</w:t>
      </w:r>
      <w:r>
        <w:rPr>
          <w:rFonts w:ascii="宋体" w:hAnsi="宋体" w:eastAsia="宋体" w:cs="宋体"/>
          <w:sz w:val="24"/>
          <w:szCs w:val="24"/>
        </w:rPr>
        <w:t>低报价，或者在政府采购活动中事先约定</w:t>
      </w:r>
      <w:r>
        <w:rPr>
          <w:rFonts w:ascii="宋体" w:hAnsi="宋体" w:eastAsia="宋体" w:cs="宋体"/>
          <w:spacing w:val="2"/>
          <w:sz w:val="24"/>
          <w:szCs w:val="24"/>
        </w:rPr>
        <w:t>轮流以高价位或者低价位成交，或者事先约定由某</w:t>
      </w:r>
      <w:r>
        <w:rPr>
          <w:rFonts w:ascii="宋体" w:hAnsi="宋体" w:eastAsia="宋体" w:cs="宋体"/>
          <w:spacing w:val="1"/>
          <w:sz w:val="24"/>
          <w:szCs w:val="24"/>
        </w:rPr>
        <w:t>一特定供应商成交，然后再参加竞</w:t>
      </w:r>
      <w:r>
        <w:rPr>
          <w:rFonts w:ascii="宋体" w:hAnsi="宋体" w:eastAsia="宋体" w:cs="宋体"/>
          <w:spacing w:val="-5"/>
          <w:sz w:val="24"/>
          <w:szCs w:val="24"/>
        </w:rPr>
        <w:t>标；</w:t>
      </w:r>
    </w:p>
    <w:p w14:paraId="0B56C6D5">
      <w:pPr>
        <w:keepNext w:val="0"/>
        <w:keepLines w:val="0"/>
        <w:pageBreakBefore w:val="0"/>
        <w:kinsoku/>
        <w:wordWrap/>
        <w:overflowPunct/>
        <w:topLinePunct w:val="0"/>
        <w:bidi w:val="0"/>
        <w:spacing w:before="182" w:line="219" w:lineRule="auto"/>
        <w:ind w:left="524"/>
        <w:rPr>
          <w:rFonts w:ascii="宋体" w:hAnsi="宋体" w:eastAsia="宋体" w:cs="宋体"/>
          <w:sz w:val="24"/>
          <w:szCs w:val="24"/>
        </w:rPr>
      </w:pPr>
      <w:r>
        <w:rPr>
          <w:rFonts w:ascii="宋体" w:hAnsi="宋体" w:eastAsia="宋体" w:cs="宋体"/>
          <w:spacing w:val="-2"/>
          <w:sz w:val="24"/>
          <w:szCs w:val="24"/>
        </w:rPr>
        <w:t>(6)供应商之间商定部分供应商放弃参加政府采购活动或者放弃成交；</w:t>
      </w:r>
    </w:p>
    <w:p w14:paraId="286AAB54">
      <w:pPr>
        <w:keepNext w:val="0"/>
        <w:keepLines w:val="0"/>
        <w:pageBreakBefore w:val="0"/>
        <w:kinsoku/>
        <w:wordWrap/>
        <w:overflowPunct/>
        <w:topLinePunct w:val="0"/>
        <w:bidi w:val="0"/>
        <w:spacing w:before="184" w:line="289" w:lineRule="auto"/>
        <w:ind w:left="3" w:firstLine="520"/>
        <w:rPr>
          <w:rFonts w:ascii="宋体" w:hAnsi="宋体" w:eastAsia="宋体" w:cs="宋体"/>
          <w:sz w:val="24"/>
          <w:szCs w:val="24"/>
        </w:rPr>
      </w:pPr>
      <w:r>
        <w:rPr>
          <w:rFonts w:ascii="宋体" w:hAnsi="宋体" w:eastAsia="宋体" w:cs="宋体"/>
          <w:spacing w:val="1"/>
          <w:sz w:val="24"/>
          <w:szCs w:val="24"/>
        </w:rPr>
        <w:t>(7)供应商与采购人或者采购代理机构之</w:t>
      </w:r>
      <w:r>
        <w:rPr>
          <w:rFonts w:ascii="宋体" w:hAnsi="宋体" w:eastAsia="宋体" w:cs="宋体"/>
          <w:sz w:val="24"/>
          <w:szCs w:val="24"/>
        </w:rPr>
        <w:t>间、供应商相互之间，为谋求特定供应商</w:t>
      </w:r>
      <w:r>
        <w:rPr>
          <w:rFonts w:ascii="宋体" w:hAnsi="宋体" w:eastAsia="宋体" w:cs="宋体"/>
          <w:spacing w:val="-1"/>
          <w:sz w:val="24"/>
          <w:szCs w:val="24"/>
        </w:rPr>
        <w:t>成交或者排斥其他供应商的其他串通行为。</w:t>
      </w:r>
    </w:p>
    <w:p w14:paraId="1CEC6F82">
      <w:pPr>
        <w:keepNext w:val="0"/>
        <w:keepLines w:val="0"/>
        <w:pageBreakBefore w:val="0"/>
        <w:kinsoku/>
        <w:wordWrap/>
        <w:overflowPunct/>
        <w:topLinePunct w:val="0"/>
        <w:bidi w:val="0"/>
        <w:spacing w:before="185" w:line="219" w:lineRule="auto"/>
        <w:ind w:left="485"/>
        <w:rPr>
          <w:rFonts w:ascii="宋体" w:hAnsi="宋体" w:eastAsia="宋体" w:cs="宋体"/>
          <w:sz w:val="24"/>
          <w:szCs w:val="24"/>
        </w:rPr>
      </w:pPr>
      <w:r>
        <w:rPr>
          <w:rFonts w:ascii="宋体" w:hAnsi="宋体" w:eastAsia="宋体" w:cs="宋体"/>
          <w:b/>
          <w:bCs/>
          <w:spacing w:val="-4"/>
          <w:sz w:val="24"/>
          <w:szCs w:val="24"/>
        </w:rPr>
        <w:t>二、磋商文件</w:t>
      </w:r>
    </w:p>
    <w:p w14:paraId="506065C0">
      <w:pPr>
        <w:keepNext w:val="0"/>
        <w:keepLines w:val="0"/>
        <w:pageBreakBefore w:val="0"/>
        <w:kinsoku/>
        <w:wordWrap/>
        <w:overflowPunct/>
        <w:topLinePunct w:val="0"/>
        <w:bidi w:val="0"/>
        <w:spacing w:before="183" w:line="219" w:lineRule="auto"/>
        <w:ind w:left="482"/>
        <w:rPr>
          <w:rFonts w:ascii="宋体" w:hAnsi="宋体" w:eastAsia="宋体" w:cs="宋体"/>
          <w:sz w:val="24"/>
          <w:szCs w:val="24"/>
        </w:rPr>
      </w:pPr>
      <w:r>
        <w:rPr>
          <w:rFonts w:ascii="宋体" w:hAnsi="宋体" w:eastAsia="宋体" w:cs="宋体"/>
          <w:spacing w:val="-2"/>
          <w:sz w:val="24"/>
          <w:szCs w:val="24"/>
        </w:rPr>
        <w:t>8、磋商文件说明</w:t>
      </w:r>
    </w:p>
    <w:p w14:paraId="653EEA82">
      <w:pPr>
        <w:keepNext w:val="0"/>
        <w:keepLines w:val="0"/>
        <w:pageBreakBefore w:val="0"/>
        <w:kinsoku/>
        <w:wordWrap/>
        <w:overflowPunct/>
        <w:topLinePunct w:val="0"/>
        <w:bidi w:val="0"/>
        <w:spacing w:before="182" w:line="290" w:lineRule="auto"/>
        <w:ind w:left="2" w:firstLine="480"/>
        <w:rPr>
          <w:rFonts w:ascii="宋体" w:hAnsi="宋体" w:eastAsia="宋体" w:cs="宋体"/>
          <w:sz w:val="24"/>
          <w:szCs w:val="24"/>
        </w:rPr>
      </w:pPr>
      <w:r>
        <w:rPr>
          <w:rFonts w:ascii="宋体" w:hAnsi="宋体" w:eastAsia="宋体" w:cs="宋体"/>
          <w:spacing w:val="-2"/>
          <w:sz w:val="24"/>
          <w:szCs w:val="24"/>
        </w:rPr>
        <w:t>8.1本磋商文件阐明了供应商所需提供项目范围和项目磋商的程序，是本次采购活</w:t>
      </w:r>
      <w:r>
        <w:rPr>
          <w:rFonts w:ascii="宋体" w:hAnsi="宋体" w:eastAsia="宋体" w:cs="宋体"/>
          <w:spacing w:val="-1"/>
          <w:sz w:val="24"/>
          <w:szCs w:val="24"/>
        </w:rPr>
        <w:t>动具有法律效力的文件。</w:t>
      </w:r>
    </w:p>
    <w:p w14:paraId="7F893ACE">
      <w:pPr>
        <w:keepNext w:val="0"/>
        <w:keepLines w:val="0"/>
        <w:pageBreakBefore w:val="0"/>
        <w:kinsoku/>
        <w:wordWrap/>
        <w:overflowPunct/>
        <w:topLinePunct w:val="0"/>
        <w:bidi w:val="0"/>
        <w:spacing w:before="183" w:line="325" w:lineRule="auto"/>
        <w:ind w:left="2" w:firstLine="480"/>
        <w:rPr>
          <w:rFonts w:ascii="宋体" w:hAnsi="宋体" w:eastAsia="宋体" w:cs="宋体"/>
          <w:sz w:val="24"/>
          <w:szCs w:val="24"/>
        </w:rPr>
      </w:pPr>
      <w:r>
        <w:rPr>
          <w:rFonts w:ascii="宋体" w:hAnsi="宋体" w:eastAsia="宋体" w:cs="宋体"/>
          <w:spacing w:val="-2"/>
          <w:sz w:val="24"/>
          <w:szCs w:val="24"/>
        </w:rPr>
        <w:t>8.2供应商应认真阅读磋商文件中所有的事项、格式条款和规范等要求。供应商没有按照磋商文件要求提交资料，或者响应文件没有对磋商文件做出实质性响应而导致发生影响竞争、响应文件被拒绝或按照无效标处理的不利后果，由供应商自行承担相关风</w:t>
      </w:r>
      <w:r>
        <w:rPr>
          <w:rFonts w:ascii="宋体" w:hAnsi="宋体" w:eastAsia="宋体" w:cs="宋体"/>
          <w:spacing w:val="-6"/>
          <w:sz w:val="24"/>
          <w:szCs w:val="24"/>
        </w:rPr>
        <w:t>险。</w:t>
      </w:r>
    </w:p>
    <w:p w14:paraId="06E36121">
      <w:pPr>
        <w:keepNext w:val="0"/>
        <w:keepLines w:val="0"/>
        <w:pageBreakBefore w:val="0"/>
        <w:kinsoku/>
        <w:wordWrap/>
        <w:overflowPunct/>
        <w:topLinePunct w:val="0"/>
        <w:bidi w:val="0"/>
        <w:spacing w:before="182" w:line="219" w:lineRule="auto"/>
        <w:ind w:left="482"/>
        <w:rPr>
          <w:rFonts w:ascii="宋体" w:hAnsi="宋体" w:eastAsia="宋体" w:cs="宋体"/>
          <w:sz w:val="24"/>
          <w:szCs w:val="24"/>
        </w:rPr>
      </w:pPr>
      <w:r>
        <w:rPr>
          <w:rFonts w:ascii="宋体" w:hAnsi="宋体" w:eastAsia="宋体" w:cs="宋体"/>
          <w:spacing w:val="-2"/>
          <w:sz w:val="24"/>
          <w:szCs w:val="24"/>
        </w:rPr>
        <w:t>8.3磋商文件的构成</w:t>
      </w:r>
    </w:p>
    <w:p w14:paraId="30EE46C5">
      <w:pPr>
        <w:keepNext w:val="0"/>
        <w:keepLines w:val="0"/>
        <w:pageBreakBefore w:val="0"/>
        <w:kinsoku/>
        <w:wordWrap/>
        <w:overflowPunct/>
        <w:topLinePunct w:val="0"/>
        <w:bidi w:val="0"/>
        <w:spacing w:before="78" w:line="346" w:lineRule="auto"/>
        <w:ind w:left="481" w:right="5973"/>
        <w:rPr>
          <w:rFonts w:hint="eastAsia" w:ascii="宋体" w:hAnsi="宋体" w:eastAsia="宋体" w:cs="宋体"/>
          <w:sz w:val="24"/>
          <w:szCs w:val="24"/>
          <w:lang w:eastAsia="zh-CN"/>
        </w:rPr>
      </w:pPr>
      <w:r>
        <w:rPr>
          <w:rFonts w:ascii="宋体" w:hAnsi="宋体" w:eastAsia="宋体" w:cs="宋体"/>
          <w:spacing w:val="-6"/>
          <w:sz w:val="24"/>
          <w:szCs w:val="24"/>
        </w:rPr>
        <w:t>第一章竞争性磋商公告；</w:t>
      </w:r>
    </w:p>
    <w:p w14:paraId="502C0BEF">
      <w:pPr>
        <w:keepNext w:val="0"/>
        <w:keepLines w:val="0"/>
        <w:pageBreakBefore w:val="0"/>
        <w:kinsoku/>
        <w:wordWrap/>
        <w:overflowPunct/>
        <w:topLinePunct w:val="0"/>
        <w:bidi w:val="0"/>
        <w:spacing w:before="78" w:line="346" w:lineRule="auto"/>
        <w:ind w:left="481" w:right="5973"/>
        <w:rPr>
          <w:rFonts w:ascii="宋体" w:hAnsi="宋体" w:eastAsia="宋体" w:cs="宋体"/>
          <w:sz w:val="24"/>
          <w:szCs w:val="24"/>
        </w:rPr>
      </w:pPr>
      <w:r>
        <w:rPr>
          <w:rFonts w:ascii="宋体" w:hAnsi="宋体" w:eastAsia="宋体" w:cs="宋体"/>
          <w:spacing w:val="-2"/>
          <w:sz w:val="24"/>
          <w:szCs w:val="24"/>
        </w:rPr>
        <w:t>第二章采购需求；</w:t>
      </w:r>
    </w:p>
    <w:p w14:paraId="40F60EAD">
      <w:pPr>
        <w:keepNext w:val="0"/>
        <w:keepLines w:val="0"/>
        <w:pageBreakBefore w:val="0"/>
        <w:kinsoku/>
        <w:wordWrap/>
        <w:overflowPunct/>
        <w:topLinePunct w:val="0"/>
        <w:bidi w:val="0"/>
        <w:spacing w:before="34" w:line="219" w:lineRule="auto"/>
        <w:ind w:left="481"/>
        <w:rPr>
          <w:rFonts w:ascii="宋体" w:hAnsi="宋体" w:eastAsia="宋体" w:cs="宋体"/>
          <w:sz w:val="24"/>
          <w:szCs w:val="24"/>
        </w:rPr>
      </w:pPr>
      <w:r>
        <w:rPr>
          <w:rFonts w:ascii="宋体" w:hAnsi="宋体" w:eastAsia="宋体" w:cs="宋体"/>
          <w:spacing w:val="-1"/>
          <w:sz w:val="24"/>
          <w:szCs w:val="24"/>
        </w:rPr>
        <w:t>第三章供应商须知；</w:t>
      </w:r>
    </w:p>
    <w:p w14:paraId="0D8F5FFA">
      <w:pPr>
        <w:keepNext w:val="0"/>
        <w:keepLines w:val="0"/>
        <w:pageBreakBefore w:val="0"/>
        <w:kinsoku/>
        <w:wordWrap/>
        <w:overflowPunct/>
        <w:topLinePunct w:val="0"/>
        <w:bidi w:val="0"/>
        <w:spacing w:before="184" w:line="346" w:lineRule="auto"/>
        <w:ind w:left="481" w:right="4293"/>
        <w:rPr>
          <w:rFonts w:hint="eastAsia" w:ascii="宋体" w:hAnsi="宋体" w:eastAsia="宋体" w:cs="宋体"/>
          <w:spacing w:val="4"/>
          <w:sz w:val="24"/>
          <w:szCs w:val="24"/>
          <w:lang w:eastAsia="zh-CN"/>
        </w:rPr>
      </w:pPr>
      <w:r>
        <w:rPr>
          <w:rFonts w:ascii="宋体" w:hAnsi="宋体" w:eastAsia="宋体" w:cs="宋体"/>
          <w:spacing w:val="-4"/>
          <w:sz w:val="24"/>
          <w:szCs w:val="24"/>
        </w:rPr>
        <w:t>第四章评审程序、评审方法和评审标准；</w:t>
      </w:r>
    </w:p>
    <w:p w14:paraId="33454AAB">
      <w:pPr>
        <w:keepNext w:val="0"/>
        <w:keepLines w:val="0"/>
        <w:pageBreakBefore w:val="0"/>
        <w:kinsoku/>
        <w:wordWrap/>
        <w:overflowPunct/>
        <w:topLinePunct w:val="0"/>
        <w:bidi w:val="0"/>
        <w:spacing w:before="184" w:line="346" w:lineRule="auto"/>
        <w:ind w:left="481" w:right="4293"/>
        <w:rPr>
          <w:rFonts w:ascii="宋体" w:hAnsi="宋体" w:eastAsia="宋体" w:cs="宋体"/>
          <w:sz w:val="24"/>
          <w:szCs w:val="24"/>
        </w:rPr>
      </w:pPr>
      <w:r>
        <w:rPr>
          <w:rFonts w:ascii="宋体" w:hAnsi="宋体" w:eastAsia="宋体" w:cs="宋体"/>
          <w:spacing w:val="-2"/>
          <w:sz w:val="24"/>
          <w:szCs w:val="24"/>
        </w:rPr>
        <w:t>第五章合同文本；</w:t>
      </w:r>
    </w:p>
    <w:p w14:paraId="72CFB483">
      <w:pPr>
        <w:keepNext w:val="0"/>
        <w:keepLines w:val="0"/>
        <w:pageBreakBefore w:val="0"/>
        <w:kinsoku/>
        <w:wordWrap/>
        <w:overflowPunct/>
        <w:topLinePunct w:val="0"/>
        <w:bidi w:val="0"/>
        <w:spacing w:before="36" w:line="346" w:lineRule="auto"/>
        <w:ind w:left="481" w:right="6213"/>
        <w:rPr>
          <w:rFonts w:hint="eastAsia" w:ascii="宋体" w:hAnsi="宋体" w:eastAsia="宋体" w:cs="宋体"/>
          <w:sz w:val="24"/>
          <w:szCs w:val="24"/>
          <w:lang w:eastAsia="zh-CN"/>
        </w:rPr>
      </w:pPr>
      <w:r>
        <w:rPr>
          <w:rFonts w:ascii="宋体" w:hAnsi="宋体" w:eastAsia="宋体" w:cs="宋体"/>
          <w:spacing w:val="-10"/>
          <w:sz w:val="24"/>
          <w:szCs w:val="24"/>
        </w:rPr>
        <w:t>第六章响应文件格式；</w:t>
      </w:r>
    </w:p>
    <w:p w14:paraId="46EADC2D">
      <w:pPr>
        <w:keepNext w:val="0"/>
        <w:keepLines w:val="0"/>
        <w:pageBreakBefore w:val="0"/>
        <w:kinsoku/>
        <w:wordWrap/>
        <w:overflowPunct/>
        <w:topLinePunct w:val="0"/>
        <w:bidi w:val="0"/>
        <w:spacing w:before="36" w:line="346" w:lineRule="auto"/>
        <w:ind w:left="481" w:right="6213"/>
        <w:rPr>
          <w:rFonts w:ascii="宋体" w:hAnsi="宋体" w:eastAsia="宋体" w:cs="宋体"/>
          <w:sz w:val="24"/>
          <w:szCs w:val="24"/>
        </w:rPr>
      </w:pPr>
      <w:r>
        <w:rPr>
          <w:rFonts w:ascii="宋体" w:hAnsi="宋体" w:eastAsia="宋体" w:cs="宋体"/>
          <w:spacing w:val="-2"/>
          <w:sz w:val="24"/>
          <w:szCs w:val="24"/>
        </w:rPr>
        <w:t>9.供应商的询问</w:t>
      </w:r>
    </w:p>
    <w:p w14:paraId="692E8CD7">
      <w:pPr>
        <w:keepNext w:val="0"/>
        <w:keepLines w:val="0"/>
        <w:pageBreakBefore w:val="0"/>
        <w:kinsoku/>
        <w:wordWrap/>
        <w:overflowPunct/>
        <w:topLinePunct w:val="0"/>
        <w:bidi w:val="0"/>
        <w:spacing w:before="35" w:line="351" w:lineRule="auto"/>
        <w:ind w:right="80" w:firstLine="481"/>
        <w:jc w:val="both"/>
        <w:rPr>
          <w:rFonts w:ascii="宋体" w:hAnsi="宋体" w:eastAsia="宋体" w:cs="宋体"/>
          <w:sz w:val="24"/>
          <w:szCs w:val="24"/>
        </w:rPr>
      </w:pPr>
      <w:r>
        <w:rPr>
          <w:rFonts w:ascii="宋体" w:hAnsi="宋体" w:eastAsia="宋体" w:cs="宋体"/>
          <w:spacing w:val="-2"/>
          <w:sz w:val="24"/>
          <w:szCs w:val="24"/>
        </w:rPr>
        <w:t>供应商应认真阅读磋商文件的采购需求，如供应商对磋商文件有疑问的，如要求采</w:t>
      </w:r>
      <w:r>
        <w:rPr>
          <w:rFonts w:ascii="宋体" w:hAnsi="宋体" w:eastAsia="宋体" w:cs="宋体"/>
          <w:spacing w:val="-1"/>
          <w:sz w:val="24"/>
          <w:szCs w:val="24"/>
        </w:rPr>
        <w:t>购人作出澄清或者修改的，供应商应在提交</w:t>
      </w:r>
      <w:r>
        <w:rPr>
          <w:rFonts w:ascii="宋体" w:hAnsi="宋体" w:eastAsia="宋体" w:cs="宋体"/>
          <w:spacing w:val="-2"/>
          <w:sz w:val="24"/>
          <w:szCs w:val="24"/>
        </w:rPr>
        <w:t>首次响应文件截止之日前，以电子形式向采</w:t>
      </w:r>
      <w:r>
        <w:rPr>
          <w:rFonts w:ascii="宋体" w:hAnsi="宋体" w:eastAsia="宋体" w:cs="宋体"/>
          <w:spacing w:val="-1"/>
          <w:sz w:val="24"/>
          <w:szCs w:val="24"/>
        </w:rPr>
        <w:t>购人、采购代理机构提出。</w:t>
      </w:r>
    </w:p>
    <w:p w14:paraId="41AEEA93">
      <w:pPr>
        <w:keepNext w:val="0"/>
        <w:keepLines w:val="0"/>
        <w:pageBreakBefore w:val="0"/>
        <w:kinsoku/>
        <w:wordWrap/>
        <w:overflowPunct/>
        <w:topLinePunct w:val="0"/>
        <w:bidi w:val="0"/>
        <w:spacing w:before="35" w:line="347" w:lineRule="auto"/>
        <w:ind w:left="480" w:right="5912" w:firstLine="18"/>
        <w:rPr>
          <w:rFonts w:ascii="宋体" w:hAnsi="宋体" w:eastAsia="宋体" w:cs="宋体"/>
          <w:sz w:val="24"/>
          <w:szCs w:val="24"/>
        </w:rPr>
      </w:pPr>
      <w:r>
        <w:rPr>
          <w:rFonts w:ascii="宋体" w:hAnsi="宋体" w:eastAsia="宋体" w:cs="宋体"/>
          <w:spacing w:val="-3"/>
          <w:sz w:val="24"/>
          <w:szCs w:val="24"/>
        </w:rPr>
        <w:t>10.磋商文件的澄清和修改</w:t>
      </w:r>
      <w:r>
        <w:rPr>
          <w:rFonts w:ascii="宋体" w:hAnsi="宋体" w:eastAsia="宋体" w:cs="宋体"/>
          <w:spacing w:val="-1"/>
          <w:sz w:val="24"/>
          <w:szCs w:val="24"/>
        </w:rPr>
        <w:t>磋商文件的澄清或修改</w:t>
      </w:r>
    </w:p>
    <w:p w14:paraId="1242F1EB">
      <w:pPr>
        <w:keepNext w:val="0"/>
        <w:keepLines w:val="0"/>
        <w:pageBreakBefore w:val="0"/>
        <w:kinsoku/>
        <w:wordWrap/>
        <w:overflowPunct/>
        <w:topLinePunct w:val="0"/>
        <w:bidi w:val="0"/>
        <w:spacing w:before="33" w:line="332" w:lineRule="auto"/>
        <w:ind w:right="80" w:firstLine="498"/>
        <w:rPr>
          <w:rFonts w:ascii="宋体" w:hAnsi="宋体" w:eastAsia="宋体" w:cs="宋体"/>
          <w:sz w:val="24"/>
          <w:szCs w:val="24"/>
        </w:rPr>
      </w:pPr>
      <w:r>
        <w:rPr>
          <w:rFonts w:ascii="宋体" w:hAnsi="宋体" w:eastAsia="宋体" w:cs="宋体"/>
          <w:spacing w:val="1"/>
          <w:sz w:val="24"/>
          <w:szCs w:val="24"/>
        </w:rPr>
        <w:t>10.1提交首次响应文件截止之日前，采购人、采购代理机构或者磋商小组可以对</w:t>
      </w:r>
      <w:r>
        <w:rPr>
          <w:rFonts w:ascii="宋体" w:hAnsi="宋体" w:eastAsia="宋体" w:cs="宋体"/>
          <w:spacing w:val="-2"/>
          <w:sz w:val="24"/>
          <w:szCs w:val="24"/>
        </w:rPr>
        <w:t>已发出的磋商文件进行必要的澄清或者修改，澄清或者修改的内容作为磋商文件的组成部分。澄清或者修改的内容可能影响响应文件编制的，采购人、采购代理机构应当在提</w:t>
      </w:r>
      <w:r>
        <w:rPr>
          <w:rFonts w:ascii="宋体" w:hAnsi="宋体" w:eastAsia="宋体" w:cs="宋体"/>
          <w:spacing w:val="-5"/>
          <w:sz w:val="24"/>
          <w:szCs w:val="24"/>
        </w:rPr>
        <w:t>交首次响应文件截止时间至少5日前，通知所有获取磋商文件的供应商；不</w:t>
      </w:r>
      <w:r>
        <w:rPr>
          <w:rFonts w:ascii="宋体" w:hAnsi="宋体" w:eastAsia="宋体" w:cs="宋体"/>
          <w:spacing w:val="-6"/>
          <w:sz w:val="24"/>
          <w:szCs w:val="24"/>
        </w:rPr>
        <w:t>足5日的，</w:t>
      </w:r>
      <w:r>
        <w:rPr>
          <w:rFonts w:ascii="宋体" w:hAnsi="宋体" w:eastAsia="宋体" w:cs="宋体"/>
          <w:spacing w:val="-1"/>
          <w:sz w:val="24"/>
          <w:szCs w:val="24"/>
        </w:rPr>
        <w:t>采购人、采购代理机构应当顺延提交首次响应文件截止时间。</w:t>
      </w:r>
    </w:p>
    <w:p w14:paraId="54A0252F">
      <w:pPr>
        <w:keepNext w:val="0"/>
        <w:keepLines w:val="0"/>
        <w:pageBreakBefore w:val="0"/>
        <w:kinsoku/>
        <w:wordWrap/>
        <w:overflowPunct/>
        <w:topLinePunct w:val="0"/>
        <w:bidi w:val="0"/>
        <w:spacing w:before="182" w:line="313" w:lineRule="auto"/>
        <w:ind w:left="2" w:right="80" w:firstLine="496"/>
        <w:rPr>
          <w:rFonts w:ascii="宋体" w:hAnsi="宋体" w:eastAsia="宋体" w:cs="宋体"/>
          <w:sz w:val="24"/>
          <w:szCs w:val="24"/>
        </w:rPr>
      </w:pPr>
      <w:r>
        <w:rPr>
          <w:rFonts w:ascii="宋体" w:hAnsi="宋体" w:eastAsia="宋体" w:cs="宋体"/>
          <w:spacing w:val="8"/>
          <w:sz w:val="24"/>
          <w:szCs w:val="24"/>
        </w:rPr>
        <w:t>10.2磋商文件的澄清或修改将以发布澄清或变更</w:t>
      </w:r>
      <w:r>
        <w:rPr>
          <w:rFonts w:ascii="宋体" w:hAnsi="宋体" w:eastAsia="宋体" w:cs="宋体"/>
          <w:spacing w:val="7"/>
          <w:sz w:val="24"/>
          <w:szCs w:val="24"/>
        </w:rPr>
        <w:t>公告为准（同招标公告发布网</w:t>
      </w:r>
      <w:r>
        <w:rPr>
          <w:rFonts w:ascii="宋体" w:hAnsi="宋体" w:eastAsia="宋体" w:cs="宋体"/>
          <w:spacing w:val="-1"/>
          <w:sz w:val="24"/>
          <w:szCs w:val="24"/>
        </w:rPr>
        <w:t>站</w:t>
      </w:r>
      <w:r>
        <w:rPr>
          <w:rFonts w:ascii="宋体" w:hAnsi="宋体" w:eastAsia="宋体" w:cs="宋体"/>
          <w:spacing w:val="-8"/>
          <w:sz w:val="24"/>
          <w:szCs w:val="24"/>
        </w:rPr>
        <w:t>），</w:t>
      </w:r>
      <w:r>
        <w:rPr>
          <w:rFonts w:ascii="宋体" w:hAnsi="宋体" w:eastAsia="宋体" w:cs="宋体"/>
          <w:spacing w:val="-1"/>
          <w:sz w:val="24"/>
          <w:szCs w:val="24"/>
        </w:rPr>
        <w:t>所有供应商应关注网站及时查看，采购人不再进行书面或其</w:t>
      </w:r>
      <w:r>
        <w:rPr>
          <w:rFonts w:ascii="宋体" w:hAnsi="宋体" w:eastAsia="宋体" w:cs="宋体"/>
          <w:spacing w:val="-2"/>
          <w:sz w:val="24"/>
          <w:szCs w:val="24"/>
        </w:rPr>
        <w:t>他形式通知，未看变</w:t>
      </w:r>
      <w:r>
        <w:rPr>
          <w:rFonts w:ascii="宋体" w:hAnsi="宋体" w:eastAsia="宋体" w:cs="宋体"/>
          <w:spacing w:val="-1"/>
          <w:sz w:val="24"/>
          <w:szCs w:val="24"/>
        </w:rPr>
        <w:t>更或澄清公告并由此导致的一切后果均由投标供应商自负。</w:t>
      </w:r>
    </w:p>
    <w:p w14:paraId="48951995">
      <w:pPr>
        <w:keepNext w:val="0"/>
        <w:keepLines w:val="0"/>
        <w:pageBreakBefore w:val="0"/>
        <w:kinsoku/>
        <w:wordWrap/>
        <w:overflowPunct/>
        <w:topLinePunct w:val="0"/>
        <w:bidi w:val="0"/>
        <w:spacing w:before="185" w:line="218" w:lineRule="auto"/>
        <w:ind w:left="499"/>
        <w:rPr>
          <w:rFonts w:ascii="宋体" w:hAnsi="宋体" w:eastAsia="宋体" w:cs="宋体"/>
          <w:sz w:val="24"/>
          <w:szCs w:val="24"/>
        </w:rPr>
      </w:pPr>
      <w:r>
        <w:rPr>
          <w:rFonts w:ascii="宋体" w:hAnsi="宋体" w:eastAsia="宋体" w:cs="宋体"/>
          <w:spacing w:val="-1"/>
          <w:sz w:val="24"/>
          <w:szCs w:val="24"/>
        </w:rPr>
        <w:t>10.3磋商文件有多次澄清或修改时，以最后发出的澄清或修改公告为准。</w:t>
      </w:r>
    </w:p>
    <w:p w14:paraId="269F98D3">
      <w:pPr>
        <w:keepNext w:val="0"/>
        <w:keepLines w:val="0"/>
        <w:pageBreakBefore w:val="0"/>
        <w:kinsoku/>
        <w:wordWrap/>
        <w:overflowPunct/>
        <w:topLinePunct w:val="0"/>
        <w:bidi w:val="0"/>
        <w:spacing w:before="182" w:line="340" w:lineRule="auto"/>
        <w:ind w:left="1" w:firstLine="497"/>
        <w:rPr>
          <w:rFonts w:ascii="宋体" w:hAnsi="宋体" w:eastAsia="宋体" w:cs="宋体"/>
          <w:sz w:val="24"/>
          <w:szCs w:val="24"/>
        </w:rPr>
      </w:pPr>
      <w:r>
        <w:rPr>
          <w:rFonts w:ascii="宋体" w:hAnsi="宋体" w:eastAsia="宋体" w:cs="宋体"/>
          <w:spacing w:val="1"/>
          <w:sz w:val="24"/>
          <w:szCs w:val="24"/>
        </w:rPr>
        <w:t>10.4磋商文件解释权：构成本磋商文件的各个组成文件应互为解释，互为说明；</w:t>
      </w:r>
      <w:r>
        <w:rPr>
          <w:rFonts w:ascii="宋体" w:hAnsi="宋体" w:eastAsia="宋体" w:cs="宋体"/>
          <w:spacing w:val="-1"/>
          <w:sz w:val="24"/>
          <w:szCs w:val="24"/>
        </w:rPr>
        <w:t>除磋商文件中有特别规定外，仅适用于竞标</w:t>
      </w:r>
      <w:r>
        <w:rPr>
          <w:rFonts w:ascii="宋体" w:hAnsi="宋体" w:eastAsia="宋体" w:cs="宋体"/>
          <w:spacing w:val="-2"/>
          <w:sz w:val="24"/>
          <w:szCs w:val="24"/>
        </w:rPr>
        <w:t>阶段的规定，按更正公告(澄清公告)、竞争</w:t>
      </w:r>
      <w:r>
        <w:rPr>
          <w:rFonts w:ascii="宋体" w:hAnsi="宋体" w:eastAsia="宋体" w:cs="宋体"/>
          <w:spacing w:val="-6"/>
          <w:sz w:val="24"/>
          <w:szCs w:val="24"/>
        </w:rPr>
        <w:t>性磋商公告、供应商须知、采购需求、评审程序、评审方法和评审标准、响应文件格式、</w:t>
      </w:r>
      <w:r>
        <w:rPr>
          <w:rFonts w:ascii="宋体" w:hAnsi="宋体" w:eastAsia="宋体" w:cs="宋体"/>
          <w:spacing w:val="-2"/>
          <w:sz w:val="24"/>
          <w:szCs w:val="24"/>
        </w:rPr>
        <w:t>合同文本的先后顺序解释；同一组成文件中就同一事项的规定或者约定不一致的，以编</w:t>
      </w:r>
      <w:r>
        <w:rPr>
          <w:rFonts w:ascii="宋体" w:hAnsi="宋体" w:eastAsia="宋体" w:cs="宋体"/>
          <w:sz w:val="24"/>
          <w:szCs w:val="24"/>
        </w:rPr>
        <w:t>排顺序在后者为准；同一组成文件不同版本之间有不一致的，</w:t>
      </w:r>
      <w:r>
        <w:rPr>
          <w:rFonts w:ascii="宋体" w:hAnsi="宋体" w:eastAsia="宋体" w:cs="宋体"/>
          <w:spacing w:val="-1"/>
          <w:sz w:val="24"/>
          <w:szCs w:val="24"/>
        </w:rPr>
        <w:t>以形成时间在后者为准；更正公告(澄清公告)与同步更新的磋商文件不一致时以更正公告(澄清公告)为准。按</w:t>
      </w:r>
      <w:r>
        <w:rPr>
          <w:rFonts w:ascii="宋体" w:hAnsi="宋体" w:eastAsia="宋体" w:cs="宋体"/>
          <w:sz w:val="24"/>
          <w:szCs w:val="24"/>
        </w:rPr>
        <w:t>本款前述规定仍不能形成结论的，由采购人或者</w:t>
      </w:r>
      <w:r>
        <w:rPr>
          <w:rFonts w:ascii="宋体" w:hAnsi="宋体" w:eastAsia="宋体" w:cs="宋体"/>
          <w:spacing w:val="-1"/>
          <w:sz w:val="24"/>
          <w:szCs w:val="24"/>
        </w:rPr>
        <w:t>采购代理机构负责解释。</w:t>
      </w:r>
    </w:p>
    <w:p w14:paraId="2327D1F4">
      <w:pPr>
        <w:keepNext w:val="0"/>
        <w:keepLines w:val="0"/>
        <w:pageBreakBefore w:val="0"/>
        <w:kinsoku/>
        <w:wordWrap/>
        <w:overflowPunct/>
        <w:topLinePunct w:val="0"/>
        <w:bidi w:val="0"/>
        <w:spacing w:before="185" w:line="219" w:lineRule="auto"/>
        <w:ind w:left="481"/>
        <w:rPr>
          <w:rFonts w:ascii="宋体" w:hAnsi="宋体" w:eastAsia="宋体" w:cs="宋体"/>
          <w:sz w:val="24"/>
          <w:szCs w:val="24"/>
        </w:rPr>
      </w:pPr>
      <w:r>
        <w:rPr>
          <w:rFonts w:ascii="宋体" w:hAnsi="宋体" w:eastAsia="宋体" w:cs="宋体"/>
          <w:b/>
          <w:bCs/>
          <w:spacing w:val="-6"/>
          <w:sz w:val="24"/>
          <w:szCs w:val="24"/>
        </w:rPr>
        <w:t>三、响应文件的编制</w:t>
      </w:r>
    </w:p>
    <w:p w14:paraId="1C3CB3B8">
      <w:pPr>
        <w:keepNext w:val="0"/>
        <w:keepLines w:val="0"/>
        <w:pageBreakBefore w:val="0"/>
        <w:kinsoku/>
        <w:wordWrap/>
        <w:overflowPunct/>
        <w:topLinePunct w:val="0"/>
        <w:bidi w:val="0"/>
        <w:spacing w:before="184" w:line="219" w:lineRule="auto"/>
        <w:ind w:left="497"/>
        <w:rPr>
          <w:rFonts w:ascii="宋体" w:hAnsi="宋体" w:eastAsia="宋体" w:cs="宋体"/>
          <w:spacing w:val="-2"/>
          <w:sz w:val="24"/>
          <w:szCs w:val="24"/>
        </w:rPr>
      </w:pPr>
      <w:r>
        <w:rPr>
          <w:rFonts w:ascii="宋体" w:hAnsi="宋体" w:eastAsia="宋体" w:cs="宋体"/>
          <w:spacing w:val="-2"/>
          <w:sz w:val="24"/>
          <w:szCs w:val="24"/>
        </w:rPr>
        <w:t>11.响应文件的编制原则</w:t>
      </w:r>
    </w:p>
    <w:p w14:paraId="300CB93A">
      <w:pPr>
        <w:keepNext w:val="0"/>
        <w:keepLines w:val="0"/>
        <w:pageBreakBefore w:val="0"/>
        <w:widowControl/>
        <w:kinsoku/>
        <w:wordWrap/>
        <w:overflowPunct/>
        <w:topLinePunct w:val="0"/>
        <w:autoSpaceDE w:val="0"/>
        <w:autoSpaceDN w:val="0"/>
        <w:bidi w:val="0"/>
        <w:adjustRightInd w:val="0"/>
        <w:snapToGrid w:val="0"/>
        <w:spacing w:line="240" w:lineRule="auto"/>
        <w:ind w:left="499" w:firstLine="472" w:firstLineChars="200"/>
        <w:textAlignment w:val="baseline"/>
        <w:rPr>
          <w:rFonts w:hint="eastAsia" w:ascii="宋体" w:hAnsi="宋体" w:eastAsia="宋体" w:cs="宋体"/>
          <w:spacing w:val="-2"/>
          <w:sz w:val="24"/>
          <w:szCs w:val="24"/>
          <w:lang w:eastAsia="zh-CN"/>
        </w:rPr>
      </w:pPr>
      <w:r>
        <w:rPr>
          <w:rFonts w:ascii="宋体" w:hAnsi="宋体" w:eastAsia="宋体" w:cs="宋体"/>
          <w:spacing w:val="-2"/>
          <w:sz w:val="24"/>
          <w:szCs w:val="24"/>
        </w:rPr>
        <w:t>供应商必须按照磋商文件的要求编制响应文件，并对其提交的响应文件的真实性、合法性承担法律责任。响应文件必须对磋商文件作出实质性响应。</w:t>
      </w:r>
    </w:p>
    <w:p w14:paraId="1064FAD2">
      <w:pPr>
        <w:keepNext w:val="0"/>
        <w:keepLines w:val="0"/>
        <w:pageBreakBefore w:val="0"/>
        <w:widowControl/>
        <w:kinsoku/>
        <w:wordWrap/>
        <w:overflowPunct/>
        <w:topLinePunct w:val="0"/>
        <w:autoSpaceDE w:val="0"/>
        <w:autoSpaceDN w:val="0"/>
        <w:bidi w:val="0"/>
        <w:adjustRightInd w:val="0"/>
        <w:snapToGrid w:val="0"/>
        <w:spacing w:before="184" w:line="240" w:lineRule="auto"/>
        <w:ind w:left="497"/>
        <w:textAlignment w:val="baseline"/>
        <w:rPr>
          <w:rFonts w:ascii="宋体" w:hAnsi="宋体" w:eastAsia="宋体" w:cs="宋体"/>
          <w:spacing w:val="-2"/>
          <w:sz w:val="24"/>
          <w:szCs w:val="24"/>
        </w:rPr>
      </w:pPr>
      <w:r>
        <w:rPr>
          <w:rFonts w:ascii="宋体" w:hAnsi="宋体" w:eastAsia="宋体" w:cs="宋体"/>
          <w:spacing w:val="-2"/>
          <w:sz w:val="24"/>
          <w:szCs w:val="24"/>
        </w:rPr>
        <w:t>12.响应文件的组成</w:t>
      </w:r>
    </w:p>
    <w:p w14:paraId="2C954848">
      <w:pPr>
        <w:keepNext w:val="0"/>
        <w:keepLines w:val="0"/>
        <w:pageBreakBefore w:val="0"/>
        <w:kinsoku/>
        <w:wordWrap/>
        <w:overflowPunct/>
        <w:topLinePunct w:val="0"/>
        <w:bidi w:val="0"/>
        <w:spacing w:before="184" w:line="219" w:lineRule="auto"/>
        <w:ind w:left="497"/>
        <w:rPr>
          <w:rFonts w:ascii="宋体" w:hAnsi="宋体" w:eastAsia="宋体" w:cs="宋体"/>
          <w:spacing w:val="-2"/>
          <w:sz w:val="24"/>
          <w:szCs w:val="24"/>
        </w:rPr>
      </w:pPr>
      <w:r>
        <w:rPr>
          <w:rFonts w:ascii="宋体" w:hAnsi="宋体" w:eastAsia="宋体" w:cs="宋体"/>
          <w:spacing w:val="-2"/>
          <w:sz w:val="24"/>
          <w:szCs w:val="24"/>
        </w:rPr>
        <w:t>12.1响应文件由资格证明文件、报价文件、商务和技术文件三部分组成。</w:t>
      </w:r>
    </w:p>
    <w:p w14:paraId="421E5906">
      <w:pPr>
        <w:keepNext w:val="0"/>
        <w:keepLines w:val="0"/>
        <w:pageBreakBefore w:val="0"/>
        <w:kinsoku/>
        <w:wordWrap/>
        <w:overflowPunct/>
        <w:topLinePunct w:val="0"/>
        <w:bidi w:val="0"/>
        <w:spacing w:before="184" w:line="219" w:lineRule="auto"/>
        <w:ind w:left="497"/>
        <w:rPr>
          <w:rFonts w:ascii="宋体" w:hAnsi="宋体" w:eastAsia="宋体" w:cs="宋体"/>
          <w:sz w:val="24"/>
          <w:szCs w:val="24"/>
        </w:rPr>
      </w:pPr>
      <w:r>
        <w:rPr>
          <w:rFonts w:ascii="宋体" w:hAnsi="宋体" w:eastAsia="宋体" w:cs="宋体"/>
          <w:spacing w:val="-2"/>
          <w:sz w:val="24"/>
          <w:szCs w:val="24"/>
        </w:rPr>
        <w:t>12.1.1资格证明文件：详见须知前附表</w:t>
      </w:r>
    </w:p>
    <w:p w14:paraId="2B806EFB">
      <w:pPr>
        <w:keepNext w:val="0"/>
        <w:keepLines w:val="0"/>
        <w:pageBreakBefore w:val="0"/>
        <w:kinsoku/>
        <w:wordWrap/>
        <w:overflowPunct/>
        <w:topLinePunct w:val="0"/>
        <w:bidi w:val="0"/>
        <w:spacing w:before="183" w:line="219" w:lineRule="auto"/>
        <w:ind w:left="497"/>
        <w:rPr>
          <w:rFonts w:ascii="宋体" w:hAnsi="宋体" w:eastAsia="宋体" w:cs="宋体"/>
          <w:sz w:val="24"/>
          <w:szCs w:val="24"/>
        </w:rPr>
      </w:pPr>
      <w:r>
        <w:rPr>
          <w:rFonts w:ascii="宋体" w:hAnsi="宋体" w:eastAsia="宋体" w:cs="宋体"/>
          <w:spacing w:val="-2"/>
          <w:sz w:val="24"/>
          <w:szCs w:val="24"/>
        </w:rPr>
        <w:t>12.1.2商务技术文件：详见须知前附表</w:t>
      </w:r>
    </w:p>
    <w:p w14:paraId="45D01DDE">
      <w:pPr>
        <w:keepNext w:val="0"/>
        <w:keepLines w:val="0"/>
        <w:pageBreakBefore w:val="0"/>
        <w:kinsoku/>
        <w:wordWrap/>
        <w:overflowPunct/>
        <w:topLinePunct w:val="0"/>
        <w:bidi w:val="0"/>
        <w:spacing w:before="183" w:line="218" w:lineRule="auto"/>
        <w:ind w:left="497"/>
        <w:rPr>
          <w:rFonts w:ascii="宋体" w:hAnsi="宋体" w:eastAsia="宋体" w:cs="宋体"/>
          <w:sz w:val="24"/>
          <w:szCs w:val="24"/>
        </w:rPr>
      </w:pPr>
      <w:r>
        <w:rPr>
          <w:rFonts w:ascii="宋体" w:hAnsi="宋体" w:eastAsia="宋体" w:cs="宋体"/>
          <w:spacing w:val="-2"/>
          <w:sz w:val="24"/>
          <w:szCs w:val="24"/>
        </w:rPr>
        <w:t>12.1.3报价文件：详见须知前附表</w:t>
      </w:r>
    </w:p>
    <w:p w14:paraId="4B783121">
      <w:pPr>
        <w:keepNext w:val="0"/>
        <w:keepLines w:val="0"/>
        <w:pageBreakBefore w:val="0"/>
        <w:kinsoku/>
        <w:wordWrap/>
        <w:overflowPunct/>
        <w:topLinePunct w:val="0"/>
        <w:bidi w:val="0"/>
        <w:spacing w:before="185" w:line="290" w:lineRule="auto"/>
        <w:ind w:left="497" w:right="4394"/>
        <w:rPr>
          <w:rFonts w:hint="eastAsia" w:ascii="宋体" w:hAnsi="宋体" w:eastAsia="宋体" w:cs="宋体"/>
          <w:spacing w:val="11"/>
          <w:sz w:val="24"/>
          <w:szCs w:val="24"/>
          <w:lang w:eastAsia="zh-CN"/>
        </w:rPr>
      </w:pPr>
      <w:r>
        <w:rPr>
          <w:rFonts w:ascii="宋体" w:hAnsi="宋体" w:eastAsia="宋体" w:cs="宋体"/>
          <w:spacing w:val="-2"/>
          <w:sz w:val="24"/>
          <w:szCs w:val="24"/>
        </w:rPr>
        <w:t>12.2响应文件电子版：详见须知前附表</w:t>
      </w:r>
    </w:p>
    <w:p w14:paraId="06132C47">
      <w:pPr>
        <w:keepNext w:val="0"/>
        <w:keepLines w:val="0"/>
        <w:pageBreakBefore w:val="0"/>
        <w:kinsoku/>
        <w:wordWrap/>
        <w:overflowPunct/>
        <w:topLinePunct w:val="0"/>
        <w:bidi w:val="0"/>
        <w:spacing w:before="185" w:line="290" w:lineRule="auto"/>
        <w:ind w:left="497" w:right="4394"/>
        <w:rPr>
          <w:rFonts w:ascii="宋体" w:hAnsi="宋体" w:eastAsia="宋体" w:cs="宋体"/>
          <w:sz w:val="24"/>
          <w:szCs w:val="24"/>
        </w:rPr>
      </w:pPr>
      <w:r>
        <w:rPr>
          <w:rFonts w:ascii="宋体" w:hAnsi="宋体" w:eastAsia="宋体" w:cs="宋体"/>
          <w:spacing w:val="-4"/>
          <w:sz w:val="24"/>
          <w:szCs w:val="24"/>
        </w:rPr>
        <w:t>13.计量单位</w:t>
      </w:r>
    </w:p>
    <w:p w14:paraId="5B58BE87">
      <w:pPr>
        <w:keepNext w:val="0"/>
        <w:keepLines w:val="0"/>
        <w:pageBreakBefore w:val="0"/>
        <w:kinsoku/>
        <w:wordWrap/>
        <w:overflowPunct/>
        <w:topLinePunct w:val="0"/>
        <w:bidi w:val="0"/>
        <w:spacing w:before="183" w:line="346" w:lineRule="auto"/>
        <w:ind w:right="12" w:firstLine="479"/>
        <w:rPr>
          <w:rFonts w:ascii="宋体" w:hAnsi="宋体" w:eastAsia="宋体" w:cs="宋体"/>
          <w:sz w:val="24"/>
          <w:szCs w:val="24"/>
        </w:rPr>
      </w:pPr>
      <w:r>
        <w:rPr>
          <w:rFonts w:ascii="宋体" w:hAnsi="宋体" w:eastAsia="宋体" w:cs="宋体"/>
          <w:spacing w:val="-2"/>
          <w:sz w:val="24"/>
          <w:szCs w:val="24"/>
        </w:rPr>
        <w:t>磋商文件已有明确规定的，使用磋商文件规定的计量单位；磋商文件没有规定的，</w:t>
      </w:r>
      <w:r>
        <w:rPr>
          <w:rFonts w:ascii="宋体" w:hAnsi="宋体" w:eastAsia="宋体" w:cs="宋体"/>
          <w:sz w:val="24"/>
          <w:szCs w:val="24"/>
        </w:rPr>
        <w:t>应采用中华人民共和国法定计量单位，货币种类为人</w:t>
      </w:r>
      <w:r>
        <w:rPr>
          <w:rFonts w:ascii="宋体" w:hAnsi="宋体" w:eastAsia="宋体" w:cs="宋体"/>
          <w:spacing w:val="-1"/>
          <w:sz w:val="24"/>
          <w:szCs w:val="24"/>
        </w:rPr>
        <w:t>民币，否则视同未响应。</w:t>
      </w:r>
    </w:p>
    <w:p w14:paraId="111F0A89">
      <w:pPr>
        <w:keepNext w:val="0"/>
        <w:keepLines w:val="0"/>
        <w:pageBreakBefore w:val="0"/>
        <w:kinsoku/>
        <w:wordWrap/>
        <w:overflowPunct/>
        <w:topLinePunct w:val="0"/>
        <w:bidi w:val="0"/>
        <w:spacing w:before="35" w:line="220" w:lineRule="auto"/>
        <w:ind w:left="497"/>
        <w:rPr>
          <w:rFonts w:ascii="宋体" w:hAnsi="宋体" w:eastAsia="宋体" w:cs="宋体"/>
          <w:sz w:val="24"/>
          <w:szCs w:val="24"/>
        </w:rPr>
      </w:pPr>
      <w:r>
        <w:rPr>
          <w:rFonts w:ascii="宋体" w:hAnsi="宋体" w:eastAsia="宋体" w:cs="宋体"/>
          <w:spacing w:val="-4"/>
          <w:sz w:val="24"/>
          <w:szCs w:val="24"/>
        </w:rPr>
        <w:t>14.竞标的风险</w:t>
      </w:r>
    </w:p>
    <w:p w14:paraId="699A4E0D">
      <w:pPr>
        <w:keepNext w:val="0"/>
        <w:keepLines w:val="0"/>
        <w:pageBreakBefore w:val="0"/>
        <w:kinsoku/>
        <w:wordWrap/>
        <w:overflowPunct/>
        <w:topLinePunct w:val="0"/>
        <w:bidi w:val="0"/>
        <w:spacing w:before="183" w:line="346" w:lineRule="auto"/>
        <w:ind w:left="5" w:right="2" w:hanging="5"/>
        <w:rPr>
          <w:rFonts w:ascii="宋体" w:hAnsi="宋体" w:eastAsia="宋体" w:cs="宋体"/>
          <w:sz w:val="24"/>
          <w:szCs w:val="24"/>
        </w:rPr>
      </w:pPr>
      <w:r>
        <w:rPr>
          <w:rFonts w:ascii="宋体" w:hAnsi="宋体" w:eastAsia="宋体" w:cs="宋体"/>
          <w:spacing w:val="-2"/>
          <w:sz w:val="24"/>
          <w:szCs w:val="24"/>
        </w:rPr>
        <w:t>供应商没有按照磋商文件要求提供全部资料，或者供应商没有对磋商文件在各方面作出</w:t>
      </w:r>
      <w:r>
        <w:rPr>
          <w:rFonts w:ascii="宋体" w:hAnsi="宋体" w:eastAsia="宋体" w:cs="宋体"/>
          <w:spacing w:val="-1"/>
          <w:sz w:val="24"/>
          <w:szCs w:val="24"/>
        </w:rPr>
        <w:t>实质性响应可能导致其响应无效，是供应商应当考虑的风险。</w:t>
      </w:r>
    </w:p>
    <w:p w14:paraId="3EEC1013">
      <w:pPr>
        <w:keepNext w:val="0"/>
        <w:keepLines w:val="0"/>
        <w:pageBreakBefore w:val="0"/>
        <w:kinsoku/>
        <w:wordWrap/>
        <w:overflowPunct/>
        <w:topLinePunct w:val="0"/>
        <w:bidi w:val="0"/>
        <w:spacing w:before="35" w:line="218" w:lineRule="auto"/>
        <w:ind w:left="497"/>
        <w:rPr>
          <w:rFonts w:ascii="宋体" w:hAnsi="宋体" w:eastAsia="宋体" w:cs="宋体"/>
          <w:sz w:val="24"/>
          <w:szCs w:val="24"/>
        </w:rPr>
      </w:pPr>
      <w:r>
        <w:rPr>
          <w:rFonts w:ascii="宋体" w:hAnsi="宋体" w:eastAsia="宋体" w:cs="宋体"/>
          <w:spacing w:val="-3"/>
          <w:sz w:val="24"/>
          <w:szCs w:val="24"/>
        </w:rPr>
        <w:t>15.响应报价要求和构成</w:t>
      </w:r>
    </w:p>
    <w:p w14:paraId="5AD3FDAC">
      <w:pPr>
        <w:keepNext w:val="0"/>
        <w:keepLines w:val="0"/>
        <w:pageBreakBefore w:val="0"/>
        <w:kinsoku/>
        <w:wordWrap/>
        <w:overflowPunct/>
        <w:topLinePunct w:val="0"/>
        <w:bidi w:val="0"/>
        <w:spacing w:before="185" w:line="218" w:lineRule="auto"/>
        <w:ind w:left="492"/>
        <w:rPr>
          <w:rFonts w:ascii="宋体" w:hAnsi="宋体" w:eastAsia="宋体" w:cs="宋体"/>
          <w:sz w:val="24"/>
          <w:szCs w:val="24"/>
        </w:rPr>
      </w:pPr>
      <w:r>
        <w:rPr>
          <w:rFonts w:ascii="宋体" w:hAnsi="宋体" w:eastAsia="宋体" w:cs="宋体"/>
          <w:spacing w:val="-1"/>
          <w:sz w:val="24"/>
          <w:szCs w:val="24"/>
        </w:rPr>
        <w:t>响应报价的价格构成见“供应商须知前附表”。</w:t>
      </w:r>
    </w:p>
    <w:p w14:paraId="1C4CD45E">
      <w:pPr>
        <w:keepNext w:val="0"/>
        <w:keepLines w:val="0"/>
        <w:pageBreakBefore w:val="0"/>
        <w:kinsoku/>
        <w:wordWrap/>
        <w:overflowPunct/>
        <w:topLinePunct w:val="0"/>
        <w:bidi w:val="0"/>
        <w:spacing w:before="184" w:line="218" w:lineRule="auto"/>
        <w:ind w:left="480"/>
        <w:rPr>
          <w:rFonts w:ascii="宋体" w:hAnsi="宋体" w:eastAsia="宋体" w:cs="宋体"/>
          <w:sz w:val="24"/>
          <w:szCs w:val="24"/>
        </w:rPr>
      </w:pPr>
      <w:r>
        <w:rPr>
          <w:rFonts w:ascii="宋体" w:hAnsi="宋体" w:eastAsia="宋体" w:cs="宋体"/>
          <w:sz w:val="24"/>
          <w:szCs w:val="24"/>
        </w:rPr>
        <w:t>供应商的响应报价应符合以下要求，否则响</w:t>
      </w:r>
      <w:r>
        <w:rPr>
          <w:rFonts w:ascii="宋体" w:hAnsi="宋体" w:eastAsia="宋体" w:cs="宋体"/>
          <w:spacing w:val="-1"/>
          <w:sz w:val="24"/>
          <w:szCs w:val="24"/>
        </w:rPr>
        <w:t>应文件按无效响应处理：</w:t>
      </w:r>
    </w:p>
    <w:p w14:paraId="0F2FACEA">
      <w:pPr>
        <w:keepNext w:val="0"/>
        <w:keepLines w:val="0"/>
        <w:pageBreakBefore w:val="0"/>
        <w:kinsoku/>
        <w:wordWrap/>
        <w:overflowPunct/>
        <w:topLinePunct w:val="0"/>
        <w:bidi w:val="0"/>
        <w:spacing w:before="185" w:line="346" w:lineRule="auto"/>
        <w:ind w:firstLine="521"/>
        <w:rPr>
          <w:rFonts w:ascii="宋体" w:hAnsi="宋体" w:eastAsia="宋体" w:cs="宋体"/>
          <w:sz w:val="24"/>
          <w:szCs w:val="24"/>
        </w:rPr>
      </w:pPr>
      <w:r>
        <w:rPr>
          <w:rFonts w:ascii="宋体" w:hAnsi="宋体" w:eastAsia="宋体" w:cs="宋体"/>
          <w:sz w:val="24"/>
          <w:szCs w:val="24"/>
        </w:rPr>
        <w:t>(1)供应商必须就“采购需求”中所竞标的每个分标</w:t>
      </w:r>
      <w:r>
        <w:rPr>
          <w:rFonts w:ascii="宋体" w:hAnsi="宋体" w:eastAsia="宋体" w:cs="宋体"/>
          <w:spacing w:val="-1"/>
          <w:sz w:val="24"/>
          <w:szCs w:val="24"/>
        </w:rPr>
        <w:t>的全部内容分别作完整唯一总价报价，不得存在漏项报价；</w:t>
      </w:r>
    </w:p>
    <w:p w14:paraId="72D83513">
      <w:pPr>
        <w:keepNext w:val="0"/>
        <w:keepLines w:val="0"/>
        <w:pageBreakBefore w:val="0"/>
        <w:kinsoku/>
        <w:wordWrap/>
        <w:overflowPunct/>
        <w:topLinePunct w:val="0"/>
        <w:bidi w:val="0"/>
        <w:spacing w:before="36" w:line="218" w:lineRule="auto"/>
        <w:ind w:left="522"/>
        <w:rPr>
          <w:rFonts w:ascii="宋体" w:hAnsi="宋体" w:eastAsia="宋体" w:cs="宋体"/>
          <w:sz w:val="24"/>
          <w:szCs w:val="24"/>
        </w:rPr>
      </w:pPr>
      <w:r>
        <w:rPr>
          <w:rFonts w:ascii="宋体" w:hAnsi="宋体" w:eastAsia="宋体" w:cs="宋体"/>
          <w:spacing w:val="-2"/>
          <w:sz w:val="24"/>
          <w:szCs w:val="24"/>
        </w:rPr>
        <w:t>(2)供应商必须就所竞标的分标的单项内容作唯一报价。</w:t>
      </w:r>
    </w:p>
    <w:p w14:paraId="614482A3">
      <w:pPr>
        <w:keepNext w:val="0"/>
        <w:keepLines w:val="0"/>
        <w:pageBreakBefore w:val="0"/>
        <w:kinsoku/>
        <w:wordWrap/>
        <w:overflowPunct/>
        <w:topLinePunct w:val="0"/>
        <w:bidi w:val="0"/>
        <w:spacing w:before="185" w:line="289" w:lineRule="auto"/>
        <w:ind w:left="6" w:right="2" w:firstLine="485"/>
        <w:rPr>
          <w:rFonts w:ascii="宋体" w:hAnsi="宋体" w:eastAsia="宋体" w:cs="宋体"/>
          <w:sz w:val="24"/>
          <w:szCs w:val="24"/>
        </w:rPr>
      </w:pPr>
      <w:r>
        <w:rPr>
          <w:rFonts w:ascii="宋体" w:hAnsi="宋体" w:eastAsia="宋体" w:cs="宋体"/>
          <w:spacing w:val="-2"/>
          <w:sz w:val="24"/>
          <w:szCs w:val="24"/>
        </w:rPr>
        <w:t>（3）响应报价(包含首次报价、最后报价)超过所竞标规定的采购预算金额或者最</w:t>
      </w:r>
      <w:r>
        <w:rPr>
          <w:rFonts w:ascii="宋体" w:hAnsi="宋体" w:eastAsia="宋体" w:cs="宋体"/>
          <w:spacing w:val="-1"/>
          <w:sz w:val="24"/>
          <w:szCs w:val="24"/>
        </w:rPr>
        <w:t>高限价的，其响应文件将作无效处理。</w:t>
      </w:r>
    </w:p>
    <w:p w14:paraId="6F044530">
      <w:pPr>
        <w:keepNext w:val="0"/>
        <w:keepLines w:val="0"/>
        <w:pageBreakBefore w:val="0"/>
        <w:kinsoku/>
        <w:wordWrap/>
        <w:overflowPunct/>
        <w:topLinePunct w:val="0"/>
        <w:bidi w:val="0"/>
        <w:spacing w:before="185" w:line="220" w:lineRule="auto"/>
        <w:ind w:left="497"/>
        <w:rPr>
          <w:rFonts w:ascii="宋体" w:hAnsi="宋体" w:eastAsia="宋体" w:cs="宋体"/>
          <w:sz w:val="24"/>
          <w:szCs w:val="24"/>
        </w:rPr>
      </w:pPr>
      <w:r>
        <w:rPr>
          <w:rFonts w:ascii="宋体" w:hAnsi="宋体" w:eastAsia="宋体" w:cs="宋体"/>
          <w:spacing w:val="-4"/>
          <w:sz w:val="24"/>
          <w:szCs w:val="24"/>
        </w:rPr>
        <w:t>16.竞标有效期</w:t>
      </w:r>
    </w:p>
    <w:p w14:paraId="3ECA6D40">
      <w:pPr>
        <w:keepNext w:val="0"/>
        <w:keepLines w:val="0"/>
        <w:pageBreakBefore w:val="0"/>
        <w:kinsoku/>
        <w:wordWrap/>
        <w:overflowPunct/>
        <w:topLinePunct w:val="0"/>
        <w:bidi w:val="0"/>
        <w:spacing w:before="183" w:line="313" w:lineRule="auto"/>
        <w:ind w:left="2" w:right="2" w:firstLine="494"/>
        <w:rPr>
          <w:rFonts w:ascii="宋体" w:hAnsi="宋体" w:eastAsia="宋体" w:cs="宋体"/>
          <w:sz w:val="24"/>
          <w:szCs w:val="24"/>
        </w:rPr>
      </w:pPr>
      <w:r>
        <w:rPr>
          <w:rFonts w:ascii="宋体" w:hAnsi="宋体" w:eastAsia="宋体" w:cs="宋体"/>
          <w:spacing w:val="1"/>
          <w:sz w:val="24"/>
          <w:szCs w:val="24"/>
        </w:rPr>
        <w:t>16.1竞标有效期是指为保证采购人有足够的时间在提交响应文件后完成评审、确</w:t>
      </w:r>
      <w:r>
        <w:rPr>
          <w:rFonts w:ascii="宋体" w:hAnsi="宋体" w:eastAsia="宋体" w:cs="宋体"/>
          <w:spacing w:val="-2"/>
          <w:sz w:val="24"/>
          <w:szCs w:val="24"/>
        </w:rPr>
        <w:t>定成交供应商、合同签订等工作而要求供应商提交的响应文件在一定时间内保持有效的</w:t>
      </w:r>
      <w:r>
        <w:rPr>
          <w:rFonts w:ascii="宋体" w:hAnsi="宋体" w:eastAsia="宋体" w:cs="宋体"/>
          <w:spacing w:val="-5"/>
          <w:sz w:val="24"/>
          <w:szCs w:val="24"/>
        </w:rPr>
        <w:t>期限。</w:t>
      </w:r>
    </w:p>
    <w:p w14:paraId="4E325075">
      <w:pPr>
        <w:keepNext w:val="0"/>
        <w:keepLines w:val="0"/>
        <w:pageBreakBefore w:val="0"/>
        <w:kinsoku/>
        <w:wordWrap/>
        <w:overflowPunct/>
        <w:topLinePunct w:val="0"/>
        <w:bidi w:val="0"/>
        <w:spacing w:before="182" w:line="219" w:lineRule="auto"/>
        <w:ind w:left="497"/>
        <w:rPr>
          <w:rFonts w:ascii="宋体" w:hAnsi="宋体" w:eastAsia="宋体" w:cs="宋体"/>
          <w:sz w:val="24"/>
          <w:szCs w:val="24"/>
        </w:rPr>
      </w:pPr>
      <w:r>
        <w:rPr>
          <w:rFonts w:ascii="宋体" w:hAnsi="宋体" w:eastAsia="宋体" w:cs="宋体"/>
          <w:spacing w:val="-2"/>
          <w:sz w:val="24"/>
          <w:szCs w:val="24"/>
        </w:rPr>
        <w:t>16.2竞标有效期应由供应商按“供应商须知前附表”规定的期限作出响应。</w:t>
      </w:r>
    </w:p>
    <w:p w14:paraId="1265D846">
      <w:pPr>
        <w:keepNext w:val="0"/>
        <w:keepLines w:val="0"/>
        <w:pageBreakBefore w:val="0"/>
        <w:kinsoku/>
        <w:wordWrap/>
        <w:overflowPunct/>
        <w:topLinePunct w:val="0"/>
        <w:bidi w:val="0"/>
        <w:spacing w:before="183" w:line="290" w:lineRule="auto"/>
        <w:ind w:left="497" w:right="2994"/>
        <w:rPr>
          <w:rFonts w:ascii="宋体" w:hAnsi="宋体" w:eastAsia="宋体" w:cs="宋体"/>
          <w:sz w:val="24"/>
          <w:szCs w:val="24"/>
        </w:rPr>
      </w:pPr>
      <w:r>
        <w:rPr>
          <w:rFonts w:ascii="宋体" w:hAnsi="宋体" w:eastAsia="宋体" w:cs="宋体"/>
          <w:spacing w:val="-3"/>
          <w:sz w:val="24"/>
          <w:szCs w:val="24"/>
        </w:rPr>
        <w:t>16.3供应商的响应文件在竞标有效期内均保持有效。</w:t>
      </w:r>
      <w:r>
        <w:rPr>
          <w:rFonts w:ascii="宋体" w:hAnsi="宋体" w:eastAsia="宋体" w:cs="宋体"/>
          <w:spacing w:val="-4"/>
          <w:sz w:val="24"/>
          <w:szCs w:val="24"/>
        </w:rPr>
        <w:t>17.磋商保证金</w:t>
      </w:r>
    </w:p>
    <w:p w14:paraId="62E94210">
      <w:pPr>
        <w:keepNext w:val="0"/>
        <w:keepLines w:val="0"/>
        <w:pageBreakBefore w:val="0"/>
        <w:kinsoku/>
        <w:wordWrap/>
        <w:overflowPunct/>
        <w:topLinePunct w:val="0"/>
        <w:bidi w:val="0"/>
        <w:spacing w:before="182" w:line="347" w:lineRule="auto"/>
        <w:ind w:left="496" w:right="5994" w:hanging="494"/>
        <w:rPr>
          <w:rFonts w:hint="eastAsia" w:ascii="宋体" w:hAnsi="宋体" w:eastAsia="宋体" w:cs="宋体"/>
          <w:sz w:val="24"/>
          <w:szCs w:val="24"/>
          <w:lang w:eastAsia="zh-CN"/>
        </w:rPr>
      </w:pPr>
      <w:r>
        <w:rPr>
          <w:rFonts w:ascii="宋体" w:hAnsi="宋体" w:eastAsia="宋体" w:cs="宋体"/>
          <w:spacing w:val="-7"/>
          <w:sz w:val="24"/>
          <w:szCs w:val="24"/>
        </w:rPr>
        <w:t>详见“供应商须知前附表”。</w:t>
      </w:r>
    </w:p>
    <w:p w14:paraId="25D155B7">
      <w:pPr>
        <w:keepNext w:val="0"/>
        <w:keepLines w:val="0"/>
        <w:pageBreakBefore w:val="0"/>
        <w:kinsoku/>
        <w:wordWrap/>
        <w:overflowPunct/>
        <w:topLinePunct w:val="0"/>
        <w:bidi w:val="0"/>
        <w:spacing w:before="182" w:line="347" w:lineRule="auto"/>
        <w:ind w:left="499" w:leftChars="199" w:right="5994" w:hanging="81" w:hangingChars="35"/>
        <w:rPr>
          <w:rFonts w:ascii="宋体" w:hAnsi="宋体" w:eastAsia="宋体" w:cs="宋体"/>
          <w:sz w:val="24"/>
          <w:szCs w:val="24"/>
        </w:rPr>
      </w:pPr>
      <w:r>
        <w:rPr>
          <w:rFonts w:ascii="宋体" w:hAnsi="宋体" w:eastAsia="宋体" w:cs="宋体"/>
          <w:spacing w:val="-3"/>
          <w:sz w:val="24"/>
          <w:szCs w:val="24"/>
        </w:rPr>
        <w:t>18.响应文件编制的要求</w:t>
      </w:r>
    </w:p>
    <w:p w14:paraId="73E422F8">
      <w:pPr>
        <w:keepNext w:val="0"/>
        <w:keepLines w:val="0"/>
        <w:pageBreakBefore w:val="0"/>
        <w:kinsoku/>
        <w:wordWrap/>
        <w:overflowPunct/>
        <w:topLinePunct w:val="0"/>
        <w:bidi w:val="0"/>
        <w:spacing w:before="78" w:line="351" w:lineRule="auto"/>
        <w:ind w:left="13" w:right="80" w:firstLine="480" w:firstLineChars="200"/>
        <w:jc w:val="both"/>
        <w:rPr>
          <w:rFonts w:ascii="宋体" w:hAnsi="宋体" w:eastAsia="宋体" w:cs="宋体"/>
          <w:sz w:val="24"/>
          <w:szCs w:val="24"/>
        </w:rPr>
      </w:pPr>
      <w:r>
        <w:rPr>
          <w:rFonts w:ascii="宋体" w:hAnsi="宋体" w:eastAsia="宋体" w:cs="宋体"/>
          <w:sz w:val="24"/>
          <w:szCs w:val="24"/>
        </w:rPr>
        <w:t>18.1各供应商在编制响应文件时请按照磋商文件“响应文件格式”规定的格式进</w:t>
      </w:r>
      <w:r>
        <w:rPr>
          <w:rFonts w:ascii="宋体" w:hAnsi="宋体" w:eastAsia="宋体" w:cs="宋体"/>
          <w:spacing w:val="-2"/>
          <w:sz w:val="24"/>
          <w:szCs w:val="24"/>
        </w:rPr>
        <w:t>行，混乱的编排导致响应文件被误读或磋商小组查找不到有效文件是供应商的风险。不完整、编排混乱导致响应文件被误读、漏读或者查找不到相关内容的，由此引发的后果由供应商承担。</w:t>
      </w:r>
    </w:p>
    <w:p w14:paraId="2845EA82">
      <w:pPr>
        <w:keepNext w:val="0"/>
        <w:keepLines w:val="0"/>
        <w:pageBreakBefore w:val="0"/>
        <w:kinsoku/>
        <w:wordWrap/>
        <w:overflowPunct/>
        <w:topLinePunct w:val="0"/>
        <w:bidi w:val="0"/>
        <w:spacing w:before="35" w:line="218" w:lineRule="auto"/>
        <w:ind w:left="509"/>
        <w:rPr>
          <w:rFonts w:ascii="宋体" w:hAnsi="宋体" w:eastAsia="宋体" w:cs="宋体"/>
          <w:sz w:val="24"/>
          <w:szCs w:val="24"/>
        </w:rPr>
      </w:pPr>
      <w:r>
        <w:rPr>
          <w:rFonts w:ascii="宋体" w:hAnsi="宋体" w:eastAsia="宋体" w:cs="宋体"/>
          <w:spacing w:val="-1"/>
          <w:sz w:val="24"/>
          <w:szCs w:val="24"/>
        </w:rPr>
        <w:t>18.2响应文件应按资格证明、报价分别编制，商务技术文件合并编制。</w:t>
      </w:r>
    </w:p>
    <w:p w14:paraId="519FE5B6">
      <w:pPr>
        <w:keepNext w:val="0"/>
        <w:keepLines w:val="0"/>
        <w:pageBreakBefore w:val="0"/>
        <w:kinsoku/>
        <w:wordWrap/>
        <w:overflowPunct/>
        <w:topLinePunct w:val="0"/>
        <w:bidi w:val="0"/>
        <w:spacing w:before="183" w:line="290" w:lineRule="auto"/>
        <w:ind w:left="24" w:right="80" w:firstLine="485"/>
        <w:rPr>
          <w:rFonts w:ascii="宋体" w:hAnsi="宋体" w:eastAsia="宋体" w:cs="宋体"/>
          <w:sz w:val="24"/>
          <w:szCs w:val="24"/>
        </w:rPr>
      </w:pPr>
      <w:r>
        <w:rPr>
          <w:rFonts w:ascii="宋体" w:hAnsi="宋体" w:eastAsia="宋体" w:cs="宋体"/>
          <w:sz w:val="24"/>
          <w:szCs w:val="24"/>
        </w:rPr>
        <w:t>18.3响应文件须由供应商在“响应文件格式”规定位置进行签署、盖章，否则其</w:t>
      </w:r>
      <w:r>
        <w:rPr>
          <w:rFonts w:ascii="宋体" w:hAnsi="宋体" w:eastAsia="宋体" w:cs="宋体"/>
          <w:spacing w:val="-2"/>
          <w:sz w:val="24"/>
          <w:szCs w:val="24"/>
        </w:rPr>
        <w:t>响应文件按无效响应处理。</w:t>
      </w:r>
    </w:p>
    <w:p w14:paraId="201CF828">
      <w:pPr>
        <w:keepNext w:val="0"/>
        <w:keepLines w:val="0"/>
        <w:pageBreakBefore w:val="0"/>
        <w:kinsoku/>
        <w:wordWrap/>
        <w:overflowPunct/>
        <w:topLinePunct w:val="0"/>
        <w:bidi w:val="0"/>
        <w:spacing w:before="183" w:line="289" w:lineRule="auto"/>
        <w:ind w:left="11" w:right="80" w:firstLine="497"/>
        <w:rPr>
          <w:rFonts w:ascii="宋体" w:hAnsi="宋体" w:eastAsia="宋体" w:cs="宋体"/>
          <w:sz w:val="24"/>
          <w:szCs w:val="24"/>
        </w:rPr>
      </w:pPr>
      <w:r>
        <w:rPr>
          <w:rFonts w:ascii="宋体" w:hAnsi="宋体" w:eastAsia="宋体" w:cs="宋体"/>
          <w:spacing w:val="4"/>
          <w:sz w:val="24"/>
          <w:szCs w:val="24"/>
        </w:rPr>
        <w:t>18.4响应文件中标注的供应商名称应与营业执照(事业单位法人证书、执业许可</w:t>
      </w:r>
      <w:r>
        <w:rPr>
          <w:rFonts w:ascii="宋体" w:hAnsi="宋体" w:eastAsia="宋体" w:cs="宋体"/>
          <w:spacing w:val="-2"/>
          <w:sz w:val="24"/>
          <w:szCs w:val="24"/>
        </w:rPr>
        <w:t>证、自然人身份证)及电子公章一致，否则其响应文件按无效响应处理。</w:t>
      </w:r>
    </w:p>
    <w:p w14:paraId="0BB8107A">
      <w:pPr>
        <w:keepNext w:val="0"/>
        <w:keepLines w:val="0"/>
        <w:pageBreakBefore w:val="0"/>
        <w:kinsoku/>
        <w:wordWrap/>
        <w:overflowPunct/>
        <w:topLinePunct w:val="0"/>
        <w:bidi w:val="0"/>
        <w:spacing w:before="184" w:line="219" w:lineRule="auto"/>
        <w:jc w:val="center"/>
        <w:rPr>
          <w:rFonts w:ascii="宋体" w:hAnsi="宋体" w:eastAsia="宋体" w:cs="宋体"/>
          <w:sz w:val="24"/>
          <w:szCs w:val="24"/>
        </w:rPr>
      </w:pPr>
      <w:r>
        <w:rPr>
          <w:rFonts w:ascii="宋体" w:hAnsi="宋体" w:eastAsia="宋体" w:cs="宋体"/>
          <w:spacing w:val="-3"/>
          <w:sz w:val="24"/>
          <w:szCs w:val="24"/>
        </w:rPr>
        <w:t>18.5响应文件应避免涂改、行间插字或者删除，否则其响应文件按无效响应处理。</w:t>
      </w:r>
    </w:p>
    <w:p w14:paraId="06ACF070">
      <w:pPr>
        <w:keepNext w:val="0"/>
        <w:keepLines w:val="0"/>
        <w:pageBreakBefore w:val="0"/>
        <w:kinsoku/>
        <w:wordWrap/>
        <w:overflowPunct/>
        <w:topLinePunct w:val="0"/>
        <w:bidi w:val="0"/>
        <w:spacing w:before="183" w:line="219" w:lineRule="auto"/>
        <w:ind w:left="509"/>
        <w:rPr>
          <w:rFonts w:ascii="宋体" w:hAnsi="宋体" w:eastAsia="宋体" w:cs="宋体"/>
          <w:sz w:val="24"/>
          <w:szCs w:val="24"/>
        </w:rPr>
      </w:pPr>
      <w:r>
        <w:rPr>
          <w:rFonts w:ascii="宋体" w:hAnsi="宋体" w:eastAsia="宋体" w:cs="宋体"/>
          <w:spacing w:val="-3"/>
          <w:sz w:val="24"/>
          <w:szCs w:val="24"/>
        </w:rPr>
        <w:t>19、响应文件的编写</w:t>
      </w:r>
    </w:p>
    <w:p w14:paraId="485B06F5">
      <w:pPr>
        <w:keepNext w:val="0"/>
        <w:keepLines w:val="0"/>
        <w:pageBreakBefore w:val="0"/>
        <w:kinsoku/>
        <w:wordWrap/>
        <w:overflowPunct/>
        <w:topLinePunct w:val="0"/>
        <w:bidi w:val="0"/>
        <w:spacing w:before="183" w:line="351" w:lineRule="auto"/>
        <w:ind w:right="80" w:firstLine="491"/>
        <w:jc w:val="both"/>
        <w:rPr>
          <w:rFonts w:ascii="宋体" w:hAnsi="宋体" w:eastAsia="宋体" w:cs="宋体"/>
          <w:sz w:val="24"/>
          <w:szCs w:val="24"/>
        </w:rPr>
      </w:pPr>
      <w:r>
        <w:rPr>
          <w:rFonts w:ascii="宋体" w:hAnsi="宋体" w:eastAsia="宋体" w:cs="宋体"/>
          <w:sz w:val="24"/>
          <w:szCs w:val="24"/>
        </w:rPr>
        <w:t>供应商应按本章“1、响应文件的组成”中的要求提供响应文件，文件格式可参考</w:t>
      </w:r>
      <w:r>
        <w:rPr>
          <w:rFonts w:ascii="宋体" w:hAnsi="宋体" w:eastAsia="宋体" w:cs="宋体"/>
          <w:spacing w:val="-2"/>
          <w:sz w:val="24"/>
          <w:szCs w:val="24"/>
        </w:rPr>
        <w:t>“响应文件格式”。若表格的栏目设计不够，供应商可按照同一格式自制表格填</w:t>
      </w:r>
      <w:r>
        <w:rPr>
          <w:rFonts w:ascii="宋体" w:hAnsi="宋体" w:eastAsia="宋体" w:cs="宋体"/>
          <w:spacing w:val="-3"/>
          <w:sz w:val="24"/>
          <w:szCs w:val="24"/>
        </w:rPr>
        <w:t>写；未</w:t>
      </w:r>
      <w:r>
        <w:rPr>
          <w:rFonts w:ascii="宋体" w:hAnsi="宋体" w:eastAsia="宋体" w:cs="宋体"/>
          <w:sz w:val="24"/>
          <w:szCs w:val="24"/>
        </w:rPr>
        <w:t>提出的格式，供应商应自行拟定格式佐证响应。</w:t>
      </w:r>
    </w:p>
    <w:p w14:paraId="545D529E">
      <w:pPr>
        <w:keepNext w:val="0"/>
        <w:keepLines w:val="0"/>
        <w:pageBreakBefore w:val="0"/>
        <w:numPr>
          <w:ilvl w:val="0"/>
          <w:numId w:val="3"/>
        </w:numPr>
        <w:kinsoku/>
        <w:wordWrap/>
        <w:overflowPunct/>
        <w:topLinePunct w:val="0"/>
        <w:bidi w:val="0"/>
        <w:spacing w:before="35" w:line="219" w:lineRule="auto"/>
        <w:ind w:left="494"/>
        <w:rPr>
          <w:rFonts w:ascii="宋体" w:hAnsi="宋体" w:eastAsia="宋体" w:cs="宋体"/>
          <w:spacing w:val="-1"/>
          <w:sz w:val="24"/>
          <w:szCs w:val="24"/>
        </w:rPr>
      </w:pPr>
      <w:r>
        <w:rPr>
          <w:rFonts w:ascii="宋体" w:hAnsi="宋体" w:eastAsia="宋体" w:cs="宋体"/>
          <w:spacing w:val="-1"/>
          <w:sz w:val="24"/>
          <w:szCs w:val="24"/>
        </w:rPr>
        <w:t>响应文件的密封和标记</w:t>
      </w:r>
    </w:p>
    <w:p w14:paraId="50605409">
      <w:pPr>
        <w:keepNext w:val="0"/>
        <w:keepLines w:val="0"/>
        <w:pageBreakBefore w:val="0"/>
        <w:numPr>
          <w:ilvl w:val="0"/>
          <w:numId w:val="3"/>
        </w:numPr>
        <w:kinsoku/>
        <w:wordWrap/>
        <w:overflowPunct/>
        <w:topLinePunct w:val="0"/>
        <w:bidi w:val="0"/>
        <w:spacing w:before="35" w:line="219" w:lineRule="auto"/>
        <w:ind w:left="494"/>
        <w:rPr>
          <w:rFonts w:ascii="宋体" w:hAnsi="宋体" w:eastAsia="宋体" w:cs="宋体"/>
          <w:sz w:val="24"/>
          <w:szCs w:val="24"/>
        </w:rPr>
      </w:pPr>
      <w:r>
        <w:rPr>
          <w:rFonts w:ascii="宋体" w:hAnsi="宋体" w:eastAsia="宋体" w:cs="宋体"/>
          <w:spacing w:val="1"/>
          <w:sz w:val="24"/>
          <w:szCs w:val="24"/>
        </w:rPr>
        <w:t>20.1供应商进行电子交易应安装客户端软件—“</w:t>
      </w:r>
      <w:r>
        <w:rPr>
          <w:rFonts w:ascii="宋体" w:hAnsi="宋体" w:eastAsia="宋体" w:cs="宋体"/>
          <w:sz w:val="24"/>
          <w:szCs w:val="24"/>
        </w:rPr>
        <w:t>政采云电子交易客户端”，并按</w:t>
      </w:r>
      <w:r>
        <w:rPr>
          <w:rFonts w:ascii="宋体" w:hAnsi="宋体" w:eastAsia="宋体" w:cs="宋体"/>
          <w:spacing w:val="-2"/>
          <w:sz w:val="24"/>
          <w:szCs w:val="24"/>
        </w:rPr>
        <w:t>照磋商文件和电子交易平台的要求编制并加密响应文件。供应商未按规定加密的响应文</w:t>
      </w:r>
      <w:r>
        <w:rPr>
          <w:rFonts w:ascii="宋体" w:hAnsi="宋体" w:eastAsia="宋体" w:cs="宋体"/>
          <w:spacing w:val="-1"/>
          <w:sz w:val="24"/>
          <w:szCs w:val="24"/>
        </w:rPr>
        <w:t>件，电子交易平台将拒收并提示。</w:t>
      </w:r>
    </w:p>
    <w:p w14:paraId="06208422">
      <w:pPr>
        <w:keepNext w:val="0"/>
        <w:keepLines w:val="0"/>
        <w:pageBreakBefore w:val="0"/>
        <w:kinsoku/>
        <w:wordWrap/>
        <w:overflowPunct/>
        <w:topLinePunct w:val="0"/>
        <w:bidi w:val="0"/>
        <w:spacing w:before="182" w:line="291" w:lineRule="auto"/>
        <w:ind w:left="18" w:right="80" w:firstLine="476"/>
        <w:rPr>
          <w:rFonts w:ascii="宋体" w:hAnsi="宋体" w:eastAsia="宋体" w:cs="宋体"/>
          <w:sz w:val="24"/>
          <w:szCs w:val="24"/>
        </w:rPr>
      </w:pPr>
      <w:r>
        <w:rPr>
          <w:rFonts w:ascii="宋体" w:hAnsi="宋体" w:eastAsia="宋体" w:cs="宋体"/>
          <w:spacing w:val="-3"/>
          <w:sz w:val="24"/>
          <w:szCs w:val="24"/>
        </w:rPr>
        <w:t>20.2使用“政采云电子交易客户端”需要提前申领CA数字证书，申领流程见政采</w:t>
      </w:r>
      <w:r>
        <w:rPr>
          <w:rFonts w:ascii="宋体" w:hAnsi="宋体" w:eastAsia="宋体" w:cs="宋体"/>
          <w:spacing w:val="-4"/>
          <w:sz w:val="24"/>
          <w:szCs w:val="24"/>
        </w:rPr>
        <w:t>云平台。</w:t>
      </w:r>
    </w:p>
    <w:p w14:paraId="5284EC83">
      <w:pPr>
        <w:keepNext w:val="0"/>
        <w:keepLines w:val="0"/>
        <w:pageBreakBefore w:val="0"/>
        <w:kinsoku/>
        <w:wordWrap/>
        <w:overflowPunct/>
        <w:topLinePunct w:val="0"/>
        <w:bidi w:val="0"/>
        <w:spacing w:before="180" w:line="313" w:lineRule="auto"/>
        <w:ind w:left="13" w:right="80" w:firstLine="480"/>
        <w:rPr>
          <w:rFonts w:ascii="宋体" w:hAnsi="宋体" w:eastAsia="宋体" w:cs="宋体"/>
          <w:sz w:val="24"/>
          <w:szCs w:val="24"/>
        </w:rPr>
      </w:pPr>
      <w:r>
        <w:rPr>
          <w:rFonts w:ascii="宋体" w:hAnsi="宋体" w:eastAsia="宋体" w:cs="宋体"/>
          <w:spacing w:val="2"/>
          <w:sz w:val="24"/>
          <w:szCs w:val="24"/>
        </w:rPr>
        <w:t>20.3为确保网上操作合法、有效和安全</w:t>
      </w:r>
      <w:r>
        <w:rPr>
          <w:rFonts w:ascii="宋体" w:hAnsi="宋体" w:eastAsia="宋体" w:cs="宋体"/>
          <w:spacing w:val="1"/>
          <w:sz w:val="24"/>
          <w:szCs w:val="24"/>
        </w:rPr>
        <w:t>，供应商应当在响应文件提交截止时间前</w:t>
      </w:r>
      <w:r>
        <w:rPr>
          <w:rFonts w:ascii="宋体" w:hAnsi="宋体" w:eastAsia="宋体" w:cs="宋体"/>
          <w:spacing w:val="-2"/>
          <w:sz w:val="24"/>
          <w:szCs w:val="24"/>
        </w:rPr>
        <w:t>完成在“政府采购云平台”的身份认证，确保在</w:t>
      </w:r>
      <w:r>
        <w:rPr>
          <w:rFonts w:ascii="宋体" w:hAnsi="宋体" w:eastAsia="宋体" w:cs="宋体"/>
          <w:spacing w:val="-3"/>
          <w:sz w:val="24"/>
          <w:szCs w:val="24"/>
        </w:rPr>
        <w:t>电子交易过程中能够对相关数据电文进</w:t>
      </w:r>
      <w:r>
        <w:rPr>
          <w:rFonts w:ascii="宋体" w:hAnsi="宋体" w:eastAsia="宋体" w:cs="宋体"/>
          <w:spacing w:val="-2"/>
          <w:sz w:val="24"/>
          <w:szCs w:val="24"/>
        </w:rPr>
        <w:t>行加密和使用电子签名。</w:t>
      </w:r>
    </w:p>
    <w:p w14:paraId="30295A69">
      <w:pPr>
        <w:keepNext w:val="0"/>
        <w:keepLines w:val="0"/>
        <w:pageBreakBefore w:val="0"/>
        <w:kinsoku/>
        <w:wordWrap/>
        <w:overflowPunct/>
        <w:topLinePunct w:val="0"/>
        <w:bidi w:val="0"/>
        <w:spacing w:before="184" w:line="289" w:lineRule="auto"/>
        <w:ind w:left="23" w:right="80" w:firstLine="471"/>
        <w:rPr>
          <w:rFonts w:ascii="宋体" w:hAnsi="宋体" w:eastAsia="宋体" w:cs="宋体"/>
          <w:sz w:val="24"/>
          <w:szCs w:val="24"/>
        </w:rPr>
      </w:pPr>
      <w:r>
        <w:rPr>
          <w:rFonts w:ascii="宋体" w:hAnsi="宋体" w:eastAsia="宋体" w:cs="宋体"/>
          <w:spacing w:val="2"/>
          <w:sz w:val="24"/>
          <w:szCs w:val="24"/>
        </w:rPr>
        <w:t>20.4供应商应按本磋商文件所规定的格</w:t>
      </w:r>
      <w:r>
        <w:rPr>
          <w:rFonts w:ascii="宋体" w:hAnsi="宋体" w:eastAsia="宋体" w:cs="宋体"/>
          <w:spacing w:val="1"/>
          <w:sz w:val="24"/>
          <w:szCs w:val="24"/>
        </w:rPr>
        <w:t>式、内容等编制响应文件，纸质响应文件</w:t>
      </w:r>
      <w:r>
        <w:rPr>
          <w:rFonts w:ascii="宋体" w:hAnsi="宋体" w:eastAsia="宋体" w:cs="宋体"/>
          <w:sz w:val="24"/>
          <w:szCs w:val="24"/>
        </w:rPr>
        <w:t>（可由电子投标文件直接打印生成）须在封面清楚标明</w:t>
      </w:r>
      <w:r>
        <w:rPr>
          <w:rFonts w:ascii="Times New Roman" w:hAnsi="Times New Roman" w:eastAsia="Times New Roman" w:cs="Times New Roman"/>
          <w:spacing w:val="-1"/>
          <w:sz w:val="24"/>
          <w:szCs w:val="24"/>
        </w:rPr>
        <w:t>“</w:t>
      </w:r>
      <w:r>
        <w:rPr>
          <w:rFonts w:ascii="宋体" w:hAnsi="宋体" w:eastAsia="宋体" w:cs="宋体"/>
          <w:spacing w:val="-1"/>
          <w:sz w:val="24"/>
          <w:szCs w:val="24"/>
        </w:rPr>
        <w:t>正本</w:t>
      </w:r>
      <w:r>
        <w:rPr>
          <w:rFonts w:ascii="Times New Roman" w:hAnsi="Times New Roman" w:eastAsia="Times New Roman" w:cs="Times New Roman"/>
          <w:spacing w:val="-1"/>
          <w:sz w:val="24"/>
          <w:szCs w:val="24"/>
        </w:rPr>
        <w:t>”</w:t>
      </w:r>
      <w:r>
        <w:rPr>
          <w:rFonts w:ascii="宋体" w:hAnsi="宋体" w:eastAsia="宋体" w:cs="宋体"/>
          <w:spacing w:val="-1"/>
          <w:sz w:val="24"/>
          <w:szCs w:val="24"/>
        </w:rPr>
        <w:t>或</w:t>
      </w:r>
      <w:r>
        <w:rPr>
          <w:rFonts w:ascii="Times New Roman" w:hAnsi="Times New Roman" w:eastAsia="Times New Roman" w:cs="Times New Roman"/>
          <w:spacing w:val="-1"/>
          <w:sz w:val="24"/>
          <w:szCs w:val="24"/>
        </w:rPr>
        <w:t>“</w:t>
      </w:r>
      <w:r>
        <w:rPr>
          <w:rFonts w:ascii="宋体" w:hAnsi="宋体" w:eastAsia="宋体" w:cs="宋体"/>
          <w:spacing w:val="-1"/>
          <w:sz w:val="24"/>
          <w:szCs w:val="24"/>
        </w:rPr>
        <w:t>副本</w:t>
      </w:r>
      <w:r>
        <w:rPr>
          <w:rFonts w:ascii="Times New Roman" w:hAnsi="Times New Roman" w:eastAsia="Times New Roman" w:cs="Times New Roman"/>
          <w:spacing w:val="-1"/>
          <w:sz w:val="24"/>
          <w:szCs w:val="24"/>
        </w:rPr>
        <w:t>”</w:t>
      </w:r>
      <w:r>
        <w:rPr>
          <w:rFonts w:ascii="宋体" w:hAnsi="宋体" w:eastAsia="宋体" w:cs="宋体"/>
          <w:spacing w:val="-1"/>
          <w:sz w:val="24"/>
          <w:szCs w:val="24"/>
        </w:rPr>
        <w:t>字样，并在每本</w:t>
      </w:r>
      <w:r>
        <w:rPr>
          <w:rFonts w:ascii="宋体" w:hAnsi="宋体" w:eastAsia="宋体" w:cs="宋体"/>
          <w:spacing w:val="-2"/>
          <w:sz w:val="24"/>
          <w:szCs w:val="24"/>
        </w:rPr>
        <w:t>响应文件封面标明正本（或副本）、项目名称及编号、供应商名称、时间。每本磋商文</w:t>
      </w:r>
      <w:r>
        <w:rPr>
          <w:rFonts w:ascii="宋体" w:hAnsi="宋体" w:eastAsia="宋体" w:cs="宋体"/>
          <w:spacing w:val="-1"/>
          <w:sz w:val="24"/>
          <w:szCs w:val="24"/>
        </w:rPr>
        <w:t>件装订方式应为左侧装订。</w:t>
      </w:r>
    </w:p>
    <w:p w14:paraId="7D8793BD">
      <w:pPr>
        <w:keepNext w:val="0"/>
        <w:keepLines w:val="0"/>
        <w:pageBreakBefore w:val="0"/>
        <w:kinsoku/>
        <w:wordWrap/>
        <w:overflowPunct/>
        <w:topLinePunct w:val="0"/>
        <w:bidi w:val="0"/>
        <w:spacing w:before="35" w:line="219" w:lineRule="auto"/>
        <w:ind w:left="494"/>
        <w:rPr>
          <w:rFonts w:ascii="宋体" w:hAnsi="宋体" w:eastAsia="宋体" w:cs="宋体"/>
          <w:sz w:val="24"/>
          <w:szCs w:val="24"/>
        </w:rPr>
      </w:pPr>
      <w:r>
        <w:rPr>
          <w:rFonts w:ascii="宋体" w:hAnsi="宋体" w:eastAsia="宋体" w:cs="宋体"/>
          <w:spacing w:val="-2"/>
          <w:sz w:val="24"/>
          <w:szCs w:val="24"/>
        </w:rPr>
        <w:t>21.响应文件的提交</w:t>
      </w:r>
    </w:p>
    <w:p w14:paraId="4793B04A">
      <w:pPr>
        <w:keepNext w:val="0"/>
        <w:keepLines w:val="0"/>
        <w:pageBreakBefore w:val="0"/>
        <w:kinsoku/>
        <w:wordWrap/>
        <w:overflowPunct/>
        <w:topLinePunct w:val="0"/>
        <w:bidi w:val="0"/>
        <w:spacing w:before="182" w:line="219" w:lineRule="auto"/>
        <w:ind w:left="494"/>
        <w:rPr>
          <w:rFonts w:ascii="宋体" w:hAnsi="宋体" w:eastAsia="宋体" w:cs="宋体"/>
          <w:sz w:val="24"/>
          <w:szCs w:val="24"/>
        </w:rPr>
      </w:pPr>
      <w:r>
        <w:rPr>
          <w:rFonts w:ascii="宋体" w:hAnsi="宋体" w:eastAsia="宋体" w:cs="宋体"/>
          <w:spacing w:val="-1"/>
          <w:sz w:val="24"/>
          <w:szCs w:val="24"/>
        </w:rPr>
        <w:t>21.1供应商必须在“供应商须知前附表”规定的时间</w:t>
      </w:r>
      <w:r>
        <w:rPr>
          <w:rFonts w:ascii="宋体" w:hAnsi="宋体" w:eastAsia="宋体" w:cs="宋体"/>
          <w:spacing w:val="-2"/>
          <w:sz w:val="24"/>
          <w:szCs w:val="24"/>
        </w:rPr>
        <w:t>和地点提交响应文件。</w:t>
      </w:r>
    </w:p>
    <w:p w14:paraId="1EC71363">
      <w:pPr>
        <w:keepNext w:val="0"/>
        <w:keepLines w:val="0"/>
        <w:pageBreakBefore w:val="0"/>
        <w:kinsoku/>
        <w:wordWrap/>
        <w:overflowPunct/>
        <w:topLinePunct w:val="0"/>
        <w:bidi w:val="0"/>
        <w:spacing w:before="185" w:line="219" w:lineRule="auto"/>
        <w:ind w:left="494"/>
        <w:rPr>
          <w:rFonts w:ascii="宋体" w:hAnsi="宋体" w:eastAsia="宋体" w:cs="宋体"/>
          <w:sz w:val="24"/>
          <w:szCs w:val="24"/>
        </w:rPr>
      </w:pPr>
      <w:r>
        <w:rPr>
          <w:rFonts w:ascii="宋体" w:hAnsi="宋体" w:eastAsia="宋体" w:cs="宋体"/>
          <w:spacing w:val="-1"/>
          <w:sz w:val="24"/>
          <w:szCs w:val="24"/>
        </w:rPr>
        <w:t>21.2在响应文件提交截止时间以后，不能补充、修改响应文件。</w:t>
      </w:r>
    </w:p>
    <w:p w14:paraId="2E48CC3B">
      <w:pPr>
        <w:keepNext w:val="0"/>
        <w:keepLines w:val="0"/>
        <w:pageBreakBefore w:val="0"/>
        <w:kinsoku/>
        <w:wordWrap/>
        <w:overflowPunct/>
        <w:topLinePunct w:val="0"/>
        <w:bidi w:val="0"/>
        <w:spacing w:before="183" w:line="220" w:lineRule="auto"/>
        <w:ind w:left="514"/>
        <w:rPr>
          <w:rFonts w:ascii="宋体" w:hAnsi="宋体" w:eastAsia="宋体" w:cs="宋体"/>
          <w:sz w:val="24"/>
          <w:szCs w:val="24"/>
        </w:rPr>
      </w:pPr>
      <w:r>
        <w:rPr>
          <w:rFonts w:ascii="宋体" w:hAnsi="宋体" w:eastAsia="宋体" w:cs="宋体"/>
          <w:b/>
          <w:bCs/>
          <w:spacing w:val="-7"/>
          <w:sz w:val="24"/>
          <w:szCs w:val="24"/>
        </w:rPr>
        <w:t>四、评审与磋商</w:t>
      </w:r>
    </w:p>
    <w:p w14:paraId="49CCDACE">
      <w:pPr>
        <w:keepNext w:val="0"/>
        <w:keepLines w:val="0"/>
        <w:pageBreakBefore w:val="0"/>
        <w:kinsoku/>
        <w:wordWrap/>
        <w:overflowPunct/>
        <w:topLinePunct w:val="0"/>
        <w:bidi w:val="0"/>
        <w:spacing w:before="78" w:line="313" w:lineRule="auto"/>
        <w:ind w:right="80" w:firstLine="482"/>
        <w:rPr>
          <w:rFonts w:ascii="宋体" w:hAnsi="宋体" w:eastAsia="宋体" w:cs="宋体"/>
          <w:spacing w:val="-2"/>
          <w:sz w:val="24"/>
          <w:szCs w:val="24"/>
        </w:rPr>
      </w:pPr>
      <w:r>
        <w:rPr>
          <w:rFonts w:ascii="宋体" w:hAnsi="宋体" w:eastAsia="宋体" w:cs="宋体"/>
          <w:spacing w:val="-2"/>
          <w:sz w:val="24"/>
          <w:szCs w:val="24"/>
        </w:rPr>
        <w:t>22、磋商小组</w:t>
      </w:r>
    </w:p>
    <w:p w14:paraId="7F30E852">
      <w:pPr>
        <w:keepNext w:val="0"/>
        <w:keepLines w:val="0"/>
        <w:pageBreakBefore w:val="0"/>
        <w:kinsoku/>
        <w:wordWrap/>
        <w:overflowPunct/>
        <w:topLinePunct w:val="0"/>
        <w:bidi w:val="0"/>
        <w:spacing w:before="78" w:line="313" w:lineRule="auto"/>
        <w:ind w:right="80" w:firstLine="482"/>
        <w:rPr>
          <w:rFonts w:ascii="宋体" w:hAnsi="宋体" w:eastAsia="宋体" w:cs="宋体"/>
          <w:sz w:val="24"/>
          <w:szCs w:val="24"/>
        </w:rPr>
      </w:pPr>
      <w:r>
        <w:rPr>
          <w:rFonts w:ascii="宋体" w:hAnsi="宋体" w:eastAsia="宋体" w:cs="宋体"/>
          <w:spacing w:val="-4"/>
          <w:sz w:val="24"/>
          <w:szCs w:val="24"/>
        </w:rPr>
        <w:t>22.1磋商小组由采购人代表和评审专家共3人以上单数组成，其中评审专</w:t>
      </w:r>
      <w:r>
        <w:rPr>
          <w:rFonts w:ascii="宋体" w:hAnsi="宋体" w:eastAsia="宋体" w:cs="宋体"/>
          <w:spacing w:val="-5"/>
          <w:sz w:val="24"/>
          <w:szCs w:val="24"/>
        </w:rPr>
        <w:t>家人数不</w:t>
      </w:r>
      <w:r>
        <w:rPr>
          <w:rFonts w:ascii="宋体" w:hAnsi="宋体" w:eastAsia="宋体" w:cs="宋体"/>
          <w:spacing w:val="-1"/>
          <w:sz w:val="24"/>
          <w:szCs w:val="24"/>
        </w:rPr>
        <w:t>得少于磋商小组成员总数的2/3。采购人代</w:t>
      </w:r>
      <w:r>
        <w:rPr>
          <w:rFonts w:ascii="宋体" w:hAnsi="宋体" w:eastAsia="宋体" w:cs="宋体"/>
          <w:spacing w:val="-2"/>
          <w:sz w:val="24"/>
          <w:szCs w:val="24"/>
        </w:rPr>
        <w:t>表不得以评审专家身份参加本部门或者本单</w:t>
      </w:r>
      <w:r>
        <w:rPr>
          <w:rFonts w:ascii="宋体" w:hAnsi="宋体" w:eastAsia="宋体" w:cs="宋体"/>
          <w:sz w:val="24"/>
          <w:szCs w:val="24"/>
        </w:rPr>
        <w:t>位采购项目的评审。采购代理机构人员不得参加本机构</w:t>
      </w:r>
      <w:r>
        <w:rPr>
          <w:rFonts w:ascii="宋体" w:hAnsi="宋体" w:eastAsia="宋体" w:cs="宋体"/>
          <w:spacing w:val="-1"/>
          <w:sz w:val="24"/>
          <w:szCs w:val="24"/>
        </w:rPr>
        <w:t>代理的采购项目的评审。</w:t>
      </w:r>
    </w:p>
    <w:p w14:paraId="55486C1C">
      <w:pPr>
        <w:keepNext w:val="0"/>
        <w:keepLines w:val="0"/>
        <w:pageBreakBefore w:val="0"/>
        <w:kinsoku/>
        <w:wordWrap/>
        <w:overflowPunct/>
        <w:topLinePunct w:val="0"/>
        <w:bidi w:val="0"/>
        <w:spacing w:before="182" w:line="325" w:lineRule="auto"/>
        <w:ind w:firstLine="483"/>
        <w:rPr>
          <w:rFonts w:ascii="宋体" w:hAnsi="宋体" w:eastAsia="宋体" w:cs="宋体"/>
          <w:sz w:val="24"/>
          <w:szCs w:val="24"/>
        </w:rPr>
      </w:pPr>
      <w:r>
        <w:rPr>
          <w:rFonts w:ascii="宋体" w:hAnsi="宋体" w:eastAsia="宋体" w:cs="宋体"/>
          <w:spacing w:val="2"/>
          <w:sz w:val="24"/>
          <w:szCs w:val="24"/>
        </w:rPr>
        <w:t>22.2评审专家应当从政府采购评审专家</w:t>
      </w:r>
      <w:r>
        <w:rPr>
          <w:rFonts w:ascii="宋体" w:hAnsi="宋体" w:eastAsia="宋体" w:cs="宋体"/>
          <w:spacing w:val="1"/>
          <w:sz w:val="24"/>
          <w:szCs w:val="24"/>
        </w:rPr>
        <w:t>库内相关专业的专家名单中随机抽取。市</w:t>
      </w:r>
      <w:r>
        <w:rPr>
          <w:rFonts w:ascii="宋体" w:hAnsi="宋体" w:eastAsia="宋体" w:cs="宋体"/>
          <w:spacing w:val="-2"/>
          <w:sz w:val="24"/>
          <w:szCs w:val="24"/>
        </w:rPr>
        <w:t>场竞争不充分的科研项目，以及需要扶持的科技成果转化项目，以及情况特殊、通过随</w:t>
      </w:r>
      <w:r>
        <w:rPr>
          <w:rFonts w:ascii="宋体" w:hAnsi="宋体" w:eastAsia="宋体" w:cs="宋体"/>
          <w:spacing w:val="-6"/>
          <w:sz w:val="24"/>
          <w:szCs w:val="24"/>
        </w:rPr>
        <w:t>机方式难以确定合适的评审专家的项目，经主管预算单位同意，可以自行选定评审专家。</w:t>
      </w:r>
      <w:r>
        <w:rPr>
          <w:rFonts w:ascii="宋体" w:hAnsi="宋体" w:eastAsia="宋体" w:cs="宋体"/>
          <w:spacing w:val="-2"/>
          <w:sz w:val="24"/>
          <w:szCs w:val="24"/>
        </w:rPr>
        <w:t>技术复杂、专业性强的采购项目，评审专家中应当包含1名法律专家。</w:t>
      </w:r>
    </w:p>
    <w:p w14:paraId="525C5A49">
      <w:pPr>
        <w:keepNext w:val="0"/>
        <w:keepLines w:val="0"/>
        <w:pageBreakBefore w:val="0"/>
        <w:kinsoku/>
        <w:wordWrap/>
        <w:overflowPunct/>
        <w:topLinePunct w:val="0"/>
        <w:bidi w:val="0"/>
        <w:spacing w:before="184" w:line="289" w:lineRule="auto"/>
        <w:ind w:left="6" w:right="120" w:firstLine="477"/>
        <w:rPr>
          <w:rFonts w:ascii="宋体" w:hAnsi="宋体" w:eastAsia="宋体" w:cs="宋体"/>
          <w:sz w:val="24"/>
          <w:szCs w:val="24"/>
        </w:rPr>
      </w:pPr>
      <w:r>
        <w:rPr>
          <w:rFonts w:ascii="宋体" w:hAnsi="宋体" w:eastAsia="宋体" w:cs="宋体"/>
          <w:sz w:val="24"/>
          <w:szCs w:val="24"/>
        </w:rPr>
        <w:t>22.3磋商小组将在磋商文件规定的时间和地点集中与单一供应商分别进行磋商。</w:t>
      </w:r>
      <w:r>
        <w:rPr>
          <w:rFonts w:ascii="宋体" w:hAnsi="宋体" w:eastAsia="宋体" w:cs="宋体"/>
          <w:spacing w:val="-1"/>
          <w:sz w:val="24"/>
          <w:szCs w:val="24"/>
        </w:rPr>
        <w:t>并给予所有参加磋商的供应商平等的磋商机会。</w:t>
      </w:r>
    </w:p>
    <w:p w14:paraId="0B2811D5">
      <w:pPr>
        <w:keepNext w:val="0"/>
        <w:keepLines w:val="0"/>
        <w:pageBreakBefore w:val="0"/>
        <w:kinsoku/>
        <w:wordWrap/>
        <w:overflowPunct/>
        <w:topLinePunct w:val="0"/>
        <w:bidi w:val="0"/>
        <w:spacing w:before="183" w:line="332" w:lineRule="auto"/>
        <w:ind w:right="77" w:firstLine="483"/>
        <w:rPr>
          <w:rFonts w:ascii="宋体" w:hAnsi="宋体" w:eastAsia="宋体" w:cs="宋体"/>
          <w:sz w:val="24"/>
          <w:szCs w:val="24"/>
        </w:rPr>
      </w:pPr>
      <w:r>
        <w:rPr>
          <w:rFonts w:ascii="宋体" w:hAnsi="宋体" w:eastAsia="宋体" w:cs="宋体"/>
          <w:spacing w:val="2"/>
          <w:sz w:val="24"/>
          <w:szCs w:val="24"/>
        </w:rPr>
        <w:t>22.4采购代理机构将在“供应商须知前附表”规定的时间通过电子交易平</w:t>
      </w:r>
      <w:r>
        <w:rPr>
          <w:rFonts w:ascii="宋体" w:hAnsi="宋体" w:eastAsia="宋体" w:cs="宋体"/>
          <w:spacing w:val="1"/>
          <w:sz w:val="24"/>
          <w:szCs w:val="24"/>
        </w:rPr>
        <w:t>台组织</w:t>
      </w:r>
      <w:r>
        <w:rPr>
          <w:rFonts w:ascii="宋体" w:hAnsi="宋体" w:eastAsia="宋体" w:cs="宋体"/>
          <w:spacing w:val="-2"/>
          <w:sz w:val="24"/>
          <w:szCs w:val="24"/>
        </w:rPr>
        <w:t>响应文件开启采购机构依托电子交易平台发起开始解密指令，供应商的法定代表人或其</w:t>
      </w:r>
      <w:r>
        <w:rPr>
          <w:rFonts w:ascii="宋体" w:hAnsi="宋体" w:eastAsia="宋体" w:cs="宋体"/>
          <w:spacing w:val="8"/>
          <w:sz w:val="24"/>
          <w:szCs w:val="24"/>
        </w:rPr>
        <w:t>委托代理人须携带加密时所用的</w:t>
      </w:r>
      <w:r>
        <w:rPr>
          <w:rFonts w:ascii="宋体" w:hAnsi="宋体" w:eastAsia="宋体" w:cs="宋体"/>
          <w:sz w:val="24"/>
          <w:szCs w:val="24"/>
        </w:rPr>
        <w:t>CA</w:t>
      </w:r>
      <w:r>
        <w:rPr>
          <w:rFonts w:ascii="宋体" w:hAnsi="宋体" w:eastAsia="宋体" w:cs="宋体"/>
          <w:spacing w:val="8"/>
          <w:sz w:val="24"/>
          <w:szCs w:val="24"/>
        </w:rPr>
        <w:t>锁按平台提示和采购文件的规定登录到“政采</w:t>
      </w:r>
      <w:r>
        <w:rPr>
          <w:rFonts w:ascii="宋体" w:hAnsi="宋体" w:eastAsia="宋体" w:cs="宋体"/>
          <w:spacing w:val="4"/>
          <w:sz w:val="24"/>
          <w:szCs w:val="24"/>
        </w:rPr>
        <w:t>云”平台电子开标大厅签到并在发起解密指令之时规定时间内完成对电子响应文件在</w:t>
      </w:r>
      <w:r>
        <w:rPr>
          <w:rFonts w:ascii="宋体" w:hAnsi="宋体" w:eastAsia="宋体" w:cs="宋体"/>
          <w:spacing w:val="-3"/>
          <w:sz w:val="24"/>
          <w:szCs w:val="24"/>
        </w:rPr>
        <w:t>线解密。</w:t>
      </w:r>
    </w:p>
    <w:p w14:paraId="325590A5">
      <w:pPr>
        <w:keepNext w:val="0"/>
        <w:keepLines w:val="0"/>
        <w:pageBreakBefore w:val="0"/>
        <w:kinsoku/>
        <w:wordWrap/>
        <w:overflowPunct/>
        <w:topLinePunct w:val="0"/>
        <w:bidi w:val="0"/>
        <w:spacing w:before="182" w:line="220" w:lineRule="auto"/>
        <w:ind w:left="509"/>
        <w:rPr>
          <w:rFonts w:ascii="宋体" w:hAnsi="宋体" w:eastAsia="宋体" w:cs="宋体"/>
          <w:sz w:val="24"/>
          <w:szCs w:val="24"/>
        </w:rPr>
      </w:pPr>
      <w:r>
        <w:rPr>
          <w:rFonts w:ascii="宋体" w:hAnsi="宋体" w:eastAsia="宋体" w:cs="宋体"/>
          <w:b/>
          <w:bCs/>
          <w:spacing w:val="-6"/>
          <w:sz w:val="24"/>
          <w:szCs w:val="24"/>
        </w:rPr>
        <w:t>电子交易活动的中止：</w:t>
      </w:r>
      <w:r>
        <w:rPr>
          <w:rFonts w:ascii="宋体" w:hAnsi="宋体" w:eastAsia="宋体" w:cs="宋体"/>
          <w:spacing w:val="-2"/>
          <w:sz w:val="24"/>
          <w:szCs w:val="24"/>
        </w:rPr>
        <w:t>采购过程中出现以下情形，导致电子交易平台无法正常运行，或者无法保证电子交</w:t>
      </w:r>
      <w:r>
        <w:rPr>
          <w:rFonts w:ascii="宋体" w:hAnsi="宋体" w:eastAsia="宋体" w:cs="宋体"/>
          <w:spacing w:val="-1"/>
          <w:sz w:val="24"/>
          <w:szCs w:val="24"/>
        </w:rPr>
        <w:t>易的公平、公正和安全时，采购机构可中止电子交易活动：</w:t>
      </w:r>
    </w:p>
    <w:p w14:paraId="30B7897C">
      <w:pPr>
        <w:keepNext w:val="0"/>
        <w:keepLines w:val="0"/>
        <w:pageBreakBefore w:val="0"/>
        <w:kinsoku/>
        <w:wordWrap/>
        <w:overflowPunct/>
        <w:topLinePunct w:val="0"/>
        <w:bidi w:val="0"/>
        <w:spacing w:before="36" w:line="219" w:lineRule="auto"/>
        <w:ind w:left="523"/>
        <w:rPr>
          <w:rFonts w:ascii="宋体" w:hAnsi="宋体" w:eastAsia="宋体" w:cs="宋体"/>
          <w:sz w:val="24"/>
          <w:szCs w:val="24"/>
        </w:rPr>
      </w:pPr>
      <w:r>
        <w:rPr>
          <w:rFonts w:ascii="宋体" w:hAnsi="宋体" w:eastAsia="宋体" w:cs="宋体"/>
          <w:spacing w:val="-3"/>
          <w:sz w:val="24"/>
          <w:szCs w:val="24"/>
        </w:rPr>
        <w:t>(1)电子交易平台发生故障而无法登录访问的；</w:t>
      </w:r>
    </w:p>
    <w:p w14:paraId="4ADBE03F">
      <w:pPr>
        <w:keepNext w:val="0"/>
        <w:keepLines w:val="0"/>
        <w:pageBreakBefore w:val="0"/>
        <w:kinsoku/>
        <w:wordWrap/>
        <w:overflowPunct/>
        <w:topLinePunct w:val="0"/>
        <w:bidi w:val="0"/>
        <w:spacing w:before="183" w:line="219" w:lineRule="auto"/>
        <w:ind w:left="523"/>
        <w:rPr>
          <w:rFonts w:ascii="宋体" w:hAnsi="宋体" w:eastAsia="宋体" w:cs="宋体"/>
          <w:sz w:val="24"/>
          <w:szCs w:val="24"/>
        </w:rPr>
      </w:pPr>
      <w:r>
        <w:rPr>
          <w:rFonts w:ascii="宋体" w:hAnsi="宋体" w:eastAsia="宋体" w:cs="宋体"/>
          <w:spacing w:val="-2"/>
          <w:sz w:val="24"/>
          <w:szCs w:val="24"/>
        </w:rPr>
        <w:t>(2)电子交易平台应用或数据库出现错误，不能进行正常操作的；</w:t>
      </w:r>
    </w:p>
    <w:p w14:paraId="2EAD4B93">
      <w:pPr>
        <w:keepNext w:val="0"/>
        <w:keepLines w:val="0"/>
        <w:pageBreakBefore w:val="0"/>
        <w:kinsoku/>
        <w:wordWrap/>
        <w:overflowPunct/>
        <w:topLinePunct w:val="0"/>
        <w:bidi w:val="0"/>
        <w:spacing w:before="183" w:line="220" w:lineRule="auto"/>
        <w:ind w:left="523"/>
        <w:rPr>
          <w:rFonts w:ascii="宋体" w:hAnsi="宋体" w:eastAsia="宋体" w:cs="宋体"/>
          <w:sz w:val="24"/>
          <w:szCs w:val="24"/>
        </w:rPr>
      </w:pPr>
      <w:r>
        <w:rPr>
          <w:rFonts w:ascii="宋体" w:hAnsi="宋体" w:eastAsia="宋体" w:cs="宋体"/>
          <w:spacing w:val="-2"/>
          <w:sz w:val="24"/>
          <w:szCs w:val="24"/>
        </w:rPr>
        <w:t>(3)电子交易平台发现严重安全漏洞，有潜在泄密危险的；</w:t>
      </w:r>
    </w:p>
    <w:p w14:paraId="7B07F0D4">
      <w:pPr>
        <w:keepNext w:val="0"/>
        <w:keepLines w:val="0"/>
        <w:pageBreakBefore w:val="0"/>
        <w:kinsoku/>
        <w:wordWrap/>
        <w:overflowPunct/>
        <w:topLinePunct w:val="0"/>
        <w:bidi w:val="0"/>
        <w:spacing w:before="182" w:line="219" w:lineRule="auto"/>
        <w:ind w:left="523"/>
        <w:rPr>
          <w:rFonts w:ascii="宋体" w:hAnsi="宋体" w:eastAsia="宋体" w:cs="宋体"/>
          <w:sz w:val="24"/>
          <w:szCs w:val="24"/>
        </w:rPr>
      </w:pPr>
      <w:r>
        <w:rPr>
          <w:rFonts w:ascii="宋体" w:hAnsi="宋体" w:eastAsia="宋体" w:cs="宋体"/>
          <w:spacing w:val="-3"/>
          <w:sz w:val="24"/>
          <w:szCs w:val="24"/>
        </w:rPr>
        <w:t>(4)病毒发作导致不能进行正常操作的；</w:t>
      </w:r>
    </w:p>
    <w:p w14:paraId="6C5C947B">
      <w:pPr>
        <w:keepNext w:val="0"/>
        <w:keepLines w:val="0"/>
        <w:pageBreakBefore w:val="0"/>
        <w:kinsoku/>
        <w:wordWrap/>
        <w:overflowPunct/>
        <w:topLinePunct w:val="0"/>
        <w:bidi w:val="0"/>
        <w:spacing w:before="183" w:line="220" w:lineRule="auto"/>
        <w:ind w:left="523"/>
        <w:rPr>
          <w:rFonts w:ascii="宋体" w:hAnsi="宋体" w:eastAsia="宋体" w:cs="宋体"/>
          <w:sz w:val="24"/>
          <w:szCs w:val="24"/>
        </w:rPr>
      </w:pPr>
      <w:r>
        <w:rPr>
          <w:rFonts w:ascii="宋体" w:hAnsi="宋体" w:eastAsia="宋体" w:cs="宋体"/>
          <w:spacing w:val="-2"/>
          <w:sz w:val="24"/>
          <w:szCs w:val="24"/>
        </w:rPr>
        <w:t>(5)其他无法保证电子交易的公平、公正和安全的情况。</w:t>
      </w:r>
    </w:p>
    <w:p w14:paraId="1587FBD3">
      <w:pPr>
        <w:keepNext w:val="0"/>
        <w:keepLines w:val="0"/>
        <w:pageBreakBefore w:val="0"/>
        <w:kinsoku/>
        <w:wordWrap/>
        <w:overflowPunct/>
        <w:topLinePunct w:val="0"/>
        <w:bidi w:val="0"/>
        <w:spacing w:before="180" w:line="354" w:lineRule="auto"/>
        <w:ind w:right="18" w:firstLine="500"/>
        <w:jc w:val="both"/>
        <w:rPr>
          <w:rFonts w:ascii="宋体" w:hAnsi="宋体" w:eastAsia="宋体" w:cs="宋体"/>
          <w:sz w:val="24"/>
          <w:szCs w:val="24"/>
        </w:rPr>
      </w:pPr>
      <w:r>
        <w:rPr>
          <w:rFonts w:ascii="宋体" w:hAnsi="宋体" w:eastAsia="宋体" w:cs="宋体"/>
          <w:spacing w:val="-2"/>
          <w:sz w:val="24"/>
          <w:szCs w:val="24"/>
        </w:rPr>
        <w:t>出现以上情形，不影响采购公平、公正性的，采购组织机构可以</w:t>
      </w:r>
      <w:r>
        <w:rPr>
          <w:rFonts w:ascii="宋体" w:hAnsi="宋体" w:eastAsia="宋体" w:cs="宋体"/>
          <w:spacing w:val="-3"/>
          <w:sz w:val="24"/>
          <w:szCs w:val="24"/>
        </w:rPr>
        <w:t>待上述情形消除后</w:t>
      </w:r>
      <w:r>
        <w:rPr>
          <w:rFonts w:ascii="宋体" w:hAnsi="宋体" w:eastAsia="宋体" w:cs="宋体"/>
          <w:spacing w:val="-6"/>
          <w:sz w:val="24"/>
          <w:szCs w:val="24"/>
        </w:rPr>
        <w:t>继续组织电子交易活动；影响或可能影响采购公平、公正性的，经采购代理机构确</w:t>
      </w:r>
      <w:r>
        <w:rPr>
          <w:rFonts w:ascii="宋体" w:hAnsi="宋体" w:eastAsia="宋体" w:cs="宋体"/>
          <w:spacing w:val="-7"/>
          <w:sz w:val="24"/>
          <w:szCs w:val="24"/>
        </w:rPr>
        <w:t>认后，</w:t>
      </w:r>
      <w:r>
        <w:rPr>
          <w:rFonts w:ascii="宋体" w:hAnsi="宋体" w:eastAsia="宋体" w:cs="宋体"/>
          <w:spacing w:val="-2"/>
          <w:sz w:val="24"/>
          <w:szCs w:val="24"/>
        </w:rPr>
        <w:t>应当重新采购。采购代理机构必须对原有的资料及信息作出妥善保密处理，并报财政部</w:t>
      </w:r>
      <w:r>
        <w:rPr>
          <w:rFonts w:ascii="宋体" w:hAnsi="宋体" w:eastAsia="宋体" w:cs="宋体"/>
          <w:spacing w:val="-3"/>
          <w:sz w:val="24"/>
          <w:szCs w:val="24"/>
        </w:rPr>
        <w:t>门备案。</w:t>
      </w:r>
    </w:p>
    <w:p w14:paraId="3EA8DBD6">
      <w:pPr>
        <w:keepNext w:val="0"/>
        <w:keepLines w:val="0"/>
        <w:pageBreakBefore w:val="0"/>
        <w:kinsoku/>
        <w:wordWrap/>
        <w:overflowPunct/>
        <w:topLinePunct w:val="0"/>
        <w:bidi w:val="0"/>
        <w:spacing w:before="34" w:line="346" w:lineRule="auto"/>
        <w:ind w:left="2" w:right="80" w:firstLine="481"/>
        <w:rPr>
          <w:rFonts w:ascii="宋体" w:hAnsi="宋体" w:eastAsia="宋体" w:cs="宋体"/>
          <w:sz w:val="24"/>
          <w:szCs w:val="24"/>
        </w:rPr>
      </w:pPr>
      <w:r>
        <w:rPr>
          <w:rFonts w:ascii="宋体" w:hAnsi="宋体" w:eastAsia="宋体" w:cs="宋体"/>
          <w:spacing w:val="-3"/>
          <w:sz w:val="24"/>
          <w:szCs w:val="24"/>
        </w:rPr>
        <w:t>如供应商成功解密响应文件，但未在“政采云”电子开标大厅参加谈判的，视同认</w:t>
      </w:r>
      <w:r>
        <w:rPr>
          <w:rFonts w:ascii="宋体" w:hAnsi="宋体" w:eastAsia="宋体" w:cs="宋体"/>
          <w:spacing w:val="-1"/>
          <w:sz w:val="24"/>
          <w:szCs w:val="24"/>
        </w:rPr>
        <w:t>可谈判过程和结果，由此产生的后果由供应商自行负责。</w:t>
      </w:r>
    </w:p>
    <w:p w14:paraId="44A04364">
      <w:pPr>
        <w:keepNext w:val="0"/>
        <w:keepLines w:val="0"/>
        <w:pageBreakBefore w:val="0"/>
        <w:kinsoku/>
        <w:wordWrap/>
        <w:overflowPunct/>
        <w:topLinePunct w:val="0"/>
        <w:bidi w:val="0"/>
        <w:spacing w:before="35" w:line="290" w:lineRule="auto"/>
        <w:ind w:left="4" w:right="18" w:firstLine="479"/>
        <w:rPr>
          <w:rFonts w:ascii="宋体" w:hAnsi="宋体" w:eastAsia="宋体" w:cs="宋体"/>
          <w:sz w:val="24"/>
          <w:szCs w:val="24"/>
        </w:rPr>
      </w:pPr>
      <w:r>
        <w:rPr>
          <w:rFonts w:ascii="宋体" w:hAnsi="宋体" w:eastAsia="宋体" w:cs="宋体"/>
          <w:spacing w:val="-8"/>
          <w:sz w:val="24"/>
          <w:szCs w:val="24"/>
        </w:rPr>
        <w:t>22.4磋商过程中，磋商小组成员不得与供应商私下交换意见，并在磋商工作结束后，</w:t>
      </w:r>
      <w:r>
        <w:rPr>
          <w:rFonts w:ascii="宋体" w:hAnsi="宋体" w:eastAsia="宋体" w:cs="宋体"/>
          <w:spacing w:val="-2"/>
          <w:sz w:val="24"/>
          <w:szCs w:val="24"/>
        </w:rPr>
        <w:t>不得将磋商情况进行泄露。</w:t>
      </w:r>
    </w:p>
    <w:p w14:paraId="7492B1DB">
      <w:pPr>
        <w:keepNext w:val="0"/>
        <w:keepLines w:val="0"/>
        <w:pageBreakBefore w:val="0"/>
        <w:kinsoku/>
        <w:wordWrap/>
        <w:overflowPunct/>
        <w:topLinePunct w:val="0"/>
        <w:bidi w:val="0"/>
        <w:spacing w:before="183" w:line="223" w:lineRule="auto"/>
        <w:ind w:left="483"/>
        <w:rPr>
          <w:rFonts w:ascii="宋体" w:hAnsi="宋体" w:eastAsia="宋体" w:cs="宋体"/>
          <w:sz w:val="24"/>
          <w:szCs w:val="24"/>
        </w:rPr>
      </w:pPr>
      <w:r>
        <w:rPr>
          <w:rFonts w:ascii="宋体" w:hAnsi="宋体" w:eastAsia="宋体" w:cs="宋体"/>
          <w:spacing w:val="-8"/>
          <w:sz w:val="24"/>
          <w:szCs w:val="24"/>
        </w:rPr>
        <w:t>22.5回避</w:t>
      </w:r>
    </w:p>
    <w:p w14:paraId="5D3E814F">
      <w:pPr>
        <w:keepNext w:val="0"/>
        <w:keepLines w:val="0"/>
        <w:pageBreakBefore w:val="0"/>
        <w:kinsoku/>
        <w:wordWrap/>
        <w:overflowPunct/>
        <w:topLinePunct w:val="0"/>
        <w:bidi w:val="0"/>
        <w:spacing w:before="79" w:line="351" w:lineRule="auto"/>
        <w:ind w:left="2" w:firstLine="477"/>
        <w:rPr>
          <w:rFonts w:ascii="宋体" w:hAnsi="宋体" w:eastAsia="宋体" w:cs="宋体"/>
          <w:sz w:val="24"/>
          <w:szCs w:val="24"/>
        </w:rPr>
      </w:pPr>
      <w:r>
        <w:rPr>
          <w:rFonts w:ascii="宋体" w:hAnsi="宋体" w:eastAsia="宋体" w:cs="宋体"/>
          <w:spacing w:val="-2"/>
          <w:sz w:val="24"/>
          <w:szCs w:val="24"/>
        </w:rPr>
        <w:t>评审专家不得参加与自己有利害关系的政府采购项目的评审活动。对与自己有利害关系的评审项目，如受到邀请，应主动提出回避。财政部门、采购人或采购代理机构也可要求该评审专家回避。</w:t>
      </w:r>
    </w:p>
    <w:p w14:paraId="7914F42D">
      <w:pPr>
        <w:keepNext w:val="0"/>
        <w:keepLines w:val="0"/>
        <w:pageBreakBefore w:val="0"/>
        <w:kinsoku/>
        <w:wordWrap/>
        <w:overflowPunct/>
        <w:topLinePunct w:val="0"/>
        <w:bidi w:val="0"/>
        <w:spacing w:before="33" w:line="220" w:lineRule="auto"/>
        <w:ind w:left="483"/>
        <w:rPr>
          <w:rFonts w:ascii="宋体" w:hAnsi="宋体" w:eastAsia="宋体" w:cs="宋体"/>
          <w:sz w:val="24"/>
          <w:szCs w:val="24"/>
        </w:rPr>
      </w:pPr>
      <w:r>
        <w:rPr>
          <w:rFonts w:ascii="宋体" w:hAnsi="宋体" w:eastAsia="宋体" w:cs="宋体"/>
          <w:spacing w:val="-2"/>
          <w:sz w:val="24"/>
          <w:szCs w:val="24"/>
        </w:rPr>
        <w:t>23、磋商程序</w:t>
      </w:r>
    </w:p>
    <w:p w14:paraId="3C4827A9">
      <w:pPr>
        <w:keepNext w:val="0"/>
        <w:keepLines w:val="0"/>
        <w:pageBreakBefore w:val="0"/>
        <w:kinsoku/>
        <w:wordWrap/>
        <w:overflowPunct/>
        <w:topLinePunct w:val="0"/>
        <w:bidi w:val="0"/>
        <w:spacing w:before="181" w:line="347" w:lineRule="auto"/>
        <w:ind w:left="3" w:firstLine="476"/>
        <w:rPr>
          <w:rFonts w:ascii="宋体" w:hAnsi="宋体" w:eastAsia="宋体" w:cs="宋体"/>
          <w:sz w:val="24"/>
          <w:szCs w:val="24"/>
        </w:rPr>
      </w:pPr>
      <w:r>
        <w:rPr>
          <w:rFonts w:ascii="宋体" w:hAnsi="宋体" w:eastAsia="宋体" w:cs="宋体"/>
          <w:spacing w:val="-2"/>
          <w:sz w:val="24"/>
          <w:szCs w:val="24"/>
        </w:rPr>
        <w:t>磋商小组将依照以下程序进行磋商评审，首先对响应文件进行资格性和符合性的初</w:t>
      </w:r>
      <w:r>
        <w:rPr>
          <w:rFonts w:ascii="宋体" w:hAnsi="宋体" w:eastAsia="宋体" w:cs="宋体"/>
          <w:spacing w:val="-4"/>
          <w:sz w:val="24"/>
          <w:szCs w:val="24"/>
        </w:rPr>
        <w:t>步审查：</w:t>
      </w:r>
    </w:p>
    <w:p w14:paraId="4DDFB28A">
      <w:pPr>
        <w:keepNext w:val="0"/>
        <w:keepLines w:val="0"/>
        <w:pageBreakBefore w:val="0"/>
        <w:kinsoku/>
        <w:wordWrap/>
        <w:overflowPunct/>
        <w:topLinePunct w:val="0"/>
        <w:bidi w:val="0"/>
        <w:spacing w:before="34" w:line="219" w:lineRule="auto"/>
        <w:ind w:left="483"/>
        <w:rPr>
          <w:rFonts w:ascii="宋体" w:hAnsi="宋体" w:eastAsia="宋体" w:cs="宋体"/>
          <w:sz w:val="24"/>
          <w:szCs w:val="24"/>
        </w:rPr>
      </w:pPr>
      <w:r>
        <w:rPr>
          <w:rFonts w:ascii="宋体" w:hAnsi="宋体" w:eastAsia="宋体" w:cs="宋体"/>
          <w:spacing w:val="-4"/>
          <w:sz w:val="24"/>
          <w:szCs w:val="24"/>
        </w:rPr>
        <w:t>23.1资格性检查</w:t>
      </w:r>
    </w:p>
    <w:tbl>
      <w:tblPr>
        <w:tblStyle w:val="15"/>
        <w:tblW w:w="9020" w:type="dxa"/>
        <w:tblInd w:w="7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0"/>
        <w:gridCol w:w="2136"/>
        <w:gridCol w:w="6164"/>
      </w:tblGrid>
      <w:tr w14:paraId="439EFC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720" w:type="dxa"/>
            <w:vAlign w:val="top"/>
          </w:tcPr>
          <w:p w14:paraId="6EC8CB79">
            <w:pPr>
              <w:pStyle w:val="16"/>
              <w:keepNext w:val="0"/>
              <w:keepLines w:val="0"/>
              <w:pageBreakBefore w:val="0"/>
              <w:kinsoku/>
              <w:wordWrap/>
              <w:overflowPunct/>
              <w:topLinePunct w:val="0"/>
              <w:bidi w:val="0"/>
              <w:spacing w:before="174" w:line="229" w:lineRule="auto"/>
              <w:ind w:left="113"/>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序号</w:t>
            </w:r>
          </w:p>
        </w:tc>
        <w:tc>
          <w:tcPr>
            <w:tcW w:w="2136" w:type="dxa"/>
            <w:vAlign w:val="top"/>
          </w:tcPr>
          <w:p w14:paraId="51261A1C">
            <w:pPr>
              <w:pStyle w:val="16"/>
              <w:keepNext w:val="0"/>
              <w:keepLines w:val="0"/>
              <w:pageBreakBefore w:val="0"/>
              <w:kinsoku/>
              <w:wordWrap/>
              <w:overflowPunct/>
              <w:topLinePunct w:val="0"/>
              <w:bidi w:val="0"/>
              <w:spacing w:before="174" w:line="228" w:lineRule="auto"/>
              <w:ind w:left="111"/>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评审要求</w:t>
            </w:r>
          </w:p>
        </w:tc>
        <w:tc>
          <w:tcPr>
            <w:tcW w:w="6164" w:type="dxa"/>
            <w:vAlign w:val="top"/>
          </w:tcPr>
          <w:p w14:paraId="44B289E5">
            <w:pPr>
              <w:pStyle w:val="16"/>
              <w:keepNext w:val="0"/>
              <w:keepLines w:val="0"/>
              <w:pageBreakBefore w:val="0"/>
              <w:kinsoku/>
              <w:wordWrap/>
              <w:overflowPunct/>
              <w:topLinePunct w:val="0"/>
              <w:bidi w:val="0"/>
              <w:spacing w:before="174" w:line="228" w:lineRule="auto"/>
              <w:ind w:left="111"/>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评标标准</w:t>
            </w:r>
          </w:p>
        </w:tc>
      </w:tr>
      <w:tr w14:paraId="75134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3F74B755">
            <w:pPr>
              <w:pStyle w:val="16"/>
              <w:keepNext w:val="0"/>
              <w:keepLines w:val="0"/>
              <w:pageBreakBefore w:val="0"/>
              <w:kinsoku/>
              <w:wordWrap/>
              <w:overflowPunct/>
              <w:topLinePunct w:val="0"/>
              <w:bidi w:val="0"/>
              <w:spacing w:before="65" w:line="189" w:lineRule="auto"/>
              <w:ind w:left="329"/>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1</w:t>
            </w:r>
          </w:p>
        </w:tc>
        <w:tc>
          <w:tcPr>
            <w:tcW w:w="2136" w:type="dxa"/>
            <w:vAlign w:val="top"/>
          </w:tcPr>
          <w:p w14:paraId="47C72677">
            <w:pPr>
              <w:pStyle w:val="16"/>
              <w:keepNext w:val="0"/>
              <w:keepLines w:val="0"/>
              <w:pageBreakBefore w:val="0"/>
              <w:kinsoku/>
              <w:wordWrap/>
              <w:overflowPunct/>
              <w:topLinePunct w:val="0"/>
              <w:bidi w:val="0"/>
              <w:spacing w:before="289" w:line="226" w:lineRule="auto"/>
              <w:ind w:left="110"/>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营业执照</w:t>
            </w:r>
          </w:p>
        </w:tc>
        <w:tc>
          <w:tcPr>
            <w:tcW w:w="6164" w:type="dxa"/>
            <w:vAlign w:val="top"/>
          </w:tcPr>
          <w:p w14:paraId="6338C41B">
            <w:pPr>
              <w:keepNext w:val="0"/>
              <w:keepLines w:val="0"/>
              <w:pageBreakBefore w:val="0"/>
              <w:kinsoku/>
              <w:wordWrap/>
              <w:overflowPunct/>
              <w:topLinePunct w:val="0"/>
              <w:bidi w:val="0"/>
              <w:spacing w:before="183" w:line="219" w:lineRule="auto"/>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营业执照是否有效</w:t>
            </w:r>
          </w:p>
        </w:tc>
      </w:tr>
      <w:tr w14:paraId="2FAE2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65B2729F">
            <w:pPr>
              <w:pStyle w:val="16"/>
              <w:keepNext w:val="0"/>
              <w:keepLines w:val="0"/>
              <w:pageBreakBefore w:val="0"/>
              <w:kinsoku/>
              <w:wordWrap/>
              <w:overflowPunct/>
              <w:topLinePunct w:val="0"/>
              <w:bidi w:val="0"/>
              <w:spacing w:before="65" w:line="189" w:lineRule="auto"/>
              <w:ind w:left="316"/>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2</w:t>
            </w:r>
          </w:p>
        </w:tc>
        <w:tc>
          <w:tcPr>
            <w:tcW w:w="2136" w:type="dxa"/>
            <w:vAlign w:val="top"/>
          </w:tcPr>
          <w:p w14:paraId="0189ABD0">
            <w:pPr>
              <w:pStyle w:val="16"/>
              <w:keepNext w:val="0"/>
              <w:keepLines w:val="0"/>
              <w:pageBreakBefore w:val="0"/>
              <w:kinsoku/>
              <w:wordWrap/>
              <w:overflowPunct/>
              <w:topLinePunct w:val="0"/>
              <w:bidi w:val="0"/>
              <w:spacing w:before="109" w:line="279" w:lineRule="auto"/>
              <w:ind w:left="112" w:right="106" w:firstLine="10"/>
              <w:rPr>
                <w:rFonts w:hint="default"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采购政策</w:t>
            </w:r>
          </w:p>
        </w:tc>
        <w:tc>
          <w:tcPr>
            <w:tcW w:w="6164" w:type="dxa"/>
            <w:vAlign w:val="top"/>
          </w:tcPr>
          <w:p w14:paraId="5286AB10">
            <w:pPr>
              <w:keepNext w:val="0"/>
              <w:keepLines w:val="0"/>
              <w:pageBreakBefore w:val="0"/>
              <w:kinsoku/>
              <w:wordWrap/>
              <w:overflowPunct/>
              <w:topLinePunct w:val="0"/>
              <w:bidi w:val="0"/>
              <w:spacing w:before="182" w:line="219" w:lineRule="auto"/>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采购政策按照采购文件等相关要求落实（含中小企业声明函）</w:t>
            </w:r>
          </w:p>
        </w:tc>
      </w:tr>
      <w:tr w14:paraId="19531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20" w:type="dxa"/>
            <w:vAlign w:val="top"/>
          </w:tcPr>
          <w:p w14:paraId="601F1584">
            <w:pPr>
              <w:pStyle w:val="16"/>
              <w:keepNext w:val="0"/>
              <w:keepLines w:val="0"/>
              <w:pageBreakBefore w:val="0"/>
              <w:kinsoku/>
              <w:wordWrap/>
              <w:overflowPunct/>
              <w:topLinePunct w:val="0"/>
              <w:bidi w:val="0"/>
              <w:spacing w:before="65" w:line="189" w:lineRule="auto"/>
              <w:ind w:left="318"/>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3</w:t>
            </w:r>
          </w:p>
        </w:tc>
        <w:tc>
          <w:tcPr>
            <w:tcW w:w="2136" w:type="dxa"/>
            <w:vAlign w:val="top"/>
          </w:tcPr>
          <w:p w14:paraId="6446B606">
            <w:pPr>
              <w:pStyle w:val="16"/>
              <w:keepNext w:val="0"/>
              <w:keepLines w:val="0"/>
              <w:pageBreakBefore w:val="0"/>
              <w:kinsoku/>
              <w:wordWrap/>
              <w:overflowPunct/>
              <w:topLinePunct w:val="0"/>
              <w:bidi w:val="0"/>
              <w:spacing w:before="290" w:line="317" w:lineRule="auto"/>
              <w:ind w:left="113" w:right="106" w:firstLine="2"/>
              <w:rPr>
                <w:rFonts w:hint="default"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特定资质</w:t>
            </w:r>
          </w:p>
        </w:tc>
        <w:tc>
          <w:tcPr>
            <w:tcW w:w="6164" w:type="dxa"/>
            <w:vAlign w:val="top"/>
          </w:tcPr>
          <w:p w14:paraId="2E6D9203">
            <w:pPr>
              <w:keepNext w:val="0"/>
              <w:keepLines w:val="0"/>
              <w:pageBreakBefore w:val="0"/>
              <w:kinsoku/>
              <w:wordWrap/>
              <w:overflowPunct/>
              <w:topLinePunct w:val="0"/>
              <w:bidi w:val="0"/>
              <w:spacing w:before="183" w:line="219" w:lineRule="auto"/>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特定资质是否符合采购文件要求</w:t>
            </w:r>
          </w:p>
        </w:tc>
      </w:tr>
      <w:tr w14:paraId="06C84D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1AE292AC">
            <w:pPr>
              <w:pStyle w:val="16"/>
              <w:keepNext w:val="0"/>
              <w:keepLines w:val="0"/>
              <w:pageBreakBefore w:val="0"/>
              <w:kinsoku/>
              <w:wordWrap/>
              <w:overflowPunct/>
              <w:topLinePunct w:val="0"/>
              <w:bidi w:val="0"/>
              <w:spacing w:before="65" w:line="189" w:lineRule="auto"/>
              <w:ind w:left="313"/>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4</w:t>
            </w:r>
          </w:p>
        </w:tc>
        <w:tc>
          <w:tcPr>
            <w:tcW w:w="2136" w:type="dxa"/>
            <w:vAlign w:val="top"/>
          </w:tcPr>
          <w:p w14:paraId="41D6B53D">
            <w:pPr>
              <w:pStyle w:val="16"/>
              <w:keepNext w:val="0"/>
              <w:keepLines w:val="0"/>
              <w:pageBreakBefore w:val="0"/>
              <w:kinsoku/>
              <w:wordWrap/>
              <w:overflowPunct/>
              <w:topLinePunct w:val="0"/>
              <w:bidi w:val="0"/>
              <w:spacing w:before="111" w:line="278" w:lineRule="auto"/>
              <w:ind w:left="114" w:right="106" w:firstLine="8"/>
              <w:rPr>
                <w:rFonts w:hint="default"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其他要求</w:t>
            </w:r>
          </w:p>
        </w:tc>
        <w:tc>
          <w:tcPr>
            <w:tcW w:w="6164" w:type="dxa"/>
            <w:vAlign w:val="top"/>
          </w:tcPr>
          <w:p w14:paraId="6F265D57">
            <w:pPr>
              <w:pStyle w:val="16"/>
              <w:keepNext w:val="0"/>
              <w:keepLines w:val="0"/>
              <w:pageBreakBefore w:val="0"/>
              <w:kinsoku/>
              <w:wordWrap/>
              <w:overflowPunct/>
              <w:topLinePunct w:val="0"/>
              <w:bidi w:val="0"/>
              <w:spacing w:before="111" w:line="278" w:lineRule="auto"/>
              <w:ind w:left="114" w:right="110"/>
              <w:rPr>
                <w:rFonts w:hint="default" w:ascii="宋体" w:hAnsi="宋体" w:eastAsia="宋体" w:cs="宋体"/>
                <w:snapToGrid w:val="0"/>
                <w:color w:val="000000"/>
                <w:spacing w:val="-3"/>
                <w:kern w:val="0"/>
                <w:sz w:val="24"/>
                <w:szCs w:val="24"/>
                <w:lang w:val="en-US" w:eastAsia="zh-CN" w:bidi="ar-SA"/>
              </w:rPr>
            </w:pPr>
            <w:r>
              <w:rPr>
                <w:rFonts w:ascii="宋体" w:hAnsi="宋体" w:eastAsia="宋体" w:cs="宋体"/>
                <w:snapToGrid w:val="0"/>
                <w:color w:val="000000"/>
                <w:spacing w:val="-3"/>
                <w:kern w:val="0"/>
                <w:sz w:val="24"/>
                <w:szCs w:val="24"/>
                <w:lang w:val="en-US" w:eastAsia="en-US" w:bidi="ar-SA"/>
              </w:rPr>
              <w:t>其他要求（法人证明书或授权委托书，法人身份证或授权代理人身份证）</w:t>
            </w:r>
            <w:r>
              <w:rPr>
                <w:rFonts w:hint="eastAsia" w:cs="宋体"/>
                <w:snapToGrid w:val="0"/>
                <w:color w:val="000000"/>
                <w:spacing w:val="-3"/>
                <w:kern w:val="0"/>
                <w:sz w:val="24"/>
                <w:szCs w:val="24"/>
                <w:lang w:val="en-US" w:eastAsia="zh-CN" w:bidi="ar-SA"/>
              </w:rPr>
              <w:t>是否按要求提供</w:t>
            </w:r>
          </w:p>
        </w:tc>
      </w:tr>
    </w:tbl>
    <w:p w14:paraId="70AD5E78">
      <w:pPr>
        <w:keepNext w:val="0"/>
        <w:keepLines w:val="0"/>
        <w:pageBreakBefore w:val="0"/>
        <w:kinsoku/>
        <w:wordWrap/>
        <w:overflowPunct/>
        <w:topLinePunct w:val="0"/>
        <w:bidi w:val="0"/>
        <w:spacing w:before="184" w:line="288" w:lineRule="auto"/>
        <w:ind w:firstLine="480" w:firstLineChars="200"/>
        <w:rPr>
          <w:rFonts w:ascii="宋体" w:hAnsi="宋体" w:eastAsia="宋体" w:cs="宋体"/>
          <w:spacing w:val="-1"/>
          <w:sz w:val="24"/>
          <w:szCs w:val="24"/>
        </w:rPr>
      </w:pPr>
      <w:r>
        <w:rPr>
          <w:rFonts w:ascii="宋体" w:hAnsi="宋体" w:eastAsia="宋体" w:cs="宋体"/>
          <w:sz w:val="24"/>
          <w:szCs w:val="24"/>
        </w:rPr>
        <w:t>23.1.1磋商小组依据法律法规和磋商文件的规定,对响应文</w:t>
      </w:r>
      <w:r>
        <w:rPr>
          <w:rFonts w:ascii="宋体" w:hAnsi="宋体" w:eastAsia="宋体" w:cs="宋体"/>
          <w:spacing w:val="-1"/>
          <w:sz w:val="24"/>
          <w:szCs w:val="24"/>
        </w:rPr>
        <w:t>件中的资格证明文件是否齐全、以及证件有效性进行审查,以确定供应商是否具合格供应商资格：</w:t>
      </w:r>
    </w:p>
    <w:p w14:paraId="1152E685">
      <w:pPr>
        <w:keepNext w:val="0"/>
        <w:keepLines w:val="0"/>
        <w:pageBreakBefore w:val="0"/>
        <w:kinsoku/>
        <w:wordWrap/>
        <w:overflowPunct/>
        <w:topLinePunct w:val="0"/>
        <w:bidi w:val="0"/>
        <w:spacing w:before="184" w:line="288" w:lineRule="auto"/>
        <w:ind w:firstLine="468" w:firstLineChars="200"/>
        <w:rPr>
          <w:rFonts w:ascii="宋体" w:hAnsi="宋体" w:eastAsia="宋体" w:cs="宋体"/>
          <w:sz w:val="24"/>
          <w:szCs w:val="24"/>
        </w:rPr>
      </w:pPr>
      <w:r>
        <w:rPr>
          <w:rFonts w:ascii="宋体" w:hAnsi="宋体" w:eastAsia="宋体" w:cs="宋体"/>
          <w:spacing w:val="-3"/>
          <w:sz w:val="24"/>
          <w:szCs w:val="24"/>
        </w:rPr>
        <w:t>23.1.2供应商法定代表人或其代理人须参加磋商，</w:t>
      </w:r>
      <w:r>
        <w:rPr>
          <w:rFonts w:ascii="宋体" w:hAnsi="宋体" w:eastAsia="宋体" w:cs="宋体"/>
          <w:spacing w:val="-4"/>
          <w:sz w:val="24"/>
          <w:szCs w:val="24"/>
        </w:rPr>
        <w:t>随时准备对磋商小组的询问进行</w:t>
      </w:r>
      <w:r>
        <w:rPr>
          <w:rFonts w:ascii="宋体" w:hAnsi="宋体" w:eastAsia="宋体" w:cs="宋体"/>
          <w:spacing w:val="-2"/>
          <w:sz w:val="24"/>
          <w:szCs w:val="24"/>
        </w:rPr>
        <w:t>解答。（法定代表人或其代理人参加磋商时，须携带身份证或其他与法定代表人或其代</w:t>
      </w:r>
      <w:r>
        <w:rPr>
          <w:rFonts w:ascii="宋体" w:hAnsi="宋体" w:eastAsia="宋体" w:cs="宋体"/>
          <w:spacing w:val="-1"/>
          <w:sz w:val="24"/>
          <w:szCs w:val="24"/>
        </w:rPr>
        <w:t>理人身份相符的有效证件之原件，以备查验。）</w:t>
      </w:r>
    </w:p>
    <w:p w14:paraId="70044964">
      <w:pPr>
        <w:keepNext w:val="0"/>
        <w:keepLines w:val="0"/>
        <w:pageBreakBefore w:val="0"/>
        <w:kinsoku/>
        <w:wordWrap/>
        <w:overflowPunct/>
        <w:topLinePunct w:val="0"/>
        <w:bidi w:val="0"/>
        <w:spacing w:before="185" w:line="316" w:lineRule="auto"/>
        <w:ind w:left="3" w:firstLine="480"/>
        <w:rPr>
          <w:rFonts w:ascii="宋体" w:hAnsi="宋体" w:eastAsia="宋体" w:cs="宋体"/>
          <w:sz w:val="24"/>
          <w:szCs w:val="24"/>
        </w:rPr>
      </w:pPr>
      <w:r>
        <w:rPr>
          <w:rFonts w:ascii="宋体" w:hAnsi="宋体" w:eastAsia="宋体" w:cs="宋体"/>
          <w:spacing w:val="-3"/>
          <w:sz w:val="24"/>
          <w:szCs w:val="24"/>
        </w:rPr>
        <w:t>23.1.3参与磋商的供应商以他人的名义参加磋</w:t>
      </w:r>
      <w:r>
        <w:rPr>
          <w:rFonts w:ascii="宋体" w:hAnsi="宋体" w:eastAsia="宋体" w:cs="宋体"/>
          <w:spacing w:val="-4"/>
          <w:sz w:val="24"/>
          <w:szCs w:val="24"/>
        </w:rPr>
        <w:t>商、串通、以行贿手段谋取成交或者</w:t>
      </w:r>
      <w:r>
        <w:rPr>
          <w:rFonts w:ascii="宋体" w:hAnsi="宋体" w:eastAsia="宋体" w:cs="宋体"/>
          <w:spacing w:val="-2"/>
          <w:sz w:val="24"/>
          <w:szCs w:val="24"/>
        </w:rPr>
        <w:t>以其他弄虚作假方式参加磋商的，该参与磋商的供应商的响应文件将作无效响应文件处</w:t>
      </w:r>
      <w:r>
        <w:rPr>
          <w:rFonts w:ascii="宋体" w:hAnsi="宋体" w:eastAsia="宋体" w:cs="宋体"/>
          <w:spacing w:val="-7"/>
          <w:sz w:val="24"/>
          <w:szCs w:val="24"/>
        </w:rPr>
        <w:t>理。</w:t>
      </w:r>
    </w:p>
    <w:p w14:paraId="4FC22544">
      <w:pPr>
        <w:keepNext w:val="0"/>
        <w:keepLines w:val="0"/>
        <w:pageBreakBefore w:val="0"/>
        <w:kinsoku/>
        <w:wordWrap/>
        <w:overflowPunct/>
        <w:topLinePunct w:val="0"/>
        <w:bidi w:val="0"/>
        <w:spacing w:before="170" w:line="219" w:lineRule="auto"/>
        <w:ind w:left="483"/>
        <w:rPr>
          <w:rFonts w:ascii="宋体" w:hAnsi="宋体" w:eastAsia="宋体" w:cs="宋体"/>
          <w:sz w:val="24"/>
          <w:szCs w:val="24"/>
        </w:rPr>
      </w:pPr>
      <w:r>
        <w:rPr>
          <w:rFonts w:ascii="宋体" w:hAnsi="宋体" w:eastAsia="宋体" w:cs="宋体"/>
          <w:spacing w:val="-2"/>
          <w:sz w:val="24"/>
          <w:szCs w:val="24"/>
        </w:rPr>
        <w:t>23.2符合性检查</w:t>
      </w:r>
    </w:p>
    <w:p w14:paraId="2DC663FB">
      <w:pPr>
        <w:keepNext w:val="0"/>
        <w:keepLines w:val="0"/>
        <w:pageBreakBefore w:val="0"/>
        <w:kinsoku/>
        <w:wordWrap/>
        <w:overflowPunct/>
        <w:topLinePunct w:val="0"/>
        <w:bidi w:val="0"/>
        <w:spacing w:before="182" w:line="347" w:lineRule="auto"/>
        <w:ind w:left="13" w:firstLine="469"/>
        <w:rPr>
          <w:rFonts w:ascii="宋体" w:hAnsi="宋体" w:eastAsia="宋体" w:cs="宋体"/>
          <w:sz w:val="24"/>
          <w:szCs w:val="24"/>
        </w:rPr>
      </w:pPr>
      <w:r>
        <w:rPr>
          <w:rFonts w:ascii="宋体" w:hAnsi="宋体" w:eastAsia="宋体" w:cs="宋体"/>
          <w:spacing w:val="-2"/>
          <w:sz w:val="24"/>
          <w:szCs w:val="24"/>
        </w:rPr>
        <w:t>依据磋商文件的规定，从响应文件的有效性、完整性和对磋商文件的响应程度进行</w:t>
      </w:r>
      <w:r>
        <w:rPr>
          <w:rFonts w:ascii="宋体" w:hAnsi="宋体" w:eastAsia="宋体" w:cs="宋体"/>
          <w:spacing w:val="-1"/>
          <w:sz w:val="24"/>
          <w:szCs w:val="24"/>
        </w:rPr>
        <w:t>审查，以确定是否对磋商文件的实质性要求作出响应。符合性审查的内容包括：</w:t>
      </w:r>
    </w:p>
    <w:p w14:paraId="4684010A">
      <w:pPr>
        <w:keepNext w:val="0"/>
        <w:keepLines w:val="0"/>
        <w:pageBreakBefore w:val="0"/>
        <w:kinsoku/>
        <w:wordWrap/>
        <w:overflowPunct/>
        <w:topLinePunct w:val="0"/>
        <w:bidi w:val="0"/>
        <w:spacing w:before="35" w:line="219" w:lineRule="auto"/>
        <w:ind w:left="483"/>
        <w:rPr>
          <w:rFonts w:ascii="宋体" w:hAnsi="宋体" w:eastAsia="宋体" w:cs="宋体"/>
          <w:sz w:val="24"/>
          <w:szCs w:val="24"/>
        </w:rPr>
      </w:pPr>
      <w:r>
        <w:rPr>
          <w:rFonts w:ascii="宋体" w:hAnsi="宋体" w:eastAsia="宋体" w:cs="宋体"/>
          <w:spacing w:val="-2"/>
          <w:sz w:val="24"/>
          <w:szCs w:val="24"/>
        </w:rPr>
        <w:t>23.2.1响应文件内容是否齐全；</w:t>
      </w:r>
    </w:p>
    <w:p w14:paraId="0FB061ED">
      <w:pPr>
        <w:keepNext w:val="0"/>
        <w:keepLines w:val="0"/>
        <w:pageBreakBefore w:val="0"/>
        <w:kinsoku/>
        <w:wordWrap/>
        <w:overflowPunct/>
        <w:topLinePunct w:val="0"/>
        <w:bidi w:val="0"/>
        <w:spacing w:before="182" w:line="219" w:lineRule="auto"/>
        <w:ind w:left="483"/>
        <w:rPr>
          <w:rFonts w:ascii="宋体" w:hAnsi="宋体" w:eastAsia="宋体" w:cs="宋体"/>
          <w:sz w:val="24"/>
          <w:szCs w:val="24"/>
        </w:rPr>
      </w:pPr>
      <w:r>
        <w:rPr>
          <w:rFonts w:ascii="宋体" w:hAnsi="宋体" w:eastAsia="宋体" w:cs="宋体"/>
          <w:spacing w:val="-1"/>
          <w:sz w:val="24"/>
          <w:szCs w:val="24"/>
        </w:rPr>
        <w:t>23.2.2是否按照磋商文件的要求签署、盖章；</w:t>
      </w:r>
    </w:p>
    <w:p w14:paraId="463754E0">
      <w:pPr>
        <w:keepNext w:val="0"/>
        <w:keepLines w:val="0"/>
        <w:pageBreakBefore w:val="0"/>
        <w:kinsoku/>
        <w:wordWrap/>
        <w:overflowPunct/>
        <w:topLinePunct w:val="0"/>
        <w:bidi w:val="0"/>
        <w:spacing w:before="184" w:line="219" w:lineRule="auto"/>
        <w:ind w:left="483"/>
        <w:rPr>
          <w:rFonts w:ascii="宋体" w:hAnsi="宋体" w:eastAsia="宋体" w:cs="宋体"/>
          <w:sz w:val="24"/>
          <w:szCs w:val="24"/>
        </w:rPr>
      </w:pPr>
      <w:r>
        <w:rPr>
          <w:rFonts w:ascii="宋体" w:hAnsi="宋体" w:eastAsia="宋体" w:cs="宋体"/>
          <w:spacing w:val="-1"/>
          <w:sz w:val="24"/>
          <w:szCs w:val="24"/>
        </w:rPr>
        <w:t>23.2.3响应文件是否有采购人不能接收的条件；</w:t>
      </w:r>
    </w:p>
    <w:p w14:paraId="63201A2E">
      <w:pPr>
        <w:keepNext w:val="0"/>
        <w:keepLines w:val="0"/>
        <w:pageBreakBefore w:val="0"/>
        <w:kinsoku/>
        <w:wordWrap/>
        <w:overflowPunct/>
        <w:topLinePunct w:val="0"/>
        <w:bidi w:val="0"/>
        <w:spacing w:before="184" w:line="219" w:lineRule="auto"/>
        <w:ind w:left="483"/>
        <w:rPr>
          <w:rFonts w:ascii="宋体" w:hAnsi="宋体" w:eastAsia="宋体" w:cs="宋体"/>
          <w:sz w:val="24"/>
          <w:szCs w:val="24"/>
        </w:rPr>
      </w:pPr>
      <w:r>
        <w:rPr>
          <w:rFonts w:ascii="宋体" w:hAnsi="宋体" w:eastAsia="宋体" w:cs="宋体"/>
          <w:spacing w:val="-1"/>
          <w:sz w:val="24"/>
          <w:szCs w:val="24"/>
        </w:rPr>
        <w:t>23.2.4满足投标产品的服务要求及其配套服务</w:t>
      </w:r>
    </w:p>
    <w:p w14:paraId="6896CC88">
      <w:pPr>
        <w:keepNext w:val="0"/>
        <w:keepLines w:val="0"/>
        <w:pageBreakBefore w:val="0"/>
        <w:kinsoku/>
        <w:wordWrap/>
        <w:overflowPunct/>
        <w:topLinePunct w:val="0"/>
        <w:bidi w:val="0"/>
        <w:spacing w:before="183" w:line="289" w:lineRule="auto"/>
        <w:ind w:firstLine="483"/>
        <w:rPr>
          <w:rFonts w:ascii="宋体" w:hAnsi="宋体" w:eastAsia="宋体" w:cs="宋体"/>
          <w:sz w:val="24"/>
          <w:szCs w:val="24"/>
        </w:rPr>
      </w:pPr>
      <w:r>
        <w:rPr>
          <w:rFonts w:ascii="宋体" w:hAnsi="宋体" w:eastAsia="宋体" w:cs="宋体"/>
          <w:spacing w:val="2"/>
          <w:sz w:val="24"/>
          <w:szCs w:val="24"/>
        </w:rPr>
        <w:t>23.2.5投标报价未超过采购预算最</w:t>
      </w:r>
      <w:r>
        <w:rPr>
          <w:rFonts w:ascii="宋体" w:hAnsi="宋体" w:eastAsia="宋体" w:cs="宋体"/>
          <w:spacing w:val="1"/>
          <w:sz w:val="24"/>
          <w:szCs w:val="24"/>
        </w:rPr>
        <w:t>高限价金额，且只有一个有效报价，不得提交</w:t>
      </w:r>
      <w:r>
        <w:rPr>
          <w:rFonts w:ascii="宋体" w:hAnsi="宋体" w:eastAsia="宋体" w:cs="宋体"/>
          <w:spacing w:val="-2"/>
          <w:sz w:val="24"/>
          <w:szCs w:val="24"/>
        </w:rPr>
        <w:t>选择性报价。</w:t>
      </w:r>
    </w:p>
    <w:p w14:paraId="0A7557A7">
      <w:pPr>
        <w:keepNext w:val="0"/>
        <w:keepLines w:val="0"/>
        <w:pageBreakBefore w:val="0"/>
        <w:kinsoku/>
        <w:wordWrap/>
        <w:overflowPunct/>
        <w:topLinePunct w:val="0"/>
        <w:bidi w:val="0"/>
        <w:spacing w:before="184" w:line="219" w:lineRule="auto"/>
        <w:ind w:left="483"/>
        <w:rPr>
          <w:rFonts w:ascii="宋体" w:hAnsi="宋体" w:eastAsia="宋体" w:cs="宋体"/>
          <w:spacing w:val="-1"/>
          <w:sz w:val="24"/>
          <w:szCs w:val="24"/>
        </w:rPr>
      </w:pPr>
      <w:r>
        <w:rPr>
          <w:rFonts w:ascii="宋体" w:hAnsi="宋体" w:eastAsia="宋体" w:cs="宋体"/>
          <w:spacing w:val="-1"/>
          <w:sz w:val="24"/>
          <w:szCs w:val="24"/>
        </w:rPr>
        <w:t>23.2.6符合法律、法规和采购文件中规定的其他实质性要求；</w:t>
      </w:r>
    </w:p>
    <w:p w14:paraId="78FDDFC6">
      <w:pPr>
        <w:pStyle w:val="2"/>
        <w:keepNext w:val="0"/>
        <w:keepLines w:val="0"/>
        <w:pageBreakBefore w:val="0"/>
        <w:kinsoku/>
        <w:wordWrap/>
        <w:overflowPunct/>
        <w:topLinePunct w:val="0"/>
        <w:bidi w:val="0"/>
        <w:rPr>
          <w:rFonts w:ascii="宋体" w:hAnsi="宋体" w:eastAsia="宋体" w:cs="宋体"/>
          <w:spacing w:val="-1"/>
          <w:sz w:val="24"/>
          <w:szCs w:val="24"/>
        </w:rPr>
      </w:pPr>
    </w:p>
    <w:p w14:paraId="69545E09">
      <w:pPr>
        <w:keepNext w:val="0"/>
        <w:keepLines w:val="0"/>
        <w:pageBreakBefore w:val="0"/>
        <w:kinsoku/>
        <w:wordWrap/>
        <w:overflowPunct/>
        <w:topLinePunct w:val="0"/>
        <w:bidi w:val="0"/>
        <w:spacing w:before="91" w:line="220" w:lineRule="auto"/>
        <w:ind w:firstLine="2731" w:firstLineChars="1000"/>
        <w:rPr>
          <w:rFonts w:ascii="宋体" w:hAnsi="宋体" w:eastAsia="宋体" w:cs="宋体"/>
          <w:sz w:val="28"/>
          <w:szCs w:val="28"/>
        </w:rPr>
      </w:pPr>
      <w:r>
        <w:rPr>
          <w:rFonts w:ascii="宋体" w:hAnsi="宋体" w:eastAsia="宋体" w:cs="宋体"/>
          <w:b/>
          <w:bCs/>
          <w:spacing w:val="-4"/>
          <w:sz w:val="28"/>
          <w:szCs w:val="28"/>
        </w:rPr>
        <w:t>符合性检查表</w:t>
      </w:r>
    </w:p>
    <w:p w14:paraId="35C3A106">
      <w:pPr>
        <w:pStyle w:val="2"/>
        <w:keepNext w:val="0"/>
        <w:keepLines w:val="0"/>
        <w:pageBreakBefore w:val="0"/>
        <w:kinsoku/>
        <w:wordWrap/>
        <w:overflowPunct/>
        <w:topLinePunct w:val="0"/>
        <w:bidi w:val="0"/>
        <w:rPr>
          <w:rFonts w:ascii="宋体" w:hAnsi="宋体" w:eastAsia="宋体" w:cs="宋体"/>
          <w:spacing w:val="-1"/>
          <w:sz w:val="24"/>
          <w:szCs w:val="24"/>
        </w:rPr>
      </w:pPr>
    </w:p>
    <w:tbl>
      <w:tblPr>
        <w:tblStyle w:val="15"/>
        <w:tblW w:w="9020" w:type="dxa"/>
        <w:tblInd w:w="7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0"/>
        <w:gridCol w:w="2136"/>
        <w:gridCol w:w="6164"/>
      </w:tblGrid>
      <w:tr w14:paraId="740417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720" w:type="dxa"/>
            <w:vAlign w:val="top"/>
          </w:tcPr>
          <w:p w14:paraId="40B99A84">
            <w:pPr>
              <w:pStyle w:val="16"/>
              <w:keepNext w:val="0"/>
              <w:keepLines w:val="0"/>
              <w:pageBreakBefore w:val="0"/>
              <w:kinsoku/>
              <w:wordWrap/>
              <w:overflowPunct/>
              <w:topLinePunct w:val="0"/>
              <w:bidi w:val="0"/>
              <w:spacing w:before="174" w:line="229" w:lineRule="auto"/>
              <w:ind w:left="113"/>
            </w:pPr>
            <w:r>
              <w:rPr>
                <w:spacing w:val="5"/>
              </w:rPr>
              <w:t>序号</w:t>
            </w:r>
          </w:p>
        </w:tc>
        <w:tc>
          <w:tcPr>
            <w:tcW w:w="2136" w:type="dxa"/>
            <w:vAlign w:val="top"/>
          </w:tcPr>
          <w:p w14:paraId="654C0545">
            <w:pPr>
              <w:pStyle w:val="16"/>
              <w:keepNext w:val="0"/>
              <w:keepLines w:val="0"/>
              <w:pageBreakBefore w:val="0"/>
              <w:kinsoku/>
              <w:wordWrap/>
              <w:overflowPunct/>
              <w:topLinePunct w:val="0"/>
              <w:bidi w:val="0"/>
              <w:spacing w:before="174" w:line="228" w:lineRule="auto"/>
              <w:ind w:left="111"/>
            </w:pPr>
            <w:r>
              <w:rPr>
                <w:spacing w:val="7"/>
              </w:rPr>
              <w:t>评审要求</w:t>
            </w:r>
          </w:p>
        </w:tc>
        <w:tc>
          <w:tcPr>
            <w:tcW w:w="6164" w:type="dxa"/>
            <w:vAlign w:val="top"/>
          </w:tcPr>
          <w:p w14:paraId="4839C5DE">
            <w:pPr>
              <w:pStyle w:val="16"/>
              <w:keepNext w:val="0"/>
              <w:keepLines w:val="0"/>
              <w:pageBreakBefore w:val="0"/>
              <w:kinsoku/>
              <w:wordWrap/>
              <w:overflowPunct/>
              <w:topLinePunct w:val="0"/>
              <w:bidi w:val="0"/>
              <w:spacing w:before="174" w:line="228" w:lineRule="auto"/>
              <w:ind w:left="111"/>
            </w:pPr>
            <w:r>
              <w:rPr>
                <w:spacing w:val="7"/>
              </w:rPr>
              <w:t>评标标准</w:t>
            </w:r>
          </w:p>
        </w:tc>
      </w:tr>
      <w:tr w14:paraId="3F3BD5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23E0D053">
            <w:pPr>
              <w:keepNext w:val="0"/>
              <w:keepLines w:val="0"/>
              <w:pageBreakBefore w:val="0"/>
              <w:kinsoku/>
              <w:wordWrap/>
              <w:overflowPunct/>
              <w:topLinePunct w:val="0"/>
              <w:bidi w:val="0"/>
              <w:spacing w:line="254" w:lineRule="auto"/>
              <w:rPr>
                <w:rFonts w:ascii="Arial"/>
                <w:sz w:val="21"/>
              </w:rPr>
            </w:pPr>
          </w:p>
          <w:p w14:paraId="60DDED1F">
            <w:pPr>
              <w:pStyle w:val="16"/>
              <w:keepNext w:val="0"/>
              <w:keepLines w:val="0"/>
              <w:pageBreakBefore w:val="0"/>
              <w:kinsoku/>
              <w:wordWrap/>
              <w:overflowPunct/>
              <w:topLinePunct w:val="0"/>
              <w:bidi w:val="0"/>
              <w:spacing w:before="65" w:line="189" w:lineRule="auto"/>
              <w:ind w:left="329"/>
            </w:pPr>
            <w:r>
              <w:t>1</w:t>
            </w:r>
          </w:p>
        </w:tc>
        <w:tc>
          <w:tcPr>
            <w:tcW w:w="2136" w:type="dxa"/>
            <w:vAlign w:val="top"/>
          </w:tcPr>
          <w:p w14:paraId="1229BA29">
            <w:pPr>
              <w:pStyle w:val="16"/>
              <w:keepNext w:val="0"/>
              <w:keepLines w:val="0"/>
              <w:pageBreakBefore w:val="0"/>
              <w:kinsoku/>
              <w:wordWrap/>
              <w:overflowPunct/>
              <w:topLinePunct w:val="0"/>
              <w:bidi w:val="0"/>
              <w:spacing w:before="289" w:line="226" w:lineRule="auto"/>
              <w:ind w:left="110"/>
            </w:pPr>
            <w:r>
              <w:rPr>
                <w:spacing w:val="8"/>
              </w:rPr>
              <w:t>报价唯一</w:t>
            </w:r>
          </w:p>
        </w:tc>
        <w:tc>
          <w:tcPr>
            <w:tcW w:w="6164" w:type="dxa"/>
            <w:vAlign w:val="top"/>
          </w:tcPr>
          <w:p w14:paraId="78DBC9A4">
            <w:pPr>
              <w:pStyle w:val="16"/>
              <w:keepNext w:val="0"/>
              <w:keepLines w:val="0"/>
              <w:pageBreakBefore w:val="0"/>
              <w:kinsoku/>
              <w:wordWrap/>
              <w:overflowPunct/>
              <w:topLinePunct w:val="0"/>
              <w:bidi w:val="0"/>
              <w:spacing w:before="109" w:line="279" w:lineRule="auto"/>
              <w:ind w:left="114" w:right="161"/>
            </w:pPr>
            <w:r>
              <w:rPr>
                <w:spacing w:val="10"/>
              </w:rPr>
              <w:t>投标报价未超过采购预算最高限价金额，且只有一个有效报价，</w:t>
            </w:r>
            <w:r>
              <w:rPr>
                <w:spacing w:val="7"/>
              </w:rPr>
              <w:t>不得提交选择性报价。</w:t>
            </w:r>
          </w:p>
        </w:tc>
      </w:tr>
      <w:tr w14:paraId="644984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0F301751">
            <w:pPr>
              <w:keepNext w:val="0"/>
              <w:keepLines w:val="0"/>
              <w:pageBreakBefore w:val="0"/>
              <w:kinsoku/>
              <w:wordWrap/>
              <w:overflowPunct/>
              <w:topLinePunct w:val="0"/>
              <w:bidi w:val="0"/>
              <w:spacing w:line="255" w:lineRule="auto"/>
              <w:rPr>
                <w:rFonts w:ascii="Arial"/>
                <w:sz w:val="21"/>
              </w:rPr>
            </w:pPr>
          </w:p>
          <w:p w14:paraId="183D88C9">
            <w:pPr>
              <w:pStyle w:val="16"/>
              <w:keepNext w:val="0"/>
              <w:keepLines w:val="0"/>
              <w:pageBreakBefore w:val="0"/>
              <w:kinsoku/>
              <w:wordWrap/>
              <w:overflowPunct/>
              <w:topLinePunct w:val="0"/>
              <w:bidi w:val="0"/>
              <w:spacing w:before="65" w:line="189" w:lineRule="auto"/>
              <w:ind w:left="316"/>
            </w:pPr>
            <w:r>
              <w:t>2</w:t>
            </w:r>
          </w:p>
        </w:tc>
        <w:tc>
          <w:tcPr>
            <w:tcW w:w="2136" w:type="dxa"/>
            <w:vAlign w:val="top"/>
          </w:tcPr>
          <w:p w14:paraId="3C254A85">
            <w:pPr>
              <w:pStyle w:val="16"/>
              <w:keepNext w:val="0"/>
              <w:keepLines w:val="0"/>
              <w:pageBreakBefore w:val="0"/>
              <w:kinsoku/>
              <w:wordWrap/>
              <w:overflowPunct/>
              <w:topLinePunct w:val="0"/>
              <w:bidi w:val="0"/>
              <w:spacing w:before="109" w:line="279" w:lineRule="auto"/>
              <w:ind w:left="112" w:right="106" w:firstLine="10"/>
            </w:pPr>
            <w:r>
              <w:rPr>
                <w:spacing w:val="11"/>
              </w:rPr>
              <w:t>响应文件内容是否齐</w:t>
            </w:r>
            <w:r>
              <w:t>全</w:t>
            </w:r>
          </w:p>
        </w:tc>
        <w:tc>
          <w:tcPr>
            <w:tcW w:w="6164" w:type="dxa"/>
            <w:vAlign w:val="top"/>
          </w:tcPr>
          <w:p w14:paraId="5E4788C0">
            <w:pPr>
              <w:pStyle w:val="16"/>
              <w:keepNext w:val="0"/>
              <w:keepLines w:val="0"/>
              <w:pageBreakBefore w:val="0"/>
              <w:kinsoku/>
              <w:wordWrap/>
              <w:overflowPunct/>
              <w:topLinePunct w:val="0"/>
              <w:bidi w:val="0"/>
              <w:spacing w:before="289" w:line="227" w:lineRule="auto"/>
              <w:ind w:left="115"/>
            </w:pPr>
            <w:r>
              <w:rPr>
                <w:spacing w:val="9"/>
              </w:rPr>
              <w:t>是否按照采购文件的要求提供资料</w:t>
            </w:r>
          </w:p>
        </w:tc>
      </w:tr>
      <w:tr w14:paraId="29FF6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720" w:type="dxa"/>
            <w:vAlign w:val="top"/>
          </w:tcPr>
          <w:p w14:paraId="6EDDB731">
            <w:pPr>
              <w:keepNext w:val="0"/>
              <w:keepLines w:val="0"/>
              <w:pageBreakBefore w:val="0"/>
              <w:kinsoku/>
              <w:wordWrap/>
              <w:overflowPunct/>
              <w:topLinePunct w:val="0"/>
              <w:bidi w:val="0"/>
              <w:spacing w:line="435" w:lineRule="auto"/>
              <w:rPr>
                <w:rFonts w:ascii="Arial"/>
                <w:sz w:val="21"/>
              </w:rPr>
            </w:pPr>
          </w:p>
          <w:p w14:paraId="65425EC2">
            <w:pPr>
              <w:pStyle w:val="16"/>
              <w:keepNext w:val="0"/>
              <w:keepLines w:val="0"/>
              <w:pageBreakBefore w:val="0"/>
              <w:kinsoku/>
              <w:wordWrap/>
              <w:overflowPunct/>
              <w:topLinePunct w:val="0"/>
              <w:bidi w:val="0"/>
              <w:spacing w:before="65" w:line="189" w:lineRule="auto"/>
              <w:ind w:left="318"/>
            </w:pPr>
            <w:r>
              <w:t>3</w:t>
            </w:r>
          </w:p>
        </w:tc>
        <w:tc>
          <w:tcPr>
            <w:tcW w:w="2136" w:type="dxa"/>
            <w:vAlign w:val="top"/>
          </w:tcPr>
          <w:p w14:paraId="00FBE3F3">
            <w:pPr>
              <w:pStyle w:val="16"/>
              <w:keepNext w:val="0"/>
              <w:keepLines w:val="0"/>
              <w:pageBreakBefore w:val="0"/>
              <w:kinsoku/>
              <w:wordWrap/>
              <w:overflowPunct/>
              <w:topLinePunct w:val="0"/>
              <w:bidi w:val="0"/>
              <w:spacing w:before="290" w:line="317" w:lineRule="auto"/>
              <w:ind w:left="113" w:right="106" w:firstLine="2"/>
            </w:pPr>
            <w:r>
              <w:rPr>
                <w:spacing w:val="12"/>
              </w:rPr>
              <w:t>是否按照磋商文件的</w:t>
            </w:r>
            <w:r>
              <w:rPr>
                <w:spacing w:val="8"/>
              </w:rPr>
              <w:t>要求签署、盖章</w:t>
            </w:r>
          </w:p>
        </w:tc>
        <w:tc>
          <w:tcPr>
            <w:tcW w:w="6164" w:type="dxa"/>
            <w:vAlign w:val="top"/>
          </w:tcPr>
          <w:p w14:paraId="1C47D15E">
            <w:pPr>
              <w:pStyle w:val="16"/>
              <w:keepNext w:val="0"/>
              <w:keepLines w:val="0"/>
              <w:pageBreakBefore w:val="0"/>
              <w:kinsoku/>
              <w:wordWrap/>
              <w:overflowPunct/>
              <w:topLinePunct w:val="0"/>
              <w:bidi w:val="0"/>
              <w:spacing w:before="108" w:line="297" w:lineRule="auto"/>
              <w:ind w:left="110" w:right="110" w:firstLine="3"/>
              <w:jc w:val="both"/>
            </w:pPr>
            <w:r>
              <w:rPr>
                <w:spacing w:val="12"/>
              </w:rPr>
              <w:t>按照采购文件的要求在规定的地方完成签字、盖章，投标</w:t>
            </w:r>
            <w:r>
              <w:rPr>
                <w:spacing w:val="11"/>
              </w:rPr>
              <w:t>文件上</w:t>
            </w:r>
            <w:r>
              <w:rPr>
                <w:spacing w:val="12"/>
              </w:rPr>
              <w:t>法定代表人或其授权代理人的签字、投标人的单位章齐全符合采</w:t>
            </w:r>
            <w:r>
              <w:rPr>
                <w:spacing w:val="7"/>
              </w:rPr>
              <w:t>购文件规定。</w:t>
            </w:r>
          </w:p>
        </w:tc>
      </w:tr>
      <w:tr w14:paraId="392CBF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12E4B4BD">
            <w:pPr>
              <w:keepNext w:val="0"/>
              <w:keepLines w:val="0"/>
              <w:pageBreakBefore w:val="0"/>
              <w:kinsoku/>
              <w:wordWrap/>
              <w:overflowPunct/>
              <w:topLinePunct w:val="0"/>
              <w:bidi w:val="0"/>
              <w:spacing w:line="256" w:lineRule="auto"/>
              <w:rPr>
                <w:rFonts w:ascii="Arial"/>
                <w:sz w:val="21"/>
              </w:rPr>
            </w:pPr>
          </w:p>
          <w:p w14:paraId="1F171274">
            <w:pPr>
              <w:pStyle w:val="16"/>
              <w:keepNext w:val="0"/>
              <w:keepLines w:val="0"/>
              <w:pageBreakBefore w:val="0"/>
              <w:kinsoku/>
              <w:wordWrap/>
              <w:overflowPunct/>
              <w:topLinePunct w:val="0"/>
              <w:bidi w:val="0"/>
              <w:spacing w:before="65" w:line="189" w:lineRule="auto"/>
              <w:ind w:left="313"/>
            </w:pPr>
            <w:r>
              <w:t>4</w:t>
            </w:r>
          </w:p>
        </w:tc>
        <w:tc>
          <w:tcPr>
            <w:tcW w:w="2136" w:type="dxa"/>
            <w:vAlign w:val="top"/>
          </w:tcPr>
          <w:p w14:paraId="03E5F15C">
            <w:pPr>
              <w:pStyle w:val="16"/>
              <w:keepNext w:val="0"/>
              <w:keepLines w:val="0"/>
              <w:pageBreakBefore w:val="0"/>
              <w:kinsoku/>
              <w:wordWrap/>
              <w:overflowPunct/>
              <w:topLinePunct w:val="0"/>
              <w:bidi w:val="0"/>
              <w:spacing w:before="111" w:line="278" w:lineRule="auto"/>
              <w:ind w:left="114" w:right="106" w:firstLine="8"/>
            </w:pPr>
            <w:r>
              <w:rPr>
                <w:spacing w:val="11"/>
              </w:rPr>
              <w:t>响应文件是否有采购</w:t>
            </w:r>
            <w:r>
              <w:rPr>
                <w:spacing w:val="8"/>
              </w:rPr>
              <w:t>人不能接</w:t>
            </w:r>
            <w:r>
              <w:rPr>
                <w:rFonts w:hint="eastAsia"/>
                <w:spacing w:val="8"/>
                <w:lang w:val="en-US" w:eastAsia="zh-CN"/>
              </w:rPr>
              <w:t>受</w:t>
            </w:r>
            <w:r>
              <w:rPr>
                <w:spacing w:val="8"/>
              </w:rPr>
              <w:t>的条件</w:t>
            </w:r>
          </w:p>
        </w:tc>
        <w:tc>
          <w:tcPr>
            <w:tcW w:w="6164" w:type="dxa"/>
            <w:vAlign w:val="top"/>
          </w:tcPr>
          <w:p w14:paraId="10755590">
            <w:pPr>
              <w:pStyle w:val="16"/>
              <w:keepNext w:val="0"/>
              <w:keepLines w:val="0"/>
              <w:pageBreakBefore w:val="0"/>
              <w:kinsoku/>
              <w:wordWrap/>
              <w:overflowPunct/>
              <w:topLinePunct w:val="0"/>
              <w:bidi w:val="0"/>
              <w:spacing w:before="111" w:line="278" w:lineRule="auto"/>
              <w:ind w:left="114" w:right="110"/>
            </w:pPr>
            <w:r>
              <w:rPr>
                <w:spacing w:val="12"/>
              </w:rPr>
              <w:t>投标文件未附有采购人不能接受的附加条件及法律、法规</w:t>
            </w:r>
            <w:r>
              <w:rPr>
                <w:spacing w:val="11"/>
              </w:rPr>
              <w:t>和招标</w:t>
            </w:r>
            <w:r>
              <w:rPr>
                <w:spacing w:val="8"/>
              </w:rPr>
              <w:t>文件规定的其他无效情形。</w:t>
            </w:r>
          </w:p>
        </w:tc>
      </w:tr>
      <w:tr w14:paraId="6F9DFF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0" w:type="dxa"/>
            <w:vAlign w:val="top"/>
          </w:tcPr>
          <w:p w14:paraId="3858479D">
            <w:pPr>
              <w:keepNext w:val="0"/>
              <w:keepLines w:val="0"/>
              <w:pageBreakBefore w:val="0"/>
              <w:kinsoku/>
              <w:wordWrap/>
              <w:overflowPunct/>
              <w:topLinePunct w:val="0"/>
              <w:bidi w:val="0"/>
              <w:spacing w:line="259" w:lineRule="auto"/>
              <w:rPr>
                <w:rFonts w:ascii="Arial"/>
                <w:sz w:val="21"/>
              </w:rPr>
            </w:pPr>
          </w:p>
          <w:p w14:paraId="67C31000">
            <w:pPr>
              <w:pStyle w:val="16"/>
              <w:keepNext w:val="0"/>
              <w:keepLines w:val="0"/>
              <w:pageBreakBefore w:val="0"/>
              <w:kinsoku/>
              <w:wordWrap/>
              <w:overflowPunct/>
              <w:topLinePunct w:val="0"/>
              <w:bidi w:val="0"/>
              <w:spacing w:before="65" w:line="187" w:lineRule="auto"/>
              <w:ind w:left="318"/>
            </w:pPr>
            <w:r>
              <w:t>5</w:t>
            </w:r>
          </w:p>
        </w:tc>
        <w:tc>
          <w:tcPr>
            <w:tcW w:w="2136" w:type="dxa"/>
            <w:vAlign w:val="top"/>
          </w:tcPr>
          <w:p w14:paraId="4E723D6D">
            <w:pPr>
              <w:pStyle w:val="16"/>
              <w:keepNext w:val="0"/>
              <w:keepLines w:val="0"/>
              <w:pageBreakBefore w:val="0"/>
              <w:kinsoku/>
              <w:wordWrap/>
              <w:overflowPunct/>
              <w:topLinePunct w:val="0"/>
              <w:bidi w:val="0"/>
              <w:spacing w:before="111" w:line="278" w:lineRule="auto"/>
              <w:ind w:left="112" w:right="106"/>
            </w:pPr>
            <w:r>
              <w:rPr>
                <w:spacing w:val="12"/>
              </w:rPr>
              <w:t>满足投标产品的服务</w:t>
            </w:r>
            <w:r>
              <w:rPr>
                <w:spacing w:val="8"/>
              </w:rPr>
              <w:t>要求及其配套服务</w:t>
            </w:r>
          </w:p>
        </w:tc>
        <w:tc>
          <w:tcPr>
            <w:tcW w:w="6164" w:type="dxa"/>
            <w:vAlign w:val="top"/>
          </w:tcPr>
          <w:p w14:paraId="76D16503">
            <w:pPr>
              <w:pStyle w:val="16"/>
              <w:keepNext w:val="0"/>
              <w:keepLines w:val="0"/>
              <w:pageBreakBefore w:val="0"/>
              <w:kinsoku/>
              <w:wordWrap/>
              <w:overflowPunct/>
              <w:topLinePunct w:val="0"/>
              <w:bidi w:val="0"/>
              <w:spacing w:before="111" w:line="278" w:lineRule="auto"/>
              <w:ind w:left="114" w:right="110"/>
            </w:pPr>
            <w:r>
              <w:rPr>
                <w:spacing w:val="12"/>
              </w:rPr>
              <w:t>按照采购人需求提供相关服务及其配套服务，且只能有一</w:t>
            </w:r>
            <w:r>
              <w:rPr>
                <w:spacing w:val="11"/>
              </w:rPr>
              <w:t>个方案</w:t>
            </w:r>
            <w:r>
              <w:rPr>
                <w:spacing w:val="2"/>
              </w:rPr>
              <w:t>投标。</w:t>
            </w:r>
          </w:p>
        </w:tc>
      </w:tr>
      <w:tr w14:paraId="7C24B0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20" w:type="dxa"/>
            <w:vAlign w:val="top"/>
          </w:tcPr>
          <w:p w14:paraId="3E1A8995">
            <w:pPr>
              <w:pStyle w:val="16"/>
              <w:keepNext w:val="0"/>
              <w:keepLines w:val="0"/>
              <w:pageBreakBefore w:val="0"/>
              <w:kinsoku/>
              <w:wordWrap/>
              <w:overflowPunct/>
              <w:topLinePunct w:val="0"/>
              <w:bidi w:val="0"/>
              <w:spacing w:before="274" w:line="189" w:lineRule="auto"/>
              <w:ind w:left="315"/>
            </w:pPr>
            <w:r>
              <w:t>6</w:t>
            </w:r>
          </w:p>
        </w:tc>
        <w:tc>
          <w:tcPr>
            <w:tcW w:w="2136" w:type="dxa"/>
            <w:vAlign w:val="top"/>
          </w:tcPr>
          <w:p w14:paraId="2B74EE98">
            <w:pPr>
              <w:pStyle w:val="16"/>
              <w:keepNext w:val="0"/>
              <w:keepLines w:val="0"/>
              <w:pageBreakBefore w:val="0"/>
              <w:kinsoku/>
              <w:wordWrap/>
              <w:overflowPunct/>
              <w:topLinePunct w:val="0"/>
              <w:bidi w:val="0"/>
              <w:spacing w:before="241" w:line="228" w:lineRule="auto"/>
              <w:ind w:left="113"/>
            </w:pPr>
            <w:r>
              <w:rPr>
                <w:spacing w:val="4"/>
              </w:rPr>
              <w:t>其他</w:t>
            </w:r>
          </w:p>
        </w:tc>
        <w:tc>
          <w:tcPr>
            <w:tcW w:w="6164" w:type="dxa"/>
            <w:vAlign w:val="top"/>
          </w:tcPr>
          <w:p w14:paraId="19B943CF">
            <w:pPr>
              <w:pStyle w:val="16"/>
              <w:keepNext w:val="0"/>
              <w:keepLines w:val="0"/>
              <w:pageBreakBefore w:val="0"/>
              <w:kinsoku/>
              <w:wordWrap/>
              <w:overflowPunct/>
              <w:topLinePunct w:val="0"/>
              <w:bidi w:val="0"/>
              <w:spacing w:before="241" w:line="227" w:lineRule="auto"/>
              <w:ind w:left="114"/>
            </w:pPr>
            <w:r>
              <w:rPr>
                <w:spacing w:val="9"/>
              </w:rPr>
              <w:t>符合法律、法规和采购文件中规定的其他实质性要求；</w:t>
            </w:r>
          </w:p>
        </w:tc>
      </w:tr>
    </w:tbl>
    <w:p w14:paraId="09F1CB10">
      <w:pPr>
        <w:rPr>
          <w:rFonts w:ascii="宋体" w:hAnsi="宋体" w:eastAsia="宋体" w:cs="宋体"/>
          <w:spacing w:val="-1"/>
          <w:sz w:val="24"/>
          <w:szCs w:val="24"/>
        </w:rPr>
      </w:pPr>
      <w:r>
        <w:rPr>
          <w:rFonts w:ascii="宋体" w:hAnsi="宋体" w:eastAsia="宋体" w:cs="宋体"/>
          <w:spacing w:val="-1"/>
          <w:sz w:val="24"/>
          <w:szCs w:val="24"/>
        </w:rPr>
        <w:br w:type="page"/>
      </w:r>
    </w:p>
    <w:p w14:paraId="3D6BC5CD">
      <w:pPr>
        <w:keepNext w:val="0"/>
        <w:keepLines w:val="0"/>
        <w:pageBreakBefore w:val="0"/>
        <w:kinsoku/>
        <w:wordWrap/>
        <w:overflowPunct/>
        <w:topLinePunct w:val="0"/>
        <w:bidi w:val="0"/>
        <w:spacing w:before="78" w:line="219" w:lineRule="auto"/>
        <w:ind w:left="482"/>
        <w:rPr>
          <w:rFonts w:ascii="宋体" w:hAnsi="宋体" w:eastAsia="宋体" w:cs="宋体"/>
          <w:sz w:val="24"/>
          <w:szCs w:val="24"/>
        </w:rPr>
      </w:pPr>
      <w:r>
        <w:rPr>
          <w:rFonts w:ascii="宋体" w:hAnsi="宋体" w:eastAsia="宋体" w:cs="宋体"/>
          <w:spacing w:val="-1"/>
          <w:sz w:val="24"/>
          <w:szCs w:val="24"/>
        </w:rPr>
        <w:t>23.3与通过初步审查的供应商进行首次磋商。</w:t>
      </w:r>
    </w:p>
    <w:p w14:paraId="734C6A51">
      <w:pPr>
        <w:keepNext w:val="0"/>
        <w:keepLines w:val="0"/>
        <w:pageBreakBefore w:val="0"/>
        <w:kinsoku/>
        <w:wordWrap/>
        <w:overflowPunct/>
        <w:topLinePunct w:val="0"/>
        <w:bidi w:val="0"/>
        <w:spacing w:before="183" w:line="346" w:lineRule="auto"/>
        <w:ind w:left="2" w:right="38" w:firstLine="480"/>
        <w:rPr>
          <w:rFonts w:ascii="宋体" w:hAnsi="宋体" w:eastAsia="宋体" w:cs="宋体"/>
          <w:sz w:val="24"/>
          <w:szCs w:val="24"/>
        </w:rPr>
      </w:pPr>
      <w:r>
        <w:rPr>
          <w:rFonts w:ascii="宋体" w:hAnsi="宋体" w:eastAsia="宋体" w:cs="宋体"/>
          <w:spacing w:val="-2"/>
          <w:sz w:val="24"/>
          <w:szCs w:val="24"/>
        </w:rPr>
        <w:t>首次磋商内容包括合同内容、报价依据、技术文件的实施方案等。经首次磋商确定</w:t>
      </w:r>
      <w:r>
        <w:rPr>
          <w:rFonts w:ascii="宋体" w:hAnsi="宋体" w:eastAsia="宋体" w:cs="宋体"/>
          <w:sz w:val="24"/>
          <w:szCs w:val="24"/>
        </w:rPr>
        <w:t>最终采购需求后，根据最终采购需求，要求供应</w:t>
      </w:r>
      <w:r>
        <w:rPr>
          <w:rFonts w:ascii="宋体" w:hAnsi="宋体" w:eastAsia="宋体" w:cs="宋体"/>
          <w:spacing w:val="-1"/>
          <w:sz w:val="24"/>
          <w:szCs w:val="24"/>
        </w:rPr>
        <w:t>商在规定时间内提交最后报价。</w:t>
      </w:r>
    </w:p>
    <w:p w14:paraId="20EA12BB">
      <w:pPr>
        <w:keepNext w:val="0"/>
        <w:keepLines w:val="0"/>
        <w:pageBreakBefore w:val="0"/>
        <w:kinsoku/>
        <w:wordWrap/>
        <w:overflowPunct/>
        <w:topLinePunct w:val="0"/>
        <w:bidi w:val="0"/>
        <w:spacing w:before="36" w:line="346" w:lineRule="auto"/>
        <w:ind w:right="39" w:firstLine="481"/>
        <w:rPr>
          <w:rFonts w:ascii="宋体" w:hAnsi="宋体" w:eastAsia="宋体" w:cs="宋体"/>
          <w:spacing w:val="-1"/>
          <w:sz w:val="24"/>
          <w:szCs w:val="24"/>
        </w:rPr>
      </w:pPr>
      <w:r>
        <w:rPr>
          <w:rFonts w:ascii="宋体" w:hAnsi="宋体" w:eastAsia="宋体" w:cs="宋体"/>
          <w:spacing w:val="2"/>
          <w:sz w:val="24"/>
          <w:szCs w:val="24"/>
        </w:rPr>
        <w:t>23.4本次评标采用综合评分法。由磋商</w:t>
      </w:r>
      <w:r>
        <w:rPr>
          <w:rFonts w:ascii="宋体" w:hAnsi="宋体" w:eastAsia="宋体" w:cs="宋体"/>
          <w:spacing w:val="1"/>
          <w:sz w:val="24"/>
          <w:szCs w:val="24"/>
        </w:rPr>
        <w:t>小组依据下列综合评审标准对提交最后报</w:t>
      </w:r>
      <w:r>
        <w:rPr>
          <w:rFonts w:ascii="宋体" w:hAnsi="宋体" w:eastAsia="宋体" w:cs="宋体"/>
          <w:spacing w:val="-1"/>
          <w:sz w:val="24"/>
          <w:szCs w:val="24"/>
        </w:rPr>
        <w:t>价的供应商的响应文件和最后报价进行综合评分。</w:t>
      </w:r>
    </w:p>
    <w:p w14:paraId="181478D9">
      <w:pPr>
        <w:pStyle w:val="2"/>
        <w:keepNext w:val="0"/>
        <w:keepLines w:val="0"/>
        <w:pageBreakBefore w:val="0"/>
        <w:kinsoku/>
        <w:wordWrap/>
        <w:overflowPunct/>
        <w:topLinePunct w:val="0"/>
        <w:bidi w:val="0"/>
        <w:rPr>
          <w:rFonts w:ascii="宋体" w:hAnsi="宋体" w:eastAsia="宋体" w:cs="宋体"/>
          <w:spacing w:val="-1"/>
          <w:sz w:val="24"/>
          <w:szCs w:val="24"/>
        </w:rPr>
      </w:pPr>
    </w:p>
    <w:p w14:paraId="1B22BDE0">
      <w:pPr>
        <w:keepNext w:val="0"/>
        <w:keepLines w:val="0"/>
        <w:pageBreakBefore w:val="0"/>
        <w:kinsoku/>
        <w:wordWrap/>
        <w:overflowPunct/>
        <w:topLinePunct w:val="0"/>
        <w:bidi w:val="0"/>
        <w:spacing w:before="36" w:line="220" w:lineRule="auto"/>
        <w:ind w:left="482"/>
        <w:rPr>
          <w:rFonts w:ascii="宋体" w:hAnsi="宋体" w:eastAsia="宋体" w:cs="宋体"/>
          <w:sz w:val="24"/>
          <w:szCs w:val="24"/>
        </w:rPr>
      </w:pPr>
      <w:r>
        <w:rPr>
          <w:rFonts w:ascii="宋体" w:hAnsi="宋体" w:eastAsia="宋体" w:cs="宋体"/>
          <w:b/>
          <w:bCs/>
          <w:spacing w:val="-5"/>
          <w:sz w:val="24"/>
          <w:szCs w:val="24"/>
        </w:rPr>
        <w:t>24、质疑</w:t>
      </w:r>
    </w:p>
    <w:p w14:paraId="0BC2DF69">
      <w:pPr>
        <w:keepNext w:val="0"/>
        <w:keepLines w:val="0"/>
        <w:pageBreakBefore w:val="0"/>
        <w:kinsoku/>
        <w:wordWrap/>
        <w:overflowPunct/>
        <w:topLinePunct w:val="0"/>
        <w:bidi w:val="0"/>
        <w:spacing w:before="183" w:line="313" w:lineRule="auto"/>
        <w:ind w:left="2" w:right="38" w:firstLine="494"/>
        <w:rPr>
          <w:rFonts w:ascii="宋体" w:hAnsi="宋体" w:eastAsia="宋体" w:cs="宋体"/>
          <w:sz w:val="24"/>
          <w:szCs w:val="24"/>
        </w:rPr>
      </w:pPr>
      <w:r>
        <w:rPr>
          <w:rFonts w:ascii="宋体" w:hAnsi="宋体" w:eastAsia="宋体" w:cs="宋体"/>
          <w:spacing w:val="1"/>
          <w:sz w:val="24"/>
          <w:szCs w:val="24"/>
        </w:rPr>
        <w:t>1、供应商认为采购文件、采购过程和中标结果使自己的权益受到损害的，可以在</w:t>
      </w:r>
      <w:r>
        <w:rPr>
          <w:rFonts w:ascii="宋体" w:hAnsi="宋体" w:eastAsia="宋体" w:cs="宋体"/>
          <w:spacing w:val="-2"/>
          <w:sz w:val="24"/>
          <w:szCs w:val="24"/>
        </w:rPr>
        <w:t>知道或者应知其权益受到损害之日起七个工作日内，以书面形式向采购人或采购代理机</w:t>
      </w:r>
      <w:r>
        <w:rPr>
          <w:rFonts w:ascii="宋体" w:hAnsi="宋体" w:eastAsia="宋体" w:cs="宋体"/>
          <w:spacing w:val="-3"/>
          <w:sz w:val="24"/>
          <w:szCs w:val="24"/>
        </w:rPr>
        <w:t>构提出质疑。</w:t>
      </w:r>
    </w:p>
    <w:p w14:paraId="3403810C">
      <w:pPr>
        <w:keepNext w:val="0"/>
        <w:keepLines w:val="0"/>
        <w:pageBreakBefore w:val="0"/>
        <w:kinsoku/>
        <w:wordWrap/>
        <w:overflowPunct/>
        <w:topLinePunct w:val="0"/>
        <w:bidi w:val="0"/>
        <w:spacing w:before="181" w:line="290" w:lineRule="auto"/>
        <w:ind w:right="39" w:firstLine="491"/>
        <w:rPr>
          <w:rFonts w:ascii="宋体" w:hAnsi="宋体" w:eastAsia="宋体" w:cs="宋体"/>
          <w:sz w:val="24"/>
          <w:szCs w:val="24"/>
        </w:rPr>
      </w:pPr>
      <w:r>
        <w:rPr>
          <w:rFonts w:ascii="宋体" w:hAnsi="宋体" w:eastAsia="宋体" w:cs="宋体"/>
          <w:spacing w:val="1"/>
          <w:sz w:val="24"/>
          <w:szCs w:val="24"/>
        </w:rPr>
        <w:t>（1）对采购文件提出质疑的，应当在获取采购文件之日或者采购文件公告期限届</w:t>
      </w:r>
      <w:r>
        <w:rPr>
          <w:rFonts w:ascii="宋体" w:hAnsi="宋体" w:eastAsia="宋体" w:cs="宋体"/>
          <w:spacing w:val="-3"/>
          <w:sz w:val="24"/>
          <w:szCs w:val="24"/>
        </w:rPr>
        <w:t>满之日起7个工作日内提出。</w:t>
      </w:r>
    </w:p>
    <w:p w14:paraId="5CAEC020">
      <w:pPr>
        <w:keepNext w:val="0"/>
        <w:keepLines w:val="0"/>
        <w:pageBreakBefore w:val="0"/>
        <w:kinsoku/>
        <w:wordWrap/>
        <w:overflowPunct/>
        <w:topLinePunct w:val="0"/>
        <w:bidi w:val="0"/>
        <w:spacing w:before="184" w:line="291" w:lineRule="auto"/>
        <w:ind w:left="20" w:right="38" w:firstLine="470"/>
        <w:rPr>
          <w:rFonts w:ascii="宋体" w:hAnsi="宋体" w:eastAsia="宋体" w:cs="宋体"/>
          <w:sz w:val="24"/>
          <w:szCs w:val="24"/>
        </w:rPr>
      </w:pPr>
      <w:r>
        <w:rPr>
          <w:rFonts w:ascii="宋体" w:hAnsi="宋体" w:eastAsia="宋体" w:cs="宋体"/>
          <w:spacing w:val="1"/>
          <w:sz w:val="24"/>
          <w:szCs w:val="24"/>
        </w:rPr>
        <w:t>（2）对采购过程提出质疑的，应当在各采购</w:t>
      </w:r>
      <w:r>
        <w:rPr>
          <w:rFonts w:ascii="宋体" w:hAnsi="宋体" w:eastAsia="宋体" w:cs="宋体"/>
          <w:sz w:val="24"/>
          <w:szCs w:val="24"/>
        </w:rPr>
        <w:t>程序环节结束之日起7个工作日内提</w:t>
      </w:r>
      <w:r>
        <w:rPr>
          <w:rFonts w:ascii="宋体" w:hAnsi="宋体" w:eastAsia="宋体" w:cs="宋体"/>
          <w:spacing w:val="-15"/>
          <w:sz w:val="24"/>
          <w:szCs w:val="24"/>
        </w:rPr>
        <w:t>出。</w:t>
      </w:r>
    </w:p>
    <w:p w14:paraId="02845BCA">
      <w:pPr>
        <w:keepNext w:val="0"/>
        <w:keepLines w:val="0"/>
        <w:pageBreakBefore w:val="0"/>
        <w:kinsoku/>
        <w:wordWrap/>
        <w:overflowPunct/>
        <w:topLinePunct w:val="0"/>
        <w:bidi w:val="0"/>
        <w:spacing w:before="179" w:line="290" w:lineRule="auto"/>
        <w:ind w:right="38" w:firstLine="490"/>
        <w:rPr>
          <w:rFonts w:ascii="宋体" w:hAnsi="宋体" w:eastAsia="宋体" w:cs="宋体"/>
          <w:sz w:val="24"/>
          <w:szCs w:val="24"/>
        </w:rPr>
      </w:pPr>
      <w:r>
        <w:rPr>
          <w:rFonts w:ascii="宋体" w:hAnsi="宋体" w:eastAsia="宋体" w:cs="宋体"/>
          <w:spacing w:val="1"/>
          <w:sz w:val="24"/>
          <w:szCs w:val="24"/>
        </w:rPr>
        <w:t>（3）对中标结果提出质疑的，应当在中标结</w:t>
      </w:r>
      <w:r>
        <w:rPr>
          <w:rFonts w:ascii="宋体" w:hAnsi="宋体" w:eastAsia="宋体" w:cs="宋体"/>
          <w:sz w:val="24"/>
          <w:szCs w:val="24"/>
        </w:rPr>
        <w:t>果公告期限届满之日起7个工作日内</w:t>
      </w:r>
      <w:r>
        <w:rPr>
          <w:rFonts w:ascii="宋体" w:hAnsi="宋体" w:eastAsia="宋体" w:cs="宋体"/>
          <w:spacing w:val="-4"/>
          <w:sz w:val="24"/>
          <w:szCs w:val="24"/>
        </w:rPr>
        <w:t>提出。</w:t>
      </w:r>
    </w:p>
    <w:p w14:paraId="1909EE95">
      <w:pPr>
        <w:keepNext w:val="0"/>
        <w:keepLines w:val="0"/>
        <w:pageBreakBefore w:val="0"/>
        <w:kinsoku/>
        <w:wordWrap/>
        <w:overflowPunct/>
        <w:topLinePunct w:val="0"/>
        <w:bidi w:val="0"/>
        <w:spacing w:before="181" w:line="219" w:lineRule="auto"/>
        <w:ind w:left="482"/>
        <w:rPr>
          <w:rFonts w:ascii="宋体" w:hAnsi="宋体" w:eastAsia="宋体" w:cs="宋体"/>
          <w:sz w:val="24"/>
          <w:szCs w:val="24"/>
        </w:rPr>
      </w:pPr>
      <w:r>
        <w:rPr>
          <w:rFonts w:ascii="宋体" w:hAnsi="宋体" w:eastAsia="宋体" w:cs="宋体"/>
          <w:spacing w:val="-1"/>
          <w:sz w:val="24"/>
          <w:szCs w:val="24"/>
        </w:rPr>
        <w:t>2、提出质疑的供应商应当是参与所质疑项目采购活动的供应商。</w:t>
      </w:r>
    </w:p>
    <w:p w14:paraId="44C9E5AF">
      <w:pPr>
        <w:keepNext w:val="0"/>
        <w:keepLines w:val="0"/>
        <w:pageBreakBefore w:val="0"/>
        <w:kinsoku/>
        <w:wordWrap/>
        <w:overflowPunct/>
        <w:topLinePunct w:val="0"/>
        <w:bidi w:val="0"/>
        <w:spacing w:before="183" w:line="219" w:lineRule="auto"/>
        <w:ind w:left="484"/>
        <w:rPr>
          <w:rFonts w:ascii="宋体" w:hAnsi="宋体" w:eastAsia="宋体" w:cs="宋体"/>
          <w:spacing w:val="-1"/>
          <w:sz w:val="24"/>
          <w:szCs w:val="24"/>
        </w:rPr>
      </w:pPr>
      <w:r>
        <w:rPr>
          <w:rFonts w:ascii="宋体" w:hAnsi="宋体" w:eastAsia="宋体" w:cs="宋体"/>
          <w:spacing w:val="-1"/>
          <w:sz w:val="24"/>
          <w:szCs w:val="24"/>
        </w:rPr>
        <w:t>3、供应商应知其权益受到损害之日，是指：</w:t>
      </w:r>
    </w:p>
    <w:p w14:paraId="3E5F8BB6">
      <w:pPr>
        <w:keepNext w:val="0"/>
        <w:keepLines w:val="0"/>
        <w:pageBreakBefore w:val="0"/>
        <w:kinsoku/>
        <w:wordWrap/>
        <w:overflowPunct/>
        <w:topLinePunct w:val="0"/>
        <w:bidi w:val="0"/>
        <w:spacing w:before="183" w:line="219" w:lineRule="auto"/>
        <w:ind w:left="484"/>
        <w:rPr>
          <w:rFonts w:ascii="宋体" w:hAnsi="宋体" w:eastAsia="宋体" w:cs="宋体"/>
          <w:sz w:val="24"/>
          <w:szCs w:val="24"/>
        </w:rPr>
      </w:pPr>
      <w:r>
        <w:rPr>
          <w:rFonts w:ascii="宋体" w:hAnsi="宋体" w:eastAsia="宋体" w:cs="宋体"/>
          <w:spacing w:val="1"/>
          <w:sz w:val="24"/>
          <w:szCs w:val="24"/>
        </w:rPr>
        <w:t>（1）对可以质疑的采购文件提出质疑的，为收到采购文件之日或者采购文件公告</w:t>
      </w:r>
      <w:r>
        <w:rPr>
          <w:rFonts w:ascii="宋体" w:hAnsi="宋体" w:eastAsia="宋体" w:cs="宋体"/>
          <w:spacing w:val="-2"/>
          <w:sz w:val="24"/>
          <w:szCs w:val="24"/>
        </w:rPr>
        <w:t>期限届满之日；</w:t>
      </w:r>
    </w:p>
    <w:p w14:paraId="1F6777BE">
      <w:pPr>
        <w:keepNext w:val="0"/>
        <w:keepLines w:val="0"/>
        <w:pageBreakBefore w:val="0"/>
        <w:kinsoku/>
        <w:wordWrap/>
        <w:overflowPunct/>
        <w:topLinePunct w:val="0"/>
        <w:bidi w:val="0"/>
        <w:spacing w:before="182" w:line="219" w:lineRule="auto"/>
        <w:ind w:left="492"/>
        <w:rPr>
          <w:rFonts w:ascii="宋体" w:hAnsi="宋体" w:eastAsia="宋体" w:cs="宋体"/>
          <w:sz w:val="24"/>
          <w:szCs w:val="24"/>
        </w:rPr>
      </w:pPr>
      <w:r>
        <w:rPr>
          <w:rFonts w:ascii="宋体" w:hAnsi="宋体" w:eastAsia="宋体" w:cs="宋体"/>
          <w:spacing w:val="-1"/>
          <w:sz w:val="24"/>
          <w:szCs w:val="24"/>
        </w:rPr>
        <w:t>（2）对采购过程提出质疑的，为各采购程序环节结束之日；</w:t>
      </w:r>
    </w:p>
    <w:p w14:paraId="622C8505">
      <w:pPr>
        <w:keepNext w:val="0"/>
        <w:keepLines w:val="0"/>
        <w:pageBreakBefore w:val="0"/>
        <w:kinsoku/>
        <w:wordWrap/>
        <w:overflowPunct/>
        <w:topLinePunct w:val="0"/>
        <w:bidi w:val="0"/>
        <w:spacing w:before="183" w:line="218" w:lineRule="auto"/>
        <w:ind w:left="492"/>
        <w:rPr>
          <w:rFonts w:ascii="宋体" w:hAnsi="宋体" w:eastAsia="宋体" w:cs="宋体"/>
          <w:sz w:val="24"/>
          <w:szCs w:val="24"/>
        </w:rPr>
      </w:pPr>
      <w:r>
        <w:rPr>
          <w:rFonts w:ascii="宋体" w:hAnsi="宋体" w:eastAsia="宋体" w:cs="宋体"/>
          <w:spacing w:val="-1"/>
          <w:sz w:val="24"/>
          <w:szCs w:val="24"/>
        </w:rPr>
        <w:t>（3）对中标结果提出质疑的，为中标结果公告期限届满之日。</w:t>
      </w:r>
    </w:p>
    <w:p w14:paraId="4EFFCC9E">
      <w:pPr>
        <w:keepNext w:val="0"/>
        <w:keepLines w:val="0"/>
        <w:pageBreakBefore w:val="0"/>
        <w:kinsoku/>
        <w:wordWrap/>
        <w:overflowPunct/>
        <w:topLinePunct w:val="0"/>
        <w:bidi w:val="0"/>
        <w:spacing w:before="184" w:line="290" w:lineRule="auto"/>
        <w:ind w:left="3" w:right="80" w:firstLine="476"/>
        <w:rPr>
          <w:rFonts w:ascii="宋体" w:hAnsi="宋体" w:eastAsia="宋体" w:cs="宋体"/>
          <w:sz w:val="24"/>
          <w:szCs w:val="24"/>
        </w:rPr>
      </w:pPr>
      <w:r>
        <w:rPr>
          <w:rFonts w:ascii="宋体" w:hAnsi="宋体" w:eastAsia="宋体" w:cs="宋体"/>
          <w:spacing w:val="2"/>
          <w:sz w:val="24"/>
          <w:szCs w:val="24"/>
        </w:rPr>
        <w:t>4、供应商应当向采购人或者采购代理机构一次性提出针对</w:t>
      </w:r>
      <w:r>
        <w:rPr>
          <w:rFonts w:ascii="宋体" w:hAnsi="宋体" w:eastAsia="宋体" w:cs="宋体"/>
          <w:spacing w:val="1"/>
          <w:sz w:val="24"/>
          <w:szCs w:val="24"/>
        </w:rPr>
        <w:t>同一采购程序环节的质</w:t>
      </w:r>
      <w:r>
        <w:rPr>
          <w:rFonts w:ascii="宋体" w:hAnsi="宋体" w:eastAsia="宋体" w:cs="宋体"/>
          <w:spacing w:val="-7"/>
          <w:sz w:val="24"/>
          <w:szCs w:val="24"/>
        </w:rPr>
        <w:t>疑。</w:t>
      </w:r>
    </w:p>
    <w:p w14:paraId="6D06A55C">
      <w:pPr>
        <w:keepNext w:val="0"/>
        <w:keepLines w:val="0"/>
        <w:pageBreakBefore w:val="0"/>
        <w:kinsoku/>
        <w:wordWrap/>
        <w:overflowPunct/>
        <w:topLinePunct w:val="0"/>
        <w:bidi w:val="0"/>
        <w:spacing w:before="182" w:line="219" w:lineRule="auto"/>
        <w:jc w:val="center"/>
        <w:rPr>
          <w:rFonts w:ascii="宋体" w:hAnsi="宋体" w:eastAsia="宋体" w:cs="宋体"/>
          <w:sz w:val="24"/>
          <w:szCs w:val="24"/>
        </w:rPr>
      </w:pPr>
      <w:r>
        <w:rPr>
          <w:rFonts w:ascii="宋体" w:hAnsi="宋体" w:eastAsia="宋体" w:cs="宋体"/>
          <w:spacing w:val="-3"/>
          <w:sz w:val="24"/>
          <w:szCs w:val="24"/>
        </w:rPr>
        <w:t>5、供应商提出质疑应当提交质疑函和必要的证明材料</w:t>
      </w:r>
      <w:r>
        <w:rPr>
          <w:rFonts w:ascii="宋体" w:hAnsi="宋体" w:eastAsia="宋体" w:cs="宋体"/>
          <w:spacing w:val="-4"/>
          <w:sz w:val="24"/>
          <w:szCs w:val="24"/>
        </w:rPr>
        <w:t>。质疑函应当包括下列内容：</w:t>
      </w:r>
    </w:p>
    <w:p w14:paraId="626E1B06">
      <w:pPr>
        <w:keepNext w:val="0"/>
        <w:keepLines w:val="0"/>
        <w:pageBreakBefore w:val="0"/>
        <w:kinsoku/>
        <w:wordWrap/>
        <w:overflowPunct/>
        <w:topLinePunct w:val="0"/>
        <w:bidi w:val="0"/>
        <w:spacing w:before="183" w:line="219" w:lineRule="auto"/>
        <w:ind w:left="492"/>
        <w:rPr>
          <w:rFonts w:ascii="宋体" w:hAnsi="宋体" w:eastAsia="宋体" w:cs="宋体"/>
          <w:sz w:val="24"/>
          <w:szCs w:val="24"/>
        </w:rPr>
      </w:pPr>
      <w:r>
        <w:rPr>
          <w:rFonts w:ascii="宋体" w:hAnsi="宋体" w:eastAsia="宋体" w:cs="宋体"/>
          <w:spacing w:val="-1"/>
          <w:sz w:val="24"/>
          <w:szCs w:val="24"/>
        </w:rPr>
        <w:t>（1）供应商的姓名或者名称、地址、邮编、联系人及联系电话；</w:t>
      </w:r>
    </w:p>
    <w:p w14:paraId="0D07C866">
      <w:pPr>
        <w:keepNext w:val="0"/>
        <w:keepLines w:val="0"/>
        <w:pageBreakBefore w:val="0"/>
        <w:kinsoku/>
        <w:wordWrap/>
        <w:overflowPunct/>
        <w:topLinePunct w:val="0"/>
        <w:bidi w:val="0"/>
        <w:spacing w:before="184" w:line="219" w:lineRule="auto"/>
        <w:ind w:left="492"/>
        <w:rPr>
          <w:rFonts w:ascii="宋体" w:hAnsi="宋体" w:eastAsia="宋体" w:cs="宋体"/>
          <w:sz w:val="24"/>
          <w:szCs w:val="24"/>
        </w:rPr>
      </w:pPr>
      <w:r>
        <w:rPr>
          <w:rFonts w:ascii="宋体" w:hAnsi="宋体" w:eastAsia="宋体" w:cs="宋体"/>
          <w:spacing w:val="-2"/>
          <w:sz w:val="24"/>
          <w:szCs w:val="24"/>
        </w:rPr>
        <w:t>（2）质疑项目的名称、编号；</w:t>
      </w:r>
    </w:p>
    <w:p w14:paraId="5F17A2EB">
      <w:pPr>
        <w:keepNext w:val="0"/>
        <w:keepLines w:val="0"/>
        <w:pageBreakBefore w:val="0"/>
        <w:kinsoku/>
        <w:wordWrap/>
        <w:overflowPunct/>
        <w:topLinePunct w:val="0"/>
        <w:bidi w:val="0"/>
        <w:spacing w:before="184" w:line="219" w:lineRule="auto"/>
        <w:ind w:left="492"/>
        <w:rPr>
          <w:rFonts w:ascii="宋体" w:hAnsi="宋体" w:eastAsia="宋体" w:cs="宋体"/>
          <w:sz w:val="24"/>
          <w:szCs w:val="24"/>
        </w:rPr>
      </w:pPr>
      <w:r>
        <w:rPr>
          <w:rFonts w:ascii="宋体" w:hAnsi="宋体" w:eastAsia="宋体" w:cs="宋体"/>
          <w:spacing w:val="-1"/>
          <w:sz w:val="24"/>
          <w:szCs w:val="24"/>
        </w:rPr>
        <w:t>（3）具体、明确的质疑事项和与质疑事项相关的请求；</w:t>
      </w:r>
    </w:p>
    <w:p w14:paraId="409ACCD0">
      <w:pPr>
        <w:keepNext w:val="0"/>
        <w:keepLines w:val="0"/>
        <w:pageBreakBefore w:val="0"/>
        <w:kinsoku/>
        <w:wordWrap/>
        <w:overflowPunct/>
        <w:topLinePunct w:val="0"/>
        <w:bidi w:val="0"/>
        <w:spacing w:before="182" w:line="219" w:lineRule="auto"/>
        <w:ind w:left="492"/>
        <w:rPr>
          <w:rFonts w:ascii="宋体" w:hAnsi="宋体" w:eastAsia="宋体" w:cs="宋体"/>
          <w:sz w:val="24"/>
          <w:szCs w:val="24"/>
        </w:rPr>
      </w:pPr>
      <w:r>
        <w:rPr>
          <w:rFonts w:ascii="宋体" w:hAnsi="宋体" w:eastAsia="宋体" w:cs="宋体"/>
          <w:spacing w:val="-3"/>
          <w:sz w:val="24"/>
          <w:szCs w:val="24"/>
        </w:rPr>
        <w:t>（4）事实依据；</w:t>
      </w:r>
    </w:p>
    <w:p w14:paraId="0ECD8591">
      <w:pPr>
        <w:keepNext w:val="0"/>
        <w:keepLines w:val="0"/>
        <w:pageBreakBefore w:val="0"/>
        <w:kinsoku/>
        <w:wordWrap/>
        <w:overflowPunct/>
        <w:topLinePunct w:val="0"/>
        <w:bidi w:val="0"/>
        <w:spacing w:before="183" w:line="219" w:lineRule="auto"/>
        <w:ind w:left="492"/>
        <w:rPr>
          <w:rFonts w:ascii="宋体" w:hAnsi="宋体" w:eastAsia="宋体" w:cs="宋体"/>
          <w:sz w:val="24"/>
          <w:szCs w:val="24"/>
        </w:rPr>
      </w:pPr>
      <w:r>
        <w:rPr>
          <w:rFonts w:ascii="宋体" w:hAnsi="宋体" w:eastAsia="宋体" w:cs="宋体"/>
          <w:spacing w:val="-2"/>
          <w:sz w:val="24"/>
          <w:szCs w:val="24"/>
        </w:rPr>
        <w:t>（5）必要的法律依据；</w:t>
      </w:r>
    </w:p>
    <w:p w14:paraId="1DD16934">
      <w:pPr>
        <w:keepNext w:val="0"/>
        <w:keepLines w:val="0"/>
        <w:pageBreakBefore w:val="0"/>
        <w:kinsoku/>
        <w:wordWrap/>
        <w:overflowPunct/>
        <w:topLinePunct w:val="0"/>
        <w:bidi w:val="0"/>
        <w:spacing w:before="184" w:line="220" w:lineRule="auto"/>
        <w:ind w:left="492"/>
        <w:rPr>
          <w:rFonts w:ascii="宋体" w:hAnsi="宋体" w:eastAsia="宋体" w:cs="宋体"/>
          <w:sz w:val="24"/>
          <w:szCs w:val="24"/>
        </w:rPr>
      </w:pPr>
      <w:r>
        <w:rPr>
          <w:rFonts w:ascii="宋体" w:hAnsi="宋体" w:eastAsia="宋体" w:cs="宋体"/>
          <w:spacing w:val="-2"/>
          <w:sz w:val="24"/>
          <w:szCs w:val="24"/>
        </w:rPr>
        <w:t>（6）提出质疑的日期。</w:t>
      </w:r>
    </w:p>
    <w:p w14:paraId="4295171D">
      <w:pPr>
        <w:keepNext w:val="0"/>
        <w:keepLines w:val="0"/>
        <w:pageBreakBefore w:val="0"/>
        <w:kinsoku/>
        <w:wordWrap/>
        <w:overflowPunct/>
        <w:topLinePunct w:val="0"/>
        <w:bidi w:val="0"/>
        <w:spacing w:before="183" w:line="289" w:lineRule="auto"/>
        <w:ind w:right="138" w:firstLine="481"/>
        <w:rPr>
          <w:rFonts w:ascii="宋体" w:hAnsi="宋体" w:eastAsia="宋体" w:cs="宋体"/>
          <w:sz w:val="24"/>
          <w:szCs w:val="24"/>
        </w:rPr>
      </w:pPr>
      <w:r>
        <w:rPr>
          <w:rFonts w:ascii="宋体" w:hAnsi="宋体" w:eastAsia="宋体" w:cs="宋体"/>
          <w:sz w:val="24"/>
          <w:szCs w:val="24"/>
        </w:rPr>
        <w:t>6、供应商为自然人的，质疑函应当由本人签字；供应商为法人或者其他组织的，应当由法定代表人、主要负责人或授权代表签字或者盖</w:t>
      </w:r>
      <w:r>
        <w:rPr>
          <w:rFonts w:ascii="宋体" w:hAnsi="宋体" w:eastAsia="宋体" w:cs="宋体"/>
          <w:spacing w:val="-1"/>
          <w:sz w:val="24"/>
          <w:szCs w:val="24"/>
        </w:rPr>
        <w:t>章，并加盖供应商公章。</w:t>
      </w:r>
    </w:p>
    <w:p w14:paraId="79347109">
      <w:pPr>
        <w:keepNext w:val="0"/>
        <w:keepLines w:val="0"/>
        <w:pageBreakBefore w:val="0"/>
        <w:kinsoku/>
        <w:wordWrap/>
        <w:overflowPunct/>
        <w:topLinePunct w:val="0"/>
        <w:bidi w:val="0"/>
        <w:spacing w:before="183" w:line="313" w:lineRule="auto"/>
        <w:ind w:firstLine="486"/>
        <w:rPr>
          <w:rFonts w:ascii="宋体" w:hAnsi="宋体" w:eastAsia="宋体" w:cs="宋体"/>
          <w:sz w:val="24"/>
          <w:szCs w:val="24"/>
        </w:rPr>
      </w:pPr>
      <w:r>
        <w:rPr>
          <w:rFonts w:ascii="宋体" w:hAnsi="宋体" w:eastAsia="宋体" w:cs="宋体"/>
          <w:spacing w:val="1"/>
          <w:sz w:val="24"/>
          <w:szCs w:val="24"/>
        </w:rPr>
        <w:t>7、供应商若委托代理人进行提出质疑的，质疑函应</w:t>
      </w:r>
      <w:r>
        <w:rPr>
          <w:rFonts w:ascii="宋体" w:hAnsi="宋体" w:eastAsia="宋体" w:cs="宋体"/>
          <w:sz w:val="24"/>
          <w:szCs w:val="24"/>
        </w:rPr>
        <w:t>按要求列明“授权代表”的有</w:t>
      </w:r>
      <w:r>
        <w:rPr>
          <w:rFonts w:ascii="宋体" w:hAnsi="宋体" w:eastAsia="宋体" w:cs="宋体"/>
          <w:spacing w:val="-6"/>
          <w:sz w:val="24"/>
          <w:szCs w:val="24"/>
        </w:rPr>
        <w:t>关内容，并提交由供应商签署的授权委托书及代理人身份证复印件，并加盖供应商公章。</w:t>
      </w:r>
      <w:r>
        <w:rPr>
          <w:rFonts w:ascii="宋体" w:hAnsi="宋体" w:eastAsia="宋体" w:cs="宋体"/>
          <w:sz w:val="24"/>
          <w:szCs w:val="24"/>
        </w:rPr>
        <w:t>授权委托书应载明代理人的姓名或者名称、代理事项、具体权</w:t>
      </w:r>
      <w:r>
        <w:rPr>
          <w:rFonts w:ascii="宋体" w:hAnsi="宋体" w:eastAsia="宋体" w:cs="宋体"/>
          <w:spacing w:val="-1"/>
          <w:sz w:val="24"/>
          <w:szCs w:val="24"/>
        </w:rPr>
        <w:t>限、期限和相关事项。</w:t>
      </w:r>
    </w:p>
    <w:p w14:paraId="4EFA3CA0">
      <w:pPr>
        <w:keepNext w:val="0"/>
        <w:keepLines w:val="0"/>
        <w:pageBreakBefore w:val="0"/>
        <w:kinsoku/>
        <w:wordWrap/>
        <w:overflowPunct/>
        <w:topLinePunct w:val="0"/>
        <w:bidi w:val="0"/>
        <w:spacing w:before="185" w:line="291" w:lineRule="auto"/>
        <w:ind w:left="21" w:right="80" w:firstLine="460"/>
        <w:rPr>
          <w:rFonts w:ascii="宋体" w:hAnsi="宋体" w:eastAsia="宋体" w:cs="宋体"/>
          <w:sz w:val="24"/>
          <w:szCs w:val="24"/>
        </w:rPr>
      </w:pPr>
      <w:r>
        <w:rPr>
          <w:rFonts w:ascii="宋体" w:hAnsi="宋体" w:eastAsia="宋体" w:cs="宋体"/>
          <w:spacing w:val="2"/>
          <w:sz w:val="24"/>
          <w:szCs w:val="24"/>
        </w:rPr>
        <w:t>8、以联合体形式参加采购活动的，其质疑应当由组成</w:t>
      </w:r>
      <w:r>
        <w:rPr>
          <w:rFonts w:ascii="宋体" w:hAnsi="宋体" w:eastAsia="宋体" w:cs="宋体"/>
          <w:spacing w:val="1"/>
          <w:sz w:val="24"/>
          <w:szCs w:val="24"/>
        </w:rPr>
        <w:t>联合体的所有供应商共同提</w:t>
      </w:r>
      <w:r>
        <w:rPr>
          <w:rFonts w:ascii="宋体" w:hAnsi="宋体" w:eastAsia="宋体" w:cs="宋体"/>
          <w:spacing w:val="-15"/>
          <w:sz w:val="24"/>
          <w:szCs w:val="24"/>
        </w:rPr>
        <w:t>出。</w:t>
      </w:r>
    </w:p>
    <w:p w14:paraId="07223AA6">
      <w:pPr>
        <w:keepNext w:val="0"/>
        <w:keepLines w:val="0"/>
        <w:pageBreakBefore w:val="0"/>
        <w:kinsoku/>
        <w:wordWrap/>
        <w:overflowPunct/>
        <w:topLinePunct w:val="0"/>
        <w:bidi w:val="0"/>
        <w:spacing w:before="179" w:line="289" w:lineRule="auto"/>
        <w:ind w:right="80" w:firstLine="480"/>
        <w:rPr>
          <w:rFonts w:ascii="宋体" w:hAnsi="宋体" w:eastAsia="宋体" w:cs="宋体"/>
          <w:sz w:val="24"/>
          <w:szCs w:val="24"/>
        </w:rPr>
      </w:pPr>
      <w:r>
        <w:rPr>
          <w:rFonts w:ascii="宋体" w:hAnsi="宋体" w:eastAsia="宋体" w:cs="宋体"/>
          <w:spacing w:val="2"/>
          <w:sz w:val="24"/>
          <w:szCs w:val="24"/>
        </w:rPr>
        <w:t>9、供应商捏造事实、提供虚假材料或者以非法手段取</w:t>
      </w:r>
      <w:r>
        <w:rPr>
          <w:rFonts w:ascii="宋体" w:hAnsi="宋体" w:eastAsia="宋体" w:cs="宋体"/>
          <w:spacing w:val="1"/>
          <w:sz w:val="24"/>
          <w:szCs w:val="24"/>
        </w:rPr>
        <w:t>得证明材料不能作为质疑的</w:t>
      </w:r>
      <w:r>
        <w:rPr>
          <w:rFonts w:ascii="宋体" w:hAnsi="宋体" w:eastAsia="宋体" w:cs="宋体"/>
          <w:spacing w:val="-2"/>
          <w:sz w:val="24"/>
          <w:szCs w:val="24"/>
        </w:rPr>
        <w:t>证明材料。</w:t>
      </w:r>
    </w:p>
    <w:p w14:paraId="654120E6">
      <w:pPr>
        <w:keepNext w:val="0"/>
        <w:keepLines w:val="0"/>
        <w:pageBreakBefore w:val="0"/>
        <w:kinsoku/>
        <w:wordWrap/>
        <w:overflowPunct/>
        <w:topLinePunct w:val="0"/>
        <w:bidi w:val="0"/>
        <w:spacing w:before="185" w:line="313" w:lineRule="auto"/>
        <w:ind w:right="80" w:firstLine="497"/>
        <w:rPr>
          <w:rFonts w:ascii="宋体" w:hAnsi="宋体" w:eastAsia="宋体" w:cs="宋体"/>
          <w:sz w:val="24"/>
          <w:szCs w:val="24"/>
        </w:rPr>
      </w:pPr>
      <w:r>
        <w:rPr>
          <w:rFonts w:ascii="宋体" w:hAnsi="宋体" w:eastAsia="宋体" w:cs="宋体"/>
          <w:spacing w:val="-2"/>
          <w:sz w:val="24"/>
          <w:szCs w:val="24"/>
        </w:rPr>
        <w:t>10、采购人、采购代理机构不得拒收质疑供应商在法定质疑期内发出的质疑</w:t>
      </w:r>
      <w:r>
        <w:rPr>
          <w:rFonts w:ascii="宋体" w:hAnsi="宋体" w:eastAsia="宋体" w:cs="宋体"/>
          <w:spacing w:val="-3"/>
          <w:sz w:val="24"/>
          <w:szCs w:val="24"/>
        </w:rPr>
        <w:t>函，应</w:t>
      </w:r>
      <w:r>
        <w:rPr>
          <w:rFonts w:ascii="宋体" w:hAnsi="宋体" w:eastAsia="宋体" w:cs="宋体"/>
          <w:spacing w:val="-2"/>
          <w:sz w:val="24"/>
          <w:szCs w:val="24"/>
        </w:rPr>
        <w:t>当在收到质疑函后7个工作日内作出答复，并以书面形式通知质疑供应</w:t>
      </w:r>
      <w:r>
        <w:rPr>
          <w:rFonts w:ascii="宋体" w:hAnsi="宋体" w:eastAsia="宋体" w:cs="宋体"/>
          <w:spacing w:val="-3"/>
          <w:sz w:val="24"/>
          <w:szCs w:val="24"/>
        </w:rPr>
        <w:t>商和其他有关供</w:t>
      </w:r>
      <w:r>
        <w:rPr>
          <w:rFonts w:ascii="宋体" w:hAnsi="宋体" w:eastAsia="宋体" w:cs="宋体"/>
          <w:spacing w:val="-4"/>
          <w:sz w:val="24"/>
          <w:szCs w:val="24"/>
        </w:rPr>
        <w:t>应商。</w:t>
      </w:r>
    </w:p>
    <w:p w14:paraId="440CEE1D">
      <w:pPr>
        <w:keepNext w:val="0"/>
        <w:keepLines w:val="0"/>
        <w:pageBreakBefore w:val="0"/>
        <w:kinsoku/>
        <w:wordWrap/>
        <w:overflowPunct/>
        <w:topLinePunct w:val="0"/>
        <w:bidi w:val="0"/>
        <w:spacing w:before="182" w:line="220" w:lineRule="auto"/>
        <w:ind w:left="483"/>
        <w:rPr>
          <w:rFonts w:ascii="宋体" w:hAnsi="宋体" w:eastAsia="宋体" w:cs="宋体"/>
          <w:sz w:val="24"/>
          <w:szCs w:val="24"/>
        </w:rPr>
      </w:pPr>
      <w:r>
        <w:rPr>
          <w:rFonts w:ascii="宋体" w:hAnsi="宋体" w:eastAsia="宋体" w:cs="宋体"/>
          <w:b/>
          <w:bCs/>
          <w:spacing w:val="-3"/>
          <w:sz w:val="24"/>
          <w:szCs w:val="24"/>
        </w:rPr>
        <w:t>25、恶意行为的处理细则</w:t>
      </w:r>
    </w:p>
    <w:p w14:paraId="333B48A4">
      <w:pPr>
        <w:keepNext w:val="0"/>
        <w:keepLines w:val="0"/>
        <w:pageBreakBefore w:val="0"/>
        <w:kinsoku/>
        <w:wordWrap/>
        <w:overflowPunct/>
        <w:topLinePunct w:val="0"/>
        <w:bidi w:val="0"/>
        <w:spacing w:before="182" w:line="290" w:lineRule="auto"/>
        <w:ind w:left="3" w:right="80" w:firstLine="494"/>
        <w:rPr>
          <w:rFonts w:ascii="宋体" w:hAnsi="宋体" w:eastAsia="宋体" w:cs="宋体"/>
          <w:sz w:val="24"/>
          <w:szCs w:val="24"/>
        </w:rPr>
      </w:pPr>
      <w:r>
        <w:rPr>
          <w:rFonts w:ascii="宋体" w:hAnsi="宋体" w:eastAsia="宋体" w:cs="宋体"/>
          <w:spacing w:val="-2"/>
          <w:sz w:val="24"/>
          <w:szCs w:val="24"/>
        </w:rPr>
        <w:t>1若供应商的响应文件中合格供应商应符合条件缺少任何一项，供应商将承</w:t>
      </w:r>
      <w:r>
        <w:rPr>
          <w:rFonts w:ascii="宋体" w:hAnsi="宋体" w:eastAsia="宋体" w:cs="宋体"/>
          <w:spacing w:val="-3"/>
          <w:sz w:val="24"/>
          <w:szCs w:val="24"/>
        </w:rPr>
        <w:t>担竞争</w:t>
      </w:r>
      <w:r>
        <w:rPr>
          <w:rFonts w:ascii="宋体" w:hAnsi="宋体" w:eastAsia="宋体" w:cs="宋体"/>
          <w:spacing w:val="-2"/>
          <w:sz w:val="24"/>
          <w:szCs w:val="24"/>
        </w:rPr>
        <w:t>性磋商无效的风险。</w:t>
      </w:r>
    </w:p>
    <w:p w14:paraId="29CAA718">
      <w:pPr>
        <w:keepNext w:val="0"/>
        <w:keepLines w:val="0"/>
        <w:pageBreakBefore w:val="0"/>
        <w:kinsoku/>
        <w:wordWrap/>
        <w:overflowPunct/>
        <w:topLinePunct w:val="0"/>
        <w:bidi w:val="0"/>
        <w:spacing w:before="183" w:line="289" w:lineRule="auto"/>
        <w:ind w:right="80" w:firstLine="483"/>
        <w:rPr>
          <w:rFonts w:ascii="宋体" w:hAnsi="宋体" w:eastAsia="宋体" w:cs="宋体"/>
          <w:sz w:val="24"/>
          <w:szCs w:val="24"/>
        </w:rPr>
      </w:pPr>
      <w:r>
        <w:rPr>
          <w:rFonts w:ascii="宋体" w:hAnsi="宋体" w:eastAsia="宋体" w:cs="宋体"/>
          <w:spacing w:val="-2"/>
          <w:sz w:val="24"/>
          <w:szCs w:val="24"/>
        </w:rPr>
        <w:t>2经查实，若供应商有提供虚假证明文件的行为，采购人将再视情节轻重和影响程</w:t>
      </w:r>
      <w:r>
        <w:rPr>
          <w:rFonts w:ascii="宋体" w:hAnsi="宋体" w:eastAsia="宋体" w:cs="宋体"/>
          <w:spacing w:val="-1"/>
          <w:sz w:val="24"/>
          <w:szCs w:val="24"/>
        </w:rPr>
        <w:t>度做出：在政府采购相关网站予以曝光、向有关部门通报。</w:t>
      </w:r>
    </w:p>
    <w:p w14:paraId="1E11206F">
      <w:pPr>
        <w:keepNext w:val="0"/>
        <w:keepLines w:val="0"/>
        <w:pageBreakBefore w:val="0"/>
        <w:kinsoku/>
        <w:wordWrap/>
        <w:overflowPunct/>
        <w:topLinePunct w:val="0"/>
        <w:bidi w:val="0"/>
        <w:spacing w:before="185" w:line="289" w:lineRule="auto"/>
        <w:ind w:right="80" w:firstLine="485"/>
        <w:rPr>
          <w:rFonts w:ascii="宋体" w:hAnsi="宋体" w:eastAsia="宋体" w:cs="宋体"/>
          <w:spacing w:val="-2"/>
          <w:sz w:val="24"/>
          <w:szCs w:val="24"/>
        </w:rPr>
      </w:pPr>
      <w:r>
        <w:rPr>
          <w:rFonts w:ascii="宋体" w:hAnsi="宋体" w:eastAsia="宋体" w:cs="宋体"/>
          <w:sz w:val="24"/>
          <w:szCs w:val="24"/>
        </w:rPr>
        <w:t>3供应商认为磋商文件、采购过程、成交结果使自己</w:t>
      </w:r>
      <w:r>
        <w:rPr>
          <w:rFonts w:ascii="宋体" w:hAnsi="宋体" w:eastAsia="宋体" w:cs="宋体"/>
          <w:spacing w:val="-1"/>
          <w:sz w:val="24"/>
          <w:szCs w:val="24"/>
        </w:rPr>
        <w:t>的合法权益受到损害的，应当</w:t>
      </w:r>
      <w:r>
        <w:rPr>
          <w:rFonts w:ascii="宋体" w:hAnsi="宋体" w:eastAsia="宋体" w:cs="宋体"/>
          <w:spacing w:val="-2"/>
          <w:sz w:val="24"/>
          <w:szCs w:val="24"/>
        </w:rPr>
        <w:t>在七个工作日内，按照相关的规定以书面形式向采购人提出质疑，但质疑供应商行使质</w:t>
      </w:r>
    </w:p>
    <w:p w14:paraId="22D59E31">
      <w:pPr>
        <w:keepNext w:val="0"/>
        <w:keepLines w:val="0"/>
        <w:pageBreakBefore w:val="0"/>
        <w:kinsoku/>
        <w:wordWrap/>
        <w:overflowPunct/>
        <w:topLinePunct w:val="0"/>
        <w:bidi w:val="0"/>
        <w:spacing w:before="78" w:line="351" w:lineRule="auto"/>
        <w:ind w:left="2" w:firstLine="1"/>
        <w:jc w:val="both"/>
        <w:rPr>
          <w:rFonts w:ascii="宋体" w:hAnsi="宋体" w:eastAsia="宋体" w:cs="宋体"/>
          <w:sz w:val="24"/>
          <w:szCs w:val="24"/>
        </w:rPr>
      </w:pPr>
      <w:r>
        <w:rPr>
          <w:rFonts w:ascii="宋体" w:hAnsi="宋体" w:eastAsia="宋体" w:cs="宋体"/>
          <w:spacing w:val="-4"/>
          <w:sz w:val="24"/>
          <w:szCs w:val="24"/>
        </w:rPr>
        <w:t>疑</w:t>
      </w:r>
      <w:r>
        <w:rPr>
          <w:rFonts w:hint="eastAsia" w:ascii="宋体" w:hAnsi="宋体" w:eastAsia="宋体" w:cs="宋体"/>
          <w:spacing w:val="-4"/>
          <w:sz w:val="24"/>
          <w:szCs w:val="24"/>
          <w:lang w:val="en-US" w:eastAsia="zh-CN"/>
        </w:rPr>
        <w:t>维</w:t>
      </w:r>
      <w:r>
        <w:rPr>
          <w:rFonts w:ascii="宋体" w:hAnsi="宋体" w:eastAsia="宋体" w:cs="宋体"/>
          <w:spacing w:val="-4"/>
          <w:sz w:val="24"/>
          <w:szCs w:val="24"/>
        </w:rPr>
        <w:t>权时，必须坚持“谁主张谁举证”，遵守“实事求是”和“谨慎性”原</w:t>
      </w:r>
      <w:r>
        <w:rPr>
          <w:rFonts w:ascii="宋体" w:hAnsi="宋体" w:eastAsia="宋体" w:cs="宋体"/>
          <w:spacing w:val="-5"/>
          <w:sz w:val="24"/>
          <w:szCs w:val="24"/>
        </w:rPr>
        <w:t>则，承担使用</w:t>
      </w:r>
      <w:r>
        <w:rPr>
          <w:rFonts w:ascii="宋体" w:hAnsi="宋体" w:eastAsia="宋体" w:cs="宋体"/>
          <w:spacing w:val="-2"/>
          <w:sz w:val="24"/>
          <w:szCs w:val="24"/>
        </w:rPr>
        <w:t>虚假材料或恶意方式质疑的法律责任，采购人将遵</w:t>
      </w:r>
      <w:r>
        <w:rPr>
          <w:rFonts w:ascii="宋体" w:hAnsi="宋体" w:eastAsia="宋体" w:cs="宋体"/>
          <w:spacing w:val="-3"/>
          <w:sz w:val="24"/>
          <w:szCs w:val="24"/>
        </w:rPr>
        <w:t>循“谁过错谁负担”的原则，由过错</w:t>
      </w:r>
      <w:r>
        <w:rPr>
          <w:rFonts w:ascii="宋体" w:hAnsi="宋体" w:eastAsia="宋体" w:cs="宋体"/>
          <w:spacing w:val="-1"/>
          <w:sz w:val="24"/>
          <w:szCs w:val="24"/>
        </w:rPr>
        <w:t>方负责承担相关的调查论证费用。</w:t>
      </w:r>
    </w:p>
    <w:p w14:paraId="1FB744D6">
      <w:pPr>
        <w:keepNext w:val="0"/>
        <w:keepLines w:val="0"/>
        <w:pageBreakBefore w:val="0"/>
        <w:kinsoku/>
        <w:wordWrap/>
        <w:overflowPunct/>
        <w:topLinePunct w:val="0"/>
        <w:bidi w:val="0"/>
        <w:spacing w:before="34" w:line="221" w:lineRule="auto"/>
        <w:ind w:left="485"/>
        <w:rPr>
          <w:rFonts w:ascii="宋体" w:hAnsi="宋体" w:eastAsia="宋体" w:cs="宋体"/>
          <w:sz w:val="24"/>
          <w:szCs w:val="24"/>
        </w:rPr>
      </w:pPr>
      <w:r>
        <w:rPr>
          <w:rFonts w:ascii="宋体" w:hAnsi="宋体" w:eastAsia="宋体" w:cs="宋体"/>
          <w:b/>
          <w:bCs/>
          <w:spacing w:val="-4"/>
          <w:sz w:val="24"/>
          <w:szCs w:val="24"/>
        </w:rPr>
        <w:t>五、成交与合同</w:t>
      </w:r>
    </w:p>
    <w:p w14:paraId="6FE10438">
      <w:pPr>
        <w:keepNext w:val="0"/>
        <w:keepLines w:val="0"/>
        <w:pageBreakBefore w:val="0"/>
        <w:kinsoku/>
        <w:wordWrap/>
        <w:overflowPunct/>
        <w:topLinePunct w:val="0"/>
        <w:bidi w:val="0"/>
        <w:spacing w:before="180" w:line="218" w:lineRule="auto"/>
        <w:ind w:left="477"/>
        <w:rPr>
          <w:rFonts w:ascii="宋体" w:hAnsi="宋体" w:eastAsia="宋体" w:cs="宋体"/>
          <w:sz w:val="24"/>
          <w:szCs w:val="24"/>
        </w:rPr>
      </w:pPr>
      <w:r>
        <w:rPr>
          <w:rFonts w:ascii="黑体" w:hAnsi="黑体" w:eastAsia="黑体" w:cs="黑体"/>
          <w:b/>
          <w:bCs/>
          <w:spacing w:val="-3"/>
          <w:sz w:val="24"/>
          <w:szCs w:val="24"/>
        </w:rPr>
        <w:t>2</w:t>
      </w:r>
      <w:r>
        <w:rPr>
          <w:rFonts w:ascii="宋体" w:hAnsi="宋体" w:eastAsia="宋体" w:cs="宋体"/>
          <w:b/>
          <w:bCs/>
          <w:spacing w:val="-3"/>
          <w:sz w:val="24"/>
          <w:szCs w:val="24"/>
        </w:rPr>
        <w:t>4.确定成交供应商及结果公告</w:t>
      </w:r>
    </w:p>
    <w:p w14:paraId="648ED381">
      <w:pPr>
        <w:keepNext w:val="0"/>
        <w:keepLines w:val="0"/>
        <w:pageBreakBefore w:val="0"/>
        <w:kinsoku/>
        <w:wordWrap/>
        <w:overflowPunct/>
        <w:topLinePunct w:val="0"/>
        <w:bidi w:val="0"/>
        <w:spacing w:before="184" w:line="218" w:lineRule="auto"/>
        <w:ind w:left="484"/>
        <w:rPr>
          <w:rFonts w:ascii="宋体" w:hAnsi="宋体" w:eastAsia="宋体" w:cs="宋体"/>
          <w:sz w:val="24"/>
          <w:szCs w:val="24"/>
        </w:rPr>
      </w:pPr>
      <w:r>
        <w:rPr>
          <w:rFonts w:ascii="宋体" w:hAnsi="宋体" w:eastAsia="宋体" w:cs="宋体"/>
          <w:spacing w:val="-1"/>
          <w:sz w:val="24"/>
          <w:szCs w:val="24"/>
        </w:rPr>
        <w:t>24.1采购代理机构应当在评审结束后2个工作日内将评审报</w:t>
      </w:r>
      <w:r>
        <w:rPr>
          <w:rFonts w:ascii="宋体" w:hAnsi="宋体" w:eastAsia="宋体" w:cs="宋体"/>
          <w:spacing w:val="-2"/>
          <w:sz w:val="24"/>
          <w:szCs w:val="24"/>
        </w:rPr>
        <w:t>告送采购人确认。</w:t>
      </w:r>
    </w:p>
    <w:p w14:paraId="18BA8180">
      <w:pPr>
        <w:keepNext w:val="0"/>
        <w:keepLines w:val="0"/>
        <w:pageBreakBefore w:val="0"/>
        <w:kinsoku/>
        <w:wordWrap/>
        <w:overflowPunct/>
        <w:topLinePunct w:val="0"/>
        <w:bidi w:val="0"/>
        <w:spacing w:before="182" w:line="325" w:lineRule="auto"/>
        <w:ind w:firstLine="483"/>
        <w:rPr>
          <w:rFonts w:ascii="宋体" w:hAnsi="宋体" w:eastAsia="宋体" w:cs="宋体"/>
          <w:sz w:val="24"/>
          <w:szCs w:val="24"/>
        </w:rPr>
      </w:pPr>
      <w:r>
        <w:rPr>
          <w:rFonts w:ascii="宋体" w:hAnsi="宋体" w:eastAsia="宋体" w:cs="宋体"/>
          <w:spacing w:val="-4"/>
          <w:sz w:val="24"/>
          <w:szCs w:val="24"/>
        </w:rPr>
        <w:t>24.2采购人应当在收到评审报告后5个工作日内，从评审报告提出的成交候选</w:t>
      </w:r>
      <w:r>
        <w:rPr>
          <w:rFonts w:ascii="宋体" w:hAnsi="宋体" w:eastAsia="宋体" w:cs="宋体"/>
          <w:spacing w:val="-5"/>
          <w:sz w:val="24"/>
          <w:szCs w:val="24"/>
        </w:rPr>
        <w:t>供应</w:t>
      </w:r>
      <w:r>
        <w:rPr>
          <w:rFonts w:ascii="宋体" w:hAnsi="宋体" w:eastAsia="宋体" w:cs="宋体"/>
          <w:spacing w:val="-2"/>
          <w:sz w:val="24"/>
          <w:szCs w:val="24"/>
        </w:rPr>
        <w:t>商中，按照排序由高到低的原则确定成交供应商，也可以书面授权磋商小组直接确定成交供应商。采购人逾期未确定成交供应商且不提出异议的，视为确定评审报告提出的排</w:t>
      </w:r>
      <w:r>
        <w:rPr>
          <w:rFonts w:ascii="宋体" w:hAnsi="宋体" w:eastAsia="宋体" w:cs="宋体"/>
          <w:spacing w:val="-1"/>
          <w:sz w:val="24"/>
          <w:szCs w:val="24"/>
        </w:rPr>
        <w:t>序第一的供应商为成交供应商。</w:t>
      </w:r>
    </w:p>
    <w:p w14:paraId="39460FF8">
      <w:pPr>
        <w:keepNext w:val="0"/>
        <w:keepLines w:val="0"/>
        <w:pageBreakBefore w:val="0"/>
        <w:kinsoku/>
        <w:wordWrap/>
        <w:overflowPunct/>
        <w:topLinePunct w:val="0"/>
        <w:bidi w:val="0"/>
        <w:spacing w:before="182" w:line="325" w:lineRule="auto"/>
        <w:ind w:left="2" w:firstLine="481"/>
        <w:rPr>
          <w:rFonts w:ascii="宋体" w:hAnsi="宋体" w:eastAsia="宋体" w:cs="宋体"/>
          <w:sz w:val="24"/>
          <w:szCs w:val="24"/>
        </w:rPr>
      </w:pPr>
      <w:r>
        <w:rPr>
          <w:rFonts w:ascii="宋体" w:hAnsi="宋体" w:eastAsia="宋体" w:cs="宋体"/>
          <w:spacing w:val="-3"/>
          <w:sz w:val="24"/>
          <w:szCs w:val="24"/>
        </w:rPr>
        <w:t>24.3采购人将把排名第一的成交候选人定为成</w:t>
      </w:r>
      <w:r>
        <w:rPr>
          <w:rFonts w:ascii="宋体" w:hAnsi="宋体" w:eastAsia="宋体" w:cs="宋体"/>
          <w:spacing w:val="-4"/>
          <w:sz w:val="24"/>
          <w:szCs w:val="24"/>
        </w:rPr>
        <w:t>交人。排名第一的成交候选人若放弃</w:t>
      </w:r>
      <w:r>
        <w:rPr>
          <w:rFonts w:ascii="宋体" w:hAnsi="宋体" w:eastAsia="宋体" w:cs="宋体"/>
          <w:spacing w:val="-2"/>
          <w:sz w:val="24"/>
          <w:szCs w:val="24"/>
        </w:rPr>
        <w:t>成交、因不可抗力提出不能履行合同或者在规定的期限内未按照谈判文件规定提交履约保证金的，采购人可以确定排名第二的成交候选人为成交人。排名第二的成交候选人因</w:t>
      </w:r>
      <w:r>
        <w:rPr>
          <w:rFonts w:ascii="宋体" w:hAnsi="宋体" w:eastAsia="宋体" w:cs="宋体"/>
          <w:sz w:val="24"/>
          <w:szCs w:val="24"/>
        </w:rPr>
        <w:t>前款原因不能签订合同的，采购人可以确定排名第</w:t>
      </w:r>
      <w:r>
        <w:rPr>
          <w:rFonts w:ascii="宋体" w:hAnsi="宋体" w:eastAsia="宋体" w:cs="宋体"/>
          <w:spacing w:val="-1"/>
          <w:sz w:val="24"/>
          <w:szCs w:val="24"/>
        </w:rPr>
        <w:t>三的成交候选人为成交人。</w:t>
      </w:r>
    </w:p>
    <w:p w14:paraId="012BF75D">
      <w:pPr>
        <w:keepNext w:val="0"/>
        <w:keepLines w:val="0"/>
        <w:pageBreakBefore w:val="0"/>
        <w:kinsoku/>
        <w:wordWrap/>
        <w:overflowPunct/>
        <w:topLinePunct w:val="0"/>
        <w:bidi w:val="0"/>
        <w:spacing w:before="183" w:line="313" w:lineRule="auto"/>
        <w:ind w:firstLine="483"/>
        <w:rPr>
          <w:rFonts w:ascii="宋体" w:hAnsi="宋体" w:eastAsia="宋体" w:cs="宋体"/>
          <w:sz w:val="24"/>
          <w:szCs w:val="24"/>
        </w:rPr>
      </w:pPr>
      <w:r>
        <w:rPr>
          <w:rFonts w:ascii="宋体" w:hAnsi="宋体" w:eastAsia="宋体" w:cs="宋体"/>
          <w:spacing w:val="-3"/>
          <w:sz w:val="24"/>
          <w:szCs w:val="24"/>
        </w:rPr>
        <w:t>24.4成交供应商拒绝签订政府采购合同</w:t>
      </w:r>
      <w:r>
        <w:rPr>
          <w:rFonts w:ascii="宋体" w:hAnsi="宋体" w:eastAsia="宋体" w:cs="宋体"/>
          <w:spacing w:val="-4"/>
          <w:sz w:val="24"/>
          <w:szCs w:val="24"/>
        </w:rPr>
        <w:t>的，采购人可以按照上述规定的原则确定其</w:t>
      </w:r>
      <w:r>
        <w:rPr>
          <w:rFonts w:ascii="宋体" w:hAnsi="宋体" w:eastAsia="宋体" w:cs="宋体"/>
          <w:spacing w:val="-2"/>
          <w:sz w:val="24"/>
          <w:szCs w:val="24"/>
        </w:rPr>
        <w:t>他供应商作为成交供应商并签订政府采购合同，也可以重新开展采购活动。拒绝签订政</w:t>
      </w:r>
      <w:r>
        <w:rPr>
          <w:rFonts w:ascii="宋体" w:hAnsi="宋体" w:eastAsia="宋体" w:cs="宋体"/>
          <w:sz w:val="24"/>
          <w:szCs w:val="24"/>
        </w:rPr>
        <w:t>府采购合同的成交供应商不得参加对该项目</w:t>
      </w:r>
      <w:r>
        <w:rPr>
          <w:rFonts w:ascii="宋体" w:hAnsi="宋体" w:eastAsia="宋体" w:cs="宋体"/>
          <w:spacing w:val="-1"/>
          <w:sz w:val="24"/>
          <w:szCs w:val="24"/>
        </w:rPr>
        <w:t>重新开展的采购活动。</w:t>
      </w:r>
    </w:p>
    <w:p w14:paraId="25B81A65">
      <w:pPr>
        <w:keepNext w:val="0"/>
        <w:keepLines w:val="0"/>
        <w:pageBreakBefore w:val="0"/>
        <w:kinsoku/>
        <w:wordWrap/>
        <w:overflowPunct/>
        <w:topLinePunct w:val="0"/>
        <w:bidi w:val="0"/>
        <w:spacing w:before="185" w:line="221" w:lineRule="auto"/>
        <w:ind w:left="484"/>
        <w:rPr>
          <w:rFonts w:ascii="宋体" w:hAnsi="宋体" w:eastAsia="宋体" w:cs="宋体"/>
          <w:sz w:val="24"/>
          <w:szCs w:val="24"/>
        </w:rPr>
      </w:pPr>
      <w:r>
        <w:rPr>
          <w:rFonts w:ascii="宋体" w:hAnsi="宋体" w:eastAsia="宋体" w:cs="宋体"/>
          <w:b/>
          <w:bCs/>
          <w:spacing w:val="-4"/>
          <w:sz w:val="24"/>
          <w:szCs w:val="24"/>
        </w:rPr>
        <w:t>25、签订合同</w:t>
      </w:r>
    </w:p>
    <w:p w14:paraId="0B2C64D4">
      <w:pPr>
        <w:keepNext w:val="0"/>
        <w:keepLines w:val="0"/>
        <w:pageBreakBefore w:val="0"/>
        <w:kinsoku/>
        <w:wordWrap/>
        <w:overflowPunct/>
        <w:topLinePunct w:val="0"/>
        <w:bidi w:val="0"/>
        <w:spacing w:before="178" w:line="325" w:lineRule="auto"/>
        <w:ind w:left="1" w:firstLine="482"/>
        <w:rPr>
          <w:rFonts w:ascii="宋体" w:hAnsi="宋体" w:eastAsia="宋体" w:cs="宋体"/>
          <w:sz w:val="24"/>
          <w:szCs w:val="24"/>
        </w:rPr>
      </w:pPr>
      <w:r>
        <w:rPr>
          <w:rFonts w:ascii="宋体" w:hAnsi="宋体" w:eastAsia="宋体" w:cs="宋体"/>
          <w:spacing w:val="2"/>
          <w:sz w:val="24"/>
          <w:szCs w:val="24"/>
        </w:rPr>
        <w:t>25.1在合同签订之前，招标代理机构有</w:t>
      </w:r>
      <w:r>
        <w:rPr>
          <w:rFonts w:ascii="宋体" w:hAnsi="宋体" w:eastAsia="宋体" w:cs="宋体"/>
          <w:spacing w:val="1"/>
          <w:sz w:val="24"/>
          <w:szCs w:val="24"/>
        </w:rPr>
        <w:t>权对中标人的履约能力及中标的产品的质</w:t>
      </w:r>
      <w:r>
        <w:rPr>
          <w:rFonts w:ascii="宋体" w:hAnsi="宋体" w:eastAsia="宋体" w:cs="宋体"/>
          <w:spacing w:val="-2"/>
          <w:sz w:val="24"/>
          <w:szCs w:val="24"/>
        </w:rPr>
        <w:t>量进行最后审查，如发现中标人提供的材料虚假或对标书所要求说明的情况故意隐瞒或虚报，则招标采购单位有权取消其中标资格，并另行决定评标得分（或价格）居其后的</w:t>
      </w:r>
      <w:r>
        <w:rPr>
          <w:rFonts w:ascii="宋体" w:hAnsi="宋体" w:eastAsia="宋体" w:cs="宋体"/>
          <w:spacing w:val="-1"/>
          <w:sz w:val="24"/>
          <w:szCs w:val="24"/>
        </w:rPr>
        <w:t>投标人中标（在标书有效期内）或由招标代理机构组织重新招标。</w:t>
      </w:r>
    </w:p>
    <w:p w14:paraId="10B08A38">
      <w:pPr>
        <w:keepNext w:val="0"/>
        <w:keepLines w:val="0"/>
        <w:pageBreakBefore w:val="0"/>
        <w:kinsoku/>
        <w:wordWrap/>
        <w:overflowPunct/>
        <w:topLinePunct w:val="0"/>
        <w:bidi w:val="0"/>
        <w:spacing w:before="183" w:line="332" w:lineRule="auto"/>
        <w:ind w:firstLine="484"/>
        <w:rPr>
          <w:rFonts w:ascii="宋体" w:hAnsi="宋体" w:eastAsia="宋体" w:cs="宋体"/>
          <w:sz w:val="24"/>
          <w:szCs w:val="24"/>
        </w:rPr>
      </w:pPr>
      <w:r>
        <w:rPr>
          <w:rFonts w:ascii="宋体" w:hAnsi="宋体" w:eastAsia="宋体" w:cs="宋体"/>
          <w:spacing w:val="-2"/>
          <w:sz w:val="24"/>
          <w:szCs w:val="24"/>
        </w:rPr>
        <w:t>25.2采购人与成交供应商应当在成交通知书发出之日起30日</w:t>
      </w:r>
      <w:r>
        <w:rPr>
          <w:rFonts w:ascii="宋体" w:hAnsi="宋体" w:eastAsia="宋体" w:cs="宋体"/>
          <w:spacing w:val="-3"/>
          <w:sz w:val="24"/>
          <w:szCs w:val="24"/>
        </w:rPr>
        <w:t>内，按照磋商文件确</w:t>
      </w:r>
      <w:r>
        <w:rPr>
          <w:rFonts w:ascii="宋体" w:hAnsi="宋体" w:eastAsia="宋体" w:cs="宋体"/>
          <w:spacing w:val="-1"/>
          <w:sz w:val="24"/>
          <w:szCs w:val="24"/>
        </w:rPr>
        <w:t>定的合同文本以及采购标的、采购金额、技</w:t>
      </w:r>
      <w:r>
        <w:rPr>
          <w:rFonts w:ascii="宋体" w:hAnsi="宋体" w:eastAsia="宋体" w:cs="宋体"/>
          <w:spacing w:val="-2"/>
          <w:sz w:val="24"/>
          <w:szCs w:val="24"/>
        </w:rPr>
        <w:t>术和服务要求等事项签订政府采购合同。采</w:t>
      </w:r>
      <w:r>
        <w:rPr>
          <w:rFonts w:ascii="宋体" w:hAnsi="宋体" w:eastAsia="宋体" w:cs="宋体"/>
          <w:spacing w:val="-1"/>
          <w:sz w:val="24"/>
          <w:szCs w:val="24"/>
        </w:rPr>
        <w:t>购人不得向成交供应商提出超出磋商文件以</w:t>
      </w:r>
      <w:r>
        <w:rPr>
          <w:rFonts w:ascii="宋体" w:hAnsi="宋体" w:eastAsia="宋体" w:cs="宋体"/>
          <w:spacing w:val="-2"/>
          <w:sz w:val="24"/>
          <w:szCs w:val="24"/>
        </w:rPr>
        <w:t>外的任何要求作为签订合同的条件，不得与</w:t>
      </w:r>
      <w:r>
        <w:rPr>
          <w:rFonts w:ascii="宋体" w:hAnsi="宋体" w:eastAsia="宋体" w:cs="宋体"/>
          <w:spacing w:val="-1"/>
          <w:sz w:val="24"/>
          <w:szCs w:val="24"/>
        </w:rPr>
        <w:t>成交供应商订立背离磋商文件确定的合同文</w:t>
      </w:r>
      <w:r>
        <w:rPr>
          <w:rFonts w:ascii="宋体" w:hAnsi="宋体" w:eastAsia="宋体" w:cs="宋体"/>
          <w:spacing w:val="-2"/>
          <w:sz w:val="24"/>
          <w:szCs w:val="24"/>
        </w:rPr>
        <w:t>本以及采购标的、采购金额、技术和服务要</w:t>
      </w:r>
      <w:r>
        <w:rPr>
          <w:rFonts w:ascii="宋体" w:hAnsi="宋体" w:eastAsia="宋体" w:cs="宋体"/>
          <w:spacing w:val="-1"/>
          <w:sz w:val="24"/>
          <w:szCs w:val="24"/>
        </w:rPr>
        <w:t>求等实质性内容的协议。</w:t>
      </w:r>
    </w:p>
    <w:p w14:paraId="67C05EFA">
      <w:pPr>
        <w:keepNext w:val="0"/>
        <w:keepLines w:val="0"/>
        <w:pageBreakBefore w:val="0"/>
        <w:kinsoku/>
        <w:wordWrap/>
        <w:overflowPunct/>
        <w:topLinePunct w:val="0"/>
        <w:bidi w:val="0"/>
        <w:spacing w:before="180" w:line="344" w:lineRule="auto"/>
        <w:ind w:left="1" w:firstLine="479"/>
        <w:jc w:val="both"/>
        <w:rPr>
          <w:rFonts w:ascii="宋体" w:hAnsi="宋体" w:eastAsia="宋体" w:cs="宋体"/>
          <w:spacing w:val="-1"/>
          <w:sz w:val="24"/>
          <w:szCs w:val="24"/>
        </w:rPr>
      </w:pPr>
      <w:r>
        <w:rPr>
          <w:rFonts w:ascii="宋体" w:hAnsi="宋体" w:eastAsia="宋体" w:cs="宋体"/>
          <w:spacing w:val="-2"/>
          <w:sz w:val="24"/>
          <w:szCs w:val="24"/>
        </w:rPr>
        <w:t>磋商文件所附《合同主要条款》是采购人与成交供应商签订合同的基本条款，成交供应商应认真阅读，在没有实质性违反磋商文件及响应文件的前提下，采购人有权在合同签订前对合同条款进行适当修改、增加、删除，成交供应商不得以此为由拒绝签订合</w:t>
      </w:r>
      <w:r>
        <w:rPr>
          <w:rFonts w:ascii="宋体" w:hAnsi="宋体" w:eastAsia="宋体" w:cs="宋体"/>
          <w:spacing w:val="-1"/>
          <w:sz w:val="24"/>
          <w:szCs w:val="24"/>
        </w:rPr>
        <w:t>同。对此，请供应商参加竞争性磋商前慎重考虑相关商业风险。</w:t>
      </w:r>
    </w:p>
    <w:p w14:paraId="4A178EFD">
      <w:pPr>
        <w:keepNext w:val="0"/>
        <w:keepLines w:val="0"/>
        <w:pageBreakBefore w:val="0"/>
        <w:kinsoku/>
        <w:wordWrap/>
        <w:overflowPunct/>
        <w:topLinePunct w:val="0"/>
        <w:bidi w:val="0"/>
        <w:spacing w:before="180" w:line="344" w:lineRule="auto"/>
        <w:ind w:left="1" w:firstLine="479"/>
        <w:jc w:val="both"/>
        <w:rPr>
          <w:rFonts w:ascii="宋体" w:hAnsi="宋体" w:eastAsia="宋体" w:cs="宋体"/>
          <w:sz w:val="24"/>
          <w:szCs w:val="24"/>
        </w:rPr>
      </w:pPr>
      <w:r>
        <w:rPr>
          <w:rFonts w:ascii="宋体" w:hAnsi="宋体" w:eastAsia="宋体" w:cs="宋体"/>
          <w:spacing w:val="-4"/>
          <w:sz w:val="24"/>
          <w:szCs w:val="24"/>
        </w:rPr>
        <w:t>25.3中标通知书是购销合同的组成部分，对采购人和中标人均具有法律效力。</w:t>
      </w:r>
      <w:r>
        <w:rPr>
          <w:rFonts w:ascii="宋体" w:hAnsi="宋体" w:eastAsia="宋体" w:cs="宋体"/>
          <w:spacing w:val="-5"/>
          <w:sz w:val="24"/>
          <w:szCs w:val="24"/>
        </w:rPr>
        <w:t>中标</w:t>
      </w:r>
      <w:r>
        <w:rPr>
          <w:rFonts w:ascii="宋体" w:hAnsi="宋体" w:eastAsia="宋体" w:cs="宋体"/>
          <w:spacing w:val="-2"/>
          <w:sz w:val="24"/>
          <w:szCs w:val="24"/>
        </w:rPr>
        <w:t>通知书发出后招标代理机构改变中标结果或中标人放弃中标项目的，均应依法承担法律</w:t>
      </w:r>
      <w:r>
        <w:rPr>
          <w:rFonts w:ascii="宋体" w:hAnsi="宋体" w:eastAsia="宋体" w:cs="宋体"/>
          <w:spacing w:val="-4"/>
          <w:sz w:val="24"/>
          <w:szCs w:val="24"/>
        </w:rPr>
        <w:t>责任。</w:t>
      </w:r>
    </w:p>
    <w:p w14:paraId="71E499F2">
      <w:pPr>
        <w:keepNext w:val="0"/>
        <w:keepLines w:val="0"/>
        <w:pageBreakBefore w:val="0"/>
        <w:kinsoku/>
        <w:wordWrap/>
        <w:overflowPunct/>
        <w:topLinePunct w:val="0"/>
        <w:bidi w:val="0"/>
        <w:spacing w:before="182" w:line="219" w:lineRule="auto"/>
        <w:jc w:val="center"/>
        <w:rPr>
          <w:rFonts w:ascii="宋体" w:hAnsi="宋体" w:eastAsia="宋体" w:cs="宋体"/>
          <w:sz w:val="24"/>
          <w:szCs w:val="24"/>
        </w:rPr>
      </w:pPr>
      <w:r>
        <w:rPr>
          <w:rFonts w:ascii="宋体" w:hAnsi="宋体" w:eastAsia="宋体" w:cs="宋体"/>
          <w:spacing w:val="-7"/>
          <w:sz w:val="24"/>
          <w:szCs w:val="24"/>
        </w:rPr>
        <w:t>25.4磋商文件、成交供应商的响应文件及修改</w:t>
      </w:r>
      <w:r>
        <w:rPr>
          <w:rFonts w:ascii="宋体" w:hAnsi="宋体" w:eastAsia="宋体" w:cs="宋体"/>
          <w:spacing w:val="-8"/>
          <w:sz w:val="24"/>
          <w:szCs w:val="24"/>
        </w:rPr>
        <w:t>或澄清文件等，均为签订合同的依据。</w:t>
      </w:r>
    </w:p>
    <w:p w14:paraId="591CACC6">
      <w:pPr>
        <w:keepNext w:val="0"/>
        <w:keepLines w:val="0"/>
        <w:pageBreakBefore w:val="0"/>
        <w:kinsoku/>
        <w:wordWrap/>
        <w:overflowPunct/>
        <w:topLinePunct w:val="0"/>
        <w:bidi w:val="0"/>
        <w:spacing w:before="184" w:line="313" w:lineRule="auto"/>
        <w:ind w:right="80" w:firstLine="482"/>
        <w:rPr>
          <w:rFonts w:ascii="宋体" w:hAnsi="宋体" w:eastAsia="宋体" w:cs="宋体"/>
          <w:sz w:val="24"/>
          <w:szCs w:val="24"/>
        </w:rPr>
      </w:pPr>
      <w:r>
        <w:rPr>
          <w:rFonts w:ascii="宋体" w:hAnsi="宋体" w:eastAsia="宋体" w:cs="宋体"/>
          <w:sz w:val="24"/>
          <w:szCs w:val="24"/>
        </w:rPr>
        <w:t>25.5签订合同时，中标人须按中标金额的</w:t>
      </w:r>
      <w:r>
        <w:rPr>
          <w:rFonts w:ascii="宋体" w:hAnsi="宋体" w:eastAsia="宋体" w:cs="宋体"/>
          <w:sz w:val="24"/>
          <w:szCs w:val="24"/>
          <w:u w:val="single"/>
        </w:rPr>
        <w:t>/</w:t>
      </w:r>
      <w:r>
        <w:rPr>
          <w:rFonts w:ascii="宋体" w:hAnsi="宋体" w:eastAsia="宋体" w:cs="宋体"/>
          <w:sz w:val="24"/>
          <w:szCs w:val="24"/>
        </w:rPr>
        <w:t>%向采购单位交</w:t>
      </w:r>
      <w:r>
        <w:rPr>
          <w:rFonts w:ascii="宋体" w:hAnsi="宋体" w:eastAsia="宋体" w:cs="宋体"/>
          <w:spacing w:val="-1"/>
          <w:sz w:val="24"/>
          <w:szCs w:val="24"/>
        </w:rPr>
        <w:t>纳履约保证金[履约保证</w:t>
      </w:r>
      <w:r>
        <w:rPr>
          <w:rFonts w:ascii="宋体" w:hAnsi="宋体" w:eastAsia="宋体" w:cs="宋体"/>
          <w:spacing w:val="-2"/>
          <w:sz w:val="24"/>
          <w:szCs w:val="24"/>
        </w:rPr>
        <w:t>金到采购单位帐户后，合同正式生效。履约保证金待合同全部履行完毕且在中标人向保证金收取部门开具收款收据后5日内由保证</w:t>
      </w:r>
      <w:r>
        <w:rPr>
          <w:rFonts w:ascii="宋体" w:hAnsi="宋体" w:eastAsia="宋体" w:cs="宋体"/>
          <w:spacing w:val="-3"/>
          <w:sz w:val="24"/>
          <w:szCs w:val="24"/>
        </w:rPr>
        <w:t>金收取部门全额退回（不计息）。</w:t>
      </w:r>
    </w:p>
    <w:p w14:paraId="76E5299F">
      <w:pPr>
        <w:keepNext w:val="0"/>
        <w:keepLines w:val="0"/>
        <w:pageBreakBefore w:val="0"/>
        <w:kinsoku/>
        <w:wordWrap/>
        <w:overflowPunct/>
        <w:topLinePunct w:val="0"/>
        <w:bidi w:val="0"/>
        <w:spacing w:before="181" w:line="325" w:lineRule="auto"/>
        <w:ind w:left="1" w:right="80" w:firstLine="481"/>
        <w:rPr>
          <w:rFonts w:ascii="宋体" w:hAnsi="宋体" w:eastAsia="宋体" w:cs="宋体"/>
          <w:sz w:val="24"/>
          <w:szCs w:val="24"/>
        </w:rPr>
      </w:pPr>
      <w:r>
        <w:rPr>
          <w:rFonts w:ascii="宋体" w:hAnsi="宋体" w:eastAsia="宋体" w:cs="宋体"/>
          <w:spacing w:val="-3"/>
          <w:sz w:val="24"/>
          <w:szCs w:val="24"/>
        </w:rPr>
        <w:t>25.6招标代理机构监督合同的执行，协调</w:t>
      </w:r>
      <w:r>
        <w:rPr>
          <w:rFonts w:ascii="宋体" w:hAnsi="宋体" w:eastAsia="宋体" w:cs="宋体"/>
          <w:spacing w:val="-4"/>
          <w:sz w:val="24"/>
          <w:szCs w:val="24"/>
        </w:rPr>
        <w:t>和处理履约过程中的问题，同时对售后服</w:t>
      </w:r>
      <w:r>
        <w:rPr>
          <w:rFonts w:ascii="宋体" w:hAnsi="宋体" w:eastAsia="宋体" w:cs="宋体"/>
          <w:spacing w:val="-2"/>
          <w:sz w:val="24"/>
          <w:szCs w:val="24"/>
        </w:rPr>
        <w:t>务进行评价，如果在购销过程中，中标人不能按照其投标书所作的承诺履行义务的，则</w:t>
      </w:r>
      <w:r>
        <w:rPr>
          <w:rFonts w:ascii="宋体" w:hAnsi="宋体" w:eastAsia="宋体" w:cs="宋体"/>
          <w:spacing w:val="5"/>
          <w:sz w:val="24"/>
          <w:szCs w:val="24"/>
        </w:rPr>
        <w:t>招标代理机构有权申请政府采购监督管理部门取消该投标人在本次招标活</w:t>
      </w:r>
      <w:r>
        <w:rPr>
          <w:rFonts w:ascii="宋体" w:hAnsi="宋体" w:eastAsia="宋体" w:cs="宋体"/>
          <w:spacing w:val="4"/>
          <w:sz w:val="24"/>
          <w:szCs w:val="24"/>
        </w:rPr>
        <w:t>动中的所有</w:t>
      </w:r>
      <w:r>
        <w:rPr>
          <w:rFonts w:ascii="宋体" w:hAnsi="宋体" w:eastAsia="宋体" w:cs="宋体"/>
          <w:spacing w:val="-1"/>
          <w:sz w:val="24"/>
          <w:szCs w:val="24"/>
        </w:rPr>
        <w:t>中标资格，并没收其履约保证金。</w:t>
      </w:r>
    </w:p>
    <w:p w14:paraId="237000F8">
      <w:pPr>
        <w:keepNext w:val="0"/>
        <w:keepLines w:val="0"/>
        <w:pageBreakBefore w:val="0"/>
        <w:kinsoku/>
        <w:wordWrap/>
        <w:overflowPunct/>
        <w:topLinePunct w:val="0"/>
        <w:bidi w:val="0"/>
        <w:spacing w:before="182" w:line="313" w:lineRule="auto"/>
        <w:ind w:right="18" w:firstLine="483"/>
        <w:rPr>
          <w:rFonts w:ascii="宋体" w:hAnsi="宋体" w:eastAsia="宋体" w:cs="宋体"/>
          <w:sz w:val="24"/>
          <w:szCs w:val="24"/>
        </w:rPr>
      </w:pPr>
      <w:r>
        <w:rPr>
          <w:rFonts w:ascii="宋体" w:hAnsi="宋体" w:eastAsia="宋体" w:cs="宋体"/>
          <w:spacing w:val="-8"/>
          <w:sz w:val="24"/>
          <w:szCs w:val="24"/>
        </w:rPr>
        <w:t>25.7政府采购合同履行中，采购人需追加与合同标的相同的货物、工程或者服务的，</w:t>
      </w:r>
      <w:r>
        <w:rPr>
          <w:rFonts w:ascii="宋体" w:hAnsi="宋体" w:eastAsia="宋体" w:cs="宋体"/>
          <w:spacing w:val="-2"/>
          <w:sz w:val="24"/>
          <w:szCs w:val="24"/>
        </w:rPr>
        <w:t>在不改变合同其他条款的前提下，经政府监管部门同意，可以与中标人协商签定补充合</w:t>
      </w:r>
      <w:r>
        <w:rPr>
          <w:rFonts w:ascii="宋体" w:hAnsi="宋体" w:eastAsia="宋体" w:cs="宋体"/>
          <w:sz w:val="24"/>
          <w:szCs w:val="24"/>
        </w:rPr>
        <w:t>同，但所有补充合同的采购金额不得超过原合同</w:t>
      </w:r>
      <w:r>
        <w:rPr>
          <w:rFonts w:ascii="宋体" w:hAnsi="宋体" w:eastAsia="宋体" w:cs="宋体"/>
          <w:spacing w:val="-1"/>
          <w:sz w:val="24"/>
          <w:szCs w:val="24"/>
        </w:rPr>
        <w:t>采购金额的百分之十。</w:t>
      </w:r>
    </w:p>
    <w:p w14:paraId="3A6B9205">
      <w:pPr>
        <w:keepNext w:val="0"/>
        <w:keepLines w:val="0"/>
        <w:pageBreakBefore w:val="0"/>
        <w:kinsoku/>
        <w:wordWrap/>
        <w:overflowPunct/>
        <w:topLinePunct w:val="0"/>
        <w:bidi w:val="0"/>
        <w:spacing w:before="184" w:line="219" w:lineRule="auto"/>
        <w:ind w:left="483"/>
        <w:rPr>
          <w:rFonts w:ascii="宋体" w:hAnsi="宋体" w:eastAsia="宋体" w:cs="宋体"/>
          <w:sz w:val="24"/>
          <w:szCs w:val="24"/>
        </w:rPr>
      </w:pPr>
      <w:r>
        <w:rPr>
          <w:rFonts w:ascii="宋体" w:hAnsi="宋体" w:eastAsia="宋体" w:cs="宋体"/>
          <w:spacing w:val="-1"/>
          <w:sz w:val="24"/>
          <w:szCs w:val="24"/>
        </w:rPr>
        <w:t>25.8政府采购合同的双方当事人不得擅自变更、中止或终止合同。</w:t>
      </w:r>
    </w:p>
    <w:p w14:paraId="1842A6E2">
      <w:pPr>
        <w:keepNext w:val="0"/>
        <w:keepLines w:val="0"/>
        <w:pageBreakBefore w:val="0"/>
        <w:kinsoku/>
        <w:wordWrap/>
        <w:overflowPunct/>
        <w:topLinePunct w:val="0"/>
        <w:bidi w:val="0"/>
        <w:spacing w:before="184" w:line="313" w:lineRule="auto"/>
        <w:ind w:right="80" w:firstLine="482"/>
        <w:rPr>
          <w:rFonts w:ascii="宋体" w:hAnsi="宋体" w:eastAsia="宋体" w:cs="宋体"/>
          <w:sz w:val="24"/>
          <w:szCs w:val="24"/>
        </w:rPr>
      </w:pPr>
      <w:r>
        <w:rPr>
          <w:rFonts w:ascii="宋体" w:hAnsi="宋体" w:eastAsia="宋体" w:cs="宋体"/>
          <w:spacing w:val="-3"/>
          <w:sz w:val="24"/>
          <w:szCs w:val="24"/>
        </w:rPr>
        <w:t>25.9政府采购合同继续履行将损害国家利益和</w:t>
      </w:r>
      <w:r>
        <w:rPr>
          <w:rFonts w:ascii="宋体" w:hAnsi="宋体" w:eastAsia="宋体" w:cs="宋体"/>
          <w:spacing w:val="-4"/>
          <w:sz w:val="24"/>
          <w:szCs w:val="24"/>
        </w:rPr>
        <w:t>社会公共利益的，双方当事人应当变</w:t>
      </w:r>
      <w:r>
        <w:rPr>
          <w:rFonts w:ascii="宋体" w:hAnsi="宋体" w:eastAsia="宋体" w:cs="宋体"/>
          <w:spacing w:val="-2"/>
          <w:sz w:val="24"/>
          <w:szCs w:val="24"/>
        </w:rPr>
        <w:t>更、中止或终止合同，有过错的一方应当承担赔赏责任，双方都有过错的，各自承担相应的责任。</w:t>
      </w:r>
    </w:p>
    <w:p w14:paraId="1F47D6F7">
      <w:pPr>
        <w:keepNext w:val="0"/>
        <w:keepLines w:val="0"/>
        <w:pageBreakBefore w:val="0"/>
        <w:kinsoku/>
        <w:wordWrap/>
        <w:overflowPunct/>
        <w:topLinePunct w:val="0"/>
        <w:bidi w:val="0"/>
        <w:spacing w:before="183" w:line="219" w:lineRule="auto"/>
        <w:ind w:left="483"/>
        <w:rPr>
          <w:rFonts w:ascii="宋体" w:hAnsi="宋体" w:eastAsia="宋体" w:cs="宋体"/>
          <w:sz w:val="24"/>
          <w:szCs w:val="24"/>
        </w:rPr>
      </w:pPr>
      <w:r>
        <w:rPr>
          <w:rFonts w:ascii="宋体" w:hAnsi="宋体" w:eastAsia="宋体" w:cs="宋体"/>
          <w:spacing w:val="-3"/>
          <w:sz w:val="24"/>
          <w:szCs w:val="24"/>
        </w:rPr>
        <w:t>25.10合同份数</w:t>
      </w:r>
    </w:p>
    <w:p w14:paraId="3C529C1F">
      <w:pPr>
        <w:keepNext w:val="0"/>
        <w:keepLines w:val="0"/>
        <w:pageBreakBefore w:val="0"/>
        <w:kinsoku/>
        <w:wordWrap/>
        <w:overflowPunct/>
        <w:topLinePunct w:val="0"/>
        <w:bidi w:val="0"/>
        <w:spacing w:before="183" w:line="351" w:lineRule="auto"/>
        <w:ind w:right="80" w:firstLine="481"/>
        <w:rPr>
          <w:rFonts w:ascii="宋体" w:hAnsi="宋体" w:eastAsia="宋体" w:cs="宋体"/>
          <w:sz w:val="24"/>
          <w:szCs w:val="24"/>
        </w:rPr>
      </w:pPr>
      <w:r>
        <w:rPr>
          <w:rFonts w:ascii="宋体" w:hAnsi="宋体" w:eastAsia="宋体" w:cs="宋体"/>
          <w:spacing w:val="-2"/>
          <w:sz w:val="24"/>
          <w:szCs w:val="24"/>
        </w:rPr>
        <w:t>本合同正本2份，副本3份，具有同等法律效力，送至招标代理公司原件贰份，复印件叁份备案，投标供应商所需合同份数需自行酌情签订。另项目验收后将验收单原</w:t>
      </w:r>
      <w:r>
        <w:rPr>
          <w:rFonts w:ascii="宋体" w:hAnsi="宋体" w:eastAsia="宋体" w:cs="宋体"/>
          <w:spacing w:val="-1"/>
          <w:sz w:val="24"/>
          <w:szCs w:val="24"/>
        </w:rPr>
        <w:t>件贰份，复印件叁份送至代理机构。</w:t>
      </w:r>
    </w:p>
    <w:p w14:paraId="4A46A092">
      <w:pPr>
        <w:keepNext w:val="0"/>
        <w:keepLines w:val="0"/>
        <w:pageBreakBefore w:val="0"/>
        <w:kinsoku/>
        <w:wordWrap/>
        <w:overflowPunct/>
        <w:topLinePunct w:val="0"/>
        <w:bidi w:val="0"/>
        <w:spacing w:before="36" w:line="219" w:lineRule="auto"/>
        <w:ind w:left="482"/>
        <w:rPr>
          <w:rFonts w:ascii="宋体" w:hAnsi="宋体" w:eastAsia="宋体" w:cs="宋体"/>
          <w:sz w:val="24"/>
          <w:szCs w:val="24"/>
        </w:rPr>
      </w:pPr>
      <w:r>
        <w:rPr>
          <w:rFonts w:ascii="宋体" w:hAnsi="宋体" w:eastAsia="宋体" w:cs="宋体"/>
          <w:b/>
          <w:bCs/>
          <w:spacing w:val="-5"/>
          <w:sz w:val="24"/>
          <w:szCs w:val="24"/>
        </w:rPr>
        <w:t>六、验收</w:t>
      </w:r>
    </w:p>
    <w:p w14:paraId="0DD2B29E">
      <w:pPr>
        <w:keepNext w:val="0"/>
        <w:keepLines w:val="0"/>
        <w:pageBreakBefore w:val="0"/>
        <w:kinsoku/>
        <w:wordWrap/>
        <w:overflowPunct/>
        <w:topLinePunct w:val="0"/>
        <w:bidi w:val="0"/>
        <w:spacing w:before="182" w:line="325" w:lineRule="auto"/>
        <w:ind w:right="80" w:firstLine="483"/>
        <w:rPr>
          <w:rFonts w:ascii="宋体" w:hAnsi="宋体" w:eastAsia="宋体" w:cs="宋体"/>
          <w:sz w:val="24"/>
          <w:szCs w:val="24"/>
        </w:rPr>
      </w:pPr>
      <w:r>
        <w:rPr>
          <w:rFonts w:ascii="宋体" w:hAnsi="宋体" w:eastAsia="宋体" w:cs="宋体"/>
          <w:spacing w:val="2"/>
          <w:sz w:val="24"/>
          <w:szCs w:val="24"/>
        </w:rPr>
        <w:t>26.1采购人会同实际使用人组织对供应</w:t>
      </w:r>
      <w:r>
        <w:rPr>
          <w:rFonts w:ascii="宋体" w:hAnsi="宋体" w:eastAsia="宋体" w:cs="宋体"/>
          <w:spacing w:val="1"/>
          <w:sz w:val="24"/>
          <w:szCs w:val="24"/>
        </w:rPr>
        <w:t>商履约的验收。大型或者复杂的政府采购</w:t>
      </w:r>
      <w:r>
        <w:rPr>
          <w:rFonts w:ascii="宋体" w:hAnsi="宋体" w:eastAsia="宋体" w:cs="宋体"/>
          <w:spacing w:val="-2"/>
          <w:sz w:val="24"/>
          <w:szCs w:val="24"/>
        </w:rPr>
        <w:t>项目，应当邀请国家认可的质量检测机构参加验收工作。验收方成员应当在验收书上签字，并承担相应的法律责任。如果发现与合同中要求不符，供应商须承担由此发生的一</w:t>
      </w:r>
      <w:r>
        <w:rPr>
          <w:rFonts w:ascii="宋体" w:hAnsi="宋体" w:eastAsia="宋体" w:cs="宋体"/>
          <w:spacing w:val="-1"/>
          <w:sz w:val="24"/>
          <w:szCs w:val="24"/>
        </w:rPr>
        <w:t>切损失和费用，并接受相应的处理。</w:t>
      </w:r>
    </w:p>
    <w:p w14:paraId="6D7396C9">
      <w:pPr>
        <w:keepNext w:val="0"/>
        <w:keepLines w:val="0"/>
        <w:pageBreakBefore w:val="0"/>
        <w:kinsoku/>
        <w:wordWrap/>
        <w:overflowPunct/>
        <w:topLinePunct w:val="0"/>
        <w:bidi w:val="0"/>
        <w:spacing w:before="183" w:line="289" w:lineRule="auto"/>
        <w:ind w:left="9" w:right="80" w:firstLine="474"/>
        <w:rPr>
          <w:rFonts w:ascii="宋体" w:hAnsi="宋体" w:eastAsia="宋体" w:cs="宋体"/>
          <w:sz w:val="24"/>
          <w:szCs w:val="24"/>
        </w:rPr>
      </w:pPr>
      <w:r>
        <w:rPr>
          <w:rFonts w:ascii="宋体" w:hAnsi="宋体" w:eastAsia="宋体" w:cs="宋体"/>
          <w:spacing w:val="2"/>
          <w:sz w:val="24"/>
          <w:szCs w:val="24"/>
        </w:rPr>
        <w:t>26.2采购人可以邀请参加本项目的其他</w:t>
      </w:r>
      <w:r>
        <w:rPr>
          <w:rFonts w:ascii="宋体" w:hAnsi="宋体" w:eastAsia="宋体" w:cs="宋体"/>
          <w:spacing w:val="1"/>
          <w:sz w:val="24"/>
          <w:szCs w:val="24"/>
        </w:rPr>
        <w:t>供应商或者第三方机构参与验收。参与验</w:t>
      </w:r>
      <w:r>
        <w:rPr>
          <w:rFonts w:ascii="宋体" w:hAnsi="宋体" w:eastAsia="宋体" w:cs="宋体"/>
          <w:spacing w:val="-1"/>
          <w:sz w:val="24"/>
          <w:szCs w:val="24"/>
        </w:rPr>
        <w:t>收的供应商或者第三方机构的意见作为验收书的参考资料一并存档。</w:t>
      </w:r>
    </w:p>
    <w:p w14:paraId="04F8C1B1">
      <w:pPr>
        <w:pStyle w:val="7"/>
        <w:keepNext w:val="0"/>
        <w:keepLines w:val="0"/>
        <w:pageBreakBefore w:val="0"/>
        <w:kinsoku/>
        <w:wordWrap/>
        <w:overflowPunct/>
        <w:topLinePunct w:val="0"/>
        <w:bidi w:val="0"/>
        <w:spacing w:line="255" w:lineRule="auto"/>
        <w:ind w:firstLine="488" w:firstLineChars="200"/>
        <w:rPr>
          <w:rFonts w:ascii="宋体" w:hAnsi="宋体" w:eastAsia="宋体" w:cs="宋体"/>
          <w:sz w:val="24"/>
          <w:szCs w:val="24"/>
        </w:rPr>
      </w:pPr>
      <w:r>
        <w:rPr>
          <w:rFonts w:ascii="宋体" w:hAnsi="宋体" w:eastAsia="宋体" w:cs="宋体"/>
          <w:spacing w:val="2"/>
          <w:sz w:val="24"/>
          <w:szCs w:val="24"/>
        </w:rPr>
        <w:t>26.3严格按照采购合同开展履约验收。</w:t>
      </w:r>
      <w:r>
        <w:rPr>
          <w:rFonts w:ascii="宋体" w:hAnsi="宋体" w:eastAsia="宋体" w:cs="宋体"/>
          <w:spacing w:val="1"/>
          <w:sz w:val="24"/>
          <w:szCs w:val="24"/>
        </w:rPr>
        <w:t>采购人成立验收小组，按照采购合同的约</w:t>
      </w:r>
      <w:r>
        <w:rPr>
          <w:rFonts w:ascii="宋体" w:hAnsi="宋体" w:eastAsia="宋体" w:cs="宋体"/>
          <w:spacing w:val="-2"/>
          <w:sz w:val="24"/>
          <w:szCs w:val="24"/>
        </w:rPr>
        <w:t>定对供应商履约情况进行验收。验收时，按照采购合同的约定对每一项技术、服务、安全标准的履约情况进行确认。验收结束后，应当出具验收书，列明各项标准的验收情况</w:t>
      </w:r>
      <w:r>
        <w:rPr>
          <w:rFonts w:ascii="宋体" w:hAnsi="宋体" w:eastAsia="宋体" w:cs="宋体"/>
          <w:sz w:val="24"/>
          <w:szCs w:val="24"/>
        </w:rPr>
        <w:t>及项目总体评价，由验收双方共同签署。履约验收的各</w:t>
      </w:r>
      <w:r>
        <w:rPr>
          <w:rFonts w:ascii="宋体" w:hAnsi="宋体" w:eastAsia="宋体" w:cs="宋体"/>
          <w:spacing w:val="-1"/>
          <w:sz w:val="24"/>
          <w:szCs w:val="24"/>
        </w:rPr>
        <w:t>项资料应当存档备查。</w:t>
      </w:r>
    </w:p>
    <w:p w14:paraId="7308B045">
      <w:pPr>
        <w:keepNext w:val="0"/>
        <w:keepLines w:val="0"/>
        <w:pageBreakBefore w:val="0"/>
        <w:kinsoku/>
        <w:wordWrap/>
        <w:overflowPunct/>
        <w:topLinePunct w:val="0"/>
        <w:bidi w:val="0"/>
        <w:spacing w:before="38" w:line="324" w:lineRule="auto"/>
        <w:ind w:left="1" w:firstLine="481"/>
        <w:rPr>
          <w:rFonts w:ascii="宋体" w:hAnsi="宋体" w:eastAsia="宋体" w:cs="宋体"/>
          <w:sz w:val="24"/>
          <w:szCs w:val="24"/>
        </w:rPr>
      </w:pPr>
      <w:r>
        <w:rPr>
          <w:rFonts w:ascii="宋体" w:hAnsi="宋体" w:eastAsia="宋体" w:cs="宋体"/>
          <w:spacing w:val="2"/>
          <w:sz w:val="24"/>
          <w:szCs w:val="24"/>
        </w:rPr>
        <w:t>26.4验收合格的项目，实际使用人将根</w:t>
      </w:r>
      <w:r>
        <w:rPr>
          <w:rFonts w:ascii="宋体" w:hAnsi="宋体" w:eastAsia="宋体" w:cs="宋体"/>
          <w:spacing w:val="1"/>
          <w:sz w:val="24"/>
          <w:szCs w:val="24"/>
        </w:rPr>
        <w:t>据采购合同的约定及时向供应商支付采购</w:t>
      </w:r>
      <w:r>
        <w:rPr>
          <w:rFonts w:ascii="宋体" w:hAnsi="宋体" w:eastAsia="宋体" w:cs="宋体"/>
          <w:spacing w:val="-2"/>
          <w:sz w:val="24"/>
          <w:szCs w:val="24"/>
        </w:rPr>
        <w:t>资金。验收不合格的项目，采购将依法及时处理。采购合同的履行、违约责任和解决争议的方式等适用《中华人民共和国民法典》。供应商在履约过程中有政府采购法律法规</w:t>
      </w:r>
      <w:r>
        <w:rPr>
          <w:rFonts w:ascii="宋体" w:hAnsi="宋体" w:eastAsia="宋体" w:cs="宋体"/>
          <w:spacing w:val="-1"/>
          <w:sz w:val="24"/>
          <w:szCs w:val="24"/>
        </w:rPr>
        <w:t>规定的违法违规情形的，采购人应当及时报告本级财政部门。</w:t>
      </w:r>
    </w:p>
    <w:p w14:paraId="598FEB5F">
      <w:pPr>
        <w:keepNext w:val="0"/>
        <w:keepLines w:val="0"/>
        <w:pageBreakBefore w:val="0"/>
        <w:kinsoku/>
        <w:wordWrap/>
        <w:overflowPunct/>
        <w:topLinePunct w:val="0"/>
        <w:bidi w:val="0"/>
        <w:spacing w:before="184" w:line="219" w:lineRule="auto"/>
        <w:ind w:left="480"/>
        <w:rPr>
          <w:rFonts w:ascii="宋体" w:hAnsi="宋体" w:eastAsia="宋体" w:cs="宋体"/>
          <w:sz w:val="24"/>
          <w:szCs w:val="24"/>
        </w:rPr>
      </w:pPr>
      <w:r>
        <w:rPr>
          <w:rFonts w:ascii="宋体" w:hAnsi="宋体" w:eastAsia="宋体" w:cs="宋体"/>
          <w:sz w:val="24"/>
          <w:szCs w:val="24"/>
        </w:rPr>
        <w:t>七、本磋商文件的未尽事项，按现行的有关法</w:t>
      </w:r>
      <w:r>
        <w:rPr>
          <w:rFonts w:ascii="宋体" w:hAnsi="宋体" w:eastAsia="宋体" w:cs="宋体"/>
          <w:spacing w:val="-1"/>
          <w:sz w:val="24"/>
          <w:szCs w:val="24"/>
        </w:rPr>
        <w:t>律、法规及规章执行。</w:t>
      </w:r>
    </w:p>
    <w:p w14:paraId="1E1A78B5">
      <w:pPr>
        <w:pStyle w:val="7"/>
        <w:keepNext w:val="0"/>
        <w:keepLines w:val="0"/>
        <w:pageBreakBefore w:val="0"/>
        <w:kinsoku/>
        <w:wordWrap/>
        <w:overflowPunct/>
        <w:topLinePunct w:val="0"/>
        <w:bidi w:val="0"/>
        <w:spacing w:line="263" w:lineRule="auto"/>
      </w:pPr>
    </w:p>
    <w:p w14:paraId="5DACD80F">
      <w:pPr>
        <w:rPr>
          <w:rFonts w:ascii="宋体" w:hAnsi="宋体" w:eastAsia="宋体" w:cs="宋体"/>
          <w:b/>
          <w:bCs/>
          <w:spacing w:val="3"/>
          <w:sz w:val="31"/>
          <w:szCs w:val="31"/>
        </w:rPr>
      </w:pPr>
      <w:r>
        <w:rPr>
          <w:rFonts w:ascii="宋体" w:hAnsi="宋体" w:eastAsia="宋体" w:cs="宋体"/>
          <w:b/>
          <w:bCs/>
          <w:spacing w:val="3"/>
          <w:sz w:val="31"/>
          <w:szCs w:val="31"/>
        </w:rPr>
        <w:br w:type="page"/>
      </w:r>
    </w:p>
    <w:p w14:paraId="2924C4CB">
      <w:pPr>
        <w:keepNext w:val="0"/>
        <w:keepLines w:val="0"/>
        <w:pageBreakBefore w:val="0"/>
        <w:kinsoku/>
        <w:wordWrap/>
        <w:overflowPunct/>
        <w:topLinePunct w:val="0"/>
        <w:bidi w:val="0"/>
        <w:spacing w:before="100" w:line="224" w:lineRule="auto"/>
        <w:ind w:left="3265"/>
        <w:outlineLvl w:val="0"/>
        <w:rPr>
          <w:rFonts w:ascii="宋体" w:hAnsi="宋体" w:eastAsia="宋体" w:cs="宋体"/>
          <w:color w:val="000000" w:themeColor="text1"/>
          <w:sz w:val="31"/>
          <w:szCs w:val="31"/>
          <w14:textFill>
            <w14:solidFill>
              <w14:schemeClr w14:val="tx1"/>
            </w14:solidFill>
          </w14:textFill>
        </w:rPr>
      </w:pPr>
      <w:bookmarkStart w:id="2" w:name="_Toc16333"/>
      <w:r>
        <w:rPr>
          <w:rFonts w:ascii="宋体" w:hAnsi="宋体" w:eastAsia="宋体" w:cs="宋体"/>
          <w:b/>
          <w:bCs/>
          <w:spacing w:val="3"/>
          <w:sz w:val="31"/>
          <w:szCs w:val="31"/>
        </w:rPr>
        <w:t>第三章</w:t>
      </w:r>
      <w:r>
        <w:rPr>
          <w:rFonts w:ascii="宋体" w:hAnsi="宋体" w:eastAsia="宋体" w:cs="宋体"/>
          <w:b/>
          <w:bCs/>
          <w:color w:val="000000" w:themeColor="text1"/>
          <w:spacing w:val="3"/>
          <w:sz w:val="31"/>
          <w:szCs w:val="31"/>
          <w14:textFill>
            <w14:solidFill>
              <w14:schemeClr w14:val="tx1"/>
            </w14:solidFill>
          </w14:textFill>
        </w:rPr>
        <w:t>采购需求</w:t>
      </w:r>
      <w:bookmarkEnd w:id="2"/>
    </w:p>
    <w:p w14:paraId="6469ED59">
      <w:pPr>
        <w:keepNext w:val="0"/>
        <w:keepLines w:val="0"/>
        <w:pageBreakBefore w:val="0"/>
        <w:kinsoku/>
        <w:wordWrap/>
        <w:overflowPunct/>
        <w:topLinePunct w:val="0"/>
        <w:bidi w:val="0"/>
        <w:spacing w:before="35" w:line="219" w:lineRule="auto"/>
        <w:ind w:left="485"/>
        <w:rPr>
          <w:rFonts w:ascii="宋体" w:hAnsi="宋体" w:eastAsia="宋体" w:cs="宋体"/>
          <w:color w:val="000000" w:themeColor="text1"/>
          <w:spacing w:val="-1"/>
          <w:sz w:val="24"/>
          <w:szCs w:val="24"/>
          <w14:textFill>
            <w14:solidFill>
              <w14:schemeClr w14:val="tx1"/>
            </w14:solidFill>
          </w14:textFill>
        </w:rPr>
      </w:pPr>
    </w:p>
    <w:p w14:paraId="79699683">
      <w:pPr>
        <w:keepNext w:val="0"/>
        <w:keepLines w:val="0"/>
        <w:pageBreakBefore w:val="0"/>
        <w:kinsoku/>
        <w:wordWrap/>
        <w:overflowPunct/>
        <w:topLinePunct w:val="0"/>
        <w:bidi w:val="0"/>
        <w:spacing w:before="35"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3.1招标内容、数量及技术要求：</w:t>
      </w:r>
    </w:p>
    <w:p w14:paraId="26113D94">
      <w:pPr>
        <w:keepNext w:val="0"/>
        <w:keepLines w:val="0"/>
        <w:pageBreakBefore w:val="0"/>
        <w:kinsoku/>
        <w:wordWrap/>
        <w:overflowPunct/>
        <w:topLinePunct w:val="0"/>
        <w:bidi w:val="0"/>
        <w:spacing w:line="500" w:lineRule="exact"/>
        <w:ind w:firstLine="708" w:firstLineChars="300"/>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3.1.1招标内容、数量：</w:t>
      </w:r>
      <w:r>
        <w:rPr>
          <w:rFonts w:hint="default" w:ascii="宋体" w:hAnsi="宋体" w:eastAsia="宋体" w:cs="宋体"/>
          <w:color w:val="000000" w:themeColor="text1"/>
          <w:spacing w:val="-2"/>
          <w:sz w:val="24"/>
          <w:szCs w:val="24"/>
          <w:lang w:val="en-US" w:eastAsia="zh-CN"/>
          <w14:textFill>
            <w14:solidFill>
              <w14:schemeClr w14:val="tx1"/>
            </w14:solidFill>
          </w14:textFill>
        </w:rPr>
        <w:t>鼠害预防1万亩、虫害防治9万亩。</w:t>
      </w:r>
    </w:p>
    <w:p w14:paraId="2241E819">
      <w:pPr>
        <w:keepNext w:val="0"/>
        <w:keepLines w:val="0"/>
        <w:pageBreakBefore w:val="0"/>
        <w:kinsoku/>
        <w:wordWrap/>
        <w:overflowPunct/>
        <w:topLinePunct w:val="0"/>
        <w:bidi w:val="0"/>
        <w:spacing w:before="184" w:line="219" w:lineRule="auto"/>
        <w:ind w:left="485"/>
        <w:rPr>
          <w:rFonts w:ascii="宋体" w:hAnsi="宋体" w:eastAsia="宋体" w:cs="宋体"/>
          <w:color w:val="000000" w:themeColor="text1"/>
          <w:spacing w:val="-2"/>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3.2</w:t>
      </w:r>
      <w:r>
        <w:rPr>
          <w:rFonts w:hint="eastAsia" w:ascii="宋体" w:hAnsi="宋体" w:eastAsia="宋体" w:cs="宋体"/>
          <w:color w:val="000000" w:themeColor="text1"/>
          <w:spacing w:val="-2"/>
          <w:sz w:val="24"/>
          <w:szCs w:val="24"/>
          <w:lang w:val="en-US" w:eastAsia="zh-CN"/>
          <w14:textFill>
            <w14:solidFill>
              <w14:schemeClr w14:val="tx1"/>
            </w14:solidFill>
          </w14:textFill>
        </w:rPr>
        <w:t>项目基本情况</w:t>
      </w:r>
      <w:r>
        <w:rPr>
          <w:rFonts w:ascii="宋体" w:hAnsi="宋体" w:eastAsia="宋体" w:cs="宋体"/>
          <w:color w:val="000000" w:themeColor="text1"/>
          <w:spacing w:val="-2"/>
          <w:sz w:val="24"/>
          <w:szCs w:val="24"/>
          <w14:textFill>
            <w14:solidFill>
              <w14:schemeClr w14:val="tx1"/>
            </w14:solidFill>
          </w14:textFill>
        </w:rPr>
        <w:t>：</w:t>
      </w:r>
    </w:p>
    <w:p w14:paraId="1C6C242F">
      <w:pPr>
        <w:pStyle w:val="4"/>
        <w:keepNext w:val="0"/>
        <w:keepLines w:val="0"/>
        <w:pageBreakBefore w:val="0"/>
        <w:kinsoku/>
        <w:wordWrap/>
        <w:overflowPunct/>
        <w:topLinePunct w:val="0"/>
        <w:bidi w:val="0"/>
        <w:spacing w:before="120" w:after="120"/>
        <w:ind w:firstLine="711" w:firstLineChars="300"/>
        <w:outlineLvl w:val="9"/>
        <w:rPr>
          <w:rFonts w:ascii="宋体" w:hAnsi="宋体" w:eastAsia="宋体" w:cs="宋体"/>
          <w:b/>
          <w:bCs/>
          <w:snapToGrid w:val="0"/>
          <w:color w:val="000000" w:themeColor="text1"/>
          <w:spacing w:val="-2"/>
          <w:kern w:val="0"/>
          <w:sz w:val="24"/>
          <w:szCs w:val="24"/>
          <w:lang w:val="en-US" w:eastAsia="en-US" w:bidi="ar-SA"/>
          <w14:textFill>
            <w14:solidFill>
              <w14:schemeClr w14:val="tx1"/>
            </w14:solidFill>
          </w14:textFill>
        </w:rPr>
      </w:pPr>
      <w:bookmarkStart w:id="3" w:name="_Toc21931"/>
      <w:r>
        <w:rPr>
          <w:rFonts w:hint="eastAsia" w:ascii="宋体" w:hAnsi="宋体" w:eastAsia="宋体" w:cs="宋体"/>
          <w:b/>
          <w:bCs/>
          <w:snapToGrid w:val="0"/>
          <w:color w:val="000000" w:themeColor="text1"/>
          <w:spacing w:val="-2"/>
          <w:kern w:val="0"/>
          <w:sz w:val="24"/>
          <w:szCs w:val="24"/>
          <w:lang w:val="en-US" w:eastAsia="zh-CN" w:bidi="ar-SA"/>
          <w14:textFill>
            <w14:solidFill>
              <w14:schemeClr w14:val="tx1"/>
            </w14:solidFill>
          </w14:textFill>
        </w:rPr>
        <w:t>3.2.1</w:t>
      </w:r>
      <w:r>
        <w:rPr>
          <w:rFonts w:ascii="宋体" w:hAnsi="宋体" w:eastAsia="宋体" w:cs="宋体"/>
          <w:b/>
          <w:bCs/>
          <w:snapToGrid w:val="0"/>
          <w:color w:val="000000" w:themeColor="text1"/>
          <w:spacing w:val="-2"/>
          <w:kern w:val="0"/>
          <w:sz w:val="24"/>
          <w:szCs w:val="24"/>
          <w:lang w:val="en-US" w:eastAsia="en-US" w:bidi="ar-SA"/>
          <w14:textFill>
            <w14:solidFill>
              <w14:schemeClr w14:val="tx1"/>
            </w14:solidFill>
          </w14:textFill>
        </w:rPr>
        <w:t>鼠害防控</w:t>
      </w:r>
      <w:bookmarkEnd w:id="3"/>
    </w:p>
    <w:p w14:paraId="796F9308">
      <w:pPr>
        <w:pageBreakBefore w:val="0"/>
        <w:kinsoku/>
        <w:wordWrap/>
        <w:topLinePunct w:val="0"/>
        <w:autoSpaceDE/>
        <w:autoSpaceDN/>
        <w:bidi w:val="0"/>
        <w:adjustRightInd/>
        <w:spacing w:line="560" w:lineRule="exact"/>
        <w:ind w:firstLine="472" w:firstLineChars="200"/>
        <w:rPr>
          <w:rFonts w:hint="eastAsia"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pPr>
      <w:r>
        <w:rPr>
          <w:rFonts w:hint="eastAsia" w:ascii="宋体" w:hAnsi="宋体" w:eastAsia="宋体" w:cs="宋体"/>
          <w:b w:val="0"/>
          <w:bCs w:val="0"/>
          <w:snapToGrid w:val="0"/>
          <w:color w:val="000000" w:themeColor="text1"/>
          <w:spacing w:val="-2"/>
          <w:kern w:val="0"/>
          <w:sz w:val="24"/>
          <w:szCs w:val="24"/>
          <w:lang w:val="en-US" w:eastAsia="en-US" w:bidi="ar-SA"/>
          <w14:textFill>
            <w14:solidFill>
              <w14:schemeClr w14:val="tx1"/>
            </w14:solidFill>
          </w14:textFill>
        </w:rPr>
        <w:t>博乐市赛里木湖小营盘镇</w:t>
      </w:r>
      <w:r>
        <w:rPr>
          <w:rFonts w:hint="eastAsia"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t>区域</w:t>
      </w:r>
      <w:r>
        <w:rPr>
          <w:rFonts w:hint="eastAsia" w:ascii="宋体" w:hAnsi="宋体" w:eastAsia="宋体" w:cs="宋体"/>
          <w:b w:val="0"/>
          <w:bCs w:val="0"/>
          <w:snapToGrid w:val="0"/>
          <w:color w:val="000000" w:themeColor="text1"/>
          <w:spacing w:val="-2"/>
          <w:kern w:val="0"/>
          <w:sz w:val="24"/>
          <w:szCs w:val="24"/>
          <w:lang w:val="en-US" w:eastAsia="en-US" w:bidi="ar-SA"/>
          <w14:textFill>
            <w14:solidFill>
              <w14:schemeClr w14:val="tx1"/>
            </w14:solidFill>
          </w14:textFill>
        </w:rPr>
        <w:t>：草地大类为温性草甸草原类、山地草甸类，海拔2073-2350m左右，主要植被有羊茅、无芒雀麦、苔草、新疆针茅、天山羽衣草、假梯牧草等，植被盖度60-98%，草层高度10-65cm</w:t>
      </w:r>
      <w:r>
        <w:rPr>
          <w:rFonts w:hint="eastAsia"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t>。</w:t>
      </w:r>
    </w:p>
    <w:tbl>
      <w:tblPr>
        <w:tblStyle w:val="1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0"/>
        <w:gridCol w:w="462"/>
        <w:gridCol w:w="936"/>
        <w:gridCol w:w="696"/>
        <w:gridCol w:w="460"/>
        <w:gridCol w:w="462"/>
        <w:gridCol w:w="462"/>
        <w:gridCol w:w="462"/>
        <w:gridCol w:w="463"/>
        <w:gridCol w:w="463"/>
        <w:gridCol w:w="463"/>
        <w:gridCol w:w="463"/>
        <w:gridCol w:w="463"/>
        <w:gridCol w:w="463"/>
        <w:gridCol w:w="463"/>
        <w:gridCol w:w="463"/>
        <w:gridCol w:w="463"/>
        <w:gridCol w:w="463"/>
        <w:gridCol w:w="463"/>
        <w:gridCol w:w="469"/>
      </w:tblGrid>
      <w:tr w14:paraId="06285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000" w:type="pct"/>
            <w:gridSpan w:val="20"/>
            <w:tcBorders>
              <w:top w:val="nil"/>
              <w:left w:val="nil"/>
              <w:bottom w:val="nil"/>
              <w:right w:val="nil"/>
            </w:tcBorders>
            <w:shd w:val="clear" w:color="auto" w:fill="FFFFFF"/>
            <w:noWrap/>
            <w:vAlign w:val="center"/>
          </w:tcPr>
          <w:p w14:paraId="0A374038">
            <w:pPr>
              <w:keepNext w:val="0"/>
              <w:keepLines w:val="0"/>
              <w:widowControl/>
              <w:suppressLineNumbers w:val="0"/>
              <w:jc w:val="center"/>
              <w:textAlignment w:val="center"/>
              <w:rPr>
                <w:rFonts w:hint="eastAsia" w:ascii="宋体" w:hAnsi="宋体" w:eastAsia="宋体" w:cs="宋体"/>
                <w:b w:val="0"/>
                <w:bCs w:val="0"/>
                <w:snapToGrid w:val="0"/>
                <w:color w:val="000000" w:themeColor="text1"/>
                <w:spacing w:val="-2"/>
                <w:kern w:val="0"/>
                <w:sz w:val="24"/>
                <w:szCs w:val="24"/>
                <w:lang w:val="en-US" w:eastAsia="en-US" w:bidi="ar-SA"/>
                <w14:textFill>
                  <w14:solidFill>
                    <w14:schemeClr w14:val="tx1"/>
                  </w14:solidFill>
                </w14:textFill>
              </w:rPr>
            </w:pPr>
            <w:r>
              <w:rPr>
                <w:rFonts w:hint="eastAsia"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t>2025年草原鼠害发生趋势预测及防治计划表</w:t>
            </w:r>
          </w:p>
        </w:tc>
      </w:tr>
      <w:tr w14:paraId="00C4CE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D51A01">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地州市</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0FCF8A">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县市区</w:t>
            </w:r>
          </w:p>
        </w:tc>
        <w:tc>
          <w:tcPr>
            <w:tcW w:w="4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3023C1">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乡镇名称</w:t>
            </w:r>
          </w:p>
        </w:tc>
        <w:tc>
          <w:tcPr>
            <w:tcW w:w="3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9671D8">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监测面积（万亩）</w:t>
            </w:r>
          </w:p>
        </w:tc>
        <w:tc>
          <w:tcPr>
            <w:tcW w:w="2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1F05C1">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危害区名称</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EDEA56">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危害种类</w:t>
            </w:r>
          </w:p>
        </w:tc>
        <w:tc>
          <w:tcPr>
            <w:tcW w:w="936" w:type="pct"/>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148854">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预测危害面积（万亩）</w:t>
            </w:r>
          </w:p>
        </w:tc>
        <w:tc>
          <w:tcPr>
            <w:tcW w:w="210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0CCB77A6">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计划防治面积（万亩）</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D1224">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备注</w:t>
            </w:r>
          </w:p>
        </w:tc>
      </w:tr>
      <w:tr w14:paraId="555F7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757E2C">
            <w:pPr>
              <w:jc w:val="center"/>
              <w:rPr>
                <w:rFonts w:hint="eastAsia" w:ascii="黑体" w:hAnsi="宋体" w:eastAsia="黑体" w:cs="黑体"/>
                <w:i w:val="0"/>
                <w:iCs w:val="0"/>
                <w:color w:val="0D0D0D"/>
                <w:sz w:val="24"/>
                <w:szCs w:val="24"/>
                <w:u w:val="none"/>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2C91EE">
            <w:pPr>
              <w:jc w:val="center"/>
              <w:rPr>
                <w:rFonts w:hint="eastAsia" w:ascii="黑体" w:hAnsi="宋体" w:eastAsia="黑体" w:cs="黑体"/>
                <w:i w:val="0"/>
                <w:iCs w:val="0"/>
                <w:color w:val="0D0D0D"/>
                <w:sz w:val="24"/>
                <w:szCs w:val="24"/>
                <w:u w:val="none"/>
              </w:rPr>
            </w:pPr>
          </w:p>
        </w:tc>
        <w:tc>
          <w:tcPr>
            <w:tcW w:w="4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0F3D4B">
            <w:pPr>
              <w:jc w:val="center"/>
              <w:rPr>
                <w:rFonts w:hint="eastAsia" w:ascii="黑体" w:hAnsi="宋体" w:eastAsia="黑体" w:cs="黑体"/>
                <w:i w:val="0"/>
                <w:iCs w:val="0"/>
                <w:color w:val="0D0D0D"/>
                <w:sz w:val="24"/>
                <w:szCs w:val="24"/>
                <w:u w:val="none"/>
              </w:rPr>
            </w:pPr>
          </w:p>
        </w:tc>
        <w:tc>
          <w:tcPr>
            <w:tcW w:w="3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885AFA">
            <w:pPr>
              <w:jc w:val="center"/>
              <w:rPr>
                <w:rFonts w:hint="eastAsia" w:ascii="黑体" w:hAnsi="宋体" w:eastAsia="黑体" w:cs="黑体"/>
                <w:i w:val="0"/>
                <w:iCs w:val="0"/>
                <w:color w:val="0D0D0D"/>
                <w:sz w:val="24"/>
                <w:szCs w:val="24"/>
                <w:u w:val="none"/>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C4775">
            <w:pPr>
              <w:jc w:val="center"/>
              <w:rPr>
                <w:rFonts w:hint="eastAsia" w:ascii="黑体" w:hAnsi="宋体" w:eastAsia="黑体" w:cs="黑体"/>
                <w:i w:val="0"/>
                <w:iCs w:val="0"/>
                <w:color w:val="0D0D0D"/>
                <w:sz w:val="24"/>
                <w:szCs w:val="24"/>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492EAB">
            <w:pPr>
              <w:jc w:val="center"/>
              <w:rPr>
                <w:rFonts w:hint="eastAsia" w:ascii="黑体" w:hAnsi="宋体" w:eastAsia="黑体" w:cs="黑体"/>
                <w:i w:val="0"/>
                <w:iCs w:val="0"/>
                <w:color w:val="0D0D0D"/>
                <w:sz w:val="24"/>
                <w:szCs w:val="24"/>
                <w:u w:val="none"/>
              </w:rPr>
            </w:pPr>
          </w:p>
        </w:tc>
        <w:tc>
          <w:tcPr>
            <w:tcW w:w="936"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6931E0">
            <w:pPr>
              <w:jc w:val="center"/>
              <w:rPr>
                <w:rFonts w:hint="eastAsia" w:ascii="黑体" w:hAnsi="宋体" w:eastAsia="黑体" w:cs="黑体"/>
                <w:i w:val="0"/>
                <w:iCs w:val="0"/>
                <w:color w:val="0D0D0D"/>
                <w:sz w:val="24"/>
                <w:szCs w:val="24"/>
                <w:u w:val="none"/>
              </w:rPr>
            </w:pP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7243D1">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合计</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A4EBFB">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化学防治</w:t>
            </w:r>
          </w:p>
        </w:tc>
        <w:tc>
          <w:tcPr>
            <w:tcW w:w="117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AAF7CC">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生物防治</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B74359">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物理防治</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D1C9A4">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其他</w:t>
            </w: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82AB1D">
            <w:pPr>
              <w:jc w:val="center"/>
              <w:rPr>
                <w:rFonts w:hint="eastAsia" w:ascii="黑体" w:hAnsi="宋体" w:eastAsia="黑体" w:cs="黑体"/>
                <w:i w:val="0"/>
                <w:iCs w:val="0"/>
                <w:color w:val="0D0D0D"/>
                <w:sz w:val="24"/>
                <w:szCs w:val="24"/>
                <w:u w:val="none"/>
              </w:rPr>
            </w:pPr>
          </w:p>
        </w:tc>
      </w:tr>
      <w:tr w14:paraId="35D08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C2E47">
            <w:pPr>
              <w:jc w:val="center"/>
              <w:rPr>
                <w:rFonts w:hint="eastAsia" w:ascii="黑体" w:hAnsi="宋体" w:eastAsia="黑体" w:cs="黑体"/>
                <w:i w:val="0"/>
                <w:iCs w:val="0"/>
                <w:color w:val="0D0D0D"/>
                <w:sz w:val="24"/>
                <w:szCs w:val="24"/>
                <w:u w:val="none"/>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26092">
            <w:pPr>
              <w:jc w:val="center"/>
              <w:rPr>
                <w:rFonts w:hint="eastAsia" w:ascii="黑体" w:hAnsi="宋体" w:eastAsia="黑体" w:cs="黑体"/>
                <w:i w:val="0"/>
                <w:iCs w:val="0"/>
                <w:color w:val="0D0D0D"/>
                <w:sz w:val="24"/>
                <w:szCs w:val="24"/>
                <w:u w:val="none"/>
              </w:rPr>
            </w:pPr>
          </w:p>
        </w:tc>
        <w:tc>
          <w:tcPr>
            <w:tcW w:w="4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681999">
            <w:pPr>
              <w:jc w:val="center"/>
              <w:rPr>
                <w:rFonts w:hint="eastAsia" w:ascii="黑体" w:hAnsi="宋体" w:eastAsia="黑体" w:cs="黑体"/>
                <w:i w:val="0"/>
                <w:iCs w:val="0"/>
                <w:color w:val="0D0D0D"/>
                <w:sz w:val="24"/>
                <w:szCs w:val="24"/>
                <w:u w:val="none"/>
              </w:rPr>
            </w:pPr>
          </w:p>
        </w:tc>
        <w:tc>
          <w:tcPr>
            <w:tcW w:w="3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B715C">
            <w:pPr>
              <w:jc w:val="center"/>
              <w:rPr>
                <w:rFonts w:hint="eastAsia" w:ascii="黑体" w:hAnsi="宋体" w:eastAsia="黑体" w:cs="黑体"/>
                <w:i w:val="0"/>
                <w:iCs w:val="0"/>
                <w:color w:val="0D0D0D"/>
                <w:sz w:val="24"/>
                <w:szCs w:val="24"/>
                <w:u w:val="none"/>
              </w:rPr>
            </w:pPr>
          </w:p>
        </w:tc>
        <w:tc>
          <w:tcPr>
            <w:tcW w:w="2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A85251">
            <w:pPr>
              <w:jc w:val="center"/>
              <w:rPr>
                <w:rFonts w:hint="eastAsia" w:ascii="黑体" w:hAnsi="宋体" w:eastAsia="黑体" w:cs="黑体"/>
                <w:i w:val="0"/>
                <w:iCs w:val="0"/>
                <w:color w:val="0D0D0D"/>
                <w:sz w:val="24"/>
                <w:szCs w:val="24"/>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DB73A5">
            <w:pPr>
              <w:jc w:val="center"/>
              <w:rPr>
                <w:rFonts w:hint="eastAsia" w:ascii="黑体" w:hAnsi="宋体" w:eastAsia="黑体" w:cs="黑体"/>
                <w:i w:val="0"/>
                <w:iCs w:val="0"/>
                <w:color w:val="0D0D0D"/>
                <w:sz w:val="24"/>
                <w:szCs w:val="24"/>
                <w:u w:val="none"/>
              </w:rPr>
            </w:pPr>
          </w:p>
        </w:tc>
        <w:tc>
          <w:tcPr>
            <w:tcW w:w="234" w:type="pct"/>
            <w:tcBorders>
              <w:top w:val="single" w:color="000000" w:sz="4" w:space="0"/>
              <w:left w:val="single" w:color="000000" w:sz="4" w:space="0"/>
              <w:bottom w:val="nil"/>
              <w:right w:val="single" w:color="000000" w:sz="4" w:space="0"/>
            </w:tcBorders>
            <w:shd w:val="clear" w:color="auto" w:fill="auto"/>
            <w:vAlign w:val="center"/>
          </w:tcPr>
          <w:p w14:paraId="076DF222">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合计</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10875FA9">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轻度危害</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0D63956B">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中度危害</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36461891">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严重危害</w:t>
            </w: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171E6">
            <w:pPr>
              <w:jc w:val="center"/>
              <w:rPr>
                <w:rFonts w:hint="eastAsia" w:ascii="黑体" w:hAnsi="宋体" w:eastAsia="黑体" w:cs="黑体"/>
                <w:i w:val="0"/>
                <w:iCs w:val="0"/>
                <w:color w:val="0D0D0D"/>
                <w:sz w:val="24"/>
                <w:szCs w:val="24"/>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CCE67">
            <w:pPr>
              <w:jc w:val="center"/>
              <w:rPr>
                <w:rFonts w:hint="eastAsia" w:ascii="黑体" w:hAnsi="宋体" w:eastAsia="黑体" w:cs="黑体"/>
                <w:i w:val="0"/>
                <w:iCs w:val="0"/>
                <w:color w:val="0D0D0D"/>
                <w:sz w:val="24"/>
                <w:szCs w:val="24"/>
                <w:u w:val="none"/>
              </w:rPr>
            </w:pPr>
          </w:p>
        </w:tc>
        <w:tc>
          <w:tcPr>
            <w:tcW w:w="234" w:type="pct"/>
            <w:tcBorders>
              <w:top w:val="single" w:color="000000" w:sz="4" w:space="0"/>
              <w:left w:val="single" w:color="000000" w:sz="4" w:space="0"/>
              <w:bottom w:val="nil"/>
              <w:right w:val="single" w:color="000000" w:sz="4" w:space="0"/>
            </w:tcBorders>
            <w:shd w:val="clear" w:color="auto" w:fill="auto"/>
            <w:vAlign w:val="center"/>
          </w:tcPr>
          <w:p w14:paraId="5B1A9E3A">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小计</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259D75B4">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D型肉毒素</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7E09D78B">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雷公藤</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36B2DA74">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地芬诺脂</w:t>
            </w:r>
          </w:p>
        </w:tc>
        <w:tc>
          <w:tcPr>
            <w:tcW w:w="234" w:type="pct"/>
            <w:tcBorders>
              <w:top w:val="single" w:color="000000" w:sz="4" w:space="0"/>
              <w:left w:val="single" w:color="000000" w:sz="4" w:space="0"/>
              <w:bottom w:val="nil"/>
              <w:right w:val="single" w:color="000000" w:sz="4" w:space="0"/>
            </w:tcBorders>
            <w:shd w:val="clear" w:color="auto" w:fill="auto"/>
            <w:vAlign w:val="center"/>
          </w:tcPr>
          <w:p w14:paraId="5755B346">
            <w:pPr>
              <w:keepNext w:val="0"/>
              <w:keepLines w:val="0"/>
              <w:widowControl/>
              <w:suppressLineNumbers w:val="0"/>
              <w:jc w:val="center"/>
              <w:textAlignment w:val="center"/>
              <w:rPr>
                <w:rFonts w:hint="eastAsia" w:ascii="黑体" w:hAnsi="宋体" w:eastAsia="黑体" w:cs="黑体"/>
                <w:i w:val="0"/>
                <w:iCs w:val="0"/>
                <w:color w:val="0D0D0D"/>
                <w:sz w:val="24"/>
                <w:szCs w:val="24"/>
                <w:u w:val="none"/>
              </w:rPr>
            </w:pPr>
            <w:r>
              <w:rPr>
                <w:rFonts w:hint="eastAsia" w:ascii="黑体" w:hAnsi="宋体" w:eastAsia="黑体" w:cs="黑体"/>
                <w:i w:val="0"/>
                <w:iCs w:val="0"/>
                <w:color w:val="0D0D0D"/>
                <w:kern w:val="0"/>
                <w:sz w:val="24"/>
                <w:szCs w:val="24"/>
                <w:u w:val="none"/>
                <w:lang w:val="en-US" w:eastAsia="zh-CN" w:bidi="ar"/>
              </w:rPr>
              <w:t>新建招鹰控鼠</w:t>
            </w: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B66EEF">
            <w:pPr>
              <w:jc w:val="center"/>
              <w:rPr>
                <w:rFonts w:hint="eastAsia" w:ascii="黑体" w:hAnsi="宋体" w:eastAsia="黑体" w:cs="黑体"/>
                <w:i w:val="0"/>
                <w:iCs w:val="0"/>
                <w:color w:val="0D0D0D"/>
                <w:sz w:val="24"/>
                <w:szCs w:val="24"/>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753755">
            <w:pPr>
              <w:jc w:val="center"/>
              <w:rPr>
                <w:rFonts w:hint="eastAsia" w:ascii="黑体" w:hAnsi="宋体" w:eastAsia="黑体" w:cs="黑体"/>
                <w:i w:val="0"/>
                <w:iCs w:val="0"/>
                <w:color w:val="0D0D0D"/>
                <w:sz w:val="24"/>
                <w:szCs w:val="24"/>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D4727A">
            <w:pPr>
              <w:jc w:val="center"/>
              <w:rPr>
                <w:rFonts w:hint="eastAsia" w:ascii="黑体" w:hAnsi="宋体" w:eastAsia="黑体" w:cs="黑体"/>
                <w:i w:val="0"/>
                <w:iCs w:val="0"/>
                <w:color w:val="0D0D0D"/>
                <w:sz w:val="24"/>
                <w:szCs w:val="24"/>
                <w:u w:val="none"/>
              </w:rPr>
            </w:pPr>
          </w:p>
        </w:tc>
      </w:tr>
      <w:tr w14:paraId="401C3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2585B">
            <w:pPr>
              <w:keepNext w:val="0"/>
              <w:keepLines w:val="0"/>
              <w:widowControl/>
              <w:suppressLineNumbers w:val="0"/>
              <w:jc w:val="center"/>
              <w:textAlignment w:val="center"/>
              <w:rPr>
                <w:rFonts w:hint="eastAsia" w:ascii="宋体" w:hAnsi="宋体" w:eastAsia="宋体" w:cs="宋体"/>
                <w:b/>
                <w:bCs/>
                <w:i w:val="0"/>
                <w:iCs w:val="0"/>
                <w:color w:val="0D0D0D"/>
                <w:sz w:val="24"/>
                <w:szCs w:val="24"/>
                <w:u w:val="none"/>
              </w:rPr>
            </w:pPr>
            <w:r>
              <w:rPr>
                <w:rFonts w:hint="eastAsia" w:ascii="宋体" w:hAnsi="宋体" w:eastAsia="宋体" w:cs="宋体"/>
                <w:b/>
                <w:bCs/>
                <w:i w:val="0"/>
                <w:iCs w:val="0"/>
                <w:color w:val="0D0D0D"/>
                <w:kern w:val="0"/>
                <w:sz w:val="24"/>
                <w:szCs w:val="24"/>
                <w:u w:val="none"/>
                <w:lang w:val="en-US" w:eastAsia="zh-CN" w:bidi="ar"/>
              </w:rPr>
              <w:t>博尔塔拉蒙古自治州</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17030">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博乐市</w:t>
            </w:r>
          </w:p>
        </w:tc>
        <w:tc>
          <w:tcPr>
            <w:tcW w:w="4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AF3B9">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达勒特镇（香班牧业队）、阿热勒托海牧场</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D793A">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12</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608275">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赛里木湖</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A5ED8">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长尾黄鼠</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8146B">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8</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11581">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2</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BD4A4">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05F85">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13496">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0D937">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EA8D0">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CEB91">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340A6B">
            <w:pPr>
              <w:keepNext w:val="0"/>
              <w:keepLines w:val="0"/>
              <w:widowControl/>
              <w:suppressLineNumbers w:val="0"/>
              <w:jc w:val="center"/>
              <w:textAlignment w:val="center"/>
              <w:rPr>
                <w:rFonts w:hint="eastAsia" w:ascii="宋体" w:hAnsi="宋体" w:eastAsia="宋体" w:cs="宋体"/>
                <w:i w:val="0"/>
                <w:iCs w:val="0"/>
                <w:color w:val="0D0D0D"/>
                <w:sz w:val="24"/>
                <w:szCs w:val="24"/>
                <w:u w:val="none"/>
              </w:rPr>
            </w:pPr>
            <w:r>
              <w:rPr>
                <w:rFonts w:hint="eastAsia" w:ascii="宋体" w:hAnsi="宋体" w:eastAsia="宋体" w:cs="宋体"/>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7E3DE">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D8E55">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166F6">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17102">
            <w:pPr>
              <w:jc w:val="center"/>
              <w:rPr>
                <w:rFonts w:hint="eastAsia" w:ascii="宋体" w:hAnsi="宋体" w:eastAsia="宋体" w:cs="宋体"/>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FF6B1">
            <w:pPr>
              <w:jc w:val="center"/>
              <w:rPr>
                <w:rFonts w:hint="eastAsia" w:ascii="宋体" w:hAnsi="宋体" w:eastAsia="宋体" w:cs="宋体"/>
                <w:i w:val="0"/>
                <w:iCs w:val="0"/>
                <w:color w:val="0D0D0D"/>
                <w:sz w:val="24"/>
                <w:szCs w:val="24"/>
                <w:u w:val="none"/>
              </w:rPr>
            </w:pPr>
          </w:p>
        </w:tc>
      </w:tr>
      <w:tr w14:paraId="3D9DB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46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ACB752">
            <w:pPr>
              <w:keepNext w:val="0"/>
              <w:keepLines w:val="0"/>
              <w:widowControl/>
              <w:suppressLineNumbers w:val="0"/>
              <w:jc w:val="center"/>
              <w:textAlignment w:val="center"/>
              <w:rPr>
                <w:rFonts w:hint="eastAsia" w:ascii="宋体" w:hAnsi="宋体" w:eastAsia="宋体" w:cs="宋体"/>
                <w:b/>
                <w:bCs/>
                <w:i w:val="0"/>
                <w:iCs w:val="0"/>
                <w:color w:val="0D0D0D"/>
                <w:sz w:val="24"/>
                <w:szCs w:val="24"/>
                <w:u w:val="none"/>
              </w:rPr>
            </w:pPr>
            <w:r>
              <w:rPr>
                <w:rFonts w:hint="eastAsia" w:ascii="宋体" w:hAnsi="宋体" w:eastAsia="宋体" w:cs="宋体"/>
                <w:b/>
                <w:bCs/>
                <w:i w:val="0"/>
                <w:iCs w:val="0"/>
                <w:color w:val="0D0D0D"/>
                <w:kern w:val="0"/>
                <w:sz w:val="24"/>
                <w:szCs w:val="24"/>
                <w:u w:val="none"/>
                <w:lang w:val="en-US" w:eastAsia="zh-CN" w:bidi="ar"/>
              </w:rPr>
              <w:t>合计</w:t>
            </w:r>
          </w:p>
        </w:tc>
        <w:tc>
          <w:tcPr>
            <w:tcW w:w="4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CFC826">
            <w:pPr>
              <w:jc w:val="center"/>
              <w:rPr>
                <w:rFonts w:hint="eastAsia" w:ascii="仿宋" w:hAnsi="仿宋" w:eastAsia="仿宋" w:cs="仿宋"/>
                <w:i w:val="0"/>
                <w:iCs w:val="0"/>
                <w:color w:val="0D0D0D"/>
                <w:sz w:val="24"/>
                <w:szCs w:val="24"/>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078C9">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12</w:t>
            </w:r>
          </w:p>
        </w:tc>
        <w:tc>
          <w:tcPr>
            <w:tcW w:w="2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CFEE3F">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1E7EA">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63C1F4">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8</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F0B81">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2</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73427">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B9768">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0B146">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983970">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417CF">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92A49C">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75043C">
            <w:pPr>
              <w:keepNext w:val="0"/>
              <w:keepLines w:val="0"/>
              <w:widowControl/>
              <w:suppressLineNumbers w:val="0"/>
              <w:jc w:val="center"/>
              <w:textAlignment w:val="center"/>
              <w:rPr>
                <w:rFonts w:hint="eastAsia" w:ascii="仿宋" w:hAnsi="仿宋" w:eastAsia="仿宋" w:cs="仿宋"/>
                <w:i w:val="0"/>
                <w:iCs w:val="0"/>
                <w:color w:val="0D0D0D"/>
                <w:sz w:val="24"/>
                <w:szCs w:val="24"/>
                <w:u w:val="none"/>
              </w:rPr>
            </w:pPr>
            <w:r>
              <w:rPr>
                <w:rFonts w:hint="eastAsia" w:ascii="仿宋" w:hAnsi="仿宋" w:eastAsia="仿宋" w:cs="仿宋"/>
                <w:i w:val="0"/>
                <w:iCs w:val="0"/>
                <w:color w:val="0D0D0D"/>
                <w:kern w:val="0"/>
                <w:sz w:val="24"/>
                <w:szCs w:val="24"/>
                <w:u w:val="none"/>
                <w:lang w:val="en-US" w:eastAsia="zh-CN" w:bidi="ar"/>
              </w:rPr>
              <w:t>6</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F955A">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E36E6">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DFBC1">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C1A99">
            <w:pPr>
              <w:jc w:val="center"/>
              <w:rPr>
                <w:rFonts w:hint="eastAsia" w:ascii="仿宋" w:hAnsi="仿宋" w:eastAsia="仿宋" w:cs="仿宋"/>
                <w:i w:val="0"/>
                <w:iCs w:val="0"/>
                <w:color w:val="0D0D0D"/>
                <w:sz w:val="24"/>
                <w:szCs w:val="24"/>
                <w:u w:val="none"/>
              </w:rPr>
            </w:pP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A4C3E">
            <w:pPr>
              <w:jc w:val="center"/>
              <w:rPr>
                <w:rFonts w:hint="eastAsia" w:ascii="仿宋" w:hAnsi="仿宋" w:eastAsia="仿宋" w:cs="仿宋"/>
                <w:i w:val="0"/>
                <w:iCs w:val="0"/>
                <w:color w:val="0D0D0D"/>
                <w:sz w:val="24"/>
                <w:szCs w:val="24"/>
                <w:u w:val="none"/>
              </w:rPr>
            </w:pPr>
          </w:p>
        </w:tc>
      </w:tr>
    </w:tbl>
    <w:p w14:paraId="43E70734">
      <w:pPr>
        <w:rPr>
          <w:rFonts w:hint="eastAsia" w:ascii="宋体" w:hAnsi="宋体" w:cs="宋体"/>
          <w:color w:val="000000" w:themeColor="text1"/>
          <w:spacing w:val="-2"/>
          <w:sz w:val="24"/>
          <w:szCs w:val="24"/>
          <w:lang w:val="en-US" w:eastAsia="zh-CN"/>
          <w14:textFill>
            <w14:solidFill>
              <w14:schemeClr w14:val="tx1"/>
            </w14:solidFill>
          </w14:textFill>
        </w:rPr>
      </w:pPr>
      <w:r>
        <w:rPr>
          <w:rFonts w:hint="eastAsia" w:ascii="宋体" w:hAnsi="宋体" w:cs="宋体"/>
          <w:color w:val="000000" w:themeColor="text1"/>
          <w:spacing w:val="-2"/>
          <w:sz w:val="24"/>
          <w:szCs w:val="24"/>
          <w:lang w:val="en-US" w:eastAsia="zh-CN"/>
          <w14:textFill>
            <w14:solidFill>
              <w14:schemeClr w14:val="tx1"/>
            </w14:solidFill>
          </w14:textFill>
        </w:rPr>
        <w:br w:type="page"/>
      </w:r>
    </w:p>
    <w:p w14:paraId="1D3AE500">
      <w:pPr>
        <w:pStyle w:val="2"/>
        <w:ind w:left="0" w:leftChars="0" w:firstLine="0" w:firstLineChars="0"/>
        <w:jc w:val="center"/>
        <w:rPr>
          <w:rFonts w:hint="eastAsia" w:ascii="宋体" w:hAnsi="宋体" w:cs="宋体"/>
          <w:b/>
          <w:sz w:val="24"/>
          <w:szCs w:val="24"/>
        </w:rPr>
      </w:pPr>
    </w:p>
    <w:p w14:paraId="10825B23">
      <w:pPr>
        <w:pStyle w:val="2"/>
        <w:ind w:left="0" w:leftChars="0" w:firstLine="0" w:firstLineChars="0"/>
        <w:jc w:val="center"/>
        <w:rPr>
          <w:rFonts w:hint="eastAsia" w:ascii="宋体" w:hAnsi="宋体" w:cs="宋体"/>
          <w:b w:val="0"/>
          <w:bCs/>
          <w:sz w:val="24"/>
          <w:szCs w:val="24"/>
        </w:rPr>
      </w:pPr>
      <w:r>
        <w:rPr>
          <w:rFonts w:hint="eastAsia" w:ascii="宋体" w:hAnsi="宋体" w:cs="宋体"/>
          <w:b w:val="0"/>
          <w:bCs/>
          <w:sz w:val="24"/>
          <w:szCs w:val="24"/>
        </w:rPr>
        <w:t>鼠害防治项目区实施地点坐标</w:t>
      </w:r>
    </w:p>
    <w:p w14:paraId="2246A64A">
      <w:pPr>
        <w:pStyle w:val="2"/>
        <w:ind w:left="0" w:leftChars="0" w:firstLine="0" w:firstLineChars="0"/>
        <w:jc w:val="center"/>
        <w:rPr>
          <w:rFonts w:hint="eastAsia" w:ascii="宋体" w:hAnsi="宋体" w:cs="宋体"/>
          <w:b/>
          <w:sz w:val="24"/>
          <w:szCs w:val="24"/>
        </w:rPr>
      </w:pPr>
    </w:p>
    <w:tbl>
      <w:tblPr>
        <w:tblStyle w:val="12"/>
        <w:tblW w:w="948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7"/>
        <w:gridCol w:w="714"/>
        <w:gridCol w:w="627"/>
        <w:gridCol w:w="617"/>
        <w:gridCol w:w="689"/>
        <w:gridCol w:w="1202"/>
        <w:gridCol w:w="2521"/>
        <w:gridCol w:w="2505"/>
      </w:tblGrid>
      <w:tr w14:paraId="05D4A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6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6C9F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县市</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3E3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乡镇名称</w:t>
            </w: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266B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发生区名称</w:t>
            </w: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F2B8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草地类型</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1270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害虫种类</w:t>
            </w:r>
          </w:p>
        </w:tc>
        <w:tc>
          <w:tcPr>
            <w:tcW w:w="12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654F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防治面积（万亩）</w:t>
            </w:r>
          </w:p>
        </w:tc>
        <w:tc>
          <w:tcPr>
            <w:tcW w:w="25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13BE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防治区经度（°）</w:t>
            </w: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30E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防治区纬度（°）</w:t>
            </w:r>
          </w:p>
        </w:tc>
      </w:tr>
      <w:tr w14:paraId="713CD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7" w:type="dxa"/>
            <w:vMerge w:val="restart"/>
            <w:tcBorders>
              <w:top w:val="single" w:color="000000" w:sz="4" w:space="0"/>
              <w:left w:val="single" w:color="000000" w:sz="4" w:space="0"/>
              <w:right w:val="single" w:color="000000" w:sz="4" w:space="0"/>
            </w:tcBorders>
            <w:shd w:val="clear" w:color="auto" w:fill="auto"/>
            <w:vAlign w:val="center"/>
          </w:tcPr>
          <w:p w14:paraId="12CC7356">
            <w:pPr>
              <w:rPr>
                <w:rFonts w:hint="eastAsia"/>
              </w:rPr>
            </w:pPr>
            <w:r>
              <w:rPr>
                <w:rFonts w:hint="eastAsia"/>
                <w:lang w:val="en-US" w:eastAsia="zh-CN"/>
              </w:rPr>
              <w:t>博乐市</w:t>
            </w:r>
          </w:p>
        </w:tc>
        <w:tc>
          <w:tcPr>
            <w:tcW w:w="714" w:type="dxa"/>
            <w:vMerge w:val="restart"/>
            <w:tcBorders>
              <w:top w:val="single" w:color="000000" w:sz="4" w:space="0"/>
              <w:left w:val="single" w:color="000000" w:sz="4" w:space="0"/>
              <w:right w:val="single" w:color="000000" w:sz="4" w:space="0"/>
            </w:tcBorders>
            <w:shd w:val="clear" w:color="auto" w:fill="auto"/>
            <w:vAlign w:val="center"/>
          </w:tcPr>
          <w:p w14:paraId="1CA61E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阿热勒托海牧场</w:t>
            </w:r>
          </w:p>
        </w:tc>
        <w:tc>
          <w:tcPr>
            <w:tcW w:w="627" w:type="dxa"/>
            <w:vMerge w:val="restart"/>
            <w:tcBorders>
              <w:top w:val="single" w:color="000000" w:sz="4" w:space="0"/>
              <w:left w:val="single" w:color="000000" w:sz="4" w:space="0"/>
              <w:right w:val="single" w:color="000000" w:sz="4" w:space="0"/>
            </w:tcBorders>
            <w:shd w:val="clear" w:color="auto" w:fill="auto"/>
            <w:vAlign w:val="center"/>
          </w:tcPr>
          <w:p w14:paraId="3B9679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赛里木湖</w:t>
            </w:r>
          </w:p>
        </w:tc>
        <w:tc>
          <w:tcPr>
            <w:tcW w:w="617" w:type="dxa"/>
            <w:vMerge w:val="restart"/>
            <w:tcBorders>
              <w:top w:val="single" w:color="000000" w:sz="4" w:space="0"/>
              <w:left w:val="single" w:color="000000" w:sz="4" w:space="0"/>
              <w:right w:val="single" w:color="000000" w:sz="4" w:space="0"/>
            </w:tcBorders>
            <w:shd w:val="clear" w:color="auto" w:fill="auto"/>
            <w:vAlign w:val="center"/>
          </w:tcPr>
          <w:p w14:paraId="26E6C0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山地草甸</w:t>
            </w:r>
          </w:p>
        </w:tc>
        <w:tc>
          <w:tcPr>
            <w:tcW w:w="689" w:type="dxa"/>
            <w:vMerge w:val="restart"/>
            <w:tcBorders>
              <w:top w:val="single" w:color="000000" w:sz="4" w:space="0"/>
              <w:left w:val="single" w:color="000000" w:sz="4" w:space="0"/>
              <w:right w:val="single" w:color="000000" w:sz="4" w:space="0"/>
            </w:tcBorders>
            <w:shd w:val="clear" w:color="auto" w:fill="auto"/>
            <w:vAlign w:val="center"/>
          </w:tcPr>
          <w:p w14:paraId="2023A2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长尾黄鼠</w:t>
            </w:r>
          </w:p>
        </w:tc>
        <w:tc>
          <w:tcPr>
            <w:tcW w:w="1202" w:type="dxa"/>
            <w:vMerge w:val="restart"/>
            <w:tcBorders>
              <w:top w:val="single" w:color="000000" w:sz="4" w:space="0"/>
              <w:left w:val="single" w:color="000000" w:sz="4" w:space="0"/>
              <w:right w:val="single" w:color="000000" w:sz="4" w:space="0"/>
            </w:tcBorders>
            <w:shd w:val="clear" w:color="auto" w:fill="auto"/>
            <w:noWrap/>
            <w:vAlign w:val="center"/>
          </w:tcPr>
          <w:p w14:paraId="1216C8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0304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80°56′34.93855″</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D9FEE">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44°34′38.45369″</w:t>
            </w:r>
          </w:p>
        </w:tc>
      </w:tr>
      <w:tr w14:paraId="3DF85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07" w:type="dxa"/>
            <w:vMerge w:val="continue"/>
            <w:tcBorders>
              <w:left w:val="single" w:color="000000" w:sz="4" w:space="0"/>
              <w:right w:val="single" w:color="000000" w:sz="4" w:space="0"/>
            </w:tcBorders>
            <w:shd w:val="clear" w:color="auto" w:fill="auto"/>
            <w:vAlign w:val="center"/>
          </w:tcPr>
          <w:p w14:paraId="382BF78A">
            <w:pPr>
              <w:jc w:val="center"/>
              <w:rPr>
                <w:rFonts w:hint="eastAsia" w:ascii="宋体" w:hAnsi="宋体" w:eastAsia="宋体" w:cs="宋体"/>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4640A0B0">
            <w:pPr>
              <w:jc w:val="center"/>
              <w:rPr>
                <w:rFonts w:hint="eastAsia" w:ascii="宋体" w:hAnsi="宋体" w:eastAsia="宋体" w:cs="宋体"/>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034B0089">
            <w:pPr>
              <w:jc w:val="center"/>
              <w:rPr>
                <w:rFonts w:hint="eastAsia" w:ascii="宋体" w:hAnsi="宋体" w:eastAsia="宋体" w:cs="宋体"/>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39DC253D">
            <w:pPr>
              <w:jc w:val="center"/>
              <w:rPr>
                <w:rFonts w:hint="eastAsia" w:ascii="宋体" w:hAnsi="宋体" w:eastAsia="宋体" w:cs="宋体"/>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64594591">
            <w:pPr>
              <w:jc w:val="center"/>
              <w:rPr>
                <w:rFonts w:hint="eastAsia" w:ascii="宋体" w:hAnsi="宋体" w:eastAsia="宋体" w:cs="宋体"/>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6FC2F13B">
            <w:pPr>
              <w:jc w:val="center"/>
              <w:rPr>
                <w:rFonts w:hint="eastAsia" w:ascii="宋体" w:hAnsi="宋体" w:eastAsia="宋体" w:cs="宋体"/>
                <w:i w:val="0"/>
                <w:iCs w:val="0"/>
                <w:color w:val="000000"/>
                <w:sz w:val="22"/>
                <w:szCs w:val="22"/>
                <w:u w:val="none"/>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A9A7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80°57′59.44744″</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985BC">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44°34′37.99020″</w:t>
            </w:r>
          </w:p>
        </w:tc>
      </w:tr>
      <w:tr w14:paraId="0A73D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07" w:type="dxa"/>
            <w:vMerge w:val="continue"/>
            <w:tcBorders>
              <w:left w:val="single" w:color="000000" w:sz="4" w:space="0"/>
              <w:right w:val="single" w:color="000000" w:sz="4" w:space="0"/>
            </w:tcBorders>
            <w:shd w:val="clear" w:color="auto" w:fill="auto"/>
            <w:vAlign w:val="center"/>
          </w:tcPr>
          <w:p w14:paraId="2E5CBDA9">
            <w:pPr>
              <w:jc w:val="center"/>
              <w:rPr>
                <w:rFonts w:hint="eastAsia" w:ascii="宋体" w:hAnsi="宋体" w:eastAsia="宋体" w:cs="宋体"/>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640CF6ED">
            <w:pPr>
              <w:jc w:val="center"/>
              <w:rPr>
                <w:rFonts w:hint="eastAsia" w:ascii="宋体" w:hAnsi="宋体" w:eastAsia="宋体" w:cs="宋体"/>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124F088B">
            <w:pPr>
              <w:jc w:val="center"/>
              <w:rPr>
                <w:rFonts w:hint="eastAsia" w:ascii="宋体" w:hAnsi="宋体" w:eastAsia="宋体" w:cs="宋体"/>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4BE3B9E0">
            <w:pPr>
              <w:jc w:val="center"/>
              <w:rPr>
                <w:rFonts w:hint="eastAsia" w:ascii="宋体" w:hAnsi="宋体" w:eastAsia="宋体" w:cs="宋体"/>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733B97FA">
            <w:pPr>
              <w:jc w:val="center"/>
              <w:rPr>
                <w:rFonts w:hint="eastAsia" w:ascii="宋体" w:hAnsi="宋体" w:eastAsia="宋体" w:cs="宋体"/>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7A0C964C">
            <w:pPr>
              <w:jc w:val="center"/>
              <w:rPr>
                <w:rFonts w:hint="eastAsia" w:ascii="宋体" w:hAnsi="宋体" w:eastAsia="宋体" w:cs="宋体"/>
                <w:i w:val="0"/>
                <w:iCs w:val="0"/>
                <w:color w:val="000000"/>
                <w:sz w:val="22"/>
                <w:szCs w:val="22"/>
                <w:u w:val="none"/>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F8164">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80°59′16.3860″</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2AC3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44°34′37.37222″</w:t>
            </w:r>
          </w:p>
        </w:tc>
      </w:tr>
      <w:tr w14:paraId="2D5CD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07" w:type="dxa"/>
            <w:vMerge w:val="continue"/>
            <w:tcBorders>
              <w:left w:val="single" w:color="000000" w:sz="4" w:space="0"/>
              <w:right w:val="single" w:color="000000" w:sz="4" w:space="0"/>
            </w:tcBorders>
            <w:shd w:val="clear" w:color="auto" w:fill="auto"/>
            <w:vAlign w:val="center"/>
          </w:tcPr>
          <w:p w14:paraId="2FF110E4">
            <w:pPr>
              <w:jc w:val="center"/>
              <w:rPr>
                <w:rFonts w:hint="eastAsia" w:ascii="宋体" w:hAnsi="宋体" w:eastAsia="宋体" w:cs="宋体"/>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3EA45533">
            <w:pPr>
              <w:jc w:val="center"/>
              <w:rPr>
                <w:rFonts w:hint="eastAsia" w:ascii="宋体" w:hAnsi="宋体" w:eastAsia="宋体" w:cs="宋体"/>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1F7F12B8">
            <w:pPr>
              <w:jc w:val="center"/>
              <w:rPr>
                <w:rFonts w:hint="eastAsia" w:ascii="宋体" w:hAnsi="宋体" w:eastAsia="宋体" w:cs="宋体"/>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49F198DD">
            <w:pPr>
              <w:jc w:val="center"/>
              <w:rPr>
                <w:rFonts w:hint="eastAsia" w:ascii="宋体" w:hAnsi="宋体" w:eastAsia="宋体" w:cs="宋体"/>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51C13A3F">
            <w:pPr>
              <w:jc w:val="center"/>
              <w:rPr>
                <w:rFonts w:hint="eastAsia" w:ascii="宋体" w:hAnsi="宋体" w:eastAsia="宋体" w:cs="宋体"/>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6896FFAC">
            <w:pPr>
              <w:jc w:val="center"/>
              <w:rPr>
                <w:rFonts w:hint="eastAsia" w:ascii="宋体" w:hAnsi="宋体" w:eastAsia="宋体" w:cs="宋体"/>
                <w:i w:val="0"/>
                <w:iCs w:val="0"/>
                <w:color w:val="000000"/>
                <w:sz w:val="22"/>
                <w:szCs w:val="22"/>
                <w:u w:val="none"/>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E4011">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80°59′22.25689″</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D26F8">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44°34′13.42546″</w:t>
            </w:r>
          </w:p>
        </w:tc>
      </w:tr>
      <w:tr w14:paraId="5EEB0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07" w:type="dxa"/>
            <w:vMerge w:val="continue"/>
            <w:tcBorders>
              <w:left w:val="single" w:color="000000" w:sz="4" w:space="0"/>
              <w:right w:val="single" w:color="000000" w:sz="4" w:space="0"/>
            </w:tcBorders>
            <w:shd w:val="clear" w:color="auto" w:fill="auto"/>
            <w:vAlign w:val="center"/>
          </w:tcPr>
          <w:p w14:paraId="48056D06">
            <w:pPr>
              <w:jc w:val="center"/>
              <w:rPr>
                <w:rFonts w:hint="eastAsia" w:ascii="宋体" w:hAnsi="宋体" w:eastAsia="宋体" w:cs="宋体"/>
                <w:b/>
                <w:bCs/>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31EFCEF4">
            <w:pPr>
              <w:rPr>
                <w:rFonts w:hint="eastAsia" w:ascii="宋体" w:hAnsi="宋体" w:eastAsia="宋体" w:cs="宋体"/>
                <w:b/>
                <w:bCs/>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40126311">
            <w:pPr>
              <w:rPr>
                <w:rFonts w:hint="eastAsia" w:ascii="宋体" w:hAnsi="宋体" w:eastAsia="宋体" w:cs="宋体"/>
                <w:b/>
                <w:bCs/>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65D3B378">
            <w:pPr>
              <w:rPr>
                <w:rFonts w:hint="eastAsia" w:ascii="宋体" w:hAnsi="宋体" w:eastAsia="宋体" w:cs="宋体"/>
                <w:b/>
                <w:bCs/>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7B6C266D">
            <w:pPr>
              <w:rPr>
                <w:rFonts w:hint="eastAsia" w:ascii="宋体" w:hAnsi="宋体" w:eastAsia="宋体" w:cs="宋体"/>
                <w:b/>
                <w:bCs/>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6BDA827D">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BDBD7">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80°59′28.90019″</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05A74">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44°33′46.23429″</w:t>
            </w:r>
          </w:p>
        </w:tc>
      </w:tr>
      <w:tr w14:paraId="15E84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07" w:type="dxa"/>
            <w:vMerge w:val="continue"/>
            <w:tcBorders>
              <w:left w:val="single" w:color="000000" w:sz="4" w:space="0"/>
              <w:right w:val="single" w:color="000000" w:sz="4" w:space="0"/>
            </w:tcBorders>
            <w:shd w:val="clear" w:color="auto" w:fill="auto"/>
            <w:vAlign w:val="center"/>
          </w:tcPr>
          <w:p w14:paraId="5D4B39DD">
            <w:pPr>
              <w:jc w:val="center"/>
              <w:rPr>
                <w:rFonts w:hint="eastAsia" w:ascii="宋体" w:hAnsi="宋体" w:eastAsia="宋体" w:cs="宋体"/>
                <w:b/>
                <w:bCs/>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41EB7C37">
            <w:pPr>
              <w:rPr>
                <w:rFonts w:hint="eastAsia" w:ascii="宋体" w:hAnsi="宋体" w:eastAsia="宋体" w:cs="宋体"/>
                <w:b/>
                <w:bCs/>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02AC79CB">
            <w:pPr>
              <w:rPr>
                <w:rFonts w:hint="eastAsia" w:ascii="宋体" w:hAnsi="宋体" w:eastAsia="宋体" w:cs="宋体"/>
                <w:b/>
                <w:bCs/>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3535884B">
            <w:pPr>
              <w:rPr>
                <w:rFonts w:hint="eastAsia" w:ascii="宋体" w:hAnsi="宋体" w:eastAsia="宋体" w:cs="宋体"/>
                <w:b/>
                <w:bCs/>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00F70ACA">
            <w:pPr>
              <w:rPr>
                <w:rFonts w:hint="eastAsia" w:ascii="宋体" w:hAnsi="宋体" w:eastAsia="宋体" w:cs="宋体"/>
                <w:b/>
                <w:bCs/>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27313ACA">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50AC2">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80°57′57.59350″</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F57D">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44°33′37.27357″</w:t>
            </w:r>
          </w:p>
        </w:tc>
      </w:tr>
      <w:tr w14:paraId="695D2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07" w:type="dxa"/>
            <w:vMerge w:val="continue"/>
            <w:tcBorders>
              <w:left w:val="single" w:color="000000" w:sz="4" w:space="0"/>
              <w:right w:val="single" w:color="000000" w:sz="4" w:space="0"/>
            </w:tcBorders>
            <w:shd w:val="clear" w:color="auto" w:fill="auto"/>
            <w:vAlign w:val="center"/>
          </w:tcPr>
          <w:p w14:paraId="27D10462">
            <w:pPr>
              <w:jc w:val="center"/>
              <w:rPr>
                <w:rFonts w:hint="eastAsia" w:ascii="宋体" w:hAnsi="宋体" w:eastAsia="宋体" w:cs="宋体"/>
                <w:b/>
                <w:bCs/>
                <w:i w:val="0"/>
                <w:iCs w:val="0"/>
                <w:color w:val="000000"/>
                <w:sz w:val="22"/>
                <w:szCs w:val="22"/>
                <w:u w:val="none"/>
              </w:rPr>
            </w:pPr>
          </w:p>
        </w:tc>
        <w:tc>
          <w:tcPr>
            <w:tcW w:w="714" w:type="dxa"/>
            <w:vMerge w:val="continue"/>
            <w:tcBorders>
              <w:left w:val="single" w:color="000000" w:sz="4" w:space="0"/>
              <w:right w:val="single" w:color="000000" w:sz="4" w:space="0"/>
            </w:tcBorders>
            <w:shd w:val="clear" w:color="auto" w:fill="auto"/>
            <w:vAlign w:val="center"/>
          </w:tcPr>
          <w:p w14:paraId="228C0C7E">
            <w:pPr>
              <w:rPr>
                <w:rFonts w:hint="eastAsia" w:ascii="宋体" w:hAnsi="宋体" w:eastAsia="宋体" w:cs="宋体"/>
                <w:b/>
                <w:bCs/>
                <w:i w:val="0"/>
                <w:iCs w:val="0"/>
                <w:color w:val="000000"/>
                <w:sz w:val="22"/>
                <w:szCs w:val="22"/>
                <w:u w:val="none"/>
              </w:rPr>
            </w:pPr>
          </w:p>
        </w:tc>
        <w:tc>
          <w:tcPr>
            <w:tcW w:w="627" w:type="dxa"/>
            <w:vMerge w:val="continue"/>
            <w:tcBorders>
              <w:left w:val="single" w:color="000000" w:sz="4" w:space="0"/>
              <w:right w:val="single" w:color="000000" w:sz="4" w:space="0"/>
            </w:tcBorders>
            <w:shd w:val="clear" w:color="auto" w:fill="auto"/>
            <w:vAlign w:val="center"/>
          </w:tcPr>
          <w:p w14:paraId="06C31A2A">
            <w:pPr>
              <w:rPr>
                <w:rFonts w:hint="eastAsia" w:ascii="宋体" w:hAnsi="宋体" w:eastAsia="宋体" w:cs="宋体"/>
                <w:b/>
                <w:bCs/>
                <w:i w:val="0"/>
                <w:iCs w:val="0"/>
                <w:color w:val="000000"/>
                <w:sz w:val="22"/>
                <w:szCs w:val="22"/>
                <w:u w:val="none"/>
              </w:rPr>
            </w:pPr>
          </w:p>
        </w:tc>
        <w:tc>
          <w:tcPr>
            <w:tcW w:w="617" w:type="dxa"/>
            <w:vMerge w:val="continue"/>
            <w:tcBorders>
              <w:left w:val="single" w:color="000000" w:sz="4" w:space="0"/>
              <w:right w:val="single" w:color="000000" w:sz="4" w:space="0"/>
            </w:tcBorders>
            <w:shd w:val="clear" w:color="auto" w:fill="auto"/>
            <w:vAlign w:val="center"/>
          </w:tcPr>
          <w:p w14:paraId="76549D13">
            <w:pPr>
              <w:rPr>
                <w:rFonts w:hint="eastAsia" w:ascii="宋体" w:hAnsi="宋体" w:eastAsia="宋体" w:cs="宋体"/>
                <w:b/>
                <w:bCs/>
                <w:i w:val="0"/>
                <w:iCs w:val="0"/>
                <w:color w:val="000000"/>
                <w:sz w:val="22"/>
                <w:szCs w:val="22"/>
                <w:u w:val="none"/>
              </w:rPr>
            </w:pPr>
          </w:p>
        </w:tc>
        <w:tc>
          <w:tcPr>
            <w:tcW w:w="689" w:type="dxa"/>
            <w:vMerge w:val="continue"/>
            <w:tcBorders>
              <w:left w:val="single" w:color="000000" w:sz="4" w:space="0"/>
              <w:right w:val="single" w:color="000000" w:sz="4" w:space="0"/>
            </w:tcBorders>
            <w:shd w:val="clear" w:color="auto" w:fill="auto"/>
            <w:vAlign w:val="center"/>
          </w:tcPr>
          <w:p w14:paraId="2E3D39F2">
            <w:pPr>
              <w:rPr>
                <w:rFonts w:hint="eastAsia" w:ascii="宋体" w:hAnsi="宋体" w:eastAsia="宋体" w:cs="宋体"/>
                <w:b/>
                <w:bCs/>
                <w:i w:val="0"/>
                <w:iCs w:val="0"/>
                <w:color w:val="000000"/>
                <w:sz w:val="22"/>
                <w:szCs w:val="22"/>
                <w:u w:val="none"/>
              </w:rPr>
            </w:pPr>
          </w:p>
        </w:tc>
        <w:tc>
          <w:tcPr>
            <w:tcW w:w="1202" w:type="dxa"/>
            <w:vMerge w:val="continue"/>
            <w:tcBorders>
              <w:left w:val="single" w:color="000000" w:sz="4" w:space="0"/>
              <w:right w:val="single" w:color="000000" w:sz="4" w:space="0"/>
            </w:tcBorders>
            <w:shd w:val="clear" w:color="auto" w:fill="auto"/>
            <w:noWrap/>
            <w:vAlign w:val="center"/>
          </w:tcPr>
          <w:p w14:paraId="641BED06">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0300E">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80°56′32.93011″</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3BBE6">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44°33′29.08532″</w:t>
            </w:r>
          </w:p>
        </w:tc>
      </w:tr>
      <w:tr w14:paraId="283C8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07" w:type="dxa"/>
            <w:vMerge w:val="continue"/>
            <w:tcBorders>
              <w:left w:val="single" w:color="000000" w:sz="4" w:space="0"/>
              <w:bottom w:val="single" w:color="000000" w:sz="4" w:space="0"/>
              <w:right w:val="single" w:color="000000" w:sz="4" w:space="0"/>
            </w:tcBorders>
            <w:shd w:val="clear" w:color="auto" w:fill="auto"/>
            <w:vAlign w:val="center"/>
          </w:tcPr>
          <w:p w14:paraId="328CBC96">
            <w:pPr>
              <w:jc w:val="center"/>
              <w:rPr>
                <w:rFonts w:hint="eastAsia" w:ascii="宋体" w:hAnsi="宋体" w:eastAsia="宋体" w:cs="宋体"/>
                <w:b/>
                <w:bCs/>
                <w:i w:val="0"/>
                <w:iCs w:val="0"/>
                <w:color w:val="000000"/>
                <w:sz w:val="22"/>
                <w:szCs w:val="22"/>
                <w:u w:val="none"/>
              </w:rPr>
            </w:pPr>
          </w:p>
        </w:tc>
        <w:tc>
          <w:tcPr>
            <w:tcW w:w="714" w:type="dxa"/>
            <w:vMerge w:val="continue"/>
            <w:tcBorders>
              <w:left w:val="single" w:color="000000" w:sz="4" w:space="0"/>
              <w:bottom w:val="single" w:color="000000" w:sz="4" w:space="0"/>
              <w:right w:val="single" w:color="000000" w:sz="4" w:space="0"/>
            </w:tcBorders>
            <w:shd w:val="clear" w:color="auto" w:fill="auto"/>
            <w:vAlign w:val="center"/>
          </w:tcPr>
          <w:p w14:paraId="0BA9F2D1">
            <w:pPr>
              <w:rPr>
                <w:rFonts w:hint="eastAsia"/>
              </w:rPr>
            </w:pPr>
          </w:p>
        </w:tc>
        <w:tc>
          <w:tcPr>
            <w:tcW w:w="627" w:type="dxa"/>
            <w:vMerge w:val="continue"/>
            <w:tcBorders>
              <w:left w:val="single" w:color="000000" w:sz="4" w:space="0"/>
              <w:bottom w:val="single" w:color="000000" w:sz="4" w:space="0"/>
              <w:right w:val="single" w:color="000000" w:sz="4" w:space="0"/>
            </w:tcBorders>
            <w:shd w:val="clear" w:color="auto" w:fill="auto"/>
            <w:vAlign w:val="center"/>
          </w:tcPr>
          <w:p w14:paraId="1C2CD90B">
            <w:pPr>
              <w:rPr>
                <w:rFonts w:hint="eastAsia" w:ascii="宋体" w:hAnsi="宋体" w:eastAsia="宋体" w:cs="宋体"/>
                <w:b/>
                <w:bCs/>
                <w:i w:val="0"/>
                <w:iCs w:val="0"/>
                <w:color w:val="000000"/>
                <w:sz w:val="22"/>
                <w:szCs w:val="22"/>
                <w:u w:val="none"/>
              </w:rPr>
            </w:pPr>
          </w:p>
        </w:tc>
        <w:tc>
          <w:tcPr>
            <w:tcW w:w="617" w:type="dxa"/>
            <w:vMerge w:val="continue"/>
            <w:tcBorders>
              <w:left w:val="single" w:color="000000" w:sz="4" w:space="0"/>
              <w:bottom w:val="single" w:color="000000" w:sz="4" w:space="0"/>
              <w:right w:val="single" w:color="000000" w:sz="4" w:space="0"/>
            </w:tcBorders>
            <w:shd w:val="clear" w:color="auto" w:fill="auto"/>
            <w:vAlign w:val="center"/>
          </w:tcPr>
          <w:p w14:paraId="131183D3">
            <w:pPr>
              <w:rPr>
                <w:rFonts w:hint="eastAsia" w:ascii="宋体" w:hAnsi="宋体" w:eastAsia="宋体" w:cs="宋体"/>
                <w:b/>
                <w:bCs/>
                <w:i w:val="0"/>
                <w:iCs w:val="0"/>
                <w:color w:val="000000"/>
                <w:sz w:val="22"/>
                <w:szCs w:val="22"/>
                <w:u w:val="none"/>
              </w:rPr>
            </w:pPr>
          </w:p>
        </w:tc>
        <w:tc>
          <w:tcPr>
            <w:tcW w:w="689" w:type="dxa"/>
            <w:vMerge w:val="continue"/>
            <w:tcBorders>
              <w:left w:val="single" w:color="000000" w:sz="4" w:space="0"/>
              <w:bottom w:val="single" w:color="000000" w:sz="4" w:space="0"/>
              <w:right w:val="single" w:color="000000" w:sz="4" w:space="0"/>
            </w:tcBorders>
            <w:shd w:val="clear" w:color="auto" w:fill="auto"/>
            <w:vAlign w:val="center"/>
          </w:tcPr>
          <w:p w14:paraId="18A40319">
            <w:pPr>
              <w:rPr>
                <w:rFonts w:hint="eastAsia" w:ascii="宋体" w:hAnsi="宋体" w:eastAsia="宋体" w:cs="宋体"/>
                <w:b/>
                <w:bCs/>
                <w:i w:val="0"/>
                <w:iCs w:val="0"/>
                <w:color w:val="000000"/>
                <w:sz w:val="22"/>
                <w:szCs w:val="22"/>
                <w:u w:val="none"/>
              </w:rPr>
            </w:pPr>
          </w:p>
        </w:tc>
        <w:tc>
          <w:tcPr>
            <w:tcW w:w="1202" w:type="dxa"/>
            <w:vMerge w:val="continue"/>
            <w:tcBorders>
              <w:left w:val="single" w:color="000000" w:sz="4" w:space="0"/>
              <w:bottom w:val="single" w:color="000000" w:sz="4" w:space="0"/>
              <w:right w:val="single" w:color="000000" w:sz="4" w:space="0"/>
            </w:tcBorders>
            <w:shd w:val="clear" w:color="auto" w:fill="auto"/>
            <w:noWrap/>
            <w:vAlign w:val="center"/>
          </w:tcPr>
          <w:p w14:paraId="4828B7A9">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D6E5A">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80°56′34.16607″</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7A91E">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44°34′7.24565″</w:t>
            </w:r>
          </w:p>
        </w:tc>
      </w:tr>
      <w:tr w14:paraId="2C9EA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216A6">
            <w:pPr>
              <w:jc w:val="center"/>
              <w:rPr>
                <w:rFonts w:hint="eastAsia" w:ascii="宋体" w:hAnsi="宋体" w:eastAsia="宋体" w:cs="宋体"/>
                <w:b/>
                <w:bCs/>
                <w:i w:val="0"/>
                <w:iCs w:val="0"/>
                <w:color w:val="000000"/>
                <w:sz w:val="22"/>
                <w:szCs w:val="22"/>
                <w:u w:val="none"/>
              </w:rPr>
            </w:pP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991A9">
            <w:pPr>
              <w:rPr>
                <w:rFonts w:hint="eastAsia" w:ascii="宋体" w:hAnsi="宋体" w:eastAsia="宋体" w:cs="宋体"/>
                <w:b/>
                <w:bCs/>
                <w:i w:val="0"/>
                <w:iCs w:val="0"/>
                <w:color w:val="000000"/>
                <w:sz w:val="22"/>
                <w:szCs w:val="22"/>
                <w:u w:val="none"/>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EFB95">
            <w:pPr>
              <w:rPr>
                <w:rFonts w:hint="eastAsia" w:ascii="宋体" w:hAnsi="宋体" w:eastAsia="宋体" w:cs="宋体"/>
                <w:b/>
                <w:bCs/>
                <w:i w:val="0"/>
                <w:iCs w:val="0"/>
                <w:color w:val="000000"/>
                <w:sz w:val="22"/>
                <w:szCs w:val="22"/>
                <w:u w:val="none"/>
              </w:rPr>
            </w:pPr>
          </w:p>
        </w:tc>
        <w:tc>
          <w:tcPr>
            <w:tcW w:w="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0C356">
            <w:pPr>
              <w:rPr>
                <w:rFonts w:hint="eastAsia" w:ascii="宋体" w:hAnsi="宋体" w:eastAsia="宋体" w:cs="宋体"/>
                <w:b/>
                <w:bCs/>
                <w:i w:val="0"/>
                <w:iCs w:val="0"/>
                <w:color w:val="000000"/>
                <w:sz w:val="22"/>
                <w:szCs w:val="22"/>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568E1">
            <w:pPr>
              <w:rPr>
                <w:rFonts w:hint="eastAsia" w:ascii="宋体" w:hAnsi="宋体" w:eastAsia="宋体" w:cs="宋体"/>
                <w:b/>
                <w:bCs/>
                <w:i w:val="0"/>
                <w:iCs w:val="0"/>
                <w:color w:val="000000"/>
                <w:sz w:val="22"/>
                <w:szCs w:val="22"/>
                <w:u w:val="none"/>
              </w:rPr>
            </w:pPr>
          </w:p>
        </w:tc>
        <w:tc>
          <w:tcPr>
            <w:tcW w:w="12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5094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2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70A57">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E2F8F">
            <w:pPr>
              <w:keepNext w:val="0"/>
              <w:keepLines w:val="0"/>
              <w:widowControl/>
              <w:suppressLineNumbers w:val="0"/>
              <w:jc w:val="center"/>
              <w:textAlignment w:val="center"/>
              <w:rPr>
                <w:rFonts w:hint="eastAsia" w:ascii="Times New Roman" w:hAnsi="Times New Roman" w:eastAsia="宋体" w:cs="Times New Roman"/>
                <w:i w:val="0"/>
                <w:iCs w:val="0"/>
                <w:color w:val="000000"/>
                <w:kern w:val="0"/>
                <w:sz w:val="18"/>
                <w:szCs w:val="18"/>
                <w:u w:val="none"/>
                <w:lang w:val="en-US" w:eastAsia="zh-CN" w:bidi="ar"/>
              </w:rPr>
            </w:pPr>
          </w:p>
        </w:tc>
      </w:tr>
    </w:tbl>
    <w:p w14:paraId="00CBDE3A">
      <w:pPr>
        <w:rPr>
          <w:rFonts w:hint="eastAsia" w:ascii="宋体" w:hAnsi="宋体" w:cs="宋体"/>
          <w:color w:val="000000" w:themeColor="text1"/>
          <w:spacing w:val="-2"/>
          <w:sz w:val="24"/>
          <w:szCs w:val="24"/>
          <w:lang w:val="en-US" w:eastAsia="zh-CN"/>
          <w14:textFill>
            <w14:solidFill>
              <w14:schemeClr w14:val="tx1"/>
            </w14:solidFill>
          </w14:textFill>
        </w:rPr>
      </w:pPr>
    </w:p>
    <w:p w14:paraId="40D1A1B7">
      <w:pPr>
        <w:pStyle w:val="2"/>
        <w:keepNext w:val="0"/>
        <w:keepLines w:val="0"/>
        <w:pageBreakBefore w:val="0"/>
        <w:widowControl w:val="0"/>
        <w:kinsoku/>
        <w:wordWrap/>
        <w:overflowPunct/>
        <w:topLinePunct w:val="0"/>
        <w:autoSpaceDE/>
        <w:autoSpaceDN/>
        <w:bidi w:val="0"/>
        <w:adjustRightInd/>
        <w:snapToGrid/>
        <w:ind w:firstLine="474"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cs="宋体"/>
          <w:b/>
          <w:bCs/>
          <w:color w:val="000000" w:themeColor="text1"/>
          <w:spacing w:val="-2"/>
          <w:sz w:val="24"/>
          <w:szCs w:val="24"/>
          <w:lang w:val="en-US" w:eastAsia="zh-CN"/>
          <w14:textFill>
            <w14:solidFill>
              <w14:schemeClr w14:val="tx1"/>
            </w14:solidFill>
          </w14:textFill>
        </w:rPr>
        <w:t>3.2.2</w:t>
      </w:r>
      <w:r>
        <w:rPr>
          <w:rFonts w:hint="eastAsia" w:ascii="宋体" w:hAnsi="宋体" w:eastAsia="宋体" w:cs="宋体"/>
          <w:b/>
          <w:bCs/>
          <w:color w:val="000000" w:themeColor="text1"/>
          <w:spacing w:val="-2"/>
          <w:sz w:val="24"/>
          <w:szCs w:val="24"/>
          <w:lang w:val="en-US" w:eastAsia="zh-CN"/>
          <w14:textFill>
            <w14:solidFill>
              <w14:schemeClr w14:val="tx1"/>
            </w14:solidFill>
          </w14:textFill>
        </w:rPr>
        <w:t>虫害防治</w:t>
      </w:r>
      <w:r>
        <w:rPr>
          <w:rFonts w:hint="eastAsia" w:ascii="宋体" w:hAnsi="宋体" w:eastAsia="宋体" w:cs="宋体"/>
          <w:color w:val="000000" w:themeColor="text1"/>
          <w:spacing w:val="-2"/>
          <w:sz w:val="24"/>
          <w:szCs w:val="24"/>
          <w:lang w:val="en-US" w:eastAsia="zh-CN"/>
          <w14:textFill>
            <w14:solidFill>
              <w14:schemeClr w14:val="tx1"/>
            </w14:solidFill>
          </w14:textFill>
        </w:rPr>
        <w:t>：乌图布拉格镇（卡尔噶西草场）：草地大类为温性荒漠类，海拔600-800m左右，主要植被有叉毛蓬、四齿荠、博洛塔绢蒿、骆驼蓬等，植被盖度15-60%，草层高度3-30cm。</w:t>
      </w:r>
    </w:p>
    <w:p w14:paraId="697CD6DB">
      <w:pPr>
        <w:pStyle w:val="2"/>
        <w:keepNext w:val="0"/>
        <w:keepLines w:val="0"/>
        <w:pageBreakBefore w:val="0"/>
        <w:widowControl w:val="0"/>
        <w:kinsoku/>
        <w:wordWrap/>
        <w:overflowPunct/>
        <w:topLinePunct w:val="0"/>
        <w:autoSpaceDE/>
        <w:autoSpaceDN/>
        <w:bidi w:val="0"/>
        <w:adjustRightInd/>
        <w:snapToGrid/>
        <w:ind w:firstLine="472"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青得里镇（亚麻滩草场）：草地大类为温性荒漠类、温性荒漠草原类，海拔670-930m左右，主要植被有角果藜、博洛塔绢蒿、苔草、叉毛蓬、羊茅、白皮锦鸡儿、骆驼蓬等，植被盖度10-35%，草层高度1-25cm。</w:t>
      </w:r>
    </w:p>
    <w:p w14:paraId="11B9ECAA">
      <w:pPr>
        <w:pStyle w:val="2"/>
        <w:keepNext w:val="0"/>
        <w:keepLines w:val="0"/>
        <w:pageBreakBefore w:val="0"/>
        <w:widowControl w:val="0"/>
        <w:kinsoku/>
        <w:wordWrap/>
        <w:overflowPunct/>
        <w:topLinePunct w:val="0"/>
        <w:autoSpaceDE/>
        <w:autoSpaceDN/>
        <w:bidi w:val="0"/>
        <w:adjustRightInd/>
        <w:snapToGrid/>
        <w:ind w:firstLine="472"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小营盘镇（乌尔哈那、青稞稞区域）：草地大类为温性荒漠类，海拔760-1150m左右，主要植被有博洛塔绢蒿、羊茅、角果藜、小蓬、叉毛蓬、白羊草、白皮锦鸡儿、四齿荠、骆驼蓬等，植被盖度10-60%，草层高度3-30cm。</w:t>
      </w:r>
    </w:p>
    <w:p w14:paraId="6E5A517F">
      <w:pPr>
        <w:pStyle w:val="2"/>
        <w:keepNext w:val="0"/>
        <w:keepLines w:val="0"/>
        <w:pageBreakBefore w:val="0"/>
        <w:widowControl w:val="0"/>
        <w:kinsoku/>
        <w:wordWrap/>
        <w:overflowPunct/>
        <w:topLinePunct w:val="0"/>
        <w:autoSpaceDE/>
        <w:autoSpaceDN/>
        <w:bidi w:val="0"/>
        <w:adjustRightInd/>
        <w:snapToGrid/>
        <w:ind w:firstLine="472"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达勒特镇（四台区域）：草地大类为温性荒漠类，海拔410-550m左右，主要植被有梭梭、博洛塔绢蒿、驼绒藜、叉毛蓬、角果藜、木地肤、松叶猪毛菜、半日花、四齿荠、骆驼蓬、白皮锦鸡儿等，植被盖度10-60%，草层高度3-30cm。</w:t>
      </w:r>
    </w:p>
    <w:p w14:paraId="6AF6CD31">
      <w:pPr>
        <w:pStyle w:val="2"/>
        <w:keepNext w:val="0"/>
        <w:keepLines w:val="0"/>
        <w:pageBreakBefore w:val="0"/>
        <w:widowControl w:val="0"/>
        <w:kinsoku/>
        <w:wordWrap/>
        <w:overflowPunct/>
        <w:topLinePunct w:val="0"/>
        <w:autoSpaceDE/>
        <w:autoSpaceDN/>
        <w:bidi w:val="0"/>
        <w:adjustRightInd/>
        <w:snapToGrid/>
        <w:ind w:firstLine="472"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阿热勒托海牧场、达勒特镇（赛里木湖区域草场）：草地大类为温性草甸草原类、山地草甸类，海拔2073-2350m左右，主要植被有羊茅、无芒雀麦、苔草、新疆针茅、天山羽衣草、假梯牧草等，植被盖度60-98%，草层高度10-65cm。</w:t>
      </w:r>
    </w:p>
    <w:p w14:paraId="5A424CCF">
      <w:pPr>
        <w:pStyle w:val="2"/>
        <w:keepNext w:val="0"/>
        <w:keepLines w:val="0"/>
        <w:pageBreakBefore w:val="0"/>
        <w:widowControl w:val="0"/>
        <w:kinsoku/>
        <w:wordWrap/>
        <w:overflowPunct/>
        <w:topLinePunct w:val="0"/>
        <w:autoSpaceDE/>
        <w:autoSpaceDN/>
        <w:bidi w:val="0"/>
        <w:adjustRightInd/>
        <w:snapToGrid/>
        <w:ind w:firstLine="472" w:firstLineChars="200"/>
        <w:jc w:val="both"/>
        <w:textAlignment w:val="auto"/>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阿热勒托海牧场（库色木切克区域）：草地大类为温性荒漠，海拔700-1200m左右，主要植被有博洛塔绢蒿、小蓬、叉毛蓬、四齿荠、角果藜、白皮锦鸡儿、骆驼蓬、盐生草、猪毛菜等，植被盖度10-60%，草层高度3-30cm。</w:t>
      </w:r>
    </w:p>
    <w:p w14:paraId="7A82C16C">
      <w:pPr>
        <w:pStyle w:val="2"/>
        <w:keepNext w:val="0"/>
        <w:keepLines w:val="0"/>
        <w:pageBreakBefore w:val="0"/>
        <w:kinsoku/>
        <w:wordWrap/>
        <w:overflowPunct/>
        <w:topLinePunct w:val="0"/>
        <w:bidi w:val="0"/>
        <w:jc w:val="center"/>
        <w:rPr>
          <w:rFonts w:hint="eastAsia" w:ascii="Times New Roman" w:hAnsi="Times New Roman" w:cs="Times New Roman"/>
          <w:b/>
          <w:snapToGrid w:val="0"/>
          <w:color w:val="000000"/>
          <w:kern w:val="0"/>
          <w:sz w:val="24"/>
          <w:szCs w:val="24"/>
          <w:lang w:val="en-US" w:eastAsia="zh-CN" w:bidi="ar-SA"/>
        </w:rPr>
      </w:pPr>
    </w:p>
    <w:p w14:paraId="2FDD59BA">
      <w:pPr>
        <w:rPr>
          <w:rFonts w:hint="eastAsia" w:ascii="Times New Roman" w:hAnsi="Times New Roman" w:cs="Times New Roman"/>
          <w:b/>
          <w:snapToGrid w:val="0"/>
          <w:color w:val="000000"/>
          <w:kern w:val="0"/>
          <w:sz w:val="24"/>
          <w:szCs w:val="24"/>
          <w:lang w:val="en-US" w:eastAsia="zh-CN" w:bidi="ar-SA"/>
        </w:rPr>
      </w:pPr>
      <w:r>
        <w:rPr>
          <w:rFonts w:hint="eastAsia" w:ascii="Times New Roman" w:hAnsi="Times New Roman" w:cs="Times New Roman"/>
          <w:b/>
          <w:snapToGrid w:val="0"/>
          <w:color w:val="000000"/>
          <w:kern w:val="0"/>
          <w:sz w:val="24"/>
          <w:szCs w:val="24"/>
          <w:lang w:val="en-US" w:eastAsia="zh-CN" w:bidi="ar-SA"/>
        </w:rPr>
        <w:br w:type="page"/>
      </w:r>
    </w:p>
    <w:p w14:paraId="486E263F">
      <w:pPr>
        <w:pStyle w:val="2"/>
        <w:keepNext w:val="0"/>
        <w:keepLines w:val="0"/>
        <w:pageBreakBefore w:val="0"/>
        <w:kinsoku/>
        <w:wordWrap/>
        <w:overflowPunct/>
        <w:topLinePunct w:val="0"/>
        <w:bidi w:val="0"/>
        <w:jc w:val="center"/>
        <w:rPr>
          <w:rFonts w:ascii="Times New Roman" w:hAnsi="Times New Roman" w:eastAsia="宋体" w:cs="Times New Roman"/>
          <w:b/>
          <w:snapToGrid w:val="0"/>
          <w:color w:val="000000"/>
          <w:kern w:val="0"/>
          <w:sz w:val="24"/>
          <w:szCs w:val="24"/>
          <w:lang w:val="en-US" w:eastAsia="en-US" w:bidi="ar-SA"/>
        </w:rPr>
      </w:pPr>
      <w:r>
        <w:rPr>
          <w:rFonts w:hint="eastAsia" w:ascii="Times New Roman" w:hAnsi="Times New Roman" w:cs="Times New Roman"/>
          <w:b/>
          <w:snapToGrid w:val="0"/>
          <w:color w:val="000000"/>
          <w:kern w:val="0"/>
          <w:sz w:val="24"/>
          <w:szCs w:val="24"/>
          <w:lang w:val="en-US" w:eastAsia="zh-CN" w:bidi="ar-SA"/>
        </w:rPr>
        <w:t>表3.2.2</w:t>
      </w:r>
      <w:r>
        <w:rPr>
          <w:rFonts w:hint="default" w:ascii="Times New Roman" w:hAnsi="Times New Roman" w:eastAsia="宋体" w:cs="Times New Roman"/>
          <w:b/>
          <w:snapToGrid w:val="0"/>
          <w:color w:val="000000"/>
          <w:kern w:val="0"/>
          <w:sz w:val="24"/>
          <w:szCs w:val="24"/>
          <w:lang w:val="en-US" w:eastAsia="zh-CN" w:bidi="ar-SA"/>
        </w:rPr>
        <w:t>虫害防治区实施地点坐标</w:t>
      </w:r>
    </w:p>
    <w:tbl>
      <w:tblPr>
        <w:tblStyle w:val="12"/>
        <w:tblpPr w:leftFromText="180" w:rightFromText="180" w:vertAnchor="text" w:horzAnchor="page" w:tblpX="1885" w:tblpY="296"/>
        <w:tblOverlap w:val="never"/>
        <w:tblW w:w="857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3"/>
        <w:gridCol w:w="1035"/>
        <w:gridCol w:w="900"/>
        <w:gridCol w:w="855"/>
        <w:gridCol w:w="1005"/>
        <w:gridCol w:w="1155"/>
        <w:gridCol w:w="1575"/>
        <w:gridCol w:w="1500"/>
      </w:tblGrid>
      <w:tr w14:paraId="56C05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6321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县市</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E42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乡镇名称</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5134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发生区名称</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B090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草地类型</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AB32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害虫种类</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B361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防治面积（万亩）</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E47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防治区经度（°）</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6DE7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防治区纬度（°）</w:t>
            </w:r>
          </w:p>
        </w:tc>
      </w:tr>
      <w:tr w14:paraId="0F8F6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7" w:hRule="atLeast"/>
        </w:trPr>
        <w:tc>
          <w:tcPr>
            <w:tcW w:w="5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C7A0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博乐市</w:t>
            </w:r>
          </w:p>
        </w:tc>
        <w:tc>
          <w:tcPr>
            <w:tcW w:w="10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1748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乌图布拉格镇</w:t>
            </w:r>
          </w:p>
        </w:tc>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81A4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赛里木湖</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EDC9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温性草原</w:t>
            </w:r>
          </w:p>
        </w:tc>
        <w:tc>
          <w:tcPr>
            <w:tcW w:w="10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C112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意大利蝗等</w:t>
            </w:r>
          </w:p>
        </w:tc>
        <w:tc>
          <w:tcPr>
            <w:tcW w:w="115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1DA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0201E">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81°20′32.51675″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BAE9">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44°39′39.02417″</w:t>
            </w:r>
          </w:p>
        </w:tc>
      </w:tr>
      <w:tr w14:paraId="226EE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7" w:hRule="atLeast"/>
        </w:trPr>
        <w:tc>
          <w:tcPr>
            <w:tcW w:w="553" w:type="dxa"/>
            <w:vMerge w:val="continue"/>
            <w:tcBorders>
              <w:left w:val="single" w:color="000000" w:sz="4" w:space="0"/>
              <w:right w:val="single" w:color="000000" w:sz="4" w:space="0"/>
            </w:tcBorders>
            <w:shd w:val="clear" w:color="auto" w:fill="auto"/>
            <w:vAlign w:val="center"/>
          </w:tcPr>
          <w:p w14:paraId="080F84D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35" w:type="dxa"/>
            <w:vMerge w:val="continue"/>
            <w:tcBorders>
              <w:left w:val="single" w:color="000000" w:sz="4" w:space="0"/>
              <w:right w:val="single" w:color="000000" w:sz="4" w:space="0"/>
            </w:tcBorders>
            <w:shd w:val="clear" w:color="auto" w:fill="auto"/>
            <w:vAlign w:val="center"/>
          </w:tcPr>
          <w:p w14:paraId="18DDA8B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4BA70EF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787E4AB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0D1CB2D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035FAC3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6981B">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81°21′56.40767″</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EBAB1">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44°39′34.08033″</w:t>
            </w:r>
          </w:p>
        </w:tc>
      </w:tr>
      <w:tr w14:paraId="4EB0F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7" w:hRule="atLeast"/>
        </w:trPr>
        <w:tc>
          <w:tcPr>
            <w:tcW w:w="553" w:type="dxa"/>
            <w:vMerge w:val="continue"/>
            <w:tcBorders>
              <w:left w:val="single" w:color="000000" w:sz="4" w:space="0"/>
              <w:right w:val="single" w:color="000000" w:sz="4" w:space="0"/>
            </w:tcBorders>
            <w:shd w:val="clear" w:color="auto" w:fill="auto"/>
            <w:vAlign w:val="center"/>
          </w:tcPr>
          <w:p w14:paraId="5C0096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35" w:type="dxa"/>
            <w:vMerge w:val="continue"/>
            <w:tcBorders>
              <w:left w:val="single" w:color="000000" w:sz="4" w:space="0"/>
              <w:right w:val="single" w:color="000000" w:sz="4" w:space="0"/>
            </w:tcBorders>
            <w:shd w:val="clear" w:color="auto" w:fill="auto"/>
            <w:vAlign w:val="center"/>
          </w:tcPr>
          <w:p w14:paraId="321080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42097DE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01ED0B6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359BDEF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4E26E24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FD42B">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81°23′22.30702″</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6AB2E">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44°39′29.13648″</w:t>
            </w:r>
          </w:p>
        </w:tc>
      </w:tr>
      <w:tr w14:paraId="4BE0B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7" w:hRule="atLeast"/>
        </w:trPr>
        <w:tc>
          <w:tcPr>
            <w:tcW w:w="553" w:type="dxa"/>
            <w:vMerge w:val="continue"/>
            <w:tcBorders>
              <w:left w:val="single" w:color="000000" w:sz="4" w:space="0"/>
              <w:right w:val="single" w:color="000000" w:sz="4" w:space="0"/>
            </w:tcBorders>
            <w:shd w:val="clear" w:color="auto" w:fill="auto"/>
            <w:vAlign w:val="center"/>
          </w:tcPr>
          <w:p w14:paraId="419EF47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35" w:type="dxa"/>
            <w:vMerge w:val="continue"/>
            <w:tcBorders>
              <w:left w:val="single" w:color="000000" w:sz="4" w:space="0"/>
              <w:right w:val="single" w:color="000000" w:sz="4" w:space="0"/>
            </w:tcBorders>
            <w:shd w:val="clear" w:color="auto" w:fill="auto"/>
            <w:vAlign w:val="center"/>
          </w:tcPr>
          <w:p w14:paraId="11C7841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1E5F24F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42E819D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0A6E7D6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4BA1B96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8DC1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81°22′59.90521″</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261E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44°38′36.29910″</w:t>
            </w:r>
          </w:p>
        </w:tc>
      </w:tr>
      <w:tr w14:paraId="61D8C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7" w:hRule="atLeast"/>
        </w:trPr>
        <w:tc>
          <w:tcPr>
            <w:tcW w:w="553" w:type="dxa"/>
            <w:vMerge w:val="continue"/>
            <w:tcBorders>
              <w:left w:val="single" w:color="000000" w:sz="4" w:space="0"/>
              <w:right w:val="single" w:color="000000" w:sz="4" w:space="0"/>
            </w:tcBorders>
            <w:shd w:val="clear" w:color="auto" w:fill="auto"/>
            <w:vAlign w:val="center"/>
          </w:tcPr>
          <w:p w14:paraId="2E9AE75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35" w:type="dxa"/>
            <w:vMerge w:val="continue"/>
            <w:tcBorders>
              <w:left w:val="single" w:color="000000" w:sz="4" w:space="0"/>
              <w:right w:val="single" w:color="000000" w:sz="4" w:space="0"/>
            </w:tcBorders>
            <w:shd w:val="clear" w:color="auto" w:fill="auto"/>
            <w:vAlign w:val="center"/>
          </w:tcPr>
          <w:p w14:paraId="2DEB679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17EA908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44AE6F5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2A3D8EC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68D2472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41384">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81°22′26.53424″</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8C03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44°37′18.43351″</w:t>
            </w:r>
          </w:p>
        </w:tc>
      </w:tr>
      <w:tr w14:paraId="355EE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328EE">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3EB41">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063B9A">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43A1CD">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7B29F0">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D979B">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808FD">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81°21′4.96075″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D5868">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44°37′46.08815″</w:t>
            </w:r>
          </w:p>
        </w:tc>
      </w:tr>
      <w:tr w14:paraId="53B74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D09E4B">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B99991">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0EA4B9">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555ADB">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9A81D">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682AC">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2AF43">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81°19′42.30580″</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AA302">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44°38′14.05179″</w:t>
            </w:r>
          </w:p>
        </w:tc>
      </w:tr>
      <w:tr w14:paraId="28156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D31239">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932558">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9C9AF3">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50D77E">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F7D941">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D2978">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AE3A6">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81°20′9.80595″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C1E16">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44°39′0.86385″</w:t>
            </w:r>
          </w:p>
        </w:tc>
      </w:tr>
      <w:tr w14:paraId="19AAD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A58B40">
            <w:pPr>
              <w:jc w:val="center"/>
              <w:rPr>
                <w:rFonts w:hint="eastAsia" w:ascii="宋体" w:hAnsi="宋体" w:eastAsia="宋体" w:cs="宋体"/>
                <w:i w:val="0"/>
                <w:iCs w:val="0"/>
                <w:color w:val="000000"/>
                <w:sz w:val="22"/>
                <w:szCs w:val="22"/>
                <w:u w:val="none"/>
              </w:rPr>
            </w:pPr>
          </w:p>
        </w:tc>
        <w:tc>
          <w:tcPr>
            <w:tcW w:w="1035" w:type="dxa"/>
            <w:vMerge w:val="restart"/>
            <w:tcBorders>
              <w:top w:val="single" w:color="000000" w:sz="4" w:space="0"/>
              <w:left w:val="single" w:color="000000" w:sz="4" w:space="0"/>
              <w:right w:val="single" w:color="000000" w:sz="4" w:space="0"/>
            </w:tcBorders>
            <w:shd w:val="clear" w:color="auto" w:fill="auto"/>
            <w:vAlign w:val="center"/>
          </w:tcPr>
          <w:p w14:paraId="564059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乌图布拉格镇</w:t>
            </w:r>
          </w:p>
        </w:tc>
        <w:tc>
          <w:tcPr>
            <w:tcW w:w="900" w:type="dxa"/>
            <w:vMerge w:val="restart"/>
            <w:tcBorders>
              <w:top w:val="single" w:color="000000" w:sz="4" w:space="0"/>
              <w:left w:val="single" w:color="000000" w:sz="4" w:space="0"/>
              <w:right w:val="single" w:color="000000" w:sz="4" w:space="0"/>
            </w:tcBorders>
            <w:shd w:val="clear" w:color="auto" w:fill="auto"/>
            <w:vAlign w:val="center"/>
          </w:tcPr>
          <w:p w14:paraId="167D33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卡尔噶西</w:t>
            </w:r>
          </w:p>
        </w:tc>
        <w:tc>
          <w:tcPr>
            <w:tcW w:w="855" w:type="dxa"/>
            <w:vMerge w:val="restart"/>
            <w:tcBorders>
              <w:top w:val="single" w:color="000000" w:sz="4" w:space="0"/>
              <w:left w:val="single" w:color="000000" w:sz="4" w:space="0"/>
              <w:right w:val="single" w:color="000000" w:sz="4" w:space="0"/>
            </w:tcBorders>
            <w:shd w:val="clear" w:color="auto" w:fill="auto"/>
            <w:vAlign w:val="center"/>
          </w:tcPr>
          <w:p w14:paraId="0A12A6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温性荒漠</w:t>
            </w:r>
          </w:p>
        </w:tc>
        <w:tc>
          <w:tcPr>
            <w:tcW w:w="1005" w:type="dxa"/>
            <w:vMerge w:val="restart"/>
            <w:tcBorders>
              <w:top w:val="single" w:color="000000" w:sz="4" w:space="0"/>
              <w:left w:val="single" w:color="000000" w:sz="4" w:space="0"/>
              <w:right w:val="single" w:color="000000" w:sz="4" w:space="0"/>
            </w:tcBorders>
            <w:shd w:val="clear" w:color="auto" w:fill="auto"/>
            <w:vAlign w:val="center"/>
          </w:tcPr>
          <w:p w14:paraId="426C42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意大利蝗、朱腿痂蝗</w:t>
            </w:r>
          </w:p>
        </w:tc>
        <w:tc>
          <w:tcPr>
            <w:tcW w:w="1155" w:type="dxa"/>
            <w:vMerge w:val="restart"/>
            <w:tcBorders>
              <w:top w:val="single" w:color="000000" w:sz="4" w:space="0"/>
              <w:left w:val="single" w:color="000000" w:sz="4" w:space="0"/>
              <w:right w:val="single" w:color="000000" w:sz="4" w:space="0"/>
            </w:tcBorders>
            <w:shd w:val="clear" w:color="auto" w:fill="auto"/>
            <w:noWrap/>
            <w:vAlign w:val="center"/>
          </w:tcPr>
          <w:p w14:paraId="0DF9A1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49F74">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82°12′1.97860″</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EA756">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45°6′12.10668″</w:t>
            </w:r>
          </w:p>
        </w:tc>
      </w:tr>
      <w:tr w14:paraId="21D95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D0D0B8">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2833A4A6">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20C296FA">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08BB92DF">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61E0B6DE">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6EC09747">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08771">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82°12′15.49693″</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468B4">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45°6′12.72466″</w:t>
            </w:r>
          </w:p>
        </w:tc>
      </w:tr>
      <w:tr w14:paraId="57978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6B7196">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57F3A22E">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27AE445F">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1BF72236">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6FE51CA4">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27991403">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BE5D3">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82°12′6.92245″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283B2">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45°5′4.36052″</w:t>
            </w:r>
          </w:p>
        </w:tc>
      </w:tr>
      <w:tr w14:paraId="63CF7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B42DE6">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0FE062B1">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7CAAE370">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4D04A454">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0D594177">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48F229BB">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47375">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82°11′57.65273″</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719CA">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45°3′51.43877″</w:t>
            </w:r>
          </w:p>
        </w:tc>
      </w:tr>
      <w:tr w14:paraId="574EA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9E7F07">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6607EF87">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78E6198F">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71E696B2">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1BEEE2B6">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6421C5C5">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363C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82°11′43.43917″</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AE6B4">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45°1′59.27523″</w:t>
            </w:r>
          </w:p>
        </w:tc>
      </w:tr>
      <w:tr w14:paraId="62F75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66EC88">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5DCA42BB">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4631F916">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139DBAA5">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7F7ABA82">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52345978">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5840F">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82°10′26.50054″</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6A751">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45°2′32.18271″</w:t>
            </w:r>
          </w:p>
        </w:tc>
      </w:tr>
      <w:tr w14:paraId="52352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D7539">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3330DD4A">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right w:val="single" w:color="000000" w:sz="4" w:space="0"/>
            </w:tcBorders>
            <w:shd w:val="clear" w:color="auto" w:fill="auto"/>
            <w:vAlign w:val="center"/>
          </w:tcPr>
          <w:p w14:paraId="7A1EF04A">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right w:val="single" w:color="000000" w:sz="4" w:space="0"/>
            </w:tcBorders>
            <w:shd w:val="clear" w:color="auto" w:fill="auto"/>
            <w:vAlign w:val="center"/>
          </w:tcPr>
          <w:p w14:paraId="35D17C50">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right w:val="single" w:color="000000" w:sz="4" w:space="0"/>
            </w:tcBorders>
            <w:shd w:val="clear" w:color="auto" w:fill="auto"/>
            <w:vAlign w:val="center"/>
          </w:tcPr>
          <w:p w14:paraId="6B761A51">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right w:val="single" w:color="000000" w:sz="4" w:space="0"/>
            </w:tcBorders>
            <w:shd w:val="clear" w:color="auto" w:fill="auto"/>
            <w:noWrap/>
            <w:vAlign w:val="center"/>
          </w:tcPr>
          <w:p w14:paraId="02FE1FD8">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985FB">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82°9′23.00300″</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AEAB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45°2′59.06488″</w:t>
            </w:r>
          </w:p>
        </w:tc>
      </w:tr>
      <w:tr w14:paraId="37C72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F3147">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bottom w:val="single" w:color="000000" w:sz="4" w:space="0"/>
              <w:right w:val="single" w:color="000000" w:sz="4" w:space="0"/>
            </w:tcBorders>
            <w:shd w:val="clear" w:color="auto" w:fill="auto"/>
            <w:vAlign w:val="center"/>
          </w:tcPr>
          <w:p w14:paraId="49C2B2A9">
            <w:pPr>
              <w:jc w:val="center"/>
              <w:rPr>
                <w:rFonts w:hint="eastAsia" w:ascii="宋体" w:hAnsi="宋体" w:eastAsia="宋体" w:cs="宋体"/>
                <w:i w:val="0"/>
                <w:iCs w:val="0"/>
                <w:color w:val="000000"/>
                <w:sz w:val="22"/>
                <w:szCs w:val="22"/>
                <w:u w:val="none"/>
              </w:rPr>
            </w:pPr>
          </w:p>
        </w:tc>
        <w:tc>
          <w:tcPr>
            <w:tcW w:w="900" w:type="dxa"/>
            <w:vMerge w:val="continue"/>
            <w:tcBorders>
              <w:left w:val="single" w:color="000000" w:sz="4" w:space="0"/>
              <w:bottom w:val="single" w:color="000000" w:sz="4" w:space="0"/>
              <w:right w:val="single" w:color="000000" w:sz="4" w:space="0"/>
            </w:tcBorders>
            <w:shd w:val="clear" w:color="auto" w:fill="auto"/>
            <w:vAlign w:val="center"/>
          </w:tcPr>
          <w:p w14:paraId="35C96D98">
            <w:pPr>
              <w:jc w:val="center"/>
              <w:rPr>
                <w:rFonts w:hint="eastAsia" w:ascii="宋体" w:hAnsi="宋体" w:eastAsia="宋体" w:cs="宋体"/>
                <w:i w:val="0"/>
                <w:iCs w:val="0"/>
                <w:color w:val="000000"/>
                <w:sz w:val="22"/>
                <w:szCs w:val="22"/>
                <w:u w:val="none"/>
              </w:rPr>
            </w:pPr>
          </w:p>
        </w:tc>
        <w:tc>
          <w:tcPr>
            <w:tcW w:w="855" w:type="dxa"/>
            <w:vMerge w:val="continue"/>
            <w:tcBorders>
              <w:left w:val="single" w:color="000000" w:sz="4" w:space="0"/>
              <w:bottom w:val="single" w:color="000000" w:sz="4" w:space="0"/>
              <w:right w:val="single" w:color="000000" w:sz="4" w:space="0"/>
            </w:tcBorders>
            <w:shd w:val="clear" w:color="auto" w:fill="auto"/>
            <w:vAlign w:val="center"/>
          </w:tcPr>
          <w:p w14:paraId="7EFF0946">
            <w:pPr>
              <w:jc w:val="center"/>
              <w:rPr>
                <w:rFonts w:hint="eastAsia" w:ascii="宋体" w:hAnsi="宋体" w:eastAsia="宋体" w:cs="宋体"/>
                <w:i w:val="0"/>
                <w:iCs w:val="0"/>
                <w:color w:val="000000"/>
                <w:sz w:val="22"/>
                <w:szCs w:val="22"/>
                <w:u w:val="none"/>
              </w:rPr>
            </w:pPr>
          </w:p>
        </w:tc>
        <w:tc>
          <w:tcPr>
            <w:tcW w:w="1005" w:type="dxa"/>
            <w:vMerge w:val="continue"/>
            <w:tcBorders>
              <w:left w:val="single" w:color="000000" w:sz="4" w:space="0"/>
              <w:bottom w:val="single" w:color="000000" w:sz="4" w:space="0"/>
              <w:right w:val="single" w:color="000000" w:sz="4" w:space="0"/>
            </w:tcBorders>
            <w:shd w:val="clear" w:color="auto" w:fill="auto"/>
            <w:vAlign w:val="center"/>
          </w:tcPr>
          <w:p w14:paraId="49ABCC9B">
            <w:pPr>
              <w:jc w:val="center"/>
              <w:rPr>
                <w:rFonts w:hint="eastAsia" w:ascii="宋体" w:hAnsi="宋体" w:eastAsia="宋体" w:cs="宋体"/>
                <w:i w:val="0"/>
                <w:iCs w:val="0"/>
                <w:color w:val="000000"/>
                <w:sz w:val="22"/>
                <w:szCs w:val="22"/>
                <w:u w:val="none"/>
              </w:rPr>
            </w:pPr>
          </w:p>
        </w:tc>
        <w:tc>
          <w:tcPr>
            <w:tcW w:w="1155" w:type="dxa"/>
            <w:vMerge w:val="continue"/>
            <w:tcBorders>
              <w:left w:val="single" w:color="000000" w:sz="4" w:space="0"/>
              <w:bottom w:val="single" w:color="000000" w:sz="4" w:space="0"/>
              <w:right w:val="single" w:color="000000" w:sz="4" w:space="0"/>
            </w:tcBorders>
            <w:shd w:val="clear" w:color="auto" w:fill="auto"/>
            <w:noWrap/>
            <w:vAlign w:val="center"/>
          </w:tcPr>
          <w:p w14:paraId="51F53CB4">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FB171">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82°10′48.90235″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CE8B3">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45°4′43.19467″</w:t>
            </w:r>
          </w:p>
        </w:tc>
      </w:tr>
      <w:tr w14:paraId="4E13F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E8CCF0">
            <w:pPr>
              <w:jc w:val="center"/>
              <w:rPr>
                <w:rFonts w:hint="eastAsia" w:ascii="宋体" w:hAnsi="宋体" w:eastAsia="宋体" w:cs="宋体"/>
                <w:i w:val="0"/>
                <w:iCs w:val="0"/>
                <w:color w:val="000000"/>
                <w:sz w:val="22"/>
                <w:szCs w:val="22"/>
                <w:u w:val="none"/>
              </w:rPr>
            </w:pPr>
          </w:p>
        </w:tc>
        <w:tc>
          <w:tcPr>
            <w:tcW w:w="10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02E4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青得里镇</w:t>
            </w:r>
          </w:p>
        </w:tc>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C3F4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亚麻滩</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60AD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温性荒漠</w:t>
            </w:r>
          </w:p>
        </w:tc>
        <w:tc>
          <w:tcPr>
            <w:tcW w:w="10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F2A4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意大利蝗、红颈戟纹蝗</w:t>
            </w:r>
          </w:p>
        </w:tc>
        <w:tc>
          <w:tcPr>
            <w:tcW w:w="115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EF5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EAC5F">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82°6′46.94559″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E8158">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45°6′10.82008″</w:t>
            </w:r>
          </w:p>
        </w:tc>
      </w:tr>
      <w:tr w14:paraId="30C86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7F9D59">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48A50FC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0AC36A9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73777B3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00BF77C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728A5FB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ABD68">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82°9′26.23019″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1BDF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45°6′11.74705″</w:t>
            </w:r>
          </w:p>
        </w:tc>
      </w:tr>
      <w:tr w14:paraId="07FFA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BFA4B">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6076B0B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2F270CA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0D0F8B1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4067D7F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265E18D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F1E48">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82°11′53.00066″</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47B66">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45°6′13.13751″</w:t>
            </w:r>
          </w:p>
        </w:tc>
      </w:tr>
      <w:tr w14:paraId="613CA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95E59">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23F57FC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4007B42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77C6AF7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44CA307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4A16FF0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AC4B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82°10′44.86826″</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29E12">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45°4′48.78310″</w:t>
            </w:r>
          </w:p>
        </w:tc>
      </w:tr>
      <w:tr w14:paraId="35571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711AD">
            <w:pPr>
              <w:jc w:val="center"/>
              <w:rPr>
                <w:rFonts w:hint="eastAsia" w:ascii="宋体" w:hAnsi="宋体" w:eastAsia="宋体" w:cs="宋体"/>
                <w:i w:val="0"/>
                <w:iCs w:val="0"/>
                <w:color w:val="000000"/>
                <w:sz w:val="22"/>
                <w:szCs w:val="22"/>
                <w:u w:val="none"/>
              </w:rPr>
            </w:pPr>
          </w:p>
        </w:tc>
        <w:tc>
          <w:tcPr>
            <w:tcW w:w="1035" w:type="dxa"/>
            <w:vMerge w:val="continue"/>
            <w:tcBorders>
              <w:left w:val="single" w:color="000000" w:sz="4" w:space="0"/>
              <w:right w:val="single" w:color="000000" w:sz="4" w:space="0"/>
            </w:tcBorders>
            <w:shd w:val="clear" w:color="auto" w:fill="auto"/>
            <w:vAlign w:val="center"/>
          </w:tcPr>
          <w:p w14:paraId="25C6E9E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900" w:type="dxa"/>
            <w:vMerge w:val="continue"/>
            <w:tcBorders>
              <w:left w:val="single" w:color="000000" w:sz="4" w:space="0"/>
              <w:right w:val="single" w:color="000000" w:sz="4" w:space="0"/>
            </w:tcBorders>
            <w:shd w:val="clear" w:color="auto" w:fill="auto"/>
            <w:vAlign w:val="center"/>
          </w:tcPr>
          <w:p w14:paraId="4FE39F5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55" w:type="dxa"/>
            <w:vMerge w:val="continue"/>
            <w:tcBorders>
              <w:left w:val="single" w:color="000000" w:sz="4" w:space="0"/>
              <w:right w:val="single" w:color="000000" w:sz="4" w:space="0"/>
            </w:tcBorders>
            <w:shd w:val="clear" w:color="auto" w:fill="auto"/>
            <w:vAlign w:val="center"/>
          </w:tcPr>
          <w:p w14:paraId="65D4716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005" w:type="dxa"/>
            <w:vMerge w:val="continue"/>
            <w:tcBorders>
              <w:left w:val="single" w:color="000000" w:sz="4" w:space="0"/>
              <w:right w:val="single" w:color="000000" w:sz="4" w:space="0"/>
            </w:tcBorders>
            <w:shd w:val="clear" w:color="auto" w:fill="auto"/>
            <w:vAlign w:val="center"/>
          </w:tcPr>
          <w:p w14:paraId="7CE8E1E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155" w:type="dxa"/>
            <w:vMerge w:val="continue"/>
            <w:tcBorders>
              <w:left w:val="single" w:color="000000" w:sz="4" w:space="0"/>
              <w:right w:val="single" w:color="000000" w:sz="4" w:space="0"/>
            </w:tcBorders>
            <w:shd w:val="clear" w:color="auto" w:fill="auto"/>
            <w:noWrap/>
            <w:vAlign w:val="center"/>
          </w:tcPr>
          <w:p w14:paraId="75AA5BE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9063F">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82°9′33.49146″</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5496B">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45°3′22.11128″</w:t>
            </w:r>
          </w:p>
        </w:tc>
      </w:tr>
      <w:tr w14:paraId="13755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2B213">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2BBCD3">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A9105">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5F4809">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130A59">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C906E">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63F72">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82°8′37.56419″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00217">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45°4′5.21545″</w:t>
            </w:r>
          </w:p>
        </w:tc>
      </w:tr>
      <w:tr w14:paraId="56140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0F3841">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EB8F2">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EDF891">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A6B1C4">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B39D5E">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2F97B">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EFFF7">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82°8′18.09779″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DA435">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45°4′45.84770″</w:t>
            </w:r>
          </w:p>
        </w:tc>
      </w:tr>
      <w:tr w14:paraId="082C5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B788C2">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97E490">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C8C82">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E687CE">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021FB9">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FC328">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70307">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82°6′45.32340″</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429AC">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45°4′53.34072″</w:t>
            </w:r>
          </w:p>
        </w:tc>
      </w:tr>
      <w:tr w14:paraId="0A395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9317A">
            <w:pPr>
              <w:jc w:val="center"/>
              <w:rPr>
                <w:rFonts w:hint="eastAsia" w:ascii="宋体" w:hAnsi="宋体" w:eastAsia="宋体" w:cs="宋体"/>
                <w:i w:val="0"/>
                <w:iCs w:val="0"/>
                <w:color w:val="000000"/>
                <w:sz w:val="22"/>
                <w:szCs w:val="22"/>
                <w:u w:val="none"/>
              </w:rPr>
            </w:pPr>
          </w:p>
        </w:tc>
        <w:tc>
          <w:tcPr>
            <w:tcW w:w="10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130F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小营盘镇</w:t>
            </w:r>
          </w:p>
        </w:tc>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0DAA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青稞稞</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532F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温性荒漠草原、温性草原</w:t>
            </w:r>
          </w:p>
        </w:tc>
        <w:tc>
          <w:tcPr>
            <w:tcW w:w="10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06CE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意大利蝗</w:t>
            </w:r>
          </w:p>
        </w:tc>
        <w:tc>
          <w:tcPr>
            <w:tcW w:w="115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6D0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28B74">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81°43′7.59235″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8024A">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45°9′34.55465″</w:t>
            </w:r>
          </w:p>
        </w:tc>
      </w:tr>
      <w:tr w14:paraId="296A9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70771">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7F93C3">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005CD">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6D4819">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E5EF3D">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4F2C7">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D0B9A">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81°44′18.96915″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BA2B1">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45°9′24.97594″</w:t>
            </w:r>
          </w:p>
        </w:tc>
      </w:tr>
      <w:tr w14:paraId="04AEC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E40A69">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B540B">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8B21FE">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079094">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0CAAF1">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645E4">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E999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81°45′27.87403″</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45302">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45°9′16.32421″</w:t>
            </w:r>
          </w:p>
        </w:tc>
      </w:tr>
      <w:tr w14:paraId="23224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05850">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7107E">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63F7A2">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2CB526">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FE649A">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A3E8B">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8B51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81°45′29.41898″</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B9014">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45°8′25.64977″</w:t>
            </w:r>
          </w:p>
        </w:tc>
      </w:tr>
      <w:tr w14:paraId="7E510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B15231">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40B60B">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5EB9F">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F1D69">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E31D2E">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8D354">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F5593">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81°45′29.72797″</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2D96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45°7′21.99773″</w:t>
            </w:r>
          </w:p>
        </w:tc>
      </w:tr>
      <w:tr w14:paraId="52704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78D433">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16B1EE">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B7DD97">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982E0">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C35A3">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B0321">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4BBCF">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81°43′56.41285″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F969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45°7′26.32360″</w:t>
            </w:r>
          </w:p>
        </w:tc>
      </w:tr>
      <w:tr w14:paraId="66541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5299B2">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9F589">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D301B7">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CA980A">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C029A4">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19787">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96B30">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81°42′22.17075″</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250C1">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45°7′30.34048″</w:t>
            </w:r>
          </w:p>
        </w:tc>
      </w:tr>
      <w:tr w14:paraId="072DC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4F45F">
            <w:pPr>
              <w:jc w:val="center"/>
              <w:rPr>
                <w:rFonts w:hint="eastAsia" w:ascii="宋体" w:hAnsi="宋体" w:eastAsia="宋体" w:cs="宋体"/>
                <w:i w:val="0"/>
                <w:iCs w:val="0"/>
                <w:color w:val="000000"/>
                <w:sz w:val="22"/>
                <w:szCs w:val="22"/>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FB77D">
            <w:pPr>
              <w:jc w:val="center"/>
              <w:rPr>
                <w:rFonts w:hint="eastAsia" w:ascii="宋体" w:hAnsi="宋体" w:eastAsia="宋体" w:cs="宋体"/>
                <w:i w:val="0"/>
                <w:iCs w:val="0"/>
                <w:color w:val="000000"/>
                <w:sz w:val="22"/>
                <w:szCs w:val="22"/>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966624">
            <w:pPr>
              <w:jc w:val="center"/>
              <w:rPr>
                <w:rFonts w:hint="eastAsia" w:ascii="宋体" w:hAnsi="宋体" w:eastAsia="宋体" w:cs="宋体"/>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B9B3D8">
            <w:pPr>
              <w:jc w:val="center"/>
              <w:rPr>
                <w:rFonts w:hint="eastAsia" w:ascii="宋体" w:hAnsi="宋体" w:eastAsia="宋体" w:cs="宋体"/>
                <w:i w:val="0"/>
                <w:iCs w:val="0"/>
                <w:color w:val="000000"/>
                <w:sz w:val="22"/>
                <w:szCs w:val="22"/>
                <w:u w:val="none"/>
              </w:rPr>
            </w:pPr>
          </w:p>
        </w:tc>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17B6B">
            <w:pPr>
              <w:jc w:val="center"/>
              <w:rPr>
                <w:rFonts w:hint="eastAsia" w:ascii="宋体" w:hAnsi="宋体" w:eastAsia="宋体" w:cs="宋体"/>
                <w:i w:val="0"/>
                <w:iCs w:val="0"/>
                <w:color w:val="000000"/>
                <w:sz w:val="22"/>
                <w:szCs w:val="22"/>
                <w:u w:val="none"/>
              </w:rPr>
            </w:pPr>
          </w:p>
        </w:tc>
        <w:tc>
          <w:tcPr>
            <w:tcW w:w="1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8D277">
            <w:pPr>
              <w:jc w:val="center"/>
              <w:rPr>
                <w:rFonts w:hint="eastAsia" w:ascii="宋体" w:hAnsi="宋体" w:eastAsia="宋体" w:cs="宋体"/>
                <w:i w:val="0"/>
                <w:iCs w:val="0"/>
                <w:color w:val="000000"/>
                <w:sz w:val="22"/>
                <w:szCs w:val="22"/>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48BDE">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81°42′47.19898″</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3B09E">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18"/>
                <w:szCs w:val="18"/>
                <w:u w:val="none"/>
                <w:lang w:val="en-US" w:eastAsia="zh-CN" w:bidi="ar"/>
              </w:rPr>
              <w:t>45°8′41.40829″</w:t>
            </w:r>
          </w:p>
        </w:tc>
      </w:tr>
      <w:tr w14:paraId="681B5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87056">
            <w:pPr>
              <w:jc w:val="center"/>
              <w:rPr>
                <w:rFonts w:hint="eastAsia" w:ascii="宋体" w:hAnsi="宋体" w:eastAsia="宋体" w:cs="宋体"/>
                <w:b/>
                <w:bCs/>
                <w:i w:val="0"/>
                <w:iCs w:val="0"/>
                <w:color w:val="000000"/>
                <w:sz w:val="22"/>
                <w:szCs w:val="22"/>
                <w:u w:val="none"/>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B66B1">
            <w:pPr>
              <w:rPr>
                <w:rFonts w:hint="eastAsia" w:ascii="宋体" w:hAnsi="宋体" w:eastAsia="宋体" w:cs="宋体"/>
                <w:b/>
                <w:bCs/>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CFEF1">
            <w:pPr>
              <w:rPr>
                <w:rFonts w:hint="eastAsia" w:ascii="宋体" w:hAnsi="宋体" w:eastAsia="宋体" w:cs="宋体"/>
                <w:b/>
                <w:bCs/>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DBFA1">
            <w:pPr>
              <w:rPr>
                <w:rFonts w:hint="eastAsia" w:ascii="宋体" w:hAnsi="宋体" w:eastAsia="宋体" w:cs="宋体"/>
                <w:b/>
                <w:bCs/>
                <w:i w:val="0"/>
                <w:iCs w:val="0"/>
                <w:color w:val="000000"/>
                <w:sz w:val="22"/>
                <w:szCs w:val="22"/>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2389">
            <w:pPr>
              <w:rPr>
                <w:rFonts w:hint="eastAsia" w:ascii="宋体" w:hAnsi="宋体" w:eastAsia="宋体" w:cs="宋体"/>
                <w:b/>
                <w:bCs/>
                <w:i w:val="0"/>
                <w:iCs w:val="0"/>
                <w:color w:val="000000"/>
                <w:sz w:val="22"/>
                <w:szCs w:val="22"/>
                <w:u w:val="none"/>
              </w:rPr>
            </w:pP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2AD7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9</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BA8FA">
            <w:pPr>
              <w:rPr>
                <w:rFonts w:hint="eastAsia" w:ascii="宋体" w:hAnsi="宋体" w:eastAsia="宋体" w:cs="宋体"/>
                <w:b/>
                <w:bCs/>
                <w:i w:val="0"/>
                <w:iCs w:val="0"/>
                <w:color w:val="000000"/>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9EDF7">
            <w:pPr>
              <w:rPr>
                <w:rFonts w:hint="eastAsia" w:ascii="宋体" w:hAnsi="宋体" w:eastAsia="宋体" w:cs="宋体"/>
                <w:b/>
                <w:bCs/>
                <w:i w:val="0"/>
                <w:iCs w:val="0"/>
                <w:color w:val="000000"/>
                <w:sz w:val="22"/>
                <w:szCs w:val="22"/>
                <w:u w:val="none"/>
              </w:rPr>
            </w:pPr>
          </w:p>
        </w:tc>
      </w:tr>
    </w:tbl>
    <w:p w14:paraId="61499575">
      <w:pPr>
        <w:rPr>
          <w:rFonts w:ascii="宋体" w:hAnsi="宋体" w:eastAsia="宋体" w:cs="宋体"/>
          <w:color w:val="000000" w:themeColor="text1"/>
          <w:spacing w:val="-2"/>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br w:type="page"/>
      </w:r>
    </w:p>
    <w:p w14:paraId="53A70EC9">
      <w:pPr>
        <w:pStyle w:val="2"/>
        <w:jc w:val="both"/>
        <w:rPr>
          <w:rFonts w:hint="eastAsia" w:ascii="宋体" w:hAnsi="宋体" w:eastAsia="宋体" w:cs="宋体"/>
          <w:b/>
          <w:bCs/>
          <w:i w:val="0"/>
          <w:iCs w:val="0"/>
          <w:color w:val="000000"/>
          <w:kern w:val="0"/>
          <w:sz w:val="28"/>
          <w:szCs w:val="28"/>
          <w:u w:val="none"/>
          <w:lang w:val="en-US" w:eastAsia="zh-CN" w:bidi="ar"/>
        </w:rPr>
      </w:pPr>
      <w:r>
        <w:rPr>
          <w:rFonts w:hint="eastAsia" w:ascii="宋体" w:hAnsi="宋体" w:eastAsia="宋体" w:cs="宋体"/>
          <w:b/>
          <w:bCs/>
          <w:i w:val="0"/>
          <w:iCs w:val="0"/>
          <w:color w:val="000000"/>
          <w:kern w:val="0"/>
          <w:sz w:val="28"/>
          <w:szCs w:val="28"/>
          <w:u w:val="none"/>
          <w:lang w:val="en-US" w:eastAsia="zh-CN" w:bidi="ar"/>
        </w:rPr>
        <w:t>表22024年草原虫害发生趋势预测及防治</w:t>
      </w:r>
      <w:r>
        <w:rPr>
          <w:rFonts w:hint="eastAsia" w:ascii="宋体" w:hAnsi="宋体" w:cs="宋体"/>
          <w:b/>
          <w:bCs/>
          <w:i w:val="0"/>
          <w:iCs w:val="0"/>
          <w:color w:val="000000"/>
          <w:kern w:val="0"/>
          <w:sz w:val="28"/>
          <w:szCs w:val="28"/>
          <w:u w:val="none"/>
          <w:lang w:val="en-US" w:eastAsia="zh-CN" w:bidi="ar"/>
        </w:rPr>
        <w:t>统计</w:t>
      </w:r>
      <w:r>
        <w:rPr>
          <w:rFonts w:hint="eastAsia" w:ascii="宋体" w:hAnsi="宋体" w:eastAsia="宋体" w:cs="宋体"/>
          <w:b/>
          <w:bCs/>
          <w:i w:val="0"/>
          <w:iCs w:val="0"/>
          <w:color w:val="000000"/>
          <w:kern w:val="0"/>
          <w:sz w:val="28"/>
          <w:szCs w:val="28"/>
          <w:u w:val="none"/>
          <w:lang w:val="en-US" w:eastAsia="zh-CN" w:bidi="ar"/>
        </w:rPr>
        <w:t>表</w:t>
      </w:r>
    </w:p>
    <w:tbl>
      <w:tblPr>
        <w:tblStyle w:val="12"/>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40"/>
        <w:gridCol w:w="526"/>
        <w:gridCol w:w="2098"/>
        <w:gridCol w:w="1395"/>
        <w:gridCol w:w="907"/>
        <w:gridCol w:w="1048"/>
        <w:gridCol w:w="978"/>
        <w:gridCol w:w="491"/>
        <w:gridCol w:w="562"/>
        <w:gridCol w:w="562"/>
        <w:gridCol w:w="562"/>
      </w:tblGrid>
      <w:tr w14:paraId="28B49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67DB5D">
            <w:pPr>
              <w:keepNext w:val="0"/>
              <w:keepLines w:val="0"/>
              <w:widowControl/>
              <w:suppressLineNumbers w:val="0"/>
              <w:jc w:val="center"/>
              <w:textAlignment w:val="center"/>
              <w:rPr>
                <w:rFonts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地州市</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2D9F9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县市区</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8B824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乡镇名称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ABF5B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村名称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956E5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监测面积（万亩）</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3576A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危害区名称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C6E9D4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危害种类</w:t>
            </w:r>
          </w:p>
        </w:tc>
        <w:tc>
          <w:tcPr>
            <w:tcW w:w="0" w:type="auto"/>
            <w:gridSpan w:val="4"/>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B50546">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危害面积（万亩）</w:t>
            </w:r>
          </w:p>
        </w:tc>
      </w:tr>
      <w:tr w14:paraId="7FF15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9DA7C4">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16EEE0">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F17347">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18190C">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CC9FD9">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BBD39F">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FB7AE4">
            <w:pPr>
              <w:jc w:val="center"/>
              <w:rPr>
                <w:rFonts w:hint="eastAsia" w:ascii="黑体" w:hAnsi="宋体" w:eastAsia="黑体" w:cs="黑体"/>
                <w:i w:val="0"/>
                <w:iCs w:val="0"/>
                <w:color w:val="000000"/>
                <w:sz w:val="24"/>
                <w:szCs w:val="24"/>
                <w:u w:val="none"/>
              </w:rPr>
            </w:pPr>
          </w:p>
        </w:tc>
        <w:tc>
          <w:tcPr>
            <w:tcW w:w="0" w:type="auto"/>
            <w:gridSpan w:val="4"/>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B9B692">
            <w:pPr>
              <w:jc w:val="center"/>
              <w:rPr>
                <w:rFonts w:hint="eastAsia" w:ascii="黑体" w:hAnsi="宋体" w:eastAsia="黑体" w:cs="黑体"/>
                <w:i w:val="0"/>
                <w:iCs w:val="0"/>
                <w:color w:val="000000"/>
                <w:sz w:val="24"/>
                <w:szCs w:val="24"/>
                <w:u w:val="none"/>
              </w:rPr>
            </w:pPr>
          </w:p>
        </w:tc>
      </w:tr>
      <w:tr w14:paraId="29D07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AF4E41">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340DE3">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4776FC">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58BDFA">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44EAE0">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5B8675">
            <w:pPr>
              <w:jc w:val="center"/>
              <w:rPr>
                <w:rFonts w:hint="eastAsia" w:ascii="黑体" w:hAnsi="宋体" w:eastAsia="黑体" w:cs="黑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73A97C">
            <w:pPr>
              <w:jc w:val="center"/>
              <w:rPr>
                <w:rFonts w:hint="eastAsia" w:ascii="黑体" w:hAnsi="宋体" w:eastAsia="黑体" w:cs="黑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9AC4B57">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EF6AC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轻度危害</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0546D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中度危害</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914E4A">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严重危害</w:t>
            </w:r>
          </w:p>
        </w:tc>
      </w:tr>
      <w:tr w14:paraId="169C7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vMerge w:val="restart"/>
            <w:tcBorders>
              <w:top w:val="single" w:color="FF0000" w:sz="4" w:space="0"/>
              <w:left w:val="single" w:color="000000" w:sz="4" w:space="0"/>
              <w:bottom w:val="single" w:color="FF0000" w:sz="4" w:space="0"/>
              <w:right w:val="single" w:color="000000" w:sz="4" w:space="0"/>
            </w:tcBorders>
            <w:shd w:val="clear" w:color="auto" w:fill="auto"/>
            <w:vAlign w:val="center"/>
          </w:tcPr>
          <w:p w14:paraId="66B3439C">
            <w:pPr>
              <w:keepNext w:val="0"/>
              <w:keepLines w:val="0"/>
              <w:widowControl/>
              <w:suppressLineNumbers w:val="0"/>
              <w:jc w:val="center"/>
              <w:textAlignment w:val="center"/>
              <w:rPr>
                <w:rFonts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color w:val="000000"/>
                <w:kern w:val="0"/>
                <w:sz w:val="24"/>
                <w:szCs w:val="24"/>
                <w:u w:val="none"/>
                <w:lang w:val="en-US" w:eastAsia="zh-CN" w:bidi="ar"/>
              </w:rPr>
              <w:t>博尔塔拉蒙古自治州</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FCE67B2">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49DF0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达勒特镇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8ADB02">
            <w:pPr>
              <w:keepNext w:val="0"/>
              <w:keepLines w:val="0"/>
              <w:widowControl/>
              <w:suppressLineNumbers w:val="0"/>
              <w:jc w:val="center"/>
              <w:textAlignment w:val="center"/>
              <w:rPr>
                <w:rFonts w:hint="default" w:ascii="仿宋_GB2312" w:hAnsi="宋体" w:eastAsia="仿宋_GB2312" w:cs="仿宋_GB2312"/>
                <w:i w:val="0"/>
                <w:iCs w:val="0"/>
                <w:color w:val="000000"/>
                <w:sz w:val="18"/>
                <w:szCs w:val="18"/>
                <w:u w:val="none"/>
              </w:rPr>
            </w:pPr>
            <w:r>
              <w:rPr>
                <w:rFonts w:hint="default" w:ascii="仿宋_GB2312" w:hAnsi="宋体" w:eastAsia="仿宋_GB2312" w:cs="仿宋_GB2312"/>
                <w:i w:val="0"/>
                <w:iCs w:val="0"/>
                <w:color w:val="000000"/>
                <w:kern w:val="0"/>
                <w:sz w:val="18"/>
                <w:szCs w:val="18"/>
                <w:u w:val="none"/>
                <w:lang w:val="en-US" w:eastAsia="zh-CN" w:bidi="ar"/>
              </w:rPr>
              <w:t>达勒特牧村、俄罗森布拉格村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35A1FE">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515D0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阔依塔斯</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DDD25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黑腿星翅蝗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3BC04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05B24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F819A4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5FC42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r>
      <w:tr w14:paraId="72025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52556943">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AC27D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27D6D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乌图布拉格镇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D3706F">
            <w:pPr>
              <w:keepNext w:val="0"/>
              <w:keepLines w:val="0"/>
              <w:widowControl/>
              <w:suppressLineNumbers w:val="0"/>
              <w:jc w:val="center"/>
              <w:textAlignment w:val="center"/>
              <w:rPr>
                <w:rFonts w:hint="default" w:ascii="仿宋_GB2312" w:hAnsi="宋体" w:eastAsia="仿宋_GB2312" w:cs="仿宋_GB2312"/>
                <w:i w:val="0"/>
                <w:iCs w:val="0"/>
                <w:color w:val="000000"/>
                <w:sz w:val="18"/>
                <w:szCs w:val="18"/>
                <w:u w:val="none"/>
              </w:rPr>
            </w:pPr>
            <w:r>
              <w:rPr>
                <w:rFonts w:hint="default" w:ascii="仿宋_GB2312" w:hAnsi="宋体" w:eastAsia="仿宋_GB2312" w:cs="仿宋_GB2312"/>
                <w:i w:val="0"/>
                <w:iCs w:val="0"/>
                <w:color w:val="000000"/>
                <w:kern w:val="0"/>
                <w:sz w:val="18"/>
                <w:szCs w:val="18"/>
                <w:u w:val="none"/>
                <w:lang w:val="en-US" w:eastAsia="zh-CN" w:bidi="ar"/>
              </w:rPr>
              <w:t>恰尔根浩特呼尔村、俄罗森布拉格村、达勒特牧村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377F05">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CC276B">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卡尔噶西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3519D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意大利蝗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EAE00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4F743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A63BB7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286BF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r>
      <w:tr w14:paraId="358A4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36AC4BBE">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77099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B8265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青得里镇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7AA3E6">
            <w:pPr>
              <w:keepNext w:val="0"/>
              <w:keepLines w:val="0"/>
              <w:widowControl/>
              <w:suppressLineNumbers w:val="0"/>
              <w:jc w:val="center"/>
              <w:textAlignment w:val="center"/>
              <w:rPr>
                <w:rFonts w:hint="default" w:ascii="仿宋_GB2312" w:hAnsi="宋体" w:eastAsia="仿宋_GB2312" w:cs="仿宋_GB2312"/>
                <w:i w:val="0"/>
                <w:iCs w:val="0"/>
                <w:color w:val="000000"/>
                <w:sz w:val="18"/>
                <w:szCs w:val="18"/>
                <w:u w:val="none"/>
              </w:rPr>
            </w:pPr>
            <w:r>
              <w:rPr>
                <w:rFonts w:hint="default" w:ascii="仿宋_GB2312" w:hAnsi="宋体" w:eastAsia="仿宋_GB2312" w:cs="仿宋_GB2312"/>
                <w:i w:val="0"/>
                <w:iCs w:val="0"/>
                <w:color w:val="000000"/>
                <w:kern w:val="0"/>
                <w:sz w:val="18"/>
                <w:szCs w:val="18"/>
                <w:u w:val="none"/>
                <w:lang w:val="en-US" w:eastAsia="zh-CN" w:bidi="ar"/>
              </w:rPr>
              <w:t>克尔根卓牧业村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96F34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E64831">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亚曼滩</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C5E347">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意大利蝗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C33358">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B3EBC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76AE8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42E37C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r>
      <w:tr w14:paraId="2E6DB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54142859">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41DC16">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50E186">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小营盘镇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4A457B">
            <w:pPr>
              <w:keepNext w:val="0"/>
              <w:keepLines w:val="0"/>
              <w:widowControl/>
              <w:suppressLineNumbers w:val="0"/>
              <w:jc w:val="center"/>
              <w:textAlignment w:val="center"/>
              <w:rPr>
                <w:rFonts w:hint="default" w:ascii="仿宋_GB2312" w:hAnsi="宋体" w:eastAsia="仿宋_GB2312" w:cs="仿宋_GB2312"/>
                <w:i w:val="0"/>
                <w:iCs w:val="0"/>
                <w:color w:val="000000"/>
                <w:sz w:val="18"/>
                <w:szCs w:val="18"/>
                <w:u w:val="none"/>
              </w:rPr>
            </w:pPr>
            <w:r>
              <w:rPr>
                <w:rFonts w:hint="default" w:ascii="仿宋_GB2312" w:hAnsi="宋体" w:eastAsia="仿宋_GB2312" w:cs="仿宋_GB2312"/>
                <w:i w:val="0"/>
                <w:iCs w:val="0"/>
                <w:color w:val="000000"/>
                <w:kern w:val="0"/>
                <w:sz w:val="18"/>
                <w:szCs w:val="18"/>
                <w:u w:val="none"/>
                <w:lang w:val="en-US" w:eastAsia="zh-CN" w:bidi="ar"/>
              </w:rPr>
              <w:t>青得里浩特呼尔村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B2C579">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B12F86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乌尔哈纳</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610F287">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黑腿星翅蝗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B385E7">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AE2CBB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09E40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D389D9">
            <w:pPr>
              <w:jc w:val="center"/>
              <w:rPr>
                <w:rFonts w:hint="default" w:ascii="仿宋_GB2312" w:hAnsi="宋体" w:eastAsia="仿宋_GB2312" w:cs="仿宋_GB2312"/>
                <w:i w:val="0"/>
                <w:iCs w:val="0"/>
                <w:color w:val="000000"/>
                <w:sz w:val="24"/>
                <w:szCs w:val="24"/>
                <w:u w:val="none"/>
              </w:rPr>
            </w:pPr>
          </w:p>
        </w:tc>
      </w:tr>
      <w:tr w14:paraId="7AAE2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4C55DEE5">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67DA0E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3EBE66B">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小营盘镇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5E923A">
            <w:pPr>
              <w:keepNext w:val="0"/>
              <w:keepLines w:val="0"/>
              <w:widowControl/>
              <w:suppressLineNumbers w:val="0"/>
              <w:jc w:val="center"/>
              <w:textAlignment w:val="center"/>
              <w:rPr>
                <w:rFonts w:hint="eastAsia" w:ascii="仿宋_GB2312" w:hAnsi="宋体" w:eastAsia="仿宋_GB2312" w:cs="仿宋_GB2312"/>
                <w:i w:val="0"/>
                <w:iCs w:val="0"/>
                <w:color w:val="000000"/>
                <w:kern w:val="0"/>
                <w:sz w:val="18"/>
                <w:szCs w:val="18"/>
                <w:u w:val="none"/>
                <w:lang w:val="en-US" w:eastAsia="zh-CN" w:bidi="ar"/>
              </w:rPr>
            </w:pPr>
            <w:r>
              <w:rPr>
                <w:rFonts w:hint="eastAsia" w:ascii="仿宋_GB2312" w:hAnsi="宋体" w:eastAsia="仿宋_GB2312" w:cs="仿宋_GB2312"/>
                <w:i w:val="0"/>
                <w:iCs w:val="0"/>
                <w:color w:val="000000"/>
                <w:kern w:val="0"/>
                <w:sz w:val="18"/>
                <w:szCs w:val="18"/>
                <w:u w:val="none"/>
                <w:lang w:val="en-US" w:eastAsia="zh-CN" w:bidi="ar"/>
              </w:rPr>
              <w:t>明格陶勒哈村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732C4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B2AD1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新布呼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C8500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意大利蝗、西伯利亚蝗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6D5A12">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5A5015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F65B4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9B0A66">
            <w:pPr>
              <w:jc w:val="center"/>
              <w:rPr>
                <w:rFonts w:hint="default" w:ascii="仿宋_GB2312" w:hAnsi="宋体" w:eastAsia="仿宋_GB2312" w:cs="仿宋_GB2312"/>
                <w:i w:val="0"/>
                <w:iCs w:val="0"/>
                <w:color w:val="000000"/>
                <w:sz w:val="24"/>
                <w:szCs w:val="24"/>
                <w:u w:val="none"/>
              </w:rPr>
            </w:pPr>
          </w:p>
        </w:tc>
      </w:tr>
      <w:tr w14:paraId="155740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0"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2AB4D94C">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3038A6">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88253B">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小营盘镇、阿热勒托海牧场、达勒特镇（香班牧业队）、青得里镇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03BC0C">
            <w:pPr>
              <w:keepNext w:val="0"/>
              <w:keepLines w:val="0"/>
              <w:widowControl/>
              <w:suppressLineNumbers w:val="0"/>
              <w:jc w:val="center"/>
              <w:textAlignment w:val="center"/>
              <w:rPr>
                <w:rFonts w:hint="eastAsia" w:ascii="仿宋_GB2312" w:hAnsi="宋体" w:eastAsia="仿宋_GB2312" w:cs="仿宋_GB2312"/>
                <w:i w:val="0"/>
                <w:iCs w:val="0"/>
                <w:color w:val="000000"/>
                <w:kern w:val="0"/>
                <w:sz w:val="18"/>
                <w:szCs w:val="18"/>
                <w:u w:val="none"/>
                <w:lang w:val="en-US" w:eastAsia="zh-CN" w:bidi="ar"/>
              </w:rPr>
            </w:pPr>
            <w:r>
              <w:rPr>
                <w:rFonts w:hint="eastAsia" w:ascii="仿宋_GB2312" w:hAnsi="宋体" w:eastAsia="仿宋_GB2312" w:cs="仿宋_GB2312"/>
                <w:i w:val="0"/>
                <w:iCs w:val="0"/>
                <w:color w:val="000000"/>
                <w:kern w:val="0"/>
                <w:sz w:val="18"/>
                <w:szCs w:val="18"/>
                <w:u w:val="none"/>
                <w:lang w:val="en-US" w:eastAsia="zh-CN" w:bidi="ar"/>
              </w:rPr>
              <w:t>青得里浩特呼尔村、多尔巴尔托哈村、香班牧场、乌兰布呼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10731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94CF3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哈萨克尧勒、塔克勒巴斯陶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B648F83">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朱腿痂蝗、黑腿星翅蝗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E81C4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EFB41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8935B7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40D8D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w:t>
            </w:r>
          </w:p>
        </w:tc>
      </w:tr>
      <w:tr w14:paraId="3DC49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3E34122D">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0440D9">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BFD28E">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阿热勒托海牧场、达勒特镇、青得里镇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A8065E">
            <w:pPr>
              <w:keepNext w:val="0"/>
              <w:keepLines w:val="0"/>
              <w:widowControl/>
              <w:suppressLineNumbers w:val="0"/>
              <w:jc w:val="center"/>
              <w:textAlignment w:val="center"/>
              <w:rPr>
                <w:rFonts w:hint="eastAsia" w:ascii="仿宋_GB2312" w:hAnsi="宋体" w:eastAsia="仿宋_GB2312" w:cs="仿宋_GB2312"/>
                <w:i w:val="0"/>
                <w:iCs w:val="0"/>
                <w:color w:val="000000"/>
                <w:kern w:val="0"/>
                <w:sz w:val="18"/>
                <w:szCs w:val="18"/>
                <w:u w:val="none"/>
                <w:lang w:val="en-US" w:eastAsia="zh-CN" w:bidi="ar"/>
              </w:rPr>
            </w:pPr>
            <w:r>
              <w:rPr>
                <w:rFonts w:hint="eastAsia" w:ascii="仿宋_GB2312" w:hAnsi="宋体" w:eastAsia="仿宋_GB2312" w:cs="仿宋_GB2312"/>
                <w:i w:val="0"/>
                <w:iCs w:val="0"/>
                <w:color w:val="000000"/>
                <w:kern w:val="0"/>
                <w:sz w:val="18"/>
                <w:szCs w:val="18"/>
                <w:u w:val="none"/>
                <w:lang w:val="en-US" w:eastAsia="zh-CN" w:bidi="ar"/>
              </w:rPr>
              <w:t>贝林哈日莫墩南村、俄罗森布拉格村、夏拉兰布拉各村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153BB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62741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四台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892ACC8">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意大利蝗、黑腿星翅蝗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D05E5D">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7D2555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4F5C3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3EE42A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5</w:t>
            </w:r>
          </w:p>
        </w:tc>
      </w:tr>
      <w:tr w14:paraId="27D87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5EECF913">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B56221">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947D5E">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阿热勒托海牧场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C3623C">
            <w:pPr>
              <w:keepNext w:val="0"/>
              <w:keepLines w:val="0"/>
              <w:widowControl/>
              <w:suppressLineNumbers w:val="0"/>
              <w:jc w:val="center"/>
              <w:textAlignment w:val="center"/>
              <w:rPr>
                <w:rFonts w:hint="eastAsia" w:ascii="仿宋_GB2312" w:hAnsi="宋体" w:eastAsia="仿宋_GB2312" w:cs="仿宋_GB2312"/>
                <w:i w:val="0"/>
                <w:iCs w:val="0"/>
                <w:color w:val="000000"/>
                <w:kern w:val="0"/>
                <w:sz w:val="18"/>
                <w:szCs w:val="18"/>
                <w:u w:val="none"/>
                <w:lang w:val="en-US" w:eastAsia="zh-CN" w:bidi="ar"/>
              </w:rPr>
            </w:pPr>
            <w:r>
              <w:rPr>
                <w:rFonts w:hint="eastAsia" w:ascii="仿宋_GB2312" w:hAnsi="宋体" w:eastAsia="仿宋_GB2312" w:cs="仿宋_GB2312"/>
                <w:i w:val="0"/>
                <w:iCs w:val="0"/>
                <w:color w:val="000000"/>
                <w:kern w:val="0"/>
                <w:sz w:val="18"/>
                <w:szCs w:val="18"/>
                <w:u w:val="none"/>
                <w:lang w:val="en-US" w:eastAsia="zh-CN" w:bidi="ar"/>
              </w:rPr>
              <w:t>乌兰布呼、克孜里加尔、托布里哈提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0603C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0F6405">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库色木切克</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370848">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西伯利亚蝗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2E67803">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6FC71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AF72E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79771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r>
      <w:tr w14:paraId="76DF1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0" w:type="auto"/>
            <w:vMerge w:val="continue"/>
            <w:tcBorders>
              <w:top w:val="single" w:color="FF0000" w:sz="4" w:space="0"/>
              <w:left w:val="single" w:color="000000" w:sz="4" w:space="0"/>
              <w:bottom w:val="single" w:color="FF0000" w:sz="4" w:space="0"/>
              <w:right w:val="single" w:color="000000" w:sz="4" w:space="0"/>
            </w:tcBorders>
            <w:shd w:val="clear" w:color="auto" w:fill="auto"/>
            <w:vAlign w:val="center"/>
          </w:tcPr>
          <w:p w14:paraId="4A3D1C85">
            <w:pPr>
              <w:jc w:val="center"/>
              <w:rPr>
                <w:rFonts w:hint="default" w:ascii="仿宋_GB2312" w:hAnsi="宋体" w:eastAsia="仿宋_GB2312" w:cs="仿宋_GB2312"/>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43D3AB">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博乐市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0245FC">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青得里镇、乌图布拉格镇、小营盘镇、达勒特镇（香班牧业队）、阿热勒托海牧场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F3382C">
            <w:pPr>
              <w:keepNext w:val="0"/>
              <w:keepLines w:val="0"/>
              <w:widowControl/>
              <w:suppressLineNumbers w:val="0"/>
              <w:jc w:val="center"/>
              <w:textAlignment w:val="center"/>
              <w:rPr>
                <w:rFonts w:hint="eastAsia" w:ascii="仿宋_GB2312" w:hAnsi="宋体" w:eastAsia="仿宋_GB2312" w:cs="仿宋_GB2312"/>
                <w:i w:val="0"/>
                <w:iCs w:val="0"/>
                <w:color w:val="000000"/>
                <w:kern w:val="0"/>
                <w:sz w:val="18"/>
                <w:szCs w:val="18"/>
                <w:u w:val="none"/>
                <w:lang w:val="en-US" w:eastAsia="zh-CN" w:bidi="ar"/>
              </w:rPr>
            </w:pPr>
            <w:r>
              <w:rPr>
                <w:rFonts w:hint="eastAsia" w:ascii="仿宋_GB2312" w:hAnsi="宋体" w:eastAsia="仿宋_GB2312" w:cs="仿宋_GB2312"/>
                <w:i w:val="0"/>
                <w:iCs w:val="0"/>
                <w:color w:val="000000"/>
                <w:kern w:val="0"/>
                <w:sz w:val="18"/>
                <w:szCs w:val="18"/>
                <w:u w:val="none"/>
                <w:lang w:val="en-US" w:eastAsia="zh-CN" w:bidi="ar"/>
              </w:rPr>
              <w:t>香班牧场、托布里哈提村、乌兰布河村、明格陶勒哈村、恰尔根浩特呼尔村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92693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0CF3F6">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赛里木湖</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8F1464">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西伯利亚蝗、意大利蝗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00D0BCF">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4ABEE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5A19B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69280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w:t>
            </w:r>
          </w:p>
        </w:tc>
      </w:tr>
      <w:tr w14:paraId="6E200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B7FB0C">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334BAE">
            <w:pPr>
              <w:jc w:val="center"/>
              <w:rPr>
                <w:rFonts w:hint="default" w:ascii="仿宋_GB2312" w:hAnsi="宋体" w:eastAsia="仿宋_GB2312" w:cs="仿宋_GB2312"/>
                <w:i w:val="0"/>
                <w:iCs w:val="0"/>
                <w:color w:val="0D0D0D"/>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2B7806">
            <w:pPr>
              <w:jc w:val="center"/>
              <w:rPr>
                <w:rFonts w:hint="default" w:ascii="仿宋_GB2312" w:hAnsi="宋体" w:eastAsia="仿宋_GB2312" w:cs="仿宋_GB2312"/>
                <w:i w:val="0"/>
                <w:iCs w:val="0"/>
                <w:color w:val="0D0D0D"/>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F9F150">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273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939EE4D">
            <w:pPr>
              <w:jc w:val="center"/>
              <w:rPr>
                <w:rFonts w:hint="default" w:ascii="仿宋_GB2312" w:hAnsi="宋体" w:eastAsia="仿宋_GB2312" w:cs="仿宋_GB2312"/>
                <w:i w:val="0"/>
                <w:iCs w:val="0"/>
                <w:color w:val="0D0D0D"/>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A62118">
            <w:pPr>
              <w:jc w:val="center"/>
              <w:rPr>
                <w:rFonts w:hint="default" w:ascii="仿宋_GB2312" w:hAnsi="宋体" w:eastAsia="仿宋_GB2312" w:cs="仿宋_GB2312"/>
                <w:i w:val="0"/>
                <w:iCs w:val="0"/>
                <w:color w:val="0D0D0D"/>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1D7A49">
            <w:pPr>
              <w:keepNext w:val="0"/>
              <w:keepLines w:val="0"/>
              <w:widowControl/>
              <w:suppressLineNumbers w:val="0"/>
              <w:jc w:val="center"/>
              <w:textAlignment w:val="center"/>
              <w:rPr>
                <w:rFonts w:hint="default" w:ascii="仿宋_GB2312" w:hAnsi="宋体" w:eastAsia="仿宋_GB2312" w:cs="仿宋_GB2312"/>
                <w:i w:val="0"/>
                <w:iCs w:val="0"/>
                <w:color w:val="0D0D0D"/>
                <w:sz w:val="24"/>
                <w:szCs w:val="24"/>
                <w:u w:val="none"/>
              </w:rPr>
            </w:pPr>
            <w:r>
              <w:rPr>
                <w:rFonts w:hint="default" w:ascii="仿宋_GB2312" w:hAnsi="宋体" w:eastAsia="仿宋_GB2312" w:cs="仿宋_GB2312"/>
                <w:i w:val="0"/>
                <w:iCs w:val="0"/>
                <w:color w:val="0D0D0D"/>
                <w:kern w:val="0"/>
                <w:sz w:val="24"/>
                <w:szCs w:val="24"/>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E0C45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C6DD1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E10A6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27</w:t>
            </w:r>
          </w:p>
        </w:tc>
      </w:tr>
    </w:tbl>
    <w:p w14:paraId="7A9F13E2">
      <w:pPr>
        <w:pStyle w:val="2"/>
      </w:pPr>
    </w:p>
    <w:p w14:paraId="417CA57C">
      <w:pPr>
        <w:keepNext w:val="0"/>
        <w:keepLines w:val="0"/>
        <w:pageBreakBefore w:val="0"/>
        <w:kinsoku/>
        <w:wordWrap/>
        <w:overflowPunct/>
        <w:topLinePunct w:val="0"/>
        <w:bidi w:val="0"/>
        <w:spacing w:before="114" w:line="219" w:lineRule="auto"/>
        <w:rPr>
          <w:rFonts w:hint="eastAsia" w:ascii="宋体" w:hAnsi="宋体" w:eastAsia="宋体" w:cs="宋体"/>
          <w:b/>
          <w:bCs/>
          <w:snapToGrid/>
          <w:color w:val="000000" w:themeColor="text1"/>
          <w:spacing w:val="-2"/>
          <w:kern w:val="2"/>
          <w:sz w:val="24"/>
          <w:szCs w:val="24"/>
          <w:lang w:val="en-US" w:eastAsia="zh-CN" w:bidi="ar-SA"/>
          <w14:textFill>
            <w14:solidFill>
              <w14:schemeClr w14:val="tx1"/>
            </w14:solidFill>
          </w14:textFill>
        </w:rPr>
      </w:pPr>
      <w:r>
        <w:rPr>
          <w:rFonts w:hint="eastAsia" w:ascii="宋体" w:hAnsi="宋体" w:eastAsia="宋体" w:cs="宋体"/>
          <w:b/>
          <w:bCs/>
          <w:snapToGrid/>
          <w:color w:val="000000" w:themeColor="text1"/>
          <w:spacing w:val="-2"/>
          <w:kern w:val="2"/>
          <w:sz w:val="24"/>
          <w:szCs w:val="24"/>
          <w:lang w:val="en-US" w:eastAsia="zh-CN" w:bidi="ar-SA"/>
          <w14:textFill>
            <w14:solidFill>
              <w14:schemeClr w14:val="tx1"/>
            </w14:solidFill>
          </w14:textFill>
        </w:rPr>
        <w:t>3.2.3防治药剂</w:t>
      </w:r>
    </w:p>
    <w:p w14:paraId="7DDB4E1C">
      <w:pPr>
        <w:keepNext w:val="0"/>
        <w:keepLines w:val="0"/>
        <w:pageBreakBefore w:val="0"/>
        <w:kinsoku/>
        <w:wordWrap/>
        <w:overflowPunct/>
        <w:topLinePunct w:val="0"/>
        <w:bidi w:val="0"/>
        <w:spacing w:before="114" w:line="219" w:lineRule="auto"/>
        <w:ind w:firstLine="472" w:firstLineChars="200"/>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雷公藤甲素：雷公藤甲素，来源于卫茅科雷公藤植物，为植物源农药。雷公藤提取物雷公藤多甙目前已分离出70余种成分，具有多种药理活性，雷公藤甲素是其中最具药理活性的物质，具有显著的抗生育作用，主要是损伤鼠类睾丸生精细胞，减少精子，为雄性不育杀鼠剂。产品为0.25毫克/千克雷公藤甲素颗粒剂，田间使用釆取饱和投饵法，堆施或穴施，一般每亩投放20堆，每堆投放10克，间隔5-7天投1次，对各种害鼠均有效。对非靶动物安全。</w:t>
      </w:r>
    </w:p>
    <w:p w14:paraId="10A0D8EB">
      <w:pPr>
        <w:keepNext w:val="0"/>
        <w:keepLines w:val="0"/>
        <w:pageBreakBefore w:val="0"/>
        <w:kinsoku/>
        <w:wordWrap/>
        <w:overflowPunct/>
        <w:topLinePunct w:val="0"/>
        <w:bidi w:val="0"/>
        <w:spacing w:before="114" w:line="219" w:lineRule="auto"/>
        <w:ind w:firstLine="472" w:firstLineChars="200"/>
        <w:rPr>
          <w:rFonts w:hint="eastAsia" w:ascii="宋体" w:hAnsi="宋体" w:eastAsia="宋体" w:cs="宋体"/>
          <w:color w:val="000000" w:themeColor="text1"/>
          <w:spacing w:val="-2"/>
          <w:sz w:val="24"/>
          <w:szCs w:val="24"/>
          <w:lang w:val="en-US" w:eastAsia="zh-CN"/>
          <w14:textFill>
            <w14:solidFill>
              <w14:schemeClr w14:val="tx1"/>
            </w14:solidFill>
          </w14:textFill>
        </w:rPr>
      </w:pPr>
      <w:r>
        <w:rPr>
          <w:rFonts w:hint="eastAsia" w:ascii="宋体" w:hAnsi="宋体" w:eastAsia="宋体" w:cs="宋体"/>
          <w:color w:val="000000" w:themeColor="text1"/>
          <w:spacing w:val="-2"/>
          <w:sz w:val="24"/>
          <w:szCs w:val="24"/>
          <w:lang w:val="en-US" w:eastAsia="zh-CN"/>
          <w14:textFill>
            <w14:solidFill>
              <w14:schemeClr w14:val="tx1"/>
            </w14:solidFill>
          </w14:textFill>
        </w:rPr>
        <w:t>印楝素：印楝素属高效、广谱、低毒植物源杀虫剂，是世界公认的优秀生物农药，具有拒食、抑制生长发育等作用，对害虫防治效果好，而且不污染坏境，符合环保要求，是农牧业可持续发展的首选药剂。</w:t>
      </w:r>
    </w:p>
    <w:p w14:paraId="14B54863">
      <w:pPr>
        <w:keepNext w:val="0"/>
        <w:keepLines w:val="0"/>
        <w:pageBreakBefore w:val="0"/>
        <w:kinsoku/>
        <w:wordWrap/>
        <w:overflowPunct/>
        <w:topLinePunct w:val="0"/>
        <w:bidi w:val="0"/>
        <w:spacing w:before="114" w:line="219" w:lineRule="auto"/>
        <w:rPr>
          <w:rFonts w:hint="eastAsia" w:ascii="宋体" w:hAnsi="宋体" w:eastAsia="宋体" w:cs="宋体"/>
          <w:color w:val="000000" w:themeColor="text1"/>
          <w:spacing w:val="-2"/>
          <w:sz w:val="24"/>
          <w:szCs w:val="24"/>
          <w:lang w:val="en-US" w:eastAsia="zh-CN"/>
          <w14:textFill>
            <w14:solidFill>
              <w14:schemeClr w14:val="tx1"/>
            </w14:solidFill>
          </w14:textFill>
        </w:rPr>
      </w:pPr>
    </w:p>
    <w:p w14:paraId="6F41125C">
      <w:pPr>
        <w:keepNext w:val="0"/>
        <w:keepLines w:val="0"/>
        <w:pageBreakBefore w:val="0"/>
        <w:kinsoku/>
        <w:wordWrap/>
        <w:overflowPunct/>
        <w:topLinePunct w:val="0"/>
        <w:bidi w:val="0"/>
        <w:spacing w:before="114" w:line="219" w:lineRule="auto"/>
        <w:rPr>
          <w:rFonts w:hint="eastAsia" w:ascii="宋体" w:hAnsi="宋体" w:eastAsia="宋体" w:cs="宋体"/>
          <w:b/>
          <w:bCs/>
          <w:color w:val="000000" w:themeColor="text1"/>
          <w:spacing w:val="-2"/>
          <w:sz w:val="24"/>
          <w:szCs w:val="24"/>
          <w:lang w:val="en-US" w:eastAsia="zh-CN"/>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3.2.5防治药剂配制（鼠害预防），可根据实际进行防治</w:t>
      </w:r>
    </w:p>
    <w:p w14:paraId="65EC1DFE">
      <w:pPr>
        <w:keepNext w:val="0"/>
        <w:keepLines w:val="0"/>
        <w:pageBreakBefore w:val="0"/>
        <w:widowControl/>
        <w:kinsoku/>
        <w:wordWrap/>
        <w:overflowPunct/>
        <w:topLinePunct w:val="0"/>
        <w:autoSpaceDE w:val="0"/>
        <w:autoSpaceDN w:val="0"/>
        <w:bidi w:val="0"/>
        <w:adjustRightInd w:val="0"/>
        <w:snapToGrid w:val="0"/>
        <w:spacing w:before="114" w:line="219" w:lineRule="auto"/>
        <w:ind w:firstLine="472" w:firstLineChars="200"/>
        <w:textAlignment w:val="baseline"/>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雷公藤甲素：作物（或范围）防治对象制剂用药量使用方法草原害鼠饱和投饵，草原每公顷投药500-1200g。条距10×20m投放一堆，每堆5-10g，投放在鼠类经常活动的地方。室内一般每15-20㎡投放10-15g分二小堆，7-10天检查饵剂取食情况，并予补充，根据鼠密度较高的地区可增加投饵量。害鼠：0.25毫克/kg雷公藤甲素颗粒剂，45000元/吨，亩用量100-200g；</w:t>
      </w:r>
    </w:p>
    <w:p w14:paraId="4A96DB7C">
      <w:pPr>
        <w:keepNext w:val="0"/>
        <w:keepLines w:val="0"/>
        <w:pageBreakBefore w:val="0"/>
        <w:widowControl/>
        <w:kinsoku/>
        <w:wordWrap/>
        <w:overflowPunct/>
        <w:topLinePunct w:val="0"/>
        <w:autoSpaceDE w:val="0"/>
        <w:autoSpaceDN w:val="0"/>
        <w:bidi w:val="0"/>
        <w:adjustRightInd w:val="0"/>
        <w:snapToGrid w:val="0"/>
        <w:spacing w:before="114" w:line="219" w:lineRule="auto"/>
        <w:ind w:firstLine="472" w:firstLineChars="200"/>
        <w:textAlignment w:val="baseline"/>
        <w:rPr>
          <w:rFonts w:hint="default"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印楝素：印楝素用量20g/亩，每亩药水合剂根据无人机飞防要求和药物说明书配制。虫害：0.8%阿维·印楝素，250000元/吨，亩用量15-20ml；</w:t>
      </w:r>
    </w:p>
    <w:p w14:paraId="4324F2FE">
      <w:pPr>
        <w:keepNext w:val="0"/>
        <w:keepLines w:val="0"/>
        <w:pageBreakBefore w:val="0"/>
        <w:kinsoku/>
        <w:wordWrap/>
        <w:overflowPunct/>
        <w:topLinePunct w:val="0"/>
        <w:bidi w:val="0"/>
        <w:spacing w:before="114" w:line="219" w:lineRule="auto"/>
        <w:rPr>
          <w:rFonts w:hint="eastAsia" w:ascii="宋体" w:hAnsi="宋体" w:eastAsia="宋体" w:cs="宋体"/>
          <w:b/>
          <w:bCs/>
          <w:color w:val="000000" w:themeColor="text1"/>
          <w:spacing w:val="-2"/>
          <w:sz w:val="24"/>
          <w:szCs w:val="24"/>
          <w:lang w:val="en-US" w:eastAsia="zh-CN"/>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3.2.6防效指标</w:t>
      </w:r>
    </w:p>
    <w:p w14:paraId="5736F5A1">
      <w:pPr>
        <w:keepNext w:val="0"/>
        <w:keepLines w:val="0"/>
        <w:pageBreakBefore w:val="0"/>
        <w:widowControl/>
        <w:kinsoku/>
        <w:wordWrap/>
        <w:overflowPunct/>
        <w:topLinePunct w:val="0"/>
        <w:autoSpaceDE w:val="0"/>
        <w:autoSpaceDN w:val="0"/>
        <w:bidi w:val="0"/>
        <w:adjustRightInd w:val="0"/>
        <w:snapToGrid w:val="0"/>
        <w:spacing w:line="219" w:lineRule="auto"/>
        <w:ind w:firstLine="472" w:firstLineChars="200"/>
        <w:textAlignment w:val="baseline"/>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（1）鼠害预防1万亩，在现状数据基础上，防效80%以上，有效控制鼠害危害蔓延；</w:t>
      </w:r>
    </w:p>
    <w:p w14:paraId="5AFEAD34">
      <w:pPr>
        <w:keepNext w:val="0"/>
        <w:keepLines w:val="0"/>
        <w:pageBreakBefore w:val="0"/>
        <w:widowControl/>
        <w:kinsoku/>
        <w:wordWrap/>
        <w:overflowPunct/>
        <w:topLinePunct w:val="0"/>
        <w:autoSpaceDE w:val="0"/>
        <w:autoSpaceDN w:val="0"/>
        <w:bidi w:val="0"/>
        <w:adjustRightInd w:val="0"/>
        <w:snapToGrid w:val="0"/>
        <w:spacing w:line="219" w:lineRule="auto"/>
        <w:ind w:firstLine="472" w:firstLineChars="200"/>
        <w:textAlignment w:val="baseline"/>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（2）防控虫害9万亩，在现状数据基础上防效80%以上，有效控制虫害危害蔓延；3.2.7防效调查方法</w:t>
      </w:r>
    </w:p>
    <w:p w14:paraId="47A90373">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施工前，配合施工单位对项目区及对照区进行鼠虫害调查，记录并保存调查数据；在药剂防治后10-15天，对项目区及对照区进行再次调查，记录并保存调查数据。</w:t>
      </w:r>
    </w:p>
    <w:p w14:paraId="301DF343">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鼠害生物防治：采用开洞封洞法，查清样方内的自然洞和有效洞口数。</w:t>
      </w:r>
    </w:p>
    <w:p w14:paraId="1C7474AC">
      <w:pPr>
        <w:keepNext w:val="0"/>
        <w:keepLines w:val="0"/>
        <w:pageBreakBefore w:val="0"/>
        <w:kinsoku/>
        <w:wordWrap/>
        <w:overflowPunct/>
        <w:topLinePunct w:val="0"/>
        <w:bidi w:val="0"/>
        <w:spacing w:before="114" w:line="219" w:lineRule="auto"/>
        <w:rPr>
          <w:rFonts w:hint="eastAsia" w:ascii="宋体" w:hAnsi="宋体" w:eastAsia="宋体" w:cs="宋体"/>
          <w:b/>
          <w:bCs/>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虫害生物防治：根据调查的防治前、防治后的活虫数量来了计算虫害密度减退率。</w:t>
      </w:r>
    </w:p>
    <w:p w14:paraId="4B1D1612">
      <w:pPr>
        <w:keepNext w:val="0"/>
        <w:keepLines w:val="0"/>
        <w:pageBreakBefore w:val="0"/>
        <w:kinsoku/>
        <w:wordWrap/>
        <w:overflowPunct/>
        <w:topLinePunct w:val="0"/>
        <w:bidi w:val="0"/>
        <w:spacing w:before="114" w:line="219" w:lineRule="auto"/>
        <w:rPr>
          <w:rFonts w:hint="eastAsia" w:ascii="宋体" w:hAnsi="宋体" w:eastAsia="宋体" w:cs="宋体"/>
          <w:b/>
          <w:bCs/>
          <w:color w:val="000000" w:themeColor="text1"/>
          <w:spacing w:val="-2"/>
          <w:sz w:val="24"/>
          <w:szCs w:val="24"/>
          <w:lang w:val="en-US" w:eastAsia="zh-CN"/>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3.2.8防效计算方法</w:t>
      </w:r>
    </w:p>
    <w:p w14:paraId="6B6F845E">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虫害生物防治计算公式如下：</w:t>
      </w:r>
    </w:p>
    <w:p w14:paraId="6C71E6BC">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drawing>
          <wp:anchor distT="0" distB="0" distL="114300" distR="114300" simplePos="0" relativeHeight="251660288" behindDoc="1" locked="0" layoutInCell="1" allowOverlap="1">
            <wp:simplePos x="0" y="0"/>
            <wp:positionH relativeFrom="column">
              <wp:posOffset>471805</wp:posOffset>
            </wp:positionH>
            <wp:positionV relativeFrom="paragraph">
              <wp:posOffset>53975</wp:posOffset>
            </wp:positionV>
            <wp:extent cx="1866900" cy="515620"/>
            <wp:effectExtent l="0" t="0" r="0" b="5080"/>
            <wp:wrapTight wrapText="bothSides">
              <wp:wrapPolygon>
                <wp:start x="7406" y="4469"/>
                <wp:lineTo x="2998" y="8300"/>
                <wp:lineTo x="2998" y="13407"/>
                <wp:lineTo x="9522" y="16599"/>
                <wp:lineTo x="11285" y="19153"/>
                <wp:lineTo x="12167" y="19153"/>
                <wp:lineTo x="12343" y="17876"/>
                <wp:lineTo x="11990" y="14684"/>
                <wp:lineTo x="21512" y="12768"/>
                <wp:lineTo x="21512" y="8938"/>
                <wp:lineTo x="14106" y="4469"/>
                <wp:lineTo x="7406" y="4469"/>
              </wp:wrapPolygon>
            </wp:wrapTight>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4">
                      <a:clrChange>
                        <a:clrFrom>
                          <a:srgbClr val="FFFFFF">
                            <a:alpha val="100000"/>
                          </a:srgbClr>
                        </a:clrFrom>
                        <a:clrTo>
                          <a:srgbClr val="FFFFFF">
                            <a:alpha val="100000"/>
                            <a:alpha val="0"/>
                          </a:srgbClr>
                        </a:clrTo>
                      </a:clrChange>
                    </a:blip>
                    <a:stretch>
                      <a:fillRect/>
                    </a:stretch>
                  </pic:blipFill>
                  <pic:spPr>
                    <a:xfrm>
                      <a:off x="0" y="0"/>
                      <a:ext cx="1866900" cy="515620"/>
                    </a:xfrm>
                    <a:prstGeom prst="rect">
                      <a:avLst/>
                    </a:prstGeom>
                  </pic:spPr>
                </pic:pic>
              </a:graphicData>
            </a:graphic>
          </wp:anchor>
        </w:drawing>
      </w:r>
    </w:p>
    <w:p w14:paraId="49A4070D">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p>
    <w:p w14:paraId="3CA4E3CE">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D——虫口减退率，单位为百分率（%）；</w:t>
      </w:r>
    </w:p>
    <w:p w14:paraId="3ED1421F">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N0——防治前活虫数；</w:t>
      </w:r>
    </w:p>
    <w:p w14:paraId="0BB11B5C">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N1——防治后活虫数。</w:t>
      </w:r>
    </w:p>
    <w:p w14:paraId="7F4B1B74">
      <w:pPr>
        <w:keepNext w:val="0"/>
        <w:keepLines w:val="0"/>
        <w:pageBreakBefore w:val="0"/>
        <w:kinsoku/>
        <w:wordWrap/>
        <w:overflowPunct/>
        <w:topLinePunct w:val="0"/>
        <w:bidi w:val="0"/>
        <w:spacing w:before="114" w:line="219" w:lineRule="auto"/>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pPr>
      <w:r>
        <w:rPr>
          <w:rFonts w:hint="eastAsia" w:ascii="宋体" w:hAnsi="宋体" w:eastAsia="宋体" w:cs="宋体"/>
          <w:b w:val="0"/>
          <w:bCs w:val="0"/>
          <w:color w:val="000000" w:themeColor="text1"/>
          <w:spacing w:val="-2"/>
          <w:sz w:val="24"/>
          <w:szCs w:val="24"/>
          <w:lang w:val="en-US" w:eastAsia="zh-CN"/>
          <w14:textFill>
            <w14:solidFill>
              <w14:schemeClr w14:val="tx1"/>
            </w14:solidFill>
          </w14:textFill>
        </w:rPr>
        <w:t>鼠害生物防治计算公式：防治效果（%）=防前有效土丘数-防后有效土丘数/防前有效土丘数×100%。</w:t>
      </w:r>
    </w:p>
    <w:p w14:paraId="77DD0409">
      <w:pPr>
        <w:keepNext w:val="0"/>
        <w:keepLines w:val="0"/>
        <w:pageBreakBefore w:val="0"/>
        <w:kinsoku/>
        <w:wordWrap/>
        <w:overflowPunct/>
        <w:topLinePunct w:val="0"/>
        <w:bidi w:val="0"/>
        <w:spacing w:before="114" w:line="219" w:lineRule="auto"/>
        <w:rPr>
          <w:rFonts w:hint="eastAsia" w:ascii="宋体" w:hAnsi="宋体" w:eastAsia="宋体" w:cs="宋体"/>
          <w:color w:val="000000" w:themeColor="text1"/>
          <w:spacing w:val="-2"/>
          <w:sz w:val="24"/>
          <w:szCs w:val="24"/>
          <w:lang w:val="en-US" w:eastAsia="zh-CN"/>
          <w14:textFill>
            <w14:solidFill>
              <w14:schemeClr w14:val="tx1"/>
            </w14:solidFill>
          </w14:textFill>
        </w:rPr>
      </w:pPr>
    </w:p>
    <w:p w14:paraId="5161D363">
      <w:pPr>
        <w:pStyle w:val="2"/>
        <w:keepNext w:val="0"/>
        <w:keepLines w:val="0"/>
        <w:pageBreakBefore w:val="0"/>
        <w:kinsoku/>
        <w:wordWrap/>
        <w:overflowPunct/>
        <w:topLinePunct w:val="0"/>
        <w:bidi w:val="0"/>
        <w:rPr>
          <w:rFonts w:hint="default"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pPr>
      <w:r>
        <w:rPr>
          <w:rFonts w:hint="eastAsia" w:ascii="宋体" w:hAnsi="宋体" w:cs="宋体"/>
          <w:b w:val="0"/>
          <w:bCs w:val="0"/>
          <w:snapToGrid w:val="0"/>
          <w:color w:val="000000" w:themeColor="text1"/>
          <w:spacing w:val="-2"/>
          <w:kern w:val="0"/>
          <w:sz w:val="24"/>
          <w:szCs w:val="24"/>
          <w:lang w:val="en-US" w:eastAsia="zh-CN" w:bidi="ar-SA"/>
          <w14:textFill>
            <w14:solidFill>
              <w14:schemeClr w14:val="tx1"/>
            </w14:solidFill>
          </w14:textFill>
        </w:rPr>
        <w:t>（</w:t>
      </w:r>
      <w:r>
        <w:rPr>
          <w:rFonts w:hint="default"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t>本地企业采购生产资料及物资可带动</w:t>
      </w:r>
      <w:r>
        <w:rPr>
          <w:rFonts w:hint="eastAsia" w:ascii="宋体" w:hAnsi="宋体" w:cs="宋体"/>
          <w:b w:val="0"/>
          <w:bCs w:val="0"/>
          <w:snapToGrid w:val="0"/>
          <w:color w:val="000000" w:themeColor="text1"/>
          <w:spacing w:val="-2"/>
          <w:kern w:val="0"/>
          <w:sz w:val="24"/>
          <w:szCs w:val="24"/>
          <w:lang w:val="en-US" w:eastAsia="zh-CN" w:bidi="ar-SA"/>
          <w14:textFill>
            <w14:solidFill>
              <w14:schemeClr w14:val="tx1"/>
            </w14:solidFill>
          </w14:textFill>
        </w:rPr>
        <w:t>博乐市</w:t>
      </w:r>
      <w:r>
        <w:rPr>
          <w:rFonts w:hint="default" w:ascii="宋体" w:hAnsi="宋体" w:eastAsia="宋体" w:cs="宋体"/>
          <w:b w:val="0"/>
          <w:bCs w:val="0"/>
          <w:snapToGrid w:val="0"/>
          <w:color w:val="000000" w:themeColor="text1"/>
          <w:spacing w:val="-2"/>
          <w:kern w:val="0"/>
          <w:sz w:val="24"/>
          <w:szCs w:val="24"/>
          <w:lang w:val="en-US" w:eastAsia="zh-CN" w:bidi="ar-SA"/>
          <w14:textFill>
            <w14:solidFill>
              <w14:schemeClr w14:val="tx1"/>
            </w14:solidFill>
          </w14:textFill>
        </w:rPr>
        <w:t>工商户及农资市场经济效应，本地服务团队启用当地人员带动当地劳动力增产增收的社会效应，本地售后团队可30分钟达到虫鼠害受灾区，提高控制灾情的工作效率。</w:t>
      </w:r>
      <w:r>
        <w:rPr>
          <w:rFonts w:hint="eastAsia" w:ascii="宋体" w:hAnsi="宋体" w:cs="宋体"/>
          <w:b w:val="0"/>
          <w:bCs w:val="0"/>
          <w:snapToGrid w:val="0"/>
          <w:color w:val="000000" w:themeColor="text1"/>
          <w:spacing w:val="-2"/>
          <w:kern w:val="0"/>
          <w:sz w:val="24"/>
          <w:szCs w:val="24"/>
          <w:lang w:val="en-US" w:eastAsia="zh-CN" w:bidi="ar-SA"/>
          <w14:textFill>
            <w14:solidFill>
              <w14:schemeClr w14:val="tx1"/>
            </w14:solidFill>
          </w14:textFill>
        </w:rPr>
        <w:t>)</w:t>
      </w:r>
    </w:p>
    <w:p w14:paraId="3610A37E">
      <w:pPr>
        <w:keepNext w:val="0"/>
        <w:keepLines w:val="0"/>
        <w:pageBreakBefore w:val="0"/>
        <w:kinsoku/>
        <w:wordWrap/>
        <w:overflowPunct/>
        <w:topLinePunct w:val="0"/>
        <w:bidi w:val="0"/>
        <w:spacing w:before="114" w:line="219" w:lineRule="auto"/>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3.3有关说明：</w:t>
      </w:r>
    </w:p>
    <w:p w14:paraId="4974048D">
      <w:pPr>
        <w:keepNext w:val="0"/>
        <w:keepLines w:val="0"/>
        <w:pageBreakBefore w:val="0"/>
        <w:kinsoku/>
        <w:wordWrap/>
        <w:overflowPunct/>
        <w:topLinePunct w:val="0"/>
        <w:bidi w:val="0"/>
        <w:spacing w:before="183" w:line="289" w:lineRule="auto"/>
        <w:ind w:left="123" w:right="8" w:firstLine="482"/>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7"/>
          <w:sz w:val="24"/>
          <w:szCs w:val="24"/>
          <w14:textFill>
            <w14:solidFill>
              <w14:schemeClr w14:val="tx1"/>
            </w14:solidFill>
          </w14:textFill>
        </w:rPr>
        <w:t>3.3.1投标人在投标文件应注明其所投标的标书编号及投标企业名称，投标报价（须</w:t>
      </w:r>
      <w:r>
        <w:rPr>
          <w:rFonts w:ascii="宋体" w:hAnsi="宋体" w:eastAsia="宋体" w:cs="宋体"/>
          <w:color w:val="000000" w:themeColor="text1"/>
          <w:spacing w:val="-2"/>
          <w:sz w:val="24"/>
          <w:szCs w:val="24"/>
          <w14:textFill>
            <w14:solidFill>
              <w14:schemeClr w14:val="tx1"/>
            </w14:solidFill>
          </w14:textFill>
        </w:rPr>
        <w:t>按人民币报价）。</w:t>
      </w:r>
    </w:p>
    <w:p w14:paraId="261A5B4E">
      <w:pPr>
        <w:keepNext w:val="0"/>
        <w:keepLines w:val="0"/>
        <w:pageBreakBefore w:val="0"/>
        <w:kinsoku/>
        <w:wordWrap/>
        <w:overflowPunct/>
        <w:topLinePunct w:val="0"/>
        <w:bidi w:val="0"/>
        <w:spacing w:before="184" w:line="218" w:lineRule="auto"/>
        <w:ind w:left="612"/>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（1）供应商应按照单价、总价分别报价。</w:t>
      </w:r>
    </w:p>
    <w:p w14:paraId="2604D5C3">
      <w:pPr>
        <w:keepNext w:val="0"/>
        <w:keepLines w:val="0"/>
        <w:pageBreakBefore w:val="0"/>
        <w:kinsoku/>
        <w:wordWrap/>
        <w:overflowPunct/>
        <w:topLinePunct w:val="0"/>
        <w:bidi w:val="0"/>
        <w:spacing w:before="184" w:line="290" w:lineRule="auto"/>
        <w:ind w:left="123" w:right="8" w:firstLine="489"/>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（2）各项报价应包括拟提供货物的运输、现场养护、质保、以及人员培训和服务</w:t>
      </w:r>
      <w:r>
        <w:rPr>
          <w:rFonts w:ascii="宋体" w:hAnsi="宋体" w:eastAsia="宋体" w:cs="宋体"/>
          <w:color w:val="000000" w:themeColor="text1"/>
          <w:spacing w:val="-2"/>
          <w:sz w:val="24"/>
          <w:szCs w:val="24"/>
          <w14:textFill>
            <w14:solidFill>
              <w14:schemeClr w14:val="tx1"/>
            </w14:solidFill>
          </w14:textFill>
        </w:rPr>
        <w:t>等全部费用。</w:t>
      </w:r>
    </w:p>
    <w:p w14:paraId="47C82143">
      <w:pPr>
        <w:keepNext w:val="0"/>
        <w:keepLines w:val="0"/>
        <w:pageBreakBefore w:val="0"/>
        <w:kinsoku/>
        <w:wordWrap/>
        <w:overflowPunct/>
        <w:topLinePunct w:val="0"/>
        <w:bidi w:val="0"/>
        <w:spacing w:before="183" w:line="287" w:lineRule="auto"/>
        <w:ind w:left="120" w:right="8" w:firstLine="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3.3.2凡涉及招标文件的补充说明或修正</w:t>
      </w:r>
      <w:r>
        <w:rPr>
          <w:rFonts w:ascii="宋体" w:hAnsi="宋体" w:eastAsia="宋体" w:cs="宋体"/>
          <w:color w:val="000000" w:themeColor="text1"/>
          <w:spacing w:val="-1"/>
          <w:sz w:val="24"/>
          <w:szCs w:val="24"/>
          <w14:textFill>
            <w14:solidFill>
              <w14:schemeClr w14:val="tx1"/>
            </w14:solidFill>
          </w14:textFill>
        </w:rPr>
        <w:t>，均以招标代理机构在新疆政府采购网政</w:t>
      </w:r>
      <w:r>
        <w:rPr>
          <w:rFonts w:ascii="宋体" w:hAnsi="宋体" w:eastAsia="宋体" w:cs="宋体"/>
          <w:color w:val="000000" w:themeColor="text1"/>
          <w:sz w:val="24"/>
          <w:szCs w:val="24"/>
          <w14:textFill>
            <w14:solidFill>
              <w14:schemeClr w14:val="tx1"/>
            </w14:solidFill>
          </w14:textFill>
        </w:rPr>
        <w:t>采云平台（http://www.ccgp-xinjiang.gov.cn/</w:t>
      </w:r>
      <w:r>
        <w:rPr>
          <w:rFonts w:ascii="宋体" w:hAnsi="宋体" w:eastAsia="宋体" w:cs="宋体"/>
          <w:color w:val="000000" w:themeColor="text1"/>
          <w:spacing w:val="-1"/>
          <w:sz w:val="24"/>
          <w:szCs w:val="24"/>
          <w14:textFill>
            <w14:solidFill>
              <w14:schemeClr w14:val="tx1"/>
            </w14:solidFill>
          </w14:textFill>
        </w:rPr>
        <w:t>）发布澄清文件为准。</w:t>
      </w:r>
    </w:p>
    <w:p w14:paraId="3CEE42B5">
      <w:pPr>
        <w:keepNext w:val="0"/>
        <w:keepLines w:val="0"/>
        <w:pageBreakBefore w:val="0"/>
        <w:kinsoku/>
        <w:wordWrap/>
        <w:overflowPunct/>
        <w:topLinePunct w:val="0"/>
        <w:bidi w:val="0"/>
        <w:spacing w:before="190" w:line="219" w:lineRule="auto"/>
        <w:ind w:left="60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3.4商务条款：本次招标的采购资金由需方支付。</w:t>
      </w:r>
    </w:p>
    <w:p w14:paraId="2FC29D16">
      <w:pPr>
        <w:keepNext w:val="0"/>
        <w:keepLines w:val="0"/>
        <w:pageBreakBefore w:val="0"/>
        <w:kinsoku/>
        <w:wordWrap/>
        <w:overflowPunct/>
        <w:topLinePunct w:val="0"/>
        <w:bidi w:val="0"/>
        <w:spacing w:before="183" w:line="218" w:lineRule="auto"/>
        <w:ind w:left="60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3.4.1报价方式与价格：</w:t>
      </w:r>
    </w:p>
    <w:p w14:paraId="09A7A5F4">
      <w:pPr>
        <w:keepNext w:val="0"/>
        <w:keepLines w:val="0"/>
        <w:pageBreakBefore w:val="0"/>
        <w:kinsoku/>
        <w:wordWrap/>
        <w:overflowPunct/>
        <w:topLinePunct w:val="0"/>
        <w:bidi w:val="0"/>
        <w:spacing w:before="185" w:line="346" w:lineRule="auto"/>
        <w:ind w:left="125" w:right="8" w:firstLine="492"/>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1.供应商提交的第一次报价以《磋商报价一览表》为准，只允许有一个报价</w:t>
      </w:r>
      <w:r>
        <w:rPr>
          <w:rFonts w:ascii="宋体" w:hAnsi="宋体" w:eastAsia="宋体" w:cs="宋体"/>
          <w:color w:val="000000" w:themeColor="text1"/>
          <w:spacing w:val="-3"/>
          <w:sz w:val="24"/>
          <w:szCs w:val="24"/>
          <w14:textFill>
            <w14:solidFill>
              <w14:schemeClr w14:val="tx1"/>
            </w14:solidFill>
          </w14:textFill>
        </w:rPr>
        <w:t>，不接</w:t>
      </w:r>
      <w:r>
        <w:rPr>
          <w:rFonts w:ascii="宋体" w:hAnsi="宋体" w:eastAsia="宋体" w:cs="宋体"/>
          <w:color w:val="000000" w:themeColor="text1"/>
          <w:spacing w:val="-2"/>
          <w:sz w:val="24"/>
          <w:szCs w:val="24"/>
          <w14:textFill>
            <w14:solidFill>
              <w14:schemeClr w14:val="tx1"/>
            </w14:solidFill>
          </w14:textFill>
        </w:rPr>
        <w:t>受有选择性的报价。</w:t>
      </w:r>
    </w:p>
    <w:p w14:paraId="78340CE3">
      <w:pPr>
        <w:keepNext w:val="0"/>
        <w:keepLines w:val="0"/>
        <w:pageBreakBefore w:val="0"/>
        <w:kinsoku/>
        <w:wordWrap/>
        <w:overflowPunct/>
        <w:topLinePunct w:val="0"/>
        <w:bidi w:val="0"/>
        <w:spacing w:before="36" w:line="346" w:lineRule="auto"/>
        <w:ind w:left="125" w:right="8" w:firstLine="478"/>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2.经过答疑及磋商后，供应商可结合自身实际情况进行最终（二次）报价，最终磋</w:t>
      </w:r>
      <w:r>
        <w:rPr>
          <w:rFonts w:ascii="宋体" w:hAnsi="宋体" w:eastAsia="宋体" w:cs="宋体"/>
          <w:color w:val="000000" w:themeColor="text1"/>
          <w:spacing w:val="-1"/>
          <w:sz w:val="24"/>
          <w:szCs w:val="24"/>
          <w14:textFill>
            <w14:solidFill>
              <w14:schemeClr w14:val="tx1"/>
            </w14:solidFill>
          </w14:textFill>
        </w:rPr>
        <w:t>商报价以供应商在线签章确认的为准。</w:t>
      </w:r>
    </w:p>
    <w:p w14:paraId="3A2B68FD">
      <w:pPr>
        <w:keepNext w:val="0"/>
        <w:keepLines w:val="0"/>
        <w:pageBreakBefore w:val="0"/>
        <w:kinsoku/>
        <w:wordWrap/>
        <w:overflowPunct/>
        <w:topLinePunct w:val="0"/>
        <w:bidi w:val="0"/>
        <w:spacing w:before="37" w:line="218" w:lineRule="auto"/>
        <w:ind w:left="605"/>
        <w:rPr>
          <w:rFonts w:ascii="宋体" w:hAnsi="宋体" w:eastAsia="宋体" w:cs="宋体"/>
          <w:color w:val="000000" w:themeColor="text1"/>
          <w:spacing w:val="-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3.所有有效供应商的最终报价解密后统一公布。</w:t>
      </w:r>
    </w:p>
    <w:p w14:paraId="023227DC">
      <w:pPr>
        <w:keepNext w:val="0"/>
        <w:keepLines w:val="0"/>
        <w:pageBreakBefore w:val="0"/>
        <w:kinsoku/>
        <w:wordWrap/>
        <w:overflowPunct/>
        <w:topLinePunct w:val="0"/>
        <w:bidi w:val="0"/>
        <w:spacing w:before="78" w:line="347" w:lineRule="auto"/>
        <w:ind w:right="72" w:firstLine="472" w:firstLineChars="200"/>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投标价格包括该商品的主要货物、运输（到施工现场）、运杂保险、装卸、质保、</w:t>
      </w:r>
      <w:r>
        <w:rPr>
          <w:rFonts w:ascii="宋体" w:hAnsi="宋体" w:eastAsia="宋体" w:cs="宋体"/>
          <w:color w:val="000000" w:themeColor="text1"/>
          <w:spacing w:val="-1"/>
          <w:sz w:val="24"/>
          <w:szCs w:val="24"/>
          <w14:textFill>
            <w14:solidFill>
              <w14:schemeClr w14:val="tx1"/>
            </w14:solidFill>
          </w14:textFill>
        </w:rPr>
        <w:t>售后服务、养护、管理、税金等一切费用。</w:t>
      </w:r>
    </w:p>
    <w:p w14:paraId="7672F610">
      <w:pPr>
        <w:keepNext w:val="0"/>
        <w:keepLines w:val="0"/>
        <w:pageBreakBefore w:val="0"/>
        <w:kinsoku/>
        <w:wordWrap/>
        <w:overflowPunct/>
        <w:topLinePunct w:val="0"/>
        <w:bidi w:val="0"/>
        <w:spacing w:before="34"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3.4.2付款步骤：</w:t>
      </w:r>
    </w:p>
    <w:p w14:paraId="619D7115">
      <w:pPr>
        <w:keepNext w:val="0"/>
        <w:keepLines w:val="0"/>
        <w:pageBreakBefore w:val="0"/>
        <w:kinsoku/>
        <w:wordWrap/>
        <w:overflowPunct/>
        <w:topLinePunct w:val="0"/>
        <w:bidi w:val="0"/>
        <w:spacing w:before="183" w:line="219" w:lineRule="auto"/>
        <w:ind w:left="481"/>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合同签订后按照双方合同约定支付。</w:t>
      </w:r>
    </w:p>
    <w:p w14:paraId="43456105">
      <w:pPr>
        <w:keepNext w:val="0"/>
        <w:keepLines w:val="0"/>
        <w:pageBreakBefore w:val="0"/>
        <w:kinsoku/>
        <w:wordWrap/>
        <w:overflowPunct/>
        <w:topLinePunct w:val="0"/>
        <w:bidi w:val="0"/>
        <w:spacing w:before="183"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3.4.3付款方式：按照合同约定。</w:t>
      </w:r>
    </w:p>
    <w:p w14:paraId="63B16305">
      <w:pPr>
        <w:keepNext w:val="0"/>
        <w:keepLines w:val="0"/>
        <w:pageBreakBefore w:val="0"/>
        <w:kinsoku/>
        <w:wordWrap/>
        <w:overflowPunct/>
        <w:topLinePunct w:val="0"/>
        <w:bidi w:val="0"/>
        <w:spacing w:before="182" w:line="219" w:lineRule="auto"/>
        <w:ind w:left="485"/>
        <w:rPr>
          <w:rFonts w:hint="eastAsia" w:ascii="宋体" w:hAnsi="宋体" w:eastAsia="宋体" w:cs="宋体"/>
          <w:color w:val="000000" w:themeColor="text1"/>
          <w:sz w:val="24"/>
          <w:szCs w:val="24"/>
          <w:lang w:val="en-US" w:eastAsia="zh-CN"/>
          <w14:textFill>
            <w14:solidFill>
              <w14:schemeClr w14:val="tx1"/>
            </w14:solidFill>
          </w14:textFill>
        </w:rPr>
      </w:pPr>
      <w:r>
        <w:rPr>
          <w:rFonts w:ascii="宋体" w:hAnsi="宋体" w:eastAsia="宋体" w:cs="宋体"/>
          <w:color w:val="000000" w:themeColor="text1"/>
          <w:spacing w:val="-4"/>
          <w:sz w:val="24"/>
          <w:szCs w:val="24"/>
          <w14:textFill>
            <w14:solidFill>
              <w14:schemeClr w14:val="tx1"/>
            </w14:solidFill>
          </w14:textFill>
        </w:rPr>
        <w:t>3.5</w:t>
      </w:r>
      <w:r>
        <w:rPr>
          <w:rFonts w:hint="eastAsia" w:ascii="宋体" w:hAnsi="宋体" w:eastAsia="宋体" w:cs="宋体"/>
          <w:color w:val="000000" w:themeColor="text1"/>
          <w:spacing w:val="-4"/>
          <w:sz w:val="24"/>
          <w:szCs w:val="24"/>
          <w:lang w:val="en-US" w:eastAsia="zh-CN"/>
          <w14:textFill>
            <w14:solidFill>
              <w14:schemeClr w14:val="tx1"/>
            </w14:solidFill>
          </w14:textFill>
        </w:rPr>
        <w:t>服务期限</w:t>
      </w:r>
      <w:r>
        <w:rPr>
          <w:rFonts w:ascii="宋体" w:hAnsi="宋体" w:eastAsia="宋体" w:cs="宋体"/>
          <w:color w:val="000000" w:themeColor="text1"/>
          <w:spacing w:val="-4"/>
          <w:sz w:val="24"/>
          <w:szCs w:val="24"/>
          <w14:textFill>
            <w14:solidFill>
              <w14:schemeClr w14:val="tx1"/>
            </w14:solidFill>
          </w14:textFill>
        </w:rPr>
        <w:t>：</w:t>
      </w:r>
      <w:r>
        <w:rPr>
          <w:rFonts w:hint="eastAsia" w:ascii="宋体" w:hAnsi="宋体" w:eastAsia="宋体" w:cs="宋体"/>
          <w:color w:val="000000" w:themeColor="text1"/>
          <w:spacing w:val="-7"/>
          <w:sz w:val="24"/>
          <w:szCs w:val="24"/>
          <w14:textFill>
            <w14:solidFill>
              <w14:schemeClr w14:val="tx1"/>
            </w14:solidFill>
          </w14:textFill>
        </w:rPr>
        <w:t>虫害防治6月30号前完成，鼠害防治6月30号前完成。</w:t>
      </w:r>
    </w:p>
    <w:p w14:paraId="0F12F919">
      <w:pPr>
        <w:keepNext w:val="0"/>
        <w:keepLines w:val="0"/>
        <w:pageBreakBefore w:val="0"/>
        <w:kinsoku/>
        <w:wordWrap/>
        <w:overflowPunct/>
        <w:topLinePunct w:val="0"/>
        <w:bidi w:val="0"/>
        <w:spacing w:before="184"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3.6质保期及售后服务：</w:t>
      </w:r>
    </w:p>
    <w:p w14:paraId="3CB700AC">
      <w:pPr>
        <w:keepNext w:val="0"/>
        <w:keepLines w:val="0"/>
        <w:pageBreakBefore w:val="0"/>
        <w:kinsoku/>
        <w:wordWrap/>
        <w:overflowPunct/>
        <w:topLinePunct w:val="0"/>
        <w:bidi w:val="0"/>
        <w:spacing w:before="182" w:line="219" w:lineRule="auto"/>
        <w:ind w:left="523"/>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3"/>
          <w:sz w:val="24"/>
          <w:szCs w:val="24"/>
          <w14:textFill>
            <w14:solidFill>
              <w14:schemeClr w14:val="tx1"/>
            </w14:solidFill>
          </w14:textFill>
        </w:rPr>
        <w:t>(1)提供1年质保期，包含货物、材料、施工等项目所涉及的所有内容。</w:t>
      </w:r>
    </w:p>
    <w:p w14:paraId="14E073B2">
      <w:pPr>
        <w:keepNext w:val="0"/>
        <w:keepLines w:val="0"/>
        <w:pageBreakBefore w:val="0"/>
        <w:kinsoku/>
        <w:wordWrap/>
        <w:overflowPunct/>
        <w:topLinePunct w:val="0"/>
        <w:bidi w:val="0"/>
        <w:spacing w:before="183" w:line="219" w:lineRule="auto"/>
        <w:ind w:left="523"/>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(2)提供质保期满后备品、备件支持，以满足最终用户的要求；</w:t>
      </w:r>
    </w:p>
    <w:p w14:paraId="726E4B87">
      <w:pPr>
        <w:keepNext w:val="0"/>
        <w:keepLines w:val="0"/>
        <w:pageBreakBefore w:val="0"/>
        <w:kinsoku/>
        <w:wordWrap/>
        <w:overflowPunct/>
        <w:topLinePunct w:val="0"/>
        <w:bidi w:val="0"/>
        <w:spacing w:before="182" w:line="325" w:lineRule="auto"/>
        <w:ind w:right="77" w:firstLine="523"/>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(3)在质保期内应免费更换。在质保期内</w:t>
      </w:r>
      <w:r>
        <w:rPr>
          <w:rFonts w:ascii="宋体" w:hAnsi="宋体" w:eastAsia="宋体" w:cs="宋体"/>
          <w:color w:val="000000" w:themeColor="text1"/>
          <w:sz w:val="24"/>
          <w:szCs w:val="24"/>
          <w14:textFill>
            <w14:solidFill>
              <w14:schemeClr w14:val="tx1"/>
            </w14:solidFill>
          </w14:textFill>
        </w:rPr>
        <w:t>电话应保持畅通，提供第二个工作日上门</w:t>
      </w:r>
      <w:r>
        <w:rPr>
          <w:rFonts w:ascii="宋体" w:hAnsi="宋体" w:eastAsia="宋体" w:cs="宋体"/>
          <w:color w:val="000000" w:themeColor="text1"/>
          <w:spacing w:val="1"/>
          <w:sz w:val="24"/>
          <w:szCs w:val="24"/>
          <w14:textFill>
            <w14:solidFill>
              <w14:schemeClr w14:val="tx1"/>
            </w14:solidFill>
          </w14:textFill>
        </w:rPr>
        <w:t>服务，承诺尽力在最短时间内到达现场解决响应问题，如果不能在48小时</w:t>
      </w:r>
      <w:r>
        <w:rPr>
          <w:rFonts w:ascii="宋体" w:hAnsi="宋体" w:eastAsia="宋体" w:cs="宋体"/>
          <w:color w:val="000000" w:themeColor="text1"/>
          <w:sz w:val="24"/>
          <w:szCs w:val="24"/>
          <w14:textFill>
            <w14:solidFill>
              <w14:schemeClr w14:val="tx1"/>
            </w14:solidFill>
          </w14:textFill>
        </w:rPr>
        <w:t>内排除甲方</w:t>
      </w:r>
      <w:r>
        <w:rPr>
          <w:rFonts w:ascii="宋体" w:hAnsi="宋体" w:eastAsia="宋体" w:cs="宋体"/>
          <w:color w:val="000000" w:themeColor="text1"/>
          <w:spacing w:val="1"/>
          <w:sz w:val="24"/>
          <w:szCs w:val="24"/>
          <w14:textFill>
            <w14:solidFill>
              <w14:schemeClr w14:val="tx1"/>
            </w14:solidFill>
          </w14:textFill>
        </w:rPr>
        <w:t>难题，应提供免费替换服务，如果在接到通知后的48个小时内未作出响应，则造成的</w:t>
      </w:r>
      <w:r>
        <w:rPr>
          <w:rFonts w:ascii="宋体" w:hAnsi="宋体" w:eastAsia="宋体" w:cs="宋体"/>
          <w:color w:val="000000" w:themeColor="text1"/>
          <w:spacing w:val="-1"/>
          <w:sz w:val="24"/>
          <w:szCs w:val="24"/>
          <w14:textFill>
            <w14:solidFill>
              <w14:schemeClr w14:val="tx1"/>
            </w14:solidFill>
          </w14:textFill>
        </w:rPr>
        <w:t>全部损失由货物提供方承担；</w:t>
      </w:r>
    </w:p>
    <w:p w14:paraId="5E29550B">
      <w:pPr>
        <w:keepNext w:val="0"/>
        <w:keepLines w:val="0"/>
        <w:pageBreakBefore w:val="0"/>
        <w:kinsoku/>
        <w:wordWrap/>
        <w:overflowPunct/>
        <w:topLinePunct w:val="0"/>
        <w:bidi w:val="0"/>
        <w:spacing w:before="184" w:line="313" w:lineRule="auto"/>
        <w:ind w:right="80" w:firstLine="642"/>
        <w:rPr>
          <w:rFonts w:ascii="宋体" w:hAnsi="宋体" w:eastAsia="宋体" w:cs="宋体"/>
          <w:color w:val="000000" w:themeColor="text1"/>
          <w:spacing w:val="-1"/>
          <w:sz w:val="24"/>
          <w:szCs w:val="24"/>
          <w14:textFill>
            <w14:solidFill>
              <w14:schemeClr w14:val="tx1"/>
            </w14:solidFill>
          </w14:textFill>
        </w:rPr>
      </w:pPr>
      <w:r>
        <w:rPr>
          <w:rFonts w:ascii="宋体" w:hAnsi="宋体" w:eastAsia="宋体" w:cs="宋体"/>
          <w:color w:val="000000" w:themeColor="text1"/>
          <w:spacing w:val="-3"/>
          <w:sz w:val="24"/>
          <w:szCs w:val="24"/>
          <w14:textFill>
            <w14:solidFill>
              <w14:schemeClr w14:val="tx1"/>
            </w14:solidFill>
          </w14:textFill>
        </w:rPr>
        <w:t>(4)投标人应说明服务的响应时间，取费标准，在养护期内，有责任解决所提供的</w:t>
      </w:r>
      <w:r>
        <w:rPr>
          <w:rFonts w:ascii="宋体" w:hAnsi="宋体" w:eastAsia="宋体" w:cs="宋体"/>
          <w:color w:val="000000" w:themeColor="text1"/>
          <w:spacing w:val="-2"/>
          <w:sz w:val="24"/>
          <w:szCs w:val="24"/>
          <w14:textFill>
            <w14:solidFill>
              <w14:schemeClr w14:val="tx1"/>
            </w14:solidFill>
          </w14:textFill>
        </w:rPr>
        <w:t>货物的任何问题，在质保期满后，当需要时，货物提供方仍须对因投标货物本身的固有</w:t>
      </w:r>
      <w:r>
        <w:rPr>
          <w:rFonts w:ascii="宋体" w:hAnsi="宋体" w:eastAsia="宋体" w:cs="宋体"/>
          <w:color w:val="000000" w:themeColor="text1"/>
          <w:spacing w:val="-1"/>
          <w:sz w:val="24"/>
          <w:szCs w:val="24"/>
          <w14:textFill>
            <w14:solidFill>
              <w14:schemeClr w14:val="tx1"/>
            </w14:solidFill>
          </w14:textFill>
        </w:rPr>
        <w:t>缺陷和瑕疵承担责任。</w:t>
      </w:r>
    </w:p>
    <w:p w14:paraId="68D23C0F">
      <w:pPr>
        <w:pStyle w:val="2"/>
        <w:keepNext w:val="0"/>
        <w:keepLines w:val="0"/>
        <w:pageBreakBefore w:val="0"/>
        <w:kinsoku/>
        <w:wordWrap/>
        <w:overflowPunct/>
        <w:topLinePunct w:val="0"/>
        <w:bidi w:val="0"/>
        <w:rPr>
          <w:rFonts w:ascii="宋体" w:hAnsi="宋体" w:eastAsia="宋体" w:cs="宋体"/>
          <w:color w:val="000000" w:themeColor="text1"/>
          <w:spacing w:val="-1"/>
          <w:sz w:val="24"/>
          <w:szCs w:val="24"/>
          <w14:textFill>
            <w14:solidFill>
              <w14:schemeClr w14:val="tx1"/>
            </w14:solidFill>
          </w14:textFill>
        </w:rPr>
      </w:pPr>
    </w:p>
    <w:p w14:paraId="13A51163">
      <w:pPr>
        <w:keepNext w:val="0"/>
        <w:keepLines w:val="0"/>
        <w:pageBreakBefore w:val="0"/>
        <w:kinsoku/>
        <w:wordWrap/>
        <w:overflowPunct/>
        <w:topLinePunct w:val="0"/>
        <w:bidi w:val="0"/>
        <w:spacing w:before="78" w:line="314" w:lineRule="auto"/>
        <w:ind w:right="80" w:firstLine="523"/>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(5)质保期内中标人有责任对设备进行不</w:t>
      </w:r>
      <w:r>
        <w:rPr>
          <w:rFonts w:ascii="宋体" w:hAnsi="宋体" w:eastAsia="宋体" w:cs="宋体"/>
          <w:color w:val="000000" w:themeColor="text1"/>
          <w:sz w:val="24"/>
          <w:szCs w:val="24"/>
          <w14:textFill>
            <w14:solidFill>
              <w14:schemeClr w14:val="tx1"/>
            </w14:solidFill>
          </w14:textFill>
        </w:rPr>
        <w:t>定期的巡查。投标人视自身能力在投标文</w:t>
      </w:r>
      <w:r>
        <w:rPr>
          <w:rFonts w:ascii="宋体" w:hAnsi="宋体" w:eastAsia="宋体" w:cs="宋体"/>
          <w:color w:val="000000" w:themeColor="text1"/>
          <w:spacing w:val="-2"/>
          <w:sz w:val="24"/>
          <w:szCs w:val="24"/>
          <w14:textFill>
            <w14:solidFill>
              <w14:schemeClr w14:val="tx1"/>
            </w14:solidFill>
          </w14:textFill>
        </w:rPr>
        <w:t>件中提供更优、更合理的维修服务承诺，中标人须有属本公司的可随时上门的售后服务</w:t>
      </w:r>
      <w:r>
        <w:rPr>
          <w:rFonts w:ascii="宋体" w:hAnsi="宋体" w:eastAsia="宋体" w:cs="宋体"/>
          <w:color w:val="000000" w:themeColor="text1"/>
          <w:spacing w:val="-3"/>
          <w:sz w:val="24"/>
          <w:szCs w:val="24"/>
          <w14:textFill>
            <w14:solidFill>
              <w14:schemeClr w14:val="tx1"/>
            </w14:solidFill>
          </w14:textFill>
        </w:rPr>
        <w:t>人员。</w:t>
      </w:r>
    </w:p>
    <w:p w14:paraId="1CEA377D">
      <w:pPr>
        <w:keepNext w:val="0"/>
        <w:keepLines w:val="0"/>
        <w:pageBreakBefore w:val="0"/>
        <w:kinsoku/>
        <w:wordWrap/>
        <w:overflowPunct/>
        <w:topLinePunct w:val="0"/>
        <w:bidi w:val="0"/>
        <w:spacing w:before="184"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3.7</w:t>
      </w:r>
      <w:r>
        <w:rPr>
          <w:rFonts w:ascii="宋体" w:hAnsi="宋体" w:eastAsia="宋体" w:cs="宋体"/>
          <w:color w:val="000000" w:themeColor="text1"/>
          <w:spacing w:val="-2"/>
          <w:sz w:val="24"/>
          <w:szCs w:val="24"/>
          <w14:textFill>
            <w14:solidFill>
              <w14:schemeClr w14:val="tx1"/>
            </w14:solidFill>
          </w14:textFill>
        </w:rPr>
        <w:t>投标文件以中文资料为准。</w:t>
      </w:r>
    </w:p>
    <w:p w14:paraId="14A79CAE">
      <w:pPr>
        <w:keepNext w:val="0"/>
        <w:keepLines w:val="0"/>
        <w:pageBreakBefore w:val="0"/>
        <w:kinsoku/>
        <w:wordWrap/>
        <w:overflowPunct/>
        <w:topLinePunct w:val="0"/>
        <w:bidi w:val="0"/>
        <w:spacing w:before="183" w:line="219" w:lineRule="auto"/>
        <w:ind w:left="48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3.</w:t>
      </w:r>
      <w:r>
        <w:rPr>
          <w:rFonts w:hint="eastAsia" w:ascii="宋体" w:hAnsi="宋体" w:eastAsia="宋体" w:cs="宋体"/>
          <w:color w:val="000000" w:themeColor="text1"/>
          <w:spacing w:val="-1"/>
          <w:sz w:val="24"/>
          <w:szCs w:val="24"/>
          <w:lang w:val="en-US" w:eastAsia="zh-CN"/>
          <w14:textFill>
            <w14:solidFill>
              <w14:schemeClr w14:val="tx1"/>
            </w14:solidFill>
          </w14:textFill>
        </w:rPr>
        <w:t>8</w:t>
      </w:r>
      <w:r>
        <w:rPr>
          <w:rFonts w:ascii="宋体" w:hAnsi="宋体" w:eastAsia="宋体" w:cs="宋体"/>
          <w:color w:val="000000" w:themeColor="text1"/>
          <w:spacing w:val="-1"/>
          <w:sz w:val="24"/>
          <w:szCs w:val="24"/>
          <w14:textFill>
            <w14:solidFill>
              <w14:schemeClr w14:val="tx1"/>
            </w14:solidFill>
          </w14:textFill>
        </w:rPr>
        <w:t>招标文件和投标文件是合同的不可分割的部</w:t>
      </w:r>
      <w:r>
        <w:rPr>
          <w:rFonts w:ascii="宋体" w:hAnsi="宋体" w:eastAsia="宋体" w:cs="宋体"/>
          <w:color w:val="000000" w:themeColor="text1"/>
          <w:spacing w:val="-2"/>
          <w:sz w:val="24"/>
          <w:szCs w:val="24"/>
          <w14:textFill>
            <w14:solidFill>
              <w14:schemeClr w14:val="tx1"/>
            </w14:solidFill>
          </w14:textFill>
        </w:rPr>
        <w:t>分。</w:t>
      </w:r>
    </w:p>
    <w:p w14:paraId="4F779EAB">
      <w:pPr>
        <w:pStyle w:val="2"/>
        <w:keepNext w:val="0"/>
        <w:keepLines w:val="0"/>
        <w:pageBreakBefore w:val="0"/>
        <w:kinsoku/>
        <w:wordWrap/>
        <w:overflowPunct/>
        <w:topLinePunct w:val="0"/>
        <w:bidi w:val="0"/>
        <w:spacing w:line="500" w:lineRule="exact"/>
        <w:rPr>
          <w:rFonts w:ascii="Times New Roman" w:hAnsi="Times New Roman" w:cs="Times New Roman"/>
          <w:bCs/>
          <w:color w:val="000000" w:themeColor="text1"/>
          <w:sz w:val="28"/>
          <w:szCs w:val="28"/>
          <w14:textFill>
            <w14:solidFill>
              <w14:schemeClr w14:val="tx1"/>
            </w14:solidFill>
          </w14:textFill>
        </w:rPr>
        <w:sectPr>
          <w:headerReference r:id="rId8" w:type="default"/>
          <w:footerReference r:id="rId9" w:type="default"/>
          <w:pgSz w:w="11906" w:h="16838"/>
          <w:pgMar w:top="1440" w:right="1080" w:bottom="1440" w:left="1080" w:header="851" w:footer="992" w:gutter="0"/>
          <w:pgNumType w:fmt="decimal"/>
          <w:cols w:space="425" w:num="1"/>
          <w:docGrid w:linePitch="312" w:charSpace="0"/>
        </w:sectPr>
      </w:pPr>
    </w:p>
    <w:p w14:paraId="180A3033">
      <w:pPr>
        <w:keepNext w:val="0"/>
        <w:keepLines w:val="0"/>
        <w:pageBreakBefore w:val="0"/>
        <w:kinsoku/>
        <w:wordWrap/>
        <w:overflowPunct/>
        <w:topLinePunct w:val="0"/>
        <w:bidi w:val="0"/>
        <w:spacing w:before="100" w:line="224" w:lineRule="auto"/>
        <w:ind w:left="2012"/>
        <w:outlineLvl w:val="0"/>
        <w:rPr>
          <w:rFonts w:ascii="宋体" w:hAnsi="宋体" w:eastAsia="宋体" w:cs="宋体"/>
          <w:sz w:val="31"/>
          <w:szCs w:val="31"/>
        </w:rPr>
      </w:pPr>
      <w:bookmarkStart w:id="4" w:name="_Toc732"/>
      <w:r>
        <w:rPr>
          <w:rFonts w:ascii="宋体" w:hAnsi="宋体" w:eastAsia="宋体" w:cs="宋体"/>
          <w:b/>
          <w:bCs/>
          <w:spacing w:val="5"/>
          <w:sz w:val="31"/>
          <w:szCs w:val="31"/>
        </w:rPr>
        <w:t>第四章评审程序、评审方法和评审标准</w:t>
      </w:r>
      <w:bookmarkEnd w:id="4"/>
    </w:p>
    <w:p w14:paraId="103D903C">
      <w:pPr>
        <w:keepNext w:val="0"/>
        <w:keepLines w:val="0"/>
        <w:pageBreakBefore w:val="0"/>
        <w:kinsoku/>
        <w:wordWrap/>
        <w:overflowPunct/>
        <w:topLinePunct w:val="0"/>
        <w:bidi w:val="0"/>
        <w:spacing w:before="209" w:line="219" w:lineRule="auto"/>
        <w:ind w:left="498"/>
        <w:rPr>
          <w:rFonts w:ascii="宋体" w:hAnsi="宋体" w:eastAsia="宋体" w:cs="宋体"/>
          <w:sz w:val="24"/>
          <w:szCs w:val="24"/>
        </w:rPr>
      </w:pPr>
      <w:r>
        <w:rPr>
          <w:rFonts w:ascii="宋体" w:hAnsi="宋体" w:eastAsia="宋体" w:cs="宋体"/>
          <w:spacing w:val="-4"/>
          <w:sz w:val="24"/>
          <w:szCs w:val="24"/>
        </w:rPr>
        <w:t>1、确认磋商文件</w:t>
      </w:r>
    </w:p>
    <w:p w14:paraId="70A03343">
      <w:pPr>
        <w:keepNext w:val="0"/>
        <w:keepLines w:val="0"/>
        <w:pageBreakBefore w:val="0"/>
        <w:kinsoku/>
        <w:wordWrap/>
        <w:overflowPunct/>
        <w:topLinePunct w:val="0"/>
        <w:bidi w:val="0"/>
        <w:spacing w:before="183" w:line="219" w:lineRule="auto"/>
        <w:ind w:left="510"/>
        <w:rPr>
          <w:rFonts w:ascii="宋体" w:hAnsi="宋体" w:eastAsia="宋体" w:cs="宋体"/>
          <w:sz w:val="24"/>
          <w:szCs w:val="24"/>
        </w:rPr>
      </w:pPr>
      <w:r>
        <w:rPr>
          <w:rFonts w:ascii="宋体" w:hAnsi="宋体" w:eastAsia="宋体" w:cs="宋体"/>
          <w:spacing w:val="-4"/>
          <w:sz w:val="24"/>
          <w:szCs w:val="24"/>
        </w:rPr>
        <w:t>由磋商小组确认磋商文件。</w:t>
      </w:r>
    </w:p>
    <w:p w14:paraId="72F02610">
      <w:pPr>
        <w:keepNext w:val="0"/>
        <w:keepLines w:val="0"/>
        <w:pageBreakBefore w:val="0"/>
        <w:kinsoku/>
        <w:wordWrap/>
        <w:overflowPunct/>
        <w:topLinePunct w:val="0"/>
        <w:bidi w:val="0"/>
        <w:spacing w:before="183" w:line="219" w:lineRule="auto"/>
        <w:ind w:left="483"/>
        <w:rPr>
          <w:rFonts w:ascii="宋体" w:hAnsi="宋体" w:eastAsia="宋体" w:cs="宋体"/>
          <w:sz w:val="24"/>
          <w:szCs w:val="24"/>
        </w:rPr>
      </w:pPr>
      <w:r>
        <w:rPr>
          <w:rFonts w:ascii="宋体" w:hAnsi="宋体" w:eastAsia="宋体" w:cs="宋体"/>
          <w:spacing w:val="-3"/>
          <w:sz w:val="24"/>
          <w:szCs w:val="24"/>
        </w:rPr>
        <w:t>2、资格审查</w:t>
      </w:r>
    </w:p>
    <w:p w14:paraId="2F9061E2">
      <w:pPr>
        <w:keepNext w:val="0"/>
        <w:keepLines w:val="0"/>
        <w:pageBreakBefore w:val="0"/>
        <w:kinsoku/>
        <w:wordWrap/>
        <w:overflowPunct/>
        <w:topLinePunct w:val="0"/>
        <w:bidi w:val="0"/>
        <w:spacing w:before="183" w:line="219" w:lineRule="auto"/>
        <w:ind w:left="483"/>
        <w:rPr>
          <w:rFonts w:ascii="宋体" w:hAnsi="宋体" w:eastAsia="宋体" w:cs="宋体"/>
          <w:sz w:val="24"/>
          <w:szCs w:val="24"/>
        </w:rPr>
      </w:pPr>
      <w:r>
        <w:rPr>
          <w:rFonts w:ascii="宋体" w:hAnsi="宋体" w:eastAsia="宋体" w:cs="宋体"/>
          <w:sz w:val="24"/>
          <w:szCs w:val="24"/>
        </w:rPr>
        <w:t>2.1响应文件开启后，磋商小组依法对供</w:t>
      </w:r>
      <w:r>
        <w:rPr>
          <w:rFonts w:ascii="宋体" w:hAnsi="宋体" w:eastAsia="宋体" w:cs="宋体"/>
          <w:spacing w:val="-1"/>
          <w:sz w:val="24"/>
          <w:szCs w:val="24"/>
        </w:rPr>
        <w:t>应商的资格证明文件进行审查。</w:t>
      </w:r>
    </w:p>
    <w:p w14:paraId="0A324CA3">
      <w:pPr>
        <w:keepNext w:val="0"/>
        <w:keepLines w:val="0"/>
        <w:pageBreakBefore w:val="0"/>
        <w:kinsoku/>
        <w:wordWrap/>
        <w:overflowPunct/>
        <w:topLinePunct w:val="0"/>
        <w:bidi w:val="0"/>
        <w:spacing w:before="183" w:line="219" w:lineRule="auto"/>
        <w:rPr>
          <w:rFonts w:ascii="宋体" w:hAnsi="宋体" w:eastAsia="宋体" w:cs="宋体"/>
          <w:sz w:val="24"/>
          <w:szCs w:val="24"/>
        </w:rPr>
      </w:pPr>
      <w:r>
        <w:rPr>
          <w:rFonts w:ascii="宋体" w:hAnsi="宋体" w:eastAsia="宋体" w:cs="宋体"/>
          <w:sz w:val="24"/>
          <w:szCs w:val="24"/>
        </w:rPr>
        <w:t>注：采购人代表或者采购代理机构在资格审查结束前，</w:t>
      </w:r>
      <w:r>
        <w:rPr>
          <w:rFonts w:ascii="宋体" w:hAnsi="宋体" w:eastAsia="宋体" w:cs="宋体"/>
          <w:spacing w:val="-1"/>
          <w:sz w:val="24"/>
          <w:szCs w:val="24"/>
        </w:rPr>
        <w:t>对供应商进行信用查询。</w:t>
      </w:r>
    </w:p>
    <w:p w14:paraId="26260C6C">
      <w:pPr>
        <w:keepNext w:val="0"/>
        <w:keepLines w:val="0"/>
        <w:pageBreakBefore w:val="0"/>
        <w:kinsoku/>
        <w:wordWrap/>
        <w:overflowPunct/>
        <w:topLinePunct w:val="0"/>
        <w:bidi w:val="0"/>
        <w:spacing w:before="183" w:line="287" w:lineRule="auto"/>
        <w:ind w:left="23" w:right="72" w:firstLine="499"/>
        <w:rPr>
          <w:rFonts w:ascii="宋体" w:hAnsi="宋体" w:eastAsia="宋体" w:cs="宋体"/>
          <w:sz w:val="24"/>
          <w:szCs w:val="24"/>
        </w:rPr>
      </w:pPr>
      <w:r>
        <w:rPr>
          <w:rFonts w:ascii="宋体" w:hAnsi="宋体" w:eastAsia="宋体" w:cs="宋体"/>
          <w:spacing w:val="-3"/>
          <w:sz w:val="24"/>
          <w:szCs w:val="24"/>
        </w:rPr>
        <w:t>(1)查询渠道：“政采云”平台“信用中国”网站(</w:t>
      </w:r>
      <w:r>
        <w:fldChar w:fldCharType="begin"/>
      </w:r>
      <w:r>
        <w:instrText xml:space="preserve"> HYPERLINK "http://www.creditchina.gov.cn/" </w:instrText>
      </w:r>
      <w:r>
        <w:fldChar w:fldCharType="separate"/>
      </w:r>
      <w:r>
        <w:rPr>
          <w:rFonts w:ascii="宋体" w:hAnsi="宋体" w:eastAsia="宋体" w:cs="宋体"/>
          <w:spacing w:val="-3"/>
          <w:sz w:val="24"/>
          <w:szCs w:val="24"/>
        </w:rPr>
        <w:t>www.creditchina.gov.</w:t>
      </w:r>
      <w:r>
        <w:rPr>
          <w:rFonts w:ascii="宋体" w:hAnsi="宋体" w:eastAsia="宋体" w:cs="宋体"/>
          <w:spacing w:val="-4"/>
          <w:sz w:val="24"/>
          <w:szCs w:val="24"/>
        </w:rPr>
        <w:t>cn</w:t>
      </w:r>
      <w:r>
        <w:rPr>
          <w:rFonts w:ascii="宋体" w:hAnsi="宋体" w:eastAsia="宋体" w:cs="宋体"/>
          <w:spacing w:val="-4"/>
          <w:sz w:val="24"/>
          <w:szCs w:val="24"/>
        </w:rPr>
        <w:fldChar w:fldCharType="end"/>
      </w:r>
      <w:r>
        <w:rPr>
          <w:rFonts w:ascii="宋体" w:hAnsi="宋体" w:eastAsia="宋体" w:cs="宋体"/>
          <w:spacing w:val="-4"/>
          <w:sz w:val="24"/>
          <w:szCs w:val="24"/>
        </w:rPr>
        <w:t>)、</w:t>
      </w:r>
      <w:r>
        <w:rPr>
          <w:rFonts w:ascii="宋体" w:hAnsi="宋体" w:eastAsia="宋体" w:cs="宋体"/>
          <w:spacing w:val="-1"/>
          <w:sz w:val="24"/>
          <w:szCs w:val="24"/>
        </w:rPr>
        <w:t>中国政府采购网(</w:t>
      </w:r>
      <w:r>
        <w:fldChar w:fldCharType="begin"/>
      </w:r>
      <w:r>
        <w:instrText xml:space="preserve"> HYPERLINK "http://www.ccgp.gov.cn/" </w:instrText>
      </w:r>
      <w:r>
        <w:fldChar w:fldCharType="separate"/>
      </w:r>
      <w:r>
        <w:rPr>
          <w:rFonts w:ascii="宋体" w:hAnsi="宋体" w:eastAsia="宋体" w:cs="宋体"/>
          <w:spacing w:val="-1"/>
          <w:sz w:val="24"/>
          <w:szCs w:val="24"/>
        </w:rPr>
        <w:t>www.ccgp.gov.cn</w:t>
      </w:r>
      <w:r>
        <w:rPr>
          <w:rFonts w:ascii="宋体" w:hAnsi="宋体" w:eastAsia="宋体" w:cs="宋体"/>
          <w:spacing w:val="-1"/>
          <w:sz w:val="24"/>
          <w:szCs w:val="24"/>
        </w:rPr>
        <w:fldChar w:fldCharType="end"/>
      </w:r>
      <w:r>
        <w:rPr>
          <w:rFonts w:ascii="宋体" w:hAnsi="宋体" w:eastAsia="宋体" w:cs="宋体"/>
          <w:spacing w:val="-1"/>
          <w:sz w:val="24"/>
          <w:szCs w:val="24"/>
        </w:rPr>
        <w:t>)链</w:t>
      </w:r>
      <w:r>
        <w:rPr>
          <w:rFonts w:ascii="宋体" w:hAnsi="宋体" w:eastAsia="宋体" w:cs="宋体"/>
          <w:spacing w:val="-2"/>
          <w:sz w:val="24"/>
          <w:szCs w:val="24"/>
        </w:rPr>
        <w:t>接入口。</w:t>
      </w:r>
    </w:p>
    <w:p w14:paraId="2BF1D21D">
      <w:pPr>
        <w:keepNext w:val="0"/>
        <w:keepLines w:val="0"/>
        <w:pageBreakBefore w:val="0"/>
        <w:kinsoku/>
        <w:wordWrap/>
        <w:overflowPunct/>
        <w:topLinePunct w:val="0"/>
        <w:bidi w:val="0"/>
        <w:spacing w:before="190" w:line="340" w:lineRule="auto"/>
        <w:ind w:firstLine="523"/>
        <w:rPr>
          <w:rFonts w:ascii="宋体" w:hAnsi="宋体" w:eastAsia="宋体" w:cs="宋体"/>
          <w:sz w:val="24"/>
          <w:szCs w:val="24"/>
        </w:rPr>
      </w:pPr>
      <w:r>
        <w:rPr>
          <w:rFonts w:ascii="宋体" w:hAnsi="宋体" w:eastAsia="宋体" w:cs="宋体"/>
          <w:spacing w:val="-2"/>
          <w:sz w:val="24"/>
          <w:szCs w:val="24"/>
        </w:rPr>
        <w:t>(2)信用信息使用规则：对在“信用中国</w:t>
      </w:r>
      <w:r>
        <w:rPr>
          <w:rFonts w:ascii="宋体" w:hAnsi="宋体" w:eastAsia="宋体" w:cs="宋体"/>
          <w:spacing w:val="-3"/>
          <w:sz w:val="24"/>
          <w:szCs w:val="24"/>
        </w:rPr>
        <w:t>”网站(www.creditchina.gov.cn)、中</w:t>
      </w:r>
      <w:r>
        <w:rPr>
          <w:rFonts w:ascii="宋体" w:hAnsi="宋体" w:eastAsia="宋体" w:cs="宋体"/>
          <w:spacing w:val="-2"/>
          <w:sz w:val="24"/>
          <w:szCs w:val="24"/>
        </w:rPr>
        <w:t>国政府采购网(www.ccgp.gov.cn)被列入失信被执行人、重大税收违法案件当事</w:t>
      </w:r>
      <w:r>
        <w:rPr>
          <w:rFonts w:ascii="宋体" w:hAnsi="宋体" w:eastAsia="宋体" w:cs="宋体"/>
          <w:spacing w:val="-3"/>
          <w:sz w:val="24"/>
          <w:szCs w:val="24"/>
        </w:rPr>
        <w:t>人名单、</w:t>
      </w:r>
      <w:r>
        <w:rPr>
          <w:rFonts w:ascii="宋体" w:hAnsi="宋体" w:eastAsia="宋体" w:cs="宋体"/>
          <w:spacing w:val="-1"/>
          <w:sz w:val="24"/>
          <w:szCs w:val="24"/>
        </w:rPr>
        <w:t>政府采购严重违法失信行为记录名单及其他</w:t>
      </w:r>
      <w:r>
        <w:rPr>
          <w:rFonts w:ascii="宋体" w:hAnsi="宋体" w:eastAsia="宋体" w:cs="宋体"/>
          <w:spacing w:val="-2"/>
          <w:sz w:val="24"/>
          <w:szCs w:val="24"/>
        </w:rPr>
        <w:t>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w:t>
      </w:r>
      <w:r>
        <w:rPr>
          <w:rFonts w:ascii="宋体" w:hAnsi="宋体" w:eastAsia="宋体" w:cs="宋体"/>
          <w:spacing w:val="-1"/>
          <w:sz w:val="24"/>
          <w:szCs w:val="24"/>
        </w:rPr>
        <w:t>联合体存在不良信用记录。</w:t>
      </w:r>
    </w:p>
    <w:p w14:paraId="5C4FEFEB">
      <w:pPr>
        <w:keepNext w:val="0"/>
        <w:keepLines w:val="0"/>
        <w:pageBreakBefore w:val="0"/>
        <w:kinsoku/>
        <w:wordWrap/>
        <w:overflowPunct/>
        <w:topLinePunct w:val="0"/>
        <w:bidi w:val="0"/>
        <w:spacing w:before="182" w:line="219" w:lineRule="auto"/>
        <w:ind w:left="492"/>
        <w:rPr>
          <w:rFonts w:ascii="宋体" w:hAnsi="宋体" w:eastAsia="宋体" w:cs="宋体"/>
          <w:sz w:val="24"/>
          <w:szCs w:val="24"/>
        </w:rPr>
      </w:pPr>
      <w:r>
        <w:rPr>
          <w:rFonts w:ascii="宋体" w:hAnsi="宋体" w:eastAsia="宋体" w:cs="宋体"/>
          <w:spacing w:val="-1"/>
          <w:sz w:val="24"/>
          <w:szCs w:val="24"/>
        </w:rPr>
        <w:t>（3）采购政策按照采购文件等相关要求落实（含中小企业声明函）</w:t>
      </w:r>
    </w:p>
    <w:p w14:paraId="394B32DA">
      <w:pPr>
        <w:keepNext w:val="0"/>
        <w:keepLines w:val="0"/>
        <w:pageBreakBefore w:val="0"/>
        <w:kinsoku/>
        <w:wordWrap/>
        <w:overflowPunct/>
        <w:topLinePunct w:val="0"/>
        <w:bidi w:val="0"/>
        <w:spacing w:before="185" w:line="289" w:lineRule="auto"/>
        <w:ind w:right="80" w:firstLine="482"/>
        <w:rPr>
          <w:rFonts w:ascii="宋体" w:hAnsi="宋体" w:eastAsia="宋体" w:cs="宋体"/>
          <w:sz w:val="24"/>
          <w:szCs w:val="24"/>
        </w:rPr>
      </w:pPr>
      <w:r>
        <w:rPr>
          <w:rFonts w:ascii="宋体" w:hAnsi="宋体" w:eastAsia="宋体" w:cs="宋体"/>
          <w:spacing w:val="-2"/>
          <w:sz w:val="24"/>
          <w:szCs w:val="24"/>
        </w:rPr>
        <w:t>2.2资格审查标准为本磋商文件中载明对供应商资格要求的条件。资格审查采用合</w:t>
      </w:r>
      <w:r>
        <w:rPr>
          <w:rFonts w:ascii="宋体" w:hAnsi="宋体" w:eastAsia="宋体" w:cs="宋体"/>
          <w:sz w:val="24"/>
          <w:szCs w:val="24"/>
        </w:rPr>
        <w:t>格制，凡符合磋商文件规定的供应商资格要求的响</w:t>
      </w:r>
      <w:r>
        <w:rPr>
          <w:rFonts w:ascii="宋体" w:hAnsi="宋体" w:eastAsia="宋体" w:cs="宋体"/>
          <w:spacing w:val="-1"/>
          <w:sz w:val="24"/>
          <w:szCs w:val="24"/>
        </w:rPr>
        <w:t>应文件均通过资格审查。</w:t>
      </w:r>
    </w:p>
    <w:p w14:paraId="7B85420E">
      <w:pPr>
        <w:keepNext w:val="0"/>
        <w:keepLines w:val="0"/>
        <w:pageBreakBefore w:val="0"/>
        <w:kinsoku/>
        <w:wordWrap/>
        <w:overflowPunct/>
        <w:topLinePunct w:val="0"/>
        <w:bidi w:val="0"/>
        <w:spacing w:before="183" w:line="219" w:lineRule="auto"/>
        <w:ind w:left="483"/>
        <w:rPr>
          <w:rFonts w:ascii="宋体" w:hAnsi="宋体" w:eastAsia="宋体" w:cs="宋体"/>
          <w:sz w:val="24"/>
          <w:szCs w:val="24"/>
        </w:rPr>
      </w:pPr>
      <w:r>
        <w:rPr>
          <w:rFonts w:ascii="宋体" w:hAnsi="宋体" w:eastAsia="宋体" w:cs="宋体"/>
          <w:sz w:val="24"/>
          <w:szCs w:val="24"/>
        </w:rPr>
        <w:t>2.3供应商有下列情形之一的，资格审查不通过</w:t>
      </w:r>
      <w:r>
        <w:rPr>
          <w:rFonts w:ascii="宋体" w:hAnsi="宋体" w:eastAsia="宋体" w:cs="宋体"/>
          <w:spacing w:val="-1"/>
          <w:sz w:val="24"/>
          <w:szCs w:val="24"/>
        </w:rPr>
        <w:t>，其响应文件按无效响应处理：</w:t>
      </w:r>
    </w:p>
    <w:p w14:paraId="749AE439">
      <w:pPr>
        <w:keepNext w:val="0"/>
        <w:keepLines w:val="0"/>
        <w:pageBreakBefore w:val="0"/>
        <w:kinsoku/>
        <w:wordWrap/>
        <w:overflowPunct/>
        <w:topLinePunct w:val="0"/>
        <w:bidi w:val="0"/>
        <w:spacing w:before="184" w:line="219" w:lineRule="auto"/>
        <w:ind w:left="523"/>
        <w:rPr>
          <w:rFonts w:ascii="宋体" w:hAnsi="宋体" w:eastAsia="宋体" w:cs="宋体"/>
          <w:sz w:val="24"/>
          <w:szCs w:val="24"/>
        </w:rPr>
      </w:pPr>
      <w:r>
        <w:rPr>
          <w:rFonts w:ascii="宋体" w:hAnsi="宋体" w:eastAsia="宋体" w:cs="宋体"/>
          <w:spacing w:val="-3"/>
          <w:sz w:val="24"/>
          <w:szCs w:val="24"/>
        </w:rPr>
        <w:t>(1)不具备磋商文件中规定的资格要求的；</w:t>
      </w:r>
    </w:p>
    <w:p w14:paraId="5067B761">
      <w:pPr>
        <w:keepNext w:val="0"/>
        <w:keepLines w:val="0"/>
        <w:pageBreakBefore w:val="0"/>
        <w:kinsoku/>
        <w:wordWrap/>
        <w:overflowPunct/>
        <w:topLinePunct w:val="0"/>
        <w:bidi w:val="0"/>
        <w:spacing w:before="184" w:line="289" w:lineRule="auto"/>
        <w:ind w:right="80" w:firstLine="522"/>
        <w:rPr>
          <w:rFonts w:ascii="宋体" w:hAnsi="宋体" w:eastAsia="宋体" w:cs="宋体"/>
          <w:sz w:val="24"/>
          <w:szCs w:val="24"/>
        </w:rPr>
      </w:pPr>
      <w:r>
        <w:rPr>
          <w:rFonts w:ascii="宋体" w:hAnsi="宋体" w:eastAsia="宋体" w:cs="宋体"/>
          <w:spacing w:val="3"/>
          <w:sz w:val="24"/>
          <w:szCs w:val="24"/>
        </w:rPr>
        <w:t>(2)响应文件未提供任一项“供应商须知前附表”资格</w:t>
      </w:r>
      <w:r>
        <w:rPr>
          <w:rFonts w:ascii="宋体" w:hAnsi="宋体" w:eastAsia="宋体" w:cs="宋体"/>
          <w:spacing w:val="2"/>
          <w:sz w:val="24"/>
          <w:szCs w:val="24"/>
        </w:rPr>
        <w:t>证明文件规定的“必须提</w:t>
      </w:r>
      <w:r>
        <w:rPr>
          <w:rFonts w:ascii="宋体" w:hAnsi="宋体" w:eastAsia="宋体" w:cs="宋体"/>
          <w:spacing w:val="-5"/>
          <w:sz w:val="24"/>
          <w:szCs w:val="24"/>
        </w:rPr>
        <w:t>供”的文件资料的；</w:t>
      </w:r>
    </w:p>
    <w:p w14:paraId="77DC46E0">
      <w:pPr>
        <w:keepNext w:val="0"/>
        <w:keepLines w:val="0"/>
        <w:pageBreakBefore w:val="0"/>
        <w:kinsoku/>
        <w:wordWrap/>
        <w:overflowPunct/>
        <w:topLinePunct w:val="0"/>
        <w:bidi w:val="0"/>
        <w:spacing w:before="78" w:line="289" w:lineRule="auto"/>
        <w:ind w:left="4" w:right="59" w:firstLine="517"/>
        <w:rPr>
          <w:rFonts w:ascii="宋体" w:hAnsi="宋体" w:eastAsia="宋体" w:cs="宋体"/>
          <w:spacing w:val="-2"/>
          <w:sz w:val="24"/>
          <w:szCs w:val="24"/>
        </w:rPr>
      </w:pPr>
      <w:r>
        <w:rPr>
          <w:rFonts w:ascii="宋体" w:hAnsi="宋体" w:eastAsia="宋体" w:cs="宋体"/>
          <w:spacing w:val="3"/>
          <w:sz w:val="24"/>
          <w:szCs w:val="24"/>
        </w:rPr>
        <w:t>(3)响应文件提供的资格证明文件出现任一项不符合“供应</w:t>
      </w:r>
      <w:r>
        <w:rPr>
          <w:rFonts w:ascii="宋体" w:hAnsi="宋体" w:eastAsia="宋体" w:cs="宋体"/>
          <w:spacing w:val="2"/>
          <w:sz w:val="24"/>
          <w:szCs w:val="24"/>
        </w:rPr>
        <w:t>商须知前附表”资格</w:t>
      </w:r>
      <w:r>
        <w:rPr>
          <w:rFonts w:ascii="宋体" w:hAnsi="宋体" w:eastAsia="宋体" w:cs="宋体"/>
          <w:spacing w:val="-2"/>
          <w:sz w:val="24"/>
          <w:szCs w:val="24"/>
        </w:rPr>
        <w:t>证明文件规定的“必须提供”的文件资料要求或者无效的。</w:t>
      </w:r>
    </w:p>
    <w:p w14:paraId="02912CED">
      <w:pPr>
        <w:keepNext w:val="0"/>
        <w:keepLines w:val="0"/>
        <w:pageBreakBefore w:val="0"/>
        <w:kinsoku/>
        <w:wordWrap/>
        <w:overflowPunct/>
        <w:topLinePunct w:val="0"/>
        <w:bidi w:val="0"/>
        <w:spacing w:before="78" w:line="289" w:lineRule="auto"/>
        <w:ind w:left="4" w:right="59" w:firstLine="517"/>
        <w:rPr>
          <w:rFonts w:ascii="宋体" w:hAnsi="宋体" w:eastAsia="宋体" w:cs="宋体"/>
          <w:sz w:val="24"/>
          <w:szCs w:val="24"/>
        </w:rPr>
      </w:pPr>
      <w:r>
        <w:rPr>
          <w:rFonts w:ascii="宋体" w:hAnsi="宋体" w:eastAsia="宋体" w:cs="宋体"/>
          <w:spacing w:val="1"/>
          <w:sz w:val="24"/>
          <w:szCs w:val="24"/>
        </w:rPr>
        <w:t>(4)同一合同项下的不同供应商，单位负</w:t>
      </w:r>
      <w:r>
        <w:rPr>
          <w:rFonts w:ascii="宋体" w:hAnsi="宋体" w:eastAsia="宋体" w:cs="宋体"/>
          <w:sz w:val="24"/>
          <w:szCs w:val="24"/>
        </w:rPr>
        <w:t>责人为同一人或者存在直接控股、管理关系的；为本项目提供过整体设计、规范编制或</w:t>
      </w:r>
      <w:r>
        <w:rPr>
          <w:rFonts w:ascii="宋体" w:hAnsi="宋体" w:eastAsia="宋体" w:cs="宋体"/>
          <w:spacing w:val="-1"/>
          <w:sz w:val="24"/>
          <w:szCs w:val="24"/>
        </w:rPr>
        <w:t>者项目管理、监理、检测等服务的。</w:t>
      </w:r>
    </w:p>
    <w:p w14:paraId="0987D6F0">
      <w:pPr>
        <w:keepNext w:val="0"/>
        <w:keepLines w:val="0"/>
        <w:pageBreakBefore w:val="0"/>
        <w:kinsoku/>
        <w:wordWrap/>
        <w:overflowPunct/>
        <w:topLinePunct w:val="0"/>
        <w:bidi w:val="0"/>
        <w:spacing w:before="183" w:line="219" w:lineRule="auto"/>
        <w:ind w:left="482"/>
        <w:rPr>
          <w:rFonts w:ascii="宋体" w:hAnsi="宋体" w:eastAsia="宋体" w:cs="宋体"/>
          <w:sz w:val="24"/>
          <w:szCs w:val="24"/>
        </w:rPr>
      </w:pPr>
      <w:r>
        <w:rPr>
          <w:rFonts w:ascii="宋体" w:hAnsi="宋体" w:eastAsia="宋体" w:cs="宋体"/>
          <w:spacing w:val="-2"/>
          <w:sz w:val="24"/>
          <w:szCs w:val="24"/>
        </w:rPr>
        <w:t>2.4通过资格审查的合格供应商不足3家的，不得进入符</w:t>
      </w:r>
      <w:r>
        <w:rPr>
          <w:rFonts w:ascii="宋体" w:hAnsi="宋体" w:eastAsia="宋体" w:cs="宋体"/>
          <w:spacing w:val="-3"/>
          <w:sz w:val="24"/>
          <w:szCs w:val="24"/>
        </w:rPr>
        <w:t>合性审查环节，采购人或</w:t>
      </w:r>
    </w:p>
    <w:p w14:paraId="7B93C8C4">
      <w:pPr>
        <w:keepNext w:val="0"/>
        <w:keepLines w:val="0"/>
        <w:pageBreakBefore w:val="0"/>
        <w:kinsoku/>
        <w:wordWrap/>
        <w:overflowPunct/>
        <w:topLinePunct w:val="0"/>
        <w:bidi w:val="0"/>
        <w:spacing w:before="183" w:line="347" w:lineRule="auto"/>
        <w:ind w:left="483" w:right="4850" w:hanging="482"/>
        <w:rPr>
          <w:rFonts w:ascii="宋体" w:hAnsi="宋体" w:eastAsia="宋体" w:cs="宋体"/>
          <w:spacing w:val="-3"/>
          <w:sz w:val="24"/>
          <w:szCs w:val="24"/>
        </w:rPr>
      </w:pPr>
      <w:r>
        <w:rPr>
          <w:rFonts w:ascii="宋体" w:hAnsi="宋体" w:eastAsia="宋体" w:cs="宋体"/>
          <w:spacing w:val="-3"/>
          <w:sz w:val="24"/>
          <w:szCs w:val="24"/>
        </w:rPr>
        <w:t>者采购代理机构应当重新开展采购活动。</w:t>
      </w:r>
    </w:p>
    <w:p w14:paraId="14452A32">
      <w:pPr>
        <w:rPr>
          <w:rFonts w:ascii="宋体" w:hAnsi="宋体" w:eastAsia="宋体" w:cs="宋体"/>
          <w:spacing w:val="-3"/>
          <w:sz w:val="24"/>
          <w:szCs w:val="24"/>
        </w:rPr>
      </w:pPr>
      <w:r>
        <w:rPr>
          <w:rFonts w:ascii="宋体" w:hAnsi="宋体" w:eastAsia="宋体" w:cs="宋体"/>
          <w:spacing w:val="-3"/>
          <w:sz w:val="24"/>
          <w:szCs w:val="24"/>
        </w:rPr>
        <w:br w:type="page"/>
      </w:r>
    </w:p>
    <w:p w14:paraId="626DD74A">
      <w:pPr>
        <w:keepNext w:val="0"/>
        <w:keepLines w:val="0"/>
        <w:pageBreakBefore w:val="0"/>
        <w:kinsoku/>
        <w:wordWrap/>
        <w:overflowPunct/>
        <w:topLinePunct w:val="0"/>
        <w:bidi w:val="0"/>
        <w:spacing w:before="183" w:line="347" w:lineRule="auto"/>
        <w:ind w:left="483" w:leftChars="199" w:right="4850" w:hanging="65" w:hangingChars="28"/>
        <w:rPr>
          <w:rFonts w:ascii="宋体" w:hAnsi="宋体" w:eastAsia="宋体" w:cs="宋体"/>
          <w:sz w:val="24"/>
          <w:szCs w:val="24"/>
        </w:rPr>
      </w:pPr>
      <w:r>
        <w:rPr>
          <w:rFonts w:ascii="宋体" w:hAnsi="宋体" w:eastAsia="宋体" w:cs="宋体"/>
          <w:spacing w:val="-3"/>
          <w:sz w:val="24"/>
          <w:szCs w:val="24"/>
        </w:rPr>
        <w:t>3.符合性审查</w:t>
      </w:r>
    </w:p>
    <w:p w14:paraId="167CC504">
      <w:pPr>
        <w:keepNext w:val="0"/>
        <w:keepLines w:val="0"/>
        <w:pageBreakBefore w:val="0"/>
        <w:kinsoku/>
        <w:wordWrap/>
        <w:overflowPunct/>
        <w:topLinePunct w:val="0"/>
        <w:bidi w:val="0"/>
        <w:spacing w:before="33" w:line="290" w:lineRule="auto"/>
        <w:ind w:left="1" w:right="58" w:firstLine="482"/>
        <w:rPr>
          <w:rFonts w:ascii="宋体" w:hAnsi="宋体" w:eastAsia="宋体" w:cs="宋体"/>
          <w:sz w:val="24"/>
          <w:szCs w:val="24"/>
        </w:rPr>
      </w:pPr>
      <w:r>
        <w:rPr>
          <w:rFonts w:ascii="宋体" w:hAnsi="宋体" w:eastAsia="宋体" w:cs="宋体"/>
          <w:spacing w:val="-3"/>
          <w:sz w:val="24"/>
          <w:szCs w:val="24"/>
        </w:rPr>
        <w:t>3.1由磋商小组对通过资格审查的合格供应商的响应文件的响应报价、商务、技术</w:t>
      </w:r>
      <w:r>
        <w:rPr>
          <w:rFonts w:ascii="宋体" w:hAnsi="宋体" w:eastAsia="宋体" w:cs="宋体"/>
          <w:sz w:val="24"/>
          <w:szCs w:val="24"/>
        </w:rPr>
        <w:t>等实质性要求进行符合性审查，以确定其是否</w:t>
      </w:r>
      <w:r>
        <w:rPr>
          <w:rFonts w:ascii="宋体" w:hAnsi="宋体" w:eastAsia="宋体" w:cs="宋体"/>
          <w:spacing w:val="-1"/>
          <w:sz w:val="24"/>
          <w:szCs w:val="24"/>
        </w:rPr>
        <w:t>满足磋商文件的实质性要求。</w:t>
      </w:r>
    </w:p>
    <w:p w14:paraId="53CB7C7F">
      <w:pPr>
        <w:keepNext w:val="0"/>
        <w:keepLines w:val="0"/>
        <w:pageBreakBefore w:val="0"/>
        <w:kinsoku/>
        <w:wordWrap/>
        <w:overflowPunct/>
        <w:topLinePunct w:val="0"/>
        <w:bidi w:val="0"/>
        <w:spacing w:before="181" w:line="325" w:lineRule="auto"/>
        <w:ind w:left="3" w:right="58" w:firstLine="480"/>
        <w:rPr>
          <w:rFonts w:ascii="宋体" w:hAnsi="宋体" w:eastAsia="宋体" w:cs="宋体"/>
          <w:sz w:val="24"/>
          <w:szCs w:val="24"/>
        </w:rPr>
      </w:pPr>
      <w:r>
        <w:rPr>
          <w:rFonts w:ascii="宋体" w:hAnsi="宋体" w:eastAsia="宋体" w:cs="宋体"/>
          <w:spacing w:val="-2"/>
          <w:sz w:val="24"/>
          <w:szCs w:val="24"/>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95E8950">
      <w:pPr>
        <w:keepNext w:val="0"/>
        <w:keepLines w:val="0"/>
        <w:pageBreakBefore w:val="0"/>
        <w:kinsoku/>
        <w:wordWrap/>
        <w:overflowPunct/>
        <w:topLinePunct w:val="0"/>
        <w:bidi w:val="0"/>
        <w:spacing w:before="181" w:line="332" w:lineRule="auto"/>
        <w:ind w:right="58" w:firstLine="484"/>
        <w:rPr>
          <w:rFonts w:ascii="宋体" w:hAnsi="宋体" w:eastAsia="宋体" w:cs="宋体"/>
          <w:sz w:val="24"/>
          <w:szCs w:val="24"/>
        </w:rPr>
      </w:pPr>
      <w:r>
        <w:rPr>
          <w:rFonts w:ascii="宋体" w:hAnsi="宋体" w:eastAsia="宋体" w:cs="宋体"/>
          <w:spacing w:val="5"/>
          <w:sz w:val="24"/>
          <w:szCs w:val="24"/>
        </w:rPr>
        <w:t>3.3磋商小组要求供应商澄清、说明或者更正响应文件应当</w:t>
      </w:r>
      <w:r>
        <w:rPr>
          <w:rFonts w:ascii="宋体" w:hAnsi="宋体" w:eastAsia="宋体" w:cs="宋体"/>
          <w:spacing w:val="4"/>
          <w:sz w:val="24"/>
          <w:szCs w:val="24"/>
        </w:rPr>
        <w:t>以电子澄清函形式作</w:t>
      </w:r>
      <w:r>
        <w:rPr>
          <w:rFonts w:ascii="宋体" w:hAnsi="宋体" w:eastAsia="宋体" w:cs="宋体"/>
          <w:spacing w:val="-2"/>
          <w:sz w:val="24"/>
          <w:szCs w:val="24"/>
        </w:rPr>
        <w:t>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w:t>
      </w:r>
      <w:r>
        <w:rPr>
          <w:rFonts w:ascii="宋体" w:hAnsi="宋体" w:eastAsia="宋体" w:cs="宋体"/>
          <w:sz w:val="24"/>
          <w:szCs w:val="24"/>
        </w:rPr>
        <w:t>必须加盖电子公章。供应商为自然人的，必须由</w:t>
      </w:r>
      <w:r>
        <w:rPr>
          <w:rFonts w:ascii="宋体" w:hAnsi="宋体" w:eastAsia="宋体" w:cs="宋体"/>
          <w:spacing w:val="-1"/>
          <w:sz w:val="24"/>
          <w:szCs w:val="24"/>
        </w:rPr>
        <w:t>本人签字并附身份证明。</w:t>
      </w:r>
    </w:p>
    <w:p w14:paraId="0E0E0378">
      <w:pPr>
        <w:keepNext w:val="0"/>
        <w:keepLines w:val="0"/>
        <w:pageBreakBefore w:val="0"/>
        <w:kinsoku/>
        <w:wordWrap/>
        <w:overflowPunct/>
        <w:topLinePunct w:val="0"/>
        <w:bidi w:val="0"/>
        <w:spacing w:before="184" w:line="218" w:lineRule="auto"/>
        <w:ind w:left="484"/>
        <w:rPr>
          <w:rFonts w:ascii="宋体" w:hAnsi="宋体" w:eastAsia="宋体" w:cs="宋体"/>
          <w:sz w:val="24"/>
          <w:szCs w:val="24"/>
        </w:rPr>
      </w:pPr>
      <w:r>
        <w:rPr>
          <w:rFonts w:ascii="宋体" w:hAnsi="宋体" w:eastAsia="宋体" w:cs="宋体"/>
          <w:spacing w:val="-1"/>
          <w:sz w:val="24"/>
          <w:szCs w:val="24"/>
        </w:rPr>
        <w:t>3.4首次响应文件报价出现前后不一致的，按照下列规定修正：</w:t>
      </w:r>
    </w:p>
    <w:p w14:paraId="49F6727D">
      <w:pPr>
        <w:keepNext w:val="0"/>
        <w:keepLines w:val="0"/>
        <w:pageBreakBefore w:val="0"/>
        <w:kinsoku/>
        <w:wordWrap/>
        <w:overflowPunct/>
        <w:topLinePunct w:val="0"/>
        <w:bidi w:val="0"/>
        <w:spacing w:before="184" w:line="218" w:lineRule="auto"/>
        <w:ind w:left="522"/>
        <w:rPr>
          <w:rFonts w:ascii="宋体" w:hAnsi="宋体" w:eastAsia="宋体" w:cs="宋体"/>
          <w:sz w:val="24"/>
          <w:szCs w:val="24"/>
        </w:rPr>
      </w:pPr>
      <w:r>
        <w:rPr>
          <w:rFonts w:ascii="宋体" w:hAnsi="宋体" w:eastAsia="宋体" w:cs="宋体"/>
          <w:spacing w:val="-1"/>
          <w:sz w:val="24"/>
          <w:szCs w:val="24"/>
        </w:rPr>
        <w:t>(1)响应文件中报价表内容与响应文件</w:t>
      </w:r>
      <w:r>
        <w:rPr>
          <w:rFonts w:ascii="宋体" w:hAnsi="宋体" w:eastAsia="宋体" w:cs="宋体"/>
          <w:spacing w:val="-2"/>
          <w:sz w:val="24"/>
          <w:szCs w:val="24"/>
        </w:rPr>
        <w:t>中相应内容不一致的，以报价表为准；</w:t>
      </w:r>
    </w:p>
    <w:p w14:paraId="626097FA">
      <w:pPr>
        <w:keepNext w:val="0"/>
        <w:keepLines w:val="0"/>
        <w:pageBreakBefore w:val="0"/>
        <w:kinsoku/>
        <w:wordWrap/>
        <w:overflowPunct/>
        <w:topLinePunct w:val="0"/>
        <w:bidi w:val="0"/>
        <w:spacing w:before="185" w:line="219" w:lineRule="auto"/>
        <w:ind w:left="522"/>
        <w:rPr>
          <w:rFonts w:ascii="宋体" w:hAnsi="宋体" w:eastAsia="宋体" w:cs="宋体"/>
          <w:sz w:val="24"/>
          <w:szCs w:val="24"/>
        </w:rPr>
      </w:pPr>
      <w:r>
        <w:rPr>
          <w:rFonts w:ascii="宋体" w:hAnsi="宋体" w:eastAsia="宋体" w:cs="宋体"/>
          <w:spacing w:val="-2"/>
          <w:sz w:val="24"/>
          <w:szCs w:val="24"/>
        </w:rPr>
        <w:t>(2)大写金额和小写金额不一致的，以大写金额为准；</w:t>
      </w:r>
    </w:p>
    <w:p w14:paraId="6211D810">
      <w:pPr>
        <w:keepNext w:val="0"/>
        <w:keepLines w:val="0"/>
        <w:pageBreakBefore w:val="0"/>
        <w:kinsoku/>
        <w:wordWrap/>
        <w:overflowPunct/>
        <w:topLinePunct w:val="0"/>
        <w:bidi w:val="0"/>
        <w:spacing w:before="183" w:line="218" w:lineRule="auto"/>
        <w:jc w:val="center"/>
        <w:rPr>
          <w:rFonts w:ascii="宋体" w:hAnsi="宋体" w:eastAsia="宋体" w:cs="宋体"/>
          <w:sz w:val="24"/>
          <w:szCs w:val="24"/>
        </w:rPr>
      </w:pPr>
      <w:r>
        <w:rPr>
          <w:rFonts w:ascii="宋体" w:hAnsi="宋体" w:eastAsia="宋体" w:cs="宋体"/>
          <w:spacing w:val="-7"/>
          <w:sz w:val="24"/>
          <w:szCs w:val="24"/>
        </w:rPr>
        <w:t>(3)单价金额小数点或者百分比有明显错位的，以报价表的总价</w:t>
      </w:r>
      <w:r>
        <w:rPr>
          <w:rFonts w:ascii="宋体" w:hAnsi="宋体" w:eastAsia="宋体" w:cs="宋体"/>
          <w:spacing w:val="-8"/>
          <w:sz w:val="24"/>
          <w:szCs w:val="24"/>
        </w:rPr>
        <w:t>为准，并修改单价；</w:t>
      </w:r>
    </w:p>
    <w:p w14:paraId="0F3B0C01">
      <w:pPr>
        <w:keepNext w:val="0"/>
        <w:keepLines w:val="0"/>
        <w:pageBreakBefore w:val="0"/>
        <w:kinsoku/>
        <w:wordWrap/>
        <w:overflowPunct/>
        <w:topLinePunct w:val="0"/>
        <w:bidi w:val="0"/>
        <w:spacing w:before="185" w:line="218" w:lineRule="auto"/>
        <w:ind w:left="522"/>
        <w:rPr>
          <w:rFonts w:ascii="宋体" w:hAnsi="宋体" w:eastAsia="宋体" w:cs="宋体"/>
          <w:sz w:val="24"/>
          <w:szCs w:val="24"/>
        </w:rPr>
      </w:pPr>
      <w:r>
        <w:rPr>
          <w:rFonts w:ascii="宋体" w:hAnsi="宋体" w:eastAsia="宋体" w:cs="宋体"/>
          <w:spacing w:val="-2"/>
          <w:sz w:val="24"/>
          <w:szCs w:val="24"/>
        </w:rPr>
        <w:t>(4)总价金额与按单价汇总金额不一致的，以单价金额计算结果为准。</w:t>
      </w:r>
    </w:p>
    <w:p w14:paraId="2BC8F6D0">
      <w:pPr>
        <w:keepNext w:val="0"/>
        <w:keepLines w:val="0"/>
        <w:pageBreakBefore w:val="0"/>
        <w:kinsoku/>
        <w:wordWrap/>
        <w:overflowPunct/>
        <w:topLinePunct w:val="0"/>
        <w:bidi w:val="0"/>
        <w:spacing w:before="184" w:line="346" w:lineRule="auto"/>
        <w:ind w:left="19" w:right="58" w:firstLine="483"/>
        <w:rPr>
          <w:rFonts w:ascii="宋体" w:hAnsi="宋体" w:eastAsia="宋体" w:cs="宋体"/>
          <w:sz w:val="24"/>
          <w:szCs w:val="24"/>
        </w:rPr>
      </w:pPr>
      <w:r>
        <w:rPr>
          <w:rFonts w:ascii="宋体" w:hAnsi="宋体" w:eastAsia="宋体" w:cs="宋体"/>
          <w:spacing w:val="1"/>
          <w:sz w:val="24"/>
          <w:szCs w:val="24"/>
        </w:rPr>
        <w:t>同时出现两种以上不一致的，按照以上(1)-(4)规定的顺序逐条进行修正。修正后</w:t>
      </w:r>
      <w:r>
        <w:rPr>
          <w:rFonts w:ascii="宋体" w:hAnsi="宋体" w:eastAsia="宋体" w:cs="宋体"/>
          <w:spacing w:val="-1"/>
          <w:sz w:val="24"/>
          <w:szCs w:val="24"/>
        </w:rPr>
        <w:t>的报价经供应商确认后产生约束力，供应商不确认的，其响应文件按无效响应处理。</w:t>
      </w:r>
    </w:p>
    <w:p w14:paraId="3E7C7F8E">
      <w:pPr>
        <w:keepNext w:val="0"/>
        <w:keepLines w:val="0"/>
        <w:pageBreakBefore w:val="0"/>
        <w:kinsoku/>
        <w:wordWrap/>
        <w:overflowPunct/>
        <w:topLinePunct w:val="0"/>
        <w:bidi w:val="0"/>
        <w:spacing w:before="37" w:line="218" w:lineRule="auto"/>
        <w:ind w:left="484"/>
        <w:rPr>
          <w:rFonts w:ascii="宋体" w:hAnsi="宋体" w:eastAsia="宋体" w:cs="宋体"/>
          <w:sz w:val="24"/>
          <w:szCs w:val="24"/>
        </w:rPr>
      </w:pPr>
      <w:r>
        <w:rPr>
          <w:rFonts w:ascii="宋体" w:hAnsi="宋体" w:eastAsia="宋体" w:cs="宋体"/>
          <w:spacing w:val="-2"/>
          <w:sz w:val="24"/>
          <w:szCs w:val="24"/>
        </w:rPr>
        <w:t>3.5商务技术、报价评审</w:t>
      </w:r>
    </w:p>
    <w:p w14:paraId="4B241C89">
      <w:pPr>
        <w:keepNext w:val="0"/>
        <w:keepLines w:val="0"/>
        <w:pageBreakBefore w:val="0"/>
        <w:kinsoku/>
        <w:wordWrap/>
        <w:overflowPunct/>
        <w:topLinePunct w:val="0"/>
        <w:bidi w:val="0"/>
        <w:spacing w:before="185" w:line="219" w:lineRule="auto"/>
        <w:ind w:left="479"/>
        <w:rPr>
          <w:rFonts w:ascii="宋体" w:hAnsi="宋体" w:eastAsia="宋体" w:cs="宋体"/>
          <w:sz w:val="24"/>
          <w:szCs w:val="24"/>
        </w:rPr>
      </w:pPr>
      <w:r>
        <w:rPr>
          <w:rFonts w:ascii="宋体" w:hAnsi="宋体" w:eastAsia="宋体" w:cs="宋体"/>
          <w:sz w:val="24"/>
          <w:szCs w:val="24"/>
        </w:rPr>
        <w:t>在评审时，如发现下列情形之一的，将被视</w:t>
      </w:r>
      <w:r>
        <w:rPr>
          <w:rFonts w:ascii="宋体" w:hAnsi="宋体" w:eastAsia="宋体" w:cs="宋体"/>
          <w:spacing w:val="-1"/>
          <w:sz w:val="24"/>
          <w:szCs w:val="24"/>
        </w:rPr>
        <w:t>为响应文件无效处理：</w:t>
      </w:r>
    </w:p>
    <w:p w14:paraId="671F5613">
      <w:pPr>
        <w:keepNext w:val="0"/>
        <w:keepLines w:val="0"/>
        <w:pageBreakBefore w:val="0"/>
        <w:kinsoku/>
        <w:wordWrap/>
        <w:overflowPunct/>
        <w:topLinePunct w:val="0"/>
        <w:bidi w:val="0"/>
        <w:spacing w:before="183" w:line="219" w:lineRule="auto"/>
        <w:ind w:left="522"/>
        <w:rPr>
          <w:rFonts w:ascii="宋体" w:hAnsi="宋体" w:eastAsia="宋体" w:cs="宋体"/>
          <w:sz w:val="24"/>
          <w:szCs w:val="24"/>
        </w:rPr>
      </w:pPr>
      <w:r>
        <w:rPr>
          <w:rFonts w:ascii="宋体" w:hAnsi="宋体" w:eastAsia="宋体" w:cs="宋体"/>
          <w:spacing w:val="-6"/>
          <w:sz w:val="24"/>
          <w:szCs w:val="24"/>
        </w:rPr>
        <w:t>(1)商务技术评审</w:t>
      </w:r>
    </w:p>
    <w:p w14:paraId="224BADE4">
      <w:pPr>
        <w:keepNext w:val="0"/>
        <w:keepLines w:val="0"/>
        <w:pageBreakBefore w:val="0"/>
        <w:kinsoku/>
        <w:wordWrap/>
        <w:overflowPunct/>
        <w:topLinePunct w:val="0"/>
        <w:bidi w:val="0"/>
        <w:spacing w:before="182" w:line="219" w:lineRule="auto"/>
        <w:ind w:left="497"/>
        <w:rPr>
          <w:rFonts w:ascii="宋体" w:hAnsi="宋体" w:eastAsia="宋体" w:cs="宋体"/>
          <w:sz w:val="24"/>
          <w:szCs w:val="24"/>
        </w:rPr>
      </w:pPr>
      <w:r>
        <w:rPr>
          <w:rFonts w:ascii="宋体" w:hAnsi="宋体" w:eastAsia="宋体" w:cs="宋体"/>
          <w:spacing w:val="-2"/>
          <w:sz w:val="24"/>
          <w:szCs w:val="24"/>
        </w:rPr>
        <w:t>1)响应文件未按磋商文件要求签署、盖章；</w:t>
      </w:r>
    </w:p>
    <w:p w14:paraId="6D9D99B6">
      <w:pPr>
        <w:keepNext w:val="0"/>
        <w:keepLines w:val="0"/>
        <w:pageBreakBefore w:val="0"/>
        <w:kinsoku/>
        <w:wordWrap/>
        <w:overflowPunct/>
        <w:topLinePunct w:val="0"/>
        <w:bidi w:val="0"/>
        <w:spacing w:before="183" w:line="290" w:lineRule="auto"/>
        <w:ind w:left="3" w:right="59" w:firstLine="479"/>
        <w:rPr>
          <w:rFonts w:ascii="宋体" w:hAnsi="宋体" w:eastAsia="宋体" w:cs="宋体"/>
          <w:sz w:val="24"/>
          <w:szCs w:val="24"/>
        </w:rPr>
      </w:pPr>
      <w:r>
        <w:rPr>
          <w:rFonts w:ascii="宋体" w:hAnsi="宋体" w:eastAsia="宋体" w:cs="宋体"/>
          <w:spacing w:val="2"/>
          <w:sz w:val="24"/>
          <w:szCs w:val="24"/>
        </w:rPr>
        <w:t>2)委托代理人未能出具有效身份证明或者出</w:t>
      </w:r>
      <w:r>
        <w:rPr>
          <w:rFonts w:ascii="宋体" w:hAnsi="宋体" w:eastAsia="宋体" w:cs="宋体"/>
          <w:spacing w:val="1"/>
          <w:sz w:val="24"/>
          <w:szCs w:val="24"/>
        </w:rPr>
        <w:t>具的身份证明与授权委托书中的信息</w:t>
      </w:r>
      <w:r>
        <w:rPr>
          <w:rFonts w:ascii="宋体" w:hAnsi="宋体" w:eastAsia="宋体" w:cs="宋体"/>
          <w:spacing w:val="-5"/>
          <w:sz w:val="24"/>
          <w:szCs w:val="24"/>
        </w:rPr>
        <w:t>不符；</w:t>
      </w:r>
    </w:p>
    <w:p w14:paraId="172B842B">
      <w:pPr>
        <w:pStyle w:val="7"/>
        <w:keepNext w:val="0"/>
        <w:keepLines w:val="0"/>
        <w:pageBreakBefore w:val="0"/>
        <w:kinsoku/>
        <w:wordWrap/>
        <w:overflowPunct/>
        <w:topLinePunct w:val="0"/>
        <w:bidi w:val="0"/>
        <w:spacing w:line="255" w:lineRule="auto"/>
        <w:rPr>
          <w:rFonts w:ascii="宋体" w:hAnsi="宋体" w:eastAsia="宋体" w:cs="宋体"/>
          <w:sz w:val="24"/>
          <w:szCs w:val="24"/>
        </w:rPr>
      </w:pPr>
      <w:r>
        <w:rPr>
          <w:rFonts w:ascii="宋体" w:hAnsi="宋体" w:eastAsia="宋体" w:cs="宋体"/>
          <w:sz w:val="24"/>
          <w:szCs w:val="24"/>
        </w:rPr>
        <w:t>3)响应文件未提供任一项“供应商须知前附表”商务技术</w:t>
      </w:r>
      <w:r>
        <w:rPr>
          <w:rFonts w:ascii="宋体" w:hAnsi="宋体" w:eastAsia="宋体" w:cs="宋体"/>
          <w:spacing w:val="-1"/>
          <w:sz w:val="24"/>
          <w:szCs w:val="24"/>
        </w:rPr>
        <w:t>文件中“必须提供”或</w:t>
      </w:r>
      <w:r>
        <w:rPr>
          <w:rFonts w:ascii="宋体" w:hAnsi="宋体" w:eastAsia="宋体" w:cs="宋体"/>
          <w:spacing w:val="4"/>
          <w:sz w:val="24"/>
          <w:szCs w:val="24"/>
        </w:rPr>
        <w:t>者“委托时必须提供”的文件资料；响应文件提供的商务技术文件出现</w:t>
      </w:r>
      <w:r>
        <w:rPr>
          <w:rFonts w:ascii="宋体" w:hAnsi="宋体" w:eastAsia="宋体" w:cs="宋体"/>
          <w:spacing w:val="3"/>
          <w:sz w:val="24"/>
          <w:szCs w:val="24"/>
        </w:rPr>
        <w:t>任一项不符合</w:t>
      </w:r>
      <w:r>
        <w:rPr>
          <w:rFonts w:ascii="宋体" w:hAnsi="宋体" w:eastAsia="宋体" w:cs="宋体"/>
          <w:spacing w:val="2"/>
          <w:sz w:val="24"/>
          <w:szCs w:val="24"/>
        </w:rPr>
        <w:t>“供应商须知前附表”商务技术文件中“必须提供”或者“委托时必须提供”文件资</w:t>
      </w:r>
      <w:r>
        <w:rPr>
          <w:rFonts w:ascii="宋体" w:hAnsi="宋体" w:eastAsia="宋体" w:cs="宋体"/>
          <w:spacing w:val="-1"/>
          <w:sz w:val="24"/>
          <w:szCs w:val="24"/>
        </w:rPr>
        <w:t>料要求的规定或者提供的商务技术文件无效。</w:t>
      </w:r>
    </w:p>
    <w:p w14:paraId="75BD0E05">
      <w:pPr>
        <w:keepNext w:val="0"/>
        <w:keepLines w:val="0"/>
        <w:pageBreakBefore w:val="0"/>
        <w:kinsoku/>
        <w:wordWrap/>
        <w:overflowPunct/>
        <w:topLinePunct w:val="0"/>
        <w:bidi w:val="0"/>
        <w:spacing w:before="36" w:line="289" w:lineRule="auto"/>
        <w:ind w:left="16" w:right="61" w:firstLine="474"/>
        <w:rPr>
          <w:rFonts w:ascii="宋体" w:hAnsi="宋体" w:eastAsia="宋体" w:cs="宋体"/>
          <w:sz w:val="24"/>
          <w:szCs w:val="24"/>
        </w:rPr>
      </w:pPr>
      <w:r>
        <w:rPr>
          <w:rFonts w:ascii="宋体" w:hAnsi="宋体" w:eastAsia="宋体" w:cs="宋体"/>
          <w:spacing w:val="1"/>
          <w:sz w:val="24"/>
          <w:szCs w:val="24"/>
        </w:rPr>
        <w:t>4)商务条款中标“▲”的条款发生负偏离的或者允许负偏离的条款</w:t>
      </w:r>
      <w:r>
        <w:rPr>
          <w:rFonts w:ascii="宋体" w:hAnsi="宋体" w:eastAsia="宋体" w:cs="宋体"/>
          <w:sz w:val="24"/>
          <w:szCs w:val="24"/>
        </w:rPr>
        <w:t>数超过“供应</w:t>
      </w:r>
      <w:r>
        <w:rPr>
          <w:rFonts w:ascii="宋体" w:hAnsi="宋体" w:eastAsia="宋体" w:cs="宋体"/>
          <w:spacing w:val="-2"/>
          <w:sz w:val="24"/>
          <w:szCs w:val="24"/>
        </w:rPr>
        <w:t>商须知前附表”规定项数的或者标明实质性的要求发生负偏离；</w:t>
      </w:r>
    </w:p>
    <w:p w14:paraId="49AC20B7">
      <w:pPr>
        <w:keepNext w:val="0"/>
        <w:keepLines w:val="0"/>
        <w:pageBreakBefore w:val="0"/>
        <w:kinsoku/>
        <w:wordWrap/>
        <w:overflowPunct/>
        <w:topLinePunct w:val="0"/>
        <w:bidi w:val="0"/>
        <w:spacing w:before="184" w:line="290" w:lineRule="auto"/>
        <w:ind w:left="13" w:right="61" w:firstLine="482"/>
        <w:rPr>
          <w:rFonts w:ascii="宋体" w:hAnsi="宋体" w:eastAsia="宋体" w:cs="宋体"/>
          <w:sz w:val="24"/>
          <w:szCs w:val="24"/>
        </w:rPr>
      </w:pPr>
      <w:r>
        <w:rPr>
          <w:rFonts w:ascii="宋体" w:hAnsi="宋体" w:eastAsia="宋体" w:cs="宋体"/>
          <w:spacing w:val="8"/>
          <w:sz w:val="24"/>
          <w:szCs w:val="24"/>
        </w:rPr>
        <w:t>5)未对竞标有效期作出响应或者响应文件承诺的竞标有效期不满足磋商文件要</w:t>
      </w:r>
      <w:r>
        <w:rPr>
          <w:rFonts w:ascii="宋体" w:hAnsi="宋体" w:eastAsia="宋体" w:cs="宋体"/>
          <w:spacing w:val="-6"/>
          <w:sz w:val="24"/>
          <w:szCs w:val="24"/>
        </w:rPr>
        <w:t>求；</w:t>
      </w:r>
    </w:p>
    <w:p w14:paraId="56B1844C">
      <w:pPr>
        <w:keepNext w:val="0"/>
        <w:keepLines w:val="0"/>
        <w:pageBreakBefore w:val="0"/>
        <w:kinsoku/>
        <w:wordWrap/>
        <w:overflowPunct/>
        <w:topLinePunct w:val="0"/>
        <w:bidi w:val="0"/>
        <w:spacing w:before="181" w:line="219" w:lineRule="auto"/>
        <w:ind w:left="493"/>
        <w:rPr>
          <w:rFonts w:ascii="宋体" w:hAnsi="宋体" w:eastAsia="宋体" w:cs="宋体"/>
          <w:sz w:val="24"/>
          <w:szCs w:val="24"/>
        </w:rPr>
      </w:pPr>
      <w:r>
        <w:rPr>
          <w:rFonts w:ascii="宋体" w:hAnsi="宋体" w:eastAsia="宋体" w:cs="宋体"/>
          <w:sz w:val="24"/>
          <w:szCs w:val="24"/>
        </w:rPr>
        <w:t>6)响应文件的实质性内容未使用中文表述、使用计</w:t>
      </w:r>
      <w:r>
        <w:rPr>
          <w:rFonts w:ascii="宋体" w:hAnsi="宋体" w:eastAsia="宋体" w:cs="宋体"/>
          <w:spacing w:val="-1"/>
          <w:sz w:val="24"/>
          <w:szCs w:val="24"/>
        </w:rPr>
        <w:t>量单位不符合磋商文件要求；</w:t>
      </w:r>
    </w:p>
    <w:p w14:paraId="3C527AF2">
      <w:pPr>
        <w:keepNext w:val="0"/>
        <w:keepLines w:val="0"/>
        <w:pageBreakBefore w:val="0"/>
        <w:kinsoku/>
        <w:wordWrap/>
        <w:overflowPunct/>
        <w:topLinePunct w:val="0"/>
        <w:bidi w:val="0"/>
        <w:spacing w:before="182" w:line="290" w:lineRule="auto"/>
        <w:ind w:left="10" w:right="61" w:firstLine="486"/>
        <w:rPr>
          <w:rFonts w:ascii="宋体" w:hAnsi="宋体" w:eastAsia="宋体" w:cs="宋体"/>
          <w:sz w:val="24"/>
          <w:szCs w:val="24"/>
        </w:rPr>
      </w:pPr>
      <w:r>
        <w:rPr>
          <w:rFonts w:ascii="宋体" w:hAnsi="宋体" w:eastAsia="宋体" w:cs="宋体"/>
          <w:spacing w:val="1"/>
          <w:sz w:val="24"/>
          <w:szCs w:val="24"/>
        </w:rPr>
        <w:t>7)响应文件中的文件资料因填写不齐全或者内容虚假或者出现其他情形而导致被</w:t>
      </w:r>
      <w:r>
        <w:rPr>
          <w:rFonts w:ascii="宋体" w:hAnsi="宋体" w:eastAsia="宋体" w:cs="宋体"/>
          <w:spacing w:val="-1"/>
          <w:sz w:val="24"/>
          <w:szCs w:val="24"/>
        </w:rPr>
        <w:t>磋商小组认定无效；</w:t>
      </w:r>
    </w:p>
    <w:p w14:paraId="72D1EA5F">
      <w:pPr>
        <w:keepNext w:val="0"/>
        <w:keepLines w:val="0"/>
        <w:pageBreakBefore w:val="0"/>
        <w:kinsoku/>
        <w:wordWrap/>
        <w:overflowPunct/>
        <w:topLinePunct w:val="0"/>
        <w:bidi w:val="0"/>
        <w:spacing w:before="182" w:line="219" w:lineRule="auto"/>
        <w:ind w:left="492"/>
        <w:rPr>
          <w:rFonts w:ascii="宋体" w:hAnsi="宋体" w:eastAsia="宋体" w:cs="宋体"/>
          <w:sz w:val="24"/>
          <w:szCs w:val="24"/>
        </w:rPr>
      </w:pPr>
      <w:r>
        <w:rPr>
          <w:rFonts w:ascii="宋体" w:hAnsi="宋体" w:eastAsia="宋体" w:cs="宋体"/>
          <w:spacing w:val="-1"/>
          <w:sz w:val="24"/>
          <w:szCs w:val="24"/>
        </w:rPr>
        <w:t>8)响应文件含有采购人不能接受的附加条件；</w:t>
      </w:r>
    </w:p>
    <w:p w14:paraId="2FD5B10A">
      <w:pPr>
        <w:keepNext w:val="0"/>
        <w:keepLines w:val="0"/>
        <w:pageBreakBefore w:val="0"/>
        <w:kinsoku/>
        <w:wordWrap/>
        <w:overflowPunct/>
        <w:topLinePunct w:val="0"/>
        <w:bidi w:val="0"/>
        <w:spacing w:before="183" w:line="219" w:lineRule="auto"/>
        <w:ind w:left="492"/>
        <w:rPr>
          <w:rFonts w:ascii="宋体" w:hAnsi="宋体" w:eastAsia="宋体" w:cs="宋体"/>
          <w:sz w:val="24"/>
          <w:szCs w:val="24"/>
        </w:rPr>
      </w:pPr>
      <w:r>
        <w:rPr>
          <w:rFonts w:ascii="宋体" w:hAnsi="宋体" w:eastAsia="宋体" w:cs="宋体"/>
          <w:spacing w:val="-3"/>
          <w:sz w:val="24"/>
          <w:szCs w:val="24"/>
        </w:rPr>
        <w:t>9)属于“供应商须知正文”第7.5条情形；</w:t>
      </w:r>
    </w:p>
    <w:p w14:paraId="78420170">
      <w:pPr>
        <w:keepNext w:val="0"/>
        <w:keepLines w:val="0"/>
        <w:pageBreakBefore w:val="0"/>
        <w:kinsoku/>
        <w:wordWrap/>
        <w:overflowPunct/>
        <w:topLinePunct w:val="0"/>
        <w:bidi w:val="0"/>
        <w:spacing w:before="183" w:line="219" w:lineRule="auto"/>
        <w:ind w:left="509"/>
        <w:rPr>
          <w:rFonts w:ascii="宋体" w:hAnsi="宋体" w:eastAsia="宋体" w:cs="宋体"/>
          <w:sz w:val="24"/>
          <w:szCs w:val="24"/>
        </w:rPr>
      </w:pPr>
      <w:r>
        <w:rPr>
          <w:rFonts w:ascii="宋体" w:hAnsi="宋体" w:eastAsia="宋体" w:cs="宋体"/>
          <w:spacing w:val="-2"/>
          <w:sz w:val="24"/>
          <w:szCs w:val="24"/>
        </w:rPr>
        <w:t>10)技术需求允许负偏离的条款数超过“供应商须知前附表”规定项数；</w:t>
      </w:r>
    </w:p>
    <w:p w14:paraId="4E2DAE11">
      <w:pPr>
        <w:keepNext w:val="0"/>
        <w:keepLines w:val="0"/>
        <w:pageBreakBefore w:val="0"/>
        <w:kinsoku/>
        <w:wordWrap/>
        <w:overflowPunct/>
        <w:topLinePunct w:val="0"/>
        <w:bidi w:val="0"/>
        <w:spacing w:before="184" w:line="219" w:lineRule="auto"/>
        <w:ind w:left="509"/>
        <w:rPr>
          <w:rFonts w:ascii="宋体" w:hAnsi="宋体" w:eastAsia="宋体" w:cs="宋体"/>
          <w:sz w:val="24"/>
          <w:szCs w:val="24"/>
        </w:rPr>
      </w:pPr>
      <w:r>
        <w:rPr>
          <w:rFonts w:ascii="宋体" w:hAnsi="宋体" w:eastAsia="宋体" w:cs="宋体"/>
          <w:spacing w:val="-1"/>
          <w:sz w:val="24"/>
          <w:szCs w:val="24"/>
        </w:rPr>
        <w:t>11)虚假竞标，或者出现其他情形而导致被磋商小组认定无效；</w:t>
      </w:r>
    </w:p>
    <w:p w14:paraId="69F6B044">
      <w:pPr>
        <w:keepNext w:val="0"/>
        <w:keepLines w:val="0"/>
        <w:pageBreakBefore w:val="0"/>
        <w:kinsoku/>
        <w:wordWrap/>
        <w:overflowPunct/>
        <w:topLinePunct w:val="0"/>
        <w:bidi w:val="0"/>
        <w:spacing w:before="183" w:line="290" w:lineRule="auto"/>
        <w:ind w:left="10" w:right="61" w:firstLine="498"/>
        <w:rPr>
          <w:rFonts w:ascii="宋体" w:hAnsi="宋体" w:eastAsia="宋体" w:cs="宋体"/>
          <w:sz w:val="24"/>
          <w:szCs w:val="24"/>
        </w:rPr>
      </w:pPr>
      <w:r>
        <w:rPr>
          <w:rFonts w:ascii="宋体" w:hAnsi="宋体" w:eastAsia="宋体" w:cs="宋体"/>
          <w:spacing w:val="-2"/>
          <w:sz w:val="24"/>
          <w:szCs w:val="24"/>
        </w:rPr>
        <w:t>12)竞标技术方案不明确，磋商文件未允许但响应文件中存在一个或者一个以上备</w:t>
      </w:r>
      <w:r>
        <w:rPr>
          <w:rFonts w:ascii="宋体" w:hAnsi="宋体" w:eastAsia="宋体" w:cs="宋体"/>
          <w:spacing w:val="-1"/>
          <w:sz w:val="24"/>
          <w:szCs w:val="24"/>
        </w:rPr>
        <w:t>选(替代)竞标方案；</w:t>
      </w:r>
    </w:p>
    <w:p w14:paraId="4123E295">
      <w:pPr>
        <w:keepNext w:val="0"/>
        <w:keepLines w:val="0"/>
        <w:pageBreakBefore w:val="0"/>
        <w:kinsoku/>
        <w:wordWrap/>
        <w:overflowPunct/>
        <w:topLinePunct w:val="0"/>
        <w:bidi w:val="0"/>
        <w:spacing w:before="182" w:line="290" w:lineRule="auto"/>
        <w:ind w:left="13" w:right="61" w:firstLine="495"/>
        <w:rPr>
          <w:rFonts w:ascii="宋体" w:hAnsi="宋体" w:eastAsia="宋体" w:cs="宋体"/>
          <w:sz w:val="24"/>
          <w:szCs w:val="24"/>
        </w:rPr>
      </w:pPr>
      <w:r>
        <w:rPr>
          <w:rFonts w:ascii="宋体" w:hAnsi="宋体" w:eastAsia="宋体" w:cs="宋体"/>
          <w:spacing w:val="4"/>
          <w:sz w:val="24"/>
          <w:szCs w:val="24"/>
        </w:rPr>
        <w:t>13)响应文件标注的项目名称或者项目编号与竞争性磋商文件标注的项目名称或</w:t>
      </w:r>
      <w:r>
        <w:rPr>
          <w:rFonts w:ascii="宋体" w:hAnsi="宋体" w:eastAsia="宋体" w:cs="宋体"/>
          <w:spacing w:val="-2"/>
          <w:sz w:val="24"/>
          <w:szCs w:val="24"/>
        </w:rPr>
        <w:t>者项目编号不一致的；</w:t>
      </w:r>
    </w:p>
    <w:p w14:paraId="1ED88926">
      <w:pPr>
        <w:keepNext w:val="0"/>
        <w:keepLines w:val="0"/>
        <w:pageBreakBefore w:val="0"/>
        <w:kinsoku/>
        <w:wordWrap/>
        <w:overflowPunct/>
        <w:topLinePunct w:val="0"/>
        <w:bidi w:val="0"/>
        <w:spacing w:before="183" w:line="219" w:lineRule="auto"/>
        <w:ind w:left="509"/>
        <w:rPr>
          <w:rFonts w:ascii="宋体" w:hAnsi="宋体" w:eastAsia="宋体" w:cs="宋体"/>
          <w:sz w:val="24"/>
          <w:szCs w:val="24"/>
        </w:rPr>
      </w:pPr>
      <w:r>
        <w:rPr>
          <w:rFonts w:ascii="宋体" w:hAnsi="宋体" w:eastAsia="宋体" w:cs="宋体"/>
          <w:spacing w:val="-2"/>
          <w:sz w:val="24"/>
          <w:szCs w:val="24"/>
        </w:rPr>
        <w:t>14)未响应磋商文件实质性要求；</w:t>
      </w:r>
    </w:p>
    <w:p w14:paraId="68C7876D">
      <w:pPr>
        <w:keepNext w:val="0"/>
        <w:keepLines w:val="0"/>
        <w:pageBreakBefore w:val="0"/>
        <w:kinsoku/>
        <w:wordWrap/>
        <w:overflowPunct/>
        <w:topLinePunct w:val="0"/>
        <w:bidi w:val="0"/>
        <w:spacing w:before="183" w:line="219" w:lineRule="auto"/>
        <w:ind w:left="509"/>
        <w:rPr>
          <w:rFonts w:ascii="宋体" w:hAnsi="宋体" w:eastAsia="宋体" w:cs="宋体"/>
          <w:sz w:val="24"/>
          <w:szCs w:val="24"/>
        </w:rPr>
      </w:pPr>
      <w:r>
        <w:rPr>
          <w:rFonts w:ascii="宋体" w:hAnsi="宋体" w:eastAsia="宋体" w:cs="宋体"/>
          <w:spacing w:val="-2"/>
          <w:sz w:val="24"/>
          <w:szCs w:val="24"/>
        </w:rPr>
        <w:t>15)法律、法规和磋商文件规定的其他无效情形。</w:t>
      </w:r>
    </w:p>
    <w:p w14:paraId="7710355E">
      <w:pPr>
        <w:keepNext w:val="0"/>
        <w:keepLines w:val="0"/>
        <w:pageBreakBefore w:val="0"/>
        <w:kinsoku/>
        <w:wordWrap/>
        <w:overflowPunct/>
        <w:topLinePunct w:val="0"/>
        <w:bidi w:val="0"/>
        <w:spacing w:before="183" w:line="218" w:lineRule="auto"/>
        <w:ind w:left="534"/>
        <w:rPr>
          <w:rFonts w:ascii="宋体" w:hAnsi="宋体" w:eastAsia="宋体" w:cs="宋体"/>
          <w:sz w:val="24"/>
          <w:szCs w:val="24"/>
        </w:rPr>
      </w:pPr>
      <w:r>
        <w:rPr>
          <w:rFonts w:ascii="宋体" w:hAnsi="宋体" w:eastAsia="宋体" w:cs="宋体"/>
          <w:spacing w:val="-8"/>
          <w:sz w:val="24"/>
          <w:szCs w:val="24"/>
        </w:rPr>
        <w:t>(2)报价评审</w:t>
      </w:r>
    </w:p>
    <w:p w14:paraId="3343A94F">
      <w:pPr>
        <w:keepNext w:val="0"/>
        <w:keepLines w:val="0"/>
        <w:pageBreakBefore w:val="0"/>
        <w:kinsoku/>
        <w:wordWrap/>
        <w:overflowPunct/>
        <w:topLinePunct w:val="0"/>
        <w:bidi w:val="0"/>
        <w:spacing w:before="185" w:line="218" w:lineRule="auto"/>
        <w:ind w:left="509"/>
        <w:rPr>
          <w:rFonts w:ascii="宋体" w:hAnsi="宋体" w:eastAsia="宋体" w:cs="宋体"/>
          <w:sz w:val="24"/>
          <w:szCs w:val="24"/>
        </w:rPr>
      </w:pPr>
      <w:r>
        <w:rPr>
          <w:rFonts w:ascii="宋体" w:hAnsi="宋体" w:eastAsia="宋体" w:cs="宋体"/>
          <w:spacing w:val="-1"/>
          <w:sz w:val="24"/>
          <w:szCs w:val="24"/>
        </w:rPr>
        <w:t>1)响应文件未提供“供应商须知前附表”报价文件中规定的“响应报价表</w:t>
      </w:r>
      <w:r>
        <w:rPr>
          <w:rFonts w:ascii="宋体" w:hAnsi="宋体" w:eastAsia="宋体" w:cs="宋体"/>
          <w:spacing w:val="-2"/>
          <w:sz w:val="24"/>
          <w:szCs w:val="24"/>
        </w:rPr>
        <w:t>”；</w:t>
      </w:r>
    </w:p>
    <w:p w14:paraId="5619F4FC">
      <w:pPr>
        <w:keepNext w:val="0"/>
        <w:keepLines w:val="0"/>
        <w:pageBreakBefore w:val="0"/>
        <w:kinsoku/>
        <w:wordWrap/>
        <w:overflowPunct/>
        <w:topLinePunct w:val="0"/>
        <w:bidi w:val="0"/>
        <w:spacing w:before="184" w:line="218" w:lineRule="auto"/>
        <w:ind w:left="494"/>
        <w:rPr>
          <w:rFonts w:ascii="宋体" w:hAnsi="宋体" w:eastAsia="宋体" w:cs="宋体"/>
          <w:sz w:val="24"/>
          <w:szCs w:val="24"/>
        </w:rPr>
      </w:pPr>
      <w:r>
        <w:rPr>
          <w:rFonts w:ascii="宋体" w:hAnsi="宋体" w:eastAsia="宋体" w:cs="宋体"/>
          <w:spacing w:val="-1"/>
          <w:sz w:val="24"/>
          <w:szCs w:val="24"/>
        </w:rPr>
        <w:t>2)未采用人民币报价或者未按照磋商文件标明的币种报价；</w:t>
      </w:r>
    </w:p>
    <w:p w14:paraId="73C86554">
      <w:pPr>
        <w:keepNext w:val="0"/>
        <w:keepLines w:val="0"/>
        <w:pageBreakBefore w:val="0"/>
        <w:kinsoku/>
        <w:wordWrap/>
        <w:overflowPunct/>
        <w:topLinePunct w:val="0"/>
        <w:bidi w:val="0"/>
        <w:spacing w:before="184" w:line="219" w:lineRule="auto"/>
        <w:ind w:left="496"/>
        <w:rPr>
          <w:rFonts w:ascii="宋体" w:hAnsi="宋体" w:eastAsia="宋体" w:cs="宋体"/>
          <w:sz w:val="24"/>
          <w:szCs w:val="24"/>
        </w:rPr>
      </w:pPr>
      <w:r>
        <w:rPr>
          <w:rFonts w:ascii="宋体" w:hAnsi="宋体" w:eastAsia="宋体" w:cs="宋体"/>
          <w:sz w:val="24"/>
          <w:szCs w:val="24"/>
        </w:rPr>
        <w:t>3)响应文件响应的标的数量及单位与竞争性</w:t>
      </w:r>
      <w:r>
        <w:rPr>
          <w:rFonts w:ascii="宋体" w:hAnsi="宋体" w:eastAsia="宋体" w:cs="宋体"/>
          <w:spacing w:val="-1"/>
          <w:sz w:val="24"/>
          <w:szCs w:val="24"/>
        </w:rPr>
        <w:t>磋商采购文件要求实质性不一致的。</w:t>
      </w:r>
    </w:p>
    <w:p w14:paraId="54145EAE">
      <w:pPr>
        <w:keepNext w:val="0"/>
        <w:keepLines w:val="0"/>
        <w:pageBreakBefore w:val="0"/>
        <w:kinsoku/>
        <w:wordWrap/>
        <w:overflowPunct/>
        <w:topLinePunct w:val="0"/>
        <w:bidi w:val="0"/>
        <w:spacing w:before="184" w:line="313" w:lineRule="auto"/>
        <w:ind w:left="13" w:right="61" w:firstLine="482"/>
        <w:rPr>
          <w:rFonts w:ascii="宋体" w:hAnsi="宋体" w:eastAsia="宋体" w:cs="宋体"/>
          <w:sz w:val="24"/>
          <w:szCs w:val="24"/>
        </w:rPr>
      </w:pPr>
      <w:r>
        <w:rPr>
          <w:rFonts w:ascii="宋体" w:hAnsi="宋体" w:eastAsia="宋体" w:cs="宋体"/>
          <w:spacing w:val="5"/>
          <w:sz w:val="24"/>
          <w:szCs w:val="24"/>
        </w:rPr>
        <w:t>3.6磋商小组对响应文件进行评审，未实质性响应磋商文件</w:t>
      </w:r>
      <w:r>
        <w:rPr>
          <w:rFonts w:ascii="宋体" w:hAnsi="宋体" w:eastAsia="宋体" w:cs="宋体"/>
          <w:spacing w:val="4"/>
          <w:sz w:val="24"/>
          <w:szCs w:val="24"/>
        </w:rPr>
        <w:t>的响应文件按无效处</w:t>
      </w:r>
      <w:r>
        <w:rPr>
          <w:rFonts w:ascii="宋体" w:hAnsi="宋体" w:eastAsia="宋体" w:cs="宋体"/>
          <w:spacing w:val="-2"/>
          <w:sz w:val="24"/>
          <w:szCs w:val="24"/>
        </w:rPr>
        <w:t>理，磋商小组应当将资格和符合性不通过的情况告知有关供应商。磋商小组从符合磋商</w:t>
      </w:r>
      <w:r>
        <w:rPr>
          <w:rFonts w:ascii="宋体" w:hAnsi="宋体" w:eastAsia="宋体" w:cs="宋体"/>
          <w:spacing w:val="-1"/>
          <w:sz w:val="24"/>
          <w:szCs w:val="24"/>
        </w:rPr>
        <w:t>文件规定的相应资格条件的供应商名单中确定不少于3家的供应商参</w:t>
      </w:r>
      <w:r>
        <w:rPr>
          <w:rFonts w:ascii="宋体" w:hAnsi="宋体" w:eastAsia="宋体" w:cs="宋体"/>
          <w:spacing w:val="-2"/>
          <w:sz w:val="24"/>
          <w:szCs w:val="24"/>
        </w:rPr>
        <w:t>加磋商。</w:t>
      </w:r>
    </w:p>
    <w:p w14:paraId="291F0823">
      <w:pPr>
        <w:pStyle w:val="7"/>
        <w:keepNext w:val="0"/>
        <w:keepLines w:val="0"/>
        <w:pageBreakBefore w:val="0"/>
        <w:kinsoku/>
        <w:wordWrap/>
        <w:overflowPunct/>
        <w:topLinePunct w:val="0"/>
        <w:bidi w:val="0"/>
        <w:spacing w:line="255" w:lineRule="auto"/>
      </w:pPr>
      <w:r>
        <w:rPr>
          <w:rFonts w:ascii="宋体" w:hAnsi="宋体" w:eastAsia="宋体" w:cs="宋体"/>
          <w:spacing w:val="-2"/>
          <w:sz w:val="24"/>
          <w:szCs w:val="24"/>
        </w:rPr>
        <w:t>3.7非政府购买服务项目，通过符合性审查的合格供</w:t>
      </w:r>
      <w:r>
        <w:rPr>
          <w:rFonts w:ascii="宋体" w:hAnsi="宋体" w:eastAsia="宋体" w:cs="宋体"/>
          <w:spacing w:val="-3"/>
          <w:sz w:val="24"/>
          <w:szCs w:val="24"/>
        </w:rPr>
        <w:t>应商不足3家的，不得进入磋</w:t>
      </w:r>
      <w:r>
        <w:rPr>
          <w:rFonts w:ascii="宋体" w:hAnsi="宋体" w:eastAsia="宋体" w:cs="宋体"/>
          <w:spacing w:val="-2"/>
          <w:sz w:val="24"/>
          <w:szCs w:val="24"/>
        </w:rPr>
        <w:t>商环节，采购人或者采购代理机构应当重新开展采购活动。政府购买服务项目，按《财</w:t>
      </w:r>
      <w:r>
        <w:rPr>
          <w:rFonts w:ascii="宋体" w:hAnsi="宋体" w:eastAsia="宋体" w:cs="宋体"/>
          <w:spacing w:val="13"/>
          <w:sz w:val="24"/>
          <w:szCs w:val="24"/>
        </w:rPr>
        <w:t>政部关于政府采购竞争性磋商采购方式管理暂行办法有关问题的补充</w:t>
      </w:r>
      <w:r>
        <w:rPr>
          <w:rFonts w:ascii="宋体" w:hAnsi="宋体" w:eastAsia="宋体" w:cs="宋体"/>
          <w:spacing w:val="12"/>
          <w:sz w:val="24"/>
          <w:szCs w:val="24"/>
        </w:rPr>
        <w:t>通知》(财库</w:t>
      </w:r>
      <w:r>
        <w:rPr>
          <w:rFonts w:ascii="宋体" w:hAnsi="宋体" w:eastAsia="宋体" w:cs="宋体"/>
          <w:spacing w:val="-2"/>
          <w:sz w:val="24"/>
          <w:szCs w:val="24"/>
        </w:rPr>
        <w:t>〔2015〕124号)规定，采购过程中通过</w:t>
      </w:r>
      <w:r>
        <w:rPr>
          <w:rFonts w:ascii="宋体" w:hAnsi="宋体" w:eastAsia="宋体" w:cs="宋体"/>
          <w:spacing w:val="-3"/>
          <w:sz w:val="24"/>
          <w:szCs w:val="24"/>
        </w:rPr>
        <w:t>符合性审查的供应商(社会资本)只有2家的，</w:t>
      </w:r>
      <w:r>
        <w:rPr>
          <w:rFonts w:ascii="宋体" w:hAnsi="宋体" w:eastAsia="宋体" w:cs="宋体"/>
          <w:spacing w:val="-1"/>
          <w:sz w:val="24"/>
          <w:szCs w:val="24"/>
        </w:rPr>
        <w:t>磋商采购活动可以继续进行。</w:t>
      </w:r>
    </w:p>
    <w:p w14:paraId="5183CE6D">
      <w:pPr>
        <w:keepNext w:val="0"/>
        <w:keepLines w:val="0"/>
        <w:pageBreakBefore w:val="0"/>
        <w:kinsoku/>
        <w:wordWrap/>
        <w:overflowPunct/>
        <w:topLinePunct w:val="0"/>
        <w:bidi w:val="0"/>
        <w:spacing w:before="78" w:line="220" w:lineRule="auto"/>
        <w:ind w:left="480"/>
        <w:rPr>
          <w:rFonts w:ascii="宋体" w:hAnsi="宋体" w:eastAsia="宋体" w:cs="宋体"/>
          <w:sz w:val="24"/>
          <w:szCs w:val="24"/>
        </w:rPr>
      </w:pPr>
      <w:r>
        <w:rPr>
          <w:rFonts w:ascii="宋体" w:hAnsi="宋体" w:eastAsia="宋体" w:cs="宋体"/>
          <w:spacing w:val="-2"/>
          <w:sz w:val="24"/>
          <w:szCs w:val="24"/>
        </w:rPr>
        <w:t>4.磋商程序</w:t>
      </w:r>
    </w:p>
    <w:p w14:paraId="36C9C6AF">
      <w:pPr>
        <w:keepNext w:val="0"/>
        <w:keepLines w:val="0"/>
        <w:pageBreakBefore w:val="0"/>
        <w:kinsoku/>
        <w:wordWrap/>
        <w:overflowPunct/>
        <w:topLinePunct w:val="0"/>
        <w:bidi w:val="0"/>
        <w:spacing w:before="181" w:line="325" w:lineRule="auto"/>
        <w:ind w:right="80" w:firstLine="480"/>
        <w:rPr>
          <w:rFonts w:ascii="宋体" w:hAnsi="宋体" w:eastAsia="宋体" w:cs="宋体"/>
          <w:sz w:val="24"/>
          <w:szCs w:val="24"/>
        </w:rPr>
      </w:pPr>
      <w:r>
        <w:rPr>
          <w:rFonts w:ascii="宋体" w:hAnsi="宋体" w:eastAsia="宋体" w:cs="宋体"/>
          <w:spacing w:val="-2"/>
          <w:sz w:val="24"/>
          <w:szCs w:val="24"/>
        </w:rPr>
        <w:t>4.1磋商小组按照“供应商须知前附表”确定的顺</w:t>
      </w:r>
      <w:r>
        <w:rPr>
          <w:rFonts w:ascii="宋体" w:hAnsi="宋体" w:eastAsia="宋体" w:cs="宋体"/>
          <w:spacing w:val="-3"/>
          <w:sz w:val="24"/>
          <w:szCs w:val="24"/>
        </w:rPr>
        <w:t>序，集中与单一供应商分别进行</w:t>
      </w:r>
      <w:r>
        <w:rPr>
          <w:rFonts w:ascii="宋体" w:hAnsi="宋体" w:eastAsia="宋体" w:cs="宋体"/>
          <w:spacing w:val="-2"/>
          <w:sz w:val="24"/>
          <w:szCs w:val="24"/>
        </w:rPr>
        <w:t>磋商，并给予所有参加磋商的供应商平等的磋商机会。符合磋商资格的供应商必须在接</w:t>
      </w:r>
      <w:r>
        <w:rPr>
          <w:rFonts w:ascii="宋体" w:hAnsi="宋体" w:eastAsia="宋体" w:cs="宋体"/>
          <w:spacing w:val="5"/>
          <w:sz w:val="24"/>
          <w:szCs w:val="24"/>
        </w:rPr>
        <w:t>到磋商通知后规定时间内参加磋商，未在规定时间内参加磋商的视同放弃参加</w:t>
      </w:r>
      <w:r>
        <w:rPr>
          <w:rFonts w:ascii="宋体" w:hAnsi="宋体" w:eastAsia="宋体" w:cs="宋体"/>
          <w:spacing w:val="4"/>
          <w:sz w:val="24"/>
          <w:szCs w:val="24"/>
        </w:rPr>
        <w:t>磋商权</w:t>
      </w:r>
      <w:r>
        <w:rPr>
          <w:rFonts w:ascii="宋体" w:hAnsi="宋体" w:eastAsia="宋体" w:cs="宋体"/>
          <w:spacing w:val="-1"/>
          <w:sz w:val="24"/>
          <w:szCs w:val="24"/>
        </w:rPr>
        <w:t>利，其响应文件按无效响应处理。</w:t>
      </w:r>
    </w:p>
    <w:p w14:paraId="1105E3A2">
      <w:pPr>
        <w:keepNext w:val="0"/>
        <w:keepLines w:val="0"/>
        <w:pageBreakBefore w:val="0"/>
        <w:kinsoku/>
        <w:wordWrap/>
        <w:overflowPunct/>
        <w:topLinePunct w:val="0"/>
        <w:bidi w:val="0"/>
        <w:spacing w:before="181" w:line="325" w:lineRule="auto"/>
        <w:ind w:left="20" w:right="80" w:firstLine="459"/>
        <w:rPr>
          <w:rFonts w:ascii="宋体" w:hAnsi="宋体" w:eastAsia="宋体" w:cs="宋体"/>
          <w:sz w:val="24"/>
          <w:szCs w:val="24"/>
        </w:rPr>
      </w:pPr>
      <w:r>
        <w:rPr>
          <w:rFonts w:ascii="宋体" w:hAnsi="宋体" w:eastAsia="宋体" w:cs="宋体"/>
          <w:spacing w:val="-2"/>
          <w:sz w:val="24"/>
          <w:szCs w:val="24"/>
        </w:rPr>
        <w:t>4.2在磋商过程中，磋商小组可以根据磋商文件和磋商情况实质性变动采购需求中的技术、服务要求以及合同草案条款，但不得变动磋商文件中的其他内容。实质</w:t>
      </w:r>
      <w:r>
        <w:rPr>
          <w:rFonts w:ascii="宋体" w:hAnsi="宋体" w:eastAsia="宋体" w:cs="宋体"/>
          <w:spacing w:val="-3"/>
          <w:sz w:val="24"/>
          <w:szCs w:val="24"/>
        </w:rPr>
        <w:t>性变动</w:t>
      </w:r>
      <w:r>
        <w:rPr>
          <w:rFonts w:ascii="宋体" w:hAnsi="宋体" w:eastAsia="宋体" w:cs="宋体"/>
          <w:spacing w:val="-2"/>
          <w:sz w:val="24"/>
          <w:szCs w:val="24"/>
        </w:rPr>
        <w:t>的内容，须经采购人代表确认。可能实质性变动的内容为采购需求中的技术、服</w:t>
      </w:r>
      <w:r>
        <w:rPr>
          <w:rFonts w:ascii="宋体" w:hAnsi="宋体" w:eastAsia="宋体" w:cs="宋体"/>
          <w:spacing w:val="-3"/>
          <w:sz w:val="24"/>
          <w:szCs w:val="24"/>
        </w:rPr>
        <w:t>务要求</w:t>
      </w:r>
      <w:r>
        <w:rPr>
          <w:rFonts w:ascii="宋体" w:hAnsi="宋体" w:eastAsia="宋体" w:cs="宋体"/>
          <w:spacing w:val="-4"/>
          <w:sz w:val="24"/>
          <w:szCs w:val="24"/>
        </w:rPr>
        <w:t>以及合同草案条款。</w:t>
      </w:r>
    </w:p>
    <w:p w14:paraId="13199D77">
      <w:pPr>
        <w:keepNext w:val="0"/>
        <w:keepLines w:val="0"/>
        <w:pageBreakBefore w:val="0"/>
        <w:kinsoku/>
        <w:wordWrap/>
        <w:overflowPunct/>
        <w:topLinePunct w:val="0"/>
        <w:bidi w:val="0"/>
        <w:spacing w:before="183" w:line="289" w:lineRule="auto"/>
        <w:ind w:left="29" w:right="80" w:firstLine="450"/>
        <w:rPr>
          <w:rFonts w:ascii="宋体" w:hAnsi="宋体" w:eastAsia="宋体" w:cs="宋体"/>
          <w:sz w:val="24"/>
          <w:szCs w:val="24"/>
        </w:rPr>
      </w:pPr>
      <w:r>
        <w:rPr>
          <w:rFonts w:ascii="宋体" w:hAnsi="宋体" w:eastAsia="宋体" w:cs="宋体"/>
          <w:spacing w:val="-2"/>
          <w:sz w:val="24"/>
          <w:szCs w:val="24"/>
        </w:rPr>
        <w:t>4.3对磋商文件作出的实质性变动是磋商文件的有效组成部分，由磋商小组及时以电子澄清函形式同时通知所有参加磋商的供应商。</w:t>
      </w:r>
    </w:p>
    <w:p w14:paraId="2B8FFFB0">
      <w:pPr>
        <w:keepNext w:val="0"/>
        <w:keepLines w:val="0"/>
        <w:pageBreakBefore w:val="0"/>
        <w:kinsoku/>
        <w:wordWrap/>
        <w:overflowPunct/>
        <w:topLinePunct w:val="0"/>
        <w:bidi w:val="0"/>
        <w:spacing w:before="183" w:line="313" w:lineRule="auto"/>
        <w:ind w:right="80" w:firstLine="479"/>
        <w:rPr>
          <w:rFonts w:ascii="宋体" w:hAnsi="宋体" w:eastAsia="宋体" w:cs="宋体"/>
          <w:sz w:val="24"/>
          <w:szCs w:val="24"/>
        </w:rPr>
      </w:pPr>
      <w:r>
        <w:rPr>
          <w:rFonts w:ascii="宋体" w:hAnsi="宋体" w:eastAsia="宋体" w:cs="宋体"/>
          <w:spacing w:val="5"/>
          <w:sz w:val="24"/>
          <w:szCs w:val="24"/>
        </w:rPr>
        <w:t>4.4供应商必须按照磋商文件的变动情况和磋商小组的要求以回函的形式</w:t>
      </w:r>
      <w:r>
        <w:rPr>
          <w:rFonts w:ascii="宋体" w:hAnsi="宋体" w:eastAsia="宋体" w:cs="宋体"/>
          <w:spacing w:val="4"/>
          <w:sz w:val="24"/>
          <w:szCs w:val="24"/>
        </w:rPr>
        <w:t>重新提</w:t>
      </w:r>
      <w:r>
        <w:rPr>
          <w:rFonts w:ascii="宋体" w:hAnsi="宋体" w:eastAsia="宋体" w:cs="宋体"/>
          <w:spacing w:val="-2"/>
          <w:sz w:val="24"/>
          <w:szCs w:val="24"/>
        </w:rPr>
        <w:t>交响应文件，并加盖电子公章。供应商为自然人的，必须由本人签字并附身份证明。参</w:t>
      </w:r>
      <w:r>
        <w:rPr>
          <w:rFonts w:ascii="宋体" w:hAnsi="宋体" w:eastAsia="宋体" w:cs="宋体"/>
          <w:sz w:val="24"/>
          <w:szCs w:val="24"/>
        </w:rPr>
        <w:t>加磋商的供应商未在规定时间内重新提交响应</w:t>
      </w:r>
      <w:r>
        <w:rPr>
          <w:rFonts w:ascii="宋体" w:hAnsi="宋体" w:eastAsia="宋体" w:cs="宋体"/>
          <w:spacing w:val="-1"/>
          <w:sz w:val="24"/>
          <w:szCs w:val="24"/>
        </w:rPr>
        <w:t>文件的。视同退出磋商。</w:t>
      </w:r>
    </w:p>
    <w:p w14:paraId="57D98AA3">
      <w:pPr>
        <w:keepNext w:val="0"/>
        <w:keepLines w:val="0"/>
        <w:pageBreakBefore w:val="0"/>
        <w:kinsoku/>
        <w:wordWrap/>
        <w:overflowPunct/>
        <w:topLinePunct w:val="0"/>
        <w:bidi w:val="0"/>
        <w:spacing w:before="183" w:line="290" w:lineRule="auto"/>
        <w:ind w:left="1" w:right="80" w:firstLine="478"/>
        <w:rPr>
          <w:rFonts w:ascii="宋体" w:hAnsi="宋体" w:eastAsia="宋体" w:cs="宋体"/>
          <w:sz w:val="24"/>
          <w:szCs w:val="24"/>
        </w:rPr>
      </w:pPr>
      <w:r>
        <w:rPr>
          <w:rFonts w:ascii="宋体" w:hAnsi="宋体" w:eastAsia="宋体" w:cs="宋体"/>
          <w:spacing w:val="-2"/>
          <w:sz w:val="24"/>
          <w:szCs w:val="24"/>
        </w:rPr>
        <w:t>4.5磋商中，磋商的任何一方不得透露与磋商有关的其他供应商的技术资料、价格和其他信息。</w:t>
      </w:r>
    </w:p>
    <w:p w14:paraId="43FDFFF0">
      <w:pPr>
        <w:keepNext w:val="0"/>
        <w:keepLines w:val="0"/>
        <w:pageBreakBefore w:val="0"/>
        <w:kinsoku/>
        <w:wordWrap/>
        <w:overflowPunct/>
        <w:topLinePunct w:val="0"/>
        <w:bidi w:val="0"/>
        <w:spacing w:before="182" w:line="290" w:lineRule="auto"/>
        <w:ind w:left="7" w:right="80" w:firstLine="472"/>
        <w:rPr>
          <w:rFonts w:ascii="宋体" w:hAnsi="宋体" w:eastAsia="宋体" w:cs="宋体"/>
          <w:sz w:val="24"/>
          <w:szCs w:val="24"/>
        </w:rPr>
      </w:pPr>
      <w:r>
        <w:rPr>
          <w:rFonts w:ascii="宋体" w:hAnsi="宋体" w:eastAsia="宋体" w:cs="宋体"/>
          <w:spacing w:val="-2"/>
          <w:sz w:val="24"/>
          <w:szCs w:val="24"/>
        </w:rPr>
        <w:t>4.6磋商小组应对磋商过程和重要磋商内容进行记录，作为评标报告一部分，磋商</w:t>
      </w:r>
      <w:r>
        <w:rPr>
          <w:rFonts w:ascii="宋体" w:hAnsi="宋体" w:eastAsia="宋体" w:cs="宋体"/>
          <w:spacing w:val="-1"/>
          <w:sz w:val="24"/>
          <w:szCs w:val="24"/>
        </w:rPr>
        <w:t>小组在记录上签字确认。主要内容包括：</w:t>
      </w:r>
    </w:p>
    <w:p w14:paraId="62D3CDCB">
      <w:pPr>
        <w:keepNext w:val="0"/>
        <w:keepLines w:val="0"/>
        <w:pageBreakBefore w:val="0"/>
        <w:kinsoku/>
        <w:wordWrap/>
        <w:overflowPunct/>
        <w:topLinePunct w:val="0"/>
        <w:bidi w:val="0"/>
        <w:spacing w:before="183" w:line="219" w:lineRule="auto"/>
        <w:ind w:left="523"/>
        <w:rPr>
          <w:rFonts w:ascii="宋体" w:hAnsi="宋体" w:eastAsia="宋体" w:cs="宋体"/>
          <w:sz w:val="24"/>
          <w:szCs w:val="24"/>
        </w:rPr>
      </w:pPr>
      <w:r>
        <w:rPr>
          <w:rFonts w:ascii="宋体" w:hAnsi="宋体" w:eastAsia="宋体" w:cs="宋体"/>
          <w:spacing w:val="-3"/>
          <w:sz w:val="24"/>
          <w:szCs w:val="24"/>
        </w:rPr>
        <w:t>(1)按照相关规定进行公示的，公示情况说明；</w:t>
      </w:r>
    </w:p>
    <w:p w14:paraId="610707A3">
      <w:pPr>
        <w:keepNext w:val="0"/>
        <w:keepLines w:val="0"/>
        <w:pageBreakBefore w:val="0"/>
        <w:kinsoku/>
        <w:wordWrap/>
        <w:overflowPunct/>
        <w:topLinePunct w:val="0"/>
        <w:bidi w:val="0"/>
        <w:spacing w:before="183" w:line="220" w:lineRule="auto"/>
        <w:ind w:left="523"/>
        <w:rPr>
          <w:rFonts w:ascii="宋体" w:hAnsi="宋体" w:eastAsia="宋体" w:cs="宋体"/>
          <w:sz w:val="24"/>
          <w:szCs w:val="24"/>
        </w:rPr>
      </w:pPr>
      <w:r>
        <w:rPr>
          <w:rFonts w:ascii="宋体" w:hAnsi="宋体" w:eastAsia="宋体" w:cs="宋体"/>
          <w:spacing w:val="-3"/>
          <w:sz w:val="24"/>
          <w:szCs w:val="24"/>
        </w:rPr>
        <w:t>(2)磋商日期和地点，磋商人员名单；</w:t>
      </w:r>
    </w:p>
    <w:p w14:paraId="30E537A8">
      <w:pPr>
        <w:keepNext w:val="0"/>
        <w:keepLines w:val="0"/>
        <w:pageBreakBefore w:val="0"/>
        <w:kinsoku/>
        <w:wordWrap/>
        <w:overflowPunct/>
        <w:topLinePunct w:val="0"/>
        <w:bidi w:val="0"/>
        <w:spacing w:before="182" w:line="218" w:lineRule="auto"/>
        <w:ind w:left="523"/>
        <w:rPr>
          <w:rFonts w:ascii="宋体" w:hAnsi="宋体" w:eastAsia="宋体" w:cs="宋体"/>
          <w:sz w:val="24"/>
          <w:szCs w:val="24"/>
        </w:rPr>
      </w:pPr>
      <w:r>
        <w:rPr>
          <w:rFonts w:ascii="宋体" w:hAnsi="宋体" w:eastAsia="宋体" w:cs="宋体"/>
          <w:spacing w:val="-3"/>
          <w:sz w:val="24"/>
          <w:szCs w:val="24"/>
        </w:rPr>
        <w:t>(3)合同主要条款及价格商定情况。</w:t>
      </w:r>
    </w:p>
    <w:p w14:paraId="632D96BD">
      <w:pPr>
        <w:keepNext w:val="0"/>
        <w:keepLines w:val="0"/>
        <w:pageBreakBefore w:val="0"/>
        <w:kinsoku/>
        <w:wordWrap/>
        <w:overflowPunct/>
        <w:topLinePunct w:val="0"/>
        <w:bidi w:val="0"/>
        <w:spacing w:before="184" w:line="219" w:lineRule="auto"/>
        <w:ind w:left="480"/>
        <w:rPr>
          <w:rFonts w:ascii="宋体" w:hAnsi="宋体" w:eastAsia="宋体" w:cs="宋体"/>
          <w:sz w:val="24"/>
          <w:szCs w:val="24"/>
        </w:rPr>
      </w:pPr>
      <w:r>
        <w:rPr>
          <w:rFonts w:ascii="宋体" w:hAnsi="宋体" w:eastAsia="宋体" w:cs="宋体"/>
          <w:sz w:val="24"/>
          <w:szCs w:val="24"/>
        </w:rPr>
        <w:t>4.7磋商过程中重新提交的响应文件，供应商可以</w:t>
      </w:r>
      <w:r>
        <w:rPr>
          <w:rFonts w:ascii="宋体" w:hAnsi="宋体" w:eastAsia="宋体" w:cs="宋体"/>
          <w:spacing w:val="-1"/>
          <w:sz w:val="24"/>
          <w:szCs w:val="24"/>
        </w:rPr>
        <w:t>在开启前补充、修改。</w:t>
      </w:r>
    </w:p>
    <w:p w14:paraId="22AF9C56">
      <w:pPr>
        <w:keepNext w:val="0"/>
        <w:keepLines w:val="0"/>
        <w:pageBreakBefore w:val="0"/>
        <w:kinsoku/>
        <w:wordWrap/>
        <w:overflowPunct/>
        <w:topLinePunct w:val="0"/>
        <w:bidi w:val="0"/>
        <w:spacing w:before="185" w:line="289" w:lineRule="auto"/>
        <w:ind w:left="1" w:right="80" w:firstLine="478"/>
        <w:rPr>
          <w:rFonts w:ascii="宋体" w:hAnsi="宋体" w:eastAsia="宋体" w:cs="宋体"/>
          <w:sz w:val="24"/>
          <w:szCs w:val="24"/>
        </w:rPr>
      </w:pPr>
      <w:r>
        <w:rPr>
          <w:rFonts w:ascii="宋体" w:hAnsi="宋体" w:eastAsia="宋体" w:cs="宋体"/>
          <w:spacing w:val="-2"/>
          <w:sz w:val="24"/>
          <w:szCs w:val="24"/>
        </w:rPr>
        <w:t>4.8对磋商过程提交的响应文件进行有效性、完整性和响应程度审查，通过审查的</w:t>
      </w:r>
      <w:r>
        <w:rPr>
          <w:rFonts w:ascii="宋体" w:hAnsi="宋体" w:eastAsia="宋体" w:cs="宋体"/>
          <w:spacing w:val="-1"/>
          <w:sz w:val="24"/>
          <w:szCs w:val="24"/>
        </w:rPr>
        <w:t>合格供应商不足3家的，采购人或者采购代理机构应当重新开展采</w:t>
      </w:r>
      <w:r>
        <w:rPr>
          <w:rFonts w:ascii="宋体" w:hAnsi="宋体" w:eastAsia="宋体" w:cs="宋体"/>
          <w:spacing w:val="-2"/>
          <w:sz w:val="24"/>
          <w:szCs w:val="24"/>
        </w:rPr>
        <w:t>购活动。</w:t>
      </w:r>
    </w:p>
    <w:p w14:paraId="176095E2">
      <w:pPr>
        <w:keepNext w:val="0"/>
        <w:keepLines w:val="0"/>
        <w:pageBreakBefore w:val="0"/>
        <w:kinsoku/>
        <w:wordWrap/>
        <w:overflowPunct/>
        <w:topLinePunct w:val="0"/>
        <w:bidi w:val="0"/>
        <w:spacing w:before="184" w:line="218" w:lineRule="auto"/>
        <w:ind w:left="485"/>
        <w:rPr>
          <w:rFonts w:ascii="宋体" w:hAnsi="宋体" w:eastAsia="宋体" w:cs="宋体"/>
          <w:sz w:val="24"/>
          <w:szCs w:val="24"/>
        </w:rPr>
      </w:pPr>
      <w:r>
        <w:rPr>
          <w:rFonts w:ascii="宋体" w:hAnsi="宋体" w:eastAsia="宋体" w:cs="宋体"/>
          <w:spacing w:val="-5"/>
          <w:sz w:val="24"/>
          <w:szCs w:val="24"/>
        </w:rPr>
        <w:t>5.最后报价</w:t>
      </w:r>
    </w:p>
    <w:p w14:paraId="6F185D90">
      <w:pPr>
        <w:keepNext w:val="0"/>
        <w:keepLines w:val="0"/>
        <w:pageBreakBefore w:val="0"/>
        <w:kinsoku/>
        <w:wordWrap/>
        <w:overflowPunct/>
        <w:topLinePunct w:val="0"/>
        <w:bidi w:val="0"/>
        <w:spacing w:before="183" w:line="313" w:lineRule="auto"/>
        <w:ind w:left="3" w:right="80" w:firstLine="481"/>
        <w:rPr>
          <w:rFonts w:ascii="宋体" w:hAnsi="宋体" w:eastAsia="宋体" w:cs="宋体"/>
          <w:sz w:val="24"/>
          <w:szCs w:val="24"/>
        </w:rPr>
      </w:pPr>
      <w:r>
        <w:rPr>
          <w:rFonts w:ascii="宋体" w:hAnsi="宋体" w:eastAsia="宋体" w:cs="宋体"/>
          <w:spacing w:val="-2"/>
          <w:sz w:val="24"/>
          <w:szCs w:val="24"/>
        </w:rPr>
        <w:t>5.1磋商文件能够详细列明采购标的的技术、服务要求的，磋商结束后，由磋商小组要求所有继续参加磋商的供应商在规定时间内提交最后报价，除本</w:t>
      </w:r>
      <w:r>
        <w:rPr>
          <w:rFonts w:ascii="宋体" w:hAnsi="宋体" w:eastAsia="宋体" w:cs="宋体"/>
          <w:spacing w:val="-3"/>
          <w:sz w:val="24"/>
          <w:szCs w:val="24"/>
        </w:rPr>
        <w:t>章第5.3条外，提</w:t>
      </w:r>
      <w:r>
        <w:rPr>
          <w:rFonts w:ascii="宋体" w:hAnsi="宋体" w:eastAsia="宋体" w:cs="宋体"/>
          <w:spacing w:val="-2"/>
          <w:sz w:val="24"/>
          <w:szCs w:val="24"/>
        </w:rPr>
        <w:t>交最后报价的供应商不得少于3家，否则必须重新采购。</w:t>
      </w:r>
    </w:p>
    <w:p w14:paraId="383EB944">
      <w:pPr>
        <w:pStyle w:val="7"/>
        <w:keepNext w:val="0"/>
        <w:keepLines w:val="0"/>
        <w:pageBreakBefore w:val="0"/>
        <w:kinsoku/>
        <w:wordWrap/>
        <w:overflowPunct/>
        <w:topLinePunct w:val="0"/>
        <w:bidi w:val="0"/>
        <w:spacing w:line="255" w:lineRule="auto"/>
      </w:pPr>
      <w:r>
        <w:rPr>
          <w:rFonts w:ascii="宋体" w:hAnsi="宋体" w:eastAsia="宋体" w:cs="宋体"/>
          <w:spacing w:val="-2"/>
          <w:sz w:val="24"/>
          <w:szCs w:val="24"/>
        </w:rPr>
        <w:t>5.2磋商文件不能详细列明采购标的的技术、服务要求，需经磋商由供应商提供最后设计方案或者解决方案的，磋商结束后，由磋商小组按照少数服从多数的原则投票推</w:t>
      </w:r>
      <w:r>
        <w:rPr>
          <w:rFonts w:ascii="宋体" w:hAnsi="宋体" w:eastAsia="宋体" w:cs="宋体"/>
          <w:spacing w:val="-4"/>
          <w:sz w:val="24"/>
          <w:szCs w:val="24"/>
        </w:rPr>
        <w:t>荐3家以上供应商的设计方案或者解决方案，并要求其在规定时间内密封提交最后报价。</w:t>
      </w:r>
    </w:p>
    <w:p w14:paraId="359B9BEF">
      <w:pPr>
        <w:keepNext w:val="0"/>
        <w:keepLines w:val="0"/>
        <w:pageBreakBefore w:val="0"/>
        <w:kinsoku/>
        <w:wordWrap/>
        <w:overflowPunct/>
        <w:topLinePunct w:val="0"/>
        <w:bidi w:val="0"/>
        <w:spacing w:before="78" w:line="313" w:lineRule="auto"/>
        <w:ind w:left="2" w:firstLine="483"/>
        <w:rPr>
          <w:rFonts w:ascii="宋体" w:hAnsi="宋体" w:eastAsia="宋体" w:cs="宋体"/>
          <w:sz w:val="24"/>
          <w:szCs w:val="24"/>
        </w:rPr>
      </w:pPr>
      <w:r>
        <w:rPr>
          <w:rFonts w:ascii="宋体" w:hAnsi="宋体" w:eastAsia="宋体" w:cs="宋体"/>
          <w:spacing w:val="-2"/>
          <w:sz w:val="24"/>
          <w:szCs w:val="24"/>
        </w:rPr>
        <w:t>5.3最后报价是供应商响应文件的有效组成部分。符合《政府采购竞争性磋商采购</w:t>
      </w:r>
      <w:r>
        <w:rPr>
          <w:rFonts w:ascii="宋体" w:hAnsi="宋体" w:eastAsia="宋体" w:cs="宋体"/>
          <w:sz w:val="24"/>
          <w:szCs w:val="24"/>
        </w:rPr>
        <w:t>方式管理暂行办法》(财库〔2014〕214号)第三条第四项“市场竞争不充分的科研项</w:t>
      </w:r>
      <w:r>
        <w:rPr>
          <w:rFonts w:ascii="宋体" w:hAnsi="宋体" w:eastAsia="宋体" w:cs="宋体"/>
          <w:spacing w:val="-2"/>
          <w:sz w:val="24"/>
          <w:szCs w:val="24"/>
        </w:rPr>
        <w:t>目，以及需要扶持的科技成果转化项目”的，提交最后报价的供应商可以为2家。</w:t>
      </w:r>
    </w:p>
    <w:p w14:paraId="7E01F9FA">
      <w:pPr>
        <w:keepNext w:val="0"/>
        <w:keepLines w:val="0"/>
        <w:pageBreakBefore w:val="0"/>
        <w:kinsoku/>
        <w:wordWrap/>
        <w:overflowPunct/>
        <w:topLinePunct w:val="0"/>
        <w:bidi w:val="0"/>
        <w:spacing w:before="185" w:line="289" w:lineRule="auto"/>
        <w:ind w:left="6" w:right="2" w:firstLine="480"/>
        <w:rPr>
          <w:rFonts w:ascii="宋体" w:hAnsi="宋体" w:eastAsia="宋体" w:cs="宋体"/>
          <w:sz w:val="24"/>
          <w:szCs w:val="24"/>
        </w:rPr>
      </w:pPr>
      <w:r>
        <w:rPr>
          <w:rFonts w:ascii="宋体" w:hAnsi="宋体" w:eastAsia="宋体" w:cs="宋体"/>
          <w:spacing w:val="-3"/>
          <w:sz w:val="24"/>
          <w:szCs w:val="24"/>
        </w:rPr>
        <w:t>5.4已经提交响应文件的供应商，在提交最后报价之前，可以根据磋商情况退出磋</w:t>
      </w:r>
      <w:r>
        <w:rPr>
          <w:rFonts w:ascii="宋体" w:hAnsi="宋体" w:eastAsia="宋体" w:cs="宋体"/>
          <w:spacing w:val="-2"/>
          <w:sz w:val="24"/>
          <w:szCs w:val="24"/>
        </w:rPr>
        <w:t>商，退出磋商的供应商的响应文件按无效响应处理。</w:t>
      </w:r>
    </w:p>
    <w:p w14:paraId="11612598">
      <w:pPr>
        <w:keepNext w:val="0"/>
        <w:keepLines w:val="0"/>
        <w:pageBreakBefore w:val="0"/>
        <w:kinsoku/>
        <w:wordWrap/>
        <w:overflowPunct/>
        <w:topLinePunct w:val="0"/>
        <w:bidi w:val="0"/>
        <w:spacing w:before="183" w:line="289" w:lineRule="auto"/>
        <w:ind w:left="483" w:right="2154" w:firstLine="2"/>
        <w:rPr>
          <w:rFonts w:ascii="宋体" w:hAnsi="宋体" w:eastAsia="宋体" w:cs="宋体"/>
          <w:spacing w:val="-2"/>
          <w:sz w:val="24"/>
          <w:szCs w:val="24"/>
        </w:rPr>
      </w:pPr>
      <w:r>
        <w:rPr>
          <w:rFonts w:ascii="宋体" w:hAnsi="宋体" w:eastAsia="宋体" w:cs="宋体"/>
          <w:spacing w:val="-2"/>
          <w:sz w:val="24"/>
          <w:szCs w:val="24"/>
        </w:rPr>
        <w:t>5.5供应商未在规定时间内提交最后报价的，视同退出磋商。</w:t>
      </w:r>
    </w:p>
    <w:p w14:paraId="26B272EA">
      <w:pPr>
        <w:keepNext w:val="0"/>
        <w:keepLines w:val="0"/>
        <w:pageBreakBefore w:val="0"/>
        <w:kinsoku/>
        <w:wordWrap/>
        <w:overflowPunct/>
        <w:topLinePunct w:val="0"/>
        <w:bidi w:val="0"/>
        <w:spacing w:before="183" w:line="289" w:lineRule="auto"/>
        <w:ind w:left="483" w:right="2154" w:firstLine="2"/>
        <w:rPr>
          <w:rFonts w:ascii="宋体" w:hAnsi="宋体" w:eastAsia="宋体" w:cs="宋体"/>
          <w:sz w:val="24"/>
          <w:szCs w:val="24"/>
        </w:rPr>
      </w:pPr>
      <w:r>
        <w:rPr>
          <w:rFonts w:ascii="宋体" w:hAnsi="宋体" w:eastAsia="宋体" w:cs="宋体"/>
          <w:spacing w:val="-2"/>
          <w:sz w:val="24"/>
          <w:szCs w:val="24"/>
        </w:rPr>
        <w:t>6.比较与评价</w:t>
      </w:r>
    </w:p>
    <w:p w14:paraId="6C17DF3B">
      <w:pPr>
        <w:keepNext w:val="0"/>
        <w:keepLines w:val="0"/>
        <w:pageBreakBefore w:val="0"/>
        <w:kinsoku/>
        <w:wordWrap/>
        <w:overflowPunct/>
        <w:topLinePunct w:val="0"/>
        <w:bidi w:val="0"/>
        <w:spacing w:before="184" w:line="220" w:lineRule="auto"/>
        <w:ind w:left="483"/>
        <w:rPr>
          <w:rFonts w:ascii="宋体" w:hAnsi="宋体" w:eastAsia="宋体" w:cs="宋体"/>
          <w:sz w:val="24"/>
          <w:szCs w:val="24"/>
        </w:rPr>
      </w:pPr>
      <w:r>
        <w:rPr>
          <w:rFonts w:ascii="宋体" w:hAnsi="宋体" w:eastAsia="宋体" w:cs="宋体"/>
          <w:spacing w:val="-1"/>
          <w:sz w:val="24"/>
          <w:szCs w:val="24"/>
        </w:rPr>
        <w:t>6.1评审方法：综合评分法。</w:t>
      </w:r>
    </w:p>
    <w:p w14:paraId="5F5628A2">
      <w:pPr>
        <w:keepNext w:val="0"/>
        <w:keepLines w:val="0"/>
        <w:pageBreakBefore w:val="0"/>
        <w:kinsoku/>
        <w:wordWrap/>
        <w:overflowPunct/>
        <w:topLinePunct w:val="0"/>
        <w:bidi w:val="0"/>
        <w:spacing w:before="181" w:line="289" w:lineRule="auto"/>
        <w:ind w:left="4" w:right="2" w:firstLine="479"/>
        <w:rPr>
          <w:rFonts w:ascii="宋体" w:hAnsi="宋体" w:eastAsia="宋体" w:cs="宋体"/>
          <w:sz w:val="24"/>
          <w:szCs w:val="24"/>
        </w:rPr>
      </w:pPr>
      <w:r>
        <w:rPr>
          <w:rFonts w:ascii="宋体" w:hAnsi="宋体" w:eastAsia="宋体" w:cs="宋体"/>
          <w:spacing w:val="-2"/>
          <w:sz w:val="24"/>
          <w:szCs w:val="24"/>
        </w:rPr>
        <w:t>6.2经磋商确定最终采购需求和提交最后报价的供应商后，由磋商小组采用综合评</w:t>
      </w:r>
      <w:r>
        <w:rPr>
          <w:rFonts w:ascii="宋体" w:hAnsi="宋体" w:eastAsia="宋体" w:cs="宋体"/>
          <w:spacing w:val="-1"/>
          <w:sz w:val="24"/>
          <w:szCs w:val="24"/>
        </w:rPr>
        <w:t>分法对提交最后报价的供应商的响应文件和最后报价进行综合评分。</w:t>
      </w:r>
    </w:p>
    <w:p w14:paraId="1C06E342">
      <w:pPr>
        <w:keepNext w:val="0"/>
        <w:keepLines w:val="0"/>
        <w:pageBreakBefore w:val="0"/>
        <w:kinsoku/>
        <w:wordWrap/>
        <w:overflowPunct/>
        <w:topLinePunct w:val="0"/>
        <w:bidi w:val="0"/>
        <w:spacing w:before="186" w:line="289" w:lineRule="auto"/>
        <w:ind w:left="3" w:right="2" w:firstLine="480"/>
        <w:rPr>
          <w:rFonts w:ascii="宋体" w:hAnsi="宋体" w:eastAsia="宋体" w:cs="宋体"/>
          <w:sz w:val="24"/>
          <w:szCs w:val="24"/>
        </w:rPr>
      </w:pPr>
      <w:r>
        <w:rPr>
          <w:rFonts w:ascii="宋体" w:hAnsi="宋体" w:eastAsia="宋体" w:cs="宋体"/>
          <w:spacing w:val="-2"/>
          <w:sz w:val="24"/>
          <w:szCs w:val="24"/>
        </w:rPr>
        <w:t>6.3评审时，磋商小组各成员应当独立对每个有效响应的文件进行评价、打分，然</w:t>
      </w:r>
      <w:r>
        <w:rPr>
          <w:rFonts w:ascii="宋体" w:hAnsi="宋体" w:eastAsia="宋体" w:cs="宋体"/>
          <w:spacing w:val="-1"/>
          <w:sz w:val="24"/>
          <w:szCs w:val="24"/>
        </w:rPr>
        <w:t>后汇总每个供应商每项评分因素的得分。</w:t>
      </w:r>
    </w:p>
    <w:p w14:paraId="2824065C">
      <w:pPr>
        <w:keepNext w:val="0"/>
        <w:keepLines w:val="0"/>
        <w:pageBreakBefore w:val="0"/>
        <w:kinsoku/>
        <w:wordWrap/>
        <w:overflowPunct/>
        <w:topLinePunct w:val="0"/>
        <w:bidi w:val="0"/>
        <w:spacing w:before="184" w:line="313" w:lineRule="auto"/>
        <w:ind w:right="2" w:firstLine="524"/>
        <w:rPr>
          <w:rFonts w:ascii="宋体" w:hAnsi="宋体" w:eastAsia="宋体" w:cs="宋体"/>
          <w:sz w:val="24"/>
          <w:szCs w:val="24"/>
        </w:rPr>
      </w:pPr>
      <w:r>
        <w:rPr>
          <w:rFonts w:ascii="宋体" w:hAnsi="宋体" w:eastAsia="宋体" w:cs="宋体"/>
          <w:spacing w:val="1"/>
          <w:sz w:val="24"/>
          <w:szCs w:val="24"/>
        </w:rPr>
        <w:t>(1)评审委员会成员要根据政府采购法律</w:t>
      </w:r>
      <w:r>
        <w:rPr>
          <w:rFonts w:ascii="宋体" w:hAnsi="宋体" w:eastAsia="宋体" w:cs="宋体"/>
          <w:sz w:val="24"/>
          <w:szCs w:val="24"/>
        </w:rPr>
        <w:t>法规和采购文件所载明的评审方法、标准</w:t>
      </w:r>
      <w:r>
        <w:rPr>
          <w:rFonts w:ascii="宋体" w:hAnsi="宋体" w:eastAsia="宋体" w:cs="宋体"/>
          <w:spacing w:val="-1"/>
          <w:sz w:val="24"/>
          <w:szCs w:val="24"/>
        </w:rPr>
        <w:t>进行评审。对供应商的价格分等客观评分项</w:t>
      </w:r>
      <w:r>
        <w:rPr>
          <w:rFonts w:ascii="宋体" w:hAnsi="宋体" w:eastAsia="宋体" w:cs="宋体"/>
          <w:spacing w:val="-2"/>
          <w:sz w:val="24"/>
          <w:szCs w:val="24"/>
        </w:rPr>
        <w:t>的评分应当一致，对其他需要借助专业知识</w:t>
      </w:r>
      <w:r>
        <w:rPr>
          <w:rFonts w:ascii="宋体" w:hAnsi="宋体" w:eastAsia="宋体" w:cs="宋体"/>
          <w:spacing w:val="-1"/>
          <w:sz w:val="24"/>
          <w:szCs w:val="24"/>
        </w:rPr>
        <w:t>评判的主观评分项，应当严格按照评分细则公正评分。</w:t>
      </w:r>
    </w:p>
    <w:p w14:paraId="5DC2F0AB">
      <w:pPr>
        <w:keepNext w:val="0"/>
        <w:keepLines w:val="0"/>
        <w:pageBreakBefore w:val="0"/>
        <w:kinsoku/>
        <w:wordWrap/>
        <w:overflowPunct/>
        <w:topLinePunct w:val="0"/>
        <w:bidi w:val="0"/>
        <w:spacing w:before="183" w:line="289" w:lineRule="auto"/>
        <w:ind w:left="2" w:right="2" w:firstLine="521"/>
        <w:rPr>
          <w:rFonts w:ascii="宋体" w:hAnsi="宋体" w:eastAsia="宋体" w:cs="宋体"/>
          <w:sz w:val="24"/>
          <w:szCs w:val="24"/>
        </w:rPr>
      </w:pPr>
      <w:r>
        <w:rPr>
          <w:rFonts w:ascii="宋体" w:hAnsi="宋体" w:eastAsia="宋体" w:cs="宋体"/>
          <w:spacing w:val="1"/>
          <w:sz w:val="24"/>
          <w:szCs w:val="24"/>
        </w:rPr>
        <w:t>(2)磋商小组按照磋商文件中规定的评审</w:t>
      </w:r>
      <w:r>
        <w:rPr>
          <w:rFonts w:ascii="宋体" w:hAnsi="宋体" w:eastAsia="宋体" w:cs="宋体"/>
          <w:sz w:val="24"/>
          <w:szCs w:val="24"/>
        </w:rPr>
        <w:t>标准计算各供应商的报价得分。项目评审</w:t>
      </w:r>
      <w:r>
        <w:rPr>
          <w:rFonts w:ascii="宋体" w:hAnsi="宋体" w:eastAsia="宋体" w:cs="宋体"/>
          <w:spacing w:val="-1"/>
          <w:sz w:val="24"/>
          <w:szCs w:val="24"/>
        </w:rPr>
        <w:t>过程中，不得去掉最后报价中的最高报价和最低报价。</w:t>
      </w:r>
    </w:p>
    <w:p w14:paraId="442BF604">
      <w:pPr>
        <w:keepNext w:val="0"/>
        <w:keepLines w:val="0"/>
        <w:pageBreakBefore w:val="0"/>
        <w:kinsoku/>
        <w:wordWrap/>
        <w:overflowPunct/>
        <w:topLinePunct w:val="0"/>
        <w:bidi w:val="0"/>
        <w:spacing w:before="184" w:line="219" w:lineRule="auto"/>
        <w:ind w:left="524"/>
        <w:rPr>
          <w:rFonts w:ascii="宋体" w:hAnsi="宋体" w:eastAsia="宋体" w:cs="宋体"/>
          <w:sz w:val="24"/>
          <w:szCs w:val="24"/>
        </w:rPr>
      </w:pPr>
      <w:r>
        <w:rPr>
          <w:rFonts w:ascii="宋体" w:hAnsi="宋体" w:eastAsia="宋体" w:cs="宋体"/>
          <w:spacing w:val="-2"/>
          <w:sz w:val="24"/>
          <w:szCs w:val="24"/>
        </w:rPr>
        <w:t>(3)各供应商的得分为磋商小组所有成员的有效评分的算术平均数。</w:t>
      </w:r>
    </w:p>
    <w:p w14:paraId="4D595618">
      <w:pPr>
        <w:keepNext w:val="0"/>
        <w:keepLines w:val="0"/>
        <w:pageBreakBefore w:val="0"/>
        <w:kinsoku/>
        <w:wordWrap/>
        <w:overflowPunct/>
        <w:topLinePunct w:val="0"/>
        <w:bidi w:val="0"/>
        <w:spacing w:before="182" w:line="314" w:lineRule="auto"/>
        <w:ind w:left="2" w:right="2" w:firstLine="480"/>
        <w:rPr>
          <w:rFonts w:ascii="宋体" w:hAnsi="宋体" w:eastAsia="宋体" w:cs="宋体"/>
          <w:sz w:val="24"/>
          <w:szCs w:val="24"/>
        </w:rPr>
      </w:pPr>
      <w:r>
        <w:rPr>
          <w:rFonts w:ascii="宋体" w:hAnsi="宋体" w:eastAsia="宋体" w:cs="宋体"/>
          <w:spacing w:val="-2"/>
          <w:sz w:val="24"/>
          <w:szCs w:val="24"/>
        </w:rPr>
        <w:t>6.4评审价为供应商的最后报价进行政策性扣除后的价格，评审价只是作为评审时</w:t>
      </w:r>
      <w:r>
        <w:rPr>
          <w:rFonts w:ascii="宋体" w:hAnsi="宋体" w:eastAsia="宋体" w:cs="宋体"/>
          <w:spacing w:val="2"/>
          <w:sz w:val="24"/>
          <w:szCs w:val="24"/>
        </w:rPr>
        <w:t>使用。最终成交供应商的成交金额等于最后报价(</w:t>
      </w:r>
      <w:r>
        <w:rPr>
          <w:rFonts w:ascii="宋体" w:hAnsi="宋体" w:eastAsia="宋体" w:cs="宋体"/>
          <w:spacing w:val="1"/>
          <w:sz w:val="24"/>
          <w:szCs w:val="24"/>
        </w:rPr>
        <w:t>如有修正，以确认修正后的最后报价</w:t>
      </w:r>
      <w:r>
        <w:rPr>
          <w:rFonts w:ascii="宋体" w:hAnsi="宋体" w:eastAsia="宋体" w:cs="宋体"/>
          <w:spacing w:val="-3"/>
          <w:sz w:val="24"/>
          <w:szCs w:val="24"/>
        </w:rPr>
        <w:t>为准)。</w:t>
      </w:r>
    </w:p>
    <w:p w14:paraId="26AD8F3E">
      <w:pPr>
        <w:keepNext w:val="0"/>
        <w:keepLines w:val="0"/>
        <w:pageBreakBefore w:val="0"/>
        <w:kinsoku/>
        <w:wordWrap/>
        <w:overflowPunct/>
        <w:topLinePunct w:val="0"/>
        <w:bidi w:val="0"/>
        <w:spacing w:before="184" w:line="324" w:lineRule="auto"/>
        <w:ind w:left="2" w:right="2" w:firstLine="480"/>
        <w:rPr>
          <w:rFonts w:ascii="宋体" w:hAnsi="宋体" w:eastAsia="宋体" w:cs="宋体"/>
          <w:sz w:val="24"/>
          <w:szCs w:val="24"/>
        </w:rPr>
      </w:pPr>
      <w:r>
        <w:rPr>
          <w:rFonts w:ascii="宋体" w:hAnsi="宋体" w:eastAsia="宋体" w:cs="宋体"/>
          <w:spacing w:val="-3"/>
          <w:sz w:val="24"/>
          <w:szCs w:val="24"/>
        </w:rPr>
        <w:t>6.5由磋商小组根据综合评分情况，按照评审得</w:t>
      </w:r>
      <w:r>
        <w:rPr>
          <w:rFonts w:ascii="宋体" w:hAnsi="宋体" w:eastAsia="宋体" w:cs="宋体"/>
          <w:spacing w:val="-4"/>
          <w:sz w:val="24"/>
          <w:szCs w:val="24"/>
        </w:rPr>
        <w:t>分由高到低顺序推荐3名以上成交</w:t>
      </w:r>
      <w:r>
        <w:rPr>
          <w:rFonts w:ascii="宋体" w:hAnsi="宋体" w:eastAsia="宋体" w:cs="宋体"/>
          <w:spacing w:val="-2"/>
          <w:sz w:val="24"/>
          <w:szCs w:val="24"/>
        </w:rPr>
        <w:t>候选供应商，并编写评审报告。符合市场竞争不充分的科研项目，以及需要扶持的科技成果转化项目，可以推荐2家成交候选供应商。评审得分相同的，按照</w:t>
      </w:r>
      <w:r>
        <w:rPr>
          <w:rFonts w:ascii="宋体" w:hAnsi="宋体" w:eastAsia="宋体" w:cs="宋体"/>
          <w:spacing w:val="-3"/>
          <w:sz w:val="24"/>
          <w:szCs w:val="24"/>
        </w:rPr>
        <w:t>最后报价由低到</w:t>
      </w:r>
      <w:r>
        <w:rPr>
          <w:rFonts w:ascii="宋体" w:hAnsi="宋体" w:eastAsia="宋体" w:cs="宋体"/>
          <w:sz w:val="24"/>
          <w:szCs w:val="24"/>
        </w:rPr>
        <w:t>高的顺序推荐。评审得分且最后报价相同的，按</w:t>
      </w:r>
      <w:r>
        <w:rPr>
          <w:rFonts w:ascii="宋体" w:hAnsi="宋体" w:eastAsia="宋体" w:cs="宋体"/>
          <w:spacing w:val="-1"/>
          <w:sz w:val="24"/>
          <w:szCs w:val="24"/>
        </w:rPr>
        <w:t>照技术指标优劣顺序推荐。</w:t>
      </w:r>
    </w:p>
    <w:p w14:paraId="34408CF8">
      <w:pPr>
        <w:keepNext w:val="0"/>
        <w:keepLines w:val="0"/>
        <w:pageBreakBefore w:val="0"/>
        <w:kinsoku/>
        <w:wordWrap/>
        <w:overflowPunct/>
        <w:topLinePunct w:val="0"/>
        <w:bidi w:val="0"/>
        <w:spacing w:before="184" w:line="219" w:lineRule="auto"/>
        <w:ind w:left="485"/>
        <w:rPr>
          <w:rFonts w:ascii="宋体" w:hAnsi="宋体" w:eastAsia="宋体" w:cs="宋体"/>
          <w:sz w:val="24"/>
          <w:szCs w:val="24"/>
        </w:rPr>
      </w:pPr>
      <w:r>
        <w:rPr>
          <w:rFonts w:ascii="宋体" w:hAnsi="宋体" w:eastAsia="宋体" w:cs="宋体"/>
          <w:b/>
          <w:bCs/>
          <w:spacing w:val="-3"/>
          <w:sz w:val="24"/>
          <w:szCs w:val="24"/>
        </w:rPr>
        <w:t>终止竞争性磋商采购活动的条款</w:t>
      </w:r>
    </w:p>
    <w:p w14:paraId="3B95AA8F">
      <w:pPr>
        <w:keepNext w:val="0"/>
        <w:keepLines w:val="0"/>
        <w:pageBreakBefore w:val="0"/>
        <w:kinsoku/>
        <w:wordWrap/>
        <w:overflowPunct/>
        <w:topLinePunct w:val="0"/>
        <w:bidi w:val="0"/>
        <w:spacing w:before="184" w:line="346" w:lineRule="auto"/>
        <w:ind w:left="7" w:right="2" w:firstLine="494"/>
        <w:rPr>
          <w:rFonts w:ascii="宋体" w:hAnsi="宋体" w:eastAsia="宋体" w:cs="宋体"/>
          <w:sz w:val="24"/>
          <w:szCs w:val="24"/>
        </w:rPr>
      </w:pPr>
      <w:r>
        <w:rPr>
          <w:rFonts w:ascii="宋体" w:hAnsi="宋体" w:eastAsia="宋体" w:cs="宋体"/>
          <w:spacing w:val="-2"/>
          <w:sz w:val="24"/>
          <w:szCs w:val="24"/>
        </w:rPr>
        <w:t>出现下列情形之一的，采购代理机构将终止竞争性磋商采购活动</w:t>
      </w:r>
      <w:r>
        <w:rPr>
          <w:rFonts w:ascii="宋体" w:hAnsi="宋体" w:eastAsia="宋体" w:cs="宋体"/>
          <w:spacing w:val="-3"/>
          <w:sz w:val="24"/>
          <w:szCs w:val="24"/>
        </w:rPr>
        <w:t>，发布项目终止公</w:t>
      </w:r>
      <w:r>
        <w:rPr>
          <w:rFonts w:ascii="宋体" w:hAnsi="宋体" w:eastAsia="宋体" w:cs="宋体"/>
          <w:spacing w:val="-1"/>
          <w:sz w:val="24"/>
          <w:szCs w:val="24"/>
        </w:rPr>
        <w:t>告并说明原因，重新开展采购活动：</w:t>
      </w:r>
    </w:p>
    <w:p w14:paraId="35EB8C96">
      <w:pPr>
        <w:keepNext w:val="0"/>
        <w:keepLines w:val="0"/>
        <w:pageBreakBefore w:val="0"/>
        <w:kinsoku/>
        <w:wordWrap/>
        <w:overflowPunct/>
        <w:topLinePunct w:val="0"/>
        <w:bidi w:val="0"/>
        <w:spacing w:before="36" w:line="219" w:lineRule="auto"/>
        <w:ind w:left="493"/>
        <w:rPr>
          <w:rFonts w:ascii="宋体" w:hAnsi="宋体" w:eastAsia="宋体" w:cs="宋体"/>
          <w:sz w:val="24"/>
          <w:szCs w:val="24"/>
        </w:rPr>
      </w:pPr>
      <w:r>
        <w:rPr>
          <w:rFonts w:ascii="宋体" w:hAnsi="宋体" w:eastAsia="宋体" w:cs="宋体"/>
          <w:spacing w:val="-1"/>
          <w:sz w:val="24"/>
          <w:szCs w:val="24"/>
        </w:rPr>
        <w:t>（1）因情况变化，不再符合规定的竞争性磋商采购方式适用情形的；</w:t>
      </w:r>
    </w:p>
    <w:p w14:paraId="0C05B2E2">
      <w:pPr>
        <w:keepNext w:val="0"/>
        <w:keepLines w:val="0"/>
        <w:pageBreakBefore w:val="0"/>
        <w:kinsoku/>
        <w:wordWrap/>
        <w:overflowPunct/>
        <w:topLinePunct w:val="0"/>
        <w:bidi w:val="0"/>
        <w:spacing w:before="183" w:line="219" w:lineRule="auto"/>
        <w:ind w:left="493"/>
        <w:rPr>
          <w:rFonts w:ascii="宋体" w:hAnsi="宋体" w:eastAsia="宋体" w:cs="宋体"/>
          <w:sz w:val="24"/>
          <w:szCs w:val="24"/>
        </w:rPr>
      </w:pPr>
      <w:r>
        <w:rPr>
          <w:rFonts w:ascii="宋体" w:hAnsi="宋体" w:eastAsia="宋体" w:cs="宋体"/>
          <w:spacing w:val="-1"/>
          <w:sz w:val="24"/>
          <w:szCs w:val="24"/>
        </w:rPr>
        <w:t>（2）出现影响采购公正的违法、违规行为的；</w:t>
      </w:r>
    </w:p>
    <w:p w14:paraId="153A03C0">
      <w:pPr>
        <w:keepNext w:val="0"/>
        <w:keepLines w:val="0"/>
        <w:pageBreakBefore w:val="0"/>
        <w:kinsoku/>
        <w:wordWrap/>
        <w:overflowPunct/>
        <w:topLinePunct w:val="0"/>
        <w:bidi w:val="0"/>
        <w:spacing w:before="183" w:line="219" w:lineRule="auto"/>
        <w:ind w:left="493"/>
        <w:rPr>
          <w:rFonts w:ascii="宋体" w:hAnsi="宋体" w:eastAsia="宋体" w:cs="宋体"/>
          <w:sz w:val="24"/>
          <w:szCs w:val="24"/>
        </w:rPr>
      </w:pPr>
      <w:r>
        <w:rPr>
          <w:rFonts w:ascii="宋体" w:hAnsi="宋体" w:eastAsia="宋体" w:cs="宋体"/>
          <w:spacing w:val="-2"/>
          <w:sz w:val="24"/>
          <w:szCs w:val="24"/>
        </w:rPr>
        <w:t>（3）在采购过程中符合要求的供应商不足3家</w:t>
      </w:r>
      <w:r>
        <w:rPr>
          <w:rFonts w:ascii="宋体" w:hAnsi="宋体" w:eastAsia="宋体" w:cs="宋体"/>
          <w:spacing w:val="-3"/>
          <w:sz w:val="24"/>
          <w:szCs w:val="24"/>
        </w:rPr>
        <w:t>的。</w:t>
      </w:r>
    </w:p>
    <w:p w14:paraId="4443A389">
      <w:pPr>
        <w:keepNext w:val="0"/>
        <w:keepLines w:val="0"/>
        <w:pageBreakBefore w:val="0"/>
        <w:kinsoku/>
        <w:wordWrap/>
        <w:overflowPunct/>
        <w:topLinePunct w:val="0"/>
        <w:bidi w:val="0"/>
        <w:spacing w:before="78" w:line="332" w:lineRule="auto"/>
        <w:ind w:right="61" w:firstLine="482"/>
        <w:rPr>
          <w:rFonts w:ascii="宋体" w:hAnsi="宋体" w:eastAsia="宋体" w:cs="宋体"/>
          <w:sz w:val="24"/>
          <w:szCs w:val="24"/>
        </w:rPr>
      </w:pPr>
      <w:r>
        <w:rPr>
          <w:rFonts w:ascii="宋体" w:hAnsi="宋体" w:eastAsia="宋体" w:cs="宋体"/>
          <w:spacing w:val="-2"/>
          <w:sz w:val="24"/>
          <w:szCs w:val="24"/>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w:t>
      </w:r>
      <w:r>
        <w:rPr>
          <w:rFonts w:ascii="宋体" w:hAnsi="宋体" w:eastAsia="宋体" w:cs="宋体"/>
          <w:spacing w:val="-1"/>
          <w:sz w:val="24"/>
          <w:szCs w:val="24"/>
        </w:rPr>
        <w:t>视为同意评审报告。</w:t>
      </w:r>
    </w:p>
    <w:p w14:paraId="6F0FF635">
      <w:pPr>
        <w:keepNext w:val="0"/>
        <w:keepLines w:val="0"/>
        <w:pageBreakBefore w:val="0"/>
        <w:kinsoku/>
        <w:wordWrap/>
        <w:overflowPunct/>
        <w:topLinePunct w:val="0"/>
        <w:bidi w:val="0"/>
        <w:spacing w:before="184" w:line="220" w:lineRule="auto"/>
        <w:ind w:left="487"/>
        <w:rPr>
          <w:rFonts w:ascii="宋体" w:hAnsi="宋体" w:eastAsia="宋体" w:cs="宋体"/>
          <w:sz w:val="24"/>
          <w:szCs w:val="24"/>
        </w:rPr>
      </w:pPr>
      <w:r>
        <w:rPr>
          <w:rFonts w:ascii="宋体" w:hAnsi="宋体" w:eastAsia="宋体" w:cs="宋体"/>
          <w:spacing w:val="-3"/>
          <w:sz w:val="24"/>
          <w:szCs w:val="24"/>
        </w:rPr>
        <w:t>7、评审复核</w:t>
      </w:r>
    </w:p>
    <w:p w14:paraId="66810493">
      <w:pPr>
        <w:keepNext w:val="0"/>
        <w:keepLines w:val="0"/>
        <w:pageBreakBefore w:val="0"/>
        <w:kinsoku/>
        <w:wordWrap/>
        <w:overflowPunct/>
        <w:topLinePunct w:val="0"/>
        <w:bidi w:val="0"/>
        <w:spacing w:before="181" w:line="289" w:lineRule="auto"/>
        <w:ind w:right="61" w:firstLine="487"/>
        <w:rPr>
          <w:rFonts w:ascii="宋体" w:hAnsi="宋体" w:eastAsia="宋体" w:cs="宋体"/>
          <w:sz w:val="24"/>
          <w:szCs w:val="24"/>
        </w:rPr>
      </w:pPr>
      <w:r>
        <w:rPr>
          <w:rFonts w:ascii="宋体" w:hAnsi="宋体" w:eastAsia="宋体" w:cs="宋体"/>
          <w:spacing w:val="-2"/>
          <w:sz w:val="24"/>
          <w:szCs w:val="24"/>
        </w:rPr>
        <w:t>7.1评审报告签署前，评审委员会要对评审结果进行复核，复核意见要体现在评审报告中。</w:t>
      </w:r>
    </w:p>
    <w:p w14:paraId="03E1787C">
      <w:pPr>
        <w:keepNext w:val="0"/>
        <w:keepLines w:val="0"/>
        <w:pageBreakBefore w:val="0"/>
        <w:kinsoku/>
        <w:wordWrap/>
        <w:overflowPunct/>
        <w:topLinePunct w:val="0"/>
        <w:bidi w:val="0"/>
        <w:spacing w:before="187" w:line="324" w:lineRule="auto"/>
        <w:ind w:left="2" w:right="61" w:firstLine="484"/>
        <w:rPr>
          <w:rFonts w:ascii="宋体" w:hAnsi="宋体" w:eastAsia="宋体" w:cs="宋体"/>
          <w:sz w:val="24"/>
          <w:szCs w:val="24"/>
        </w:rPr>
      </w:pPr>
      <w:r>
        <w:rPr>
          <w:rFonts w:ascii="宋体" w:hAnsi="宋体" w:eastAsia="宋体" w:cs="宋体"/>
          <w:spacing w:val="-2"/>
          <w:sz w:val="24"/>
          <w:szCs w:val="24"/>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w:t>
      </w:r>
      <w:r>
        <w:rPr>
          <w:rFonts w:ascii="宋体" w:hAnsi="宋体" w:eastAsia="宋体" w:cs="宋体"/>
          <w:sz w:val="24"/>
          <w:szCs w:val="24"/>
        </w:rPr>
        <w:t>现上述除外情形的，评审委员会应当现场修改评审结果，</w:t>
      </w:r>
      <w:r>
        <w:rPr>
          <w:rFonts w:ascii="宋体" w:hAnsi="宋体" w:eastAsia="宋体" w:cs="宋体"/>
          <w:spacing w:val="-1"/>
          <w:sz w:val="24"/>
          <w:szCs w:val="24"/>
        </w:rPr>
        <w:t>并在评审报告中明确记载。</w:t>
      </w:r>
    </w:p>
    <w:p w14:paraId="550C8933">
      <w:pPr>
        <w:keepNext w:val="0"/>
        <w:keepLines w:val="0"/>
        <w:pageBreakBefore w:val="0"/>
        <w:kinsoku/>
        <w:wordWrap/>
        <w:overflowPunct/>
        <w:topLinePunct w:val="0"/>
        <w:bidi w:val="0"/>
        <w:spacing w:before="185" w:line="220" w:lineRule="auto"/>
        <w:ind w:left="482"/>
        <w:rPr>
          <w:rFonts w:ascii="宋体" w:hAnsi="宋体" w:eastAsia="宋体" w:cs="宋体"/>
          <w:sz w:val="24"/>
          <w:szCs w:val="24"/>
        </w:rPr>
      </w:pPr>
      <w:r>
        <w:rPr>
          <w:rFonts w:ascii="宋体" w:hAnsi="宋体" w:eastAsia="宋体" w:cs="宋体"/>
          <w:spacing w:val="-2"/>
          <w:sz w:val="24"/>
          <w:szCs w:val="24"/>
        </w:rPr>
        <w:t>8.评审标准</w:t>
      </w:r>
    </w:p>
    <w:p w14:paraId="395F3173">
      <w:pPr>
        <w:keepNext w:val="0"/>
        <w:keepLines w:val="0"/>
        <w:pageBreakBefore w:val="0"/>
        <w:kinsoku/>
        <w:wordWrap/>
        <w:overflowPunct/>
        <w:topLinePunct w:val="0"/>
        <w:bidi w:val="0"/>
        <w:spacing w:before="184" w:line="355" w:lineRule="auto"/>
        <w:ind w:left="1"/>
        <w:jc w:val="both"/>
        <w:rPr>
          <w:rFonts w:ascii="宋体" w:hAnsi="宋体" w:eastAsia="宋体" w:cs="宋体"/>
          <w:sz w:val="24"/>
          <w:szCs w:val="24"/>
        </w:rPr>
      </w:pPr>
      <w:r>
        <w:rPr>
          <w:rFonts w:ascii="宋体" w:hAnsi="宋体" w:eastAsia="宋体" w:cs="宋体"/>
          <w:spacing w:val="-1"/>
          <w:sz w:val="24"/>
          <w:szCs w:val="24"/>
        </w:rPr>
        <w:t>8.1评审依据：磋商小组将以磋商响应文</w:t>
      </w:r>
      <w:r>
        <w:rPr>
          <w:rFonts w:ascii="宋体" w:hAnsi="宋体" w:eastAsia="宋体" w:cs="宋体"/>
          <w:spacing w:val="-2"/>
          <w:sz w:val="24"/>
          <w:szCs w:val="24"/>
        </w:rPr>
        <w:t>件为评审依据，对供应商的报价、技术、商务</w:t>
      </w:r>
      <w:r>
        <w:rPr>
          <w:rFonts w:ascii="宋体" w:hAnsi="宋体" w:eastAsia="宋体" w:cs="宋体"/>
          <w:spacing w:val="-1"/>
          <w:sz w:val="24"/>
          <w:szCs w:val="24"/>
        </w:rPr>
        <w:t>等方面进行打分。(计分方法按四舍五入取</w:t>
      </w:r>
      <w:r>
        <w:rPr>
          <w:rFonts w:ascii="宋体" w:hAnsi="宋体" w:eastAsia="宋体" w:cs="宋体"/>
          <w:spacing w:val="-2"/>
          <w:sz w:val="24"/>
          <w:szCs w:val="24"/>
        </w:rPr>
        <w:t>至百分位)磋商小组发现竞争性磋商文件存在</w:t>
      </w:r>
      <w:r>
        <w:rPr>
          <w:rFonts w:ascii="宋体" w:hAnsi="宋体" w:eastAsia="宋体" w:cs="宋体"/>
          <w:spacing w:val="-6"/>
          <w:sz w:val="24"/>
          <w:szCs w:val="24"/>
        </w:rPr>
        <w:t>歧义、重大缺陷导致评审工作无法进行，或者竞争性磋商文件内容违反国家有关规</w:t>
      </w:r>
      <w:r>
        <w:rPr>
          <w:rFonts w:ascii="宋体" w:hAnsi="宋体" w:eastAsia="宋体" w:cs="宋体"/>
          <w:spacing w:val="-7"/>
          <w:sz w:val="24"/>
          <w:szCs w:val="24"/>
        </w:rPr>
        <w:t>定的，</w:t>
      </w:r>
      <w:r>
        <w:rPr>
          <w:rFonts w:ascii="宋体" w:hAnsi="宋体" w:eastAsia="宋体" w:cs="宋体"/>
          <w:spacing w:val="-2"/>
          <w:sz w:val="24"/>
          <w:szCs w:val="24"/>
        </w:rPr>
        <w:t>要停止评审工作并向采购人或采购代理机构书面说明情况，采购人或采购代理机构应当修改竞争性磋商文件后重新组织采购活动；发现供应商提供虚假材料、串通等违法违规</w:t>
      </w:r>
      <w:r>
        <w:rPr>
          <w:rFonts w:ascii="宋体" w:hAnsi="宋体" w:eastAsia="宋体" w:cs="宋体"/>
          <w:spacing w:val="-1"/>
          <w:sz w:val="24"/>
          <w:szCs w:val="24"/>
        </w:rPr>
        <w:t>行为的，要及时向采购人或采购代理机构报告。</w:t>
      </w:r>
    </w:p>
    <w:p w14:paraId="568A8801">
      <w:pPr>
        <w:pStyle w:val="7"/>
        <w:keepNext w:val="0"/>
        <w:keepLines w:val="0"/>
        <w:pageBreakBefore w:val="0"/>
        <w:kinsoku/>
        <w:wordWrap/>
        <w:overflowPunct/>
        <w:topLinePunct w:val="0"/>
        <w:bidi w:val="0"/>
        <w:spacing w:line="265" w:lineRule="auto"/>
      </w:pPr>
    </w:p>
    <w:p w14:paraId="39B30A90">
      <w:pPr>
        <w:rPr>
          <w:rFonts w:ascii="宋体" w:hAnsi="宋体" w:eastAsia="宋体" w:cs="宋体"/>
          <w:b/>
          <w:bCs/>
          <w:spacing w:val="-6"/>
          <w:sz w:val="30"/>
          <w:szCs w:val="30"/>
        </w:rPr>
      </w:pPr>
      <w:r>
        <w:rPr>
          <w:rFonts w:ascii="宋体" w:hAnsi="宋体" w:eastAsia="宋体" w:cs="宋体"/>
          <w:b/>
          <w:bCs/>
          <w:spacing w:val="-6"/>
          <w:sz w:val="30"/>
          <w:szCs w:val="30"/>
        </w:rPr>
        <w:br w:type="page"/>
      </w:r>
    </w:p>
    <w:p w14:paraId="650AB763">
      <w:pPr>
        <w:keepNext w:val="0"/>
        <w:keepLines w:val="0"/>
        <w:pageBreakBefore w:val="0"/>
        <w:kinsoku/>
        <w:wordWrap/>
        <w:overflowPunct/>
        <w:topLinePunct w:val="0"/>
        <w:bidi w:val="0"/>
        <w:spacing w:before="98" w:line="220" w:lineRule="auto"/>
        <w:ind w:left="3942"/>
      </w:pPr>
      <w:r>
        <w:rPr>
          <w:rFonts w:ascii="宋体" w:hAnsi="宋体" w:eastAsia="宋体" w:cs="宋体"/>
          <w:b/>
          <w:bCs/>
          <w:spacing w:val="-6"/>
          <w:sz w:val="30"/>
          <w:szCs w:val="30"/>
        </w:rPr>
        <w:t>评分表</w:t>
      </w:r>
    </w:p>
    <w:tbl>
      <w:tblPr>
        <w:tblStyle w:val="15"/>
        <w:tblW w:w="93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1979"/>
        <w:gridCol w:w="5937"/>
        <w:gridCol w:w="724"/>
      </w:tblGrid>
      <w:tr w14:paraId="174012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9364" w:type="dxa"/>
            <w:gridSpan w:val="4"/>
            <w:vAlign w:val="top"/>
          </w:tcPr>
          <w:p w14:paraId="45426CB2">
            <w:pPr>
              <w:pStyle w:val="16"/>
              <w:keepNext w:val="0"/>
              <w:keepLines w:val="0"/>
              <w:pageBreakBefore w:val="0"/>
              <w:kinsoku/>
              <w:wordWrap/>
              <w:overflowPunct/>
              <w:topLinePunct w:val="0"/>
              <w:bidi w:val="0"/>
              <w:spacing w:before="192" w:line="226" w:lineRule="auto"/>
              <w:ind w:left="4266"/>
            </w:pPr>
            <w:r>
              <w:rPr>
                <w:spacing w:val="7"/>
              </w:rPr>
              <w:t>报价得分</w:t>
            </w:r>
          </w:p>
        </w:tc>
      </w:tr>
      <w:tr w14:paraId="352352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724" w:type="dxa"/>
            <w:vAlign w:val="top"/>
          </w:tcPr>
          <w:p w14:paraId="01412E8F">
            <w:pPr>
              <w:pStyle w:val="16"/>
              <w:keepNext w:val="0"/>
              <w:keepLines w:val="0"/>
              <w:pageBreakBefore w:val="0"/>
              <w:kinsoku/>
              <w:wordWrap/>
              <w:overflowPunct/>
              <w:topLinePunct w:val="0"/>
              <w:bidi w:val="0"/>
              <w:spacing w:before="131" w:line="229" w:lineRule="auto"/>
              <w:ind w:left="156"/>
            </w:pPr>
            <w:r>
              <w:rPr>
                <w:spacing w:val="5"/>
              </w:rPr>
              <w:t>序号</w:t>
            </w:r>
          </w:p>
        </w:tc>
        <w:tc>
          <w:tcPr>
            <w:tcW w:w="1979" w:type="dxa"/>
            <w:vAlign w:val="top"/>
          </w:tcPr>
          <w:p w14:paraId="49A15832">
            <w:pPr>
              <w:pStyle w:val="16"/>
              <w:keepNext w:val="0"/>
              <w:keepLines w:val="0"/>
              <w:pageBreakBefore w:val="0"/>
              <w:kinsoku/>
              <w:wordWrap/>
              <w:overflowPunct/>
              <w:topLinePunct w:val="0"/>
              <w:bidi w:val="0"/>
              <w:spacing w:before="131" w:line="228" w:lineRule="auto"/>
              <w:ind w:left="572"/>
            </w:pPr>
            <w:r>
              <w:rPr>
                <w:spacing w:val="7"/>
              </w:rPr>
              <w:t>评分项目</w:t>
            </w:r>
          </w:p>
        </w:tc>
        <w:tc>
          <w:tcPr>
            <w:tcW w:w="5937" w:type="dxa"/>
            <w:vAlign w:val="top"/>
          </w:tcPr>
          <w:p w14:paraId="43F6A644">
            <w:pPr>
              <w:pStyle w:val="16"/>
              <w:keepNext w:val="0"/>
              <w:keepLines w:val="0"/>
              <w:pageBreakBefore w:val="0"/>
              <w:kinsoku/>
              <w:wordWrap/>
              <w:overflowPunct/>
              <w:topLinePunct w:val="0"/>
              <w:bidi w:val="0"/>
              <w:spacing w:before="131" w:line="228" w:lineRule="auto"/>
              <w:ind w:left="2553"/>
            </w:pPr>
            <w:r>
              <w:rPr>
                <w:spacing w:val="7"/>
              </w:rPr>
              <w:t>评分指标</w:t>
            </w:r>
          </w:p>
        </w:tc>
        <w:tc>
          <w:tcPr>
            <w:tcW w:w="724" w:type="dxa"/>
            <w:vAlign w:val="top"/>
          </w:tcPr>
          <w:p w14:paraId="5B088FD2">
            <w:pPr>
              <w:pStyle w:val="16"/>
              <w:keepNext w:val="0"/>
              <w:keepLines w:val="0"/>
              <w:pageBreakBefore w:val="0"/>
              <w:kinsoku/>
              <w:wordWrap/>
              <w:overflowPunct/>
              <w:topLinePunct w:val="0"/>
              <w:bidi w:val="0"/>
              <w:spacing w:before="131" w:line="228" w:lineRule="auto"/>
              <w:ind w:left="159"/>
            </w:pPr>
            <w:r>
              <w:rPr>
                <w:spacing w:val="3"/>
              </w:rPr>
              <w:t>分值</w:t>
            </w:r>
          </w:p>
        </w:tc>
      </w:tr>
      <w:tr w14:paraId="4B3E2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724" w:type="dxa"/>
            <w:vAlign w:val="top"/>
          </w:tcPr>
          <w:p w14:paraId="30130933">
            <w:pPr>
              <w:keepNext w:val="0"/>
              <w:keepLines w:val="0"/>
              <w:pageBreakBefore w:val="0"/>
              <w:kinsoku/>
              <w:wordWrap/>
              <w:overflowPunct/>
              <w:topLinePunct w:val="0"/>
              <w:bidi w:val="0"/>
              <w:spacing w:line="255" w:lineRule="auto"/>
              <w:rPr>
                <w:rFonts w:ascii="Arial"/>
                <w:sz w:val="21"/>
              </w:rPr>
            </w:pPr>
          </w:p>
          <w:p w14:paraId="5CFCBB68">
            <w:pPr>
              <w:keepNext w:val="0"/>
              <w:keepLines w:val="0"/>
              <w:pageBreakBefore w:val="0"/>
              <w:kinsoku/>
              <w:wordWrap/>
              <w:overflowPunct/>
              <w:topLinePunct w:val="0"/>
              <w:bidi w:val="0"/>
              <w:spacing w:line="256" w:lineRule="auto"/>
              <w:rPr>
                <w:rFonts w:ascii="Arial"/>
                <w:sz w:val="21"/>
              </w:rPr>
            </w:pPr>
          </w:p>
          <w:p w14:paraId="6EFF70B4">
            <w:pPr>
              <w:keepNext w:val="0"/>
              <w:keepLines w:val="0"/>
              <w:pageBreakBefore w:val="0"/>
              <w:kinsoku/>
              <w:wordWrap/>
              <w:overflowPunct/>
              <w:topLinePunct w:val="0"/>
              <w:bidi w:val="0"/>
              <w:spacing w:before="58" w:line="195" w:lineRule="auto"/>
              <w:ind w:left="331"/>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979" w:type="dxa"/>
            <w:vAlign w:val="top"/>
          </w:tcPr>
          <w:p w14:paraId="649F8BCD">
            <w:pPr>
              <w:keepNext w:val="0"/>
              <w:keepLines w:val="0"/>
              <w:pageBreakBefore w:val="0"/>
              <w:kinsoku/>
              <w:wordWrap/>
              <w:overflowPunct/>
              <w:topLinePunct w:val="0"/>
              <w:bidi w:val="0"/>
              <w:spacing w:line="468" w:lineRule="auto"/>
              <w:rPr>
                <w:rFonts w:ascii="Arial"/>
                <w:sz w:val="21"/>
              </w:rPr>
            </w:pPr>
          </w:p>
          <w:p w14:paraId="6961A185">
            <w:pPr>
              <w:pStyle w:val="16"/>
              <w:keepNext w:val="0"/>
              <w:keepLines w:val="0"/>
              <w:pageBreakBefore w:val="0"/>
              <w:kinsoku/>
              <w:wordWrap/>
              <w:overflowPunct/>
              <w:topLinePunct w:val="0"/>
              <w:bidi w:val="0"/>
              <w:spacing w:before="65" w:line="226" w:lineRule="auto"/>
              <w:ind w:left="114"/>
            </w:pPr>
            <w:r>
              <w:rPr>
                <w:spacing w:val="6"/>
              </w:rPr>
              <w:t>投标报价</w:t>
            </w:r>
          </w:p>
        </w:tc>
        <w:tc>
          <w:tcPr>
            <w:tcW w:w="5937" w:type="dxa"/>
            <w:vAlign w:val="top"/>
          </w:tcPr>
          <w:p w14:paraId="30404797">
            <w:pPr>
              <w:pStyle w:val="16"/>
              <w:keepNext w:val="0"/>
              <w:keepLines w:val="0"/>
              <w:pageBreakBefore w:val="0"/>
              <w:kinsoku/>
              <w:wordWrap/>
              <w:overflowPunct/>
              <w:topLinePunct w:val="0"/>
              <w:bidi w:val="0"/>
              <w:spacing w:before="70" w:line="276" w:lineRule="auto"/>
              <w:ind w:left="113" w:right="105" w:firstLine="2"/>
            </w:pPr>
            <w:r>
              <w:rPr>
                <w:spacing w:val="11"/>
              </w:rPr>
              <w:t>综合评分法中的价格分统一采用低价优先法计算，即满足磋商文件要求且最后报价最低的供应商的价格为磋商基准价，其价</w:t>
            </w:r>
            <w:r>
              <w:rPr>
                <w:spacing w:val="9"/>
              </w:rPr>
              <w:t>格分为满分。其他供应商的价格分统一按照下列公式计算：</w:t>
            </w:r>
          </w:p>
          <w:p w14:paraId="564EC290">
            <w:pPr>
              <w:pStyle w:val="16"/>
              <w:keepNext w:val="0"/>
              <w:keepLines w:val="0"/>
              <w:pageBreakBefore w:val="0"/>
              <w:kinsoku/>
              <w:wordWrap/>
              <w:overflowPunct/>
              <w:topLinePunct w:val="0"/>
              <w:bidi w:val="0"/>
              <w:spacing w:line="281" w:lineRule="exact"/>
              <w:ind w:left="112"/>
              <w:rPr>
                <w:rFonts w:ascii="Times New Roman" w:hAnsi="Times New Roman" w:eastAsia="Times New Roman" w:cs="Times New Roman"/>
              </w:rPr>
            </w:pPr>
            <w:r>
              <w:rPr>
                <w:spacing w:val="7"/>
                <w:position w:val="1"/>
              </w:rPr>
              <w:t>磋商报价得分</w:t>
            </w:r>
            <w:r>
              <w:rPr>
                <w:rFonts w:ascii="Times New Roman" w:hAnsi="Times New Roman" w:eastAsia="Times New Roman" w:cs="Times New Roman"/>
                <w:spacing w:val="7"/>
                <w:position w:val="1"/>
              </w:rPr>
              <w:t>=</w:t>
            </w:r>
            <w:r>
              <w:rPr>
                <w:spacing w:val="7"/>
                <w:position w:val="1"/>
              </w:rPr>
              <w:t>（磋商基准价</w:t>
            </w:r>
            <w:r>
              <w:rPr>
                <w:rFonts w:ascii="Times New Roman" w:hAnsi="Times New Roman" w:eastAsia="Times New Roman" w:cs="Times New Roman"/>
                <w:spacing w:val="7"/>
                <w:position w:val="1"/>
              </w:rPr>
              <w:t>/</w:t>
            </w:r>
            <w:r>
              <w:rPr>
                <w:spacing w:val="7"/>
                <w:position w:val="1"/>
              </w:rPr>
              <w:t>最后磋商报价）</w:t>
            </w:r>
            <w:r>
              <w:rPr>
                <w:rFonts w:ascii="Times New Roman" w:hAnsi="Times New Roman" w:eastAsia="Times New Roman" w:cs="Times New Roman"/>
                <w:spacing w:val="7"/>
                <w:position w:val="1"/>
              </w:rPr>
              <w:t>×</w:t>
            </w:r>
            <w:r>
              <w:rPr>
                <w:spacing w:val="7"/>
                <w:position w:val="1"/>
              </w:rPr>
              <w:t>价格权值</w:t>
            </w:r>
            <w:r>
              <w:rPr>
                <w:rFonts w:ascii="Times New Roman" w:hAnsi="Times New Roman" w:eastAsia="Times New Roman" w:cs="Times New Roman"/>
                <w:spacing w:val="7"/>
                <w:position w:val="1"/>
              </w:rPr>
              <w:t>×100</w:t>
            </w:r>
          </w:p>
        </w:tc>
        <w:tc>
          <w:tcPr>
            <w:tcW w:w="724" w:type="dxa"/>
            <w:vAlign w:val="top"/>
          </w:tcPr>
          <w:p w14:paraId="5DFCF19D">
            <w:pPr>
              <w:keepNext w:val="0"/>
              <w:keepLines w:val="0"/>
              <w:pageBreakBefore w:val="0"/>
              <w:kinsoku/>
              <w:wordWrap/>
              <w:overflowPunct/>
              <w:topLinePunct w:val="0"/>
              <w:bidi w:val="0"/>
              <w:spacing w:line="469" w:lineRule="auto"/>
              <w:rPr>
                <w:rFonts w:ascii="Arial"/>
                <w:sz w:val="21"/>
              </w:rPr>
            </w:pPr>
          </w:p>
          <w:p w14:paraId="4A87F56F">
            <w:pPr>
              <w:pStyle w:val="16"/>
              <w:keepNext w:val="0"/>
              <w:keepLines w:val="0"/>
              <w:pageBreakBefore w:val="0"/>
              <w:kinsoku/>
              <w:wordWrap/>
              <w:overflowPunct/>
              <w:topLinePunct w:val="0"/>
              <w:bidi w:val="0"/>
              <w:spacing w:before="65" w:line="228" w:lineRule="auto"/>
              <w:ind w:left="131"/>
            </w:pPr>
            <w:r>
              <w:rPr>
                <w:rFonts w:hint="eastAsia"/>
                <w:spacing w:val="-5"/>
                <w:lang w:val="en-US" w:eastAsia="zh-CN"/>
              </w:rPr>
              <w:t>10</w:t>
            </w:r>
            <w:r>
              <w:rPr>
                <w:spacing w:val="-5"/>
              </w:rPr>
              <w:t>分</w:t>
            </w:r>
          </w:p>
        </w:tc>
      </w:tr>
      <w:tr w14:paraId="0EA14B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9364" w:type="dxa"/>
            <w:gridSpan w:val="4"/>
            <w:vAlign w:val="top"/>
          </w:tcPr>
          <w:p w14:paraId="017629E4">
            <w:pPr>
              <w:pStyle w:val="16"/>
              <w:keepNext w:val="0"/>
              <w:keepLines w:val="0"/>
              <w:pageBreakBefore w:val="0"/>
              <w:kinsoku/>
              <w:wordWrap/>
              <w:overflowPunct/>
              <w:topLinePunct w:val="0"/>
              <w:bidi w:val="0"/>
              <w:spacing w:before="53" w:line="228" w:lineRule="auto"/>
              <w:ind w:left="3826"/>
            </w:pPr>
            <w:r>
              <w:rPr>
                <w:spacing w:val="4"/>
              </w:rPr>
              <w:t>商务得分（</w:t>
            </w:r>
            <w:r>
              <w:rPr>
                <w:rFonts w:hint="eastAsia"/>
                <w:spacing w:val="4"/>
                <w:lang w:val="en-US" w:eastAsia="zh-CN"/>
              </w:rPr>
              <w:t>20</w:t>
            </w:r>
            <w:r>
              <w:rPr>
                <w:spacing w:val="4"/>
              </w:rPr>
              <w:t>分）</w:t>
            </w:r>
          </w:p>
        </w:tc>
      </w:tr>
      <w:tr w14:paraId="71D0B6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724" w:type="dxa"/>
            <w:vAlign w:val="top"/>
          </w:tcPr>
          <w:p w14:paraId="65870557">
            <w:pPr>
              <w:keepNext w:val="0"/>
              <w:keepLines w:val="0"/>
              <w:pageBreakBefore w:val="0"/>
              <w:kinsoku/>
              <w:wordWrap/>
              <w:overflowPunct/>
              <w:topLinePunct w:val="0"/>
              <w:bidi w:val="0"/>
              <w:spacing w:line="325" w:lineRule="auto"/>
              <w:rPr>
                <w:rFonts w:ascii="Arial"/>
                <w:color w:val="auto"/>
                <w:sz w:val="21"/>
              </w:rPr>
            </w:pPr>
          </w:p>
          <w:p w14:paraId="41D727AC">
            <w:pPr>
              <w:keepNext w:val="0"/>
              <w:keepLines w:val="0"/>
              <w:pageBreakBefore w:val="0"/>
              <w:kinsoku/>
              <w:wordWrap/>
              <w:overflowPunct/>
              <w:topLinePunct w:val="0"/>
              <w:bidi w:val="0"/>
              <w:spacing w:line="326" w:lineRule="auto"/>
              <w:rPr>
                <w:rFonts w:ascii="Arial"/>
                <w:color w:val="auto"/>
                <w:sz w:val="21"/>
              </w:rPr>
            </w:pPr>
          </w:p>
          <w:p w14:paraId="57B3A07F">
            <w:pPr>
              <w:keepNext w:val="0"/>
              <w:keepLines w:val="0"/>
              <w:pageBreakBefore w:val="0"/>
              <w:kinsoku/>
              <w:wordWrap/>
              <w:overflowPunct/>
              <w:topLinePunct w:val="0"/>
              <w:bidi w:val="0"/>
              <w:spacing w:before="57" w:line="195" w:lineRule="auto"/>
              <w:ind w:left="311"/>
              <w:rPr>
                <w:rFonts w:ascii="Times New Roman" w:hAnsi="Times New Roman" w:eastAsia="Times New Roman" w:cs="Times New Roman"/>
                <w:color w:val="auto"/>
                <w:sz w:val="20"/>
                <w:szCs w:val="20"/>
              </w:rPr>
            </w:pPr>
            <w:r>
              <w:rPr>
                <w:rFonts w:ascii="Times New Roman" w:hAnsi="Times New Roman" w:eastAsia="Times New Roman" w:cs="Times New Roman"/>
                <w:color w:val="auto"/>
                <w:sz w:val="20"/>
                <w:szCs w:val="20"/>
              </w:rPr>
              <w:t>2</w:t>
            </w:r>
          </w:p>
        </w:tc>
        <w:tc>
          <w:tcPr>
            <w:tcW w:w="1979" w:type="dxa"/>
            <w:vAlign w:val="top"/>
          </w:tcPr>
          <w:p w14:paraId="5B7F83F3">
            <w:pPr>
              <w:keepNext w:val="0"/>
              <w:keepLines w:val="0"/>
              <w:pageBreakBefore w:val="0"/>
              <w:kinsoku/>
              <w:wordWrap/>
              <w:overflowPunct/>
              <w:topLinePunct w:val="0"/>
              <w:bidi w:val="0"/>
              <w:spacing w:line="303" w:lineRule="auto"/>
              <w:rPr>
                <w:rFonts w:ascii="Arial"/>
                <w:color w:val="auto"/>
                <w:sz w:val="21"/>
              </w:rPr>
            </w:pPr>
          </w:p>
          <w:p w14:paraId="12E7D38E">
            <w:pPr>
              <w:keepNext w:val="0"/>
              <w:keepLines w:val="0"/>
              <w:pageBreakBefore w:val="0"/>
              <w:kinsoku/>
              <w:wordWrap/>
              <w:overflowPunct/>
              <w:topLinePunct w:val="0"/>
              <w:bidi w:val="0"/>
              <w:spacing w:line="304" w:lineRule="auto"/>
              <w:rPr>
                <w:rFonts w:ascii="Arial"/>
                <w:color w:val="auto"/>
                <w:sz w:val="21"/>
              </w:rPr>
            </w:pPr>
          </w:p>
          <w:p w14:paraId="072A9933">
            <w:pPr>
              <w:pStyle w:val="16"/>
              <w:keepNext w:val="0"/>
              <w:keepLines w:val="0"/>
              <w:pageBreakBefore w:val="0"/>
              <w:kinsoku/>
              <w:wordWrap/>
              <w:overflowPunct/>
              <w:topLinePunct w:val="0"/>
              <w:bidi w:val="0"/>
              <w:spacing w:before="65" w:line="228" w:lineRule="auto"/>
              <w:ind w:left="115"/>
              <w:rPr>
                <w:color w:val="auto"/>
              </w:rPr>
            </w:pPr>
            <w:r>
              <w:rPr>
                <w:color w:val="auto"/>
                <w:spacing w:val="7"/>
              </w:rPr>
              <w:t>企业类似业绩</w:t>
            </w:r>
          </w:p>
        </w:tc>
        <w:tc>
          <w:tcPr>
            <w:tcW w:w="5937" w:type="dxa"/>
            <w:vAlign w:val="top"/>
          </w:tcPr>
          <w:p w14:paraId="0E974498">
            <w:pPr>
              <w:pStyle w:val="16"/>
              <w:keepNext w:val="0"/>
              <w:keepLines w:val="0"/>
              <w:pageBreakBefore w:val="0"/>
              <w:kinsoku/>
              <w:wordWrap/>
              <w:overflowPunct/>
              <w:topLinePunct w:val="0"/>
              <w:bidi w:val="0"/>
              <w:spacing w:before="53" w:line="277" w:lineRule="auto"/>
              <w:ind w:left="113" w:right="105"/>
              <w:jc w:val="both"/>
              <w:rPr>
                <w:color w:val="auto"/>
              </w:rPr>
            </w:pPr>
            <w:r>
              <w:rPr>
                <w:color w:val="auto"/>
                <w:spacing w:val="7"/>
              </w:rPr>
              <w:t>供应商提供近三年来（202</w:t>
            </w:r>
            <w:r>
              <w:rPr>
                <w:rFonts w:hint="eastAsia"/>
                <w:color w:val="auto"/>
                <w:spacing w:val="7"/>
                <w:lang w:val="en-US" w:eastAsia="zh-CN"/>
              </w:rPr>
              <w:t>2</w:t>
            </w:r>
            <w:r>
              <w:rPr>
                <w:color w:val="auto"/>
                <w:spacing w:val="7"/>
              </w:rPr>
              <w:t>年</w:t>
            </w:r>
            <w:r>
              <w:rPr>
                <w:rFonts w:hint="eastAsia"/>
                <w:color w:val="auto"/>
                <w:spacing w:val="7"/>
                <w:lang w:val="en-US" w:eastAsia="zh-CN"/>
              </w:rPr>
              <w:t>4</w:t>
            </w:r>
            <w:r>
              <w:rPr>
                <w:color w:val="auto"/>
                <w:spacing w:val="7"/>
              </w:rPr>
              <w:t>月-202</w:t>
            </w:r>
            <w:r>
              <w:rPr>
                <w:rFonts w:hint="eastAsia"/>
                <w:color w:val="auto"/>
                <w:spacing w:val="7"/>
                <w:lang w:val="en-US" w:eastAsia="zh-CN"/>
              </w:rPr>
              <w:t>5</w:t>
            </w:r>
            <w:r>
              <w:rPr>
                <w:color w:val="auto"/>
                <w:spacing w:val="7"/>
              </w:rPr>
              <w:t>年</w:t>
            </w:r>
            <w:r>
              <w:rPr>
                <w:rFonts w:hint="eastAsia"/>
                <w:color w:val="auto"/>
                <w:spacing w:val="-30"/>
                <w:lang w:val="en-US" w:eastAsia="zh-CN"/>
              </w:rPr>
              <w:t>4</w:t>
            </w:r>
            <w:r>
              <w:rPr>
                <w:color w:val="auto"/>
                <w:spacing w:val="7"/>
              </w:rPr>
              <w:t>月）类</w:t>
            </w:r>
            <w:r>
              <w:rPr>
                <w:color w:val="auto"/>
                <w:spacing w:val="6"/>
              </w:rPr>
              <w:t>似项目业</w:t>
            </w:r>
            <w:r>
              <w:rPr>
                <w:color w:val="auto"/>
                <w:spacing w:val="10"/>
              </w:rPr>
              <w:t>绩，合格的业绩每一项得</w:t>
            </w:r>
            <w:r>
              <w:rPr>
                <w:rFonts w:hint="eastAsia"/>
                <w:color w:val="auto"/>
                <w:spacing w:val="-23"/>
                <w:lang w:val="en-US" w:eastAsia="zh-CN"/>
              </w:rPr>
              <w:t>1</w:t>
            </w:r>
            <w:r>
              <w:rPr>
                <w:color w:val="auto"/>
                <w:spacing w:val="10"/>
              </w:rPr>
              <w:t>分，没有的不得分。（业绩证明材</w:t>
            </w:r>
            <w:r>
              <w:rPr>
                <w:color w:val="auto"/>
                <w:spacing w:val="11"/>
              </w:rPr>
              <w:t>料须提供中标通知书复印件加盖公章或合同关键页复印件加盖公章，关键页包括体现合同标的、服务时间、合同金额、签字</w:t>
            </w:r>
            <w:r>
              <w:rPr>
                <w:color w:val="auto"/>
                <w:spacing w:val="5"/>
              </w:rPr>
              <w:t>盖章页）</w:t>
            </w:r>
          </w:p>
        </w:tc>
        <w:tc>
          <w:tcPr>
            <w:tcW w:w="724" w:type="dxa"/>
            <w:vAlign w:val="top"/>
          </w:tcPr>
          <w:p w14:paraId="3A09C26D">
            <w:pPr>
              <w:keepNext w:val="0"/>
              <w:keepLines w:val="0"/>
              <w:pageBreakBefore w:val="0"/>
              <w:kinsoku/>
              <w:wordWrap/>
              <w:overflowPunct/>
              <w:topLinePunct w:val="0"/>
              <w:bidi w:val="0"/>
              <w:spacing w:line="304" w:lineRule="auto"/>
              <w:rPr>
                <w:rFonts w:ascii="Arial"/>
                <w:color w:val="auto"/>
                <w:sz w:val="21"/>
              </w:rPr>
            </w:pPr>
          </w:p>
          <w:p w14:paraId="7D614B33">
            <w:pPr>
              <w:keepNext w:val="0"/>
              <w:keepLines w:val="0"/>
              <w:pageBreakBefore w:val="0"/>
              <w:kinsoku/>
              <w:wordWrap/>
              <w:overflowPunct/>
              <w:topLinePunct w:val="0"/>
              <w:bidi w:val="0"/>
              <w:spacing w:line="304" w:lineRule="auto"/>
              <w:rPr>
                <w:rFonts w:ascii="Arial"/>
                <w:color w:val="auto"/>
                <w:sz w:val="21"/>
              </w:rPr>
            </w:pPr>
          </w:p>
          <w:p w14:paraId="2246AFC9">
            <w:pPr>
              <w:pStyle w:val="16"/>
              <w:keepNext w:val="0"/>
              <w:keepLines w:val="0"/>
              <w:pageBreakBefore w:val="0"/>
              <w:kinsoku/>
              <w:wordWrap/>
              <w:overflowPunct/>
              <w:topLinePunct w:val="0"/>
              <w:bidi w:val="0"/>
              <w:spacing w:before="65" w:line="228" w:lineRule="auto"/>
              <w:ind w:left="185"/>
              <w:rPr>
                <w:color w:val="auto"/>
              </w:rPr>
            </w:pPr>
            <w:r>
              <w:rPr>
                <w:rFonts w:hint="eastAsia"/>
                <w:color w:val="auto"/>
                <w:spacing w:val="-3"/>
                <w:lang w:val="en-US" w:eastAsia="zh-CN"/>
              </w:rPr>
              <w:t>5</w:t>
            </w:r>
            <w:r>
              <w:rPr>
                <w:color w:val="auto"/>
                <w:spacing w:val="-3"/>
              </w:rPr>
              <w:t>分</w:t>
            </w:r>
          </w:p>
        </w:tc>
      </w:tr>
      <w:tr w14:paraId="45FAB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724" w:type="dxa"/>
            <w:vAlign w:val="top"/>
          </w:tcPr>
          <w:p w14:paraId="58593A0D">
            <w:pPr>
              <w:keepNext w:val="0"/>
              <w:keepLines w:val="0"/>
              <w:pageBreakBefore w:val="0"/>
              <w:kinsoku/>
              <w:wordWrap/>
              <w:overflowPunct/>
              <w:topLinePunct w:val="0"/>
              <w:bidi w:val="0"/>
              <w:spacing w:line="331" w:lineRule="auto"/>
              <w:rPr>
                <w:rFonts w:ascii="Arial"/>
                <w:color w:val="auto"/>
                <w:sz w:val="21"/>
              </w:rPr>
            </w:pPr>
          </w:p>
          <w:p w14:paraId="2488C210">
            <w:pPr>
              <w:pStyle w:val="16"/>
              <w:keepNext w:val="0"/>
              <w:keepLines w:val="0"/>
              <w:pageBreakBefore w:val="0"/>
              <w:kinsoku/>
              <w:wordWrap/>
              <w:overflowPunct/>
              <w:topLinePunct w:val="0"/>
              <w:bidi w:val="0"/>
              <w:spacing w:before="65" w:line="189" w:lineRule="auto"/>
              <w:ind w:left="319"/>
              <w:rPr>
                <w:color w:val="auto"/>
              </w:rPr>
            </w:pPr>
            <w:r>
              <w:rPr>
                <w:color w:val="auto"/>
              </w:rPr>
              <w:t>3</w:t>
            </w:r>
          </w:p>
        </w:tc>
        <w:tc>
          <w:tcPr>
            <w:tcW w:w="1979" w:type="dxa"/>
            <w:vAlign w:val="center"/>
          </w:tcPr>
          <w:p w14:paraId="34053803">
            <w:pPr>
              <w:keepNext w:val="0"/>
              <w:keepLines w:val="0"/>
              <w:pageBreakBefore w:val="0"/>
              <w:kinsoku/>
              <w:wordWrap/>
              <w:overflowPunct/>
              <w:topLinePunct w:val="0"/>
              <w:bidi w:val="0"/>
              <w:spacing w:line="298" w:lineRule="auto"/>
              <w:jc w:val="center"/>
              <w:rPr>
                <w:rFonts w:ascii="Arial"/>
                <w:color w:val="auto"/>
                <w:sz w:val="21"/>
              </w:rPr>
            </w:pPr>
          </w:p>
          <w:p w14:paraId="659A1663">
            <w:pPr>
              <w:pStyle w:val="16"/>
              <w:keepNext w:val="0"/>
              <w:keepLines w:val="0"/>
              <w:pageBreakBefore w:val="0"/>
              <w:kinsoku/>
              <w:wordWrap/>
              <w:overflowPunct/>
              <w:topLinePunct w:val="0"/>
              <w:bidi w:val="0"/>
              <w:spacing w:before="65" w:line="229" w:lineRule="auto"/>
              <w:ind w:left="114"/>
              <w:jc w:val="center"/>
              <w:rPr>
                <w:color w:val="auto"/>
              </w:rPr>
            </w:pPr>
            <w:r>
              <w:rPr>
                <w:color w:val="auto"/>
                <w:spacing w:val="6"/>
              </w:rPr>
              <w:t>人员配备</w:t>
            </w:r>
          </w:p>
        </w:tc>
        <w:tc>
          <w:tcPr>
            <w:tcW w:w="5937" w:type="dxa"/>
            <w:vAlign w:val="top"/>
          </w:tcPr>
          <w:p w14:paraId="3B40E9CE">
            <w:pPr>
              <w:pStyle w:val="16"/>
              <w:keepNext w:val="0"/>
              <w:keepLines w:val="0"/>
              <w:pageBreakBefore w:val="0"/>
              <w:kinsoku/>
              <w:wordWrap/>
              <w:overflowPunct/>
              <w:topLinePunct w:val="0"/>
              <w:bidi w:val="0"/>
              <w:spacing w:before="53" w:line="277" w:lineRule="auto"/>
              <w:ind w:left="113" w:right="105"/>
              <w:jc w:val="both"/>
              <w:rPr>
                <w:rFonts w:hint="default"/>
                <w:color w:val="auto"/>
                <w:spacing w:val="10"/>
                <w:lang w:eastAsia="zh-CN"/>
              </w:rPr>
            </w:pPr>
            <w:r>
              <w:rPr>
                <w:rFonts w:hint="default"/>
                <w:color w:val="auto"/>
                <w:spacing w:val="10"/>
                <w:lang w:val="en-US" w:eastAsia="zh-CN"/>
              </w:rPr>
              <w:t>1、本项目拟派的项目负责人（1名）</w:t>
            </w:r>
            <w:bookmarkStart w:id="5" w:name="OLE_LINK1"/>
            <w:r>
              <w:rPr>
                <w:rFonts w:hint="default"/>
                <w:color w:val="auto"/>
                <w:spacing w:val="10"/>
                <w:lang w:val="en-US" w:eastAsia="zh-CN"/>
              </w:rPr>
              <w:t>具有农林业或草原专业类中级及以上职称的得3分，具有农林业或草原专业类初级职称</w:t>
            </w:r>
            <w:bookmarkEnd w:id="5"/>
            <w:r>
              <w:rPr>
                <w:rFonts w:hint="default"/>
                <w:color w:val="auto"/>
                <w:spacing w:val="10"/>
                <w:lang w:val="en-US" w:eastAsia="zh-CN"/>
              </w:rPr>
              <w:t>的得1分，本项最多得3分，未提供的不得分。</w:t>
            </w:r>
          </w:p>
          <w:p w14:paraId="3053D315">
            <w:pPr>
              <w:pStyle w:val="16"/>
              <w:keepNext w:val="0"/>
              <w:keepLines w:val="0"/>
              <w:pageBreakBefore w:val="0"/>
              <w:kinsoku/>
              <w:wordWrap/>
              <w:overflowPunct/>
              <w:topLinePunct w:val="0"/>
              <w:bidi w:val="0"/>
              <w:spacing w:before="53" w:line="277" w:lineRule="auto"/>
              <w:ind w:left="113" w:right="105"/>
              <w:jc w:val="both"/>
              <w:rPr>
                <w:color w:val="auto"/>
              </w:rPr>
            </w:pPr>
            <w:r>
              <w:rPr>
                <w:rFonts w:hint="default"/>
                <w:color w:val="auto"/>
                <w:spacing w:val="10"/>
                <w:lang w:val="en-US" w:eastAsia="zh-CN"/>
              </w:rPr>
              <w:t>2、本项目拟派的技术负责人（1名）具有农林业或草原专业类中级及以上职称的得2分，具有农林业或草原专业类初级职称的得1分，本项最多得2分，未提供的不得分。（需提供公司社保证明）</w:t>
            </w:r>
          </w:p>
        </w:tc>
        <w:tc>
          <w:tcPr>
            <w:tcW w:w="724" w:type="dxa"/>
            <w:vAlign w:val="top"/>
          </w:tcPr>
          <w:p w14:paraId="141738FB">
            <w:pPr>
              <w:keepNext w:val="0"/>
              <w:keepLines w:val="0"/>
              <w:pageBreakBefore w:val="0"/>
              <w:kinsoku/>
              <w:wordWrap/>
              <w:overflowPunct/>
              <w:topLinePunct w:val="0"/>
              <w:bidi w:val="0"/>
              <w:spacing w:line="299" w:lineRule="auto"/>
              <w:rPr>
                <w:rFonts w:ascii="Arial"/>
                <w:color w:val="auto"/>
                <w:sz w:val="21"/>
              </w:rPr>
            </w:pPr>
          </w:p>
          <w:p w14:paraId="0246E20F">
            <w:pPr>
              <w:pStyle w:val="16"/>
              <w:keepNext w:val="0"/>
              <w:keepLines w:val="0"/>
              <w:pageBreakBefore w:val="0"/>
              <w:kinsoku/>
              <w:wordWrap/>
              <w:overflowPunct/>
              <w:topLinePunct w:val="0"/>
              <w:bidi w:val="0"/>
              <w:spacing w:before="65" w:line="228" w:lineRule="auto"/>
              <w:ind w:left="146"/>
              <w:rPr>
                <w:color w:val="auto"/>
              </w:rPr>
            </w:pPr>
            <w:r>
              <w:rPr>
                <w:rFonts w:hint="eastAsia"/>
                <w:color w:val="auto"/>
                <w:spacing w:val="-5"/>
                <w:lang w:val="en-US" w:eastAsia="zh-CN"/>
              </w:rPr>
              <w:t>5</w:t>
            </w:r>
            <w:r>
              <w:rPr>
                <w:color w:val="auto"/>
                <w:spacing w:val="-5"/>
              </w:rPr>
              <w:t>分</w:t>
            </w:r>
          </w:p>
        </w:tc>
      </w:tr>
      <w:tr w14:paraId="668ECC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724" w:type="dxa"/>
            <w:vAlign w:val="top"/>
          </w:tcPr>
          <w:p w14:paraId="59E2792A">
            <w:pPr>
              <w:keepNext w:val="0"/>
              <w:keepLines w:val="0"/>
              <w:pageBreakBefore w:val="0"/>
              <w:kinsoku/>
              <w:wordWrap/>
              <w:overflowPunct/>
              <w:topLinePunct w:val="0"/>
              <w:bidi w:val="0"/>
              <w:spacing w:line="330" w:lineRule="auto"/>
              <w:rPr>
                <w:rFonts w:ascii="Arial"/>
                <w:color w:val="auto"/>
                <w:sz w:val="21"/>
              </w:rPr>
            </w:pPr>
          </w:p>
          <w:p w14:paraId="6745FF93">
            <w:pPr>
              <w:pStyle w:val="16"/>
              <w:keepNext w:val="0"/>
              <w:keepLines w:val="0"/>
              <w:pageBreakBefore w:val="0"/>
              <w:kinsoku/>
              <w:wordWrap/>
              <w:overflowPunct/>
              <w:topLinePunct w:val="0"/>
              <w:bidi w:val="0"/>
              <w:spacing w:before="65" w:line="189" w:lineRule="auto"/>
              <w:ind w:left="314"/>
              <w:rPr>
                <w:color w:val="auto"/>
              </w:rPr>
            </w:pPr>
            <w:r>
              <w:rPr>
                <w:color w:val="auto"/>
              </w:rPr>
              <w:t>4</w:t>
            </w:r>
          </w:p>
        </w:tc>
        <w:tc>
          <w:tcPr>
            <w:tcW w:w="1979" w:type="dxa"/>
            <w:vAlign w:val="top"/>
          </w:tcPr>
          <w:p w14:paraId="5094270F">
            <w:pPr>
              <w:keepNext w:val="0"/>
              <w:keepLines w:val="0"/>
              <w:pageBreakBefore w:val="0"/>
              <w:kinsoku/>
              <w:wordWrap/>
              <w:overflowPunct/>
              <w:topLinePunct w:val="0"/>
              <w:bidi w:val="0"/>
              <w:spacing w:line="298" w:lineRule="auto"/>
              <w:rPr>
                <w:rFonts w:ascii="Arial"/>
                <w:color w:val="auto"/>
                <w:sz w:val="21"/>
              </w:rPr>
            </w:pPr>
          </w:p>
          <w:p w14:paraId="7601B892">
            <w:pPr>
              <w:pStyle w:val="16"/>
              <w:keepNext w:val="0"/>
              <w:keepLines w:val="0"/>
              <w:pageBreakBefore w:val="0"/>
              <w:kinsoku/>
              <w:wordWrap/>
              <w:overflowPunct/>
              <w:topLinePunct w:val="0"/>
              <w:bidi w:val="0"/>
              <w:spacing w:before="65" w:line="228" w:lineRule="auto"/>
              <w:ind w:left="112"/>
              <w:rPr>
                <w:color w:val="auto"/>
              </w:rPr>
            </w:pPr>
            <w:r>
              <w:rPr>
                <w:color w:val="auto"/>
                <w:spacing w:val="8"/>
              </w:rPr>
              <w:t>相关的设备投入</w:t>
            </w:r>
          </w:p>
        </w:tc>
        <w:tc>
          <w:tcPr>
            <w:tcW w:w="5937" w:type="dxa"/>
            <w:vAlign w:val="top"/>
          </w:tcPr>
          <w:p w14:paraId="4BA0DB29">
            <w:pPr>
              <w:pStyle w:val="16"/>
              <w:keepNext w:val="0"/>
              <w:keepLines w:val="0"/>
              <w:pageBreakBefore w:val="0"/>
              <w:kinsoku/>
              <w:wordWrap/>
              <w:overflowPunct/>
              <w:topLinePunct w:val="0"/>
              <w:bidi w:val="0"/>
              <w:spacing w:before="53" w:line="270" w:lineRule="auto"/>
              <w:ind w:left="112" w:right="105" w:firstLine="1"/>
              <w:jc w:val="both"/>
              <w:rPr>
                <w:color w:val="auto"/>
              </w:rPr>
            </w:pPr>
            <w:r>
              <w:rPr>
                <w:rFonts w:hint="default" w:ascii="Calibri" w:hAnsi="Calibri" w:cs="Calibri"/>
                <w:color w:val="auto"/>
                <w:spacing w:val="11"/>
              </w:rPr>
              <w:t>①</w:t>
            </w:r>
            <w:r>
              <w:rPr>
                <w:color w:val="auto"/>
                <w:spacing w:val="11"/>
              </w:rPr>
              <w:t>提供公司具有虫害防治大型机车牵引地面喷雾机械、防治无人</w:t>
            </w:r>
            <w:r>
              <w:rPr>
                <w:color w:val="auto"/>
                <w:spacing w:val="9"/>
              </w:rPr>
              <w:t>机，有合格机械、喷雾机、无人机设备得</w:t>
            </w:r>
            <w:r>
              <w:rPr>
                <w:rFonts w:hint="eastAsia"/>
                <w:color w:val="auto"/>
                <w:spacing w:val="9"/>
                <w:lang w:val="en-US" w:eastAsia="zh-CN"/>
              </w:rPr>
              <w:t>3</w:t>
            </w:r>
            <w:r>
              <w:rPr>
                <w:color w:val="auto"/>
                <w:spacing w:val="9"/>
              </w:rPr>
              <w:t>分</w:t>
            </w:r>
            <w:r>
              <w:rPr>
                <w:rFonts w:hint="eastAsia"/>
                <w:color w:val="auto"/>
                <w:spacing w:val="9"/>
                <w:lang w:eastAsia="zh-CN"/>
              </w:rPr>
              <w:t>；</w:t>
            </w:r>
            <w:r>
              <w:rPr>
                <w:rFonts w:hint="default" w:ascii="Calibri" w:hAnsi="Calibri" w:cs="Calibri"/>
                <w:color w:val="auto"/>
                <w:spacing w:val="9"/>
                <w:lang w:eastAsia="zh-CN"/>
              </w:rPr>
              <w:t>②</w:t>
            </w:r>
            <w:r>
              <w:rPr>
                <w:color w:val="auto"/>
                <w:spacing w:val="8"/>
              </w:rPr>
              <w:t>有虫害、鼠害防治药物库房（可租用）得</w:t>
            </w:r>
            <w:r>
              <w:rPr>
                <w:rFonts w:hint="eastAsia"/>
                <w:color w:val="auto"/>
                <w:spacing w:val="8"/>
                <w:lang w:val="en-US" w:eastAsia="zh-CN"/>
              </w:rPr>
              <w:t>2</w:t>
            </w:r>
            <w:r>
              <w:rPr>
                <w:color w:val="auto"/>
                <w:spacing w:val="8"/>
              </w:rPr>
              <w:t>分，没有的不得分；</w:t>
            </w:r>
          </w:p>
        </w:tc>
        <w:tc>
          <w:tcPr>
            <w:tcW w:w="724" w:type="dxa"/>
            <w:vAlign w:val="top"/>
          </w:tcPr>
          <w:p w14:paraId="4DAD69F0">
            <w:pPr>
              <w:keepNext w:val="0"/>
              <w:keepLines w:val="0"/>
              <w:pageBreakBefore w:val="0"/>
              <w:kinsoku/>
              <w:wordWrap/>
              <w:overflowPunct/>
              <w:topLinePunct w:val="0"/>
              <w:bidi w:val="0"/>
              <w:spacing w:line="298" w:lineRule="auto"/>
              <w:rPr>
                <w:rFonts w:ascii="Arial"/>
                <w:sz w:val="21"/>
              </w:rPr>
            </w:pPr>
          </w:p>
          <w:p w14:paraId="7851BCE4">
            <w:pPr>
              <w:pStyle w:val="16"/>
              <w:keepNext w:val="0"/>
              <w:keepLines w:val="0"/>
              <w:pageBreakBefore w:val="0"/>
              <w:kinsoku/>
              <w:wordWrap/>
              <w:overflowPunct/>
              <w:topLinePunct w:val="0"/>
              <w:bidi w:val="0"/>
              <w:spacing w:before="65" w:line="228" w:lineRule="auto"/>
              <w:ind w:left="184"/>
            </w:pPr>
            <w:r>
              <w:rPr>
                <w:rFonts w:hint="eastAsia"/>
                <w:spacing w:val="-3"/>
                <w:lang w:val="en-US" w:eastAsia="zh-CN"/>
              </w:rPr>
              <w:t>5</w:t>
            </w:r>
            <w:r>
              <w:rPr>
                <w:spacing w:val="-3"/>
              </w:rPr>
              <w:t>分</w:t>
            </w:r>
          </w:p>
        </w:tc>
      </w:tr>
      <w:tr w14:paraId="69C50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9" w:hRule="atLeast"/>
        </w:trPr>
        <w:tc>
          <w:tcPr>
            <w:tcW w:w="724" w:type="dxa"/>
            <w:vAlign w:val="top"/>
          </w:tcPr>
          <w:p w14:paraId="4168A376">
            <w:pPr>
              <w:keepNext w:val="0"/>
              <w:keepLines w:val="0"/>
              <w:pageBreakBefore w:val="0"/>
              <w:kinsoku/>
              <w:wordWrap/>
              <w:overflowPunct/>
              <w:topLinePunct w:val="0"/>
              <w:bidi w:val="0"/>
              <w:spacing w:line="322" w:lineRule="auto"/>
              <w:rPr>
                <w:rFonts w:ascii="Arial"/>
                <w:color w:val="auto"/>
                <w:sz w:val="21"/>
              </w:rPr>
            </w:pPr>
          </w:p>
          <w:p w14:paraId="178A725E">
            <w:pPr>
              <w:keepNext w:val="0"/>
              <w:keepLines w:val="0"/>
              <w:pageBreakBefore w:val="0"/>
              <w:kinsoku/>
              <w:wordWrap/>
              <w:overflowPunct/>
              <w:topLinePunct w:val="0"/>
              <w:bidi w:val="0"/>
              <w:spacing w:line="323" w:lineRule="auto"/>
              <w:rPr>
                <w:rFonts w:ascii="Arial"/>
                <w:color w:val="auto"/>
                <w:sz w:val="21"/>
              </w:rPr>
            </w:pPr>
          </w:p>
          <w:p w14:paraId="733EB171">
            <w:pPr>
              <w:pStyle w:val="16"/>
              <w:keepNext w:val="0"/>
              <w:keepLines w:val="0"/>
              <w:pageBreakBefore w:val="0"/>
              <w:kinsoku/>
              <w:wordWrap/>
              <w:overflowPunct/>
              <w:topLinePunct w:val="0"/>
              <w:bidi w:val="0"/>
              <w:spacing w:before="65" w:line="187" w:lineRule="auto"/>
              <w:ind w:left="319"/>
              <w:rPr>
                <w:color w:val="auto"/>
              </w:rPr>
            </w:pPr>
            <w:r>
              <w:rPr>
                <w:color w:val="auto"/>
              </w:rPr>
              <w:t>5</w:t>
            </w:r>
          </w:p>
        </w:tc>
        <w:tc>
          <w:tcPr>
            <w:tcW w:w="1979" w:type="dxa"/>
            <w:vAlign w:val="top"/>
          </w:tcPr>
          <w:p w14:paraId="7099D3B7">
            <w:pPr>
              <w:keepNext w:val="0"/>
              <w:keepLines w:val="0"/>
              <w:pageBreakBefore w:val="0"/>
              <w:kinsoku/>
              <w:wordWrap/>
              <w:overflowPunct/>
              <w:topLinePunct w:val="0"/>
              <w:bidi w:val="0"/>
              <w:spacing w:line="305" w:lineRule="auto"/>
              <w:rPr>
                <w:rFonts w:ascii="Arial"/>
                <w:color w:val="auto"/>
                <w:sz w:val="21"/>
              </w:rPr>
            </w:pPr>
          </w:p>
          <w:p w14:paraId="79CC3060">
            <w:pPr>
              <w:keepNext w:val="0"/>
              <w:keepLines w:val="0"/>
              <w:pageBreakBefore w:val="0"/>
              <w:kinsoku/>
              <w:wordWrap/>
              <w:overflowPunct/>
              <w:topLinePunct w:val="0"/>
              <w:bidi w:val="0"/>
              <w:spacing w:line="305" w:lineRule="auto"/>
              <w:rPr>
                <w:rFonts w:ascii="Arial"/>
                <w:color w:val="auto"/>
                <w:sz w:val="21"/>
              </w:rPr>
            </w:pPr>
          </w:p>
          <w:p w14:paraId="33C5E2E6">
            <w:pPr>
              <w:pStyle w:val="16"/>
              <w:keepNext w:val="0"/>
              <w:keepLines w:val="0"/>
              <w:pageBreakBefore w:val="0"/>
              <w:kinsoku/>
              <w:wordWrap/>
              <w:overflowPunct/>
              <w:topLinePunct w:val="0"/>
              <w:bidi w:val="0"/>
              <w:spacing w:before="65" w:line="226" w:lineRule="auto"/>
              <w:ind w:left="112"/>
              <w:rPr>
                <w:color w:val="auto"/>
              </w:rPr>
            </w:pPr>
            <w:r>
              <w:rPr>
                <w:color w:val="auto"/>
                <w:spacing w:val="8"/>
              </w:rPr>
              <w:t>相关检验报告</w:t>
            </w:r>
          </w:p>
        </w:tc>
        <w:tc>
          <w:tcPr>
            <w:tcW w:w="5937" w:type="dxa"/>
            <w:vAlign w:val="top"/>
          </w:tcPr>
          <w:p w14:paraId="4F5D551F">
            <w:pPr>
              <w:keepNext w:val="0"/>
              <w:keepLines w:val="0"/>
              <w:pageBreakBefore w:val="0"/>
              <w:kinsoku/>
              <w:wordWrap/>
              <w:overflowPunct/>
              <w:topLinePunct w:val="0"/>
              <w:bidi w:val="0"/>
              <w:spacing w:before="114" w:line="219" w:lineRule="auto"/>
              <w:rPr>
                <w:color w:val="auto"/>
              </w:rPr>
            </w:pPr>
            <w:r>
              <w:rPr>
                <w:rFonts w:hint="default" w:ascii="宋体" w:hAnsi="宋体" w:eastAsia="宋体" w:cs="宋体"/>
                <w:snapToGrid w:val="0"/>
                <w:color w:val="auto"/>
                <w:spacing w:val="10"/>
                <w:kern w:val="0"/>
                <w:sz w:val="20"/>
                <w:szCs w:val="20"/>
                <w:lang w:val="en-US" w:eastAsia="zh-CN" w:bidi="ar-SA"/>
              </w:rPr>
              <w:t>提供虫害</w:t>
            </w:r>
            <w:r>
              <w:rPr>
                <w:rFonts w:hint="eastAsia" w:ascii="宋体" w:hAnsi="宋体" w:eastAsia="宋体" w:cs="宋体"/>
                <w:snapToGrid w:val="0"/>
                <w:color w:val="auto"/>
                <w:spacing w:val="10"/>
                <w:kern w:val="0"/>
                <w:sz w:val="20"/>
                <w:szCs w:val="20"/>
                <w:lang w:val="en-US" w:eastAsia="zh-CN" w:bidi="ar-SA"/>
              </w:rPr>
              <w:t>（</w:t>
            </w:r>
            <w:r>
              <w:rPr>
                <w:rFonts w:hint="default" w:ascii="宋体" w:hAnsi="宋体" w:eastAsia="宋体" w:cs="宋体"/>
                <w:snapToGrid w:val="0"/>
                <w:color w:val="auto"/>
                <w:spacing w:val="10"/>
                <w:kern w:val="0"/>
                <w:sz w:val="20"/>
                <w:szCs w:val="20"/>
                <w:lang w:val="en-US" w:eastAsia="zh-CN" w:bidi="ar-SA"/>
              </w:rPr>
              <w:t>0.8%</w:t>
            </w:r>
            <w:r>
              <w:rPr>
                <w:rFonts w:hint="eastAsia" w:ascii="宋体" w:hAnsi="宋体" w:eastAsia="宋体" w:cs="宋体"/>
                <w:snapToGrid w:val="0"/>
                <w:color w:val="auto"/>
                <w:spacing w:val="10"/>
                <w:kern w:val="0"/>
                <w:sz w:val="20"/>
                <w:szCs w:val="20"/>
                <w:lang w:val="en-US" w:eastAsia="zh-CN" w:bidi="ar-SA"/>
              </w:rPr>
              <w:t>阿维</w:t>
            </w:r>
            <w:r>
              <w:rPr>
                <w:rFonts w:hint="default" w:ascii="宋体" w:hAnsi="宋体" w:eastAsia="宋体" w:cs="宋体"/>
                <w:snapToGrid w:val="0"/>
                <w:color w:val="auto"/>
                <w:spacing w:val="10"/>
                <w:kern w:val="0"/>
                <w:sz w:val="20"/>
                <w:szCs w:val="20"/>
                <w:lang w:val="en-US" w:eastAsia="zh-CN" w:bidi="ar-SA"/>
              </w:rPr>
              <w:t>印楝素</w:t>
            </w:r>
            <w:r>
              <w:rPr>
                <w:rFonts w:hint="eastAsia" w:ascii="宋体" w:hAnsi="宋体" w:eastAsia="宋体" w:cs="宋体"/>
                <w:snapToGrid w:val="0"/>
                <w:color w:val="auto"/>
                <w:spacing w:val="10"/>
                <w:kern w:val="0"/>
                <w:sz w:val="20"/>
                <w:szCs w:val="20"/>
                <w:lang w:val="en-US" w:eastAsia="zh-CN" w:bidi="ar-SA"/>
              </w:rPr>
              <w:t>）、</w:t>
            </w:r>
            <w:r>
              <w:rPr>
                <w:rFonts w:hint="default" w:ascii="宋体" w:hAnsi="宋体" w:eastAsia="宋体" w:cs="宋体"/>
                <w:snapToGrid w:val="0"/>
                <w:color w:val="auto"/>
                <w:spacing w:val="10"/>
                <w:kern w:val="0"/>
                <w:sz w:val="20"/>
                <w:szCs w:val="20"/>
                <w:lang w:val="en-US" w:eastAsia="zh-CN" w:bidi="ar-SA"/>
              </w:rPr>
              <w:t>鼠害（雷公藤甲素含量≥0.25毫克/千克的雷公藤甲素颗粒剂）药物检验报告和产品合格证书的得</w:t>
            </w:r>
            <w:r>
              <w:rPr>
                <w:rFonts w:hint="eastAsia" w:ascii="宋体" w:hAnsi="宋体" w:eastAsia="宋体" w:cs="宋体"/>
                <w:snapToGrid w:val="0"/>
                <w:color w:val="auto"/>
                <w:spacing w:val="10"/>
                <w:kern w:val="0"/>
                <w:sz w:val="20"/>
                <w:szCs w:val="20"/>
                <w:lang w:val="en-US" w:eastAsia="zh-CN" w:bidi="ar-SA"/>
              </w:rPr>
              <w:t>5</w:t>
            </w:r>
            <w:r>
              <w:rPr>
                <w:rFonts w:hint="default" w:ascii="宋体" w:hAnsi="宋体" w:eastAsia="宋体" w:cs="宋体"/>
                <w:snapToGrid w:val="0"/>
                <w:color w:val="auto"/>
                <w:spacing w:val="10"/>
                <w:kern w:val="0"/>
                <w:sz w:val="20"/>
                <w:szCs w:val="20"/>
                <w:lang w:val="en-US" w:eastAsia="zh-CN" w:bidi="ar-SA"/>
              </w:rPr>
              <w:t>分，没有提供检验报告和产品合格证书或只提供其中一项的不得分。</w:t>
            </w:r>
          </w:p>
        </w:tc>
        <w:tc>
          <w:tcPr>
            <w:tcW w:w="724" w:type="dxa"/>
            <w:vAlign w:val="top"/>
          </w:tcPr>
          <w:p w14:paraId="55F40E92">
            <w:pPr>
              <w:keepNext w:val="0"/>
              <w:keepLines w:val="0"/>
              <w:pageBreakBefore w:val="0"/>
              <w:kinsoku/>
              <w:wordWrap/>
              <w:overflowPunct/>
              <w:topLinePunct w:val="0"/>
              <w:bidi w:val="0"/>
              <w:spacing w:line="305" w:lineRule="auto"/>
              <w:rPr>
                <w:rFonts w:ascii="Arial"/>
                <w:sz w:val="21"/>
              </w:rPr>
            </w:pPr>
          </w:p>
          <w:p w14:paraId="33B0C530">
            <w:pPr>
              <w:keepNext w:val="0"/>
              <w:keepLines w:val="0"/>
              <w:pageBreakBefore w:val="0"/>
              <w:kinsoku/>
              <w:wordWrap/>
              <w:overflowPunct/>
              <w:topLinePunct w:val="0"/>
              <w:bidi w:val="0"/>
              <w:spacing w:line="305" w:lineRule="auto"/>
              <w:rPr>
                <w:rFonts w:ascii="Arial"/>
                <w:sz w:val="21"/>
              </w:rPr>
            </w:pPr>
          </w:p>
          <w:p w14:paraId="10C71868">
            <w:pPr>
              <w:pStyle w:val="16"/>
              <w:keepNext w:val="0"/>
              <w:keepLines w:val="0"/>
              <w:pageBreakBefore w:val="0"/>
              <w:kinsoku/>
              <w:wordWrap/>
              <w:overflowPunct/>
              <w:topLinePunct w:val="0"/>
              <w:bidi w:val="0"/>
              <w:spacing w:before="65" w:line="228" w:lineRule="auto"/>
              <w:ind w:left="146"/>
            </w:pPr>
            <w:r>
              <w:rPr>
                <w:rFonts w:hint="eastAsia"/>
                <w:spacing w:val="-5"/>
                <w:lang w:val="en-US" w:eastAsia="zh-CN"/>
              </w:rPr>
              <w:t>5</w:t>
            </w:r>
            <w:r>
              <w:rPr>
                <w:spacing w:val="-5"/>
              </w:rPr>
              <w:t>分</w:t>
            </w:r>
          </w:p>
        </w:tc>
      </w:tr>
      <w:tr w14:paraId="0962E1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9364" w:type="dxa"/>
            <w:gridSpan w:val="4"/>
            <w:vAlign w:val="top"/>
          </w:tcPr>
          <w:p w14:paraId="0D7F73D6">
            <w:pPr>
              <w:pStyle w:val="16"/>
              <w:keepNext w:val="0"/>
              <w:keepLines w:val="0"/>
              <w:pageBreakBefore w:val="0"/>
              <w:kinsoku/>
              <w:wordWrap/>
              <w:overflowPunct/>
              <w:topLinePunct w:val="0"/>
              <w:bidi w:val="0"/>
              <w:spacing w:before="91" w:line="228" w:lineRule="auto"/>
              <w:ind w:left="3822"/>
            </w:pPr>
            <w:r>
              <w:rPr>
                <w:spacing w:val="5"/>
              </w:rPr>
              <w:t>技术部分（</w:t>
            </w:r>
            <w:r>
              <w:rPr>
                <w:rFonts w:hint="eastAsia"/>
                <w:spacing w:val="5"/>
                <w:lang w:val="en-US" w:eastAsia="zh-CN"/>
              </w:rPr>
              <w:t>70</w:t>
            </w:r>
            <w:r>
              <w:rPr>
                <w:spacing w:val="5"/>
              </w:rPr>
              <w:t>分）</w:t>
            </w:r>
          </w:p>
        </w:tc>
      </w:tr>
      <w:tr w14:paraId="260848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4" w:hRule="atLeast"/>
        </w:trPr>
        <w:tc>
          <w:tcPr>
            <w:tcW w:w="724" w:type="dxa"/>
            <w:vAlign w:val="top"/>
          </w:tcPr>
          <w:p w14:paraId="084D2682">
            <w:pPr>
              <w:keepNext w:val="0"/>
              <w:keepLines w:val="0"/>
              <w:pageBreakBefore w:val="0"/>
              <w:kinsoku/>
              <w:wordWrap/>
              <w:overflowPunct/>
              <w:topLinePunct w:val="0"/>
              <w:bidi w:val="0"/>
              <w:spacing w:line="283" w:lineRule="auto"/>
              <w:rPr>
                <w:rFonts w:ascii="Arial"/>
                <w:sz w:val="21"/>
              </w:rPr>
            </w:pPr>
          </w:p>
          <w:p w14:paraId="25934F7E">
            <w:pPr>
              <w:keepNext w:val="0"/>
              <w:keepLines w:val="0"/>
              <w:pageBreakBefore w:val="0"/>
              <w:kinsoku/>
              <w:wordWrap/>
              <w:overflowPunct/>
              <w:topLinePunct w:val="0"/>
              <w:bidi w:val="0"/>
              <w:spacing w:line="283" w:lineRule="auto"/>
              <w:rPr>
                <w:rFonts w:ascii="Arial"/>
                <w:sz w:val="21"/>
              </w:rPr>
            </w:pPr>
          </w:p>
          <w:p w14:paraId="65E3693B">
            <w:pPr>
              <w:keepNext w:val="0"/>
              <w:keepLines w:val="0"/>
              <w:pageBreakBefore w:val="0"/>
              <w:kinsoku/>
              <w:wordWrap/>
              <w:overflowPunct/>
              <w:topLinePunct w:val="0"/>
              <w:bidi w:val="0"/>
              <w:spacing w:line="283" w:lineRule="auto"/>
              <w:rPr>
                <w:rFonts w:ascii="Arial"/>
                <w:sz w:val="21"/>
              </w:rPr>
            </w:pPr>
          </w:p>
          <w:p w14:paraId="445657F0">
            <w:pPr>
              <w:keepNext w:val="0"/>
              <w:keepLines w:val="0"/>
              <w:pageBreakBefore w:val="0"/>
              <w:kinsoku/>
              <w:wordWrap/>
              <w:overflowPunct/>
              <w:topLinePunct w:val="0"/>
              <w:bidi w:val="0"/>
              <w:spacing w:line="284" w:lineRule="auto"/>
              <w:rPr>
                <w:rFonts w:ascii="Arial"/>
                <w:sz w:val="21"/>
              </w:rPr>
            </w:pPr>
          </w:p>
          <w:p w14:paraId="2CE74570">
            <w:pPr>
              <w:keepNext w:val="0"/>
              <w:keepLines w:val="0"/>
              <w:pageBreakBefore w:val="0"/>
              <w:kinsoku/>
              <w:wordWrap/>
              <w:overflowPunct/>
              <w:topLinePunct w:val="0"/>
              <w:bidi w:val="0"/>
              <w:spacing w:line="284" w:lineRule="auto"/>
              <w:rPr>
                <w:rFonts w:ascii="Arial"/>
                <w:sz w:val="21"/>
              </w:rPr>
            </w:pPr>
          </w:p>
          <w:p w14:paraId="058348A7">
            <w:pPr>
              <w:pStyle w:val="16"/>
              <w:keepNext w:val="0"/>
              <w:keepLines w:val="0"/>
              <w:pageBreakBefore w:val="0"/>
              <w:kinsoku/>
              <w:wordWrap/>
              <w:overflowPunct/>
              <w:topLinePunct w:val="0"/>
              <w:bidi w:val="0"/>
              <w:spacing w:before="65" w:line="189" w:lineRule="auto"/>
              <w:ind w:left="317"/>
              <w:rPr>
                <w:rFonts w:hint="eastAsia" w:eastAsia="宋体"/>
                <w:lang w:eastAsia="zh-CN"/>
              </w:rPr>
            </w:pPr>
            <w:r>
              <w:rPr>
                <w:rFonts w:hint="eastAsia"/>
                <w:lang w:val="en-US" w:eastAsia="zh-CN"/>
              </w:rPr>
              <w:t>7</w:t>
            </w:r>
          </w:p>
        </w:tc>
        <w:tc>
          <w:tcPr>
            <w:tcW w:w="1979" w:type="dxa"/>
            <w:vAlign w:val="top"/>
          </w:tcPr>
          <w:p w14:paraId="5EB23CA1">
            <w:pPr>
              <w:keepNext w:val="0"/>
              <w:keepLines w:val="0"/>
              <w:pageBreakBefore w:val="0"/>
              <w:kinsoku/>
              <w:wordWrap/>
              <w:overflowPunct/>
              <w:topLinePunct w:val="0"/>
              <w:bidi w:val="0"/>
              <w:spacing w:line="277" w:lineRule="auto"/>
              <w:rPr>
                <w:rFonts w:ascii="Arial"/>
                <w:sz w:val="21"/>
              </w:rPr>
            </w:pPr>
          </w:p>
          <w:p w14:paraId="6D3905CA">
            <w:pPr>
              <w:keepNext w:val="0"/>
              <w:keepLines w:val="0"/>
              <w:pageBreakBefore w:val="0"/>
              <w:kinsoku/>
              <w:wordWrap/>
              <w:overflowPunct/>
              <w:topLinePunct w:val="0"/>
              <w:bidi w:val="0"/>
              <w:spacing w:line="277" w:lineRule="auto"/>
              <w:rPr>
                <w:rFonts w:ascii="Arial"/>
                <w:sz w:val="21"/>
              </w:rPr>
            </w:pPr>
          </w:p>
          <w:p w14:paraId="7BDC35C1">
            <w:pPr>
              <w:keepNext w:val="0"/>
              <w:keepLines w:val="0"/>
              <w:pageBreakBefore w:val="0"/>
              <w:kinsoku/>
              <w:wordWrap/>
              <w:overflowPunct/>
              <w:topLinePunct w:val="0"/>
              <w:bidi w:val="0"/>
              <w:spacing w:line="277" w:lineRule="auto"/>
              <w:rPr>
                <w:rFonts w:ascii="Arial"/>
                <w:sz w:val="21"/>
              </w:rPr>
            </w:pPr>
          </w:p>
          <w:p w14:paraId="673BF1CC">
            <w:pPr>
              <w:keepNext w:val="0"/>
              <w:keepLines w:val="0"/>
              <w:pageBreakBefore w:val="0"/>
              <w:kinsoku/>
              <w:wordWrap/>
              <w:overflowPunct/>
              <w:topLinePunct w:val="0"/>
              <w:bidi w:val="0"/>
              <w:spacing w:line="277" w:lineRule="auto"/>
              <w:rPr>
                <w:rFonts w:ascii="Arial"/>
                <w:sz w:val="21"/>
              </w:rPr>
            </w:pPr>
          </w:p>
          <w:p w14:paraId="0EAA0230">
            <w:pPr>
              <w:keepNext w:val="0"/>
              <w:keepLines w:val="0"/>
              <w:pageBreakBefore w:val="0"/>
              <w:kinsoku/>
              <w:wordWrap/>
              <w:overflowPunct/>
              <w:topLinePunct w:val="0"/>
              <w:bidi w:val="0"/>
              <w:spacing w:line="277" w:lineRule="auto"/>
              <w:rPr>
                <w:rFonts w:ascii="Arial"/>
                <w:sz w:val="21"/>
              </w:rPr>
            </w:pPr>
          </w:p>
          <w:p w14:paraId="66C75F39">
            <w:pPr>
              <w:pStyle w:val="16"/>
              <w:keepNext w:val="0"/>
              <w:keepLines w:val="0"/>
              <w:pageBreakBefore w:val="0"/>
              <w:kinsoku/>
              <w:wordWrap/>
              <w:overflowPunct/>
              <w:topLinePunct w:val="0"/>
              <w:bidi w:val="0"/>
              <w:spacing w:before="65" w:line="228" w:lineRule="auto"/>
              <w:ind w:left="115"/>
            </w:pPr>
            <w:r>
              <w:rPr>
                <w:spacing w:val="7"/>
              </w:rPr>
              <w:t>项目实施方案</w:t>
            </w:r>
          </w:p>
        </w:tc>
        <w:tc>
          <w:tcPr>
            <w:tcW w:w="5937" w:type="dxa"/>
            <w:vAlign w:val="top"/>
          </w:tcPr>
          <w:p w14:paraId="0CBDF731">
            <w:pPr>
              <w:pStyle w:val="16"/>
              <w:keepNext w:val="0"/>
              <w:keepLines w:val="0"/>
              <w:pageBreakBefore w:val="0"/>
              <w:kinsoku/>
              <w:wordWrap/>
              <w:overflowPunct/>
              <w:topLinePunct w:val="0"/>
              <w:bidi w:val="0"/>
              <w:spacing w:before="55" w:line="273" w:lineRule="auto"/>
              <w:ind w:left="114" w:right="105"/>
            </w:pPr>
            <w:r>
              <w:rPr>
                <w:spacing w:val="2"/>
                <w:lang w:val="en-US" w:eastAsia="zh-CN"/>
              </w:rPr>
              <w:t>考察各</w:t>
            </w:r>
            <w:r>
              <w:rPr>
                <w:rFonts w:hint="eastAsia"/>
                <w:spacing w:val="2"/>
                <w:lang w:val="en-US" w:eastAsia="zh-CN"/>
              </w:rPr>
              <w:t>供应商</w:t>
            </w:r>
            <w:r>
              <w:rPr>
                <w:spacing w:val="2"/>
                <w:lang w:val="en-US" w:eastAsia="zh-CN"/>
              </w:rPr>
              <w:t>的①专业人员设置、管理、具体分</w:t>
            </w:r>
            <w:r>
              <w:rPr>
                <w:rFonts w:hint="eastAsia"/>
                <w:spacing w:val="2"/>
                <w:lang w:val="en-US" w:eastAsia="zh-CN"/>
              </w:rPr>
              <w:t>工；②时间安排计划及进度保证措施；③喷洒机型选择方案；④实施喷洒计划、施药方案；⑤飞防路线的设计；⑥效果预测；⑦安全保障措施；⑧质量控制制度的完善性、健全性、有效性、具体实施措施等情况后综合评分。【方案完整、完全满足项目需求、内容无错误或无缺陷的得40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1分；扣完为止】</w:t>
            </w:r>
          </w:p>
        </w:tc>
        <w:tc>
          <w:tcPr>
            <w:tcW w:w="724" w:type="dxa"/>
            <w:vAlign w:val="top"/>
          </w:tcPr>
          <w:p w14:paraId="5E567FA5">
            <w:pPr>
              <w:keepNext w:val="0"/>
              <w:keepLines w:val="0"/>
              <w:pageBreakBefore w:val="0"/>
              <w:kinsoku/>
              <w:wordWrap/>
              <w:overflowPunct/>
              <w:topLinePunct w:val="0"/>
              <w:bidi w:val="0"/>
              <w:spacing w:line="277" w:lineRule="auto"/>
              <w:rPr>
                <w:rFonts w:ascii="Arial"/>
                <w:sz w:val="21"/>
              </w:rPr>
            </w:pPr>
          </w:p>
          <w:p w14:paraId="11889EF0">
            <w:pPr>
              <w:keepNext w:val="0"/>
              <w:keepLines w:val="0"/>
              <w:pageBreakBefore w:val="0"/>
              <w:kinsoku/>
              <w:wordWrap/>
              <w:overflowPunct/>
              <w:topLinePunct w:val="0"/>
              <w:bidi w:val="0"/>
              <w:spacing w:line="277" w:lineRule="auto"/>
              <w:rPr>
                <w:rFonts w:ascii="Arial"/>
                <w:sz w:val="21"/>
              </w:rPr>
            </w:pPr>
          </w:p>
          <w:p w14:paraId="57A1A610">
            <w:pPr>
              <w:keepNext w:val="0"/>
              <w:keepLines w:val="0"/>
              <w:pageBreakBefore w:val="0"/>
              <w:kinsoku/>
              <w:wordWrap/>
              <w:overflowPunct/>
              <w:topLinePunct w:val="0"/>
              <w:bidi w:val="0"/>
              <w:spacing w:line="277" w:lineRule="auto"/>
              <w:rPr>
                <w:rFonts w:ascii="Arial"/>
                <w:sz w:val="21"/>
              </w:rPr>
            </w:pPr>
          </w:p>
          <w:p w14:paraId="53EF9182">
            <w:pPr>
              <w:keepNext w:val="0"/>
              <w:keepLines w:val="0"/>
              <w:pageBreakBefore w:val="0"/>
              <w:kinsoku/>
              <w:wordWrap/>
              <w:overflowPunct/>
              <w:topLinePunct w:val="0"/>
              <w:bidi w:val="0"/>
              <w:spacing w:line="277" w:lineRule="auto"/>
              <w:rPr>
                <w:rFonts w:ascii="Arial"/>
                <w:sz w:val="21"/>
              </w:rPr>
            </w:pPr>
          </w:p>
          <w:p w14:paraId="2F0A94A7">
            <w:pPr>
              <w:keepNext w:val="0"/>
              <w:keepLines w:val="0"/>
              <w:pageBreakBefore w:val="0"/>
              <w:kinsoku/>
              <w:wordWrap/>
              <w:overflowPunct/>
              <w:topLinePunct w:val="0"/>
              <w:bidi w:val="0"/>
              <w:spacing w:line="277" w:lineRule="auto"/>
              <w:rPr>
                <w:rFonts w:ascii="Arial"/>
                <w:sz w:val="21"/>
              </w:rPr>
            </w:pPr>
          </w:p>
          <w:p w14:paraId="3CA3C3FA">
            <w:pPr>
              <w:pStyle w:val="16"/>
              <w:keepNext w:val="0"/>
              <w:keepLines w:val="0"/>
              <w:pageBreakBefore w:val="0"/>
              <w:kinsoku/>
              <w:wordWrap/>
              <w:overflowPunct/>
              <w:topLinePunct w:val="0"/>
              <w:bidi w:val="0"/>
              <w:spacing w:before="65" w:line="228" w:lineRule="auto"/>
              <w:ind w:left="118"/>
            </w:pPr>
            <w:r>
              <w:rPr>
                <w:rFonts w:hint="eastAsia"/>
                <w:spacing w:val="-1"/>
                <w:lang w:val="en-US" w:eastAsia="zh-CN"/>
              </w:rPr>
              <w:t>40</w:t>
            </w:r>
            <w:r>
              <w:rPr>
                <w:spacing w:val="-1"/>
              </w:rPr>
              <w:t>分</w:t>
            </w:r>
          </w:p>
        </w:tc>
      </w:tr>
      <w:tr w14:paraId="7EDF44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724" w:type="dxa"/>
            <w:vAlign w:val="top"/>
          </w:tcPr>
          <w:p w14:paraId="4A825F65">
            <w:pPr>
              <w:keepNext w:val="0"/>
              <w:keepLines w:val="0"/>
              <w:pageBreakBefore w:val="0"/>
              <w:kinsoku/>
              <w:wordWrap/>
              <w:overflowPunct/>
              <w:topLinePunct w:val="0"/>
              <w:bidi w:val="0"/>
              <w:spacing w:line="245" w:lineRule="auto"/>
              <w:rPr>
                <w:rFonts w:ascii="Arial"/>
                <w:sz w:val="21"/>
              </w:rPr>
            </w:pPr>
          </w:p>
          <w:p w14:paraId="28BF85DF">
            <w:pPr>
              <w:keepNext w:val="0"/>
              <w:keepLines w:val="0"/>
              <w:pageBreakBefore w:val="0"/>
              <w:kinsoku/>
              <w:wordWrap/>
              <w:overflowPunct/>
              <w:topLinePunct w:val="0"/>
              <w:bidi w:val="0"/>
              <w:spacing w:line="245" w:lineRule="auto"/>
              <w:rPr>
                <w:rFonts w:ascii="Arial"/>
                <w:sz w:val="21"/>
              </w:rPr>
            </w:pPr>
          </w:p>
          <w:p w14:paraId="51DEAB18">
            <w:pPr>
              <w:pStyle w:val="16"/>
              <w:keepNext w:val="0"/>
              <w:keepLines w:val="0"/>
              <w:pageBreakBefore w:val="0"/>
              <w:kinsoku/>
              <w:wordWrap/>
              <w:overflowPunct/>
              <w:topLinePunct w:val="0"/>
              <w:bidi w:val="0"/>
              <w:spacing w:before="65" w:line="189" w:lineRule="auto"/>
              <w:ind w:left="316"/>
              <w:rPr>
                <w:rFonts w:hint="eastAsia" w:eastAsia="宋体"/>
                <w:lang w:eastAsia="zh-CN"/>
              </w:rPr>
            </w:pPr>
            <w:r>
              <w:rPr>
                <w:rFonts w:hint="eastAsia"/>
                <w:lang w:val="en-US" w:eastAsia="zh-CN"/>
              </w:rPr>
              <w:t>8</w:t>
            </w:r>
          </w:p>
        </w:tc>
        <w:tc>
          <w:tcPr>
            <w:tcW w:w="1979" w:type="dxa"/>
            <w:vAlign w:val="top"/>
          </w:tcPr>
          <w:p w14:paraId="7F84BCF9">
            <w:pPr>
              <w:keepNext w:val="0"/>
              <w:keepLines w:val="0"/>
              <w:pageBreakBefore w:val="0"/>
              <w:kinsoku/>
              <w:wordWrap/>
              <w:overflowPunct/>
              <w:topLinePunct w:val="0"/>
              <w:bidi w:val="0"/>
              <w:spacing w:line="458" w:lineRule="auto"/>
              <w:rPr>
                <w:rFonts w:ascii="Arial"/>
                <w:sz w:val="21"/>
              </w:rPr>
            </w:pPr>
          </w:p>
          <w:p w14:paraId="68000B93">
            <w:pPr>
              <w:pStyle w:val="16"/>
              <w:keepNext w:val="0"/>
              <w:keepLines w:val="0"/>
              <w:pageBreakBefore w:val="0"/>
              <w:kinsoku/>
              <w:wordWrap/>
              <w:overflowPunct/>
              <w:topLinePunct w:val="0"/>
              <w:bidi w:val="0"/>
              <w:spacing w:before="65" w:line="228" w:lineRule="auto"/>
              <w:ind w:left="112"/>
            </w:pPr>
            <w:r>
              <w:rPr>
                <w:spacing w:val="8"/>
              </w:rPr>
              <w:t>应急防治措施方案</w:t>
            </w:r>
          </w:p>
        </w:tc>
        <w:tc>
          <w:tcPr>
            <w:tcW w:w="5937" w:type="dxa"/>
            <w:vAlign w:val="top"/>
          </w:tcPr>
          <w:p w14:paraId="5E2C75D2">
            <w:pPr>
              <w:pStyle w:val="16"/>
              <w:keepNext w:val="0"/>
              <w:keepLines w:val="0"/>
              <w:pageBreakBefore w:val="0"/>
              <w:kinsoku/>
              <w:wordWrap/>
              <w:overflowPunct/>
              <w:topLinePunct w:val="0"/>
              <w:bidi w:val="0"/>
              <w:spacing w:before="55" w:line="282" w:lineRule="auto"/>
              <w:ind w:left="113" w:right="105" w:firstLine="5"/>
              <w:jc w:val="both"/>
            </w:pPr>
            <w:r>
              <w:rPr>
                <w:rFonts w:hint="eastAsia"/>
                <w:spacing w:val="11"/>
                <w:lang w:val="en-US" w:eastAsia="zh-CN"/>
              </w:rPr>
              <w:t>根据投标人</w:t>
            </w:r>
            <w:r>
              <w:rPr>
                <w:spacing w:val="11"/>
                <w:lang w:val="en-US" w:eastAsia="zh-CN"/>
              </w:rPr>
              <w:t>①</w:t>
            </w:r>
            <w:r>
              <w:rPr>
                <w:rFonts w:hint="eastAsia"/>
                <w:spacing w:val="11"/>
                <w:lang w:val="en-US" w:eastAsia="zh-CN"/>
              </w:rPr>
              <w:t>对防治</w:t>
            </w:r>
            <w:r>
              <w:rPr>
                <w:spacing w:val="11"/>
                <w:lang w:val="en-US" w:eastAsia="zh-CN"/>
              </w:rPr>
              <w:t>过程中可能发生的突发事件</w:t>
            </w:r>
            <w:r>
              <w:rPr>
                <w:rFonts w:hint="eastAsia"/>
                <w:spacing w:val="11"/>
                <w:lang w:val="en-US" w:eastAsia="zh-CN"/>
              </w:rPr>
              <w:t>是否制定应急预案；②次生灾害是否制定应急预案；③恶劣天气应急预案；④应急预案是否完备；⑤是否具有应急可操作性情况，评委根据投标文</w:t>
            </w:r>
            <w:r>
              <w:rPr>
                <w:spacing w:val="11"/>
                <w:lang w:val="en-US" w:eastAsia="zh-CN"/>
              </w:rPr>
              <w:t>件，措施切实可行性等情况综合评分。</w:t>
            </w:r>
            <w:r>
              <w:rPr>
                <w:rFonts w:hint="eastAsia"/>
                <w:spacing w:val="11"/>
                <w:lang w:val="en-US" w:eastAsia="zh-CN"/>
              </w:rPr>
              <w:t>【方案完整、完全满足项目需求、内容无错误或无缺陷的得15分。每缺少一项内容扣3分，每有一项内容有缺陷或每有一项内容不满足项目需求或每有一项内容错误的扣1分。扣完为止。】</w:t>
            </w:r>
          </w:p>
        </w:tc>
        <w:tc>
          <w:tcPr>
            <w:tcW w:w="724" w:type="dxa"/>
            <w:vAlign w:val="top"/>
          </w:tcPr>
          <w:p w14:paraId="47DEADFF">
            <w:pPr>
              <w:keepNext w:val="0"/>
              <w:keepLines w:val="0"/>
              <w:pageBreakBefore w:val="0"/>
              <w:kinsoku/>
              <w:wordWrap/>
              <w:overflowPunct/>
              <w:topLinePunct w:val="0"/>
              <w:bidi w:val="0"/>
              <w:spacing w:line="458" w:lineRule="auto"/>
              <w:rPr>
                <w:rFonts w:ascii="Arial"/>
                <w:sz w:val="21"/>
              </w:rPr>
            </w:pPr>
          </w:p>
          <w:p w14:paraId="5D076D7F">
            <w:pPr>
              <w:pStyle w:val="16"/>
              <w:keepNext w:val="0"/>
              <w:keepLines w:val="0"/>
              <w:pageBreakBefore w:val="0"/>
              <w:kinsoku/>
              <w:wordWrap/>
              <w:overflowPunct/>
              <w:topLinePunct w:val="0"/>
              <w:bidi w:val="0"/>
              <w:spacing w:before="65" w:line="228" w:lineRule="auto"/>
              <w:ind w:left="188"/>
            </w:pPr>
            <w:r>
              <w:rPr>
                <w:rFonts w:hint="eastAsia"/>
                <w:spacing w:val="-5"/>
                <w:lang w:val="en-US" w:eastAsia="zh-CN"/>
              </w:rPr>
              <w:t>15</w:t>
            </w:r>
            <w:r>
              <w:rPr>
                <w:spacing w:val="-5"/>
              </w:rPr>
              <w:t>分</w:t>
            </w:r>
          </w:p>
        </w:tc>
      </w:tr>
      <w:tr w14:paraId="78FB83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724" w:type="dxa"/>
            <w:shd w:val="clear" w:color="auto" w:fill="auto"/>
            <w:vAlign w:val="top"/>
          </w:tcPr>
          <w:p w14:paraId="3594B1FB">
            <w:pPr>
              <w:keepNext w:val="0"/>
              <w:keepLines w:val="0"/>
              <w:pageBreakBefore w:val="0"/>
              <w:kinsoku/>
              <w:wordWrap/>
              <w:overflowPunct/>
              <w:topLinePunct w:val="0"/>
              <w:bidi w:val="0"/>
              <w:spacing w:line="244" w:lineRule="auto"/>
              <w:rPr>
                <w:rFonts w:ascii="Arial"/>
                <w:sz w:val="21"/>
              </w:rPr>
            </w:pPr>
          </w:p>
          <w:p w14:paraId="43E4E39C">
            <w:pPr>
              <w:keepNext w:val="0"/>
              <w:keepLines w:val="0"/>
              <w:pageBreakBefore w:val="0"/>
              <w:kinsoku/>
              <w:wordWrap/>
              <w:overflowPunct/>
              <w:topLinePunct w:val="0"/>
              <w:bidi w:val="0"/>
              <w:spacing w:line="244" w:lineRule="auto"/>
              <w:rPr>
                <w:rFonts w:ascii="Arial"/>
                <w:sz w:val="21"/>
              </w:rPr>
            </w:pPr>
          </w:p>
          <w:p w14:paraId="7D0371F0">
            <w:pPr>
              <w:pStyle w:val="16"/>
              <w:keepNext w:val="0"/>
              <w:keepLines w:val="0"/>
              <w:pageBreakBefore w:val="0"/>
              <w:kinsoku/>
              <w:wordWrap/>
              <w:overflowPunct/>
              <w:topLinePunct w:val="0"/>
              <w:bidi w:val="0"/>
              <w:spacing w:before="65" w:line="189" w:lineRule="auto"/>
              <w:ind w:left="316" w:leftChars="0"/>
              <w:rPr>
                <w:rFonts w:hint="eastAsia" w:ascii="宋体" w:hAnsi="宋体" w:eastAsia="宋体" w:cs="宋体"/>
                <w:snapToGrid w:val="0"/>
                <w:color w:val="000000"/>
                <w:kern w:val="0"/>
                <w:sz w:val="20"/>
                <w:szCs w:val="20"/>
                <w:lang w:val="en-US" w:eastAsia="zh-CN" w:bidi="ar-SA"/>
              </w:rPr>
            </w:pPr>
            <w:r>
              <w:rPr>
                <w:rFonts w:hint="eastAsia"/>
                <w:lang w:val="en-US" w:eastAsia="zh-CN"/>
              </w:rPr>
              <w:t>9</w:t>
            </w:r>
          </w:p>
        </w:tc>
        <w:tc>
          <w:tcPr>
            <w:tcW w:w="1979" w:type="dxa"/>
            <w:shd w:val="clear" w:color="auto" w:fill="auto"/>
            <w:vAlign w:val="top"/>
          </w:tcPr>
          <w:p w14:paraId="4E51B10F">
            <w:pPr>
              <w:pStyle w:val="16"/>
              <w:keepNext w:val="0"/>
              <w:keepLines w:val="0"/>
              <w:pageBreakBefore w:val="0"/>
              <w:kinsoku/>
              <w:wordWrap/>
              <w:overflowPunct/>
              <w:topLinePunct w:val="0"/>
              <w:bidi w:val="0"/>
              <w:spacing w:before="212" w:line="278" w:lineRule="auto"/>
              <w:ind w:left="111" w:leftChars="0" w:right="108" w:rightChars="0" w:firstLine="5" w:firstLineChars="0"/>
              <w:jc w:val="both"/>
              <w:rPr>
                <w:rFonts w:ascii="宋体" w:hAnsi="宋体" w:eastAsia="宋体" w:cs="宋体"/>
                <w:snapToGrid w:val="0"/>
                <w:color w:val="000000"/>
                <w:kern w:val="0"/>
                <w:sz w:val="20"/>
                <w:szCs w:val="20"/>
                <w:lang w:val="en-US" w:eastAsia="en-US" w:bidi="ar-SA"/>
              </w:rPr>
            </w:pPr>
            <w:r>
              <w:rPr>
                <w:spacing w:val="18"/>
              </w:rPr>
              <w:t>安全文明施工、工</w:t>
            </w:r>
            <w:r>
              <w:rPr>
                <w:spacing w:val="19"/>
              </w:rPr>
              <w:t>程质量保证、环境</w:t>
            </w:r>
            <w:r>
              <w:rPr>
                <w:spacing w:val="7"/>
              </w:rPr>
              <w:t>保护措施</w:t>
            </w:r>
          </w:p>
        </w:tc>
        <w:tc>
          <w:tcPr>
            <w:tcW w:w="5937" w:type="dxa"/>
            <w:shd w:val="clear" w:color="auto" w:fill="auto"/>
            <w:vAlign w:val="top"/>
          </w:tcPr>
          <w:p w14:paraId="1093A9D9">
            <w:pPr>
              <w:pStyle w:val="16"/>
              <w:keepNext w:val="0"/>
              <w:keepLines w:val="0"/>
              <w:pageBreakBefore w:val="0"/>
              <w:kinsoku/>
              <w:wordWrap/>
              <w:overflowPunct/>
              <w:topLinePunct w:val="0"/>
              <w:bidi w:val="0"/>
              <w:spacing w:before="54" w:line="275" w:lineRule="auto"/>
              <w:ind w:left="112" w:leftChars="0" w:right="105" w:rightChars="0"/>
              <w:jc w:val="both"/>
              <w:rPr>
                <w:rFonts w:hint="eastAsia" w:ascii="宋体" w:hAnsi="宋体" w:eastAsia="宋体" w:cs="宋体"/>
                <w:snapToGrid w:val="0"/>
                <w:color w:val="000000"/>
                <w:kern w:val="0"/>
                <w:sz w:val="20"/>
                <w:szCs w:val="20"/>
                <w:lang w:val="en-US" w:eastAsia="zh-CN" w:bidi="ar-SA"/>
              </w:rPr>
            </w:pPr>
            <w:r>
              <w:rPr>
                <w:spacing w:val="11"/>
              </w:rPr>
              <w:t>根据投标</w:t>
            </w:r>
            <w:r>
              <w:rPr>
                <w:rFonts w:hint="eastAsia"/>
                <w:spacing w:val="11"/>
                <w:lang w:val="en-US" w:eastAsia="zh-CN"/>
              </w:rPr>
              <w:t>企业</w:t>
            </w:r>
            <w:r>
              <w:rPr>
                <w:spacing w:val="11"/>
              </w:rPr>
              <w:t>针对安全文明施工、工程质量保证、环境保护措施</w:t>
            </w:r>
            <w:r>
              <w:rPr>
                <w:rFonts w:hint="eastAsia"/>
                <w:spacing w:val="11"/>
                <w:lang w:eastAsia="zh-CN"/>
              </w:rPr>
              <w:t>、</w:t>
            </w:r>
            <w:r>
              <w:rPr>
                <w:spacing w:val="11"/>
              </w:rPr>
              <w:t>描述科</w:t>
            </w:r>
            <w:r>
              <w:rPr>
                <w:spacing w:val="10"/>
              </w:rPr>
              <w:t>学、合理程度响应情况得分。</w:t>
            </w:r>
            <w:r>
              <w:rPr>
                <w:rFonts w:hint="eastAsia" w:ascii="宋体" w:hAnsi="宋体" w:eastAsia="宋体" w:cs="宋体"/>
                <w:snapToGrid w:val="0"/>
                <w:color w:val="000000"/>
                <w:spacing w:val="11"/>
                <w:kern w:val="0"/>
                <w:sz w:val="20"/>
                <w:szCs w:val="20"/>
                <w:lang w:val="en-US" w:eastAsia="zh-CN" w:bidi="ar-SA"/>
              </w:rPr>
              <w:t>以上内容都包含且满足采购需求的得</w:t>
            </w:r>
            <w:r>
              <w:rPr>
                <w:rFonts w:hint="eastAsia" w:cs="宋体"/>
                <w:snapToGrid w:val="0"/>
                <w:color w:val="000000"/>
                <w:spacing w:val="11"/>
                <w:kern w:val="0"/>
                <w:sz w:val="20"/>
                <w:szCs w:val="20"/>
                <w:lang w:val="en-US" w:eastAsia="zh-CN" w:bidi="ar-SA"/>
              </w:rPr>
              <w:t>6</w:t>
            </w:r>
            <w:r>
              <w:rPr>
                <w:rFonts w:hint="eastAsia" w:ascii="宋体" w:hAnsi="宋体" w:eastAsia="宋体" w:cs="宋体"/>
                <w:snapToGrid w:val="0"/>
                <w:color w:val="000000"/>
                <w:spacing w:val="11"/>
                <w:kern w:val="0"/>
                <w:sz w:val="20"/>
                <w:szCs w:val="20"/>
                <w:lang w:val="en-US" w:eastAsia="zh-CN" w:bidi="ar-SA"/>
              </w:rPr>
              <w:t>分；每缺少一项内容的扣</w:t>
            </w:r>
            <w:r>
              <w:rPr>
                <w:rFonts w:hint="eastAsia" w:cs="宋体"/>
                <w:snapToGrid w:val="0"/>
                <w:color w:val="000000"/>
                <w:spacing w:val="11"/>
                <w:kern w:val="0"/>
                <w:sz w:val="20"/>
                <w:szCs w:val="20"/>
                <w:lang w:val="en-US" w:eastAsia="zh-CN" w:bidi="ar-SA"/>
              </w:rPr>
              <w:t>2</w:t>
            </w:r>
            <w:r>
              <w:rPr>
                <w:rFonts w:hint="eastAsia" w:ascii="宋体" w:hAnsi="宋体" w:eastAsia="宋体" w:cs="宋体"/>
                <w:snapToGrid w:val="0"/>
                <w:color w:val="000000"/>
                <w:spacing w:val="11"/>
                <w:kern w:val="0"/>
                <w:sz w:val="20"/>
                <w:szCs w:val="20"/>
                <w:lang w:val="en-US" w:eastAsia="zh-CN" w:bidi="ar-SA"/>
              </w:rPr>
              <w:t>分；每有一处缺陷的扣1分；扣完为止，未提供不得分。</w:t>
            </w:r>
          </w:p>
        </w:tc>
        <w:tc>
          <w:tcPr>
            <w:tcW w:w="724" w:type="dxa"/>
            <w:shd w:val="clear" w:color="auto" w:fill="auto"/>
            <w:vAlign w:val="top"/>
          </w:tcPr>
          <w:p w14:paraId="647BCA2C">
            <w:pPr>
              <w:keepNext w:val="0"/>
              <w:keepLines w:val="0"/>
              <w:pageBreakBefore w:val="0"/>
              <w:kinsoku/>
              <w:wordWrap/>
              <w:overflowPunct/>
              <w:topLinePunct w:val="0"/>
              <w:bidi w:val="0"/>
              <w:spacing w:line="455" w:lineRule="auto"/>
              <w:rPr>
                <w:rFonts w:ascii="Arial"/>
                <w:sz w:val="21"/>
              </w:rPr>
            </w:pPr>
          </w:p>
          <w:p w14:paraId="6F5E266A">
            <w:pPr>
              <w:pStyle w:val="16"/>
              <w:keepNext w:val="0"/>
              <w:keepLines w:val="0"/>
              <w:pageBreakBefore w:val="0"/>
              <w:kinsoku/>
              <w:wordWrap/>
              <w:overflowPunct/>
              <w:topLinePunct w:val="0"/>
              <w:bidi w:val="0"/>
              <w:spacing w:before="65" w:line="228" w:lineRule="auto"/>
              <w:ind w:left="184" w:leftChars="0"/>
              <w:rPr>
                <w:rFonts w:hint="eastAsia" w:ascii="宋体" w:hAnsi="宋体" w:eastAsia="宋体" w:cs="宋体"/>
                <w:snapToGrid w:val="0"/>
                <w:color w:val="000000"/>
                <w:kern w:val="0"/>
                <w:sz w:val="20"/>
                <w:szCs w:val="20"/>
                <w:lang w:val="en-US" w:eastAsia="zh-CN" w:bidi="ar-SA"/>
              </w:rPr>
            </w:pPr>
            <w:r>
              <w:rPr>
                <w:rFonts w:hint="eastAsia"/>
                <w:spacing w:val="-3"/>
                <w:lang w:val="en-US" w:eastAsia="zh-CN"/>
              </w:rPr>
              <w:t>6</w:t>
            </w:r>
            <w:r>
              <w:rPr>
                <w:spacing w:val="-3"/>
              </w:rPr>
              <w:t>分</w:t>
            </w:r>
          </w:p>
        </w:tc>
      </w:tr>
      <w:tr w14:paraId="01A76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724" w:type="dxa"/>
            <w:shd w:val="clear" w:color="auto" w:fill="auto"/>
            <w:vAlign w:val="top"/>
          </w:tcPr>
          <w:p w14:paraId="553CEA0C">
            <w:pPr>
              <w:keepNext w:val="0"/>
              <w:keepLines w:val="0"/>
              <w:pageBreakBefore w:val="0"/>
              <w:kinsoku/>
              <w:wordWrap/>
              <w:overflowPunct/>
              <w:topLinePunct w:val="0"/>
              <w:bidi w:val="0"/>
              <w:spacing w:line="295" w:lineRule="auto"/>
              <w:rPr>
                <w:rFonts w:ascii="Arial"/>
                <w:sz w:val="21"/>
              </w:rPr>
            </w:pPr>
          </w:p>
          <w:p w14:paraId="7A78AD8B">
            <w:pPr>
              <w:keepNext w:val="0"/>
              <w:keepLines w:val="0"/>
              <w:pageBreakBefore w:val="0"/>
              <w:kinsoku/>
              <w:wordWrap/>
              <w:overflowPunct/>
              <w:topLinePunct w:val="0"/>
              <w:bidi w:val="0"/>
              <w:spacing w:line="295" w:lineRule="auto"/>
              <w:rPr>
                <w:rFonts w:ascii="Arial"/>
                <w:sz w:val="21"/>
              </w:rPr>
            </w:pPr>
          </w:p>
          <w:p w14:paraId="76C4134B">
            <w:pPr>
              <w:keepNext w:val="0"/>
              <w:keepLines w:val="0"/>
              <w:pageBreakBefore w:val="0"/>
              <w:kinsoku/>
              <w:wordWrap/>
              <w:overflowPunct/>
              <w:topLinePunct w:val="0"/>
              <w:bidi w:val="0"/>
              <w:spacing w:line="296" w:lineRule="auto"/>
              <w:rPr>
                <w:rFonts w:ascii="Arial"/>
                <w:sz w:val="21"/>
              </w:rPr>
            </w:pPr>
          </w:p>
          <w:p w14:paraId="53D098B3">
            <w:pPr>
              <w:keepNext w:val="0"/>
              <w:keepLines w:val="0"/>
              <w:pageBreakBefore w:val="0"/>
              <w:kinsoku/>
              <w:wordWrap/>
              <w:overflowPunct/>
              <w:topLinePunct w:val="0"/>
              <w:bidi w:val="0"/>
              <w:spacing w:line="296" w:lineRule="auto"/>
              <w:rPr>
                <w:rFonts w:ascii="Arial"/>
                <w:sz w:val="21"/>
              </w:rPr>
            </w:pPr>
          </w:p>
          <w:p w14:paraId="4160A173">
            <w:pPr>
              <w:pStyle w:val="16"/>
              <w:keepNext w:val="0"/>
              <w:keepLines w:val="0"/>
              <w:pageBreakBefore w:val="0"/>
              <w:kinsoku/>
              <w:wordWrap/>
              <w:overflowPunct/>
              <w:topLinePunct w:val="0"/>
              <w:bidi w:val="0"/>
              <w:spacing w:before="65" w:line="190" w:lineRule="auto"/>
              <w:ind w:left="278" w:leftChars="0"/>
              <w:rPr>
                <w:rFonts w:hint="eastAsia" w:ascii="宋体" w:hAnsi="宋体" w:eastAsia="宋体" w:cs="宋体"/>
                <w:snapToGrid w:val="0"/>
                <w:color w:val="000000"/>
                <w:kern w:val="0"/>
                <w:sz w:val="20"/>
                <w:szCs w:val="20"/>
                <w:lang w:val="en-US" w:eastAsia="zh-CN" w:bidi="ar-SA"/>
              </w:rPr>
            </w:pPr>
            <w:r>
              <w:rPr>
                <w:rFonts w:hint="eastAsia"/>
                <w:spacing w:val="-7"/>
                <w:lang w:val="en-US" w:eastAsia="zh-CN"/>
              </w:rPr>
              <w:t>10</w:t>
            </w:r>
          </w:p>
        </w:tc>
        <w:tc>
          <w:tcPr>
            <w:tcW w:w="1979" w:type="dxa"/>
            <w:shd w:val="clear" w:color="auto" w:fill="auto"/>
            <w:vAlign w:val="top"/>
          </w:tcPr>
          <w:p w14:paraId="45C34A93">
            <w:pPr>
              <w:keepNext w:val="0"/>
              <w:keepLines w:val="0"/>
              <w:pageBreakBefore w:val="0"/>
              <w:kinsoku/>
              <w:wordWrap/>
              <w:overflowPunct/>
              <w:topLinePunct w:val="0"/>
              <w:bidi w:val="0"/>
              <w:spacing w:line="287" w:lineRule="auto"/>
              <w:rPr>
                <w:rFonts w:ascii="Arial"/>
                <w:sz w:val="21"/>
              </w:rPr>
            </w:pPr>
          </w:p>
          <w:p w14:paraId="2CF137E1">
            <w:pPr>
              <w:keepNext w:val="0"/>
              <w:keepLines w:val="0"/>
              <w:pageBreakBefore w:val="0"/>
              <w:kinsoku/>
              <w:wordWrap/>
              <w:overflowPunct/>
              <w:topLinePunct w:val="0"/>
              <w:bidi w:val="0"/>
              <w:spacing w:line="287" w:lineRule="auto"/>
              <w:rPr>
                <w:rFonts w:ascii="Arial"/>
                <w:sz w:val="21"/>
              </w:rPr>
            </w:pPr>
          </w:p>
          <w:p w14:paraId="47C0EFB7">
            <w:pPr>
              <w:keepNext w:val="0"/>
              <w:keepLines w:val="0"/>
              <w:pageBreakBefore w:val="0"/>
              <w:kinsoku/>
              <w:wordWrap/>
              <w:overflowPunct/>
              <w:topLinePunct w:val="0"/>
              <w:bidi w:val="0"/>
              <w:spacing w:line="288" w:lineRule="auto"/>
              <w:rPr>
                <w:rFonts w:ascii="Arial"/>
                <w:sz w:val="21"/>
              </w:rPr>
            </w:pPr>
          </w:p>
          <w:p w14:paraId="695342AF">
            <w:pPr>
              <w:keepNext w:val="0"/>
              <w:keepLines w:val="0"/>
              <w:pageBreakBefore w:val="0"/>
              <w:kinsoku/>
              <w:wordWrap/>
              <w:overflowPunct/>
              <w:topLinePunct w:val="0"/>
              <w:bidi w:val="0"/>
              <w:spacing w:line="288" w:lineRule="auto"/>
              <w:rPr>
                <w:rFonts w:ascii="Arial"/>
                <w:sz w:val="21"/>
              </w:rPr>
            </w:pPr>
          </w:p>
          <w:p w14:paraId="30019942">
            <w:pPr>
              <w:pStyle w:val="16"/>
              <w:keepNext w:val="0"/>
              <w:keepLines w:val="0"/>
              <w:pageBreakBefore w:val="0"/>
              <w:kinsoku/>
              <w:wordWrap/>
              <w:overflowPunct/>
              <w:topLinePunct w:val="0"/>
              <w:bidi w:val="0"/>
              <w:spacing w:before="65" w:line="228" w:lineRule="auto"/>
              <w:ind w:left="112" w:leftChars="0"/>
              <w:rPr>
                <w:rFonts w:ascii="宋体" w:hAnsi="宋体" w:eastAsia="宋体" w:cs="宋体"/>
                <w:snapToGrid w:val="0"/>
                <w:color w:val="000000"/>
                <w:kern w:val="0"/>
                <w:sz w:val="20"/>
                <w:szCs w:val="20"/>
                <w:lang w:val="en-US" w:eastAsia="en-US" w:bidi="ar-SA"/>
              </w:rPr>
            </w:pPr>
            <w:r>
              <w:rPr>
                <w:spacing w:val="7"/>
              </w:rPr>
              <w:t>售后服务</w:t>
            </w:r>
          </w:p>
        </w:tc>
        <w:tc>
          <w:tcPr>
            <w:tcW w:w="5937" w:type="dxa"/>
            <w:shd w:val="clear" w:color="auto" w:fill="auto"/>
            <w:vAlign w:val="top"/>
          </w:tcPr>
          <w:p w14:paraId="387421B3">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ascii="宋体" w:hAnsi="宋体" w:eastAsia="宋体" w:cs="宋体"/>
                <w:snapToGrid w:val="0"/>
                <w:color w:val="000000"/>
                <w:spacing w:val="11"/>
                <w:kern w:val="0"/>
                <w:sz w:val="20"/>
                <w:szCs w:val="20"/>
                <w:lang w:val="en-US" w:eastAsia="zh-CN" w:bidi="ar-SA"/>
              </w:rPr>
              <w:t>供应商依据项目地域特点提供售后服务方案需包</w:t>
            </w:r>
          </w:p>
          <w:p w14:paraId="1AEB373A">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hint="eastAsia" w:ascii="宋体" w:hAnsi="宋体" w:eastAsia="宋体" w:cs="宋体"/>
                <w:snapToGrid w:val="0"/>
                <w:color w:val="000000"/>
                <w:spacing w:val="11"/>
                <w:kern w:val="0"/>
                <w:sz w:val="20"/>
                <w:szCs w:val="20"/>
                <w:lang w:val="en-US" w:eastAsia="zh-CN" w:bidi="ar-SA"/>
              </w:rPr>
              <w:t>括以下内容。</w:t>
            </w:r>
          </w:p>
          <w:p w14:paraId="3BDD5626">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hint="eastAsia" w:ascii="宋体" w:hAnsi="宋体" w:eastAsia="宋体" w:cs="宋体"/>
                <w:snapToGrid w:val="0"/>
                <w:color w:val="000000"/>
                <w:spacing w:val="11"/>
                <w:kern w:val="0"/>
                <w:sz w:val="20"/>
                <w:szCs w:val="20"/>
                <w:lang w:val="en-US" w:eastAsia="zh-CN" w:bidi="ar-SA"/>
              </w:rPr>
              <w:t>（1）售后服务承诺</w:t>
            </w:r>
          </w:p>
          <w:p w14:paraId="020C2F11">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hint="eastAsia" w:ascii="宋体" w:hAnsi="宋体" w:eastAsia="宋体" w:cs="宋体"/>
                <w:snapToGrid w:val="0"/>
                <w:color w:val="000000"/>
                <w:spacing w:val="11"/>
                <w:kern w:val="0"/>
                <w:sz w:val="20"/>
                <w:szCs w:val="20"/>
                <w:lang w:val="en-US" w:eastAsia="zh-CN" w:bidi="ar-SA"/>
              </w:rPr>
              <w:t>（2）售后保障措施</w:t>
            </w:r>
          </w:p>
          <w:p w14:paraId="065B3111">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hint="eastAsia" w:ascii="宋体" w:hAnsi="宋体" w:eastAsia="宋体" w:cs="宋体"/>
                <w:snapToGrid w:val="0"/>
                <w:color w:val="000000"/>
                <w:spacing w:val="11"/>
                <w:kern w:val="0"/>
                <w:sz w:val="20"/>
                <w:szCs w:val="20"/>
                <w:lang w:val="en-US" w:eastAsia="zh-CN" w:bidi="ar-SA"/>
              </w:rPr>
              <w:t>（3）售后服务响应机制</w:t>
            </w:r>
          </w:p>
          <w:p w14:paraId="2ED828D9">
            <w:pPr>
              <w:keepNext w:val="0"/>
              <w:keepLines w:val="0"/>
              <w:pageBreakBefore w:val="0"/>
              <w:widowControl/>
              <w:suppressLineNumbers w:val="0"/>
              <w:kinsoku/>
              <w:wordWrap/>
              <w:overflowPunct/>
              <w:topLinePunct w:val="0"/>
              <w:bidi w:val="0"/>
              <w:jc w:val="left"/>
              <w:rPr>
                <w:rFonts w:ascii="宋体" w:hAnsi="宋体" w:eastAsia="宋体" w:cs="宋体"/>
                <w:snapToGrid w:val="0"/>
                <w:color w:val="000000"/>
                <w:spacing w:val="11"/>
                <w:kern w:val="0"/>
                <w:sz w:val="20"/>
                <w:szCs w:val="20"/>
                <w:lang w:val="en-US" w:eastAsia="en-US" w:bidi="ar-SA"/>
              </w:rPr>
            </w:pPr>
            <w:r>
              <w:rPr>
                <w:rFonts w:hint="eastAsia" w:ascii="宋体" w:hAnsi="宋体" w:eastAsia="宋体" w:cs="宋体"/>
                <w:snapToGrid w:val="0"/>
                <w:color w:val="000000"/>
                <w:spacing w:val="11"/>
                <w:kern w:val="0"/>
                <w:sz w:val="20"/>
                <w:szCs w:val="20"/>
                <w:lang w:val="en-US" w:eastAsia="zh-CN" w:bidi="ar-SA"/>
              </w:rPr>
              <w:t>以上内容都包含且满足采购需求的得9分；每缺少一项内容的扣3分；每有一处缺陷的扣1分；扣完为止，未提供不得分。</w:t>
            </w:r>
          </w:p>
          <w:p w14:paraId="25A18870">
            <w:pPr>
              <w:keepNext w:val="0"/>
              <w:keepLines w:val="0"/>
              <w:pageBreakBefore w:val="0"/>
              <w:widowControl/>
              <w:suppressLineNumbers w:val="0"/>
              <w:kinsoku/>
              <w:wordWrap/>
              <w:overflowPunct/>
              <w:topLinePunct w:val="0"/>
              <w:bidi w:val="0"/>
              <w:jc w:val="left"/>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spacing w:val="11"/>
                <w:kern w:val="0"/>
                <w:sz w:val="20"/>
                <w:szCs w:val="20"/>
                <w:lang w:val="en-US" w:eastAsia="zh-CN" w:bidi="ar-SA"/>
              </w:rPr>
              <w:t>（缺陷是指：存在不适用该项目实际情况的情形、凭空编造、内容前后不一致、前后逻辑错误、涉及的规范及标准错误、地点区域错误、内容缺失、不符合采购需求的任意一项）。</w:t>
            </w:r>
          </w:p>
        </w:tc>
        <w:tc>
          <w:tcPr>
            <w:tcW w:w="724" w:type="dxa"/>
            <w:shd w:val="clear" w:color="auto" w:fill="auto"/>
            <w:vAlign w:val="top"/>
          </w:tcPr>
          <w:p w14:paraId="79BE60F4">
            <w:pPr>
              <w:keepNext w:val="0"/>
              <w:keepLines w:val="0"/>
              <w:pageBreakBefore w:val="0"/>
              <w:kinsoku/>
              <w:wordWrap/>
              <w:overflowPunct/>
              <w:topLinePunct w:val="0"/>
              <w:bidi w:val="0"/>
              <w:spacing w:line="287" w:lineRule="auto"/>
              <w:rPr>
                <w:rFonts w:ascii="Arial"/>
                <w:sz w:val="21"/>
              </w:rPr>
            </w:pPr>
          </w:p>
          <w:p w14:paraId="52C3F794">
            <w:pPr>
              <w:keepNext w:val="0"/>
              <w:keepLines w:val="0"/>
              <w:pageBreakBefore w:val="0"/>
              <w:kinsoku/>
              <w:wordWrap/>
              <w:overflowPunct/>
              <w:topLinePunct w:val="0"/>
              <w:bidi w:val="0"/>
              <w:spacing w:line="288" w:lineRule="auto"/>
              <w:rPr>
                <w:rFonts w:ascii="Arial"/>
                <w:sz w:val="21"/>
              </w:rPr>
            </w:pPr>
          </w:p>
          <w:p w14:paraId="245F7F1E">
            <w:pPr>
              <w:keepNext w:val="0"/>
              <w:keepLines w:val="0"/>
              <w:pageBreakBefore w:val="0"/>
              <w:kinsoku/>
              <w:wordWrap/>
              <w:overflowPunct/>
              <w:topLinePunct w:val="0"/>
              <w:bidi w:val="0"/>
              <w:spacing w:line="288" w:lineRule="auto"/>
              <w:rPr>
                <w:rFonts w:ascii="Arial"/>
                <w:sz w:val="21"/>
              </w:rPr>
            </w:pPr>
          </w:p>
          <w:p w14:paraId="54F5109D">
            <w:pPr>
              <w:keepNext w:val="0"/>
              <w:keepLines w:val="0"/>
              <w:pageBreakBefore w:val="0"/>
              <w:kinsoku/>
              <w:wordWrap/>
              <w:overflowPunct/>
              <w:topLinePunct w:val="0"/>
              <w:bidi w:val="0"/>
              <w:spacing w:line="288" w:lineRule="auto"/>
              <w:rPr>
                <w:rFonts w:ascii="Arial"/>
                <w:sz w:val="21"/>
              </w:rPr>
            </w:pPr>
          </w:p>
          <w:p w14:paraId="4416D8FC">
            <w:pPr>
              <w:pStyle w:val="16"/>
              <w:keepNext w:val="0"/>
              <w:keepLines w:val="0"/>
              <w:pageBreakBefore w:val="0"/>
              <w:kinsoku/>
              <w:wordWrap/>
              <w:overflowPunct/>
              <w:topLinePunct w:val="0"/>
              <w:bidi w:val="0"/>
              <w:spacing w:before="65" w:line="228" w:lineRule="auto"/>
              <w:ind w:left="184" w:leftChars="0"/>
              <w:rPr>
                <w:rFonts w:hint="eastAsia" w:ascii="宋体" w:hAnsi="宋体" w:eastAsia="宋体" w:cs="宋体"/>
                <w:snapToGrid w:val="0"/>
                <w:color w:val="000000"/>
                <w:kern w:val="0"/>
                <w:sz w:val="20"/>
                <w:szCs w:val="20"/>
                <w:lang w:val="en-US" w:eastAsia="zh-CN" w:bidi="ar-SA"/>
              </w:rPr>
            </w:pPr>
            <w:r>
              <w:rPr>
                <w:rFonts w:hint="eastAsia"/>
                <w:spacing w:val="-3"/>
                <w:lang w:val="en-US" w:eastAsia="zh-CN"/>
              </w:rPr>
              <w:t>9</w:t>
            </w:r>
            <w:r>
              <w:rPr>
                <w:spacing w:val="-3"/>
              </w:rPr>
              <w:t>分</w:t>
            </w:r>
          </w:p>
        </w:tc>
      </w:tr>
    </w:tbl>
    <w:p w14:paraId="067E3155">
      <w:pPr>
        <w:keepNext w:val="0"/>
        <w:keepLines w:val="0"/>
        <w:pageBreakBefore w:val="0"/>
        <w:kinsoku/>
        <w:wordWrap/>
        <w:overflowPunct/>
        <w:topLinePunct w:val="0"/>
        <w:bidi w:val="0"/>
        <w:spacing w:line="162" w:lineRule="exact"/>
        <w:rPr>
          <w:sz w:val="14"/>
          <w:szCs w:val="14"/>
        </w:rPr>
      </w:pPr>
    </w:p>
    <w:p w14:paraId="268C3CC8">
      <w:pPr>
        <w:keepNext w:val="0"/>
        <w:keepLines w:val="0"/>
        <w:pageBreakBefore w:val="0"/>
        <w:kinsoku/>
        <w:wordWrap/>
        <w:overflowPunct/>
        <w:topLinePunct w:val="0"/>
        <w:bidi w:val="0"/>
        <w:spacing w:before="51" w:line="318" w:lineRule="auto"/>
        <w:ind w:right="379"/>
        <w:rPr>
          <w:rFonts w:ascii="宋体" w:hAnsi="宋体" w:eastAsia="宋体" w:cs="宋体"/>
          <w:sz w:val="20"/>
          <w:szCs w:val="20"/>
        </w:rPr>
      </w:pPr>
      <w:r>
        <w:rPr>
          <w:rFonts w:ascii="宋体" w:hAnsi="宋体" w:eastAsia="宋体" w:cs="宋体"/>
          <w:b/>
          <w:bCs/>
          <w:spacing w:val="8"/>
          <w:sz w:val="20"/>
          <w:szCs w:val="20"/>
        </w:rPr>
        <w:t>说明：</w:t>
      </w:r>
      <w:r>
        <w:rPr>
          <w:rFonts w:ascii="宋体" w:hAnsi="宋体" w:eastAsia="宋体" w:cs="宋体"/>
          <w:spacing w:val="8"/>
          <w:sz w:val="20"/>
          <w:szCs w:val="20"/>
        </w:rPr>
        <w:t>1、评委在上表设定的分值范围内打分(四舍五入保留两位小</w:t>
      </w:r>
      <w:r>
        <w:rPr>
          <w:rFonts w:ascii="宋体" w:hAnsi="宋体" w:eastAsia="宋体" w:cs="宋体"/>
          <w:spacing w:val="7"/>
          <w:sz w:val="20"/>
          <w:szCs w:val="20"/>
        </w:rPr>
        <w:t>数)，平均分值计算四舍五入保留两位小数点。</w:t>
      </w:r>
    </w:p>
    <w:p w14:paraId="61C6FEB2">
      <w:pPr>
        <w:keepNext w:val="0"/>
        <w:keepLines w:val="0"/>
        <w:pageBreakBefore w:val="0"/>
        <w:kinsoku/>
        <w:wordWrap/>
        <w:overflowPunct/>
        <w:topLinePunct w:val="0"/>
        <w:bidi w:val="0"/>
        <w:spacing w:before="157" w:line="358" w:lineRule="auto"/>
        <w:ind w:left="1" w:right="451" w:firstLine="422"/>
        <w:rPr>
          <w:rFonts w:ascii="宋体" w:hAnsi="宋体" w:eastAsia="宋体" w:cs="宋体"/>
          <w:sz w:val="20"/>
          <w:szCs w:val="20"/>
        </w:rPr>
      </w:pPr>
      <w:r>
        <w:rPr>
          <w:rFonts w:ascii="宋体" w:hAnsi="宋体" w:eastAsia="宋体" w:cs="宋体"/>
          <w:spacing w:val="11"/>
          <w:sz w:val="20"/>
          <w:szCs w:val="20"/>
        </w:rPr>
        <w:t>2.磋商小组决定的响应性只根据响应文件本</w:t>
      </w:r>
      <w:r>
        <w:rPr>
          <w:rFonts w:ascii="宋体" w:hAnsi="宋体" w:eastAsia="宋体" w:cs="宋体"/>
          <w:spacing w:val="10"/>
          <w:sz w:val="20"/>
          <w:szCs w:val="20"/>
        </w:rPr>
        <w:t>身的真实无误的内容，而不依据外部的证据，但响</w:t>
      </w:r>
      <w:r>
        <w:rPr>
          <w:rFonts w:ascii="宋体" w:hAnsi="宋体" w:eastAsia="宋体" w:cs="宋体"/>
          <w:spacing w:val="8"/>
          <w:sz w:val="20"/>
          <w:szCs w:val="20"/>
        </w:rPr>
        <w:t>应文件有不真实不正确的内容时响应无效。</w:t>
      </w:r>
    </w:p>
    <w:p w14:paraId="3AFE1F84">
      <w:pPr>
        <w:pStyle w:val="7"/>
        <w:keepNext w:val="0"/>
        <w:keepLines w:val="0"/>
        <w:pageBreakBefore w:val="0"/>
        <w:kinsoku/>
        <w:wordWrap/>
        <w:overflowPunct/>
        <w:topLinePunct w:val="0"/>
        <w:bidi w:val="0"/>
        <w:spacing w:line="264" w:lineRule="auto"/>
      </w:pPr>
    </w:p>
    <w:p w14:paraId="520BC1FB">
      <w:pPr>
        <w:pStyle w:val="7"/>
        <w:keepNext w:val="0"/>
        <w:keepLines w:val="0"/>
        <w:pageBreakBefore w:val="0"/>
        <w:kinsoku/>
        <w:wordWrap/>
        <w:overflowPunct/>
        <w:topLinePunct w:val="0"/>
        <w:bidi w:val="0"/>
        <w:spacing w:line="265" w:lineRule="auto"/>
      </w:pPr>
    </w:p>
    <w:p w14:paraId="50FB7DD5">
      <w:pPr>
        <w:pStyle w:val="7"/>
        <w:keepNext w:val="0"/>
        <w:keepLines w:val="0"/>
        <w:pageBreakBefore w:val="0"/>
        <w:kinsoku/>
        <w:wordWrap/>
        <w:overflowPunct/>
        <w:topLinePunct w:val="0"/>
        <w:bidi w:val="0"/>
        <w:spacing w:line="265" w:lineRule="auto"/>
      </w:pPr>
    </w:p>
    <w:p w14:paraId="7543B4B4">
      <w:pPr>
        <w:pStyle w:val="7"/>
        <w:keepNext w:val="0"/>
        <w:keepLines w:val="0"/>
        <w:pageBreakBefore w:val="0"/>
        <w:kinsoku/>
        <w:wordWrap/>
        <w:overflowPunct/>
        <w:topLinePunct w:val="0"/>
        <w:bidi w:val="0"/>
        <w:spacing w:line="265" w:lineRule="auto"/>
      </w:pPr>
    </w:p>
    <w:p w14:paraId="3B67C59A">
      <w:pPr>
        <w:pStyle w:val="7"/>
        <w:keepNext w:val="0"/>
        <w:keepLines w:val="0"/>
        <w:pageBreakBefore w:val="0"/>
        <w:kinsoku/>
        <w:wordWrap/>
        <w:overflowPunct/>
        <w:topLinePunct w:val="0"/>
        <w:bidi w:val="0"/>
        <w:spacing w:line="265" w:lineRule="auto"/>
      </w:pPr>
    </w:p>
    <w:p w14:paraId="74F26317">
      <w:pPr>
        <w:pStyle w:val="7"/>
        <w:keepNext w:val="0"/>
        <w:keepLines w:val="0"/>
        <w:pageBreakBefore w:val="0"/>
        <w:kinsoku/>
        <w:wordWrap/>
        <w:overflowPunct/>
        <w:topLinePunct w:val="0"/>
        <w:bidi w:val="0"/>
        <w:spacing w:line="265" w:lineRule="auto"/>
      </w:pPr>
    </w:p>
    <w:p w14:paraId="4C009C7F">
      <w:pPr>
        <w:pStyle w:val="7"/>
        <w:keepNext w:val="0"/>
        <w:keepLines w:val="0"/>
        <w:pageBreakBefore w:val="0"/>
        <w:kinsoku/>
        <w:wordWrap/>
        <w:overflowPunct/>
        <w:topLinePunct w:val="0"/>
        <w:bidi w:val="0"/>
        <w:spacing w:line="265" w:lineRule="auto"/>
      </w:pPr>
    </w:p>
    <w:p w14:paraId="2F987F58">
      <w:pPr>
        <w:pStyle w:val="7"/>
        <w:keepNext w:val="0"/>
        <w:keepLines w:val="0"/>
        <w:pageBreakBefore w:val="0"/>
        <w:kinsoku/>
        <w:wordWrap/>
        <w:overflowPunct/>
        <w:topLinePunct w:val="0"/>
        <w:bidi w:val="0"/>
        <w:spacing w:line="265" w:lineRule="auto"/>
      </w:pPr>
    </w:p>
    <w:p w14:paraId="575AEDD9">
      <w:pPr>
        <w:pStyle w:val="7"/>
        <w:keepNext w:val="0"/>
        <w:keepLines w:val="0"/>
        <w:pageBreakBefore w:val="0"/>
        <w:kinsoku/>
        <w:wordWrap/>
        <w:overflowPunct/>
        <w:topLinePunct w:val="0"/>
        <w:bidi w:val="0"/>
        <w:spacing w:line="265" w:lineRule="auto"/>
      </w:pPr>
    </w:p>
    <w:p w14:paraId="0D51FB74">
      <w:pPr>
        <w:pStyle w:val="7"/>
        <w:keepNext w:val="0"/>
        <w:keepLines w:val="0"/>
        <w:pageBreakBefore w:val="0"/>
        <w:kinsoku/>
        <w:wordWrap/>
        <w:overflowPunct/>
        <w:topLinePunct w:val="0"/>
        <w:bidi w:val="0"/>
        <w:spacing w:line="265" w:lineRule="auto"/>
      </w:pPr>
    </w:p>
    <w:p w14:paraId="13F7DC91">
      <w:pPr>
        <w:pStyle w:val="7"/>
        <w:keepNext w:val="0"/>
        <w:keepLines w:val="0"/>
        <w:pageBreakBefore w:val="0"/>
        <w:kinsoku/>
        <w:wordWrap/>
        <w:overflowPunct/>
        <w:topLinePunct w:val="0"/>
        <w:bidi w:val="0"/>
        <w:spacing w:line="265" w:lineRule="auto"/>
      </w:pPr>
    </w:p>
    <w:p w14:paraId="6FDA864F">
      <w:pPr>
        <w:pStyle w:val="7"/>
        <w:keepNext w:val="0"/>
        <w:keepLines w:val="0"/>
        <w:pageBreakBefore w:val="0"/>
        <w:kinsoku/>
        <w:wordWrap/>
        <w:overflowPunct/>
        <w:topLinePunct w:val="0"/>
        <w:bidi w:val="0"/>
        <w:spacing w:line="265" w:lineRule="auto"/>
      </w:pPr>
    </w:p>
    <w:p w14:paraId="24BD484B">
      <w:pPr>
        <w:pStyle w:val="7"/>
        <w:keepNext w:val="0"/>
        <w:keepLines w:val="0"/>
        <w:pageBreakBefore w:val="0"/>
        <w:kinsoku/>
        <w:wordWrap/>
        <w:overflowPunct/>
        <w:topLinePunct w:val="0"/>
        <w:bidi w:val="0"/>
        <w:spacing w:line="265" w:lineRule="auto"/>
      </w:pPr>
    </w:p>
    <w:p w14:paraId="732BFC38">
      <w:pPr>
        <w:pStyle w:val="7"/>
        <w:keepNext w:val="0"/>
        <w:keepLines w:val="0"/>
        <w:pageBreakBefore w:val="0"/>
        <w:kinsoku/>
        <w:wordWrap/>
        <w:overflowPunct/>
        <w:topLinePunct w:val="0"/>
        <w:bidi w:val="0"/>
        <w:spacing w:line="265" w:lineRule="auto"/>
      </w:pPr>
    </w:p>
    <w:p w14:paraId="68D7EFC7">
      <w:pPr>
        <w:pStyle w:val="7"/>
        <w:keepNext w:val="0"/>
        <w:keepLines w:val="0"/>
        <w:pageBreakBefore w:val="0"/>
        <w:kinsoku/>
        <w:wordWrap/>
        <w:overflowPunct/>
        <w:topLinePunct w:val="0"/>
        <w:bidi w:val="0"/>
        <w:spacing w:line="265" w:lineRule="auto"/>
      </w:pPr>
    </w:p>
    <w:p w14:paraId="5F06F17F">
      <w:pPr>
        <w:pStyle w:val="7"/>
        <w:keepNext w:val="0"/>
        <w:keepLines w:val="0"/>
        <w:pageBreakBefore w:val="0"/>
        <w:kinsoku/>
        <w:wordWrap/>
        <w:overflowPunct/>
        <w:topLinePunct w:val="0"/>
        <w:bidi w:val="0"/>
        <w:spacing w:line="265" w:lineRule="auto"/>
      </w:pPr>
    </w:p>
    <w:p w14:paraId="2DABA6E4">
      <w:pPr>
        <w:pStyle w:val="7"/>
        <w:keepNext w:val="0"/>
        <w:keepLines w:val="0"/>
        <w:pageBreakBefore w:val="0"/>
        <w:kinsoku/>
        <w:wordWrap/>
        <w:overflowPunct/>
        <w:topLinePunct w:val="0"/>
        <w:bidi w:val="0"/>
        <w:spacing w:line="265" w:lineRule="auto"/>
      </w:pPr>
    </w:p>
    <w:p w14:paraId="6257AC23">
      <w:pPr>
        <w:pStyle w:val="7"/>
        <w:keepNext w:val="0"/>
        <w:keepLines w:val="0"/>
        <w:pageBreakBefore w:val="0"/>
        <w:kinsoku/>
        <w:wordWrap/>
        <w:overflowPunct/>
        <w:topLinePunct w:val="0"/>
        <w:bidi w:val="0"/>
        <w:spacing w:line="265" w:lineRule="auto"/>
      </w:pPr>
    </w:p>
    <w:p w14:paraId="1279D0F7">
      <w:pPr>
        <w:pStyle w:val="7"/>
        <w:keepNext w:val="0"/>
        <w:keepLines w:val="0"/>
        <w:pageBreakBefore w:val="0"/>
        <w:kinsoku/>
        <w:wordWrap/>
        <w:overflowPunct/>
        <w:topLinePunct w:val="0"/>
        <w:bidi w:val="0"/>
        <w:spacing w:line="265" w:lineRule="auto"/>
      </w:pPr>
    </w:p>
    <w:p w14:paraId="1E22B78D">
      <w:pPr>
        <w:pStyle w:val="7"/>
        <w:keepNext w:val="0"/>
        <w:keepLines w:val="0"/>
        <w:pageBreakBefore w:val="0"/>
        <w:kinsoku/>
        <w:wordWrap/>
        <w:overflowPunct/>
        <w:topLinePunct w:val="0"/>
        <w:bidi w:val="0"/>
        <w:spacing w:line="265" w:lineRule="auto"/>
      </w:pPr>
    </w:p>
    <w:p w14:paraId="23D4AFD6">
      <w:pPr>
        <w:pStyle w:val="7"/>
        <w:keepNext w:val="0"/>
        <w:keepLines w:val="0"/>
        <w:pageBreakBefore w:val="0"/>
        <w:kinsoku/>
        <w:wordWrap/>
        <w:overflowPunct/>
        <w:topLinePunct w:val="0"/>
        <w:bidi w:val="0"/>
        <w:spacing w:line="265" w:lineRule="auto"/>
      </w:pPr>
    </w:p>
    <w:p w14:paraId="712F0A14">
      <w:pPr>
        <w:pStyle w:val="7"/>
        <w:keepNext w:val="0"/>
        <w:keepLines w:val="0"/>
        <w:pageBreakBefore w:val="0"/>
        <w:kinsoku/>
        <w:wordWrap/>
        <w:overflowPunct/>
        <w:topLinePunct w:val="0"/>
        <w:bidi w:val="0"/>
        <w:spacing w:line="265" w:lineRule="auto"/>
      </w:pPr>
    </w:p>
    <w:p w14:paraId="7C828FD0">
      <w:pPr>
        <w:pStyle w:val="7"/>
        <w:keepNext w:val="0"/>
        <w:keepLines w:val="0"/>
        <w:pageBreakBefore w:val="0"/>
        <w:kinsoku/>
        <w:wordWrap/>
        <w:overflowPunct/>
        <w:topLinePunct w:val="0"/>
        <w:bidi w:val="0"/>
        <w:spacing w:line="265" w:lineRule="auto"/>
      </w:pPr>
    </w:p>
    <w:p w14:paraId="226FE021">
      <w:pPr>
        <w:pStyle w:val="7"/>
        <w:keepNext w:val="0"/>
        <w:keepLines w:val="0"/>
        <w:pageBreakBefore w:val="0"/>
        <w:kinsoku/>
        <w:wordWrap/>
        <w:overflowPunct/>
        <w:topLinePunct w:val="0"/>
        <w:bidi w:val="0"/>
        <w:spacing w:line="265" w:lineRule="auto"/>
      </w:pPr>
    </w:p>
    <w:p w14:paraId="3CAC0C6A">
      <w:pPr>
        <w:pStyle w:val="7"/>
        <w:keepNext w:val="0"/>
        <w:keepLines w:val="0"/>
        <w:pageBreakBefore w:val="0"/>
        <w:kinsoku/>
        <w:wordWrap/>
        <w:overflowPunct/>
        <w:topLinePunct w:val="0"/>
        <w:bidi w:val="0"/>
        <w:spacing w:line="265" w:lineRule="auto"/>
      </w:pPr>
    </w:p>
    <w:p w14:paraId="47482674">
      <w:pPr>
        <w:pStyle w:val="7"/>
        <w:keepNext w:val="0"/>
        <w:keepLines w:val="0"/>
        <w:pageBreakBefore w:val="0"/>
        <w:kinsoku/>
        <w:wordWrap/>
        <w:overflowPunct/>
        <w:topLinePunct w:val="0"/>
        <w:bidi w:val="0"/>
        <w:spacing w:line="265" w:lineRule="auto"/>
      </w:pPr>
    </w:p>
    <w:p w14:paraId="439D2062">
      <w:pPr>
        <w:pStyle w:val="7"/>
        <w:keepNext w:val="0"/>
        <w:keepLines w:val="0"/>
        <w:pageBreakBefore w:val="0"/>
        <w:kinsoku/>
        <w:wordWrap/>
        <w:overflowPunct/>
        <w:topLinePunct w:val="0"/>
        <w:bidi w:val="0"/>
        <w:spacing w:line="265" w:lineRule="auto"/>
      </w:pPr>
    </w:p>
    <w:p w14:paraId="6F73E783">
      <w:pPr>
        <w:pStyle w:val="7"/>
        <w:keepNext w:val="0"/>
        <w:keepLines w:val="0"/>
        <w:pageBreakBefore w:val="0"/>
        <w:kinsoku/>
        <w:wordWrap/>
        <w:overflowPunct/>
        <w:topLinePunct w:val="0"/>
        <w:bidi w:val="0"/>
        <w:spacing w:line="265" w:lineRule="auto"/>
      </w:pPr>
    </w:p>
    <w:p w14:paraId="330F4EF9">
      <w:pPr>
        <w:keepNext w:val="0"/>
        <w:keepLines w:val="0"/>
        <w:pageBreakBefore w:val="0"/>
        <w:kinsoku/>
        <w:wordWrap/>
        <w:overflowPunct/>
        <w:topLinePunct w:val="0"/>
        <w:bidi w:val="0"/>
        <w:spacing w:before="97" w:line="219" w:lineRule="auto"/>
        <w:ind w:left="3033" w:leftChars="0"/>
        <w:outlineLvl w:val="0"/>
        <w:rPr>
          <w:rFonts w:ascii="宋体" w:hAnsi="宋体" w:eastAsia="宋体" w:cs="宋体"/>
          <w:sz w:val="30"/>
          <w:szCs w:val="30"/>
        </w:rPr>
      </w:pPr>
      <w:bookmarkStart w:id="6" w:name="_Toc11658"/>
      <w:r>
        <w:rPr>
          <w:rFonts w:ascii="宋体" w:hAnsi="宋体" w:eastAsia="宋体" w:cs="宋体"/>
          <w:b/>
          <w:bCs/>
          <w:spacing w:val="-3"/>
          <w:sz w:val="30"/>
          <w:szCs w:val="30"/>
        </w:rPr>
        <w:t>第五章合同主要条款</w:t>
      </w:r>
      <w:bookmarkEnd w:id="6"/>
    </w:p>
    <w:p w14:paraId="6917621E">
      <w:pPr>
        <w:keepNext w:val="0"/>
        <w:keepLines w:val="0"/>
        <w:pageBreakBefore w:val="0"/>
        <w:kinsoku/>
        <w:wordWrap/>
        <w:overflowPunct/>
        <w:topLinePunct w:val="0"/>
        <w:bidi w:val="0"/>
        <w:spacing w:before="221" w:line="219" w:lineRule="auto"/>
        <w:ind w:left="1907"/>
        <w:rPr>
          <w:rFonts w:ascii="宋体" w:hAnsi="宋体" w:eastAsia="宋体" w:cs="宋体"/>
          <w:sz w:val="24"/>
          <w:szCs w:val="24"/>
        </w:rPr>
      </w:pPr>
      <w:r>
        <w:rPr>
          <w:rFonts w:ascii="宋体" w:hAnsi="宋体" w:eastAsia="宋体" w:cs="宋体"/>
          <w:spacing w:val="-1"/>
          <w:sz w:val="24"/>
          <w:szCs w:val="24"/>
        </w:rPr>
        <w:t>（此合同为格式范本，最终合同以双方协商为准）</w:t>
      </w:r>
    </w:p>
    <w:p w14:paraId="3500B255">
      <w:pPr>
        <w:pStyle w:val="7"/>
        <w:keepNext w:val="0"/>
        <w:keepLines w:val="0"/>
        <w:pageBreakBefore w:val="0"/>
        <w:kinsoku/>
        <w:wordWrap/>
        <w:overflowPunct/>
        <w:topLinePunct w:val="0"/>
        <w:bidi w:val="0"/>
        <w:spacing w:line="285" w:lineRule="auto"/>
      </w:pPr>
    </w:p>
    <w:p w14:paraId="258B240D">
      <w:pPr>
        <w:pStyle w:val="7"/>
        <w:keepNext w:val="0"/>
        <w:keepLines w:val="0"/>
        <w:pageBreakBefore w:val="0"/>
        <w:kinsoku/>
        <w:wordWrap/>
        <w:overflowPunct/>
        <w:topLinePunct w:val="0"/>
        <w:bidi w:val="0"/>
        <w:spacing w:line="285" w:lineRule="auto"/>
      </w:pPr>
    </w:p>
    <w:p w14:paraId="4B84A11E">
      <w:pPr>
        <w:keepNext w:val="0"/>
        <w:keepLines w:val="0"/>
        <w:pageBreakBefore w:val="0"/>
        <w:kinsoku/>
        <w:wordWrap/>
        <w:overflowPunct/>
        <w:topLinePunct w:val="0"/>
        <w:bidi w:val="0"/>
        <w:spacing w:before="78" w:line="220" w:lineRule="auto"/>
        <w:ind w:left="3"/>
        <w:rPr>
          <w:rFonts w:ascii="宋体" w:hAnsi="宋体" w:eastAsia="宋体" w:cs="宋体"/>
          <w:sz w:val="24"/>
          <w:szCs w:val="24"/>
        </w:rPr>
      </w:pPr>
      <w:r>
        <w:rPr>
          <w:rFonts w:ascii="宋体" w:hAnsi="宋体" w:eastAsia="宋体" w:cs="宋体"/>
          <w:spacing w:val="-3"/>
          <w:sz w:val="24"/>
          <w:szCs w:val="24"/>
        </w:rPr>
        <w:t>项目名称：</w:t>
      </w:r>
    </w:p>
    <w:p w14:paraId="46741828">
      <w:pPr>
        <w:pStyle w:val="7"/>
        <w:keepNext w:val="0"/>
        <w:keepLines w:val="0"/>
        <w:pageBreakBefore w:val="0"/>
        <w:kinsoku/>
        <w:wordWrap/>
        <w:overflowPunct/>
        <w:topLinePunct w:val="0"/>
        <w:bidi w:val="0"/>
        <w:spacing w:line="284" w:lineRule="auto"/>
      </w:pPr>
    </w:p>
    <w:p w14:paraId="242B7E8D">
      <w:pPr>
        <w:pStyle w:val="7"/>
        <w:keepNext w:val="0"/>
        <w:keepLines w:val="0"/>
        <w:pageBreakBefore w:val="0"/>
        <w:kinsoku/>
        <w:wordWrap/>
        <w:overflowPunct/>
        <w:topLinePunct w:val="0"/>
        <w:bidi w:val="0"/>
        <w:spacing w:line="284" w:lineRule="auto"/>
      </w:pPr>
    </w:p>
    <w:p w14:paraId="145208B5">
      <w:pPr>
        <w:keepNext w:val="0"/>
        <w:keepLines w:val="0"/>
        <w:pageBreakBefore w:val="0"/>
        <w:kinsoku/>
        <w:wordWrap/>
        <w:overflowPunct/>
        <w:topLinePunct w:val="0"/>
        <w:bidi w:val="0"/>
        <w:spacing w:before="78" w:line="221" w:lineRule="auto"/>
        <w:ind w:left="30"/>
        <w:rPr>
          <w:rFonts w:ascii="宋体" w:hAnsi="宋体" w:eastAsia="宋体" w:cs="宋体"/>
          <w:sz w:val="24"/>
          <w:szCs w:val="24"/>
        </w:rPr>
      </w:pPr>
      <w:r>
        <w:rPr>
          <w:rFonts w:ascii="宋体" w:hAnsi="宋体" w:eastAsia="宋体" w:cs="宋体"/>
          <w:spacing w:val="-14"/>
          <w:sz w:val="24"/>
          <w:szCs w:val="24"/>
        </w:rPr>
        <w:t>甲方：</w:t>
      </w:r>
    </w:p>
    <w:p w14:paraId="238DB694">
      <w:pPr>
        <w:pStyle w:val="7"/>
        <w:keepNext w:val="0"/>
        <w:keepLines w:val="0"/>
        <w:pageBreakBefore w:val="0"/>
        <w:kinsoku/>
        <w:wordWrap/>
        <w:overflowPunct/>
        <w:topLinePunct w:val="0"/>
        <w:bidi w:val="0"/>
        <w:spacing w:line="283" w:lineRule="auto"/>
      </w:pPr>
    </w:p>
    <w:p w14:paraId="4EE9C85B">
      <w:pPr>
        <w:pStyle w:val="7"/>
        <w:keepNext w:val="0"/>
        <w:keepLines w:val="0"/>
        <w:pageBreakBefore w:val="0"/>
        <w:kinsoku/>
        <w:wordWrap/>
        <w:overflowPunct/>
        <w:topLinePunct w:val="0"/>
        <w:bidi w:val="0"/>
        <w:spacing w:line="284" w:lineRule="auto"/>
      </w:pPr>
    </w:p>
    <w:p w14:paraId="491E3E82">
      <w:pPr>
        <w:keepNext w:val="0"/>
        <w:keepLines w:val="0"/>
        <w:pageBreakBefore w:val="0"/>
        <w:kinsoku/>
        <w:wordWrap/>
        <w:overflowPunct/>
        <w:topLinePunct w:val="0"/>
        <w:bidi w:val="0"/>
        <w:spacing w:before="78" w:line="221" w:lineRule="auto"/>
        <w:ind w:left="23"/>
        <w:rPr>
          <w:rFonts w:ascii="宋体" w:hAnsi="宋体" w:eastAsia="宋体" w:cs="宋体"/>
          <w:sz w:val="24"/>
          <w:szCs w:val="24"/>
        </w:rPr>
      </w:pPr>
      <w:r>
        <w:rPr>
          <w:rFonts w:ascii="宋体" w:hAnsi="宋体" w:eastAsia="宋体" w:cs="宋体"/>
          <w:spacing w:val="-11"/>
          <w:sz w:val="24"/>
          <w:szCs w:val="24"/>
        </w:rPr>
        <w:t>乙方：</w:t>
      </w:r>
    </w:p>
    <w:p w14:paraId="05824F71">
      <w:pPr>
        <w:pStyle w:val="7"/>
        <w:keepNext w:val="0"/>
        <w:keepLines w:val="0"/>
        <w:pageBreakBefore w:val="0"/>
        <w:kinsoku/>
        <w:wordWrap/>
        <w:overflowPunct/>
        <w:topLinePunct w:val="0"/>
        <w:bidi w:val="0"/>
        <w:spacing w:line="283" w:lineRule="auto"/>
      </w:pPr>
    </w:p>
    <w:p w14:paraId="3F67EEA9">
      <w:pPr>
        <w:pStyle w:val="7"/>
        <w:keepNext w:val="0"/>
        <w:keepLines w:val="0"/>
        <w:pageBreakBefore w:val="0"/>
        <w:kinsoku/>
        <w:wordWrap/>
        <w:overflowPunct/>
        <w:topLinePunct w:val="0"/>
        <w:bidi w:val="0"/>
        <w:spacing w:line="284" w:lineRule="auto"/>
      </w:pPr>
    </w:p>
    <w:p w14:paraId="1B09122D">
      <w:pPr>
        <w:keepNext w:val="0"/>
        <w:keepLines w:val="0"/>
        <w:pageBreakBefore w:val="0"/>
        <w:kinsoku/>
        <w:wordWrap/>
        <w:overflowPunct/>
        <w:topLinePunct w:val="0"/>
        <w:bidi w:val="0"/>
        <w:spacing w:before="78" w:line="224" w:lineRule="auto"/>
        <w:rPr>
          <w:rFonts w:hint="eastAsia" w:ascii="宋体" w:hAnsi="宋体" w:eastAsia="宋体" w:cs="宋体"/>
          <w:sz w:val="24"/>
          <w:szCs w:val="24"/>
          <w:lang w:eastAsia="zh-CN"/>
        </w:rPr>
      </w:pPr>
      <w:r>
        <w:rPr>
          <w:rFonts w:ascii="宋体" w:hAnsi="宋体" w:eastAsia="宋体" w:cs="宋体"/>
          <w:spacing w:val="-2"/>
          <w:sz w:val="24"/>
          <w:szCs w:val="24"/>
        </w:rPr>
        <w:t>签约地点：</w:t>
      </w:r>
    </w:p>
    <w:p w14:paraId="3EDEC95F">
      <w:pPr>
        <w:pStyle w:val="7"/>
        <w:keepNext w:val="0"/>
        <w:keepLines w:val="0"/>
        <w:pageBreakBefore w:val="0"/>
        <w:kinsoku/>
        <w:wordWrap/>
        <w:overflowPunct/>
        <w:topLinePunct w:val="0"/>
        <w:bidi w:val="0"/>
        <w:spacing w:line="281" w:lineRule="auto"/>
      </w:pPr>
    </w:p>
    <w:p w14:paraId="4ABFABDA">
      <w:pPr>
        <w:pStyle w:val="7"/>
        <w:keepNext w:val="0"/>
        <w:keepLines w:val="0"/>
        <w:pageBreakBefore w:val="0"/>
        <w:kinsoku/>
        <w:wordWrap/>
        <w:overflowPunct/>
        <w:topLinePunct w:val="0"/>
        <w:bidi w:val="0"/>
        <w:spacing w:line="282" w:lineRule="auto"/>
      </w:pPr>
    </w:p>
    <w:p w14:paraId="5EAF0187">
      <w:pPr>
        <w:keepNext w:val="0"/>
        <w:keepLines w:val="0"/>
        <w:pageBreakBefore w:val="0"/>
        <w:kinsoku/>
        <w:wordWrap/>
        <w:overflowPunct/>
        <w:topLinePunct w:val="0"/>
        <w:bidi w:val="0"/>
        <w:spacing w:before="78" w:line="220" w:lineRule="auto"/>
        <w:rPr>
          <w:rFonts w:hint="eastAsia" w:ascii="宋体" w:hAnsi="宋体" w:eastAsia="宋体" w:cs="宋体"/>
          <w:sz w:val="24"/>
          <w:szCs w:val="24"/>
          <w:lang w:eastAsia="zh-CN"/>
        </w:rPr>
      </w:pPr>
      <w:r>
        <w:rPr>
          <w:rFonts w:ascii="宋体" w:hAnsi="宋体" w:eastAsia="宋体" w:cs="宋体"/>
          <w:spacing w:val="-2"/>
          <w:sz w:val="24"/>
          <w:szCs w:val="24"/>
        </w:rPr>
        <w:t>签约日期：</w:t>
      </w:r>
    </w:p>
    <w:p w14:paraId="2278044A">
      <w:pPr>
        <w:keepNext w:val="0"/>
        <w:keepLines w:val="0"/>
        <w:pageBreakBefore w:val="0"/>
        <w:kinsoku/>
        <w:wordWrap/>
        <w:overflowPunct/>
        <w:topLinePunct w:val="0"/>
        <w:bidi w:val="0"/>
        <w:spacing w:line="220" w:lineRule="auto"/>
        <w:rPr>
          <w:rFonts w:ascii="宋体" w:hAnsi="宋体" w:eastAsia="宋体" w:cs="宋体"/>
          <w:sz w:val="24"/>
          <w:szCs w:val="24"/>
        </w:rPr>
        <w:sectPr>
          <w:footerReference r:id="rId10" w:type="default"/>
          <w:pgSz w:w="11906" w:h="16839"/>
          <w:pgMar w:top="1440" w:right="1080" w:bottom="1440" w:left="1080" w:header="0" w:footer="994" w:gutter="0"/>
          <w:pgNumType w:fmt="decimal"/>
          <w:cols w:space="720" w:num="1"/>
        </w:sectPr>
      </w:pPr>
    </w:p>
    <w:p w14:paraId="535F88E5">
      <w:pPr>
        <w:pStyle w:val="7"/>
        <w:keepNext w:val="0"/>
        <w:keepLines w:val="0"/>
        <w:pageBreakBefore w:val="0"/>
        <w:kinsoku/>
        <w:wordWrap/>
        <w:overflowPunct/>
        <w:topLinePunct w:val="0"/>
        <w:bidi w:val="0"/>
        <w:spacing w:line="264" w:lineRule="auto"/>
      </w:pPr>
    </w:p>
    <w:p w14:paraId="3AE646FD">
      <w:pPr>
        <w:pStyle w:val="7"/>
        <w:keepNext w:val="0"/>
        <w:keepLines w:val="0"/>
        <w:pageBreakBefore w:val="0"/>
        <w:kinsoku/>
        <w:wordWrap/>
        <w:overflowPunct/>
        <w:topLinePunct w:val="0"/>
        <w:bidi w:val="0"/>
        <w:spacing w:line="265" w:lineRule="auto"/>
      </w:pPr>
    </w:p>
    <w:p w14:paraId="323A25DB">
      <w:pPr>
        <w:pStyle w:val="7"/>
        <w:keepNext w:val="0"/>
        <w:keepLines w:val="0"/>
        <w:pageBreakBefore w:val="0"/>
        <w:kinsoku/>
        <w:wordWrap/>
        <w:overflowPunct/>
        <w:topLinePunct w:val="0"/>
        <w:bidi w:val="0"/>
        <w:spacing w:line="265" w:lineRule="auto"/>
      </w:pPr>
    </w:p>
    <w:p w14:paraId="6728E190">
      <w:pPr>
        <w:keepNext w:val="0"/>
        <w:keepLines w:val="0"/>
        <w:pageBreakBefore w:val="0"/>
        <w:kinsoku/>
        <w:wordWrap/>
        <w:overflowPunct/>
        <w:topLinePunct w:val="0"/>
        <w:bidi w:val="0"/>
        <w:spacing w:before="98" w:line="221" w:lineRule="auto"/>
        <w:ind w:left="4051"/>
        <w:rPr>
          <w:rFonts w:ascii="宋体" w:hAnsi="宋体" w:eastAsia="宋体" w:cs="宋体"/>
          <w:sz w:val="30"/>
          <w:szCs w:val="30"/>
        </w:rPr>
      </w:pPr>
      <w:r>
        <w:rPr>
          <w:rFonts w:ascii="宋体" w:hAnsi="宋体" w:eastAsia="宋体" w:cs="宋体"/>
          <w:b/>
          <w:bCs/>
          <w:spacing w:val="-38"/>
          <w:sz w:val="30"/>
          <w:szCs w:val="30"/>
        </w:rPr>
        <w:t>目录</w:t>
      </w:r>
    </w:p>
    <w:p w14:paraId="17D183AB">
      <w:pPr>
        <w:pStyle w:val="7"/>
        <w:keepNext w:val="0"/>
        <w:keepLines w:val="0"/>
        <w:pageBreakBefore w:val="0"/>
        <w:kinsoku/>
        <w:wordWrap/>
        <w:overflowPunct/>
        <w:topLinePunct w:val="0"/>
        <w:bidi w:val="0"/>
        <w:spacing w:line="252" w:lineRule="auto"/>
      </w:pPr>
    </w:p>
    <w:p w14:paraId="5486F9A8">
      <w:pPr>
        <w:pStyle w:val="7"/>
        <w:keepNext w:val="0"/>
        <w:keepLines w:val="0"/>
        <w:pageBreakBefore w:val="0"/>
        <w:kinsoku/>
        <w:wordWrap/>
        <w:overflowPunct/>
        <w:topLinePunct w:val="0"/>
        <w:bidi w:val="0"/>
        <w:spacing w:line="253" w:lineRule="auto"/>
      </w:pPr>
    </w:p>
    <w:p w14:paraId="52289A9F">
      <w:pPr>
        <w:pStyle w:val="7"/>
        <w:keepNext w:val="0"/>
        <w:keepLines w:val="0"/>
        <w:pageBreakBefore w:val="0"/>
        <w:kinsoku/>
        <w:wordWrap/>
        <w:overflowPunct/>
        <w:topLinePunct w:val="0"/>
        <w:bidi w:val="0"/>
        <w:spacing w:line="253" w:lineRule="auto"/>
      </w:pPr>
    </w:p>
    <w:p w14:paraId="05FC0039">
      <w:pPr>
        <w:keepNext w:val="0"/>
        <w:keepLines w:val="0"/>
        <w:pageBreakBefore w:val="0"/>
        <w:kinsoku/>
        <w:wordWrap/>
        <w:overflowPunct/>
        <w:topLinePunct w:val="0"/>
        <w:bidi w:val="0"/>
        <w:spacing w:before="78" w:line="219" w:lineRule="auto"/>
        <w:ind w:left="12"/>
        <w:rPr>
          <w:rFonts w:ascii="宋体" w:hAnsi="宋体" w:eastAsia="宋体" w:cs="宋体"/>
          <w:sz w:val="24"/>
          <w:szCs w:val="24"/>
        </w:rPr>
      </w:pPr>
      <w:r>
        <w:rPr>
          <w:rFonts w:ascii="宋体" w:hAnsi="宋体" w:eastAsia="宋体" w:cs="宋体"/>
          <w:spacing w:val="-2"/>
          <w:sz w:val="24"/>
          <w:szCs w:val="24"/>
        </w:rPr>
        <w:t>一、第一部分合同书……………………………………………(页码)</w:t>
      </w:r>
    </w:p>
    <w:p w14:paraId="6EDC439D">
      <w:pPr>
        <w:keepNext w:val="0"/>
        <w:keepLines w:val="0"/>
        <w:pageBreakBefore w:val="0"/>
        <w:kinsoku/>
        <w:wordWrap/>
        <w:overflowPunct/>
        <w:topLinePunct w:val="0"/>
        <w:bidi w:val="0"/>
        <w:spacing w:before="105" w:line="219" w:lineRule="auto"/>
        <w:ind w:left="9"/>
        <w:rPr>
          <w:rFonts w:ascii="宋体" w:hAnsi="宋体" w:eastAsia="宋体" w:cs="宋体"/>
          <w:sz w:val="24"/>
          <w:szCs w:val="24"/>
        </w:rPr>
      </w:pPr>
      <w:r>
        <w:rPr>
          <w:rFonts w:ascii="宋体" w:hAnsi="宋体" w:eastAsia="宋体" w:cs="宋体"/>
          <w:spacing w:val="-2"/>
          <w:sz w:val="24"/>
          <w:szCs w:val="24"/>
        </w:rPr>
        <w:t>二、第二部分合同一般条款……………………………………(页码)</w:t>
      </w:r>
    </w:p>
    <w:p w14:paraId="1AC2A008">
      <w:pPr>
        <w:keepNext w:val="0"/>
        <w:keepLines w:val="0"/>
        <w:pageBreakBefore w:val="0"/>
        <w:kinsoku/>
        <w:wordWrap/>
        <w:overflowPunct/>
        <w:topLinePunct w:val="0"/>
        <w:bidi w:val="0"/>
        <w:spacing w:before="104" w:line="219" w:lineRule="auto"/>
        <w:ind w:left="10"/>
        <w:rPr>
          <w:rFonts w:ascii="宋体" w:hAnsi="宋体" w:eastAsia="宋体" w:cs="宋体"/>
          <w:sz w:val="24"/>
          <w:szCs w:val="24"/>
        </w:rPr>
      </w:pPr>
      <w:r>
        <w:rPr>
          <w:rFonts w:ascii="宋体" w:hAnsi="宋体" w:eastAsia="宋体" w:cs="宋体"/>
          <w:spacing w:val="-2"/>
          <w:sz w:val="24"/>
          <w:szCs w:val="24"/>
        </w:rPr>
        <w:t>三、第三部分合同专用条款……………………………………(页码)</w:t>
      </w:r>
    </w:p>
    <w:p w14:paraId="5780386C">
      <w:pPr>
        <w:keepNext w:val="0"/>
        <w:keepLines w:val="0"/>
        <w:pageBreakBefore w:val="0"/>
        <w:kinsoku/>
        <w:wordWrap/>
        <w:overflowPunct/>
        <w:topLinePunct w:val="0"/>
        <w:bidi w:val="0"/>
        <w:spacing w:before="105" w:line="219" w:lineRule="auto"/>
        <w:ind w:left="45"/>
        <w:rPr>
          <w:rFonts w:ascii="宋体" w:hAnsi="宋体" w:eastAsia="宋体" w:cs="宋体"/>
          <w:sz w:val="24"/>
          <w:szCs w:val="24"/>
        </w:rPr>
      </w:pPr>
      <w:r>
        <w:rPr>
          <w:rFonts w:ascii="宋体" w:hAnsi="宋体" w:eastAsia="宋体" w:cs="宋体"/>
          <w:spacing w:val="-2"/>
          <w:sz w:val="24"/>
          <w:szCs w:val="24"/>
        </w:rPr>
        <w:t>四、第四部分合同附件…………………</w:t>
      </w:r>
      <w:r>
        <w:rPr>
          <w:rFonts w:ascii="宋体" w:hAnsi="宋体" w:eastAsia="宋体" w:cs="宋体"/>
          <w:spacing w:val="-3"/>
          <w:sz w:val="24"/>
          <w:szCs w:val="24"/>
        </w:rPr>
        <w:t>………………………(页码)</w:t>
      </w:r>
    </w:p>
    <w:p w14:paraId="406A6D95">
      <w:pPr>
        <w:keepNext w:val="0"/>
        <w:keepLines w:val="0"/>
        <w:pageBreakBefore w:val="0"/>
        <w:kinsoku/>
        <w:wordWrap/>
        <w:overflowPunct/>
        <w:topLinePunct w:val="0"/>
        <w:bidi w:val="0"/>
        <w:spacing w:before="104" w:line="219" w:lineRule="auto"/>
        <w:rPr>
          <w:rFonts w:ascii="宋体" w:hAnsi="宋体" w:eastAsia="宋体" w:cs="宋体"/>
          <w:sz w:val="24"/>
          <w:szCs w:val="24"/>
        </w:rPr>
      </w:pPr>
      <w:r>
        <w:rPr>
          <w:rFonts w:ascii="宋体" w:hAnsi="宋体" w:eastAsia="宋体" w:cs="宋体"/>
          <w:spacing w:val="1"/>
          <w:sz w:val="24"/>
          <w:szCs w:val="24"/>
        </w:rPr>
        <w:t>4.1成交通知书…………………………………………</w:t>
      </w:r>
      <w:r>
        <w:rPr>
          <w:rFonts w:ascii="宋体" w:hAnsi="宋体" w:eastAsia="宋体" w:cs="宋体"/>
          <w:sz w:val="24"/>
          <w:szCs w:val="24"/>
        </w:rPr>
        <w:t>………(页码)</w:t>
      </w:r>
    </w:p>
    <w:p w14:paraId="6F2B24C6">
      <w:pPr>
        <w:keepNext w:val="0"/>
        <w:keepLines w:val="0"/>
        <w:pageBreakBefore w:val="0"/>
        <w:kinsoku/>
        <w:wordWrap/>
        <w:overflowPunct/>
        <w:topLinePunct w:val="0"/>
        <w:bidi w:val="0"/>
        <w:spacing w:before="104" w:line="219" w:lineRule="auto"/>
        <w:rPr>
          <w:rFonts w:ascii="宋体" w:hAnsi="宋体" w:eastAsia="宋体" w:cs="宋体"/>
          <w:sz w:val="24"/>
          <w:szCs w:val="24"/>
        </w:rPr>
      </w:pPr>
      <w:r>
        <w:rPr>
          <w:rFonts w:ascii="宋体" w:hAnsi="宋体" w:eastAsia="宋体" w:cs="宋体"/>
          <w:spacing w:val="1"/>
          <w:sz w:val="24"/>
          <w:szCs w:val="24"/>
        </w:rPr>
        <w:t>4.2采购文件服务需求一览表…………………………………(页</w:t>
      </w:r>
      <w:r>
        <w:rPr>
          <w:rFonts w:ascii="宋体" w:hAnsi="宋体" w:eastAsia="宋体" w:cs="宋体"/>
          <w:sz w:val="24"/>
          <w:szCs w:val="24"/>
        </w:rPr>
        <w:t>码)</w:t>
      </w:r>
    </w:p>
    <w:p w14:paraId="42B37AA7">
      <w:pPr>
        <w:keepNext w:val="0"/>
        <w:keepLines w:val="0"/>
        <w:pageBreakBefore w:val="0"/>
        <w:kinsoku/>
        <w:wordWrap/>
        <w:overflowPunct/>
        <w:topLinePunct w:val="0"/>
        <w:bidi w:val="0"/>
        <w:spacing w:before="104" w:line="219" w:lineRule="auto"/>
        <w:rPr>
          <w:rFonts w:ascii="宋体" w:hAnsi="宋体" w:eastAsia="宋体" w:cs="宋体"/>
          <w:sz w:val="24"/>
          <w:szCs w:val="24"/>
        </w:rPr>
      </w:pPr>
      <w:r>
        <w:rPr>
          <w:rFonts w:ascii="宋体" w:hAnsi="宋体" w:eastAsia="宋体" w:cs="宋体"/>
          <w:spacing w:val="6"/>
          <w:sz w:val="24"/>
          <w:szCs w:val="24"/>
        </w:rPr>
        <w:t>4.3采购文件的更改通知(如有)</w:t>
      </w:r>
      <w:r>
        <w:rPr>
          <w:rFonts w:ascii="宋体" w:hAnsi="宋体" w:eastAsia="宋体" w:cs="宋体"/>
          <w:spacing w:val="5"/>
          <w:sz w:val="24"/>
          <w:szCs w:val="24"/>
        </w:rPr>
        <w:t>……………………………(页码)</w:t>
      </w:r>
    </w:p>
    <w:p w14:paraId="25988AE1">
      <w:pPr>
        <w:keepNext w:val="0"/>
        <w:keepLines w:val="0"/>
        <w:pageBreakBefore w:val="0"/>
        <w:kinsoku/>
        <w:wordWrap/>
        <w:overflowPunct/>
        <w:topLinePunct w:val="0"/>
        <w:bidi w:val="0"/>
        <w:spacing w:before="104" w:line="221" w:lineRule="auto"/>
        <w:rPr>
          <w:rFonts w:ascii="宋体" w:hAnsi="宋体" w:eastAsia="宋体" w:cs="宋体"/>
          <w:sz w:val="24"/>
          <w:szCs w:val="24"/>
        </w:rPr>
      </w:pPr>
      <w:r>
        <w:rPr>
          <w:rFonts w:ascii="宋体" w:hAnsi="宋体" w:eastAsia="宋体" w:cs="宋体"/>
          <w:spacing w:val="1"/>
          <w:sz w:val="24"/>
          <w:szCs w:val="24"/>
        </w:rPr>
        <w:t>4.4响应函…………………………………………</w:t>
      </w:r>
      <w:r>
        <w:rPr>
          <w:rFonts w:ascii="宋体" w:hAnsi="宋体" w:eastAsia="宋体" w:cs="宋体"/>
          <w:sz w:val="24"/>
          <w:szCs w:val="24"/>
        </w:rPr>
        <w:t>……………(页码)</w:t>
      </w:r>
    </w:p>
    <w:p w14:paraId="7EED0739">
      <w:pPr>
        <w:keepNext w:val="0"/>
        <w:keepLines w:val="0"/>
        <w:pageBreakBefore w:val="0"/>
        <w:kinsoku/>
        <w:wordWrap/>
        <w:overflowPunct/>
        <w:topLinePunct w:val="0"/>
        <w:bidi w:val="0"/>
        <w:spacing w:before="101" w:line="218" w:lineRule="auto"/>
        <w:rPr>
          <w:rFonts w:ascii="宋体" w:hAnsi="宋体" w:eastAsia="宋体" w:cs="宋体"/>
          <w:sz w:val="24"/>
          <w:szCs w:val="24"/>
        </w:rPr>
      </w:pPr>
      <w:r>
        <w:rPr>
          <w:rFonts w:ascii="宋体" w:hAnsi="宋体" w:eastAsia="宋体" w:cs="宋体"/>
          <w:spacing w:val="1"/>
          <w:sz w:val="24"/>
          <w:szCs w:val="24"/>
        </w:rPr>
        <w:t>4.5响应报价表…………………………………………</w:t>
      </w:r>
      <w:r>
        <w:rPr>
          <w:rFonts w:ascii="宋体" w:hAnsi="宋体" w:eastAsia="宋体" w:cs="宋体"/>
          <w:sz w:val="24"/>
          <w:szCs w:val="24"/>
        </w:rPr>
        <w:t>………(页码)</w:t>
      </w:r>
    </w:p>
    <w:p w14:paraId="1950EC6F">
      <w:pPr>
        <w:keepNext w:val="0"/>
        <w:keepLines w:val="0"/>
        <w:pageBreakBefore w:val="0"/>
        <w:kinsoku/>
        <w:wordWrap/>
        <w:overflowPunct/>
        <w:topLinePunct w:val="0"/>
        <w:bidi w:val="0"/>
        <w:spacing w:before="108" w:line="219" w:lineRule="auto"/>
        <w:rPr>
          <w:rFonts w:ascii="宋体" w:hAnsi="宋体" w:eastAsia="宋体" w:cs="宋体"/>
          <w:sz w:val="24"/>
          <w:szCs w:val="24"/>
        </w:rPr>
      </w:pPr>
      <w:r>
        <w:rPr>
          <w:rFonts w:ascii="宋体" w:hAnsi="宋体" w:eastAsia="宋体" w:cs="宋体"/>
          <w:spacing w:val="1"/>
          <w:sz w:val="24"/>
          <w:szCs w:val="24"/>
        </w:rPr>
        <w:t>4.6响应服务技术资料表………………………………………</w:t>
      </w:r>
      <w:r>
        <w:rPr>
          <w:rFonts w:ascii="宋体" w:hAnsi="宋体" w:eastAsia="宋体" w:cs="宋体"/>
          <w:sz w:val="24"/>
          <w:szCs w:val="24"/>
        </w:rPr>
        <w:t>(页码)</w:t>
      </w:r>
    </w:p>
    <w:p w14:paraId="27065BB6">
      <w:pPr>
        <w:keepNext w:val="0"/>
        <w:keepLines w:val="0"/>
        <w:pageBreakBefore w:val="0"/>
        <w:kinsoku/>
        <w:wordWrap/>
        <w:overflowPunct/>
        <w:topLinePunct w:val="0"/>
        <w:bidi w:val="0"/>
        <w:spacing w:before="109" w:line="219" w:lineRule="auto"/>
        <w:rPr>
          <w:rFonts w:ascii="宋体" w:hAnsi="宋体" w:eastAsia="宋体" w:cs="宋体"/>
          <w:sz w:val="24"/>
          <w:szCs w:val="24"/>
        </w:rPr>
      </w:pPr>
      <w:r>
        <w:rPr>
          <w:rFonts w:ascii="宋体" w:hAnsi="宋体" w:eastAsia="宋体" w:cs="宋体"/>
          <w:spacing w:val="1"/>
          <w:sz w:val="24"/>
          <w:szCs w:val="24"/>
        </w:rPr>
        <w:t>4.7商务条款偏离表……………………………………………</w:t>
      </w:r>
      <w:r>
        <w:rPr>
          <w:rFonts w:ascii="宋体" w:hAnsi="宋体" w:eastAsia="宋体" w:cs="宋体"/>
          <w:sz w:val="24"/>
          <w:szCs w:val="24"/>
        </w:rPr>
        <w:t>(页码)</w:t>
      </w:r>
    </w:p>
    <w:p w14:paraId="6D8B6576">
      <w:pPr>
        <w:keepNext w:val="0"/>
        <w:keepLines w:val="0"/>
        <w:pageBreakBefore w:val="0"/>
        <w:kinsoku/>
        <w:wordWrap/>
        <w:overflowPunct/>
        <w:topLinePunct w:val="0"/>
        <w:bidi w:val="0"/>
        <w:spacing w:before="103" w:line="219" w:lineRule="auto"/>
        <w:rPr>
          <w:rFonts w:ascii="宋体" w:hAnsi="宋体" w:eastAsia="宋体" w:cs="宋体"/>
          <w:sz w:val="24"/>
          <w:szCs w:val="24"/>
        </w:rPr>
      </w:pPr>
      <w:r>
        <w:rPr>
          <w:rFonts w:ascii="宋体" w:hAnsi="宋体" w:eastAsia="宋体" w:cs="宋体"/>
          <w:spacing w:val="5"/>
          <w:sz w:val="24"/>
          <w:szCs w:val="24"/>
        </w:rPr>
        <w:t>4.8成交供应商澄清函(如有请提供)……………………</w:t>
      </w:r>
      <w:r>
        <w:rPr>
          <w:rFonts w:ascii="宋体" w:hAnsi="宋体" w:eastAsia="宋体" w:cs="宋体"/>
          <w:spacing w:val="4"/>
          <w:sz w:val="24"/>
          <w:szCs w:val="24"/>
        </w:rPr>
        <w:t>…(页码)</w:t>
      </w:r>
    </w:p>
    <w:p w14:paraId="0DEA8033">
      <w:pPr>
        <w:keepNext w:val="0"/>
        <w:keepLines w:val="0"/>
        <w:pageBreakBefore w:val="0"/>
        <w:kinsoku/>
        <w:wordWrap/>
        <w:overflowPunct/>
        <w:topLinePunct w:val="0"/>
        <w:bidi w:val="0"/>
        <w:spacing w:before="106" w:line="219" w:lineRule="auto"/>
        <w:rPr>
          <w:rFonts w:ascii="宋体" w:hAnsi="宋体" w:eastAsia="宋体" w:cs="宋体"/>
          <w:sz w:val="24"/>
          <w:szCs w:val="24"/>
        </w:rPr>
      </w:pPr>
      <w:r>
        <w:rPr>
          <w:rFonts w:ascii="宋体" w:hAnsi="宋体" w:eastAsia="宋体" w:cs="宋体"/>
          <w:spacing w:val="5"/>
          <w:sz w:val="24"/>
          <w:szCs w:val="24"/>
        </w:rPr>
        <w:t>4.9其他与本合同相关的资料(如有请提供)………………(页码)</w:t>
      </w:r>
    </w:p>
    <w:p w14:paraId="4A7EBF15">
      <w:pPr>
        <w:keepNext w:val="0"/>
        <w:keepLines w:val="0"/>
        <w:pageBreakBefore w:val="0"/>
        <w:kinsoku/>
        <w:wordWrap/>
        <w:overflowPunct/>
        <w:topLinePunct w:val="0"/>
        <w:bidi w:val="0"/>
        <w:spacing w:before="109" w:line="219" w:lineRule="auto"/>
        <w:ind w:left="1"/>
        <w:rPr>
          <w:rFonts w:ascii="宋体" w:hAnsi="宋体" w:eastAsia="宋体" w:cs="宋体"/>
          <w:sz w:val="24"/>
          <w:szCs w:val="24"/>
        </w:rPr>
      </w:pPr>
      <w:r>
        <w:rPr>
          <w:rFonts w:ascii="宋体" w:hAnsi="宋体" w:eastAsia="宋体" w:cs="宋体"/>
          <w:spacing w:val="4"/>
          <w:sz w:val="24"/>
          <w:szCs w:val="24"/>
        </w:rPr>
        <w:t>合同内容可根据项目具体情况拟定</w:t>
      </w:r>
    </w:p>
    <w:p w14:paraId="0D36D31F">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11" w:type="default"/>
          <w:pgSz w:w="11906" w:h="16839"/>
          <w:pgMar w:top="1440" w:right="1080" w:bottom="1440" w:left="1080" w:header="0" w:footer="994" w:gutter="0"/>
          <w:pgNumType w:fmt="decimal"/>
          <w:cols w:space="720" w:num="1"/>
        </w:sectPr>
      </w:pPr>
    </w:p>
    <w:p w14:paraId="68AA462D">
      <w:pPr>
        <w:pStyle w:val="7"/>
        <w:keepNext w:val="0"/>
        <w:keepLines w:val="0"/>
        <w:pageBreakBefore w:val="0"/>
        <w:kinsoku/>
        <w:wordWrap/>
        <w:overflowPunct/>
        <w:topLinePunct w:val="0"/>
        <w:bidi w:val="0"/>
        <w:spacing w:line="255" w:lineRule="auto"/>
      </w:pPr>
    </w:p>
    <w:p w14:paraId="00844062">
      <w:pPr>
        <w:pStyle w:val="7"/>
        <w:keepNext w:val="0"/>
        <w:keepLines w:val="0"/>
        <w:pageBreakBefore w:val="0"/>
        <w:kinsoku/>
        <w:wordWrap/>
        <w:overflowPunct/>
        <w:topLinePunct w:val="0"/>
        <w:bidi w:val="0"/>
        <w:spacing w:line="255" w:lineRule="auto"/>
      </w:pPr>
    </w:p>
    <w:p w14:paraId="7A8CF3E9">
      <w:pPr>
        <w:pStyle w:val="7"/>
        <w:keepNext w:val="0"/>
        <w:keepLines w:val="0"/>
        <w:pageBreakBefore w:val="0"/>
        <w:kinsoku/>
        <w:wordWrap/>
        <w:overflowPunct/>
        <w:topLinePunct w:val="0"/>
        <w:bidi w:val="0"/>
        <w:spacing w:line="256" w:lineRule="auto"/>
      </w:pPr>
    </w:p>
    <w:p w14:paraId="359A80FB">
      <w:pPr>
        <w:keepNext w:val="0"/>
        <w:keepLines w:val="0"/>
        <w:pageBreakBefore w:val="0"/>
        <w:kinsoku/>
        <w:wordWrap/>
        <w:overflowPunct/>
        <w:topLinePunct w:val="0"/>
        <w:bidi w:val="0"/>
        <w:spacing w:before="78" w:line="219" w:lineRule="auto"/>
        <w:ind w:left="3388" w:leftChars="0"/>
        <w:outlineLvl w:val="0"/>
        <w:rPr>
          <w:rFonts w:ascii="宋体" w:hAnsi="宋体" w:eastAsia="宋体" w:cs="宋体"/>
          <w:sz w:val="24"/>
          <w:szCs w:val="24"/>
        </w:rPr>
      </w:pPr>
      <w:bookmarkStart w:id="7" w:name="_Toc17561"/>
      <w:r>
        <w:rPr>
          <w:rFonts w:ascii="宋体" w:hAnsi="宋体" w:eastAsia="宋体" w:cs="宋体"/>
          <w:spacing w:val="-1"/>
          <w:sz w:val="24"/>
          <w:szCs w:val="24"/>
        </w:rPr>
        <w:t>第一部分合同协议书</w:t>
      </w:r>
      <w:bookmarkEnd w:id="7"/>
    </w:p>
    <w:p w14:paraId="0342D333">
      <w:pPr>
        <w:pStyle w:val="7"/>
        <w:keepNext w:val="0"/>
        <w:keepLines w:val="0"/>
        <w:pageBreakBefore w:val="0"/>
        <w:kinsoku/>
        <w:wordWrap/>
        <w:overflowPunct/>
        <w:topLinePunct w:val="0"/>
        <w:bidi w:val="0"/>
        <w:spacing w:line="257" w:lineRule="auto"/>
      </w:pPr>
    </w:p>
    <w:p w14:paraId="2F1FAE90">
      <w:pPr>
        <w:keepNext w:val="0"/>
        <w:keepLines w:val="0"/>
        <w:pageBreakBefore w:val="0"/>
        <w:tabs>
          <w:tab w:val="left" w:pos="584"/>
        </w:tabs>
        <w:kinsoku/>
        <w:wordWrap/>
        <w:overflowPunct/>
        <w:topLinePunct w:val="0"/>
        <w:bidi w:val="0"/>
        <w:spacing w:before="78" w:line="268" w:lineRule="auto"/>
        <w:ind w:right="54" w:firstLine="465"/>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7"/>
          <w:sz w:val="24"/>
          <w:szCs w:val="24"/>
          <w:u w:val="single" w:color="auto"/>
        </w:rPr>
        <w:t>采购人</w:t>
      </w:r>
      <w:r>
        <w:rPr>
          <w:rFonts w:ascii="宋体" w:hAnsi="宋体" w:eastAsia="宋体" w:cs="宋体"/>
          <w:spacing w:val="-7"/>
          <w:sz w:val="24"/>
          <w:szCs w:val="24"/>
        </w:rPr>
        <w:t>以</w:t>
      </w:r>
      <w:r>
        <w:rPr>
          <w:rFonts w:ascii="宋体" w:hAnsi="宋体" w:eastAsia="宋体" w:cs="宋体"/>
          <w:spacing w:val="-7"/>
          <w:sz w:val="24"/>
          <w:szCs w:val="24"/>
          <w:u w:val="single" w:color="auto"/>
        </w:rPr>
        <w:t>竞争性磋商方式</w:t>
      </w:r>
      <w:r>
        <w:rPr>
          <w:rFonts w:ascii="宋体" w:hAnsi="宋体" w:eastAsia="宋体" w:cs="宋体"/>
          <w:spacing w:val="-7"/>
          <w:sz w:val="24"/>
          <w:szCs w:val="24"/>
        </w:rPr>
        <w:t>对项目进行了采购。经评定，</w:t>
      </w:r>
      <w:r>
        <w:rPr>
          <w:rFonts w:ascii="宋体" w:hAnsi="宋体" w:eastAsia="宋体" w:cs="宋体"/>
          <w:spacing w:val="-7"/>
          <w:sz w:val="24"/>
          <w:szCs w:val="24"/>
          <w:u w:val="single" w:color="auto"/>
        </w:rPr>
        <w:t>(供应商</w:t>
      </w:r>
      <w:r>
        <w:rPr>
          <w:rFonts w:ascii="宋体" w:hAnsi="宋体" w:eastAsia="宋体" w:cs="宋体"/>
          <w:spacing w:val="-8"/>
          <w:sz w:val="24"/>
          <w:szCs w:val="24"/>
          <w:u w:val="single" w:color="auto"/>
        </w:rPr>
        <w:t>名称)</w:t>
      </w:r>
      <w:r>
        <w:rPr>
          <w:rFonts w:ascii="宋体" w:hAnsi="宋体" w:eastAsia="宋体" w:cs="宋体"/>
          <w:spacing w:val="-4"/>
          <w:sz w:val="24"/>
          <w:szCs w:val="24"/>
        </w:rPr>
        <w:t>为该项目成交供应商。现于成交通知书发出之日起日内，按照采购文件确定的事项</w:t>
      </w:r>
      <w:r>
        <w:rPr>
          <w:rFonts w:ascii="宋体" w:hAnsi="宋体" w:eastAsia="宋体" w:cs="宋体"/>
          <w:spacing w:val="-10"/>
          <w:sz w:val="24"/>
          <w:szCs w:val="24"/>
        </w:rPr>
        <w:t>签订本合同。</w:t>
      </w:r>
    </w:p>
    <w:p w14:paraId="72979837">
      <w:pPr>
        <w:keepNext w:val="0"/>
        <w:keepLines w:val="0"/>
        <w:pageBreakBefore w:val="0"/>
        <w:kinsoku/>
        <w:wordWrap/>
        <w:overflowPunct/>
        <w:topLinePunct w:val="0"/>
        <w:bidi w:val="0"/>
        <w:spacing w:before="37" w:line="267" w:lineRule="auto"/>
        <w:ind w:left="11" w:firstLine="470"/>
        <w:jc w:val="both"/>
        <w:rPr>
          <w:rFonts w:ascii="宋体" w:hAnsi="宋体" w:eastAsia="宋体" w:cs="宋体"/>
          <w:sz w:val="24"/>
          <w:szCs w:val="24"/>
        </w:rPr>
      </w:pPr>
      <w:r>
        <w:rPr>
          <w:rFonts w:ascii="宋体" w:hAnsi="宋体" w:eastAsia="宋体" w:cs="宋体"/>
          <w:spacing w:val="-26"/>
          <w:sz w:val="24"/>
          <w:szCs w:val="24"/>
        </w:rPr>
        <w:t>根据《中华人民共和国民法典》、《中华人民共和国政府</w:t>
      </w:r>
      <w:r>
        <w:rPr>
          <w:rFonts w:ascii="宋体" w:hAnsi="宋体" w:eastAsia="宋体" w:cs="宋体"/>
          <w:spacing w:val="-27"/>
          <w:sz w:val="24"/>
          <w:szCs w:val="24"/>
        </w:rPr>
        <w:t>采购法》等相关法律法规之规定，</w:t>
      </w:r>
      <w:r>
        <w:rPr>
          <w:rFonts w:ascii="宋体" w:hAnsi="宋体" w:eastAsia="宋体" w:cs="宋体"/>
          <w:spacing w:val="-9"/>
          <w:sz w:val="24"/>
          <w:szCs w:val="24"/>
        </w:rPr>
        <w:t>按照平等、自愿、公平和诚实信用的原则，经(以下简称：甲方)和(以下简称：乙方)协商一致，约定以下合同条款，以兹共同遵守、全面履行。</w:t>
      </w:r>
    </w:p>
    <w:p w14:paraId="17F82728">
      <w:pPr>
        <w:keepNext w:val="0"/>
        <w:keepLines w:val="0"/>
        <w:pageBreakBefore w:val="0"/>
        <w:kinsoku/>
        <w:wordWrap/>
        <w:overflowPunct/>
        <w:topLinePunct w:val="0"/>
        <w:bidi w:val="0"/>
        <w:spacing w:before="13" w:line="219" w:lineRule="auto"/>
        <w:ind w:left="519" w:leftChars="0"/>
        <w:outlineLvl w:val="0"/>
        <w:rPr>
          <w:rFonts w:ascii="宋体" w:hAnsi="宋体" w:eastAsia="宋体" w:cs="宋体"/>
          <w:sz w:val="24"/>
          <w:szCs w:val="24"/>
        </w:rPr>
      </w:pPr>
      <w:bookmarkStart w:id="8" w:name="_Toc8721"/>
      <w:r>
        <w:rPr>
          <w:rFonts w:ascii="宋体" w:hAnsi="宋体" w:eastAsia="宋体" w:cs="宋体"/>
          <w:spacing w:val="-6"/>
          <w:sz w:val="24"/>
          <w:szCs w:val="24"/>
        </w:rPr>
        <w:t>1.1合同组成部分</w:t>
      </w:r>
      <w:bookmarkEnd w:id="8"/>
    </w:p>
    <w:p w14:paraId="02EDD6B5">
      <w:pPr>
        <w:keepNext w:val="0"/>
        <w:keepLines w:val="0"/>
        <w:pageBreakBefore w:val="0"/>
        <w:kinsoku/>
        <w:wordWrap/>
        <w:overflowPunct/>
        <w:topLinePunct w:val="0"/>
        <w:bidi w:val="0"/>
        <w:spacing w:before="127" w:line="268" w:lineRule="auto"/>
        <w:ind w:left="6" w:right="61" w:firstLine="495"/>
        <w:rPr>
          <w:rFonts w:ascii="宋体" w:hAnsi="宋体" w:eastAsia="宋体" w:cs="宋体"/>
          <w:sz w:val="24"/>
          <w:szCs w:val="24"/>
        </w:rPr>
      </w:pPr>
      <w:r>
        <w:rPr>
          <w:rFonts w:ascii="宋体" w:hAnsi="宋体" w:eastAsia="宋体" w:cs="宋体"/>
          <w:spacing w:val="-9"/>
          <w:sz w:val="24"/>
          <w:szCs w:val="24"/>
        </w:rPr>
        <w:t>下列文件为本合同的组成部分，并构成一个整体，需综合解释、相互补充。如果下列</w:t>
      </w:r>
      <w:r>
        <w:rPr>
          <w:rFonts w:ascii="宋体" w:hAnsi="宋体" w:eastAsia="宋体" w:cs="宋体"/>
          <w:spacing w:val="5"/>
          <w:sz w:val="24"/>
          <w:szCs w:val="24"/>
        </w:rPr>
        <w:t>文件内容出现不一致的情形，在保证按照采购文件确定</w:t>
      </w:r>
      <w:r>
        <w:rPr>
          <w:rFonts w:ascii="宋体" w:hAnsi="宋体" w:eastAsia="宋体" w:cs="宋体"/>
          <w:spacing w:val="4"/>
          <w:sz w:val="24"/>
          <w:szCs w:val="24"/>
        </w:rPr>
        <w:t>的事项的前提下，组成本合同</w:t>
      </w:r>
      <w:r>
        <w:rPr>
          <w:rFonts w:ascii="宋体" w:hAnsi="宋体" w:eastAsia="宋体" w:cs="宋体"/>
          <w:spacing w:val="-5"/>
          <w:sz w:val="24"/>
          <w:szCs w:val="24"/>
        </w:rPr>
        <w:t>的多个文件的优先适用顺序如下：</w:t>
      </w:r>
    </w:p>
    <w:p w14:paraId="7149DD0B">
      <w:pPr>
        <w:keepNext w:val="0"/>
        <w:keepLines w:val="0"/>
        <w:pageBreakBefore w:val="0"/>
        <w:kinsoku/>
        <w:wordWrap/>
        <w:overflowPunct/>
        <w:topLinePunct w:val="0"/>
        <w:bidi w:val="0"/>
        <w:spacing w:before="10" w:line="219" w:lineRule="auto"/>
        <w:ind w:left="516"/>
        <w:rPr>
          <w:rFonts w:ascii="宋体" w:hAnsi="宋体" w:eastAsia="宋体" w:cs="宋体"/>
          <w:sz w:val="24"/>
          <w:szCs w:val="24"/>
        </w:rPr>
      </w:pPr>
      <w:r>
        <w:rPr>
          <w:rFonts w:ascii="宋体" w:hAnsi="宋体" w:eastAsia="宋体" w:cs="宋体"/>
          <w:spacing w:val="-15"/>
          <w:sz w:val="24"/>
          <w:szCs w:val="24"/>
        </w:rPr>
        <w:t>1.1.1本合同及其补充合同、变更协议；</w:t>
      </w:r>
    </w:p>
    <w:p w14:paraId="3368D381">
      <w:pPr>
        <w:keepNext w:val="0"/>
        <w:keepLines w:val="0"/>
        <w:pageBreakBefore w:val="0"/>
        <w:kinsoku/>
        <w:wordWrap/>
        <w:overflowPunct/>
        <w:topLinePunct w:val="0"/>
        <w:bidi w:val="0"/>
        <w:spacing w:before="106" w:line="219" w:lineRule="auto"/>
        <w:ind w:left="516"/>
        <w:rPr>
          <w:rFonts w:ascii="宋体" w:hAnsi="宋体" w:eastAsia="宋体" w:cs="宋体"/>
          <w:sz w:val="24"/>
          <w:szCs w:val="24"/>
        </w:rPr>
      </w:pPr>
      <w:r>
        <w:rPr>
          <w:rFonts w:ascii="宋体" w:hAnsi="宋体" w:eastAsia="宋体" w:cs="宋体"/>
          <w:spacing w:val="-11"/>
          <w:sz w:val="24"/>
          <w:szCs w:val="24"/>
        </w:rPr>
        <w:t>1.1.2成交通知书；</w:t>
      </w:r>
    </w:p>
    <w:p w14:paraId="5C033D6E">
      <w:pPr>
        <w:keepNext w:val="0"/>
        <w:keepLines w:val="0"/>
        <w:pageBreakBefore w:val="0"/>
        <w:kinsoku/>
        <w:wordWrap/>
        <w:overflowPunct/>
        <w:topLinePunct w:val="0"/>
        <w:bidi w:val="0"/>
        <w:spacing w:before="107" w:line="218" w:lineRule="auto"/>
        <w:ind w:left="516"/>
        <w:rPr>
          <w:rFonts w:ascii="宋体" w:hAnsi="宋体" w:eastAsia="宋体" w:cs="宋体"/>
          <w:sz w:val="24"/>
          <w:szCs w:val="24"/>
        </w:rPr>
      </w:pPr>
      <w:r>
        <w:rPr>
          <w:rFonts w:ascii="宋体" w:hAnsi="宋体" w:eastAsia="宋体" w:cs="宋体"/>
          <w:spacing w:val="-1"/>
          <w:sz w:val="24"/>
          <w:szCs w:val="24"/>
        </w:rPr>
        <w:t>1.1.3采购文件及“响应报价”(含澄清或者说明文件)；</w:t>
      </w:r>
    </w:p>
    <w:p w14:paraId="226BB1F1">
      <w:pPr>
        <w:keepNext w:val="0"/>
        <w:keepLines w:val="0"/>
        <w:pageBreakBefore w:val="0"/>
        <w:kinsoku/>
        <w:wordWrap/>
        <w:overflowPunct/>
        <w:topLinePunct w:val="0"/>
        <w:bidi w:val="0"/>
        <w:spacing w:before="105" w:line="219" w:lineRule="auto"/>
        <w:ind w:left="516"/>
        <w:rPr>
          <w:rFonts w:ascii="宋体" w:hAnsi="宋体" w:eastAsia="宋体" w:cs="宋体"/>
          <w:sz w:val="24"/>
          <w:szCs w:val="24"/>
        </w:rPr>
      </w:pPr>
      <w:r>
        <w:rPr>
          <w:rFonts w:ascii="宋体" w:hAnsi="宋体" w:eastAsia="宋体" w:cs="宋体"/>
          <w:spacing w:val="9"/>
          <w:sz w:val="24"/>
          <w:szCs w:val="24"/>
        </w:rPr>
        <w:t>1.1.4采购文件(含澄清或者修改文件)；</w:t>
      </w:r>
    </w:p>
    <w:p w14:paraId="31B61CBC">
      <w:pPr>
        <w:keepNext w:val="0"/>
        <w:keepLines w:val="0"/>
        <w:pageBreakBefore w:val="0"/>
        <w:kinsoku/>
        <w:wordWrap/>
        <w:overflowPunct/>
        <w:topLinePunct w:val="0"/>
        <w:bidi w:val="0"/>
        <w:spacing w:before="106" w:line="219" w:lineRule="auto"/>
        <w:ind w:left="516"/>
        <w:rPr>
          <w:rFonts w:ascii="宋体" w:hAnsi="宋体" w:eastAsia="宋体" w:cs="宋体"/>
          <w:sz w:val="24"/>
          <w:szCs w:val="24"/>
        </w:rPr>
      </w:pPr>
      <w:r>
        <w:rPr>
          <w:rFonts w:ascii="宋体" w:hAnsi="宋体" w:eastAsia="宋体" w:cs="宋体"/>
          <w:spacing w:val="-8"/>
          <w:sz w:val="24"/>
          <w:szCs w:val="24"/>
        </w:rPr>
        <w:t>1.1.5其他相关采购文件。</w:t>
      </w:r>
    </w:p>
    <w:p w14:paraId="3921AD1D">
      <w:pPr>
        <w:keepNext w:val="0"/>
        <w:keepLines w:val="0"/>
        <w:pageBreakBefore w:val="0"/>
        <w:kinsoku/>
        <w:wordWrap/>
        <w:overflowPunct/>
        <w:topLinePunct w:val="0"/>
        <w:bidi w:val="0"/>
        <w:spacing w:before="105" w:line="220" w:lineRule="auto"/>
        <w:ind w:left="519" w:leftChars="0"/>
        <w:outlineLvl w:val="0"/>
        <w:rPr>
          <w:rFonts w:ascii="宋体" w:hAnsi="宋体" w:eastAsia="宋体" w:cs="宋体"/>
          <w:sz w:val="24"/>
          <w:szCs w:val="24"/>
        </w:rPr>
      </w:pPr>
      <w:bookmarkStart w:id="9" w:name="_Toc10733"/>
      <w:r>
        <w:rPr>
          <w:rFonts w:ascii="宋体" w:hAnsi="宋体" w:eastAsia="宋体" w:cs="宋体"/>
          <w:spacing w:val="-8"/>
          <w:sz w:val="24"/>
          <w:szCs w:val="24"/>
        </w:rPr>
        <w:t>1.2标的物</w:t>
      </w:r>
      <w:bookmarkEnd w:id="9"/>
    </w:p>
    <w:p w14:paraId="00281651">
      <w:pPr>
        <w:keepNext w:val="0"/>
        <w:keepLines w:val="0"/>
        <w:pageBreakBefore w:val="0"/>
        <w:kinsoku/>
        <w:wordWrap/>
        <w:overflowPunct/>
        <w:topLinePunct w:val="0"/>
        <w:bidi w:val="0"/>
        <w:spacing w:before="105" w:line="219" w:lineRule="auto"/>
        <w:ind w:left="516"/>
        <w:rPr>
          <w:rFonts w:ascii="宋体" w:hAnsi="宋体" w:eastAsia="宋体" w:cs="宋体"/>
          <w:sz w:val="24"/>
          <w:szCs w:val="24"/>
        </w:rPr>
      </w:pPr>
      <w:r>
        <w:rPr>
          <w:rFonts w:ascii="宋体" w:hAnsi="宋体" w:eastAsia="宋体" w:cs="宋体"/>
          <w:spacing w:val="-16"/>
          <w:sz w:val="24"/>
          <w:szCs w:val="24"/>
        </w:rPr>
        <w:t>1.2.1标的物1信息</w:t>
      </w:r>
    </w:p>
    <w:p w14:paraId="1EE6448D">
      <w:pPr>
        <w:keepNext w:val="0"/>
        <w:keepLines w:val="0"/>
        <w:pageBreakBefore w:val="0"/>
        <w:kinsoku/>
        <w:wordWrap/>
        <w:overflowPunct/>
        <w:topLinePunct w:val="0"/>
        <w:bidi w:val="0"/>
        <w:spacing w:before="108" w:line="292" w:lineRule="auto"/>
        <w:ind w:left="516" w:right="2232"/>
        <w:jc w:val="both"/>
        <w:rPr>
          <w:rFonts w:ascii="宋体" w:hAnsi="宋体" w:eastAsia="宋体" w:cs="宋体"/>
          <w:sz w:val="24"/>
          <w:szCs w:val="24"/>
        </w:rPr>
      </w:pPr>
      <w:r>
        <w:fldChar w:fldCharType="begin"/>
      </w:r>
      <w:r>
        <w:instrText xml:space="preserve"> HYPERLINK "1.2.1.1" </w:instrText>
      </w:r>
      <w:r>
        <w:fldChar w:fldCharType="separate"/>
      </w:r>
      <w:r>
        <w:rPr>
          <w:rFonts w:ascii="宋体" w:hAnsi="宋体" w:eastAsia="宋体" w:cs="宋体"/>
          <w:spacing w:val="-9"/>
          <w:sz w:val="24"/>
          <w:szCs w:val="24"/>
        </w:rPr>
        <w:t>1.2.1.1</w:t>
      </w:r>
      <w:r>
        <w:rPr>
          <w:rFonts w:ascii="宋体" w:hAnsi="宋体" w:eastAsia="宋体" w:cs="宋体"/>
          <w:spacing w:val="-9"/>
          <w:sz w:val="24"/>
          <w:szCs w:val="24"/>
        </w:rPr>
        <w:fldChar w:fldCharType="end"/>
      </w:r>
      <w:r>
        <w:rPr>
          <w:rFonts w:ascii="宋体" w:hAnsi="宋体" w:eastAsia="宋体" w:cs="宋体"/>
          <w:spacing w:val="-9"/>
          <w:sz w:val="24"/>
          <w:szCs w:val="24"/>
        </w:rPr>
        <w:t>名称</w:t>
      </w:r>
      <w:r>
        <w:rPr>
          <w:rFonts w:ascii="宋体" w:hAnsi="宋体" w:eastAsia="宋体" w:cs="宋体"/>
          <w:spacing w:val="-25"/>
          <w:sz w:val="24"/>
          <w:szCs w:val="24"/>
        </w:rPr>
        <w:t>：；</w:t>
      </w:r>
      <w:r>
        <w:fldChar w:fldCharType="begin"/>
      </w:r>
      <w:r>
        <w:instrText xml:space="preserve"> HYPERLINK "1.2.1.2" </w:instrText>
      </w:r>
      <w:r>
        <w:fldChar w:fldCharType="separate"/>
      </w:r>
      <w:r>
        <w:rPr>
          <w:rFonts w:ascii="宋体" w:hAnsi="宋体" w:eastAsia="宋体" w:cs="宋体"/>
          <w:spacing w:val="-9"/>
          <w:sz w:val="24"/>
          <w:szCs w:val="24"/>
        </w:rPr>
        <w:t>1.2.1.2</w:t>
      </w:r>
      <w:r>
        <w:rPr>
          <w:rFonts w:ascii="宋体" w:hAnsi="宋体" w:eastAsia="宋体" w:cs="宋体"/>
          <w:spacing w:val="-9"/>
          <w:sz w:val="24"/>
          <w:szCs w:val="24"/>
        </w:rPr>
        <w:fldChar w:fldCharType="end"/>
      </w:r>
      <w:r>
        <w:rPr>
          <w:rFonts w:ascii="宋体" w:hAnsi="宋体" w:eastAsia="宋体" w:cs="宋体"/>
          <w:spacing w:val="-9"/>
          <w:sz w:val="24"/>
          <w:szCs w:val="24"/>
        </w:rPr>
        <w:t>数量</w:t>
      </w:r>
      <w:r>
        <w:rPr>
          <w:rFonts w:ascii="宋体" w:hAnsi="宋体" w:eastAsia="宋体" w:cs="宋体"/>
          <w:spacing w:val="-25"/>
          <w:sz w:val="24"/>
          <w:szCs w:val="24"/>
        </w:rPr>
        <w:t>：；</w:t>
      </w:r>
      <w:r>
        <w:fldChar w:fldCharType="begin"/>
      </w:r>
      <w:r>
        <w:instrText xml:space="preserve"> HYPERLINK "1.2.1.3" </w:instrText>
      </w:r>
      <w:r>
        <w:fldChar w:fldCharType="separate"/>
      </w:r>
      <w:r>
        <w:rPr>
          <w:rFonts w:ascii="宋体" w:hAnsi="宋体" w:eastAsia="宋体" w:cs="宋体"/>
          <w:spacing w:val="-9"/>
          <w:sz w:val="24"/>
          <w:szCs w:val="24"/>
        </w:rPr>
        <w:t>1.2.1.3</w:t>
      </w:r>
      <w:r>
        <w:rPr>
          <w:rFonts w:ascii="宋体" w:hAnsi="宋体" w:eastAsia="宋体" w:cs="宋体"/>
          <w:spacing w:val="-9"/>
          <w:sz w:val="24"/>
          <w:szCs w:val="24"/>
        </w:rPr>
        <w:fldChar w:fldCharType="end"/>
      </w:r>
      <w:r>
        <w:rPr>
          <w:rFonts w:ascii="宋体" w:hAnsi="宋体" w:eastAsia="宋体" w:cs="宋体"/>
          <w:spacing w:val="-9"/>
          <w:sz w:val="24"/>
          <w:szCs w:val="24"/>
        </w:rPr>
        <w:t>质量：。</w:t>
      </w:r>
    </w:p>
    <w:p w14:paraId="3E6CBF21">
      <w:pPr>
        <w:keepNext w:val="0"/>
        <w:keepLines w:val="0"/>
        <w:pageBreakBefore w:val="0"/>
        <w:kinsoku/>
        <w:wordWrap/>
        <w:overflowPunct/>
        <w:topLinePunct w:val="0"/>
        <w:bidi w:val="0"/>
        <w:spacing w:before="119" w:line="207" w:lineRule="auto"/>
        <w:ind w:left="528"/>
        <w:rPr>
          <w:rFonts w:ascii="宋体" w:hAnsi="宋体" w:eastAsia="宋体" w:cs="宋体"/>
          <w:sz w:val="24"/>
          <w:szCs w:val="24"/>
        </w:rPr>
      </w:pPr>
      <w:r>
        <w:rPr>
          <w:rFonts w:ascii="宋体" w:hAnsi="宋体" w:eastAsia="宋体" w:cs="宋体"/>
          <w:spacing w:val="-13"/>
          <w:sz w:val="24"/>
          <w:szCs w:val="24"/>
        </w:rPr>
        <w:t>……</w:t>
      </w:r>
    </w:p>
    <w:p w14:paraId="715B6144">
      <w:pPr>
        <w:keepNext w:val="0"/>
        <w:keepLines w:val="0"/>
        <w:pageBreakBefore w:val="0"/>
        <w:kinsoku/>
        <w:wordWrap/>
        <w:overflowPunct/>
        <w:topLinePunct w:val="0"/>
        <w:bidi w:val="0"/>
        <w:spacing w:before="1" w:line="217" w:lineRule="auto"/>
        <w:ind w:left="519" w:leftChars="0"/>
        <w:outlineLvl w:val="0"/>
        <w:rPr>
          <w:rFonts w:ascii="宋体" w:hAnsi="宋体" w:eastAsia="宋体" w:cs="宋体"/>
          <w:sz w:val="24"/>
          <w:szCs w:val="24"/>
        </w:rPr>
      </w:pPr>
      <w:bookmarkStart w:id="10" w:name="_Toc22783"/>
      <w:r>
        <w:rPr>
          <w:rFonts w:ascii="宋体" w:hAnsi="宋体" w:eastAsia="宋体" w:cs="宋体"/>
          <w:spacing w:val="-8"/>
          <w:sz w:val="24"/>
          <w:szCs w:val="24"/>
        </w:rPr>
        <w:t>1.3价款</w:t>
      </w:r>
      <w:bookmarkEnd w:id="10"/>
    </w:p>
    <w:p w14:paraId="070B5DB2">
      <w:pPr>
        <w:keepNext w:val="0"/>
        <w:keepLines w:val="0"/>
        <w:pageBreakBefore w:val="0"/>
        <w:kinsoku/>
        <w:wordWrap/>
        <w:overflowPunct/>
        <w:topLinePunct w:val="0"/>
        <w:bidi w:val="0"/>
        <w:spacing w:before="130" w:line="218" w:lineRule="auto"/>
        <w:ind w:right="39"/>
        <w:jc w:val="right"/>
        <w:rPr>
          <w:rFonts w:ascii="宋体" w:hAnsi="宋体" w:eastAsia="宋体" w:cs="宋体"/>
          <w:sz w:val="24"/>
          <w:szCs w:val="24"/>
        </w:rPr>
      </w:pPr>
      <w:r>
        <w:rPr>
          <w:rFonts w:ascii="宋体" w:hAnsi="宋体" w:eastAsia="宋体" w:cs="宋体"/>
          <w:spacing w:val="-5"/>
          <w:sz w:val="24"/>
          <w:szCs w:val="24"/>
        </w:rPr>
        <w:t>本合同总价为：人民币元(大写：元人民币，含税)。</w:t>
      </w:r>
    </w:p>
    <w:p w14:paraId="562A341C">
      <w:pPr>
        <w:keepNext w:val="0"/>
        <w:keepLines w:val="0"/>
        <w:pageBreakBefore w:val="0"/>
        <w:kinsoku/>
        <w:wordWrap/>
        <w:overflowPunct/>
        <w:topLinePunct w:val="0"/>
        <w:bidi w:val="0"/>
        <w:spacing w:before="52" w:line="218" w:lineRule="auto"/>
        <w:ind w:left="490"/>
        <w:rPr>
          <w:rFonts w:ascii="宋体" w:hAnsi="宋体" w:eastAsia="宋体" w:cs="宋体"/>
          <w:sz w:val="24"/>
          <w:szCs w:val="24"/>
        </w:rPr>
      </w:pPr>
      <w:r>
        <w:rPr>
          <w:rFonts w:ascii="宋体" w:hAnsi="宋体" w:eastAsia="宋体" w:cs="宋体"/>
          <w:spacing w:val="-28"/>
          <w:sz w:val="24"/>
          <w:szCs w:val="24"/>
          <w:u w:val="single" w:color="auto"/>
        </w:rPr>
        <w:t>分项价格：</w:t>
      </w:r>
    </w:p>
    <w:p w14:paraId="4D5AD9CD">
      <w:pPr>
        <w:keepNext w:val="0"/>
        <w:keepLines w:val="0"/>
        <w:pageBreakBefore w:val="0"/>
        <w:kinsoku/>
        <w:wordWrap/>
        <w:overflowPunct/>
        <w:topLinePunct w:val="0"/>
        <w:bidi w:val="0"/>
        <w:spacing w:line="70" w:lineRule="exact"/>
      </w:pPr>
    </w:p>
    <w:tbl>
      <w:tblPr>
        <w:tblStyle w:val="15"/>
        <w:tblW w:w="7169" w:type="dxa"/>
        <w:tblInd w:w="7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9"/>
        <w:gridCol w:w="3394"/>
        <w:gridCol w:w="2566"/>
      </w:tblGrid>
      <w:tr w14:paraId="5D398A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1209" w:type="dxa"/>
            <w:vAlign w:val="top"/>
          </w:tcPr>
          <w:p w14:paraId="63AA8A63">
            <w:pPr>
              <w:pStyle w:val="16"/>
              <w:keepNext w:val="0"/>
              <w:keepLines w:val="0"/>
              <w:pageBreakBefore w:val="0"/>
              <w:kinsoku/>
              <w:wordWrap/>
              <w:overflowPunct/>
              <w:topLinePunct w:val="0"/>
              <w:bidi w:val="0"/>
              <w:spacing w:before="102" w:line="204" w:lineRule="auto"/>
              <w:ind w:left="603"/>
              <w:rPr>
                <w:sz w:val="24"/>
                <w:szCs w:val="24"/>
              </w:rPr>
            </w:pPr>
            <w:r>
              <w:rPr>
                <w:spacing w:val="-5"/>
                <w:sz w:val="24"/>
                <w:szCs w:val="24"/>
              </w:rPr>
              <w:t>序号</w:t>
            </w:r>
          </w:p>
        </w:tc>
        <w:tc>
          <w:tcPr>
            <w:tcW w:w="3394" w:type="dxa"/>
            <w:vAlign w:val="top"/>
          </w:tcPr>
          <w:p w14:paraId="6372FEF7">
            <w:pPr>
              <w:pStyle w:val="16"/>
              <w:keepNext w:val="0"/>
              <w:keepLines w:val="0"/>
              <w:pageBreakBefore w:val="0"/>
              <w:kinsoku/>
              <w:wordWrap/>
              <w:overflowPunct/>
              <w:topLinePunct w:val="0"/>
              <w:bidi w:val="0"/>
              <w:spacing w:before="102" w:line="204" w:lineRule="auto"/>
              <w:ind w:left="605"/>
              <w:rPr>
                <w:sz w:val="24"/>
                <w:szCs w:val="24"/>
              </w:rPr>
            </w:pPr>
            <w:r>
              <w:rPr>
                <w:spacing w:val="-7"/>
                <w:sz w:val="24"/>
                <w:szCs w:val="24"/>
              </w:rPr>
              <w:t>分项名称</w:t>
            </w:r>
          </w:p>
        </w:tc>
        <w:tc>
          <w:tcPr>
            <w:tcW w:w="2566" w:type="dxa"/>
            <w:vAlign w:val="top"/>
          </w:tcPr>
          <w:p w14:paraId="68848037">
            <w:pPr>
              <w:pStyle w:val="16"/>
              <w:keepNext w:val="0"/>
              <w:keepLines w:val="0"/>
              <w:pageBreakBefore w:val="0"/>
              <w:kinsoku/>
              <w:wordWrap/>
              <w:overflowPunct/>
              <w:topLinePunct w:val="0"/>
              <w:bidi w:val="0"/>
              <w:spacing w:before="102" w:line="204" w:lineRule="auto"/>
              <w:ind w:left="612"/>
              <w:rPr>
                <w:sz w:val="24"/>
                <w:szCs w:val="24"/>
              </w:rPr>
            </w:pPr>
            <w:r>
              <w:rPr>
                <w:spacing w:val="-7"/>
                <w:sz w:val="24"/>
                <w:szCs w:val="24"/>
              </w:rPr>
              <w:t>分项价格</w:t>
            </w:r>
          </w:p>
        </w:tc>
      </w:tr>
      <w:tr w14:paraId="08B60B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209" w:type="dxa"/>
            <w:vAlign w:val="top"/>
          </w:tcPr>
          <w:p w14:paraId="6077D1A3">
            <w:pPr>
              <w:keepNext w:val="0"/>
              <w:keepLines w:val="0"/>
              <w:pageBreakBefore w:val="0"/>
              <w:kinsoku/>
              <w:wordWrap/>
              <w:overflowPunct/>
              <w:topLinePunct w:val="0"/>
              <w:bidi w:val="0"/>
              <w:rPr>
                <w:rFonts w:ascii="Arial"/>
                <w:sz w:val="21"/>
              </w:rPr>
            </w:pPr>
          </w:p>
        </w:tc>
        <w:tc>
          <w:tcPr>
            <w:tcW w:w="3394" w:type="dxa"/>
            <w:vAlign w:val="top"/>
          </w:tcPr>
          <w:p w14:paraId="5F8375E8">
            <w:pPr>
              <w:keepNext w:val="0"/>
              <w:keepLines w:val="0"/>
              <w:pageBreakBefore w:val="0"/>
              <w:kinsoku/>
              <w:wordWrap/>
              <w:overflowPunct/>
              <w:topLinePunct w:val="0"/>
              <w:bidi w:val="0"/>
              <w:rPr>
                <w:rFonts w:ascii="Arial"/>
                <w:sz w:val="21"/>
              </w:rPr>
            </w:pPr>
          </w:p>
        </w:tc>
        <w:tc>
          <w:tcPr>
            <w:tcW w:w="2566" w:type="dxa"/>
            <w:vAlign w:val="top"/>
          </w:tcPr>
          <w:p w14:paraId="64980439">
            <w:pPr>
              <w:keepNext w:val="0"/>
              <w:keepLines w:val="0"/>
              <w:pageBreakBefore w:val="0"/>
              <w:kinsoku/>
              <w:wordWrap/>
              <w:overflowPunct/>
              <w:topLinePunct w:val="0"/>
              <w:bidi w:val="0"/>
              <w:rPr>
                <w:rFonts w:ascii="Arial"/>
                <w:sz w:val="21"/>
              </w:rPr>
            </w:pPr>
          </w:p>
        </w:tc>
      </w:tr>
      <w:tr w14:paraId="2FEE08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1209" w:type="dxa"/>
            <w:vAlign w:val="top"/>
          </w:tcPr>
          <w:p w14:paraId="618CDF70">
            <w:pPr>
              <w:keepNext w:val="0"/>
              <w:keepLines w:val="0"/>
              <w:pageBreakBefore w:val="0"/>
              <w:kinsoku/>
              <w:wordWrap/>
              <w:overflowPunct/>
              <w:topLinePunct w:val="0"/>
              <w:bidi w:val="0"/>
              <w:rPr>
                <w:rFonts w:ascii="Arial"/>
                <w:sz w:val="21"/>
              </w:rPr>
            </w:pPr>
          </w:p>
        </w:tc>
        <w:tc>
          <w:tcPr>
            <w:tcW w:w="3394" w:type="dxa"/>
            <w:vAlign w:val="top"/>
          </w:tcPr>
          <w:p w14:paraId="30DB73D5">
            <w:pPr>
              <w:keepNext w:val="0"/>
              <w:keepLines w:val="0"/>
              <w:pageBreakBefore w:val="0"/>
              <w:kinsoku/>
              <w:wordWrap/>
              <w:overflowPunct/>
              <w:topLinePunct w:val="0"/>
              <w:bidi w:val="0"/>
              <w:rPr>
                <w:rFonts w:ascii="Arial"/>
                <w:sz w:val="21"/>
              </w:rPr>
            </w:pPr>
          </w:p>
        </w:tc>
        <w:tc>
          <w:tcPr>
            <w:tcW w:w="2566" w:type="dxa"/>
            <w:vAlign w:val="top"/>
          </w:tcPr>
          <w:p w14:paraId="7F65EAD3">
            <w:pPr>
              <w:keepNext w:val="0"/>
              <w:keepLines w:val="0"/>
              <w:pageBreakBefore w:val="0"/>
              <w:kinsoku/>
              <w:wordWrap/>
              <w:overflowPunct/>
              <w:topLinePunct w:val="0"/>
              <w:bidi w:val="0"/>
              <w:rPr>
                <w:rFonts w:ascii="Arial"/>
                <w:sz w:val="21"/>
              </w:rPr>
            </w:pPr>
          </w:p>
        </w:tc>
      </w:tr>
      <w:tr w14:paraId="6AB9D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209" w:type="dxa"/>
            <w:vAlign w:val="top"/>
          </w:tcPr>
          <w:p w14:paraId="676FF1E3">
            <w:pPr>
              <w:keepNext w:val="0"/>
              <w:keepLines w:val="0"/>
              <w:pageBreakBefore w:val="0"/>
              <w:kinsoku/>
              <w:wordWrap/>
              <w:overflowPunct/>
              <w:topLinePunct w:val="0"/>
              <w:bidi w:val="0"/>
              <w:rPr>
                <w:rFonts w:ascii="Arial"/>
                <w:sz w:val="21"/>
              </w:rPr>
            </w:pPr>
          </w:p>
        </w:tc>
        <w:tc>
          <w:tcPr>
            <w:tcW w:w="3394" w:type="dxa"/>
            <w:vAlign w:val="top"/>
          </w:tcPr>
          <w:p w14:paraId="29F20C1D">
            <w:pPr>
              <w:keepNext w:val="0"/>
              <w:keepLines w:val="0"/>
              <w:pageBreakBefore w:val="0"/>
              <w:kinsoku/>
              <w:wordWrap/>
              <w:overflowPunct/>
              <w:topLinePunct w:val="0"/>
              <w:bidi w:val="0"/>
              <w:rPr>
                <w:rFonts w:ascii="Arial"/>
                <w:sz w:val="21"/>
              </w:rPr>
            </w:pPr>
          </w:p>
        </w:tc>
        <w:tc>
          <w:tcPr>
            <w:tcW w:w="2566" w:type="dxa"/>
            <w:vAlign w:val="top"/>
          </w:tcPr>
          <w:p w14:paraId="677EBCE0">
            <w:pPr>
              <w:keepNext w:val="0"/>
              <w:keepLines w:val="0"/>
              <w:pageBreakBefore w:val="0"/>
              <w:kinsoku/>
              <w:wordWrap/>
              <w:overflowPunct/>
              <w:topLinePunct w:val="0"/>
              <w:bidi w:val="0"/>
              <w:rPr>
                <w:rFonts w:ascii="Arial"/>
                <w:sz w:val="21"/>
              </w:rPr>
            </w:pPr>
          </w:p>
        </w:tc>
      </w:tr>
      <w:tr w14:paraId="7AF6F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4603" w:type="dxa"/>
            <w:gridSpan w:val="2"/>
            <w:vAlign w:val="top"/>
          </w:tcPr>
          <w:p w14:paraId="6BE62DB9">
            <w:pPr>
              <w:pStyle w:val="16"/>
              <w:keepNext w:val="0"/>
              <w:keepLines w:val="0"/>
              <w:pageBreakBefore w:val="0"/>
              <w:kinsoku/>
              <w:wordWrap/>
              <w:overflowPunct/>
              <w:topLinePunct w:val="0"/>
              <w:bidi w:val="0"/>
              <w:spacing w:before="102" w:line="204" w:lineRule="auto"/>
              <w:ind w:left="630"/>
              <w:rPr>
                <w:sz w:val="24"/>
                <w:szCs w:val="24"/>
              </w:rPr>
            </w:pPr>
            <w:r>
              <w:rPr>
                <w:spacing w:val="-8"/>
                <w:sz w:val="24"/>
                <w:szCs w:val="24"/>
              </w:rPr>
              <w:t>总价</w:t>
            </w:r>
          </w:p>
        </w:tc>
        <w:tc>
          <w:tcPr>
            <w:tcW w:w="2566" w:type="dxa"/>
            <w:vAlign w:val="top"/>
          </w:tcPr>
          <w:p w14:paraId="51FFA10F">
            <w:pPr>
              <w:keepNext w:val="0"/>
              <w:keepLines w:val="0"/>
              <w:pageBreakBefore w:val="0"/>
              <w:kinsoku/>
              <w:wordWrap/>
              <w:overflowPunct/>
              <w:topLinePunct w:val="0"/>
              <w:bidi w:val="0"/>
              <w:rPr>
                <w:rFonts w:ascii="Arial"/>
                <w:sz w:val="21"/>
              </w:rPr>
            </w:pPr>
          </w:p>
        </w:tc>
      </w:tr>
    </w:tbl>
    <w:p w14:paraId="7A16472A">
      <w:pPr>
        <w:keepNext w:val="0"/>
        <w:keepLines w:val="0"/>
        <w:pageBreakBefore w:val="0"/>
        <w:kinsoku/>
        <w:wordWrap/>
        <w:overflowPunct/>
        <w:topLinePunct w:val="0"/>
        <w:bidi w:val="0"/>
        <w:spacing w:before="39" w:line="219" w:lineRule="auto"/>
        <w:ind w:left="519" w:leftChars="0"/>
        <w:outlineLvl w:val="0"/>
        <w:rPr>
          <w:rFonts w:ascii="宋体" w:hAnsi="宋体" w:eastAsia="宋体" w:cs="宋体"/>
          <w:sz w:val="24"/>
          <w:szCs w:val="24"/>
        </w:rPr>
      </w:pPr>
      <w:bookmarkStart w:id="11" w:name="_Toc16773"/>
      <w:r>
        <w:rPr>
          <w:rFonts w:ascii="宋体" w:hAnsi="宋体" w:eastAsia="宋体" w:cs="宋体"/>
          <w:spacing w:val="8"/>
          <w:sz w:val="24"/>
          <w:szCs w:val="24"/>
        </w:rPr>
        <w:t>1.4付款方式和发票开具方式</w:t>
      </w:r>
      <w:bookmarkEnd w:id="11"/>
    </w:p>
    <w:p w14:paraId="399AF0A4">
      <w:pPr>
        <w:keepNext w:val="0"/>
        <w:keepLines w:val="0"/>
        <w:pageBreakBefore w:val="0"/>
        <w:kinsoku/>
        <w:wordWrap/>
        <w:overflowPunct/>
        <w:topLinePunct w:val="0"/>
        <w:bidi w:val="0"/>
        <w:spacing w:before="107" w:line="219" w:lineRule="auto"/>
        <w:ind w:left="516"/>
        <w:rPr>
          <w:rFonts w:ascii="宋体" w:hAnsi="宋体" w:eastAsia="宋体" w:cs="宋体"/>
          <w:sz w:val="24"/>
          <w:szCs w:val="24"/>
        </w:rPr>
      </w:pPr>
      <w:r>
        <w:rPr>
          <w:rFonts w:ascii="宋体" w:hAnsi="宋体" w:eastAsia="宋体" w:cs="宋体"/>
          <w:spacing w:val="-8"/>
          <w:sz w:val="24"/>
          <w:szCs w:val="24"/>
        </w:rPr>
        <w:t>1.4.1付款方式：；</w:t>
      </w:r>
    </w:p>
    <w:p w14:paraId="3FBC2145">
      <w:pPr>
        <w:keepNext w:val="0"/>
        <w:keepLines w:val="0"/>
        <w:pageBreakBefore w:val="0"/>
        <w:kinsoku/>
        <w:wordWrap/>
        <w:overflowPunct/>
        <w:topLinePunct w:val="0"/>
        <w:bidi w:val="0"/>
        <w:spacing w:before="104" w:line="219" w:lineRule="auto"/>
        <w:ind w:left="516"/>
        <w:rPr>
          <w:rFonts w:ascii="宋体" w:hAnsi="宋体" w:eastAsia="宋体" w:cs="宋体"/>
          <w:sz w:val="24"/>
          <w:szCs w:val="24"/>
        </w:rPr>
      </w:pPr>
      <w:r>
        <w:rPr>
          <w:rFonts w:ascii="宋体" w:hAnsi="宋体" w:eastAsia="宋体" w:cs="宋体"/>
          <w:spacing w:val="-5"/>
          <w:sz w:val="24"/>
          <w:szCs w:val="24"/>
        </w:rPr>
        <w:t>1.4.2发票开具方式：</w:t>
      </w:r>
      <w:r>
        <w:rPr>
          <w:rFonts w:ascii="宋体" w:hAnsi="宋体" w:eastAsia="宋体" w:cs="宋体"/>
          <w:spacing w:val="-6"/>
          <w:sz w:val="24"/>
          <w:szCs w:val="24"/>
        </w:rPr>
        <w:t>。</w:t>
      </w:r>
    </w:p>
    <w:p w14:paraId="39F94587">
      <w:pPr>
        <w:keepNext w:val="0"/>
        <w:keepLines w:val="0"/>
        <w:pageBreakBefore w:val="0"/>
        <w:kinsoku/>
        <w:wordWrap/>
        <w:overflowPunct/>
        <w:topLinePunct w:val="0"/>
        <w:bidi w:val="0"/>
        <w:spacing w:before="106" w:line="219" w:lineRule="auto"/>
        <w:ind w:left="519" w:leftChars="0"/>
        <w:outlineLvl w:val="0"/>
        <w:rPr>
          <w:rFonts w:ascii="宋体" w:hAnsi="宋体" w:eastAsia="宋体" w:cs="宋体"/>
          <w:sz w:val="24"/>
          <w:szCs w:val="24"/>
        </w:rPr>
      </w:pPr>
      <w:bookmarkStart w:id="12" w:name="_Toc2479"/>
      <w:r>
        <w:rPr>
          <w:rFonts w:ascii="宋体" w:hAnsi="宋体" w:eastAsia="宋体" w:cs="宋体"/>
          <w:spacing w:val="-3"/>
          <w:sz w:val="24"/>
          <w:szCs w:val="24"/>
        </w:rPr>
        <w:t>1.5标的物交付期限、地点、方式和服务期限</w:t>
      </w:r>
      <w:bookmarkEnd w:id="12"/>
    </w:p>
    <w:p w14:paraId="3DA7C41A">
      <w:pPr>
        <w:keepNext w:val="0"/>
        <w:keepLines w:val="0"/>
        <w:pageBreakBefore w:val="0"/>
        <w:kinsoku/>
        <w:wordWrap/>
        <w:overflowPunct/>
        <w:topLinePunct w:val="0"/>
        <w:bidi w:val="0"/>
        <w:spacing w:before="107" w:line="219" w:lineRule="auto"/>
        <w:ind w:left="516"/>
        <w:rPr>
          <w:rFonts w:ascii="宋体" w:hAnsi="宋体" w:eastAsia="宋体" w:cs="宋体"/>
          <w:sz w:val="24"/>
          <w:szCs w:val="24"/>
        </w:rPr>
      </w:pPr>
      <w:r>
        <w:rPr>
          <w:rFonts w:ascii="宋体" w:hAnsi="宋体" w:eastAsia="宋体" w:cs="宋体"/>
          <w:spacing w:val="-6"/>
          <w:sz w:val="24"/>
          <w:szCs w:val="24"/>
        </w:rPr>
        <w:t>1.5.1交付期限</w:t>
      </w:r>
      <w:r>
        <w:rPr>
          <w:rFonts w:ascii="宋体" w:hAnsi="宋体" w:eastAsia="宋体" w:cs="宋体"/>
          <w:sz w:val="24"/>
          <w:szCs w:val="24"/>
        </w:rPr>
        <w:t>：</w:t>
      </w:r>
      <w:r>
        <w:rPr>
          <w:rFonts w:ascii="宋体" w:hAnsi="宋体" w:eastAsia="宋体" w:cs="宋体"/>
          <w:sz w:val="24"/>
          <w:szCs w:val="24"/>
          <w:u w:val="single" w:color="auto"/>
        </w:rPr>
        <w:t>；</w:t>
      </w:r>
    </w:p>
    <w:p w14:paraId="39F2D007">
      <w:pPr>
        <w:keepNext w:val="0"/>
        <w:keepLines w:val="0"/>
        <w:pageBreakBefore w:val="0"/>
        <w:kinsoku/>
        <w:wordWrap/>
        <w:overflowPunct/>
        <w:topLinePunct w:val="0"/>
        <w:bidi w:val="0"/>
        <w:spacing w:before="104" w:line="219" w:lineRule="auto"/>
        <w:ind w:left="516"/>
        <w:rPr>
          <w:rFonts w:ascii="宋体" w:hAnsi="宋体" w:eastAsia="宋体" w:cs="宋体"/>
          <w:sz w:val="24"/>
          <w:szCs w:val="24"/>
        </w:rPr>
      </w:pPr>
      <w:r>
        <w:rPr>
          <w:rFonts w:ascii="宋体" w:hAnsi="宋体" w:eastAsia="宋体" w:cs="宋体"/>
          <w:spacing w:val="-8"/>
          <w:sz w:val="24"/>
          <w:szCs w:val="24"/>
        </w:rPr>
        <w:t>1.5.2交付地点：；</w:t>
      </w:r>
    </w:p>
    <w:p w14:paraId="0B40F73D">
      <w:pPr>
        <w:keepNext w:val="0"/>
        <w:keepLines w:val="0"/>
        <w:pageBreakBefore w:val="0"/>
        <w:kinsoku/>
        <w:wordWrap/>
        <w:overflowPunct/>
        <w:topLinePunct w:val="0"/>
        <w:bidi w:val="0"/>
        <w:spacing w:before="106" w:line="219" w:lineRule="auto"/>
        <w:ind w:left="476"/>
        <w:rPr>
          <w:rFonts w:ascii="宋体" w:hAnsi="宋体" w:eastAsia="宋体" w:cs="宋体"/>
          <w:sz w:val="24"/>
          <w:szCs w:val="24"/>
        </w:rPr>
      </w:pPr>
      <w:r>
        <w:rPr>
          <w:rFonts w:ascii="宋体" w:hAnsi="宋体" w:eastAsia="宋体" w:cs="宋体"/>
          <w:spacing w:val="-8"/>
          <w:sz w:val="24"/>
          <w:szCs w:val="24"/>
        </w:rPr>
        <w:t>1.5.3交付方式：</w:t>
      </w:r>
    </w:p>
    <w:p w14:paraId="6A5F2242">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12" w:type="default"/>
          <w:pgSz w:w="11906" w:h="16839"/>
          <w:pgMar w:top="1440" w:right="1080" w:bottom="1440" w:left="1080" w:header="0" w:footer="994" w:gutter="0"/>
          <w:pgNumType w:fmt="decimal"/>
          <w:cols w:space="720" w:num="1"/>
        </w:sectPr>
      </w:pPr>
    </w:p>
    <w:p w14:paraId="6E8307AD">
      <w:pPr>
        <w:keepNext w:val="0"/>
        <w:keepLines w:val="0"/>
        <w:pageBreakBefore w:val="0"/>
        <w:kinsoku/>
        <w:wordWrap/>
        <w:overflowPunct/>
        <w:topLinePunct w:val="0"/>
        <w:bidi w:val="0"/>
        <w:spacing w:before="78" w:line="219" w:lineRule="auto"/>
        <w:ind w:left="523"/>
        <w:rPr>
          <w:rFonts w:ascii="宋体" w:hAnsi="宋体" w:eastAsia="宋体" w:cs="宋体"/>
          <w:sz w:val="24"/>
          <w:szCs w:val="24"/>
        </w:rPr>
      </w:pPr>
      <w:r>
        <w:rPr>
          <w:rFonts w:ascii="宋体" w:hAnsi="宋体" w:eastAsia="宋体" w:cs="宋体"/>
          <w:spacing w:val="-5"/>
          <w:sz w:val="24"/>
          <w:szCs w:val="24"/>
        </w:rPr>
        <w:t>1.5.4服务及质保期限：</w:t>
      </w:r>
      <w:r>
        <w:rPr>
          <w:rFonts w:ascii="宋体" w:hAnsi="宋体" w:eastAsia="宋体" w:cs="宋体"/>
          <w:spacing w:val="-6"/>
          <w:sz w:val="24"/>
          <w:szCs w:val="24"/>
        </w:rPr>
        <w:t>。</w:t>
      </w:r>
    </w:p>
    <w:p w14:paraId="72343A90">
      <w:pPr>
        <w:keepNext w:val="0"/>
        <w:keepLines w:val="0"/>
        <w:pageBreakBefore w:val="0"/>
        <w:kinsoku/>
        <w:wordWrap/>
        <w:overflowPunct/>
        <w:topLinePunct w:val="0"/>
        <w:bidi w:val="0"/>
        <w:spacing w:before="106" w:line="219" w:lineRule="auto"/>
        <w:ind w:left="525" w:leftChars="0"/>
        <w:outlineLvl w:val="0"/>
        <w:rPr>
          <w:rFonts w:ascii="宋体" w:hAnsi="宋体" w:eastAsia="宋体" w:cs="宋体"/>
          <w:sz w:val="24"/>
          <w:szCs w:val="24"/>
        </w:rPr>
      </w:pPr>
      <w:bookmarkStart w:id="13" w:name="_Toc17199"/>
      <w:r>
        <w:rPr>
          <w:rFonts w:ascii="宋体" w:hAnsi="宋体" w:eastAsia="宋体" w:cs="宋体"/>
          <w:spacing w:val="-7"/>
          <w:sz w:val="24"/>
          <w:szCs w:val="24"/>
        </w:rPr>
        <w:t>1.6违约责任</w:t>
      </w:r>
      <w:bookmarkEnd w:id="13"/>
    </w:p>
    <w:p w14:paraId="0DA8B732">
      <w:pPr>
        <w:keepNext w:val="0"/>
        <w:keepLines w:val="0"/>
        <w:pageBreakBefore w:val="0"/>
        <w:kinsoku/>
        <w:wordWrap/>
        <w:overflowPunct/>
        <w:topLinePunct w:val="0"/>
        <w:bidi w:val="0"/>
        <w:spacing w:before="128" w:line="265" w:lineRule="auto"/>
        <w:ind w:left="8" w:right="182" w:firstLine="514"/>
        <w:rPr>
          <w:rFonts w:ascii="宋体" w:hAnsi="宋体" w:eastAsia="宋体" w:cs="宋体"/>
          <w:sz w:val="24"/>
          <w:szCs w:val="24"/>
        </w:rPr>
      </w:pPr>
      <w:r>
        <w:rPr>
          <w:rFonts w:ascii="宋体" w:hAnsi="宋体" w:eastAsia="宋体" w:cs="宋体"/>
          <w:spacing w:val="-1"/>
          <w:sz w:val="24"/>
          <w:szCs w:val="24"/>
        </w:rPr>
        <w:t>1.6.1除不可抗力外，如果乙方没有按照本合同约定的期限、地点和方式交付标</w:t>
      </w:r>
      <w:r>
        <w:rPr>
          <w:rFonts w:ascii="宋体" w:hAnsi="宋体" w:eastAsia="宋体" w:cs="宋体"/>
          <w:sz w:val="24"/>
          <w:szCs w:val="24"/>
        </w:rPr>
        <w:t>的物，甲方可要求乙方支付违约金，违约金按每迟延交</w:t>
      </w:r>
      <w:r>
        <w:rPr>
          <w:rFonts w:ascii="宋体" w:hAnsi="宋体" w:eastAsia="宋体" w:cs="宋体"/>
          <w:spacing w:val="-1"/>
          <w:sz w:val="24"/>
          <w:szCs w:val="24"/>
        </w:rPr>
        <w:t>付标的物一日的应交付而未交</w:t>
      </w:r>
      <w:r>
        <w:rPr>
          <w:rFonts w:ascii="宋体" w:hAnsi="宋体" w:eastAsia="宋体" w:cs="宋体"/>
          <w:spacing w:val="1"/>
          <w:sz w:val="24"/>
          <w:szCs w:val="24"/>
        </w:rPr>
        <w:t>付标的物价格的</w:t>
      </w:r>
      <w:r>
        <w:rPr>
          <w:rFonts w:ascii="宋体" w:hAnsi="宋体" w:eastAsia="宋体" w:cs="宋体"/>
          <w:spacing w:val="1"/>
          <w:sz w:val="24"/>
          <w:szCs w:val="24"/>
          <w:u w:val="single" w:color="auto"/>
        </w:rPr>
        <w:t>万分之五</w:t>
      </w:r>
      <w:r>
        <w:rPr>
          <w:rFonts w:ascii="宋体" w:hAnsi="宋体" w:eastAsia="宋体" w:cs="宋体"/>
          <w:spacing w:val="1"/>
          <w:sz w:val="24"/>
          <w:szCs w:val="24"/>
        </w:rPr>
        <w:t>计算，最高限额为本合同总价的%；迟延超过【】</w:t>
      </w:r>
      <w:r>
        <w:rPr>
          <w:rFonts w:ascii="宋体" w:hAnsi="宋体" w:eastAsia="宋体" w:cs="宋体"/>
          <w:spacing w:val="-10"/>
          <w:sz w:val="24"/>
          <w:szCs w:val="24"/>
        </w:rPr>
        <w:t>日的，甲方有权在要求乙方支付违约金的同时，书面通知乙方解除本合同，乙方应退回</w:t>
      </w:r>
      <w:r>
        <w:rPr>
          <w:rFonts w:ascii="宋体" w:hAnsi="宋体" w:eastAsia="宋体" w:cs="宋体"/>
          <w:spacing w:val="8"/>
          <w:sz w:val="24"/>
          <w:szCs w:val="24"/>
        </w:rPr>
        <w:t>全部已收取的合同价款并按合同总金额的%向甲方支付违约金；</w:t>
      </w:r>
    </w:p>
    <w:p w14:paraId="51A30862">
      <w:pPr>
        <w:keepNext w:val="0"/>
        <w:keepLines w:val="0"/>
        <w:pageBreakBefore w:val="0"/>
        <w:kinsoku/>
        <w:wordWrap/>
        <w:overflowPunct/>
        <w:topLinePunct w:val="0"/>
        <w:bidi w:val="0"/>
        <w:spacing w:before="83" w:line="261" w:lineRule="auto"/>
        <w:ind w:left="13" w:firstLine="509"/>
        <w:rPr>
          <w:rFonts w:ascii="宋体" w:hAnsi="宋体" w:eastAsia="宋体" w:cs="宋体"/>
          <w:sz w:val="24"/>
          <w:szCs w:val="24"/>
        </w:rPr>
      </w:pPr>
      <w:r>
        <w:rPr>
          <w:rFonts w:ascii="宋体" w:hAnsi="宋体" w:eastAsia="宋体" w:cs="宋体"/>
          <w:spacing w:val="-3"/>
          <w:sz w:val="24"/>
          <w:szCs w:val="24"/>
        </w:rPr>
        <w:t>1.6.2除不可抗力外，如果甲方没有按照本合同约定的付款方式付款，乙方可要求</w:t>
      </w:r>
      <w:r>
        <w:rPr>
          <w:rFonts w:ascii="宋体" w:hAnsi="宋体" w:eastAsia="宋体" w:cs="宋体"/>
          <w:spacing w:val="4"/>
          <w:sz w:val="24"/>
          <w:szCs w:val="24"/>
        </w:rPr>
        <w:t>甲方支付违约金，违约金按每迟延付款一日的应付而未付款的</w:t>
      </w:r>
      <w:r>
        <w:rPr>
          <w:rFonts w:ascii="宋体" w:hAnsi="宋体" w:eastAsia="宋体" w:cs="宋体"/>
          <w:spacing w:val="4"/>
          <w:sz w:val="24"/>
          <w:szCs w:val="24"/>
          <w:u w:val="single" w:color="auto"/>
        </w:rPr>
        <w:t>万分之五</w:t>
      </w:r>
      <w:r>
        <w:rPr>
          <w:rFonts w:ascii="宋体" w:hAnsi="宋体" w:eastAsia="宋体" w:cs="宋体"/>
          <w:spacing w:val="4"/>
          <w:sz w:val="24"/>
          <w:szCs w:val="24"/>
        </w:rPr>
        <w:t>计算，最高限</w:t>
      </w:r>
      <w:r>
        <w:rPr>
          <w:rFonts w:ascii="宋体" w:hAnsi="宋体" w:eastAsia="宋体" w:cs="宋体"/>
          <w:sz w:val="24"/>
          <w:szCs w:val="24"/>
        </w:rPr>
        <w:t>额为欠付金额的%；迟延付款的违约金计算数额达到前述最高限</w:t>
      </w:r>
      <w:r>
        <w:rPr>
          <w:rFonts w:ascii="宋体" w:hAnsi="宋体" w:eastAsia="宋体" w:cs="宋体"/>
          <w:spacing w:val="-1"/>
          <w:sz w:val="24"/>
          <w:szCs w:val="24"/>
        </w:rPr>
        <w:t>额之日起，乙方</w:t>
      </w:r>
      <w:r>
        <w:rPr>
          <w:rFonts w:ascii="宋体" w:hAnsi="宋体" w:eastAsia="宋体" w:cs="宋体"/>
          <w:spacing w:val="-4"/>
          <w:sz w:val="24"/>
          <w:szCs w:val="24"/>
        </w:rPr>
        <w:t>有权在要求甲方支付违约金的同时，书面通知甲方解除本合</w:t>
      </w:r>
      <w:r>
        <w:rPr>
          <w:rFonts w:ascii="宋体" w:hAnsi="宋体" w:eastAsia="宋体" w:cs="宋体"/>
          <w:spacing w:val="-5"/>
          <w:sz w:val="24"/>
          <w:szCs w:val="24"/>
        </w:rPr>
        <w:t>同；</w:t>
      </w:r>
    </w:p>
    <w:p w14:paraId="001B6FD0">
      <w:pPr>
        <w:keepNext w:val="0"/>
        <w:keepLines w:val="0"/>
        <w:pageBreakBefore w:val="0"/>
        <w:kinsoku/>
        <w:wordWrap/>
        <w:overflowPunct/>
        <w:topLinePunct w:val="0"/>
        <w:bidi w:val="0"/>
        <w:spacing w:before="85" w:line="266" w:lineRule="auto"/>
        <w:ind w:left="10" w:right="201" w:firstLine="513"/>
        <w:rPr>
          <w:rFonts w:ascii="宋体" w:hAnsi="宋体" w:eastAsia="宋体" w:cs="宋体"/>
          <w:sz w:val="24"/>
          <w:szCs w:val="24"/>
        </w:rPr>
      </w:pPr>
      <w:r>
        <w:rPr>
          <w:rFonts w:ascii="宋体" w:hAnsi="宋体" w:eastAsia="宋体" w:cs="宋体"/>
          <w:spacing w:val="-5"/>
          <w:sz w:val="24"/>
          <w:szCs w:val="24"/>
        </w:rPr>
        <w:t>1.6.3除不可抗力外，任何一方未能履行本合同约定的其他主要义务，经催告后</w:t>
      </w:r>
      <w:r>
        <w:rPr>
          <w:rFonts w:ascii="宋体" w:hAnsi="宋体" w:eastAsia="宋体" w:cs="宋体"/>
          <w:spacing w:val="13"/>
          <w:sz w:val="24"/>
          <w:szCs w:val="24"/>
        </w:rPr>
        <w:t>在合理期限内仍未履行的，或者任何一方有其他违约行为致使不</w:t>
      </w:r>
      <w:r>
        <w:rPr>
          <w:rFonts w:ascii="宋体" w:hAnsi="宋体" w:eastAsia="宋体" w:cs="宋体"/>
          <w:spacing w:val="12"/>
          <w:sz w:val="24"/>
          <w:szCs w:val="24"/>
        </w:rPr>
        <w:t>能实现合同目的</w:t>
      </w:r>
      <w:r>
        <w:rPr>
          <w:rFonts w:ascii="宋体" w:hAnsi="宋体" w:eastAsia="宋体" w:cs="宋体"/>
          <w:spacing w:val="9"/>
          <w:sz w:val="24"/>
          <w:szCs w:val="24"/>
        </w:rPr>
        <w:t>的，或者任何一方有腐败行为(即：提供或给予或接受或索取任何财物或其</w:t>
      </w:r>
      <w:r>
        <w:rPr>
          <w:rFonts w:ascii="宋体" w:hAnsi="宋体" w:eastAsia="宋体" w:cs="宋体"/>
          <w:spacing w:val="8"/>
          <w:sz w:val="24"/>
          <w:szCs w:val="24"/>
        </w:rPr>
        <w:t>他好处</w:t>
      </w:r>
      <w:r>
        <w:rPr>
          <w:rFonts w:ascii="宋体" w:hAnsi="宋体" w:eastAsia="宋体" w:cs="宋体"/>
          <w:spacing w:val="6"/>
          <w:sz w:val="24"/>
          <w:szCs w:val="24"/>
        </w:rPr>
        <w:t>或者采取其他不正当手段影响对方当事人在合同签订</w:t>
      </w:r>
      <w:r>
        <w:rPr>
          <w:rFonts w:ascii="宋体" w:hAnsi="宋体" w:eastAsia="宋体" w:cs="宋体"/>
          <w:spacing w:val="5"/>
          <w:sz w:val="24"/>
          <w:szCs w:val="24"/>
        </w:rPr>
        <w:t>、履行过程中的行为)或者欺</w:t>
      </w:r>
      <w:r>
        <w:rPr>
          <w:rFonts w:ascii="宋体" w:hAnsi="宋体" w:eastAsia="宋体" w:cs="宋体"/>
          <w:spacing w:val="-1"/>
          <w:sz w:val="24"/>
          <w:szCs w:val="24"/>
        </w:rPr>
        <w:t>诈行为(即：以谎报事实或者隐瞒真相的方法来影响对方当事人在合同签订、履行过</w:t>
      </w:r>
      <w:r>
        <w:rPr>
          <w:rFonts w:ascii="宋体" w:hAnsi="宋体" w:eastAsia="宋体" w:cs="宋体"/>
          <w:spacing w:val="-4"/>
          <w:sz w:val="24"/>
          <w:szCs w:val="24"/>
        </w:rPr>
        <w:t>程中的行为)的，对方当事人可以书面通知违约方解除本合同；</w:t>
      </w:r>
    </w:p>
    <w:p w14:paraId="6537CADA">
      <w:pPr>
        <w:keepNext w:val="0"/>
        <w:keepLines w:val="0"/>
        <w:pageBreakBefore w:val="0"/>
        <w:kinsoku/>
        <w:wordWrap/>
        <w:overflowPunct/>
        <w:topLinePunct w:val="0"/>
        <w:bidi w:val="0"/>
        <w:spacing w:before="77" w:line="248" w:lineRule="auto"/>
        <w:ind w:left="260" w:right="206" w:firstLine="263"/>
        <w:rPr>
          <w:rFonts w:ascii="宋体" w:hAnsi="宋体" w:eastAsia="宋体" w:cs="宋体"/>
          <w:sz w:val="24"/>
          <w:szCs w:val="24"/>
        </w:rPr>
      </w:pPr>
      <w:r>
        <w:rPr>
          <w:rFonts w:ascii="宋体" w:hAnsi="宋体" w:eastAsia="宋体" w:cs="宋体"/>
          <w:spacing w:val="10"/>
          <w:sz w:val="24"/>
          <w:szCs w:val="24"/>
        </w:rPr>
        <w:t>1.6.4乙方在质保期内未按承诺提供售后等服务的，每发生一次向甲方支付</w:t>
      </w:r>
      <w:r>
        <w:rPr>
          <w:rFonts w:ascii="宋体" w:hAnsi="宋体" w:eastAsia="宋体" w:cs="宋体"/>
          <w:spacing w:val="-4"/>
          <w:sz w:val="24"/>
          <w:szCs w:val="24"/>
          <w:u w:val="single" w:color="auto"/>
        </w:rPr>
        <w:t>元</w:t>
      </w:r>
      <w:r>
        <w:rPr>
          <w:rFonts w:ascii="宋体" w:hAnsi="宋体" w:eastAsia="宋体" w:cs="宋体"/>
          <w:spacing w:val="-4"/>
          <w:sz w:val="24"/>
          <w:szCs w:val="24"/>
        </w:rPr>
        <w:t>的违约金。</w:t>
      </w:r>
    </w:p>
    <w:p w14:paraId="433DDE7C">
      <w:pPr>
        <w:keepNext w:val="0"/>
        <w:keepLines w:val="0"/>
        <w:pageBreakBefore w:val="0"/>
        <w:kinsoku/>
        <w:wordWrap/>
        <w:overflowPunct/>
        <w:topLinePunct w:val="0"/>
        <w:bidi w:val="0"/>
        <w:spacing w:before="76" w:line="265" w:lineRule="auto"/>
        <w:ind w:left="16" w:right="208" w:firstLine="506"/>
        <w:rPr>
          <w:rFonts w:ascii="宋体" w:hAnsi="宋体" w:eastAsia="宋体" w:cs="宋体"/>
          <w:sz w:val="24"/>
          <w:szCs w:val="24"/>
        </w:rPr>
      </w:pPr>
      <w:r>
        <w:rPr>
          <w:rFonts w:ascii="宋体" w:hAnsi="宋体" w:eastAsia="宋体" w:cs="宋体"/>
          <w:spacing w:val="5"/>
          <w:sz w:val="24"/>
          <w:szCs w:val="24"/>
        </w:rPr>
        <w:t>1.6.5任何一方按照前述约定要求违约方支付违约金的</w:t>
      </w:r>
      <w:r>
        <w:rPr>
          <w:rFonts w:ascii="宋体" w:hAnsi="宋体" w:eastAsia="宋体" w:cs="宋体"/>
          <w:spacing w:val="4"/>
          <w:sz w:val="24"/>
          <w:szCs w:val="24"/>
        </w:rPr>
        <w:t>同时，仍有权要求违约</w:t>
      </w:r>
      <w:r>
        <w:rPr>
          <w:rFonts w:ascii="宋体" w:hAnsi="宋体" w:eastAsia="宋体" w:cs="宋体"/>
          <w:spacing w:val="6"/>
          <w:sz w:val="24"/>
          <w:szCs w:val="24"/>
        </w:rPr>
        <w:t>方继续履行合同、采取补救措施，并有权按照己方</w:t>
      </w:r>
      <w:r>
        <w:rPr>
          <w:rFonts w:ascii="宋体" w:hAnsi="宋体" w:eastAsia="宋体" w:cs="宋体"/>
          <w:spacing w:val="5"/>
          <w:sz w:val="24"/>
          <w:szCs w:val="24"/>
        </w:rPr>
        <w:t>实际损失情况要求违约方赔偿损</w:t>
      </w:r>
      <w:r>
        <w:rPr>
          <w:rFonts w:ascii="宋体" w:hAnsi="宋体" w:eastAsia="宋体" w:cs="宋体"/>
          <w:spacing w:val="6"/>
          <w:sz w:val="24"/>
          <w:szCs w:val="24"/>
        </w:rPr>
        <w:t>失；任何一方按照前述约定要求解除本合同的同时</w:t>
      </w:r>
      <w:r>
        <w:rPr>
          <w:rFonts w:ascii="宋体" w:hAnsi="宋体" w:eastAsia="宋体" w:cs="宋体"/>
          <w:spacing w:val="5"/>
          <w:sz w:val="24"/>
          <w:szCs w:val="24"/>
        </w:rPr>
        <w:t>，仍有权要求违约方支付违约金</w:t>
      </w:r>
      <w:r>
        <w:rPr>
          <w:rFonts w:ascii="宋体" w:hAnsi="宋体" w:eastAsia="宋体" w:cs="宋体"/>
          <w:spacing w:val="6"/>
          <w:sz w:val="24"/>
          <w:szCs w:val="24"/>
        </w:rPr>
        <w:t>和按照己方实际损失情况要求违约方赔偿损失；且</w:t>
      </w:r>
      <w:r>
        <w:rPr>
          <w:rFonts w:ascii="宋体" w:hAnsi="宋体" w:eastAsia="宋体" w:cs="宋体"/>
          <w:spacing w:val="5"/>
          <w:sz w:val="24"/>
          <w:szCs w:val="24"/>
        </w:rPr>
        <w:t>守约方行使的任何权利救济方式</w:t>
      </w:r>
      <w:r>
        <w:rPr>
          <w:rFonts w:ascii="宋体" w:hAnsi="宋体" w:eastAsia="宋体" w:cs="宋体"/>
          <w:spacing w:val="-5"/>
          <w:sz w:val="24"/>
          <w:szCs w:val="24"/>
        </w:rPr>
        <w:t>均不视为其放弃了其他法定或者约定的权利救济方式；</w:t>
      </w:r>
    </w:p>
    <w:p w14:paraId="32FECA3B">
      <w:pPr>
        <w:keepNext w:val="0"/>
        <w:keepLines w:val="0"/>
        <w:pageBreakBefore w:val="0"/>
        <w:kinsoku/>
        <w:wordWrap/>
        <w:overflowPunct/>
        <w:topLinePunct w:val="0"/>
        <w:bidi w:val="0"/>
        <w:spacing w:before="78" w:line="257" w:lineRule="auto"/>
        <w:ind w:left="9" w:right="201" w:firstLine="513"/>
        <w:rPr>
          <w:rFonts w:ascii="宋体" w:hAnsi="宋体" w:eastAsia="宋体" w:cs="宋体"/>
          <w:sz w:val="24"/>
          <w:szCs w:val="24"/>
        </w:rPr>
      </w:pPr>
      <w:r>
        <w:rPr>
          <w:rFonts w:ascii="宋体" w:hAnsi="宋体" w:eastAsia="宋体" w:cs="宋体"/>
          <w:spacing w:val="-4"/>
          <w:sz w:val="24"/>
          <w:szCs w:val="24"/>
        </w:rPr>
        <w:t>1.6.6除前述约定外，除不可抗力外，任何一方未能履行本合同约定的义务，对</w:t>
      </w:r>
      <w:r>
        <w:rPr>
          <w:rFonts w:ascii="宋体" w:hAnsi="宋体" w:eastAsia="宋体" w:cs="宋体"/>
          <w:spacing w:val="6"/>
          <w:sz w:val="24"/>
          <w:szCs w:val="24"/>
        </w:rPr>
        <w:t>方当事人均有权要求继续履行、采取补救措施或者赔偿损失等，且对方当事人行使</w:t>
      </w:r>
      <w:r>
        <w:rPr>
          <w:rFonts w:ascii="宋体" w:hAnsi="宋体" w:eastAsia="宋体" w:cs="宋体"/>
          <w:spacing w:val="-3"/>
          <w:sz w:val="24"/>
          <w:szCs w:val="24"/>
        </w:rPr>
        <w:t>的任何权利救济方式均不视为其放弃了其他法定或者约定的权利救</w:t>
      </w:r>
      <w:r>
        <w:rPr>
          <w:rFonts w:ascii="宋体" w:hAnsi="宋体" w:eastAsia="宋体" w:cs="宋体"/>
          <w:spacing w:val="-4"/>
          <w:sz w:val="24"/>
          <w:szCs w:val="24"/>
        </w:rPr>
        <w:t>济方式；</w:t>
      </w:r>
    </w:p>
    <w:p w14:paraId="715AF7A7">
      <w:pPr>
        <w:keepNext w:val="0"/>
        <w:keepLines w:val="0"/>
        <w:pageBreakBefore w:val="0"/>
        <w:kinsoku/>
        <w:wordWrap/>
        <w:overflowPunct/>
        <w:topLinePunct w:val="0"/>
        <w:bidi w:val="0"/>
        <w:spacing w:before="79" w:line="257" w:lineRule="auto"/>
        <w:ind w:left="4" w:right="206" w:firstLine="518"/>
        <w:rPr>
          <w:rFonts w:ascii="宋体" w:hAnsi="宋体" w:eastAsia="宋体" w:cs="宋体"/>
          <w:sz w:val="24"/>
          <w:szCs w:val="24"/>
        </w:rPr>
      </w:pPr>
      <w:r>
        <w:rPr>
          <w:rFonts w:ascii="宋体" w:hAnsi="宋体" w:eastAsia="宋体" w:cs="宋体"/>
          <w:spacing w:val="5"/>
          <w:sz w:val="24"/>
          <w:szCs w:val="24"/>
        </w:rPr>
        <w:t>1.6.7如果出现政府采购监督管理部门在处理投诉事项</w:t>
      </w:r>
      <w:r>
        <w:rPr>
          <w:rFonts w:ascii="宋体" w:hAnsi="宋体" w:eastAsia="宋体" w:cs="宋体"/>
          <w:spacing w:val="4"/>
          <w:sz w:val="24"/>
          <w:szCs w:val="24"/>
        </w:rPr>
        <w:t>期间，书面通知甲方暂</w:t>
      </w:r>
      <w:r>
        <w:rPr>
          <w:rFonts w:ascii="宋体" w:hAnsi="宋体" w:eastAsia="宋体" w:cs="宋体"/>
          <w:spacing w:val="6"/>
          <w:sz w:val="24"/>
          <w:szCs w:val="24"/>
        </w:rPr>
        <w:t>停采购活动的情形，或者询问或质疑事项可能影响中标结果的，导致甲方中止履行</w:t>
      </w:r>
      <w:r>
        <w:rPr>
          <w:rFonts w:ascii="宋体" w:hAnsi="宋体" w:eastAsia="宋体" w:cs="宋体"/>
          <w:spacing w:val="-2"/>
          <w:sz w:val="24"/>
          <w:szCs w:val="24"/>
        </w:rPr>
        <w:t>合同的情形，均不视为甲方违约。</w:t>
      </w:r>
    </w:p>
    <w:p w14:paraId="13B68B67">
      <w:pPr>
        <w:keepNext w:val="0"/>
        <w:keepLines w:val="0"/>
        <w:pageBreakBefore w:val="0"/>
        <w:kinsoku/>
        <w:wordWrap/>
        <w:overflowPunct/>
        <w:topLinePunct w:val="0"/>
        <w:bidi w:val="0"/>
        <w:spacing w:before="50" w:line="219" w:lineRule="auto"/>
        <w:ind w:left="525" w:leftChars="0"/>
        <w:outlineLvl w:val="0"/>
        <w:rPr>
          <w:rFonts w:ascii="宋体" w:hAnsi="宋体" w:eastAsia="宋体" w:cs="宋体"/>
          <w:sz w:val="24"/>
          <w:szCs w:val="24"/>
        </w:rPr>
      </w:pPr>
      <w:bookmarkStart w:id="14" w:name="_Toc23339"/>
      <w:r>
        <w:rPr>
          <w:rFonts w:ascii="宋体" w:hAnsi="宋体" w:eastAsia="宋体" w:cs="宋体"/>
          <w:spacing w:val="-6"/>
          <w:sz w:val="24"/>
          <w:szCs w:val="24"/>
        </w:rPr>
        <w:t>1.7合同争议的解决</w:t>
      </w:r>
      <w:bookmarkEnd w:id="14"/>
    </w:p>
    <w:p w14:paraId="396D1078">
      <w:pPr>
        <w:keepNext w:val="0"/>
        <w:keepLines w:val="0"/>
        <w:pageBreakBefore w:val="0"/>
        <w:kinsoku/>
        <w:wordWrap/>
        <w:overflowPunct/>
        <w:topLinePunct w:val="0"/>
        <w:bidi w:val="0"/>
        <w:spacing w:before="127" w:line="264" w:lineRule="auto"/>
        <w:ind w:left="17" w:right="271" w:firstLine="474"/>
        <w:rPr>
          <w:rFonts w:ascii="宋体" w:hAnsi="宋体" w:eastAsia="宋体" w:cs="宋体"/>
          <w:sz w:val="24"/>
          <w:szCs w:val="24"/>
        </w:rPr>
      </w:pPr>
      <w:r>
        <w:rPr>
          <w:rFonts w:ascii="宋体" w:hAnsi="宋体" w:eastAsia="宋体" w:cs="宋体"/>
          <w:spacing w:val="-3"/>
          <w:sz w:val="24"/>
          <w:szCs w:val="24"/>
        </w:rPr>
        <w:t>本合同履行过程中发生的任何争议，双方当事人均可通过和解或者调解解决；不</w:t>
      </w:r>
      <w:r>
        <w:rPr>
          <w:rFonts w:ascii="宋体" w:hAnsi="宋体" w:eastAsia="宋体" w:cs="宋体"/>
          <w:spacing w:val="-2"/>
          <w:sz w:val="24"/>
          <w:szCs w:val="24"/>
        </w:rPr>
        <w:t>愿和解、调解或者和解、调解不成的，可以选择下列第种方式解决：</w:t>
      </w:r>
    </w:p>
    <w:p w14:paraId="3EAAA516">
      <w:pPr>
        <w:keepNext w:val="0"/>
        <w:keepLines w:val="0"/>
        <w:pageBreakBefore w:val="0"/>
        <w:kinsoku/>
        <w:wordWrap/>
        <w:overflowPunct/>
        <w:topLinePunct w:val="0"/>
        <w:bidi w:val="0"/>
        <w:spacing w:before="12" w:line="219" w:lineRule="auto"/>
        <w:ind w:left="523"/>
        <w:rPr>
          <w:rFonts w:ascii="宋体" w:hAnsi="宋体" w:eastAsia="宋体" w:cs="宋体"/>
          <w:sz w:val="24"/>
          <w:szCs w:val="24"/>
        </w:rPr>
      </w:pPr>
      <w:r>
        <w:rPr>
          <w:rFonts w:ascii="宋体" w:hAnsi="宋体" w:eastAsia="宋体" w:cs="宋体"/>
          <w:spacing w:val="-2"/>
          <w:sz w:val="24"/>
          <w:szCs w:val="24"/>
        </w:rPr>
        <w:t>1.7.1将争议提交</w:t>
      </w:r>
      <w:r>
        <w:rPr>
          <w:rFonts w:ascii="宋体" w:hAnsi="宋体" w:eastAsia="宋体" w:cs="宋体"/>
          <w:spacing w:val="-2"/>
          <w:sz w:val="24"/>
          <w:szCs w:val="24"/>
          <w:u w:val="single" w:color="auto"/>
        </w:rPr>
        <w:t>当地</w:t>
      </w:r>
      <w:r>
        <w:rPr>
          <w:rFonts w:ascii="宋体" w:hAnsi="宋体" w:eastAsia="宋体" w:cs="宋体"/>
          <w:spacing w:val="-2"/>
          <w:sz w:val="24"/>
          <w:szCs w:val="24"/>
        </w:rPr>
        <w:t>仲裁委员会依申请仲裁时其现行有效的仲裁规则裁决；</w:t>
      </w:r>
    </w:p>
    <w:p w14:paraId="52BF201A">
      <w:pPr>
        <w:keepNext w:val="0"/>
        <w:keepLines w:val="0"/>
        <w:pageBreakBefore w:val="0"/>
        <w:kinsoku/>
        <w:wordWrap/>
        <w:overflowPunct/>
        <w:topLinePunct w:val="0"/>
        <w:bidi w:val="0"/>
        <w:spacing w:before="110" w:line="220" w:lineRule="auto"/>
        <w:ind w:left="523"/>
        <w:rPr>
          <w:rFonts w:ascii="宋体" w:hAnsi="宋体" w:eastAsia="宋体" w:cs="宋体"/>
          <w:sz w:val="24"/>
          <w:szCs w:val="24"/>
        </w:rPr>
      </w:pPr>
      <w:r>
        <w:rPr>
          <w:rFonts w:ascii="宋体" w:hAnsi="宋体" w:eastAsia="宋体" w:cs="宋体"/>
          <w:spacing w:val="-12"/>
          <w:sz w:val="24"/>
          <w:szCs w:val="24"/>
        </w:rPr>
        <w:t>1.7.2向</w:t>
      </w:r>
      <w:r>
        <w:rPr>
          <w:rFonts w:ascii="宋体" w:hAnsi="宋体" w:eastAsia="宋体" w:cs="宋体"/>
          <w:spacing w:val="-12"/>
          <w:sz w:val="24"/>
          <w:szCs w:val="24"/>
          <w:u w:val="single" w:color="auto"/>
        </w:rPr>
        <w:t>甲方所在地</w:t>
      </w:r>
      <w:r>
        <w:rPr>
          <w:rFonts w:ascii="宋体" w:hAnsi="宋体" w:eastAsia="宋体" w:cs="宋体"/>
          <w:spacing w:val="-12"/>
          <w:sz w:val="24"/>
          <w:szCs w:val="24"/>
        </w:rPr>
        <w:t>人民法院起诉。</w:t>
      </w:r>
    </w:p>
    <w:p w14:paraId="693E7C07">
      <w:pPr>
        <w:keepNext w:val="0"/>
        <w:keepLines w:val="0"/>
        <w:pageBreakBefore w:val="0"/>
        <w:kinsoku/>
        <w:wordWrap/>
        <w:overflowPunct/>
        <w:topLinePunct w:val="0"/>
        <w:bidi w:val="0"/>
        <w:spacing w:before="105" w:line="220" w:lineRule="auto"/>
        <w:ind w:left="525" w:leftChars="0"/>
        <w:outlineLvl w:val="0"/>
        <w:rPr>
          <w:rFonts w:ascii="宋体" w:hAnsi="宋体" w:eastAsia="宋体" w:cs="宋体"/>
          <w:sz w:val="24"/>
          <w:szCs w:val="24"/>
        </w:rPr>
      </w:pPr>
      <w:bookmarkStart w:id="15" w:name="_Toc5746"/>
      <w:r>
        <w:rPr>
          <w:rFonts w:ascii="宋体" w:hAnsi="宋体" w:eastAsia="宋体" w:cs="宋体"/>
          <w:spacing w:val="-7"/>
          <w:sz w:val="24"/>
          <w:szCs w:val="24"/>
        </w:rPr>
        <w:t>1.8合同生效</w:t>
      </w:r>
      <w:bookmarkEnd w:id="15"/>
    </w:p>
    <w:p w14:paraId="5C010BF9">
      <w:pPr>
        <w:keepNext w:val="0"/>
        <w:keepLines w:val="0"/>
        <w:pageBreakBefore w:val="0"/>
        <w:kinsoku/>
        <w:wordWrap/>
        <w:overflowPunct/>
        <w:topLinePunct w:val="0"/>
        <w:bidi w:val="0"/>
        <w:spacing w:before="104" w:line="219" w:lineRule="auto"/>
        <w:rPr>
          <w:rFonts w:ascii="宋体" w:hAnsi="宋体" w:eastAsia="宋体" w:cs="宋体"/>
          <w:sz w:val="24"/>
          <w:szCs w:val="24"/>
        </w:rPr>
      </w:pPr>
      <w:r>
        <w:rPr>
          <w:rFonts w:ascii="宋体" w:hAnsi="宋体" w:eastAsia="宋体" w:cs="宋体"/>
          <w:spacing w:val="-2"/>
          <w:sz w:val="24"/>
          <w:szCs w:val="24"/>
        </w:rPr>
        <w:t>本合同自双方当事人加盖有效电子公章时生效。</w:t>
      </w:r>
    </w:p>
    <w:p w14:paraId="3A647C83">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13" w:type="default"/>
          <w:pgSz w:w="11906" w:h="16839"/>
          <w:pgMar w:top="1440" w:right="1080" w:bottom="1440" w:left="1080" w:header="0" w:footer="994" w:gutter="0"/>
          <w:pgNumType w:fmt="decimal"/>
          <w:cols w:space="720" w:num="1"/>
        </w:sectPr>
      </w:pPr>
    </w:p>
    <w:p w14:paraId="610A5B31">
      <w:pPr>
        <w:keepNext w:val="0"/>
        <w:keepLines w:val="0"/>
        <w:pageBreakBefore w:val="0"/>
        <w:kinsoku/>
        <w:wordWrap/>
        <w:overflowPunct/>
        <w:topLinePunct w:val="0"/>
        <w:bidi w:val="0"/>
        <w:spacing w:before="78" w:line="221" w:lineRule="auto"/>
        <w:ind w:left="270"/>
        <w:rPr>
          <w:rFonts w:ascii="宋体" w:hAnsi="宋体" w:eastAsia="宋体" w:cs="宋体"/>
          <w:sz w:val="24"/>
          <w:szCs w:val="24"/>
        </w:rPr>
      </w:pPr>
      <w:r>
        <w:rPr>
          <w:rFonts w:ascii="宋体" w:hAnsi="宋体" w:eastAsia="宋体" w:cs="宋体"/>
          <w:spacing w:val="-39"/>
          <w:sz w:val="24"/>
          <w:szCs w:val="24"/>
        </w:rPr>
        <w:t>甲方：乙方：</w:t>
      </w:r>
    </w:p>
    <w:p w14:paraId="3E7E98C5">
      <w:pPr>
        <w:keepNext w:val="0"/>
        <w:keepLines w:val="0"/>
        <w:pageBreakBefore w:val="0"/>
        <w:kinsoku/>
        <w:wordWrap/>
        <w:overflowPunct/>
        <w:topLinePunct w:val="0"/>
        <w:bidi w:val="0"/>
        <w:spacing w:before="86" w:line="219" w:lineRule="auto"/>
        <w:ind w:left="221"/>
        <w:rPr>
          <w:rFonts w:ascii="宋体" w:hAnsi="宋体" w:eastAsia="宋体" w:cs="宋体"/>
          <w:sz w:val="24"/>
          <w:szCs w:val="24"/>
        </w:rPr>
      </w:pPr>
      <w:r>
        <w:rPr>
          <w:rFonts w:ascii="宋体" w:hAnsi="宋体" w:eastAsia="宋体" w:cs="宋体"/>
          <w:spacing w:val="-11"/>
          <w:sz w:val="24"/>
          <w:szCs w:val="24"/>
        </w:rPr>
        <w:t>统一社会信用代码：统一社会信用代码或身</w:t>
      </w:r>
      <w:r>
        <w:rPr>
          <w:rFonts w:ascii="宋体" w:hAnsi="宋体" w:eastAsia="宋体" w:cs="宋体"/>
          <w:spacing w:val="-12"/>
          <w:sz w:val="24"/>
          <w:szCs w:val="24"/>
        </w:rPr>
        <w:t>份证号码：</w:t>
      </w:r>
    </w:p>
    <w:p w14:paraId="1A9E6F85">
      <w:pPr>
        <w:pStyle w:val="7"/>
        <w:keepNext w:val="0"/>
        <w:keepLines w:val="0"/>
        <w:pageBreakBefore w:val="0"/>
        <w:kinsoku/>
        <w:wordWrap/>
        <w:overflowPunct/>
        <w:topLinePunct w:val="0"/>
        <w:bidi w:val="0"/>
        <w:spacing w:line="355" w:lineRule="auto"/>
      </w:pPr>
    </w:p>
    <w:p w14:paraId="1DD32D68">
      <w:pPr>
        <w:keepNext w:val="0"/>
        <w:keepLines w:val="0"/>
        <w:pageBreakBefore w:val="0"/>
        <w:kinsoku/>
        <w:wordWrap/>
        <w:overflowPunct/>
        <w:topLinePunct w:val="0"/>
        <w:bidi w:val="0"/>
        <w:spacing w:before="78" w:line="220" w:lineRule="auto"/>
        <w:ind w:left="210"/>
        <w:rPr>
          <w:rFonts w:ascii="宋体" w:hAnsi="宋体" w:eastAsia="宋体" w:cs="宋体"/>
          <w:sz w:val="24"/>
          <w:szCs w:val="24"/>
        </w:rPr>
      </w:pPr>
      <w:r>
        <w:rPr>
          <w:rFonts w:ascii="宋体" w:hAnsi="宋体" w:eastAsia="宋体" w:cs="宋体"/>
          <w:spacing w:val="-21"/>
          <w:sz w:val="24"/>
          <w:szCs w:val="24"/>
        </w:rPr>
        <w:t>住所：住所：</w:t>
      </w:r>
    </w:p>
    <w:p w14:paraId="06F25E84">
      <w:pPr>
        <w:keepNext w:val="0"/>
        <w:keepLines w:val="0"/>
        <w:pageBreakBefore w:val="0"/>
        <w:kinsoku/>
        <w:wordWrap/>
        <w:overflowPunct/>
        <w:topLinePunct w:val="0"/>
        <w:bidi w:val="0"/>
        <w:spacing w:before="86" w:line="219" w:lineRule="auto"/>
        <w:ind w:left="214"/>
        <w:rPr>
          <w:rFonts w:ascii="宋体" w:hAnsi="宋体" w:eastAsia="宋体" w:cs="宋体"/>
          <w:sz w:val="24"/>
          <w:szCs w:val="24"/>
        </w:rPr>
      </w:pPr>
      <w:r>
        <w:rPr>
          <w:rFonts w:ascii="宋体" w:hAnsi="宋体" w:eastAsia="宋体" w:cs="宋体"/>
          <w:spacing w:val="-4"/>
          <w:sz w:val="24"/>
          <w:szCs w:val="24"/>
        </w:rPr>
        <w:t>法定代表人或法定代表人</w:t>
      </w:r>
    </w:p>
    <w:p w14:paraId="34F479D7">
      <w:pPr>
        <w:keepNext w:val="0"/>
        <w:keepLines w:val="0"/>
        <w:pageBreakBefore w:val="0"/>
        <w:kinsoku/>
        <w:wordWrap/>
        <w:overflowPunct/>
        <w:topLinePunct w:val="0"/>
        <w:bidi w:val="0"/>
        <w:spacing w:before="86" w:line="219" w:lineRule="auto"/>
        <w:ind w:left="203"/>
        <w:rPr>
          <w:rFonts w:ascii="宋体" w:hAnsi="宋体" w:eastAsia="宋体" w:cs="宋体"/>
          <w:sz w:val="24"/>
          <w:szCs w:val="24"/>
        </w:rPr>
      </w:pPr>
      <w:r>
        <w:rPr>
          <w:rFonts w:ascii="宋体" w:hAnsi="宋体" w:eastAsia="宋体" w:cs="宋体"/>
          <w:spacing w:val="14"/>
          <w:sz w:val="24"/>
          <w:szCs w:val="24"/>
        </w:rPr>
        <w:t>授权代表(签字或盖章)：或授权代表(签字或盖章):</w:t>
      </w:r>
    </w:p>
    <w:p w14:paraId="09F445C1">
      <w:pPr>
        <w:keepNext w:val="0"/>
        <w:keepLines w:val="0"/>
        <w:pageBreakBefore w:val="0"/>
        <w:kinsoku/>
        <w:wordWrap/>
        <w:overflowPunct/>
        <w:topLinePunct w:val="0"/>
        <w:bidi w:val="0"/>
        <w:spacing w:before="91" w:line="221" w:lineRule="auto"/>
        <w:ind w:left="207"/>
        <w:rPr>
          <w:rFonts w:ascii="宋体" w:hAnsi="宋体" w:eastAsia="宋体" w:cs="宋体"/>
          <w:sz w:val="24"/>
          <w:szCs w:val="24"/>
        </w:rPr>
      </w:pPr>
      <w:r>
        <w:rPr>
          <w:rFonts w:ascii="宋体" w:hAnsi="宋体" w:eastAsia="宋体" w:cs="宋体"/>
          <w:spacing w:val="-21"/>
          <w:sz w:val="24"/>
          <w:szCs w:val="24"/>
        </w:rPr>
        <w:t>联系人：联系人：</w:t>
      </w:r>
    </w:p>
    <w:p w14:paraId="65067B9C">
      <w:pPr>
        <w:keepNext w:val="0"/>
        <w:keepLines w:val="0"/>
        <w:pageBreakBefore w:val="0"/>
        <w:kinsoku/>
        <w:wordWrap/>
        <w:overflowPunct/>
        <w:topLinePunct w:val="0"/>
        <w:bidi w:val="0"/>
        <w:spacing w:before="84" w:line="220" w:lineRule="auto"/>
        <w:ind w:left="224"/>
        <w:rPr>
          <w:rFonts w:ascii="宋体" w:hAnsi="宋体" w:eastAsia="宋体" w:cs="宋体"/>
          <w:sz w:val="24"/>
          <w:szCs w:val="24"/>
        </w:rPr>
      </w:pPr>
      <w:r>
        <w:rPr>
          <w:rFonts w:ascii="宋体" w:hAnsi="宋体" w:eastAsia="宋体" w:cs="宋体"/>
          <w:spacing w:val="-4"/>
          <w:sz w:val="24"/>
          <w:szCs w:val="24"/>
        </w:rPr>
        <w:t>约定送达地址：约定送达地</w:t>
      </w:r>
      <w:r>
        <w:rPr>
          <w:rFonts w:ascii="宋体" w:hAnsi="宋体" w:eastAsia="宋体" w:cs="宋体"/>
          <w:spacing w:val="-5"/>
          <w:sz w:val="24"/>
          <w:szCs w:val="24"/>
        </w:rPr>
        <w:t>址：</w:t>
      </w:r>
    </w:p>
    <w:p w14:paraId="64C9CCE6">
      <w:pPr>
        <w:keepNext w:val="0"/>
        <w:keepLines w:val="0"/>
        <w:pageBreakBefore w:val="0"/>
        <w:kinsoku/>
        <w:wordWrap/>
        <w:overflowPunct/>
        <w:topLinePunct w:val="0"/>
        <w:bidi w:val="0"/>
        <w:spacing w:before="87" w:line="219" w:lineRule="auto"/>
        <w:ind w:left="233"/>
        <w:rPr>
          <w:rFonts w:ascii="宋体" w:hAnsi="宋体" w:eastAsia="宋体" w:cs="宋体"/>
          <w:sz w:val="24"/>
          <w:szCs w:val="24"/>
        </w:rPr>
      </w:pPr>
      <w:r>
        <w:rPr>
          <w:rFonts w:ascii="宋体" w:hAnsi="宋体" w:eastAsia="宋体" w:cs="宋体"/>
          <w:spacing w:val="-25"/>
          <w:sz w:val="24"/>
          <w:szCs w:val="24"/>
        </w:rPr>
        <w:t>邮政编码：邮政编码：</w:t>
      </w:r>
    </w:p>
    <w:p w14:paraId="55D4DF50">
      <w:pPr>
        <w:keepNext w:val="0"/>
        <w:keepLines w:val="0"/>
        <w:pageBreakBefore w:val="0"/>
        <w:kinsoku/>
        <w:wordWrap/>
        <w:overflowPunct/>
        <w:topLinePunct w:val="0"/>
        <w:bidi w:val="0"/>
        <w:spacing w:before="87" w:line="221" w:lineRule="auto"/>
        <w:ind w:left="263"/>
        <w:rPr>
          <w:rFonts w:ascii="宋体" w:hAnsi="宋体" w:eastAsia="宋体" w:cs="宋体"/>
          <w:sz w:val="24"/>
          <w:szCs w:val="24"/>
        </w:rPr>
      </w:pPr>
      <w:r>
        <w:rPr>
          <w:rFonts w:ascii="宋体" w:hAnsi="宋体" w:eastAsia="宋体" w:cs="宋体"/>
          <w:spacing w:val="-27"/>
          <w:sz w:val="24"/>
          <w:szCs w:val="24"/>
        </w:rPr>
        <w:t>电话:电话:</w:t>
      </w:r>
    </w:p>
    <w:p w14:paraId="4D7D0A84">
      <w:pPr>
        <w:keepNext w:val="0"/>
        <w:keepLines w:val="0"/>
        <w:pageBreakBefore w:val="0"/>
        <w:kinsoku/>
        <w:wordWrap/>
        <w:overflowPunct/>
        <w:topLinePunct w:val="0"/>
        <w:bidi w:val="0"/>
        <w:spacing w:before="84" w:line="219" w:lineRule="auto"/>
        <w:ind w:left="199"/>
        <w:rPr>
          <w:rFonts w:ascii="宋体" w:hAnsi="宋体" w:eastAsia="宋体" w:cs="宋体"/>
          <w:sz w:val="24"/>
          <w:szCs w:val="24"/>
        </w:rPr>
      </w:pPr>
      <w:r>
        <w:rPr>
          <w:rFonts w:ascii="宋体" w:hAnsi="宋体" w:eastAsia="宋体" w:cs="宋体"/>
          <w:spacing w:val="3"/>
          <w:sz w:val="24"/>
          <w:szCs w:val="24"/>
        </w:rPr>
        <w:t>传真:传真:</w:t>
      </w:r>
    </w:p>
    <w:p w14:paraId="78BA7CB7">
      <w:pPr>
        <w:keepNext w:val="0"/>
        <w:keepLines w:val="0"/>
        <w:pageBreakBefore w:val="0"/>
        <w:kinsoku/>
        <w:wordWrap/>
        <w:overflowPunct/>
        <w:topLinePunct w:val="0"/>
        <w:bidi w:val="0"/>
        <w:spacing w:before="88" w:line="220" w:lineRule="auto"/>
        <w:ind w:left="263"/>
        <w:rPr>
          <w:rFonts w:ascii="宋体" w:hAnsi="宋体" w:eastAsia="宋体" w:cs="宋体"/>
          <w:sz w:val="24"/>
          <w:szCs w:val="24"/>
        </w:rPr>
      </w:pPr>
      <w:r>
        <w:rPr>
          <w:rFonts w:ascii="宋体" w:hAnsi="宋体" w:eastAsia="宋体" w:cs="宋体"/>
          <w:spacing w:val="-19"/>
          <w:sz w:val="24"/>
          <w:szCs w:val="24"/>
        </w:rPr>
        <w:t>电子邮箱：电子邮箱：</w:t>
      </w:r>
    </w:p>
    <w:p w14:paraId="09D8E4AE">
      <w:pPr>
        <w:keepNext w:val="0"/>
        <w:keepLines w:val="0"/>
        <w:pageBreakBefore w:val="0"/>
        <w:kinsoku/>
        <w:wordWrap/>
        <w:overflowPunct/>
        <w:topLinePunct w:val="0"/>
        <w:bidi w:val="0"/>
        <w:spacing w:before="86" w:line="220" w:lineRule="auto"/>
        <w:ind w:left="214"/>
        <w:rPr>
          <w:rFonts w:ascii="宋体" w:hAnsi="宋体" w:eastAsia="宋体" w:cs="宋体"/>
          <w:sz w:val="24"/>
          <w:szCs w:val="24"/>
        </w:rPr>
      </w:pPr>
      <w:r>
        <w:rPr>
          <w:rFonts w:ascii="宋体" w:hAnsi="宋体" w:eastAsia="宋体" w:cs="宋体"/>
          <w:spacing w:val="-10"/>
          <w:sz w:val="24"/>
          <w:szCs w:val="24"/>
        </w:rPr>
        <w:t>开户银行：开户银行：</w:t>
      </w:r>
    </w:p>
    <w:p w14:paraId="02E6E0B3">
      <w:pPr>
        <w:keepNext w:val="0"/>
        <w:keepLines w:val="0"/>
        <w:pageBreakBefore w:val="0"/>
        <w:kinsoku/>
        <w:wordWrap/>
        <w:overflowPunct/>
        <w:topLinePunct w:val="0"/>
        <w:bidi w:val="0"/>
        <w:spacing w:before="86" w:line="220" w:lineRule="auto"/>
        <w:ind w:left="214"/>
        <w:rPr>
          <w:rFonts w:ascii="宋体" w:hAnsi="宋体" w:eastAsia="宋体" w:cs="宋体"/>
          <w:sz w:val="24"/>
          <w:szCs w:val="24"/>
        </w:rPr>
      </w:pPr>
      <w:r>
        <w:rPr>
          <w:rFonts w:ascii="宋体" w:hAnsi="宋体" w:eastAsia="宋体" w:cs="宋体"/>
          <w:spacing w:val="-19"/>
          <w:sz w:val="24"/>
          <w:szCs w:val="24"/>
        </w:rPr>
        <w:t>开户名称：开户名称：</w:t>
      </w:r>
    </w:p>
    <w:p w14:paraId="4F74C83C">
      <w:pPr>
        <w:keepNext w:val="0"/>
        <w:keepLines w:val="0"/>
        <w:pageBreakBefore w:val="0"/>
        <w:kinsoku/>
        <w:wordWrap/>
        <w:overflowPunct/>
        <w:topLinePunct w:val="0"/>
        <w:bidi w:val="0"/>
        <w:spacing w:before="86" w:line="220" w:lineRule="auto"/>
        <w:ind w:left="214"/>
        <w:rPr>
          <w:rFonts w:ascii="宋体" w:hAnsi="宋体" w:eastAsia="宋体" w:cs="宋体"/>
          <w:sz w:val="24"/>
          <w:szCs w:val="24"/>
        </w:rPr>
      </w:pPr>
      <w:r>
        <w:rPr>
          <w:rFonts w:ascii="宋体" w:hAnsi="宋体" w:eastAsia="宋体" w:cs="宋体"/>
          <w:spacing w:val="-3"/>
          <w:sz w:val="24"/>
          <w:szCs w:val="24"/>
        </w:rPr>
        <w:t>开户账号：</w:t>
      </w:r>
      <w:r>
        <w:rPr>
          <w:rFonts w:ascii="宋体" w:hAnsi="宋体" w:eastAsia="宋体" w:cs="宋体"/>
          <w:spacing w:val="-4"/>
          <w:sz w:val="24"/>
          <w:szCs w:val="24"/>
        </w:rPr>
        <w:t>开户账号：</w:t>
      </w:r>
    </w:p>
    <w:p w14:paraId="726328E2">
      <w:pPr>
        <w:pStyle w:val="7"/>
        <w:keepNext w:val="0"/>
        <w:keepLines w:val="0"/>
        <w:pageBreakBefore w:val="0"/>
        <w:kinsoku/>
        <w:wordWrap/>
        <w:overflowPunct/>
        <w:topLinePunct w:val="0"/>
        <w:bidi w:val="0"/>
        <w:spacing w:line="312" w:lineRule="auto"/>
      </w:pPr>
    </w:p>
    <w:p w14:paraId="6B689F24">
      <w:pPr>
        <w:pStyle w:val="7"/>
        <w:keepNext w:val="0"/>
        <w:keepLines w:val="0"/>
        <w:pageBreakBefore w:val="0"/>
        <w:kinsoku/>
        <w:wordWrap/>
        <w:overflowPunct/>
        <w:topLinePunct w:val="0"/>
        <w:bidi w:val="0"/>
        <w:spacing w:line="313" w:lineRule="auto"/>
      </w:pPr>
    </w:p>
    <w:p w14:paraId="576039FB">
      <w:pPr>
        <w:rPr>
          <w:rFonts w:ascii="宋体" w:hAnsi="宋体" w:eastAsia="宋体" w:cs="宋体"/>
          <w:b/>
          <w:bCs/>
          <w:spacing w:val="-7"/>
          <w:sz w:val="28"/>
          <w:szCs w:val="28"/>
        </w:rPr>
      </w:pPr>
      <w:r>
        <w:rPr>
          <w:rFonts w:ascii="宋体" w:hAnsi="宋体" w:eastAsia="宋体" w:cs="宋体"/>
          <w:b/>
          <w:bCs/>
          <w:spacing w:val="-7"/>
          <w:sz w:val="28"/>
          <w:szCs w:val="28"/>
        </w:rPr>
        <w:br w:type="page"/>
      </w:r>
    </w:p>
    <w:p w14:paraId="56BBFE2C">
      <w:pPr>
        <w:keepNext w:val="0"/>
        <w:keepLines w:val="0"/>
        <w:pageBreakBefore w:val="0"/>
        <w:kinsoku/>
        <w:wordWrap/>
        <w:overflowPunct/>
        <w:topLinePunct w:val="0"/>
        <w:bidi w:val="0"/>
        <w:spacing w:before="91" w:line="220" w:lineRule="auto"/>
        <w:ind w:left="3368" w:leftChars="0"/>
        <w:outlineLvl w:val="0"/>
        <w:rPr>
          <w:rFonts w:ascii="宋体" w:hAnsi="宋体" w:eastAsia="宋体" w:cs="宋体"/>
          <w:sz w:val="28"/>
          <w:szCs w:val="28"/>
        </w:rPr>
      </w:pPr>
      <w:bookmarkStart w:id="16" w:name="_Toc10459"/>
      <w:r>
        <w:rPr>
          <w:rFonts w:ascii="宋体" w:hAnsi="宋体" w:eastAsia="宋体" w:cs="宋体"/>
          <w:b/>
          <w:bCs/>
          <w:spacing w:val="-7"/>
          <w:sz w:val="28"/>
          <w:szCs w:val="28"/>
        </w:rPr>
        <w:t>第二部分合同一般条款</w:t>
      </w:r>
      <w:bookmarkEnd w:id="16"/>
    </w:p>
    <w:p w14:paraId="4E1D053A">
      <w:pPr>
        <w:pStyle w:val="7"/>
        <w:keepNext w:val="0"/>
        <w:keepLines w:val="0"/>
        <w:pageBreakBefore w:val="0"/>
        <w:kinsoku/>
        <w:wordWrap/>
        <w:overflowPunct/>
        <w:topLinePunct w:val="0"/>
        <w:bidi w:val="0"/>
        <w:spacing w:line="284" w:lineRule="auto"/>
      </w:pPr>
    </w:p>
    <w:p w14:paraId="1AA85037">
      <w:pPr>
        <w:keepNext w:val="0"/>
        <w:keepLines w:val="0"/>
        <w:pageBreakBefore w:val="0"/>
        <w:kinsoku/>
        <w:wordWrap/>
        <w:overflowPunct/>
        <w:topLinePunct w:val="0"/>
        <w:bidi w:val="0"/>
        <w:spacing w:before="78" w:line="220" w:lineRule="auto"/>
        <w:ind w:left="502" w:leftChars="0"/>
        <w:outlineLvl w:val="0"/>
        <w:rPr>
          <w:rFonts w:ascii="宋体" w:hAnsi="宋体" w:eastAsia="宋体" w:cs="宋体"/>
          <w:sz w:val="24"/>
          <w:szCs w:val="24"/>
        </w:rPr>
      </w:pPr>
      <w:bookmarkStart w:id="17" w:name="_Toc31505"/>
      <w:r>
        <w:rPr>
          <w:rFonts w:ascii="宋体" w:hAnsi="宋体" w:eastAsia="宋体" w:cs="宋体"/>
          <w:spacing w:val="-7"/>
          <w:sz w:val="24"/>
          <w:szCs w:val="24"/>
        </w:rPr>
        <w:t>2.1定义</w:t>
      </w:r>
      <w:bookmarkEnd w:id="17"/>
    </w:p>
    <w:p w14:paraId="1DE09CA5">
      <w:pPr>
        <w:keepNext w:val="0"/>
        <w:keepLines w:val="0"/>
        <w:pageBreakBefore w:val="0"/>
        <w:kinsoku/>
        <w:wordWrap/>
        <w:overflowPunct/>
        <w:topLinePunct w:val="0"/>
        <w:bidi w:val="0"/>
        <w:spacing w:before="98" w:line="219" w:lineRule="auto"/>
        <w:ind w:left="488"/>
        <w:rPr>
          <w:rFonts w:ascii="宋体" w:hAnsi="宋体" w:eastAsia="宋体" w:cs="宋体"/>
          <w:sz w:val="24"/>
          <w:szCs w:val="24"/>
        </w:rPr>
      </w:pPr>
      <w:r>
        <w:rPr>
          <w:rFonts w:ascii="宋体" w:hAnsi="宋体" w:eastAsia="宋体" w:cs="宋体"/>
          <w:spacing w:val="-2"/>
          <w:sz w:val="24"/>
          <w:szCs w:val="24"/>
        </w:rPr>
        <w:t>本合同中的下列词语应按以下内容进行解释：</w:t>
      </w:r>
    </w:p>
    <w:p w14:paraId="00386B36">
      <w:pPr>
        <w:keepNext w:val="0"/>
        <w:keepLines w:val="0"/>
        <w:pageBreakBefore w:val="0"/>
        <w:kinsoku/>
        <w:wordWrap/>
        <w:overflowPunct/>
        <w:topLinePunct w:val="0"/>
        <w:bidi w:val="0"/>
        <w:spacing w:before="130" w:line="248" w:lineRule="auto"/>
        <w:ind w:right="35" w:firstLine="497"/>
        <w:rPr>
          <w:rFonts w:ascii="宋体" w:hAnsi="宋体" w:eastAsia="宋体" w:cs="宋体"/>
          <w:sz w:val="24"/>
          <w:szCs w:val="24"/>
        </w:rPr>
      </w:pPr>
      <w:r>
        <w:rPr>
          <w:rFonts w:ascii="宋体" w:hAnsi="宋体" w:eastAsia="宋体" w:cs="宋体"/>
          <w:spacing w:val="-7"/>
          <w:sz w:val="24"/>
          <w:szCs w:val="24"/>
        </w:rPr>
        <w:t>2.1.1“合同”系指采购人和中标人签订的载明双方当事人所达成的协议，并包括</w:t>
      </w:r>
      <w:r>
        <w:rPr>
          <w:rFonts w:ascii="宋体" w:hAnsi="宋体" w:eastAsia="宋体" w:cs="宋体"/>
          <w:spacing w:val="-14"/>
          <w:sz w:val="24"/>
          <w:szCs w:val="24"/>
        </w:rPr>
        <w:t>所有的附件、附录和构成合同的其他文件。</w:t>
      </w:r>
    </w:p>
    <w:p w14:paraId="034D7BAD">
      <w:pPr>
        <w:keepNext w:val="0"/>
        <w:keepLines w:val="0"/>
        <w:pageBreakBefore w:val="0"/>
        <w:kinsoku/>
        <w:wordWrap/>
        <w:overflowPunct/>
        <w:topLinePunct w:val="0"/>
        <w:bidi w:val="0"/>
        <w:spacing w:before="77" w:line="247" w:lineRule="auto"/>
        <w:ind w:left="11" w:right="47" w:firstLine="487"/>
        <w:rPr>
          <w:rFonts w:ascii="宋体" w:hAnsi="宋体" w:eastAsia="宋体" w:cs="宋体"/>
          <w:sz w:val="24"/>
          <w:szCs w:val="24"/>
        </w:rPr>
      </w:pPr>
      <w:r>
        <w:rPr>
          <w:rFonts w:ascii="宋体" w:hAnsi="宋体" w:eastAsia="宋体" w:cs="宋体"/>
          <w:spacing w:val="-7"/>
          <w:sz w:val="24"/>
          <w:szCs w:val="24"/>
        </w:rPr>
        <w:t>2.1.2“合同价”系指根据合同约定，中标人在完全履行合同义务后，采购人应支</w:t>
      </w:r>
      <w:r>
        <w:rPr>
          <w:rFonts w:ascii="宋体" w:hAnsi="宋体" w:eastAsia="宋体" w:cs="宋体"/>
          <w:spacing w:val="-6"/>
          <w:sz w:val="24"/>
          <w:szCs w:val="24"/>
        </w:rPr>
        <w:t>付给中标人的价格。</w:t>
      </w:r>
    </w:p>
    <w:p w14:paraId="3168A69B">
      <w:pPr>
        <w:keepNext w:val="0"/>
        <w:keepLines w:val="0"/>
        <w:pageBreakBefore w:val="0"/>
        <w:kinsoku/>
        <w:wordWrap/>
        <w:overflowPunct/>
        <w:topLinePunct w:val="0"/>
        <w:bidi w:val="0"/>
        <w:spacing w:before="80" w:line="257" w:lineRule="auto"/>
        <w:ind w:left="5" w:firstLine="493"/>
        <w:rPr>
          <w:rFonts w:ascii="宋体" w:hAnsi="宋体" w:eastAsia="宋体" w:cs="宋体"/>
          <w:sz w:val="24"/>
          <w:szCs w:val="24"/>
        </w:rPr>
      </w:pPr>
      <w:r>
        <w:rPr>
          <w:rFonts w:ascii="宋体" w:hAnsi="宋体" w:eastAsia="宋体" w:cs="宋体"/>
          <w:spacing w:val="-6"/>
          <w:sz w:val="24"/>
          <w:szCs w:val="24"/>
        </w:rPr>
        <w:t>2.1.3“标的物”系指中标人根据合同约定应向采购人交付的一切各种形态和种类</w:t>
      </w:r>
      <w:r>
        <w:rPr>
          <w:rFonts w:ascii="宋体" w:hAnsi="宋体" w:eastAsia="宋体" w:cs="宋体"/>
          <w:spacing w:val="-28"/>
          <w:w w:val="98"/>
          <w:sz w:val="24"/>
          <w:szCs w:val="24"/>
        </w:rPr>
        <w:t>的</w:t>
      </w:r>
      <w:r>
        <w:rPr>
          <w:rFonts w:ascii="宋体" w:hAnsi="宋体" w:eastAsia="宋体" w:cs="宋体"/>
          <w:spacing w:val="-27"/>
          <w:w w:val="98"/>
          <w:sz w:val="24"/>
          <w:szCs w:val="24"/>
        </w:rPr>
        <w:t>货物、服务和工程，包括但不限于原材料、燃料、设备、机械、仪表、备件、计算机软件、信</w:t>
      </w:r>
      <w:r>
        <w:rPr>
          <w:rFonts w:ascii="宋体" w:hAnsi="宋体" w:eastAsia="宋体" w:cs="宋体"/>
          <w:spacing w:val="-26"/>
          <w:w w:val="98"/>
          <w:sz w:val="24"/>
          <w:szCs w:val="24"/>
        </w:rPr>
        <w:t>息</w:t>
      </w:r>
      <w:r>
        <w:rPr>
          <w:rFonts w:ascii="宋体" w:hAnsi="宋体" w:eastAsia="宋体" w:cs="宋体"/>
          <w:spacing w:val="-24"/>
          <w:sz w:val="24"/>
          <w:szCs w:val="24"/>
        </w:rPr>
        <w:t>化系统、信息化维保、物业服务、产品等，并包括工具、手册等其他相关资料。</w:t>
      </w:r>
    </w:p>
    <w:p w14:paraId="5E80D851">
      <w:pPr>
        <w:keepNext w:val="0"/>
        <w:keepLines w:val="0"/>
        <w:pageBreakBefore w:val="0"/>
        <w:kinsoku/>
        <w:wordWrap/>
        <w:overflowPunct/>
        <w:topLinePunct w:val="0"/>
        <w:bidi w:val="0"/>
        <w:spacing w:before="76" w:line="247" w:lineRule="auto"/>
        <w:ind w:left="20" w:right="57" w:firstLine="479"/>
        <w:rPr>
          <w:rFonts w:ascii="宋体" w:hAnsi="宋体" w:eastAsia="宋体" w:cs="宋体"/>
          <w:sz w:val="24"/>
          <w:szCs w:val="24"/>
        </w:rPr>
      </w:pPr>
      <w:r>
        <w:rPr>
          <w:rFonts w:ascii="宋体" w:hAnsi="宋体" w:eastAsia="宋体" w:cs="宋体"/>
          <w:spacing w:val="-8"/>
          <w:sz w:val="24"/>
          <w:szCs w:val="24"/>
        </w:rPr>
        <w:t>2.1.4“甲方”系指与中标人签署合同的采购人；采购人委</w:t>
      </w:r>
      <w:r>
        <w:rPr>
          <w:rFonts w:ascii="宋体" w:hAnsi="宋体" w:eastAsia="宋体" w:cs="宋体"/>
          <w:spacing w:val="-9"/>
          <w:sz w:val="24"/>
          <w:szCs w:val="24"/>
        </w:rPr>
        <w:t>托采购机构代表其与乙</w:t>
      </w:r>
      <w:r>
        <w:rPr>
          <w:rFonts w:ascii="宋体" w:hAnsi="宋体" w:eastAsia="宋体" w:cs="宋体"/>
          <w:spacing w:val="-4"/>
          <w:sz w:val="24"/>
          <w:szCs w:val="24"/>
        </w:rPr>
        <w:t>方签订合同的，采购人的授权委托书作为合</w:t>
      </w:r>
      <w:r>
        <w:rPr>
          <w:rFonts w:ascii="宋体" w:hAnsi="宋体" w:eastAsia="宋体" w:cs="宋体"/>
          <w:spacing w:val="-5"/>
          <w:sz w:val="24"/>
          <w:szCs w:val="24"/>
        </w:rPr>
        <w:t>同附件。</w:t>
      </w:r>
    </w:p>
    <w:p w14:paraId="350A302E">
      <w:pPr>
        <w:keepNext w:val="0"/>
        <w:keepLines w:val="0"/>
        <w:pageBreakBefore w:val="0"/>
        <w:kinsoku/>
        <w:wordWrap/>
        <w:overflowPunct/>
        <w:topLinePunct w:val="0"/>
        <w:bidi w:val="0"/>
        <w:spacing w:before="79" w:line="262" w:lineRule="auto"/>
        <w:ind w:left="10" w:right="48" w:firstLine="489"/>
        <w:rPr>
          <w:rFonts w:ascii="宋体" w:hAnsi="宋体" w:eastAsia="宋体" w:cs="宋体"/>
          <w:sz w:val="24"/>
          <w:szCs w:val="24"/>
        </w:rPr>
      </w:pPr>
      <w:r>
        <w:rPr>
          <w:rFonts w:ascii="宋体" w:hAnsi="宋体" w:eastAsia="宋体" w:cs="宋体"/>
          <w:spacing w:val="-8"/>
          <w:sz w:val="24"/>
          <w:szCs w:val="24"/>
        </w:rPr>
        <w:t>2.1.5“乙方”系指根据合同约定交付标的物的中标人；两个以上的自然人、法人</w:t>
      </w:r>
      <w:r>
        <w:rPr>
          <w:rFonts w:ascii="宋体" w:hAnsi="宋体" w:eastAsia="宋体" w:cs="宋体"/>
          <w:spacing w:val="-1"/>
          <w:sz w:val="24"/>
          <w:szCs w:val="24"/>
        </w:rPr>
        <w:t>或者其他组织组成一个联合体，以一个供应商的身份共同参加政府采购的，</w:t>
      </w:r>
      <w:r>
        <w:rPr>
          <w:rFonts w:ascii="宋体" w:hAnsi="宋体" w:eastAsia="宋体" w:cs="宋体"/>
          <w:spacing w:val="-2"/>
          <w:sz w:val="24"/>
          <w:szCs w:val="24"/>
        </w:rPr>
        <w:t>联合体各</w:t>
      </w:r>
      <w:r>
        <w:rPr>
          <w:rFonts w:ascii="宋体" w:hAnsi="宋体" w:eastAsia="宋体" w:cs="宋体"/>
          <w:spacing w:val="3"/>
          <w:sz w:val="24"/>
          <w:szCs w:val="24"/>
        </w:rPr>
        <w:t>方均应为乙方或者与乙方相同地位的合同当事人，并就合同约定的事项对甲方承担连</w:t>
      </w:r>
      <w:r>
        <w:rPr>
          <w:rFonts w:ascii="宋体" w:hAnsi="宋体" w:eastAsia="宋体" w:cs="宋体"/>
          <w:spacing w:val="-4"/>
          <w:sz w:val="24"/>
          <w:szCs w:val="24"/>
        </w:rPr>
        <w:t>带责任。</w:t>
      </w:r>
    </w:p>
    <w:p w14:paraId="77DB080B">
      <w:pPr>
        <w:keepNext w:val="0"/>
        <w:keepLines w:val="0"/>
        <w:pageBreakBefore w:val="0"/>
        <w:kinsoku/>
        <w:wordWrap/>
        <w:overflowPunct/>
        <w:topLinePunct w:val="0"/>
        <w:bidi w:val="0"/>
        <w:spacing w:before="51" w:line="219" w:lineRule="auto"/>
        <w:ind w:left="499"/>
        <w:rPr>
          <w:rFonts w:ascii="宋体" w:hAnsi="宋体" w:eastAsia="宋体" w:cs="宋体"/>
          <w:sz w:val="24"/>
          <w:szCs w:val="24"/>
        </w:rPr>
      </w:pPr>
      <w:r>
        <w:rPr>
          <w:rFonts w:ascii="宋体" w:hAnsi="宋体" w:eastAsia="宋体" w:cs="宋体"/>
          <w:spacing w:val="-7"/>
          <w:sz w:val="24"/>
          <w:szCs w:val="24"/>
        </w:rPr>
        <w:t>2.1.6“现场”系指合同约定标的物将要运至或者实施或者安装的地点。</w:t>
      </w:r>
    </w:p>
    <w:p w14:paraId="5A4B7D52">
      <w:pPr>
        <w:keepNext w:val="0"/>
        <w:keepLines w:val="0"/>
        <w:pageBreakBefore w:val="0"/>
        <w:kinsoku/>
        <w:wordWrap/>
        <w:overflowPunct/>
        <w:topLinePunct w:val="0"/>
        <w:bidi w:val="0"/>
        <w:spacing w:before="107" w:line="219" w:lineRule="auto"/>
        <w:ind w:left="502" w:leftChars="0"/>
        <w:outlineLvl w:val="0"/>
        <w:rPr>
          <w:rFonts w:ascii="宋体" w:hAnsi="宋体" w:eastAsia="宋体" w:cs="宋体"/>
          <w:sz w:val="24"/>
          <w:szCs w:val="24"/>
        </w:rPr>
      </w:pPr>
      <w:bookmarkStart w:id="18" w:name="_Toc9614"/>
      <w:r>
        <w:rPr>
          <w:rFonts w:ascii="宋体" w:hAnsi="宋体" w:eastAsia="宋体" w:cs="宋体"/>
          <w:spacing w:val="-4"/>
          <w:sz w:val="24"/>
          <w:szCs w:val="24"/>
        </w:rPr>
        <w:t>2.2技术规范</w:t>
      </w:r>
      <w:bookmarkEnd w:id="18"/>
    </w:p>
    <w:p w14:paraId="723DA60B">
      <w:pPr>
        <w:pStyle w:val="7"/>
        <w:keepNext w:val="0"/>
        <w:keepLines w:val="0"/>
        <w:pageBreakBefore w:val="0"/>
        <w:kinsoku/>
        <w:wordWrap/>
        <w:overflowPunct/>
        <w:topLinePunct w:val="0"/>
        <w:bidi w:val="0"/>
        <w:spacing w:line="344" w:lineRule="auto"/>
      </w:pPr>
      <w:r>
        <w:rPr>
          <w:rFonts w:ascii="宋体" w:hAnsi="宋体" w:eastAsia="宋体" w:cs="宋体"/>
          <w:spacing w:val="9"/>
          <w:sz w:val="24"/>
          <w:szCs w:val="24"/>
        </w:rPr>
        <w:t>标的物所应遵守的技术规范应与采购文件规定的技术规范和技</w:t>
      </w:r>
      <w:r>
        <w:rPr>
          <w:rFonts w:ascii="宋体" w:hAnsi="宋体" w:eastAsia="宋体" w:cs="宋体"/>
          <w:spacing w:val="8"/>
          <w:sz w:val="24"/>
          <w:szCs w:val="24"/>
        </w:rPr>
        <w:t>术规范附件(如</w:t>
      </w:r>
      <w:r>
        <w:rPr>
          <w:rFonts w:ascii="宋体" w:hAnsi="宋体" w:eastAsia="宋体" w:cs="宋体"/>
          <w:spacing w:val="13"/>
          <w:sz w:val="24"/>
          <w:szCs w:val="24"/>
        </w:rPr>
        <w:t>果有的话)及其技术规范偏差表(如果被甲方接受的话)相一致；如果采购文件中没</w:t>
      </w:r>
      <w:r>
        <w:rPr>
          <w:rFonts w:ascii="宋体" w:hAnsi="宋体" w:eastAsia="宋体" w:cs="宋体"/>
          <w:spacing w:val="-3"/>
          <w:sz w:val="24"/>
          <w:szCs w:val="24"/>
        </w:rPr>
        <w:t>有技术规范的相应说明，应以国家有关部门最新颁布的相应</w:t>
      </w:r>
      <w:r>
        <w:rPr>
          <w:rFonts w:ascii="宋体" w:hAnsi="宋体" w:eastAsia="宋体" w:cs="宋体"/>
          <w:spacing w:val="-4"/>
          <w:sz w:val="24"/>
          <w:szCs w:val="24"/>
        </w:rPr>
        <w:t>标准和规范为准。</w:t>
      </w:r>
    </w:p>
    <w:p w14:paraId="39B461AD">
      <w:pPr>
        <w:keepNext w:val="0"/>
        <w:keepLines w:val="0"/>
        <w:pageBreakBefore w:val="0"/>
        <w:kinsoku/>
        <w:wordWrap/>
        <w:overflowPunct/>
        <w:topLinePunct w:val="0"/>
        <w:bidi w:val="0"/>
        <w:spacing w:before="78" w:line="219" w:lineRule="auto"/>
        <w:ind w:left="511" w:leftChars="0"/>
        <w:outlineLvl w:val="0"/>
        <w:rPr>
          <w:rFonts w:ascii="宋体" w:hAnsi="宋体" w:eastAsia="宋体" w:cs="宋体"/>
          <w:sz w:val="24"/>
          <w:szCs w:val="24"/>
        </w:rPr>
      </w:pPr>
      <w:bookmarkStart w:id="19" w:name="_Toc19051"/>
      <w:r>
        <w:rPr>
          <w:rFonts w:ascii="宋体" w:hAnsi="宋体" w:eastAsia="宋体" w:cs="宋体"/>
          <w:spacing w:val="-5"/>
          <w:sz w:val="24"/>
          <w:szCs w:val="24"/>
        </w:rPr>
        <w:t>2.3知识产权</w:t>
      </w:r>
      <w:bookmarkEnd w:id="19"/>
    </w:p>
    <w:p w14:paraId="7B39F318">
      <w:pPr>
        <w:keepNext w:val="0"/>
        <w:keepLines w:val="0"/>
        <w:pageBreakBefore w:val="0"/>
        <w:kinsoku/>
        <w:wordWrap/>
        <w:overflowPunct/>
        <w:topLinePunct w:val="0"/>
        <w:bidi w:val="0"/>
        <w:spacing w:before="126" w:line="258" w:lineRule="auto"/>
        <w:ind w:left="39" w:right="26" w:firstLine="470"/>
        <w:rPr>
          <w:rFonts w:ascii="宋体" w:hAnsi="宋体" w:eastAsia="宋体" w:cs="宋体"/>
          <w:sz w:val="24"/>
          <w:szCs w:val="24"/>
        </w:rPr>
      </w:pPr>
      <w:r>
        <w:rPr>
          <w:rFonts w:ascii="宋体" w:hAnsi="宋体" w:eastAsia="宋体" w:cs="宋体"/>
          <w:spacing w:val="9"/>
          <w:sz w:val="24"/>
          <w:szCs w:val="24"/>
        </w:rPr>
        <w:t>2.3.1乙方应保证甲方在使用该标的物或其任何一部分时不受任</w:t>
      </w:r>
      <w:r>
        <w:rPr>
          <w:rFonts w:ascii="宋体" w:hAnsi="宋体" w:eastAsia="宋体" w:cs="宋体"/>
          <w:spacing w:val="8"/>
          <w:sz w:val="24"/>
          <w:szCs w:val="24"/>
        </w:rPr>
        <w:t>何第三方提出</w:t>
      </w:r>
      <w:r>
        <w:rPr>
          <w:rFonts w:ascii="宋体" w:hAnsi="宋体" w:eastAsia="宋体" w:cs="宋体"/>
          <w:spacing w:val="-13"/>
          <w:sz w:val="24"/>
          <w:szCs w:val="24"/>
        </w:rPr>
        <w:t>的侵犯其著作权、商标权、专利权等知识产权方面的起诉</w:t>
      </w:r>
      <w:r>
        <w:rPr>
          <w:rFonts w:ascii="宋体" w:hAnsi="宋体" w:eastAsia="宋体" w:cs="宋体"/>
          <w:spacing w:val="-14"/>
          <w:sz w:val="24"/>
          <w:szCs w:val="24"/>
        </w:rPr>
        <w:t>；如果任何第三方提出侵权指控，</w:t>
      </w:r>
      <w:r>
        <w:rPr>
          <w:rFonts w:ascii="宋体" w:hAnsi="宋体" w:eastAsia="宋体" w:cs="宋体"/>
          <w:spacing w:val="-9"/>
          <w:sz w:val="24"/>
          <w:szCs w:val="24"/>
        </w:rPr>
        <w:t>乙方须与该第三方交涉并承担由此发生的一切责任、费用和赔偿；</w:t>
      </w:r>
    </w:p>
    <w:p w14:paraId="16E489EE">
      <w:pPr>
        <w:keepNext w:val="0"/>
        <w:keepLines w:val="0"/>
        <w:pageBreakBefore w:val="0"/>
        <w:kinsoku/>
        <w:wordWrap/>
        <w:overflowPunct/>
        <w:topLinePunct w:val="0"/>
        <w:bidi w:val="0"/>
        <w:spacing w:before="76"/>
        <w:ind w:firstLine="509"/>
        <w:rPr>
          <w:rFonts w:ascii="宋体" w:hAnsi="宋体" w:eastAsia="宋体" w:cs="宋体"/>
          <w:sz w:val="24"/>
          <w:szCs w:val="24"/>
        </w:rPr>
      </w:pPr>
      <w:r>
        <w:rPr>
          <w:rFonts w:ascii="宋体" w:hAnsi="宋体" w:eastAsia="宋体" w:cs="宋体"/>
          <w:spacing w:val="11"/>
          <w:sz w:val="24"/>
          <w:szCs w:val="24"/>
        </w:rPr>
        <w:t>2.3.2具有知识产权的计算机软件等标的物的知识产权归属，详见</w:t>
      </w:r>
      <w:r>
        <w:rPr>
          <w:rFonts w:ascii="宋体" w:hAnsi="宋体" w:eastAsia="宋体" w:cs="宋体"/>
          <w:i/>
          <w:iCs/>
          <w:spacing w:val="11"/>
          <w:sz w:val="25"/>
          <w:szCs w:val="25"/>
          <w:u w:val="single" w:color="auto"/>
        </w:rPr>
        <w:t>合同专用条</w:t>
      </w:r>
      <w:r>
        <w:rPr>
          <w:rFonts w:ascii="宋体" w:hAnsi="宋体" w:eastAsia="宋体" w:cs="宋体"/>
          <w:i/>
          <w:iCs/>
          <w:spacing w:val="28"/>
          <w:sz w:val="25"/>
          <w:szCs w:val="25"/>
          <w:u w:val="single" w:color="auto"/>
        </w:rPr>
        <w:t>款</w:t>
      </w:r>
      <w:r>
        <w:rPr>
          <w:rFonts w:ascii="宋体" w:hAnsi="宋体" w:eastAsia="宋体" w:cs="宋体"/>
          <w:spacing w:val="28"/>
          <w:sz w:val="24"/>
          <w:szCs w:val="24"/>
        </w:rPr>
        <w:t>。</w:t>
      </w:r>
    </w:p>
    <w:p w14:paraId="4FC69D1A">
      <w:pPr>
        <w:keepNext w:val="0"/>
        <w:keepLines w:val="0"/>
        <w:pageBreakBefore w:val="0"/>
        <w:kinsoku/>
        <w:wordWrap/>
        <w:overflowPunct/>
        <w:topLinePunct w:val="0"/>
        <w:bidi w:val="0"/>
        <w:spacing w:before="47" w:line="220" w:lineRule="auto"/>
        <w:ind w:left="511" w:leftChars="0"/>
        <w:outlineLvl w:val="0"/>
        <w:rPr>
          <w:rFonts w:ascii="宋体" w:hAnsi="宋体" w:eastAsia="宋体" w:cs="宋体"/>
          <w:sz w:val="24"/>
          <w:szCs w:val="24"/>
        </w:rPr>
      </w:pPr>
      <w:bookmarkStart w:id="20" w:name="_Toc6085"/>
      <w:r>
        <w:rPr>
          <w:rFonts w:ascii="宋体" w:hAnsi="宋体" w:eastAsia="宋体" w:cs="宋体"/>
          <w:spacing w:val="-5"/>
          <w:sz w:val="24"/>
          <w:szCs w:val="24"/>
        </w:rPr>
        <w:t>2.4包装和装运</w:t>
      </w:r>
      <w:bookmarkEnd w:id="20"/>
    </w:p>
    <w:p w14:paraId="2F1664FC">
      <w:pPr>
        <w:keepNext w:val="0"/>
        <w:keepLines w:val="0"/>
        <w:pageBreakBefore w:val="0"/>
        <w:kinsoku/>
        <w:wordWrap/>
        <w:overflowPunct/>
        <w:topLinePunct w:val="0"/>
        <w:bidi w:val="0"/>
        <w:spacing w:before="121" w:line="264" w:lineRule="auto"/>
        <w:ind w:left="9" w:right="63" w:firstLine="497"/>
        <w:rPr>
          <w:rFonts w:ascii="宋体" w:hAnsi="宋体" w:eastAsia="宋体" w:cs="宋体"/>
          <w:sz w:val="24"/>
          <w:szCs w:val="24"/>
        </w:rPr>
      </w:pPr>
      <w:r>
        <w:rPr>
          <w:rFonts w:ascii="宋体" w:hAnsi="宋体" w:eastAsia="宋体" w:cs="宋体"/>
          <w:spacing w:val="7"/>
          <w:sz w:val="24"/>
          <w:szCs w:val="24"/>
        </w:rPr>
        <w:t>2.4.1除</w:t>
      </w:r>
      <w:r>
        <w:rPr>
          <w:rFonts w:ascii="宋体" w:hAnsi="宋体" w:eastAsia="宋体" w:cs="宋体"/>
          <w:i/>
          <w:iCs/>
          <w:spacing w:val="7"/>
          <w:sz w:val="25"/>
          <w:szCs w:val="25"/>
          <w:u w:val="single" w:color="auto"/>
        </w:rPr>
        <w:t>合同专用条款</w:t>
      </w:r>
      <w:r>
        <w:rPr>
          <w:rFonts w:ascii="宋体" w:hAnsi="宋体" w:eastAsia="宋体" w:cs="宋体"/>
          <w:spacing w:val="7"/>
          <w:sz w:val="24"/>
          <w:szCs w:val="24"/>
        </w:rPr>
        <w:t>另有约定外,乙方交付的全部标的物,均应采用本行业通</w:t>
      </w:r>
      <w:r>
        <w:rPr>
          <w:rFonts w:ascii="宋体" w:hAnsi="宋体" w:eastAsia="宋体" w:cs="宋体"/>
          <w:spacing w:val="5"/>
          <w:sz w:val="24"/>
          <w:szCs w:val="24"/>
        </w:rPr>
        <w:t>用的方式进行包装，没有通用方式的，应当采取足以保护标的物</w:t>
      </w:r>
      <w:r>
        <w:rPr>
          <w:rFonts w:ascii="宋体" w:hAnsi="宋体" w:eastAsia="宋体" w:cs="宋体"/>
          <w:spacing w:val="4"/>
          <w:sz w:val="24"/>
          <w:szCs w:val="24"/>
        </w:rPr>
        <w:t>的包装方式，且该包</w:t>
      </w:r>
      <w:r>
        <w:rPr>
          <w:rFonts w:ascii="宋体" w:hAnsi="宋体" w:eastAsia="宋体" w:cs="宋体"/>
          <w:spacing w:val="-14"/>
          <w:sz w:val="24"/>
          <w:szCs w:val="24"/>
        </w:rPr>
        <w:t>装应符合国家有关包装的法律、法规的规定。如有必要，包装应适用于远距离运</w:t>
      </w:r>
      <w:r>
        <w:rPr>
          <w:rFonts w:ascii="宋体" w:hAnsi="宋体" w:eastAsia="宋体" w:cs="宋体"/>
          <w:spacing w:val="-15"/>
          <w:sz w:val="24"/>
          <w:szCs w:val="24"/>
        </w:rPr>
        <w:t>输防潮、防</w:t>
      </w:r>
      <w:r>
        <w:rPr>
          <w:rFonts w:ascii="宋体" w:hAnsi="宋体" w:eastAsia="宋体" w:cs="宋体"/>
          <w:spacing w:val="-5"/>
          <w:sz w:val="24"/>
          <w:szCs w:val="24"/>
        </w:rPr>
        <w:t>震、防锈和防粗暴装卸，确保标的物安全无</w:t>
      </w:r>
      <w:r>
        <w:rPr>
          <w:rFonts w:ascii="宋体" w:hAnsi="宋体" w:eastAsia="宋体" w:cs="宋体"/>
          <w:spacing w:val="-6"/>
          <w:sz w:val="24"/>
          <w:szCs w:val="24"/>
        </w:rPr>
        <w:t>损地运抵现场。由于包装不善所引起的标的</w:t>
      </w:r>
      <w:r>
        <w:rPr>
          <w:rFonts w:ascii="宋体" w:hAnsi="宋体" w:eastAsia="宋体" w:cs="宋体"/>
          <w:spacing w:val="-1"/>
          <w:sz w:val="24"/>
          <w:szCs w:val="24"/>
        </w:rPr>
        <w:t>物锈蚀、损坏和损失等一切风险均由乙方承担。</w:t>
      </w:r>
    </w:p>
    <w:p w14:paraId="610356F9">
      <w:pPr>
        <w:keepNext w:val="0"/>
        <w:keepLines w:val="0"/>
        <w:pageBreakBefore w:val="0"/>
        <w:kinsoku/>
        <w:wordWrap/>
        <w:overflowPunct/>
        <w:topLinePunct w:val="0"/>
        <w:bidi w:val="0"/>
        <w:spacing w:before="50" w:line="212" w:lineRule="auto"/>
        <w:ind w:left="509"/>
        <w:rPr>
          <w:rFonts w:ascii="宋体" w:hAnsi="宋体" w:eastAsia="宋体" w:cs="宋体"/>
          <w:sz w:val="24"/>
          <w:szCs w:val="24"/>
        </w:rPr>
      </w:pPr>
      <w:r>
        <w:rPr>
          <w:rFonts w:ascii="宋体" w:hAnsi="宋体" w:eastAsia="宋体" w:cs="宋体"/>
          <w:spacing w:val="-6"/>
          <w:sz w:val="24"/>
          <w:szCs w:val="24"/>
        </w:rPr>
        <w:t>2.4.2装运标的物的要求和通知，详见</w:t>
      </w:r>
      <w:r>
        <w:rPr>
          <w:rFonts w:ascii="宋体" w:hAnsi="宋体" w:eastAsia="宋体" w:cs="宋体"/>
          <w:i/>
          <w:iCs/>
          <w:spacing w:val="-6"/>
          <w:sz w:val="25"/>
          <w:szCs w:val="25"/>
          <w:u w:val="single" w:color="auto"/>
        </w:rPr>
        <w:t>合同专用条款</w:t>
      </w:r>
      <w:r>
        <w:rPr>
          <w:rFonts w:ascii="宋体" w:hAnsi="宋体" w:eastAsia="宋体" w:cs="宋体"/>
          <w:spacing w:val="-6"/>
          <w:sz w:val="24"/>
          <w:szCs w:val="24"/>
        </w:rPr>
        <w:t>。</w:t>
      </w:r>
    </w:p>
    <w:p w14:paraId="68D9AB1D">
      <w:pPr>
        <w:keepNext w:val="0"/>
        <w:keepLines w:val="0"/>
        <w:pageBreakBefore w:val="0"/>
        <w:kinsoku/>
        <w:wordWrap/>
        <w:overflowPunct/>
        <w:topLinePunct w:val="0"/>
        <w:bidi w:val="0"/>
        <w:spacing w:before="105" w:line="219" w:lineRule="auto"/>
        <w:ind w:left="511" w:leftChars="0"/>
        <w:outlineLvl w:val="0"/>
        <w:rPr>
          <w:rFonts w:ascii="宋体" w:hAnsi="宋体" w:eastAsia="宋体" w:cs="宋体"/>
          <w:sz w:val="24"/>
          <w:szCs w:val="24"/>
        </w:rPr>
      </w:pPr>
      <w:bookmarkStart w:id="21" w:name="_Toc16662"/>
      <w:r>
        <w:rPr>
          <w:rFonts w:ascii="宋体" w:hAnsi="宋体" w:eastAsia="宋体" w:cs="宋体"/>
          <w:spacing w:val="-4"/>
          <w:sz w:val="24"/>
          <w:szCs w:val="24"/>
        </w:rPr>
        <w:t>2.5履约检查和问题反馈</w:t>
      </w:r>
      <w:bookmarkEnd w:id="21"/>
    </w:p>
    <w:p w14:paraId="24E8E300">
      <w:pPr>
        <w:keepNext w:val="0"/>
        <w:keepLines w:val="0"/>
        <w:pageBreakBefore w:val="0"/>
        <w:kinsoku/>
        <w:wordWrap/>
        <w:overflowPunct/>
        <w:topLinePunct w:val="0"/>
        <w:bidi w:val="0"/>
        <w:spacing w:before="108" w:line="254" w:lineRule="auto"/>
        <w:ind w:left="7" w:right="61" w:firstLine="501"/>
        <w:rPr>
          <w:rFonts w:ascii="宋体" w:hAnsi="宋体" w:eastAsia="宋体" w:cs="宋体"/>
          <w:sz w:val="24"/>
          <w:szCs w:val="24"/>
        </w:rPr>
      </w:pPr>
      <w:r>
        <w:rPr>
          <w:rFonts w:ascii="宋体" w:hAnsi="宋体" w:eastAsia="宋体" w:cs="宋体"/>
          <w:spacing w:val="2"/>
          <w:sz w:val="24"/>
          <w:szCs w:val="24"/>
        </w:rPr>
        <w:t>2.5.1甲方有权在其认为必要时，对乙方是否</w:t>
      </w:r>
      <w:r>
        <w:rPr>
          <w:rFonts w:ascii="宋体" w:hAnsi="宋体" w:eastAsia="宋体" w:cs="宋体"/>
          <w:spacing w:val="1"/>
          <w:sz w:val="24"/>
          <w:szCs w:val="24"/>
        </w:rPr>
        <w:t>能够按照合同约定交付标的物进行</w:t>
      </w:r>
      <w:r>
        <w:rPr>
          <w:rFonts w:ascii="宋体" w:hAnsi="宋体" w:eastAsia="宋体" w:cs="宋体"/>
          <w:spacing w:val="-2"/>
          <w:sz w:val="24"/>
          <w:szCs w:val="24"/>
        </w:rPr>
        <w:t>履约检查，以确保乙方所交付的标的物能够依约满足甲方之项目需求，但不得因履约检</w:t>
      </w:r>
      <w:r>
        <w:rPr>
          <w:rFonts w:ascii="宋体" w:hAnsi="宋体" w:eastAsia="宋体" w:cs="宋体"/>
          <w:spacing w:val="-4"/>
          <w:sz w:val="24"/>
          <w:szCs w:val="24"/>
        </w:rPr>
        <w:t>查妨碍乙方的正常工作，乙方应予积极配合；</w:t>
      </w:r>
    </w:p>
    <w:p w14:paraId="02B2A34D">
      <w:pPr>
        <w:keepNext w:val="0"/>
        <w:keepLines w:val="0"/>
        <w:pageBreakBefore w:val="0"/>
        <w:kinsoku/>
        <w:wordWrap/>
        <w:overflowPunct/>
        <w:topLinePunct w:val="0"/>
        <w:bidi w:val="0"/>
        <w:spacing w:before="105" w:line="229" w:lineRule="auto"/>
        <w:ind w:left="28" w:right="61" w:hanging="1"/>
        <w:rPr>
          <w:rFonts w:ascii="宋体" w:hAnsi="宋体" w:eastAsia="宋体" w:cs="宋体"/>
          <w:sz w:val="24"/>
          <w:szCs w:val="24"/>
        </w:rPr>
      </w:pPr>
      <w:r>
        <w:rPr>
          <w:rFonts w:ascii="宋体" w:hAnsi="宋体" w:eastAsia="宋体" w:cs="宋体"/>
          <w:spacing w:val="-2"/>
          <w:sz w:val="24"/>
          <w:szCs w:val="24"/>
        </w:rPr>
        <w:t>2.5.2合同履行期间，甲方有权将履行过程中出现的问题反馈给乙方，双方当事人应以</w:t>
      </w:r>
      <w:r>
        <w:rPr>
          <w:rFonts w:ascii="宋体" w:hAnsi="宋体" w:eastAsia="宋体" w:cs="宋体"/>
          <w:spacing w:val="-3"/>
          <w:sz w:val="24"/>
          <w:szCs w:val="24"/>
        </w:rPr>
        <w:t>书面形式约定需要完善和改进的内容。</w:t>
      </w:r>
    </w:p>
    <w:p w14:paraId="71F5DC4F">
      <w:pPr>
        <w:keepNext w:val="0"/>
        <w:keepLines w:val="0"/>
        <w:pageBreakBefore w:val="0"/>
        <w:kinsoku/>
        <w:wordWrap/>
        <w:overflowPunct/>
        <w:topLinePunct w:val="0"/>
        <w:bidi w:val="0"/>
        <w:spacing w:before="110" w:line="229" w:lineRule="auto"/>
        <w:ind w:left="507" w:leftChars="0" w:right="5852" w:rightChars="0" w:firstLine="2" w:firstLineChars="0"/>
        <w:outlineLvl w:val="0"/>
        <w:rPr>
          <w:rFonts w:ascii="宋体" w:hAnsi="宋体" w:eastAsia="宋体" w:cs="宋体"/>
          <w:sz w:val="24"/>
          <w:szCs w:val="24"/>
        </w:rPr>
      </w:pPr>
      <w:bookmarkStart w:id="22" w:name="_Toc368"/>
      <w:r>
        <w:rPr>
          <w:rFonts w:ascii="宋体" w:hAnsi="宋体" w:eastAsia="宋体" w:cs="宋体"/>
          <w:spacing w:val="9"/>
          <w:sz w:val="24"/>
          <w:szCs w:val="24"/>
        </w:rPr>
        <w:t>2.6结算方式和付款条件</w:t>
      </w:r>
      <w:r>
        <w:rPr>
          <w:rFonts w:ascii="宋体" w:hAnsi="宋体" w:eastAsia="宋体" w:cs="宋体"/>
          <w:spacing w:val="5"/>
          <w:sz w:val="24"/>
          <w:szCs w:val="24"/>
        </w:rPr>
        <w:t>详见</w:t>
      </w:r>
      <w:r>
        <w:rPr>
          <w:rFonts w:ascii="宋体" w:hAnsi="宋体" w:eastAsia="宋体" w:cs="宋体"/>
          <w:i/>
          <w:iCs/>
          <w:spacing w:val="5"/>
          <w:sz w:val="25"/>
          <w:szCs w:val="25"/>
          <w:u w:val="single" w:color="auto"/>
        </w:rPr>
        <w:t>合同专用条款</w:t>
      </w:r>
      <w:r>
        <w:rPr>
          <w:rFonts w:ascii="宋体" w:hAnsi="宋体" w:eastAsia="宋体" w:cs="宋体"/>
          <w:spacing w:val="5"/>
          <w:sz w:val="24"/>
          <w:szCs w:val="24"/>
        </w:rPr>
        <w:t>。</w:t>
      </w:r>
      <w:bookmarkEnd w:id="22"/>
    </w:p>
    <w:p w14:paraId="37E1D8BE">
      <w:pPr>
        <w:keepNext w:val="0"/>
        <w:keepLines w:val="0"/>
        <w:pageBreakBefore w:val="0"/>
        <w:kinsoku/>
        <w:wordWrap/>
        <w:overflowPunct/>
        <w:topLinePunct w:val="0"/>
        <w:bidi w:val="0"/>
        <w:spacing w:before="107" w:line="219" w:lineRule="auto"/>
        <w:ind w:left="511" w:leftChars="0"/>
        <w:outlineLvl w:val="0"/>
        <w:rPr>
          <w:rFonts w:ascii="宋体" w:hAnsi="宋体" w:eastAsia="宋体" w:cs="宋体"/>
          <w:sz w:val="24"/>
          <w:szCs w:val="24"/>
        </w:rPr>
      </w:pPr>
      <w:bookmarkStart w:id="23" w:name="_Toc31280"/>
      <w:r>
        <w:rPr>
          <w:rFonts w:ascii="宋体" w:hAnsi="宋体" w:eastAsia="宋体" w:cs="宋体"/>
          <w:spacing w:val="-4"/>
          <w:sz w:val="24"/>
          <w:szCs w:val="24"/>
        </w:rPr>
        <w:t>2.7技术资料和保密义务</w:t>
      </w:r>
      <w:bookmarkEnd w:id="23"/>
    </w:p>
    <w:p w14:paraId="32E06288">
      <w:pPr>
        <w:keepNext w:val="0"/>
        <w:keepLines w:val="0"/>
        <w:pageBreakBefore w:val="0"/>
        <w:kinsoku/>
        <w:wordWrap/>
        <w:overflowPunct/>
        <w:topLinePunct w:val="0"/>
        <w:bidi w:val="0"/>
        <w:spacing w:before="133" w:line="248" w:lineRule="auto"/>
        <w:ind w:left="23" w:right="226" w:firstLine="485"/>
        <w:rPr>
          <w:rFonts w:ascii="宋体" w:hAnsi="宋体" w:eastAsia="宋体" w:cs="宋体"/>
          <w:sz w:val="24"/>
          <w:szCs w:val="24"/>
        </w:rPr>
      </w:pPr>
      <w:r>
        <w:rPr>
          <w:rFonts w:ascii="宋体" w:hAnsi="宋体" w:eastAsia="宋体" w:cs="宋体"/>
          <w:spacing w:val="-1"/>
          <w:sz w:val="24"/>
          <w:szCs w:val="24"/>
        </w:rPr>
        <w:t>2.7.1乙方有权依据合同约定和项目需要，向甲方了解有</w:t>
      </w:r>
      <w:r>
        <w:rPr>
          <w:rFonts w:ascii="宋体" w:hAnsi="宋体" w:eastAsia="宋体" w:cs="宋体"/>
          <w:spacing w:val="-2"/>
          <w:sz w:val="24"/>
          <w:szCs w:val="24"/>
        </w:rPr>
        <w:t>关情况，调阅有关资料</w:t>
      </w:r>
      <w:r>
        <w:rPr>
          <w:rFonts w:ascii="宋体" w:hAnsi="宋体" w:eastAsia="宋体" w:cs="宋体"/>
          <w:spacing w:val="-21"/>
          <w:sz w:val="24"/>
          <w:szCs w:val="24"/>
        </w:rPr>
        <w:t>等，甲方应予积极配合；</w:t>
      </w:r>
    </w:p>
    <w:p w14:paraId="112E8102">
      <w:pPr>
        <w:keepNext w:val="0"/>
        <w:keepLines w:val="0"/>
        <w:pageBreakBefore w:val="0"/>
        <w:kinsoku/>
        <w:wordWrap/>
        <w:overflowPunct/>
        <w:topLinePunct w:val="0"/>
        <w:bidi w:val="0"/>
        <w:spacing w:before="50" w:line="219" w:lineRule="auto"/>
        <w:ind w:left="509"/>
        <w:rPr>
          <w:rFonts w:ascii="宋体" w:hAnsi="宋体" w:eastAsia="宋体" w:cs="宋体"/>
          <w:sz w:val="24"/>
          <w:szCs w:val="24"/>
        </w:rPr>
      </w:pPr>
      <w:r>
        <w:rPr>
          <w:rFonts w:ascii="宋体" w:hAnsi="宋体" w:eastAsia="宋体" w:cs="宋体"/>
          <w:spacing w:val="-5"/>
          <w:sz w:val="24"/>
          <w:szCs w:val="24"/>
        </w:rPr>
        <w:t>2.7.2乙方有义务妥善保管和保护由甲方提供的前款信息和</w:t>
      </w:r>
      <w:r>
        <w:rPr>
          <w:rFonts w:ascii="宋体" w:hAnsi="宋体" w:eastAsia="宋体" w:cs="宋体"/>
          <w:spacing w:val="-6"/>
          <w:sz w:val="24"/>
          <w:szCs w:val="24"/>
        </w:rPr>
        <w:t>资料等；</w:t>
      </w:r>
    </w:p>
    <w:p w14:paraId="301F652C">
      <w:pPr>
        <w:keepNext w:val="0"/>
        <w:keepLines w:val="0"/>
        <w:pageBreakBefore w:val="0"/>
        <w:kinsoku/>
        <w:wordWrap/>
        <w:overflowPunct/>
        <w:topLinePunct w:val="0"/>
        <w:bidi w:val="0"/>
        <w:spacing w:before="129" w:line="263" w:lineRule="auto"/>
        <w:ind w:left="18" w:right="248" w:firstLine="491"/>
        <w:rPr>
          <w:rFonts w:ascii="宋体" w:hAnsi="宋体" w:eastAsia="宋体" w:cs="宋体"/>
          <w:sz w:val="24"/>
          <w:szCs w:val="24"/>
        </w:rPr>
      </w:pPr>
      <w:r>
        <w:rPr>
          <w:rFonts w:ascii="宋体" w:hAnsi="宋体" w:eastAsia="宋体" w:cs="宋体"/>
          <w:spacing w:val="6"/>
          <w:sz w:val="24"/>
          <w:szCs w:val="24"/>
        </w:rPr>
        <w:t>2.7.3除非依照法律规定或者对方当事人的书面同意，</w:t>
      </w:r>
      <w:r>
        <w:rPr>
          <w:rFonts w:ascii="宋体" w:hAnsi="宋体" w:eastAsia="宋体" w:cs="宋体"/>
          <w:spacing w:val="5"/>
          <w:sz w:val="24"/>
          <w:szCs w:val="24"/>
        </w:rPr>
        <w:t>任何一方均应保证不向</w:t>
      </w:r>
      <w:r>
        <w:rPr>
          <w:rFonts w:ascii="宋体" w:hAnsi="宋体" w:eastAsia="宋体" w:cs="宋体"/>
          <w:spacing w:val="6"/>
          <w:sz w:val="24"/>
          <w:szCs w:val="24"/>
        </w:rPr>
        <w:t>任何第三方提供或披露有关合同的或者履行合同过程中知悉的对方当事人任何未公</w:t>
      </w:r>
      <w:r>
        <w:rPr>
          <w:rFonts w:ascii="宋体" w:hAnsi="宋体" w:eastAsia="宋体" w:cs="宋体"/>
          <w:spacing w:val="-18"/>
          <w:sz w:val="24"/>
          <w:szCs w:val="24"/>
        </w:rPr>
        <w:t>开的信息和资料，包括但不限于技术情报、技</w:t>
      </w:r>
      <w:r>
        <w:rPr>
          <w:rFonts w:ascii="宋体" w:hAnsi="宋体" w:eastAsia="宋体" w:cs="宋体"/>
          <w:spacing w:val="-19"/>
          <w:sz w:val="24"/>
          <w:szCs w:val="24"/>
        </w:rPr>
        <w:t>术资料、商业秘密和商业信息等，并采取一切</w:t>
      </w:r>
      <w:r>
        <w:rPr>
          <w:rFonts w:ascii="宋体" w:hAnsi="宋体" w:eastAsia="宋体" w:cs="宋体"/>
          <w:spacing w:val="2"/>
          <w:sz w:val="24"/>
          <w:szCs w:val="24"/>
        </w:rPr>
        <w:t>合理和必要措施及方式防止任何第三方接触到对方当事人的</w:t>
      </w:r>
      <w:r>
        <w:rPr>
          <w:rFonts w:ascii="宋体" w:hAnsi="宋体" w:eastAsia="宋体" w:cs="宋体"/>
          <w:spacing w:val="1"/>
          <w:sz w:val="24"/>
          <w:szCs w:val="24"/>
        </w:rPr>
        <w:t>上述保密信息和资料。</w:t>
      </w:r>
    </w:p>
    <w:p w14:paraId="0686716C">
      <w:pPr>
        <w:keepNext w:val="0"/>
        <w:keepLines w:val="0"/>
        <w:pageBreakBefore w:val="0"/>
        <w:kinsoku/>
        <w:wordWrap/>
        <w:overflowPunct/>
        <w:topLinePunct w:val="0"/>
        <w:bidi w:val="0"/>
        <w:spacing w:before="51" w:line="220" w:lineRule="auto"/>
        <w:ind w:left="511" w:leftChars="0"/>
        <w:outlineLvl w:val="0"/>
        <w:rPr>
          <w:rFonts w:ascii="宋体" w:hAnsi="宋体" w:eastAsia="宋体" w:cs="宋体"/>
          <w:sz w:val="24"/>
          <w:szCs w:val="24"/>
        </w:rPr>
      </w:pPr>
      <w:bookmarkStart w:id="24" w:name="_Toc22137"/>
      <w:r>
        <w:rPr>
          <w:rFonts w:ascii="宋体" w:hAnsi="宋体" w:eastAsia="宋体" w:cs="宋体"/>
          <w:spacing w:val="-5"/>
          <w:sz w:val="24"/>
          <w:szCs w:val="24"/>
        </w:rPr>
        <w:t>2.8质量保证</w:t>
      </w:r>
      <w:bookmarkEnd w:id="24"/>
    </w:p>
    <w:p w14:paraId="7772AB4A">
      <w:pPr>
        <w:keepNext w:val="0"/>
        <w:keepLines w:val="0"/>
        <w:pageBreakBefore w:val="0"/>
        <w:kinsoku/>
        <w:wordWrap/>
        <w:overflowPunct/>
        <w:topLinePunct w:val="0"/>
        <w:bidi w:val="0"/>
        <w:spacing w:before="131" w:line="248" w:lineRule="auto"/>
        <w:ind w:left="25" w:right="270" w:firstLine="481"/>
        <w:rPr>
          <w:rFonts w:ascii="宋体" w:hAnsi="宋体" w:eastAsia="宋体" w:cs="宋体"/>
          <w:sz w:val="24"/>
          <w:szCs w:val="24"/>
        </w:rPr>
      </w:pPr>
      <w:r>
        <w:rPr>
          <w:rFonts w:ascii="宋体" w:hAnsi="宋体" w:eastAsia="宋体" w:cs="宋体"/>
          <w:spacing w:val="4"/>
          <w:sz w:val="24"/>
          <w:szCs w:val="24"/>
        </w:rPr>
        <w:t>2.8.1乙方应建立和完善履行合同的内部质量保证体系，并提供相关内部规章</w:t>
      </w:r>
      <w:r>
        <w:rPr>
          <w:rFonts w:ascii="宋体" w:hAnsi="宋体" w:eastAsia="宋体" w:cs="宋体"/>
          <w:spacing w:val="-15"/>
          <w:sz w:val="24"/>
          <w:szCs w:val="24"/>
        </w:rPr>
        <w:t>制度给甲方，以便甲方进行监督检查；</w:t>
      </w:r>
    </w:p>
    <w:p w14:paraId="122E85A7">
      <w:pPr>
        <w:keepNext w:val="0"/>
        <w:keepLines w:val="0"/>
        <w:pageBreakBefore w:val="0"/>
        <w:kinsoku/>
        <w:wordWrap/>
        <w:overflowPunct/>
        <w:topLinePunct w:val="0"/>
        <w:bidi w:val="0"/>
        <w:spacing w:before="76" w:line="248" w:lineRule="auto"/>
        <w:ind w:left="17" w:right="224" w:firstLine="491"/>
        <w:rPr>
          <w:rFonts w:ascii="宋体" w:hAnsi="宋体" w:eastAsia="宋体" w:cs="宋体"/>
          <w:sz w:val="24"/>
          <w:szCs w:val="24"/>
        </w:rPr>
      </w:pPr>
      <w:r>
        <w:rPr>
          <w:rFonts w:ascii="宋体" w:hAnsi="宋体" w:eastAsia="宋体" w:cs="宋体"/>
          <w:spacing w:val="-6"/>
          <w:sz w:val="24"/>
          <w:szCs w:val="24"/>
        </w:rPr>
        <w:t>2.8.2乙方应保证履行合同的人员数量和素质、软件和硬件</w:t>
      </w:r>
      <w:r>
        <w:rPr>
          <w:rFonts w:ascii="宋体" w:hAnsi="宋体" w:eastAsia="宋体" w:cs="宋体"/>
          <w:spacing w:val="-7"/>
          <w:sz w:val="24"/>
          <w:szCs w:val="24"/>
        </w:rPr>
        <w:t>设备的配置、场地、环</w:t>
      </w:r>
      <w:r>
        <w:rPr>
          <w:rFonts w:ascii="宋体" w:hAnsi="宋体" w:eastAsia="宋体" w:cs="宋体"/>
          <w:spacing w:val="-8"/>
          <w:sz w:val="24"/>
          <w:szCs w:val="24"/>
        </w:rPr>
        <w:t>境和设施等满足全面履行合同的要求，并应接受甲方的监督检查。</w:t>
      </w:r>
    </w:p>
    <w:p w14:paraId="28D69739">
      <w:pPr>
        <w:keepNext w:val="0"/>
        <w:keepLines w:val="0"/>
        <w:pageBreakBefore w:val="0"/>
        <w:kinsoku/>
        <w:wordWrap/>
        <w:overflowPunct/>
        <w:topLinePunct w:val="0"/>
        <w:bidi w:val="0"/>
        <w:spacing w:before="52" w:line="234" w:lineRule="auto"/>
        <w:ind w:left="28" w:right="49" w:firstLine="480"/>
        <w:rPr>
          <w:rFonts w:ascii="宋体" w:hAnsi="宋体" w:eastAsia="宋体" w:cs="宋体"/>
          <w:sz w:val="24"/>
          <w:szCs w:val="24"/>
        </w:rPr>
      </w:pPr>
      <w:r>
        <w:rPr>
          <w:rFonts w:ascii="宋体" w:hAnsi="宋体" w:eastAsia="宋体" w:cs="宋体"/>
          <w:spacing w:val="-8"/>
          <w:sz w:val="24"/>
          <w:szCs w:val="24"/>
        </w:rPr>
        <w:t>2.8.3乙方应确保项目技术人员的数量和水平与投标文件一致。未经甲方书面同意，乙方不得擅自更换投标文件中注明的项目经理和技术负责人。否则甲方有权放弃或终止合</w:t>
      </w:r>
      <w:r>
        <w:rPr>
          <w:rFonts w:ascii="宋体" w:hAnsi="宋体" w:eastAsia="宋体" w:cs="宋体"/>
          <w:spacing w:val="-17"/>
          <w:sz w:val="24"/>
          <w:szCs w:val="24"/>
        </w:rPr>
        <w:t>同。</w:t>
      </w:r>
    </w:p>
    <w:p w14:paraId="5DE71F93">
      <w:pPr>
        <w:keepNext w:val="0"/>
        <w:keepLines w:val="0"/>
        <w:pageBreakBefore w:val="0"/>
        <w:kinsoku/>
        <w:wordWrap/>
        <w:overflowPunct/>
        <w:topLinePunct w:val="0"/>
        <w:bidi w:val="0"/>
        <w:spacing w:before="49" w:line="257" w:lineRule="auto"/>
        <w:ind w:left="29" w:right="231" w:firstLine="479"/>
        <w:rPr>
          <w:rFonts w:ascii="宋体" w:hAnsi="宋体" w:eastAsia="宋体" w:cs="宋体"/>
          <w:sz w:val="24"/>
          <w:szCs w:val="24"/>
        </w:rPr>
      </w:pPr>
      <w:r>
        <w:rPr>
          <w:rFonts w:ascii="宋体" w:hAnsi="宋体" w:eastAsia="宋体" w:cs="宋体"/>
          <w:spacing w:val="8"/>
          <w:sz w:val="24"/>
          <w:szCs w:val="24"/>
        </w:rPr>
        <w:t>2.8.4因乙方原因造成甲方其他系统不能正常运行，酿成重大事故(工作日系</w:t>
      </w:r>
      <w:r>
        <w:rPr>
          <w:rFonts w:ascii="宋体" w:hAnsi="宋体" w:eastAsia="宋体" w:cs="宋体"/>
          <w:spacing w:val="-6"/>
          <w:sz w:val="24"/>
          <w:szCs w:val="24"/>
        </w:rPr>
        <w:t>统中断一天以上)的，乙方应承担全部法律责</w:t>
      </w:r>
      <w:r>
        <w:rPr>
          <w:rFonts w:ascii="宋体" w:hAnsi="宋体" w:eastAsia="宋体" w:cs="宋体"/>
          <w:spacing w:val="-7"/>
          <w:sz w:val="24"/>
          <w:szCs w:val="24"/>
        </w:rPr>
        <w:t>任，并赔偿经济损失，赔偿金额为项目总</w:t>
      </w:r>
      <w:r>
        <w:rPr>
          <w:rFonts w:ascii="宋体" w:hAnsi="宋体" w:eastAsia="宋体" w:cs="宋体"/>
          <w:spacing w:val="-10"/>
          <w:sz w:val="24"/>
          <w:szCs w:val="24"/>
        </w:rPr>
        <w:t>价的</w:t>
      </w:r>
      <w:r>
        <w:rPr>
          <w:rFonts w:ascii="宋体" w:hAnsi="宋体" w:eastAsia="宋体" w:cs="宋体"/>
          <w:spacing w:val="-10"/>
          <w:sz w:val="24"/>
          <w:szCs w:val="24"/>
          <w:u w:val="single" w:color="auto"/>
        </w:rPr>
        <w:t>30%</w:t>
      </w:r>
      <w:r>
        <w:rPr>
          <w:rFonts w:ascii="宋体" w:hAnsi="宋体" w:eastAsia="宋体" w:cs="宋体"/>
          <w:spacing w:val="-10"/>
          <w:sz w:val="24"/>
          <w:szCs w:val="24"/>
        </w:rPr>
        <w:t>。</w:t>
      </w:r>
    </w:p>
    <w:p w14:paraId="55E57A1C">
      <w:pPr>
        <w:keepNext w:val="0"/>
        <w:keepLines w:val="0"/>
        <w:pageBreakBefore w:val="0"/>
        <w:kinsoku/>
        <w:wordWrap/>
        <w:overflowPunct/>
        <w:topLinePunct w:val="0"/>
        <w:bidi w:val="0"/>
        <w:spacing w:before="78" w:line="219" w:lineRule="auto"/>
        <w:ind w:left="503" w:leftChars="0"/>
        <w:outlineLvl w:val="0"/>
        <w:rPr>
          <w:rFonts w:ascii="宋体" w:hAnsi="宋体" w:eastAsia="宋体" w:cs="宋体"/>
          <w:sz w:val="24"/>
          <w:szCs w:val="24"/>
        </w:rPr>
      </w:pPr>
      <w:bookmarkStart w:id="25" w:name="_Toc21036"/>
      <w:r>
        <w:rPr>
          <w:rFonts w:ascii="宋体" w:hAnsi="宋体" w:eastAsia="宋体" w:cs="宋体"/>
          <w:spacing w:val="-4"/>
          <w:sz w:val="24"/>
          <w:szCs w:val="24"/>
        </w:rPr>
        <w:t>2.9标的物的风险负担</w:t>
      </w:r>
      <w:bookmarkEnd w:id="25"/>
    </w:p>
    <w:p w14:paraId="015A1B0D">
      <w:pPr>
        <w:keepNext w:val="0"/>
        <w:keepLines w:val="0"/>
        <w:pageBreakBefore w:val="0"/>
        <w:kinsoku/>
        <w:wordWrap/>
        <w:overflowPunct/>
        <w:topLinePunct w:val="0"/>
        <w:bidi w:val="0"/>
        <w:spacing w:before="130" w:line="259" w:lineRule="auto"/>
        <w:ind w:left="11" w:right="216" w:firstLine="475"/>
        <w:rPr>
          <w:rFonts w:ascii="宋体" w:hAnsi="宋体" w:eastAsia="宋体" w:cs="宋体"/>
          <w:sz w:val="24"/>
          <w:szCs w:val="24"/>
        </w:rPr>
      </w:pPr>
      <w:r>
        <w:rPr>
          <w:rFonts w:ascii="宋体" w:hAnsi="宋体" w:eastAsia="宋体" w:cs="宋体"/>
          <w:spacing w:val="6"/>
          <w:sz w:val="24"/>
          <w:szCs w:val="24"/>
        </w:rPr>
        <w:t>标的物或者在途标的物或者交付给第一承运人后的标的物毁损、灭失的风险负担详见</w:t>
      </w:r>
      <w:r>
        <w:rPr>
          <w:rFonts w:ascii="宋体" w:hAnsi="宋体" w:eastAsia="宋体" w:cs="宋体"/>
          <w:i/>
          <w:iCs/>
          <w:spacing w:val="6"/>
          <w:sz w:val="25"/>
          <w:szCs w:val="25"/>
          <w:u w:val="single" w:color="auto"/>
        </w:rPr>
        <w:t>合同专用条款</w:t>
      </w:r>
      <w:r>
        <w:rPr>
          <w:rFonts w:ascii="宋体" w:hAnsi="宋体" w:eastAsia="宋体" w:cs="宋体"/>
          <w:spacing w:val="6"/>
          <w:sz w:val="24"/>
          <w:szCs w:val="24"/>
        </w:rPr>
        <w:t>。</w:t>
      </w:r>
    </w:p>
    <w:p w14:paraId="76069F65">
      <w:pPr>
        <w:keepNext w:val="0"/>
        <w:keepLines w:val="0"/>
        <w:pageBreakBefore w:val="0"/>
        <w:kinsoku/>
        <w:wordWrap/>
        <w:overflowPunct/>
        <w:topLinePunct w:val="0"/>
        <w:bidi w:val="0"/>
        <w:spacing w:before="10" w:line="219" w:lineRule="auto"/>
        <w:ind w:left="503" w:leftChars="0"/>
        <w:outlineLvl w:val="0"/>
        <w:rPr>
          <w:rFonts w:ascii="宋体" w:hAnsi="宋体" w:eastAsia="宋体" w:cs="宋体"/>
          <w:sz w:val="24"/>
          <w:szCs w:val="24"/>
        </w:rPr>
      </w:pPr>
      <w:bookmarkStart w:id="26" w:name="_Toc16602"/>
      <w:r>
        <w:rPr>
          <w:rFonts w:ascii="宋体" w:hAnsi="宋体" w:eastAsia="宋体" w:cs="宋体"/>
          <w:spacing w:val="-4"/>
          <w:sz w:val="24"/>
          <w:szCs w:val="24"/>
        </w:rPr>
        <w:t>2.10延迟交货/交付</w:t>
      </w:r>
      <w:bookmarkEnd w:id="26"/>
    </w:p>
    <w:p w14:paraId="5B645B3A">
      <w:pPr>
        <w:keepNext w:val="0"/>
        <w:keepLines w:val="0"/>
        <w:pageBreakBefore w:val="0"/>
        <w:kinsoku/>
        <w:wordWrap/>
        <w:overflowPunct/>
        <w:topLinePunct w:val="0"/>
        <w:bidi w:val="0"/>
        <w:spacing w:before="125" w:line="268" w:lineRule="auto"/>
        <w:ind w:left="3" w:firstLine="485"/>
        <w:rPr>
          <w:rFonts w:ascii="宋体" w:hAnsi="宋体" w:eastAsia="宋体" w:cs="宋体"/>
          <w:sz w:val="24"/>
          <w:szCs w:val="24"/>
        </w:rPr>
      </w:pPr>
      <w:r>
        <w:rPr>
          <w:rFonts w:ascii="宋体" w:hAnsi="宋体" w:eastAsia="宋体" w:cs="宋体"/>
          <w:spacing w:val="2"/>
          <w:sz w:val="24"/>
          <w:szCs w:val="24"/>
        </w:rPr>
        <w:t>在合同履行过程中，如果乙方遇到不能按时交付</w:t>
      </w:r>
      <w:r>
        <w:rPr>
          <w:rFonts w:ascii="宋体" w:hAnsi="宋体" w:eastAsia="宋体" w:cs="宋体"/>
          <w:spacing w:val="1"/>
          <w:sz w:val="24"/>
          <w:szCs w:val="24"/>
        </w:rPr>
        <w:t>标的物的情况，应及时以书面形</w:t>
      </w:r>
      <w:r>
        <w:rPr>
          <w:rFonts w:ascii="宋体" w:hAnsi="宋体" w:eastAsia="宋体" w:cs="宋体"/>
          <w:spacing w:val="-8"/>
          <w:sz w:val="24"/>
          <w:szCs w:val="24"/>
        </w:rPr>
        <w:t>式将不能按时交付标的物的理由、预期延误时间通知甲方；甲方收到乙方通知后，认为其</w:t>
      </w:r>
      <w:r>
        <w:rPr>
          <w:rFonts w:ascii="宋体" w:hAnsi="宋体" w:eastAsia="宋体" w:cs="宋体"/>
          <w:spacing w:val="-1"/>
          <w:sz w:val="24"/>
          <w:szCs w:val="24"/>
        </w:rPr>
        <w:t>理由正当的，可以书面形式酌情同意乙方可以延长交货的具体时间。</w:t>
      </w:r>
    </w:p>
    <w:p w14:paraId="153FB815">
      <w:pPr>
        <w:keepNext w:val="0"/>
        <w:keepLines w:val="0"/>
        <w:pageBreakBefore w:val="0"/>
        <w:kinsoku/>
        <w:wordWrap/>
        <w:overflowPunct/>
        <w:topLinePunct w:val="0"/>
        <w:bidi w:val="0"/>
        <w:spacing w:before="11" w:line="221" w:lineRule="auto"/>
        <w:ind w:left="503" w:leftChars="0"/>
        <w:outlineLvl w:val="0"/>
        <w:rPr>
          <w:rFonts w:ascii="宋体" w:hAnsi="宋体" w:eastAsia="宋体" w:cs="宋体"/>
          <w:sz w:val="24"/>
          <w:szCs w:val="24"/>
        </w:rPr>
      </w:pPr>
      <w:bookmarkStart w:id="27" w:name="_Toc21807"/>
      <w:r>
        <w:rPr>
          <w:rFonts w:ascii="宋体" w:hAnsi="宋体" w:eastAsia="宋体" w:cs="宋体"/>
          <w:spacing w:val="-4"/>
          <w:sz w:val="24"/>
          <w:szCs w:val="24"/>
        </w:rPr>
        <w:t>2.11合同变更</w:t>
      </w:r>
      <w:bookmarkEnd w:id="27"/>
    </w:p>
    <w:p w14:paraId="4DF4BD14">
      <w:pPr>
        <w:keepNext w:val="0"/>
        <w:keepLines w:val="0"/>
        <w:pageBreakBefore w:val="0"/>
        <w:kinsoku/>
        <w:wordWrap/>
        <w:overflowPunct/>
        <w:topLinePunct w:val="0"/>
        <w:bidi w:val="0"/>
        <w:spacing w:before="126" w:line="257" w:lineRule="auto"/>
        <w:ind w:left="9" w:right="192" w:firstLine="491"/>
        <w:rPr>
          <w:rFonts w:ascii="宋体" w:hAnsi="宋体" w:eastAsia="宋体" w:cs="宋体"/>
          <w:sz w:val="24"/>
          <w:szCs w:val="24"/>
        </w:rPr>
      </w:pPr>
      <w:r>
        <w:rPr>
          <w:rFonts w:ascii="宋体" w:hAnsi="宋体" w:eastAsia="宋体" w:cs="宋体"/>
          <w:spacing w:val="-10"/>
          <w:sz w:val="24"/>
          <w:szCs w:val="24"/>
        </w:rPr>
        <w:t>2.11.1双方当事人协商一致，可以签订书面补充合同的形式变更合同，但不得违背</w:t>
      </w:r>
      <w:r>
        <w:rPr>
          <w:rFonts w:ascii="宋体" w:hAnsi="宋体" w:eastAsia="宋体" w:cs="宋体"/>
          <w:sz w:val="24"/>
          <w:szCs w:val="24"/>
        </w:rPr>
        <w:t>采购文件确定的事项。如果系追加与合同标的相同</w:t>
      </w:r>
      <w:r>
        <w:rPr>
          <w:rFonts w:ascii="宋体" w:hAnsi="宋体" w:eastAsia="宋体" w:cs="宋体"/>
          <w:spacing w:val="-1"/>
          <w:sz w:val="24"/>
          <w:szCs w:val="24"/>
        </w:rPr>
        <w:t>的标的物的，那么需经采购监督管</w:t>
      </w:r>
      <w:r>
        <w:rPr>
          <w:rFonts w:ascii="宋体" w:hAnsi="宋体" w:eastAsia="宋体" w:cs="宋体"/>
          <w:spacing w:val="-5"/>
          <w:sz w:val="24"/>
          <w:szCs w:val="24"/>
        </w:rPr>
        <w:t>理部门同意，且所有补充合同的采购金额不得超过原合同价的10%；</w:t>
      </w:r>
    </w:p>
    <w:p w14:paraId="7E33A400">
      <w:pPr>
        <w:keepNext w:val="0"/>
        <w:keepLines w:val="0"/>
        <w:pageBreakBefore w:val="0"/>
        <w:kinsoku/>
        <w:wordWrap/>
        <w:overflowPunct/>
        <w:topLinePunct w:val="0"/>
        <w:bidi w:val="0"/>
        <w:spacing w:before="79" w:line="257" w:lineRule="auto"/>
        <w:ind w:left="20" w:right="201" w:firstLine="480"/>
        <w:rPr>
          <w:rFonts w:ascii="宋体" w:hAnsi="宋体" w:eastAsia="宋体" w:cs="宋体"/>
          <w:sz w:val="24"/>
          <w:szCs w:val="24"/>
        </w:rPr>
      </w:pPr>
      <w:r>
        <w:rPr>
          <w:rFonts w:ascii="宋体" w:hAnsi="宋体" w:eastAsia="宋体" w:cs="宋体"/>
          <w:spacing w:val="8"/>
          <w:sz w:val="24"/>
          <w:szCs w:val="24"/>
        </w:rPr>
        <w:t>2.11.2合同继续履行将损害国家利益和社会公共利益的，双方当事人应当以</w:t>
      </w:r>
      <w:r>
        <w:rPr>
          <w:rFonts w:ascii="宋体" w:hAnsi="宋体" w:eastAsia="宋体" w:cs="宋体"/>
          <w:spacing w:val="-1"/>
          <w:sz w:val="24"/>
          <w:szCs w:val="24"/>
        </w:rPr>
        <w:t>书面形式变更合同。有过错的一方应当承担赔偿责任，双方当事人都有过错的，各自</w:t>
      </w:r>
      <w:r>
        <w:rPr>
          <w:rFonts w:ascii="宋体" w:hAnsi="宋体" w:eastAsia="宋体" w:cs="宋体"/>
          <w:spacing w:val="-5"/>
          <w:sz w:val="24"/>
          <w:szCs w:val="24"/>
        </w:rPr>
        <w:t>承担相应的责任。</w:t>
      </w:r>
    </w:p>
    <w:p w14:paraId="09CCCC03">
      <w:pPr>
        <w:keepNext w:val="0"/>
        <w:keepLines w:val="0"/>
        <w:pageBreakBefore w:val="0"/>
        <w:kinsoku/>
        <w:wordWrap/>
        <w:overflowPunct/>
        <w:topLinePunct w:val="0"/>
        <w:bidi w:val="0"/>
        <w:spacing w:before="51" w:line="220" w:lineRule="auto"/>
        <w:ind w:left="503" w:leftChars="0"/>
        <w:outlineLvl w:val="0"/>
        <w:rPr>
          <w:rFonts w:ascii="宋体" w:hAnsi="宋体" w:eastAsia="宋体" w:cs="宋体"/>
          <w:sz w:val="24"/>
          <w:szCs w:val="24"/>
        </w:rPr>
      </w:pPr>
      <w:bookmarkStart w:id="28" w:name="_Toc9732"/>
      <w:r>
        <w:rPr>
          <w:rFonts w:ascii="宋体" w:hAnsi="宋体" w:eastAsia="宋体" w:cs="宋体"/>
          <w:spacing w:val="-4"/>
          <w:sz w:val="24"/>
          <w:szCs w:val="24"/>
        </w:rPr>
        <w:t>2.12合同转让和分包</w:t>
      </w:r>
      <w:bookmarkEnd w:id="28"/>
    </w:p>
    <w:p w14:paraId="102F42BB">
      <w:pPr>
        <w:keepNext w:val="0"/>
        <w:keepLines w:val="0"/>
        <w:pageBreakBefore w:val="0"/>
        <w:kinsoku/>
        <w:wordWrap/>
        <w:overflowPunct/>
        <w:topLinePunct w:val="0"/>
        <w:bidi w:val="0"/>
        <w:spacing w:before="130" w:line="270" w:lineRule="auto"/>
        <w:ind w:right="62" w:firstLine="12"/>
        <w:jc w:val="both"/>
        <w:rPr>
          <w:rFonts w:ascii="宋体" w:hAnsi="宋体" w:eastAsia="宋体" w:cs="宋体"/>
          <w:sz w:val="24"/>
          <w:szCs w:val="24"/>
        </w:rPr>
      </w:pPr>
      <w:r>
        <w:rPr>
          <w:rFonts w:ascii="宋体" w:hAnsi="宋体" w:eastAsia="宋体" w:cs="宋体"/>
          <w:spacing w:val="-6"/>
          <w:sz w:val="24"/>
          <w:szCs w:val="24"/>
        </w:rPr>
        <w:t>合同的权利义务依法不得转让，但经甲方书面同意，乙方可以依法采取分包方式履行合</w:t>
      </w:r>
      <w:r>
        <w:rPr>
          <w:rFonts w:ascii="宋体" w:hAnsi="宋体" w:eastAsia="宋体" w:cs="宋体"/>
          <w:spacing w:val="3"/>
          <w:sz w:val="24"/>
          <w:szCs w:val="24"/>
        </w:rPr>
        <w:t>同，即：依法可以将合同项下的部分非主体、非关键性工作分包给他人完成，接受分包的供应商应当具备相应的资格条件，并不得再次分包，且乙方应就分包项目向甲方</w:t>
      </w:r>
      <w:r>
        <w:rPr>
          <w:rFonts w:ascii="宋体" w:hAnsi="宋体" w:eastAsia="宋体" w:cs="宋体"/>
          <w:spacing w:val="-1"/>
          <w:sz w:val="24"/>
          <w:szCs w:val="24"/>
        </w:rPr>
        <w:t>负责，并与分包供应商就分包项目向甲方承担连带责任。</w:t>
      </w:r>
    </w:p>
    <w:p w14:paraId="06FEEDDC">
      <w:pPr>
        <w:keepNext w:val="0"/>
        <w:keepLines w:val="0"/>
        <w:pageBreakBefore w:val="0"/>
        <w:kinsoku/>
        <w:wordWrap/>
        <w:overflowPunct/>
        <w:topLinePunct w:val="0"/>
        <w:bidi w:val="0"/>
        <w:spacing w:before="12" w:line="219" w:lineRule="auto"/>
        <w:ind w:left="503" w:leftChars="0"/>
        <w:outlineLvl w:val="0"/>
        <w:rPr>
          <w:rFonts w:ascii="宋体" w:hAnsi="宋体" w:eastAsia="宋体" w:cs="宋体"/>
          <w:sz w:val="24"/>
          <w:szCs w:val="24"/>
        </w:rPr>
      </w:pPr>
      <w:bookmarkStart w:id="29" w:name="_Toc15674"/>
      <w:r>
        <w:rPr>
          <w:rFonts w:ascii="宋体" w:hAnsi="宋体" w:eastAsia="宋体" w:cs="宋体"/>
          <w:spacing w:val="-4"/>
          <w:sz w:val="24"/>
          <w:szCs w:val="24"/>
        </w:rPr>
        <w:t>2.13不可抗力</w:t>
      </w:r>
      <w:bookmarkEnd w:id="29"/>
    </w:p>
    <w:p w14:paraId="3A2D63A0">
      <w:pPr>
        <w:keepNext w:val="0"/>
        <w:keepLines w:val="0"/>
        <w:pageBreakBefore w:val="0"/>
        <w:kinsoku/>
        <w:wordWrap/>
        <w:overflowPunct/>
        <w:topLinePunct w:val="0"/>
        <w:bidi w:val="0"/>
        <w:spacing w:before="128" w:line="248" w:lineRule="auto"/>
        <w:ind w:left="35" w:right="48" w:firstLine="463"/>
        <w:rPr>
          <w:rFonts w:ascii="宋体" w:hAnsi="宋体" w:eastAsia="宋体" w:cs="宋体"/>
          <w:sz w:val="24"/>
          <w:szCs w:val="24"/>
        </w:rPr>
      </w:pPr>
      <w:r>
        <w:rPr>
          <w:rFonts w:ascii="宋体" w:hAnsi="宋体" w:eastAsia="宋体" w:cs="宋体"/>
          <w:spacing w:val="-6"/>
          <w:sz w:val="24"/>
          <w:szCs w:val="24"/>
        </w:rPr>
        <w:t>2.13.1如果任何一方遭遇法律规定的不可抗力，致使合同履行受阻时，履行合同的</w:t>
      </w:r>
      <w:r>
        <w:rPr>
          <w:rFonts w:ascii="宋体" w:hAnsi="宋体" w:eastAsia="宋体" w:cs="宋体"/>
          <w:spacing w:val="-3"/>
          <w:sz w:val="24"/>
          <w:szCs w:val="24"/>
        </w:rPr>
        <w:t>期限应予延长，延长的期限应相当于不可抗力所影响的时间；</w:t>
      </w:r>
    </w:p>
    <w:p w14:paraId="5A408A75">
      <w:pPr>
        <w:keepNext w:val="0"/>
        <w:keepLines w:val="0"/>
        <w:pageBreakBefore w:val="0"/>
        <w:kinsoku/>
        <w:wordWrap/>
        <w:overflowPunct/>
        <w:topLinePunct w:val="0"/>
        <w:bidi w:val="0"/>
        <w:spacing w:before="78" w:line="250" w:lineRule="auto"/>
        <w:ind w:left="17" w:right="36" w:firstLine="480"/>
        <w:rPr>
          <w:rFonts w:ascii="宋体" w:hAnsi="宋体" w:eastAsia="宋体" w:cs="宋体"/>
          <w:sz w:val="24"/>
          <w:szCs w:val="24"/>
        </w:rPr>
      </w:pPr>
      <w:r>
        <w:rPr>
          <w:rFonts w:ascii="宋体" w:hAnsi="宋体" w:eastAsia="宋体" w:cs="宋体"/>
          <w:spacing w:val="-1"/>
          <w:sz w:val="24"/>
          <w:szCs w:val="24"/>
        </w:rPr>
        <w:t>2.13.2受不可抗力影响的一方在不</w:t>
      </w:r>
      <w:r>
        <w:rPr>
          <w:rFonts w:ascii="宋体" w:hAnsi="宋体" w:eastAsia="宋体" w:cs="宋体"/>
          <w:spacing w:val="-2"/>
          <w:sz w:val="24"/>
          <w:szCs w:val="24"/>
        </w:rPr>
        <w:t>可抗力发生后，应在</w:t>
      </w:r>
      <w:r>
        <w:rPr>
          <w:rFonts w:ascii="宋体" w:hAnsi="宋体" w:eastAsia="宋体" w:cs="宋体"/>
          <w:i/>
          <w:iCs/>
          <w:spacing w:val="-2"/>
          <w:sz w:val="25"/>
          <w:szCs w:val="25"/>
          <w:u w:val="single" w:color="auto"/>
        </w:rPr>
        <w:t>合同专用条款</w:t>
      </w:r>
      <w:r>
        <w:rPr>
          <w:rFonts w:ascii="宋体" w:hAnsi="宋体" w:eastAsia="宋体" w:cs="宋体"/>
          <w:spacing w:val="-2"/>
          <w:sz w:val="24"/>
          <w:szCs w:val="24"/>
        </w:rPr>
        <w:t>约定时间内</w:t>
      </w:r>
      <w:r>
        <w:rPr>
          <w:rFonts w:ascii="宋体" w:hAnsi="宋体" w:eastAsia="宋体" w:cs="宋体"/>
          <w:spacing w:val="2"/>
          <w:sz w:val="24"/>
          <w:szCs w:val="24"/>
        </w:rPr>
        <w:t>以书面形式通知对方当事人，并在</w:t>
      </w:r>
      <w:r>
        <w:rPr>
          <w:rFonts w:ascii="宋体" w:hAnsi="宋体" w:eastAsia="宋体" w:cs="宋体"/>
          <w:i/>
          <w:iCs/>
          <w:spacing w:val="2"/>
          <w:sz w:val="25"/>
          <w:szCs w:val="25"/>
          <w:u w:val="single" w:color="auto"/>
        </w:rPr>
        <w:t>合同专用条款</w:t>
      </w:r>
      <w:r>
        <w:rPr>
          <w:rFonts w:ascii="宋体" w:hAnsi="宋体" w:eastAsia="宋体" w:cs="宋体"/>
          <w:spacing w:val="2"/>
          <w:sz w:val="24"/>
          <w:szCs w:val="24"/>
        </w:rPr>
        <w:t>约定时间内，将有关部门出具的证明</w:t>
      </w:r>
      <w:r>
        <w:rPr>
          <w:rFonts w:ascii="宋体" w:hAnsi="宋体" w:eastAsia="宋体" w:cs="宋体"/>
          <w:spacing w:val="-8"/>
          <w:sz w:val="24"/>
          <w:szCs w:val="24"/>
        </w:rPr>
        <w:t>文件送达对方当事人。</w:t>
      </w:r>
    </w:p>
    <w:p w14:paraId="2BE3B73A">
      <w:pPr>
        <w:keepNext w:val="0"/>
        <w:keepLines w:val="0"/>
        <w:pageBreakBefore w:val="0"/>
        <w:kinsoku/>
        <w:wordWrap/>
        <w:overflowPunct/>
        <w:topLinePunct w:val="0"/>
        <w:bidi w:val="0"/>
        <w:spacing w:before="51" w:line="219" w:lineRule="auto"/>
        <w:ind w:left="500"/>
        <w:rPr>
          <w:rFonts w:ascii="宋体" w:hAnsi="宋体" w:eastAsia="宋体" w:cs="宋体"/>
          <w:sz w:val="24"/>
          <w:szCs w:val="24"/>
        </w:rPr>
      </w:pPr>
      <w:r>
        <w:rPr>
          <w:rFonts w:ascii="宋体" w:hAnsi="宋体" w:eastAsia="宋体" w:cs="宋体"/>
          <w:spacing w:val="-9"/>
          <w:sz w:val="24"/>
          <w:szCs w:val="24"/>
        </w:rPr>
        <w:t>2.13.3因不可抗力致使不能实现合同目的的，</w:t>
      </w:r>
      <w:r>
        <w:rPr>
          <w:rFonts w:ascii="宋体" w:hAnsi="宋体" w:eastAsia="宋体" w:cs="宋体"/>
          <w:spacing w:val="-10"/>
          <w:sz w:val="24"/>
          <w:szCs w:val="24"/>
        </w:rPr>
        <w:t>当事人可以解除合同；</w:t>
      </w:r>
    </w:p>
    <w:p w14:paraId="1E0A6447">
      <w:pPr>
        <w:keepNext w:val="0"/>
        <w:keepLines w:val="0"/>
        <w:pageBreakBefore w:val="0"/>
        <w:kinsoku/>
        <w:wordWrap/>
        <w:overflowPunct/>
        <w:topLinePunct w:val="0"/>
        <w:bidi w:val="0"/>
        <w:spacing w:before="129" w:line="243" w:lineRule="auto"/>
        <w:ind w:left="16" w:right="55" w:firstLine="484"/>
        <w:rPr>
          <w:rFonts w:ascii="宋体" w:hAnsi="宋体" w:eastAsia="宋体" w:cs="宋体"/>
          <w:sz w:val="24"/>
          <w:szCs w:val="24"/>
        </w:rPr>
      </w:pPr>
      <w:r>
        <w:rPr>
          <w:rFonts w:ascii="宋体" w:hAnsi="宋体" w:eastAsia="宋体" w:cs="宋体"/>
          <w:spacing w:val="10"/>
          <w:sz w:val="24"/>
          <w:szCs w:val="24"/>
        </w:rPr>
        <w:t>2.13.4因不可抗力致使合同有变更必要的，双方当事人应在</w:t>
      </w:r>
      <w:r>
        <w:rPr>
          <w:rFonts w:ascii="宋体" w:hAnsi="宋体" w:eastAsia="宋体" w:cs="宋体"/>
          <w:i/>
          <w:iCs/>
          <w:spacing w:val="10"/>
          <w:sz w:val="25"/>
          <w:szCs w:val="25"/>
          <w:u w:val="single" w:color="auto"/>
        </w:rPr>
        <w:t>合同专用条款</w:t>
      </w:r>
      <w:r>
        <w:rPr>
          <w:rFonts w:ascii="宋体" w:hAnsi="宋体" w:eastAsia="宋体" w:cs="宋体"/>
          <w:spacing w:val="10"/>
          <w:sz w:val="24"/>
          <w:szCs w:val="24"/>
        </w:rPr>
        <w:t>约</w:t>
      </w:r>
      <w:r>
        <w:rPr>
          <w:rFonts w:ascii="宋体" w:hAnsi="宋体" w:eastAsia="宋体" w:cs="宋体"/>
          <w:spacing w:val="-8"/>
          <w:sz w:val="24"/>
          <w:szCs w:val="24"/>
        </w:rPr>
        <w:t>定时间内以书面形式变更合同；</w:t>
      </w:r>
    </w:p>
    <w:p w14:paraId="41BA940B">
      <w:pPr>
        <w:keepNext w:val="0"/>
        <w:keepLines w:val="0"/>
        <w:pageBreakBefore w:val="0"/>
        <w:kinsoku/>
        <w:wordWrap/>
        <w:overflowPunct/>
        <w:topLinePunct w:val="0"/>
        <w:bidi w:val="0"/>
        <w:spacing w:before="52" w:line="220" w:lineRule="auto"/>
        <w:ind w:left="503" w:leftChars="0"/>
        <w:outlineLvl w:val="0"/>
        <w:rPr>
          <w:rFonts w:ascii="宋体" w:hAnsi="宋体" w:eastAsia="宋体" w:cs="宋体"/>
          <w:sz w:val="24"/>
          <w:szCs w:val="24"/>
        </w:rPr>
      </w:pPr>
      <w:bookmarkStart w:id="30" w:name="_Toc230"/>
      <w:r>
        <w:rPr>
          <w:rFonts w:ascii="宋体" w:hAnsi="宋体" w:eastAsia="宋体" w:cs="宋体"/>
          <w:spacing w:val="-5"/>
          <w:sz w:val="24"/>
          <w:szCs w:val="24"/>
        </w:rPr>
        <w:t>2.14税费</w:t>
      </w:r>
      <w:bookmarkEnd w:id="30"/>
    </w:p>
    <w:p w14:paraId="30382EE5">
      <w:pPr>
        <w:keepNext w:val="0"/>
        <w:keepLines w:val="0"/>
        <w:pageBreakBefore w:val="0"/>
        <w:kinsoku/>
        <w:wordWrap/>
        <w:overflowPunct/>
        <w:topLinePunct w:val="0"/>
        <w:bidi w:val="0"/>
        <w:spacing w:before="103" w:line="219" w:lineRule="auto"/>
        <w:ind w:left="504"/>
        <w:rPr>
          <w:rFonts w:ascii="宋体" w:hAnsi="宋体" w:eastAsia="宋体" w:cs="宋体"/>
          <w:sz w:val="24"/>
          <w:szCs w:val="24"/>
        </w:rPr>
      </w:pPr>
      <w:r>
        <w:rPr>
          <w:rFonts w:ascii="宋体" w:hAnsi="宋体" w:eastAsia="宋体" w:cs="宋体"/>
          <w:spacing w:val="-4"/>
          <w:sz w:val="24"/>
          <w:szCs w:val="24"/>
        </w:rPr>
        <w:t>与合同有关的一切税费，均按照中华人民共</w:t>
      </w:r>
      <w:r>
        <w:rPr>
          <w:rFonts w:ascii="宋体" w:hAnsi="宋体" w:eastAsia="宋体" w:cs="宋体"/>
          <w:spacing w:val="-5"/>
          <w:sz w:val="24"/>
          <w:szCs w:val="24"/>
        </w:rPr>
        <w:t>和国法律的相关规定执行。</w:t>
      </w:r>
    </w:p>
    <w:p w14:paraId="2F002D2B">
      <w:pPr>
        <w:keepNext w:val="0"/>
        <w:keepLines w:val="0"/>
        <w:pageBreakBefore w:val="0"/>
        <w:kinsoku/>
        <w:wordWrap/>
        <w:overflowPunct/>
        <w:topLinePunct w:val="0"/>
        <w:bidi w:val="0"/>
        <w:spacing w:before="104" w:line="219" w:lineRule="auto"/>
        <w:ind w:left="503" w:leftChars="0"/>
        <w:outlineLvl w:val="0"/>
        <w:rPr>
          <w:rFonts w:ascii="宋体" w:hAnsi="宋体" w:eastAsia="宋体" w:cs="宋体"/>
          <w:sz w:val="24"/>
          <w:szCs w:val="24"/>
        </w:rPr>
      </w:pPr>
      <w:bookmarkStart w:id="31" w:name="_Toc26287"/>
      <w:r>
        <w:rPr>
          <w:rFonts w:ascii="宋体" w:hAnsi="宋体" w:eastAsia="宋体" w:cs="宋体"/>
          <w:spacing w:val="-8"/>
          <w:sz w:val="24"/>
          <w:szCs w:val="24"/>
        </w:rPr>
        <w:t>2.15乙方破产</w:t>
      </w:r>
      <w:bookmarkEnd w:id="31"/>
    </w:p>
    <w:p w14:paraId="66EAF95E">
      <w:pPr>
        <w:keepNext w:val="0"/>
        <w:keepLines w:val="0"/>
        <w:pageBreakBefore w:val="0"/>
        <w:kinsoku/>
        <w:wordWrap/>
        <w:overflowPunct/>
        <w:topLinePunct w:val="0"/>
        <w:bidi w:val="0"/>
        <w:spacing w:before="128" w:line="268" w:lineRule="auto"/>
        <w:ind w:left="18" w:right="45" w:firstLine="480"/>
        <w:rPr>
          <w:rFonts w:ascii="宋体" w:hAnsi="宋体" w:eastAsia="宋体" w:cs="宋体"/>
          <w:sz w:val="24"/>
          <w:szCs w:val="24"/>
        </w:rPr>
      </w:pPr>
      <w:r>
        <w:rPr>
          <w:rFonts w:ascii="宋体" w:hAnsi="宋体" w:eastAsia="宋体" w:cs="宋体"/>
          <w:spacing w:val="-4"/>
          <w:sz w:val="24"/>
          <w:szCs w:val="24"/>
        </w:rPr>
        <w:t>如果乙方破产导致合同无法履行时，甲方可以书面形式通知乙方终止合同且不给予</w:t>
      </w:r>
      <w:r>
        <w:rPr>
          <w:rFonts w:ascii="宋体" w:hAnsi="宋体" w:eastAsia="宋体" w:cs="宋体"/>
          <w:spacing w:val="-1"/>
          <w:sz w:val="24"/>
          <w:szCs w:val="24"/>
        </w:rPr>
        <w:t>乙方任何补偿和赔偿，但合同的终止不损害或不影响甲方已经采取或将要采取的任何</w:t>
      </w:r>
      <w:r>
        <w:rPr>
          <w:rFonts w:ascii="宋体" w:hAnsi="宋体" w:eastAsia="宋体" w:cs="宋体"/>
          <w:spacing w:val="-8"/>
          <w:sz w:val="24"/>
          <w:szCs w:val="24"/>
        </w:rPr>
        <w:t>要求乙方支付违约金、赔偿损失等的行动或补救措</w:t>
      </w:r>
      <w:r>
        <w:rPr>
          <w:rFonts w:ascii="宋体" w:hAnsi="宋体" w:eastAsia="宋体" w:cs="宋体"/>
          <w:spacing w:val="-9"/>
          <w:sz w:val="24"/>
          <w:szCs w:val="24"/>
        </w:rPr>
        <w:t>施的权利。</w:t>
      </w:r>
    </w:p>
    <w:p w14:paraId="5C60CF88">
      <w:pPr>
        <w:keepNext w:val="0"/>
        <w:keepLines w:val="0"/>
        <w:pageBreakBefore w:val="0"/>
        <w:kinsoku/>
        <w:wordWrap/>
        <w:overflowPunct/>
        <w:topLinePunct w:val="0"/>
        <w:bidi w:val="0"/>
        <w:spacing w:before="11" w:line="220" w:lineRule="auto"/>
        <w:ind w:left="503" w:leftChars="0"/>
        <w:outlineLvl w:val="0"/>
        <w:rPr>
          <w:rFonts w:ascii="宋体" w:hAnsi="宋体" w:eastAsia="宋体" w:cs="宋体"/>
          <w:sz w:val="24"/>
          <w:szCs w:val="24"/>
        </w:rPr>
      </w:pPr>
      <w:bookmarkStart w:id="32" w:name="_Toc31961"/>
      <w:r>
        <w:rPr>
          <w:rFonts w:ascii="宋体" w:hAnsi="宋体" w:eastAsia="宋体" w:cs="宋体"/>
          <w:spacing w:val="-3"/>
          <w:sz w:val="24"/>
          <w:szCs w:val="24"/>
        </w:rPr>
        <w:t>2.16合同中止、终止</w:t>
      </w:r>
      <w:bookmarkEnd w:id="32"/>
    </w:p>
    <w:p w14:paraId="33BB5422">
      <w:pPr>
        <w:keepNext w:val="0"/>
        <w:keepLines w:val="0"/>
        <w:pageBreakBefore w:val="0"/>
        <w:kinsoku/>
        <w:wordWrap/>
        <w:overflowPunct/>
        <w:topLinePunct w:val="0"/>
        <w:bidi w:val="0"/>
        <w:spacing w:before="103" w:line="219" w:lineRule="auto"/>
        <w:ind w:left="500"/>
        <w:rPr>
          <w:rFonts w:ascii="宋体" w:hAnsi="宋体" w:eastAsia="宋体" w:cs="宋体"/>
          <w:sz w:val="24"/>
          <w:szCs w:val="24"/>
        </w:rPr>
      </w:pPr>
      <w:r>
        <w:rPr>
          <w:rFonts w:ascii="宋体" w:hAnsi="宋体" w:eastAsia="宋体" w:cs="宋体"/>
          <w:spacing w:val="-5"/>
          <w:sz w:val="24"/>
          <w:szCs w:val="24"/>
        </w:rPr>
        <w:t>2.16.1双方当事人不得擅自中止或者终止合同；</w:t>
      </w:r>
    </w:p>
    <w:p w14:paraId="532922E0">
      <w:pPr>
        <w:keepNext w:val="0"/>
        <w:keepLines w:val="0"/>
        <w:pageBreakBefore w:val="0"/>
        <w:kinsoku/>
        <w:wordWrap/>
        <w:overflowPunct/>
        <w:topLinePunct w:val="0"/>
        <w:bidi w:val="0"/>
        <w:spacing w:before="105" w:line="253" w:lineRule="auto"/>
        <w:ind w:right="4" w:firstLine="500"/>
        <w:rPr>
          <w:rFonts w:ascii="宋体" w:hAnsi="宋体" w:eastAsia="宋体" w:cs="宋体"/>
          <w:sz w:val="24"/>
          <w:szCs w:val="24"/>
        </w:rPr>
      </w:pPr>
      <w:r>
        <w:rPr>
          <w:rFonts w:ascii="宋体" w:hAnsi="宋体" w:eastAsia="宋体" w:cs="宋体"/>
          <w:spacing w:val="-8"/>
          <w:sz w:val="24"/>
          <w:szCs w:val="24"/>
        </w:rPr>
        <w:t>2.16.2合同继续履行将损害国家利益和社会公共利益的，双方当事人应当中止或者</w:t>
      </w:r>
      <w:r>
        <w:rPr>
          <w:rFonts w:ascii="宋体" w:hAnsi="宋体" w:eastAsia="宋体" w:cs="宋体"/>
          <w:spacing w:val="5"/>
          <w:sz w:val="24"/>
          <w:szCs w:val="24"/>
        </w:rPr>
        <w:t>终止合同。有过错的一方应当承担赔偿责任，双方当事人都有过错的，各自承</w:t>
      </w:r>
      <w:r>
        <w:rPr>
          <w:rFonts w:ascii="宋体" w:hAnsi="宋体" w:eastAsia="宋体" w:cs="宋体"/>
          <w:spacing w:val="4"/>
          <w:sz w:val="24"/>
          <w:szCs w:val="24"/>
        </w:rPr>
        <w:t>担相应</w:t>
      </w:r>
      <w:r>
        <w:rPr>
          <w:rFonts w:ascii="宋体" w:hAnsi="宋体" w:eastAsia="宋体" w:cs="宋体"/>
          <w:spacing w:val="-6"/>
          <w:sz w:val="24"/>
          <w:szCs w:val="24"/>
        </w:rPr>
        <w:t>的责任。</w:t>
      </w:r>
    </w:p>
    <w:p w14:paraId="485197C2">
      <w:pPr>
        <w:keepNext w:val="0"/>
        <w:keepLines w:val="0"/>
        <w:pageBreakBefore w:val="0"/>
        <w:kinsoku/>
        <w:wordWrap/>
        <w:overflowPunct/>
        <w:topLinePunct w:val="0"/>
        <w:bidi w:val="0"/>
        <w:spacing w:before="78" w:line="219" w:lineRule="auto"/>
        <w:ind w:left="511" w:leftChars="0"/>
        <w:outlineLvl w:val="0"/>
        <w:rPr>
          <w:rFonts w:ascii="宋体" w:hAnsi="宋体" w:eastAsia="宋体" w:cs="宋体"/>
          <w:sz w:val="24"/>
          <w:szCs w:val="24"/>
        </w:rPr>
      </w:pPr>
      <w:bookmarkStart w:id="33" w:name="_Toc5624"/>
      <w:r>
        <w:rPr>
          <w:rFonts w:ascii="宋体" w:hAnsi="宋体" w:eastAsia="宋体" w:cs="宋体"/>
          <w:spacing w:val="-4"/>
          <w:sz w:val="24"/>
          <w:szCs w:val="24"/>
        </w:rPr>
        <w:t>2.17检验和验收</w:t>
      </w:r>
      <w:bookmarkEnd w:id="33"/>
    </w:p>
    <w:p w14:paraId="73AA4AD8">
      <w:pPr>
        <w:keepNext w:val="0"/>
        <w:keepLines w:val="0"/>
        <w:pageBreakBefore w:val="0"/>
        <w:kinsoku/>
        <w:wordWrap/>
        <w:overflowPunct/>
        <w:topLinePunct w:val="0"/>
        <w:bidi w:val="0"/>
        <w:spacing w:before="132" w:line="254" w:lineRule="auto"/>
        <w:ind w:left="20" w:firstLine="489"/>
        <w:rPr>
          <w:rFonts w:ascii="宋体" w:hAnsi="宋体" w:eastAsia="宋体" w:cs="宋体"/>
          <w:sz w:val="24"/>
          <w:szCs w:val="24"/>
        </w:rPr>
      </w:pPr>
      <w:r>
        <w:rPr>
          <w:rFonts w:ascii="宋体" w:hAnsi="宋体" w:eastAsia="宋体" w:cs="宋体"/>
          <w:spacing w:val="-11"/>
          <w:sz w:val="24"/>
          <w:szCs w:val="24"/>
        </w:rPr>
        <w:t>2.17.1标的物交付前，乙方应对标的物的质量、数量等方面进行详细</w:t>
      </w:r>
      <w:r>
        <w:rPr>
          <w:rFonts w:ascii="宋体" w:hAnsi="宋体" w:eastAsia="宋体" w:cs="宋体"/>
          <w:spacing w:val="-12"/>
          <w:sz w:val="24"/>
          <w:szCs w:val="24"/>
        </w:rPr>
        <w:t>、全面的检验，</w:t>
      </w:r>
      <w:r>
        <w:rPr>
          <w:rFonts w:ascii="宋体" w:hAnsi="宋体" w:eastAsia="宋体" w:cs="宋体"/>
          <w:spacing w:val="-6"/>
          <w:sz w:val="24"/>
          <w:szCs w:val="24"/>
        </w:rPr>
        <w:t>并向甲方出具证明标的物符合合同约定的文件；标的物交付</w:t>
      </w:r>
      <w:r>
        <w:rPr>
          <w:rFonts w:ascii="宋体" w:hAnsi="宋体" w:eastAsia="宋体" w:cs="宋体"/>
          <w:spacing w:val="-7"/>
          <w:sz w:val="24"/>
          <w:szCs w:val="24"/>
        </w:rPr>
        <w:t>时，乙方在</w:t>
      </w:r>
      <w:r>
        <w:rPr>
          <w:rFonts w:ascii="宋体" w:hAnsi="宋体" w:eastAsia="宋体" w:cs="宋体"/>
          <w:i/>
          <w:iCs/>
          <w:spacing w:val="-7"/>
          <w:sz w:val="25"/>
          <w:szCs w:val="25"/>
          <w:u w:val="single" w:color="auto"/>
        </w:rPr>
        <w:t>合同专用条款</w:t>
      </w:r>
      <w:r>
        <w:rPr>
          <w:rFonts w:ascii="宋体" w:hAnsi="宋体" w:eastAsia="宋体" w:cs="宋体"/>
          <w:spacing w:val="-7"/>
          <w:sz w:val="24"/>
          <w:szCs w:val="24"/>
        </w:rPr>
        <w:t>约</w:t>
      </w:r>
      <w:r>
        <w:rPr>
          <w:rFonts w:ascii="宋体" w:hAnsi="宋体" w:eastAsia="宋体" w:cs="宋体"/>
          <w:spacing w:val="-8"/>
          <w:sz w:val="24"/>
          <w:szCs w:val="24"/>
        </w:rPr>
        <w:t>定时间内组织验收，并可依法邀请相关方参加，验收应出具验收</w:t>
      </w:r>
      <w:r>
        <w:rPr>
          <w:rFonts w:ascii="宋体" w:hAnsi="宋体" w:eastAsia="宋体" w:cs="宋体"/>
          <w:spacing w:val="-9"/>
          <w:sz w:val="24"/>
          <w:szCs w:val="24"/>
        </w:rPr>
        <w:t>书。</w:t>
      </w:r>
    </w:p>
    <w:p w14:paraId="25FF1067">
      <w:pPr>
        <w:keepNext w:val="0"/>
        <w:keepLines w:val="0"/>
        <w:pageBreakBefore w:val="0"/>
        <w:kinsoku/>
        <w:wordWrap/>
        <w:overflowPunct/>
        <w:topLinePunct w:val="0"/>
        <w:bidi w:val="0"/>
        <w:spacing w:before="77" w:line="257" w:lineRule="auto"/>
        <w:ind w:left="20" w:right="63" w:firstLine="489"/>
        <w:rPr>
          <w:rFonts w:ascii="宋体" w:hAnsi="宋体" w:eastAsia="宋体" w:cs="宋体"/>
          <w:sz w:val="24"/>
          <w:szCs w:val="24"/>
        </w:rPr>
      </w:pPr>
      <w:r>
        <w:rPr>
          <w:rFonts w:ascii="宋体" w:hAnsi="宋体" w:eastAsia="宋体" w:cs="宋体"/>
          <w:spacing w:val="-5"/>
          <w:sz w:val="24"/>
          <w:szCs w:val="24"/>
        </w:rPr>
        <w:t>2.17.2合同期满或者履行完毕后，甲方有权组织(包括依法邀请国家认可的质量检</w:t>
      </w:r>
      <w:r>
        <w:rPr>
          <w:rFonts w:ascii="宋体" w:hAnsi="宋体" w:eastAsia="宋体" w:cs="宋体"/>
          <w:spacing w:val="-19"/>
          <w:sz w:val="24"/>
          <w:szCs w:val="24"/>
        </w:rPr>
        <w:t>测机构参加)对乙方履约的验收，即：按照合同约定的技术、服务、安全标准，组织对每一</w:t>
      </w:r>
      <w:r>
        <w:rPr>
          <w:rFonts w:ascii="宋体" w:hAnsi="宋体" w:eastAsia="宋体" w:cs="宋体"/>
          <w:spacing w:val="-15"/>
          <w:sz w:val="24"/>
          <w:szCs w:val="24"/>
        </w:rPr>
        <w:t>项技术、服务、安全标准的履约情况的验收，并</w:t>
      </w:r>
      <w:r>
        <w:rPr>
          <w:rFonts w:ascii="宋体" w:hAnsi="宋体" w:eastAsia="宋体" w:cs="宋体"/>
          <w:spacing w:val="-16"/>
          <w:sz w:val="24"/>
          <w:szCs w:val="24"/>
        </w:rPr>
        <w:t>出具验收书。</w:t>
      </w:r>
    </w:p>
    <w:p w14:paraId="2F069E02">
      <w:pPr>
        <w:keepNext w:val="0"/>
        <w:keepLines w:val="0"/>
        <w:pageBreakBefore w:val="0"/>
        <w:kinsoku/>
        <w:wordWrap/>
        <w:overflowPunct/>
        <w:topLinePunct w:val="0"/>
        <w:bidi w:val="0"/>
        <w:spacing w:before="74"/>
        <w:ind w:right="29" w:firstLine="509"/>
        <w:rPr>
          <w:rFonts w:ascii="宋体" w:hAnsi="宋体" w:eastAsia="宋体" w:cs="宋体"/>
          <w:sz w:val="25"/>
          <w:szCs w:val="25"/>
        </w:rPr>
      </w:pPr>
      <w:r>
        <w:rPr>
          <w:rFonts w:ascii="宋体" w:hAnsi="宋体" w:eastAsia="宋体" w:cs="宋体"/>
          <w:spacing w:val="-2"/>
          <w:sz w:val="24"/>
          <w:szCs w:val="24"/>
        </w:rPr>
        <w:t>2.17.3检验和验收标准、程序等</w:t>
      </w:r>
      <w:r>
        <w:rPr>
          <w:rFonts w:ascii="宋体" w:hAnsi="宋体" w:eastAsia="宋体" w:cs="宋体"/>
          <w:spacing w:val="-3"/>
          <w:sz w:val="24"/>
          <w:szCs w:val="24"/>
        </w:rPr>
        <w:t>具体内容以及前述验收书的效力详见</w:t>
      </w:r>
      <w:r>
        <w:rPr>
          <w:rFonts w:ascii="宋体" w:hAnsi="宋体" w:eastAsia="宋体" w:cs="宋体"/>
          <w:i/>
          <w:iCs/>
          <w:spacing w:val="-3"/>
          <w:sz w:val="25"/>
          <w:szCs w:val="25"/>
          <w:u w:val="single" w:color="auto"/>
        </w:rPr>
        <w:t>合同专用条</w:t>
      </w:r>
      <w:r>
        <w:rPr>
          <w:rFonts w:ascii="宋体" w:hAnsi="宋体" w:eastAsia="宋体" w:cs="宋体"/>
          <w:i/>
          <w:iCs/>
          <w:spacing w:val="28"/>
          <w:sz w:val="25"/>
          <w:szCs w:val="25"/>
          <w:u w:val="single" w:color="auto"/>
        </w:rPr>
        <w:t>款</w:t>
      </w:r>
      <w:r>
        <w:rPr>
          <w:rFonts w:ascii="宋体" w:hAnsi="宋体" w:eastAsia="宋体" w:cs="宋体"/>
          <w:i/>
          <w:iCs/>
          <w:spacing w:val="28"/>
          <w:sz w:val="25"/>
          <w:szCs w:val="25"/>
        </w:rPr>
        <w:t>。</w:t>
      </w:r>
    </w:p>
    <w:p w14:paraId="5DD6A91E">
      <w:pPr>
        <w:keepNext w:val="0"/>
        <w:keepLines w:val="0"/>
        <w:pageBreakBefore w:val="0"/>
        <w:kinsoku/>
        <w:wordWrap/>
        <w:overflowPunct/>
        <w:topLinePunct w:val="0"/>
        <w:bidi w:val="0"/>
        <w:spacing w:before="47" w:line="221" w:lineRule="auto"/>
        <w:ind w:left="511" w:leftChars="0"/>
        <w:outlineLvl w:val="0"/>
        <w:rPr>
          <w:rFonts w:ascii="宋体" w:hAnsi="宋体" w:eastAsia="宋体" w:cs="宋体"/>
          <w:sz w:val="24"/>
          <w:szCs w:val="24"/>
        </w:rPr>
      </w:pPr>
      <w:bookmarkStart w:id="34" w:name="_Toc24888"/>
      <w:r>
        <w:rPr>
          <w:rFonts w:ascii="宋体" w:hAnsi="宋体" w:eastAsia="宋体" w:cs="宋体"/>
          <w:spacing w:val="-4"/>
          <w:sz w:val="24"/>
          <w:szCs w:val="24"/>
        </w:rPr>
        <w:t>2.18通知和送达</w:t>
      </w:r>
      <w:bookmarkEnd w:id="34"/>
    </w:p>
    <w:p w14:paraId="48593B57">
      <w:pPr>
        <w:keepNext w:val="0"/>
        <w:keepLines w:val="0"/>
        <w:pageBreakBefore w:val="0"/>
        <w:kinsoku/>
        <w:wordWrap/>
        <w:overflowPunct/>
        <w:topLinePunct w:val="0"/>
        <w:bidi w:val="0"/>
        <w:spacing w:before="123" w:line="263" w:lineRule="auto"/>
        <w:ind w:left="21" w:right="97" w:firstLine="487"/>
        <w:rPr>
          <w:rFonts w:ascii="宋体" w:hAnsi="宋体" w:eastAsia="宋体" w:cs="宋体"/>
          <w:sz w:val="24"/>
          <w:szCs w:val="24"/>
        </w:rPr>
      </w:pPr>
      <w:r>
        <w:rPr>
          <w:rFonts w:ascii="宋体" w:hAnsi="宋体" w:eastAsia="宋体" w:cs="宋体"/>
          <w:spacing w:val="12"/>
          <w:sz w:val="24"/>
          <w:szCs w:val="24"/>
        </w:rPr>
        <w:t>2.18.1任何一方因履行合同而以合同第一部分尾</w:t>
      </w:r>
      <w:r>
        <w:rPr>
          <w:rFonts w:ascii="宋体" w:hAnsi="宋体" w:eastAsia="宋体" w:cs="宋体"/>
          <w:spacing w:val="11"/>
          <w:sz w:val="24"/>
          <w:szCs w:val="24"/>
        </w:rPr>
        <w:t>部所列明的</w:t>
      </w:r>
      <w:r>
        <w:rPr>
          <w:rFonts w:ascii="宋体" w:hAnsi="宋体" w:eastAsia="宋体" w:cs="宋体"/>
          <w:spacing w:val="11"/>
          <w:sz w:val="24"/>
          <w:szCs w:val="24"/>
          <w:u w:val="single" w:color="auto"/>
        </w:rPr>
        <w:t>“约定送达地</w:t>
      </w:r>
      <w:r>
        <w:rPr>
          <w:rFonts w:ascii="宋体" w:hAnsi="宋体" w:eastAsia="宋体" w:cs="宋体"/>
          <w:spacing w:val="-12"/>
          <w:sz w:val="24"/>
          <w:szCs w:val="24"/>
          <w:u w:val="single" w:color="auto"/>
        </w:rPr>
        <w:t>址”</w:t>
      </w:r>
      <w:r>
        <w:rPr>
          <w:rFonts w:ascii="宋体" w:hAnsi="宋体" w:eastAsia="宋体" w:cs="宋体"/>
          <w:spacing w:val="-12"/>
          <w:sz w:val="24"/>
          <w:szCs w:val="24"/>
        </w:rPr>
        <w:t>为收件地址的所有通知、文件、材料，均视为已向对方当事人送达；任何一方变更上</w:t>
      </w:r>
      <w:r>
        <w:rPr>
          <w:rFonts w:ascii="宋体" w:hAnsi="宋体" w:eastAsia="宋体" w:cs="宋体"/>
          <w:spacing w:val="6"/>
          <w:sz w:val="24"/>
          <w:szCs w:val="24"/>
        </w:rPr>
        <w:t>述送达方式或者地址的，应于个工作日内书面通知对方当事人，在</w:t>
      </w:r>
      <w:r>
        <w:rPr>
          <w:rFonts w:ascii="宋体" w:hAnsi="宋体" w:eastAsia="宋体" w:cs="宋体"/>
          <w:spacing w:val="5"/>
          <w:sz w:val="24"/>
          <w:szCs w:val="24"/>
        </w:rPr>
        <w:t>对方当事人</w:t>
      </w:r>
      <w:r>
        <w:rPr>
          <w:rFonts w:ascii="宋体" w:hAnsi="宋体" w:eastAsia="宋体" w:cs="宋体"/>
          <w:spacing w:val="1"/>
          <w:sz w:val="24"/>
          <w:szCs w:val="24"/>
        </w:rPr>
        <w:t>收到有关变更通知之前，变更前的约定送达方式或者地址仍</w:t>
      </w:r>
      <w:r>
        <w:rPr>
          <w:rFonts w:ascii="宋体" w:hAnsi="宋体" w:eastAsia="宋体" w:cs="宋体"/>
          <w:sz w:val="24"/>
          <w:szCs w:val="24"/>
        </w:rPr>
        <w:t>视为有效。</w:t>
      </w:r>
    </w:p>
    <w:p w14:paraId="1040E1A0">
      <w:pPr>
        <w:keepNext w:val="0"/>
        <w:keepLines w:val="0"/>
        <w:pageBreakBefore w:val="0"/>
        <w:kinsoku/>
        <w:wordWrap/>
        <w:overflowPunct/>
        <w:topLinePunct w:val="0"/>
        <w:bidi w:val="0"/>
        <w:spacing w:before="166" w:line="265" w:lineRule="auto"/>
        <w:ind w:left="31" w:right="246" w:firstLine="470"/>
        <w:rPr>
          <w:rFonts w:ascii="宋体" w:hAnsi="宋体" w:eastAsia="宋体" w:cs="宋体"/>
          <w:sz w:val="24"/>
          <w:szCs w:val="24"/>
        </w:rPr>
      </w:pPr>
      <w:r>
        <w:rPr>
          <w:rFonts w:ascii="宋体" w:hAnsi="宋体" w:eastAsia="宋体" w:cs="宋体"/>
          <w:spacing w:val="-6"/>
          <w:sz w:val="24"/>
          <w:szCs w:val="24"/>
        </w:rPr>
        <w:t>2.18.2以当面交付方式送达的，交</w:t>
      </w:r>
      <w:r>
        <w:rPr>
          <w:rFonts w:ascii="宋体" w:hAnsi="宋体" w:eastAsia="宋体" w:cs="宋体"/>
          <w:spacing w:val="-7"/>
          <w:sz w:val="24"/>
          <w:szCs w:val="24"/>
        </w:rPr>
        <w:t>付之时视为送达；以电子邮件方式送达的，发出电子邮件之时视为送达；以传真方式送达的，发出传真之</w:t>
      </w:r>
      <w:r>
        <w:rPr>
          <w:rFonts w:ascii="宋体" w:hAnsi="宋体" w:eastAsia="宋体" w:cs="宋体"/>
          <w:spacing w:val="-8"/>
          <w:sz w:val="24"/>
          <w:szCs w:val="24"/>
        </w:rPr>
        <w:t>时视为送达；以邮寄方式</w:t>
      </w:r>
      <w:r>
        <w:rPr>
          <w:rFonts w:ascii="宋体" w:hAnsi="宋体" w:eastAsia="宋体" w:cs="宋体"/>
          <w:spacing w:val="-1"/>
          <w:sz w:val="24"/>
          <w:szCs w:val="24"/>
        </w:rPr>
        <w:t>送达的，邮件挂号寄出或者交邮之日之次日视为送达。</w:t>
      </w:r>
    </w:p>
    <w:p w14:paraId="527A44BC">
      <w:pPr>
        <w:keepNext w:val="0"/>
        <w:keepLines w:val="0"/>
        <w:pageBreakBefore w:val="0"/>
        <w:kinsoku/>
        <w:wordWrap/>
        <w:overflowPunct/>
        <w:topLinePunct w:val="0"/>
        <w:bidi w:val="0"/>
        <w:spacing w:before="171" w:line="220" w:lineRule="auto"/>
        <w:ind w:left="502" w:leftChars="0"/>
        <w:outlineLvl w:val="0"/>
        <w:rPr>
          <w:rFonts w:ascii="宋体" w:hAnsi="宋体" w:eastAsia="宋体" w:cs="宋体"/>
          <w:sz w:val="24"/>
          <w:szCs w:val="24"/>
        </w:rPr>
      </w:pPr>
      <w:bookmarkStart w:id="35" w:name="_Toc32591"/>
      <w:r>
        <w:rPr>
          <w:rFonts w:ascii="宋体" w:hAnsi="宋体" w:eastAsia="宋体" w:cs="宋体"/>
          <w:spacing w:val="-2"/>
          <w:sz w:val="24"/>
          <w:szCs w:val="24"/>
        </w:rPr>
        <w:t>2.19计量单位</w:t>
      </w:r>
      <w:bookmarkEnd w:id="35"/>
    </w:p>
    <w:p w14:paraId="79BF85B8">
      <w:pPr>
        <w:keepNext w:val="0"/>
        <w:keepLines w:val="0"/>
        <w:pageBreakBefore w:val="0"/>
        <w:kinsoku/>
        <w:wordWrap/>
        <w:overflowPunct/>
        <w:topLinePunct w:val="0"/>
        <w:bidi w:val="0"/>
        <w:spacing w:before="173" w:line="216" w:lineRule="auto"/>
        <w:ind w:left="513"/>
        <w:rPr>
          <w:rFonts w:ascii="宋体" w:hAnsi="宋体" w:eastAsia="宋体" w:cs="宋体"/>
          <w:sz w:val="24"/>
          <w:szCs w:val="24"/>
        </w:rPr>
      </w:pPr>
      <w:r>
        <w:rPr>
          <w:rFonts w:ascii="宋体" w:hAnsi="宋体" w:eastAsia="宋体" w:cs="宋体"/>
          <w:spacing w:val="-1"/>
          <w:sz w:val="24"/>
          <w:szCs w:val="24"/>
        </w:rPr>
        <w:t>除技术规范中另有规定外,合同的计量单位均使用国家法定计量单位。</w:t>
      </w:r>
    </w:p>
    <w:p w14:paraId="51B38776">
      <w:pPr>
        <w:keepNext w:val="0"/>
        <w:keepLines w:val="0"/>
        <w:pageBreakBefore w:val="0"/>
        <w:kinsoku/>
        <w:wordWrap/>
        <w:overflowPunct/>
        <w:topLinePunct w:val="0"/>
        <w:bidi w:val="0"/>
        <w:spacing w:before="175" w:line="219" w:lineRule="auto"/>
        <w:ind w:left="502" w:leftChars="0"/>
        <w:outlineLvl w:val="0"/>
        <w:rPr>
          <w:rFonts w:ascii="宋体" w:hAnsi="宋体" w:eastAsia="宋体" w:cs="宋体"/>
          <w:sz w:val="24"/>
          <w:szCs w:val="24"/>
        </w:rPr>
      </w:pPr>
      <w:bookmarkStart w:id="36" w:name="_Toc6771"/>
      <w:r>
        <w:rPr>
          <w:rFonts w:ascii="宋体" w:hAnsi="宋体" w:eastAsia="宋体" w:cs="宋体"/>
          <w:spacing w:val="-1"/>
          <w:sz w:val="24"/>
          <w:szCs w:val="24"/>
        </w:rPr>
        <w:t>2.20合同使用的文字和适用的法律</w:t>
      </w:r>
      <w:bookmarkEnd w:id="36"/>
    </w:p>
    <w:p w14:paraId="7FAE7CD2">
      <w:pPr>
        <w:keepNext w:val="0"/>
        <w:keepLines w:val="0"/>
        <w:pageBreakBefore w:val="0"/>
        <w:kinsoku/>
        <w:wordWrap/>
        <w:overflowPunct/>
        <w:topLinePunct w:val="0"/>
        <w:bidi w:val="0"/>
        <w:spacing w:before="173" w:line="219" w:lineRule="auto"/>
        <w:ind w:left="502"/>
        <w:rPr>
          <w:rFonts w:ascii="宋体" w:hAnsi="宋体" w:eastAsia="宋体" w:cs="宋体"/>
          <w:sz w:val="24"/>
          <w:szCs w:val="24"/>
        </w:rPr>
      </w:pPr>
      <w:r>
        <w:rPr>
          <w:rFonts w:ascii="宋体" w:hAnsi="宋体" w:eastAsia="宋体" w:cs="宋体"/>
          <w:spacing w:val="-1"/>
          <w:sz w:val="24"/>
          <w:szCs w:val="24"/>
        </w:rPr>
        <w:t>2.20.1合同使用汉语书就、变更和解释；</w:t>
      </w:r>
    </w:p>
    <w:p w14:paraId="35F16A3B">
      <w:pPr>
        <w:keepNext w:val="0"/>
        <w:keepLines w:val="0"/>
        <w:pageBreakBefore w:val="0"/>
        <w:kinsoku/>
        <w:wordWrap/>
        <w:overflowPunct/>
        <w:topLinePunct w:val="0"/>
        <w:bidi w:val="0"/>
        <w:spacing w:before="174" w:line="219" w:lineRule="auto"/>
        <w:ind w:left="502"/>
        <w:rPr>
          <w:rFonts w:ascii="宋体" w:hAnsi="宋体" w:eastAsia="宋体" w:cs="宋体"/>
          <w:sz w:val="24"/>
          <w:szCs w:val="24"/>
        </w:rPr>
      </w:pPr>
      <w:r>
        <w:rPr>
          <w:rFonts w:ascii="宋体" w:hAnsi="宋体" w:eastAsia="宋体" w:cs="宋体"/>
          <w:spacing w:val="-1"/>
          <w:sz w:val="24"/>
          <w:szCs w:val="24"/>
        </w:rPr>
        <w:t>2.20.2合同适用中华人民共和国法律。</w:t>
      </w:r>
    </w:p>
    <w:p w14:paraId="5DC49A18">
      <w:pPr>
        <w:keepNext w:val="0"/>
        <w:keepLines w:val="0"/>
        <w:pageBreakBefore w:val="0"/>
        <w:kinsoku/>
        <w:wordWrap/>
        <w:overflowPunct/>
        <w:topLinePunct w:val="0"/>
        <w:bidi w:val="0"/>
        <w:spacing w:before="171" w:line="220" w:lineRule="auto"/>
        <w:ind w:left="502" w:leftChars="0"/>
        <w:outlineLvl w:val="0"/>
        <w:rPr>
          <w:rFonts w:ascii="宋体" w:hAnsi="宋体" w:eastAsia="宋体" w:cs="宋体"/>
          <w:sz w:val="24"/>
          <w:szCs w:val="24"/>
        </w:rPr>
      </w:pPr>
      <w:bookmarkStart w:id="37" w:name="_Toc18947"/>
      <w:r>
        <w:rPr>
          <w:rFonts w:ascii="宋体" w:hAnsi="宋体" w:eastAsia="宋体" w:cs="宋体"/>
          <w:spacing w:val="-2"/>
          <w:sz w:val="24"/>
          <w:szCs w:val="24"/>
        </w:rPr>
        <w:t>2.21履约保证金</w:t>
      </w:r>
      <w:bookmarkEnd w:id="37"/>
    </w:p>
    <w:p w14:paraId="4C806517">
      <w:pPr>
        <w:keepNext w:val="0"/>
        <w:keepLines w:val="0"/>
        <w:pageBreakBefore w:val="0"/>
        <w:kinsoku/>
        <w:wordWrap/>
        <w:overflowPunct/>
        <w:topLinePunct w:val="0"/>
        <w:bidi w:val="0"/>
        <w:spacing w:before="173" w:line="219" w:lineRule="auto"/>
        <w:ind w:left="502" w:leftChars="0"/>
        <w:outlineLvl w:val="0"/>
        <w:rPr>
          <w:rFonts w:ascii="宋体" w:hAnsi="宋体" w:eastAsia="宋体" w:cs="宋体"/>
          <w:sz w:val="24"/>
          <w:szCs w:val="24"/>
        </w:rPr>
      </w:pPr>
      <w:bookmarkStart w:id="38" w:name="_Toc21709"/>
      <w:r>
        <w:rPr>
          <w:rFonts w:ascii="宋体" w:hAnsi="宋体" w:eastAsia="宋体" w:cs="宋体"/>
          <w:spacing w:val="-2"/>
          <w:sz w:val="24"/>
          <w:szCs w:val="24"/>
        </w:rPr>
        <w:t>2.22合同份数</w:t>
      </w:r>
      <w:bookmarkEnd w:id="38"/>
    </w:p>
    <w:p w14:paraId="32178D5B">
      <w:pPr>
        <w:keepNext w:val="0"/>
        <w:keepLines w:val="0"/>
        <w:pageBreakBefore w:val="0"/>
        <w:kinsoku/>
        <w:wordWrap/>
        <w:overflowPunct/>
        <w:topLinePunct w:val="0"/>
        <w:bidi w:val="0"/>
        <w:spacing w:before="170" w:line="219" w:lineRule="auto"/>
        <w:ind w:left="500"/>
        <w:rPr>
          <w:rFonts w:ascii="宋体" w:hAnsi="宋体" w:eastAsia="宋体" w:cs="宋体"/>
          <w:sz w:val="24"/>
          <w:szCs w:val="24"/>
        </w:rPr>
      </w:pPr>
      <w:r>
        <w:rPr>
          <w:rFonts w:ascii="宋体" w:hAnsi="宋体" w:eastAsia="宋体" w:cs="宋体"/>
          <w:spacing w:val="-2"/>
          <w:sz w:val="24"/>
          <w:szCs w:val="24"/>
        </w:rPr>
        <w:t>本合同壹式份，甲方执份，乙方执份。每份均具有</w:t>
      </w:r>
      <w:r>
        <w:rPr>
          <w:rFonts w:ascii="宋体" w:hAnsi="宋体" w:eastAsia="宋体" w:cs="宋体"/>
          <w:spacing w:val="-3"/>
          <w:sz w:val="24"/>
          <w:szCs w:val="24"/>
        </w:rPr>
        <w:t>同等法律效力。</w:t>
      </w:r>
    </w:p>
    <w:p w14:paraId="63987888">
      <w:pPr>
        <w:pStyle w:val="7"/>
        <w:keepNext w:val="0"/>
        <w:keepLines w:val="0"/>
        <w:pageBreakBefore w:val="0"/>
        <w:kinsoku/>
        <w:wordWrap/>
        <w:overflowPunct/>
        <w:topLinePunct w:val="0"/>
        <w:bidi w:val="0"/>
        <w:spacing w:line="269" w:lineRule="auto"/>
      </w:pPr>
    </w:p>
    <w:p w14:paraId="74424DEE">
      <w:pPr>
        <w:pStyle w:val="7"/>
        <w:keepNext w:val="0"/>
        <w:keepLines w:val="0"/>
        <w:pageBreakBefore w:val="0"/>
        <w:kinsoku/>
        <w:wordWrap/>
        <w:overflowPunct/>
        <w:topLinePunct w:val="0"/>
        <w:bidi w:val="0"/>
        <w:spacing w:line="270" w:lineRule="auto"/>
      </w:pPr>
    </w:p>
    <w:p w14:paraId="00750EA5">
      <w:pPr>
        <w:keepNext w:val="0"/>
        <w:keepLines w:val="0"/>
        <w:pageBreakBefore w:val="0"/>
        <w:kinsoku/>
        <w:wordWrap/>
        <w:overflowPunct/>
        <w:topLinePunct w:val="0"/>
        <w:bidi w:val="0"/>
        <w:spacing w:before="79" w:line="219" w:lineRule="auto"/>
        <w:ind w:left="3307" w:leftChars="0"/>
        <w:outlineLvl w:val="0"/>
        <w:rPr>
          <w:rFonts w:ascii="宋体" w:hAnsi="宋体" w:eastAsia="宋体" w:cs="宋体"/>
          <w:sz w:val="24"/>
          <w:szCs w:val="24"/>
        </w:rPr>
      </w:pPr>
      <w:bookmarkStart w:id="39" w:name="_Toc21167"/>
      <w:r>
        <w:rPr>
          <w:rFonts w:ascii="宋体" w:hAnsi="宋体" w:eastAsia="宋体" w:cs="宋体"/>
          <w:b/>
          <w:bCs/>
          <w:spacing w:val="-6"/>
          <w:sz w:val="24"/>
          <w:szCs w:val="24"/>
        </w:rPr>
        <w:t>第三部分合同专用条款</w:t>
      </w:r>
      <w:bookmarkEnd w:id="39"/>
    </w:p>
    <w:p w14:paraId="11D2BA2B">
      <w:pPr>
        <w:keepNext w:val="0"/>
        <w:keepLines w:val="0"/>
        <w:pageBreakBefore w:val="0"/>
        <w:kinsoku/>
        <w:wordWrap/>
        <w:overflowPunct/>
        <w:topLinePunct w:val="0"/>
        <w:bidi w:val="0"/>
        <w:spacing w:before="258" w:line="268" w:lineRule="auto"/>
        <w:ind w:left="18" w:right="75" w:firstLine="479"/>
        <w:jc w:val="both"/>
        <w:rPr>
          <w:rFonts w:ascii="宋体" w:hAnsi="宋体" w:eastAsia="宋体" w:cs="宋体"/>
          <w:sz w:val="24"/>
          <w:szCs w:val="24"/>
        </w:rPr>
      </w:pPr>
      <w:r>
        <w:rPr>
          <w:rFonts w:ascii="宋体" w:hAnsi="宋体" w:eastAsia="宋体" w:cs="宋体"/>
          <w:sz w:val="24"/>
          <w:szCs w:val="24"/>
        </w:rPr>
        <w:t>本部分是对前两部分的补充和修改，如果前两部分和</w:t>
      </w:r>
      <w:r>
        <w:rPr>
          <w:rFonts w:ascii="宋体" w:hAnsi="宋体" w:eastAsia="宋体" w:cs="宋体"/>
          <w:spacing w:val="-1"/>
          <w:sz w:val="24"/>
          <w:szCs w:val="24"/>
        </w:rPr>
        <w:t>本部分的约定不一致，应以</w:t>
      </w:r>
      <w:r>
        <w:rPr>
          <w:rFonts w:ascii="宋体" w:hAnsi="宋体" w:eastAsia="宋体" w:cs="宋体"/>
          <w:spacing w:val="1"/>
          <w:sz w:val="24"/>
          <w:szCs w:val="24"/>
        </w:rPr>
        <w:t>本部分的约定为准。本部分的条款号应与前两部分的条款号保持对应；与前</w:t>
      </w:r>
      <w:r>
        <w:rPr>
          <w:rFonts w:ascii="宋体" w:hAnsi="宋体" w:eastAsia="宋体" w:cs="宋体"/>
          <w:sz w:val="24"/>
          <w:szCs w:val="24"/>
        </w:rPr>
        <w:t>两部分无</w:t>
      </w:r>
      <w:r>
        <w:rPr>
          <w:rFonts w:ascii="宋体" w:hAnsi="宋体" w:eastAsia="宋体" w:cs="宋体"/>
          <w:spacing w:val="-4"/>
          <w:sz w:val="24"/>
          <w:szCs w:val="24"/>
        </w:rPr>
        <w:t>对应关系的内容可另行编制条款号。</w:t>
      </w:r>
    </w:p>
    <w:p w14:paraId="3D6C198C">
      <w:pPr>
        <w:keepNext w:val="0"/>
        <w:keepLines w:val="0"/>
        <w:pageBreakBefore w:val="0"/>
        <w:kinsoku/>
        <w:wordWrap/>
        <w:overflowPunct/>
        <w:topLinePunct w:val="0"/>
        <w:bidi w:val="0"/>
        <w:spacing w:before="11" w:line="219" w:lineRule="auto"/>
        <w:ind w:left="509" w:leftChars="0"/>
        <w:outlineLvl w:val="0"/>
        <w:rPr>
          <w:rFonts w:ascii="宋体" w:hAnsi="宋体" w:eastAsia="宋体" w:cs="宋体"/>
          <w:sz w:val="24"/>
          <w:szCs w:val="24"/>
        </w:rPr>
      </w:pPr>
      <w:bookmarkStart w:id="40" w:name="_Toc32315"/>
      <w:r>
        <w:rPr>
          <w:rFonts w:ascii="宋体" w:hAnsi="宋体" w:eastAsia="宋体" w:cs="宋体"/>
          <w:spacing w:val="-9"/>
          <w:sz w:val="24"/>
          <w:szCs w:val="24"/>
        </w:rPr>
        <w:t>2.3.2具有知识产权的标的物知识产权归属：</w:t>
      </w:r>
      <w:bookmarkEnd w:id="40"/>
    </w:p>
    <w:p w14:paraId="6FC67484">
      <w:pPr>
        <w:pStyle w:val="7"/>
        <w:keepNext w:val="0"/>
        <w:keepLines w:val="0"/>
        <w:pageBreakBefore w:val="0"/>
        <w:tabs>
          <w:tab w:val="left" w:pos="595"/>
        </w:tabs>
        <w:kinsoku/>
        <w:wordWrap/>
        <w:overflowPunct/>
        <w:topLinePunct w:val="0"/>
        <w:bidi w:val="0"/>
        <w:spacing w:before="96"/>
        <w:ind w:left="477"/>
      </w:pPr>
      <w:r>
        <w:rPr>
          <w:u w:val="single" w:color="auto"/>
        </w:rPr>
        <w:tab/>
      </w:r>
    </w:p>
    <w:p w14:paraId="0F061A32">
      <w:pPr>
        <w:keepNext w:val="0"/>
        <w:keepLines w:val="0"/>
        <w:pageBreakBefore w:val="0"/>
        <w:kinsoku/>
        <w:wordWrap/>
        <w:overflowPunct/>
        <w:topLinePunct w:val="0"/>
        <w:bidi w:val="0"/>
        <w:spacing w:before="124" w:line="219" w:lineRule="auto"/>
        <w:ind w:left="509" w:leftChars="0"/>
        <w:outlineLvl w:val="0"/>
        <w:rPr>
          <w:rFonts w:ascii="宋体" w:hAnsi="宋体" w:eastAsia="宋体" w:cs="宋体"/>
          <w:sz w:val="24"/>
          <w:szCs w:val="24"/>
        </w:rPr>
      </w:pPr>
      <w:bookmarkStart w:id="41" w:name="_Toc19505"/>
      <w:r>
        <w:rPr>
          <w:rFonts w:ascii="宋体" w:hAnsi="宋体" w:eastAsia="宋体" w:cs="宋体"/>
          <w:spacing w:val="-6"/>
          <w:sz w:val="24"/>
          <w:szCs w:val="24"/>
        </w:rPr>
        <w:t>2.4.1包装和装运专用条款(如果有)：</w:t>
      </w:r>
      <w:bookmarkEnd w:id="41"/>
    </w:p>
    <w:p w14:paraId="1E1B07C4">
      <w:pPr>
        <w:pStyle w:val="7"/>
        <w:keepNext w:val="0"/>
        <w:keepLines w:val="0"/>
        <w:pageBreakBefore w:val="0"/>
        <w:tabs>
          <w:tab w:val="left" w:pos="595"/>
        </w:tabs>
        <w:kinsoku/>
        <w:wordWrap/>
        <w:overflowPunct/>
        <w:topLinePunct w:val="0"/>
        <w:bidi w:val="0"/>
        <w:spacing w:before="114"/>
        <w:ind w:left="477"/>
      </w:pPr>
      <w:r>
        <w:rPr>
          <w:u w:val="single" w:color="auto"/>
        </w:rPr>
        <w:tab/>
      </w:r>
    </w:p>
    <w:p w14:paraId="56DACC33">
      <w:pPr>
        <w:keepNext w:val="0"/>
        <w:keepLines w:val="0"/>
        <w:pageBreakBefore w:val="0"/>
        <w:kinsoku/>
        <w:wordWrap/>
        <w:overflowPunct/>
        <w:topLinePunct w:val="0"/>
        <w:bidi w:val="0"/>
        <w:spacing w:before="108" w:line="220" w:lineRule="auto"/>
        <w:ind w:left="509" w:leftChars="0"/>
        <w:outlineLvl w:val="0"/>
        <w:rPr>
          <w:rFonts w:ascii="宋体" w:hAnsi="宋体" w:eastAsia="宋体" w:cs="宋体"/>
          <w:sz w:val="24"/>
          <w:szCs w:val="24"/>
        </w:rPr>
      </w:pPr>
      <w:bookmarkStart w:id="42" w:name="_Toc28660"/>
      <w:r>
        <w:rPr>
          <w:rFonts w:ascii="宋体" w:hAnsi="宋体" w:eastAsia="宋体" w:cs="宋体"/>
          <w:spacing w:val="-13"/>
          <w:sz w:val="24"/>
          <w:szCs w:val="24"/>
        </w:rPr>
        <w:t>2.4.2装运标的物的要求和通知：</w:t>
      </w:r>
      <w:bookmarkEnd w:id="42"/>
    </w:p>
    <w:p w14:paraId="767819AE">
      <w:pPr>
        <w:keepNext w:val="0"/>
        <w:keepLines w:val="0"/>
        <w:pageBreakBefore w:val="0"/>
        <w:kinsoku/>
        <w:wordWrap/>
        <w:overflowPunct/>
        <w:topLinePunct w:val="0"/>
        <w:bidi w:val="0"/>
        <w:spacing w:before="78" w:line="219" w:lineRule="auto"/>
        <w:ind w:left="495" w:leftChars="0"/>
        <w:outlineLvl w:val="1"/>
        <w:rPr>
          <w:rFonts w:ascii="宋体" w:hAnsi="宋体" w:eastAsia="宋体" w:cs="宋体"/>
          <w:sz w:val="24"/>
          <w:szCs w:val="24"/>
        </w:rPr>
      </w:pPr>
      <w:r>
        <w:rPr>
          <w:rFonts w:ascii="宋体" w:hAnsi="宋体" w:eastAsia="宋体" w:cs="宋体"/>
          <w:spacing w:val="-12"/>
          <w:sz w:val="24"/>
          <w:szCs w:val="24"/>
        </w:rPr>
        <w:t>2.6结算方式和付款条件</w:t>
      </w:r>
    </w:p>
    <w:p w14:paraId="5D424328">
      <w:pPr>
        <w:keepNext w:val="0"/>
        <w:keepLines w:val="0"/>
        <w:pageBreakBefore w:val="0"/>
        <w:kinsoku/>
        <w:wordWrap/>
        <w:overflowPunct/>
        <w:topLinePunct w:val="0"/>
        <w:bidi w:val="0"/>
        <w:spacing w:before="105" w:line="218" w:lineRule="auto"/>
        <w:ind w:right="35"/>
        <w:jc w:val="right"/>
        <w:rPr>
          <w:rFonts w:ascii="宋体" w:hAnsi="宋体" w:eastAsia="宋体" w:cs="宋体"/>
          <w:sz w:val="24"/>
          <w:szCs w:val="24"/>
        </w:rPr>
      </w:pPr>
      <w:r>
        <w:rPr>
          <w:rFonts w:ascii="宋体" w:hAnsi="宋体" w:eastAsia="宋体" w:cs="宋体"/>
          <w:spacing w:val="-13"/>
          <w:sz w:val="24"/>
          <w:szCs w:val="24"/>
        </w:rPr>
        <w:t>本次项目合同总价为大写人民币</w:t>
      </w:r>
      <w:r>
        <w:rPr>
          <w:rFonts w:ascii="宋体" w:hAnsi="宋体" w:eastAsia="宋体" w:cs="宋体"/>
          <w:spacing w:val="-13"/>
          <w:sz w:val="24"/>
          <w:szCs w:val="24"/>
          <w:u w:val="single" w:color="auto"/>
        </w:rPr>
        <w:t>(</w:t>
      </w:r>
      <w:r>
        <w:rPr>
          <w:rFonts w:ascii="宋体" w:hAnsi="宋体" w:eastAsia="宋体" w:cs="宋体"/>
          <w:spacing w:val="-13"/>
          <w:sz w:val="24"/>
          <w:szCs w:val="24"/>
        </w:rPr>
        <w:t>￥</w:t>
      </w:r>
      <w:r>
        <w:rPr>
          <w:rFonts w:ascii="宋体" w:hAnsi="宋体" w:eastAsia="宋体" w:cs="宋体"/>
          <w:spacing w:val="-14"/>
          <w:sz w:val="24"/>
          <w:szCs w:val="24"/>
        </w:rPr>
        <w:t>元)。本项目采用以下勾选结</w:t>
      </w:r>
    </w:p>
    <w:p w14:paraId="27A43DB3">
      <w:pPr>
        <w:keepNext w:val="0"/>
        <w:keepLines w:val="0"/>
        <w:pageBreakBefore w:val="0"/>
        <w:kinsoku/>
        <w:wordWrap/>
        <w:overflowPunct/>
        <w:topLinePunct w:val="0"/>
        <w:bidi w:val="0"/>
        <w:spacing w:before="29" w:line="219" w:lineRule="auto"/>
        <w:ind w:left="485"/>
        <w:rPr>
          <w:rFonts w:ascii="宋体" w:hAnsi="宋体" w:eastAsia="宋体" w:cs="宋体"/>
          <w:sz w:val="24"/>
          <w:szCs w:val="24"/>
        </w:rPr>
      </w:pPr>
      <w:r>
        <w:rPr>
          <w:rFonts w:ascii="宋体" w:hAnsi="宋体" w:eastAsia="宋体" w:cs="宋体"/>
          <w:spacing w:val="-5"/>
          <w:sz w:val="24"/>
          <w:szCs w:val="24"/>
        </w:rPr>
        <w:t>算方式进行支付：</w:t>
      </w:r>
    </w:p>
    <w:p w14:paraId="4AE8F29B">
      <w:pPr>
        <w:keepNext w:val="0"/>
        <w:keepLines w:val="0"/>
        <w:pageBreakBefore w:val="0"/>
        <w:kinsoku/>
        <w:wordWrap/>
        <w:overflowPunct/>
        <w:topLinePunct w:val="0"/>
        <w:bidi w:val="0"/>
        <w:spacing w:before="107" w:line="219" w:lineRule="auto"/>
        <w:ind w:left="536"/>
        <w:rPr>
          <w:rFonts w:ascii="宋体" w:hAnsi="宋体" w:eastAsia="宋体" w:cs="宋体"/>
          <w:sz w:val="24"/>
          <w:szCs w:val="24"/>
        </w:rPr>
      </w:pPr>
      <w:r>
        <w:rPr>
          <w:rFonts w:ascii="宋体" w:hAnsi="宋体" w:eastAsia="宋体" w:cs="宋体"/>
          <w:spacing w:val="-26"/>
          <w:w w:val="99"/>
          <w:sz w:val="24"/>
          <w:szCs w:val="24"/>
        </w:rPr>
        <w:t>□采用一次性支付方式，付款条件为：</w:t>
      </w:r>
    </w:p>
    <w:p w14:paraId="79AD8C8F">
      <w:pPr>
        <w:keepNext w:val="0"/>
        <w:keepLines w:val="0"/>
        <w:pageBreakBefore w:val="0"/>
        <w:kinsoku/>
        <w:wordWrap/>
        <w:overflowPunct/>
        <w:topLinePunct w:val="0"/>
        <w:bidi w:val="0"/>
        <w:spacing w:before="106" w:line="219" w:lineRule="auto"/>
        <w:ind w:left="536"/>
        <w:rPr>
          <w:rFonts w:ascii="宋体" w:hAnsi="宋体" w:eastAsia="宋体" w:cs="宋体"/>
          <w:sz w:val="24"/>
          <w:szCs w:val="24"/>
        </w:rPr>
      </w:pPr>
      <w:r>
        <w:rPr>
          <w:rFonts w:ascii="宋体" w:hAnsi="宋体" w:eastAsia="宋体" w:cs="宋体"/>
          <w:spacing w:val="-18"/>
          <w:sz w:val="24"/>
          <w:szCs w:val="24"/>
        </w:rPr>
        <w:t>□采用分期付款方式，付款条件为：</w:t>
      </w:r>
    </w:p>
    <w:p w14:paraId="5965476A">
      <w:pPr>
        <w:keepNext w:val="0"/>
        <w:keepLines w:val="0"/>
        <w:pageBreakBefore w:val="0"/>
        <w:kinsoku/>
        <w:wordWrap/>
        <w:overflowPunct/>
        <w:topLinePunct w:val="0"/>
        <w:bidi w:val="0"/>
        <w:spacing w:before="129" w:line="245" w:lineRule="auto"/>
        <w:ind w:left="495" w:right="7288"/>
        <w:rPr>
          <w:rFonts w:ascii="宋体" w:hAnsi="宋体" w:eastAsia="宋体" w:cs="宋体"/>
          <w:sz w:val="24"/>
          <w:szCs w:val="24"/>
        </w:rPr>
      </w:pPr>
      <w:r>
        <w:rPr>
          <w:rFonts w:ascii="宋体" w:hAnsi="宋体" w:eastAsia="宋体" w:cs="宋体"/>
          <w:spacing w:val="-22"/>
          <w:sz w:val="24"/>
          <w:szCs w:val="24"/>
        </w:rPr>
        <w:t>第一期付款：第二期付款：</w:t>
      </w:r>
    </w:p>
    <w:p w14:paraId="4D1CD3C6">
      <w:pPr>
        <w:keepNext w:val="0"/>
        <w:keepLines w:val="0"/>
        <w:pageBreakBefore w:val="0"/>
        <w:kinsoku/>
        <w:wordWrap/>
        <w:overflowPunct/>
        <w:topLinePunct w:val="0"/>
        <w:bidi w:val="0"/>
        <w:spacing w:before="182" w:line="225" w:lineRule="auto"/>
        <w:ind w:left="527"/>
        <w:rPr>
          <w:rFonts w:ascii="宋体" w:hAnsi="宋体" w:eastAsia="宋体" w:cs="宋体"/>
          <w:sz w:val="24"/>
          <w:szCs w:val="24"/>
        </w:rPr>
      </w:pPr>
      <w:r>
        <w:rPr>
          <w:rFonts w:ascii="宋体" w:hAnsi="宋体" w:eastAsia="宋体" w:cs="宋体"/>
          <w:spacing w:val="-13"/>
          <w:sz w:val="24"/>
          <w:szCs w:val="24"/>
        </w:rPr>
        <w:t>……</w:t>
      </w:r>
    </w:p>
    <w:p w14:paraId="06FEE2FF">
      <w:pPr>
        <w:keepNext w:val="0"/>
        <w:keepLines w:val="0"/>
        <w:pageBreakBefore w:val="0"/>
        <w:kinsoku/>
        <w:wordWrap/>
        <w:overflowPunct/>
        <w:topLinePunct w:val="0"/>
        <w:bidi w:val="0"/>
        <w:spacing w:line="263" w:lineRule="auto"/>
        <w:ind w:left="10" w:right="39" w:firstLine="537"/>
        <w:rPr>
          <w:rFonts w:ascii="宋体" w:hAnsi="宋体" w:eastAsia="宋体" w:cs="宋体"/>
          <w:sz w:val="24"/>
          <w:szCs w:val="24"/>
        </w:rPr>
      </w:pPr>
      <w:r>
        <w:rPr>
          <w:rFonts w:ascii="宋体" w:hAnsi="宋体" w:eastAsia="宋体" w:cs="宋体"/>
          <w:spacing w:val="3"/>
          <w:sz w:val="24"/>
          <w:szCs w:val="24"/>
        </w:rPr>
        <w:t>甲方无故逾期支付服务费用的，按照每逾期一日支付欠付服务费额度的</w:t>
      </w:r>
      <w:r>
        <w:rPr>
          <w:rFonts w:ascii="宋体" w:hAnsi="宋体" w:eastAsia="宋体" w:cs="宋体"/>
          <w:spacing w:val="3"/>
          <w:sz w:val="24"/>
          <w:szCs w:val="24"/>
          <w:u w:val="single" w:color="auto"/>
        </w:rPr>
        <w:t>万分之五</w:t>
      </w:r>
      <w:r>
        <w:rPr>
          <w:rFonts w:ascii="宋体" w:hAnsi="宋体" w:eastAsia="宋体" w:cs="宋体"/>
          <w:spacing w:val="-10"/>
          <w:sz w:val="24"/>
          <w:szCs w:val="24"/>
        </w:rPr>
        <w:t>承担违约责任，违约金上限按照《合同书》约定执</w:t>
      </w:r>
      <w:r>
        <w:rPr>
          <w:rFonts w:ascii="宋体" w:hAnsi="宋体" w:eastAsia="宋体" w:cs="宋体"/>
          <w:spacing w:val="-11"/>
          <w:sz w:val="24"/>
          <w:szCs w:val="24"/>
        </w:rPr>
        <w:t>行。</w:t>
      </w:r>
    </w:p>
    <w:p w14:paraId="1BBB39CE">
      <w:pPr>
        <w:keepNext w:val="0"/>
        <w:keepLines w:val="0"/>
        <w:pageBreakBefore w:val="0"/>
        <w:kinsoku/>
        <w:wordWrap/>
        <w:overflowPunct/>
        <w:topLinePunct w:val="0"/>
        <w:bidi w:val="0"/>
        <w:spacing w:before="12" w:line="219" w:lineRule="auto"/>
        <w:ind w:left="495" w:leftChars="0"/>
        <w:outlineLvl w:val="1"/>
        <w:rPr>
          <w:rFonts w:ascii="宋体" w:hAnsi="宋体" w:eastAsia="宋体" w:cs="宋体"/>
          <w:sz w:val="24"/>
          <w:szCs w:val="24"/>
        </w:rPr>
      </w:pPr>
      <w:r>
        <w:rPr>
          <w:rFonts w:ascii="宋体" w:hAnsi="宋体" w:eastAsia="宋体" w:cs="宋体"/>
          <w:spacing w:val="-12"/>
          <w:sz w:val="24"/>
          <w:szCs w:val="24"/>
        </w:rPr>
        <w:t>2.9标的物的风险负担</w:t>
      </w:r>
    </w:p>
    <w:p w14:paraId="694DD56E">
      <w:pPr>
        <w:keepNext w:val="0"/>
        <w:keepLines w:val="0"/>
        <w:pageBreakBefore w:val="0"/>
        <w:kinsoku/>
        <w:wordWrap/>
        <w:overflowPunct/>
        <w:topLinePunct w:val="0"/>
        <w:bidi w:val="0"/>
        <w:spacing w:before="130" w:line="264" w:lineRule="auto"/>
        <w:ind w:left="6" w:right="66" w:firstLine="475"/>
        <w:rPr>
          <w:rFonts w:ascii="宋体" w:hAnsi="宋体" w:eastAsia="宋体" w:cs="宋体"/>
          <w:sz w:val="24"/>
          <w:szCs w:val="24"/>
        </w:rPr>
      </w:pPr>
      <w:r>
        <w:rPr>
          <w:rFonts w:ascii="宋体" w:hAnsi="宋体" w:eastAsia="宋体" w:cs="宋体"/>
          <w:spacing w:val="11"/>
          <w:sz w:val="24"/>
          <w:szCs w:val="24"/>
        </w:rPr>
        <w:t>标的物或者在途标的物或者交付给第一承运人后的标的物毁损、灭失的风险负</w:t>
      </w:r>
      <w:r>
        <w:rPr>
          <w:rFonts w:ascii="宋体" w:hAnsi="宋体" w:eastAsia="宋体" w:cs="宋体"/>
          <w:spacing w:val="-6"/>
          <w:sz w:val="24"/>
          <w:szCs w:val="24"/>
        </w:rPr>
        <w:t>担：</w:t>
      </w:r>
    </w:p>
    <w:p w14:paraId="5A1CC48D">
      <w:pPr>
        <w:keepNext w:val="0"/>
        <w:keepLines w:val="0"/>
        <w:pageBreakBefore w:val="0"/>
        <w:kinsoku/>
        <w:wordWrap/>
        <w:overflowPunct/>
        <w:topLinePunct w:val="0"/>
        <w:bidi w:val="0"/>
        <w:spacing w:before="12" w:line="221" w:lineRule="auto"/>
        <w:ind w:left="540"/>
        <w:rPr>
          <w:rFonts w:ascii="宋体" w:hAnsi="宋体" w:eastAsia="宋体" w:cs="宋体"/>
          <w:sz w:val="24"/>
          <w:szCs w:val="24"/>
        </w:rPr>
      </w:pPr>
      <w:r>
        <w:rPr>
          <w:rFonts w:ascii="宋体" w:hAnsi="宋体" w:eastAsia="宋体" w:cs="宋体"/>
          <w:spacing w:val="-17"/>
          <w:sz w:val="24"/>
          <w:szCs w:val="24"/>
          <w:u w:val="single" w:color="auto"/>
        </w:rPr>
        <w:t>乙方</w:t>
      </w:r>
    </w:p>
    <w:p w14:paraId="022C347D">
      <w:pPr>
        <w:keepNext w:val="0"/>
        <w:keepLines w:val="0"/>
        <w:pageBreakBefore w:val="0"/>
        <w:kinsoku/>
        <w:wordWrap/>
        <w:overflowPunct/>
        <w:topLinePunct w:val="0"/>
        <w:bidi w:val="0"/>
        <w:spacing w:before="121" w:line="248" w:lineRule="auto"/>
        <w:ind w:left="13" w:right="42" w:firstLine="481"/>
        <w:rPr>
          <w:rFonts w:ascii="宋体" w:hAnsi="宋体" w:eastAsia="宋体" w:cs="宋体"/>
          <w:sz w:val="24"/>
          <w:szCs w:val="24"/>
        </w:rPr>
      </w:pPr>
      <w:r>
        <w:rPr>
          <w:rFonts w:ascii="宋体" w:hAnsi="宋体" w:eastAsia="宋体" w:cs="宋体"/>
          <w:spacing w:val="-6"/>
          <w:sz w:val="24"/>
          <w:szCs w:val="24"/>
        </w:rPr>
        <w:t>2.13.2受不可抗力影响的一方在不可抗力发生后，应在日内以书面形式</w:t>
      </w:r>
      <w:r>
        <w:rPr>
          <w:rFonts w:ascii="宋体" w:hAnsi="宋体" w:eastAsia="宋体" w:cs="宋体"/>
          <w:spacing w:val="-7"/>
          <w:sz w:val="24"/>
          <w:szCs w:val="24"/>
        </w:rPr>
        <w:t>通知对</w:t>
      </w:r>
      <w:r>
        <w:rPr>
          <w:rFonts w:ascii="宋体" w:hAnsi="宋体" w:eastAsia="宋体" w:cs="宋体"/>
          <w:spacing w:val="-6"/>
          <w:sz w:val="24"/>
          <w:szCs w:val="24"/>
        </w:rPr>
        <w:t>方当事人，并在日内，将有关部门出具的证明文件送达对方当事人。</w:t>
      </w:r>
    </w:p>
    <w:p w14:paraId="467FDC2E">
      <w:pPr>
        <w:keepNext w:val="0"/>
        <w:keepLines w:val="0"/>
        <w:pageBreakBefore w:val="0"/>
        <w:kinsoku/>
        <w:wordWrap/>
        <w:overflowPunct/>
        <w:topLinePunct w:val="0"/>
        <w:bidi w:val="0"/>
        <w:spacing w:before="78" w:line="249" w:lineRule="auto"/>
        <w:ind w:left="47" w:right="32" w:firstLine="448"/>
        <w:rPr>
          <w:rFonts w:ascii="宋体" w:hAnsi="宋体" w:eastAsia="宋体" w:cs="宋体"/>
          <w:sz w:val="24"/>
          <w:szCs w:val="24"/>
        </w:rPr>
      </w:pPr>
      <w:r>
        <w:rPr>
          <w:rFonts w:ascii="宋体" w:hAnsi="宋体" w:eastAsia="宋体" w:cs="宋体"/>
          <w:spacing w:val="-11"/>
          <w:sz w:val="24"/>
          <w:szCs w:val="24"/>
        </w:rPr>
        <w:t>2.13.4因不可抗力致使合同有变更必要的，双方当事人应在</w:t>
      </w:r>
      <w:r>
        <w:rPr>
          <w:rFonts w:ascii="宋体" w:hAnsi="宋体" w:eastAsia="宋体" w:cs="宋体"/>
          <w:spacing w:val="-12"/>
          <w:sz w:val="24"/>
          <w:szCs w:val="24"/>
        </w:rPr>
        <w:t>日内以书面形式变更</w:t>
      </w:r>
      <w:r>
        <w:rPr>
          <w:rFonts w:ascii="宋体" w:hAnsi="宋体" w:eastAsia="宋体" w:cs="宋体"/>
          <w:spacing w:val="-7"/>
          <w:sz w:val="24"/>
          <w:szCs w:val="24"/>
        </w:rPr>
        <w:t>合同；</w:t>
      </w:r>
    </w:p>
    <w:p w14:paraId="111B6246">
      <w:pPr>
        <w:keepNext w:val="0"/>
        <w:keepLines w:val="0"/>
        <w:pageBreakBefore w:val="0"/>
        <w:kinsoku/>
        <w:wordWrap/>
        <w:overflowPunct/>
        <w:topLinePunct w:val="0"/>
        <w:bidi w:val="0"/>
        <w:spacing w:before="72" w:line="257" w:lineRule="auto"/>
        <w:ind w:firstLine="495"/>
        <w:rPr>
          <w:rFonts w:ascii="宋体" w:hAnsi="宋体" w:eastAsia="宋体" w:cs="宋体"/>
          <w:sz w:val="24"/>
          <w:szCs w:val="24"/>
        </w:rPr>
      </w:pPr>
      <w:r>
        <w:rPr>
          <w:rFonts w:ascii="宋体" w:hAnsi="宋体" w:eastAsia="宋体" w:cs="宋体"/>
          <w:spacing w:val="-10"/>
          <w:sz w:val="24"/>
          <w:szCs w:val="24"/>
        </w:rPr>
        <w:t>2.17.1标的物交付前，乙方应对标的物的质量、数量等方面进行详细、全面的检验，</w:t>
      </w:r>
      <w:r>
        <w:rPr>
          <w:rFonts w:ascii="宋体" w:hAnsi="宋体" w:eastAsia="宋体" w:cs="宋体"/>
          <w:spacing w:val="13"/>
          <w:sz w:val="24"/>
          <w:szCs w:val="24"/>
        </w:rPr>
        <w:t>并向甲方出具证明标的物符合合同约定的文件；标的物交付时，乙方在</w:t>
      </w:r>
      <w:r>
        <w:rPr>
          <w:rFonts w:ascii="宋体" w:hAnsi="宋体" w:eastAsia="宋体" w:cs="宋体"/>
          <w:spacing w:val="12"/>
          <w:sz w:val="24"/>
          <w:szCs w:val="24"/>
          <w:u w:val="single" w:color="auto"/>
        </w:rPr>
        <w:t>日</w:t>
      </w:r>
      <w:r>
        <w:rPr>
          <w:rFonts w:ascii="宋体" w:hAnsi="宋体" w:eastAsia="宋体" w:cs="宋体"/>
          <w:spacing w:val="12"/>
          <w:sz w:val="24"/>
          <w:szCs w:val="24"/>
        </w:rPr>
        <w:t>内发起</w:t>
      </w:r>
      <w:r>
        <w:rPr>
          <w:rFonts w:ascii="宋体" w:hAnsi="宋体" w:eastAsia="宋体" w:cs="宋体"/>
          <w:sz w:val="24"/>
          <w:szCs w:val="24"/>
        </w:rPr>
        <w:t>验收，并可依法邀请相关方参加，验收应出</w:t>
      </w:r>
      <w:r>
        <w:rPr>
          <w:rFonts w:ascii="宋体" w:hAnsi="宋体" w:eastAsia="宋体" w:cs="宋体"/>
          <w:spacing w:val="-1"/>
          <w:sz w:val="24"/>
          <w:szCs w:val="24"/>
        </w:rPr>
        <w:t>具验收书。</w:t>
      </w:r>
    </w:p>
    <w:p w14:paraId="5CCEA948">
      <w:pPr>
        <w:keepNext w:val="0"/>
        <w:keepLines w:val="0"/>
        <w:pageBreakBefore w:val="0"/>
        <w:kinsoku/>
        <w:wordWrap/>
        <w:overflowPunct/>
        <w:topLinePunct w:val="0"/>
        <w:bidi w:val="0"/>
        <w:spacing w:before="130" w:line="219" w:lineRule="auto"/>
        <w:ind w:left="447"/>
        <w:rPr>
          <w:rFonts w:ascii="宋体" w:hAnsi="宋体" w:eastAsia="宋体" w:cs="宋体"/>
          <w:sz w:val="24"/>
          <w:szCs w:val="24"/>
        </w:rPr>
      </w:pPr>
      <w:r>
        <w:rPr>
          <w:rFonts w:ascii="宋体" w:hAnsi="宋体" w:eastAsia="宋体" w:cs="宋体"/>
          <w:spacing w:val="-7"/>
          <w:sz w:val="24"/>
          <w:szCs w:val="24"/>
        </w:rPr>
        <w:t>2.17.3检验和验收标准、程序等具体内容</w:t>
      </w:r>
      <w:r>
        <w:rPr>
          <w:rFonts w:ascii="宋体" w:hAnsi="宋体" w:eastAsia="宋体" w:cs="宋体"/>
          <w:spacing w:val="-8"/>
          <w:sz w:val="24"/>
          <w:szCs w:val="24"/>
        </w:rPr>
        <w:t>以及前述验收书的效力。</w:t>
      </w:r>
    </w:p>
    <w:p w14:paraId="185B98FE">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14" w:type="default"/>
          <w:pgSz w:w="11906" w:h="16839"/>
          <w:pgMar w:top="1440" w:right="1080" w:bottom="1440" w:left="1080" w:header="0" w:footer="994" w:gutter="0"/>
          <w:pgNumType w:fmt="decimal"/>
          <w:cols w:space="720" w:num="1"/>
        </w:sectPr>
      </w:pPr>
    </w:p>
    <w:p w14:paraId="6B54E66F">
      <w:pPr>
        <w:pStyle w:val="7"/>
        <w:keepNext w:val="0"/>
        <w:keepLines w:val="0"/>
        <w:pageBreakBefore w:val="0"/>
        <w:kinsoku/>
        <w:wordWrap/>
        <w:overflowPunct/>
        <w:topLinePunct w:val="0"/>
        <w:bidi w:val="0"/>
        <w:spacing w:line="282" w:lineRule="auto"/>
      </w:pPr>
    </w:p>
    <w:p w14:paraId="6C64FCAB">
      <w:pPr>
        <w:pStyle w:val="7"/>
        <w:keepNext w:val="0"/>
        <w:keepLines w:val="0"/>
        <w:pageBreakBefore w:val="0"/>
        <w:kinsoku/>
        <w:wordWrap/>
        <w:overflowPunct/>
        <w:topLinePunct w:val="0"/>
        <w:bidi w:val="0"/>
        <w:spacing w:line="282" w:lineRule="auto"/>
      </w:pPr>
    </w:p>
    <w:p w14:paraId="7FDC879F">
      <w:pPr>
        <w:pStyle w:val="7"/>
        <w:keepNext w:val="0"/>
        <w:keepLines w:val="0"/>
        <w:pageBreakBefore w:val="0"/>
        <w:kinsoku/>
        <w:wordWrap/>
        <w:overflowPunct/>
        <w:topLinePunct w:val="0"/>
        <w:bidi w:val="0"/>
        <w:spacing w:line="283" w:lineRule="auto"/>
      </w:pPr>
    </w:p>
    <w:p w14:paraId="7A2362CF">
      <w:pPr>
        <w:pStyle w:val="7"/>
        <w:keepNext w:val="0"/>
        <w:keepLines w:val="0"/>
        <w:pageBreakBefore w:val="0"/>
        <w:kinsoku/>
        <w:wordWrap/>
        <w:overflowPunct/>
        <w:topLinePunct w:val="0"/>
        <w:bidi w:val="0"/>
        <w:spacing w:line="283" w:lineRule="auto"/>
      </w:pPr>
    </w:p>
    <w:p w14:paraId="3A003001">
      <w:pPr>
        <w:pStyle w:val="7"/>
        <w:keepNext w:val="0"/>
        <w:keepLines w:val="0"/>
        <w:pageBreakBefore w:val="0"/>
        <w:kinsoku/>
        <w:wordWrap/>
        <w:overflowPunct/>
        <w:topLinePunct w:val="0"/>
        <w:bidi w:val="0"/>
        <w:spacing w:line="283" w:lineRule="auto"/>
      </w:pPr>
    </w:p>
    <w:p w14:paraId="471E9138">
      <w:pPr>
        <w:keepNext w:val="0"/>
        <w:keepLines w:val="0"/>
        <w:pageBreakBefore w:val="0"/>
        <w:kinsoku/>
        <w:wordWrap/>
        <w:overflowPunct/>
        <w:topLinePunct w:val="0"/>
        <w:bidi w:val="0"/>
        <w:spacing w:before="97" w:line="219" w:lineRule="auto"/>
        <w:ind w:left="3033" w:leftChars="0"/>
        <w:outlineLvl w:val="0"/>
        <w:rPr>
          <w:rFonts w:ascii="宋体" w:hAnsi="宋体" w:eastAsia="宋体" w:cs="宋体"/>
          <w:sz w:val="30"/>
          <w:szCs w:val="30"/>
        </w:rPr>
      </w:pPr>
      <w:bookmarkStart w:id="43" w:name="_Toc7533"/>
      <w:r>
        <w:rPr>
          <w:rFonts w:ascii="宋体" w:hAnsi="宋体" w:eastAsia="宋体" w:cs="宋体"/>
          <w:b/>
          <w:bCs/>
          <w:spacing w:val="-7"/>
          <w:sz w:val="30"/>
          <w:szCs w:val="30"/>
        </w:rPr>
        <w:t>第六章响应文件格式</w:t>
      </w:r>
      <w:bookmarkEnd w:id="43"/>
    </w:p>
    <w:p w14:paraId="6D1E7C63">
      <w:pPr>
        <w:pStyle w:val="7"/>
        <w:keepNext w:val="0"/>
        <w:keepLines w:val="0"/>
        <w:pageBreakBefore w:val="0"/>
        <w:kinsoku/>
        <w:wordWrap/>
        <w:overflowPunct/>
        <w:topLinePunct w:val="0"/>
        <w:bidi w:val="0"/>
        <w:spacing w:line="244" w:lineRule="auto"/>
      </w:pPr>
    </w:p>
    <w:p w14:paraId="12D76692">
      <w:pPr>
        <w:pStyle w:val="7"/>
        <w:keepNext w:val="0"/>
        <w:keepLines w:val="0"/>
        <w:pageBreakBefore w:val="0"/>
        <w:kinsoku/>
        <w:wordWrap/>
        <w:overflowPunct/>
        <w:topLinePunct w:val="0"/>
        <w:bidi w:val="0"/>
        <w:spacing w:line="244" w:lineRule="auto"/>
      </w:pPr>
    </w:p>
    <w:p w14:paraId="57FD49C3">
      <w:pPr>
        <w:pStyle w:val="7"/>
        <w:keepNext w:val="0"/>
        <w:keepLines w:val="0"/>
        <w:pageBreakBefore w:val="0"/>
        <w:kinsoku/>
        <w:wordWrap/>
        <w:overflowPunct/>
        <w:topLinePunct w:val="0"/>
        <w:bidi w:val="0"/>
        <w:spacing w:line="244" w:lineRule="auto"/>
      </w:pPr>
    </w:p>
    <w:p w14:paraId="731B692D">
      <w:pPr>
        <w:pStyle w:val="7"/>
        <w:keepNext w:val="0"/>
        <w:keepLines w:val="0"/>
        <w:pageBreakBefore w:val="0"/>
        <w:kinsoku/>
        <w:wordWrap/>
        <w:overflowPunct/>
        <w:topLinePunct w:val="0"/>
        <w:bidi w:val="0"/>
        <w:spacing w:line="244" w:lineRule="auto"/>
      </w:pPr>
    </w:p>
    <w:p w14:paraId="1484CBED">
      <w:pPr>
        <w:pStyle w:val="7"/>
        <w:keepNext w:val="0"/>
        <w:keepLines w:val="0"/>
        <w:pageBreakBefore w:val="0"/>
        <w:kinsoku/>
        <w:wordWrap/>
        <w:overflowPunct/>
        <w:topLinePunct w:val="0"/>
        <w:bidi w:val="0"/>
        <w:spacing w:line="245" w:lineRule="auto"/>
      </w:pPr>
    </w:p>
    <w:p w14:paraId="3AAECD44">
      <w:pPr>
        <w:pStyle w:val="7"/>
        <w:keepNext w:val="0"/>
        <w:keepLines w:val="0"/>
        <w:pageBreakBefore w:val="0"/>
        <w:kinsoku/>
        <w:wordWrap/>
        <w:overflowPunct/>
        <w:topLinePunct w:val="0"/>
        <w:bidi w:val="0"/>
        <w:spacing w:line="245" w:lineRule="auto"/>
      </w:pPr>
    </w:p>
    <w:p w14:paraId="5C248C2E">
      <w:pPr>
        <w:pStyle w:val="7"/>
        <w:keepNext w:val="0"/>
        <w:keepLines w:val="0"/>
        <w:pageBreakBefore w:val="0"/>
        <w:kinsoku/>
        <w:wordWrap/>
        <w:overflowPunct/>
        <w:topLinePunct w:val="0"/>
        <w:bidi w:val="0"/>
        <w:spacing w:line="245" w:lineRule="auto"/>
      </w:pPr>
    </w:p>
    <w:p w14:paraId="1CC6794F">
      <w:pPr>
        <w:pStyle w:val="7"/>
        <w:keepNext w:val="0"/>
        <w:keepLines w:val="0"/>
        <w:pageBreakBefore w:val="0"/>
        <w:kinsoku/>
        <w:wordWrap/>
        <w:overflowPunct/>
        <w:topLinePunct w:val="0"/>
        <w:bidi w:val="0"/>
        <w:spacing w:line="245" w:lineRule="auto"/>
      </w:pPr>
    </w:p>
    <w:p w14:paraId="68E8B02C">
      <w:pPr>
        <w:pStyle w:val="7"/>
        <w:keepNext w:val="0"/>
        <w:keepLines w:val="0"/>
        <w:pageBreakBefore w:val="0"/>
        <w:kinsoku/>
        <w:wordWrap/>
        <w:overflowPunct/>
        <w:topLinePunct w:val="0"/>
        <w:bidi w:val="0"/>
        <w:spacing w:line="245" w:lineRule="auto"/>
      </w:pPr>
    </w:p>
    <w:p w14:paraId="30BF2051">
      <w:pPr>
        <w:keepNext w:val="0"/>
        <w:keepLines w:val="0"/>
        <w:pageBreakBefore w:val="0"/>
        <w:kinsoku/>
        <w:wordWrap/>
        <w:overflowPunct/>
        <w:topLinePunct w:val="0"/>
        <w:bidi w:val="0"/>
        <w:spacing w:before="91" w:line="220" w:lineRule="auto"/>
        <w:rPr>
          <w:rFonts w:ascii="宋体" w:hAnsi="宋体" w:eastAsia="宋体" w:cs="宋体"/>
          <w:sz w:val="28"/>
          <w:szCs w:val="28"/>
        </w:rPr>
      </w:pPr>
      <w:r>
        <w:rPr>
          <w:rFonts w:ascii="宋体" w:hAnsi="宋体" w:eastAsia="宋体" w:cs="宋体"/>
          <w:spacing w:val="-3"/>
          <w:sz w:val="28"/>
          <w:szCs w:val="28"/>
        </w:rPr>
        <w:t>封面格式</w:t>
      </w:r>
    </w:p>
    <w:p w14:paraId="4E22F027">
      <w:pPr>
        <w:keepNext w:val="0"/>
        <w:keepLines w:val="0"/>
        <w:pageBreakBefore w:val="0"/>
        <w:kinsoku/>
        <w:wordWrap/>
        <w:overflowPunct/>
        <w:topLinePunct w:val="0"/>
        <w:bidi w:val="0"/>
        <w:spacing w:before="290" w:line="220" w:lineRule="auto"/>
        <w:ind w:left="3567"/>
        <w:rPr>
          <w:rFonts w:ascii="宋体" w:hAnsi="宋体" w:eastAsia="宋体" w:cs="宋体"/>
          <w:sz w:val="28"/>
          <w:szCs w:val="28"/>
        </w:rPr>
      </w:pPr>
      <w:r>
        <w:rPr>
          <w:rFonts w:ascii="宋体" w:hAnsi="宋体" w:eastAsia="宋体" w:cs="宋体"/>
          <w:b/>
          <w:bCs/>
          <w:spacing w:val="-15"/>
          <w:sz w:val="28"/>
          <w:szCs w:val="28"/>
        </w:rPr>
        <w:t>响应文件</w:t>
      </w:r>
    </w:p>
    <w:p w14:paraId="509ACDE1">
      <w:pPr>
        <w:pStyle w:val="7"/>
        <w:keepNext w:val="0"/>
        <w:keepLines w:val="0"/>
        <w:pageBreakBefore w:val="0"/>
        <w:kinsoku/>
        <w:wordWrap/>
        <w:overflowPunct/>
        <w:topLinePunct w:val="0"/>
        <w:bidi w:val="0"/>
        <w:spacing w:line="287" w:lineRule="auto"/>
      </w:pPr>
    </w:p>
    <w:p w14:paraId="570368BE">
      <w:pPr>
        <w:pStyle w:val="7"/>
        <w:keepNext w:val="0"/>
        <w:keepLines w:val="0"/>
        <w:pageBreakBefore w:val="0"/>
        <w:kinsoku/>
        <w:wordWrap/>
        <w:overflowPunct/>
        <w:topLinePunct w:val="0"/>
        <w:bidi w:val="0"/>
        <w:spacing w:line="288" w:lineRule="auto"/>
      </w:pPr>
    </w:p>
    <w:p w14:paraId="587E1A3C">
      <w:pPr>
        <w:pStyle w:val="7"/>
        <w:keepNext w:val="0"/>
        <w:keepLines w:val="0"/>
        <w:pageBreakBefore w:val="0"/>
        <w:kinsoku/>
        <w:wordWrap/>
        <w:overflowPunct/>
        <w:topLinePunct w:val="0"/>
        <w:bidi w:val="0"/>
        <w:spacing w:line="288" w:lineRule="auto"/>
      </w:pPr>
    </w:p>
    <w:p w14:paraId="1385E5C9">
      <w:pPr>
        <w:pStyle w:val="7"/>
        <w:keepNext w:val="0"/>
        <w:keepLines w:val="0"/>
        <w:pageBreakBefore w:val="0"/>
        <w:kinsoku/>
        <w:wordWrap/>
        <w:overflowPunct/>
        <w:topLinePunct w:val="0"/>
        <w:bidi w:val="0"/>
        <w:spacing w:line="288" w:lineRule="auto"/>
      </w:pPr>
    </w:p>
    <w:p w14:paraId="040D41BC">
      <w:pPr>
        <w:pStyle w:val="7"/>
        <w:keepNext w:val="0"/>
        <w:keepLines w:val="0"/>
        <w:pageBreakBefore w:val="0"/>
        <w:kinsoku/>
        <w:wordWrap/>
        <w:overflowPunct/>
        <w:topLinePunct w:val="0"/>
        <w:bidi w:val="0"/>
        <w:spacing w:line="288" w:lineRule="auto"/>
      </w:pPr>
    </w:p>
    <w:p w14:paraId="587CD489">
      <w:pPr>
        <w:keepNext w:val="0"/>
        <w:keepLines w:val="0"/>
        <w:pageBreakBefore w:val="0"/>
        <w:kinsoku/>
        <w:wordWrap/>
        <w:overflowPunct/>
        <w:topLinePunct w:val="0"/>
        <w:bidi w:val="0"/>
        <w:spacing w:before="91" w:line="398" w:lineRule="auto"/>
        <w:ind w:left="5" w:right="7367"/>
        <w:rPr>
          <w:rFonts w:ascii="宋体" w:hAnsi="宋体" w:eastAsia="宋体" w:cs="宋体"/>
          <w:sz w:val="28"/>
          <w:szCs w:val="28"/>
        </w:rPr>
      </w:pPr>
      <w:r>
        <w:rPr>
          <w:rFonts w:ascii="宋体" w:hAnsi="宋体" w:eastAsia="宋体" w:cs="宋体"/>
          <w:spacing w:val="-16"/>
          <w:sz w:val="28"/>
          <w:szCs w:val="28"/>
        </w:rPr>
        <w:t>项目编号：项目名称：</w:t>
      </w:r>
    </w:p>
    <w:p w14:paraId="786C6F50">
      <w:pPr>
        <w:keepNext w:val="0"/>
        <w:keepLines w:val="0"/>
        <w:pageBreakBefore w:val="0"/>
        <w:kinsoku/>
        <w:wordWrap/>
        <w:overflowPunct/>
        <w:topLinePunct w:val="0"/>
        <w:bidi w:val="0"/>
        <w:spacing w:before="40" w:line="219" w:lineRule="auto"/>
        <w:ind w:left="1"/>
        <w:rPr>
          <w:rFonts w:ascii="宋体" w:hAnsi="宋体" w:eastAsia="宋体" w:cs="宋体"/>
          <w:sz w:val="28"/>
          <w:szCs w:val="28"/>
        </w:rPr>
      </w:pPr>
      <w:r>
        <w:rPr>
          <w:rFonts w:ascii="宋体" w:hAnsi="宋体" w:eastAsia="宋体" w:cs="宋体"/>
          <w:spacing w:val="-4"/>
          <w:sz w:val="28"/>
          <w:szCs w:val="28"/>
        </w:rPr>
        <w:t>供应商（公章</w:t>
      </w:r>
      <w:r>
        <w:rPr>
          <w:rFonts w:ascii="宋体" w:hAnsi="宋体" w:eastAsia="宋体" w:cs="宋体"/>
          <w:sz w:val="28"/>
          <w:szCs w:val="28"/>
        </w:rPr>
        <w:t>）：</w:t>
      </w:r>
    </w:p>
    <w:p w14:paraId="18797C3B">
      <w:pPr>
        <w:keepNext w:val="0"/>
        <w:keepLines w:val="0"/>
        <w:pageBreakBefore w:val="0"/>
        <w:kinsoku/>
        <w:wordWrap/>
        <w:overflowPunct/>
        <w:topLinePunct w:val="0"/>
        <w:bidi w:val="0"/>
        <w:spacing w:before="291" w:line="398" w:lineRule="auto"/>
        <w:ind w:right="5409" w:firstLine="2"/>
        <w:rPr>
          <w:rFonts w:ascii="宋体" w:hAnsi="宋体" w:eastAsia="宋体" w:cs="宋体"/>
          <w:sz w:val="28"/>
          <w:szCs w:val="28"/>
        </w:rPr>
      </w:pPr>
      <w:r>
        <w:rPr>
          <w:rFonts w:ascii="宋体" w:hAnsi="宋体" w:eastAsia="宋体" w:cs="宋体"/>
          <w:spacing w:val="-2"/>
          <w:sz w:val="28"/>
          <w:szCs w:val="28"/>
        </w:rPr>
        <w:t>法定代表人签字（盖章</w:t>
      </w:r>
      <w:r>
        <w:rPr>
          <w:rFonts w:ascii="宋体" w:hAnsi="宋体" w:eastAsia="宋体" w:cs="宋体"/>
          <w:spacing w:val="-30"/>
          <w:sz w:val="28"/>
          <w:szCs w:val="28"/>
        </w:rPr>
        <w:t>）：</w:t>
      </w:r>
      <w:r>
        <w:rPr>
          <w:rFonts w:ascii="宋体" w:hAnsi="宋体" w:eastAsia="宋体" w:cs="宋体"/>
          <w:spacing w:val="-2"/>
          <w:sz w:val="28"/>
          <w:szCs w:val="28"/>
        </w:rPr>
        <w:t>委托代理人签字：</w:t>
      </w:r>
    </w:p>
    <w:p w14:paraId="3A656F04">
      <w:pPr>
        <w:keepNext w:val="0"/>
        <w:keepLines w:val="0"/>
        <w:pageBreakBefore w:val="0"/>
        <w:kinsoku/>
        <w:wordWrap/>
        <w:overflowPunct/>
        <w:topLinePunct w:val="0"/>
        <w:bidi w:val="0"/>
        <w:spacing w:before="41" w:line="220" w:lineRule="auto"/>
        <w:ind w:left="49"/>
        <w:rPr>
          <w:rFonts w:ascii="宋体" w:hAnsi="宋体" w:eastAsia="宋体" w:cs="宋体"/>
          <w:sz w:val="28"/>
          <w:szCs w:val="28"/>
        </w:rPr>
      </w:pPr>
      <w:r>
        <w:rPr>
          <w:rFonts w:ascii="宋体" w:hAnsi="宋体" w:eastAsia="宋体" w:cs="宋体"/>
          <w:spacing w:val="-15"/>
          <w:sz w:val="28"/>
          <w:szCs w:val="28"/>
        </w:rPr>
        <w:t>日期：年月日</w:t>
      </w:r>
    </w:p>
    <w:p w14:paraId="75DA3662">
      <w:pPr>
        <w:keepNext w:val="0"/>
        <w:keepLines w:val="0"/>
        <w:pageBreakBefore w:val="0"/>
        <w:kinsoku/>
        <w:wordWrap/>
        <w:overflowPunct/>
        <w:topLinePunct w:val="0"/>
        <w:bidi w:val="0"/>
        <w:spacing w:line="220" w:lineRule="auto"/>
        <w:rPr>
          <w:rFonts w:ascii="宋体" w:hAnsi="宋体" w:eastAsia="宋体" w:cs="宋体"/>
          <w:sz w:val="28"/>
          <w:szCs w:val="28"/>
        </w:rPr>
        <w:sectPr>
          <w:footerReference r:id="rId15" w:type="default"/>
          <w:pgSz w:w="11906" w:h="16839"/>
          <w:pgMar w:top="1440" w:right="1080" w:bottom="1440" w:left="1080" w:header="0" w:footer="994" w:gutter="0"/>
          <w:pgNumType w:fmt="decimal"/>
          <w:cols w:space="720" w:num="1"/>
        </w:sectPr>
      </w:pPr>
    </w:p>
    <w:p w14:paraId="7789CF4A">
      <w:pPr>
        <w:pStyle w:val="7"/>
        <w:keepNext w:val="0"/>
        <w:keepLines w:val="0"/>
        <w:pageBreakBefore w:val="0"/>
        <w:kinsoku/>
        <w:wordWrap/>
        <w:overflowPunct/>
        <w:topLinePunct w:val="0"/>
        <w:bidi w:val="0"/>
        <w:spacing w:line="273" w:lineRule="auto"/>
      </w:pPr>
    </w:p>
    <w:p w14:paraId="2EC02D91">
      <w:pPr>
        <w:pStyle w:val="7"/>
        <w:keepNext w:val="0"/>
        <w:keepLines w:val="0"/>
        <w:pageBreakBefore w:val="0"/>
        <w:kinsoku/>
        <w:wordWrap/>
        <w:overflowPunct/>
        <w:topLinePunct w:val="0"/>
        <w:bidi w:val="0"/>
        <w:spacing w:line="273" w:lineRule="auto"/>
      </w:pPr>
    </w:p>
    <w:p w14:paraId="399C5D14">
      <w:pPr>
        <w:pStyle w:val="7"/>
        <w:keepNext w:val="0"/>
        <w:keepLines w:val="0"/>
        <w:pageBreakBefore w:val="0"/>
        <w:kinsoku/>
        <w:wordWrap/>
        <w:overflowPunct/>
        <w:topLinePunct w:val="0"/>
        <w:bidi w:val="0"/>
        <w:spacing w:line="273" w:lineRule="auto"/>
      </w:pPr>
    </w:p>
    <w:p w14:paraId="254A1F77">
      <w:pPr>
        <w:pStyle w:val="7"/>
        <w:keepNext w:val="0"/>
        <w:keepLines w:val="0"/>
        <w:pageBreakBefore w:val="0"/>
        <w:kinsoku/>
        <w:wordWrap/>
        <w:overflowPunct/>
        <w:topLinePunct w:val="0"/>
        <w:bidi w:val="0"/>
        <w:spacing w:line="274" w:lineRule="auto"/>
      </w:pPr>
    </w:p>
    <w:p w14:paraId="7EAF2340">
      <w:pPr>
        <w:pStyle w:val="7"/>
        <w:keepNext w:val="0"/>
        <w:keepLines w:val="0"/>
        <w:pageBreakBefore w:val="0"/>
        <w:kinsoku/>
        <w:wordWrap/>
        <w:overflowPunct/>
        <w:topLinePunct w:val="0"/>
        <w:bidi w:val="0"/>
        <w:spacing w:line="274" w:lineRule="auto"/>
      </w:pPr>
    </w:p>
    <w:p w14:paraId="6DCE8A91">
      <w:pPr>
        <w:keepNext w:val="0"/>
        <w:keepLines w:val="0"/>
        <w:pageBreakBefore w:val="0"/>
        <w:kinsoku/>
        <w:wordWrap/>
        <w:overflowPunct/>
        <w:topLinePunct w:val="0"/>
        <w:bidi w:val="0"/>
        <w:spacing w:before="114" w:line="227" w:lineRule="auto"/>
        <w:ind w:left="3979"/>
        <w:rPr>
          <w:rFonts w:ascii="宋体" w:hAnsi="宋体" w:eastAsia="宋体" w:cs="宋体"/>
          <w:sz w:val="35"/>
          <w:szCs w:val="35"/>
        </w:rPr>
      </w:pPr>
      <w:r>
        <w:rPr>
          <w:rFonts w:ascii="宋体" w:hAnsi="宋体" w:eastAsia="宋体" w:cs="宋体"/>
          <w:b/>
          <w:bCs/>
          <w:spacing w:val="-41"/>
          <w:sz w:val="35"/>
          <w:szCs w:val="35"/>
        </w:rPr>
        <w:t>目录</w:t>
      </w:r>
    </w:p>
    <w:p w14:paraId="20281481">
      <w:pPr>
        <w:pStyle w:val="7"/>
        <w:keepNext w:val="0"/>
        <w:keepLines w:val="0"/>
        <w:pageBreakBefore w:val="0"/>
        <w:kinsoku/>
        <w:wordWrap/>
        <w:overflowPunct/>
        <w:topLinePunct w:val="0"/>
        <w:bidi w:val="0"/>
        <w:spacing w:line="282" w:lineRule="auto"/>
      </w:pPr>
    </w:p>
    <w:p w14:paraId="5D45284F">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p>
    <w:p w14:paraId="6706B0C0">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1、响应函及资格声明函</w:t>
      </w:r>
    </w:p>
    <w:p w14:paraId="7E26F786">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2、法定代表人身份证明及法定代表人有效身份证正反面复印件</w:t>
      </w:r>
    </w:p>
    <w:p w14:paraId="1EBEB67B">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3、法定代表人授权委托书(如有委托时)</w:t>
      </w:r>
    </w:p>
    <w:p w14:paraId="251A7223">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4、商务条款偏离表</w:t>
      </w:r>
    </w:p>
    <w:p w14:paraId="08E9F438">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5、</w:t>
      </w:r>
      <w:r>
        <w:rPr>
          <w:rFonts w:hint="eastAsia" w:ascii="宋体" w:hAnsi="宋体" w:eastAsia="宋体" w:cs="宋体"/>
          <w:spacing w:val="-4"/>
          <w:sz w:val="28"/>
          <w:szCs w:val="28"/>
          <w:lang w:val="en-US" w:eastAsia="zh-CN"/>
        </w:rPr>
        <w:t>投</w:t>
      </w:r>
      <w:r>
        <w:rPr>
          <w:rFonts w:ascii="宋体" w:hAnsi="宋体" w:eastAsia="宋体" w:cs="宋体"/>
          <w:spacing w:val="-4"/>
          <w:sz w:val="28"/>
          <w:szCs w:val="28"/>
        </w:rPr>
        <w:t>标人情况介绍</w:t>
      </w:r>
    </w:p>
    <w:p w14:paraId="179CB3C0">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6、供应商类似业绩的证明文件(如有要求)</w:t>
      </w:r>
    </w:p>
    <w:p w14:paraId="6463305D">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7、服务需求偏离表</w:t>
      </w:r>
    </w:p>
    <w:p w14:paraId="3CCD9172">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8、</w:t>
      </w:r>
      <w:r>
        <w:rPr>
          <w:rFonts w:hint="eastAsia" w:ascii="宋体" w:hAnsi="宋体" w:eastAsia="宋体" w:cs="宋体"/>
          <w:spacing w:val="-4"/>
          <w:sz w:val="28"/>
          <w:szCs w:val="28"/>
          <w:lang w:val="en-US" w:eastAsia="zh-CN"/>
        </w:rPr>
        <w:t>项目实施</w:t>
      </w:r>
      <w:r>
        <w:rPr>
          <w:rFonts w:ascii="宋体" w:hAnsi="宋体" w:eastAsia="宋体" w:cs="宋体"/>
          <w:spacing w:val="-4"/>
          <w:sz w:val="28"/>
          <w:szCs w:val="28"/>
        </w:rPr>
        <w:t>方案</w:t>
      </w:r>
      <w:r>
        <w:rPr>
          <w:rFonts w:hint="eastAsia" w:ascii="宋体" w:hAnsi="宋体" w:eastAsia="宋体" w:cs="宋体"/>
          <w:spacing w:val="-4"/>
          <w:sz w:val="28"/>
          <w:szCs w:val="28"/>
          <w:lang w:eastAsia="zh-CN"/>
        </w:rPr>
        <w:t>、</w:t>
      </w:r>
      <w:r>
        <w:rPr>
          <w:rFonts w:hint="eastAsia" w:ascii="宋体" w:hAnsi="宋体" w:eastAsia="宋体" w:cs="宋体"/>
          <w:spacing w:val="-4"/>
          <w:sz w:val="28"/>
          <w:szCs w:val="28"/>
          <w:lang w:val="en-US" w:eastAsia="zh-CN"/>
        </w:rPr>
        <w:t>应急防治措施方案</w:t>
      </w:r>
    </w:p>
    <w:p w14:paraId="318F8D27">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9、售后服务方案</w:t>
      </w:r>
    </w:p>
    <w:p w14:paraId="3EFAA512">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10、项目实施人员一览表</w:t>
      </w:r>
    </w:p>
    <w:p w14:paraId="2FF54591">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11、服务需求、商务条款要求提供的其他材料</w:t>
      </w:r>
    </w:p>
    <w:p w14:paraId="06DA41EB">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pPr>
      <w:r>
        <w:rPr>
          <w:rFonts w:ascii="宋体" w:hAnsi="宋体" w:eastAsia="宋体" w:cs="宋体"/>
          <w:spacing w:val="-4"/>
          <w:sz w:val="28"/>
          <w:szCs w:val="28"/>
        </w:rPr>
        <w:t>注：以上目录是基本格式要求，各供应商可根据自身情况进一步向下增加内容或细化。</w:t>
      </w:r>
    </w:p>
    <w:p w14:paraId="27BEE975">
      <w:pPr>
        <w:keepNext w:val="0"/>
        <w:keepLines w:val="0"/>
        <w:pageBreakBefore w:val="0"/>
        <w:kinsoku/>
        <w:wordWrap/>
        <w:overflowPunct/>
        <w:topLinePunct w:val="0"/>
        <w:bidi w:val="0"/>
        <w:spacing w:before="40" w:line="219" w:lineRule="auto"/>
        <w:ind w:left="1"/>
        <w:rPr>
          <w:rFonts w:ascii="宋体" w:hAnsi="宋体" w:eastAsia="宋体" w:cs="宋体"/>
          <w:spacing w:val="-4"/>
          <w:sz w:val="28"/>
          <w:szCs w:val="28"/>
        </w:rPr>
        <w:sectPr>
          <w:footerReference r:id="rId16" w:type="default"/>
          <w:pgSz w:w="11906" w:h="16839"/>
          <w:pgMar w:top="1440" w:right="1080" w:bottom="1440" w:left="1080" w:header="0" w:footer="994" w:gutter="0"/>
          <w:pgNumType w:fmt="decimal"/>
          <w:cols w:space="720" w:num="1"/>
        </w:sectPr>
      </w:pPr>
    </w:p>
    <w:p w14:paraId="5C1833A3">
      <w:pPr>
        <w:pStyle w:val="7"/>
        <w:keepNext w:val="0"/>
        <w:keepLines w:val="0"/>
        <w:pageBreakBefore w:val="0"/>
        <w:kinsoku/>
        <w:wordWrap/>
        <w:overflowPunct/>
        <w:topLinePunct w:val="0"/>
        <w:bidi w:val="0"/>
        <w:spacing w:line="255" w:lineRule="auto"/>
      </w:pPr>
    </w:p>
    <w:p w14:paraId="5DA293F0">
      <w:pPr>
        <w:pStyle w:val="7"/>
        <w:keepNext w:val="0"/>
        <w:keepLines w:val="0"/>
        <w:pageBreakBefore w:val="0"/>
        <w:kinsoku/>
        <w:wordWrap/>
        <w:overflowPunct/>
        <w:topLinePunct w:val="0"/>
        <w:bidi w:val="0"/>
        <w:spacing w:line="255" w:lineRule="auto"/>
      </w:pPr>
    </w:p>
    <w:p w14:paraId="360003A1">
      <w:pPr>
        <w:pStyle w:val="7"/>
        <w:keepNext w:val="0"/>
        <w:keepLines w:val="0"/>
        <w:pageBreakBefore w:val="0"/>
        <w:kinsoku/>
        <w:wordWrap/>
        <w:overflowPunct/>
        <w:topLinePunct w:val="0"/>
        <w:bidi w:val="0"/>
        <w:spacing w:line="256" w:lineRule="auto"/>
      </w:pPr>
    </w:p>
    <w:p w14:paraId="64B26E19">
      <w:pPr>
        <w:keepNext w:val="0"/>
        <w:keepLines w:val="0"/>
        <w:pageBreakBefore w:val="0"/>
        <w:kinsoku/>
        <w:wordWrap/>
        <w:overflowPunct/>
        <w:topLinePunct w:val="0"/>
        <w:bidi w:val="0"/>
        <w:spacing w:before="78" w:line="221" w:lineRule="auto"/>
        <w:ind w:left="4191"/>
        <w:rPr>
          <w:rFonts w:ascii="宋体" w:hAnsi="宋体" w:eastAsia="宋体" w:cs="宋体"/>
          <w:sz w:val="24"/>
          <w:szCs w:val="24"/>
        </w:rPr>
      </w:pPr>
      <w:r>
        <w:rPr>
          <w:rFonts w:ascii="宋体" w:hAnsi="宋体" w:eastAsia="宋体" w:cs="宋体"/>
          <w:b/>
          <w:bCs/>
          <w:spacing w:val="-9"/>
          <w:sz w:val="24"/>
          <w:szCs w:val="24"/>
        </w:rPr>
        <w:t>响应函</w:t>
      </w:r>
    </w:p>
    <w:p w14:paraId="0D482D1D">
      <w:pPr>
        <w:keepNext w:val="0"/>
        <w:keepLines w:val="0"/>
        <w:pageBreakBefore w:val="0"/>
        <w:kinsoku/>
        <w:wordWrap/>
        <w:overflowPunct/>
        <w:topLinePunct w:val="0"/>
        <w:bidi w:val="0"/>
        <w:spacing w:before="180" w:line="221" w:lineRule="auto"/>
        <w:ind w:left="4215"/>
        <w:rPr>
          <w:rFonts w:ascii="宋体" w:hAnsi="宋体" w:eastAsia="宋体" w:cs="宋体"/>
          <w:sz w:val="24"/>
          <w:szCs w:val="24"/>
        </w:rPr>
      </w:pPr>
      <w:r>
        <w:rPr>
          <w:rFonts w:ascii="宋体" w:hAnsi="宋体" w:eastAsia="宋体" w:cs="宋体"/>
          <w:spacing w:val="-11"/>
          <w:sz w:val="24"/>
          <w:szCs w:val="24"/>
        </w:rPr>
        <w:t>响应函</w:t>
      </w:r>
    </w:p>
    <w:p w14:paraId="7D073B31">
      <w:pPr>
        <w:keepNext w:val="0"/>
        <w:keepLines w:val="0"/>
        <w:pageBreakBefore w:val="0"/>
        <w:kinsoku/>
        <w:wordWrap/>
        <w:overflowPunct/>
        <w:topLinePunct w:val="0"/>
        <w:bidi w:val="0"/>
        <w:spacing w:before="181" w:line="235" w:lineRule="auto"/>
        <w:rPr>
          <w:rFonts w:ascii="宋体" w:hAnsi="宋体" w:eastAsia="宋体" w:cs="宋体"/>
          <w:sz w:val="24"/>
          <w:szCs w:val="24"/>
        </w:rPr>
      </w:pPr>
      <w:r>
        <w:rPr>
          <w:rFonts w:ascii="宋体" w:hAnsi="宋体" w:eastAsia="宋体" w:cs="宋体"/>
          <w:spacing w:val="-1"/>
          <w:sz w:val="24"/>
          <w:szCs w:val="24"/>
        </w:rPr>
        <w:t>XXXXXX：</w:t>
      </w:r>
    </w:p>
    <w:p w14:paraId="2F7AC104">
      <w:pPr>
        <w:keepNext w:val="0"/>
        <w:keepLines w:val="0"/>
        <w:pageBreakBefore w:val="0"/>
        <w:kinsoku/>
        <w:wordWrap/>
        <w:overflowPunct/>
        <w:topLinePunct w:val="0"/>
        <w:bidi w:val="0"/>
        <w:spacing w:before="163" w:line="346" w:lineRule="auto"/>
        <w:ind w:left="8" w:firstLine="474"/>
        <w:rPr>
          <w:rFonts w:ascii="宋体" w:hAnsi="宋体" w:eastAsia="宋体" w:cs="宋体"/>
          <w:sz w:val="24"/>
          <w:szCs w:val="24"/>
        </w:rPr>
      </w:pPr>
      <w:r>
        <w:rPr>
          <w:rFonts w:ascii="宋体" w:hAnsi="宋体" w:eastAsia="宋体" w:cs="宋体"/>
          <w:spacing w:val="-1"/>
          <w:sz w:val="24"/>
          <w:szCs w:val="24"/>
        </w:rPr>
        <w:t>根据贵公司对XXXXXXXXXX的磋商邀请（项目编号：XXXXXX</w:t>
      </w:r>
      <w:r>
        <w:rPr>
          <w:rFonts w:ascii="宋体" w:hAnsi="宋体" w:eastAsia="宋体" w:cs="宋体"/>
          <w:spacing w:val="-4"/>
          <w:sz w:val="24"/>
          <w:szCs w:val="24"/>
        </w:rPr>
        <w:t>），</w:t>
      </w:r>
      <w:r>
        <w:rPr>
          <w:rFonts w:ascii="宋体" w:hAnsi="宋体" w:eastAsia="宋体" w:cs="宋体"/>
          <w:spacing w:val="-2"/>
          <w:sz w:val="24"/>
          <w:szCs w:val="24"/>
        </w:rPr>
        <w:t>我公司经研究，决</w:t>
      </w:r>
      <w:r>
        <w:rPr>
          <w:rFonts w:ascii="宋体" w:hAnsi="宋体" w:eastAsia="宋体" w:cs="宋体"/>
          <w:spacing w:val="-1"/>
          <w:sz w:val="24"/>
          <w:szCs w:val="24"/>
        </w:rPr>
        <w:t>定参与本次竞争性磋商，并提交本项目响应文件正本</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份和副本</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份。</w:t>
      </w:r>
    </w:p>
    <w:p w14:paraId="664A8C10">
      <w:pPr>
        <w:keepNext w:val="0"/>
        <w:keepLines w:val="0"/>
        <w:pageBreakBefore w:val="0"/>
        <w:kinsoku/>
        <w:wordWrap/>
        <w:overflowPunct/>
        <w:topLinePunct w:val="0"/>
        <w:bidi w:val="0"/>
        <w:spacing w:before="35" w:line="219" w:lineRule="auto"/>
        <w:ind w:left="1"/>
        <w:rPr>
          <w:rFonts w:ascii="宋体" w:hAnsi="宋体" w:eastAsia="宋体" w:cs="宋体"/>
          <w:sz w:val="24"/>
          <w:szCs w:val="24"/>
        </w:rPr>
      </w:pPr>
      <w:r>
        <w:rPr>
          <w:rFonts w:ascii="宋体" w:hAnsi="宋体" w:eastAsia="宋体" w:cs="宋体"/>
          <w:spacing w:val="-1"/>
          <w:sz w:val="24"/>
          <w:szCs w:val="24"/>
        </w:rPr>
        <w:t>据此函，我公司承诺如下：</w:t>
      </w:r>
    </w:p>
    <w:p w14:paraId="7D873088">
      <w:pPr>
        <w:keepNext w:val="0"/>
        <w:keepLines w:val="0"/>
        <w:pageBreakBefore w:val="0"/>
        <w:kinsoku/>
        <w:wordWrap/>
        <w:overflowPunct/>
        <w:topLinePunct w:val="0"/>
        <w:bidi w:val="0"/>
        <w:spacing w:before="183" w:line="219" w:lineRule="auto"/>
        <w:ind w:left="20"/>
        <w:rPr>
          <w:rFonts w:ascii="宋体" w:hAnsi="宋体" w:eastAsia="宋体" w:cs="宋体"/>
          <w:sz w:val="24"/>
          <w:szCs w:val="24"/>
        </w:rPr>
      </w:pPr>
      <w:r>
        <w:rPr>
          <w:rFonts w:ascii="宋体" w:hAnsi="宋体" w:eastAsia="宋体" w:cs="宋体"/>
          <w:spacing w:val="-1"/>
          <w:sz w:val="24"/>
          <w:szCs w:val="24"/>
        </w:rPr>
        <w:t>1.我公司将按磋商文件的规定履行合同责任</w:t>
      </w:r>
      <w:r>
        <w:rPr>
          <w:rFonts w:ascii="宋体" w:hAnsi="宋体" w:eastAsia="宋体" w:cs="宋体"/>
          <w:spacing w:val="-2"/>
          <w:sz w:val="24"/>
          <w:szCs w:val="24"/>
        </w:rPr>
        <w:t>和义务。</w:t>
      </w:r>
    </w:p>
    <w:p w14:paraId="3508A661">
      <w:pPr>
        <w:keepNext w:val="0"/>
        <w:keepLines w:val="0"/>
        <w:pageBreakBefore w:val="0"/>
        <w:kinsoku/>
        <w:wordWrap/>
        <w:overflowPunct/>
        <w:topLinePunct w:val="0"/>
        <w:bidi w:val="0"/>
        <w:spacing w:before="184" w:line="289" w:lineRule="auto"/>
        <w:ind w:left="3" w:firstLine="1"/>
        <w:rPr>
          <w:rFonts w:ascii="宋体" w:hAnsi="宋体" w:eastAsia="宋体" w:cs="宋体"/>
          <w:sz w:val="24"/>
          <w:szCs w:val="24"/>
        </w:rPr>
      </w:pPr>
      <w:r>
        <w:rPr>
          <w:rFonts w:ascii="宋体" w:hAnsi="宋体" w:eastAsia="宋体" w:cs="宋体"/>
          <w:spacing w:val="2"/>
          <w:sz w:val="24"/>
          <w:szCs w:val="24"/>
        </w:rPr>
        <w:t>2.我公司已详细审查全部磋商文件，包</w:t>
      </w:r>
      <w:r>
        <w:rPr>
          <w:rFonts w:ascii="宋体" w:hAnsi="宋体" w:eastAsia="宋体" w:cs="宋体"/>
          <w:spacing w:val="1"/>
          <w:sz w:val="24"/>
          <w:szCs w:val="24"/>
        </w:rPr>
        <w:t>括修改文件（如有的话）以及全部参考资料和</w:t>
      </w:r>
      <w:r>
        <w:rPr>
          <w:rFonts w:ascii="宋体" w:hAnsi="宋体" w:eastAsia="宋体" w:cs="宋体"/>
          <w:sz w:val="24"/>
          <w:szCs w:val="24"/>
        </w:rPr>
        <w:t>有关附件。我公司完全理解并同意放弃对这</w:t>
      </w:r>
      <w:r>
        <w:rPr>
          <w:rFonts w:ascii="宋体" w:hAnsi="宋体" w:eastAsia="宋体" w:cs="宋体"/>
          <w:spacing w:val="-1"/>
          <w:sz w:val="24"/>
          <w:szCs w:val="24"/>
        </w:rPr>
        <w:t>方面有不明及误解的权利。</w:t>
      </w:r>
    </w:p>
    <w:p w14:paraId="7AAFAE7F">
      <w:pPr>
        <w:keepNext w:val="0"/>
        <w:keepLines w:val="0"/>
        <w:pageBreakBefore w:val="0"/>
        <w:kinsoku/>
        <w:wordWrap/>
        <w:overflowPunct/>
        <w:topLinePunct w:val="0"/>
        <w:bidi w:val="0"/>
        <w:spacing w:before="183" w:line="219" w:lineRule="auto"/>
        <w:ind w:left="7"/>
        <w:rPr>
          <w:rFonts w:ascii="宋体" w:hAnsi="宋体" w:eastAsia="宋体" w:cs="宋体"/>
          <w:sz w:val="24"/>
          <w:szCs w:val="24"/>
        </w:rPr>
      </w:pPr>
      <w:r>
        <w:rPr>
          <w:rFonts w:ascii="宋体" w:hAnsi="宋体" w:eastAsia="宋体" w:cs="宋体"/>
          <w:sz w:val="24"/>
          <w:szCs w:val="24"/>
        </w:rPr>
        <w:t>3.我公司同意提供按照贵公司可能要求的与其</w:t>
      </w:r>
      <w:r>
        <w:rPr>
          <w:rFonts w:ascii="宋体" w:hAnsi="宋体" w:eastAsia="宋体" w:cs="宋体"/>
          <w:spacing w:val="-1"/>
          <w:sz w:val="24"/>
          <w:szCs w:val="24"/>
        </w:rPr>
        <w:t>竞争性磋商有关的一切数据或资料。</w:t>
      </w:r>
    </w:p>
    <w:p w14:paraId="583407DD">
      <w:pPr>
        <w:keepNext w:val="0"/>
        <w:keepLines w:val="0"/>
        <w:pageBreakBefore w:val="0"/>
        <w:kinsoku/>
        <w:wordWrap/>
        <w:overflowPunct/>
        <w:topLinePunct w:val="0"/>
        <w:bidi w:val="0"/>
        <w:spacing w:before="183" w:line="219" w:lineRule="auto"/>
        <w:ind w:left="1"/>
        <w:rPr>
          <w:rFonts w:ascii="宋体" w:hAnsi="宋体" w:eastAsia="宋体" w:cs="宋体"/>
          <w:sz w:val="24"/>
          <w:szCs w:val="24"/>
        </w:rPr>
      </w:pPr>
      <w:r>
        <w:rPr>
          <w:rFonts w:ascii="宋体" w:hAnsi="宋体" w:eastAsia="宋体" w:cs="宋体"/>
          <w:spacing w:val="-1"/>
          <w:sz w:val="24"/>
          <w:szCs w:val="24"/>
        </w:rPr>
        <w:t>4.我公司愿意遵守磋商文件中对供应商的所有规定。</w:t>
      </w:r>
    </w:p>
    <w:p w14:paraId="4DBB22F3">
      <w:pPr>
        <w:keepNext w:val="0"/>
        <w:keepLines w:val="0"/>
        <w:pageBreakBefore w:val="0"/>
        <w:kinsoku/>
        <w:wordWrap/>
        <w:overflowPunct/>
        <w:topLinePunct w:val="0"/>
        <w:bidi w:val="0"/>
        <w:spacing w:before="185" w:line="219" w:lineRule="auto"/>
        <w:ind w:left="7"/>
        <w:rPr>
          <w:rFonts w:ascii="宋体" w:hAnsi="宋体" w:eastAsia="宋体" w:cs="宋体"/>
          <w:sz w:val="24"/>
          <w:szCs w:val="24"/>
        </w:rPr>
      </w:pPr>
      <w:r>
        <w:rPr>
          <w:rFonts w:ascii="宋体" w:hAnsi="宋体" w:eastAsia="宋体" w:cs="宋体"/>
          <w:sz w:val="24"/>
          <w:szCs w:val="24"/>
        </w:rPr>
        <w:t>5.一旦我公司成交，我公司愿意履行自</w:t>
      </w:r>
      <w:r>
        <w:rPr>
          <w:rFonts w:ascii="宋体" w:hAnsi="宋体" w:eastAsia="宋体" w:cs="宋体"/>
          <w:spacing w:val="-1"/>
          <w:sz w:val="24"/>
          <w:szCs w:val="24"/>
        </w:rPr>
        <w:t>己在响应文件中的全部承诺和责任。</w:t>
      </w:r>
    </w:p>
    <w:p w14:paraId="0B0D164F">
      <w:pPr>
        <w:keepNext w:val="0"/>
        <w:keepLines w:val="0"/>
        <w:pageBreakBefore w:val="0"/>
        <w:kinsoku/>
        <w:wordWrap/>
        <w:overflowPunct/>
        <w:topLinePunct w:val="0"/>
        <w:bidi w:val="0"/>
        <w:spacing w:before="182" w:line="313" w:lineRule="auto"/>
        <w:ind w:left="25" w:hanging="21"/>
        <w:rPr>
          <w:rFonts w:ascii="宋体" w:hAnsi="宋体" w:eastAsia="宋体" w:cs="宋体"/>
          <w:sz w:val="24"/>
          <w:szCs w:val="24"/>
        </w:rPr>
      </w:pPr>
      <w:r>
        <w:rPr>
          <w:rFonts w:ascii="宋体" w:hAnsi="宋体" w:eastAsia="宋体" w:cs="宋体"/>
          <w:spacing w:val="2"/>
          <w:sz w:val="24"/>
          <w:szCs w:val="24"/>
        </w:rPr>
        <w:t>6.我公司知道如用虚假材料或恶意方式向</w:t>
      </w:r>
      <w:r>
        <w:rPr>
          <w:rFonts w:ascii="宋体" w:hAnsi="宋体" w:eastAsia="宋体" w:cs="宋体"/>
          <w:spacing w:val="1"/>
          <w:sz w:val="24"/>
          <w:szCs w:val="24"/>
        </w:rPr>
        <w:t>贵公司提出质疑，将承担相应的法律责任。</w:t>
      </w:r>
      <w:r>
        <w:rPr>
          <w:rFonts w:ascii="宋体" w:hAnsi="宋体" w:eastAsia="宋体" w:cs="宋体"/>
          <w:spacing w:val="-2"/>
          <w:sz w:val="24"/>
          <w:szCs w:val="24"/>
        </w:rPr>
        <w:t>同时承诺：我公司如果有上述行为，将无条件承担贵公司相关的调查论证</w:t>
      </w:r>
      <w:r>
        <w:rPr>
          <w:rFonts w:ascii="宋体" w:hAnsi="宋体" w:eastAsia="宋体" w:cs="宋体"/>
          <w:spacing w:val="-3"/>
          <w:sz w:val="24"/>
          <w:szCs w:val="24"/>
        </w:rPr>
        <w:t>费用。我公司</w:t>
      </w:r>
      <w:r>
        <w:rPr>
          <w:rFonts w:ascii="宋体" w:hAnsi="宋体" w:eastAsia="宋体" w:cs="宋体"/>
          <w:spacing w:val="-1"/>
          <w:sz w:val="24"/>
          <w:szCs w:val="24"/>
        </w:rPr>
        <w:t>同意提供按贵公司可能要求的与其竞争性磋商有关的一切数据或</w:t>
      </w:r>
      <w:r>
        <w:rPr>
          <w:rFonts w:ascii="宋体" w:hAnsi="宋体" w:eastAsia="宋体" w:cs="宋体"/>
          <w:spacing w:val="-2"/>
          <w:sz w:val="24"/>
          <w:szCs w:val="24"/>
        </w:rPr>
        <w:t>资料。</w:t>
      </w:r>
    </w:p>
    <w:p w14:paraId="600BD2D8">
      <w:pPr>
        <w:keepNext w:val="0"/>
        <w:keepLines w:val="0"/>
        <w:pageBreakBefore w:val="0"/>
        <w:kinsoku/>
        <w:wordWrap/>
        <w:overflowPunct/>
        <w:topLinePunct w:val="0"/>
        <w:bidi w:val="0"/>
        <w:spacing w:before="184" w:line="219" w:lineRule="auto"/>
        <w:ind w:left="8"/>
        <w:rPr>
          <w:rFonts w:ascii="宋体" w:hAnsi="宋体" w:eastAsia="宋体" w:cs="宋体"/>
          <w:sz w:val="24"/>
          <w:szCs w:val="24"/>
        </w:rPr>
      </w:pPr>
      <w:r>
        <w:rPr>
          <w:rFonts w:ascii="宋体" w:hAnsi="宋体" w:eastAsia="宋体" w:cs="宋体"/>
          <w:spacing w:val="-3"/>
          <w:sz w:val="24"/>
          <w:szCs w:val="24"/>
        </w:rPr>
        <w:t>7.我单位承诺磋商有效期为磋商截止之日起90日历天。</w:t>
      </w:r>
    </w:p>
    <w:p w14:paraId="65B9B47C">
      <w:pPr>
        <w:keepNext w:val="0"/>
        <w:keepLines w:val="0"/>
        <w:pageBreakBefore w:val="0"/>
        <w:kinsoku/>
        <w:wordWrap/>
        <w:overflowPunct/>
        <w:topLinePunct w:val="0"/>
        <w:bidi w:val="0"/>
        <w:spacing w:before="182" w:line="290" w:lineRule="auto"/>
        <w:ind w:left="2" w:right="3732"/>
        <w:rPr>
          <w:rFonts w:ascii="宋体" w:hAnsi="宋体" w:eastAsia="宋体" w:cs="宋体"/>
          <w:sz w:val="24"/>
          <w:szCs w:val="24"/>
        </w:rPr>
      </w:pPr>
      <w:r>
        <w:rPr>
          <w:rFonts w:ascii="宋体" w:hAnsi="宋体" w:eastAsia="宋体" w:cs="宋体"/>
          <w:spacing w:val="-3"/>
          <w:sz w:val="24"/>
          <w:szCs w:val="24"/>
        </w:rPr>
        <w:t>8.本次竞争性磋商有关的一切正式往来通讯请寄：</w:t>
      </w:r>
      <w:r>
        <w:rPr>
          <w:rFonts w:ascii="宋体" w:hAnsi="宋体" w:eastAsia="宋体" w:cs="宋体"/>
          <w:spacing w:val="-7"/>
          <w:sz w:val="24"/>
          <w:szCs w:val="24"/>
        </w:rPr>
        <w:t>地址：邮编：</w:t>
      </w:r>
    </w:p>
    <w:p w14:paraId="1657EC6D">
      <w:pPr>
        <w:keepNext w:val="0"/>
        <w:keepLines w:val="0"/>
        <w:pageBreakBefore w:val="0"/>
        <w:kinsoku/>
        <w:wordWrap/>
        <w:overflowPunct/>
        <w:topLinePunct w:val="0"/>
        <w:bidi w:val="0"/>
        <w:spacing w:before="182" w:line="219" w:lineRule="auto"/>
        <w:ind w:left="30"/>
        <w:rPr>
          <w:rFonts w:ascii="宋体" w:hAnsi="宋体" w:eastAsia="宋体" w:cs="宋体"/>
          <w:sz w:val="24"/>
          <w:szCs w:val="24"/>
        </w:rPr>
      </w:pPr>
      <w:r>
        <w:rPr>
          <w:rFonts w:ascii="宋体" w:hAnsi="宋体" w:eastAsia="宋体" w:cs="宋体"/>
          <w:spacing w:val="-8"/>
          <w:sz w:val="24"/>
          <w:szCs w:val="24"/>
        </w:rPr>
        <w:t>电话：传真：</w:t>
      </w:r>
    </w:p>
    <w:p w14:paraId="0D73C194">
      <w:pPr>
        <w:keepNext w:val="0"/>
        <w:keepLines w:val="0"/>
        <w:pageBreakBefore w:val="0"/>
        <w:kinsoku/>
        <w:wordWrap/>
        <w:overflowPunct/>
        <w:topLinePunct w:val="0"/>
        <w:bidi w:val="0"/>
        <w:spacing w:before="184" w:line="219" w:lineRule="auto"/>
        <w:ind w:left="2"/>
        <w:rPr>
          <w:rFonts w:ascii="宋体" w:hAnsi="宋体" w:eastAsia="宋体" w:cs="宋体"/>
          <w:sz w:val="24"/>
          <w:szCs w:val="24"/>
        </w:rPr>
      </w:pPr>
      <w:r>
        <w:rPr>
          <w:rFonts w:ascii="宋体" w:hAnsi="宋体" w:eastAsia="宋体" w:cs="宋体"/>
          <w:spacing w:val="-1"/>
          <w:sz w:val="24"/>
          <w:szCs w:val="24"/>
        </w:rPr>
        <w:t>供应商名称（加盖公章</w:t>
      </w:r>
      <w:r>
        <w:rPr>
          <w:rFonts w:ascii="宋体" w:hAnsi="宋体" w:eastAsia="宋体" w:cs="宋体"/>
          <w:sz w:val="24"/>
          <w:szCs w:val="24"/>
        </w:rPr>
        <w:t>）：</w:t>
      </w:r>
    </w:p>
    <w:p w14:paraId="1470CA2C">
      <w:pPr>
        <w:keepNext w:val="0"/>
        <w:keepLines w:val="0"/>
        <w:pageBreakBefore w:val="0"/>
        <w:kinsoku/>
        <w:wordWrap/>
        <w:overflowPunct/>
        <w:topLinePunct w:val="0"/>
        <w:bidi w:val="0"/>
        <w:spacing w:before="183" w:line="347" w:lineRule="auto"/>
        <w:ind w:left="43" w:right="5532" w:hanging="40"/>
        <w:rPr>
          <w:rFonts w:ascii="宋体" w:hAnsi="宋体" w:eastAsia="宋体" w:cs="宋体"/>
          <w:sz w:val="24"/>
          <w:szCs w:val="24"/>
        </w:rPr>
      </w:pPr>
      <w:r>
        <w:rPr>
          <w:rFonts w:ascii="宋体" w:hAnsi="宋体" w:eastAsia="宋体" w:cs="宋体"/>
          <w:spacing w:val="-1"/>
          <w:sz w:val="24"/>
          <w:szCs w:val="24"/>
        </w:rPr>
        <w:t>法定代表人或授权代表（签字</w:t>
      </w:r>
      <w:r>
        <w:rPr>
          <w:rFonts w:ascii="宋体" w:hAnsi="宋体" w:eastAsia="宋体" w:cs="宋体"/>
          <w:spacing w:val="-30"/>
          <w:sz w:val="24"/>
          <w:szCs w:val="24"/>
        </w:rPr>
        <w:t>）：</w:t>
      </w:r>
      <w:r>
        <w:rPr>
          <w:rFonts w:ascii="宋体" w:hAnsi="宋体" w:eastAsia="宋体" w:cs="宋体"/>
          <w:spacing w:val="-20"/>
          <w:sz w:val="24"/>
          <w:szCs w:val="24"/>
        </w:rPr>
        <w:t>日期：年月日</w:t>
      </w:r>
    </w:p>
    <w:p w14:paraId="304128C6">
      <w:pPr>
        <w:keepNext w:val="0"/>
        <w:keepLines w:val="0"/>
        <w:pageBreakBefore w:val="0"/>
        <w:kinsoku/>
        <w:wordWrap/>
        <w:overflowPunct/>
        <w:topLinePunct w:val="0"/>
        <w:bidi w:val="0"/>
        <w:spacing w:line="347" w:lineRule="auto"/>
        <w:rPr>
          <w:rFonts w:ascii="宋体" w:hAnsi="宋体" w:eastAsia="宋体" w:cs="宋体"/>
          <w:sz w:val="24"/>
          <w:szCs w:val="24"/>
        </w:rPr>
        <w:sectPr>
          <w:footerReference r:id="rId17" w:type="default"/>
          <w:pgSz w:w="11906" w:h="16839"/>
          <w:pgMar w:top="1440" w:right="1080" w:bottom="1440" w:left="1080" w:header="0" w:footer="994" w:gutter="0"/>
          <w:pgNumType w:fmt="decimal"/>
          <w:cols w:space="720" w:num="1"/>
        </w:sectPr>
      </w:pPr>
    </w:p>
    <w:p w14:paraId="23D9BE69">
      <w:pPr>
        <w:keepNext w:val="0"/>
        <w:keepLines w:val="0"/>
        <w:pageBreakBefore w:val="0"/>
        <w:kinsoku/>
        <w:wordWrap/>
        <w:overflowPunct/>
        <w:topLinePunct w:val="0"/>
        <w:bidi w:val="0"/>
        <w:spacing w:before="78" w:line="219" w:lineRule="auto"/>
        <w:ind w:left="3602"/>
        <w:rPr>
          <w:rFonts w:ascii="宋体" w:hAnsi="宋体" w:eastAsia="宋体" w:cs="宋体"/>
          <w:sz w:val="24"/>
          <w:szCs w:val="24"/>
        </w:rPr>
      </w:pPr>
      <w:r>
        <w:rPr>
          <w:rFonts w:ascii="宋体" w:hAnsi="宋体" w:eastAsia="宋体" w:cs="宋体"/>
          <w:b/>
          <w:bCs/>
          <w:spacing w:val="-12"/>
          <w:sz w:val="24"/>
          <w:szCs w:val="24"/>
        </w:rPr>
        <w:t>资格声明函</w:t>
      </w:r>
    </w:p>
    <w:p w14:paraId="11C31FD9">
      <w:pPr>
        <w:pStyle w:val="7"/>
        <w:keepNext w:val="0"/>
        <w:keepLines w:val="0"/>
        <w:pageBreakBefore w:val="0"/>
        <w:kinsoku/>
        <w:wordWrap/>
        <w:overflowPunct/>
        <w:topLinePunct w:val="0"/>
        <w:bidi w:val="0"/>
        <w:spacing w:line="378" w:lineRule="auto"/>
      </w:pPr>
    </w:p>
    <w:p w14:paraId="243028EC">
      <w:pPr>
        <w:keepNext w:val="0"/>
        <w:keepLines w:val="0"/>
        <w:pageBreakBefore w:val="0"/>
        <w:kinsoku/>
        <w:wordWrap/>
        <w:overflowPunct/>
        <w:topLinePunct w:val="0"/>
        <w:bidi w:val="0"/>
        <w:spacing w:before="78" w:line="219" w:lineRule="auto"/>
        <w:ind w:left="23"/>
        <w:rPr>
          <w:rFonts w:ascii="宋体" w:hAnsi="宋体" w:eastAsia="宋体" w:cs="宋体"/>
          <w:sz w:val="24"/>
          <w:szCs w:val="24"/>
        </w:rPr>
      </w:pPr>
      <w:r>
        <w:rPr>
          <w:rFonts w:ascii="宋体" w:hAnsi="宋体" w:eastAsia="宋体" w:cs="宋体"/>
          <w:spacing w:val="-18"/>
          <w:sz w:val="24"/>
          <w:szCs w:val="24"/>
        </w:rPr>
        <w:t>致：</w:t>
      </w:r>
      <w:r>
        <w:rPr>
          <w:rFonts w:ascii="宋体" w:hAnsi="宋体" w:eastAsia="宋体" w:cs="宋体"/>
          <w:spacing w:val="-18"/>
          <w:sz w:val="24"/>
          <w:szCs w:val="24"/>
          <w:u w:val="single" w:color="auto"/>
        </w:rPr>
        <w:t>[采购组织机构]</w:t>
      </w:r>
      <w:r>
        <w:rPr>
          <w:rFonts w:ascii="宋体" w:hAnsi="宋体" w:eastAsia="宋体" w:cs="宋体"/>
          <w:spacing w:val="-18"/>
          <w:sz w:val="24"/>
          <w:szCs w:val="24"/>
        </w:rPr>
        <w:t>：</w:t>
      </w:r>
    </w:p>
    <w:p w14:paraId="556881DA">
      <w:pPr>
        <w:pStyle w:val="7"/>
        <w:keepNext w:val="0"/>
        <w:keepLines w:val="0"/>
        <w:pageBreakBefore w:val="0"/>
        <w:kinsoku/>
        <w:wordWrap/>
        <w:overflowPunct/>
        <w:topLinePunct w:val="0"/>
        <w:bidi w:val="0"/>
        <w:spacing w:line="350" w:lineRule="auto"/>
      </w:pPr>
    </w:p>
    <w:p w14:paraId="2EB4B36C">
      <w:pPr>
        <w:keepNext w:val="0"/>
        <w:keepLines w:val="0"/>
        <w:pageBreakBefore w:val="0"/>
        <w:kinsoku/>
        <w:wordWrap/>
        <w:overflowPunct/>
        <w:topLinePunct w:val="0"/>
        <w:bidi w:val="0"/>
        <w:spacing w:before="78" w:line="219" w:lineRule="auto"/>
        <w:ind w:left="694"/>
        <w:rPr>
          <w:rFonts w:ascii="宋体" w:hAnsi="宋体" w:eastAsia="宋体" w:cs="宋体"/>
          <w:sz w:val="24"/>
          <w:szCs w:val="24"/>
        </w:rPr>
      </w:pPr>
      <w:r>
        <w:rPr>
          <w:rFonts w:ascii="宋体" w:hAnsi="宋体" w:eastAsia="宋体" w:cs="宋体"/>
          <w:spacing w:val="-16"/>
          <w:sz w:val="24"/>
          <w:szCs w:val="24"/>
          <w:u w:val="single" w:color="auto"/>
        </w:rPr>
        <w:t>(供应商名称)</w:t>
      </w:r>
      <w:r>
        <w:rPr>
          <w:rFonts w:ascii="宋体" w:hAnsi="宋体" w:eastAsia="宋体" w:cs="宋体"/>
          <w:spacing w:val="-16"/>
          <w:sz w:val="24"/>
          <w:szCs w:val="24"/>
        </w:rPr>
        <w:t>系中华人民共和国合法供应商，经营地址：</w:t>
      </w:r>
    </w:p>
    <w:p w14:paraId="164EA69D">
      <w:pPr>
        <w:keepNext w:val="0"/>
        <w:keepLines w:val="0"/>
        <w:pageBreakBefore w:val="0"/>
        <w:kinsoku/>
        <w:wordWrap/>
        <w:overflowPunct/>
        <w:topLinePunct w:val="0"/>
        <w:bidi w:val="0"/>
        <w:spacing w:before="237" w:line="322" w:lineRule="auto"/>
        <w:ind w:left="15" w:right="39" w:firstLine="491"/>
        <w:rPr>
          <w:rFonts w:ascii="宋体" w:hAnsi="宋体" w:eastAsia="宋体" w:cs="宋体"/>
          <w:sz w:val="24"/>
          <w:szCs w:val="24"/>
        </w:rPr>
      </w:pPr>
      <w:r>
        <w:rPr>
          <w:rFonts w:ascii="宋体" w:hAnsi="宋体" w:eastAsia="宋体" w:cs="宋体"/>
          <w:spacing w:val="1"/>
          <w:sz w:val="24"/>
          <w:szCs w:val="24"/>
        </w:rPr>
        <w:t>我方愿意参加贵方组织的</w:t>
      </w:r>
      <w:r>
        <w:rPr>
          <w:rFonts w:ascii="宋体" w:hAnsi="宋体" w:eastAsia="宋体" w:cs="宋体"/>
          <w:spacing w:val="1"/>
          <w:sz w:val="24"/>
          <w:szCs w:val="24"/>
          <w:u w:val="single" w:color="auto"/>
        </w:rPr>
        <w:t>[项目名称]</w:t>
      </w:r>
      <w:r>
        <w:rPr>
          <w:rFonts w:ascii="宋体" w:hAnsi="宋体" w:eastAsia="宋体" w:cs="宋体"/>
          <w:spacing w:val="1"/>
          <w:sz w:val="24"/>
          <w:szCs w:val="24"/>
        </w:rPr>
        <w:t>项目的竞标，为便于贵</w:t>
      </w:r>
      <w:r>
        <w:rPr>
          <w:rFonts w:ascii="宋体" w:hAnsi="宋体" w:eastAsia="宋体" w:cs="宋体"/>
          <w:sz w:val="24"/>
          <w:szCs w:val="24"/>
        </w:rPr>
        <w:t>方公正、择优地确定</w:t>
      </w:r>
      <w:r>
        <w:rPr>
          <w:rFonts w:ascii="宋体" w:hAnsi="宋体" w:eastAsia="宋体" w:cs="宋体"/>
          <w:spacing w:val="1"/>
          <w:sz w:val="24"/>
          <w:szCs w:val="24"/>
        </w:rPr>
        <w:t>成交供应商及其竞标产品和服务，我方就本次竞标有关事项郑重</w:t>
      </w:r>
      <w:r>
        <w:rPr>
          <w:rFonts w:ascii="宋体" w:hAnsi="宋体" w:eastAsia="宋体" w:cs="宋体"/>
          <w:sz w:val="24"/>
          <w:szCs w:val="24"/>
        </w:rPr>
        <w:t>声明如下：</w:t>
      </w:r>
    </w:p>
    <w:p w14:paraId="4A38FFA3">
      <w:pPr>
        <w:keepNext w:val="0"/>
        <w:keepLines w:val="0"/>
        <w:pageBreakBefore w:val="0"/>
        <w:kinsoku/>
        <w:wordWrap/>
        <w:overflowPunct/>
        <w:topLinePunct w:val="0"/>
        <w:bidi w:val="0"/>
        <w:spacing w:before="33" w:line="219" w:lineRule="auto"/>
        <w:ind w:left="19"/>
        <w:rPr>
          <w:rFonts w:ascii="宋体" w:hAnsi="宋体" w:eastAsia="宋体" w:cs="宋体"/>
          <w:sz w:val="24"/>
          <w:szCs w:val="24"/>
        </w:rPr>
      </w:pPr>
      <w:r>
        <w:rPr>
          <w:rFonts w:ascii="宋体" w:hAnsi="宋体" w:eastAsia="宋体" w:cs="宋体"/>
          <w:spacing w:val="-4"/>
          <w:sz w:val="24"/>
          <w:szCs w:val="24"/>
        </w:rPr>
        <w:t>1.我方向贵方提交的所有响应文件、资料都是准确的和真实的。</w:t>
      </w:r>
    </w:p>
    <w:p w14:paraId="79070178">
      <w:pPr>
        <w:keepNext w:val="0"/>
        <w:keepLines w:val="0"/>
        <w:pageBreakBefore w:val="0"/>
        <w:kinsoku/>
        <w:wordWrap/>
        <w:overflowPunct/>
        <w:topLinePunct w:val="0"/>
        <w:bidi w:val="0"/>
        <w:spacing w:before="205" w:line="322" w:lineRule="auto"/>
        <w:ind w:left="6" w:right="10" w:hanging="2"/>
        <w:rPr>
          <w:rFonts w:ascii="宋体" w:hAnsi="宋体" w:eastAsia="宋体" w:cs="宋体"/>
          <w:sz w:val="24"/>
          <w:szCs w:val="24"/>
        </w:rPr>
      </w:pPr>
      <w:r>
        <w:rPr>
          <w:rFonts w:ascii="宋体" w:hAnsi="宋体" w:eastAsia="宋体" w:cs="宋体"/>
          <w:spacing w:val="-1"/>
          <w:sz w:val="24"/>
          <w:szCs w:val="24"/>
        </w:rPr>
        <w:t>2.我方不是采购人的附属机构；不是为本次采购项目提供整体设计、规范编制或者项目</w:t>
      </w:r>
      <w:r>
        <w:rPr>
          <w:rFonts w:ascii="宋体" w:hAnsi="宋体" w:eastAsia="宋体" w:cs="宋体"/>
          <w:spacing w:val="-17"/>
          <w:sz w:val="24"/>
          <w:szCs w:val="24"/>
        </w:rPr>
        <w:t>管理、监理、检测等服务的供应商；在获知本项目采购信息后</w:t>
      </w:r>
      <w:r>
        <w:rPr>
          <w:rFonts w:ascii="宋体" w:hAnsi="宋体" w:eastAsia="宋体" w:cs="宋体"/>
          <w:spacing w:val="-18"/>
          <w:sz w:val="24"/>
          <w:szCs w:val="24"/>
        </w:rPr>
        <w:t>，与采购人聘请的为此项目提</w:t>
      </w:r>
    </w:p>
    <w:p w14:paraId="0F56C989">
      <w:pPr>
        <w:keepNext w:val="0"/>
        <w:keepLines w:val="0"/>
        <w:pageBreakBefore w:val="0"/>
        <w:kinsoku/>
        <w:wordWrap/>
        <w:overflowPunct/>
        <w:topLinePunct w:val="0"/>
        <w:bidi w:val="0"/>
        <w:spacing w:before="34" w:line="321" w:lineRule="auto"/>
        <w:ind w:left="5" w:right="4156" w:hanging="4"/>
        <w:rPr>
          <w:rFonts w:ascii="宋体" w:hAnsi="宋体" w:eastAsia="宋体" w:cs="宋体"/>
          <w:sz w:val="24"/>
          <w:szCs w:val="24"/>
        </w:rPr>
      </w:pPr>
      <w:r>
        <w:rPr>
          <w:rFonts w:ascii="宋体" w:hAnsi="宋体" w:eastAsia="宋体" w:cs="宋体"/>
          <w:spacing w:val="-5"/>
          <w:sz w:val="24"/>
          <w:szCs w:val="24"/>
        </w:rPr>
        <w:t>供咨询服务的公司及其附属机构没有任何联系。</w:t>
      </w:r>
      <w:r>
        <w:rPr>
          <w:rFonts w:ascii="宋体" w:hAnsi="宋体" w:eastAsia="宋体" w:cs="宋体"/>
          <w:spacing w:val="-20"/>
          <w:sz w:val="24"/>
          <w:szCs w:val="24"/>
        </w:rPr>
        <w:t>3.在此，我方宣布同意如下：</w:t>
      </w:r>
    </w:p>
    <w:p w14:paraId="6F18C75B">
      <w:pPr>
        <w:keepNext w:val="0"/>
        <w:keepLines w:val="0"/>
        <w:pageBreakBefore w:val="0"/>
        <w:kinsoku/>
        <w:wordWrap/>
        <w:overflowPunct/>
        <w:topLinePunct w:val="0"/>
        <w:bidi w:val="0"/>
        <w:spacing w:before="117" w:line="219" w:lineRule="auto"/>
        <w:ind w:left="526"/>
        <w:rPr>
          <w:rFonts w:ascii="宋体" w:hAnsi="宋体" w:eastAsia="宋体" w:cs="宋体"/>
          <w:sz w:val="24"/>
          <w:szCs w:val="24"/>
        </w:rPr>
      </w:pPr>
      <w:r>
        <w:rPr>
          <w:rFonts w:ascii="宋体" w:hAnsi="宋体" w:eastAsia="宋体" w:cs="宋体"/>
          <w:spacing w:val="-12"/>
          <w:sz w:val="24"/>
          <w:szCs w:val="24"/>
        </w:rPr>
        <w:t>(1)将按磋商文件的约定履行合同责任和</w:t>
      </w:r>
      <w:r>
        <w:rPr>
          <w:rFonts w:ascii="宋体" w:hAnsi="宋体" w:eastAsia="宋体" w:cs="宋体"/>
          <w:spacing w:val="-13"/>
          <w:sz w:val="24"/>
          <w:szCs w:val="24"/>
        </w:rPr>
        <w:t>义务；</w:t>
      </w:r>
    </w:p>
    <w:p w14:paraId="5FEC5199">
      <w:pPr>
        <w:keepNext w:val="0"/>
        <w:keepLines w:val="0"/>
        <w:pageBreakBefore w:val="0"/>
        <w:kinsoku/>
        <w:wordWrap/>
        <w:overflowPunct/>
        <w:topLinePunct w:val="0"/>
        <w:bidi w:val="0"/>
        <w:spacing w:before="231" w:line="218" w:lineRule="auto"/>
        <w:ind w:left="526"/>
        <w:rPr>
          <w:rFonts w:ascii="宋体" w:hAnsi="宋体" w:eastAsia="宋体" w:cs="宋体"/>
          <w:sz w:val="24"/>
          <w:szCs w:val="24"/>
        </w:rPr>
      </w:pPr>
      <w:r>
        <w:rPr>
          <w:rFonts w:ascii="宋体" w:hAnsi="宋体" w:eastAsia="宋体" w:cs="宋体"/>
          <w:spacing w:val="-6"/>
          <w:sz w:val="24"/>
          <w:szCs w:val="24"/>
        </w:rPr>
        <w:t>(2)已详细审查全部磋商文件，包括澄清或者更正公告(如有</w:t>
      </w:r>
      <w:r>
        <w:rPr>
          <w:rFonts w:ascii="宋体" w:hAnsi="宋体" w:eastAsia="宋体" w:cs="宋体"/>
          <w:spacing w:val="-7"/>
          <w:sz w:val="24"/>
          <w:szCs w:val="24"/>
        </w:rPr>
        <w:t>)；</w:t>
      </w:r>
    </w:p>
    <w:p w14:paraId="4650B578">
      <w:pPr>
        <w:keepNext w:val="0"/>
        <w:keepLines w:val="0"/>
        <w:pageBreakBefore w:val="0"/>
        <w:kinsoku/>
        <w:wordWrap/>
        <w:overflowPunct/>
        <w:topLinePunct w:val="0"/>
        <w:bidi w:val="0"/>
        <w:spacing w:before="234" w:line="366" w:lineRule="auto"/>
        <w:ind w:left="526" w:right="1348"/>
        <w:rPr>
          <w:rFonts w:ascii="宋体" w:hAnsi="宋体" w:eastAsia="宋体" w:cs="宋体"/>
          <w:sz w:val="24"/>
          <w:szCs w:val="24"/>
        </w:rPr>
      </w:pPr>
      <w:r>
        <w:rPr>
          <w:rFonts w:ascii="宋体" w:hAnsi="宋体" w:eastAsia="宋体" w:cs="宋体"/>
          <w:spacing w:val="1"/>
          <w:sz w:val="24"/>
          <w:szCs w:val="24"/>
        </w:rPr>
        <w:t>(3)同意提供按照贵方可能要求的与谈判</w:t>
      </w:r>
      <w:r>
        <w:rPr>
          <w:rFonts w:ascii="宋体" w:hAnsi="宋体" w:eastAsia="宋体" w:cs="宋体"/>
          <w:sz w:val="24"/>
          <w:szCs w:val="24"/>
        </w:rPr>
        <w:t>有关的一切数据或者资料；</w:t>
      </w:r>
      <w:r>
        <w:rPr>
          <w:rFonts w:ascii="宋体" w:hAnsi="宋体" w:eastAsia="宋体" w:cs="宋体"/>
          <w:spacing w:val="-11"/>
          <w:sz w:val="24"/>
          <w:szCs w:val="24"/>
        </w:rPr>
        <w:t>(4)响应磋商文件规定的竞标有效</w:t>
      </w:r>
      <w:r>
        <w:rPr>
          <w:rFonts w:ascii="宋体" w:hAnsi="宋体" w:eastAsia="宋体" w:cs="宋体"/>
          <w:spacing w:val="-12"/>
          <w:sz w:val="24"/>
          <w:szCs w:val="24"/>
        </w:rPr>
        <w:t>期。</w:t>
      </w:r>
    </w:p>
    <w:p w14:paraId="59680559">
      <w:pPr>
        <w:keepNext w:val="0"/>
        <w:keepLines w:val="0"/>
        <w:pageBreakBefore w:val="0"/>
        <w:kinsoku/>
        <w:wordWrap/>
        <w:overflowPunct/>
        <w:topLinePunct w:val="0"/>
        <w:bidi w:val="0"/>
        <w:spacing w:before="4" w:line="325" w:lineRule="auto"/>
        <w:ind w:right="20"/>
        <w:jc w:val="both"/>
        <w:rPr>
          <w:rFonts w:ascii="宋体" w:hAnsi="宋体" w:eastAsia="宋体" w:cs="宋体"/>
          <w:sz w:val="24"/>
          <w:szCs w:val="24"/>
        </w:rPr>
      </w:pPr>
      <w:r>
        <w:rPr>
          <w:rFonts w:ascii="宋体" w:hAnsi="宋体" w:eastAsia="宋体" w:cs="宋体"/>
          <w:spacing w:val="-9"/>
          <w:sz w:val="24"/>
          <w:szCs w:val="24"/>
        </w:rPr>
        <w:t>4.我方承诺已经具备《中华人民共和国政府采</w:t>
      </w:r>
      <w:r>
        <w:rPr>
          <w:rFonts w:ascii="宋体" w:hAnsi="宋体" w:eastAsia="宋体" w:cs="宋体"/>
          <w:spacing w:val="-10"/>
          <w:sz w:val="24"/>
          <w:szCs w:val="24"/>
        </w:rPr>
        <w:t>购法》第二十二条中规定的参加政府采购活</w:t>
      </w:r>
      <w:r>
        <w:rPr>
          <w:rFonts w:ascii="宋体" w:hAnsi="宋体" w:eastAsia="宋体" w:cs="宋体"/>
          <w:spacing w:val="-2"/>
          <w:sz w:val="24"/>
          <w:szCs w:val="24"/>
        </w:rPr>
        <w:t>动的供应商应当具备的条件并按本项目响应文件“第三章”“第二节供应商须知</w:t>
      </w:r>
      <w:r>
        <w:rPr>
          <w:rFonts w:ascii="宋体" w:hAnsi="宋体" w:eastAsia="宋体" w:cs="宋体"/>
          <w:spacing w:val="-3"/>
          <w:sz w:val="24"/>
          <w:szCs w:val="24"/>
        </w:rPr>
        <w:t>前附</w:t>
      </w:r>
      <w:r>
        <w:rPr>
          <w:rFonts w:ascii="宋体" w:hAnsi="宋体" w:eastAsia="宋体" w:cs="宋体"/>
          <w:spacing w:val="-11"/>
          <w:sz w:val="24"/>
          <w:szCs w:val="24"/>
        </w:rPr>
        <w:t>表”中“资格证明文件组成”完整提供证明材料。</w:t>
      </w:r>
    </w:p>
    <w:p w14:paraId="03AA9EB2">
      <w:pPr>
        <w:keepNext w:val="0"/>
        <w:keepLines w:val="0"/>
        <w:pageBreakBefore w:val="0"/>
        <w:kinsoku/>
        <w:wordWrap/>
        <w:overflowPunct/>
        <w:topLinePunct w:val="0"/>
        <w:bidi w:val="0"/>
        <w:spacing w:before="39" w:line="330" w:lineRule="auto"/>
        <w:ind w:firstLine="6"/>
        <w:jc w:val="both"/>
        <w:rPr>
          <w:rFonts w:ascii="宋体" w:hAnsi="宋体" w:eastAsia="宋体" w:cs="宋体"/>
          <w:sz w:val="24"/>
          <w:szCs w:val="24"/>
        </w:rPr>
      </w:pPr>
      <w:r>
        <w:rPr>
          <w:rFonts w:ascii="宋体" w:hAnsi="宋体" w:eastAsia="宋体" w:cs="宋体"/>
          <w:spacing w:val="4"/>
          <w:sz w:val="24"/>
          <w:szCs w:val="24"/>
        </w:rPr>
        <w:t>5.我方在此声明，我方在参加本项目的政府采购活动前三年内，在经营活动中没有重</w:t>
      </w:r>
      <w:r>
        <w:rPr>
          <w:rFonts w:ascii="宋体" w:hAnsi="宋体" w:eastAsia="宋体" w:cs="宋体"/>
          <w:spacing w:val="6"/>
          <w:sz w:val="24"/>
          <w:szCs w:val="24"/>
        </w:rPr>
        <w:t>大违法记录(重大违法记录是指供应商因违法经营受到刑</w:t>
      </w:r>
      <w:r>
        <w:rPr>
          <w:rFonts w:ascii="宋体" w:hAnsi="宋体" w:eastAsia="宋体" w:cs="宋体"/>
          <w:spacing w:val="5"/>
          <w:sz w:val="24"/>
          <w:szCs w:val="24"/>
        </w:rPr>
        <w:t>事处罚或者责令停产停业、</w:t>
      </w:r>
      <w:r>
        <w:rPr>
          <w:rFonts w:ascii="宋体" w:hAnsi="宋体" w:eastAsia="宋体" w:cs="宋体"/>
          <w:spacing w:val="-13"/>
          <w:sz w:val="24"/>
          <w:szCs w:val="24"/>
        </w:rPr>
        <w:t>吊销许可证或者执照、较大数额罚款等行政处罚)，未被列入失信被执行人重大税收违法案</w:t>
      </w:r>
      <w:r>
        <w:rPr>
          <w:rFonts w:ascii="宋体" w:hAnsi="宋体" w:eastAsia="宋体" w:cs="宋体"/>
          <w:spacing w:val="-10"/>
          <w:sz w:val="24"/>
          <w:szCs w:val="24"/>
        </w:rPr>
        <w:t>件当事人名单、政府采购严重违法失信行为记录</w:t>
      </w:r>
      <w:r>
        <w:rPr>
          <w:rFonts w:ascii="宋体" w:hAnsi="宋体" w:eastAsia="宋体" w:cs="宋体"/>
          <w:spacing w:val="-11"/>
          <w:sz w:val="24"/>
          <w:szCs w:val="24"/>
        </w:rPr>
        <w:t>名单，完全符合《中华人民共和国政府采</w:t>
      </w:r>
      <w:r>
        <w:rPr>
          <w:rFonts w:ascii="宋体" w:hAnsi="宋体" w:eastAsia="宋体" w:cs="宋体"/>
          <w:spacing w:val="2"/>
          <w:sz w:val="24"/>
          <w:szCs w:val="24"/>
        </w:rPr>
        <w:t>购法》第二十二条规定的供应商资格条件，我方对此声明负全部</w:t>
      </w:r>
      <w:r>
        <w:rPr>
          <w:rFonts w:ascii="宋体" w:hAnsi="宋体" w:eastAsia="宋体" w:cs="宋体"/>
          <w:spacing w:val="1"/>
          <w:sz w:val="24"/>
          <w:szCs w:val="24"/>
        </w:rPr>
        <w:t>法律责任。</w:t>
      </w:r>
    </w:p>
    <w:p w14:paraId="3A1F136C">
      <w:pPr>
        <w:keepNext w:val="0"/>
        <w:keepLines w:val="0"/>
        <w:pageBreakBefore w:val="0"/>
        <w:kinsoku/>
        <w:wordWrap/>
        <w:overflowPunct/>
        <w:topLinePunct w:val="0"/>
        <w:bidi w:val="0"/>
        <w:spacing w:before="117" w:line="320" w:lineRule="auto"/>
        <w:ind w:right="17" w:firstLine="2"/>
        <w:rPr>
          <w:rFonts w:ascii="宋体" w:hAnsi="宋体" w:eastAsia="宋体" w:cs="宋体"/>
          <w:sz w:val="24"/>
          <w:szCs w:val="24"/>
        </w:rPr>
      </w:pPr>
      <w:r>
        <w:rPr>
          <w:rFonts w:ascii="宋体" w:hAnsi="宋体" w:eastAsia="宋体" w:cs="宋体"/>
          <w:spacing w:val="-13"/>
          <w:sz w:val="24"/>
          <w:szCs w:val="24"/>
        </w:rPr>
        <w:t>6.根据《中华人民共和国政府采购法实施条例》第五十条要求对政府采购合同进行公告，但政府采购合同中涉及国家秘密、商业秘密的</w:t>
      </w:r>
      <w:r>
        <w:rPr>
          <w:rFonts w:ascii="宋体" w:hAnsi="宋体" w:eastAsia="宋体" w:cs="宋体"/>
          <w:spacing w:val="-14"/>
          <w:sz w:val="24"/>
          <w:szCs w:val="24"/>
        </w:rPr>
        <w:t>内容除外。</w:t>
      </w:r>
    </w:p>
    <w:p w14:paraId="5E291999">
      <w:pPr>
        <w:keepNext w:val="0"/>
        <w:keepLines w:val="0"/>
        <w:pageBreakBefore w:val="0"/>
        <w:kinsoku/>
        <w:wordWrap/>
        <w:overflowPunct/>
        <w:topLinePunct w:val="0"/>
        <w:bidi w:val="0"/>
        <w:spacing w:before="117" w:line="321" w:lineRule="auto"/>
        <w:ind w:left="3" w:right="53" w:firstLine="3"/>
        <w:rPr>
          <w:rFonts w:ascii="宋体" w:hAnsi="宋体" w:eastAsia="宋体" w:cs="宋体"/>
          <w:sz w:val="24"/>
          <w:szCs w:val="24"/>
        </w:rPr>
      </w:pPr>
      <w:r>
        <w:rPr>
          <w:rFonts w:ascii="宋体" w:hAnsi="宋体" w:eastAsia="宋体" w:cs="宋体"/>
          <w:spacing w:val="4"/>
          <w:sz w:val="24"/>
          <w:szCs w:val="24"/>
        </w:rPr>
        <w:t>7.以上事项如有虚假或者隐瞒，我方愿意承担一切后果，并不再寻求任何旨在减轻或</w:t>
      </w:r>
      <w:r>
        <w:rPr>
          <w:rFonts w:ascii="宋体" w:hAnsi="宋体" w:eastAsia="宋体" w:cs="宋体"/>
          <w:spacing w:val="-2"/>
          <w:sz w:val="24"/>
          <w:szCs w:val="24"/>
        </w:rPr>
        <w:t>者免除法律责任的辩解。</w:t>
      </w:r>
    </w:p>
    <w:p w14:paraId="2B2F20FC">
      <w:pPr>
        <w:keepNext w:val="0"/>
        <w:keepLines w:val="0"/>
        <w:pageBreakBefore w:val="0"/>
        <w:kinsoku/>
        <w:wordWrap/>
        <w:overflowPunct/>
        <w:topLinePunct w:val="0"/>
        <w:bidi w:val="0"/>
        <w:spacing w:before="37" w:line="219" w:lineRule="auto"/>
        <w:ind w:left="517"/>
        <w:rPr>
          <w:rFonts w:ascii="宋体" w:hAnsi="宋体" w:eastAsia="宋体" w:cs="宋体"/>
          <w:sz w:val="24"/>
          <w:szCs w:val="24"/>
        </w:rPr>
      </w:pPr>
      <w:r>
        <w:rPr>
          <w:rFonts w:ascii="宋体" w:hAnsi="宋体" w:eastAsia="宋体" w:cs="宋体"/>
          <w:spacing w:val="-6"/>
          <w:sz w:val="24"/>
          <w:szCs w:val="24"/>
        </w:rPr>
        <w:t>特此承诺。</w:t>
      </w:r>
    </w:p>
    <w:p w14:paraId="4B536635">
      <w:pPr>
        <w:keepNext w:val="0"/>
        <w:keepLines w:val="0"/>
        <w:pageBreakBefore w:val="0"/>
        <w:kinsoku/>
        <w:wordWrap/>
        <w:overflowPunct/>
        <w:topLinePunct w:val="0"/>
        <w:bidi w:val="0"/>
        <w:spacing w:before="228" w:line="219" w:lineRule="auto"/>
        <w:ind w:left="3894"/>
        <w:rPr>
          <w:rFonts w:ascii="宋体" w:hAnsi="宋体" w:eastAsia="宋体" w:cs="宋体"/>
          <w:sz w:val="24"/>
          <w:szCs w:val="24"/>
        </w:rPr>
      </w:pPr>
      <w:r>
        <w:rPr>
          <w:rFonts w:ascii="宋体" w:hAnsi="宋体" w:eastAsia="宋体" w:cs="宋体"/>
          <w:spacing w:val="-11"/>
          <w:sz w:val="24"/>
          <w:szCs w:val="24"/>
        </w:rPr>
        <w:t>供应商名称(电子签章)：</w:t>
      </w:r>
    </w:p>
    <w:p w14:paraId="54ECF79F">
      <w:pPr>
        <w:keepNext w:val="0"/>
        <w:keepLines w:val="0"/>
        <w:pageBreakBefore w:val="0"/>
        <w:kinsoku/>
        <w:wordWrap/>
        <w:overflowPunct/>
        <w:topLinePunct w:val="0"/>
        <w:bidi w:val="0"/>
        <w:spacing w:before="232" w:line="219" w:lineRule="auto"/>
        <w:ind w:left="6691"/>
        <w:rPr>
          <w:rFonts w:ascii="宋体" w:hAnsi="宋体" w:eastAsia="宋体" w:cs="宋体"/>
          <w:sz w:val="24"/>
          <w:szCs w:val="24"/>
        </w:rPr>
      </w:pPr>
      <w:r>
        <w:rPr>
          <w:rFonts w:ascii="宋体" w:hAnsi="宋体" w:eastAsia="宋体" w:cs="宋体"/>
          <w:spacing w:val="-22"/>
          <w:sz w:val="24"/>
          <w:szCs w:val="24"/>
        </w:rPr>
        <w:t>日期：年月日</w:t>
      </w:r>
    </w:p>
    <w:p w14:paraId="685AA6AD">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18" w:type="default"/>
          <w:pgSz w:w="11906" w:h="16839"/>
          <w:pgMar w:top="1440" w:right="1080" w:bottom="1440" w:left="1080" w:header="0" w:footer="994" w:gutter="0"/>
          <w:pgNumType w:fmt="decimal"/>
          <w:cols w:space="720" w:num="1"/>
        </w:sectPr>
      </w:pPr>
    </w:p>
    <w:p w14:paraId="0EE1E8DD">
      <w:pPr>
        <w:pStyle w:val="7"/>
        <w:keepNext w:val="0"/>
        <w:keepLines w:val="0"/>
        <w:pageBreakBefore w:val="0"/>
        <w:kinsoku/>
        <w:wordWrap/>
        <w:overflowPunct/>
        <w:topLinePunct w:val="0"/>
        <w:bidi w:val="0"/>
        <w:spacing w:line="255" w:lineRule="auto"/>
      </w:pPr>
    </w:p>
    <w:p w14:paraId="298F26A5">
      <w:pPr>
        <w:pStyle w:val="7"/>
        <w:keepNext w:val="0"/>
        <w:keepLines w:val="0"/>
        <w:pageBreakBefore w:val="0"/>
        <w:kinsoku/>
        <w:wordWrap/>
        <w:overflowPunct/>
        <w:topLinePunct w:val="0"/>
        <w:bidi w:val="0"/>
        <w:spacing w:line="255" w:lineRule="auto"/>
      </w:pPr>
    </w:p>
    <w:p w14:paraId="33AD49B5">
      <w:pPr>
        <w:pStyle w:val="7"/>
        <w:keepNext w:val="0"/>
        <w:keepLines w:val="0"/>
        <w:pageBreakBefore w:val="0"/>
        <w:kinsoku/>
        <w:wordWrap/>
        <w:overflowPunct/>
        <w:topLinePunct w:val="0"/>
        <w:bidi w:val="0"/>
        <w:spacing w:line="256" w:lineRule="auto"/>
      </w:pPr>
    </w:p>
    <w:p w14:paraId="21921FCE">
      <w:pPr>
        <w:keepNext w:val="0"/>
        <w:keepLines w:val="0"/>
        <w:pageBreakBefore w:val="0"/>
        <w:kinsoku/>
        <w:wordWrap/>
        <w:overflowPunct/>
        <w:topLinePunct w:val="0"/>
        <w:bidi w:val="0"/>
        <w:spacing w:before="78" w:line="218" w:lineRule="auto"/>
        <w:ind w:left="3953"/>
        <w:rPr>
          <w:rFonts w:ascii="宋体" w:hAnsi="宋体" w:eastAsia="宋体" w:cs="宋体"/>
          <w:sz w:val="24"/>
          <w:szCs w:val="24"/>
        </w:rPr>
      </w:pPr>
      <w:r>
        <w:rPr>
          <w:rFonts w:ascii="宋体" w:hAnsi="宋体" w:eastAsia="宋体" w:cs="宋体"/>
          <w:b/>
          <w:bCs/>
          <w:spacing w:val="-6"/>
          <w:sz w:val="24"/>
          <w:szCs w:val="24"/>
        </w:rPr>
        <w:t>响应报价表</w:t>
      </w:r>
    </w:p>
    <w:p w14:paraId="3BED8054">
      <w:pPr>
        <w:keepNext w:val="0"/>
        <w:keepLines w:val="0"/>
        <w:pageBreakBefore w:val="0"/>
        <w:kinsoku/>
        <w:wordWrap/>
        <w:overflowPunct/>
        <w:topLinePunct w:val="0"/>
        <w:bidi w:val="0"/>
        <w:spacing w:before="127" w:line="220" w:lineRule="auto"/>
        <w:ind w:left="28"/>
        <w:rPr>
          <w:rFonts w:ascii="宋体" w:hAnsi="宋体" w:eastAsia="宋体" w:cs="宋体"/>
          <w:sz w:val="24"/>
          <w:szCs w:val="24"/>
        </w:rPr>
      </w:pPr>
      <w:r>
        <w:rPr>
          <w:rFonts w:ascii="宋体" w:hAnsi="宋体" w:eastAsia="宋体" w:cs="宋体"/>
          <w:spacing w:val="-8"/>
          <w:sz w:val="24"/>
          <w:szCs w:val="24"/>
        </w:rPr>
        <w:t>项目名称：</w:t>
      </w:r>
    </w:p>
    <w:p w14:paraId="7491FBB1">
      <w:pPr>
        <w:keepNext w:val="0"/>
        <w:keepLines w:val="0"/>
        <w:pageBreakBefore w:val="0"/>
        <w:kinsoku/>
        <w:wordWrap/>
        <w:overflowPunct/>
        <w:topLinePunct w:val="0"/>
        <w:bidi w:val="0"/>
        <w:spacing w:before="47" w:line="219" w:lineRule="auto"/>
        <w:ind w:left="28"/>
        <w:rPr>
          <w:rFonts w:ascii="宋体" w:hAnsi="宋体" w:eastAsia="宋体" w:cs="宋体"/>
          <w:sz w:val="24"/>
          <w:szCs w:val="24"/>
        </w:rPr>
      </w:pPr>
      <w:r>
        <w:rPr>
          <w:rFonts w:ascii="宋体" w:hAnsi="宋体" w:eastAsia="宋体" w:cs="宋体"/>
          <w:spacing w:val="2"/>
          <w:sz w:val="24"/>
          <w:szCs w:val="24"/>
        </w:rPr>
        <w:t>项目编号：</w:t>
      </w:r>
    </w:p>
    <w:p w14:paraId="2EC5B1B1">
      <w:pPr>
        <w:keepNext w:val="0"/>
        <w:keepLines w:val="0"/>
        <w:pageBreakBefore w:val="0"/>
        <w:kinsoku/>
        <w:wordWrap/>
        <w:overflowPunct/>
        <w:topLinePunct w:val="0"/>
        <w:bidi w:val="0"/>
        <w:spacing w:before="47" w:line="219" w:lineRule="auto"/>
        <w:ind w:left="24"/>
        <w:rPr>
          <w:rFonts w:ascii="宋体" w:hAnsi="宋体" w:eastAsia="宋体" w:cs="宋体"/>
          <w:sz w:val="24"/>
          <w:szCs w:val="24"/>
        </w:rPr>
      </w:pPr>
      <w:r>
        <w:rPr>
          <w:rFonts w:ascii="宋体" w:hAnsi="宋体" w:eastAsia="宋体" w:cs="宋体"/>
          <w:spacing w:val="3"/>
          <w:sz w:val="24"/>
          <w:szCs w:val="24"/>
        </w:rPr>
        <w:t>供应商名称：</w:t>
      </w:r>
    </w:p>
    <w:p w14:paraId="629D4269">
      <w:pPr>
        <w:keepNext w:val="0"/>
        <w:keepLines w:val="0"/>
        <w:pageBreakBefore w:val="0"/>
        <w:kinsoku/>
        <w:wordWrap/>
        <w:overflowPunct/>
        <w:topLinePunct w:val="0"/>
        <w:bidi w:val="0"/>
        <w:spacing w:line="129" w:lineRule="exact"/>
      </w:pPr>
    </w:p>
    <w:tbl>
      <w:tblPr>
        <w:tblStyle w:val="15"/>
        <w:tblW w:w="98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7"/>
        <w:gridCol w:w="1257"/>
        <w:gridCol w:w="2059"/>
        <w:gridCol w:w="1079"/>
        <w:gridCol w:w="1258"/>
        <w:gridCol w:w="1265"/>
        <w:gridCol w:w="1204"/>
        <w:gridCol w:w="974"/>
      </w:tblGrid>
      <w:tr w14:paraId="1A88C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2" w:hRule="atLeast"/>
        </w:trPr>
        <w:tc>
          <w:tcPr>
            <w:tcW w:w="727" w:type="dxa"/>
            <w:vAlign w:val="top"/>
          </w:tcPr>
          <w:p w14:paraId="4B8E6188">
            <w:pPr>
              <w:keepNext w:val="0"/>
              <w:keepLines w:val="0"/>
              <w:pageBreakBefore w:val="0"/>
              <w:kinsoku/>
              <w:wordWrap/>
              <w:overflowPunct/>
              <w:topLinePunct w:val="0"/>
              <w:bidi w:val="0"/>
              <w:spacing w:line="274" w:lineRule="auto"/>
              <w:rPr>
                <w:rFonts w:ascii="Arial"/>
                <w:sz w:val="21"/>
              </w:rPr>
            </w:pPr>
          </w:p>
          <w:p w14:paraId="3AE80A4B">
            <w:pPr>
              <w:keepNext w:val="0"/>
              <w:keepLines w:val="0"/>
              <w:pageBreakBefore w:val="0"/>
              <w:kinsoku/>
              <w:wordWrap/>
              <w:overflowPunct/>
              <w:topLinePunct w:val="0"/>
              <w:bidi w:val="0"/>
              <w:spacing w:line="274" w:lineRule="auto"/>
              <w:rPr>
                <w:rFonts w:ascii="Arial"/>
                <w:sz w:val="21"/>
              </w:rPr>
            </w:pPr>
          </w:p>
          <w:p w14:paraId="4F3271D4">
            <w:pPr>
              <w:pStyle w:val="16"/>
              <w:keepNext w:val="0"/>
              <w:keepLines w:val="0"/>
              <w:pageBreakBefore w:val="0"/>
              <w:kinsoku/>
              <w:wordWrap/>
              <w:overflowPunct/>
              <w:topLinePunct w:val="0"/>
              <w:bidi w:val="0"/>
              <w:spacing w:before="78" w:line="221" w:lineRule="auto"/>
              <w:ind w:left="124"/>
              <w:rPr>
                <w:sz w:val="24"/>
                <w:szCs w:val="24"/>
              </w:rPr>
            </w:pPr>
            <w:r>
              <w:rPr>
                <w:spacing w:val="-5"/>
                <w:sz w:val="24"/>
                <w:szCs w:val="24"/>
              </w:rPr>
              <w:t>序号</w:t>
            </w:r>
          </w:p>
        </w:tc>
        <w:tc>
          <w:tcPr>
            <w:tcW w:w="1257" w:type="dxa"/>
            <w:vAlign w:val="top"/>
          </w:tcPr>
          <w:p w14:paraId="29E0C0AE">
            <w:pPr>
              <w:keepNext w:val="0"/>
              <w:keepLines w:val="0"/>
              <w:pageBreakBefore w:val="0"/>
              <w:kinsoku/>
              <w:wordWrap/>
              <w:overflowPunct/>
              <w:topLinePunct w:val="0"/>
              <w:bidi w:val="0"/>
              <w:spacing w:line="274" w:lineRule="auto"/>
              <w:rPr>
                <w:rFonts w:ascii="Arial"/>
                <w:sz w:val="21"/>
              </w:rPr>
            </w:pPr>
          </w:p>
          <w:p w14:paraId="0598D4BA">
            <w:pPr>
              <w:keepNext w:val="0"/>
              <w:keepLines w:val="0"/>
              <w:pageBreakBefore w:val="0"/>
              <w:kinsoku/>
              <w:wordWrap/>
              <w:overflowPunct/>
              <w:topLinePunct w:val="0"/>
              <w:bidi w:val="0"/>
              <w:spacing w:line="275" w:lineRule="auto"/>
              <w:rPr>
                <w:rFonts w:ascii="Arial"/>
                <w:sz w:val="21"/>
              </w:rPr>
            </w:pPr>
          </w:p>
          <w:p w14:paraId="70474CE8">
            <w:pPr>
              <w:pStyle w:val="16"/>
              <w:keepNext w:val="0"/>
              <w:keepLines w:val="0"/>
              <w:pageBreakBefore w:val="0"/>
              <w:kinsoku/>
              <w:wordWrap/>
              <w:overflowPunct/>
              <w:topLinePunct w:val="0"/>
              <w:bidi w:val="0"/>
              <w:spacing w:before="78" w:line="219" w:lineRule="auto"/>
              <w:ind w:left="116"/>
              <w:rPr>
                <w:sz w:val="24"/>
                <w:szCs w:val="24"/>
              </w:rPr>
            </w:pPr>
            <w:r>
              <w:rPr>
                <w:spacing w:val="-5"/>
                <w:sz w:val="24"/>
                <w:szCs w:val="24"/>
              </w:rPr>
              <w:t>服务名称</w:t>
            </w:r>
          </w:p>
        </w:tc>
        <w:tc>
          <w:tcPr>
            <w:tcW w:w="2059" w:type="dxa"/>
            <w:vAlign w:val="top"/>
          </w:tcPr>
          <w:p w14:paraId="0919D1F0">
            <w:pPr>
              <w:pStyle w:val="16"/>
              <w:keepNext w:val="0"/>
              <w:keepLines w:val="0"/>
              <w:pageBreakBefore w:val="0"/>
              <w:kinsoku/>
              <w:wordWrap/>
              <w:overflowPunct/>
              <w:topLinePunct w:val="0"/>
              <w:bidi w:val="0"/>
              <w:spacing w:before="199" w:line="233" w:lineRule="auto"/>
              <w:ind w:left="145" w:right="91" w:firstLine="67"/>
              <w:jc w:val="both"/>
              <w:rPr>
                <w:sz w:val="24"/>
                <w:szCs w:val="24"/>
              </w:rPr>
            </w:pPr>
            <w:r>
              <w:rPr>
                <w:spacing w:val="46"/>
                <w:sz w:val="24"/>
                <w:szCs w:val="24"/>
              </w:rPr>
              <w:t>具体服务内容</w:t>
            </w:r>
            <w:r>
              <w:rPr>
                <w:spacing w:val="36"/>
                <w:sz w:val="24"/>
                <w:szCs w:val="24"/>
              </w:rPr>
              <w:t>(含具体服务范</w:t>
            </w:r>
            <w:r>
              <w:rPr>
                <w:spacing w:val="-29"/>
                <w:sz w:val="24"/>
                <w:szCs w:val="24"/>
              </w:rPr>
              <w:t>围、服务时间、服</w:t>
            </w:r>
          </w:p>
          <w:p w14:paraId="326855CC">
            <w:pPr>
              <w:pStyle w:val="16"/>
              <w:keepNext w:val="0"/>
              <w:keepLines w:val="0"/>
              <w:pageBreakBefore w:val="0"/>
              <w:kinsoku/>
              <w:wordWrap/>
              <w:overflowPunct/>
              <w:topLinePunct w:val="0"/>
              <w:bidi w:val="0"/>
              <w:spacing w:before="27" w:line="222" w:lineRule="auto"/>
              <w:ind w:left="125" w:right="787"/>
              <w:jc w:val="right"/>
              <w:rPr>
                <w:sz w:val="24"/>
                <w:szCs w:val="24"/>
              </w:rPr>
            </w:pPr>
            <w:r>
              <w:rPr>
                <w:spacing w:val="-12"/>
                <w:sz w:val="24"/>
                <w:szCs w:val="24"/>
              </w:rPr>
              <w:t>务标准等内</w:t>
            </w:r>
            <w:r>
              <w:rPr>
                <w:spacing w:val="-7"/>
                <w:sz w:val="24"/>
                <w:szCs w:val="24"/>
              </w:rPr>
              <w:t>容)</w:t>
            </w:r>
          </w:p>
        </w:tc>
        <w:tc>
          <w:tcPr>
            <w:tcW w:w="1079" w:type="dxa"/>
            <w:vAlign w:val="top"/>
          </w:tcPr>
          <w:p w14:paraId="13C6C93A">
            <w:pPr>
              <w:keepNext w:val="0"/>
              <w:keepLines w:val="0"/>
              <w:pageBreakBefore w:val="0"/>
              <w:kinsoku/>
              <w:wordWrap/>
              <w:overflowPunct/>
              <w:topLinePunct w:val="0"/>
              <w:bidi w:val="0"/>
              <w:spacing w:line="346" w:lineRule="auto"/>
              <w:rPr>
                <w:rFonts w:ascii="Arial"/>
                <w:sz w:val="21"/>
              </w:rPr>
            </w:pPr>
          </w:p>
          <w:p w14:paraId="483B5D2E">
            <w:pPr>
              <w:keepNext w:val="0"/>
              <w:keepLines w:val="0"/>
              <w:pageBreakBefore w:val="0"/>
              <w:kinsoku/>
              <w:wordWrap/>
              <w:overflowPunct/>
              <w:topLinePunct w:val="0"/>
              <w:bidi w:val="0"/>
              <w:spacing w:line="346" w:lineRule="auto"/>
              <w:rPr>
                <w:rFonts w:ascii="Arial"/>
                <w:sz w:val="21"/>
              </w:rPr>
            </w:pPr>
          </w:p>
          <w:p w14:paraId="3E451E0F">
            <w:pPr>
              <w:pStyle w:val="16"/>
              <w:keepNext w:val="0"/>
              <w:keepLines w:val="0"/>
              <w:pageBreakBefore w:val="0"/>
              <w:kinsoku/>
              <w:wordWrap/>
              <w:overflowPunct/>
              <w:topLinePunct w:val="0"/>
              <w:bidi w:val="0"/>
              <w:spacing w:before="78" w:line="219" w:lineRule="auto"/>
              <w:ind w:left="430"/>
              <w:rPr>
                <w:sz w:val="24"/>
                <w:szCs w:val="24"/>
              </w:rPr>
            </w:pPr>
            <w:r>
              <w:rPr>
                <w:spacing w:val="-6"/>
                <w:sz w:val="24"/>
                <w:szCs w:val="24"/>
              </w:rPr>
              <w:t>数量</w:t>
            </w:r>
          </w:p>
        </w:tc>
        <w:tc>
          <w:tcPr>
            <w:tcW w:w="1258" w:type="dxa"/>
            <w:vAlign w:val="top"/>
          </w:tcPr>
          <w:p w14:paraId="4EFC820C">
            <w:pPr>
              <w:keepNext w:val="0"/>
              <w:keepLines w:val="0"/>
              <w:pageBreakBefore w:val="0"/>
              <w:kinsoku/>
              <w:wordWrap/>
              <w:overflowPunct/>
              <w:topLinePunct w:val="0"/>
              <w:bidi w:val="0"/>
              <w:spacing w:line="346" w:lineRule="auto"/>
              <w:rPr>
                <w:rFonts w:ascii="Arial"/>
                <w:sz w:val="21"/>
              </w:rPr>
            </w:pPr>
          </w:p>
          <w:p w14:paraId="23EA9364">
            <w:pPr>
              <w:keepNext w:val="0"/>
              <w:keepLines w:val="0"/>
              <w:pageBreakBefore w:val="0"/>
              <w:kinsoku/>
              <w:wordWrap/>
              <w:overflowPunct/>
              <w:topLinePunct w:val="0"/>
              <w:bidi w:val="0"/>
              <w:spacing w:line="346" w:lineRule="auto"/>
              <w:rPr>
                <w:rFonts w:ascii="Arial"/>
                <w:sz w:val="21"/>
              </w:rPr>
            </w:pPr>
          </w:p>
          <w:p w14:paraId="36B6953B">
            <w:pPr>
              <w:pStyle w:val="16"/>
              <w:keepNext w:val="0"/>
              <w:keepLines w:val="0"/>
              <w:pageBreakBefore w:val="0"/>
              <w:kinsoku/>
              <w:wordWrap/>
              <w:overflowPunct/>
              <w:topLinePunct w:val="0"/>
              <w:bidi w:val="0"/>
              <w:spacing w:before="78" w:line="218" w:lineRule="auto"/>
              <w:ind w:left="237"/>
              <w:rPr>
                <w:sz w:val="24"/>
                <w:szCs w:val="24"/>
              </w:rPr>
            </w:pPr>
            <w:r>
              <w:rPr>
                <w:spacing w:val="-6"/>
                <w:sz w:val="24"/>
                <w:szCs w:val="24"/>
              </w:rPr>
              <w:t>单价(元)</w:t>
            </w:r>
          </w:p>
        </w:tc>
        <w:tc>
          <w:tcPr>
            <w:tcW w:w="1265" w:type="dxa"/>
            <w:vAlign w:val="top"/>
          </w:tcPr>
          <w:p w14:paraId="11F58EB2">
            <w:pPr>
              <w:keepNext w:val="0"/>
              <w:keepLines w:val="0"/>
              <w:pageBreakBefore w:val="0"/>
              <w:kinsoku/>
              <w:wordWrap/>
              <w:overflowPunct/>
              <w:topLinePunct w:val="0"/>
              <w:bidi w:val="0"/>
              <w:spacing w:line="329" w:lineRule="auto"/>
              <w:rPr>
                <w:rFonts w:ascii="Arial"/>
                <w:sz w:val="21"/>
              </w:rPr>
            </w:pPr>
          </w:p>
          <w:p w14:paraId="54DD59B0">
            <w:pPr>
              <w:keepNext w:val="0"/>
              <w:keepLines w:val="0"/>
              <w:pageBreakBefore w:val="0"/>
              <w:kinsoku/>
              <w:wordWrap/>
              <w:overflowPunct/>
              <w:topLinePunct w:val="0"/>
              <w:bidi w:val="0"/>
              <w:spacing w:line="329" w:lineRule="auto"/>
              <w:rPr>
                <w:rFonts w:ascii="Arial"/>
                <w:sz w:val="21"/>
              </w:rPr>
            </w:pPr>
          </w:p>
          <w:p w14:paraId="065E6502">
            <w:pPr>
              <w:pStyle w:val="16"/>
              <w:keepNext w:val="0"/>
              <w:keepLines w:val="0"/>
              <w:pageBreakBefore w:val="0"/>
              <w:kinsoku/>
              <w:wordWrap/>
              <w:overflowPunct/>
              <w:topLinePunct w:val="0"/>
              <w:bidi w:val="0"/>
              <w:spacing w:before="78" w:line="218" w:lineRule="auto"/>
              <w:jc w:val="right"/>
              <w:rPr>
                <w:sz w:val="24"/>
                <w:szCs w:val="24"/>
              </w:rPr>
            </w:pPr>
            <w:r>
              <w:rPr>
                <w:spacing w:val="-15"/>
                <w:sz w:val="24"/>
                <w:szCs w:val="24"/>
              </w:rPr>
              <w:t>总价（元）</w:t>
            </w:r>
          </w:p>
        </w:tc>
        <w:tc>
          <w:tcPr>
            <w:tcW w:w="1204" w:type="dxa"/>
            <w:vAlign w:val="top"/>
          </w:tcPr>
          <w:p w14:paraId="30724C72">
            <w:pPr>
              <w:pStyle w:val="16"/>
              <w:keepNext w:val="0"/>
              <w:keepLines w:val="0"/>
              <w:pageBreakBefore w:val="0"/>
              <w:kinsoku/>
              <w:wordWrap/>
              <w:overflowPunct/>
              <w:topLinePunct w:val="0"/>
              <w:bidi w:val="0"/>
              <w:spacing w:before="67" w:line="219" w:lineRule="auto"/>
              <w:ind w:left="268"/>
              <w:rPr>
                <w:sz w:val="24"/>
                <w:szCs w:val="24"/>
              </w:rPr>
            </w:pPr>
            <w:r>
              <w:rPr>
                <w:spacing w:val="-6"/>
                <w:sz w:val="24"/>
                <w:szCs w:val="24"/>
              </w:rPr>
              <w:t>服务要</w:t>
            </w:r>
          </w:p>
          <w:p w14:paraId="1FC93B49">
            <w:pPr>
              <w:pStyle w:val="16"/>
              <w:keepNext w:val="0"/>
              <w:keepLines w:val="0"/>
              <w:pageBreakBefore w:val="0"/>
              <w:kinsoku/>
              <w:wordWrap/>
              <w:overflowPunct/>
              <w:topLinePunct w:val="0"/>
              <w:bidi w:val="0"/>
              <w:spacing w:before="75" w:line="219" w:lineRule="auto"/>
              <w:ind w:left="244"/>
              <w:rPr>
                <w:sz w:val="24"/>
                <w:szCs w:val="24"/>
              </w:rPr>
            </w:pPr>
            <w:r>
              <w:rPr>
                <w:spacing w:val="-7"/>
                <w:sz w:val="24"/>
                <w:szCs w:val="24"/>
              </w:rPr>
              <w:t>求(含</w:t>
            </w:r>
          </w:p>
          <w:p w14:paraId="5C0B0996">
            <w:pPr>
              <w:pStyle w:val="16"/>
              <w:keepNext w:val="0"/>
              <w:keepLines w:val="0"/>
              <w:pageBreakBefore w:val="0"/>
              <w:kinsoku/>
              <w:wordWrap/>
              <w:overflowPunct/>
              <w:topLinePunct w:val="0"/>
              <w:bidi w:val="0"/>
              <w:spacing w:before="74" w:line="220" w:lineRule="auto"/>
              <w:ind w:left="386"/>
              <w:rPr>
                <w:sz w:val="24"/>
                <w:szCs w:val="24"/>
              </w:rPr>
            </w:pPr>
            <w:r>
              <w:rPr>
                <w:spacing w:val="-5"/>
                <w:sz w:val="24"/>
                <w:szCs w:val="24"/>
              </w:rPr>
              <w:t>服期</w:t>
            </w:r>
          </w:p>
          <w:p w14:paraId="355D3E16">
            <w:pPr>
              <w:pStyle w:val="16"/>
              <w:keepNext w:val="0"/>
              <w:keepLines w:val="0"/>
              <w:pageBreakBefore w:val="0"/>
              <w:kinsoku/>
              <w:wordWrap/>
              <w:overflowPunct/>
              <w:topLinePunct w:val="0"/>
              <w:bidi w:val="0"/>
              <w:spacing w:before="74" w:line="220" w:lineRule="auto"/>
              <w:ind w:left="477"/>
              <w:rPr>
                <w:sz w:val="24"/>
                <w:szCs w:val="24"/>
              </w:rPr>
            </w:pPr>
            <w:r>
              <w:rPr>
                <w:spacing w:val="-14"/>
                <w:sz w:val="24"/>
                <w:szCs w:val="24"/>
              </w:rPr>
              <w:t>限)</w:t>
            </w:r>
          </w:p>
        </w:tc>
        <w:tc>
          <w:tcPr>
            <w:tcW w:w="974" w:type="dxa"/>
            <w:vAlign w:val="top"/>
          </w:tcPr>
          <w:p w14:paraId="557AB256">
            <w:pPr>
              <w:keepNext w:val="0"/>
              <w:keepLines w:val="0"/>
              <w:pageBreakBefore w:val="0"/>
              <w:kinsoku/>
              <w:wordWrap/>
              <w:overflowPunct/>
              <w:topLinePunct w:val="0"/>
              <w:bidi w:val="0"/>
              <w:spacing w:line="274" w:lineRule="auto"/>
              <w:rPr>
                <w:rFonts w:ascii="Arial"/>
                <w:sz w:val="21"/>
              </w:rPr>
            </w:pPr>
          </w:p>
          <w:p w14:paraId="5325E107">
            <w:pPr>
              <w:keepNext w:val="0"/>
              <w:keepLines w:val="0"/>
              <w:pageBreakBefore w:val="0"/>
              <w:kinsoku/>
              <w:wordWrap/>
              <w:overflowPunct/>
              <w:topLinePunct w:val="0"/>
              <w:bidi w:val="0"/>
              <w:spacing w:line="274" w:lineRule="auto"/>
              <w:rPr>
                <w:rFonts w:ascii="Arial"/>
                <w:sz w:val="21"/>
              </w:rPr>
            </w:pPr>
          </w:p>
          <w:p w14:paraId="33845800">
            <w:pPr>
              <w:pStyle w:val="16"/>
              <w:keepNext w:val="0"/>
              <w:keepLines w:val="0"/>
              <w:pageBreakBefore w:val="0"/>
              <w:kinsoku/>
              <w:wordWrap/>
              <w:overflowPunct/>
              <w:topLinePunct w:val="0"/>
              <w:bidi w:val="0"/>
              <w:spacing w:before="78" w:line="221" w:lineRule="auto"/>
              <w:ind w:left="135"/>
              <w:rPr>
                <w:sz w:val="24"/>
                <w:szCs w:val="24"/>
              </w:rPr>
            </w:pPr>
            <w:r>
              <w:rPr>
                <w:spacing w:val="-7"/>
                <w:sz w:val="24"/>
                <w:szCs w:val="24"/>
              </w:rPr>
              <w:t>备注</w:t>
            </w:r>
          </w:p>
        </w:tc>
      </w:tr>
      <w:tr w14:paraId="5EFEF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27" w:type="dxa"/>
            <w:vAlign w:val="top"/>
          </w:tcPr>
          <w:p w14:paraId="6EAD567B">
            <w:pPr>
              <w:pStyle w:val="16"/>
              <w:keepNext w:val="0"/>
              <w:keepLines w:val="0"/>
              <w:pageBreakBefore w:val="0"/>
              <w:kinsoku/>
              <w:wordWrap/>
              <w:overflowPunct/>
              <w:topLinePunct w:val="0"/>
              <w:bidi w:val="0"/>
              <w:spacing w:before="224" w:line="175" w:lineRule="auto"/>
              <w:ind w:left="157"/>
              <w:rPr>
                <w:sz w:val="24"/>
                <w:szCs w:val="24"/>
              </w:rPr>
            </w:pPr>
            <w:r>
              <w:rPr>
                <w:sz w:val="24"/>
                <w:szCs w:val="24"/>
              </w:rPr>
              <w:t>1</w:t>
            </w:r>
          </w:p>
        </w:tc>
        <w:tc>
          <w:tcPr>
            <w:tcW w:w="1257" w:type="dxa"/>
            <w:vAlign w:val="top"/>
          </w:tcPr>
          <w:p w14:paraId="1F6FE5AA">
            <w:pPr>
              <w:keepNext w:val="0"/>
              <w:keepLines w:val="0"/>
              <w:pageBreakBefore w:val="0"/>
              <w:kinsoku/>
              <w:wordWrap/>
              <w:overflowPunct/>
              <w:topLinePunct w:val="0"/>
              <w:bidi w:val="0"/>
              <w:rPr>
                <w:rFonts w:ascii="Arial"/>
                <w:sz w:val="21"/>
              </w:rPr>
            </w:pPr>
          </w:p>
        </w:tc>
        <w:tc>
          <w:tcPr>
            <w:tcW w:w="2059" w:type="dxa"/>
            <w:vAlign w:val="top"/>
          </w:tcPr>
          <w:p w14:paraId="7C53E711">
            <w:pPr>
              <w:keepNext w:val="0"/>
              <w:keepLines w:val="0"/>
              <w:pageBreakBefore w:val="0"/>
              <w:kinsoku/>
              <w:wordWrap/>
              <w:overflowPunct/>
              <w:topLinePunct w:val="0"/>
              <w:bidi w:val="0"/>
              <w:rPr>
                <w:rFonts w:ascii="Arial"/>
                <w:sz w:val="21"/>
              </w:rPr>
            </w:pPr>
          </w:p>
        </w:tc>
        <w:tc>
          <w:tcPr>
            <w:tcW w:w="1079" w:type="dxa"/>
            <w:vAlign w:val="top"/>
          </w:tcPr>
          <w:p w14:paraId="57D6FCD0">
            <w:pPr>
              <w:keepNext w:val="0"/>
              <w:keepLines w:val="0"/>
              <w:pageBreakBefore w:val="0"/>
              <w:kinsoku/>
              <w:wordWrap/>
              <w:overflowPunct/>
              <w:topLinePunct w:val="0"/>
              <w:bidi w:val="0"/>
              <w:rPr>
                <w:rFonts w:ascii="Arial"/>
                <w:sz w:val="21"/>
              </w:rPr>
            </w:pPr>
          </w:p>
        </w:tc>
        <w:tc>
          <w:tcPr>
            <w:tcW w:w="1258" w:type="dxa"/>
            <w:vAlign w:val="top"/>
          </w:tcPr>
          <w:p w14:paraId="71D3C662">
            <w:pPr>
              <w:keepNext w:val="0"/>
              <w:keepLines w:val="0"/>
              <w:pageBreakBefore w:val="0"/>
              <w:kinsoku/>
              <w:wordWrap/>
              <w:overflowPunct/>
              <w:topLinePunct w:val="0"/>
              <w:bidi w:val="0"/>
              <w:rPr>
                <w:rFonts w:ascii="Arial"/>
                <w:sz w:val="21"/>
              </w:rPr>
            </w:pPr>
          </w:p>
        </w:tc>
        <w:tc>
          <w:tcPr>
            <w:tcW w:w="1265" w:type="dxa"/>
            <w:vAlign w:val="top"/>
          </w:tcPr>
          <w:p w14:paraId="7177291D">
            <w:pPr>
              <w:keepNext w:val="0"/>
              <w:keepLines w:val="0"/>
              <w:pageBreakBefore w:val="0"/>
              <w:kinsoku/>
              <w:wordWrap/>
              <w:overflowPunct/>
              <w:topLinePunct w:val="0"/>
              <w:bidi w:val="0"/>
              <w:rPr>
                <w:rFonts w:ascii="Arial"/>
                <w:sz w:val="21"/>
              </w:rPr>
            </w:pPr>
          </w:p>
        </w:tc>
        <w:tc>
          <w:tcPr>
            <w:tcW w:w="1204" w:type="dxa"/>
            <w:vAlign w:val="top"/>
          </w:tcPr>
          <w:p w14:paraId="296ECD45">
            <w:pPr>
              <w:keepNext w:val="0"/>
              <w:keepLines w:val="0"/>
              <w:pageBreakBefore w:val="0"/>
              <w:kinsoku/>
              <w:wordWrap/>
              <w:overflowPunct/>
              <w:topLinePunct w:val="0"/>
              <w:bidi w:val="0"/>
              <w:rPr>
                <w:rFonts w:ascii="Arial"/>
                <w:sz w:val="21"/>
              </w:rPr>
            </w:pPr>
          </w:p>
        </w:tc>
        <w:tc>
          <w:tcPr>
            <w:tcW w:w="974" w:type="dxa"/>
            <w:vAlign w:val="top"/>
          </w:tcPr>
          <w:p w14:paraId="5068A597">
            <w:pPr>
              <w:keepNext w:val="0"/>
              <w:keepLines w:val="0"/>
              <w:pageBreakBefore w:val="0"/>
              <w:kinsoku/>
              <w:wordWrap/>
              <w:overflowPunct/>
              <w:topLinePunct w:val="0"/>
              <w:bidi w:val="0"/>
              <w:rPr>
                <w:rFonts w:ascii="Arial"/>
                <w:sz w:val="21"/>
              </w:rPr>
            </w:pPr>
          </w:p>
        </w:tc>
      </w:tr>
      <w:tr w14:paraId="6CA694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27" w:type="dxa"/>
            <w:vAlign w:val="top"/>
          </w:tcPr>
          <w:p w14:paraId="31015A43">
            <w:pPr>
              <w:pStyle w:val="16"/>
              <w:keepNext w:val="0"/>
              <w:keepLines w:val="0"/>
              <w:pageBreakBefore w:val="0"/>
              <w:kinsoku/>
              <w:wordWrap/>
              <w:overflowPunct/>
              <w:topLinePunct w:val="0"/>
              <w:bidi w:val="0"/>
              <w:spacing w:before="231" w:line="173" w:lineRule="auto"/>
              <w:ind w:left="130"/>
              <w:rPr>
                <w:sz w:val="24"/>
                <w:szCs w:val="24"/>
              </w:rPr>
            </w:pPr>
            <w:r>
              <w:rPr>
                <w:sz w:val="24"/>
                <w:szCs w:val="24"/>
              </w:rPr>
              <w:t>2</w:t>
            </w:r>
          </w:p>
        </w:tc>
        <w:tc>
          <w:tcPr>
            <w:tcW w:w="1257" w:type="dxa"/>
            <w:vAlign w:val="top"/>
          </w:tcPr>
          <w:p w14:paraId="521C93C7">
            <w:pPr>
              <w:keepNext w:val="0"/>
              <w:keepLines w:val="0"/>
              <w:pageBreakBefore w:val="0"/>
              <w:kinsoku/>
              <w:wordWrap/>
              <w:overflowPunct/>
              <w:topLinePunct w:val="0"/>
              <w:bidi w:val="0"/>
              <w:rPr>
                <w:rFonts w:ascii="Arial"/>
                <w:sz w:val="21"/>
              </w:rPr>
            </w:pPr>
          </w:p>
        </w:tc>
        <w:tc>
          <w:tcPr>
            <w:tcW w:w="2059" w:type="dxa"/>
            <w:vAlign w:val="top"/>
          </w:tcPr>
          <w:p w14:paraId="6CF1BE18">
            <w:pPr>
              <w:keepNext w:val="0"/>
              <w:keepLines w:val="0"/>
              <w:pageBreakBefore w:val="0"/>
              <w:kinsoku/>
              <w:wordWrap/>
              <w:overflowPunct/>
              <w:topLinePunct w:val="0"/>
              <w:bidi w:val="0"/>
              <w:rPr>
                <w:rFonts w:ascii="Arial"/>
                <w:sz w:val="21"/>
              </w:rPr>
            </w:pPr>
          </w:p>
        </w:tc>
        <w:tc>
          <w:tcPr>
            <w:tcW w:w="1079" w:type="dxa"/>
            <w:vAlign w:val="top"/>
          </w:tcPr>
          <w:p w14:paraId="0A421012">
            <w:pPr>
              <w:keepNext w:val="0"/>
              <w:keepLines w:val="0"/>
              <w:pageBreakBefore w:val="0"/>
              <w:kinsoku/>
              <w:wordWrap/>
              <w:overflowPunct/>
              <w:topLinePunct w:val="0"/>
              <w:bidi w:val="0"/>
              <w:rPr>
                <w:rFonts w:ascii="Arial"/>
                <w:sz w:val="21"/>
              </w:rPr>
            </w:pPr>
          </w:p>
        </w:tc>
        <w:tc>
          <w:tcPr>
            <w:tcW w:w="1258" w:type="dxa"/>
            <w:vAlign w:val="top"/>
          </w:tcPr>
          <w:p w14:paraId="290FA82F">
            <w:pPr>
              <w:keepNext w:val="0"/>
              <w:keepLines w:val="0"/>
              <w:pageBreakBefore w:val="0"/>
              <w:kinsoku/>
              <w:wordWrap/>
              <w:overflowPunct/>
              <w:topLinePunct w:val="0"/>
              <w:bidi w:val="0"/>
              <w:rPr>
                <w:rFonts w:ascii="Arial"/>
                <w:sz w:val="21"/>
              </w:rPr>
            </w:pPr>
          </w:p>
        </w:tc>
        <w:tc>
          <w:tcPr>
            <w:tcW w:w="1265" w:type="dxa"/>
            <w:vAlign w:val="top"/>
          </w:tcPr>
          <w:p w14:paraId="6D8889A0">
            <w:pPr>
              <w:keepNext w:val="0"/>
              <w:keepLines w:val="0"/>
              <w:pageBreakBefore w:val="0"/>
              <w:kinsoku/>
              <w:wordWrap/>
              <w:overflowPunct/>
              <w:topLinePunct w:val="0"/>
              <w:bidi w:val="0"/>
              <w:rPr>
                <w:rFonts w:ascii="Arial"/>
                <w:sz w:val="21"/>
              </w:rPr>
            </w:pPr>
          </w:p>
        </w:tc>
        <w:tc>
          <w:tcPr>
            <w:tcW w:w="1204" w:type="dxa"/>
            <w:vAlign w:val="top"/>
          </w:tcPr>
          <w:p w14:paraId="444B4E9D">
            <w:pPr>
              <w:keepNext w:val="0"/>
              <w:keepLines w:val="0"/>
              <w:pageBreakBefore w:val="0"/>
              <w:kinsoku/>
              <w:wordWrap/>
              <w:overflowPunct/>
              <w:topLinePunct w:val="0"/>
              <w:bidi w:val="0"/>
              <w:rPr>
                <w:rFonts w:ascii="Arial"/>
                <w:sz w:val="21"/>
              </w:rPr>
            </w:pPr>
          </w:p>
        </w:tc>
        <w:tc>
          <w:tcPr>
            <w:tcW w:w="974" w:type="dxa"/>
            <w:vAlign w:val="top"/>
          </w:tcPr>
          <w:p w14:paraId="4BBF5533">
            <w:pPr>
              <w:keepNext w:val="0"/>
              <w:keepLines w:val="0"/>
              <w:pageBreakBefore w:val="0"/>
              <w:kinsoku/>
              <w:wordWrap/>
              <w:overflowPunct/>
              <w:topLinePunct w:val="0"/>
              <w:bidi w:val="0"/>
              <w:rPr>
                <w:rFonts w:ascii="Arial"/>
                <w:sz w:val="21"/>
              </w:rPr>
            </w:pPr>
          </w:p>
        </w:tc>
      </w:tr>
      <w:tr w14:paraId="373A83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727" w:type="dxa"/>
            <w:vAlign w:val="top"/>
          </w:tcPr>
          <w:p w14:paraId="1F5849C3">
            <w:pPr>
              <w:pStyle w:val="16"/>
              <w:keepNext w:val="0"/>
              <w:keepLines w:val="0"/>
              <w:pageBreakBefore w:val="0"/>
              <w:kinsoku/>
              <w:wordWrap/>
              <w:overflowPunct/>
              <w:topLinePunct w:val="0"/>
              <w:bidi w:val="0"/>
              <w:spacing w:before="228" w:line="73" w:lineRule="exact"/>
              <w:ind w:left="136"/>
              <w:rPr>
                <w:sz w:val="24"/>
                <w:szCs w:val="24"/>
              </w:rPr>
            </w:pPr>
            <w:r>
              <w:rPr>
                <w:spacing w:val="-3"/>
                <w:position w:val="1"/>
                <w:sz w:val="24"/>
                <w:szCs w:val="24"/>
              </w:rPr>
              <w:t>...</w:t>
            </w:r>
          </w:p>
        </w:tc>
        <w:tc>
          <w:tcPr>
            <w:tcW w:w="1257" w:type="dxa"/>
            <w:vAlign w:val="top"/>
          </w:tcPr>
          <w:p w14:paraId="543B13BA">
            <w:pPr>
              <w:keepNext w:val="0"/>
              <w:keepLines w:val="0"/>
              <w:pageBreakBefore w:val="0"/>
              <w:kinsoku/>
              <w:wordWrap/>
              <w:overflowPunct/>
              <w:topLinePunct w:val="0"/>
              <w:bidi w:val="0"/>
              <w:rPr>
                <w:rFonts w:ascii="Arial"/>
                <w:sz w:val="21"/>
              </w:rPr>
            </w:pPr>
          </w:p>
        </w:tc>
        <w:tc>
          <w:tcPr>
            <w:tcW w:w="2059" w:type="dxa"/>
            <w:vAlign w:val="top"/>
          </w:tcPr>
          <w:p w14:paraId="263D9C3D">
            <w:pPr>
              <w:keepNext w:val="0"/>
              <w:keepLines w:val="0"/>
              <w:pageBreakBefore w:val="0"/>
              <w:kinsoku/>
              <w:wordWrap/>
              <w:overflowPunct/>
              <w:topLinePunct w:val="0"/>
              <w:bidi w:val="0"/>
              <w:rPr>
                <w:rFonts w:ascii="Arial"/>
                <w:sz w:val="21"/>
              </w:rPr>
            </w:pPr>
          </w:p>
        </w:tc>
        <w:tc>
          <w:tcPr>
            <w:tcW w:w="1079" w:type="dxa"/>
            <w:vAlign w:val="top"/>
          </w:tcPr>
          <w:p w14:paraId="7D762AF0">
            <w:pPr>
              <w:keepNext w:val="0"/>
              <w:keepLines w:val="0"/>
              <w:pageBreakBefore w:val="0"/>
              <w:kinsoku/>
              <w:wordWrap/>
              <w:overflowPunct/>
              <w:topLinePunct w:val="0"/>
              <w:bidi w:val="0"/>
              <w:rPr>
                <w:rFonts w:ascii="Arial"/>
                <w:sz w:val="21"/>
              </w:rPr>
            </w:pPr>
          </w:p>
        </w:tc>
        <w:tc>
          <w:tcPr>
            <w:tcW w:w="1258" w:type="dxa"/>
            <w:vAlign w:val="top"/>
          </w:tcPr>
          <w:p w14:paraId="403DCF44">
            <w:pPr>
              <w:keepNext w:val="0"/>
              <w:keepLines w:val="0"/>
              <w:pageBreakBefore w:val="0"/>
              <w:kinsoku/>
              <w:wordWrap/>
              <w:overflowPunct/>
              <w:topLinePunct w:val="0"/>
              <w:bidi w:val="0"/>
              <w:rPr>
                <w:rFonts w:ascii="Arial"/>
                <w:sz w:val="21"/>
              </w:rPr>
            </w:pPr>
          </w:p>
        </w:tc>
        <w:tc>
          <w:tcPr>
            <w:tcW w:w="1265" w:type="dxa"/>
            <w:vAlign w:val="top"/>
          </w:tcPr>
          <w:p w14:paraId="1528533C">
            <w:pPr>
              <w:keepNext w:val="0"/>
              <w:keepLines w:val="0"/>
              <w:pageBreakBefore w:val="0"/>
              <w:kinsoku/>
              <w:wordWrap/>
              <w:overflowPunct/>
              <w:topLinePunct w:val="0"/>
              <w:bidi w:val="0"/>
              <w:rPr>
                <w:rFonts w:ascii="Arial"/>
                <w:sz w:val="21"/>
              </w:rPr>
            </w:pPr>
          </w:p>
        </w:tc>
        <w:tc>
          <w:tcPr>
            <w:tcW w:w="1204" w:type="dxa"/>
            <w:vAlign w:val="top"/>
          </w:tcPr>
          <w:p w14:paraId="35ADA55B">
            <w:pPr>
              <w:keepNext w:val="0"/>
              <w:keepLines w:val="0"/>
              <w:pageBreakBefore w:val="0"/>
              <w:kinsoku/>
              <w:wordWrap/>
              <w:overflowPunct/>
              <w:topLinePunct w:val="0"/>
              <w:bidi w:val="0"/>
              <w:rPr>
                <w:rFonts w:ascii="Arial"/>
                <w:sz w:val="21"/>
              </w:rPr>
            </w:pPr>
          </w:p>
        </w:tc>
        <w:tc>
          <w:tcPr>
            <w:tcW w:w="974" w:type="dxa"/>
            <w:vAlign w:val="top"/>
          </w:tcPr>
          <w:p w14:paraId="580520A0">
            <w:pPr>
              <w:keepNext w:val="0"/>
              <w:keepLines w:val="0"/>
              <w:pageBreakBefore w:val="0"/>
              <w:kinsoku/>
              <w:wordWrap/>
              <w:overflowPunct/>
              <w:topLinePunct w:val="0"/>
              <w:bidi w:val="0"/>
              <w:rPr>
                <w:rFonts w:ascii="Arial"/>
                <w:sz w:val="21"/>
              </w:rPr>
            </w:pPr>
          </w:p>
        </w:tc>
      </w:tr>
      <w:tr w14:paraId="1CE7D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9823" w:type="dxa"/>
            <w:gridSpan w:val="8"/>
            <w:vAlign w:val="top"/>
          </w:tcPr>
          <w:p w14:paraId="39D91257">
            <w:pPr>
              <w:pStyle w:val="16"/>
              <w:keepNext w:val="0"/>
              <w:keepLines w:val="0"/>
              <w:pageBreakBefore w:val="0"/>
              <w:kinsoku/>
              <w:wordWrap/>
              <w:overflowPunct/>
              <w:topLinePunct w:val="0"/>
              <w:bidi w:val="0"/>
              <w:spacing w:before="41" w:line="218" w:lineRule="auto"/>
              <w:ind w:left="121"/>
              <w:rPr>
                <w:sz w:val="24"/>
                <w:szCs w:val="24"/>
              </w:rPr>
            </w:pPr>
            <w:r>
              <w:rPr>
                <w:spacing w:val="19"/>
                <w:sz w:val="24"/>
                <w:szCs w:val="24"/>
              </w:rPr>
              <w:t>报价合计(包含税费等所有费用)</w:t>
            </w:r>
            <w:r>
              <w:rPr>
                <w:spacing w:val="-31"/>
                <w:sz w:val="24"/>
                <w:szCs w:val="24"/>
              </w:rPr>
              <w:t>：（</w:t>
            </w:r>
            <w:r>
              <w:rPr>
                <w:spacing w:val="19"/>
                <w:sz w:val="24"/>
                <w:szCs w:val="24"/>
              </w:rPr>
              <w:t>大小写）</w:t>
            </w:r>
          </w:p>
        </w:tc>
      </w:tr>
      <w:tr w14:paraId="5E939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9823" w:type="dxa"/>
            <w:gridSpan w:val="8"/>
            <w:vAlign w:val="top"/>
          </w:tcPr>
          <w:p w14:paraId="5B6D9B21">
            <w:pPr>
              <w:pStyle w:val="16"/>
              <w:keepNext w:val="0"/>
              <w:keepLines w:val="0"/>
              <w:pageBreakBefore w:val="0"/>
              <w:kinsoku/>
              <w:wordWrap/>
              <w:overflowPunct/>
              <w:topLinePunct w:val="0"/>
              <w:bidi w:val="0"/>
              <w:spacing w:before="43" w:line="219" w:lineRule="auto"/>
              <w:ind w:left="122"/>
              <w:rPr>
                <w:sz w:val="24"/>
                <w:szCs w:val="24"/>
              </w:rPr>
            </w:pPr>
            <w:r>
              <w:rPr>
                <w:spacing w:val="-4"/>
                <w:sz w:val="24"/>
                <w:szCs w:val="24"/>
              </w:rPr>
              <w:t>优惠及其它：</w:t>
            </w:r>
          </w:p>
        </w:tc>
      </w:tr>
    </w:tbl>
    <w:p w14:paraId="2FD878DA">
      <w:pPr>
        <w:keepNext w:val="0"/>
        <w:keepLines w:val="0"/>
        <w:pageBreakBefore w:val="0"/>
        <w:kinsoku/>
        <w:wordWrap/>
        <w:overflowPunct/>
        <w:topLinePunct w:val="0"/>
        <w:bidi w:val="0"/>
        <w:spacing w:before="86" w:line="230" w:lineRule="auto"/>
        <w:ind w:left="522"/>
        <w:rPr>
          <w:rFonts w:ascii="仿宋" w:hAnsi="仿宋" w:eastAsia="仿宋" w:cs="仿宋"/>
          <w:sz w:val="24"/>
          <w:szCs w:val="24"/>
        </w:rPr>
      </w:pPr>
      <w:r>
        <w:rPr>
          <w:rFonts w:ascii="仿宋" w:hAnsi="仿宋" w:eastAsia="仿宋" w:cs="仿宋"/>
          <w:spacing w:val="-12"/>
          <w:sz w:val="24"/>
          <w:szCs w:val="24"/>
        </w:rPr>
        <w:t>注：</w:t>
      </w:r>
    </w:p>
    <w:p w14:paraId="01B2E831">
      <w:pPr>
        <w:keepNext w:val="0"/>
        <w:keepLines w:val="0"/>
        <w:pageBreakBefore w:val="0"/>
        <w:kinsoku/>
        <w:wordWrap/>
        <w:overflowPunct/>
        <w:topLinePunct w:val="0"/>
        <w:bidi w:val="0"/>
        <w:spacing w:before="15" w:line="231" w:lineRule="auto"/>
        <w:ind w:left="34" w:right="1928" w:firstLine="501"/>
        <w:rPr>
          <w:rFonts w:ascii="仿宋" w:hAnsi="仿宋" w:eastAsia="仿宋" w:cs="仿宋"/>
          <w:sz w:val="24"/>
          <w:szCs w:val="24"/>
        </w:rPr>
      </w:pPr>
      <w:r>
        <w:rPr>
          <w:rFonts w:ascii="仿宋" w:hAnsi="仿宋" w:eastAsia="仿宋" w:cs="仿宋"/>
          <w:spacing w:val="-19"/>
          <w:sz w:val="24"/>
          <w:szCs w:val="24"/>
        </w:rPr>
        <w:t>1、供应商需按本表格式填写，不得自行更改，也</w:t>
      </w:r>
      <w:r>
        <w:rPr>
          <w:rFonts w:ascii="仿宋" w:hAnsi="仿宋" w:eastAsia="仿宋" w:cs="仿宋"/>
          <w:spacing w:val="-20"/>
          <w:sz w:val="24"/>
          <w:szCs w:val="24"/>
        </w:rPr>
        <w:t>不得留空,如有多分标，按</w:t>
      </w:r>
      <w:r>
        <w:rPr>
          <w:rFonts w:ascii="仿宋" w:hAnsi="仿宋" w:eastAsia="仿宋" w:cs="仿宋"/>
          <w:spacing w:val="-4"/>
          <w:sz w:val="24"/>
          <w:szCs w:val="24"/>
        </w:rPr>
        <w:t>分标分别提供响应报价表。</w:t>
      </w:r>
    </w:p>
    <w:p w14:paraId="1A6C2F09">
      <w:pPr>
        <w:keepNext w:val="0"/>
        <w:keepLines w:val="0"/>
        <w:pageBreakBefore w:val="0"/>
        <w:kinsoku/>
        <w:wordWrap/>
        <w:overflowPunct/>
        <w:topLinePunct w:val="0"/>
        <w:bidi w:val="0"/>
        <w:spacing w:before="29" w:line="238" w:lineRule="auto"/>
        <w:ind w:left="35" w:right="1842" w:firstLine="478"/>
        <w:rPr>
          <w:rFonts w:ascii="仿宋" w:hAnsi="仿宋" w:eastAsia="仿宋" w:cs="仿宋"/>
          <w:sz w:val="24"/>
          <w:szCs w:val="24"/>
        </w:rPr>
      </w:pPr>
      <w:r>
        <w:rPr>
          <w:rFonts w:ascii="仿宋" w:hAnsi="仿宋" w:eastAsia="仿宋" w:cs="仿宋"/>
          <w:spacing w:val="-23"/>
          <w:sz w:val="24"/>
          <w:szCs w:val="24"/>
        </w:rPr>
        <w:t>2、如为联合体响应的，“供应商名称”处必须列明联合体各方</w:t>
      </w:r>
      <w:r>
        <w:rPr>
          <w:rFonts w:ascii="仿宋" w:hAnsi="仿宋" w:eastAsia="仿宋" w:cs="仿宋"/>
          <w:spacing w:val="-24"/>
          <w:sz w:val="24"/>
          <w:szCs w:val="24"/>
        </w:rPr>
        <w:t>名称，并标注联</w:t>
      </w:r>
      <w:r>
        <w:rPr>
          <w:rFonts w:ascii="仿宋" w:hAnsi="仿宋" w:eastAsia="仿宋" w:cs="仿宋"/>
          <w:spacing w:val="-6"/>
          <w:sz w:val="24"/>
          <w:szCs w:val="24"/>
        </w:rPr>
        <w:t>合体牵头人名称，且盖章处须加盖联合体各方公章，否则其</w:t>
      </w:r>
      <w:r>
        <w:rPr>
          <w:rFonts w:ascii="仿宋" w:hAnsi="仿宋" w:eastAsia="仿宋" w:cs="仿宋"/>
          <w:spacing w:val="-7"/>
          <w:sz w:val="24"/>
          <w:szCs w:val="24"/>
        </w:rPr>
        <w:t>响应作无效响应处</w:t>
      </w:r>
      <w:r>
        <w:rPr>
          <w:rFonts w:ascii="仿宋" w:hAnsi="仿宋" w:eastAsia="仿宋" w:cs="仿宋"/>
          <w:spacing w:val="-9"/>
          <w:sz w:val="24"/>
          <w:szCs w:val="24"/>
        </w:rPr>
        <w:t>理。</w:t>
      </w:r>
    </w:p>
    <w:p w14:paraId="14C24FEE">
      <w:pPr>
        <w:keepNext w:val="0"/>
        <w:keepLines w:val="0"/>
        <w:pageBreakBefore w:val="0"/>
        <w:kinsoku/>
        <w:wordWrap/>
        <w:overflowPunct/>
        <w:topLinePunct w:val="0"/>
        <w:bidi w:val="0"/>
        <w:spacing w:before="19" w:line="230" w:lineRule="auto"/>
        <w:ind w:left="49" w:right="1845" w:firstLine="478"/>
        <w:rPr>
          <w:rFonts w:ascii="仿宋" w:hAnsi="仿宋" w:eastAsia="仿宋" w:cs="仿宋"/>
          <w:sz w:val="24"/>
          <w:szCs w:val="24"/>
        </w:rPr>
      </w:pPr>
      <w:r>
        <w:rPr>
          <w:rFonts w:ascii="仿宋" w:hAnsi="仿宋" w:eastAsia="仿宋" w:cs="仿宋"/>
          <w:spacing w:val="-11"/>
          <w:sz w:val="24"/>
          <w:szCs w:val="24"/>
        </w:rPr>
        <w:t>3、以上表格要求细分项目及报价，在“具体服务内容”一栏中，填写具体</w:t>
      </w:r>
      <w:r>
        <w:rPr>
          <w:rFonts w:ascii="仿宋" w:hAnsi="仿宋" w:eastAsia="仿宋" w:cs="仿宋"/>
          <w:spacing w:val="-12"/>
          <w:sz w:val="24"/>
          <w:szCs w:val="24"/>
        </w:rPr>
        <w:t>服务范围、服务时间、服务标准，否则其响应作无效响应处理。</w:t>
      </w:r>
    </w:p>
    <w:p w14:paraId="3B7DAC7E">
      <w:pPr>
        <w:keepNext w:val="0"/>
        <w:keepLines w:val="0"/>
        <w:pageBreakBefore w:val="0"/>
        <w:kinsoku/>
        <w:wordWrap/>
        <w:overflowPunct/>
        <w:topLinePunct w:val="0"/>
        <w:bidi w:val="0"/>
        <w:spacing w:before="35" w:line="235" w:lineRule="auto"/>
        <w:ind w:left="38" w:right="1825" w:firstLine="471"/>
        <w:rPr>
          <w:rFonts w:ascii="仿宋" w:hAnsi="仿宋" w:eastAsia="仿宋" w:cs="仿宋"/>
          <w:sz w:val="24"/>
          <w:szCs w:val="24"/>
        </w:rPr>
      </w:pPr>
      <w:r>
        <w:rPr>
          <w:rFonts w:ascii="仿宋" w:hAnsi="仿宋" w:eastAsia="仿宋" w:cs="仿宋"/>
          <w:spacing w:val="-10"/>
          <w:sz w:val="24"/>
          <w:szCs w:val="24"/>
        </w:rPr>
        <w:t>4、特别提示：采购机构将对项目名称和项目编号，成交供应商名称、地址</w:t>
      </w:r>
      <w:r>
        <w:rPr>
          <w:rFonts w:ascii="仿宋" w:hAnsi="仿宋" w:eastAsia="仿宋" w:cs="仿宋"/>
          <w:spacing w:val="-25"/>
          <w:sz w:val="24"/>
          <w:szCs w:val="24"/>
        </w:rPr>
        <w:t>和成交金额，主要成交标的的名称、服务范围、服务要求、服务时间、服务标准等予</w:t>
      </w:r>
      <w:r>
        <w:rPr>
          <w:rFonts w:ascii="仿宋" w:hAnsi="仿宋" w:eastAsia="仿宋" w:cs="仿宋"/>
          <w:spacing w:val="-18"/>
          <w:sz w:val="24"/>
          <w:szCs w:val="24"/>
        </w:rPr>
        <w:t>以公示。</w:t>
      </w:r>
    </w:p>
    <w:p w14:paraId="16B2A184">
      <w:pPr>
        <w:keepNext w:val="0"/>
        <w:keepLines w:val="0"/>
        <w:pageBreakBefore w:val="0"/>
        <w:kinsoku/>
        <w:wordWrap/>
        <w:overflowPunct/>
        <w:topLinePunct w:val="0"/>
        <w:bidi w:val="0"/>
        <w:spacing w:before="22" w:line="235" w:lineRule="auto"/>
        <w:ind w:left="28" w:right="1842" w:firstLine="492"/>
        <w:rPr>
          <w:rFonts w:ascii="仿宋" w:hAnsi="仿宋" w:eastAsia="仿宋" w:cs="仿宋"/>
          <w:sz w:val="24"/>
          <w:szCs w:val="24"/>
        </w:rPr>
      </w:pPr>
      <w:r>
        <w:rPr>
          <w:rFonts w:ascii="仿宋" w:hAnsi="仿宋" w:eastAsia="仿宋" w:cs="仿宋"/>
          <w:spacing w:val="-12"/>
          <w:sz w:val="24"/>
          <w:szCs w:val="24"/>
        </w:rPr>
        <w:t>5、符合采购文件中列明的可享受中小企业扶持政策的供应商，请填写中小</w:t>
      </w:r>
      <w:r>
        <w:rPr>
          <w:rFonts w:ascii="仿宋" w:hAnsi="仿宋" w:eastAsia="仿宋" w:cs="仿宋"/>
          <w:spacing w:val="1"/>
          <w:sz w:val="24"/>
          <w:szCs w:val="24"/>
        </w:rPr>
        <w:t>企业声明函。注：供应商提供的中小企业声明函内容不实的</w:t>
      </w:r>
      <w:r>
        <w:rPr>
          <w:rFonts w:ascii="仿宋" w:hAnsi="仿宋" w:eastAsia="仿宋" w:cs="仿宋"/>
          <w:sz w:val="24"/>
          <w:szCs w:val="24"/>
        </w:rPr>
        <w:t>，属于提供虚假</w:t>
      </w:r>
      <w:r>
        <w:rPr>
          <w:rFonts w:ascii="仿宋" w:hAnsi="仿宋" w:eastAsia="仿宋" w:cs="仿宋"/>
          <w:spacing w:val="-9"/>
          <w:sz w:val="24"/>
          <w:szCs w:val="24"/>
        </w:rPr>
        <w:t>材料谋取中标、成交，依照《中华人民共和国政府采购法》等国家有关规定追</w:t>
      </w:r>
      <w:r>
        <w:rPr>
          <w:rFonts w:ascii="仿宋" w:hAnsi="仿宋" w:eastAsia="仿宋" w:cs="仿宋"/>
          <w:spacing w:val="-7"/>
          <w:sz w:val="24"/>
          <w:szCs w:val="24"/>
        </w:rPr>
        <w:t>究相应责任。</w:t>
      </w:r>
    </w:p>
    <w:p w14:paraId="2D650568">
      <w:pPr>
        <w:keepNext w:val="0"/>
        <w:keepLines w:val="0"/>
        <w:pageBreakBefore w:val="0"/>
        <w:kinsoku/>
        <w:wordWrap/>
        <w:overflowPunct/>
        <w:topLinePunct w:val="0"/>
        <w:bidi w:val="0"/>
        <w:spacing w:before="26" w:line="221" w:lineRule="auto"/>
        <w:ind w:left="4121"/>
        <w:rPr>
          <w:rFonts w:ascii="仿宋" w:hAnsi="仿宋" w:eastAsia="仿宋" w:cs="仿宋"/>
          <w:sz w:val="24"/>
          <w:szCs w:val="24"/>
        </w:rPr>
      </w:pPr>
      <w:r>
        <w:rPr>
          <w:rFonts w:ascii="仿宋" w:hAnsi="仿宋" w:eastAsia="仿宋" w:cs="仿宋"/>
          <w:spacing w:val="-12"/>
          <w:sz w:val="24"/>
          <w:szCs w:val="24"/>
        </w:rPr>
        <w:t>供应商名称(电子签章)：</w:t>
      </w:r>
    </w:p>
    <w:p w14:paraId="3354D169">
      <w:pPr>
        <w:keepNext w:val="0"/>
        <w:keepLines w:val="0"/>
        <w:pageBreakBefore w:val="0"/>
        <w:kinsoku/>
        <w:wordWrap/>
        <w:overflowPunct/>
        <w:topLinePunct w:val="0"/>
        <w:bidi w:val="0"/>
        <w:spacing w:before="299" w:line="222" w:lineRule="auto"/>
        <w:ind w:left="6485"/>
        <w:rPr>
          <w:rFonts w:ascii="仿宋" w:hAnsi="仿宋" w:eastAsia="仿宋" w:cs="仿宋"/>
          <w:sz w:val="24"/>
          <w:szCs w:val="24"/>
        </w:rPr>
      </w:pPr>
      <w:r>
        <w:rPr>
          <w:rFonts w:ascii="仿宋" w:hAnsi="仿宋" w:eastAsia="仿宋" w:cs="仿宋"/>
          <w:spacing w:val="-23"/>
          <w:sz w:val="24"/>
          <w:szCs w:val="24"/>
        </w:rPr>
        <w:t>日期：年月日</w:t>
      </w:r>
    </w:p>
    <w:p w14:paraId="55B9A687">
      <w:pPr>
        <w:keepNext w:val="0"/>
        <w:keepLines w:val="0"/>
        <w:pageBreakBefore w:val="0"/>
        <w:kinsoku/>
        <w:wordWrap/>
        <w:overflowPunct/>
        <w:topLinePunct w:val="0"/>
        <w:bidi w:val="0"/>
        <w:spacing w:line="222" w:lineRule="auto"/>
        <w:rPr>
          <w:rFonts w:ascii="仿宋" w:hAnsi="仿宋" w:eastAsia="仿宋" w:cs="仿宋"/>
          <w:sz w:val="24"/>
          <w:szCs w:val="24"/>
        </w:rPr>
        <w:sectPr>
          <w:footerReference r:id="rId19" w:type="default"/>
          <w:pgSz w:w="11906" w:h="16839"/>
          <w:pgMar w:top="1440" w:right="1080" w:bottom="1440" w:left="1080" w:header="0" w:footer="994" w:gutter="0"/>
          <w:pgNumType w:fmt="decimal"/>
          <w:cols w:space="720" w:num="1"/>
        </w:sectPr>
      </w:pPr>
    </w:p>
    <w:p w14:paraId="6FC0FDFB">
      <w:pPr>
        <w:pStyle w:val="7"/>
        <w:keepNext w:val="0"/>
        <w:keepLines w:val="0"/>
        <w:pageBreakBefore w:val="0"/>
        <w:kinsoku/>
        <w:wordWrap/>
        <w:overflowPunct/>
        <w:topLinePunct w:val="0"/>
        <w:bidi w:val="0"/>
        <w:spacing w:line="246" w:lineRule="auto"/>
      </w:pPr>
    </w:p>
    <w:p w14:paraId="3A804283">
      <w:pPr>
        <w:pStyle w:val="7"/>
        <w:keepNext w:val="0"/>
        <w:keepLines w:val="0"/>
        <w:pageBreakBefore w:val="0"/>
        <w:kinsoku/>
        <w:wordWrap/>
        <w:overflowPunct/>
        <w:topLinePunct w:val="0"/>
        <w:bidi w:val="0"/>
        <w:spacing w:line="247" w:lineRule="auto"/>
      </w:pPr>
    </w:p>
    <w:p w14:paraId="1DDBE889">
      <w:pPr>
        <w:keepNext w:val="0"/>
        <w:keepLines w:val="0"/>
        <w:pageBreakBefore w:val="0"/>
        <w:kinsoku/>
        <w:wordWrap/>
        <w:overflowPunct/>
        <w:topLinePunct w:val="0"/>
        <w:bidi w:val="0"/>
        <w:spacing w:before="78" w:line="219" w:lineRule="auto"/>
        <w:ind w:left="3693"/>
        <w:rPr>
          <w:rFonts w:ascii="宋体" w:hAnsi="宋体" w:eastAsia="宋体" w:cs="宋体"/>
          <w:sz w:val="24"/>
          <w:szCs w:val="24"/>
        </w:rPr>
      </w:pPr>
      <w:r>
        <w:rPr>
          <w:rFonts w:ascii="宋体" w:hAnsi="宋体" w:eastAsia="宋体" w:cs="宋体"/>
          <w:b/>
          <w:bCs/>
          <w:spacing w:val="-4"/>
          <w:sz w:val="24"/>
          <w:szCs w:val="24"/>
        </w:rPr>
        <w:t>廉政承诺书格式</w:t>
      </w:r>
    </w:p>
    <w:p w14:paraId="17BE97ED">
      <w:pPr>
        <w:keepNext w:val="0"/>
        <w:keepLines w:val="0"/>
        <w:pageBreakBefore w:val="0"/>
        <w:kinsoku/>
        <w:wordWrap/>
        <w:overflowPunct/>
        <w:topLinePunct w:val="0"/>
        <w:bidi w:val="0"/>
        <w:spacing w:before="184" w:line="219" w:lineRule="auto"/>
        <w:ind w:left="2"/>
        <w:rPr>
          <w:rFonts w:ascii="宋体" w:hAnsi="宋体" w:eastAsia="宋体" w:cs="宋体"/>
          <w:sz w:val="24"/>
          <w:szCs w:val="24"/>
        </w:rPr>
      </w:pPr>
      <w:r>
        <w:rPr>
          <w:rFonts w:ascii="宋体" w:hAnsi="宋体" w:eastAsia="宋体" w:cs="宋体"/>
          <w:spacing w:val="-2"/>
          <w:sz w:val="24"/>
          <w:szCs w:val="24"/>
        </w:rPr>
        <w:t>我公司承诺：</w:t>
      </w:r>
    </w:p>
    <w:p w14:paraId="558C9822">
      <w:pPr>
        <w:keepNext w:val="0"/>
        <w:keepLines w:val="0"/>
        <w:pageBreakBefore w:val="0"/>
        <w:kinsoku/>
        <w:wordWrap/>
        <w:overflowPunct/>
        <w:topLinePunct w:val="0"/>
        <w:bidi w:val="0"/>
        <w:spacing w:before="182" w:line="219" w:lineRule="auto"/>
        <w:rPr>
          <w:rFonts w:ascii="宋体" w:hAnsi="宋体" w:eastAsia="宋体" w:cs="宋体"/>
          <w:sz w:val="24"/>
          <w:szCs w:val="24"/>
        </w:rPr>
      </w:pPr>
      <w:r>
        <w:rPr>
          <w:rFonts w:ascii="宋体" w:hAnsi="宋体" w:eastAsia="宋体" w:cs="宋体"/>
          <w:spacing w:val="-1"/>
          <w:sz w:val="24"/>
          <w:szCs w:val="24"/>
        </w:rPr>
        <w:t>在本次磋商活动中，我公司保证做到：</w:t>
      </w:r>
    </w:p>
    <w:p w14:paraId="2E45FD7B">
      <w:pPr>
        <w:keepNext w:val="0"/>
        <w:keepLines w:val="0"/>
        <w:pageBreakBefore w:val="0"/>
        <w:kinsoku/>
        <w:wordWrap/>
        <w:overflowPunct/>
        <w:topLinePunct w:val="0"/>
        <w:bidi w:val="0"/>
        <w:spacing w:before="183" w:line="219" w:lineRule="auto"/>
        <w:ind w:left="4"/>
        <w:rPr>
          <w:rFonts w:ascii="宋体" w:hAnsi="宋体" w:eastAsia="宋体" w:cs="宋体"/>
          <w:sz w:val="24"/>
          <w:szCs w:val="24"/>
        </w:rPr>
      </w:pPr>
      <w:r>
        <w:rPr>
          <w:rFonts w:ascii="宋体" w:hAnsi="宋体" w:eastAsia="宋体" w:cs="宋体"/>
          <w:spacing w:val="-1"/>
          <w:sz w:val="24"/>
          <w:szCs w:val="24"/>
        </w:rPr>
        <w:t>一、公平竞争参加本次招标活动。</w:t>
      </w:r>
    </w:p>
    <w:p w14:paraId="44A66F02">
      <w:pPr>
        <w:keepNext w:val="0"/>
        <w:keepLines w:val="0"/>
        <w:pageBreakBefore w:val="0"/>
        <w:kinsoku/>
        <w:wordWrap/>
        <w:overflowPunct/>
        <w:topLinePunct w:val="0"/>
        <w:bidi w:val="0"/>
        <w:spacing w:before="183" w:line="313" w:lineRule="auto"/>
        <w:ind w:left="1" w:firstLine="2"/>
        <w:rPr>
          <w:rFonts w:ascii="宋体" w:hAnsi="宋体" w:eastAsia="宋体" w:cs="宋体"/>
          <w:sz w:val="24"/>
          <w:szCs w:val="24"/>
        </w:rPr>
      </w:pPr>
      <w:r>
        <w:rPr>
          <w:rFonts w:ascii="宋体" w:hAnsi="宋体" w:eastAsia="宋体" w:cs="宋体"/>
          <w:spacing w:val="-2"/>
          <w:sz w:val="24"/>
          <w:szCs w:val="24"/>
        </w:rPr>
        <w:t>二、杜绝任何形式的贿赂行为。不向国家工作人员、政府采购代理机构工作人员、评审专家及其亲属提供礼品礼金、有价证券、购物券、回扣、佣金、咨询费、劳务费、赞助</w:t>
      </w:r>
      <w:r>
        <w:rPr>
          <w:rFonts w:ascii="宋体" w:hAnsi="宋体" w:eastAsia="宋体" w:cs="宋体"/>
          <w:sz w:val="24"/>
          <w:szCs w:val="24"/>
        </w:rPr>
        <w:t>费、宣传费、宴请；不为其报销各种消费凭证，不</w:t>
      </w:r>
      <w:r>
        <w:rPr>
          <w:rFonts w:ascii="宋体" w:hAnsi="宋体" w:eastAsia="宋体" w:cs="宋体"/>
          <w:spacing w:val="-1"/>
          <w:sz w:val="24"/>
          <w:szCs w:val="24"/>
        </w:rPr>
        <w:t>支付其旅游、娱乐等费用。</w:t>
      </w:r>
    </w:p>
    <w:p w14:paraId="16E17F6C">
      <w:pPr>
        <w:keepNext w:val="0"/>
        <w:keepLines w:val="0"/>
        <w:pageBreakBefore w:val="0"/>
        <w:kinsoku/>
        <w:wordWrap/>
        <w:overflowPunct/>
        <w:topLinePunct w:val="0"/>
        <w:bidi w:val="0"/>
        <w:spacing w:before="183" w:line="290" w:lineRule="auto"/>
        <w:rPr>
          <w:rFonts w:ascii="宋体" w:hAnsi="宋体" w:eastAsia="宋体" w:cs="宋体"/>
          <w:sz w:val="24"/>
          <w:szCs w:val="24"/>
        </w:rPr>
      </w:pPr>
      <w:r>
        <w:rPr>
          <w:rFonts w:ascii="宋体" w:hAnsi="宋体" w:eastAsia="宋体" w:cs="宋体"/>
          <w:spacing w:val="-2"/>
          <w:sz w:val="24"/>
          <w:szCs w:val="24"/>
        </w:rPr>
        <w:t>三、若出现上述行为，我公司及参与磋商的工作人员愿意接受按照国家法律法规等有关规定给予的处罚。</w:t>
      </w:r>
    </w:p>
    <w:p w14:paraId="1D2FF343">
      <w:pPr>
        <w:keepNext w:val="0"/>
        <w:keepLines w:val="0"/>
        <w:pageBreakBefore w:val="0"/>
        <w:kinsoku/>
        <w:wordWrap/>
        <w:overflowPunct/>
        <w:topLinePunct w:val="0"/>
        <w:bidi w:val="0"/>
        <w:spacing w:before="181" w:line="219" w:lineRule="auto"/>
        <w:rPr>
          <w:rFonts w:ascii="宋体" w:hAnsi="宋体" w:eastAsia="宋体" w:cs="宋体"/>
          <w:sz w:val="24"/>
          <w:szCs w:val="24"/>
        </w:rPr>
      </w:pPr>
      <w:r>
        <w:rPr>
          <w:rFonts w:ascii="宋体" w:hAnsi="宋体" w:eastAsia="宋体" w:cs="宋体"/>
          <w:spacing w:val="-1"/>
          <w:sz w:val="24"/>
          <w:szCs w:val="24"/>
        </w:rPr>
        <w:t>供应商名称（加盖公章</w:t>
      </w:r>
      <w:r>
        <w:rPr>
          <w:rFonts w:ascii="宋体" w:hAnsi="宋体" w:eastAsia="宋体" w:cs="宋体"/>
          <w:sz w:val="24"/>
          <w:szCs w:val="24"/>
        </w:rPr>
        <w:t>）：</w:t>
      </w:r>
    </w:p>
    <w:p w14:paraId="6F55F955">
      <w:pPr>
        <w:keepNext w:val="0"/>
        <w:keepLines w:val="0"/>
        <w:pageBreakBefore w:val="0"/>
        <w:kinsoku/>
        <w:wordWrap/>
        <w:overflowPunct/>
        <w:topLinePunct w:val="0"/>
        <w:bidi w:val="0"/>
        <w:spacing w:before="183" w:line="347" w:lineRule="auto"/>
        <w:ind w:right="6732" w:firstLine="1"/>
        <w:rPr>
          <w:rFonts w:ascii="宋体" w:hAnsi="宋体" w:eastAsia="宋体" w:cs="宋体"/>
          <w:spacing w:val="-28"/>
          <w:sz w:val="24"/>
          <w:szCs w:val="24"/>
        </w:rPr>
      </w:pPr>
      <w:r>
        <w:rPr>
          <w:rFonts w:ascii="宋体" w:hAnsi="宋体" w:eastAsia="宋体" w:cs="宋体"/>
          <w:spacing w:val="-2"/>
          <w:sz w:val="24"/>
          <w:szCs w:val="24"/>
        </w:rPr>
        <w:t>法定代表人（签字</w:t>
      </w:r>
      <w:r>
        <w:rPr>
          <w:rFonts w:ascii="宋体" w:hAnsi="宋体" w:eastAsia="宋体" w:cs="宋体"/>
          <w:spacing w:val="-28"/>
          <w:sz w:val="24"/>
          <w:szCs w:val="24"/>
        </w:rPr>
        <w:t>）：</w:t>
      </w:r>
    </w:p>
    <w:p w14:paraId="18197004">
      <w:pPr>
        <w:keepNext w:val="0"/>
        <w:keepLines w:val="0"/>
        <w:pageBreakBefore w:val="0"/>
        <w:kinsoku/>
        <w:wordWrap/>
        <w:overflowPunct/>
        <w:topLinePunct w:val="0"/>
        <w:bidi w:val="0"/>
        <w:spacing w:before="183" w:line="347" w:lineRule="auto"/>
        <w:ind w:right="6732" w:firstLine="1"/>
        <w:rPr>
          <w:rFonts w:ascii="宋体" w:hAnsi="宋体" w:eastAsia="宋体" w:cs="宋体"/>
          <w:sz w:val="24"/>
          <w:szCs w:val="24"/>
        </w:rPr>
      </w:pPr>
      <w:r>
        <w:rPr>
          <w:rFonts w:ascii="宋体" w:hAnsi="宋体" w:eastAsia="宋体" w:cs="宋体"/>
          <w:spacing w:val="-2"/>
          <w:sz w:val="24"/>
          <w:szCs w:val="24"/>
        </w:rPr>
        <w:t>授权代表（签字</w:t>
      </w:r>
      <w:r>
        <w:rPr>
          <w:rFonts w:ascii="宋体" w:hAnsi="宋体" w:eastAsia="宋体" w:cs="宋体"/>
          <w:spacing w:val="2"/>
          <w:sz w:val="24"/>
          <w:szCs w:val="24"/>
        </w:rPr>
        <w:t>）：</w:t>
      </w:r>
    </w:p>
    <w:p w14:paraId="0F7818D7">
      <w:pPr>
        <w:keepNext w:val="0"/>
        <w:keepLines w:val="0"/>
        <w:pageBreakBefore w:val="0"/>
        <w:kinsoku/>
        <w:wordWrap/>
        <w:overflowPunct/>
        <w:topLinePunct w:val="0"/>
        <w:bidi w:val="0"/>
        <w:spacing w:before="35" w:line="219" w:lineRule="auto"/>
        <w:ind w:left="42"/>
        <w:rPr>
          <w:rFonts w:ascii="宋体" w:hAnsi="宋体" w:eastAsia="宋体" w:cs="宋体"/>
          <w:sz w:val="24"/>
          <w:szCs w:val="24"/>
        </w:rPr>
      </w:pPr>
      <w:r>
        <w:rPr>
          <w:rFonts w:ascii="宋体" w:hAnsi="宋体" w:eastAsia="宋体" w:cs="宋体"/>
          <w:spacing w:val="-20"/>
          <w:sz w:val="24"/>
          <w:szCs w:val="24"/>
        </w:rPr>
        <w:t>日期：年月日</w:t>
      </w:r>
    </w:p>
    <w:p w14:paraId="13BBA2FC">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20" w:type="default"/>
          <w:pgSz w:w="11906" w:h="16839"/>
          <w:pgMar w:top="1440" w:right="1080" w:bottom="1440" w:left="1080" w:header="0" w:footer="994" w:gutter="0"/>
          <w:pgNumType w:fmt="decimal"/>
          <w:cols w:space="720" w:num="1"/>
        </w:sectPr>
      </w:pPr>
    </w:p>
    <w:p w14:paraId="0F66BCF0">
      <w:pPr>
        <w:pStyle w:val="7"/>
        <w:keepNext w:val="0"/>
        <w:keepLines w:val="0"/>
        <w:pageBreakBefore w:val="0"/>
        <w:kinsoku/>
        <w:wordWrap/>
        <w:overflowPunct/>
        <w:topLinePunct w:val="0"/>
        <w:bidi w:val="0"/>
        <w:spacing w:line="246" w:lineRule="auto"/>
      </w:pPr>
    </w:p>
    <w:p w14:paraId="017D19AC">
      <w:pPr>
        <w:keepNext w:val="0"/>
        <w:keepLines w:val="0"/>
        <w:pageBreakBefore w:val="0"/>
        <w:kinsoku/>
        <w:wordWrap/>
        <w:overflowPunct/>
        <w:topLinePunct w:val="0"/>
        <w:bidi w:val="0"/>
        <w:spacing w:before="78" w:line="219" w:lineRule="auto"/>
        <w:ind w:left="3455"/>
        <w:rPr>
          <w:rFonts w:ascii="宋体" w:hAnsi="宋体" w:eastAsia="宋体" w:cs="宋体"/>
          <w:sz w:val="24"/>
          <w:szCs w:val="24"/>
        </w:rPr>
      </w:pPr>
      <w:r>
        <w:rPr>
          <w:rFonts w:ascii="宋体" w:hAnsi="宋体" w:eastAsia="宋体" w:cs="宋体"/>
          <w:b/>
          <w:bCs/>
          <w:spacing w:val="-3"/>
          <w:sz w:val="24"/>
          <w:szCs w:val="24"/>
        </w:rPr>
        <w:t>法定代表人身份证明</w:t>
      </w:r>
    </w:p>
    <w:p w14:paraId="780AB55B">
      <w:pPr>
        <w:keepNext w:val="0"/>
        <w:keepLines w:val="0"/>
        <w:pageBreakBefore w:val="0"/>
        <w:kinsoku/>
        <w:wordWrap/>
        <w:overflowPunct/>
        <w:topLinePunct w:val="0"/>
        <w:bidi w:val="0"/>
        <w:spacing w:before="183" w:line="351" w:lineRule="auto"/>
        <w:ind w:right="7772"/>
        <w:rPr>
          <w:rFonts w:ascii="宋体" w:hAnsi="宋体" w:eastAsia="宋体" w:cs="宋体"/>
          <w:sz w:val="24"/>
          <w:szCs w:val="24"/>
        </w:rPr>
      </w:pPr>
      <w:r>
        <w:rPr>
          <w:rFonts w:ascii="宋体" w:hAnsi="宋体" w:eastAsia="宋体" w:cs="宋体"/>
          <w:spacing w:val="-12"/>
          <w:sz w:val="24"/>
          <w:szCs w:val="24"/>
        </w:rPr>
        <w:t>供应商名称：</w:t>
      </w:r>
      <w:r>
        <w:rPr>
          <w:rFonts w:ascii="宋体" w:hAnsi="宋体" w:eastAsia="宋体" w:cs="宋体"/>
          <w:spacing w:val="-4"/>
          <w:sz w:val="24"/>
          <w:szCs w:val="24"/>
        </w:rPr>
        <w:t>地址：</w:t>
      </w:r>
    </w:p>
    <w:p w14:paraId="02C711CF">
      <w:pPr>
        <w:keepNext w:val="0"/>
        <w:keepLines w:val="0"/>
        <w:pageBreakBefore w:val="0"/>
        <w:kinsoku/>
        <w:wordWrap/>
        <w:overflowPunct/>
        <w:topLinePunct w:val="0"/>
        <w:bidi w:val="0"/>
        <w:spacing w:before="22" w:line="219" w:lineRule="auto"/>
        <w:rPr>
          <w:rFonts w:ascii="宋体" w:hAnsi="宋体" w:eastAsia="宋体" w:cs="宋体"/>
          <w:sz w:val="24"/>
          <w:szCs w:val="24"/>
        </w:rPr>
      </w:pPr>
      <w:r>
        <w:rPr>
          <w:rFonts w:ascii="宋体" w:hAnsi="宋体" w:eastAsia="宋体" w:cs="宋体"/>
          <w:spacing w:val="-2"/>
          <w:sz w:val="24"/>
          <w:szCs w:val="24"/>
        </w:rPr>
        <w:t>姓名：性别：年龄：职务：</w:t>
      </w:r>
    </w:p>
    <w:p w14:paraId="4DD866C3">
      <w:pPr>
        <w:keepNext w:val="0"/>
        <w:keepLines w:val="0"/>
        <w:pageBreakBefore w:val="0"/>
        <w:kinsoku/>
        <w:wordWrap/>
        <w:overflowPunct/>
        <w:topLinePunct w:val="0"/>
        <w:bidi w:val="0"/>
        <w:spacing w:before="182" w:line="219" w:lineRule="auto"/>
        <w:ind w:left="5"/>
        <w:rPr>
          <w:rFonts w:ascii="宋体" w:hAnsi="宋体" w:eastAsia="宋体" w:cs="宋体"/>
          <w:sz w:val="24"/>
          <w:szCs w:val="24"/>
        </w:rPr>
      </w:pPr>
      <w:r>
        <w:rPr>
          <w:rFonts w:ascii="宋体" w:hAnsi="宋体" w:eastAsia="宋体" w:cs="宋体"/>
          <w:sz w:val="24"/>
          <w:szCs w:val="24"/>
        </w:rPr>
        <w:t>系</w:t>
      </w:r>
      <w:r>
        <w:rPr>
          <w:rFonts w:ascii="宋体" w:hAnsi="宋体" w:eastAsia="宋体" w:cs="宋体"/>
          <w:spacing w:val="-1"/>
          <w:sz w:val="24"/>
          <w:szCs w:val="24"/>
        </w:rPr>
        <w:t>（供应商名称）的法定代表人。</w:t>
      </w:r>
    </w:p>
    <w:p w14:paraId="03C5C929">
      <w:pPr>
        <w:keepNext w:val="0"/>
        <w:keepLines w:val="0"/>
        <w:pageBreakBefore w:val="0"/>
        <w:kinsoku/>
        <w:wordWrap/>
        <w:overflowPunct/>
        <w:topLinePunct w:val="0"/>
        <w:bidi w:val="0"/>
        <w:spacing w:before="184" w:line="219" w:lineRule="auto"/>
        <w:rPr>
          <w:rFonts w:ascii="宋体" w:hAnsi="宋体" w:eastAsia="宋体" w:cs="宋体"/>
          <w:sz w:val="24"/>
          <w:szCs w:val="24"/>
        </w:rPr>
      </w:pPr>
      <w:r>
        <w:rPr>
          <w:rFonts w:ascii="宋体" w:hAnsi="宋体" w:eastAsia="宋体" w:cs="宋体"/>
          <w:spacing w:val="-2"/>
          <w:sz w:val="24"/>
          <w:szCs w:val="24"/>
        </w:rPr>
        <w:t>特此证明。</w:t>
      </w:r>
    </w:p>
    <w:p w14:paraId="115A2D89">
      <w:pPr>
        <w:keepNext w:val="0"/>
        <w:keepLines w:val="0"/>
        <w:pageBreakBefore w:val="0"/>
        <w:kinsoku/>
        <w:wordWrap/>
        <w:overflowPunct/>
        <w:topLinePunct w:val="0"/>
        <w:bidi w:val="0"/>
        <w:spacing w:before="182" w:line="219" w:lineRule="auto"/>
        <w:ind w:left="19"/>
        <w:rPr>
          <w:rFonts w:ascii="宋体" w:hAnsi="宋体" w:eastAsia="宋体" w:cs="宋体"/>
          <w:sz w:val="24"/>
          <w:szCs w:val="24"/>
        </w:rPr>
      </w:pPr>
      <w:r>
        <w:rPr>
          <w:rFonts w:ascii="宋体" w:hAnsi="宋体" w:eastAsia="宋体" w:cs="宋体"/>
          <w:spacing w:val="-3"/>
          <w:sz w:val="24"/>
          <w:szCs w:val="24"/>
        </w:rPr>
        <w:t>附：法定代表人身份证复印件</w:t>
      </w:r>
    </w:p>
    <w:p w14:paraId="43B3CED7">
      <w:pPr>
        <w:pStyle w:val="7"/>
        <w:keepNext w:val="0"/>
        <w:keepLines w:val="0"/>
        <w:pageBreakBefore w:val="0"/>
        <w:kinsoku/>
        <w:wordWrap/>
        <w:overflowPunct/>
        <w:topLinePunct w:val="0"/>
        <w:bidi w:val="0"/>
        <w:spacing w:line="284" w:lineRule="auto"/>
      </w:pPr>
    </w:p>
    <w:p w14:paraId="37B006D9">
      <w:pPr>
        <w:pStyle w:val="7"/>
        <w:keepNext w:val="0"/>
        <w:keepLines w:val="0"/>
        <w:pageBreakBefore w:val="0"/>
        <w:kinsoku/>
        <w:wordWrap/>
        <w:overflowPunct/>
        <w:topLinePunct w:val="0"/>
        <w:bidi w:val="0"/>
        <w:spacing w:line="285" w:lineRule="auto"/>
      </w:pPr>
    </w:p>
    <w:p w14:paraId="2020C1CE">
      <w:pPr>
        <w:keepNext w:val="0"/>
        <w:keepLines w:val="0"/>
        <w:pageBreakBefore w:val="0"/>
        <w:kinsoku/>
        <w:wordWrap/>
        <w:overflowPunct/>
        <w:topLinePunct w:val="0"/>
        <w:bidi w:val="0"/>
        <w:spacing w:before="79" w:line="347" w:lineRule="auto"/>
        <w:ind w:left="4962" w:right="1172" w:firstLine="198"/>
        <w:rPr>
          <w:rFonts w:ascii="宋体" w:hAnsi="宋体" w:eastAsia="宋体" w:cs="宋体"/>
          <w:spacing w:val="-31"/>
          <w:sz w:val="24"/>
          <w:szCs w:val="24"/>
        </w:rPr>
      </w:pPr>
      <w:r>
        <w:rPr>
          <w:rFonts w:ascii="宋体" w:hAnsi="宋体" w:eastAsia="宋体" w:cs="宋体"/>
          <w:spacing w:val="-1"/>
          <w:sz w:val="24"/>
          <w:szCs w:val="24"/>
        </w:rPr>
        <w:t>供应商名称（加盖公章</w:t>
      </w:r>
      <w:r>
        <w:rPr>
          <w:rFonts w:ascii="宋体" w:hAnsi="宋体" w:eastAsia="宋体" w:cs="宋体"/>
          <w:spacing w:val="-31"/>
          <w:sz w:val="24"/>
          <w:szCs w:val="24"/>
        </w:rPr>
        <w:t>）：</w:t>
      </w:r>
    </w:p>
    <w:p w14:paraId="39C89CAE">
      <w:pPr>
        <w:keepNext w:val="0"/>
        <w:keepLines w:val="0"/>
        <w:pageBreakBefore w:val="0"/>
        <w:kinsoku/>
        <w:wordWrap/>
        <w:overflowPunct/>
        <w:topLinePunct w:val="0"/>
        <w:bidi w:val="0"/>
        <w:spacing w:before="79" w:line="347" w:lineRule="auto"/>
        <w:ind w:left="4962" w:right="1172" w:firstLine="198"/>
        <w:rPr>
          <w:rFonts w:ascii="宋体" w:hAnsi="宋体" w:eastAsia="宋体" w:cs="宋体"/>
          <w:sz w:val="24"/>
          <w:szCs w:val="24"/>
        </w:rPr>
      </w:pPr>
      <w:r>
        <w:rPr>
          <w:rFonts w:ascii="宋体" w:hAnsi="宋体" w:eastAsia="宋体" w:cs="宋体"/>
          <w:spacing w:val="-20"/>
          <w:sz w:val="24"/>
          <w:szCs w:val="24"/>
        </w:rPr>
        <w:t>日期：年月日</w:t>
      </w:r>
    </w:p>
    <w:p w14:paraId="097D3D90">
      <w:pPr>
        <w:keepNext w:val="0"/>
        <w:keepLines w:val="0"/>
        <w:pageBreakBefore w:val="0"/>
        <w:kinsoku/>
        <w:wordWrap/>
        <w:overflowPunct/>
        <w:topLinePunct w:val="0"/>
        <w:bidi w:val="0"/>
        <w:spacing w:before="34" w:line="219" w:lineRule="auto"/>
        <w:ind w:left="3333"/>
        <w:rPr>
          <w:rFonts w:ascii="宋体" w:hAnsi="宋体" w:eastAsia="宋体" w:cs="宋体"/>
          <w:sz w:val="24"/>
          <w:szCs w:val="24"/>
        </w:rPr>
      </w:pPr>
      <w:r>
        <w:rPr>
          <w:rFonts w:ascii="宋体" w:hAnsi="宋体" w:eastAsia="宋体" w:cs="宋体"/>
          <w:b/>
          <w:bCs/>
          <w:spacing w:val="-3"/>
          <w:sz w:val="24"/>
          <w:szCs w:val="24"/>
        </w:rPr>
        <w:t>法定代表人授权委托书</w:t>
      </w:r>
    </w:p>
    <w:p w14:paraId="48DD4328">
      <w:pPr>
        <w:pStyle w:val="7"/>
        <w:keepNext w:val="0"/>
        <w:keepLines w:val="0"/>
        <w:pageBreakBefore w:val="0"/>
        <w:kinsoku/>
        <w:wordWrap/>
        <w:overflowPunct/>
        <w:topLinePunct w:val="0"/>
        <w:bidi w:val="0"/>
        <w:spacing w:line="285" w:lineRule="auto"/>
      </w:pPr>
    </w:p>
    <w:p w14:paraId="4FF89838">
      <w:pPr>
        <w:pStyle w:val="7"/>
        <w:keepNext w:val="0"/>
        <w:keepLines w:val="0"/>
        <w:pageBreakBefore w:val="0"/>
        <w:kinsoku/>
        <w:wordWrap/>
        <w:overflowPunct/>
        <w:topLinePunct w:val="0"/>
        <w:bidi w:val="0"/>
        <w:spacing w:line="285" w:lineRule="auto"/>
      </w:pPr>
    </w:p>
    <w:p w14:paraId="4FAA60BB">
      <w:pPr>
        <w:keepNext w:val="0"/>
        <w:keepLines w:val="0"/>
        <w:pageBreakBefore w:val="0"/>
        <w:kinsoku/>
        <w:wordWrap/>
        <w:overflowPunct/>
        <w:topLinePunct w:val="0"/>
        <w:bidi w:val="0"/>
        <w:spacing w:before="79" w:line="219" w:lineRule="auto"/>
        <w:ind w:left="1"/>
        <w:rPr>
          <w:rFonts w:ascii="宋体" w:hAnsi="宋体" w:eastAsia="宋体" w:cs="宋体"/>
          <w:sz w:val="24"/>
          <w:szCs w:val="24"/>
        </w:rPr>
      </w:pPr>
      <w:r>
        <w:rPr>
          <w:rFonts w:hint="eastAsia" w:ascii="宋体" w:hAnsi="宋体" w:eastAsia="宋体" w:cs="宋体"/>
          <w:spacing w:val="-1"/>
          <w:sz w:val="24"/>
          <w:szCs w:val="24"/>
          <w:lang w:eastAsia="zh-CN"/>
        </w:rPr>
        <w:t>新疆金典引航项目管理咨询有限责任公司</w:t>
      </w:r>
      <w:r>
        <w:rPr>
          <w:rFonts w:ascii="宋体" w:hAnsi="宋体" w:eastAsia="宋体" w:cs="宋体"/>
          <w:spacing w:val="-1"/>
          <w:sz w:val="24"/>
          <w:szCs w:val="24"/>
        </w:rPr>
        <w:t>：</w:t>
      </w:r>
    </w:p>
    <w:p w14:paraId="6276C456">
      <w:pPr>
        <w:keepNext w:val="0"/>
        <w:keepLines w:val="0"/>
        <w:pageBreakBefore w:val="0"/>
        <w:kinsoku/>
        <w:wordWrap/>
        <w:overflowPunct/>
        <w:topLinePunct w:val="0"/>
        <w:bidi w:val="0"/>
        <w:spacing w:before="184" w:line="353" w:lineRule="auto"/>
        <w:ind w:left="1" w:firstLine="360"/>
        <w:jc w:val="both"/>
        <w:rPr>
          <w:rFonts w:ascii="宋体" w:hAnsi="宋体" w:eastAsia="宋体" w:cs="宋体"/>
          <w:sz w:val="24"/>
          <w:szCs w:val="24"/>
        </w:rPr>
      </w:pPr>
      <w:r>
        <w:rPr>
          <w:rFonts w:ascii="宋体" w:hAnsi="宋体" w:eastAsia="宋体" w:cs="宋体"/>
          <w:spacing w:val="1"/>
          <w:sz w:val="24"/>
          <w:szCs w:val="24"/>
        </w:rPr>
        <w:t>本授权声明</w:t>
      </w:r>
      <w:r>
        <w:rPr>
          <w:rFonts w:ascii="宋体" w:hAnsi="宋体" w:eastAsia="宋体" w:cs="宋体"/>
          <w:spacing w:val="-60"/>
          <w:sz w:val="24"/>
          <w:szCs w:val="24"/>
        </w:rPr>
        <w:t>：（</w:t>
      </w:r>
      <w:r>
        <w:rPr>
          <w:rFonts w:ascii="宋体" w:hAnsi="宋体" w:eastAsia="宋体" w:cs="宋体"/>
          <w:spacing w:val="1"/>
          <w:sz w:val="24"/>
          <w:szCs w:val="24"/>
        </w:rPr>
        <w:t>供应商名称</w:t>
      </w:r>
      <w:r>
        <w:rPr>
          <w:rFonts w:ascii="宋体" w:hAnsi="宋体" w:eastAsia="宋体" w:cs="宋体"/>
          <w:spacing w:val="-60"/>
          <w:sz w:val="24"/>
          <w:szCs w:val="24"/>
        </w:rPr>
        <w:t>）（</w:t>
      </w:r>
      <w:r>
        <w:rPr>
          <w:rFonts w:ascii="宋体" w:hAnsi="宋体" w:eastAsia="宋体" w:cs="宋体"/>
          <w:spacing w:val="1"/>
          <w:sz w:val="24"/>
          <w:szCs w:val="24"/>
        </w:rPr>
        <w:t>法定代表人姓名、</w:t>
      </w:r>
      <w:r>
        <w:rPr>
          <w:rFonts w:ascii="宋体" w:hAnsi="宋体" w:eastAsia="宋体" w:cs="宋体"/>
          <w:spacing w:val="-1"/>
          <w:sz w:val="24"/>
          <w:szCs w:val="24"/>
        </w:rPr>
        <w:t>职务）授权（被授权人姓名、职务）为我方“</w:t>
      </w:r>
      <w:r>
        <w:rPr>
          <w:rFonts w:ascii="宋体" w:hAnsi="宋体" w:eastAsia="宋体" w:cs="宋体"/>
          <w:spacing w:val="-2"/>
          <w:sz w:val="24"/>
          <w:szCs w:val="24"/>
          <w:u w:val="single" w:color="auto"/>
        </w:rPr>
        <w:t>（项</w:t>
      </w:r>
      <w:r>
        <w:rPr>
          <w:rFonts w:ascii="宋体" w:hAnsi="宋体" w:eastAsia="宋体" w:cs="宋体"/>
          <w:spacing w:val="1"/>
          <w:sz w:val="24"/>
          <w:szCs w:val="24"/>
          <w:u w:val="single" w:color="auto"/>
        </w:rPr>
        <w:t>目名称）</w:t>
      </w:r>
      <w:r>
        <w:rPr>
          <w:rFonts w:ascii="宋体" w:hAnsi="宋体" w:eastAsia="宋体" w:cs="宋体"/>
          <w:spacing w:val="1"/>
          <w:sz w:val="24"/>
          <w:szCs w:val="24"/>
        </w:rPr>
        <w:t>”（采购项目编号：</w:t>
      </w:r>
      <w:r>
        <w:rPr>
          <w:rFonts w:ascii="宋体" w:hAnsi="宋体" w:eastAsia="宋体" w:cs="宋体"/>
          <w:sz w:val="24"/>
          <w:szCs w:val="24"/>
        </w:rPr>
        <w:t>XXX</w:t>
      </w:r>
      <w:r>
        <w:rPr>
          <w:rFonts w:ascii="宋体" w:hAnsi="宋体" w:eastAsia="宋体" w:cs="宋体"/>
          <w:spacing w:val="1"/>
          <w:sz w:val="24"/>
          <w:szCs w:val="24"/>
        </w:rPr>
        <w:t>）竞争性磋商活动的合</w:t>
      </w:r>
      <w:r>
        <w:rPr>
          <w:rFonts w:ascii="宋体" w:hAnsi="宋体" w:eastAsia="宋体" w:cs="宋体"/>
          <w:sz w:val="24"/>
          <w:szCs w:val="24"/>
        </w:rPr>
        <w:t>法代表，以我方名义全权处理</w:t>
      </w:r>
      <w:r>
        <w:rPr>
          <w:rFonts w:ascii="宋体" w:hAnsi="宋体" w:eastAsia="宋体" w:cs="宋体"/>
          <w:spacing w:val="-1"/>
          <w:sz w:val="24"/>
          <w:szCs w:val="24"/>
        </w:rPr>
        <w:t>该项目有关磋商、签订合同以及执行合同等一切事宜。</w:t>
      </w:r>
    </w:p>
    <w:p w14:paraId="6F922410">
      <w:pPr>
        <w:keepNext w:val="0"/>
        <w:keepLines w:val="0"/>
        <w:pageBreakBefore w:val="0"/>
        <w:kinsoku/>
        <w:wordWrap/>
        <w:overflowPunct/>
        <w:topLinePunct w:val="0"/>
        <w:bidi w:val="0"/>
        <w:spacing w:before="35" w:line="219" w:lineRule="auto"/>
        <w:rPr>
          <w:rFonts w:ascii="宋体" w:hAnsi="宋体" w:eastAsia="宋体" w:cs="宋体"/>
          <w:sz w:val="24"/>
          <w:szCs w:val="24"/>
        </w:rPr>
      </w:pPr>
      <w:r>
        <w:rPr>
          <w:rFonts w:ascii="宋体" w:hAnsi="宋体" w:eastAsia="宋体" w:cs="宋体"/>
          <w:spacing w:val="-2"/>
          <w:sz w:val="24"/>
          <w:szCs w:val="24"/>
        </w:rPr>
        <w:t>特此声明。</w:t>
      </w:r>
    </w:p>
    <w:p w14:paraId="0A3AC4C2">
      <w:pPr>
        <w:keepNext w:val="0"/>
        <w:keepLines w:val="0"/>
        <w:pageBreakBefore w:val="0"/>
        <w:kinsoku/>
        <w:wordWrap/>
        <w:overflowPunct/>
        <w:topLinePunct w:val="0"/>
        <w:bidi w:val="0"/>
        <w:spacing w:before="183" w:line="219" w:lineRule="auto"/>
        <w:ind w:left="19"/>
        <w:rPr>
          <w:rFonts w:ascii="宋体" w:hAnsi="宋体" w:eastAsia="宋体" w:cs="宋体"/>
          <w:sz w:val="24"/>
          <w:szCs w:val="24"/>
        </w:rPr>
      </w:pPr>
      <w:r>
        <w:rPr>
          <w:rFonts w:ascii="宋体" w:hAnsi="宋体" w:eastAsia="宋体" w:cs="宋体"/>
          <w:spacing w:val="-1"/>
          <w:sz w:val="24"/>
          <w:szCs w:val="24"/>
        </w:rPr>
        <w:t>附：被授权人身份证授权人身份证</w:t>
      </w:r>
    </w:p>
    <w:p w14:paraId="16A6A1D0">
      <w:pPr>
        <w:keepNext w:val="0"/>
        <w:keepLines w:val="0"/>
        <w:pageBreakBefore w:val="0"/>
        <w:kinsoku/>
        <w:wordWrap/>
        <w:overflowPunct/>
        <w:topLinePunct w:val="0"/>
        <w:bidi w:val="0"/>
        <w:spacing w:before="184" w:line="219" w:lineRule="auto"/>
        <w:ind w:left="485"/>
        <w:rPr>
          <w:rFonts w:ascii="宋体" w:hAnsi="宋体" w:eastAsia="宋体" w:cs="宋体"/>
          <w:sz w:val="24"/>
          <w:szCs w:val="24"/>
        </w:rPr>
      </w:pPr>
      <w:r>
        <w:rPr>
          <w:rFonts w:ascii="宋体" w:hAnsi="宋体" w:eastAsia="宋体" w:cs="宋体"/>
          <w:sz w:val="24"/>
          <w:szCs w:val="24"/>
        </w:rPr>
        <w:t>正反面复印件</w:t>
      </w:r>
      <w:r>
        <w:rPr>
          <w:rFonts w:ascii="宋体" w:hAnsi="宋体" w:eastAsia="宋体" w:cs="宋体"/>
          <w:spacing w:val="-1"/>
          <w:sz w:val="24"/>
          <w:szCs w:val="24"/>
        </w:rPr>
        <w:t>正反面复印</w:t>
      </w:r>
    </w:p>
    <w:p w14:paraId="36C1F2C2">
      <w:pPr>
        <w:pStyle w:val="7"/>
        <w:keepNext w:val="0"/>
        <w:keepLines w:val="0"/>
        <w:pageBreakBefore w:val="0"/>
        <w:kinsoku/>
        <w:wordWrap/>
        <w:overflowPunct/>
        <w:topLinePunct w:val="0"/>
        <w:bidi w:val="0"/>
        <w:spacing w:line="284" w:lineRule="auto"/>
      </w:pPr>
    </w:p>
    <w:p w14:paraId="557528CB">
      <w:pPr>
        <w:pStyle w:val="7"/>
        <w:keepNext w:val="0"/>
        <w:keepLines w:val="0"/>
        <w:pageBreakBefore w:val="0"/>
        <w:kinsoku/>
        <w:wordWrap/>
        <w:overflowPunct/>
        <w:topLinePunct w:val="0"/>
        <w:bidi w:val="0"/>
        <w:spacing w:line="285" w:lineRule="auto"/>
      </w:pPr>
    </w:p>
    <w:p w14:paraId="2C7E97EA">
      <w:pPr>
        <w:keepNext w:val="0"/>
        <w:keepLines w:val="0"/>
        <w:pageBreakBefore w:val="0"/>
        <w:kinsoku/>
        <w:wordWrap/>
        <w:overflowPunct/>
        <w:topLinePunct w:val="0"/>
        <w:bidi w:val="0"/>
        <w:spacing w:before="79" w:line="219" w:lineRule="auto"/>
        <w:rPr>
          <w:rFonts w:ascii="宋体" w:hAnsi="宋体" w:eastAsia="宋体" w:cs="宋体"/>
          <w:sz w:val="24"/>
          <w:szCs w:val="24"/>
        </w:rPr>
      </w:pPr>
      <w:r>
        <w:rPr>
          <w:rFonts w:ascii="宋体" w:hAnsi="宋体" w:eastAsia="宋体" w:cs="宋体"/>
          <w:spacing w:val="-1"/>
          <w:sz w:val="24"/>
          <w:szCs w:val="24"/>
        </w:rPr>
        <w:t>被授权人签名（投标代表</w:t>
      </w:r>
      <w:r>
        <w:rPr>
          <w:rFonts w:ascii="宋体" w:hAnsi="宋体" w:eastAsia="宋体" w:cs="宋体"/>
          <w:sz w:val="24"/>
          <w:szCs w:val="24"/>
        </w:rPr>
        <w:t>）：</w:t>
      </w:r>
      <w:r>
        <w:rPr>
          <w:rFonts w:ascii="宋体" w:hAnsi="宋体" w:eastAsia="宋体" w:cs="宋体"/>
          <w:spacing w:val="-1"/>
          <w:sz w:val="24"/>
          <w:szCs w:val="24"/>
        </w:rPr>
        <w:t>授权人签名（法定代表</w:t>
      </w:r>
      <w:r>
        <w:rPr>
          <w:rFonts w:ascii="宋体" w:hAnsi="宋体" w:eastAsia="宋体" w:cs="宋体"/>
          <w:sz w:val="24"/>
          <w:szCs w:val="24"/>
        </w:rPr>
        <w:t>）：</w:t>
      </w:r>
    </w:p>
    <w:p w14:paraId="47D55158">
      <w:pPr>
        <w:keepNext w:val="0"/>
        <w:keepLines w:val="0"/>
        <w:pageBreakBefore w:val="0"/>
        <w:kinsoku/>
        <w:wordWrap/>
        <w:overflowPunct/>
        <w:topLinePunct w:val="0"/>
        <w:bidi w:val="0"/>
        <w:spacing w:before="183" w:line="219" w:lineRule="auto"/>
        <w:ind w:left="1"/>
        <w:rPr>
          <w:rFonts w:ascii="宋体" w:hAnsi="宋体" w:eastAsia="宋体" w:cs="宋体"/>
          <w:sz w:val="24"/>
          <w:szCs w:val="24"/>
        </w:rPr>
      </w:pPr>
      <w:r>
        <w:rPr>
          <w:rFonts w:ascii="宋体" w:hAnsi="宋体" w:eastAsia="宋体" w:cs="宋体"/>
          <w:spacing w:val="-13"/>
          <w:sz w:val="24"/>
          <w:szCs w:val="24"/>
        </w:rPr>
        <w:t>职务：职务：</w:t>
      </w:r>
    </w:p>
    <w:p w14:paraId="73E186BB">
      <w:pPr>
        <w:keepNext w:val="0"/>
        <w:keepLines w:val="0"/>
        <w:pageBreakBefore w:val="0"/>
        <w:kinsoku/>
        <w:wordWrap/>
        <w:overflowPunct/>
        <w:topLinePunct w:val="0"/>
        <w:bidi w:val="0"/>
        <w:spacing w:before="183" w:line="221" w:lineRule="auto"/>
        <w:ind w:left="1"/>
        <w:rPr>
          <w:rFonts w:ascii="宋体" w:hAnsi="宋体" w:eastAsia="宋体" w:cs="宋体"/>
          <w:sz w:val="24"/>
          <w:szCs w:val="24"/>
        </w:rPr>
      </w:pPr>
      <w:r>
        <w:rPr>
          <w:rFonts w:ascii="宋体" w:hAnsi="宋体" w:eastAsia="宋体" w:cs="宋体"/>
          <w:spacing w:val="-15"/>
          <w:sz w:val="24"/>
          <w:szCs w:val="24"/>
        </w:rPr>
        <w:t>联系电话：</w:t>
      </w:r>
    </w:p>
    <w:p w14:paraId="4E1CC535">
      <w:pPr>
        <w:keepNext w:val="0"/>
        <w:keepLines w:val="0"/>
        <w:pageBreakBefore w:val="0"/>
        <w:kinsoku/>
        <w:wordWrap/>
        <w:overflowPunct/>
        <w:topLinePunct w:val="0"/>
        <w:bidi w:val="0"/>
        <w:spacing w:before="180" w:line="219" w:lineRule="auto"/>
        <w:rPr>
          <w:rFonts w:ascii="宋体" w:hAnsi="宋体" w:eastAsia="宋体" w:cs="宋体"/>
          <w:sz w:val="24"/>
          <w:szCs w:val="24"/>
        </w:rPr>
      </w:pPr>
      <w:r>
        <w:rPr>
          <w:rFonts w:ascii="宋体" w:hAnsi="宋体" w:eastAsia="宋体" w:cs="宋体"/>
          <w:spacing w:val="-1"/>
          <w:sz w:val="24"/>
          <w:szCs w:val="24"/>
        </w:rPr>
        <w:t>供应商名称（加盖公章</w:t>
      </w:r>
      <w:r>
        <w:rPr>
          <w:rFonts w:ascii="宋体" w:hAnsi="宋体" w:eastAsia="宋体" w:cs="宋体"/>
          <w:sz w:val="24"/>
          <w:szCs w:val="24"/>
        </w:rPr>
        <w:t>）：</w:t>
      </w:r>
    </w:p>
    <w:p w14:paraId="0BB61130">
      <w:pPr>
        <w:keepNext w:val="0"/>
        <w:keepLines w:val="0"/>
        <w:pageBreakBefore w:val="0"/>
        <w:kinsoku/>
        <w:wordWrap/>
        <w:overflowPunct/>
        <w:topLinePunct w:val="0"/>
        <w:bidi w:val="0"/>
        <w:spacing w:before="184" w:line="219" w:lineRule="auto"/>
        <w:ind w:right="29"/>
        <w:jc w:val="right"/>
        <w:rPr>
          <w:rFonts w:ascii="宋体" w:hAnsi="宋体" w:eastAsia="宋体" w:cs="宋体"/>
          <w:sz w:val="24"/>
          <w:szCs w:val="24"/>
        </w:rPr>
      </w:pPr>
      <w:r>
        <w:rPr>
          <w:rFonts w:ascii="宋体" w:hAnsi="宋体" w:eastAsia="宋体" w:cs="宋体"/>
          <w:spacing w:val="-20"/>
          <w:sz w:val="24"/>
          <w:szCs w:val="24"/>
        </w:rPr>
        <w:t>日期：年月日</w:t>
      </w:r>
    </w:p>
    <w:p w14:paraId="681599FD">
      <w:pPr>
        <w:keepNext w:val="0"/>
        <w:keepLines w:val="0"/>
        <w:pageBreakBefore w:val="0"/>
        <w:kinsoku/>
        <w:wordWrap/>
        <w:overflowPunct/>
        <w:topLinePunct w:val="0"/>
        <w:bidi w:val="0"/>
        <w:spacing w:before="184" w:line="346" w:lineRule="auto"/>
        <w:ind w:left="1" w:right="80" w:firstLine="1"/>
        <w:rPr>
          <w:rFonts w:ascii="宋体" w:hAnsi="宋体" w:eastAsia="宋体" w:cs="宋体"/>
          <w:sz w:val="24"/>
          <w:szCs w:val="24"/>
        </w:rPr>
      </w:pPr>
      <w:r>
        <w:rPr>
          <w:rFonts w:ascii="宋体" w:hAnsi="宋体" w:eastAsia="宋体" w:cs="宋体"/>
          <w:spacing w:val="2"/>
          <w:sz w:val="24"/>
          <w:szCs w:val="24"/>
        </w:rPr>
        <w:t>说明：1、如法定代表人参加竞争性磋商的，</w:t>
      </w:r>
      <w:r>
        <w:rPr>
          <w:rFonts w:ascii="宋体" w:hAnsi="宋体" w:eastAsia="宋体" w:cs="宋体"/>
          <w:spacing w:val="1"/>
          <w:sz w:val="24"/>
          <w:szCs w:val="24"/>
        </w:rPr>
        <w:t>响应文件中不需提供授权委托书，但必须</w:t>
      </w:r>
      <w:r>
        <w:rPr>
          <w:rFonts w:ascii="宋体" w:hAnsi="宋体" w:eastAsia="宋体" w:cs="宋体"/>
          <w:spacing w:val="-1"/>
          <w:sz w:val="24"/>
          <w:szCs w:val="24"/>
        </w:rPr>
        <w:t>提供法定代表人身份证明；</w:t>
      </w:r>
    </w:p>
    <w:p w14:paraId="38D14FED">
      <w:pPr>
        <w:keepNext w:val="0"/>
        <w:keepLines w:val="0"/>
        <w:pageBreakBefore w:val="0"/>
        <w:kinsoku/>
        <w:wordWrap/>
        <w:overflowPunct/>
        <w:topLinePunct w:val="0"/>
        <w:bidi w:val="0"/>
        <w:spacing w:before="36" w:line="327" w:lineRule="auto"/>
        <w:ind w:right="80" w:firstLine="3"/>
        <w:rPr>
          <w:rFonts w:ascii="宋体" w:hAnsi="宋体" w:eastAsia="宋体" w:cs="宋体"/>
          <w:sz w:val="24"/>
          <w:szCs w:val="24"/>
        </w:rPr>
      </w:pPr>
      <w:r>
        <w:rPr>
          <w:rFonts w:ascii="宋体" w:hAnsi="宋体" w:eastAsia="宋体" w:cs="宋体"/>
          <w:spacing w:val="2"/>
          <w:sz w:val="24"/>
          <w:szCs w:val="24"/>
        </w:rPr>
        <w:t>2、如委托代理人参加竞争性磋商的，响应文</w:t>
      </w:r>
      <w:r>
        <w:rPr>
          <w:rFonts w:ascii="宋体" w:hAnsi="宋体" w:eastAsia="宋体" w:cs="宋体"/>
          <w:spacing w:val="1"/>
          <w:sz w:val="24"/>
          <w:szCs w:val="24"/>
        </w:rPr>
        <w:t>件中必须提供法定代表人身份证明和法定</w:t>
      </w:r>
      <w:r>
        <w:rPr>
          <w:rFonts w:ascii="宋体" w:hAnsi="宋体" w:eastAsia="宋体" w:cs="宋体"/>
          <w:spacing w:val="-1"/>
          <w:sz w:val="24"/>
          <w:szCs w:val="24"/>
        </w:rPr>
        <w:t>代表人授权委托书。</w:t>
      </w:r>
    </w:p>
    <w:p w14:paraId="21A38E34">
      <w:pPr>
        <w:keepNext w:val="0"/>
        <w:keepLines w:val="0"/>
        <w:pageBreakBefore w:val="0"/>
        <w:kinsoku/>
        <w:wordWrap/>
        <w:overflowPunct/>
        <w:topLinePunct w:val="0"/>
        <w:bidi w:val="0"/>
        <w:spacing w:line="327" w:lineRule="auto"/>
        <w:rPr>
          <w:rFonts w:ascii="宋体" w:hAnsi="宋体" w:eastAsia="宋体" w:cs="宋体"/>
          <w:sz w:val="24"/>
          <w:szCs w:val="24"/>
        </w:rPr>
        <w:sectPr>
          <w:footerReference r:id="rId21" w:type="default"/>
          <w:pgSz w:w="11906" w:h="16839"/>
          <w:pgMar w:top="1440" w:right="1080" w:bottom="1440" w:left="1080" w:header="0" w:footer="994" w:gutter="0"/>
          <w:pgNumType w:fmt="decimal"/>
          <w:cols w:space="720" w:num="1"/>
        </w:sectPr>
      </w:pPr>
    </w:p>
    <w:p w14:paraId="3599CC4E">
      <w:pPr>
        <w:pStyle w:val="7"/>
        <w:keepNext w:val="0"/>
        <w:keepLines w:val="0"/>
        <w:pageBreakBefore w:val="0"/>
        <w:kinsoku/>
        <w:wordWrap/>
        <w:overflowPunct/>
        <w:topLinePunct w:val="0"/>
        <w:bidi w:val="0"/>
        <w:spacing w:line="247" w:lineRule="auto"/>
      </w:pPr>
    </w:p>
    <w:p w14:paraId="55C4D92C">
      <w:pPr>
        <w:keepNext w:val="0"/>
        <w:keepLines w:val="0"/>
        <w:pageBreakBefore w:val="0"/>
        <w:kinsoku/>
        <w:wordWrap/>
        <w:overflowPunct/>
        <w:topLinePunct w:val="0"/>
        <w:bidi w:val="0"/>
        <w:spacing w:before="78" w:line="219" w:lineRule="auto"/>
        <w:ind w:left="3460"/>
        <w:rPr>
          <w:rFonts w:ascii="宋体" w:hAnsi="宋体" w:eastAsia="宋体" w:cs="宋体"/>
          <w:sz w:val="24"/>
          <w:szCs w:val="24"/>
        </w:rPr>
      </w:pPr>
      <w:r>
        <w:rPr>
          <w:rFonts w:ascii="宋体" w:hAnsi="宋体" w:eastAsia="宋体" w:cs="宋体"/>
          <w:b/>
          <w:bCs/>
          <w:spacing w:val="-3"/>
          <w:sz w:val="24"/>
          <w:szCs w:val="24"/>
        </w:rPr>
        <w:t>磋商文件响应偏差表</w:t>
      </w:r>
    </w:p>
    <w:p w14:paraId="28B138A2">
      <w:pPr>
        <w:keepNext w:val="0"/>
        <w:keepLines w:val="0"/>
        <w:pageBreakBefore w:val="0"/>
        <w:kinsoku/>
        <w:wordWrap/>
        <w:overflowPunct/>
        <w:topLinePunct w:val="0"/>
        <w:bidi w:val="0"/>
        <w:spacing w:before="206" w:line="245" w:lineRule="auto"/>
        <w:ind w:left="134" w:right="7134"/>
        <w:rPr>
          <w:rFonts w:ascii="宋体" w:hAnsi="宋体" w:eastAsia="宋体" w:cs="宋体"/>
          <w:sz w:val="24"/>
          <w:szCs w:val="24"/>
        </w:rPr>
      </w:pPr>
      <w:r>
        <w:rPr>
          <w:rFonts w:ascii="宋体" w:hAnsi="宋体" w:eastAsia="宋体" w:cs="宋体"/>
          <w:spacing w:val="-21"/>
          <w:sz w:val="24"/>
          <w:szCs w:val="24"/>
        </w:rPr>
        <w:t>采购项目编号：采购项目名称：</w:t>
      </w:r>
    </w:p>
    <w:p w14:paraId="0265615B">
      <w:pPr>
        <w:keepNext w:val="0"/>
        <w:keepLines w:val="0"/>
        <w:pageBreakBefore w:val="0"/>
        <w:kinsoku/>
        <w:wordWrap/>
        <w:overflowPunct/>
        <w:topLinePunct w:val="0"/>
        <w:bidi w:val="0"/>
        <w:spacing w:before="88" w:line="220" w:lineRule="auto"/>
        <w:ind w:left="143"/>
        <w:rPr>
          <w:rFonts w:ascii="宋体" w:hAnsi="宋体" w:eastAsia="宋体" w:cs="宋体"/>
          <w:sz w:val="24"/>
          <w:szCs w:val="24"/>
        </w:rPr>
      </w:pPr>
      <w:r>
        <w:rPr>
          <w:rFonts w:ascii="宋体" w:hAnsi="宋体" w:eastAsia="宋体" w:cs="宋体"/>
          <w:spacing w:val="-2"/>
          <w:sz w:val="24"/>
          <w:szCs w:val="24"/>
          <w:u w:val="single" w:color="auto"/>
        </w:rPr>
        <w:t>分标号(此处有分标时填写具体分标号，无</w:t>
      </w:r>
      <w:r>
        <w:rPr>
          <w:rFonts w:ascii="宋体" w:hAnsi="宋体" w:eastAsia="宋体" w:cs="宋体"/>
          <w:spacing w:val="-3"/>
          <w:sz w:val="24"/>
          <w:szCs w:val="24"/>
          <w:u w:val="single" w:color="auto"/>
        </w:rPr>
        <w:t>分标时填写“无”)：</w:t>
      </w:r>
    </w:p>
    <w:p w14:paraId="5B3159B3">
      <w:pPr>
        <w:keepNext w:val="0"/>
        <w:keepLines w:val="0"/>
        <w:pageBreakBefore w:val="0"/>
        <w:kinsoku/>
        <w:wordWrap/>
        <w:overflowPunct/>
        <w:topLinePunct w:val="0"/>
        <w:bidi w:val="0"/>
        <w:spacing w:line="63" w:lineRule="exact"/>
      </w:pPr>
    </w:p>
    <w:tbl>
      <w:tblPr>
        <w:tblStyle w:val="15"/>
        <w:tblW w:w="88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8"/>
        <w:gridCol w:w="3920"/>
        <w:gridCol w:w="2726"/>
        <w:gridCol w:w="1459"/>
      </w:tblGrid>
      <w:tr w14:paraId="00C983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698" w:type="dxa"/>
            <w:vAlign w:val="top"/>
          </w:tcPr>
          <w:p w14:paraId="1272D12A">
            <w:pPr>
              <w:pStyle w:val="16"/>
              <w:keepNext w:val="0"/>
              <w:keepLines w:val="0"/>
              <w:pageBreakBefore w:val="0"/>
              <w:kinsoku/>
              <w:wordWrap/>
              <w:overflowPunct/>
              <w:topLinePunct w:val="0"/>
              <w:bidi w:val="0"/>
              <w:spacing w:before="149" w:line="228" w:lineRule="auto"/>
              <w:ind w:left="156"/>
            </w:pPr>
            <w:r>
              <w:t>项号</w:t>
            </w:r>
          </w:p>
        </w:tc>
        <w:tc>
          <w:tcPr>
            <w:tcW w:w="3920" w:type="dxa"/>
            <w:vAlign w:val="top"/>
          </w:tcPr>
          <w:p w14:paraId="0972229C">
            <w:pPr>
              <w:pStyle w:val="16"/>
              <w:keepNext w:val="0"/>
              <w:keepLines w:val="0"/>
              <w:pageBreakBefore w:val="0"/>
              <w:kinsoku/>
              <w:wordWrap/>
              <w:overflowPunct/>
              <w:topLinePunct w:val="0"/>
              <w:bidi w:val="0"/>
              <w:spacing w:before="149" w:line="227" w:lineRule="auto"/>
              <w:ind w:left="506"/>
            </w:pPr>
            <w:r>
              <w:rPr>
                <w:spacing w:val="7"/>
              </w:rPr>
              <w:t>竞争性磋商采购文件的商务需求</w:t>
            </w:r>
          </w:p>
        </w:tc>
        <w:tc>
          <w:tcPr>
            <w:tcW w:w="2726" w:type="dxa"/>
            <w:vAlign w:val="top"/>
          </w:tcPr>
          <w:p w14:paraId="5B79FA0E">
            <w:pPr>
              <w:pStyle w:val="16"/>
              <w:keepNext w:val="0"/>
              <w:keepLines w:val="0"/>
              <w:pageBreakBefore w:val="0"/>
              <w:kinsoku/>
              <w:wordWrap/>
              <w:overflowPunct/>
              <w:topLinePunct w:val="0"/>
              <w:bidi w:val="0"/>
              <w:spacing w:before="146" w:line="228" w:lineRule="auto"/>
              <w:ind w:left="21"/>
            </w:pPr>
            <w:r>
              <w:rPr>
                <w:spacing w:val="4"/>
              </w:rPr>
              <w:t>响应文件承诺的商务条款</w:t>
            </w:r>
          </w:p>
        </w:tc>
        <w:tc>
          <w:tcPr>
            <w:tcW w:w="1459" w:type="dxa"/>
            <w:vAlign w:val="top"/>
          </w:tcPr>
          <w:p w14:paraId="0AA947E0">
            <w:pPr>
              <w:pStyle w:val="16"/>
              <w:keepNext w:val="0"/>
              <w:keepLines w:val="0"/>
              <w:pageBreakBefore w:val="0"/>
              <w:kinsoku/>
              <w:wordWrap/>
              <w:overflowPunct/>
              <w:topLinePunct w:val="0"/>
              <w:bidi w:val="0"/>
              <w:spacing w:before="146" w:line="228" w:lineRule="auto"/>
              <w:ind w:left="241"/>
            </w:pPr>
            <w:r>
              <w:rPr>
                <w:spacing w:val="4"/>
              </w:rPr>
              <w:t>偏离说明</w:t>
            </w:r>
          </w:p>
        </w:tc>
      </w:tr>
      <w:tr w14:paraId="29307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9" w:hRule="atLeast"/>
        </w:trPr>
        <w:tc>
          <w:tcPr>
            <w:tcW w:w="698" w:type="dxa"/>
            <w:vAlign w:val="top"/>
          </w:tcPr>
          <w:p w14:paraId="16814D25">
            <w:pPr>
              <w:pStyle w:val="16"/>
              <w:keepNext w:val="0"/>
              <w:keepLines w:val="0"/>
              <w:pageBreakBefore w:val="0"/>
              <w:kinsoku/>
              <w:wordWrap/>
              <w:overflowPunct/>
              <w:topLinePunct w:val="0"/>
              <w:bidi w:val="0"/>
              <w:spacing w:before="244" w:line="63" w:lineRule="exact"/>
              <w:ind w:left="123"/>
              <w:rPr>
                <w:sz w:val="8"/>
                <w:szCs w:val="8"/>
              </w:rPr>
            </w:pPr>
            <w:r>
              <w:rPr>
                <w:spacing w:val="4"/>
                <w:position w:val="-2"/>
                <w:sz w:val="8"/>
                <w:szCs w:val="8"/>
              </w:rPr>
              <w:t>一</w:t>
            </w:r>
          </w:p>
        </w:tc>
        <w:tc>
          <w:tcPr>
            <w:tcW w:w="3920" w:type="dxa"/>
            <w:vAlign w:val="top"/>
          </w:tcPr>
          <w:p w14:paraId="234FF9AF">
            <w:pPr>
              <w:pStyle w:val="16"/>
              <w:keepNext w:val="0"/>
              <w:keepLines w:val="0"/>
              <w:pageBreakBefore w:val="0"/>
              <w:kinsoku/>
              <w:wordWrap/>
              <w:overflowPunct/>
              <w:topLinePunct w:val="0"/>
              <w:bidi w:val="0"/>
              <w:spacing w:before="92" w:line="351" w:lineRule="auto"/>
              <w:ind w:left="122" w:right="3071" w:firstLine="24"/>
              <w:jc w:val="both"/>
            </w:pPr>
            <w:r>
              <w:rPr>
                <w:spacing w:val="-8"/>
              </w:rPr>
              <w:t>1……</w:t>
            </w:r>
            <w:r>
              <w:rPr>
                <w:spacing w:val="-4"/>
              </w:rPr>
              <w:t>2……3……</w:t>
            </w:r>
          </w:p>
          <w:p w14:paraId="0AAEDA42">
            <w:pPr>
              <w:keepNext w:val="0"/>
              <w:keepLines w:val="0"/>
              <w:pageBreakBefore w:val="0"/>
              <w:kinsoku/>
              <w:wordWrap/>
              <w:overflowPunct/>
              <w:topLinePunct w:val="0"/>
              <w:bidi w:val="0"/>
              <w:spacing w:before="81" w:line="37" w:lineRule="exact"/>
              <w:ind w:firstLine="142"/>
            </w:pPr>
            <w:r>
              <w:drawing>
                <wp:inline distT="0" distB="0" distL="0" distR="0">
                  <wp:extent cx="248285" cy="2349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35"/>
                          <a:stretch>
                            <a:fillRect/>
                          </a:stretch>
                        </pic:blipFill>
                        <pic:spPr>
                          <a:xfrm>
                            <a:off x="0" y="0"/>
                            <a:ext cx="248717" cy="24106"/>
                          </a:xfrm>
                          <a:prstGeom prst="rect">
                            <a:avLst/>
                          </a:prstGeom>
                        </pic:spPr>
                      </pic:pic>
                    </a:graphicData>
                  </a:graphic>
                </wp:inline>
              </w:drawing>
            </w:r>
          </w:p>
        </w:tc>
        <w:tc>
          <w:tcPr>
            <w:tcW w:w="2726" w:type="dxa"/>
            <w:vAlign w:val="top"/>
          </w:tcPr>
          <w:p w14:paraId="73BB64EB">
            <w:pPr>
              <w:pStyle w:val="16"/>
              <w:keepNext w:val="0"/>
              <w:keepLines w:val="0"/>
              <w:pageBreakBefore w:val="0"/>
              <w:kinsoku/>
              <w:wordWrap/>
              <w:overflowPunct/>
              <w:topLinePunct w:val="0"/>
              <w:bidi w:val="0"/>
              <w:spacing w:before="92" w:line="351" w:lineRule="auto"/>
              <w:ind w:left="126" w:right="1870" w:firstLine="27"/>
              <w:jc w:val="both"/>
            </w:pPr>
            <w:r>
              <w:rPr>
                <w:spacing w:val="-8"/>
              </w:rPr>
              <w:t>1……</w:t>
            </w:r>
            <w:r>
              <w:rPr>
                <w:spacing w:val="-4"/>
              </w:rPr>
              <w:t>2……</w:t>
            </w:r>
            <w:r>
              <w:rPr>
                <w:spacing w:val="-3"/>
              </w:rPr>
              <w:t>3……</w:t>
            </w:r>
          </w:p>
          <w:p w14:paraId="4A0FB37D">
            <w:pPr>
              <w:keepNext w:val="0"/>
              <w:keepLines w:val="0"/>
              <w:pageBreakBefore w:val="0"/>
              <w:kinsoku/>
              <w:wordWrap/>
              <w:overflowPunct/>
              <w:topLinePunct w:val="0"/>
              <w:bidi w:val="0"/>
              <w:spacing w:before="81" w:line="37" w:lineRule="exact"/>
              <w:ind w:firstLine="149"/>
            </w:pPr>
            <w:r>
              <w:drawing>
                <wp:inline distT="0" distB="0" distL="0" distR="0">
                  <wp:extent cx="236855" cy="2349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36"/>
                          <a:stretch>
                            <a:fillRect/>
                          </a:stretch>
                        </pic:blipFill>
                        <pic:spPr>
                          <a:xfrm>
                            <a:off x="0" y="0"/>
                            <a:ext cx="236874" cy="24106"/>
                          </a:xfrm>
                          <a:prstGeom prst="rect">
                            <a:avLst/>
                          </a:prstGeom>
                        </pic:spPr>
                      </pic:pic>
                    </a:graphicData>
                  </a:graphic>
                </wp:inline>
              </w:drawing>
            </w:r>
          </w:p>
        </w:tc>
        <w:tc>
          <w:tcPr>
            <w:tcW w:w="1459" w:type="dxa"/>
            <w:vAlign w:val="top"/>
          </w:tcPr>
          <w:p w14:paraId="51ED65BB">
            <w:pPr>
              <w:keepNext w:val="0"/>
              <w:keepLines w:val="0"/>
              <w:pageBreakBefore w:val="0"/>
              <w:kinsoku/>
              <w:wordWrap/>
              <w:overflowPunct/>
              <w:topLinePunct w:val="0"/>
              <w:bidi w:val="0"/>
              <w:rPr>
                <w:rFonts w:ascii="Arial"/>
                <w:sz w:val="21"/>
              </w:rPr>
            </w:pPr>
          </w:p>
        </w:tc>
      </w:tr>
      <w:tr w14:paraId="6595A5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1" w:hRule="atLeast"/>
        </w:trPr>
        <w:tc>
          <w:tcPr>
            <w:tcW w:w="698" w:type="dxa"/>
            <w:vAlign w:val="top"/>
          </w:tcPr>
          <w:p w14:paraId="44C28945">
            <w:pPr>
              <w:pStyle w:val="16"/>
              <w:keepNext w:val="0"/>
              <w:keepLines w:val="0"/>
              <w:pageBreakBefore w:val="0"/>
              <w:kinsoku/>
              <w:wordWrap/>
              <w:overflowPunct/>
              <w:topLinePunct w:val="0"/>
              <w:bidi w:val="0"/>
              <w:spacing w:before="222" w:line="183" w:lineRule="auto"/>
              <w:ind w:left="130"/>
            </w:pPr>
            <w:r>
              <w:t>二</w:t>
            </w:r>
          </w:p>
        </w:tc>
        <w:tc>
          <w:tcPr>
            <w:tcW w:w="3920" w:type="dxa"/>
            <w:vAlign w:val="top"/>
          </w:tcPr>
          <w:p w14:paraId="5679AA6C">
            <w:pPr>
              <w:pStyle w:val="16"/>
              <w:keepNext w:val="0"/>
              <w:keepLines w:val="0"/>
              <w:pageBreakBefore w:val="0"/>
              <w:kinsoku/>
              <w:wordWrap/>
              <w:overflowPunct/>
              <w:topLinePunct w:val="0"/>
              <w:bidi w:val="0"/>
              <w:spacing w:before="97" w:line="350" w:lineRule="auto"/>
              <w:ind w:left="122" w:right="3071" w:firstLine="24"/>
              <w:jc w:val="both"/>
            </w:pPr>
            <w:r>
              <w:rPr>
                <w:spacing w:val="-8"/>
              </w:rPr>
              <w:t>1……</w:t>
            </w:r>
            <w:r>
              <w:rPr>
                <w:spacing w:val="-4"/>
              </w:rPr>
              <w:t>2……3……</w:t>
            </w:r>
          </w:p>
          <w:p w14:paraId="4EFA5D39">
            <w:pPr>
              <w:keepNext w:val="0"/>
              <w:keepLines w:val="0"/>
              <w:pageBreakBefore w:val="0"/>
              <w:kinsoku/>
              <w:wordWrap/>
              <w:overflowPunct/>
              <w:topLinePunct w:val="0"/>
              <w:bidi w:val="0"/>
              <w:spacing w:before="93" w:line="35" w:lineRule="exact"/>
              <w:ind w:firstLine="142"/>
            </w:pPr>
            <w:r>
              <w:drawing>
                <wp:inline distT="0" distB="0" distL="0" distR="0">
                  <wp:extent cx="248285" cy="2159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37"/>
                          <a:stretch>
                            <a:fillRect/>
                          </a:stretch>
                        </pic:blipFill>
                        <pic:spPr>
                          <a:xfrm>
                            <a:off x="0" y="0"/>
                            <a:ext cx="248717" cy="22097"/>
                          </a:xfrm>
                          <a:prstGeom prst="rect">
                            <a:avLst/>
                          </a:prstGeom>
                        </pic:spPr>
                      </pic:pic>
                    </a:graphicData>
                  </a:graphic>
                </wp:inline>
              </w:drawing>
            </w:r>
          </w:p>
        </w:tc>
        <w:tc>
          <w:tcPr>
            <w:tcW w:w="2726" w:type="dxa"/>
            <w:vAlign w:val="top"/>
          </w:tcPr>
          <w:p w14:paraId="59D8C98E">
            <w:pPr>
              <w:pStyle w:val="16"/>
              <w:keepNext w:val="0"/>
              <w:keepLines w:val="0"/>
              <w:pageBreakBefore w:val="0"/>
              <w:kinsoku/>
              <w:wordWrap/>
              <w:overflowPunct/>
              <w:topLinePunct w:val="0"/>
              <w:bidi w:val="0"/>
              <w:spacing w:before="97" w:line="350" w:lineRule="auto"/>
              <w:ind w:left="126" w:right="1870" w:firstLine="27"/>
              <w:jc w:val="both"/>
            </w:pPr>
            <w:r>
              <w:rPr>
                <w:spacing w:val="-8"/>
              </w:rPr>
              <w:t>1……</w:t>
            </w:r>
            <w:r>
              <w:rPr>
                <w:spacing w:val="-4"/>
              </w:rPr>
              <w:t>2……</w:t>
            </w:r>
            <w:r>
              <w:rPr>
                <w:spacing w:val="-3"/>
              </w:rPr>
              <w:t>3……</w:t>
            </w:r>
          </w:p>
          <w:p w14:paraId="33E0BF75">
            <w:pPr>
              <w:keepNext w:val="0"/>
              <w:keepLines w:val="0"/>
              <w:pageBreakBefore w:val="0"/>
              <w:kinsoku/>
              <w:wordWrap/>
              <w:overflowPunct/>
              <w:topLinePunct w:val="0"/>
              <w:bidi w:val="0"/>
              <w:spacing w:before="93" w:line="35" w:lineRule="exact"/>
              <w:ind w:firstLine="149"/>
            </w:pPr>
            <w:r>
              <w:drawing>
                <wp:inline distT="0" distB="0" distL="0" distR="0">
                  <wp:extent cx="236855" cy="2159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38"/>
                          <a:stretch>
                            <a:fillRect/>
                          </a:stretch>
                        </pic:blipFill>
                        <pic:spPr>
                          <a:xfrm>
                            <a:off x="0" y="0"/>
                            <a:ext cx="236874" cy="22097"/>
                          </a:xfrm>
                          <a:prstGeom prst="rect">
                            <a:avLst/>
                          </a:prstGeom>
                        </pic:spPr>
                      </pic:pic>
                    </a:graphicData>
                  </a:graphic>
                </wp:inline>
              </w:drawing>
            </w:r>
          </w:p>
        </w:tc>
        <w:tc>
          <w:tcPr>
            <w:tcW w:w="1459" w:type="dxa"/>
            <w:vAlign w:val="top"/>
          </w:tcPr>
          <w:p w14:paraId="7612735E">
            <w:pPr>
              <w:keepNext w:val="0"/>
              <w:keepLines w:val="0"/>
              <w:pageBreakBefore w:val="0"/>
              <w:kinsoku/>
              <w:wordWrap/>
              <w:overflowPunct/>
              <w:topLinePunct w:val="0"/>
              <w:bidi w:val="0"/>
              <w:rPr>
                <w:rFonts w:ascii="Arial"/>
                <w:sz w:val="21"/>
              </w:rPr>
            </w:pPr>
          </w:p>
        </w:tc>
      </w:tr>
      <w:tr w14:paraId="3CCB7E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0" w:hRule="atLeast"/>
        </w:trPr>
        <w:tc>
          <w:tcPr>
            <w:tcW w:w="698" w:type="dxa"/>
            <w:vAlign w:val="top"/>
          </w:tcPr>
          <w:p w14:paraId="601AB435">
            <w:pPr>
              <w:pStyle w:val="16"/>
              <w:keepNext w:val="0"/>
              <w:keepLines w:val="0"/>
              <w:pageBreakBefore w:val="0"/>
              <w:kinsoku/>
              <w:wordWrap/>
              <w:overflowPunct/>
              <w:topLinePunct w:val="0"/>
              <w:bidi w:val="0"/>
              <w:spacing w:before="285" w:line="83" w:lineRule="exact"/>
              <w:ind w:left="134"/>
            </w:pPr>
            <w:r>
              <w:rPr>
                <w:position w:val="1"/>
              </w:rPr>
              <w:t>...</w:t>
            </w:r>
          </w:p>
        </w:tc>
        <w:tc>
          <w:tcPr>
            <w:tcW w:w="3920" w:type="dxa"/>
            <w:vAlign w:val="top"/>
          </w:tcPr>
          <w:p w14:paraId="0BF48309">
            <w:pPr>
              <w:pStyle w:val="16"/>
              <w:keepNext w:val="0"/>
              <w:keepLines w:val="0"/>
              <w:pageBreakBefore w:val="0"/>
              <w:kinsoku/>
              <w:wordWrap/>
              <w:overflowPunct/>
              <w:topLinePunct w:val="0"/>
              <w:bidi w:val="0"/>
              <w:spacing w:before="101" w:line="350" w:lineRule="auto"/>
              <w:ind w:left="122" w:right="3071" w:firstLine="24"/>
              <w:jc w:val="both"/>
            </w:pPr>
            <w:r>
              <w:rPr>
                <w:spacing w:val="-8"/>
              </w:rPr>
              <w:t>1……</w:t>
            </w:r>
            <w:r>
              <w:rPr>
                <w:spacing w:val="-4"/>
              </w:rPr>
              <w:t>2……3……</w:t>
            </w:r>
          </w:p>
          <w:p w14:paraId="2F824C59">
            <w:pPr>
              <w:keepNext w:val="0"/>
              <w:keepLines w:val="0"/>
              <w:pageBreakBefore w:val="0"/>
              <w:kinsoku/>
              <w:wordWrap/>
              <w:overflowPunct/>
              <w:topLinePunct w:val="0"/>
              <w:bidi w:val="0"/>
              <w:spacing w:before="107" w:line="35" w:lineRule="exact"/>
              <w:ind w:firstLine="142"/>
            </w:pPr>
            <w:r>
              <w:drawing>
                <wp:inline distT="0" distB="0" distL="0" distR="0">
                  <wp:extent cx="248285" cy="2159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37"/>
                          <a:stretch>
                            <a:fillRect/>
                          </a:stretch>
                        </pic:blipFill>
                        <pic:spPr>
                          <a:xfrm>
                            <a:off x="0" y="0"/>
                            <a:ext cx="248717" cy="22097"/>
                          </a:xfrm>
                          <a:prstGeom prst="rect">
                            <a:avLst/>
                          </a:prstGeom>
                        </pic:spPr>
                      </pic:pic>
                    </a:graphicData>
                  </a:graphic>
                </wp:inline>
              </w:drawing>
            </w:r>
          </w:p>
        </w:tc>
        <w:tc>
          <w:tcPr>
            <w:tcW w:w="2726" w:type="dxa"/>
            <w:vAlign w:val="top"/>
          </w:tcPr>
          <w:p w14:paraId="2FC9D84F">
            <w:pPr>
              <w:pStyle w:val="16"/>
              <w:keepNext w:val="0"/>
              <w:keepLines w:val="0"/>
              <w:pageBreakBefore w:val="0"/>
              <w:kinsoku/>
              <w:wordWrap/>
              <w:overflowPunct/>
              <w:topLinePunct w:val="0"/>
              <w:bidi w:val="0"/>
              <w:spacing w:before="101" w:line="350" w:lineRule="auto"/>
              <w:ind w:left="126" w:right="1870" w:firstLine="27"/>
              <w:jc w:val="both"/>
            </w:pPr>
            <w:r>
              <w:rPr>
                <w:spacing w:val="-8"/>
              </w:rPr>
              <w:t>1……</w:t>
            </w:r>
            <w:r>
              <w:rPr>
                <w:spacing w:val="-4"/>
              </w:rPr>
              <w:t>2……</w:t>
            </w:r>
            <w:r>
              <w:rPr>
                <w:spacing w:val="-3"/>
              </w:rPr>
              <w:t>3……</w:t>
            </w:r>
          </w:p>
          <w:p w14:paraId="0B5E034B">
            <w:pPr>
              <w:keepNext w:val="0"/>
              <w:keepLines w:val="0"/>
              <w:pageBreakBefore w:val="0"/>
              <w:kinsoku/>
              <w:wordWrap/>
              <w:overflowPunct/>
              <w:topLinePunct w:val="0"/>
              <w:bidi w:val="0"/>
              <w:spacing w:before="107" w:line="35" w:lineRule="exact"/>
              <w:ind w:firstLine="149"/>
            </w:pPr>
            <w:r>
              <w:drawing>
                <wp:inline distT="0" distB="0" distL="0" distR="0">
                  <wp:extent cx="236855" cy="2159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38"/>
                          <a:stretch>
                            <a:fillRect/>
                          </a:stretch>
                        </pic:blipFill>
                        <pic:spPr>
                          <a:xfrm>
                            <a:off x="0" y="0"/>
                            <a:ext cx="236874" cy="22097"/>
                          </a:xfrm>
                          <a:prstGeom prst="rect">
                            <a:avLst/>
                          </a:prstGeom>
                        </pic:spPr>
                      </pic:pic>
                    </a:graphicData>
                  </a:graphic>
                </wp:inline>
              </w:drawing>
            </w:r>
          </w:p>
        </w:tc>
        <w:tc>
          <w:tcPr>
            <w:tcW w:w="1459" w:type="dxa"/>
            <w:vAlign w:val="top"/>
          </w:tcPr>
          <w:p w14:paraId="27F4BA5E">
            <w:pPr>
              <w:keepNext w:val="0"/>
              <w:keepLines w:val="0"/>
              <w:pageBreakBefore w:val="0"/>
              <w:kinsoku/>
              <w:wordWrap/>
              <w:overflowPunct/>
              <w:topLinePunct w:val="0"/>
              <w:bidi w:val="0"/>
              <w:rPr>
                <w:rFonts w:ascii="Arial"/>
                <w:sz w:val="21"/>
              </w:rPr>
            </w:pPr>
          </w:p>
        </w:tc>
      </w:tr>
    </w:tbl>
    <w:p w14:paraId="61F5763A">
      <w:pPr>
        <w:keepNext w:val="0"/>
        <w:keepLines w:val="0"/>
        <w:pageBreakBefore w:val="0"/>
        <w:kinsoku/>
        <w:wordWrap/>
        <w:overflowPunct/>
        <w:topLinePunct w:val="0"/>
        <w:bidi w:val="0"/>
        <w:spacing w:before="149" w:line="224" w:lineRule="auto"/>
        <w:ind w:left="135"/>
        <w:rPr>
          <w:rFonts w:ascii="宋体" w:hAnsi="宋体" w:eastAsia="宋体" w:cs="宋体"/>
          <w:sz w:val="24"/>
          <w:szCs w:val="24"/>
        </w:rPr>
      </w:pPr>
      <w:r>
        <w:rPr>
          <w:rFonts w:ascii="宋体" w:hAnsi="宋体" w:eastAsia="宋体" w:cs="宋体"/>
          <w:spacing w:val="-5"/>
          <w:sz w:val="24"/>
          <w:szCs w:val="24"/>
        </w:rPr>
        <w:t>注：</w:t>
      </w:r>
    </w:p>
    <w:p w14:paraId="1B4A8C46">
      <w:pPr>
        <w:keepNext w:val="0"/>
        <w:keepLines w:val="0"/>
        <w:pageBreakBefore w:val="0"/>
        <w:kinsoku/>
        <w:wordWrap/>
        <w:overflowPunct/>
        <w:topLinePunct w:val="0"/>
        <w:bidi w:val="0"/>
        <w:spacing w:before="173" w:line="219" w:lineRule="auto"/>
        <w:ind w:left="172"/>
        <w:rPr>
          <w:rFonts w:ascii="宋体" w:hAnsi="宋体" w:eastAsia="宋体" w:cs="宋体"/>
          <w:sz w:val="24"/>
          <w:szCs w:val="24"/>
        </w:rPr>
      </w:pPr>
      <w:r>
        <w:rPr>
          <w:rFonts w:ascii="宋体" w:hAnsi="宋体" w:eastAsia="宋体" w:cs="宋体"/>
          <w:spacing w:val="-3"/>
          <w:sz w:val="24"/>
          <w:szCs w:val="24"/>
        </w:rPr>
        <w:t>1.说明：</w:t>
      </w:r>
    </w:p>
    <w:p w14:paraId="26F1BE17">
      <w:pPr>
        <w:keepNext w:val="0"/>
        <w:keepLines w:val="0"/>
        <w:pageBreakBefore w:val="0"/>
        <w:kinsoku/>
        <w:wordWrap/>
        <w:overflowPunct/>
        <w:topLinePunct w:val="0"/>
        <w:bidi w:val="0"/>
        <w:spacing w:before="119" w:line="300" w:lineRule="auto"/>
        <w:ind w:left="104" w:right="385" w:firstLine="36"/>
        <w:rPr>
          <w:rFonts w:ascii="宋体" w:hAnsi="宋体" w:eastAsia="宋体" w:cs="宋体"/>
          <w:sz w:val="24"/>
          <w:szCs w:val="24"/>
        </w:rPr>
      </w:pPr>
      <w:r>
        <w:rPr>
          <w:rFonts w:ascii="宋体" w:hAnsi="宋体" w:eastAsia="宋体" w:cs="宋体"/>
          <w:spacing w:val="13"/>
          <w:sz w:val="24"/>
          <w:szCs w:val="24"/>
        </w:rPr>
        <w:t>2.供应商应根据自身的承诺，对照磋商文件要求，在“偏离说明”中注明</w:t>
      </w:r>
      <w:r>
        <w:rPr>
          <w:rFonts w:ascii="宋体" w:hAnsi="宋体" w:eastAsia="宋体" w:cs="宋体"/>
          <w:sz w:val="24"/>
          <w:szCs w:val="24"/>
        </w:rPr>
        <w:t>“正偏离”、“负偏离”或者“无偏离”。既不属于“正偏离”也不属于</w:t>
      </w:r>
      <w:r>
        <w:rPr>
          <w:rFonts w:ascii="宋体" w:hAnsi="宋体" w:eastAsia="宋体" w:cs="宋体"/>
          <w:spacing w:val="-1"/>
          <w:sz w:val="24"/>
          <w:szCs w:val="24"/>
        </w:rPr>
        <w:t>“负</w:t>
      </w:r>
      <w:r>
        <w:rPr>
          <w:rFonts w:ascii="宋体" w:hAnsi="宋体" w:eastAsia="宋体" w:cs="宋体"/>
          <w:spacing w:val="-7"/>
          <w:sz w:val="24"/>
          <w:szCs w:val="24"/>
        </w:rPr>
        <w:t>偏离”即为“无偏离”。当响应文件的商务内容低于竞争性磋商采购</w:t>
      </w:r>
      <w:r>
        <w:rPr>
          <w:rFonts w:ascii="宋体" w:hAnsi="宋体" w:eastAsia="宋体" w:cs="宋体"/>
          <w:spacing w:val="-8"/>
          <w:sz w:val="24"/>
          <w:szCs w:val="24"/>
        </w:rPr>
        <w:t>文件要求</w:t>
      </w:r>
      <w:r>
        <w:rPr>
          <w:rFonts w:ascii="宋体" w:hAnsi="宋体" w:eastAsia="宋体" w:cs="宋体"/>
          <w:spacing w:val="-9"/>
          <w:sz w:val="24"/>
          <w:szCs w:val="24"/>
        </w:rPr>
        <w:t>时，竞标人应当如实写明“负偏离”，否则视为虚假应标。</w:t>
      </w:r>
    </w:p>
    <w:p w14:paraId="1F49099C">
      <w:pPr>
        <w:pStyle w:val="7"/>
        <w:keepNext w:val="0"/>
        <w:keepLines w:val="0"/>
        <w:pageBreakBefore w:val="0"/>
        <w:kinsoku/>
        <w:wordWrap/>
        <w:overflowPunct/>
        <w:topLinePunct w:val="0"/>
        <w:bidi w:val="0"/>
        <w:spacing w:line="306" w:lineRule="auto"/>
      </w:pPr>
    </w:p>
    <w:p w14:paraId="69E11DFB">
      <w:pPr>
        <w:pStyle w:val="7"/>
        <w:keepNext w:val="0"/>
        <w:keepLines w:val="0"/>
        <w:pageBreakBefore w:val="0"/>
        <w:kinsoku/>
        <w:wordWrap/>
        <w:overflowPunct/>
        <w:topLinePunct w:val="0"/>
        <w:bidi w:val="0"/>
        <w:spacing w:line="307" w:lineRule="auto"/>
      </w:pPr>
    </w:p>
    <w:p w14:paraId="0E3DA5A9">
      <w:pPr>
        <w:pStyle w:val="7"/>
        <w:keepNext w:val="0"/>
        <w:keepLines w:val="0"/>
        <w:pageBreakBefore w:val="0"/>
        <w:kinsoku/>
        <w:wordWrap/>
        <w:overflowPunct/>
        <w:topLinePunct w:val="0"/>
        <w:bidi w:val="0"/>
        <w:spacing w:line="307" w:lineRule="auto"/>
      </w:pPr>
    </w:p>
    <w:p w14:paraId="78E499D9">
      <w:pPr>
        <w:keepNext w:val="0"/>
        <w:keepLines w:val="0"/>
        <w:pageBreakBefore w:val="0"/>
        <w:kinsoku/>
        <w:wordWrap/>
        <w:overflowPunct/>
        <w:topLinePunct w:val="0"/>
        <w:bidi w:val="0"/>
        <w:spacing w:before="78" w:line="219" w:lineRule="auto"/>
        <w:ind w:left="8"/>
        <w:rPr>
          <w:rFonts w:ascii="宋体" w:hAnsi="宋体" w:eastAsia="宋体" w:cs="宋体"/>
          <w:sz w:val="24"/>
          <w:szCs w:val="24"/>
        </w:rPr>
      </w:pPr>
      <w:r>
        <w:rPr>
          <w:rFonts w:ascii="宋体" w:hAnsi="宋体" w:eastAsia="宋体" w:cs="宋体"/>
          <w:spacing w:val="-1"/>
          <w:sz w:val="24"/>
          <w:szCs w:val="24"/>
        </w:rPr>
        <w:t>供应商名称（加盖公章</w:t>
      </w:r>
      <w:r>
        <w:rPr>
          <w:rFonts w:ascii="宋体" w:hAnsi="宋体" w:eastAsia="宋体" w:cs="宋体"/>
          <w:sz w:val="24"/>
          <w:szCs w:val="24"/>
        </w:rPr>
        <w:t>）：</w:t>
      </w:r>
    </w:p>
    <w:p w14:paraId="2CF3356C">
      <w:pPr>
        <w:keepNext w:val="0"/>
        <w:keepLines w:val="0"/>
        <w:pageBreakBefore w:val="0"/>
        <w:kinsoku/>
        <w:wordWrap/>
        <w:overflowPunct/>
        <w:topLinePunct w:val="0"/>
        <w:bidi w:val="0"/>
        <w:spacing w:before="183" w:line="347" w:lineRule="auto"/>
        <w:ind w:left="49" w:right="5270" w:hanging="40"/>
        <w:rPr>
          <w:rFonts w:ascii="宋体" w:hAnsi="宋体" w:eastAsia="宋体" w:cs="宋体"/>
          <w:spacing w:val="-30"/>
          <w:sz w:val="24"/>
          <w:szCs w:val="24"/>
        </w:rPr>
      </w:pPr>
      <w:r>
        <w:rPr>
          <w:rFonts w:ascii="宋体" w:hAnsi="宋体" w:eastAsia="宋体" w:cs="宋体"/>
          <w:spacing w:val="-1"/>
          <w:sz w:val="24"/>
          <w:szCs w:val="24"/>
        </w:rPr>
        <w:t>法定代表人或授权代表（签字</w:t>
      </w:r>
      <w:r>
        <w:rPr>
          <w:rFonts w:ascii="宋体" w:hAnsi="宋体" w:eastAsia="宋体" w:cs="宋体"/>
          <w:spacing w:val="-30"/>
          <w:sz w:val="24"/>
          <w:szCs w:val="24"/>
        </w:rPr>
        <w:t>）：</w:t>
      </w:r>
    </w:p>
    <w:p w14:paraId="1D6DF0C1">
      <w:pPr>
        <w:keepNext w:val="0"/>
        <w:keepLines w:val="0"/>
        <w:pageBreakBefore w:val="0"/>
        <w:kinsoku/>
        <w:wordWrap/>
        <w:overflowPunct/>
        <w:topLinePunct w:val="0"/>
        <w:bidi w:val="0"/>
        <w:spacing w:before="183" w:line="347" w:lineRule="auto"/>
        <w:ind w:left="49" w:right="5270" w:hanging="40"/>
        <w:rPr>
          <w:rFonts w:ascii="宋体" w:hAnsi="宋体" w:eastAsia="宋体" w:cs="宋体"/>
          <w:sz w:val="24"/>
          <w:szCs w:val="24"/>
        </w:rPr>
      </w:pPr>
      <w:r>
        <w:rPr>
          <w:rFonts w:ascii="宋体" w:hAnsi="宋体" w:eastAsia="宋体" w:cs="宋体"/>
          <w:spacing w:val="-20"/>
          <w:sz w:val="24"/>
          <w:szCs w:val="24"/>
        </w:rPr>
        <w:t>日期：年月日</w:t>
      </w:r>
    </w:p>
    <w:p w14:paraId="5E896398">
      <w:pPr>
        <w:keepNext w:val="0"/>
        <w:keepLines w:val="0"/>
        <w:pageBreakBefore w:val="0"/>
        <w:kinsoku/>
        <w:wordWrap/>
        <w:overflowPunct/>
        <w:topLinePunct w:val="0"/>
        <w:bidi w:val="0"/>
        <w:spacing w:line="347" w:lineRule="auto"/>
        <w:rPr>
          <w:rFonts w:ascii="宋体" w:hAnsi="宋体" w:eastAsia="宋体" w:cs="宋体"/>
          <w:sz w:val="24"/>
          <w:szCs w:val="24"/>
        </w:rPr>
        <w:sectPr>
          <w:footerReference r:id="rId22" w:type="default"/>
          <w:pgSz w:w="11906" w:h="16839"/>
          <w:pgMar w:top="1440" w:right="1080" w:bottom="1440" w:left="1080" w:header="0" w:footer="994" w:gutter="0"/>
          <w:pgNumType w:fmt="decimal"/>
          <w:cols w:space="720" w:num="1"/>
        </w:sectPr>
      </w:pPr>
    </w:p>
    <w:p w14:paraId="2A7C6185">
      <w:pPr>
        <w:keepNext w:val="0"/>
        <w:keepLines w:val="0"/>
        <w:pageBreakBefore w:val="0"/>
        <w:kinsoku/>
        <w:wordWrap/>
        <w:overflowPunct/>
        <w:topLinePunct w:val="0"/>
        <w:bidi w:val="0"/>
        <w:spacing w:before="78" w:line="219" w:lineRule="auto"/>
        <w:ind w:left="4112"/>
        <w:rPr>
          <w:rFonts w:ascii="宋体" w:hAnsi="宋体" w:eastAsia="宋体" w:cs="宋体"/>
          <w:sz w:val="24"/>
          <w:szCs w:val="24"/>
        </w:rPr>
      </w:pPr>
      <w:r>
        <w:rPr>
          <w:rFonts w:ascii="宋体" w:hAnsi="宋体" w:eastAsia="宋体" w:cs="宋体"/>
          <w:b/>
          <w:bCs/>
          <w:spacing w:val="-4"/>
          <w:sz w:val="24"/>
          <w:szCs w:val="24"/>
        </w:rPr>
        <w:t>供应商情况介绍</w:t>
      </w:r>
    </w:p>
    <w:p w14:paraId="6A1833F1">
      <w:pPr>
        <w:keepNext w:val="0"/>
        <w:keepLines w:val="0"/>
        <w:pageBreakBefore w:val="0"/>
        <w:kinsoku/>
        <w:wordWrap/>
        <w:overflowPunct/>
        <w:topLinePunct w:val="0"/>
        <w:bidi w:val="0"/>
        <w:spacing w:before="183" w:line="219" w:lineRule="auto"/>
        <w:ind w:left="430"/>
        <w:rPr>
          <w:rFonts w:ascii="宋体" w:hAnsi="宋体" w:eastAsia="宋体" w:cs="宋体"/>
          <w:sz w:val="24"/>
          <w:szCs w:val="24"/>
        </w:rPr>
      </w:pPr>
      <w:r>
        <w:rPr>
          <w:rFonts w:ascii="宋体" w:hAnsi="宋体" w:eastAsia="宋体" w:cs="宋体"/>
          <w:spacing w:val="-2"/>
          <w:sz w:val="24"/>
          <w:szCs w:val="24"/>
        </w:rPr>
        <w:t>（1）供应商单位基本情况表</w:t>
      </w:r>
    </w:p>
    <w:p w14:paraId="68CC1357">
      <w:pPr>
        <w:keepNext w:val="0"/>
        <w:keepLines w:val="0"/>
        <w:pageBreakBefore w:val="0"/>
        <w:kinsoku/>
        <w:wordWrap/>
        <w:overflowPunct/>
        <w:topLinePunct w:val="0"/>
        <w:bidi w:val="0"/>
        <w:spacing w:before="184" w:line="346" w:lineRule="auto"/>
        <w:ind w:left="422" w:right="923"/>
        <w:rPr>
          <w:rFonts w:ascii="宋体" w:hAnsi="宋体" w:eastAsia="宋体" w:cs="宋体"/>
          <w:sz w:val="24"/>
          <w:szCs w:val="24"/>
        </w:rPr>
      </w:pPr>
      <w:r>
        <w:rPr>
          <w:rFonts w:ascii="宋体" w:hAnsi="宋体" w:eastAsia="宋体" w:cs="宋体"/>
          <w:spacing w:val="2"/>
          <w:sz w:val="24"/>
          <w:szCs w:val="24"/>
        </w:rPr>
        <w:t>说明：1、在按要求填写此表格后，各供应商</w:t>
      </w:r>
      <w:r>
        <w:rPr>
          <w:rFonts w:ascii="宋体" w:hAnsi="宋体" w:eastAsia="宋体" w:cs="宋体"/>
          <w:spacing w:val="1"/>
          <w:sz w:val="24"/>
          <w:szCs w:val="24"/>
        </w:rPr>
        <w:t>可以用其它的方式，就公司整体情况作出</w:t>
      </w:r>
      <w:r>
        <w:rPr>
          <w:rFonts w:ascii="宋体" w:hAnsi="宋体" w:eastAsia="宋体" w:cs="宋体"/>
          <w:spacing w:val="-3"/>
          <w:sz w:val="24"/>
          <w:szCs w:val="24"/>
        </w:rPr>
        <w:t>详细的介绍。</w:t>
      </w:r>
    </w:p>
    <w:p w14:paraId="05068085">
      <w:pPr>
        <w:keepNext w:val="0"/>
        <w:keepLines w:val="0"/>
        <w:pageBreakBefore w:val="0"/>
        <w:kinsoku/>
        <w:wordWrap/>
        <w:overflowPunct/>
        <w:topLinePunct w:val="0"/>
        <w:bidi w:val="0"/>
        <w:spacing w:before="34" w:line="219" w:lineRule="auto"/>
        <w:ind w:left="419"/>
        <w:rPr>
          <w:rFonts w:ascii="宋体" w:hAnsi="宋体" w:eastAsia="宋体" w:cs="宋体"/>
          <w:sz w:val="24"/>
          <w:szCs w:val="24"/>
        </w:rPr>
      </w:pPr>
      <w:r>
        <w:rPr>
          <w:rFonts w:ascii="宋体" w:hAnsi="宋体" w:eastAsia="宋体" w:cs="宋体"/>
          <w:spacing w:val="-1"/>
          <w:sz w:val="24"/>
          <w:szCs w:val="24"/>
        </w:rPr>
        <w:t>供应商名称（加盖公章</w:t>
      </w:r>
      <w:r>
        <w:rPr>
          <w:rFonts w:ascii="宋体" w:hAnsi="宋体" w:eastAsia="宋体" w:cs="宋体"/>
          <w:sz w:val="24"/>
          <w:szCs w:val="24"/>
        </w:rPr>
        <w:t>）：</w:t>
      </w:r>
    </w:p>
    <w:p w14:paraId="1355BF40">
      <w:pPr>
        <w:keepNext w:val="0"/>
        <w:keepLines w:val="0"/>
        <w:pageBreakBefore w:val="0"/>
        <w:kinsoku/>
        <w:wordWrap/>
        <w:overflowPunct/>
        <w:topLinePunct w:val="0"/>
        <w:bidi w:val="0"/>
        <w:spacing w:before="183" w:line="347" w:lineRule="auto"/>
        <w:ind w:left="460" w:right="6455" w:hanging="40"/>
        <w:rPr>
          <w:rFonts w:ascii="宋体" w:hAnsi="宋体" w:eastAsia="宋体" w:cs="宋体"/>
          <w:sz w:val="24"/>
          <w:szCs w:val="24"/>
        </w:rPr>
      </w:pPr>
      <w:r>
        <w:rPr>
          <w:rFonts w:ascii="宋体" w:hAnsi="宋体" w:eastAsia="宋体" w:cs="宋体"/>
          <w:spacing w:val="-1"/>
          <w:sz w:val="24"/>
          <w:szCs w:val="24"/>
        </w:rPr>
        <w:t>法定代表人或授权代表（签字</w:t>
      </w:r>
      <w:r>
        <w:rPr>
          <w:rFonts w:ascii="宋体" w:hAnsi="宋体" w:eastAsia="宋体" w:cs="宋体"/>
          <w:spacing w:val="-30"/>
          <w:sz w:val="24"/>
          <w:szCs w:val="24"/>
        </w:rPr>
        <w:t>）：</w:t>
      </w:r>
      <w:r>
        <w:rPr>
          <w:rFonts w:ascii="宋体" w:hAnsi="宋体" w:eastAsia="宋体" w:cs="宋体"/>
          <w:spacing w:val="-20"/>
          <w:sz w:val="24"/>
          <w:szCs w:val="24"/>
        </w:rPr>
        <w:t>日期：年月日</w:t>
      </w:r>
    </w:p>
    <w:p w14:paraId="6BF62E0B">
      <w:pPr>
        <w:keepNext w:val="0"/>
        <w:keepLines w:val="0"/>
        <w:pageBreakBefore w:val="0"/>
        <w:widowControl/>
        <w:kinsoku/>
        <w:wordWrap/>
        <w:overflowPunct/>
        <w:topLinePunct w:val="0"/>
        <w:autoSpaceDE w:val="0"/>
        <w:autoSpaceDN w:val="0"/>
        <w:bidi w:val="0"/>
        <w:adjustRightInd w:val="0"/>
        <w:snapToGrid w:val="0"/>
        <w:spacing w:before="35" w:line="346" w:lineRule="auto"/>
        <w:ind w:left="431" w:right="0"/>
        <w:textAlignment w:val="baseline"/>
        <w:rPr>
          <w:rFonts w:ascii="宋体" w:hAnsi="宋体" w:eastAsia="宋体" w:cs="宋体"/>
          <w:sz w:val="24"/>
          <w:szCs w:val="24"/>
        </w:rPr>
      </w:pPr>
      <w:r>
        <w:rPr>
          <w:rFonts w:ascii="宋体" w:hAnsi="宋体" w:eastAsia="宋体" w:cs="宋体"/>
          <w:spacing w:val="-3"/>
          <w:sz w:val="24"/>
          <w:szCs w:val="24"/>
        </w:rPr>
        <w:t>（2）企业情况简介</w:t>
      </w:r>
      <w:r>
        <w:rPr>
          <w:rFonts w:ascii="宋体" w:hAnsi="宋体" w:eastAsia="宋体" w:cs="宋体"/>
          <w:spacing w:val="-4"/>
          <w:sz w:val="24"/>
          <w:szCs w:val="24"/>
        </w:rPr>
        <w:t>（格式自拟）</w:t>
      </w:r>
    </w:p>
    <w:p w14:paraId="752BAC74">
      <w:pPr>
        <w:keepNext w:val="0"/>
        <w:keepLines w:val="0"/>
        <w:pageBreakBefore w:val="0"/>
        <w:kinsoku/>
        <w:wordWrap/>
        <w:overflowPunct/>
        <w:topLinePunct w:val="0"/>
        <w:bidi w:val="0"/>
        <w:spacing w:before="79" w:line="219" w:lineRule="auto"/>
        <w:ind w:left="3556" w:leftChars="0"/>
        <w:outlineLvl w:val="0"/>
        <w:rPr>
          <w:rFonts w:ascii="宋体" w:hAnsi="宋体" w:eastAsia="宋体" w:cs="宋体"/>
          <w:sz w:val="24"/>
          <w:szCs w:val="24"/>
        </w:rPr>
      </w:pPr>
      <w:bookmarkStart w:id="44" w:name="_Toc17835"/>
      <w:r>
        <w:rPr>
          <w:rFonts w:ascii="宋体" w:hAnsi="宋体" w:eastAsia="宋体" w:cs="宋体"/>
          <w:b/>
          <w:bCs/>
          <w:spacing w:val="-5"/>
          <w:sz w:val="24"/>
          <w:szCs w:val="24"/>
        </w:rPr>
        <w:t>1.6供应商业绩情况一览表</w:t>
      </w:r>
      <w:bookmarkEnd w:id="44"/>
    </w:p>
    <w:p w14:paraId="50693878">
      <w:pPr>
        <w:keepNext w:val="0"/>
        <w:keepLines w:val="0"/>
        <w:pageBreakBefore w:val="0"/>
        <w:kinsoku/>
        <w:wordWrap/>
        <w:overflowPunct/>
        <w:topLinePunct w:val="0"/>
        <w:bidi w:val="0"/>
        <w:spacing w:before="27"/>
      </w:pPr>
    </w:p>
    <w:p w14:paraId="008ADA93">
      <w:pPr>
        <w:keepNext w:val="0"/>
        <w:keepLines w:val="0"/>
        <w:pageBreakBefore w:val="0"/>
        <w:kinsoku/>
        <w:wordWrap/>
        <w:overflowPunct/>
        <w:topLinePunct w:val="0"/>
        <w:bidi w:val="0"/>
        <w:spacing w:before="26"/>
      </w:pPr>
    </w:p>
    <w:tbl>
      <w:tblPr>
        <w:tblStyle w:val="15"/>
        <w:tblW w:w="103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94"/>
        <w:gridCol w:w="1634"/>
        <w:gridCol w:w="1543"/>
        <w:gridCol w:w="1133"/>
        <w:gridCol w:w="1387"/>
        <w:gridCol w:w="1469"/>
        <w:gridCol w:w="1639"/>
      </w:tblGrid>
      <w:tr w14:paraId="40FCF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1594" w:type="dxa"/>
            <w:vMerge w:val="restart"/>
            <w:tcBorders>
              <w:bottom w:val="nil"/>
            </w:tcBorders>
            <w:vAlign w:val="top"/>
          </w:tcPr>
          <w:p w14:paraId="64D82098">
            <w:pPr>
              <w:keepNext w:val="0"/>
              <w:keepLines w:val="0"/>
              <w:pageBreakBefore w:val="0"/>
              <w:kinsoku/>
              <w:wordWrap/>
              <w:overflowPunct/>
              <w:topLinePunct w:val="0"/>
              <w:bidi w:val="0"/>
              <w:spacing w:line="458" w:lineRule="auto"/>
              <w:rPr>
                <w:rFonts w:ascii="Arial"/>
                <w:sz w:val="21"/>
              </w:rPr>
            </w:pPr>
          </w:p>
          <w:p w14:paraId="50C36EB6">
            <w:pPr>
              <w:pStyle w:val="16"/>
              <w:keepNext w:val="0"/>
              <w:keepLines w:val="0"/>
              <w:pageBreakBefore w:val="0"/>
              <w:kinsoku/>
              <w:wordWrap/>
              <w:overflowPunct/>
              <w:topLinePunct w:val="0"/>
              <w:bidi w:val="0"/>
              <w:spacing w:before="78" w:line="219" w:lineRule="auto"/>
              <w:ind w:left="12"/>
              <w:rPr>
                <w:sz w:val="24"/>
                <w:szCs w:val="24"/>
              </w:rPr>
            </w:pPr>
            <w:r>
              <w:rPr>
                <w:spacing w:val="-5"/>
                <w:sz w:val="24"/>
                <w:szCs w:val="24"/>
              </w:rPr>
              <w:t>采购人名称</w:t>
            </w:r>
          </w:p>
        </w:tc>
        <w:tc>
          <w:tcPr>
            <w:tcW w:w="1634" w:type="dxa"/>
            <w:vMerge w:val="restart"/>
            <w:tcBorders>
              <w:bottom w:val="nil"/>
            </w:tcBorders>
            <w:vAlign w:val="top"/>
          </w:tcPr>
          <w:p w14:paraId="3D443F7C">
            <w:pPr>
              <w:keepNext w:val="0"/>
              <w:keepLines w:val="0"/>
              <w:pageBreakBefore w:val="0"/>
              <w:kinsoku/>
              <w:wordWrap/>
              <w:overflowPunct/>
              <w:topLinePunct w:val="0"/>
              <w:bidi w:val="0"/>
              <w:spacing w:line="307" w:lineRule="auto"/>
              <w:rPr>
                <w:rFonts w:ascii="Arial"/>
                <w:sz w:val="21"/>
              </w:rPr>
            </w:pPr>
          </w:p>
          <w:p w14:paraId="19614EFA">
            <w:pPr>
              <w:keepNext w:val="0"/>
              <w:keepLines w:val="0"/>
              <w:pageBreakBefore w:val="0"/>
              <w:kinsoku/>
              <w:wordWrap/>
              <w:overflowPunct/>
              <w:topLinePunct w:val="0"/>
              <w:bidi w:val="0"/>
              <w:spacing w:line="307" w:lineRule="auto"/>
              <w:rPr>
                <w:rFonts w:ascii="Arial"/>
                <w:sz w:val="21"/>
              </w:rPr>
            </w:pPr>
          </w:p>
          <w:p w14:paraId="459E231E">
            <w:pPr>
              <w:pStyle w:val="16"/>
              <w:keepNext w:val="0"/>
              <w:keepLines w:val="0"/>
              <w:pageBreakBefore w:val="0"/>
              <w:kinsoku/>
              <w:wordWrap/>
              <w:overflowPunct/>
              <w:topLinePunct w:val="0"/>
              <w:bidi w:val="0"/>
              <w:spacing w:before="78" w:line="220" w:lineRule="auto"/>
              <w:ind w:left="458"/>
              <w:rPr>
                <w:sz w:val="24"/>
                <w:szCs w:val="24"/>
              </w:rPr>
            </w:pPr>
            <w:r>
              <w:rPr>
                <w:spacing w:val="-6"/>
                <w:sz w:val="24"/>
                <w:szCs w:val="24"/>
              </w:rPr>
              <w:t>项目名称</w:t>
            </w:r>
          </w:p>
        </w:tc>
        <w:tc>
          <w:tcPr>
            <w:tcW w:w="1543" w:type="dxa"/>
            <w:vMerge w:val="restart"/>
            <w:tcBorders>
              <w:bottom w:val="nil"/>
            </w:tcBorders>
            <w:vAlign w:val="top"/>
          </w:tcPr>
          <w:p w14:paraId="7C360835">
            <w:pPr>
              <w:pStyle w:val="16"/>
              <w:keepNext w:val="0"/>
              <w:keepLines w:val="0"/>
              <w:pageBreakBefore w:val="0"/>
              <w:kinsoku/>
              <w:wordWrap/>
              <w:overflowPunct/>
              <w:topLinePunct w:val="0"/>
              <w:bidi w:val="0"/>
              <w:spacing w:before="203" w:line="235" w:lineRule="auto"/>
              <w:ind w:left="345" w:right="730"/>
              <w:jc w:val="both"/>
              <w:rPr>
                <w:sz w:val="24"/>
                <w:szCs w:val="24"/>
              </w:rPr>
            </w:pPr>
            <w:r>
              <w:rPr>
                <w:spacing w:val="-10"/>
                <w:sz w:val="24"/>
                <w:szCs w:val="24"/>
              </w:rPr>
              <w:t>合同金额</w:t>
            </w:r>
            <w:r>
              <w:rPr>
                <w:spacing w:val="-11"/>
                <w:sz w:val="24"/>
                <w:szCs w:val="24"/>
              </w:rPr>
              <w:t>(万</w:t>
            </w:r>
            <w:r>
              <w:rPr>
                <w:spacing w:val="-6"/>
                <w:sz w:val="24"/>
                <w:szCs w:val="24"/>
              </w:rPr>
              <w:t>元)</w:t>
            </w:r>
          </w:p>
        </w:tc>
        <w:tc>
          <w:tcPr>
            <w:tcW w:w="3989" w:type="dxa"/>
            <w:gridSpan w:val="3"/>
            <w:vAlign w:val="top"/>
          </w:tcPr>
          <w:p w14:paraId="61983B0B">
            <w:pPr>
              <w:pStyle w:val="16"/>
              <w:keepNext w:val="0"/>
              <w:keepLines w:val="0"/>
              <w:pageBreakBefore w:val="0"/>
              <w:kinsoku/>
              <w:wordWrap/>
              <w:overflowPunct/>
              <w:topLinePunct w:val="0"/>
              <w:bidi w:val="0"/>
              <w:spacing w:before="145" w:line="219" w:lineRule="auto"/>
              <w:ind w:left="910"/>
              <w:rPr>
                <w:sz w:val="24"/>
                <w:szCs w:val="24"/>
              </w:rPr>
            </w:pPr>
            <w:r>
              <w:rPr>
                <w:spacing w:val="-8"/>
                <w:sz w:val="24"/>
                <w:szCs w:val="24"/>
              </w:rPr>
              <w:t>附件在响应文件中页码</w:t>
            </w:r>
          </w:p>
        </w:tc>
        <w:tc>
          <w:tcPr>
            <w:tcW w:w="1639" w:type="dxa"/>
            <w:vMerge w:val="restart"/>
            <w:tcBorders>
              <w:bottom w:val="nil"/>
            </w:tcBorders>
            <w:vAlign w:val="top"/>
          </w:tcPr>
          <w:p w14:paraId="3277FC91">
            <w:pPr>
              <w:keepNext w:val="0"/>
              <w:keepLines w:val="0"/>
              <w:pageBreakBefore w:val="0"/>
              <w:kinsoku/>
              <w:wordWrap/>
              <w:overflowPunct/>
              <w:topLinePunct w:val="0"/>
              <w:bidi w:val="0"/>
              <w:spacing w:line="457" w:lineRule="auto"/>
              <w:rPr>
                <w:rFonts w:ascii="Arial"/>
                <w:sz w:val="21"/>
              </w:rPr>
            </w:pPr>
          </w:p>
          <w:p w14:paraId="331601C0">
            <w:pPr>
              <w:pStyle w:val="16"/>
              <w:keepNext w:val="0"/>
              <w:keepLines w:val="0"/>
              <w:pageBreakBefore w:val="0"/>
              <w:kinsoku/>
              <w:wordWrap/>
              <w:overflowPunct/>
              <w:topLinePunct w:val="0"/>
              <w:bidi w:val="0"/>
              <w:spacing w:before="78" w:line="229" w:lineRule="auto"/>
              <w:ind w:left="348" w:right="199" w:hanging="122"/>
              <w:rPr>
                <w:sz w:val="24"/>
                <w:szCs w:val="24"/>
              </w:rPr>
            </w:pPr>
            <w:r>
              <w:rPr>
                <w:spacing w:val="1"/>
                <w:sz w:val="24"/>
                <w:szCs w:val="24"/>
              </w:rPr>
              <w:t>采购人联系</w:t>
            </w:r>
            <w:r>
              <w:rPr>
                <w:spacing w:val="31"/>
                <w:sz w:val="24"/>
                <w:szCs w:val="24"/>
              </w:rPr>
              <w:t>人及联系</w:t>
            </w:r>
            <w:r>
              <w:rPr>
                <w:spacing w:val="-6"/>
                <w:sz w:val="24"/>
                <w:szCs w:val="24"/>
              </w:rPr>
              <w:t>电话</w:t>
            </w:r>
          </w:p>
        </w:tc>
      </w:tr>
      <w:tr w14:paraId="77AEC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594" w:type="dxa"/>
            <w:vMerge w:val="continue"/>
            <w:tcBorders>
              <w:top w:val="nil"/>
            </w:tcBorders>
            <w:vAlign w:val="top"/>
          </w:tcPr>
          <w:p w14:paraId="64CADD5F">
            <w:pPr>
              <w:keepNext w:val="0"/>
              <w:keepLines w:val="0"/>
              <w:pageBreakBefore w:val="0"/>
              <w:kinsoku/>
              <w:wordWrap/>
              <w:overflowPunct/>
              <w:topLinePunct w:val="0"/>
              <w:bidi w:val="0"/>
              <w:rPr>
                <w:rFonts w:ascii="Arial"/>
                <w:sz w:val="21"/>
              </w:rPr>
            </w:pPr>
          </w:p>
        </w:tc>
        <w:tc>
          <w:tcPr>
            <w:tcW w:w="1634" w:type="dxa"/>
            <w:vMerge w:val="continue"/>
            <w:tcBorders>
              <w:top w:val="nil"/>
            </w:tcBorders>
            <w:vAlign w:val="top"/>
          </w:tcPr>
          <w:p w14:paraId="53CF8DE4">
            <w:pPr>
              <w:keepNext w:val="0"/>
              <w:keepLines w:val="0"/>
              <w:pageBreakBefore w:val="0"/>
              <w:kinsoku/>
              <w:wordWrap/>
              <w:overflowPunct/>
              <w:topLinePunct w:val="0"/>
              <w:bidi w:val="0"/>
              <w:rPr>
                <w:rFonts w:ascii="Arial"/>
                <w:sz w:val="21"/>
              </w:rPr>
            </w:pPr>
          </w:p>
        </w:tc>
        <w:tc>
          <w:tcPr>
            <w:tcW w:w="1543" w:type="dxa"/>
            <w:vMerge w:val="continue"/>
            <w:tcBorders>
              <w:top w:val="nil"/>
            </w:tcBorders>
            <w:vAlign w:val="top"/>
          </w:tcPr>
          <w:p w14:paraId="1BB499AE">
            <w:pPr>
              <w:keepNext w:val="0"/>
              <w:keepLines w:val="0"/>
              <w:pageBreakBefore w:val="0"/>
              <w:kinsoku/>
              <w:wordWrap/>
              <w:overflowPunct/>
              <w:topLinePunct w:val="0"/>
              <w:bidi w:val="0"/>
              <w:rPr>
                <w:rFonts w:ascii="Arial"/>
                <w:sz w:val="21"/>
              </w:rPr>
            </w:pPr>
          </w:p>
        </w:tc>
        <w:tc>
          <w:tcPr>
            <w:tcW w:w="1133" w:type="dxa"/>
            <w:vAlign w:val="top"/>
          </w:tcPr>
          <w:p w14:paraId="5DE24E9A">
            <w:pPr>
              <w:pStyle w:val="16"/>
              <w:keepNext w:val="0"/>
              <w:keepLines w:val="0"/>
              <w:pageBreakBefore w:val="0"/>
              <w:kinsoku/>
              <w:wordWrap/>
              <w:overflowPunct/>
              <w:topLinePunct w:val="0"/>
              <w:bidi w:val="0"/>
              <w:spacing w:before="313" w:line="221" w:lineRule="auto"/>
              <w:ind w:left="348"/>
              <w:rPr>
                <w:sz w:val="24"/>
                <w:szCs w:val="24"/>
              </w:rPr>
            </w:pPr>
            <w:r>
              <w:rPr>
                <w:spacing w:val="-6"/>
                <w:sz w:val="24"/>
                <w:szCs w:val="24"/>
              </w:rPr>
              <w:t>合同</w:t>
            </w:r>
          </w:p>
        </w:tc>
        <w:tc>
          <w:tcPr>
            <w:tcW w:w="1387" w:type="dxa"/>
            <w:vAlign w:val="top"/>
          </w:tcPr>
          <w:p w14:paraId="3454BF68">
            <w:pPr>
              <w:pStyle w:val="16"/>
              <w:keepNext w:val="0"/>
              <w:keepLines w:val="0"/>
              <w:pageBreakBefore w:val="0"/>
              <w:kinsoku/>
              <w:wordWrap/>
              <w:overflowPunct/>
              <w:topLinePunct w:val="0"/>
              <w:bidi w:val="0"/>
              <w:spacing w:before="312" w:line="218" w:lineRule="auto"/>
              <w:ind w:left="386"/>
              <w:rPr>
                <w:sz w:val="24"/>
                <w:szCs w:val="24"/>
              </w:rPr>
            </w:pPr>
            <w:r>
              <w:rPr>
                <w:spacing w:val="-6"/>
                <w:sz w:val="24"/>
                <w:szCs w:val="24"/>
              </w:rPr>
              <w:t>验收报告</w:t>
            </w:r>
          </w:p>
        </w:tc>
        <w:tc>
          <w:tcPr>
            <w:tcW w:w="1469" w:type="dxa"/>
            <w:vAlign w:val="top"/>
          </w:tcPr>
          <w:p w14:paraId="1381402B">
            <w:pPr>
              <w:pStyle w:val="16"/>
              <w:keepNext w:val="0"/>
              <w:keepLines w:val="0"/>
              <w:pageBreakBefore w:val="0"/>
              <w:kinsoku/>
              <w:wordWrap/>
              <w:overflowPunct/>
              <w:topLinePunct w:val="0"/>
              <w:bidi w:val="0"/>
              <w:spacing w:before="312" w:line="218" w:lineRule="auto"/>
              <w:ind w:left="181"/>
              <w:rPr>
                <w:sz w:val="24"/>
                <w:szCs w:val="24"/>
              </w:rPr>
            </w:pPr>
            <w:r>
              <w:rPr>
                <w:spacing w:val="-6"/>
                <w:sz w:val="24"/>
                <w:szCs w:val="24"/>
              </w:rPr>
              <w:t>用户评价</w:t>
            </w:r>
          </w:p>
        </w:tc>
        <w:tc>
          <w:tcPr>
            <w:tcW w:w="1639" w:type="dxa"/>
            <w:vMerge w:val="continue"/>
            <w:tcBorders>
              <w:top w:val="nil"/>
            </w:tcBorders>
            <w:vAlign w:val="top"/>
          </w:tcPr>
          <w:p w14:paraId="07F6B1A0">
            <w:pPr>
              <w:keepNext w:val="0"/>
              <w:keepLines w:val="0"/>
              <w:pageBreakBefore w:val="0"/>
              <w:kinsoku/>
              <w:wordWrap/>
              <w:overflowPunct/>
              <w:topLinePunct w:val="0"/>
              <w:bidi w:val="0"/>
              <w:rPr>
                <w:rFonts w:ascii="Arial"/>
                <w:sz w:val="21"/>
              </w:rPr>
            </w:pPr>
          </w:p>
        </w:tc>
      </w:tr>
      <w:tr w14:paraId="21AC2B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1594" w:type="dxa"/>
            <w:vAlign w:val="top"/>
          </w:tcPr>
          <w:p w14:paraId="29DA2048">
            <w:pPr>
              <w:keepNext w:val="0"/>
              <w:keepLines w:val="0"/>
              <w:pageBreakBefore w:val="0"/>
              <w:kinsoku/>
              <w:wordWrap/>
              <w:overflowPunct/>
              <w:topLinePunct w:val="0"/>
              <w:bidi w:val="0"/>
              <w:rPr>
                <w:rFonts w:ascii="Arial"/>
                <w:sz w:val="21"/>
              </w:rPr>
            </w:pPr>
          </w:p>
        </w:tc>
        <w:tc>
          <w:tcPr>
            <w:tcW w:w="1634" w:type="dxa"/>
            <w:vAlign w:val="top"/>
          </w:tcPr>
          <w:p w14:paraId="18D60ADB">
            <w:pPr>
              <w:keepNext w:val="0"/>
              <w:keepLines w:val="0"/>
              <w:pageBreakBefore w:val="0"/>
              <w:kinsoku/>
              <w:wordWrap/>
              <w:overflowPunct/>
              <w:topLinePunct w:val="0"/>
              <w:bidi w:val="0"/>
              <w:rPr>
                <w:rFonts w:ascii="Arial"/>
                <w:sz w:val="21"/>
              </w:rPr>
            </w:pPr>
          </w:p>
        </w:tc>
        <w:tc>
          <w:tcPr>
            <w:tcW w:w="1543" w:type="dxa"/>
            <w:vAlign w:val="top"/>
          </w:tcPr>
          <w:p w14:paraId="32B2B429">
            <w:pPr>
              <w:keepNext w:val="0"/>
              <w:keepLines w:val="0"/>
              <w:pageBreakBefore w:val="0"/>
              <w:kinsoku/>
              <w:wordWrap/>
              <w:overflowPunct/>
              <w:topLinePunct w:val="0"/>
              <w:bidi w:val="0"/>
              <w:rPr>
                <w:rFonts w:ascii="Arial"/>
                <w:sz w:val="21"/>
              </w:rPr>
            </w:pPr>
          </w:p>
        </w:tc>
        <w:tc>
          <w:tcPr>
            <w:tcW w:w="1133" w:type="dxa"/>
            <w:vAlign w:val="top"/>
          </w:tcPr>
          <w:p w14:paraId="413E7803">
            <w:pPr>
              <w:keepNext w:val="0"/>
              <w:keepLines w:val="0"/>
              <w:pageBreakBefore w:val="0"/>
              <w:kinsoku/>
              <w:wordWrap/>
              <w:overflowPunct/>
              <w:topLinePunct w:val="0"/>
              <w:bidi w:val="0"/>
              <w:rPr>
                <w:rFonts w:ascii="Arial"/>
                <w:sz w:val="21"/>
              </w:rPr>
            </w:pPr>
          </w:p>
        </w:tc>
        <w:tc>
          <w:tcPr>
            <w:tcW w:w="1387" w:type="dxa"/>
            <w:vAlign w:val="top"/>
          </w:tcPr>
          <w:p w14:paraId="7CCE534D">
            <w:pPr>
              <w:keepNext w:val="0"/>
              <w:keepLines w:val="0"/>
              <w:pageBreakBefore w:val="0"/>
              <w:kinsoku/>
              <w:wordWrap/>
              <w:overflowPunct/>
              <w:topLinePunct w:val="0"/>
              <w:bidi w:val="0"/>
              <w:rPr>
                <w:rFonts w:ascii="Arial"/>
                <w:sz w:val="21"/>
              </w:rPr>
            </w:pPr>
          </w:p>
        </w:tc>
        <w:tc>
          <w:tcPr>
            <w:tcW w:w="1469" w:type="dxa"/>
            <w:vAlign w:val="top"/>
          </w:tcPr>
          <w:p w14:paraId="19337A89">
            <w:pPr>
              <w:keepNext w:val="0"/>
              <w:keepLines w:val="0"/>
              <w:pageBreakBefore w:val="0"/>
              <w:kinsoku/>
              <w:wordWrap/>
              <w:overflowPunct/>
              <w:topLinePunct w:val="0"/>
              <w:bidi w:val="0"/>
              <w:rPr>
                <w:rFonts w:ascii="Arial"/>
                <w:sz w:val="21"/>
              </w:rPr>
            </w:pPr>
          </w:p>
        </w:tc>
        <w:tc>
          <w:tcPr>
            <w:tcW w:w="1639" w:type="dxa"/>
            <w:vAlign w:val="top"/>
          </w:tcPr>
          <w:p w14:paraId="1A31D149">
            <w:pPr>
              <w:keepNext w:val="0"/>
              <w:keepLines w:val="0"/>
              <w:pageBreakBefore w:val="0"/>
              <w:kinsoku/>
              <w:wordWrap/>
              <w:overflowPunct/>
              <w:topLinePunct w:val="0"/>
              <w:bidi w:val="0"/>
              <w:rPr>
                <w:rFonts w:ascii="Arial"/>
                <w:sz w:val="21"/>
              </w:rPr>
            </w:pPr>
          </w:p>
        </w:tc>
      </w:tr>
      <w:tr w14:paraId="72CC9F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594" w:type="dxa"/>
            <w:vAlign w:val="top"/>
          </w:tcPr>
          <w:p w14:paraId="1A78EA5B">
            <w:pPr>
              <w:keepNext w:val="0"/>
              <w:keepLines w:val="0"/>
              <w:pageBreakBefore w:val="0"/>
              <w:kinsoku/>
              <w:wordWrap/>
              <w:overflowPunct/>
              <w:topLinePunct w:val="0"/>
              <w:bidi w:val="0"/>
              <w:rPr>
                <w:rFonts w:ascii="Arial"/>
                <w:sz w:val="21"/>
              </w:rPr>
            </w:pPr>
          </w:p>
        </w:tc>
        <w:tc>
          <w:tcPr>
            <w:tcW w:w="1634" w:type="dxa"/>
            <w:vAlign w:val="top"/>
          </w:tcPr>
          <w:p w14:paraId="5A583762">
            <w:pPr>
              <w:keepNext w:val="0"/>
              <w:keepLines w:val="0"/>
              <w:pageBreakBefore w:val="0"/>
              <w:kinsoku/>
              <w:wordWrap/>
              <w:overflowPunct/>
              <w:topLinePunct w:val="0"/>
              <w:bidi w:val="0"/>
              <w:rPr>
                <w:rFonts w:ascii="Arial"/>
                <w:sz w:val="21"/>
              </w:rPr>
            </w:pPr>
          </w:p>
        </w:tc>
        <w:tc>
          <w:tcPr>
            <w:tcW w:w="1543" w:type="dxa"/>
            <w:vAlign w:val="top"/>
          </w:tcPr>
          <w:p w14:paraId="1540AD50">
            <w:pPr>
              <w:keepNext w:val="0"/>
              <w:keepLines w:val="0"/>
              <w:pageBreakBefore w:val="0"/>
              <w:kinsoku/>
              <w:wordWrap/>
              <w:overflowPunct/>
              <w:topLinePunct w:val="0"/>
              <w:bidi w:val="0"/>
              <w:rPr>
                <w:rFonts w:ascii="Arial"/>
                <w:sz w:val="21"/>
              </w:rPr>
            </w:pPr>
          </w:p>
        </w:tc>
        <w:tc>
          <w:tcPr>
            <w:tcW w:w="1133" w:type="dxa"/>
            <w:vAlign w:val="top"/>
          </w:tcPr>
          <w:p w14:paraId="7FB90C60">
            <w:pPr>
              <w:keepNext w:val="0"/>
              <w:keepLines w:val="0"/>
              <w:pageBreakBefore w:val="0"/>
              <w:kinsoku/>
              <w:wordWrap/>
              <w:overflowPunct/>
              <w:topLinePunct w:val="0"/>
              <w:bidi w:val="0"/>
              <w:rPr>
                <w:rFonts w:ascii="Arial"/>
                <w:sz w:val="21"/>
              </w:rPr>
            </w:pPr>
          </w:p>
        </w:tc>
        <w:tc>
          <w:tcPr>
            <w:tcW w:w="1387" w:type="dxa"/>
            <w:vAlign w:val="top"/>
          </w:tcPr>
          <w:p w14:paraId="33577C3E">
            <w:pPr>
              <w:keepNext w:val="0"/>
              <w:keepLines w:val="0"/>
              <w:pageBreakBefore w:val="0"/>
              <w:kinsoku/>
              <w:wordWrap/>
              <w:overflowPunct/>
              <w:topLinePunct w:val="0"/>
              <w:bidi w:val="0"/>
              <w:rPr>
                <w:rFonts w:ascii="Arial"/>
                <w:sz w:val="21"/>
              </w:rPr>
            </w:pPr>
          </w:p>
        </w:tc>
        <w:tc>
          <w:tcPr>
            <w:tcW w:w="1469" w:type="dxa"/>
            <w:vAlign w:val="top"/>
          </w:tcPr>
          <w:p w14:paraId="78FA5D2E">
            <w:pPr>
              <w:keepNext w:val="0"/>
              <w:keepLines w:val="0"/>
              <w:pageBreakBefore w:val="0"/>
              <w:kinsoku/>
              <w:wordWrap/>
              <w:overflowPunct/>
              <w:topLinePunct w:val="0"/>
              <w:bidi w:val="0"/>
              <w:rPr>
                <w:rFonts w:ascii="Arial"/>
                <w:sz w:val="21"/>
              </w:rPr>
            </w:pPr>
          </w:p>
        </w:tc>
        <w:tc>
          <w:tcPr>
            <w:tcW w:w="1639" w:type="dxa"/>
            <w:vAlign w:val="top"/>
          </w:tcPr>
          <w:p w14:paraId="0A8FC070">
            <w:pPr>
              <w:keepNext w:val="0"/>
              <w:keepLines w:val="0"/>
              <w:pageBreakBefore w:val="0"/>
              <w:kinsoku/>
              <w:wordWrap/>
              <w:overflowPunct/>
              <w:topLinePunct w:val="0"/>
              <w:bidi w:val="0"/>
              <w:rPr>
                <w:rFonts w:ascii="Arial"/>
                <w:sz w:val="21"/>
              </w:rPr>
            </w:pPr>
          </w:p>
        </w:tc>
      </w:tr>
      <w:tr w14:paraId="21045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1594" w:type="dxa"/>
            <w:vAlign w:val="top"/>
          </w:tcPr>
          <w:p w14:paraId="331B1CBD">
            <w:pPr>
              <w:keepNext w:val="0"/>
              <w:keepLines w:val="0"/>
              <w:pageBreakBefore w:val="0"/>
              <w:kinsoku/>
              <w:wordWrap/>
              <w:overflowPunct/>
              <w:topLinePunct w:val="0"/>
              <w:bidi w:val="0"/>
              <w:rPr>
                <w:rFonts w:ascii="Arial"/>
                <w:sz w:val="21"/>
              </w:rPr>
            </w:pPr>
          </w:p>
        </w:tc>
        <w:tc>
          <w:tcPr>
            <w:tcW w:w="1634" w:type="dxa"/>
            <w:vAlign w:val="top"/>
          </w:tcPr>
          <w:p w14:paraId="5A000C80">
            <w:pPr>
              <w:keepNext w:val="0"/>
              <w:keepLines w:val="0"/>
              <w:pageBreakBefore w:val="0"/>
              <w:kinsoku/>
              <w:wordWrap/>
              <w:overflowPunct/>
              <w:topLinePunct w:val="0"/>
              <w:bidi w:val="0"/>
              <w:rPr>
                <w:rFonts w:ascii="Arial"/>
                <w:sz w:val="21"/>
              </w:rPr>
            </w:pPr>
          </w:p>
        </w:tc>
        <w:tc>
          <w:tcPr>
            <w:tcW w:w="1543" w:type="dxa"/>
            <w:vAlign w:val="top"/>
          </w:tcPr>
          <w:p w14:paraId="78DCA3ED">
            <w:pPr>
              <w:keepNext w:val="0"/>
              <w:keepLines w:val="0"/>
              <w:pageBreakBefore w:val="0"/>
              <w:kinsoku/>
              <w:wordWrap/>
              <w:overflowPunct/>
              <w:topLinePunct w:val="0"/>
              <w:bidi w:val="0"/>
              <w:rPr>
                <w:rFonts w:ascii="Arial"/>
                <w:sz w:val="21"/>
              </w:rPr>
            </w:pPr>
          </w:p>
        </w:tc>
        <w:tc>
          <w:tcPr>
            <w:tcW w:w="1133" w:type="dxa"/>
            <w:vAlign w:val="top"/>
          </w:tcPr>
          <w:p w14:paraId="376B7FAB">
            <w:pPr>
              <w:keepNext w:val="0"/>
              <w:keepLines w:val="0"/>
              <w:pageBreakBefore w:val="0"/>
              <w:kinsoku/>
              <w:wordWrap/>
              <w:overflowPunct/>
              <w:topLinePunct w:val="0"/>
              <w:bidi w:val="0"/>
              <w:rPr>
                <w:rFonts w:ascii="Arial"/>
                <w:sz w:val="21"/>
              </w:rPr>
            </w:pPr>
          </w:p>
        </w:tc>
        <w:tc>
          <w:tcPr>
            <w:tcW w:w="1387" w:type="dxa"/>
            <w:vAlign w:val="top"/>
          </w:tcPr>
          <w:p w14:paraId="4509325D">
            <w:pPr>
              <w:keepNext w:val="0"/>
              <w:keepLines w:val="0"/>
              <w:pageBreakBefore w:val="0"/>
              <w:kinsoku/>
              <w:wordWrap/>
              <w:overflowPunct/>
              <w:topLinePunct w:val="0"/>
              <w:bidi w:val="0"/>
              <w:rPr>
                <w:rFonts w:ascii="Arial"/>
                <w:sz w:val="21"/>
              </w:rPr>
            </w:pPr>
          </w:p>
        </w:tc>
        <w:tc>
          <w:tcPr>
            <w:tcW w:w="1469" w:type="dxa"/>
            <w:vAlign w:val="top"/>
          </w:tcPr>
          <w:p w14:paraId="37B1CAB9">
            <w:pPr>
              <w:keepNext w:val="0"/>
              <w:keepLines w:val="0"/>
              <w:pageBreakBefore w:val="0"/>
              <w:kinsoku/>
              <w:wordWrap/>
              <w:overflowPunct/>
              <w:topLinePunct w:val="0"/>
              <w:bidi w:val="0"/>
              <w:rPr>
                <w:rFonts w:ascii="Arial"/>
                <w:sz w:val="21"/>
              </w:rPr>
            </w:pPr>
          </w:p>
        </w:tc>
        <w:tc>
          <w:tcPr>
            <w:tcW w:w="1639" w:type="dxa"/>
            <w:vAlign w:val="top"/>
          </w:tcPr>
          <w:p w14:paraId="2ABBFDD3">
            <w:pPr>
              <w:keepNext w:val="0"/>
              <w:keepLines w:val="0"/>
              <w:pageBreakBefore w:val="0"/>
              <w:kinsoku/>
              <w:wordWrap/>
              <w:overflowPunct/>
              <w:topLinePunct w:val="0"/>
              <w:bidi w:val="0"/>
              <w:rPr>
                <w:rFonts w:ascii="Arial"/>
                <w:sz w:val="21"/>
              </w:rPr>
            </w:pPr>
          </w:p>
        </w:tc>
      </w:tr>
      <w:tr w14:paraId="3F613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594" w:type="dxa"/>
            <w:vAlign w:val="top"/>
          </w:tcPr>
          <w:p w14:paraId="734921C7">
            <w:pPr>
              <w:keepNext w:val="0"/>
              <w:keepLines w:val="0"/>
              <w:pageBreakBefore w:val="0"/>
              <w:kinsoku/>
              <w:wordWrap/>
              <w:overflowPunct/>
              <w:topLinePunct w:val="0"/>
              <w:bidi w:val="0"/>
              <w:rPr>
                <w:rFonts w:ascii="Arial"/>
                <w:sz w:val="21"/>
              </w:rPr>
            </w:pPr>
          </w:p>
        </w:tc>
        <w:tc>
          <w:tcPr>
            <w:tcW w:w="1634" w:type="dxa"/>
            <w:vAlign w:val="top"/>
          </w:tcPr>
          <w:p w14:paraId="1D1A5A5B">
            <w:pPr>
              <w:keepNext w:val="0"/>
              <w:keepLines w:val="0"/>
              <w:pageBreakBefore w:val="0"/>
              <w:kinsoku/>
              <w:wordWrap/>
              <w:overflowPunct/>
              <w:topLinePunct w:val="0"/>
              <w:bidi w:val="0"/>
              <w:rPr>
                <w:rFonts w:ascii="Arial"/>
                <w:sz w:val="21"/>
              </w:rPr>
            </w:pPr>
          </w:p>
        </w:tc>
        <w:tc>
          <w:tcPr>
            <w:tcW w:w="1543" w:type="dxa"/>
            <w:vAlign w:val="top"/>
          </w:tcPr>
          <w:p w14:paraId="412D16DA">
            <w:pPr>
              <w:keepNext w:val="0"/>
              <w:keepLines w:val="0"/>
              <w:pageBreakBefore w:val="0"/>
              <w:kinsoku/>
              <w:wordWrap/>
              <w:overflowPunct/>
              <w:topLinePunct w:val="0"/>
              <w:bidi w:val="0"/>
              <w:rPr>
                <w:rFonts w:ascii="Arial"/>
                <w:sz w:val="21"/>
              </w:rPr>
            </w:pPr>
          </w:p>
        </w:tc>
        <w:tc>
          <w:tcPr>
            <w:tcW w:w="1133" w:type="dxa"/>
            <w:vAlign w:val="top"/>
          </w:tcPr>
          <w:p w14:paraId="4C1237CD">
            <w:pPr>
              <w:keepNext w:val="0"/>
              <w:keepLines w:val="0"/>
              <w:pageBreakBefore w:val="0"/>
              <w:kinsoku/>
              <w:wordWrap/>
              <w:overflowPunct/>
              <w:topLinePunct w:val="0"/>
              <w:bidi w:val="0"/>
              <w:rPr>
                <w:rFonts w:ascii="Arial"/>
                <w:sz w:val="21"/>
              </w:rPr>
            </w:pPr>
          </w:p>
        </w:tc>
        <w:tc>
          <w:tcPr>
            <w:tcW w:w="1387" w:type="dxa"/>
            <w:vAlign w:val="top"/>
          </w:tcPr>
          <w:p w14:paraId="2A7E94B0">
            <w:pPr>
              <w:keepNext w:val="0"/>
              <w:keepLines w:val="0"/>
              <w:pageBreakBefore w:val="0"/>
              <w:kinsoku/>
              <w:wordWrap/>
              <w:overflowPunct/>
              <w:topLinePunct w:val="0"/>
              <w:bidi w:val="0"/>
              <w:rPr>
                <w:rFonts w:ascii="Arial"/>
                <w:sz w:val="21"/>
              </w:rPr>
            </w:pPr>
          </w:p>
        </w:tc>
        <w:tc>
          <w:tcPr>
            <w:tcW w:w="1469" w:type="dxa"/>
            <w:vAlign w:val="top"/>
          </w:tcPr>
          <w:p w14:paraId="290E850A">
            <w:pPr>
              <w:keepNext w:val="0"/>
              <w:keepLines w:val="0"/>
              <w:pageBreakBefore w:val="0"/>
              <w:kinsoku/>
              <w:wordWrap/>
              <w:overflowPunct/>
              <w:topLinePunct w:val="0"/>
              <w:bidi w:val="0"/>
              <w:rPr>
                <w:rFonts w:ascii="Arial"/>
                <w:sz w:val="21"/>
              </w:rPr>
            </w:pPr>
          </w:p>
        </w:tc>
        <w:tc>
          <w:tcPr>
            <w:tcW w:w="1639" w:type="dxa"/>
            <w:vAlign w:val="top"/>
          </w:tcPr>
          <w:p w14:paraId="2586E6E0">
            <w:pPr>
              <w:keepNext w:val="0"/>
              <w:keepLines w:val="0"/>
              <w:pageBreakBefore w:val="0"/>
              <w:kinsoku/>
              <w:wordWrap/>
              <w:overflowPunct/>
              <w:topLinePunct w:val="0"/>
              <w:bidi w:val="0"/>
              <w:rPr>
                <w:rFonts w:ascii="Arial"/>
                <w:sz w:val="21"/>
              </w:rPr>
            </w:pPr>
          </w:p>
        </w:tc>
      </w:tr>
      <w:tr w14:paraId="7E8DB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1594" w:type="dxa"/>
            <w:vAlign w:val="top"/>
          </w:tcPr>
          <w:p w14:paraId="71F72B55">
            <w:pPr>
              <w:keepNext w:val="0"/>
              <w:keepLines w:val="0"/>
              <w:pageBreakBefore w:val="0"/>
              <w:kinsoku/>
              <w:wordWrap/>
              <w:overflowPunct/>
              <w:topLinePunct w:val="0"/>
              <w:bidi w:val="0"/>
              <w:rPr>
                <w:rFonts w:ascii="Arial"/>
                <w:sz w:val="21"/>
              </w:rPr>
            </w:pPr>
          </w:p>
        </w:tc>
        <w:tc>
          <w:tcPr>
            <w:tcW w:w="1634" w:type="dxa"/>
            <w:vAlign w:val="top"/>
          </w:tcPr>
          <w:p w14:paraId="48250190">
            <w:pPr>
              <w:keepNext w:val="0"/>
              <w:keepLines w:val="0"/>
              <w:pageBreakBefore w:val="0"/>
              <w:kinsoku/>
              <w:wordWrap/>
              <w:overflowPunct/>
              <w:topLinePunct w:val="0"/>
              <w:bidi w:val="0"/>
              <w:rPr>
                <w:rFonts w:ascii="Arial"/>
                <w:sz w:val="21"/>
              </w:rPr>
            </w:pPr>
          </w:p>
        </w:tc>
        <w:tc>
          <w:tcPr>
            <w:tcW w:w="1543" w:type="dxa"/>
            <w:vAlign w:val="top"/>
          </w:tcPr>
          <w:p w14:paraId="622264A5">
            <w:pPr>
              <w:keepNext w:val="0"/>
              <w:keepLines w:val="0"/>
              <w:pageBreakBefore w:val="0"/>
              <w:kinsoku/>
              <w:wordWrap/>
              <w:overflowPunct/>
              <w:topLinePunct w:val="0"/>
              <w:bidi w:val="0"/>
              <w:rPr>
                <w:rFonts w:ascii="Arial"/>
                <w:sz w:val="21"/>
              </w:rPr>
            </w:pPr>
          </w:p>
        </w:tc>
        <w:tc>
          <w:tcPr>
            <w:tcW w:w="1133" w:type="dxa"/>
            <w:vAlign w:val="top"/>
          </w:tcPr>
          <w:p w14:paraId="09A8F003">
            <w:pPr>
              <w:keepNext w:val="0"/>
              <w:keepLines w:val="0"/>
              <w:pageBreakBefore w:val="0"/>
              <w:kinsoku/>
              <w:wordWrap/>
              <w:overflowPunct/>
              <w:topLinePunct w:val="0"/>
              <w:bidi w:val="0"/>
              <w:rPr>
                <w:rFonts w:ascii="Arial"/>
                <w:sz w:val="21"/>
              </w:rPr>
            </w:pPr>
          </w:p>
        </w:tc>
        <w:tc>
          <w:tcPr>
            <w:tcW w:w="1387" w:type="dxa"/>
            <w:vAlign w:val="top"/>
          </w:tcPr>
          <w:p w14:paraId="167790AA">
            <w:pPr>
              <w:keepNext w:val="0"/>
              <w:keepLines w:val="0"/>
              <w:pageBreakBefore w:val="0"/>
              <w:kinsoku/>
              <w:wordWrap/>
              <w:overflowPunct/>
              <w:topLinePunct w:val="0"/>
              <w:bidi w:val="0"/>
              <w:rPr>
                <w:rFonts w:ascii="Arial"/>
                <w:sz w:val="21"/>
              </w:rPr>
            </w:pPr>
          </w:p>
        </w:tc>
        <w:tc>
          <w:tcPr>
            <w:tcW w:w="1469" w:type="dxa"/>
            <w:vAlign w:val="top"/>
          </w:tcPr>
          <w:p w14:paraId="5A798491">
            <w:pPr>
              <w:keepNext w:val="0"/>
              <w:keepLines w:val="0"/>
              <w:pageBreakBefore w:val="0"/>
              <w:kinsoku/>
              <w:wordWrap/>
              <w:overflowPunct/>
              <w:topLinePunct w:val="0"/>
              <w:bidi w:val="0"/>
              <w:rPr>
                <w:rFonts w:ascii="Arial"/>
                <w:sz w:val="21"/>
              </w:rPr>
            </w:pPr>
          </w:p>
        </w:tc>
        <w:tc>
          <w:tcPr>
            <w:tcW w:w="1639" w:type="dxa"/>
            <w:vAlign w:val="top"/>
          </w:tcPr>
          <w:p w14:paraId="4341A1D8">
            <w:pPr>
              <w:keepNext w:val="0"/>
              <w:keepLines w:val="0"/>
              <w:pageBreakBefore w:val="0"/>
              <w:kinsoku/>
              <w:wordWrap/>
              <w:overflowPunct/>
              <w:topLinePunct w:val="0"/>
              <w:bidi w:val="0"/>
              <w:rPr>
                <w:rFonts w:ascii="Arial"/>
                <w:sz w:val="21"/>
              </w:rPr>
            </w:pPr>
          </w:p>
        </w:tc>
      </w:tr>
    </w:tbl>
    <w:p w14:paraId="32278628">
      <w:pPr>
        <w:keepNext w:val="0"/>
        <w:keepLines w:val="0"/>
        <w:pageBreakBefore w:val="0"/>
        <w:kinsoku/>
        <w:wordWrap/>
        <w:overflowPunct/>
        <w:topLinePunct w:val="0"/>
        <w:bidi w:val="0"/>
        <w:spacing w:before="115" w:line="540" w:lineRule="auto"/>
        <w:ind w:left="419" w:right="3554"/>
        <w:rPr>
          <w:rFonts w:ascii="宋体" w:hAnsi="宋体" w:eastAsia="宋体" w:cs="宋体"/>
          <w:sz w:val="24"/>
          <w:szCs w:val="24"/>
        </w:rPr>
      </w:pPr>
      <w:r>
        <w:rPr>
          <w:rFonts w:ascii="宋体" w:hAnsi="宋体" w:eastAsia="宋体" w:cs="宋体"/>
          <w:sz w:val="24"/>
          <w:szCs w:val="24"/>
        </w:rPr>
        <w:t>注</w:t>
      </w:r>
      <w:r>
        <w:rPr>
          <w:rFonts w:ascii="宋体" w:hAnsi="宋体" w:eastAsia="宋体" w:cs="宋体"/>
          <w:spacing w:val="-26"/>
          <w:sz w:val="24"/>
          <w:szCs w:val="24"/>
        </w:rPr>
        <w:t>：（</w:t>
      </w:r>
      <w:r>
        <w:rPr>
          <w:rFonts w:ascii="宋体" w:hAnsi="宋体" w:eastAsia="宋体" w:cs="宋体"/>
          <w:sz w:val="24"/>
          <w:szCs w:val="24"/>
        </w:rPr>
        <w:t>1）此表后附业绩合同复印件加盖公章,否则不予计分。</w:t>
      </w:r>
      <w:r>
        <w:rPr>
          <w:rFonts w:ascii="宋体" w:hAnsi="宋体" w:eastAsia="宋体" w:cs="宋体"/>
          <w:spacing w:val="-2"/>
          <w:sz w:val="24"/>
          <w:szCs w:val="24"/>
        </w:rPr>
        <w:t>供应商名称（公章</w:t>
      </w:r>
      <w:r>
        <w:rPr>
          <w:rFonts w:ascii="宋体" w:hAnsi="宋体" w:eastAsia="宋体" w:cs="宋体"/>
          <w:spacing w:val="2"/>
          <w:sz w:val="24"/>
          <w:szCs w:val="24"/>
        </w:rPr>
        <w:t>）：</w:t>
      </w:r>
    </w:p>
    <w:p w14:paraId="2D2160E7">
      <w:pPr>
        <w:keepNext w:val="0"/>
        <w:keepLines w:val="0"/>
        <w:pageBreakBefore w:val="0"/>
        <w:kinsoku/>
        <w:wordWrap/>
        <w:overflowPunct/>
        <w:topLinePunct w:val="0"/>
        <w:bidi w:val="0"/>
        <w:spacing w:line="219" w:lineRule="auto"/>
        <w:ind w:left="420"/>
        <w:rPr>
          <w:rFonts w:ascii="宋体" w:hAnsi="宋体" w:eastAsia="宋体" w:cs="宋体"/>
          <w:sz w:val="24"/>
          <w:szCs w:val="24"/>
        </w:rPr>
      </w:pPr>
      <w:r>
        <w:rPr>
          <w:rFonts w:ascii="宋体" w:hAnsi="宋体" w:eastAsia="宋体" w:cs="宋体"/>
          <w:spacing w:val="-1"/>
          <w:sz w:val="24"/>
          <w:szCs w:val="24"/>
        </w:rPr>
        <w:t>法定代表人或其授权代表（签字</w:t>
      </w:r>
      <w:r>
        <w:rPr>
          <w:rFonts w:ascii="宋体" w:hAnsi="宋体" w:eastAsia="宋体" w:cs="宋体"/>
          <w:spacing w:val="1"/>
          <w:sz w:val="24"/>
          <w:szCs w:val="24"/>
        </w:rPr>
        <w:t>）：</w:t>
      </w:r>
    </w:p>
    <w:p w14:paraId="717F06C8">
      <w:pPr>
        <w:keepNext w:val="0"/>
        <w:keepLines w:val="0"/>
        <w:pageBreakBefore w:val="0"/>
        <w:kinsoku/>
        <w:wordWrap/>
        <w:overflowPunct/>
        <w:topLinePunct w:val="0"/>
        <w:bidi w:val="0"/>
        <w:spacing w:before="183" w:line="219" w:lineRule="auto"/>
        <w:ind w:left="460"/>
        <w:rPr>
          <w:rFonts w:ascii="宋体" w:hAnsi="宋体" w:eastAsia="宋体" w:cs="宋体"/>
          <w:sz w:val="24"/>
          <w:szCs w:val="24"/>
        </w:rPr>
      </w:pPr>
      <w:r>
        <w:rPr>
          <w:rFonts w:ascii="宋体" w:hAnsi="宋体" w:eastAsia="宋体" w:cs="宋体"/>
          <w:spacing w:val="-13"/>
          <w:sz w:val="24"/>
          <w:szCs w:val="24"/>
        </w:rPr>
        <w:t>日期：年月日</w:t>
      </w:r>
    </w:p>
    <w:p w14:paraId="486BBAFE">
      <w:pPr>
        <w:keepNext w:val="0"/>
        <w:keepLines w:val="0"/>
        <w:pageBreakBefore w:val="0"/>
        <w:kinsoku/>
        <w:wordWrap/>
        <w:overflowPunct/>
        <w:topLinePunct w:val="0"/>
        <w:bidi w:val="0"/>
        <w:spacing w:before="183" w:line="219" w:lineRule="auto"/>
        <w:ind w:left="419"/>
        <w:rPr>
          <w:rFonts w:ascii="宋体" w:hAnsi="宋体" w:eastAsia="宋体" w:cs="宋体"/>
          <w:sz w:val="24"/>
          <w:szCs w:val="24"/>
        </w:rPr>
      </w:pPr>
      <w:r>
        <w:rPr>
          <w:rFonts w:ascii="宋体" w:hAnsi="宋体" w:eastAsia="宋体" w:cs="宋体"/>
          <w:spacing w:val="-2"/>
          <w:sz w:val="24"/>
          <w:szCs w:val="24"/>
        </w:rPr>
        <w:t>供应商名称（公章</w:t>
      </w:r>
      <w:r>
        <w:rPr>
          <w:rFonts w:ascii="宋体" w:hAnsi="宋体" w:eastAsia="宋体" w:cs="宋体"/>
          <w:spacing w:val="2"/>
          <w:sz w:val="24"/>
          <w:szCs w:val="24"/>
        </w:rPr>
        <w:t>）：</w:t>
      </w:r>
    </w:p>
    <w:p w14:paraId="21EDBFEC">
      <w:pPr>
        <w:keepNext w:val="0"/>
        <w:keepLines w:val="0"/>
        <w:pageBreakBefore w:val="0"/>
        <w:kinsoku/>
        <w:wordWrap/>
        <w:overflowPunct/>
        <w:topLinePunct w:val="0"/>
        <w:bidi w:val="0"/>
        <w:spacing w:before="184" w:line="219" w:lineRule="auto"/>
        <w:ind w:left="420"/>
        <w:rPr>
          <w:rFonts w:ascii="宋体" w:hAnsi="宋体" w:eastAsia="宋体" w:cs="宋体"/>
          <w:sz w:val="24"/>
          <w:szCs w:val="24"/>
        </w:rPr>
      </w:pPr>
      <w:r>
        <w:rPr>
          <w:rFonts w:ascii="宋体" w:hAnsi="宋体" w:eastAsia="宋体" w:cs="宋体"/>
          <w:spacing w:val="-1"/>
          <w:sz w:val="24"/>
          <w:szCs w:val="24"/>
        </w:rPr>
        <w:t>法定代表人或其授权代表（签字</w:t>
      </w:r>
      <w:r>
        <w:rPr>
          <w:rFonts w:ascii="宋体" w:hAnsi="宋体" w:eastAsia="宋体" w:cs="宋体"/>
          <w:spacing w:val="1"/>
          <w:sz w:val="24"/>
          <w:szCs w:val="24"/>
        </w:rPr>
        <w:t>）：</w:t>
      </w:r>
    </w:p>
    <w:p w14:paraId="69CE012F">
      <w:pPr>
        <w:keepNext w:val="0"/>
        <w:keepLines w:val="0"/>
        <w:pageBreakBefore w:val="0"/>
        <w:kinsoku/>
        <w:wordWrap/>
        <w:overflowPunct/>
        <w:topLinePunct w:val="0"/>
        <w:bidi w:val="0"/>
        <w:spacing w:before="183" w:line="219" w:lineRule="auto"/>
        <w:ind w:left="460"/>
        <w:rPr>
          <w:rFonts w:ascii="宋体" w:hAnsi="宋体" w:eastAsia="宋体" w:cs="宋体"/>
          <w:sz w:val="24"/>
          <w:szCs w:val="24"/>
        </w:rPr>
      </w:pPr>
      <w:r>
        <w:rPr>
          <w:rFonts w:ascii="宋体" w:hAnsi="宋体" w:eastAsia="宋体" w:cs="宋体"/>
          <w:spacing w:val="-13"/>
          <w:sz w:val="24"/>
          <w:szCs w:val="24"/>
        </w:rPr>
        <w:t>日期：年月日</w:t>
      </w:r>
    </w:p>
    <w:p w14:paraId="59315370">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23" w:type="default"/>
          <w:pgSz w:w="11906" w:h="16839"/>
          <w:pgMar w:top="1440" w:right="1080" w:bottom="1440" w:left="1080" w:header="0" w:footer="994" w:gutter="0"/>
          <w:pgNumType w:fmt="decimal"/>
          <w:cols w:space="720" w:num="1"/>
        </w:sectPr>
      </w:pPr>
    </w:p>
    <w:p w14:paraId="42F40BF2">
      <w:pPr>
        <w:keepNext w:val="0"/>
        <w:keepLines w:val="0"/>
        <w:pageBreakBefore w:val="0"/>
        <w:kinsoku/>
        <w:wordWrap/>
        <w:overflowPunct/>
        <w:topLinePunct w:val="0"/>
        <w:bidi w:val="0"/>
        <w:spacing w:before="78" w:line="219" w:lineRule="auto"/>
        <w:ind w:left="3705"/>
        <w:rPr>
          <w:rFonts w:ascii="宋体" w:hAnsi="宋体" w:eastAsia="宋体" w:cs="宋体"/>
          <w:sz w:val="24"/>
          <w:szCs w:val="24"/>
        </w:rPr>
      </w:pPr>
      <w:r>
        <w:rPr>
          <w:rFonts w:ascii="宋体" w:hAnsi="宋体" w:eastAsia="宋体" w:cs="宋体"/>
          <w:b/>
          <w:bCs/>
          <w:spacing w:val="-4"/>
          <w:sz w:val="24"/>
          <w:szCs w:val="24"/>
        </w:rPr>
        <w:t>服务需求偏离表</w:t>
      </w:r>
    </w:p>
    <w:p w14:paraId="36C51FDF">
      <w:pPr>
        <w:keepNext w:val="0"/>
        <w:keepLines w:val="0"/>
        <w:pageBreakBefore w:val="0"/>
        <w:kinsoku/>
        <w:wordWrap/>
        <w:overflowPunct/>
        <w:topLinePunct w:val="0"/>
        <w:bidi w:val="0"/>
        <w:spacing w:before="310" w:line="219" w:lineRule="auto"/>
        <w:ind w:left="2966"/>
        <w:rPr>
          <w:rFonts w:ascii="宋体" w:hAnsi="宋体" w:eastAsia="宋体" w:cs="宋体"/>
          <w:sz w:val="24"/>
          <w:szCs w:val="24"/>
        </w:rPr>
      </w:pPr>
      <w:r>
        <w:rPr>
          <w:rFonts w:ascii="宋体" w:hAnsi="宋体" w:eastAsia="宋体" w:cs="宋体"/>
          <w:spacing w:val="-9"/>
          <w:sz w:val="24"/>
          <w:szCs w:val="24"/>
        </w:rPr>
        <w:t>竞标服务需求偏离表</w:t>
      </w:r>
    </w:p>
    <w:p w14:paraId="4F2B0714">
      <w:pPr>
        <w:keepNext w:val="0"/>
        <w:keepLines w:val="0"/>
        <w:pageBreakBefore w:val="0"/>
        <w:kinsoku/>
        <w:wordWrap/>
        <w:overflowPunct/>
        <w:topLinePunct w:val="0"/>
        <w:bidi w:val="0"/>
        <w:spacing w:before="194" w:line="219" w:lineRule="auto"/>
        <w:ind w:left="2391"/>
        <w:rPr>
          <w:rFonts w:ascii="宋体" w:hAnsi="宋体" w:eastAsia="宋体" w:cs="宋体"/>
          <w:sz w:val="24"/>
          <w:szCs w:val="24"/>
        </w:rPr>
      </w:pPr>
      <w:r>
        <w:rPr>
          <w:rFonts w:ascii="宋体" w:hAnsi="宋体" w:eastAsia="宋体" w:cs="宋体"/>
          <w:spacing w:val="-15"/>
          <w:sz w:val="24"/>
          <w:szCs w:val="24"/>
        </w:rPr>
        <w:t>(注：按采购需求具体条款修改)</w:t>
      </w:r>
    </w:p>
    <w:p w14:paraId="197E7AAE">
      <w:pPr>
        <w:keepNext w:val="0"/>
        <w:keepLines w:val="0"/>
        <w:pageBreakBefore w:val="0"/>
        <w:kinsoku/>
        <w:wordWrap/>
        <w:overflowPunct/>
        <w:topLinePunct w:val="0"/>
        <w:bidi w:val="0"/>
        <w:spacing w:line="187" w:lineRule="exact"/>
      </w:pPr>
    </w:p>
    <w:tbl>
      <w:tblPr>
        <w:tblStyle w:val="15"/>
        <w:tblW w:w="8103" w:type="dxa"/>
        <w:tblInd w:w="31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0"/>
        <w:gridCol w:w="1139"/>
        <w:gridCol w:w="735"/>
        <w:gridCol w:w="1575"/>
        <w:gridCol w:w="1138"/>
        <w:gridCol w:w="657"/>
        <w:gridCol w:w="1145"/>
        <w:gridCol w:w="1114"/>
      </w:tblGrid>
      <w:tr w14:paraId="1D9F3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600" w:type="dxa"/>
            <w:vMerge w:val="restart"/>
            <w:tcBorders>
              <w:bottom w:val="nil"/>
            </w:tcBorders>
            <w:textDirection w:val="tbRlV"/>
            <w:vAlign w:val="top"/>
          </w:tcPr>
          <w:p w14:paraId="4C0CFC8E">
            <w:pPr>
              <w:pStyle w:val="16"/>
              <w:keepNext w:val="0"/>
              <w:keepLines w:val="0"/>
              <w:pageBreakBefore w:val="0"/>
              <w:kinsoku/>
              <w:wordWrap/>
              <w:overflowPunct/>
              <w:topLinePunct w:val="0"/>
              <w:bidi w:val="0"/>
              <w:spacing w:before="265" w:line="215" w:lineRule="auto"/>
              <w:ind w:left="356"/>
            </w:pPr>
            <w:r>
              <w:rPr>
                <w:spacing w:val="6"/>
              </w:rPr>
              <w:t>项号</w:t>
            </w:r>
          </w:p>
        </w:tc>
        <w:tc>
          <w:tcPr>
            <w:tcW w:w="3449" w:type="dxa"/>
            <w:gridSpan w:val="3"/>
            <w:vAlign w:val="top"/>
          </w:tcPr>
          <w:p w14:paraId="6D9BC676">
            <w:pPr>
              <w:pStyle w:val="16"/>
              <w:keepNext w:val="0"/>
              <w:keepLines w:val="0"/>
              <w:pageBreakBefore w:val="0"/>
              <w:kinsoku/>
              <w:wordWrap/>
              <w:overflowPunct/>
              <w:topLinePunct w:val="0"/>
              <w:bidi w:val="0"/>
              <w:spacing w:before="152" w:line="227" w:lineRule="auto"/>
              <w:ind w:left="584"/>
            </w:pPr>
            <w:r>
              <w:rPr>
                <w:spacing w:val="7"/>
              </w:rPr>
              <w:t>竞争性磋商采购文件需求</w:t>
            </w:r>
          </w:p>
        </w:tc>
        <w:tc>
          <w:tcPr>
            <w:tcW w:w="2940" w:type="dxa"/>
            <w:gridSpan w:val="3"/>
            <w:vAlign w:val="top"/>
          </w:tcPr>
          <w:p w14:paraId="7D9BC730">
            <w:pPr>
              <w:pStyle w:val="16"/>
              <w:keepNext w:val="0"/>
              <w:keepLines w:val="0"/>
              <w:pageBreakBefore w:val="0"/>
              <w:kinsoku/>
              <w:wordWrap/>
              <w:overflowPunct/>
              <w:topLinePunct w:val="0"/>
              <w:bidi w:val="0"/>
              <w:spacing w:before="152" w:line="228" w:lineRule="auto"/>
              <w:ind w:left="880"/>
            </w:pPr>
            <w:r>
              <w:t>响应文件承诺</w:t>
            </w:r>
          </w:p>
        </w:tc>
        <w:tc>
          <w:tcPr>
            <w:tcW w:w="1114" w:type="dxa"/>
            <w:vMerge w:val="restart"/>
            <w:tcBorders>
              <w:bottom w:val="nil"/>
            </w:tcBorders>
            <w:vAlign w:val="top"/>
          </w:tcPr>
          <w:p w14:paraId="437EB8FA">
            <w:pPr>
              <w:keepNext w:val="0"/>
              <w:keepLines w:val="0"/>
              <w:pageBreakBefore w:val="0"/>
              <w:kinsoku/>
              <w:wordWrap/>
              <w:overflowPunct/>
              <w:topLinePunct w:val="0"/>
              <w:bidi w:val="0"/>
              <w:spacing w:line="246" w:lineRule="auto"/>
              <w:rPr>
                <w:rFonts w:ascii="Arial"/>
                <w:sz w:val="21"/>
              </w:rPr>
            </w:pPr>
          </w:p>
          <w:p w14:paraId="6A9C67AC">
            <w:pPr>
              <w:keepNext w:val="0"/>
              <w:keepLines w:val="0"/>
              <w:pageBreakBefore w:val="0"/>
              <w:kinsoku/>
              <w:wordWrap/>
              <w:overflowPunct/>
              <w:topLinePunct w:val="0"/>
              <w:bidi w:val="0"/>
              <w:spacing w:line="246" w:lineRule="auto"/>
              <w:rPr>
                <w:rFonts w:ascii="Arial"/>
                <w:sz w:val="21"/>
              </w:rPr>
            </w:pPr>
          </w:p>
          <w:p w14:paraId="4E0C4DDE">
            <w:pPr>
              <w:pStyle w:val="16"/>
              <w:keepNext w:val="0"/>
              <w:keepLines w:val="0"/>
              <w:pageBreakBefore w:val="0"/>
              <w:kinsoku/>
              <w:wordWrap/>
              <w:overflowPunct/>
              <w:topLinePunct w:val="0"/>
              <w:bidi w:val="0"/>
              <w:spacing w:before="65" w:line="228" w:lineRule="auto"/>
              <w:ind w:left="130"/>
            </w:pPr>
            <w:r>
              <w:rPr>
                <w:spacing w:val="4"/>
              </w:rPr>
              <w:t>偏离说明</w:t>
            </w:r>
          </w:p>
        </w:tc>
      </w:tr>
      <w:tr w14:paraId="07546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600" w:type="dxa"/>
            <w:vMerge w:val="continue"/>
            <w:tcBorders>
              <w:top w:val="nil"/>
            </w:tcBorders>
            <w:textDirection w:val="tbRlV"/>
            <w:vAlign w:val="top"/>
          </w:tcPr>
          <w:p w14:paraId="6D38C8F2">
            <w:pPr>
              <w:keepNext w:val="0"/>
              <w:keepLines w:val="0"/>
              <w:pageBreakBefore w:val="0"/>
              <w:kinsoku/>
              <w:wordWrap/>
              <w:overflowPunct/>
              <w:topLinePunct w:val="0"/>
              <w:bidi w:val="0"/>
              <w:rPr>
                <w:rFonts w:ascii="Arial"/>
                <w:sz w:val="21"/>
              </w:rPr>
            </w:pPr>
          </w:p>
        </w:tc>
        <w:tc>
          <w:tcPr>
            <w:tcW w:w="1139" w:type="dxa"/>
            <w:vAlign w:val="top"/>
          </w:tcPr>
          <w:p w14:paraId="62A55FE5">
            <w:pPr>
              <w:pStyle w:val="16"/>
              <w:keepNext w:val="0"/>
              <w:keepLines w:val="0"/>
              <w:pageBreakBefore w:val="0"/>
              <w:kinsoku/>
              <w:wordWrap/>
              <w:overflowPunct/>
              <w:topLinePunct w:val="0"/>
              <w:bidi w:val="0"/>
              <w:spacing w:before="248" w:line="228" w:lineRule="auto"/>
              <w:ind w:left="116"/>
            </w:pPr>
            <w:r>
              <w:rPr>
                <w:spacing w:val="5"/>
              </w:rPr>
              <w:t>服务名称</w:t>
            </w:r>
          </w:p>
        </w:tc>
        <w:tc>
          <w:tcPr>
            <w:tcW w:w="735" w:type="dxa"/>
            <w:vAlign w:val="top"/>
          </w:tcPr>
          <w:p w14:paraId="534D7674">
            <w:pPr>
              <w:pStyle w:val="16"/>
              <w:keepNext w:val="0"/>
              <w:keepLines w:val="0"/>
              <w:pageBreakBefore w:val="0"/>
              <w:kinsoku/>
              <w:wordWrap/>
              <w:overflowPunct/>
              <w:topLinePunct w:val="0"/>
              <w:bidi w:val="0"/>
              <w:spacing w:before="248" w:line="228" w:lineRule="auto"/>
              <w:ind w:left="121"/>
            </w:pPr>
            <w:r>
              <w:rPr>
                <w:spacing w:val="1"/>
              </w:rPr>
              <w:t>数量</w:t>
            </w:r>
          </w:p>
        </w:tc>
        <w:tc>
          <w:tcPr>
            <w:tcW w:w="1575" w:type="dxa"/>
            <w:vAlign w:val="top"/>
          </w:tcPr>
          <w:p w14:paraId="2FA57E75">
            <w:pPr>
              <w:pStyle w:val="16"/>
              <w:keepNext w:val="0"/>
              <w:keepLines w:val="0"/>
              <w:pageBreakBefore w:val="0"/>
              <w:kinsoku/>
              <w:wordWrap/>
              <w:overflowPunct/>
              <w:topLinePunct w:val="0"/>
              <w:bidi w:val="0"/>
              <w:spacing w:before="248" w:line="228" w:lineRule="auto"/>
              <w:ind w:left="121"/>
            </w:pPr>
            <w:r>
              <w:rPr>
                <w:spacing w:val="6"/>
              </w:rPr>
              <w:t>服务参数要求</w:t>
            </w:r>
          </w:p>
        </w:tc>
        <w:tc>
          <w:tcPr>
            <w:tcW w:w="1138" w:type="dxa"/>
            <w:vAlign w:val="top"/>
          </w:tcPr>
          <w:p w14:paraId="71150668">
            <w:pPr>
              <w:pStyle w:val="16"/>
              <w:keepNext w:val="0"/>
              <w:keepLines w:val="0"/>
              <w:pageBreakBefore w:val="0"/>
              <w:kinsoku/>
              <w:wordWrap/>
              <w:overflowPunct/>
              <w:topLinePunct w:val="0"/>
              <w:bidi w:val="0"/>
              <w:spacing w:before="248" w:line="228" w:lineRule="auto"/>
              <w:ind w:left="123"/>
            </w:pPr>
            <w:r>
              <w:rPr>
                <w:spacing w:val="5"/>
              </w:rPr>
              <w:t>服务名称</w:t>
            </w:r>
          </w:p>
        </w:tc>
        <w:tc>
          <w:tcPr>
            <w:tcW w:w="657" w:type="dxa"/>
            <w:vAlign w:val="top"/>
          </w:tcPr>
          <w:p w14:paraId="6AA5460B">
            <w:pPr>
              <w:pStyle w:val="16"/>
              <w:keepNext w:val="0"/>
              <w:keepLines w:val="0"/>
              <w:pageBreakBefore w:val="0"/>
              <w:kinsoku/>
              <w:wordWrap/>
              <w:overflowPunct/>
              <w:topLinePunct w:val="0"/>
              <w:bidi w:val="0"/>
              <w:spacing w:before="248" w:line="228" w:lineRule="auto"/>
              <w:ind w:left="127"/>
            </w:pPr>
            <w:r>
              <w:rPr>
                <w:spacing w:val="1"/>
              </w:rPr>
              <w:t>数量</w:t>
            </w:r>
          </w:p>
        </w:tc>
        <w:tc>
          <w:tcPr>
            <w:tcW w:w="1145" w:type="dxa"/>
            <w:vAlign w:val="top"/>
          </w:tcPr>
          <w:p w14:paraId="7981E417">
            <w:pPr>
              <w:pStyle w:val="16"/>
              <w:keepNext w:val="0"/>
              <w:keepLines w:val="0"/>
              <w:pageBreakBefore w:val="0"/>
              <w:kinsoku/>
              <w:wordWrap/>
              <w:overflowPunct/>
              <w:topLinePunct w:val="0"/>
              <w:bidi w:val="0"/>
              <w:spacing w:before="248" w:line="228" w:lineRule="auto"/>
              <w:ind w:left="126"/>
            </w:pPr>
            <w:r>
              <w:rPr>
                <w:spacing w:val="5"/>
              </w:rPr>
              <w:t>服务参数</w:t>
            </w:r>
          </w:p>
        </w:tc>
        <w:tc>
          <w:tcPr>
            <w:tcW w:w="1114" w:type="dxa"/>
            <w:vMerge w:val="continue"/>
            <w:tcBorders>
              <w:top w:val="nil"/>
            </w:tcBorders>
            <w:vAlign w:val="top"/>
          </w:tcPr>
          <w:p w14:paraId="3F011DBB">
            <w:pPr>
              <w:keepNext w:val="0"/>
              <w:keepLines w:val="0"/>
              <w:pageBreakBefore w:val="0"/>
              <w:kinsoku/>
              <w:wordWrap/>
              <w:overflowPunct/>
              <w:topLinePunct w:val="0"/>
              <w:bidi w:val="0"/>
              <w:rPr>
                <w:rFonts w:ascii="Arial"/>
                <w:sz w:val="21"/>
              </w:rPr>
            </w:pPr>
          </w:p>
        </w:tc>
      </w:tr>
      <w:tr w14:paraId="20A4B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9" w:hRule="atLeast"/>
        </w:trPr>
        <w:tc>
          <w:tcPr>
            <w:tcW w:w="600" w:type="dxa"/>
            <w:vAlign w:val="top"/>
          </w:tcPr>
          <w:p w14:paraId="6558AD9D">
            <w:pPr>
              <w:keepNext w:val="0"/>
              <w:keepLines w:val="0"/>
              <w:pageBreakBefore w:val="0"/>
              <w:kinsoku/>
              <w:wordWrap/>
              <w:overflowPunct/>
              <w:topLinePunct w:val="0"/>
              <w:bidi w:val="0"/>
              <w:spacing w:line="245" w:lineRule="auto"/>
              <w:rPr>
                <w:rFonts w:ascii="Arial"/>
                <w:sz w:val="21"/>
              </w:rPr>
            </w:pPr>
          </w:p>
          <w:p w14:paraId="2A821645">
            <w:pPr>
              <w:keepNext w:val="0"/>
              <w:keepLines w:val="0"/>
              <w:pageBreakBefore w:val="0"/>
              <w:kinsoku/>
              <w:wordWrap/>
              <w:overflowPunct/>
              <w:topLinePunct w:val="0"/>
              <w:bidi w:val="0"/>
              <w:spacing w:line="245" w:lineRule="auto"/>
              <w:rPr>
                <w:rFonts w:ascii="Arial"/>
                <w:sz w:val="21"/>
              </w:rPr>
            </w:pPr>
          </w:p>
          <w:p w14:paraId="0B08A717">
            <w:pPr>
              <w:keepNext w:val="0"/>
              <w:keepLines w:val="0"/>
              <w:pageBreakBefore w:val="0"/>
              <w:kinsoku/>
              <w:wordWrap/>
              <w:overflowPunct/>
              <w:topLinePunct w:val="0"/>
              <w:bidi w:val="0"/>
              <w:spacing w:line="246" w:lineRule="auto"/>
              <w:rPr>
                <w:rFonts w:ascii="Arial"/>
                <w:sz w:val="21"/>
              </w:rPr>
            </w:pPr>
          </w:p>
          <w:p w14:paraId="5CED7AB1">
            <w:pPr>
              <w:pStyle w:val="16"/>
              <w:keepNext w:val="0"/>
              <w:keepLines w:val="0"/>
              <w:pageBreakBefore w:val="0"/>
              <w:kinsoku/>
              <w:wordWrap/>
              <w:overflowPunct/>
              <w:topLinePunct w:val="0"/>
              <w:bidi w:val="0"/>
              <w:spacing w:before="65" w:line="189" w:lineRule="auto"/>
              <w:ind w:left="156"/>
            </w:pPr>
            <w:r>
              <w:t>1</w:t>
            </w:r>
          </w:p>
        </w:tc>
        <w:tc>
          <w:tcPr>
            <w:tcW w:w="1139" w:type="dxa"/>
            <w:vAlign w:val="top"/>
          </w:tcPr>
          <w:p w14:paraId="0A433471">
            <w:pPr>
              <w:keepNext w:val="0"/>
              <w:keepLines w:val="0"/>
              <w:pageBreakBefore w:val="0"/>
              <w:kinsoku/>
              <w:wordWrap/>
              <w:overflowPunct/>
              <w:topLinePunct w:val="0"/>
              <w:bidi w:val="0"/>
              <w:spacing w:line="337" w:lineRule="auto"/>
              <w:rPr>
                <w:rFonts w:ascii="Arial"/>
                <w:sz w:val="21"/>
              </w:rPr>
            </w:pPr>
          </w:p>
          <w:p w14:paraId="2FAECE38">
            <w:pPr>
              <w:keepNext w:val="0"/>
              <w:keepLines w:val="0"/>
              <w:pageBreakBefore w:val="0"/>
              <w:kinsoku/>
              <w:wordWrap/>
              <w:overflowPunct/>
              <w:topLinePunct w:val="0"/>
              <w:bidi w:val="0"/>
              <w:spacing w:line="338" w:lineRule="auto"/>
              <w:rPr>
                <w:rFonts w:ascii="Arial"/>
                <w:sz w:val="21"/>
              </w:rPr>
            </w:pPr>
          </w:p>
          <w:p w14:paraId="46FDD193">
            <w:pPr>
              <w:pStyle w:val="16"/>
              <w:keepNext w:val="0"/>
              <w:keepLines w:val="0"/>
              <w:pageBreakBefore w:val="0"/>
              <w:kinsoku/>
              <w:wordWrap/>
              <w:overflowPunct/>
              <w:topLinePunct w:val="0"/>
              <w:bidi w:val="0"/>
              <w:spacing w:before="65" w:line="324" w:lineRule="exact"/>
              <w:ind w:left="141"/>
            </w:pPr>
            <w:r>
              <w:rPr>
                <w:spacing w:val="-5"/>
                <w:position w:val="2"/>
              </w:rPr>
              <w:t>……</w:t>
            </w:r>
          </w:p>
        </w:tc>
        <w:tc>
          <w:tcPr>
            <w:tcW w:w="735" w:type="dxa"/>
            <w:vAlign w:val="top"/>
          </w:tcPr>
          <w:p w14:paraId="78CBFCBC">
            <w:pPr>
              <w:keepNext w:val="0"/>
              <w:keepLines w:val="0"/>
              <w:pageBreakBefore w:val="0"/>
              <w:kinsoku/>
              <w:wordWrap/>
              <w:overflowPunct/>
              <w:topLinePunct w:val="0"/>
              <w:bidi w:val="0"/>
              <w:spacing w:line="337" w:lineRule="auto"/>
              <w:rPr>
                <w:rFonts w:ascii="Arial"/>
                <w:sz w:val="21"/>
              </w:rPr>
            </w:pPr>
          </w:p>
          <w:p w14:paraId="380F9ECE">
            <w:pPr>
              <w:keepNext w:val="0"/>
              <w:keepLines w:val="0"/>
              <w:pageBreakBefore w:val="0"/>
              <w:kinsoku/>
              <w:wordWrap/>
              <w:overflowPunct/>
              <w:topLinePunct w:val="0"/>
              <w:bidi w:val="0"/>
              <w:spacing w:line="338" w:lineRule="auto"/>
              <w:rPr>
                <w:rFonts w:ascii="Arial"/>
                <w:sz w:val="21"/>
              </w:rPr>
            </w:pPr>
          </w:p>
          <w:p w14:paraId="6B2FD291">
            <w:pPr>
              <w:pStyle w:val="16"/>
              <w:keepNext w:val="0"/>
              <w:keepLines w:val="0"/>
              <w:pageBreakBefore w:val="0"/>
              <w:kinsoku/>
              <w:wordWrap/>
              <w:overflowPunct/>
              <w:topLinePunct w:val="0"/>
              <w:bidi w:val="0"/>
              <w:spacing w:before="65" w:line="324" w:lineRule="exact"/>
              <w:ind w:left="145"/>
            </w:pPr>
            <w:r>
              <w:rPr>
                <w:position w:val="2"/>
              </w:rPr>
              <w:t>…</w:t>
            </w:r>
          </w:p>
        </w:tc>
        <w:tc>
          <w:tcPr>
            <w:tcW w:w="1575" w:type="dxa"/>
            <w:vAlign w:val="top"/>
          </w:tcPr>
          <w:p w14:paraId="283539B7">
            <w:pPr>
              <w:pStyle w:val="16"/>
              <w:keepNext w:val="0"/>
              <w:keepLines w:val="0"/>
              <w:pageBreakBefore w:val="0"/>
              <w:kinsoku/>
              <w:wordWrap/>
              <w:overflowPunct/>
              <w:topLinePunct w:val="0"/>
              <w:bidi w:val="0"/>
              <w:spacing w:before="276" w:line="285" w:lineRule="auto"/>
              <w:ind w:left="124" w:right="721" w:firstLine="27"/>
              <w:jc w:val="both"/>
            </w:pPr>
            <w:r>
              <w:rPr>
                <w:spacing w:val="-8"/>
              </w:rPr>
              <w:t>1……</w:t>
            </w:r>
            <w:r>
              <w:rPr>
                <w:spacing w:val="-4"/>
              </w:rPr>
              <w:t>2……</w:t>
            </w:r>
            <w:r>
              <w:rPr>
                <w:spacing w:val="-3"/>
              </w:rPr>
              <w:t>3……</w:t>
            </w:r>
          </w:p>
          <w:p w14:paraId="22BD0737">
            <w:pPr>
              <w:keepNext w:val="0"/>
              <w:keepLines w:val="0"/>
              <w:pageBreakBefore w:val="0"/>
              <w:kinsoku/>
              <w:wordWrap/>
              <w:overflowPunct/>
              <w:topLinePunct w:val="0"/>
              <w:bidi w:val="0"/>
              <w:spacing w:before="97" w:line="38" w:lineRule="exact"/>
              <w:ind w:firstLine="147"/>
            </w:pPr>
            <w:r>
              <w:drawing>
                <wp:inline distT="0" distB="0" distL="0" distR="0">
                  <wp:extent cx="236855" cy="2349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39"/>
                          <a:stretch>
                            <a:fillRect/>
                          </a:stretch>
                        </pic:blipFill>
                        <pic:spPr>
                          <a:xfrm>
                            <a:off x="0" y="0"/>
                            <a:ext cx="236874" cy="24106"/>
                          </a:xfrm>
                          <a:prstGeom prst="rect">
                            <a:avLst/>
                          </a:prstGeom>
                        </pic:spPr>
                      </pic:pic>
                    </a:graphicData>
                  </a:graphic>
                </wp:inline>
              </w:drawing>
            </w:r>
          </w:p>
        </w:tc>
        <w:tc>
          <w:tcPr>
            <w:tcW w:w="1138" w:type="dxa"/>
            <w:vAlign w:val="top"/>
          </w:tcPr>
          <w:p w14:paraId="2C6748A0">
            <w:pPr>
              <w:keepNext w:val="0"/>
              <w:keepLines w:val="0"/>
              <w:pageBreakBefore w:val="0"/>
              <w:kinsoku/>
              <w:wordWrap/>
              <w:overflowPunct/>
              <w:topLinePunct w:val="0"/>
              <w:bidi w:val="0"/>
              <w:spacing w:line="337" w:lineRule="auto"/>
              <w:rPr>
                <w:rFonts w:ascii="Arial"/>
                <w:sz w:val="21"/>
              </w:rPr>
            </w:pPr>
          </w:p>
          <w:p w14:paraId="04640EA5">
            <w:pPr>
              <w:keepNext w:val="0"/>
              <w:keepLines w:val="0"/>
              <w:pageBreakBefore w:val="0"/>
              <w:kinsoku/>
              <w:wordWrap/>
              <w:overflowPunct/>
              <w:topLinePunct w:val="0"/>
              <w:bidi w:val="0"/>
              <w:spacing w:line="338" w:lineRule="auto"/>
              <w:rPr>
                <w:rFonts w:ascii="Arial"/>
                <w:sz w:val="21"/>
              </w:rPr>
            </w:pPr>
          </w:p>
          <w:p w14:paraId="498849B4">
            <w:pPr>
              <w:pStyle w:val="16"/>
              <w:keepNext w:val="0"/>
              <w:keepLines w:val="0"/>
              <w:pageBreakBefore w:val="0"/>
              <w:kinsoku/>
              <w:wordWrap/>
              <w:overflowPunct/>
              <w:topLinePunct w:val="0"/>
              <w:bidi w:val="0"/>
              <w:spacing w:before="65" w:line="324" w:lineRule="exact"/>
              <w:ind w:left="148"/>
            </w:pPr>
            <w:r>
              <w:rPr>
                <w:spacing w:val="-5"/>
                <w:position w:val="2"/>
              </w:rPr>
              <w:t>……</w:t>
            </w:r>
          </w:p>
        </w:tc>
        <w:tc>
          <w:tcPr>
            <w:tcW w:w="657" w:type="dxa"/>
            <w:vAlign w:val="top"/>
          </w:tcPr>
          <w:p w14:paraId="019FBD55">
            <w:pPr>
              <w:keepNext w:val="0"/>
              <w:keepLines w:val="0"/>
              <w:pageBreakBefore w:val="0"/>
              <w:kinsoku/>
              <w:wordWrap/>
              <w:overflowPunct/>
              <w:topLinePunct w:val="0"/>
              <w:bidi w:val="0"/>
              <w:spacing w:line="337" w:lineRule="auto"/>
              <w:rPr>
                <w:rFonts w:ascii="Arial"/>
                <w:sz w:val="21"/>
              </w:rPr>
            </w:pPr>
          </w:p>
          <w:p w14:paraId="492E130B">
            <w:pPr>
              <w:keepNext w:val="0"/>
              <w:keepLines w:val="0"/>
              <w:pageBreakBefore w:val="0"/>
              <w:kinsoku/>
              <w:wordWrap/>
              <w:overflowPunct/>
              <w:topLinePunct w:val="0"/>
              <w:bidi w:val="0"/>
              <w:spacing w:line="338" w:lineRule="auto"/>
              <w:rPr>
                <w:rFonts w:ascii="Arial"/>
                <w:sz w:val="21"/>
              </w:rPr>
            </w:pPr>
          </w:p>
          <w:p w14:paraId="513EE536">
            <w:pPr>
              <w:pStyle w:val="16"/>
              <w:keepNext w:val="0"/>
              <w:keepLines w:val="0"/>
              <w:pageBreakBefore w:val="0"/>
              <w:kinsoku/>
              <w:wordWrap/>
              <w:overflowPunct/>
              <w:topLinePunct w:val="0"/>
              <w:bidi w:val="0"/>
              <w:spacing w:before="65" w:line="324" w:lineRule="exact"/>
              <w:ind w:left="150"/>
            </w:pPr>
            <w:r>
              <w:rPr>
                <w:position w:val="2"/>
              </w:rPr>
              <w:t>…</w:t>
            </w:r>
          </w:p>
        </w:tc>
        <w:tc>
          <w:tcPr>
            <w:tcW w:w="1145" w:type="dxa"/>
            <w:vAlign w:val="top"/>
          </w:tcPr>
          <w:p w14:paraId="7A5B8B37">
            <w:pPr>
              <w:pStyle w:val="16"/>
              <w:keepNext w:val="0"/>
              <w:keepLines w:val="0"/>
              <w:pageBreakBefore w:val="0"/>
              <w:kinsoku/>
              <w:wordWrap/>
              <w:overflowPunct/>
              <w:topLinePunct w:val="0"/>
              <w:bidi w:val="0"/>
              <w:spacing w:before="276" w:line="285" w:lineRule="auto"/>
              <w:ind w:left="131" w:right="284" w:firstLine="24"/>
              <w:jc w:val="both"/>
            </w:pPr>
            <w:r>
              <w:rPr>
                <w:spacing w:val="-8"/>
              </w:rPr>
              <w:t>1……</w:t>
            </w:r>
            <w:r>
              <w:rPr>
                <w:spacing w:val="-4"/>
              </w:rPr>
              <w:t>2……</w:t>
            </w:r>
            <w:r>
              <w:rPr>
                <w:spacing w:val="-3"/>
              </w:rPr>
              <w:t>3……</w:t>
            </w:r>
          </w:p>
          <w:p w14:paraId="75839F52">
            <w:pPr>
              <w:keepNext w:val="0"/>
              <w:keepLines w:val="0"/>
              <w:pageBreakBefore w:val="0"/>
              <w:kinsoku/>
              <w:wordWrap/>
              <w:overflowPunct/>
              <w:topLinePunct w:val="0"/>
              <w:bidi w:val="0"/>
              <w:spacing w:before="97" w:line="38" w:lineRule="exact"/>
              <w:ind w:firstLine="153"/>
            </w:pPr>
            <w:r>
              <w:drawing>
                <wp:inline distT="0" distB="0" distL="0" distR="0">
                  <wp:extent cx="236855" cy="2349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39"/>
                          <a:stretch>
                            <a:fillRect/>
                          </a:stretch>
                        </pic:blipFill>
                        <pic:spPr>
                          <a:xfrm>
                            <a:off x="0" y="0"/>
                            <a:ext cx="236874" cy="24106"/>
                          </a:xfrm>
                          <a:prstGeom prst="rect">
                            <a:avLst/>
                          </a:prstGeom>
                        </pic:spPr>
                      </pic:pic>
                    </a:graphicData>
                  </a:graphic>
                </wp:inline>
              </w:drawing>
            </w:r>
          </w:p>
        </w:tc>
        <w:tc>
          <w:tcPr>
            <w:tcW w:w="1114" w:type="dxa"/>
            <w:vAlign w:val="top"/>
          </w:tcPr>
          <w:p w14:paraId="45A86A2C">
            <w:pPr>
              <w:keepNext w:val="0"/>
              <w:keepLines w:val="0"/>
              <w:pageBreakBefore w:val="0"/>
              <w:kinsoku/>
              <w:wordWrap/>
              <w:overflowPunct/>
              <w:topLinePunct w:val="0"/>
              <w:bidi w:val="0"/>
              <w:rPr>
                <w:rFonts w:ascii="Arial"/>
                <w:sz w:val="21"/>
              </w:rPr>
            </w:pPr>
          </w:p>
        </w:tc>
      </w:tr>
      <w:tr w14:paraId="2A4E7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7" w:hRule="atLeast"/>
        </w:trPr>
        <w:tc>
          <w:tcPr>
            <w:tcW w:w="600" w:type="dxa"/>
            <w:vAlign w:val="top"/>
          </w:tcPr>
          <w:p w14:paraId="4061BA19">
            <w:pPr>
              <w:keepNext w:val="0"/>
              <w:keepLines w:val="0"/>
              <w:pageBreakBefore w:val="0"/>
              <w:kinsoku/>
              <w:wordWrap/>
              <w:overflowPunct/>
              <w:topLinePunct w:val="0"/>
              <w:bidi w:val="0"/>
              <w:spacing w:line="245" w:lineRule="auto"/>
              <w:rPr>
                <w:rFonts w:ascii="Arial"/>
                <w:sz w:val="21"/>
              </w:rPr>
            </w:pPr>
          </w:p>
          <w:p w14:paraId="542E5FA1">
            <w:pPr>
              <w:keepNext w:val="0"/>
              <w:keepLines w:val="0"/>
              <w:pageBreakBefore w:val="0"/>
              <w:kinsoku/>
              <w:wordWrap/>
              <w:overflowPunct/>
              <w:topLinePunct w:val="0"/>
              <w:bidi w:val="0"/>
              <w:spacing w:line="245" w:lineRule="auto"/>
              <w:rPr>
                <w:rFonts w:ascii="Arial"/>
                <w:sz w:val="21"/>
              </w:rPr>
            </w:pPr>
          </w:p>
          <w:p w14:paraId="757AF3B7">
            <w:pPr>
              <w:keepNext w:val="0"/>
              <w:keepLines w:val="0"/>
              <w:pageBreakBefore w:val="0"/>
              <w:kinsoku/>
              <w:wordWrap/>
              <w:overflowPunct/>
              <w:topLinePunct w:val="0"/>
              <w:bidi w:val="0"/>
              <w:spacing w:line="245" w:lineRule="auto"/>
              <w:rPr>
                <w:rFonts w:ascii="Arial"/>
                <w:sz w:val="21"/>
              </w:rPr>
            </w:pPr>
          </w:p>
          <w:p w14:paraId="184FF375">
            <w:pPr>
              <w:pStyle w:val="16"/>
              <w:keepNext w:val="0"/>
              <w:keepLines w:val="0"/>
              <w:pageBreakBefore w:val="0"/>
              <w:kinsoku/>
              <w:wordWrap/>
              <w:overflowPunct/>
              <w:topLinePunct w:val="0"/>
              <w:bidi w:val="0"/>
              <w:spacing w:before="65" w:line="189" w:lineRule="auto"/>
              <w:ind w:left="128"/>
            </w:pPr>
            <w:r>
              <w:t>2</w:t>
            </w:r>
          </w:p>
        </w:tc>
        <w:tc>
          <w:tcPr>
            <w:tcW w:w="1139" w:type="dxa"/>
            <w:vAlign w:val="top"/>
          </w:tcPr>
          <w:p w14:paraId="6D076452">
            <w:pPr>
              <w:keepNext w:val="0"/>
              <w:keepLines w:val="0"/>
              <w:pageBreakBefore w:val="0"/>
              <w:kinsoku/>
              <w:wordWrap/>
              <w:overflowPunct/>
              <w:topLinePunct w:val="0"/>
              <w:bidi w:val="0"/>
              <w:spacing w:line="335" w:lineRule="auto"/>
              <w:rPr>
                <w:rFonts w:ascii="Arial"/>
                <w:sz w:val="21"/>
              </w:rPr>
            </w:pPr>
          </w:p>
          <w:p w14:paraId="49BFE1E7">
            <w:pPr>
              <w:keepNext w:val="0"/>
              <w:keepLines w:val="0"/>
              <w:pageBreakBefore w:val="0"/>
              <w:kinsoku/>
              <w:wordWrap/>
              <w:overflowPunct/>
              <w:topLinePunct w:val="0"/>
              <w:bidi w:val="0"/>
              <w:spacing w:line="336" w:lineRule="auto"/>
              <w:rPr>
                <w:rFonts w:ascii="Arial"/>
                <w:sz w:val="21"/>
              </w:rPr>
            </w:pPr>
          </w:p>
          <w:p w14:paraId="2903A1C9">
            <w:pPr>
              <w:pStyle w:val="16"/>
              <w:keepNext w:val="0"/>
              <w:keepLines w:val="0"/>
              <w:pageBreakBefore w:val="0"/>
              <w:kinsoku/>
              <w:wordWrap/>
              <w:overflowPunct/>
              <w:topLinePunct w:val="0"/>
              <w:bidi w:val="0"/>
              <w:spacing w:before="65" w:line="324" w:lineRule="exact"/>
              <w:ind w:left="141"/>
            </w:pPr>
            <w:r>
              <w:rPr>
                <w:spacing w:val="-5"/>
                <w:position w:val="2"/>
              </w:rPr>
              <w:t>……</w:t>
            </w:r>
          </w:p>
        </w:tc>
        <w:tc>
          <w:tcPr>
            <w:tcW w:w="735" w:type="dxa"/>
            <w:vAlign w:val="top"/>
          </w:tcPr>
          <w:p w14:paraId="18C03B03">
            <w:pPr>
              <w:keepNext w:val="0"/>
              <w:keepLines w:val="0"/>
              <w:pageBreakBefore w:val="0"/>
              <w:kinsoku/>
              <w:wordWrap/>
              <w:overflowPunct/>
              <w:topLinePunct w:val="0"/>
              <w:bidi w:val="0"/>
              <w:spacing w:line="335" w:lineRule="auto"/>
              <w:rPr>
                <w:rFonts w:ascii="Arial"/>
                <w:sz w:val="21"/>
              </w:rPr>
            </w:pPr>
          </w:p>
          <w:p w14:paraId="29270E5D">
            <w:pPr>
              <w:keepNext w:val="0"/>
              <w:keepLines w:val="0"/>
              <w:pageBreakBefore w:val="0"/>
              <w:kinsoku/>
              <w:wordWrap/>
              <w:overflowPunct/>
              <w:topLinePunct w:val="0"/>
              <w:bidi w:val="0"/>
              <w:spacing w:line="336" w:lineRule="auto"/>
              <w:rPr>
                <w:rFonts w:ascii="Arial"/>
                <w:sz w:val="21"/>
              </w:rPr>
            </w:pPr>
          </w:p>
          <w:p w14:paraId="2BF938C0">
            <w:pPr>
              <w:pStyle w:val="16"/>
              <w:keepNext w:val="0"/>
              <w:keepLines w:val="0"/>
              <w:pageBreakBefore w:val="0"/>
              <w:kinsoku/>
              <w:wordWrap/>
              <w:overflowPunct/>
              <w:topLinePunct w:val="0"/>
              <w:bidi w:val="0"/>
              <w:spacing w:before="65" w:line="324" w:lineRule="exact"/>
              <w:ind w:left="145"/>
            </w:pPr>
            <w:r>
              <w:rPr>
                <w:position w:val="2"/>
              </w:rPr>
              <w:t>…</w:t>
            </w:r>
          </w:p>
        </w:tc>
        <w:tc>
          <w:tcPr>
            <w:tcW w:w="1575" w:type="dxa"/>
            <w:vAlign w:val="top"/>
          </w:tcPr>
          <w:p w14:paraId="12DA8698">
            <w:pPr>
              <w:pStyle w:val="16"/>
              <w:keepNext w:val="0"/>
              <w:keepLines w:val="0"/>
              <w:pageBreakBefore w:val="0"/>
              <w:kinsoku/>
              <w:wordWrap/>
              <w:overflowPunct/>
              <w:topLinePunct w:val="0"/>
              <w:bidi w:val="0"/>
              <w:spacing w:before="275" w:line="285" w:lineRule="auto"/>
              <w:ind w:left="124" w:right="721" w:firstLine="27"/>
              <w:jc w:val="both"/>
            </w:pPr>
            <w:r>
              <w:rPr>
                <w:spacing w:val="-8"/>
              </w:rPr>
              <w:t>1……</w:t>
            </w:r>
            <w:r>
              <w:rPr>
                <w:spacing w:val="-4"/>
              </w:rPr>
              <w:t>2……</w:t>
            </w:r>
            <w:r>
              <w:rPr>
                <w:spacing w:val="-3"/>
              </w:rPr>
              <w:t>3……</w:t>
            </w:r>
          </w:p>
          <w:p w14:paraId="1AE5206F">
            <w:pPr>
              <w:keepNext w:val="0"/>
              <w:keepLines w:val="0"/>
              <w:pageBreakBefore w:val="0"/>
              <w:kinsoku/>
              <w:wordWrap/>
              <w:overflowPunct/>
              <w:topLinePunct w:val="0"/>
              <w:bidi w:val="0"/>
              <w:spacing w:before="97" w:line="38" w:lineRule="exact"/>
              <w:ind w:firstLine="147"/>
            </w:pPr>
            <w:r>
              <w:drawing>
                <wp:inline distT="0" distB="0" distL="0" distR="0">
                  <wp:extent cx="236855" cy="2349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40"/>
                          <a:stretch>
                            <a:fillRect/>
                          </a:stretch>
                        </pic:blipFill>
                        <pic:spPr>
                          <a:xfrm>
                            <a:off x="0" y="0"/>
                            <a:ext cx="236874" cy="24105"/>
                          </a:xfrm>
                          <a:prstGeom prst="rect">
                            <a:avLst/>
                          </a:prstGeom>
                        </pic:spPr>
                      </pic:pic>
                    </a:graphicData>
                  </a:graphic>
                </wp:inline>
              </w:drawing>
            </w:r>
          </w:p>
        </w:tc>
        <w:tc>
          <w:tcPr>
            <w:tcW w:w="1138" w:type="dxa"/>
            <w:vAlign w:val="top"/>
          </w:tcPr>
          <w:p w14:paraId="1C74DB4C">
            <w:pPr>
              <w:keepNext w:val="0"/>
              <w:keepLines w:val="0"/>
              <w:pageBreakBefore w:val="0"/>
              <w:kinsoku/>
              <w:wordWrap/>
              <w:overflowPunct/>
              <w:topLinePunct w:val="0"/>
              <w:bidi w:val="0"/>
              <w:spacing w:line="335" w:lineRule="auto"/>
              <w:rPr>
                <w:rFonts w:ascii="Arial"/>
                <w:sz w:val="21"/>
              </w:rPr>
            </w:pPr>
          </w:p>
          <w:p w14:paraId="7B817445">
            <w:pPr>
              <w:keepNext w:val="0"/>
              <w:keepLines w:val="0"/>
              <w:pageBreakBefore w:val="0"/>
              <w:kinsoku/>
              <w:wordWrap/>
              <w:overflowPunct/>
              <w:topLinePunct w:val="0"/>
              <w:bidi w:val="0"/>
              <w:spacing w:line="336" w:lineRule="auto"/>
              <w:rPr>
                <w:rFonts w:ascii="Arial"/>
                <w:sz w:val="21"/>
              </w:rPr>
            </w:pPr>
          </w:p>
          <w:p w14:paraId="5B57787D">
            <w:pPr>
              <w:pStyle w:val="16"/>
              <w:keepNext w:val="0"/>
              <w:keepLines w:val="0"/>
              <w:pageBreakBefore w:val="0"/>
              <w:kinsoku/>
              <w:wordWrap/>
              <w:overflowPunct/>
              <w:topLinePunct w:val="0"/>
              <w:bidi w:val="0"/>
              <w:spacing w:before="65" w:line="324" w:lineRule="exact"/>
              <w:ind w:left="148"/>
            </w:pPr>
            <w:r>
              <w:rPr>
                <w:spacing w:val="-5"/>
                <w:position w:val="2"/>
              </w:rPr>
              <w:t>……</w:t>
            </w:r>
          </w:p>
        </w:tc>
        <w:tc>
          <w:tcPr>
            <w:tcW w:w="657" w:type="dxa"/>
            <w:vAlign w:val="top"/>
          </w:tcPr>
          <w:p w14:paraId="170ABD04">
            <w:pPr>
              <w:keepNext w:val="0"/>
              <w:keepLines w:val="0"/>
              <w:pageBreakBefore w:val="0"/>
              <w:kinsoku/>
              <w:wordWrap/>
              <w:overflowPunct/>
              <w:topLinePunct w:val="0"/>
              <w:bidi w:val="0"/>
              <w:spacing w:line="335" w:lineRule="auto"/>
              <w:rPr>
                <w:rFonts w:ascii="Arial"/>
                <w:sz w:val="21"/>
              </w:rPr>
            </w:pPr>
          </w:p>
          <w:p w14:paraId="6F19886C">
            <w:pPr>
              <w:keepNext w:val="0"/>
              <w:keepLines w:val="0"/>
              <w:pageBreakBefore w:val="0"/>
              <w:kinsoku/>
              <w:wordWrap/>
              <w:overflowPunct/>
              <w:topLinePunct w:val="0"/>
              <w:bidi w:val="0"/>
              <w:spacing w:line="336" w:lineRule="auto"/>
              <w:rPr>
                <w:rFonts w:ascii="Arial"/>
                <w:sz w:val="21"/>
              </w:rPr>
            </w:pPr>
          </w:p>
          <w:p w14:paraId="2B2BF8B0">
            <w:pPr>
              <w:pStyle w:val="16"/>
              <w:keepNext w:val="0"/>
              <w:keepLines w:val="0"/>
              <w:pageBreakBefore w:val="0"/>
              <w:kinsoku/>
              <w:wordWrap/>
              <w:overflowPunct/>
              <w:topLinePunct w:val="0"/>
              <w:bidi w:val="0"/>
              <w:spacing w:before="65" w:line="324" w:lineRule="exact"/>
              <w:ind w:left="150"/>
            </w:pPr>
            <w:r>
              <w:rPr>
                <w:position w:val="2"/>
              </w:rPr>
              <w:t>…</w:t>
            </w:r>
          </w:p>
        </w:tc>
        <w:tc>
          <w:tcPr>
            <w:tcW w:w="1145" w:type="dxa"/>
            <w:vAlign w:val="top"/>
          </w:tcPr>
          <w:p w14:paraId="57B0A6F2">
            <w:pPr>
              <w:pStyle w:val="16"/>
              <w:keepNext w:val="0"/>
              <w:keepLines w:val="0"/>
              <w:pageBreakBefore w:val="0"/>
              <w:kinsoku/>
              <w:wordWrap/>
              <w:overflowPunct/>
              <w:topLinePunct w:val="0"/>
              <w:bidi w:val="0"/>
              <w:spacing w:before="275" w:line="285" w:lineRule="auto"/>
              <w:ind w:left="131" w:right="284" w:firstLine="24"/>
              <w:jc w:val="both"/>
            </w:pPr>
            <w:r>
              <w:rPr>
                <w:spacing w:val="-8"/>
              </w:rPr>
              <w:t>1……</w:t>
            </w:r>
            <w:r>
              <w:rPr>
                <w:spacing w:val="-4"/>
              </w:rPr>
              <w:t>2……</w:t>
            </w:r>
            <w:r>
              <w:rPr>
                <w:spacing w:val="-3"/>
              </w:rPr>
              <w:t>3……</w:t>
            </w:r>
          </w:p>
          <w:p w14:paraId="5C00E98E">
            <w:pPr>
              <w:keepNext w:val="0"/>
              <w:keepLines w:val="0"/>
              <w:pageBreakBefore w:val="0"/>
              <w:kinsoku/>
              <w:wordWrap/>
              <w:overflowPunct/>
              <w:topLinePunct w:val="0"/>
              <w:bidi w:val="0"/>
              <w:spacing w:before="97" w:line="38" w:lineRule="exact"/>
              <w:ind w:firstLine="153"/>
            </w:pPr>
            <w:r>
              <w:drawing>
                <wp:inline distT="0" distB="0" distL="0" distR="0">
                  <wp:extent cx="236855" cy="2349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40"/>
                          <a:stretch>
                            <a:fillRect/>
                          </a:stretch>
                        </pic:blipFill>
                        <pic:spPr>
                          <a:xfrm>
                            <a:off x="0" y="0"/>
                            <a:ext cx="236874" cy="24105"/>
                          </a:xfrm>
                          <a:prstGeom prst="rect">
                            <a:avLst/>
                          </a:prstGeom>
                        </pic:spPr>
                      </pic:pic>
                    </a:graphicData>
                  </a:graphic>
                </wp:inline>
              </w:drawing>
            </w:r>
          </w:p>
        </w:tc>
        <w:tc>
          <w:tcPr>
            <w:tcW w:w="1114" w:type="dxa"/>
            <w:vAlign w:val="top"/>
          </w:tcPr>
          <w:p w14:paraId="079E19D5">
            <w:pPr>
              <w:keepNext w:val="0"/>
              <w:keepLines w:val="0"/>
              <w:pageBreakBefore w:val="0"/>
              <w:kinsoku/>
              <w:wordWrap/>
              <w:overflowPunct/>
              <w:topLinePunct w:val="0"/>
              <w:bidi w:val="0"/>
              <w:rPr>
                <w:rFonts w:ascii="Arial"/>
                <w:sz w:val="21"/>
              </w:rPr>
            </w:pPr>
          </w:p>
        </w:tc>
      </w:tr>
      <w:tr w14:paraId="7BE21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600" w:type="dxa"/>
            <w:vAlign w:val="top"/>
          </w:tcPr>
          <w:p w14:paraId="31FDB219">
            <w:pPr>
              <w:pStyle w:val="16"/>
              <w:keepNext w:val="0"/>
              <w:keepLines w:val="0"/>
              <w:pageBreakBefore w:val="0"/>
              <w:kinsoku/>
              <w:wordWrap/>
              <w:overflowPunct/>
              <w:topLinePunct w:val="0"/>
              <w:bidi w:val="0"/>
              <w:spacing w:before="242" w:line="67" w:lineRule="exact"/>
              <w:ind w:left="134"/>
            </w:pPr>
            <w:r>
              <w:rPr>
                <w:position w:val="1"/>
              </w:rPr>
              <w:t>...</w:t>
            </w:r>
          </w:p>
        </w:tc>
        <w:tc>
          <w:tcPr>
            <w:tcW w:w="1139" w:type="dxa"/>
            <w:vAlign w:val="top"/>
          </w:tcPr>
          <w:p w14:paraId="7FEC7114">
            <w:pPr>
              <w:keepNext w:val="0"/>
              <w:keepLines w:val="0"/>
              <w:pageBreakBefore w:val="0"/>
              <w:kinsoku/>
              <w:wordWrap/>
              <w:overflowPunct/>
              <w:topLinePunct w:val="0"/>
              <w:bidi w:val="0"/>
              <w:rPr>
                <w:rFonts w:ascii="Arial"/>
                <w:sz w:val="21"/>
              </w:rPr>
            </w:pPr>
          </w:p>
        </w:tc>
        <w:tc>
          <w:tcPr>
            <w:tcW w:w="735" w:type="dxa"/>
            <w:vAlign w:val="top"/>
          </w:tcPr>
          <w:p w14:paraId="0CE0C021">
            <w:pPr>
              <w:keepNext w:val="0"/>
              <w:keepLines w:val="0"/>
              <w:pageBreakBefore w:val="0"/>
              <w:kinsoku/>
              <w:wordWrap/>
              <w:overflowPunct/>
              <w:topLinePunct w:val="0"/>
              <w:bidi w:val="0"/>
              <w:rPr>
                <w:rFonts w:ascii="Arial"/>
                <w:sz w:val="21"/>
              </w:rPr>
            </w:pPr>
          </w:p>
        </w:tc>
        <w:tc>
          <w:tcPr>
            <w:tcW w:w="1575" w:type="dxa"/>
            <w:vAlign w:val="top"/>
          </w:tcPr>
          <w:p w14:paraId="76035B1F">
            <w:pPr>
              <w:keepNext w:val="0"/>
              <w:keepLines w:val="0"/>
              <w:pageBreakBefore w:val="0"/>
              <w:kinsoku/>
              <w:wordWrap/>
              <w:overflowPunct/>
              <w:topLinePunct w:val="0"/>
              <w:bidi w:val="0"/>
              <w:rPr>
                <w:rFonts w:ascii="Arial"/>
                <w:sz w:val="21"/>
              </w:rPr>
            </w:pPr>
          </w:p>
        </w:tc>
        <w:tc>
          <w:tcPr>
            <w:tcW w:w="1138" w:type="dxa"/>
            <w:vAlign w:val="top"/>
          </w:tcPr>
          <w:p w14:paraId="61FFBCB0">
            <w:pPr>
              <w:keepNext w:val="0"/>
              <w:keepLines w:val="0"/>
              <w:pageBreakBefore w:val="0"/>
              <w:kinsoku/>
              <w:wordWrap/>
              <w:overflowPunct/>
              <w:topLinePunct w:val="0"/>
              <w:bidi w:val="0"/>
              <w:rPr>
                <w:rFonts w:ascii="Arial"/>
                <w:sz w:val="21"/>
              </w:rPr>
            </w:pPr>
          </w:p>
        </w:tc>
        <w:tc>
          <w:tcPr>
            <w:tcW w:w="657" w:type="dxa"/>
            <w:vAlign w:val="top"/>
          </w:tcPr>
          <w:p w14:paraId="097A1032">
            <w:pPr>
              <w:keepNext w:val="0"/>
              <w:keepLines w:val="0"/>
              <w:pageBreakBefore w:val="0"/>
              <w:kinsoku/>
              <w:wordWrap/>
              <w:overflowPunct/>
              <w:topLinePunct w:val="0"/>
              <w:bidi w:val="0"/>
              <w:rPr>
                <w:rFonts w:ascii="Arial"/>
                <w:sz w:val="21"/>
              </w:rPr>
            </w:pPr>
          </w:p>
        </w:tc>
        <w:tc>
          <w:tcPr>
            <w:tcW w:w="1145" w:type="dxa"/>
            <w:vAlign w:val="top"/>
          </w:tcPr>
          <w:p w14:paraId="01901BE1">
            <w:pPr>
              <w:keepNext w:val="0"/>
              <w:keepLines w:val="0"/>
              <w:pageBreakBefore w:val="0"/>
              <w:kinsoku/>
              <w:wordWrap/>
              <w:overflowPunct/>
              <w:topLinePunct w:val="0"/>
              <w:bidi w:val="0"/>
              <w:rPr>
                <w:rFonts w:ascii="Arial"/>
                <w:sz w:val="21"/>
              </w:rPr>
            </w:pPr>
          </w:p>
        </w:tc>
        <w:tc>
          <w:tcPr>
            <w:tcW w:w="1114" w:type="dxa"/>
            <w:vAlign w:val="top"/>
          </w:tcPr>
          <w:p w14:paraId="2F6B5649">
            <w:pPr>
              <w:keepNext w:val="0"/>
              <w:keepLines w:val="0"/>
              <w:pageBreakBefore w:val="0"/>
              <w:kinsoku/>
              <w:wordWrap/>
              <w:overflowPunct/>
              <w:topLinePunct w:val="0"/>
              <w:bidi w:val="0"/>
              <w:rPr>
                <w:rFonts w:ascii="Arial"/>
                <w:sz w:val="21"/>
              </w:rPr>
            </w:pPr>
          </w:p>
        </w:tc>
      </w:tr>
    </w:tbl>
    <w:p w14:paraId="7A60E5F4">
      <w:pPr>
        <w:keepNext w:val="0"/>
        <w:keepLines w:val="0"/>
        <w:pageBreakBefore w:val="0"/>
        <w:kinsoku/>
        <w:wordWrap/>
        <w:overflowPunct/>
        <w:topLinePunct w:val="0"/>
        <w:bidi w:val="0"/>
        <w:spacing w:before="115" w:line="353" w:lineRule="auto"/>
        <w:ind w:right="300" w:firstLine="11"/>
        <w:jc w:val="both"/>
        <w:rPr>
          <w:rFonts w:ascii="宋体" w:hAnsi="宋体" w:eastAsia="宋体" w:cs="宋体"/>
          <w:sz w:val="24"/>
          <w:szCs w:val="24"/>
        </w:rPr>
      </w:pPr>
      <w:r>
        <w:rPr>
          <w:rFonts w:ascii="宋体" w:hAnsi="宋体" w:eastAsia="宋体" w:cs="宋体"/>
          <w:spacing w:val="-1"/>
          <w:sz w:val="24"/>
          <w:szCs w:val="24"/>
        </w:rPr>
        <w:t>注：供应商应根据自身的承诺，对照磋商文件要求，在“偏离说明”中注明“正偏</w:t>
      </w:r>
      <w:r>
        <w:rPr>
          <w:rFonts w:ascii="宋体" w:hAnsi="宋体" w:eastAsia="宋体" w:cs="宋体"/>
          <w:spacing w:val="-7"/>
          <w:sz w:val="24"/>
          <w:szCs w:val="24"/>
        </w:rPr>
        <w:t>离”、“负偏离”或者“无偏离”。既不属于“正偏离”也不属于“负偏离”即为</w:t>
      </w:r>
      <w:r>
        <w:rPr>
          <w:rFonts w:ascii="宋体" w:hAnsi="宋体" w:eastAsia="宋体" w:cs="宋体"/>
          <w:spacing w:val="-3"/>
          <w:sz w:val="24"/>
          <w:szCs w:val="24"/>
        </w:rPr>
        <w:t>“无偏离”。当响应文件的商务内容低于竞争性磋商采购文件要求时，竞标人应当</w:t>
      </w:r>
      <w:r>
        <w:rPr>
          <w:rFonts w:ascii="宋体" w:hAnsi="宋体" w:eastAsia="宋体" w:cs="宋体"/>
          <w:sz w:val="24"/>
          <w:szCs w:val="24"/>
        </w:rPr>
        <w:t>如实写明“负偏离”，否则视为虚假应标。</w:t>
      </w:r>
    </w:p>
    <w:p w14:paraId="0D816957">
      <w:pPr>
        <w:keepNext w:val="0"/>
        <w:keepLines w:val="0"/>
        <w:pageBreakBefore w:val="0"/>
        <w:kinsoku/>
        <w:wordWrap/>
        <w:overflowPunct/>
        <w:topLinePunct w:val="0"/>
        <w:bidi w:val="0"/>
        <w:spacing w:before="36" w:line="219" w:lineRule="auto"/>
        <w:ind w:left="3462"/>
        <w:rPr>
          <w:rFonts w:ascii="宋体" w:hAnsi="宋体" w:eastAsia="宋体" w:cs="宋体"/>
          <w:sz w:val="24"/>
          <w:szCs w:val="24"/>
        </w:rPr>
      </w:pPr>
      <w:r>
        <w:rPr>
          <w:rFonts w:ascii="宋体" w:hAnsi="宋体" w:eastAsia="宋体" w:cs="宋体"/>
          <w:b/>
          <w:bCs/>
          <w:spacing w:val="-3"/>
          <w:sz w:val="24"/>
          <w:szCs w:val="24"/>
        </w:rPr>
        <w:t>服务配置清单(如有)</w:t>
      </w:r>
    </w:p>
    <w:p w14:paraId="33F60643">
      <w:pPr>
        <w:keepNext w:val="0"/>
        <w:keepLines w:val="0"/>
        <w:pageBreakBefore w:val="0"/>
        <w:kinsoku/>
        <w:wordWrap/>
        <w:overflowPunct/>
        <w:topLinePunct w:val="0"/>
        <w:bidi w:val="0"/>
        <w:spacing w:line="213" w:lineRule="exact"/>
      </w:pPr>
    </w:p>
    <w:tbl>
      <w:tblPr>
        <w:tblStyle w:val="15"/>
        <w:tblW w:w="8960" w:type="dxa"/>
        <w:tblInd w:w="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6"/>
        <w:gridCol w:w="1244"/>
        <w:gridCol w:w="801"/>
        <w:gridCol w:w="894"/>
        <w:gridCol w:w="1783"/>
        <w:gridCol w:w="1242"/>
        <w:gridCol w:w="737"/>
        <w:gridCol w:w="1513"/>
      </w:tblGrid>
      <w:tr w14:paraId="43F39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1" w:hRule="atLeast"/>
        </w:trPr>
        <w:tc>
          <w:tcPr>
            <w:tcW w:w="746" w:type="dxa"/>
            <w:vAlign w:val="top"/>
          </w:tcPr>
          <w:p w14:paraId="0B83DF12">
            <w:pPr>
              <w:keepNext w:val="0"/>
              <w:keepLines w:val="0"/>
              <w:pageBreakBefore w:val="0"/>
              <w:kinsoku/>
              <w:wordWrap/>
              <w:overflowPunct/>
              <w:topLinePunct w:val="0"/>
              <w:bidi w:val="0"/>
              <w:spacing w:line="378" w:lineRule="auto"/>
              <w:rPr>
                <w:rFonts w:ascii="Arial"/>
                <w:sz w:val="21"/>
              </w:rPr>
            </w:pPr>
          </w:p>
          <w:p w14:paraId="60A7556B">
            <w:pPr>
              <w:pStyle w:val="16"/>
              <w:keepNext w:val="0"/>
              <w:keepLines w:val="0"/>
              <w:pageBreakBefore w:val="0"/>
              <w:kinsoku/>
              <w:wordWrap/>
              <w:overflowPunct/>
              <w:topLinePunct w:val="0"/>
              <w:bidi w:val="0"/>
              <w:spacing w:before="78" w:line="221" w:lineRule="auto"/>
              <w:ind w:left="146"/>
              <w:rPr>
                <w:sz w:val="24"/>
                <w:szCs w:val="24"/>
              </w:rPr>
            </w:pPr>
            <w:r>
              <w:rPr>
                <w:spacing w:val="-5"/>
                <w:sz w:val="24"/>
                <w:szCs w:val="24"/>
              </w:rPr>
              <w:t>序号</w:t>
            </w:r>
          </w:p>
        </w:tc>
        <w:tc>
          <w:tcPr>
            <w:tcW w:w="1244" w:type="dxa"/>
            <w:vAlign w:val="top"/>
          </w:tcPr>
          <w:p w14:paraId="16FB17F1">
            <w:pPr>
              <w:keepNext w:val="0"/>
              <w:keepLines w:val="0"/>
              <w:pageBreakBefore w:val="0"/>
              <w:kinsoku/>
              <w:wordWrap/>
              <w:overflowPunct/>
              <w:topLinePunct w:val="0"/>
              <w:bidi w:val="0"/>
              <w:spacing w:line="379" w:lineRule="auto"/>
              <w:rPr>
                <w:rFonts w:ascii="Arial"/>
                <w:sz w:val="21"/>
              </w:rPr>
            </w:pPr>
          </w:p>
          <w:p w14:paraId="31809BDB">
            <w:pPr>
              <w:pStyle w:val="16"/>
              <w:keepNext w:val="0"/>
              <w:keepLines w:val="0"/>
              <w:pageBreakBefore w:val="0"/>
              <w:kinsoku/>
              <w:wordWrap/>
              <w:overflowPunct/>
              <w:topLinePunct w:val="0"/>
              <w:bidi w:val="0"/>
              <w:spacing w:before="78" w:line="219" w:lineRule="auto"/>
              <w:ind w:left="154"/>
              <w:rPr>
                <w:sz w:val="24"/>
                <w:szCs w:val="24"/>
              </w:rPr>
            </w:pPr>
            <w:r>
              <w:rPr>
                <w:spacing w:val="-5"/>
                <w:sz w:val="24"/>
                <w:szCs w:val="24"/>
              </w:rPr>
              <w:t>服务名称</w:t>
            </w:r>
          </w:p>
        </w:tc>
        <w:tc>
          <w:tcPr>
            <w:tcW w:w="801" w:type="dxa"/>
            <w:vAlign w:val="top"/>
          </w:tcPr>
          <w:p w14:paraId="04E0674D">
            <w:pPr>
              <w:pStyle w:val="16"/>
              <w:keepNext w:val="0"/>
              <w:keepLines w:val="0"/>
              <w:pageBreakBefore w:val="0"/>
              <w:kinsoku/>
              <w:wordWrap/>
              <w:overflowPunct/>
              <w:topLinePunct w:val="0"/>
              <w:bidi w:val="0"/>
              <w:spacing w:before="143" w:line="219" w:lineRule="auto"/>
              <w:ind w:left="179"/>
              <w:rPr>
                <w:sz w:val="24"/>
                <w:szCs w:val="24"/>
              </w:rPr>
            </w:pPr>
            <w:r>
              <w:rPr>
                <w:spacing w:val="-6"/>
                <w:sz w:val="24"/>
                <w:szCs w:val="24"/>
              </w:rPr>
              <w:t>数量</w:t>
            </w:r>
          </w:p>
          <w:p w14:paraId="51F38728">
            <w:pPr>
              <w:pStyle w:val="16"/>
              <w:keepNext w:val="0"/>
              <w:keepLines w:val="0"/>
              <w:pageBreakBefore w:val="0"/>
              <w:kinsoku/>
              <w:wordWrap/>
              <w:overflowPunct/>
              <w:topLinePunct w:val="0"/>
              <w:bidi w:val="0"/>
              <w:spacing w:before="26" w:line="220" w:lineRule="auto"/>
              <w:ind w:left="172"/>
              <w:rPr>
                <w:sz w:val="24"/>
                <w:szCs w:val="24"/>
              </w:rPr>
            </w:pPr>
            <w:r>
              <w:rPr>
                <w:spacing w:val="-5"/>
                <w:sz w:val="24"/>
                <w:szCs w:val="24"/>
              </w:rPr>
              <w:t>及单</w:t>
            </w:r>
          </w:p>
          <w:p w14:paraId="2FA464C8">
            <w:pPr>
              <w:pStyle w:val="16"/>
              <w:keepNext w:val="0"/>
              <w:keepLines w:val="0"/>
              <w:pageBreakBefore w:val="0"/>
              <w:kinsoku/>
              <w:wordWrap/>
              <w:overflowPunct/>
              <w:topLinePunct w:val="0"/>
              <w:bidi w:val="0"/>
              <w:spacing w:before="26" w:line="203" w:lineRule="auto"/>
              <w:ind w:left="293"/>
              <w:rPr>
                <w:sz w:val="24"/>
                <w:szCs w:val="24"/>
              </w:rPr>
            </w:pPr>
            <w:r>
              <w:rPr>
                <w:sz w:val="24"/>
                <w:szCs w:val="24"/>
              </w:rPr>
              <w:t>位</w:t>
            </w:r>
          </w:p>
        </w:tc>
        <w:tc>
          <w:tcPr>
            <w:tcW w:w="894" w:type="dxa"/>
            <w:vAlign w:val="top"/>
          </w:tcPr>
          <w:p w14:paraId="2FF61750">
            <w:pPr>
              <w:keepNext w:val="0"/>
              <w:keepLines w:val="0"/>
              <w:pageBreakBefore w:val="0"/>
              <w:kinsoku/>
              <w:wordWrap/>
              <w:overflowPunct/>
              <w:topLinePunct w:val="0"/>
              <w:bidi w:val="0"/>
              <w:spacing w:line="379" w:lineRule="auto"/>
              <w:rPr>
                <w:rFonts w:ascii="Arial"/>
                <w:sz w:val="21"/>
              </w:rPr>
            </w:pPr>
          </w:p>
          <w:p w14:paraId="5681872F">
            <w:pPr>
              <w:pStyle w:val="16"/>
              <w:keepNext w:val="0"/>
              <w:keepLines w:val="0"/>
              <w:pageBreakBefore w:val="0"/>
              <w:kinsoku/>
              <w:wordWrap/>
              <w:overflowPunct/>
              <w:topLinePunct w:val="0"/>
              <w:bidi w:val="0"/>
              <w:spacing w:before="78" w:line="219" w:lineRule="auto"/>
              <w:ind w:left="260"/>
              <w:rPr>
                <w:sz w:val="24"/>
                <w:szCs w:val="24"/>
              </w:rPr>
            </w:pPr>
            <w:r>
              <w:rPr>
                <w:spacing w:val="-15"/>
                <w:sz w:val="24"/>
                <w:szCs w:val="24"/>
              </w:rPr>
              <w:t>品牌</w:t>
            </w:r>
          </w:p>
        </w:tc>
        <w:tc>
          <w:tcPr>
            <w:tcW w:w="1783" w:type="dxa"/>
            <w:vAlign w:val="top"/>
          </w:tcPr>
          <w:p w14:paraId="4CA61072">
            <w:pPr>
              <w:keepNext w:val="0"/>
              <w:keepLines w:val="0"/>
              <w:pageBreakBefore w:val="0"/>
              <w:kinsoku/>
              <w:wordWrap/>
              <w:overflowPunct/>
              <w:topLinePunct w:val="0"/>
              <w:bidi w:val="0"/>
              <w:spacing w:line="379" w:lineRule="auto"/>
              <w:rPr>
                <w:rFonts w:ascii="Arial"/>
                <w:sz w:val="21"/>
              </w:rPr>
            </w:pPr>
          </w:p>
          <w:p w14:paraId="63B0E064">
            <w:pPr>
              <w:pStyle w:val="16"/>
              <w:keepNext w:val="0"/>
              <w:keepLines w:val="0"/>
              <w:pageBreakBefore w:val="0"/>
              <w:kinsoku/>
              <w:wordWrap/>
              <w:overflowPunct/>
              <w:topLinePunct w:val="0"/>
              <w:bidi w:val="0"/>
              <w:spacing w:before="78" w:line="219" w:lineRule="auto"/>
              <w:ind w:left="430"/>
              <w:rPr>
                <w:sz w:val="24"/>
                <w:szCs w:val="24"/>
              </w:rPr>
            </w:pPr>
            <w:r>
              <w:rPr>
                <w:spacing w:val="-7"/>
                <w:sz w:val="24"/>
                <w:szCs w:val="24"/>
              </w:rPr>
              <w:t>规格型号</w:t>
            </w:r>
          </w:p>
        </w:tc>
        <w:tc>
          <w:tcPr>
            <w:tcW w:w="1242" w:type="dxa"/>
            <w:vAlign w:val="top"/>
          </w:tcPr>
          <w:p w14:paraId="00CC69E1">
            <w:pPr>
              <w:keepNext w:val="0"/>
              <w:keepLines w:val="0"/>
              <w:pageBreakBefore w:val="0"/>
              <w:kinsoku/>
              <w:wordWrap/>
              <w:overflowPunct/>
              <w:topLinePunct w:val="0"/>
              <w:bidi w:val="0"/>
              <w:spacing w:line="379" w:lineRule="auto"/>
              <w:rPr>
                <w:rFonts w:ascii="Arial"/>
                <w:sz w:val="21"/>
              </w:rPr>
            </w:pPr>
          </w:p>
          <w:p w14:paraId="550B2012">
            <w:pPr>
              <w:pStyle w:val="16"/>
              <w:keepNext w:val="0"/>
              <w:keepLines w:val="0"/>
              <w:pageBreakBefore w:val="0"/>
              <w:kinsoku/>
              <w:wordWrap/>
              <w:overflowPunct/>
              <w:topLinePunct w:val="0"/>
              <w:bidi w:val="0"/>
              <w:spacing w:before="78" w:line="220" w:lineRule="auto"/>
              <w:ind w:left="281"/>
              <w:rPr>
                <w:sz w:val="24"/>
                <w:szCs w:val="24"/>
              </w:rPr>
            </w:pPr>
            <w:r>
              <w:rPr>
                <w:spacing w:val="-6"/>
                <w:sz w:val="24"/>
                <w:szCs w:val="24"/>
              </w:rPr>
              <w:t>制造商</w:t>
            </w:r>
          </w:p>
        </w:tc>
        <w:tc>
          <w:tcPr>
            <w:tcW w:w="737" w:type="dxa"/>
            <w:vAlign w:val="top"/>
          </w:tcPr>
          <w:p w14:paraId="73665667">
            <w:pPr>
              <w:pStyle w:val="16"/>
              <w:keepNext w:val="0"/>
              <w:keepLines w:val="0"/>
              <w:pageBreakBefore w:val="0"/>
              <w:kinsoku/>
              <w:wordWrap/>
              <w:overflowPunct/>
              <w:topLinePunct w:val="0"/>
              <w:bidi w:val="0"/>
              <w:spacing w:before="263" w:line="234" w:lineRule="auto"/>
              <w:ind w:left="269" w:right="104" w:hanging="107"/>
              <w:rPr>
                <w:sz w:val="24"/>
                <w:szCs w:val="24"/>
              </w:rPr>
            </w:pPr>
            <w:r>
              <w:rPr>
                <w:spacing w:val="-8"/>
                <w:sz w:val="24"/>
                <w:szCs w:val="24"/>
              </w:rPr>
              <w:t>原产</w:t>
            </w:r>
            <w:r>
              <w:rPr>
                <w:sz w:val="24"/>
                <w:szCs w:val="24"/>
              </w:rPr>
              <w:t>地</w:t>
            </w:r>
          </w:p>
        </w:tc>
        <w:tc>
          <w:tcPr>
            <w:tcW w:w="1513" w:type="dxa"/>
            <w:vAlign w:val="top"/>
          </w:tcPr>
          <w:p w14:paraId="260ECA68">
            <w:pPr>
              <w:pStyle w:val="16"/>
              <w:keepNext w:val="0"/>
              <w:keepLines w:val="0"/>
              <w:pageBreakBefore w:val="0"/>
              <w:kinsoku/>
              <w:wordWrap/>
              <w:overflowPunct/>
              <w:topLinePunct w:val="0"/>
              <w:bidi w:val="0"/>
              <w:spacing w:before="262" w:line="230" w:lineRule="auto"/>
              <w:ind w:left="178" w:right="160"/>
              <w:rPr>
                <w:sz w:val="24"/>
                <w:szCs w:val="24"/>
              </w:rPr>
            </w:pPr>
            <w:r>
              <w:rPr>
                <w:spacing w:val="-7"/>
                <w:sz w:val="24"/>
                <w:szCs w:val="24"/>
              </w:rPr>
              <w:t>参数性能、指标及配置</w:t>
            </w:r>
          </w:p>
        </w:tc>
      </w:tr>
      <w:tr w14:paraId="5C718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746" w:type="dxa"/>
            <w:vAlign w:val="top"/>
          </w:tcPr>
          <w:p w14:paraId="5FBFB984">
            <w:pPr>
              <w:keepNext w:val="0"/>
              <w:keepLines w:val="0"/>
              <w:pageBreakBefore w:val="0"/>
              <w:kinsoku/>
              <w:wordWrap/>
              <w:overflowPunct/>
              <w:topLinePunct w:val="0"/>
              <w:bidi w:val="0"/>
              <w:rPr>
                <w:rFonts w:ascii="Arial"/>
                <w:sz w:val="21"/>
              </w:rPr>
            </w:pPr>
          </w:p>
        </w:tc>
        <w:tc>
          <w:tcPr>
            <w:tcW w:w="1244" w:type="dxa"/>
            <w:vAlign w:val="top"/>
          </w:tcPr>
          <w:p w14:paraId="3F1F1ED3">
            <w:pPr>
              <w:keepNext w:val="0"/>
              <w:keepLines w:val="0"/>
              <w:pageBreakBefore w:val="0"/>
              <w:kinsoku/>
              <w:wordWrap/>
              <w:overflowPunct/>
              <w:topLinePunct w:val="0"/>
              <w:bidi w:val="0"/>
              <w:rPr>
                <w:rFonts w:ascii="Arial"/>
                <w:sz w:val="21"/>
              </w:rPr>
            </w:pPr>
          </w:p>
        </w:tc>
        <w:tc>
          <w:tcPr>
            <w:tcW w:w="801" w:type="dxa"/>
            <w:vAlign w:val="top"/>
          </w:tcPr>
          <w:p w14:paraId="7F880E2A">
            <w:pPr>
              <w:keepNext w:val="0"/>
              <w:keepLines w:val="0"/>
              <w:pageBreakBefore w:val="0"/>
              <w:kinsoku/>
              <w:wordWrap/>
              <w:overflowPunct/>
              <w:topLinePunct w:val="0"/>
              <w:bidi w:val="0"/>
              <w:rPr>
                <w:rFonts w:ascii="Arial"/>
                <w:sz w:val="21"/>
              </w:rPr>
            </w:pPr>
          </w:p>
        </w:tc>
        <w:tc>
          <w:tcPr>
            <w:tcW w:w="894" w:type="dxa"/>
            <w:vAlign w:val="top"/>
          </w:tcPr>
          <w:p w14:paraId="717297AF">
            <w:pPr>
              <w:keepNext w:val="0"/>
              <w:keepLines w:val="0"/>
              <w:pageBreakBefore w:val="0"/>
              <w:kinsoku/>
              <w:wordWrap/>
              <w:overflowPunct/>
              <w:topLinePunct w:val="0"/>
              <w:bidi w:val="0"/>
              <w:rPr>
                <w:rFonts w:ascii="Arial"/>
                <w:sz w:val="21"/>
              </w:rPr>
            </w:pPr>
          </w:p>
        </w:tc>
        <w:tc>
          <w:tcPr>
            <w:tcW w:w="1783" w:type="dxa"/>
            <w:vAlign w:val="top"/>
          </w:tcPr>
          <w:p w14:paraId="55E402DD">
            <w:pPr>
              <w:keepNext w:val="0"/>
              <w:keepLines w:val="0"/>
              <w:pageBreakBefore w:val="0"/>
              <w:kinsoku/>
              <w:wordWrap/>
              <w:overflowPunct/>
              <w:topLinePunct w:val="0"/>
              <w:bidi w:val="0"/>
              <w:rPr>
                <w:rFonts w:ascii="Arial"/>
                <w:sz w:val="21"/>
              </w:rPr>
            </w:pPr>
          </w:p>
        </w:tc>
        <w:tc>
          <w:tcPr>
            <w:tcW w:w="1242" w:type="dxa"/>
            <w:vAlign w:val="top"/>
          </w:tcPr>
          <w:p w14:paraId="6D55CA96">
            <w:pPr>
              <w:keepNext w:val="0"/>
              <w:keepLines w:val="0"/>
              <w:pageBreakBefore w:val="0"/>
              <w:kinsoku/>
              <w:wordWrap/>
              <w:overflowPunct/>
              <w:topLinePunct w:val="0"/>
              <w:bidi w:val="0"/>
              <w:rPr>
                <w:rFonts w:ascii="Arial"/>
                <w:sz w:val="21"/>
              </w:rPr>
            </w:pPr>
          </w:p>
        </w:tc>
        <w:tc>
          <w:tcPr>
            <w:tcW w:w="737" w:type="dxa"/>
            <w:vAlign w:val="top"/>
          </w:tcPr>
          <w:p w14:paraId="47207C30">
            <w:pPr>
              <w:keepNext w:val="0"/>
              <w:keepLines w:val="0"/>
              <w:pageBreakBefore w:val="0"/>
              <w:kinsoku/>
              <w:wordWrap/>
              <w:overflowPunct/>
              <w:topLinePunct w:val="0"/>
              <w:bidi w:val="0"/>
              <w:rPr>
                <w:rFonts w:ascii="Arial"/>
                <w:sz w:val="21"/>
              </w:rPr>
            </w:pPr>
          </w:p>
        </w:tc>
        <w:tc>
          <w:tcPr>
            <w:tcW w:w="1513" w:type="dxa"/>
            <w:vAlign w:val="top"/>
          </w:tcPr>
          <w:p w14:paraId="5749C3AB">
            <w:pPr>
              <w:keepNext w:val="0"/>
              <w:keepLines w:val="0"/>
              <w:pageBreakBefore w:val="0"/>
              <w:kinsoku/>
              <w:wordWrap/>
              <w:overflowPunct/>
              <w:topLinePunct w:val="0"/>
              <w:bidi w:val="0"/>
              <w:rPr>
                <w:rFonts w:ascii="Arial"/>
                <w:sz w:val="21"/>
              </w:rPr>
            </w:pPr>
          </w:p>
        </w:tc>
      </w:tr>
      <w:tr w14:paraId="15BB28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46" w:type="dxa"/>
            <w:vAlign w:val="top"/>
          </w:tcPr>
          <w:p w14:paraId="71B2F858">
            <w:pPr>
              <w:keepNext w:val="0"/>
              <w:keepLines w:val="0"/>
              <w:pageBreakBefore w:val="0"/>
              <w:kinsoku/>
              <w:wordWrap/>
              <w:overflowPunct/>
              <w:topLinePunct w:val="0"/>
              <w:bidi w:val="0"/>
              <w:rPr>
                <w:rFonts w:ascii="Arial"/>
                <w:sz w:val="21"/>
              </w:rPr>
            </w:pPr>
          </w:p>
        </w:tc>
        <w:tc>
          <w:tcPr>
            <w:tcW w:w="1244" w:type="dxa"/>
            <w:vAlign w:val="top"/>
          </w:tcPr>
          <w:p w14:paraId="1695BDEA">
            <w:pPr>
              <w:keepNext w:val="0"/>
              <w:keepLines w:val="0"/>
              <w:pageBreakBefore w:val="0"/>
              <w:kinsoku/>
              <w:wordWrap/>
              <w:overflowPunct/>
              <w:topLinePunct w:val="0"/>
              <w:bidi w:val="0"/>
              <w:rPr>
                <w:rFonts w:ascii="Arial"/>
                <w:sz w:val="21"/>
              </w:rPr>
            </w:pPr>
          </w:p>
        </w:tc>
        <w:tc>
          <w:tcPr>
            <w:tcW w:w="801" w:type="dxa"/>
            <w:vAlign w:val="top"/>
          </w:tcPr>
          <w:p w14:paraId="3920F19C">
            <w:pPr>
              <w:keepNext w:val="0"/>
              <w:keepLines w:val="0"/>
              <w:pageBreakBefore w:val="0"/>
              <w:kinsoku/>
              <w:wordWrap/>
              <w:overflowPunct/>
              <w:topLinePunct w:val="0"/>
              <w:bidi w:val="0"/>
              <w:rPr>
                <w:rFonts w:ascii="Arial"/>
                <w:sz w:val="21"/>
              </w:rPr>
            </w:pPr>
          </w:p>
        </w:tc>
        <w:tc>
          <w:tcPr>
            <w:tcW w:w="894" w:type="dxa"/>
            <w:vAlign w:val="top"/>
          </w:tcPr>
          <w:p w14:paraId="7A7A16F7">
            <w:pPr>
              <w:keepNext w:val="0"/>
              <w:keepLines w:val="0"/>
              <w:pageBreakBefore w:val="0"/>
              <w:kinsoku/>
              <w:wordWrap/>
              <w:overflowPunct/>
              <w:topLinePunct w:val="0"/>
              <w:bidi w:val="0"/>
              <w:rPr>
                <w:rFonts w:ascii="Arial"/>
                <w:sz w:val="21"/>
              </w:rPr>
            </w:pPr>
          </w:p>
        </w:tc>
        <w:tc>
          <w:tcPr>
            <w:tcW w:w="1783" w:type="dxa"/>
            <w:vAlign w:val="top"/>
          </w:tcPr>
          <w:p w14:paraId="1B9A0709">
            <w:pPr>
              <w:keepNext w:val="0"/>
              <w:keepLines w:val="0"/>
              <w:pageBreakBefore w:val="0"/>
              <w:kinsoku/>
              <w:wordWrap/>
              <w:overflowPunct/>
              <w:topLinePunct w:val="0"/>
              <w:bidi w:val="0"/>
              <w:rPr>
                <w:rFonts w:ascii="Arial"/>
                <w:sz w:val="21"/>
              </w:rPr>
            </w:pPr>
          </w:p>
        </w:tc>
        <w:tc>
          <w:tcPr>
            <w:tcW w:w="1242" w:type="dxa"/>
            <w:vAlign w:val="top"/>
          </w:tcPr>
          <w:p w14:paraId="285EDEDD">
            <w:pPr>
              <w:keepNext w:val="0"/>
              <w:keepLines w:val="0"/>
              <w:pageBreakBefore w:val="0"/>
              <w:kinsoku/>
              <w:wordWrap/>
              <w:overflowPunct/>
              <w:topLinePunct w:val="0"/>
              <w:bidi w:val="0"/>
              <w:rPr>
                <w:rFonts w:ascii="Arial"/>
                <w:sz w:val="21"/>
              </w:rPr>
            </w:pPr>
          </w:p>
        </w:tc>
        <w:tc>
          <w:tcPr>
            <w:tcW w:w="737" w:type="dxa"/>
            <w:vAlign w:val="top"/>
          </w:tcPr>
          <w:p w14:paraId="32551D53">
            <w:pPr>
              <w:keepNext w:val="0"/>
              <w:keepLines w:val="0"/>
              <w:pageBreakBefore w:val="0"/>
              <w:kinsoku/>
              <w:wordWrap/>
              <w:overflowPunct/>
              <w:topLinePunct w:val="0"/>
              <w:bidi w:val="0"/>
              <w:rPr>
                <w:rFonts w:ascii="Arial"/>
                <w:sz w:val="21"/>
              </w:rPr>
            </w:pPr>
          </w:p>
        </w:tc>
        <w:tc>
          <w:tcPr>
            <w:tcW w:w="1513" w:type="dxa"/>
            <w:vAlign w:val="top"/>
          </w:tcPr>
          <w:p w14:paraId="004FC202">
            <w:pPr>
              <w:keepNext w:val="0"/>
              <w:keepLines w:val="0"/>
              <w:pageBreakBefore w:val="0"/>
              <w:kinsoku/>
              <w:wordWrap/>
              <w:overflowPunct/>
              <w:topLinePunct w:val="0"/>
              <w:bidi w:val="0"/>
              <w:rPr>
                <w:rFonts w:ascii="Arial"/>
                <w:sz w:val="21"/>
              </w:rPr>
            </w:pPr>
          </w:p>
        </w:tc>
      </w:tr>
      <w:tr w14:paraId="182E7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46" w:type="dxa"/>
            <w:vAlign w:val="top"/>
          </w:tcPr>
          <w:p w14:paraId="76AC20E3">
            <w:pPr>
              <w:keepNext w:val="0"/>
              <w:keepLines w:val="0"/>
              <w:pageBreakBefore w:val="0"/>
              <w:kinsoku/>
              <w:wordWrap/>
              <w:overflowPunct/>
              <w:topLinePunct w:val="0"/>
              <w:bidi w:val="0"/>
              <w:rPr>
                <w:rFonts w:ascii="Arial"/>
                <w:sz w:val="21"/>
              </w:rPr>
            </w:pPr>
          </w:p>
        </w:tc>
        <w:tc>
          <w:tcPr>
            <w:tcW w:w="1244" w:type="dxa"/>
            <w:vAlign w:val="top"/>
          </w:tcPr>
          <w:p w14:paraId="0F2FE229">
            <w:pPr>
              <w:keepNext w:val="0"/>
              <w:keepLines w:val="0"/>
              <w:pageBreakBefore w:val="0"/>
              <w:kinsoku/>
              <w:wordWrap/>
              <w:overflowPunct/>
              <w:topLinePunct w:val="0"/>
              <w:bidi w:val="0"/>
              <w:rPr>
                <w:rFonts w:ascii="Arial"/>
                <w:sz w:val="21"/>
              </w:rPr>
            </w:pPr>
          </w:p>
        </w:tc>
        <w:tc>
          <w:tcPr>
            <w:tcW w:w="801" w:type="dxa"/>
            <w:vAlign w:val="top"/>
          </w:tcPr>
          <w:p w14:paraId="3F8BED20">
            <w:pPr>
              <w:keepNext w:val="0"/>
              <w:keepLines w:val="0"/>
              <w:pageBreakBefore w:val="0"/>
              <w:kinsoku/>
              <w:wordWrap/>
              <w:overflowPunct/>
              <w:topLinePunct w:val="0"/>
              <w:bidi w:val="0"/>
              <w:rPr>
                <w:rFonts w:ascii="Arial"/>
                <w:sz w:val="21"/>
              </w:rPr>
            </w:pPr>
          </w:p>
        </w:tc>
        <w:tc>
          <w:tcPr>
            <w:tcW w:w="894" w:type="dxa"/>
            <w:vAlign w:val="top"/>
          </w:tcPr>
          <w:p w14:paraId="4E6292AE">
            <w:pPr>
              <w:keepNext w:val="0"/>
              <w:keepLines w:val="0"/>
              <w:pageBreakBefore w:val="0"/>
              <w:kinsoku/>
              <w:wordWrap/>
              <w:overflowPunct/>
              <w:topLinePunct w:val="0"/>
              <w:bidi w:val="0"/>
              <w:rPr>
                <w:rFonts w:ascii="Arial"/>
                <w:sz w:val="21"/>
              </w:rPr>
            </w:pPr>
          </w:p>
        </w:tc>
        <w:tc>
          <w:tcPr>
            <w:tcW w:w="1783" w:type="dxa"/>
            <w:vAlign w:val="top"/>
          </w:tcPr>
          <w:p w14:paraId="36F8AD96">
            <w:pPr>
              <w:keepNext w:val="0"/>
              <w:keepLines w:val="0"/>
              <w:pageBreakBefore w:val="0"/>
              <w:kinsoku/>
              <w:wordWrap/>
              <w:overflowPunct/>
              <w:topLinePunct w:val="0"/>
              <w:bidi w:val="0"/>
              <w:rPr>
                <w:rFonts w:ascii="Arial"/>
                <w:sz w:val="21"/>
              </w:rPr>
            </w:pPr>
          </w:p>
        </w:tc>
        <w:tc>
          <w:tcPr>
            <w:tcW w:w="1242" w:type="dxa"/>
            <w:vAlign w:val="top"/>
          </w:tcPr>
          <w:p w14:paraId="76A874D4">
            <w:pPr>
              <w:keepNext w:val="0"/>
              <w:keepLines w:val="0"/>
              <w:pageBreakBefore w:val="0"/>
              <w:kinsoku/>
              <w:wordWrap/>
              <w:overflowPunct/>
              <w:topLinePunct w:val="0"/>
              <w:bidi w:val="0"/>
              <w:rPr>
                <w:rFonts w:ascii="Arial"/>
                <w:sz w:val="21"/>
              </w:rPr>
            </w:pPr>
          </w:p>
        </w:tc>
        <w:tc>
          <w:tcPr>
            <w:tcW w:w="737" w:type="dxa"/>
            <w:vAlign w:val="top"/>
          </w:tcPr>
          <w:p w14:paraId="784F6F86">
            <w:pPr>
              <w:keepNext w:val="0"/>
              <w:keepLines w:val="0"/>
              <w:pageBreakBefore w:val="0"/>
              <w:kinsoku/>
              <w:wordWrap/>
              <w:overflowPunct/>
              <w:topLinePunct w:val="0"/>
              <w:bidi w:val="0"/>
              <w:rPr>
                <w:rFonts w:ascii="Arial"/>
                <w:sz w:val="21"/>
              </w:rPr>
            </w:pPr>
          </w:p>
        </w:tc>
        <w:tc>
          <w:tcPr>
            <w:tcW w:w="1513" w:type="dxa"/>
            <w:vAlign w:val="top"/>
          </w:tcPr>
          <w:p w14:paraId="2FC340ED">
            <w:pPr>
              <w:keepNext w:val="0"/>
              <w:keepLines w:val="0"/>
              <w:pageBreakBefore w:val="0"/>
              <w:kinsoku/>
              <w:wordWrap/>
              <w:overflowPunct/>
              <w:topLinePunct w:val="0"/>
              <w:bidi w:val="0"/>
              <w:rPr>
                <w:rFonts w:ascii="Arial"/>
                <w:sz w:val="21"/>
              </w:rPr>
            </w:pPr>
          </w:p>
        </w:tc>
      </w:tr>
    </w:tbl>
    <w:p w14:paraId="61BFF044">
      <w:pPr>
        <w:keepNext w:val="0"/>
        <w:keepLines w:val="0"/>
        <w:pageBreakBefore w:val="0"/>
        <w:kinsoku/>
        <w:wordWrap/>
        <w:overflowPunct/>
        <w:topLinePunct w:val="0"/>
        <w:bidi w:val="0"/>
        <w:spacing w:before="41" w:line="229" w:lineRule="auto"/>
        <w:ind w:left="146"/>
        <w:rPr>
          <w:rFonts w:ascii="宋体" w:hAnsi="宋体" w:eastAsia="宋体" w:cs="宋体"/>
          <w:sz w:val="22"/>
          <w:szCs w:val="22"/>
        </w:rPr>
      </w:pPr>
      <w:r>
        <w:rPr>
          <w:rFonts w:ascii="宋体" w:hAnsi="宋体" w:eastAsia="宋体" w:cs="宋体"/>
          <w:spacing w:val="-5"/>
          <w:sz w:val="22"/>
          <w:szCs w:val="22"/>
        </w:rPr>
        <w:t>备注：</w:t>
      </w:r>
    </w:p>
    <w:p w14:paraId="090CD61E">
      <w:pPr>
        <w:keepNext w:val="0"/>
        <w:keepLines w:val="0"/>
        <w:pageBreakBefore w:val="0"/>
        <w:kinsoku/>
        <w:wordWrap/>
        <w:overflowPunct/>
        <w:topLinePunct w:val="0"/>
        <w:bidi w:val="0"/>
        <w:spacing w:before="109" w:line="284" w:lineRule="auto"/>
        <w:ind w:left="162" w:right="209" w:firstLine="25"/>
        <w:rPr>
          <w:rFonts w:ascii="宋体" w:hAnsi="宋体" w:eastAsia="宋体" w:cs="宋体"/>
          <w:sz w:val="24"/>
          <w:szCs w:val="24"/>
        </w:rPr>
      </w:pPr>
      <w:r>
        <w:rPr>
          <w:rFonts w:ascii="宋体" w:hAnsi="宋体" w:eastAsia="宋体" w:cs="宋体"/>
          <w:spacing w:val="-14"/>
          <w:sz w:val="24"/>
          <w:szCs w:val="24"/>
        </w:rPr>
        <w:t>以上性能配置清单中“服务名称、数量及单位、</w:t>
      </w:r>
      <w:r>
        <w:rPr>
          <w:rFonts w:ascii="宋体" w:hAnsi="宋体" w:eastAsia="宋体" w:cs="宋体"/>
          <w:spacing w:val="-15"/>
          <w:sz w:val="24"/>
          <w:szCs w:val="24"/>
        </w:rPr>
        <w:t>品牌、规格型号、制造商、原产地、参</w:t>
      </w:r>
      <w:r>
        <w:rPr>
          <w:rFonts w:ascii="宋体" w:hAnsi="宋体" w:eastAsia="宋体" w:cs="宋体"/>
          <w:spacing w:val="-13"/>
          <w:sz w:val="24"/>
          <w:szCs w:val="24"/>
        </w:rPr>
        <w:t>数性能、指标及配置”必须如实填写完整，品牌、规</w:t>
      </w:r>
      <w:r>
        <w:rPr>
          <w:rFonts w:ascii="宋体" w:hAnsi="宋体" w:eastAsia="宋体" w:cs="宋体"/>
          <w:spacing w:val="-14"/>
          <w:sz w:val="24"/>
          <w:szCs w:val="24"/>
        </w:rPr>
        <w:t>格型号没有则填无，填写有缺漏</w:t>
      </w:r>
    </w:p>
    <w:p w14:paraId="1E375F06">
      <w:pPr>
        <w:keepNext w:val="0"/>
        <w:keepLines w:val="0"/>
        <w:pageBreakBefore w:val="0"/>
        <w:kinsoku/>
        <w:wordWrap/>
        <w:overflowPunct/>
        <w:topLinePunct w:val="0"/>
        <w:bidi w:val="0"/>
        <w:spacing w:before="37" w:line="284" w:lineRule="auto"/>
        <w:ind w:left="147" w:right="211" w:firstLine="32"/>
        <w:rPr>
          <w:rFonts w:ascii="宋体" w:hAnsi="宋体" w:eastAsia="宋体" w:cs="宋体"/>
          <w:sz w:val="24"/>
          <w:szCs w:val="24"/>
        </w:rPr>
      </w:pPr>
      <w:r>
        <w:rPr>
          <w:rFonts w:ascii="宋体" w:hAnsi="宋体" w:eastAsia="宋体" w:cs="宋体"/>
          <w:spacing w:val="-11"/>
          <w:sz w:val="24"/>
          <w:szCs w:val="24"/>
        </w:rPr>
        <w:t>的，响应文件作无效处理。服务名称、数量及单位、品牌必须与“服务</w:t>
      </w:r>
      <w:r>
        <w:rPr>
          <w:rFonts w:ascii="宋体" w:hAnsi="宋体" w:eastAsia="宋体" w:cs="宋体"/>
          <w:spacing w:val="-12"/>
          <w:sz w:val="24"/>
          <w:szCs w:val="24"/>
        </w:rPr>
        <w:t>需求一览表”</w:t>
      </w:r>
      <w:r>
        <w:rPr>
          <w:rFonts w:ascii="宋体" w:hAnsi="宋体" w:eastAsia="宋体" w:cs="宋体"/>
          <w:spacing w:val="-16"/>
          <w:sz w:val="24"/>
          <w:szCs w:val="24"/>
        </w:rPr>
        <w:t>一致，否则响应文件作无效处理。</w:t>
      </w:r>
    </w:p>
    <w:p w14:paraId="3B0759CC">
      <w:pPr>
        <w:keepNext w:val="0"/>
        <w:keepLines w:val="0"/>
        <w:pageBreakBefore w:val="0"/>
        <w:kinsoku/>
        <w:wordWrap/>
        <w:overflowPunct/>
        <w:topLinePunct w:val="0"/>
        <w:bidi w:val="0"/>
        <w:spacing w:before="35" w:line="284" w:lineRule="auto"/>
        <w:ind w:left="184" w:right="6207" w:hanging="41"/>
        <w:rPr>
          <w:rFonts w:ascii="宋体" w:hAnsi="宋体" w:eastAsia="宋体" w:cs="宋体"/>
          <w:spacing w:val="-22"/>
          <w:sz w:val="24"/>
          <w:szCs w:val="24"/>
        </w:rPr>
      </w:pPr>
      <w:r>
        <w:rPr>
          <w:rFonts w:ascii="宋体" w:hAnsi="宋体" w:eastAsia="宋体" w:cs="宋体"/>
          <w:spacing w:val="-22"/>
          <w:sz w:val="24"/>
          <w:szCs w:val="24"/>
        </w:rPr>
        <w:t>供应商名称(电子签章)：</w:t>
      </w:r>
    </w:p>
    <w:p w14:paraId="55CBC3CB">
      <w:pPr>
        <w:keepNext w:val="0"/>
        <w:keepLines w:val="0"/>
        <w:pageBreakBefore w:val="0"/>
        <w:kinsoku/>
        <w:wordWrap/>
        <w:overflowPunct/>
        <w:topLinePunct w:val="0"/>
        <w:bidi w:val="0"/>
        <w:spacing w:before="35" w:line="284" w:lineRule="auto"/>
        <w:ind w:left="184" w:right="6207" w:hanging="41"/>
        <w:rPr>
          <w:rFonts w:ascii="宋体" w:hAnsi="宋体" w:eastAsia="宋体" w:cs="宋体"/>
          <w:sz w:val="24"/>
          <w:szCs w:val="24"/>
        </w:rPr>
      </w:pPr>
      <w:r>
        <w:rPr>
          <w:rFonts w:ascii="宋体" w:hAnsi="宋体" w:eastAsia="宋体" w:cs="宋体"/>
          <w:spacing w:val="-14"/>
          <w:sz w:val="24"/>
          <w:szCs w:val="24"/>
        </w:rPr>
        <w:t>日期：年月日</w:t>
      </w:r>
    </w:p>
    <w:p w14:paraId="56D28AA7">
      <w:pPr>
        <w:keepNext w:val="0"/>
        <w:keepLines w:val="0"/>
        <w:pageBreakBefore w:val="0"/>
        <w:kinsoku/>
        <w:wordWrap/>
        <w:overflowPunct/>
        <w:topLinePunct w:val="0"/>
        <w:bidi w:val="0"/>
        <w:spacing w:line="284" w:lineRule="auto"/>
        <w:rPr>
          <w:rFonts w:ascii="宋体" w:hAnsi="宋体" w:eastAsia="宋体" w:cs="宋体"/>
          <w:sz w:val="24"/>
          <w:szCs w:val="24"/>
        </w:rPr>
        <w:sectPr>
          <w:footerReference r:id="rId24" w:type="default"/>
          <w:pgSz w:w="11906" w:h="16839"/>
          <w:pgMar w:top="1440" w:right="1080" w:bottom="1440" w:left="1080" w:header="0" w:footer="994" w:gutter="0"/>
          <w:pgNumType w:fmt="decimal"/>
          <w:cols w:space="720" w:num="1"/>
        </w:sectPr>
      </w:pPr>
    </w:p>
    <w:p w14:paraId="25DE8278">
      <w:pPr>
        <w:pStyle w:val="7"/>
        <w:keepNext w:val="0"/>
        <w:keepLines w:val="0"/>
        <w:pageBreakBefore w:val="0"/>
        <w:kinsoku/>
        <w:wordWrap/>
        <w:overflowPunct/>
        <w:topLinePunct w:val="0"/>
        <w:bidi w:val="0"/>
        <w:spacing w:line="247" w:lineRule="auto"/>
      </w:pPr>
    </w:p>
    <w:p w14:paraId="5A7EE07A">
      <w:pPr>
        <w:keepNext w:val="0"/>
        <w:keepLines w:val="0"/>
        <w:pageBreakBefore w:val="0"/>
        <w:kinsoku/>
        <w:wordWrap/>
        <w:overflowPunct/>
        <w:topLinePunct w:val="0"/>
        <w:bidi w:val="0"/>
        <w:spacing w:before="78" w:line="219" w:lineRule="auto"/>
        <w:jc w:val="center"/>
        <w:rPr>
          <w:rFonts w:hint="default" w:ascii="宋体" w:hAnsi="宋体" w:eastAsia="宋体" w:cs="宋体"/>
          <w:sz w:val="24"/>
          <w:szCs w:val="24"/>
          <w:lang w:val="en-US" w:eastAsia="zh-CN"/>
        </w:rPr>
      </w:pPr>
      <w:r>
        <w:rPr>
          <w:rFonts w:hint="eastAsia" w:ascii="宋体" w:hAnsi="宋体" w:eastAsia="宋体" w:cs="宋体"/>
          <w:b/>
          <w:bCs/>
          <w:spacing w:val="-4"/>
          <w:sz w:val="24"/>
          <w:szCs w:val="24"/>
          <w:lang w:val="en-US" w:eastAsia="zh-CN"/>
        </w:rPr>
        <w:t>项目实施</w:t>
      </w:r>
      <w:r>
        <w:rPr>
          <w:rFonts w:ascii="宋体" w:hAnsi="宋体" w:eastAsia="宋体" w:cs="宋体"/>
          <w:b/>
          <w:bCs/>
          <w:spacing w:val="-4"/>
          <w:sz w:val="24"/>
          <w:szCs w:val="24"/>
        </w:rPr>
        <w:t>方案</w:t>
      </w:r>
      <w:r>
        <w:rPr>
          <w:rFonts w:hint="eastAsia" w:ascii="宋体" w:hAnsi="宋体" w:eastAsia="宋体" w:cs="宋体"/>
          <w:b/>
          <w:bCs/>
          <w:spacing w:val="-4"/>
          <w:sz w:val="24"/>
          <w:szCs w:val="24"/>
          <w:lang w:eastAsia="zh-CN"/>
        </w:rPr>
        <w:t>、</w:t>
      </w:r>
      <w:r>
        <w:rPr>
          <w:rFonts w:hint="eastAsia" w:ascii="宋体" w:hAnsi="宋体" w:eastAsia="宋体" w:cs="宋体"/>
          <w:b/>
          <w:bCs/>
          <w:spacing w:val="-4"/>
          <w:sz w:val="24"/>
          <w:szCs w:val="24"/>
          <w:lang w:val="en-US" w:eastAsia="zh-CN"/>
        </w:rPr>
        <w:t>应急防治措施方案等</w:t>
      </w:r>
    </w:p>
    <w:p w14:paraId="3CCDE5C5">
      <w:pPr>
        <w:keepNext w:val="0"/>
        <w:keepLines w:val="0"/>
        <w:pageBreakBefore w:val="0"/>
        <w:kinsoku/>
        <w:wordWrap/>
        <w:overflowPunct/>
        <w:topLinePunct w:val="0"/>
        <w:bidi w:val="0"/>
        <w:spacing w:before="192" w:line="221" w:lineRule="auto"/>
        <w:ind w:left="2931"/>
        <w:rPr>
          <w:rFonts w:ascii="仿宋" w:hAnsi="仿宋" w:eastAsia="仿宋" w:cs="仿宋"/>
          <w:sz w:val="24"/>
          <w:szCs w:val="24"/>
        </w:rPr>
      </w:pPr>
      <w:r>
        <w:rPr>
          <w:rFonts w:ascii="仿宋" w:hAnsi="仿宋" w:eastAsia="仿宋" w:cs="仿宋"/>
          <w:spacing w:val="-5"/>
          <w:sz w:val="24"/>
          <w:szCs w:val="24"/>
        </w:rPr>
        <w:t>(由供应商根据采购需求及采购文件要求编制)</w:t>
      </w:r>
    </w:p>
    <w:p w14:paraId="639A46ED">
      <w:pPr>
        <w:pStyle w:val="7"/>
        <w:keepNext w:val="0"/>
        <w:keepLines w:val="0"/>
        <w:pageBreakBefore w:val="0"/>
        <w:kinsoku/>
        <w:wordWrap/>
        <w:overflowPunct/>
        <w:topLinePunct w:val="0"/>
        <w:bidi w:val="0"/>
        <w:spacing w:line="334" w:lineRule="auto"/>
      </w:pPr>
    </w:p>
    <w:p w14:paraId="580C4200">
      <w:pPr>
        <w:keepNext w:val="0"/>
        <w:keepLines w:val="0"/>
        <w:pageBreakBefore w:val="0"/>
        <w:kinsoku/>
        <w:wordWrap/>
        <w:overflowPunct/>
        <w:topLinePunct w:val="0"/>
        <w:bidi w:val="0"/>
        <w:spacing w:before="78" w:line="219" w:lineRule="auto"/>
        <w:ind w:left="4205"/>
        <w:rPr>
          <w:rFonts w:ascii="宋体" w:hAnsi="宋体" w:eastAsia="宋体" w:cs="宋体"/>
          <w:sz w:val="24"/>
          <w:szCs w:val="24"/>
        </w:rPr>
      </w:pPr>
      <w:r>
        <w:rPr>
          <w:rFonts w:ascii="宋体" w:hAnsi="宋体" w:eastAsia="宋体" w:cs="宋体"/>
          <w:b/>
          <w:bCs/>
          <w:spacing w:val="-4"/>
          <w:sz w:val="24"/>
          <w:szCs w:val="24"/>
        </w:rPr>
        <w:t>售后服务方案</w:t>
      </w:r>
    </w:p>
    <w:p w14:paraId="68DB252D">
      <w:pPr>
        <w:keepNext w:val="0"/>
        <w:keepLines w:val="0"/>
        <w:pageBreakBefore w:val="0"/>
        <w:kinsoku/>
        <w:wordWrap/>
        <w:overflowPunct/>
        <w:topLinePunct w:val="0"/>
        <w:bidi w:val="0"/>
        <w:spacing w:before="183" w:line="273" w:lineRule="auto"/>
        <w:ind w:left="390" w:right="1379" w:firstLine="25"/>
        <w:rPr>
          <w:rFonts w:ascii="宋体" w:hAnsi="宋体" w:eastAsia="宋体" w:cs="宋体"/>
          <w:sz w:val="20"/>
          <w:szCs w:val="20"/>
        </w:rPr>
      </w:pPr>
      <w:r>
        <w:rPr>
          <w:rFonts w:ascii="宋体" w:hAnsi="宋体" w:eastAsia="宋体" w:cs="宋体"/>
          <w:spacing w:val="16"/>
          <w:sz w:val="20"/>
          <w:szCs w:val="20"/>
        </w:rPr>
        <w:t>由投标人按本项目竞争性磋商采购文件第二章“服务需求一览表”中商务条款部分的</w:t>
      </w:r>
      <w:r>
        <w:rPr>
          <w:rFonts w:ascii="宋体" w:hAnsi="宋体" w:eastAsia="宋体" w:cs="宋体"/>
          <w:spacing w:val="8"/>
          <w:sz w:val="20"/>
          <w:szCs w:val="20"/>
        </w:rPr>
        <w:t>售后服务要求自行填写，其中要包含售后服务承诺书。</w:t>
      </w:r>
    </w:p>
    <w:p w14:paraId="40A9F07E">
      <w:pPr>
        <w:keepNext w:val="0"/>
        <w:keepLines w:val="0"/>
        <w:pageBreakBefore w:val="0"/>
        <w:kinsoku/>
        <w:wordWrap/>
        <w:overflowPunct/>
        <w:topLinePunct w:val="0"/>
        <w:bidi w:val="0"/>
        <w:spacing w:before="263" w:line="193" w:lineRule="auto"/>
        <w:ind w:left="418"/>
        <w:rPr>
          <w:rFonts w:ascii="宋体" w:hAnsi="宋体" w:eastAsia="宋体" w:cs="宋体"/>
          <w:sz w:val="20"/>
          <w:szCs w:val="20"/>
        </w:rPr>
      </w:pPr>
      <w:r>
        <w:rPr>
          <w:rFonts w:ascii="宋体" w:hAnsi="宋体" w:eastAsia="宋体" w:cs="宋体"/>
          <w:spacing w:val="1"/>
          <w:sz w:val="31"/>
          <w:szCs w:val="31"/>
        </w:rPr>
        <w:t>1、</w:t>
      </w:r>
      <w:r>
        <w:rPr>
          <w:rFonts w:ascii="宋体" w:hAnsi="宋体" w:eastAsia="宋体" w:cs="宋体"/>
          <w:spacing w:val="1"/>
          <w:sz w:val="20"/>
          <w:szCs w:val="20"/>
        </w:rPr>
        <w:t>售后服务承诺</w:t>
      </w:r>
    </w:p>
    <w:p w14:paraId="789D1B95">
      <w:pPr>
        <w:keepNext w:val="0"/>
        <w:keepLines w:val="0"/>
        <w:pageBreakBefore w:val="0"/>
        <w:kinsoku/>
        <w:wordWrap/>
        <w:overflowPunct/>
        <w:topLinePunct w:val="0"/>
        <w:bidi w:val="0"/>
        <w:spacing w:before="135" w:line="219" w:lineRule="auto"/>
        <w:ind w:left="410" w:leftChars="0"/>
        <w:outlineLvl w:val="0"/>
        <w:rPr>
          <w:rFonts w:ascii="宋体" w:hAnsi="宋体" w:eastAsia="宋体" w:cs="宋体"/>
          <w:sz w:val="24"/>
          <w:szCs w:val="24"/>
        </w:rPr>
      </w:pPr>
      <w:bookmarkStart w:id="45" w:name="_Toc2593"/>
      <w:r>
        <w:rPr>
          <w:rFonts w:ascii="宋体" w:hAnsi="宋体" w:eastAsia="宋体" w:cs="宋体"/>
          <w:spacing w:val="6"/>
          <w:sz w:val="24"/>
          <w:szCs w:val="24"/>
        </w:rPr>
        <w:t>附表:售后服务机构情况表(按此格式自制)</w:t>
      </w:r>
      <w:bookmarkEnd w:id="45"/>
    </w:p>
    <w:p w14:paraId="381995C6">
      <w:pPr>
        <w:keepNext w:val="0"/>
        <w:keepLines w:val="0"/>
        <w:pageBreakBefore w:val="0"/>
        <w:kinsoku/>
        <w:wordWrap/>
        <w:overflowPunct/>
        <w:topLinePunct w:val="0"/>
        <w:bidi w:val="0"/>
        <w:spacing w:line="58" w:lineRule="exact"/>
      </w:pPr>
    </w:p>
    <w:tbl>
      <w:tblPr>
        <w:tblStyle w:val="15"/>
        <w:tblW w:w="8762" w:type="dxa"/>
        <w:tblInd w:w="18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2336"/>
        <w:gridCol w:w="1094"/>
        <w:gridCol w:w="1242"/>
        <w:gridCol w:w="1977"/>
        <w:gridCol w:w="1277"/>
      </w:tblGrid>
      <w:tr w14:paraId="6D9D63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36" w:type="dxa"/>
            <w:vAlign w:val="top"/>
          </w:tcPr>
          <w:p w14:paraId="218669B1">
            <w:pPr>
              <w:pStyle w:val="16"/>
              <w:keepNext w:val="0"/>
              <w:keepLines w:val="0"/>
              <w:pageBreakBefore w:val="0"/>
              <w:kinsoku/>
              <w:wordWrap/>
              <w:overflowPunct/>
              <w:topLinePunct w:val="0"/>
              <w:bidi w:val="0"/>
              <w:spacing w:before="42" w:line="221" w:lineRule="auto"/>
              <w:ind w:left="189"/>
              <w:rPr>
                <w:sz w:val="24"/>
                <w:szCs w:val="24"/>
              </w:rPr>
            </w:pPr>
            <w:r>
              <w:rPr>
                <w:spacing w:val="-5"/>
                <w:sz w:val="24"/>
                <w:szCs w:val="24"/>
              </w:rPr>
              <w:t>序号</w:t>
            </w:r>
          </w:p>
        </w:tc>
        <w:tc>
          <w:tcPr>
            <w:tcW w:w="2336" w:type="dxa"/>
            <w:vAlign w:val="top"/>
          </w:tcPr>
          <w:p w14:paraId="69CC08BF">
            <w:pPr>
              <w:pStyle w:val="16"/>
              <w:keepNext w:val="0"/>
              <w:keepLines w:val="0"/>
              <w:pageBreakBefore w:val="0"/>
              <w:kinsoku/>
              <w:wordWrap/>
              <w:overflowPunct/>
              <w:topLinePunct w:val="0"/>
              <w:bidi w:val="0"/>
              <w:spacing w:before="40" w:line="219" w:lineRule="auto"/>
              <w:ind w:left="696"/>
              <w:rPr>
                <w:sz w:val="24"/>
                <w:szCs w:val="24"/>
              </w:rPr>
            </w:pPr>
            <w:r>
              <w:rPr>
                <w:spacing w:val="-4"/>
                <w:sz w:val="24"/>
                <w:szCs w:val="24"/>
              </w:rPr>
              <w:t>机构名称</w:t>
            </w:r>
          </w:p>
        </w:tc>
        <w:tc>
          <w:tcPr>
            <w:tcW w:w="1094" w:type="dxa"/>
            <w:vAlign w:val="top"/>
          </w:tcPr>
          <w:p w14:paraId="30000891">
            <w:pPr>
              <w:pStyle w:val="16"/>
              <w:keepNext w:val="0"/>
              <w:keepLines w:val="0"/>
              <w:pageBreakBefore w:val="0"/>
              <w:kinsoku/>
              <w:wordWrap/>
              <w:overflowPunct/>
              <w:topLinePunct w:val="0"/>
              <w:bidi w:val="0"/>
              <w:spacing w:before="40" w:line="222" w:lineRule="auto"/>
              <w:ind w:left="443" w:right="180" w:hanging="244"/>
              <w:rPr>
                <w:sz w:val="24"/>
                <w:szCs w:val="24"/>
              </w:rPr>
            </w:pPr>
            <w:r>
              <w:rPr>
                <w:spacing w:val="-4"/>
                <w:sz w:val="24"/>
                <w:szCs w:val="24"/>
              </w:rPr>
              <w:t>机构性</w:t>
            </w:r>
            <w:r>
              <w:rPr>
                <w:sz w:val="24"/>
                <w:szCs w:val="24"/>
              </w:rPr>
              <w:t>质</w:t>
            </w:r>
          </w:p>
        </w:tc>
        <w:tc>
          <w:tcPr>
            <w:tcW w:w="1242" w:type="dxa"/>
            <w:vAlign w:val="top"/>
          </w:tcPr>
          <w:p w14:paraId="3940D962">
            <w:pPr>
              <w:pStyle w:val="16"/>
              <w:keepNext w:val="0"/>
              <w:keepLines w:val="0"/>
              <w:pageBreakBefore w:val="0"/>
              <w:kinsoku/>
              <w:wordWrap/>
              <w:overflowPunct/>
              <w:topLinePunct w:val="0"/>
              <w:bidi w:val="0"/>
              <w:spacing w:before="40" w:line="221" w:lineRule="auto"/>
              <w:ind w:left="164"/>
              <w:rPr>
                <w:sz w:val="24"/>
                <w:szCs w:val="24"/>
              </w:rPr>
            </w:pPr>
            <w:r>
              <w:rPr>
                <w:spacing w:val="-8"/>
                <w:sz w:val="24"/>
                <w:szCs w:val="24"/>
              </w:rPr>
              <w:t>注册地址</w:t>
            </w:r>
          </w:p>
        </w:tc>
        <w:tc>
          <w:tcPr>
            <w:tcW w:w="1977" w:type="dxa"/>
            <w:vAlign w:val="top"/>
          </w:tcPr>
          <w:p w14:paraId="2C9B2DF8">
            <w:pPr>
              <w:pStyle w:val="16"/>
              <w:keepNext w:val="0"/>
              <w:keepLines w:val="0"/>
              <w:pageBreakBefore w:val="0"/>
              <w:kinsoku/>
              <w:wordWrap/>
              <w:overflowPunct/>
              <w:topLinePunct w:val="0"/>
              <w:bidi w:val="0"/>
              <w:spacing w:before="40" w:line="222" w:lineRule="auto"/>
              <w:ind w:left="893" w:right="137" w:hanging="720"/>
              <w:rPr>
                <w:sz w:val="24"/>
                <w:szCs w:val="24"/>
              </w:rPr>
            </w:pPr>
            <w:r>
              <w:rPr>
                <w:spacing w:val="-3"/>
                <w:sz w:val="24"/>
                <w:szCs w:val="24"/>
              </w:rPr>
              <w:t>服务技术人员数</w:t>
            </w:r>
            <w:r>
              <w:rPr>
                <w:sz w:val="24"/>
                <w:szCs w:val="24"/>
              </w:rPr>
              <w:t>量</w:t>
            </w:r>
          </w:p>
        </w:tc>
        <w:tc>
          <w:tcPr>
            <w:tcW w:w="1277" w:type="dxa"/>
            <w:vAlign w:val="top"/>
          </w:tcPr>
          <w:p w14:paraId="3C6C4A87">
            <w:pPr>
              <w:pStyle w:val="16"/>
              <w:keepNext w:val="0"/>
              <w:keepLines w:val="0"/>
              <w:pageBreakBefore w:val="0"/>
              <w:kinsoku/>
              <w:wordWrap/>
              <w:overflowPunct/>
              <w:topLinePunct w:val="0"/>
              <w:bidi w:val="0"/>
              <w:spacing w:before="41" w:line="221" w:lineRule="auto"/>
              <w:ind w:left="179"/>
              <w:rPr>
                <w:sz w:val="24"/>
                <w:szCs w:val="24"/>
              </w:rPr>
            </w:pPr>
            <w:r>
              <w:rPr>
                <w:spacing w:val="-7"/>
                <w:sz w:val="24"/>
                <w:szCs w:val="24"/>
              </w:rPr>
              <w:t>联系电话</w:t>
            </w:r>
          </w:p>
        </w:tc>
      </w:tr>
      <w:tr w14:paraId="5F8E45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 w:hRule="atLeast"/>
        </w:trPr>
        <w:tc>
          <w:tcPr>
            <w:tcW w:w="836" w:type="dxa"/>
            <w:vAlign w:val="top"/>
          </w:tcPr>
          <w:p w14:paraId="1E0CF92A">
            <w:pPr>
              <w:keepNext w:val="0"/>
              <w:keepLines w:val="0"/>
              <w:pageBreakBefore w:val="0"/>
              <w:kinsoku/>
              <w:wordWrap/>
              <w:overflowPunct/>
              <w:topLinePunct w:val="0"/>
              <w:bidi w:val="0"/>
              <w:rPr>
                <w:rFonts w:ascii="Arial"/>
                <w:sz w:val="21"/>
              </w:rPr>
            </w:pPr>
          </w:p>
        </w:tc>
        <w:tc>
          <w:tcPr>
            <w:tcW w:w="2336" w:type="dxa"/>
            <w:vAlign w:val="top"/>
          </w:tcPr>
          <w:p w14:paraId="093FB5A1">
            <w:pPr>
              <w:keepNext w:val="0"/>
              <w:keepLines w:val="0"/>
              <w:pageBreakBefore w:val="0"/>
              <w:kinsoku/>
              <w:wordWrap/>
              <w:overflowPunct/>
              <w:topLinePunct w:val="0"/>
              <w:bidi w:val="0"/>
              <w:rPr>
                <w:rFonts w:ascii="Arial"/>
                <w:sz w:val="21"/>
              </w:rPr>
            </w:pPr>
          </w:p>
        </w:tc>
        <w:tc>
          <w:tcPr>
            <w:tcW w:w="1094" w:type="dxa"/>
            <w:vAlign w:val="top"/>
          </w:tcPr>
          <w:p w14:paraId="704ED525">
            <w:pPr>
              <w:keepNext w:val="0"/>
              <w:keepLines w:val="0"/>
              <w:pageBreakBefore w:val="0"/>
              <w:kinsoku/>
              <w:wordWrap/>
              <w:overflowPunct/>
              <w:topLinePunct w:val="0"/>
              <w:bidi w:val="0"/>
              <w:rPr>
                <w:rFonts w:ascii="Arial"/>
                <w:sz w:val="21"/>
              </w:rPr>
            </w:pPr>
          </w:p>
        </w:tc>
        <w:tc>
          <w:tcPr>
            <w:tcW w:w="1242" w:type="dxa"/>
            <w:vAlign w:val="top"/>
          </w:tcPr>
          <w:p w14:paraId="23404B75">
            <w:pPr>
              <w:keepNext w:val="0"/>
              <w:keepLines w:val="0"/>
              <w:pageBreakBefore w:val="0"/>
              <w:kinsoku/>
              <w:wordWrap/>
              <w:overflowPunct/>
              <w:topLinePunct w:val="0"/>
              <w:bidi w:val="0"/>
              <w:rPr>
                <w:rFonts w:ascii="Arial"/>
                <w:sz w:val="21"/>
              </w:rPr>
            </w:pPr>
          </w:p>
        </w:tc>
        <w:tc>
          <w:tcPr>
            <w:tcW w:w="1977" w:type="dxa"/>
            <w:vAlign w:val="top"/>
          </w:tcPr>
          <w:p w14:paraId="5A888DE0">
            <w:pPr>
              <w:keepNext w:val="0"/>
              <w:keepLines w:val="0"/>
              <w:pageBreakBefore w:val="0"/>
              <w:kinsoku/>
              <w:wordWrap/>
              <w:overflowPunct/>
              <w:topLinePunct w:val="0"/>
              <w:bidi w:val="0"/>
              <w:rPr>
                <w:rFonts w:ascii="Arial"/>
                <w:sz w:val="21"/>
              </w:rPr>
            </w:pPr>
          </w:p>
        </w:tc>
        <w:tc>
          <w:tcPr>
            <w:tcW w:w="1277" w:type="dxa"/>
            <w:vAlign w:val="top"/>
          </w:tcPr>
          <w:p w14:paraId="6F81BA8F">
            <w:pPr>
              <w:keepNext w:val="0"/>
              <w:keepLines w:val="0"/>
              <w:pageBreakBefore w:val="0"/>
              <w:kinsoku/>
              <w:wordWrap/>
              <w:overflowPunct/>
              <w:topLinePunct w:val="0"/>
              <w:bidi w:val="0"/>
              <w:rPr>
                <w:rFonts w:ascii="Arial"/>
                <w:sz w:val="21"/>
              </w:rPr>
            </w:pPr>
          </w:p>
        </w:tc>
      </w:tr>
      <w:tr w14:paraId="37D1CB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 w:hRule="atLeast"/>
        </w:trPr>
        <w:tc>
          <w:tcPr>
            <w:tcW w:w="836" w:type="dxa"/>
            <w:vAlign w:val="top"/>
          </w:tcPr>
          <w:p w14:paraId="78AFDD1B">
            <w:pPr>
              <w:keepNext w:val="0"/>
              <w:keepLines w:val="0"/>
              <w:pageBreakBefore w:val="0"/>
              <w:kinsoku/>
              <w:wordWrap/>
              <w:overflowPunct/>
              <w:topLinePunct w:val="0"/>
              <w:bidi w:val="0"/>
              <w:rPr>
                <w:rFonts w:ascii="Arial"/>
                <w:sz w:val="21"/>
              </w:rPr>
            </w:pPr>
          </w:p>
        </w:tc>
        <w:tc>
          <w:tcPr>
            <w:tcW w:w="2336" w:type="dxa"/>
            <w:vAlign w:val="top"/>
          </w:tcPr>
          <w:p w14:paraId="34C725C4">
            <w:pPr>
              <w:keepNext w:val="0"/>
              <w:keepLines w:val="0"/>
              <w:pageBreakBefore w:val="0"/>
              <w:kinsoku/>
              <w:wordWrap/>
              <w:overflowPunct/>
              <w:topLinePunct w:val="0"/>
              <w:bidi w:val="0"/>
              <w:rPr>
                <w:rFonts w:ascii="Arial"/>
                <w:sz w:val="21"/>
              </w:rPr>
            </w:pPr>
          </w:p>
        </w:tc>
        <w:tc>
          <w:tcPr>
            <w:tcW w:w="1094" w:type="dxa"/>
            <w:vAlign w:val="top"/>
          </w:tcPr>
          <w:p w14:paraId="69A38ECC">
            <w:pPr>
              <w:keepNext w:val="0"/>
              <w:keepLines w:val="0"/>
              <w:pageBreakBefore w:val="0"/>
              <w:kinsoku/>
              <w:wordWrap/>
              <w:overflowPunct/>
              <w:topLinePunct w:val="0"/>
              <w:bidi w:val="0"/>
              <w:rPr>
                <w:rFonts w:ascii="Arial"/>
                <w:sz w:val="21"/>
              </w:rPr>
            </w:pPr>
          </w:p>
        </w:tc>
        <w:tc>
          <w:tcPr>
            <w:tcW w:w="1242" w:type="dxa"/>
            <w:vAlign w:val="top"/>
          </w:tcPr>
          <w:p w14:paraId="707DD2C6">
            <w:pPr>
              <w:keepNext w:val="0"/>
              <w:keepLines w:val="0"/>
              <w:pageBreakBefore w:val="0"/>
              <w:kinsoku/>
              <w:wordWrap/>
              <w:overflowPunct/>
              <w:topLinePunct w:val="0"/>
              <w:bidi w:val="0"/>
              <w:rPr>
                <w:rFonts w:ascii="Arial"/>
                <w:sz w:val="21"/>
              </w:rPr>
            </w:pPr>
          </w:p>
        </w:tc>
        <w:tc>
          <w:tcPr>
            <w:tcW w:w="1977" w:type="dxa"/>
            <w:vAlign w:val="top"/>
          </w:tcPr>
          <w:p w14:paraId="6D016147">
            <w:pPr>
              <w:keepNext w:val="0"/>
              <w:keepLines w:val="0"/>
              <w:pageBreakBefore w:val="0"/>
              <w:kinsoku/>
              <w:wordWrap/>
              <w:overflowPunct/>
              <w:topLinePunct w:val="0"/>
              <w:bidi w:val="0"/>
              <w:rPr>
                <w:rFonts w:ascii="Arial"/>
                <w:sz w:val="21"/>
              </w:rPr>
            </w:pPr>
          </w:p>
        </w:tc>
        <w:tc>
          <w:tcPr>
            <w:tcW w:w="1277" w:type="dxa"/>
            <w:vAlign w:val="top"/>
          </w:tcPr>
          <w:p w14:paraId="6D6D9308">
            <w:pPr>
              <w:keepNext w:val="0"/>
              <w:keepLines w:val="0"/>
              <w:pageBreakBefore w:val="0"/>
              <w:kinsoku/>
              <w:wordWrap/>
              <w:overflowPunct/>
              <w:topLinePunct w:val="0"/>
              <w:bidi w:val="0"/>
              <w:rPr>
                <w:rFonts w:ascii="Arial"/>
                <w:sz w:val="21"/>
              </w:rPr>
            </w:pPr>
          </w:p>
        </w:tc>
      </w:tr>
      <w:tr w14:paraId="2A03FD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3" w:hRule="atLeast"/>
        </w:trPr>
        <w:tc>
          <w:tcPr>
            <w:tcW w:w="836" w:type="dxa"/>
            <w:vAlign w:val="top"/>
          </w:tcPr>
          <w:p w14:paraId="1A899701">
            <w:pPr>
              <w:keepNext w:val="0"/>
              <w:keepLines w:val="0"/>
              <w:pageBreakBefore w:val="0"/>
              <w:kinsoku/>
              <w:wordWrap/>
              <w:overflowPunct/>
              <w:topLinePunct w:val="0"/>
              <w:bidi w:val="0"/>
              <w:rPr>
                <w:rFonts w:ascii="Arial"/>
                <w:sz w:val="21"/>
              </w:rPr>
            </w:pPr>
          </w:p>
        </w:tc>
        <w:tc>
          <w:tcPr>
            <w:tcW w:w="2336" w:type="dxa"/>
            <w:vAlign w:val="top"/>
          </w:tcPr>
          <w:p w14:paraId="5BE75739">
            <w:pPr>
              <w:keepNext w:val="0"/>
              <w:keepLines w:val="0"/>
              <w:pageBreakBefore w:val="0"/>
              <w:kinsoku/>
              <w:wordWrap/>
              <w:overflowPunct/>
              <w:topLinePunct w:val="0"/>
              <w:bidi w:val="0"/>
              <w:rPr>
                <w:rFonts w:ascii="Arial"/>
                <w:sz w:val="21"/>
              </w:rPr>
            </w:pPr>
          </w:p>
        </w:tc>
        <w:tc>
          <w:tcPr>
            <w:tcW w:w="1094" w:type="dxa"/>
            <w:vAlign w:val="top"/>
          </w:tcPr>
          <w:p w14:paraId="35E836E7">
            <w:pPr>
              <w:keepNext w:val="0"/>
              <w:keepLines w:val="0"/>
              <w:pageBreakBefore w:val="0"/>
              <w:kinsoku/>
              <w:wordWrap/>
              <w:overflowPunct/>
              <w:topLinePunct w:val="0"/>
              <w:bidi w:val="0"/>
              <w:rPr>
                <w:rFonts w:ascii="Arial"/>
                <w:sz w:val="21"/>
              </w:rPr>
            </w:pPr>
          </w:p>
        </w:tc>
        <w:tc>
          <w:tcPr>
            <w:tcW w:w="1242" w:type="dxa"/>
            <w:vAlign w:val="top"/>
          </w:tcPr>
          <w:p w14:paraId="429C7684">
            <w:pPr>
              <w:keepNext w:val="0"/>
              <w:keepLines w:val="0"/>
              <w:pageBreakBefore w:val="0"/>
              <w:kinsoku/>
              <w:wordWrap/>
              <w:overflowPunct/>
              <w:topLinePunct w:val="0"/>
              <w:bidi w:val="0"/>
              <w:rPr>
                <w:rFonts w:ascii="Arial"/>
                <w:sz w:val="21"/>
              </w:rPr>
            </w:pPr>
          </w:p>
        </w:tc>
        <w:tc>
          <w:tcPr>
            <w:tcW w:w="1977" w:type="dxa"/>
            <w:vAlign w:val="top"/>
          </w:tcPr>
          <w:p w14:paraId="4536BC01">
            <w:pPr>
              <w:keepNext w:val="0"/>
              <w:keepLines w:val="0"/>
              <w:pageBreakBefore w:val="0"/>
              <w:kinsoku/>
              <w:wordWrap/>
              <w:overflowPunct/>
              <w:topLinePunct w:val="0"/>
              <w:bidi w:val="0"/>
              <w:rPr>
                <w:rFonts w:ascii="Arial"/>
                <w:sz w:val="21"/>
              </w:rPr>
            </w:pPr>
          </w:p>
        </w:tc>
        <w:tc>
          <w:tcPr>
            <w:tcW w:w="1277" w:type="dxa"/>
            <w:vAlign w:val="top"/>
          </w:tcPr>
          <w:p w14:paraId="5F34E37B">
            <w:pPr>
              <w:keepNext w:val="0"/>
              <w:keepLines w:val="0"/>
              <w:pageBreakBefore w:val="0"/>
              <w:kinsoku/>
              <w:wordWrap/>
              <w:overflowPunct/>
              <w:topLinePunct w:val="0"/>
              <w:bidi w:val="0"/>
              <w:rPr>
                <w:rFonts w:ascii="Arial"/>
                <w:sz w:val="21"/>
              </w:rPr>
            </w:pPr>
          </w:p>
        </w:tc>
      </w:tr>
    </w:tbl>
    <w:p w14:paraId="76014EF2">
      <w:pPr>
        <w:keepNext w:val="0"/>
        <w:keepLines w:val="0"/>
        <w:pageBreakBefore w:val="0"/>
        <w:kinsoku/>
        <w:wordWrap/>
        <w:overflowPunct/>
        <w:topLinePunct w:val="0"/>
        <w:bidi w:val="0"/>
        <w:spacing w:before="227" w:line="219" w:lineRule="auto"/>
        <w:ind w:left="391"/>
        <w:rPr>
          <w:rFonts w:ascii="宋体" w:hAnsi="宋体" w:eastAsia="宋体" w:cs="宋体"/>
          <w:sz w:val="24"/>
          <w:szCs w:val="24"/>
        </w:rPr>
      </w:pPr>
      <w:r>
        <w:rPr>
          <w:rFonts w:ascii="宋体" w:hAnsi="宋体" w:eastAsia="宋体" w:cs="宋体"/>
          <w:spacing w:val="15"/>
          <w:sz w:val="24"/>
          <w:szCs w:val="24"/>
        </w:rPr>
        <w:t>注：关于项目涉及的所有售后服务机构均在本表注明。</w:t>
      </w:r>
    </w:p>
    <w:p w14:paraId="34760B0F">
      <w:pPr>
        <w:pStyle w:val="7"/>
        <w:keepNext w:val="0"/>
        <w:keepLines w:val="0"/>
        <w:pageBreakBefore w:val="0"/>
        <w:kinsoku/>
        <w:wordWrap/>
        <w:overflowPunct/>
        <w:topLinePunct w:val="0"/>
        <w:bidi w:val="0"/>
        <w:spacing w:line="256" w:lineRule="auto"/>
      </w:pPr>
    </w:p>
    <w:p w14:paraId="2131D135">
      <w:pPr>
        <w:pStyle w:val="7"/>
        <w:keepNext w:val="0"/>
        <w:keepLines w:val="0"/>
        <w:pageBreakBefore w:val="0"/>
        <w:kinsoku/>
        <w:wordWrap/>
        <w:overflowPunct/>
        <w:topLinePunct w:val="0"/>
        <w:bidi w:val="0"/>
        <w:spacing w:line="257" w:lineRule="auto"/>
      </w:pPr>
    </w:p>
    <w:p w14:paraId="71632514">
      <w:pPr>
        <w:keepNext w:val="0"/>
        <w:keepLines w:val="0"/>
        <w:pageBreakBefore w:val="0"/>
        <w:kinsoku/>
        <w:wordWrap/>
        <w:overflowPunct/>
        <w:topLinePunct w:val="0"/>
        <w:bidi w:val="0"/>
        <w:spacing w:before="78" w:line="220" w:lineRule="auto"/>
        <w:ind w:left="3849"/>
        <w:rPr>
          <w:rFonts w:ascii="宋体" w:hAnsi="宋体" w:eastAsia="宋体" w:cs="宋体"/>
          <w:sz w:val="24"/>
          <w:szCs w:val="24"/>
        </w:rPr>
      </w:pPr>
      <w:r>
        <w:rPr>
          <w:rFonts w:ascii="宋体" w:hAnsi="宋体" w:eastAsia="宋体" w:cs="宋体"/>
          <w:b/>
          <w:bCs/>
          <w:spacing w:val="-4"/>
          <w:sz w:val="24"/>
          <w:szCs w:val="24"/>
        </w:rPr>
        <w:t>项目实施人员一览表</w:t>
      </w:r>
    </w:p>
    <w:p w14:paraId="316C6C34">
      <w:pPr>
        <w:keepNext w:val="0"/>
        <w:keepLines w:val="0"/>
        <w:pageBreakBefore w:val="0"/>
        <w:kinsoku/>
        <w:wordWrap/>
        <w:overflowPunct/>
        <w:topLinePunct w:val="0"/>
        <w:bidi w:val="0"/>
        <w:spacing w:line="90" w:lineRule="auto"/>
        <w:rPr>
          <w:rFonts w:ascii="Arial"/>
          <w:sz w:val="2"/>
        </w:rPr>
      </w:pPr>
    </w:p>
    <w:tbl>
      <w:tblPr>
        <w:tblStyle w:val="15"/>
        <w:tblW w:w="981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81"/>
        <w:gridCol w:w="1414"/>
        <w:gridCol w:w="1131"/>
        <w:gridCol w:w="1131"/>
        <w:gridCol w:w="4255"/>
      </w:tblGrid>
      <w:tr w14:paraId="60813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881" w:type="dxa"/>
            <w:tcBorders>
              <w:top w:val="single" w:color="000000" w:sz="10" w:space="0"/>
              <w:left w:val="single" w:color="000000" w:sz="10" w:space="0"/>
            </w:tcBorders>
            <w:vAlign w:val="top"/>
          </w:tcPr>
          <w:p w14:paraId="4A594015">
            <w:pPr>
              <w:pStyle w:val="16"/>
              <w:keepNext w:val="0"/>
              <w:keepLines w:val="0"/>
              <w:pageBreakBefore w:val="0"/>
              <w:kinsoku/>
              <w:wordWrap/>
              <w:overflowPunct/>
              <w:topLinePunct w:val="0"/>
              <w:bidi w:val="0"/>
              <w:spacing w:before="169" w:line="221" w:lineRule="auto"/>
              <w:ind w:left="93"/>
              <w:rPr>
                <w:sz w:val="24"/>
                <w:szCs w:val="24"/>
              </w:rPr>
            </w:pPr>
            <w:r>
              <w:rPr>
                <w:spacing w:val="-7"/>
                <w:sz w:val="24"/>
                <w:szCs w:val="24"/>
              </w:rPr>
              <w:t>名称</w:t>
            </w:r>
          </w:p>
        </w:tc>
        <w:tc>
          <w:tcPr>
            <w:tcW w:w="1414" w:type="dxa"/>
            <w:tcBorders>
              <w:top w:val="single" w:color="000000" w:sz="10" w:space="0"/>
            </w:tcBorders>
            <w:vAlign w:val="top"/>
          </w:tcPr>
          <w:p w14:paraId="4C52D569">
            <w:pPr>
              <w:pStyle w:val="16"/>
              <w:keepNext w:val="0"/>
              <w:keepLines w:val="0"/>
              <w:pageBreakBefore w:val="0"/>
              <w:kinsoku/>
              <w:wordWrap/>
              <w:overflowPunct/>
              <w:topLinePunct w:val="0"/>
              <w:bidi w:val="0"/>
              <w:spacing w:before="168" w:line="219" w:lineRule="auto"/>
              <w:ind w:left="86"/>
              <w:rPr>
                <w:sz w:val="24"/>
                <w:szCs w:val="24"/>
              </w:rPr>
            </w:pPr>
            <w:r>
              <w:rPr>
                <w:spacing w:val="-5"/>
                <w:sz w:val="24"/>
                <w:szCs w:val="24"/>
              </w:rPr>
              <w:t>姓名</w:t>
            </w:r>
          </w:p>
        </w:tc>
        <w:tc>
          <w:tcPr>
            <w:tcW w:w="1131" w:type="dxa"/>
            <w:tcBorders>
              <w:top w:val="single" w:color="000000" w:sz="10" w:space="0"/>
            </w:tcBorders>
            <w:vAlign w:val="top"/>
          </w:tcPr>
          <w:p w14:paraId="74154FE4">
            <w:pPr>
              <w:pStyle w:val="16"/>
              <w:keepNext w:val="0"/>
              <w:keepLines w:val="0"/>
              <w:pageBreakBefore w:val="0"/>
              <w:kinsoku/>
              <w:wordWrap/>
              <w:overflowPunct/>
              <w:topLinePunct w:val="0"/>
              <w:bidi w:val="0"/>
              <w:spacing w:before="168" w:line="219" w:lineRule="auto"/>
              <w:ind w:left="92"/>
              <w:rPr>
                <w:sz w:val="24"/>
                <w:szCs w:val="24"/>
              </w:rPr>
            </w:pPr>
            <w:r>
              <w:rPr>
                <w:spacing w:val="-6"/>
                <w:sz w:val="24"/>
                <w:szCs w:val="24"/>
              </w:rPr>
              <w:t>职务</w:t>
            </w:r>
          </w:p>
        </w:tc>
        <w:tc>
          <w:tcPr>
            <w:tcW w:w="1131" w:type="dxa"/>
            <w:tcBorders>
              <w:top w:val="single" w:color="000000" w:sz="10" w:space="0"/>
            </w:tcBorders>
            <w:vAlign w:val="top"/>
          </w:tcPr>
          <w:p w14:paraId="6BB37812">
            <w:pPr>
              <w:pStyle w:val="16"/>
              <w:keepNext w:val="0"/>
              <w:keepLines w:val="0"/>
              <w:pageBreakBefore w:val="0"/>
              <w:kinsoku/>
              <w:wordWrap/>
              <w:overflowPunct/>
              <w:topLinePunct w:val="0"/>
              <w:bidi w:val="0"/>
              <w:spacing w:before="169" w:line="221" w:lineRule="auto"/>
              <w:ind w:left="94"/>
              <w:rPr>
                <w:sz w:val="24"/>
                <w:szCs w:val="24"/>
              </w:rPr>
            </w:pPr>
            <w:r>
              <w:rPr>
                <w:spacing w:val="-6"/>
                <w:sz w:val="24"/>
                <w:szCs w:val="24"/>
              </w:rPr>
              <w:t>职称</w:t>
            </w:r>
          </w:p>
        </w:tc>
        <w:tc>
          <w:tcPr>
            <w:tcW w:w="4255" w:type="dxa"/>
            <w:tcBorders>
              <w:top w:val="single" w:color="000000" w:sz="10" w:space="0"/>
              <w:right w:val="single" w:color="000000" w:sz="10" w:space="0"/>
            </w:tcBorders>
            <w:vAlign w:val="top"/>
          </w:tcPr>
          <w:p w14:paraId="104C5321">
            <w:pPr>
              <w:pStyle w:val="16"/>
              <w:keepNext w:val="0"/>
              <w:keepLines w:val="0"/>
              <w:pageBreakBefore w:val="0"/>
              <w:kinsoku/>
              <w:wordWrap/>
              <w:overflowPunct/>
              <w:topLinePunct w:val="0"/>
              <w:bidi w:val="0"/>
              <w:spacing w:before="168" w:line="219" w:lineRule="auto"/>
              <w:ind w:left="99"/>
              <w:rPr>
                <w:sz w:val="24"/>
                <w:szCs w:val="24"/>
              </w:rPr>
            </w:pPr>
            <w:r>
              <w:rPr>
                <w:spacing w:val="-1"/>
                <w:sz w:val="24"/>
                <w:szCs w:val="24"/>
              </w:rPr>
              <w:t>主要资历、经验及承担过的项目</w:t>
            </w:r>
          </w:p>
        </w:tc>
      </w:tr>
      <w:tr w14:paraId="42140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1881" w:type="dxa"/>
            <w:tcBorders>
              <w:left w:val="single" w:color="000000" w:sz="10" w:space="0"/>
              <w:bottom w:val="single" w:color="000000" w:sz="2" w:space="0"/>
            </w:tcBorders>
            <w:vAlign w:val="top"/>
          </w:tcPr>
          <w:p w14:paraId="37E24D89">
            <w:pPr>
              <w:keepNext w:val="0"/>
              <w:keepLines w:val="0"/>
              <w:pageBreakBefore w:val="0"/>
              <w:kinsoku/>
              <w:wordWrap/>
              <w:overflowPunct/>
              <w:topLinePunct w:val="0"/>
              <w:bidi w:val="0"/>
              <w:rPr>
                <w:rFonts w:ascii="Arial"/>
                <w:sz w:val="21"/>
              </w:rPr>
            </w:pPr>
          </w:p>
        </w:tc>
        <w:tc>
          <w:tcPr>
            <w:tcW w:w="1414" w:type="dxa"/>
            <w:vAlign w:val="top"/>
          </w:tcPr>
          <w:p w14:paraId="0BB5E3FC">
            <w:pPr>
              <w:keepNext w:val="0"/>
              <w:keepLines w:val="0"/>
              <w:pageBreakBefore w:val="0"/>
              <w:kinsoku/>
              <w:wordWrap/>
              <w:overflowPunct/>
              <w:topLinePunct w:val="0"/>
              <w:bidi w:val="0"/>
              <w:rPr>
                <w:rFonts w:ascii="Arial"/>
                <w:sz w:val="21"/>
              </w:rPr>
            </w:pPr>
          </w:p>
        </w:tc>
        <w:tc>
          <w:tcPr>
            <w:tcW w:w="1131" w:type="dxa"/>
            <w:vAlign w:val="top"/>
          </w:tcPr>
          <w:p w14:paraId="14C3B088">
            <w:pPr>
              <w:keepNext w:val="0"/>
              <w:keepLines w:val="0"/>
              <w:pageBreakBefore w:val="0"/>
              <w:kinsoku/>
              <w:wordWrap/>
              <w:overflowPunct/>
              <w:topLinePunct w:val="0"/>
              <w:bidi w:val="0"/>
              <w:rPr>
                <w:rFonts w:ascii="Arial"/>
                <w:sz w:val="21"/>
              </w:rPr>
            </w:pPr>
          </w:p>
        </w:tc>
        <w:tc>
          <w:tcPr>
            <w:tcW w:w="1131" w:type="dxa"/>
            <w:vAlign w:val="top"/>
          </w:tcPr>
          <w:p w14:paraId="2EB03EA6">
            <w:pPr>
              <w:keepNext w:val="0"/>
              <w:keepLines w:val="0"/>
              <w:pageBreakBefore w:val="0"/>
              <w:kinsoku/>
              <w:wordWrap/>
              <w:overflowPunct/>
              <w:topLinePunct w:val="0"/>
              <w:bidi w:val="0"/>
              <w:rPr>
                <w:rFonts w:ascii="Arial"/>
                <w:sz w:val="21"/>
              </w:rPr>
            </w:pPr>
          </w:p>
        </w:tc>
        <w:tc>
          <w:tcPr>
            <w:tcW w:w="4255" w:type="dxa"/>
            <w:tcBorders>
              <w:right w:val="single" w:color="000000" w:sz="10" w:space="0"/>
            </w:tcBorders>
            <w:vAlign w:val="top"/>
          </w:tcPr>
          <w:p w14:paraId="6CC916DF">
            <w:pPr>
              <w:keepNext w:val="0"/>
              <w:keepLines w:val="0"/>
              <w:pageBreakBefore w:val="0"/>
              <w:kinsoku/>
              <w:wordWrap/>
              <w:overflowPunct/>
              <w:topLinePunct w:val="0"/>
              <w:bidi w:val="0"/>
              <w:rPr>
                <w:rFonts w:ascii="Arial"/>
                <w:sz w:val="21"/>
              </w:rPr>
            </w:pPr>
          </w:p>
        </w:tc>
      </w:tr>
      <w:tr w14:paraId="43268A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881" w:type="dxa"/>
            <w:tcBorders>
              <w:top w:val="single" w:color="000000" w:sz="2" w:space="0"/>
              <w:left w:val="single" w:color="000000" w:sz="2" w:space="0"/>
              <w:bottom w:val="single" w:color="000000" w:sz="2" w:space="0"/>
              <w:right w:val="single" w:color="000000" w:sz="2" w:space="0"/>
            </w:tcBorders>
            <w:vAlign w:val="top"/>
          </w:tcPr>
          <w:p w14:paraId="41E09B5D">
            <w:pPr>
              <w:keepNext w:val="0"/>
              <w:keepLines w:val="0"/>
              <w:pageBreakBefore w:val="0"/>
              <w:kinsoku/>
              <w:wordWrap/>
              <w:overflowPunct/>
              <w:topLinePunct w:val="0"/>
              <w:bidi w:val="0"/>
              <w:rPr>
                <w:rFonts w:ascii="Arial"/>
                <w:sz w:val="21"/>
              </w:rPr>
            </w:pPr>
          </w:p>
        </w:tc>
        <w:tc>
          <w:tcPr>
            <w:tcW w:w="1414" w:type="dxa"/>
            <w:tcBorders>
              <w:left w:val="single" w:color="000000" w:sz="2" w:space="0"/>
            </w:tcBorders>
            <w:vAlign w:val="top"/>
          </w:tcPr>
          <w:p w14:paraId="4BC5EB77">
            <w:pPr>
              <w:keepNext w:val="0"/>
              <w:keepLines w:val="0"/>
              <w:pageBreakBefore w:val="0"/>
              <w:kinsoku/>
              <w:wordWrap/>
              <w:overflowPunct/>
              <w:topLinePunct w:val="0"/>
              <w:bidi w:val="0"/>
              <w:rPr>
                <w:rFonts w:ascii="Arial"/>
                <w:sz w:val="21"/>
              </w:rPr>
            </w:pPr>
          </w:p>
        </w:tc>
        <w:tc>
          <w:tcPr>
            <w:tcW w:w="1131" w:type="dxa"/>
            <w:vAlign w:val="top"/>
          </w:tcPr>
          <w:p w14:paraId="7C9F54DE">
            <w:pPr>
              <w:keepNext w:val="0"/>
              <w:keepLines w:val="0"/>
              <w:pageBreakBefore w:val="0"/>
              <w:kinsoku/>
              <w:wordWrap/>
              <w:overflowPunct/>
              <w:topLinePunct w:val="0"/>
              <w:bidi w:val="0"/>
              <w:rPr>
                <w:rFonts w:ascii="Arial"/>
                <w:sz w:val="21"/>
              </w:rPr>
            </w:pPr>
          </w:p>
        </w:tc>
        <w:tc>
          <w:tcPr>
            <w:tcW w:w="1131" w:type="dxa"/>
            <w:vAlign w:val="top"/>
          </w:tcPr>
          <w:p w14:paraId="3F94028F">
            <w:pPr>
              <w:keepNext w:val="0"/>
              <w:keepLines w:val="0"/>
              <w:pageBreakBefore w:val="0"/>
              <w:kinsoku/>
              <w:wordWrap/>
              <w:overflowPunct/>
              <w:topLinePunct w:val="0"/>
              <w:bidi w:val="0"/>
              <w:rPr>
                <w:rFonts w:ascii="Arial"/>
                <w:sz w:val="21"/>
              </w:rPr>
            </w:pPr>
          </w:p>
        </w:tc>
        <w:tc>
          <w:tcPr>
            <w:tcW w:w="4255" w:type="dxa"/>
            <w:tcBorders>
              <w:right w:val="single" w:color="000000" w:sz="10" w:space="0"/>
            </w:tcBorders>
            <w:vAlign w:val="top"/>
          </w:tcPr>
          <w:p w14:paraId="2C39BB5B">
            <w:pPr>
              <w:keepNext w:val="0"/>
              <w:keepLines w:val="0"/>
              <w:pageBreakBefore w:val="0"/>
              <w:kinsoku/>
              <w:wordWrap/>
              <w:overflowPunct/>
              <w:topLinePunct w:val="0"/>
              <w:bidi w:val="0"/>
              <w:rPr>
                <w:rFonts w:ascii="Arial"/>
                <w:sz w:val="21"/>
              </w:rPr>
            </w:pPr>
          </w:p>
        </w:tc>
      </w:tr>
      <w:tr w14:paraId="4B490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881" w:type="dxa"/>
            <w:tcBorders>
              <w:top w:val="single" w:color="000000" w:sz="2" w:space="0"/>
              <w:left w:val="single" w:color="000000" w:sz="2" w:space="0"/>
              <w:bottom w:val="single" w:color="000000" w:sz="2" w:space="0"/>
              <w:right w:val="single" w:color="000000" w:sz="2" w:space="0"/>
            </w:tcBorders>
            <w:vAlign w:val="top"/>
          </w:tcPr>
          <w:p w14:paraId="450AA738">
            <w:pPr>
              <w:keepNext w:val="0"/>
              <w:keepLines w:val="0"/>
              <w:pageBreakBefore w:val="0"/>
              <w:kinsoku/>
              <w:wordWrap/>
              <w:overflowPunct/>
              <w:topLinePunct w:val="0"/>
              <w:bidi w:val="0"/>
              <w:rPr>
                <w:rFonts w:ascii="Arial"/>
                <w:sz w:val="21"/>
              </w:rPr>
            </w:pPr>
          </w:p>
        </w:tc>
        <w:tc>
          <w:tcPr>
            <w:tcW w:w="1414" w:type="dxa"/>
            <w:tcBorders>
              <w:left w:val="single" w:color="000000" w:sz="2" w:space="0"/>
            </w:tcBorders>
            <w:vAlign w:val="top"/>
          </w:tcPr>
          <w:p w14:paraId="1718FE54">
            <w:pPr>
              <w:keepNext w:val="0"/>
              <w:keepLines w:val="0"/>
              <w:pageBreakBefore w:val="0"/>
              <w:kinsoku/>
              <w:wordWrap/>
              <w:overflowPunct/>
              <w:topLinePunct w:val="0"/>
              <w:bidi w:val="0"/>
              <w:rPr>
                <w:rFonts w:ascii="Arial"/>
                <w:sz w:val="21"/>
              </w:rPr>
            </w:pPr>
          </w:p>
        </w:tc>
        <w:tc>
          <w:tcPr>
            <w:tcW w:w="1131" w:type="dxa"/>
            <w:vAlign w:val="top"/>
          </w:tcPr>
          <w:p w14:paraId="2172A6A1">
            <w:pPr>
              <w:keepNext w:val="0"/>
              <w:keepLines w:val="0"/>
              <w:pageBreakBefore w:val="0"/>
              <w:kinsoku/>
              <w:wordWrap/>
              <w:overflowPunct/>
              <w:topLinePunct w:val="0"/>
              <w:bidi w:val="0"/>
              <w:rPr>
                <w:rFonts w:ascii="Arial"/>
                <w:sz w:val="21"/>
              </w:rPr>
            </w:pPr>
          </w:p>
        </w:tc>
        <w:tc>
          <w:tcPr>
            <w:tcW w:w="1131" w:type="dxa"/>
            <w:vAlign w:val="top"/>
          </w:tcPr>
          <w:p w14:paraId="3788011C">
            <w:pPr>
              <w:keepNext w:val="0"/>
              <w:keepLines w:val="0"/>
              <w:pageBreakBefore w:val="0"/>
              <w:kinsoku/>
              <w:wordWrap/>
              <w:overflowPunct/>
              <w:topLinePunct w:val="0"/>
              <w:bidi w:val="0"/>
              <w:rPr>
                <w:rFonts w:ascii="Arial"/>
                <w:sz w:val="21"/>
              </w:rPr>
            </w:pPr>
          </w:p>
        </w:tc>
        <w:tc>
          <w:tcPr>
            <w:tcW w:w="4255" w:type="dxa"/>
            <w:tcBorders>
              <w:right w:val="single" w:color="000000" w:sz="10" w:space="0"/>
            </w:tcBorders>
            <w:vAlign w:val="top"/>
          </w:tcPr>
          <w:p w14:paraId="35D6C929">
            <w:pPr>
              <w:keepNext w:val="0"/>
              <w:keepLines w:val="0"/>
              <w:pageBreakBefore w:val="0"/>
              <w:kinsoku/>
              <w:wordWrap/>
              <w:overflowPunct/>
              <w:topLinePunct w:val="0"/>
              <w:bidi w:val="0"/>
              <w:rPr>
                <w:rFonts w:ascii="Arial"/>
                <w:sz w:val="21"/>
              </w:rPr>
            </w:pPr>
          </w:p>
        </w:tc>
      </w:tr>
      <w:tr w14:paraId="5E488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881" w:type="dxa"/>
            <w:tcBorders>
              <w:top w:val="single" w:color="000000" w:sz="2" w:space="0"/>
              <w:left w:val="single" w:color="000000" w:sz="2" w:space="0"/>
              <w:bottom w:val="single" w:color="000000" w:sz="2" w:space="0"/>
              <w:right w:val="single" w:color="000000" w:sz="2" w:space="0"/>
            </w:tcBorders>
            <w:vAlign w:val="top"/>
          </w:tcPr>
          <w:p w14:paraId="437AC443">
            <w:pPr>
              <w:keepNext w:val="0"/>
              <w:keepLines w:val="0"/>
              <w:pageBreakBefore w:val="0"/>
              <w:kinsoku/>
              <w:wordWrap/>
              <w:overflowPunct/>
              <w:topLinePunct w:val="0"/>
              <w:bidi w:val="0"/>
              <w:rPr>
                <w:rFonts w:ascii="Arial"/>
                <w:sz w:val="21"/>
              </w:rPr>
            </w:pPr>
          </w:p>
        </w:tc>
        <w:tc>
          <w:tcPr>
            <w:tcW w:w="1414" w:type="dxa"/>
            <w:tcBorders>
              <w:left w:val="single" w:color="000000" w:sz="2" w:space="0"/>
            </w:tcBorders>
            <w:vAlign w:val="top"/>
          </w:tcPr>
          <w:p w14:paraId="3EFD504E">
            <w:pPr>
              <w:keepNext w:val="0"/>
              <w:keepLines w:val="0"/>
              <w:pageBreakBefore w:val="0"/>
              <w:kinsoku/>
              <w:wordWrap/>
              <w:overflowPunct/>
              <w:topLinePunct w:val="0"/>
              <w:bidi w:val="0"/>
              <w:rPr>
                <w:rFonts w:ascii="Arial"/>
                <w:sz w:val="21"/>
              </w:rPr>
            </w:pPr>
          </w:p>
        </w:tc>
        <w:tc>
          <w:tcPr>
            <w:tcW w:w="1131" w:type="dxa"/>
            <w:vAlign w:val="top"/>
          </w:tcPr>
          <w:p w14:paraId="77C19747">
            <w:pPr>
              <w:keepNext w:val="0"/>
              <w:keepLines w:val="0"/>
              <w:pageBreakBefore w:val="0"/>
              <w:kinsoku/>
              <w:wordWrap/>
              <w:overflowPunct/>
              <w:topLinePunct w:val="0"/>
              <w:bidi w:val="0"/>
              <w:rPr>
                <w:rFonts w:ascii="Arial"/>
                <w:sz w:val="21"/>
              </w:rPr>
            </w:pPr>
          </w:p>
        </w:tc>
        <w:tc>
          <w:tcPr>
            <w:tcW w:w="1131" w:type="dxa"/>
            <w:vAlign w:val="top"/>
          </w:tcPr>
          <w:p w14:paraId="4B36399E">
            <w:pPr>
              <w:keepNext w:val="0"/>
              <w:keepLines w:val="0"/>
              <w:pageBreakBefore w:val="0"/>
              <w:kinsoku/>
              <w:wordWrap/>
              <w:overflowPunct/>
              <w:topLinePunct w:val="0"/>
              <w:bidi w:val="0"/>
              <w:rPr>
                <w:rFonts w:ascii="Arial"/>
                <w:sz w:val="21"/>
              </w:rPr>
            </w:pPr>
          </w:p>
        </w:tc>
        <w:tc>
          <w:tcPr>
            <w:tcW w:w="4255" w:type="dxa"/>
            <w:tcBorders>
              <w:right w:val="single" w:color="000000" w:sz="10" w:space="0"/>
            </w:tcBorders>
            <w:vAlign w:val="top"/>
          </w:tcPr>
          <w:p w14:paraId="550D8DEE">
            <w:pPr>
              <w:keepNext w:val="0"/>
              <w:keepLines w:val="0"/>
              <w:pageBreakBefore w:val="0"/>
              <w:kinsoku/>
              <w:wordWrap/>
              <w:overflowPunct/>
              <w:topLinePunct w:val="0"/>
              <w:bidi w:val="0"/>
              <w:rPr>
                <w:rFonts w:ascii="Arial"/>
                <w:sz w:val="21"/>
              </w:rPr>
            </w:pPr>
          </w:p>
        </w:tc>
      </w:tr>
      <w:tr w14:paraId="5DA7D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881" w:type="dxa"/>
            <w:tcBorders>
              <w:top w:val="single" w:color="000000" w:sz="2" w:space="0"/>
              <w:left w:val="single" w:color="000000" w:sz="2" w:space="0"/>
              <w:bottom w:val="single" w:color="000000" w:sz="2" w:space="0"/>
              <w:right w:val="single" w:color="000000" w:sz="2" w:space="0"/>
            </w:tcBorders>
            <w:vAlign w:val="top"/>
          </w:tcPr>
          <w:p w14:paraId="2E19312D">
            <w:pPr>
              <w:keepNext w:val="0"/>
              <w:keepLines w:val="0"/>
              <w:pageBreakBefore w:val="0"/>
              <w:kinsoku/>
              <w:wordWrap/>
              <w:overflowPunct/>
              <w:topLinePunct w:val="0"/>
              <w:bidi w:val="0"/>
              <w:rPr>
                <w:rFonts w:ascii="Arial"/>
                <w:sz w:val="21"/>
              </w:rPr>
            </w:pPr>
          </w:p>
        </w:tc>
        <w:tc>
          <w:tcPr>
            <w:tcW w:w="1414" w:type="dxa"/>
            <w:tcBorders>
              <w:left w:val="single" w:color="000000" w:sz="2" w:space="0"/>
            </w:tcBorders>
            <w:vAlign w:val="top"/>
          </w:tcPr>
          <w:p w14:paraId="59A7DB0D">
            <w:pPr>
              <w:keepNext w:val="0"/>
              <w:keepLines w:val="0"/>
              <w:pageBreakBefore w:val="0"/>
              <w:kinsoku/>
              <w:wordWrap/>
              <w:overflowPunct/>
              <w:topLinePunct w:val="0"/>
              <w:bidi w:val="0"/>
              <w:rPr>
                <w:rFonts w:ascii="Arial"/>
                <w:sz w:val="21"/>
              </w:rPr>
            </w:pPr>
          </w:p>
        </w:tc>
        <w:tc>
          <w:tcPr>
            <w:tcW w:w="1131" w:type="dxa"/>
            <w:vAlign w:val="top"/>
          </w:tcPr>
          <w:p w14:paraId="51CA3AFE">
            <w:pPr>
              <w:keepNext w:val="0"/>
              <w:keepLines w:val="0"/>
              <w:pageBreakBefore w:val="0"/>
              <w:kinsoku/>
              <w:wordWrap/>
              <w:overflowPunct/>
              <w:topLinePunct w:val="0"/>
              <w:bidi w:val="0"/>
              <w:rPr>
                <w:rFonts w:ascii="Arial"/>
                <w:sz w:val="21"/>
              </w:rPr>
            </w:pPr>
          </w:p>
        </w:tc>
        <w:tc>
          <w:tcPr>
            <w:tcW w:w="1131" w:type="dxa"/>
            <w:vAlign w:val="top"/>
          </w:tcPr>
          <w:p w14:paraId="4C5D82B1">
            <w:pPr>
              <w:keepNext w:val="0"/>
              <w:keepLines w:val="0"/>
              <w:pageBreakBefore w:val="0"/>
              <w:kinsoku/>
              <w:wordWrap/>
              <w:overflowPunct/>
              <w:topLinePunct w:val="0"/>
              <w:bidi w:val="0"/>
              <w:rPr>
                <w:rFonts w:ascii="Arial"/>
                <w:sz w:val="21"/>
              </w:rPr>
            </w:pPr>
          </w:p>
        </w:tc>
        <w:tc>
          <w:tcPr>
            <w:tcW w:w="4255" w:type="dxa"/>
            <w:tcBorders>
              <w:right w:val="single" w:color="000000" w:sz="10" w:space="0"/>
            </w:tcBorders>
            <w:vAlign w:val="top"/>
          </w:tcPr>
          <w:p w14:paraId="169545DF">
            <w:pPr>
              <w:keepNext w:val="0"/>
              <w:keepLines w:val="0"/>
              <w:pageBreakBefore w:val="0"/>
              <w:kinsoku/>
              <w:wordWrap/>
              <w:overflowPunct/>
              <w:topLinePunct w:val="0"/>
              <w:bidi w:val="0"/>
              <w:rPr>
                <w:rFonts w:ascii="Arial"/>
                <w:sz w:val="21"/>
              </w:rPr>
            </w:pPr>
          </w:p>
        </w:tc>
      </w:tr>
    </w:tbl>
    <w:p w14:paraId="1018E455">
      <w:pPr>
        <w:pStyle w:val="7"/>
        <w:keepNext w:val="0"/>
        <w:keepLines w:val="0"/>
        <w:pageBreakBefore w:val="0"/>
        <w:kinsoku/>
        <w:wordWrap/>
        <w:overflowPunct/>
        <w:topLinePunct w:val="0"/>
        <w:bidi w:val="0"/>
      </w:pPr>
    </w:p>
    <w:p w14:paraId="0821D25B">
      <w:pPr>
        <w:keepNext w:val="0"/>
        <w:keepLines w:val="0"/>
        <w:pageBreakBefore w:val="0"/>
        <w:kinsoku/>
        <w:wordWrap/>
        <w:overflowPunct/>
        <w:topLinePunct w:val="0"/>
        <w:bidi w:val="0"/>
        <w:sectPr>
          <w:footerReference r:id="rId25" w:type="default"/>
          <w:pgSz w:w="11906" w:h="16839"/>
          <w:pgMar w:top="1440" w:right="1080" w:bottom="1440" w:left="1080" w:header="0" w:footer="994" w:gutter="0"/>
          <w:pgNumType w:fmt="decimal"/>
          <w:cols w:space="720" w:num="1"/>
        </w:sectPr>
      </w:pPr>
    </w:p>
    <w:p w14:paraId="5D1B4077">
      <w:pPr>
        <w:pStyle w:val="7"/>
        <w:keepNext w:val="0"/>
        <w:keepLines w:val="0"/>
        <w:pageBreakBefore w:val="0"/>
        <w:kinsoku/>
        <w:wordWrap/>
        <w:overflowPunct/>
        <w:topLinePunct w:val="0"/>
        <w:bidi w:val="0"/>
        <w:spacing w:line="246" w:lineRule="auto"/>
      </w:pPr>
    </w:p>
    <w:p w14:paraId="0E1EAF8D">
      <w:pPr>
        <w:pStyle w:val="7"/>
        <w:keepNext w:val="0"/>
        <w:keepLines w:val="0"/>
        <w:pageBreakBefore w:val="0"/>
        <w:kinsoku/>
        <w:wordWrap/>
        <w:overflowPunct/>
        <w:topLinePunct w:val="0"/>
        <w:bidi w:val="0"/>
        <w:spacing w:line="247" w:lineRule="auto"/>
      </w:pPr>
    </w:p>
    <w:p w14:paraId="5EE72D57">
      <w:pPr>
        <w:pStyle w:val="7"/>
        <w:keepNext w:val="0"/>
        <w:keepLines w:val="0"/>
        <w:pageBreakBefore w:val="0"/>
        <w:kinsoku/>
        <w:wordWrap/>
        <w:overflowPunct/>
        <w:topLinePunct w:val="0"/>
        <w:bidi w:val="0"/>
        <w:spacing w:line="247" w:lineRule="auto"/>
      </w:pPr>
    </w:p>
    <w:p w14:paraId="30B846F7">
      <w:pPr>
        <w:pStyle w:val="7"/>
        <w:keepNext w:val="0"/>
        <w:keepLines w:val="0"/>
        <w:pageBreakBefore w:val="0"/>
        <w:kinsoku/>
        <w:wordWrap/>
        <w:overflowPunct/>
        <w:topLinePunct w:val="0"/>
        <w:bidi w:val="0"/>
        <w:spacing w:line="247" w:lineRule="auto"/>
      </w:pPr>
    </w:p>
    <w:p w14:paraId="79D01BAB">
      <w:pPr>
        <w:pStyle w:val="7"/>
        <w:keepNext w:val="0"/>
        <w:keepLines w:val="0"/>
        <w:pageBreakBefore w:val="0"/>
        <w:kinsoku/>
        <w:wordWrap/>
        <w:overflowPunct/>
        <w:topLinePunct w:val="0"/>
        <w:bidi w:val="0"/>
        <w:spacing w:line="247" w:lineRule="auto"/>
      </w:pPr>
    </w:p>
    <w:p w14:paraId="7C477FA5">
      <w:pPr>
        <w:keepNext w:val="0"/>
        <w:keepLines w:val="0"/>
        <w:pageBreakBefore w:val="0"/>
        <w:kinsoku/>
        <w:wordWrap/>
        <w:overflowPunct/>
        <w:topLinePunct w:val="0"/>
        <w:bidi w:val="0"/>
        <w:spacing w:before="78" w:line="219" w:lineRule="auto"/>
        <w:ind w:left="2969"/>
        <w:rPr>
          <w:rFonts w:ascii="宋体" w:hAnsi="宋体" w:eastAsia="宋体" w:cs="宋体"/>
          <w:sz w:val="24"/>
          <w:szCs w:val="24"/>
        </w:rPr>
      </w:pPr>
      <w:r>
        <w:rPr>
          <w:rFonts w:ascii="宋体" w:hAnsi="宋体" w:eastAsia="宋体" w:cs="宋体"/>
          <w:b/>
          <w:bCs/>
          <w:spacing w:val="-3"/>
          <w:sz w:val="24"/>
          <w:szCs w:val="24"/>
        </w:rPr>
        <w:t>节能、环境标志产品优惠明细表</w:t>
      </w:r>
    </w:p>
    <w:p w14:paraId="77030B32">
      <w:pPr>
        <w:keepNext w:val="0"/>
        <w:keepLines w:val="0"/>
        <w:pageBreakBefore w:val="0"/>
        <w:kinsoku/>
        <w:wordWrap/>
        <w:overflowPunct/>
        <w:topLinePunct w:val="0"/>
        <w:bidi w:val="0"/>
        <w:spacing w:before="156" w:line="220" w:lineRule="auto"/>
        <w:ind w:left="3614"/>
        <w:rPr>
          <w:rFonts w:ascii="宋体" w:hAnsi="宋体" w:eastAsia="宋体" w:cs="宋体"/>
          <w:sz w:val="24"/>
          <w:szCs w:val="24"/>
        </w:rPr>
      </w:pPr>
      <w:r>
        <w:rPr>
          <w:rFonts w:ascii="宋体" w:hAnsi="宋体" w:eastAsia="宋体" w:cs="宋体"/>
          <w:b/>
          <w:bCs/>
          <w:spacing w:val="-7"/>
          <w:sz w:val="24"/>
          <w:szCs w:val="24"/>
        </w:rPr>
        <w:t>(若有，请如实填写)</w:t>
      </w:r>
    </w:p>
    <w:p w14:paraId="25722CE8">
      <w:pPr>
        <w:keepNext w:val="0"/>
        <w:keepLines w:val="0"/>
        <w:pageBreakBefore w:val="0"/>
        <w:kinsoku/>
        <w:wordWrap/>
        <w:overflowPunct/>
        <w:topLinePunct w:val="0"/>
        <w:bidi w:val="0"/>
        <w:spacing w:before="152" w:line="218" w:lineRule="auto"/>
        <w:ind w:left="132"/>
        <w:rPr>
          <w:rFonts w:ascii="宋体" w:hAnsi="宋体" w:eastAsia="宋体" w:cs="宋体"/>
          <w:sz w:val="24"/>
          <w:szCs w:val="24"/>
        </w:rPr>
      </w:pPr>
      <w:r>
        <w:rPr>
          <w:rFonts w:ascii="宋体" w:hAnsi="宋体" w:eastAsia="宋体" w:cs="宋体"/>
          <w:sz w:val="24"/>
          <w:szCs w:val="24"/>
        </w:rPr>
        <w:t>（1）节能产品明细清单</w:t>
      </w:r>
      <w:r>
        <w:rPr>
          <w:rFonts w:ascii="宋体" w:hAnsi="宋体" w:eastAsia="宋体" w:cs="宋体"/>
          <w:spacing w:val="-1"/>
          <w:sz w:val="24"/>
          <w:szCs w:val="24"/>
        </w:rPr>
        <w:t>报价货币种类金额单位：元</w:t>
      </w:r>
    </w:p>
    <w:p w14:paraId="341A7D7C">
      <w:pPr>
        <w:keepNext w:val="0"/>
        <w:keepLines w:val="0"/>
        <w:pageBreakBefore w:val="0"/>
        <w:kinsoku/>
        <w:wordWrap/>
        <w:overflowPunct/>
        <w:topLinePunct w:val="0"/>
        <w:bidi w:val="0"/>
        <w:spacing w:line="107" w:lineRule="auto"/>
        <w:rPr>
          <w:rFonts w:ascii="Arial"/>
          <w:sz w:val="2"/>
        </w:rPr>
      </w:pPr>
    </w:p>
    <w:tbl>
      <w:tblPr>
        <w:tblStyle w:val="15"/>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518"/>
        <w:gridCol w:w="1627"/>
        <w:gridCol w:w="1073"/>
        <w:gridCol w:w="1682"/>
        <w:gridCol w:w="2003"/>
        <w:gridCol w:w="715"/>
        <w:gridCol w:w="619"/>
        <w:gridCol w:w="757"/>
      </w:tblGrid>
      <w:tr w14:paraId="6FBEA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864" w:type="dxa"/>
            <w:vAlign w:val="top"/>
          </w:tcPr>
          <w:p w14:paraId="6E60C47D">
            <w:pPr>
              <w:keepNext w:val="0"/>
              <w:keepLines w:val="0"/>
              <w:pageBreakBefore w:val="0"/>
              <w:kinsoku/>
              <w:wordWrap/>
              <w:overflowPunct/>
              <w:topLinePunct w:val="0"/>
              <w:bidi w:val="0"/>
              <w:spacing w:line="290" w:lineRule="auto"/>
              <w:rPr>
                <w:rFonts w:ascii="Arial"/>
                <w:sz w:val="21"/>
              </w:rPr>
            </w:pPr>
          </w:p>
          <w:p w14:paraId="4AD43E97">
            <w:pPr>
              <w:pStyle w:val="16"/>
              <w:keepNext w:val="0"/>
              <w:keepLines w:val="0"/>
              <w:pageBreakBefore w:val="0"/>
              <w:kinsoku/>
              <w:wordWrap/>
              <w:overflowPunct/>
              <w:topLinePunct w:val="0"/>
              <w:bidi w:val="0"/>
              <w:spacing w:before="78" w:line="327" w:lineRule="auto"/>
              <w:ind w:left="324" w:right="188" w:hanging="123"/>
              <w:rPr>
                <w:sz w:val="24"/>
                <w:szCs w:val="24"/>
              </w:rPr>
            </w:pPr>
            <w:r>
              <w:rPr>
                <w:spacing w:val="-6"/>
                <w:sz w:val="24"/>
                <w:szCs w:val="24"/>
              </w:rPr>
              <w:t>制造</w:t>
            </w:r>
            <w:r>
              <w:rPr>
                <w:sz w:val="24"/>
                <w:szCs w:val="24"/>
              </w:rPr>
              <w:t>商</w:t>
            </w:r>
          </w:p>
        </w:tc>
        <w:tc>
          <w:tcPr>
            <w:tcW w:w="518" w:type="dxa"/>
            <w:textDirection w:val="tbRlV"/>
            <w:vAlign w:val="top"/>
          </w:tcPr>
          <w:p w14:paraId="1DF3EC14">
            <w:pPr>
              <w:pStyle w:val="16"/>
              <w:keepNext w:val="0"/>
              <w:keepLines w:val="0"/>
              <w:pageBreakBefore w:val="0"/>
              <w:kinsoku/>
              <w:wordWrap/>
              <w:overflowPunct/>
              <w:topLinePunct w:val="0"/>
              <w:bidi w:val="0"/>
              <w:spacing w:before="137" w:line="207" w:lineRule="auto"/>
              <w:ind w:left="371"/>
              <w:rPr>
                <w:sz w:val="24"/>
                <w:szCs w:val="24"/>
              </w:rPr>
            </w:pPr>
            <w:r>
              <w:rPr>
                <w:spacing w:val="-1"/>
                <w:sz w:val="24"/>
                <w:szCs w:val="24"/>
              </w:rPr>
              <w:t>品牌</w:t>
            </w:r>
          </w:p>
        </w:tc>
        <w:tc>
          <w:tcPr>
            <w:tcW w:w="1627" w:type="dxa"/>
            <w:vAlign w:val="top"/>
          </w:tcPr>
          <w:p w14:paraId="5ACBA2CE">
            <w:pPr>
              <w:keepNext w:val="0"/>
              <w:keepLines w:val="0"/>
              <w:pageBreakBefore w:val="0"/>
              <w:kinsoku/>
              <w:wordWrap/>
              <w:overflowPunct/>
              <w:topLinePunct w:val="0"/>
              <w:bidi w:val="0"/>
              <w:spacing w:line="292" w:lineRule="auto"/>
              <w:rPr>
                <w:rFonts w:ascii="Arial"/>
                <w:sz w:val="21"/>
              </w:rPr>
            </w:pPr>
          </w:p>
          <w:p w14:paraId="39BBADDD">
            <w:pPr>
              <w:pStyle w:val="16"/>
              <w:keepNext w:val="0"/>
              <w:keepLines w:val="0"/>
              <w:pageBreakBefore w:val="0"/>
              <w:kinsoku/>
              <w:wordWrap/>
              <w:overflowPunct/>
              <w:topLinePunct w:val="0"/>
              <w:bidi w:val="0"/>
              <w:spacing w:before="78" w:line="326" w:lineRule="auto"/>
              <w:ind w:left="459" w:right="106" w:hanging="345"/>
              <w:rPr>
                <w:sz w:val="24"/>
                <w:szCs w:val="24"/>
              </w:rPr>
            </w:pPr>
            <w:r>
              <w:rPr>
                <w:spacing w:val="-7"/>
                <w:sz w:val="24"/>
                <w:szCs w:val="24"/>
              </w:rPr>
              <w:t>产品名称、规</w:t>
            </w:r>
            <w:r>
              <w:rPr>
                <w:spacing w:val="-4"/>
                <w:sz w:val="24"/>
                <w:szCs w:val="24"/>
              </w:rPr>
              <w:t>格型号</w:t>
            </w:r>
          </w:p>
        </w:tc>
        <w:tc>
          <w:tcPr>
            <w:tcW w:w="1073" w:type="dxa"/>
            <w:vAlign w:val="top"/>
          </w:tcPr>
          <w:p w14:paraId="0587080A">
            <w:pPr>
              <w:pStyle w:val="16"/>
              <w:keepNext w:val="0"/>
              <w:keepLines w:val="0"/>
              <w:pageBreakBefore w:val="0"/>
              <w:kinsoku/>
              <w:wordWrap/>
              <w:overflowPunct/>
              <w:topLinePunct w:val="0"/>
              <w:bidi w:val="0"/>
              <w:spacing w:before="150" w:line="299" w:lineRule="auto"/>
              <w:ind w:left="183" w:right="173"/>
              <w:jc w:val="both"/>
              <w:rPr>
                <w:sz w:val="24"/>
                <w:szCs w:val="24"/>
              </w:rPr>
            </w:pPr>
            <w:r>
              <w:rPr>
                <w:spacing w:val="-4"/>
                <w:sz w:val="24"/>
                <w:szCs w:val="24"/>
              </w:rPr>
              <w:t>节字标志认证证书号</w:t>
            </w:r>
          </w:p>
        </w:tc>
        <w:tc>
          <w:tcPr>
            <w:tcW w:w="1682" w:type="dxa"/>
            <w:vAlign w:val="top"/>
          </w:tcPr>
          <w:p w14:paraId="4724BD93">
            <w:pPr>
              <w:pStyle w:val="16"/>
              <w:keepNext w:val="0"/>
              <w:keepLines w:val="0"/>
              <w:pageBreakBefore w:val="0"/>
              <w:kinsoku/>
              <w:wordWrap/>
              <w:overflowPunct/>
              <w:topLinePunct w:val="0"/>
              <w:bidi w:val="0"/>
              <w:spacing w:before="153" w:line="219" w:lineRule="auto"/>
              <w:ind w:left="128"/>
              <w:rPr>
                <w:sz w:val="24"/>
                <w:szCs w:val="24"/>
              </w:rPr>
            </w:pPr>
            <w:r>
              <w:rPr>
                <w:spacing w:val="-2"/>
                <w:sz w:val="24"/>
                <w:szCs w:val="24"/>
              </w:rPr>
              <w:t>节能产品认证</w:t>
            </w:r>
          </w:p>
          <w:p w14:paraId="5DBA92C0">
            <w:pPr>
              <w:pStyle w:val="16"/>
              <w:keepNext w:val="0"/>
              <w:keepLines w:val="0"/>
              <w:pageBreakBefore w:val="0"/>
              <w:kinsoku/>
              <w:wordWrap/>
              <w:overflowPunct/>
              <w:topLinePunct w:val="0"/>
              <w:bidi w:val="0"/>
              <w:spacing w:before="153" w:line="219" w:lineRule="auto"/>
              <w:ind w:left="128"/>
              <w:rPr>
                <w:sz w:val="24"/>
                <w:szCs w:val="24"/>
              </w:rPr>
            </w:pPr>
            <w:r>
              <w:rPr>
                <w:spacing w:val="-2"/>
                <w:sz w:val="24"/>
                <w:szCs w:val="24"/>
              </w:rPr>
              <w:t>证书有效截止</w:t>
            </w:r>
          </w:p>
          <w:p w14:paraId="4CE9C288">
            <w:pPr>
              <w:pStyle w:val="16"/>
              <w:keepNext w:val="0"/>
              <w:keepLines w:val="0"/>
              <w:pageBreakBefore w:val="0"/>
              <w:kinsoku/>
              <w:wordWrap/>
              <w:overflowPunct/>
              <w:topLinePunct w:val="0"/>
              <w:bidi w:val="0"/>
              <w:spacing w:before="154" w:line="220" w:lineRule="auto"/>
              <w:ind w:left="649"/>
              <w:rPr>
                <w:sz w:val="24"/>
                <w:szCs w:val="24"/>
              </w:rPr>
            </w:pPr>
            <w:r>
              <w:rPr>
                <w:spacing w:val="-26"/>
                <w:sz w:val="24"/>
                <w:szCs w:val="24"/>
              </w:rPr>
              <w:t>日期</w:t>
            </w:r>
          </w:p>
        </w:tc>
        <w:tc>
          <w:tcPr>
            <w:tcW w:w="2003" w:type="dxa"/>
            <w:vAlign w:val="top"/>
          </w:tcPr>
          <w:p w14:paraId="5D817115">
            <w:pPr>
              <w:pStyle w:val="16"/>
              <w:keepNext w:val="0"/>
              <w:keepLines w:val="0"/>
              <w:pageBreakBefore w:val="0"/>
              <w:kinsoku/>
              <w:wordWrap/>
              <w:overflowPunct/>
              <w:topLinePunct w:val="0"/>
              <w:bidi w:val="0"/>
              <w:spacing w:before="153" w:line="219" w:lineRule="auto"/>
              <w:ind w:left="169"/>
              <w:rPr>
                <w:sz w:val="24"/>
                <w:szCs w:val="24"/>
              </w:rPr>
            </w:pPr>
            <w:r>
              <w:rPr>
                <w:spacing w:val="-2"/>
                <w:sz w:val="24"/>
                <w:szCs w:val="24"/>
              </w:rPr>
              <w:t>产品所在节能产</w:t>
            </w:r>
          </w:p>
          <w:p w14:paraId="01CA46A0">
            <w:pPr>
              <w:pStyle w:val="16"/>
              <w:keepNext w:val="0"/>
              <w:keepLines w:val="0"/>
              <w:pageBreakBefore w:val="0"/>
              <w:kinsoku/>
              <w:wordWrap/>
              <w:overflowPunct/>
              <w:topLinePunct w:val="0"/>
              <w:bidi w:val="0"/>
              <w:spacing w:before="153" w:line="219" w:lineRule="auto"/>
              <w:ind w:left="189"/>
              <w:rPr>
                <w:sz w:val="24"/>
                <w:szCs w:val="24"/>
              </w:rPr>
            </w:pPr>
            <w:r>
              <w:rPr>
                <w:spacing w:val="-5"/>
                <w:sz w:val="24"/>
                <w:szCs w:val="24"/>
              </w:rPr>
              <w:t>品政府采购清单</w:t>
            </w:r>
          </w:p>
          <w:p w14:paraId="3C5574E1">
            <w:pPr>
              <w:pStyle w:val="16"/>
              <w:keepNext w:val="0"/>
              <w:keepLines w:val="0"/>
              <w:pageBreakBefore w:val="0"/>
              <w:kinsoku/>
              <w:wordWrap/>
              <w:overflowPunct/>
              <w:topLinePunct w:val="0"/>
              <w:bidi w:val="0"/>
              <w:spacing w:before="154" w:line="220" w:lineRule="auto"/>
              <w:ind w:left="775"/>
              <w:rPr>
                <w:sz w:val="24"/>
                <w:szCs w:val="24"/>
              </w:rPr>
            </w:pPr>
            <w:r>
              <w:rPr>
                <w:spacing w:val="-8"/>
                <w:sz w:val="24"/>
                <w:szCs w:val="24"/>
              </w:rPr>
              <w:t>页码</w:t>
            </w:r>
          </w:p>
        </w:tc>
        <w:tc>
          <w:tcPr>
            <w:tcW w:w="715" w:type="dxa"/>
            <w:vAlign w:val="top"/>
          </w:tcPr>
          <w:p w14:paraId="1E710946">
            <w:pPr>
              <w:keepNext w:val="0"/>
              <w:keepLines w:val="0"/>
              <w:pageBreakBefore w:val="0"/>
              <w:kinsoku/>
              <w:wordWrap/>
              <w:overflowPunct/>
              <w:topLinePunct w:val="0"/>
              <w:bidi w:val="0"/>
              <w:spacing w:line="255" w:lineRule="auto"/>
              <w:rPr>
                <w:rFonts w:ascii="Arial"/>
                <w:sz w:val="21"/>
              </w:rPr>
            </w:pPr>
          </w:p>
          <w:p w14:paraId="747ADB3F">
            <w:pPr>
              <w:keepNext w:val="0"/>
              <w:keepLines w:val="0"/>
              <w:pageBreakBefore w:val="0"/>
              <w:kinsoku/>
              <w:wordWrap/>
              <w:overflowPunct/>
              <w:topLinePunct w:val="0"/>
              <w:bidi w:val="0"/>
              <w:spacing w:line="255" w:lineRule="auto"/>
              <w:rPr>
                <w:rFonts w:ascii="Arial"/>
                <w:sz w:val="21"/>
              </w:rPr>
            </w:pPr>
          </w:p>
          <w:p w14:paraId="71E656A9">
            <w:pPr>
              <w:pStyle w:val="16"/>
              <w:keepNext w:val="0"/>
              <w:keepLines w:val="0"/>
              <w:pageBreakBefore w:val="0"/>
              <w:kinsoku/>
              <w:wordWrap/>
              <w:overflowPunct/>
              <w:topLinePunct w:val="0"/>
              <w:bidi w:val="0"/>
              <w:spacing w:before="78" w:line="220" w:lineRule="auto"/>
              <w:ind w:left="127"/>
              <w:rPr>
                <w:sz w:val="24"/>
                <w:szCs w:val="24"/>
              </w:rPr>
            </w:pPr>
            <w:r>
              <w:rPr>
                <w:spacing w:val="-6"/>
                <w:sz w:val="24"/>
                <w:szCs w:val="24"/>
              </w:rPr>
              <w:t>单位</w:t>
            </w:r>
          </w:p>
        </w:tc>
        <w:tc>
          <w:tcPr>
            <w:tcW w:w="619" w:type="dxa"/>
            <w:textDirection w:val="tbRlV"/>
            <w:vAlign w:val="top"/>
          </w:tcPr>
          <w:p w14:paraId="46454B83">
            <w:pPr>
              <w:pStyle w:val="16"/>
              <w:keepNext w:val="0"/>
              <w:keepLines w:val="0"/>
              <w:pageBreakBefore w:val="0"/>
              <w:kinsoku/>
              <w:wordWrap/>
              <w:overflowPunct/>
              <w:topLinePunct w:val="0"/>
              <w:bidi w:val="0"/>
              <w:spacing w:before="185" w:line="208" w:lineRule="auto"/>
              <w:ind w:left="371"/>
              <w:rPr>
                <w:sz w:val="24"/>
                <w:szCs w:val="24"/>
              </w:rPr>
            </w:pPr>
            <w:r>
              <w:rPr>
                <w:spacing w:val="-1"/>
                <w:sz w:val="24"/>
                <w:szCs w:val="24"/>
              </w:rPr>
              <w:t>数量</w:t>
            </w:r>
          </w:p>
        </w:tc>
        <w:tc>
          <w:tcPr>
            <w:tcW w:w="757" w:type="dxa"/>
            <w:vAlign w:val="top"/>
          </w:tcPr>
          <w:p w14:paraId="23217A10">
            <w:pPr>
              <w:keepNext w:val="0"/>
              <w:keepLines w:val="0"/>
              <w:pageBreakBefore w:val="0"/>
              <w:kinsoku/>
              <w:wordWrap/>
              <w:overflowPunct/>
              <w:topLinePunct w:val="0"/>
              <w:bidi w:val="0"/>
              <w:spacing w:line="255" w:lineRule="auto"/>
              <w:rPr>
                <w:rFonts w:ascii="Arial"/>
                <w:sz w:val="21"/>
              </w:rPr>
            </w:pPr>
          </w:p>
          <w:p w14:paraId="37140231">
            <w:pPr>
              <w:keepNext w:val="0"/>
              <w:keepLines w:val="0"/>
              <w:pageBreakBefore w:val="0"/>
              <w:kinsoku/>
              <w:wordWrap/>
              <w:overflowPunct/>
              <w:topLinePunct w:val="0"/>
              <w:bidi w:val="0"/>
              <w:spacing w:line="255" w:lineRule="auto"/>
              <w:rPr>
                <w:rFonts w:ascii="Arial"/>
                <w:sz w:val="21"/>
              </w:rPr>
            </w:pPr>
          </w:p>
          <w:p w14:paraId="6EE9A987">
            <w:pPr>
              <w:pStyle w:val="16"/>
              <w:keepNext w:val="0"/>
              <w:keepLines w:val="0"/>
              <w:pageBreakBefore w:val="0"/>
              <w:kinsoku/>
              <w:wordWrap/>
              <w:overflowPunct/>
              <w:topLinePunct w:val="0"/>
              <w:bidi w:val="0"/>
              <w:spacing w:before="78" w:line="218" w:lineRule="auto"/>
              <w:ind w:left="146"/>
              <w:rPr>
                <w:sz w:val="24"/>
                <w:szCs w:val="24"/>
              </w:rPr>
            </w:pPr>
            <w:r>
              <w:rPr>
                <w:spacing w:val="-6"/>
                <w:sz w:val="24"/>
                <w:szCs w:val="24"/>
              </w:rPr>
              <w:t>单价</w:t>
            </w:r>
          </w:p>
        </w:tc>
      </w:tr>
      <w:tr w14:paraId="290BA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64" w:type="dxa"/>
            <w:vAlign w:val="top"/>
          </w:tcPr>
          <w:p w14:paraId="2AFC3B19">
            <w:pPr>
              <w:keepNext w:val="0"/>
              <w:keepLines w:val="0"/>
              <w:pageBreakBefore w:val="0"/>
              <w:kinsoku/>
              <w:wordWrap/>
              <w:overflowPunct/>
              <w:topLinePunct w:val="0"/>
              <w:bidi w:val="0"/>
              <w:rPr>
                <w:rFonts w:ascii="Arial"/>
                <w:sz w:val="21"/>
              </w:rPr>
            </w:pPr>
          </w:p>
        </w:tc>
        <w:tc>
          <w:tcPr>
            <w:tcW w:w="518" w:type="dxa"/>
            <w:vAlign w:val="top"/>
          </w:tcPr>
          <w:p w14:paraId="1624F721">
            <w:pPr>
              <w:keepNext w:val="0"/>
              <w:keepLines w:val="0"/>
              <w:pageBreakBefore w:val="0"/>
              <w:kinsoku/>
              <w:wordWrap/>
              <w:overflowPunct/>
              <w:topLinePunct w:val="0"/>
              <w:bidi w:val="0"/>
              <w:rPr>
                <w:rFonts w:ascii="Arial"/>
                <w:sz w:val="21"/>
              </w:rPr>
            </w:pPr>
          </w:p>
        </w:tc>
        <w:tc>
          <w:tcPr>
            <w:tcW w:w="1627" w:type="dxa"/>
            <w:vAlign w:val="top"/>
          </w:tcPr>
          <w:p w14:paraId="2928ECBE">
            <w:pPr>
              <w:keepNext w:val="0"/>
              <w:keepLines w:val="0"/>
              <w:pageBreakBefore w:val="0"/>
              <w:kinsoku/>
              <w:wordWrap/>
              <w:overflowPunct/>
              <w:topLinePunct w:val="0"/>
              <w:bidi w:val="0"/>
              <w:rPr>
                <w:rFonts w:ascii="Arial"/>
                <w:sz w:val="21"/>
              </w:rPr>
            </w:pPr>
          </w:p>
        </w:tc>
        <w:tc>
          <w:tcPr>
            <w:tcW w:w="1073" w:type="dxa"/>
            <w:vAlign w:val="top"/>
          </w:tcPr>
          <w:p w14:paraId="386C36DF">
            <w:pPr>
              <w:keepNext w:val="0"/>
              <w:keepLines w:val="0"/>
              <w:pageBreakBefore w:val="0"/>
              <w:kinsoku/>
              <w:wordWrap/>
              <w:overflowPunct/>
              <w:topLinePunct w:val="0"/>
              <w:bidi w:val="0"/>
              <w:rPr>
                <w:rFonts w:ascii="Arial"/>
                <w:sz w:val="21"/>
              </w:rPr>
            </w:pPr>
          </w:p>
        </w:tc>
        <w:tc>
          <w:tcPr>
            <w:tcW w:w="1682" w:type="dxa"/>
            <w:vAlign w:val="top"/>
          </w:tcPr>
          <w:p w14:paraId="1B4C00B0">
            <w:pPr>
              <w:keepNext w:val="0"/>
              <w:keepLines w:val="0"/>
              <w:pageBreakBefore w:val="0"/>
              <w:kinsoku/>
              <w:wordWrap/>
              <w:overflowPunct/>
              <w:topLinePunct w:val="0"/>
              <w:bidi w:val="0"/>
              <w:rPr>
                <w:rFonts w:ascii="Arial"/>
                <w:sz w:val="21"/>
              </w:rPr>
            </w:pPr>
          </w:p>
        </w:tc>
        <w:tc>
          <w:tcPr>
            <w:tcW w:w="2003" w:type="dxa"/>
            <w:vAlign w:val="top"/>
          </w:tcPr>
          <w:p w14:paraId="5BAC9576">
            <w:pPr>
              <w:keepNext w:val="0"/>
              <w:keepLines w:val="0"/>
              <w:pageBreakBefore w:val="0"/>
              <w:kinsoku/>
              <w:wordWrap/>
              <w:overflowPunct/>
              <w:topLinePunct w:val="0"/>
              <w:bidi w:val="0"/>
              <w:rPr>
                <w:rFonts w:ascii="Arial"/>
                <w:sz w:val="21"/>
              </w:rPr>
            </w:pPr>
          </w:p>
        </w:tc>
        <w:tc>
          <w:tcPr>
            <w:tcW w:w="715" w:type="dxa"/>
            <w:vAlign w:val="top"/>
          </w:tcPr>
          <w:p w14:paraId="36384F51">
            <w:pPr>
              <w:keepNext w:val="0"/>
              <w:keepLines w:val="0"/>
              <w:pageBreakBefore w:val="0"/>
              <w:kinsoku/>
              <w:wordWrap/>
              <w:overflowPunct/>
              <w:topLinePunct w:val="0"/>
              <w:bidi w:val="0"/>
              <w:rPr>
                <w:rFonts w:ascii="Arial"/>
                <w:sz w:val="21"/>
              </w:rPr>
            </w:pPr>
          </w:p>
        </w:tc>
        <w:tc>
          <w:tcPr>
            <w:tcW w:w="619" w:type="dxa"/>
            <w:vAlign w:val="top"/>
          </w:tcPr>
          <w:p w14:paraId="04EEE14C">
            <w:pPr>
              <w:keepNext w:val="0"/>
              <w:keepLines w:val="0"/>
              <w:pageBreakBefore w:val="0"/>
              <w:kinsoku/>
              <w:wordWrap/>
              <w:overflowPunct/>
              <w:topLinePunct w:val="0"/>
              <w:bidi w:val="0"/>
              <w:rPr>
                <w:rFonts w:ascii="Arial"/>
                <w:sz w:val="21"/>
              </w:rPr>
            </w:pPr>
          </w:p>
        </w:tc>
        <w:tc>
          <w:tcPr>
            <w:tcW w:w="757" w:type="dxa"/>
            <w:vAlign w:val="top"/>
          </w:tcPr>
          <w:p w14:paraId="5CC63675">
            <w:pPr>
              <w:keepNext w:val="0"/>
              <w:keepLines w:val="0"/>
              <w:pageBreakBefore w:val="0"/>
              <w:kinsoku/>
              <w:wordWrap/>
              <w:overflowPunct/>
              <w:topLinePunct w:val="0"/>
              <w:bidi w:val="0"/>
              <w:rPr>
                <w:rFonts w:ascii="Arial"/>
                <w:sz w:val="21"/>
              </w:rPr>
            </w:pPr>
          </w:p>
        </w:tc>
      </w:tr>
      <w:tr w14:paraId="5BE1D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64" w:type="dxa"/>
            <w:vAlign w:val="top"/>
          </w:tcPr>
          <w:p w14:paraId="517C418E">
            <w:pPr>
              <w:keepNext w:val="0"/>
              <w:keepLines w:val="0"/>
              <w:pageBreakBefore w:val="0"/>
              <w:kinsoku/>
              <w:wordWrap/>
              <w:overflowPunct/>
              <w:topLinePunct w:val="0"/>
              <w:bidi w:val="0"/>
              <w:rPr>
                <w:rFonts w:ascii="Arial"/>
                <w:sz w:val="21"/>
              </w:rPr>
            </w:pPr>
          </w:p>
        </w:tc>
        <w:tc>
          <w:tcPr>
            <w:tcW w:w="518" w:type="dxa"/>
            <w:vAlign w:val="top"/>
          </w:tcPr>
          <w:p w14:paraId="60148C3E">
            <w:pPr>
              <w:keepNext w:val="0"/>
              <w:keepLines w:val="0"/>
              <w:pageBreakBefore w:val="0"/>
              <w:kinsoku/>
              <w:wordWrap/>
              <w:overflowPunct/>
              <w:topLinePunct w:val="0"/>
              <w:bidi w:val="0"/>
              <w:rPr>
                <w:rFonts w:ascii="Arial"/>
                <w:sz w:val="21"/>
              </w:rPr>
            </w:pPr>
          </w:p>
        </w:tc>
        <w:tc>
          <w:tcPr>
            <w:tcW w:w="1627" w:type="dxa"/>
            <w:vAlign w:val="top"/>
          </w:tcPr>
          <w:p w14:paraId="5BD1C094">
            <w:pPr>
              <w:keepNext w:val="0"/>
              <w:keepLines w:val="0"/>
              <w:pageBreakBefore w:val="0"/>
              <w:kinsoku/>
              <w:wordWrap/>
              <w:overflowPunct/>
              <w:topLinePunct w:val="0"/>
              <w:bidi w:val="0"/>
              <w:rPr>
                <w:rFonts w:ascii="Arial"/>
                <w:sz w:val="21"/>
              </w:rPr>
            </w:pPr>
          </w:p>
        </w:tc>
        <w:tc>
          <w:tcPr>
            <w:tcW w:w="1073" w:type="dxa"/>
            <w:vAlign w:val="top"/>
          </w:tcPr>
          <w:p w14:paraId="54876070">
            <w:pPr>
              <w:keepNext w:val="0"/>
              <w:keepLines w:val="0"/>
              <w:pageBreakBefore w:val="0"/>
              <w:kinsoku/>
              <w:wordWrap/>
              <w:overflowPunct/>
              <w:topLinePunct w:val="0"/>
              <w:bidi w:val="0"/>
              <w:rPr>
                <w:rFonts w:ascii="Arial"/>
                <w:sz w:val="21"/>
              </w:rPr>
            </w:pPr>
          </w:p>
        </w:tc>
        <w:tc>
          <w:tcPr>
            <w:tcW w:w="1682" w:type="dxa"/>
            <w:vAlign w:val="top"/>
          </w:tcPr>
          <w:p w14:paraId="212B8377">
            <w:pPr>
              <w:keepNext w:val="0"/>
              <w:keepLines w:val="0"/>
              <w:pageBreakBefore w:val="0"/>
              <w:kinsoku/>
              <w:wordWrap/>
              <w:overflowPunct/>
              <w:topLinePunct w:val="0"/>
              <w:bidi w:val="0"/>
              <w:rPr>
                <w:rFonts w:ascii="Arial"/>
                <w:sz w:val="21"/>
              </w:rPr>
            </w:pPr>
          </w:p>
        </w:tc>
        <w:tc>
          <w:tcPr>
            <w:tcW w:w="2003" w:type="dxa"/>
            <w:vAlign w:val="top"/>
          </w:tcPr>
          <w:p w14:paraId="70848B86">
            <w:pPr>
              <w:keepNext w:val="0"/>
              <w:keepLines w:val="0"/>
              <w:pageBreakBefore w:val="0"/>
              <w:kinsoku/>
              <w:wordWrap/>
              <w:overflowPunct/>
              <w:topLinePunct w:val="0"/>
              <w:bidi w:val="0"/>
              <w:rPr>
                <w:rFonts w:ascii="Arial"/>
                <w:sz w:val="21"/>
              </w:rPr>
            </w:pPr>
          </w:p>
        </w:tc>
        <w:tc>
          <w:tcPr>
            <w:tcW w:w="715" w:type="dxa"/>
            <w:vAlign w:val="top"/>
          </w:tcPr>
          <w:p w14:paraId="4EAFCEB3">
            <w:pPr>
              <w:keepNext w:val="0"/>
              <w:keepLines w:val="0"/>
              <w:pageBreakBefore w:val="0"/>
              <w:kinsoku/>
              <w:wordWrap/>
              <w:overflowPunct/>
              <w:topLinePunct w:val="0"/>
              <w:bidi w:val="0"/>
              <w:rPr>
                <w:rFonts w:ascii="Arial"/>
                <w:sz w:val="21"/>
              </w:rPr>
            </w:pPr>
          </w:p>
        </w:tc>
        <w:tc>
          <w:tcPr>
            <w:tcW w:w="619" w:type="dxa"/>
            <w:vAlign w:val="top"/>
          </w:tcPr>
          <w:p w14:paraId="2B4C67E9">
            <w:pPr>
              <w:keepNext w:val="0"/>
              <w:keepLines w:val="0"/>
              <w:pageBreakBefore w:val="0"/>
              <w:kinsoku/>
              <w:wordWrap/>
              <w:overflowPunct/>
              <w:topLinePunct w:val="0"/>
              <w:bidi w:val="0"/>
              <w:rPr>
                <w:rFonts w:ascii="Arial"/>
                <w:sz w:val="21"/>
              </w:rPr>
            </w:pPr>
          </w:p>
        </w:tc>
        <w:tc>
          <w:tcPr>
            <w:tcW w:w="757" w:type="dxa"/>
            <w:vAlign w:val="top"/>
          </w:tcPr>
          <w:p w14:paraId="4D2F8E56">
            <w:pPr>
              <w:keepNext w:val="0"/>
              <w:keepLines w:val="0"/>
              <w:pageBreakBefore w:val="0"/>
              <w:kinsoku/>
              <w:wordWrap/>
              <w:overflowPunct/>
              <w:topLinePunct w:val="0"/>
              <w:bidi w:val="0"/>
              <w:rPr>
                <w:rFonts w:ascii="Arial"/>
                <w:sz w:val="21"/>
              </w:rPr>
            </w:pPr>
          </w:p>
        </w:tc>
      </w:tr>
      <w:tr w14:paraId="656547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5764" w:type="dxa"/>
            <w:gridSpan w:val="5"/>
            <w:vAlign w:val="top"/>
          </w:tcPr>
          <w:p w14:paraId="12E0B4C8">
            <w:pPr>
              <w:pStyle w:val="16"/>
              <w:keepNext w:val="0"/>
              <w:keepLines w:val="0"/>
              <w:pageBreakBefore w:val="0"/>
              <w:kinsoku/>
              <w:wordWrap/>
              <w:overflowPunct/>
              <w:topLinePunct w:val="0"/>
              <w:bidi w:val="0"/>
              <w:spacing w:before="215" w:line="219" w:lineRule="auto"/>
              <w:ind w:left="117"/>
              <w:rPr>
                <w:sz w:val="24"/>
                <w:szCs w:val="24"/>
              </w:rPr>
            </w:pPr>
            <w:r>
              <w:rPr>
                <w:spacing w:val="-3"/>
                <w:sz w:val="24"/>
                <w:szCs w:val="24"/>
              </w:rPr>
              <w:t>合计金额</w:t>
            </w:r>
          </w:p>
        </w:tc>
        <w:tc>
          <w:tcPr>
            <w:tcW w:w="4094" w:type="dxa"/>
            <w:gridSpan w:val="4"/>
            <w:vAlign w:val="top"/>
          </w:tcPr>
          <w:p w14:paraId="4165CEAE">
            <w:pPr>
              <w:keepNext w:val="0"/>
              <w:keepLines w:val="0"/>
              <w:pageBreakBefore w:val="0"/>
              <w:kinsoku/>
              <w:wordWrap/>
              <w:overflowPunct/>
              <w:topLinePunct w:val="0"/>
              <w:bidi w:val="0"/>
              <w:rPr>
                <w:rFonts w:ascii="Arial"/>
                <w:sz w:val="21"/>
              </w:rPr>
            </w:pPr>
          </w:p>
        </w:tc>
      </w:tr>
    </w:tbl>
    <w:p w14:paraId="1A6D6039">
      <w:pPr>
        <w:pStyle w:val="7"/>
        <w:keepNext w:val="0"/>
        <w:keepLines w:val="0"/>
        <w:pageBreakBefore w:val="0"/>
        <w:kinsoku/>
        <w:wordWrap/>
        <w:overflowPunct/>
        <w:topLinePunct w:val="0"/>
        <w:bidi w:val="0"/>
        <w:spacing w:line="252" w:lineRule="auto"/>
      </w:pPr>
    </w:p>
    <w:p w14:paraId="1169C936">
      <w:pPr>
        <w:pStyle w:val="7"/>
        <w:keepNext w:val="0"/>
        <w:keepLines w:val="0"/>
        <w:pageBreakBefore w:val="0"/>
        <w:kinsoku/>
        <w:wordWrap/>
        <w:overflowPunct/>
        <w:topLinePunct w:val="0"/>
        <w:bidi w:val="0"/>
        <w:spacing w:line="252" w:lineRule="auto"/>
      </w:pPr>
    </w:p>
    <w:p w14:paraId="39F8A28D">
      <w:pPr>
        <w:keepNext w:val="0"/>
        <w:keepLines w:val="0"/>
        <w:pageBreakBefore w:val="0"/>
        <w:kinsoku/>
        <w:wordWrap/>
        <w:overflowPunct/>
        <w:topLinePunct w:val="0"/>
        <w:bidi w:val="0"/>
        <w:spacing w:before="79" w:line="218" w:lineRule="auto"/>
        <w:ind w:left="132"/>
        <w:rPr>
          <w:rFonts w:ascii="宋体" w:hAnsi="宋体" w:eastAsia="宋体" w:cs="宋体"/>
          <w:sz w:val="24"/>
          <w:szCs w:val="24"/>
        </w:rPr>
      </w:pPr>
      <w:r>
        <w:rPr>
          <w:rFonts w:ascii="宋体" w:hAnsi="宋体" w:eastAsia="宋体" w:cs="宋体"/>
          <w:sz w:val="24"/>
          <w:szCs w:val="24"/>
        </w:rPr>
        <w:t>（2）环保产品明细清单</w:t>
      </w:r>
      <w:r>
        <w:rPr>
          <w:rFonts w:ascii="宋体" w:hAnsi="宋体" w:eastAsia="宋体" w:cs="宋体"/>
          <w:spacing w:val="-1"/>
          <w:sz w:val="24"/>
          <w:szCs w:val="24"/>
        </w:rPr>
        <w:t>报价货币种类金额单位：元</w:t>
      </w:r>
    </w:p>
    <w:p w14:paraId="5F5F4B2E">
      <w:pPr>
        <w:keepNext w:val="0"/>
        <w:keepLines w:val="0"/>
        <w:pageBreakBefore w:val="0"/>
        <w:kinsoku/>
        <w:wordWrap/>
        <w:overflowPunct/>
        <w:topLinePunct w:val="0"/>
        <w:bidi w:val="0"/>
        <w:spacing w:line="114" w:lineRule="auto"/>
        <w:rPr>
          <w:rFonts w:ascii="Arial"/>
          <w:sz w:val="2"/>
        </w:rPr>
      </w:pPr>
    </w:p>
    <w:tbl>
      <w:tblPr>
        <w:tblStyle w:val="15"/>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9"/>
        <w:gridCol w:w="855"/>
        <w:gridCol w:w="1158"/>
        <w:gridCol w:w="1495"/>
        <w:gridCol w:w="1497"/>
        <w:gridCol w:w="1887"/>
        <w:gridCol w:w="605"/>
        <w:gridCol w:w="678"/>
        <w:gridCol w:w="824"/>
      </w:tblGrid>
      <w:tr w14:paraId="16EF6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859" w:type="dxa"/>
            <w:vAlign w:val="top"/>
          </w:tcPr>
          <w:p w14:paraId="03E9BCBA">
            <w:pPr>
              <w:keepNext w:val="0"/>
              <w:keepLines w:val="0"/>
              <w:pageBreakBefore w:val="0"/>
              <w:kinsoku/>
              <w:wordWrap/>
              <w:overflowPunct/>
              <w:topLinePunct w:val="0"/>
              <w:bidi w:val="0"/>
              <w:spacing w:line="292" w:lineRule="auto"/>
              <w:rPr>
                <w:rFonts w:ascii="Arial"/>
                <w:sz w:val="21"/>
              </w:rPr>
            </w:pPr>
          </w:p>
          <w:p w14:paraId="1615079F">
            <w:pPr>
              <w:pStyle w:val="16"/>
              <w:keepNext w:val="0"/>
              <w:keepLines w:val="0"/>
              <w:pageBreakBefore w:val="0"/>
              <w:kinsoku/>
              <w:wordWrap/>
              <w:overflowPunct/>
              <w:topLinePunct w:val="0"/>
              <w:bidi w:val="0"/>
              <w:spacing w:before="78" w:line="325" w:lineRule="auto"/>
              <w:ind w:left="319" w:right="188" w:hanging="123"/>
              <w:rPr>
                <w:sz w:val="24"/>
                <w:szCs w:val="24"/>
              </w:rPr>
            </w:pPr>
            <w:r>
              <w:rPr>
                <w:spacing w:val="-6"/>
                <w:sz w:val="24"/>
                <w:szCs w:val="24"/>
              </w:rPr>
              <w:t>制造</w:t>
            </w:r>
            <w:r>
              <w:rPr>
                <w:sz w:val="24"/>
                <w:szCs w:val="24"/>
              </w:rPr>
              <w:t>商</w:t>
            </w:r>
          </w:p>
        </w:tc>
        <w:tc>
          <w:tcPr>
            <w:tcW w:w="855" w:type="dxa"/>
            <w:vAlign w:val="top"/>
          </w:tcPr>
          <w:p w14:paraId="42B6B6FA">
            <w:pPr>
              <w:keepNext w:val="0"/>
              <w:keepLines w:val="0"/>
              <w:pageBreakBefore w:val="0"/>
              <w:kinsoku/>
              <w:wordWrap/>
              <w:overflowPunct/>
              <w:topLinePunct w:val="0"/>
              <w:bidi w:val="0"/>
              <w:spacing w:line="255" w:lineRule="auto"/>
              <w:rPr>
                <w:rFonts w:ascii="Arial"/>
                <w:sz w:val="21"/>
              </w:rPr>
            </w:pPr>
          </w:p>
          <w:p w14:paraId="16C091AE">
            <w:pPr>
              <w:keepNext w:val="0"/>
              <w:keepLines w:val="0"/>
              <w:pageBreakBefore w:val="0"/>
              <w:kinsoku/>
              <w:wordWrap/>
              <w:overflowPunct/>
              <w:topLinePunct w:val="0"/>
              <w:bidi w:val="0"/>
              <w:spacing w:line="255" w:lineRule="auto"/>
              <w:rPr>
                <w:rFonts w:ascii="Arial"/>
                <w:sz w:val="21"/>
              </w:rPr>
            </w:pPr>
          </w:p>
          <w:p w14:paraId="21DD0F73">
            <w:pPr>
              <w:pStyle w:val="16"/>
              <w:keepNext w:val="0"/>
              <w:keepLines w:val="0"/>
              <w:pageBreakBefore w:val="0"/>
              <w:kinsoku/>
              <w:wordWrap/>
              <w:overflowPunct/>
              <w:topLinePunct w:val="0"/>
              <w:bidi w:val="0"/>
              <w:spacing w:before="78" w:line="219" w:lineRule="auto"/>
              <w:ind w:left="212"/>
              <w:rPr>
                <w:sz w:val="24"/>
                <w:szCs w:val="24"/>
              </w:rPr>
            </w:pPr>
            <w:r>
              <w:rPr>
                <w:spacing w:val="-15"/>
                <w:sz w:val="24"/>
                <w:szCs w:val="24"/>
              </w:rPr>
              <w:t>品牌</w:t>
            </w:r>
          </w:p>
        </w:tc>
        <w:tc>
          <w:tcPr>
            <w:tcW w:w="1158" w:type="dxa"/>
            <w:vAlign w:val="top"/>
          </w:tcPr>
          <w:p w14:paraId="74DE4648">
            <w:pPr>
              <w:pStyle w:val="16"/>
              <w:keepNext w:val="0"/>
              <w:keepLines w:val="0"/>
              <w:pageBreakBefore w:val="0"/>
              <w:kinsoku/>
              <w:wordWrap/>
              <w:overflowPunct/>
              <w:topLinePunct w:val="0"/>
              <w:bidi w:val="0"/>
              <w:spacing w:before="152" w:line="219" w:lineRule="auto"/>
              <w:ind w:left="223"/>
              <w:rPr>
                <w:sz w:val="24"/>
                <w:szCs w:val="24"/>
              </w:rPr>
            </w:pPr>
            <w:r>
              <w:rPr>
                <w:spacing w:val="-4"/>
                <w:sz w:val="24"/>
                <w:szCs w:val="24"/>
              </w:rPr>
              <w:t>产品名</w:t>
            </w:r>
          </w:p>
          <w:p w14:paraId="519A2A0B">
            <w:pPr>
              <w:pStyle w:val="16"/>
              <w:keepNext w:val="0"/>
              <w:keepLines w:val="0"/>
              <w:pageBreakBefore w:val="0"/>
              <w:kinsoku/>
              <w:wordWrap/>
              <w:overflowPunct/>
              <w:topLinePunct w:val="0"/>
              <w:bidi w:val="0"/>
              <w:spacing w:before="154" w:line="219" w:lineRule="auto"/>
              <w:ind w:left="112"/>
              <w:rPr>
                <w:sz w:val="24"/>
                <w:szCs w:val="24"/>
              </w:rPr>
            </w:pPr>
            <w:r>
              <w:rPr>
                <w:spacing w:val="-7"/>
                <w:sz w:val="24"/>
                <w:szCs w:val="24"/>
              </w:rPr>
              <w:t>称、规格</w:t>
            </w:r>
          </w:p>
          <w:p w14:paraId="548721F7">
            <w:pPr>
              <w:pStyle w:val="16"/>
              <w:keepNext w:val="0"/>
              <w:keepLines w:val="0"/>
              <w:pageBreakBefore w:val="0"/>
              <w:kinsoku/>
              <w:wordWrap/>
              <w:overflowPunct/>
              <w:topLinePunct w:val="0"/>
              <w:bidi w:val="0"/>
              <w:spacing w:before="155" w:line="219" w:lineRule="auto"/>
              <w:ind w:left="351"/>
              <w:rPr>
                <w:sz w:val="24"/>
                <w:szCs w:val="24"/>
              </w:rPr>
            </w:pPr>
            <w:r>
              <w:rPr>
                <w:spacing w:val="-9"/>
                <w:sz w:val="24"/>
                <w:szCs w:val="24"/>
              </w:rPr>
              <w:t>型号</w:t>
            </w:r>
          </w:p>
        </w:tc>
        <w:tc>
          <w:tcPr>
            <w:tcW w:w="1495" w:type="dxa"/>
            <w:vAlign w:val="top"/>
          </w:tcPr>
          <w:p w14:paraId="1284F51D">
            <w:pPr>
              <w:pStyle w:val="16"/>
              <w:keepNext w:val="0"/>
              <w:keepLines w:val="0"/>
              <w:pageBreakBefore w:val="0"/>
              <w:kinsoku/>
              <w:wordWrap/>
              <w:overflowPunct/>
              <w:topLinePunct w:val="0"/>
              <w:bidi w:val="0"/>
              <w:spacing w:before="152" w:line="220" w:lineRule="auto"/>
              <w:ind w:left="175"/>
              <w:rPr>
                <w:sz w:val="24"/>
                <w:szCs w:val="24"/>
              </w:rPr>
            </w:pPr>
            <w:r>
              <w:rPr>
                <w:spacing w:val="-7"/>
                <w:sz w:val="24"/>
                <w:szCs w:val="24"/>
              </w:rPr>
              <w:t>中国环境标</w:t>
            </w:r>
          </w:p>
          <w:p w14:paraId="407CE1BA">
            <w:pPr>
              <w:pStyle w:val="16"/>
              <w:keepNext w:val="0"/>
              <w:keepLines w:val="0"/>
              <w:pageBreakBefore w:val="0"/>
              <w:kinsoku/>
              <w:wordWrap/>
              <w:overflowPunct/>
              <w:topLinePunct w:val="0"/>
              <w:bidi w:val="0"/>
              <w:spacing w:before="152" w:line="219" w:lineRule="auto"/>
              <w:ind w:left="160"/>
              <w:rPr>
                <w:sz w:val="24"/>
                <w:szCs w:val="24"/>
              </w:rPr>
            </w:pPr>
            <w:r>
              <w:rPr>
                <w:spacing w:val="-4"/>
                <w:sz w:val="24"/>
                <w:szCs w:val="24"/>
              </w:rPr>
              <w:t>志认证证书</w:t>
            </w:r>
          </w:p>
          <w:p w14:paraId="6ABEFD3F">
            <w:pPr>
              <w:pStyle w:val="16"/>
              <w:keepNext w:val="0"/>
              <w:keepLines w:val="0"/>
              <w:pageBreakBefore w:val="0"/>
              <w:kinsoku/>
              <w:wordWrap/>
              <w:overflowPunct/>
              <w:topLinePunct w:val="0"/>
              <w:bidi w:val="0"/>
              <w:spacing w:before="156" w:line="219" w:lineRule="auto"/>
              <w:ind w:left="514"/>
              <w:rPr>
                <w:sz w:val="24"/>
                <w:szCs w:val="24"/>
              </w:rPr>
            </w:pPr>
            <w:r>
              <w:rPr>
                <w:spacing w:val="-6"/>
                <w:sz w:val="24"/>
                <w:szCs w:val="24"/>
              </w:rPr>
              <w:t>编号</w:t>
            </w:r>
          </w:p>
        </w:tc>
        <w:tc>
          <w:tcPr>
            <w:tcW w:w="1497" w:type="dxa"/>
            <w:vAlign w:val="top"/>
          </w:tcPr>
          <w:p w14:paraId="3ADCC47D">
            <w:pPr>
              <w:keepNext w:val="0"/>
              <w:keepLines w:val="0"/>
              <w:pageBreakBefore w:val="0"/>
              <w:kinsoku/>
              <w:wordWrap/>
              <w:overflowPunct/>
              <w:topLinePunct w:val="0"/>
              <w:bidi w:val="0"/>
              <w:spacing w:line="292" w:lineRule="auto"/>
              <w:rPr>
                <w:rFonts w:ascii="Arial"/>
                <w:sz w:val="21"/>
              </w:rPr>
            </w:pPr>
          </w:p>
          <w:p w14:paraId="3E267E35">
            <w:pPr>
              <w:pStyle w:val="16"/>
              <w:keepNext w:val="0"/>
              <w:keepLines w:val="0"/>
              <w:pageBreakBefore w:val="0"/>
              <w:kinsoku/>
              <w:wordWrap/>
              <w:overflowPunct/>
              <w:topLinePunct w:val="0"/>
              <w:bidi w:val="0"/>
              <w:spacing w:before="78" w:line="325" w:lineRule="auto"/>
              <w:ind w:left="160" w:right="145" w:hanging="5"/>
              <w:rPr>
                <w:sz w:val="24"/>
                <w:szCs w:val="24"/>
              </w:rPr>
            </w:pPr>
            <w:r>
              <w:rPr>
                <w:spacing w:val="-2"/>
                <w:sz w:val="24"/>
                <w:szCs w:val="24"/>
              </w:rPr>
              <w:t>认证证书有</w:t>
            </w:r>
            <w:r>
              <w:rPr>
                <w:spacing w:val="-4"/>
                <w:sz w:val="24"/>
                <w:szCs w:val="24"/>
              </w:rPr>
              <w:t>效截止日期</w:t>
            </w:r>
          </w:p>
        </w:tc>
        <w:tc>
          <w:tcPr>
            <w:tcW w:w="1887" w:type="dxa"/>
            <w:vAlign w:val="top"/>
          </w:tcPr>
          <w:p w14:paraId="471C4469">
            <w:pPr>
              <w:pStyle w:val="16"/>
              <w:keepNext w:val="0"/>
              <w:keepLines w:val="0"/>
              <w:pageBreakBefore w:val="0"/>
              <w:kinsoku/>
              <w:wordWrap/>
              <w:overflowPunct/>
              <w:topLinePunct w:val="0"/>
              <w:bidi w:val="0"/>
              <w:spacing w:before="150" w:line="299" w:lineRule="auto"/>
              <w:ind w:left="232" w:right="218"/>
              <w:jc w:val="both"/>
              <w:rPr>
                <w:sz w:val="24"/>
                <w:szCs w:val="24"/>
              </w:rPr>
            </w:pPr>
            <w:r>
              <w:rPr>
                <w:spacing w:val="-2"/>
                <w:sz w:val="24"/>
                <w:szCs w:val="24"/>
              </w:rPr>
              <w:t>产品所在环境标志产品政府采购清单页码</w:t>
            </w:r>
          </w:p>
        </w:tc>
        <w:tc>
          <w:tcPr>
            <w:tcW w:w="605" w:type="dxa"/>
            <w:textDirection w:val="tbRlV"/>
            <w:vAlign w:val="top"/>
          </w:tcPr>
          <w:p w14:paraId="31B1C374">
            <w:pPr>
              <w:pStyle w:val="16"/>
              <w:keepNext w:val="0"/>
              <w:keepLines w:val="0"/>
              <w:pageBreakBefore w:val="0"/>
              <w:kinsoku/>
              <w:wordWrap/>
              <w:overflowPunct/>
              <w:topLinePunct w:val="0"/>
              <w:bidi w:val="0"/>
              <w:spacing w:before="177" w:line="209" w:lineRule="auto"/>
              <w:ind w:left="372"/>
              <w:rPr>
                <w:sz w:val="24"/>
                <w:szCs w:val="24"/>
              </w:rPr>
            </w:pPr>
            <w:r>
              <w:rPr>
                <w:spacing w:val="-1"/>
                <w:sz w:val="24"/>
                <w:szCs w:val="24"/>
              </w:rPr>
              <w:t>单位</w:t>
            </w:r>
          </w:p>
        </w:tc>
        <w:tc>
          <w:tcPr>
            <w:tcW w:w="678" w:type="dxa"/>
            <w:textDirection w:val="tbRlV"/>
            <w:vAlign w:val="top"/>
          </w:tcPr>
          <w:p w14:paraId="40E7FA28">
            <w:pPr>
              <w:pStyle w:val="16"/>
              <w:keepNext w:val="0"/>
              <w:keepLines w:val="0"/>
              <w:pageBreakBefore w:val="0"/>
              <w:kinsoku/>
              <w:wordWrap/>
              <w:overflowPunct/>
              <w:topLinePunct w:val="0"/>
              <w:bidi w:val="0"/>
              <w:spacing w:before="214" w:line="208" w:lineRule="auto"/>
              <w:ind w:left="372"/>
              <w:rPr>
                <w:sz w:val="24"/>
                <w:szCs w:val="24"/>
              </w:rPr>
            </w:pPr>
            <w:r>
              <w:rPr>
                <w:spacing w:val="-1"/>
                <w:sz w:val="24"/>
                <w:szCs w:val="24"/>
              </w:rPr>
              <w:t>数量</w:t>
            </w:r>
          </w:p>
        </w:tc>
        <w:tc>
          <w:tcPr>
            <w:tcW w:w="824" w:type="dxa"/>
            <w:vAlign w:val="top"/>
          </w:tcPr>
          <w:p w14:paraId="27EDE0B2">
            <w:pPr>
              <w:keepNext w:val="0"/>
              <w:keepLines w:val="0"/>
              <w:pageBreakBefore w:val="0"/>
              <w:kinsoku/>
              <w:wordWrap/>
              <w:overflowPunct/>
              <w:topLinePunct w:val="0"/>
              <w:bidi w:val="0"/>
              <w:spacing w:line="254" w:lineRule="auto"/>
              <w:rPr>
                <w:rFonts w:ascii="Arial"/>
                <w:sz w:val="21"/>
              </w:rPr>
            </w:pPr>
          </w:p>
          <w:p w14:paraId="0C17F3DC">
            <w:pPr>
              <w:keepNext w:val="0"/>
              <w:keepLines w:val="0"/>
              <w:pageBreakBefore w:val="0"/>
              <w:kinsoku/>
              <w:wordWrap/>
              <w:overflowPunct/>
              <w:topLinePunct w:val="0"/>
              <w:bidi w:val="0"/>
              <w:spacing w:line="255" w:lineRule="auto"/>
              <w:rPr>
                <w:rFonts w:ascii="Arial"/>
                <w:sz w:val="21"/>
              </w:rPr>
            </w:pPr>
          </w:p>
          <w:p w14:paraId="77DE3E8C">
            <w:pPr>
              <w:pStyle w:val="16"/>
              <w:keepNext w:val="0"/>
              <w:keepLines w:val="0"/>
              <w:pageBreakBefore w:val="0"/>
              <w:kinsoku/>
              <w:wordWrap/>
              <w:overflowPunct/>
              <w:topLinePunct w:val="0"/>
              <w:bidi w:val="0"/>
              <w:spacing w:before="78" w:line="218" w:lineRule="auto"/>
              <w:ind w:left="180"/>
              <w:rPr>
                <w:sz w:val="24"/>
                <w:szCs w:val="24"/>
              </w:rPr>
            </w:pPr>
            <w:r>
              <w:rPr>
                <w:spacing w:val="-6"/>
                <w:sz w:val="24"/>
                <w:szCs w:val="24"/>
              </w:rPr>
              <w:t>单价</w:t>
            </w:r>
          </w:p>
        </w:tc>
      </w:tr>
      <w:tr w14:paraId="0FE00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9" w:type="dxa"/>
            <w:vAlign w:val="top"/>
          </w:tcPr>
          <w:p w14:paraId="6445517B">
            <w:pPr>
              <w:keepNext w:val="0"/>
              <w:keepLines w:val="0"/>
              <w:pageBreakBefore w:val="0"/>
              <w:kinsoku/>
              <w:wordWrap/>
              <w:overflowPunct/>
              <w:topLinePunct w:val="0"/>
              <w:bidi w:val="0"/>
              <w:rPr>
                <w:rFonts w:ascii="Arial"/>
                <w:sz w:val="21"/>
              </w:rPr>
            </w:pPr>
          </w:p>
        </w:tc>
        <w:tc>
          <w:tcPr>
            <w:tcW w:w="855" w:type="dxa"/>
            <w:vAlign w:val="top"/>
          </w:tcPr>
          <w:p w14:paraId="5E775071">
            <w:pPr>
              <w:keepNext w:val="0"/>
              <w:keepLines w:val="0"/>
              <w:pageBreakBefore w:val="0"/>
              <w:kinsoku/>
              <w:wordWrap/>
              <w:overflowPunct/>
              <w:topLinePunct w:val="0"/>
              <w:bidi w:val="0"/>
              <w:rPr>
                <w:rFonts w:ascii="Arial"/>
                <w:sz w:val="21"/>
              </w:rPr>
            </w:pPr>
          </w:p>
        </w:tc>
        <w:tc>
          <w:tcPr>
            <w:tcW w:w="1158" w:type="dxa"/>
            <w:vAlign w:val="top"/>
          </w:tcPr>
          <w:p w14:paraId="21D29665">
            <w:pPr>
              <w:keepNext w:val="0"/>
              <w:keepLines w:val="0"/>
              <w:pageBreakBefore w:val="0"/>
              <w:kinsoku/>
              <w:wordWrap/>
              <w:overflowPunct/>
              <w:topLinePunct w:val="0"/>
              <w:bidi w:val="0"/>
              <w:rPr>
                <w:rFonts w:ascii="Arial"/>
                <w:sz w:val="21"/>
              </w:rPr>
            </w:pPr>
          </w:p>
        </w:tc>
        <w:tc>
          <w:tcPr>
            <w:tcW w:w="1495" w:type="dxa"/>
            <w:vAlign w:val="top"/>
          </w:tcPr>
          <w:p w14:paraId="0D219532">
            <w:pPr>
              <w:keepNext w:val="0"/>
              <w:keepLines w:val="0"/>
              <w:pageBreakBefore w:val="0"/>
              <w:kinsoku/>
              <w:wordWrap/>
              <w:overflowPunct/>
              <w:topLinePunct w:val="0"/>
              <w:bidi w:val="0"/>
              <w:rPr>
                <w:rFonts w:ascii="Arial"/>
                <w:sz w:val="21"/>
              </w:rPr>
            </w:pPr>
          </w:p>
        </w:tc>
        <w:tc>
          <w:tcPr>
            <w:tcW w:w="1497" w:type="dxa"/>
            <w:vAlign w:val="top"/>
          </w:tcPr>
          <w:p w14:paraId="16E5BE33">
            <w:pPr>
              <w:keepNext w:val="0"/>
              <w:keepLines w:val="0"/>
              <w:pageBreakBefore w:val="0"/>
              <w:kinsoku/>
              <w:wordWrap/>
              <w:overflowPunct/>
              <w:topLinePunct w:val="0"/>
              <w:bidi w:val="0"/>
              <w:rPr>
                <w:rFonts w:ascii="Arial"/>
                <w:sz w:val="21"/>
              </w:rPr>
            </w:pPr>
          </w:p>
        </w:tc>
        <w:tc>
          <w:tcPr>
            <w:tcW w:w="1887" w:type="dxa"/>
            <w:vAlign w:val="top"/>
          </w:tcPr>
          <w:p w14:paraId="13752F78">
            <w:pPr>
              <w:keepNext w:val="0"/>
              <w:keepLines w:val="0"/>
              <w:pageBreakBefore w:val="0"/>
              <w:kinsoku/>
              <w:wordWrap/>
              <w:overflowPunct/>
              <w:topLinePunct w:val="0"/>
              <w:bidi w:val="0"/>
              <w:rPr>
                <w:rFonts w:ascii="Arial"/>
                <w:sz w:val="21"/>
              </w:rPr>
            </w:pPr>
          </w:p>
        </w:tc>
        <w:tc>
          <w:tcPr>
            <w:tcW w:w="605" w:type="dxa"/>
            <w:vAlign w:val="top"/>
          </w:tcPr>
          <w:p w14:paraId="724665A1">
            <w:pPr>
              <w:keepNext w:val="0"/>
              <w:keepLines w:val="0"/>
              <w:pageBreakBefore w:val="0"/>
              <w:kinsoku/>
              <w:wordWrap/>
              <w:overflowPunct/>
              <w:topLinePunct w:val="0"/>
              <w:bidi w:val="0"/>
              <w:rPr>
                <w:rFonts w:ascii="Arial"/>
                <w:sz w:val="21"/>
              </w:rPr>
            </w:pPr>
          </w:p>
        </w:tc>
        <w:tc>
          <w:tcPr>
            <w:tcW w:w="678" w:type="dxa"/>
            <w:vAlign w:val="top"/>
          </w:tcPr>
          <w:p w14:paraId="2AB01DCC">
            <w:pPr>
              <w:keepNext w:val="0"/>
              <w:keepLines w:val="0"/>
              <w:pageBreakBefore w:val="0"/>
              <w:kinsoku/>
              <w:wordWrap/>
              <w:overflowPunct/>
              <w:topLinePunct w:val="0"/>
              <w:bidi w:val="0"/>
              <w:rPr>
                <w:rFonts w:ascii="Arial"/>
                <w:sz w:val="21"/>
              </w:rPr>
            </w:pPr>
          </w:p>
        </w:tc>
        <w:tc>
          <w:tcPr>
            <w:tcW w:w="824" w:type="dxa"/>
            <w:vAlign w:val="top"/>
          </w:tcPr>
          <w:p w14:paraId="6701BB56">
            <w:pPr>
              <w:keepNext w:val="0"/>
              <w:keepLines w:val="0"/>
              <w:pageBreakBefore w:val="0"/>
              <w:kinsoku/>
              <w:wordWrap/>
              <w:overflowPunct/>
              <w:topLinePunct w:val="0"/>
              <w:bidi w:val="0"/>
              <w:rPr>
                <w:rFonts w:ascii="Arial"/>
                <w:sz w:val="21"/>
              </w:rPr>
            </w:pPr>
          </w:p>
        </w:tc>
      </w:tr>
      <w:tr w14:paraId="1E6EFE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9" w:type="dxa"/>
            <w:vAlign w:val="top"/>
          </w:tcPr>
          <w:p w14:paraId="4AB53ADF">
            <w:pPr>
              <w:keepNext w:val="0"/>
              <w:keepLines w:val="0"/>
              <w:pageBreakBefore w:val="0"/>
              <w:kinsoku/>
              <w:wordWrap/>
              <w:overflowPunct/>
              <w:topLinePunct w:val="0"/>
              <w:bidi w:val="0"/>
              <w:rPr>
                <w:rFonts w:ascii="Arial"/>
                <w:sz w:val="21"/>
              </w:rPr>
            </w:pPr>
          </w:p>
        </w:tc>
        <w:tc>
          <w:tcPr>
            <w:tcW w:w="855" w:type="dxa"/>
            <w:vAlign w:val="top"/>
          </w:tcPr>
          <w:p w14:paraId="4296DE9E">
            <w:pPr>
              <w:keepNext w:val="0"/>
              <w:keepLines w:val="0"/>
              <w:pageBreakBefore w:val="0"/>
              <w:kinsoku/>
              <w:wordWrap/>
              <w:overflowPunct/>
              <w:topLinePunct w:val="0"/>
              <w:bidi w:val="0"/>
              <w:rPr>
                <w:rFonts w:ascii="Arial"/>
                <w:sz w:val="21"/>
              </w:rPr>
            </w:pPr>
          </w:p>
        </w:tc>
        <w:tc>
          <w:tcPr>
            <w:tcW w:w="1158" w:type="dxa"/>
            <w:vAlign w:val="top"/>
          </w:tcPr>
          <w:p w14:paraId="26C54AEF">
            <w:pPr>
              <w:keepNext w:val="0"/>
              <w:keepLines w:val="0"/>
              <w:pageBreakBefore w:val="0"/>
              <w:kinsoku/>
              <w:wordWrap/>
              <w:overflowPunct/>
              <w:topLinePunct w:val="0"/>
              <w:bidi w:val="0"/>
              <w:rPr>
                <w:rFonts w:ascii="Arial"/>
                <w:sz w:val="21"/>
              </w:rPr>
            </w:pPr>
          </w:p>
        </w:tc>
        <w:tc>
          <w:tcPr>
            <w:tcW w:w="1495" w:type="dxa"/>
            <w:vAlign w:val="top"/>
          </w:tcPr>
          <w:p w14:paraId="48979163">
            <w:pPr>
              <w:keepNext w:val="0"/>
              <w:keepLines w:val="0"/>
              <w:pageBreakBefore w:val="0"/>
              <w:kinsoku/>
              <w:wordWrap/>
              <w:overflowPunct/>
              <w:topLinePunct w:val="0"/>
              <w:bidi w:val="0"/>
              <w:rPr>
                <w:rFonts w:ascii="Arial"/>
                <w:sz w:val="21"/>
              </w:rPr>
            </w:pPr>
          </w:p>
        </w:tc>
        <w:tc>
          <w:tcPr>
            <w:tcW w:w="1497" w:type="dxa"/>
            <w:vAlign w:val="top"/>
          </w:tcPr>
          <w:p w14:paraId="6196ED6D">
            <w:pPr>
              <w:keepNext w:val="0"/>
              <w:keepLines w:val="0"/>
              <w:pageBreakBefore w:val="0"/>
              <w:kinsoku/>
              <w:wordWrap/>
              <w:overflowPunct/>
              <w:topLinePunct w:val="0"/>
              <w:bidi w:val="0"/>
              <w:rPr>
                <w:rFonts w:ascii="Arial"/>
                <w:sz w:val="21"/>
              </w:rPr>
            </w:pPr>
          </w:p>
        </w:tc>
        <w:tc>
          <w:tcPr>
            <w:tcW w:w="1887" w:type="dxa"/>
            <w:vAlign w:val="top"/>
          </w:tcPr>
          <w:p w14:paraId="070A2CE1">
            <w:pPr>
              <w:keepNext w:val="0"/>
              <w:keepLines w:val="0"/>
              <w:pageBreakBefore w:val="0"/>
              <w:kinsoku/>
              <w:wordWrap/>
              <w:overflowPunct/>
              <w:topLinePunct w:val="0"/>
              <w:bidi w:val="0"/>
              <w:rPr>
                <w:rFonts w:ascii="Arial"/>
                <w:sz w:val="21"/>
              </w:rPr>
            </w:pPr>
          </w:p>
        </w:tc>
        <w:tc>
          <w:tcPr>
            <w:tcW w:w="605" w:type="dxa"/>
            <w:vAlign w:val="top"/>
          </w:tcPr>
          <w:p w14:paraId="313AD221">
            <w:pPr>
              <w:keepNext w:val="0"/>
              <w:keepLines w:val="0"/>
              <w:pageBreakBefore w:val="0"/>
              <w:kinsoku/>
              <w:wordWrap/>
              <w:overflowPunct/>
              <w:topLinePunct w:val="0"/>
              <w:bidi w:val="0"/>
              <w:rPr>
                <w:rFonts w:ascii="Arial"/>
                <w:sz w:val="21"/>
              </w:rPr>
            </w:pPr>
          </w:p>
        </w:tc>
        <w:tc>
          <w:tcPr>
            <w:tcW w:w="678" w:type="dxa"/>
            <w:vAlign w:val="top"/>
          </w:tcPr>
          <w:p w14:paraId="58D3D5BC">
            <w:pPr>
              <w:keepNext w:val="0"/>
              <w:keepLines w:val="0"/>
              <w:pageBreakBefore w:val="0"/>
              <w:kinsoku/>
              <w:wordWrap/>
              <w:overflowPunct/>
              <w:topLinePunct w:val="0"/>
              <w:bidi w:val="0"/>
              <w:rPr>
                <w:rFonts w:ascii="Arial"/>
                <w:sz w:val="21"/>
              </w:rPr>
            </w:pPr>
          </w:p>
        </w:tc>
        <w:tc>
          <w:tcPr>
            <w:tcW w:w="824" w:type="dxa"/>
            <w:vAlign w:val="top"/>
          </w:tcPr>
          <w:p w14:paraId="44F297BF">
            <w:pPr>
              <w:keepNext w:val="0"/>
              <w:keepLines w:val="0"/>
              <w:pageBreakBefore w:val="0"/>
              <w:kinsoku/>
              <w:wordWrap/>
              <w:overflowPunct/>
              <w:topLinePunct w:val="0"/>
              <w:bidi w:val="0"/>
              <w:rPr>
                <w:rFonts w:ascii="Arial"/>
                <w:sz w:val="21"/>
              </w:rPr>
            </w:pPr>
          </w:p>
        </w:tc>
      </w:tr>
      <w:tr w14:paraId="6BE3F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5864" w:type="dxa"/>
            <w:gridSpan w:val="5"/>
            <w:vAlign w:val="top"/>
          </w:tcPr>
          <w:p w14:paraId="5F530FFE">
            <w:pPr>
              <w:pStyle w:val="16"/>
              <w:keepNext w:val="0"/>
              <w:keepLines w:val="0"/>
              <w:pageBreakBefore w:val="0"/>
              <w:kinsoku/>
              <w:wordWrap/>
              <w:overflowPunct/>
              <w:topLinePunct w:val="0"/>
              <w:bidi w:val="0"/>
              <w:spacing w:before="214" w:line="219" w:lineRule="auto"/>
              <w:ind w:left="117"/>
              <w:rPr>
                <w:sz w:val="24"/>
                <w:szCs w:val="24"/>
              </w:rPr>
            </w:pPr>
            <w:r>
              <w:rPr>
                <w:spacing w:val="-3"/>
                <w:sz w:val="24"/>
                <w:szCs w:val="24"/>
              </w:rPr>
              <w:t>合计金额</w:t>
            </w:r>
          </w:p>
        </w:tc>
        <w:tc>
          <w:tcPr>
            <w:tcW w:w="3994" w:type="dxa"/>
            <w:gridSpan w:val="4"/>
            <w:vAlign w:val="top"/>
          </w:tcPr>
          <w:p w14:paraId="27280495">
            <w:pPr>
              <w:keepNext w:val="0"/>
              <w:keepLines w:val="0"/>
              <w:pageBreakBefore w:val="0"/>
              <w:kinsoku/>
              <w:wordWrap/>
              <w:overflowPunct/>
              <w:topLinePunct w:val="0"/>
              <w:bidi w:val="0"/>
              <w:rPr>
                <w:rFonts w:ascii="Arial"/>
                <w:sz w:val="21"/>
              </w:rPr>
            </w:pPr>
          </w:p>
        </w:tc>
      </w:tr>
    </w:tbl>
    <w:p w14:paraId="1AC029E7">
      <w:pPr>
        <w:keepNext w:val="0"/>
        <w:keepLines w:val="0"/>
        <w:pageBreakBefore w:val="0"/>
        <w:kinsoku/>
        <w:wordWrap/>
        <w:overflowPunct/>
        <w:topLinePunct w:val="0"/>
        <w:bidi w:val="0"/>
        <w:spacing w:before="145" w:line="224" w:lineRule="auto"/>
        <w:ind w:left="121"/>
        <w:rPr>
          <w:rFonts w:ascii="宋体" w:hAnsi="宋体" w:eastAsia="宋体" w:cs="宋体"/>
          <w:sz w:val="24"/>
          <w:szCs w:val="24"/>
        </w:rPr>
      </w:pPr>
      <w:r>
        <w:rPr>
          <w:rFonts w:ascii="宋体" w:hAnsi="宋体" w:eastAsia="宋体" w:cs="宋体"/>
          <w:spacing w:val="-5"/>
          <w:sz w:val="24"/>
          <w:szCs w:val="24"/>
        </w:rPr>
        <w:t>注：</w:t>
      </w:r>
    </w:p>
    <w:p w14:paraId="0F33C1B8">
      <w:pPr>
        <w:keepNext w:val="0"/>
        <w:keepLines w:val="0"/>
        <w:pageBreakBefore w:val="0"/>
        <w:kinsoku/>
        <w:wordWrap/>
        <w:overflowPunct/>
        <w:topLinePunct w:val="0"/>
        <w:bidi w:val="0"/>
        <w:spacing w:before="150" w:line="329" w:lineRule="auto"/>
        <w:ind w:left="122" w:right="679" w:firstLine="16"/>
        <w:jc w:val="both"/>
        <w:rPr>
          <w:rFonts w:ascii="宋体" w:hAnsi="宋体" w:eastAsia="宋体" w:cs="宋体"/>
          <w:sz w:val="24"/>
          <w:szCs w:val="24"/>
        </w:rPr>
      </w:pPr>
      <w:r>
        <w:rPr>
          <w:rFonts w:ascii="宋体" w:hAnsi="宋体" w:eastAsia="宋体" w:cs="宋体"/>
          <w:b/>
          <w:bCs/>
          <w:spacing w:val="-3"/>
          <w:sz w:val="24"/>
          <w:szCs w:val="24"/>
        </w:rPr>
        <w:t>1、空调机、照明产品（包括双端荧光灯、自镇流荧光灯、单端荧光灯、管形荧光灯镇</w:t>
      </w:r>
      <w:r>
        <w:rPr>
          <w:rFonts w:ascii="宋体" w:hAnsi="宋体" w:eastAsia="宋体" w:cs="宋体"/>
          <w:b/>
          <w:bCs/>
          <w:spacing w:val="-4"/>
          <w:sz w:val="24"/>
          <w:szCs w:val="24"/>
        </w:rPr>
        <w:t>流器）、电视机、电热水器、计算机、打印机、显示器、便器、水嘴等九类产</w:t>
      </w:r>
      <w:r>
        <w:rPr>
          <w:rFonts w:ascii="宋体" w:hAnsi="宋体" w:eastAsia="宋体" w:cs="宋体"/>
          <w:b/>
          <w:bCs/>
          <w:spacing w:val="-5"/>
          <w:sz w:val="24"/>
          <w:szCs w:val="24"/>
        </w:rPr>
        <w:t>品为政府</w:t>
      </w:r>
      <w:r>
        <w:rPr>
          <w:rFonts w:ascii="宋体" w:hAnsi="宋体" w:eastAsia="宋体" w:cs="宋体"/>
          <w:b/>
          <w:bCs/>
          <w:spacing w:val="-3"/>
          <w:sz w:val="24"/>
          <w:szCs w:val="24"/>
        </w:rPr>
        <w:t>强制采购节能产品。</w:t>
      </w:r>
    </w:p>
    <w:p w14:paraId="4EFE6C81">
      <w:pPr>
        <w:keepNext w:val="0"/>
        <w:keepLines w:val="0"/>
        <w:pageBreakBefore w:val="0"/>
        <w:kinsoku/>
        <w:wordWrap/>
        <w:overflowPunct/>
        <w:topLinePunct w:val="0"/>
        <w:bidi w:val="0"/>
        <w:spacing w:before="38" w:line="219" w:lineRule="auto"/>
        <w:ind w:left="124"/>
        <w:rPr>
          <w:rFonts w:ascii="宋体" w:hAnsi="宋体" w:eastAsia="宋体" w:cs="宋体"/>
          <w:sz w:val="24"/>
          <w:szCs w:val="24"/>
        </w:rPr>
      </w:pPr>
      <w:r>
        <w:rPr>
          <w:rFonts w:ascii="宋体" w:hAnsi="宋体" w:eastAsia="宋体" w:cs="宋体"/>
          <w:b/>
          <w:bCs/>
          <w:spacing w:val="-2"/>
          <w:sz w:val="24"/>
          <w:szCs w:val="24"/>
        </w:rPr>
        <w:t>2、若无货物属于优先采购节能、环境标志产品的，则不填写</w:t>
      </w:r>
      <w:r>
        <w:rPr>
          <w:rFonts w:ascii="宋体" w:hAnsi="宋体" w:eastAsia="宋体" w:cs="宋体"/>
          <w:b/>
          <w:bCs/>
          <w:spacing w:val="-3"/>
          <w:sz w:val="24"/>
          <w:szCs w:val="24"/>
        </w:rPr>
        <w:t>此表。</w:t>
      </w:r>
    </w:p>
    <w:p w14:paraId="17C30E68">
      <w:pPr>
        <w:pStyle w:val="7"/>
        <w:keepNext w:val="0"/>
        <w:keepLines w:val="0"/>
        <w:pageBreakBefore w:val="0"/>
        <w:kinsoku/>
        <w:wordWrap/>
        <w:overflowPunct/>
        <w:topLinePunct w:val="0"/>
        <w:bidi w:val="0"/>
        <w:spacing w:line="256" w:lineRule="auto"/>
      </w:pPr>
    </w:p>
    <w:p w14:paraId="43FCA981">
      <w:pPr>
        <w:pStyle w:val="7"/>
        <w:keepNext w:val="0"/>
        <w:keepLines w:val="0"/>
        <w:pageBreakBefore w:val="0"/>
        <w:kinsoku/>
        <w:wordWrap/>
        <w:overflowPunct/>
        <w:topLinePunct w:val="0"/>
        <w:bidi w:val="0"/>
        <w:spacing w:line="256" w:lineRule="auto"/>
      </w:pPr>
    </w:p>
    <w:p w14:paraId="22DE0996">
      <w:pPr>
        <w:keepNext w:val="0"/>
        <w:keepLines w:val="0"/>
        <w:pageBreakBefore w:val="0"/>
        <w:kinsoku/>
        <w:wordWrap/>
        <w:overflowPunct/>
        <w:topLinePunct w:val="0"/>
        <w:bidi w:val="0"/>
        <w:spacing w:before="78" w:line="219" w:lineRule="auto"/>
        <w:ind w:left="121"/>
        <w:rPr>
          <w:rFonts w:ascii="宋体" w:hAnsi="宋体" w:eastAsia="宋体" w:cs="宋体"/>
          <w:sz w:val="24"/>
          <w:szCs w:val="24"/>
        </w:rPr>
      </w:pPr>
      <w:r>
        <w:rPr>
          <w:rFonts w:ascii="宋体" w:hAnsi="宋体" w:eastAsia="宋体" w:cs="宋体"/>
          <w:spacing w:val="-2"/>
          <w:sz w:val="24"/>
          <w:szCs w:val="24"/>
        </w:rPr>
        <w:t>供应商（盖单位章</w:t>
      </w:r>
      <w:r>
        <w:rPr>
          <w:rFonts w:ascii="宋体" w:hAnsi="宋体" w:eastAsia="宋体" w:cs="宋体"/>
          <w:spacing w:val="2"/>
          <w:sz w:val="24"/>
          <w:szCs w:val="24"/>
        </w:rPr>
        <w:t>）：</w:t>
      </w:r>
    </w:p>
    <w:p w14:paraId="77585F87">
      <w:pPr>
        <w:keepNext w:val="0"/>
        <w:keepLines w:val="0"/>
        <w:pageBreakBefore w:val="0"/>
        <w:kinsoku/>
        <w:wordWrap/>
        <w:overflowPunct/>
        <w:topLinePunct w:val="0"/>
        <w:bidi w:val="0"/>
        <w:spacing w:before="157" w:line="325" w:lineRule="auto"/>
        <w:ind w:left="162" w:right="6212" w:hanging="40"/>
        <w:rPr>
          <w:rFonts w:ascii="宋体" w:hAnsi="宋体" w:eastAsia="宋体" w:cs="宋体"/>
          <w:sz w:val="24"/>
          <w:szCs w:val="24"/>
        </w:rPr>
      </w:pPr>
      <w:r>
        <w:rPr>
          <w:rFonts w:ascii="宋体" w:hAnsi="宋体" w:eastAsia="宋体" w:cs="宋体"/>
          <w:spacing w:val="-5"/>
          <w:sz w:val="24"/>
          <w:szCs w:val="24"/>
        </w:rPr>
        <w:t>法定代表人或其委托代理人签字：</w:t>
      </w:r>
      <w:r>
        <w:rPr>
          <w:rFonts w:ascii="宋体" w:hAnsi="宋体" w:eastAsia="宋体" w:cs="宋体"/>
          <w:spacing w:val="-13"/>
          <w:sz w:val="24"/>
          <w:szCs w:val="24"/>
        </w:rPr>
        <w:t>日期：年月日</w:t>
      </w:r>
    </w:p>
    <w:p w14:paraId="481D8C8A">
      <w:pPr>
        <w:keepNext w:val="0"/>
        <w:keepLines w:val="0"/>
        <w:pageBreakBefore w:val="0"/>
        <w:kinsoku/>
        <w:wordWrap/>
        <w:overflowPunct/>
        <w:topLinePunct w:val="0"/>
        <w:bidi w:val="0"/>
        <w:spacing w:line="325" w:lineRule="auto"/>
        <w:rPr>
          <w:rFonts w:ascii="宋体" w:hAnsi="宋体" w:eastAsia="宋体" w:cs="宋体"/>
          <w:sz w:val="24"/>
          <w:szCs w:val="24"/>
        </w:rPr>
        <w:sectPr>
          <w:footerReference r:id="rId26" w:type="default"/>
          <w:pgSz w:w="11906" w:h="16839"/>
          <w:pgMar w:top="1440" w:right="1080" w:bottom="1440" w:left="1080" w:header="0" w:footer="994" w:gutter="0"/>
          <w:pgNumType w:fmt="decimal"/>
          <w:cols w:space="720" w:num="1"/>
        </w:sectPr>
      </w:pPr>
    </w:p>
    <w:p w14:paraId="1A108B72">
      <w:pPr>
        <w:pStyle w:val="7"/>
        <w:keepNext w:val="0"/>
        <w:keepLines w:val="0"/>
        <w:pageBreakBefore w:val="0"/>
        <w:kinsoku/>
        <w:wordWrap/>
        <w:overflowPunct/>
        <w:topLinePunct w:val="0"/>
        <w:bidi w:val="0"/>
        <w:spacing w:line="246" w:lineRule="auto"/>
      </w:pPr>
    </w:p>
    <w:p w14:paraId="3FB07996">
      <w:pPr>
        <w:pStyle w:val="7"/>
        <w:keepNext w:val="0"/>
        <w:keepLines w:val="0"/>
        <w:pageBreakBefore w:val="0"/>
        <w:kinsoku/>
        <w:wordWrap/>
        <w:overflowPunct/>
        <w:topLinePunct w:val="0"/>
        <w:bidi w:val="0"/>
        <w:spacing w:line="246" w:lineRule="auto"/>
      </w:pPr>
    </w:p>
    <w:p w14:paraId="5579804B">
      <w:pPr>
        <w:pStyle w:val="7"/>
        <w:keepNext w:val="0"/>
        <w:keepLines w:val="0"/>
        <w:pageBreakBefore w:val="0"/>
        <w:kinsoku/>
        <w:wordWrap/>
        <w:overflowPunct/>
        <w:topLinePunct w:val="0"/>
        <w:bidi w:val="0"/>
        <w:spacing w:line="247" w:lineRule="auto"/>
      </w:pPr>
    </w:p>
    <w:p w14:paraId="2C451986">
      <w:pPr>
        <w:pStyle w:val="7"/>
        <w:keepNext w:val="0"/>
        <w:keepLines w:val="0"/>
        <w:pageBreakBefore w:val="0"/>
        <w:kinsoku/>
        <w:wordWrap/>
        <w:overflowPunct/>
        <w:topLinePunct w:val="0"/>
        <w:bidi w:val="0"/>
        <w:spacing w:line="247" w:lineRule="auto"/>
      </w:pPr>
    </w:p>
    <w:p w14:paraId="7DC63A70">
      <w:pPr>
        <w:pStyle w:val="7"/>
        <w:keepNext w:val="0"/>
        <w:keepLines w:val="0"/>
        <w:pageBreakBefore w:val="0"/>
        <w:kinsoku/>
        <w:wordWrap/>
        <w:overflowPunct/>
        <w:topLinePunct w:val="0"/>
        <w:bidi w:val="0"/>
        <w:spacing w:line="247" w:lineRule="auto"/>
      </w:pPr>
    </w:p>
    <w:p w14:paraId="59C792A4">
      <w:pPr>
        <w:keepNext w:val="0"/>
        <w:keepLines w:val="0"/>
        <w:pageBreakBefore w:val="0"/>
        <w:kinsoku/>
        <w:wordWrap/>
        <w:overflowPunct/>
        <w:topLinePunct w:val="0"/>
        <w:bidi w:val="0"/>
        <w:spacing w:before="78" w:line="219" w:lineRule="auto"/>
        <w:ind w:left="2959"/>
        <w:rPr>
          <w:rFonts w:ascii="宋体" w:hAnsi="宋体" w:eastAsia="宋体" w:cs="宋体"/>
          <w:sz w:val="24"/>
          <w:szCs w:val="24"/>
        </w:rPr>
      </w:pPr>
      <w:r>
        <w:rPr>
          <w:rFonts w:ascii="宋体" w:hAnsi="宋体" w:eastAsia="宋体" w:cs="宋体"/>
          <w:b/>
          <w:bCs/>
          <w:spacing w:val="-3"/>
          <w:sz w:val="24"/>
          <w:szCs w:val="24"/>
        </w:rPr>
        <w:t>节能、环境标志产品证明材料</w:t>
      </w:r>
    </w:p>
    <w:p w14:paraId="5F617BAB">
      <w:pPr>
        <w:pStyle w:val="7"/>
        <w:keepNext w:val="0"/>
        <w:keepLines w:val="0"/>
        <w:pageBreakBefore w:val="0"/>
        <w:kinsoku/>
        <w:wordWrap/>
        <w:overflowPunct/>
        <w:topLinePunct w:val="0"/>
        <w:bidi w:val="0"/>
        <w:spacing w:line="257" w:lineRule="auto"/>
      </w:pPr>
    </w:p>
    <w:p w14:paraId="4AA8F0DA">
      <w:pPr>
        <w:pStyle w:val="7"/>
        <w:keepNext w:val="0"/>
        <w:keepLines w:val="0"/>
        <w:pageBreakBefore w:val="0"/>
        <w:kinsoku/>
        <w:wordWrap/>
        <w:overflowPunct/>
        <w:topLinePunct w:val="0"/>
        <w:bidi w:val="0"/>
        <w:spacing w:line="258" w:lineRule="auto"/>
      </w:pPr>
    </w:p>
    <w:p w14:paraId="031E7AA1">
      <w:pPr>
        <w:keepNext w:val="0"/>
        <w:keepLines w:val="0"/>
        <w:pageBreakBefore w:val="0"/>
        <w:kinsoku/>
        <w:wordWrap/>
        <w:overflowPunct/>
        <w:topLinePunct w:val="0"/>
        <w:bidi w:val="0"/>
        <w:spacing w:before="78" w:line="219" w:lineRule="auto"/>
        <w:ind w:left="437"/>
        <w:rPr>
          <w:rFonts w:ascii="宋体" w:hAnsi="宋体" w:eastAsia="宋体" w:cs="宋体"/>
          <w:sz w:val="24"/>
          <w:szCs w:val="24"/>
        </w:rPr>
      </w:pPr>
      <w:r>
        <w:rPr>
          <w:rFonts w:ascii="宋体" w:hAnsi="宋体" w:eastAsia="宋体" w:cs="宋体"/>
          <w:spacing w:val="-4"/>
          <w:sz w:val="24"/>
          <w:szCs w:val="24"/>
        </w:rPr>
        <w:t>1.节能产品：应在</w:t>
      </w:r>
    </w:p>
    <w:p w14:paraId="3396C070">
      <w:pPr>
        <w:keepNext w:val="0"/>
        <w:keepLines w:val="0"/>
        <w:pageBreakBefore w:val="0"/>
        <w:kinsoku/>
        <w:wordWrap/>
        <w:overflowPunct/>
        <w:topLinePunct w:val="0"/>
        <w:bidi w:val="0"/>
        <w:spacing w:before="153" w:line="214" w:lineRule="auto"/>
        <w:ind w:left="442"/>
        <w:rPr>
          <w:rFonts w:ascii="宋体" w:hAnsi="宋体" w:eastAsia="宋体" w:cs="宋体"/>
          <w:sz w:val="24"/>
          <w:szCs w:val="24"/>
        </w:rPr>
      </w:pPr>
      <w:r>
        <w:rPr>
          <w:rFonts w:ascii="宋体" w:hAnsi="宋体" w:eastAsia="宋体" w:cs="宋体"/>
          <w:spacing w:val="-2"/>
          <w:sz w:val="24"/>
          <w:szCs w:val="24"/>
        </w:rPr>
        <w:t>中国政府采购网（http://www.ccgp</w:t>
      </w:r>
      <w:r>
        <w:rPr>
          <w:rFonts w:ascii="宋体" w:hAnsi="宋体" w:eastAsia="宋体" w:cs="宋体"/>
          <w:spacing w:val="-3"/>
          <w:sz w:val="24"/>
          <w:szCs w:val="24"/>
        </w:rPr>
        <w:t>.gov.cn）</w:t>
      </w:r>
    </w:p>
    <w:p w14:paraId="0D5E5F1E">
      <w:pPr>
        <w:keepNext w:val="0"/>
        <w:keepLines w:val="0"/>
        <w:pageBreakBefore w:val="0"/>
        <w:kinsoku/>
        <w:wordWrap/>
        <w:overflowPunct/>
        <w:topLinePunct w:val="0"/>
        <w:bidi w:val="0"/>
        <w:spacing w:before="163" w:line="329" w:lineRule="auto"/>
        <w:ind w:left="422" w:right="3152" w:firstLine="20"/>
        <w:rPr>
          <w:rFonts w:ascii="宋体" w:hAnsi="宋体" w:eastAsia="宋体" w:cs="宋体"/>
          <w:sz w:val="24"/>
          <w:szCs w:val="24"/>
        </w:rPr>
      </w:pPr>
      <w:r>
        <w:rPr>
          <w:rFonts w:ascii="宋体" w:hAnsi="宋体" w:eastAsia="宋体" w:cs="宋体"/>
          <w:spacing w:val="-3"/>
          <w:sz w:val="24"/>
          <w:szCs w:val="24"/>
        </w:rPr>
        <w:t>国家发展改革委网站（http://hzs.ndrc.gov.cn）</w:t>
      </w:r>
      <w:r>
        <w:rPr>
          <w:rFonts w:ascii="宋体" w:hAnsi="宋体" w:eastAsia="宋体" w:cs="宋体"/>
          <w:spacing w:val="-2"/>
          <w:sz w:val="24"/>
          <w:szCs w:val="24"/>
        </w:rPr>
        <w:t>中国质量认证心网站（http://www.cqc.com.cn）2.环境标志产品：应在</w:t>
      </w:r>
    </w:p>
    <w:p w14:paraId="0EC34F7C">
      <w:pPr>
        <w:keepNext w:val="0"/>
        <w:keepLines w:val="0"/>
        <w:pageBreakBefore w:val="0"/>
        <w:kinsoku/>
        <w:wordWrap/>
        <w:overflowPunct/>
        <w:topLinePunct w:val="0"/>
        <w:bidi w:val="0"/>
        <w:spacing w:before="37" w:line="214" w:lineRule="auto"/>
        <w:ind w:left="442"/>
        <w:rPr>
          <w:rFonts w:ascii="宋体" w:hAnsi="宋体" w:eastAsia="宋体" w:cs="宋体"/>
          <w:sz w:val="24"/>
          <w:szCs w:val="24"/>
        </w:rPr>
      </w:pPr>
      <w:r>
        <w:rPr>
          <w:rFonts w:ascii="宋体" w:hAnsi="宋体" w:eastAsia="宋体" w:cs="宋体"/>
          <w:spacing w:val="-2"/>
          <w:sz w:val="24"/>
          <w:szCs w:val="24"/>
        </w:rPr>
        <w:t>中国政府采购网（http://www.cc</w:t>
      </w:r>
      <w:r>
        <w:rPr>
          <w:rFonts w:ascii="宋体" w:hAnsi="宋体" w:eastAsia="宋体" w:cs="宋体"/>
          <w:spacing w:val="-3"/>
          <w:sz w:val="24"/>
          <w:szCs w:val="24"/>
        </w:rPr>
        <w:t>gp.gov.cn）</w:t>
      </w:r>
    </w:p>
    <w:p w14:paraId="27709D53">
      <w:pPr>
        <w:keepNext w:val="0"/>
        <w:keepLines w:val="0"/>
        <w:pageBreakBefore w:val="0"/>
        <w:kinsoku/>
        <w:wordWrap/>
        <w:overflowPunct/>
        <w:topLinePunct w:val="0"/>
        <w:bidi w:val="0"/>
        <w:spacing w:before="160" w:line="322" w:lineRule="auto"/>
        <w:ind w:left="442" w:right="3392"/>
        <w:rPr>
          <w:rFonts w:ascii="宋体" w:hAnsi="宋体" w:eastAsia="宋体" w:cs="宋体"/>
          <w:sz w:val="24"/>
          <w:szCs w:val="24"/>
        </w:rPr>
      </w:pPr>
      <w:r>
        <w:rPr>
          <w:rFonts w:ascii="宋体" w:hAnsi="宋体" w:eastAsia="宋体" w:cs="宋体"/>
          <w:spacing w:val="-3"/>
          <w:sz w:val="24"/>
          <w:szCs w:val="24"/>
        </w:rPr>
        <w:t>国家环境保护部网（http://www.sepa.gov.cn）中国绿色采购网（http://www.cgpn.cn）</w:t>
      </w:r>
    </w:p>
    <w:p w14:paraId="64398DAF">
      <w:pPr>
        <w:keepNext w:val="0"/>
        <w:keepLines w:val="0"/>
        <w:pageBreakBefore w:val="0"/>
        <w:kinsoku/>
        <w:wordWrap/>
        <w:overflowPunct/>
        <w:topLinePunct w:val="0"/>
        <w:bidi w:val="0"/>
        <w:spacing w:before="45" w:line="324" w:lineRule="auto"/>
        <w:ind w:firstLine="424"/>
        <w:rPr>
          <w:rFonts w:ascii="宋体" w:hAnsi="宋体" w:eastAsia="宋体" w:cs="宋体"/>
          <w:sz w:val="24"/>
          <w:szCs w:val="24"/>
        </w:rPr>
      </w:pPr>
      <w:r>
        <w:rPr>
          <w:rFonts w:ascii="宋体" w:hAnsi="宋体" w:eastAsia="宋体" w:cs="宋体"/>
          <w:spacing w:val="-2"/>
          <w:sz w:val="24"/>
          <w:szCs w:val="24"/>
        </w:rPr>
        <w:t>3.属优先采购节能、环境标志产品须从以上权威媒体网站上下载的网页公告、目录</w:t>
      </w:r>
      <w:r>
        <w:rPr>
          <w:rFonts w:ascii="宋体" w:hAnsi="宋体" w:eastAsia="宋体" w:cs="宋体"/>
          <w:spacing w:val="-1"/>
          <w:sz w:val="24"/>
          <w:szCs w:val="24"/>
        </w:rPr>
        <w:t>清单、证书等，并注出所在位置。</w:t>
      </w:r>
    </w:p>
    <w:p w14:paraId="52176713">
      <w:pPr>
        <w:keepNext w:val="0"/>
        <w:keepLines w:val="0"/>
        <w:pageBreakBefore w:val="0"/>
        <w:kinsoku/>
        <w:wordWrap/>
        <w:overflowPunct/>
        <w:topLinePunct w:val="0"/>
        <w:bidi w:val="0"/>
        <w:spacing w:before="35" w:line="219" w:lineRule="auto"/>
        <w:ind w:left="423"/>
        <w:rPr>
          <w:rFonts w:ascii="宋体" w:hAnsi="宋体" w:eastAsia="宋体" w:cs="宋体"/>
          <w:sz w:val="24"/>
          <w:szCs w:val="24"/>
        </w:rPr>
      </w:pPr>
      <w:r>
        <w:rPr>
          <w:rFonts w:ascii="宋体" w:hAnsi="宋体" w:eastAsia="宋体" w:cs="宋体"/>
          <w:spacing w:val="-1"/>
          <w:sz w:val="24"/>
          <w:szCs w:val="24"/>
        </w:rPr>
        <w:t>4.证明材料加盖供应商公章。</w:t>
      </w:r>
    </w:p>
    <w:p w14:paraId="3B142193">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27" w:type="default"/>
          <w:pgSz w:w="11906" w:h="16839"/>
          <w:pgMar w:top="1440" w:right="1080" w:bottom="1440" w:left="1080" w:header="0" w:footer="994" w:gutter="0"/>
          <w:pgNumType w:fmt="decimal"/>
          <w:cols w:space="720" w:num="1"/>
        </w:sectPr>
      </w:pPr>
    </w:p>
    <w:p w14:paraId="31A3430B">
      <w:pPr>
        <w:pStyle w:val="7"/>
        <w:keepNext w:val="0"/>
        <w:keepLines w:val="0"/>
        <w:pageBreakBefore w:val="0"/>
        <w:kinsoku/>
        <w:wordWrap/>
        <w:overflowPunct/>
        <w:topLinePunct w:val="0"/>
        <w:bidi w:val="0"/>
        <w:spacing w:line="246" w:lineRule="auto"/>
      </w:pPr>
    </w:p>
    <w:p w14:paraId="53A5F1E6">
      <w:pPr>
        <w:pStyle w:val="7"/>
        <w:keepNext w:val="0"/>
        <w:keepLines w:val="0"/>
        <w:pageBreakBefore w:val="0"/>
        <w:kinsoku/>
        <w:wordWrap/>
        <w:overflowPunct/>
        <w:topLinePunct w:val="0"/>
        <w:bidi w:val="0"/>
        <w:spacing w:line="246" w:lineRule="auto"/>
      </w:pPr>
    </w:p>
    <w:p w14:paraId="3F4730BD">
      <w:pPr>
        <w:pStyle w:val="7"/>
        <w:keepNext w:val="0"/>
        <w:keepLines w:val="0"/>
        <w:pageBreakBefore w:val="0"/>
        <w:kinsoku/>
        <w:wordWrap/>
        <w:overflowPunct/>
        <w:topLinePunct w:val="0"/>
        <w:bidi w:val="0"/>
        <w:spacing w:line="246" w:lineRule="auto"/>
      </w:pPr>
    </w:p>
    <w:p w14:paraId="275D347D">
      <w:pPr>
        <w:pStyle w:val="7"/>
        <w:keepNext w:val="0"/>
        <w:keepLines w:val="0"/>
        <w:pageBreakBefore w:val="0"/>
        <w:kinsoku/>
        <w:wordWrap/>
        <w:overflowPunct/>
        <w:topLinePunct w:val="0"/>
        <w:bidi w:val="0"/>
        <w:spacing w:line="246" w:lineRule="auto"/>
      </w:pPr>
    </w:p>
    <w:p w14:paraId="069CD27B">
      <w:pPr>
        <w:pStyle w:val="7"/>
        <w:keepNext w:val="0"/>
        <w:keepLines w:val="0"/>
        <w:pageBreakBefore w:val="0"/>
        <w:kinsoku/>
        <w:wordWrap/>
        <w:overflowPunct/>
        <w:topLinePunct w:val="0"/>
        <w:bidi w:val="0"/>
        <w:spacing w:line="246" w:lineRule="auto"/>
      </w:pPr>
    </w:p>
    <w:p w14:paraId="2B3095D4">
      <w:pPr>
        <w:keepNext w:val="0"/>
        <w:keepLines w:val="0"/>
        <w:pageBreakBefore w:val="0"/>
        <w:kinsoku/>
        <w:wordWrap/>
        <w:overflowPunct/>
        <w:topLinePunct w:val="0"/>
        <w:bidi w:val="0"/>
        <w:spacing w:before="78" w:line="347" w:lineRule="auto"/>
        <w:ind w:left="3813" w:right="3190" w:hanging="710"/>
        <w:jc w:val="both"/>
        <w:rPr>
          <w:rFonts w:ascii="宋体" w:hAnsi="宋体" w:eastAsia="宋体" w:cs="宋体"/>
          <w:spacing w:val="2"/>
          <w:sz w:val="24"/>
          <w:szCs w:val="24"/>
        </w:rPr>
      </w:pPr>
      <w:r>
        <w:rPr>
          <w:rFonts w:ascii="宋体" w:hAnsi="宋体" w:eastAsia="宋体" w:cs="宋体"/>
          <w:b/>
          <w:bCs/>
          <w:spacing w:val="-3"/>
          <w:sz w:val="24"/>
          <w:szCs w:val="24"/>
        </w:rPr>
        <w:t>投标人企业类型声明函</w:t>
      </w:r>
    </w:p>
    <w:p w14:paraId="6748FC82">
      <w:pPr>
        <w:keepNext w:val="0"/>
        <w:keepLines w:val="0"/>
        <w:pageBreakBefore w:val="0"/>
        <w:kinsoku/>
        <w:wordWrap/>
        <w:overflowPunct/>
        <w:topLinePunct w:val="0"/>
        <w:bidi w:val="0"/>
        <w:spacing w:before="78" w:line="347" w:lineRule="auto"/>
        <w:ind w:left="3428" w:leftChars="1592" w:right="3190" w:hanging="85" w:hangingChars="37"/>
        <w:jc w:val="both"/>
        <w:rPr>
          <w:rFonts w:ascii="宋体" w:hAnsi="宋体" w:eastAsia="宋体" w:cs="宋体"/>
          <w:sz w:val="24"/>
          <w:szCs w:val="24"/>
        </w:rPr>
      </w:pPr>
      <w:r>
        <w:rPr>
          <w:rFonts w:ascii="宋体" w:hAnsi="宋体" w:eastAsia="宋体" w:cs="宋体"/>
          <w:b/>
          <w:bCs/>
          <w:spacing w:val="-6"/>
          <w:sz w:val="24"/>
          <w:szCs w:val="24"/>
        </w:rPr>
        <w:t>中小微企业声明函</w:t>
      </w:r>
    </w:p>
    <w:p w14:paraId="4C927BBF">
      <w:pPr>
        <w:keepNext w:val="0"/>
        <w:keepLines w:val="0"/>
        <w:pageBreakBefore w:val="0"/>
        <w:widowControl/>
        <w:kinsoku/>
        <w:wordWrap/>
        <w:overflowPunct/>
        <w:topLinePunct w:val="0"/>
        <w:autoSpaceDE w:val="0"/>
        <w:autoSpaceDN w:val="0"/>
        <w:bidi w:val="0"/>
        <w:adjustRightInd w:val="0"/>
        <w:snapToGrid w:val="0"/>
        <w:spacing w:before="34" w:line="360" w:lineRule="auto"/>
        <w:ind w:left="3476"/>
        <w:jc w:val="both"/>
        <w:textAlignment w:val="baseline"/>
        <w:rPr>
          <w:rFonts w:ascii="宋体" w:hAnsi="宋体" w:eastAsia="宋体" w:cs="宋体"/>
          <w:spacing w:val="-3"/>
          <w:sz w:val="24"/>
          <w:szCs w:val="24"/>
        </w:rPr>
      </w:pPr>
      <w:r>
        <w:rPr>
          <w:rFonts w:ascii="宋体" w:hAnsi="宋体" w:eastAsia="宋体" w:cs="宋体"/>
          <w:spacing w:val="-3"/>
          <w:sz w:val="24"/>
          <w:szCs w:val="24"/>
        </w:rPr>
        <w:t>（中小微企业适用）</w:t>
      </w:r>
    </w:p>
    <w:p w14:paraId="78BC1CF1">
      <w:pPr>
        <w:keepNext w:val="0"/>
        <w:keepLines w:val="0"/>
        <w:pageBreakBefore w:val="0"/>
        <w:widowControl/>
        <w:kinsoku/>
        <w:wordWrap/>
        <w:overflowPunct/>
        <w:topLinePunct w:val="0"/>
        <w:autoSpaceDE w:val="0"/>
        <w:autoSpaceDN w:val="0"/>
        <w:bidi w:val="0"/>
        <w:adjustRightInd w:val="0"/>
        <w:snapToGrid w:val="0"/>
        <w:spacing w:before="34" w:line="360" w:lineRule="auto"/>
        <w:ind w:firstLine="702" w:firstLineChars="300"/>
        <w:textAlignment w:val="baseline"/>
        <w:rPr>
          <w:rFonts w:ascii="宋体" w:hAnsi="宋体" w:eastAsia="宋体" w:cs="宋体"/>
          <w:spacing w:val="-3"/>
          <w:sz w:val="24"/>
          <w:szCs w:val="24"/>
        </w:rPr>
      </w:pPr>
      <w:r>
        <w:rPr>
          <w:rFonts w:hint="eastAsia" w:ascii="宋体" w:hAnsi="宋体" w:eastAsia="宋体" w:cs="宋体"/>
          <w:spacing w:val="-3"/>
          <w:sz w:val="24"/>
          <w:szCs w:val="24"/>
        </w:rPr>
        <w:t>本公司（联合体）郑重声明，根据《政府采购促进中小企业发展管理办法》（财库﹝2020﹞46号）的规定，本公司（联合体）参加</w:t>
      </w:r>
      <w:r>
        <w:rPr>
          <w:rFonts w:hint="eastAsia" w:ascii="宋体" w:hAnsi="宋体" w:eastAsia="宋体" w:cs="宋体"/>
          <w:spacing w:val="-3"/>
          <w:sz w:val="24"/>
          <w:szCs w:val="24"/>
          <w:u w:val="single"/>
        </w:rPr>
        <w:t>（单位名称）</w:t>
      </w:r>
      <w:r>
        <w:rPr>
          <w:rFonts w:hint="eastAsia" w:ascii="宋体" w:hAnsi="宋体" w:eastAsia="宋体" w:cs="宋体"/>
          <w:spacing w:val="-3"/>
          <w:sz w:val="24"/>
          <w:szCs w:val="24"/>
        </w:rPr>
        <w:t>的</w:t>
      </w:r>
      <w:r>
        <w:rPr>
          <w:rFonts w:hint="eastAsia" w:ascii="宋体" w:hAnsi="宋体" w:eastAsia="宋体" w:cs="宋体"/>
          <w:spacing w:val="-3"/>
          <w:sz w:val="24"/>
          <w:szCs w:val="24"/>
          <w:u w:val="single"/>
        </w:rPr>
        <w:t>（项目名称）</w:t>
      </w:r>
      <w:r>
        <w:rPr>
          <w:rFonts w:hint="eastAsia" w:ascii="宋体" w:hAnsi="宋体" w:eastAsia="宋体" w:cs="宋体"/>
          <w:spacing w:val="-3"/>
          <w:sz w:val="24"/>
          <w:szCs w:val="24"/>
        </w:rPr>
        <w:t>采购活动，服务全部由符合政策要求的中小企业承接。相关企业（含联合体中的中小企业、签订分包意向协议</w:t>
      </w:r>
      <w:r>
        <w:rPr>
          <w:rFonts w:hint="eastAsia" w:ascii="宋体" w:hAnsi="宋体" w:eastAsia="宋体" w:cs="宋体"/>
          <w:spacing w:val="-3"/>
          <w:sz w:val="24"/>
          <w:szCs w:val="24"/>
          <w:lang w:val="en-US" w:eastAsia="zh-CN"/>
        </w:rPr>
        <w:t>书</w:t>
      </w:r>
      <w:r>
        <w:rPr>
          <w:rFonts w:hint="eastAsia" w:ascii="宋体" w:hAnsi="宋体" w:eastAsia="宋体" w:cs="宋体"/>
          <w:spacing w:val="-3"/>
          <w:sz w:val="24"/>
          <w:szCs w:val="24"/>
        </w:rPr>
        <w:t>的中小企业）的具体情况如下：</w:t>
      </w:r>
    </w:p>
    <w:p w14:paraId="5FCC96F1">
      <w:pPr>
        <w:keepNext w:val="0"/>
        <w:keepLines w:val="0"/>
        <w:pageBreakBefore w:val="0"/>
        <w:widowControl/>
        <w:kinsoku/>
        <w:wordWrap/>
        <w:overflowPunct/>
        <w:topLinePunct w:val="0"/>
        <w:autoSpaceDE w:val="0"/>
        <w:autoSpaceDN w:val="0"/>
        <w:bidi w:val="0"/>
        <w:adjustRightInd w:val="0"/>
        <w:snapToGrid w:val="0"/>
        <w:spacing w:before="34" w:line="360" w:lineRule="auto"/>
        <w:ind w:left="479" w:leftChars="228" w:firstLine="234" w:firstLineChars="100"/>
        <w:textAlignment w:val="baseline"/>
        <w:rPr>
          <w:rFonts w:ascii="宋体" w:hAnsi="宋体" w:eastAsia="宋体" w:cs="宋体"/>
          <w:spacing w:val="-3"/>
          <w:sz w:val="24"/>
          <w:szCs w:val="24"/>
        </w:rPr>
      </w:pPr>
      <w:r>
        <w:rPr>
          <w:rFonts w:hint="eastAsia" w:ascii="宋体" w:hAnsi="宋体" w:eastAsia="宋体" w:cs="宋体"/>
          <w:spacing w:val="-3"/>
          <w:sz w:val="24"/>
          <w:szCs w:val="24"/>
        </w:rPr>
        <w:t>1.</w:t>
      </w:r>
      <w:r>
        <w:rPr>
          <w:rFonts w:hint="eastAsia" w:ascii="宋体" w:hAnsi="宋体" w:eastAsia="宋体" w:cs="宋体"/>
          <w:spacing w:val="-3"/>
          <w:sz w:val="24"/>
          <w:szCs w:val="24"/>
          <w:u w:val="single"/>
        </w:rPr>
        <w:t>（标的名称）</w:t>
      </w:r>
      <w:r>
        <w:rPr>
          <w:rFonts w:hint="eastAsia" w:ascii="宋体" w:hAnsi="宋体" w:eastAsia="宋体" w:cs="宋体"/>
          <w:spacing w:val="-3"/>
          <w:sz w:val="24"/>
          <w:szCs w:val="24"/>
          <w:u w:val="none"/>
        </w:rPr>
        <w:t>，属于</w:t>
      </w:r>
      <w:r>
        <w:rPr>
          <w:rFonts w:hint="eastAsia" w:ascii="宋体" w:hAnsi="宋体" w:eastAsia="宋体" w:cs="宋体"/>
          <w:spacing w:val="-3"/>
          <w:sz w:val="24"/>
          <w:szCs w:val="24"/>
          <w:u w:val="single"/>
        </w:rPr>
        <w:t>（采购文件中明确的所属行业）</w:t>
      </w:r>
      <w:r>
        <w:rPr>
          <w:rFonts w:hint="eastAsia" w:ascii="宋体" w:hAnsi="宋体" w:eastAsia="宋体" w:cs="宋体"/>
          <w:spacing w:val="-3"/>
          <w:sz w:val="24"/>
          <w:szCs w:val="24"/>
          <w:u w:val="none"/>
        </w:rPr>
        <w:t>行业</w:t>
      </w:r>
      <w:r>
        <w:rPr>
          <w:rFonts w:hint="eastAsia" w:ascii="宋体" w:hAnsi="宋体" w:eastAsia="宋体" w:cs="宋体"/>
          <w:spacing w:val="-3"/>
          <w:sz w:val="24"/>
          <w:szCs w:val="24"/>
        </w:rPr>
        <w:t>；承接企业为（企业名称），从业人员人，营业收入为万元，资产总额为万元，属于（中型企业、小型企业、微型企业）；</w:t>
      </w:r>
    </w:p>
    <w:p w14:paraId="1D01E102">
      <w:pPr>
        <w:keepNext w:val="0"/>
        <w:keepLines w:val="0"/>
        <w:pageBreakBefore w:val="0"/>
        <w:widowControl/>
        <w:kinsoku/>
        <w:wordWrap/>
        <w:overflowPunct/>
        <w:topLinePunct w:val="0"/>
        <w:autoSpaceDE w:val="0"/>
        <w:autoSpaceDN w:val="0"/>
        <w:bidi w:val="0"/>
        <w:adjustRightInd w:val="0"/>
        <w:snapToGrid w:val="0"/>
        <w:spacing w:before="34" w:line="360" w:lineRule="auto"/>
        <w:ind w:left="479" w:leftChars="228" w:firstLine="234" w:firstLineChars="100"/>
        <w:textAlignment w:val="baseline"/>
        <w:rPr>
          <w:rFonts w:ascii="宋体" w:hAnsi="宋体" w:eastAsia="宋体" w:cs="宋体"/>
          <w:spacing w:val="-3"/>
          <w:sz w:val="24"/>
          <w:szCs w:val="24"/>
        </w:rPr>
      </w:pPr>
      <w:r>
        <w:rPr>
          <w:rFonts w:hint="eastAsia" w:ascii="宋体" w:hAnsi="宋体" w:eastAsia="宋体" w:cs="宋体"/>
          <w:spacing w:val="-3"/>
          <w:sz w:val="24"/>
          <w:szCs w:val="24"/>
        </w:rPr>
        <w:t>2.</w:t>
      </w:r>
      <w:r>
        <w:rPr>
          <w:rFonts w:hint="eastAsia" w:ascii="宋体" w:hAnsi="宋体" w:eastAsia="宋体" w:cs="宋体"/>
          <w:spacing w:val="-3"/>
          <w:sz w:val="24"/>
          <w:szCs w:val="24"/>
          <w:u w:val="single"/>
        </w:rPr>
        <w:t>（标的名称）</w:t>
      </w:r>
      <w:r>
        <w:rPr>
          <w:rFonts w:hint="eastAsia" w:ascii="宋体" w:hAnsi="宋体" w:eastAsia="宋体" w:cs="宋体"/>
          <w:spacing w:val="-3"/>
          <w:sz w:val="24"/>
          <w:szCs w:val="24"/>
        </w:rPr>
        <w:t>，属于</w:t>
      </w:r>
      <w:r>
        <w:rPr>
          <w:rFonts w:hint="eastAsia" w:ascii="宋体" w:hAnsi="宋体" w:eastAsia="宋体" w:cs="宋体"/>
          <w:spacing w:val="-3"/>
          <w:sz w:val="24"/>
          <w:szCs w:val="24"/>
          <w:u w:val="single"/>
        </w:rPr>
        <w:t>（采购文件中明确的所属行业）</w:t>
      </w:r>
      <w:r>
        <w:rPr>
          <w:rFonts w:hint="eastAsia" w:ascii="宋体" w:hAnsi="宋体" w:eastAsia="宋体" w:cs="宋体"/>
          <w:spacing w:val="-3"/>
          <w:sz w:val="24"/>
          <w:szCs w:val="24"/>
        </w:rPr>
        <w:t>行业；承接企业为（企业名称），从业人员人，营业收入为万元，资产总额为万元，属于（中型企业、小型企业、微型企业）；</w:t>
      </w:r>
    </w:p>
    <w:p w14:paraId="7CB1DD8C">
      <w:pPr>
        <w:keepNext w:val="0"/>
        <w:keepLines w:val="0"/>
        <w:pageBreakBefore w:val="0"/>
        <w:widowControl/>
        <w:kinsoku/>
        <w:wordWrap/>
        <w:overflowPunct/>
        <w:topLinePunct w:val="0"/>
        <w:autoSpaceDE w:val="0"/>
        <w:autoSpaceDN w:val="0"/>
        <w:bidi w:val="0"/>
        <w:adjustRightInd w:val="0"/>
        <w:snapToGrid w:val="0"/>
        <w:spacing w:before="34" w:line="360" w:lineRule="auto"/>
        <w:ind w:firstLine="702" w:firstLineChars="300"/>
        <w:textAlignment w:val="baseline"/>
        <w:rPr>
          <w:rFonts w:ascii="宋体" w:hAnsi="宋体" w:eastAsia="宋体" w:cs="宋体"/>
          <w:spacing w:val="-3"/>
          <w:sz w:val="24"/>
          <w:szCs w:val="24"/>
        </w:rPr>
      </w:pPr>
      <w:r>
        <w:rPr>
          <w:rFonts w:hint="eastAsia" w:ascii="宋体" w:hAnsi="宋体" w:eastAsia="宋体" w:cs="宋体"/>
          <w:spacing w:val="-3"/>
          <w:sz w:val="24"/>
          <w:szCs w:val="24"/>
        </w:rPr>
        <w:t>……</w:t>
      </w:r>
    </w:p>
    <w:p w14:paraId="776FE44A">
      <w:pPr>
        <w:keepNext w:val="0"/>
        <w:keepLines w:val="0"/>
        <w:pageBreakBefore w:val="0"/>
        <w:widowControl/>
        <w:kinsoku/>
        <w:wordWrap/>
        <w:overflowPunct/>
        <w:topLinePunct w:val="0"/>
        <w:autoSpaceDE w:val="0"/>
        <w:autoSpaceDN w:val="0"/>
        <w:bidi w:val="0"/>
        <w:adjustRightInd w:val="0"/>
        <w:snapToGrid w:val="0"/>
        <w:spacing w:before="34" w:line="360" w:lineRule="auto"/>
        <w:ind w:firstLine="468" w:firstLineChars="200"/>
        <w:textAlignment w:val="baseline"/>
        <w:rPr>
          <w:rFonts w:ascii="宋体" w:hAnsi="宋体" w:eastAsia="宋体" w:cs="宋体"/>
          <w:spacing w:val="-3"/>
          <w:sz w:val="24"/>
          <w:szCs w:val="24"/>
        </w:rPr>
      </w:pPr>
      <w:r>
        <w:rPr>
          <w:rFonts w:hint="eastAsia" w:ascii="宋体" w:hAnsi="宋体" w:eastAsia="宋体" w:cs="宋体"/>
          <w:spacing w:val="-3"/>
          <w:sz w:val="24"/>
          <w:szCs w:val="24"/>
        </w:rPr>
        <w:t>以上企业，不属于大企业的分支机构，不存在控股股东为大企业的情形，也不存在与大企业的负责人为同一人的情形。</w:t>
      </w:r>
    </w:p>
    <w:p w14:paraId="3A720EA2">
      <w:pPr>
        <w:keepNext w:val="0"/>
        <w:keepLines w:val="0"/>
        <w:pageBreakBefore w:val="0"/>
        <w:widowControl/>
        <w:kinsoku/>
        <w:wordWrap/>
        <w:overflowPunct/>
        <w:topLinePunct w:val="0"/>
        <w:autoSpaceDE w:val="0"/>
        <w:autoSpaceDN w:val="0"/>
        <w:bidi w:val="0"/>
        <w:adjustRightInd w:val="0"/>
        <w:snapToGrid w:val="0"/>
        <w:spacing w:before="34" w:line="360" w:lineRule="auto"/>
        <w:textAlignment w:val="baseline"/>
        <w:rPr>
          <w:rFonts w:ascii="宋体" w:hAnsi="宋体" w:eastAsia="宋体" w:cs="宋体"/>
          <w:spacing w:val="-3"/>
          <w:sz w:val="24"/>
          <w:szCs w:val="24"/>
        </w:rPr>
      </w:pPr>
      <w:r>
        <w:rPr>
          <w:rFonts w:hint="eastAsia" w:ascii="宋体" w:hAnsi="宋体" w:eastAsia="宋体" w:cs="宋体"/>
          <w:spacing w:val="-3"/>
          <w:sz w:val="24"/>
          <w:szCs w:val="24"/>
        </w:rPr>
        <w:t>本企业对上述声明内容的真实性负责。如有虚假，将依法承担相应责任。</w:t>
      </w:r>
    </w:p>
    <w:p w14:paraId="5A6D844B">
      <w:pPr>
        <w:keepNext w:val="0"/>
        <w:keepLines w:val="0"/>
        <w:pageBreakBefore w:val="0"/>
        <w:widowControl/>
        <w:kinsoku/>
        <w:wordWrap/>
        <w:overflowPunct/>
        <w:topLinePunct w:val="0"/>
        <w:autoSpaceDE w:val="0"/>
        <w:autoSpaceDN w:val="0"/>
        <w:bidi w:val="0"/>
        <w:adjustRightInd w:val="0"/>
        <w:snapToGrid w:val="0"/>
        <w:spacing w:before="34" w:line="360" w:lineRule="auto"/>
        <w:ind w:left="3476"/>
        <w:textAlignment w:val="baseline"/>
        <w:rPr>
          <w:rFonts w:ascii="宋体" w:hAnsi="宋体" w:eastAsia="宋体" w:cs="宋体"/>
          <w:spacing w:val="-3"/>
          <w:sz w:val="24"/>
          <w:szCs w:val="24"/>
        </w:rPr>
      </w:pPr>
    </w:p>
    <w:p w14:paraId="165AEE2D">
      <w:pPr>
        <w:keepNext w:val="0"/>
        <w:keepLines w:val="0"/>
        <w:pageBreakBefore w:val="0"/>
        <w:widowControl/>
        <w:kinsoku/>
        <w:wordWrap/>
        <w:overflowPunct/>
        <w:topLinePunct w:val="0"/>
        <w:autoSpaceDE w:val="0"/>
        <w:autoSpaceDN w:val="0"/>
        <w:bidi w:val="0"/>
        <w:adjustRightInd w:val="0"/>
        <w:snapToGrid w:val="0"/>
        <w:spacing w:before="34" w:line="360" w:lineRule="auto"/>
        <w:ind w:left="3476"/>
        <w:textAlignment w:val="baseline"/>
        <w:rPr>
          <w:rFonts w:ascii="宋体" w:hAnsi="宋体" w:eastAsia="宋体" w:cs="宋体"/>
          <w:spacing w:val="-3"/>
          <w:sz w:val="24"/>
          <w:szCs w:val="24"/>
        </w:rPr>
      </w:pPr>
      <w:r>
        <w:rPr>
          <w:rFonts w:hint="eastAsia" w:ascii="宋体" w:hAnsi="宋体" w:eastAsia="宋体" w:cs="宋体"/>
          <w:spacing w:val="-3"/>
          <w:sz w:val="24"/>
          <w:szCs w:val="24"/>
          <w:lang w:val="en-US" w:eastAsia="zh-CN"/>
        </w:rPr>
        <w:t>供应商</w:t>
      </w:r>
      <w:r>
        <w:rPr>
          <w:rFonts w:hint="eastAsia" w:ascii="宋体" w:hAnsi="宋体" w:eastAsia="宋体" w:cs="宋体"/>
          <w:spacing w:val="-3"/>
          <w:sz w:val="24"/>
          <w:szCs w:val="24"/>
        </w:rPr>
        <w:t>名称</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lang w:val="en-US" w:eastAsia="zh-CN"/>
        </w:rPr>
        <w:t>公章</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rPr>
        <w:t>：</w:t>
      </w:r>
    </w:p>
    <w:p w14:paraId="5183E380">
      <w:pPr>
        <w:keepNext w:val="0"/>
        <w:keepLines w:val="0"/>
        <w:pageBreakBefore w:val="0"/>
        <w:widowControl/>
        <w:kinsoku/>
        <w:wordWrap/>
        <w:overflowPunct/>
        <w:topLinePunct w:val="0"/>
        <w:autoSpaceDE w:val="0"/>
        <w:autoSpaceDN w:val="0"/>
        <w:bidi w:val="0"/>
        <w:adjustRightInd w:val="0"/>
        <w:snapToGrid w:val="0"/>
        <w:spacing w:before="34" w:line="360" w:lineRule="auto"/>
        <w:ind w:left="3476"/>
        <w:textAlignment w:val="baseline"/>
        <w:rPr>
          <w:rFonts w:hint="default" w:ascii="宋体" w:hAnsi="宋体" w:eastAsia="宋体" w:cs="宋体"/>
          <w:spacing w:val="-3"/>
          <w:sz w:val="24"/>
          <w:szCs w:val="24"/>
          <w:lang w:val="en-US" w:eastAsia="zh-CN"/>
        </w:rPr>
      </w:pPr>
      <w:r>
        <w:rPr>
          <w:rFonts w:hint="eastAsia" w:ascii="宋体" w:hAnsi="宋体" w:eastAsia="宋体" w:cs="宋体"/>
          <w:spacing w:val="-3"/>
          <w:sz w:val="24"/>
          <w:szCs w:val="24"/>
        </w:rPr>
        <w:t>日期：</w:t>
      </w:r>
      <w:r>
        <w:rPr>
          <w:rFonts w:hint="eastAsia" w:ascii="宋体" w:hAnsi="宋体" w:eastAsia="宋体" w:cs="宋体"/>
          <w:spacing w:val="-3"/>
          <w:sz w:val="24"/>
          <w:szCs w:val="24"/>
          <w:lang w:val="en-US" w:eastAsia="zh-CN"/>
        </w:rPr>
        <w:t>年月日</w:t>
      </w:r>
    </w:p>
    <w:p w14:paraId="58DF512B">
      <w:pPr>
        <w:keepNext w:val="0"/>
        <w:keepLines w:val="0"/>
        <w:pageBreakBefore w:val="0"/>
        <w:kinsoku/>
        <w:wordWrap/>
        <w:overflowPunct/>
        <w:topLinePunct w:val="0"/>
        <w:bidi w:val="0"/>
        <w:spacing w:before="266" w:line="233" w:lineRule="auto"/>
        <w:ind w:left="11" w:right="78" w:hanging="2"/>
        <w:jc w:val="both"/>
        <w:rPr>
          <w:rFonts w:ascii="宋体" w:hAnsi="宋体" w:eastAsia="宋体" w:cs="宋体"/>
          <w:sz w:val="24"/>
          <w:szCs w:val="24"/>
        </w:rPr>
      </w:pPr>
      <w:r>
        <w:rPr>
          <w:rFonts w:ascii="宋体" w:hAnsi="宋体" w:eastAsia="宋体" w:cs="宋体"/>
          <w:spacing w:val="-11"/>
          <w:sz w:val="24"/>
          <w:szCs w:val="24"/>
        </w:rPr>
        <w:t>注：享受《政府采购促进中小企业发展管理办法》(财库〔2020〕46号)规</w:t>
      </w:r>
      <w:r>
        <w:rPr>
          <w:rFonts w:ascii="宋体" w:hAnsi="宋体" w:eastAsia="宋体" w:cs="宋体"/>
          <w:spacing w:val="-12"/>
          <w:sz w:val="24"/>
          <w:szCs w:val="24"/>
        </w:rPr>
        <w:t>定的中小企业扶</w:t>
      </w:r>
      <w:r>
        <w:rPr>
          <w:rFonts w:ascii="宋体" w:hAnsi="宋体" w:eastAsia="宋体" w:cs="宋体"/>
          <w:spacing w:val="-13"/>
          <w:sz w:val="24"/>
          <w:szCs w:val="24"/>
        </w:rPr>
        <w:t>持政策的，采购人、采购代理机构应当随成交结果公开成交供应商的《中小企业声明函</w:t>
      </w:r>
      <w:r>
        <w:rPr>
          <w:rFonts w:ascii="宋体" w:hAnsi="宋体" w:eastAsia="宋体" w:cs="宋体"/>
          <w:spacing w:val="-14"/>
          <w:sz w:val="24"/>
          <w:szCs w:val="24"/>
        </w:rPr>
        <w:t>》。</w:t>
      </w:r>
      <w:r>
        <w:rPr>
          <w:rFonts w:ascii="宋体" w:hAnsi="宋体" w:eastAsia="宋体" w:cs="宋体"/>
          <w:spacing w:val="-13"/>
          <w:sz w:val="24"/>
          <w:szCs w:val="24"/>
        </w:rPr>
        <w:t>从业人员、营业收入、资产总额填报上一年度数据，无上一年度数据</w:t>
      </w:r>
      <w:r>
        <w:rPr>
          <w:rFonts w:ascii="宋体" w:hAnsi="宋体" w:eastAsia="宋体" w:cs="宋体"/>
          <w:spacing w:val="-14"/>
          <w:sz w:val="24"/>
          <w:szCs w:val="24"/>
        </w:rPr>
        <w:t>的新成立企业可不填报</w:t>
      </w:r>
    </w:p>
    <w:p w14:paraId="5139FC39">
      <w:pPr>
        <w:keepNext w:val="0"/>
        <w:keepLines w:val="0"/>
        <w:pageBreakBefore w:val="0"/>
        <w:kinsoku/>
        <w:wordWrap/>
        <w:overflowPunct/>
        <w:topLinePunct w:val="0"/>
        <w:bidi w:val="0"/>
        <w:spacing w:line="233" w:lineRule="auto"/>
        <w:rPr>
          <w:rFonts w:ascii="宋体" w:hAnsi="宋体" w:eastAsia="宋体" w:cs="宋体"/>
          <w:sz w:val="24"/>
          <w:szCs w:val="24"/>
        </w:rPr>
        <w:sectPr>
          <w:footerReference r:id="rId28" w:type="default"/>
          <w:pgSz w:w="11906" w:h="16839"/>
          <w:pgMar w:top="1440" w:right="1080" w:bottom="1440" w:left="1080" w:header="0" w:footer="994" w:gutter="0"/>
          <w:pgNumType w:fmt="decimal"/>
          <w:cols w:space="720" w:num="1"/>
        </w:sectPr>
      </w:pPr>
    </w:p>
    <w:p w14:paraId="74A6F074">
      <w:pPr>
        <w:pStyle w:val="7"/>
        <w:keepNext w:val="0"/>
        <w:keepLines w:val="0"/>
        <w:pageBreakBefore w:val="0"/>
        <w:kinsoku/>
        <w:wordWrap/>
        <w:overflowPunct/>
        <w:topLinePunct w:val="0"/>
        <w:bidi w:val="0"/>
        <w:spacing w:line="249" w:lineRule="auto"/>
      </w:pPr>
    </w:p>
    <w:p w14:paraId="684324FD">
      <w:pPr>
        <w:keepNext w:val="0"/>
        <w:keepLines w:val="0"/>
        <w:pageBreakBefore w:val="0"/>
        <w:kinsoku/>
        <w:wordWrap/>
        <w:overflowPunct/>
        <w:topLinePunct w:val="0"/>
        <w:bidi w:val="0"/>
        <w:spacing w:before="78" w:line="219" w:lineRule="auto"/>
        <w:ind w:left="2915"/>
        <w:rPr>
          <w:rFonts w:ascii="宋体" w:hAnsi="宋体" w:eastAsia="宋体" w:cs="宋体"/>
          <w:sz w:val="24"/>
          <w:szCs w:val="24"/>
        </w:rPr>
      </w:pPr>
      <w:r>
        <w:rPr>
          <w:rFonts w:ascii="宋体" w:hAnsi="宋体" w:eastAsia="宋体" w:cs="宋体"/>
          <w:b/>
          <w:bCs/>
          <w:spacing w:val="-4"/>
          <w:sz w:val="24"/>
          <w:szCs w:val="24"/>
        </w:rPr>
        <w:t>中小企业生产或销售的产品优惠明细表</w:t>
      </w:r>
    </w:p>
    <w:p w14:paraId="7E38606E">
      <w:pPr>
        <w:pStyle w:val="7"/>
        <w:keepNext w:val="0"/>
        <w:keepLines w:val="0"/>
        <w:pageBreakBefore w:val="0"/>
        <w:kinsoku/>
        <w:wordWrap/>
        <w:overflowPunct/>
        <w:topLinePunct w:val="0"/>
        <w:bidi w:val="0"/>
        <w:spacing w:line="259" w:lineRule="auto"/>
      </w:pPr>
    </w:p>
    <w:p w14:paraId="0D375526">
      <w:pPr>
        <w:keepNext w:val="0"/>
        <w:keepLines w:val="0"/>
        <w:pageBreakBefore w:val="0"/>
        <w:kinsoku/>
        <w:wordWrap/>
        <w:overflowPunct/>
        <w:topLinePunct w:val="0"/>
        <w:bidi w:val="0"/>
        <w:spacing w:before="78" w:line="220" w:lineRule="auto"/>
        <w:ind w:left="3751"/>
        <w:rPr>
          <w:rFonts w:ascii="宋体" w:hAnsi="宋体" w:eastAsia="宋体" w:cs="宋体"/>
          <w:sz w:val="24"/>
          <w:szCs w:val="24"/>
        </w:rPr>
      </w:pPr>
      <w:r>
        <w:rPr>
          <w:rFonts w:ascii="宋体" w:hAnsi="宋体" w:eastAsia="宋体" w:cs="宋体"/>
          <w:spacing w:val="-3"/>
          <w:sz w:val="24"/>
          <w:szCs w:val="24"/>
        </w:rPr>
        <w:t>（若有，请如实填写）</w:t>
      </w:r>
    </w:p>
    <w:p w14:paraId="605DE625">
      <w:pPr>
        <w:keepNext w:val="0"/>
        <w:keepLines w:val="0"/>
        <w:pageBreakBefore w:val="0"/>
        <w:kinsoku/>
        <w:wordWrap/>
        <w:overflowPunct/>
        <w:topLinePunct w:val="0"/>
        <w:bidi w:val="0"/>
        <w:spacing w:before="136" w:line="218" w:lineRule="auto"/>
        <w:ind w:left="6402"/>
        <w:rPr>
          <w:rFonts w:ascii="宋体" w:hAnsi="宋体" w:eastAsia="宋体" w:cs="宋体"/>
          <w:sz w:val="24"/>
          <w:szCs w:val="24"/>
        </w:rPr>
      </w:pPr>
      <w:r>
        <w:rPr>
          <w:rFonts w:ascii="宋体" w:hAnsi="宋体" w:eastAsia="宋体" w:cs="宋体"/>
          <w:spacing w:val="-2"/>
          <w:sz w:val="24"/>
          <w:szCs w:val="24"/>
        </w:rPr>
        <w:t>报价货币种类：</w:t>
      </w:r>
    </w:p>
    <w:p w14:paraId="74C6E2ED">
      <w:pPr>
        <w:keepNext w:val="0"/>
        <w:keepLines w:val="0"/>
        <w:pageBreakBefore w:val="0"/>
        <w:kinsoku/>
        <w:wordWrap/>
        <w:overflowPunct/>
        <w:topLinePunct w:val="0"/>
        <w:bidi w:val="0"/>
        <w:spacing w:line="107" w:lineRule="auto"/>
        <w:rPr>
          <w:rFonts w:ascii="Arial"/>
          <w:sz w:val="2"/>
        </w:rPr>
      </w:pPr>
    </w:p>
    <w:tbl>
      <w:tblPr>
        <w:tblStyle w:val="15"/>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1"/>
        <w:gridCol w:w="2011"/>
        <w:gridCol w:w="1122"/>
        <w:gridCol w:w="1050"/>
        <w:gridCol w:w="1347"/>
        <w:gridCol w:w="1347"/>
        <w:gridCol w:w="1770"/>
      </w:tblGrid>
      <w:tr w14:paraId="6078F5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211" w:type="dxa"/>
            <w:vAlign w:val="top"/>
          </w:tcPr>
          <w:p w14:paraId="3F22811F">
            <w:pPr>
              <w:keepNext w:val="0"/>
              <w:keepLines w:val="0"/>
              <w:pageBreakBefore w:val="0"/>
              <w:kinsoku/>
              <w:wordWrap/>
              <w:overflowPunct/>
              <w:topLinePunct w:val="0"/>
              <w:bidi w:val="0"/>
              <w:spacing w:line="301" w:lineRule="auto"/>
              <w:rPr>
                <w:rFonts w:ascii="Arial"/>
                <w:sz w:val="21"/>
              </w:rPr>
            </w:pPr>
          </w:p>
          <w:p w14:paraId="438333D6">
            <w:pPr>
              <w:pStyle w:val="16"/>
              <w:keepNext w:val="0"/>
              <w:keepLines w:val="0"/>
              <w:pageBreakBefore w:val="0"/>
              <w:kinsoku/>
              <w:wordWrap/>
              <w:overflowPunct/>
              <w:topLinePunct w:val="0"/>
              <w:bidi w:val="0"/>
              <w:spacing w:before="78" w:line="184" w:lineRule="auto"/>
              <w:ind w:left="570"/>
              <w:rPr>
                <w:sz w:val="24"/>
                <w:szCs w:val="24"/>
              </w:rPr>
            </w:pPr>
            <w:r>
              <w:rPr>
                <w:sz w:val="24"/>
                <w:szCs w:val="24"/>
              </w:rPr>
              <w:t>1</w:t>
            </w:r>
          </w:p>
        </w:tc>
        <w:tc>
          <w:tcPr>
            <w:tcW w:w="2011" w:type="dxa"/>
            <w:vAlign w:val="top"/>
          </w:tcPr>
          <w:p w14:paraId="731BE4A3">
            <w:pPr>
              <w:keepNext w:val="0"/>
              <w:keepLines w:val="0"/>
              <w:pageBreakBefore w:val="0"/>
              <w:kinsoku/>
              <w:wordWrap/>
              <w:overflowPunct/>
              <w:topLinePunct w:val="0"/>
              <w:bidi w:val="0"/>
              <w:spacing w:line="302" w:lineRule="auto"/>
              <w:rPr>
                <w:rFonts w:ascii="Arial"/>
                <w:sz w:val="21"/>
              </w:rPr>
            </w:pPr>
          </w:p>
          <w:p w14:paraId="26CE459C">
            <w:pPr>
              <w:pStyle w:val="16"/>
              <w:keepNext w:val="0"/>
              <w:keepLines w:val="0"/>
              <w:pageBreakBefore w:val="0"/>
              <w:kinsoku/>
              <w:wordWrap/>
              <w:overflowPunct/>
              <w:topLinePunct w:val="0"/>
              <w:bidi w:val="0"/>
              <w:spacing w:before="78" w:line="183" w:lineRule="auto"/>
              <w:ind w:left="955"/>
              <w:rPr>
                <w:sz w:val="24"/>
                <w:szCs w:val="24"/>
              </w:rPr>
            </w:pPr>
            <w:r>
              <w:rPr>
                <w:sz w:val="24"/>
                <w:szCs w:val="24"/>
              </w:rPr>
              <w:t>2</w:t>
            </w:r>
          </w:p>
        </w:tc>
        <w:tc>
          <w:tcPr>
            <w:tcW w:w="1122" w:type="dxa"/>
            <w:vAlign w:val="top"/>
          </w:tcPr>
          <w:p w14:paraId="2E06CD37">
            <w:pPr>
              <w:keepNext w:val="0"/>
              <w:keepLines w:val="0"/>
              <w:pageBreakBefore w:val="0"/>
              <w:kinsoku/>
              <w:wordWrap/>
              <w:overflowPunct/>
              <w:topLinePunct w:val="0"/>
              <w:bidi w:val="0"/>
              <w:spacing w:line="302" w:lineRule="auto"/>
              <w:rPr>
                <w:rFonts w:ascii="Arial"/>
                <w:sz w:val="21"/>
              </w:rPr>
            </w:pPr>
          </w:p>
          <w:p w14:paraId="5B0EBAB7">
            <w:pPr>
              <w:pStyle w:val="16"/>
              <w:keepNext w:val="0"/>
              <w:keepLines w:val="0"/>
              <w:pageBreakBefore w:val="0"/>
              <w:kinsoku/>
              <w:wordWrap/>
              <w:overflowPunct/>
              <w:topLinePunct w:val="0"/>
              <w:bidi w:val="0"/>
              <w:spacing w:before="78" w:line="183" w:lineRule="auto"/>
              <w:ind w:left="510"/>
              <w:rPr>
                <w:sz w:val="24"/>
                <w:szCs w:val="24"/>
              </w:rPr>
            </w:pPr>
            <w:r>
              <w:rPr>
                <w:sz w:val="24"/>
                <w:szCs w:val="24"/>
              </w:rPr>
              <w:t>3</w:t>
            </w:r>
          </w:p>
        </w:tc>
        <w:tc>
          <w:tcPr>
            <w:tcW w:w="1050" w:type="dxa"/>
            <w:vAlign w:val="top"/>
          </w:tcPr>
          <w:p w14:paraId="21BD2ACE">
            <w:pPr>
              <w:keepNext w:val="0"/>
              <w:keepLines w:val="0"/>
              <w:pageBreakBefore w:val="0"/>
              <w:kinsoku/>
              <w:wordWrap/>
              <w:overflowPunct/>
              <w:topLinePunct w:val="0"/>
              <w:bidi w:val="0"/>
              <w:spacing w:line="302" w:lineRule="auto"/>
              <w:rPr>
                <w:rFonts w:ascii="Arial"/>
                <w:sz w:val="21"/>
              </w:rPr>
            </w:pPr>
          </w:p>
          <w:p w14:paraId="14276978">
            <w:pPr>
              <w:pStyle w:val="16"/>
              <w:keepNext w:val="0"/>
              <w:keepLines w:val="0"/>
              <w:pageBreakBefore w:val="0"/>
              <w:kinsoku/>
              <w:wordWrap/>
              <w:overflowPunct/>
              <w:topLinePunct w:val="0"/>
              <w:bidi w:val="0"/>
              <w:spacing w:before="78" w:line="183" w:lineRule="auto"/>
              <w:ind w:left="470"/>
              <w:rPr>
                <w:sz w:val="24"/>
                <w:szCs w:val="24"/>
              </w:rPr>
            </w:pPr>
            <w:r>
              <w:rPr>
                <w:sz w:val="24"/>
                <w:szCs w:val="24"/>
              </w:rPr>
              <w:t>4</w:t>
            </w:r>
          </w:p>
        </w:tc>
        <w:tc>
          <w:tcPr>
            <w:tcW w:w="1347" w:type="dxa"/>
            <w:vAlign w:val="top"/>
          </w:tcPr>
          <w:p w14:paraId="7B209F06">
            <w:pPr>
              <w:keepNext w:val="0"/>
              <w:keepLines w:val="0"/>
              <w:pageBreakBefore w:val="0"/>
              <w:kinsoku/>
              <w:wordWrap/>
              <w:overflowPunct/>
              <w:topLinePunct w:val="0"/>
              <w:bidi w:val="0"/>
              <w:spacing w:line="304" w:lineRule="auto"/>
              <w:rPr>
                <w:rFonts w:ascii="Arial"/>
                <w:sz w:val="21"/>
              </w:rPr>
            </w:pPr>
          </w:p>
          <w:p w14:paraId="4D661465">
            <w:pPr>
              <w:pStyle w:val="16"/>
              <w:keepNext w:val="0"/>
              <w:keepLines w:val="0"/>
              <w:pageBreakBefore w:val="0"/>
              <w:kinsoku/>
              <w:wordWrap/>
              <w:overflowPunct/>
              <w:topLinePunct w:val="0"/>
              <w:bidi w:val="0"/>
              <w:spacing w:before="78" w:line="182" w:lineRule="auto"/>
              <w:ind w:left="625"/>
              <w:rPr>
                <w:sz w:val="24"/>
                <w:szCs w:val="24"/>
              </w:rPr>
            </w:pPr>
            <w:r>
              <w:rPr>
                <w:sz w:val="24"/>
                <w:szCs w:val="24"/>
              </w:rPr>
              <w:t>5</w:t>
            </w:r>
          </w:p>
        </w:tc>
        <w:tc>
          <w:tcPr>
            <w:tcW w:w="1347" w:type="dxa"/>
            <w:vAlign w:val="top"/>
          </w:tcPr>
          <w:p w14:paraId="6A5119DD">
            <w:pPr>
              <w:keepNext w:val="0"/>
              <w:keepLines w:val="0"/>
              <w:pageBreakBefore w:val="0"/>
              <w:kinsoku/>
              <w:wordWrap/>
              <w:overflowPunct/>
              <w:topLinePunct w:val="0"/>
              <w:bidi w:val="0"/>
              <w:spacing w:line="302" w:lineRule="auto"/>
              <w:rPr>
                <w:rFonts w:ascii="Arial"/>
                <w:sz w:val="21"/>
              </w:rPr>
            </w:pPr>
          </w:p>
          <w:p w14:paraId="6E5B77C9">
            <w:pPr>
              <w:pStyle w:val="16"/>
              <w:keepNext w:val="0"/>
              <w:keepLines w:val="0"/>
              <w:pageBreakBefore w:val="0"/>
              <w:kinsoku/>
              <w:wordWrap/>
              <w:overflowPunct/>
              <w:topLinePunct w:val="0"/>
              <w:bidi w:val="0"/>
              <w:spacing w:before="78" w:line="183" w:lineRule="auto"/>
              <w:ind w:left="624"/>
              <w:rPr>
                <w:sz w:val="24"/>
                <w:szCs w:val="24"/>
              </w:rPr>
            </w:pPr>
            <w:r>
              <w:rPr>
                <w:sz w:val="24"/>
                <w:szCs w:val="24"/>
              </w:rPr>
              <w:t>6</w:t>
            </w:r>
          </w:p>
        </w:tc>
        <w:tc>
          <w:tcPr>
            <w:tcW w:w="1770" w:type="dxa"/>
            <w:vAlign w:val="top"/>
          </w:tcPr>
          <w:p w14:paraId="78054136">
            <w:pPr>
              <w:keepNext w:val="0"/>
              <w:keepLines w:val="0"/>
              <w:pageBreakBefore w:val="0"/>
              <w:kinsoku/>
              <w:wordWrap/>
              <w:overflowPunct/>
              <w:topLinePunct w:val="0"/>
              <w:bidi w:val="0"/>
              <w:spacing w:line="304" w:lineRule="auto"/>
              <w:rPr>
                <w:rFonts w:ascii="Arial"/>
                <w:sz w:val="21"/>
              </w:rPr>
            </w:pPr>
          </w:p>
          <w:p w14:paraId="77558A08">
            <w:pPr>
              <w:pStyle w:val="16"/>
              <w:keepNext w:val="0"/>
              <w:keepLines w:val="0"/>
              <w:pageBreakBefore w:val="0"/>
              <w:kinsoku/>
              <w:wordWrap/>
              <w:overflowPunct/>
              <w:topLinePunct w:val="0"/>
              <w:bidi w:val="0"/>
              <w:spacing w:before="78" w:line="182" w:lineRule="auto"/>
              <w:ind w:left="836"/>
              <w:rPr>
                <w:sz w:val="24"/>
                <w:szCs w:val="24"/>
              </w:rPr>
            </w:pPr>
            <w:r>
              <w:rPr>
                <w:sz w:val="24"/>
                <w:szCs w:val="24"/>
              </w:rPr>
              <w:t>7</w:t>
            </w:r>
          </w:p>
        </w:tc>
      </w:tr>
      <w:tr w14:paraId="642E54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211" w:type="dxa"/>
            <w:tcBorders>
              <w:bottom w:val="single" w:color="000000" w:sz="4" w:space="0"/>
            </w:tcBorders>
            <w:vAlign w:val="top"/>
          </w:tcPr>
          <w:p w14:paraId="7D456935">
            <w:pPr>
              <w:keepNext w:val="0"/>
              <w:keepLines w:val="0"/>
              <w:pageBreakBefore w:val="0"/>
              <w:kinsoku/>
              <w:wordWrap/>
              <w:overflowPunct/>
              <w:topLinePunct w:val="0"/>
              <w:bidi w:val="0"/>
              <w:spacing w:line="404" w:lineRule="auto"/>
              <w:rPr>
                <w:rFonts w:ascii="Arial"/>
                <w:sz w:val="21"/>
              </w:rPr>
            </w:pPr>
          </w:p>
          <w:p w14:paraId="7F153264">
            <w:pPr>
              <w:pStyle w:val="16"/>
              <w:keepNext w:val="0"/>
              <w:keepLines w:val="0"/>
              <w:pageBreakBefore w:val="0"/>
              <w:kinsoku/>
              <w:wordWrap/>
              <w:overflowPunct/>
              <w:topLinePunct w:val="0"/>
              <w:bidi w:val="0"/>
              <w:spacing w:before="78" w:line="220" w:lineRule="auto"/>
              <w:jc w:val="right"/>
              <w:rPr>
                <w:sz w:val="24"/>
                <w:szCs w:val="24"/>
              </w:rPr>
            </w:pPr>
            <w:r>
              <w:rPr>
                <w:spacing w:val="-24"/>
                <w:sz w:val="24"/>
                <w:szCs w:val="24"/>
              </w:rPr>
              <w:t>标段（包）</w:t>
            </w:r>
          </w:p>
        </w:tc>
        <w:tc>
          <w:tcPr>
            <w:tcW w:w="2011" w:type="dxa"/>
            <w:vAlign w:val="top"/>
          </w:tcPr>
          <w:p w14:paraId="4BCC1790">
            <w:pPr>
              <w:pStyle w:val="16"/>
              <w:keepNext w:val="0"/>
              <w:keepLines w:val="0"/>
              <w:pageBreakBefore w:val="0"/>
              <w:kinsoku/>
              <w:wordWrap/>
              <w:overflowPunct/>
              <w:topLinePunct w:val="0"/>
              <w:bidi w:val="0"/>
              <w:spacing w:before="296" w:line="278" w:lineRule="auto"/>
              <w:ind w:left="531" w:right="163" w:hanging="353"/>
              <w:rPr>
                <w:sz w:val="24"/>
                <w:szCs w:val="24"/>
              </w:rPr>
            </w:pPr>
            <w:r>
              <w:rPr>
                <w:spacing w:val="-3"/>
                <w:sz w:val="24"/>
                <w:szCs w:val="24"/>
              </w:rPr>
              <w:t>小型和微型企业产品名称</w:t>
            </w:r>
          </w:p>
        </w:tc>
        <w:tc>
          <w:tcPr>
            <w:tcW w:w="1122" w:type="dxa"/>
            <w:vAlign w:val="top"/>
          </w:tcPr>
          <w:p w14:paraId="505B4656">
            <w:pPr>
              <w:keepNext w:val="0"/>
              <w:keepLines w:val="0"/>
              <w:pageBreakBefore w:val="0"/>
              <w:kinsoku/>
              <w:wordWrap/>
              <w:overflowPunct/>
              <w:topLinePunct w:val="0"/>
              <w:bidi w:val="0"/>
              <w:spacing w:line="405" w:lineRule="auto"/>
              <w:rPr>
                <w:rFonts w:ascii="Arial"/>
                <w:sz w:val="21"/>
              </w:rPr>
            </w:pPr>
          </w:p>
          <w:p w14:paraId="5ED39FA8">
            <w:pPr>
              <w:pStyle w:val="16"/>
              <w:keepNext w:val="0"/>
              <w:keepLines w:val="0"/>
              <w:pageBreakBefore w:val="0"/>
              <w:kinsoku/>
              <w:wordWrap/>
              <w:overflowPunct/>
              <w:topLinePunct w:val="0"/>
              <w:bidi w:val="0"/>
              <w:spacing w:before="78" w:line="219" w:lineRule="auto"/>
              <w:ind w:left="327"/>
              <w:rPr>
                <w:sz w:val="24"/>
                <w:szCs w:val="24"/>
              </w:rPr>
            </w:pPr>
            <w:r>
              <w:rPr>
                <w:spacing w:val="-6"/>
                <w:sz w:val="24"/>
                <w:szCs w:val="24"/>
              </w:rPr>
              <w:t>数量</w:t>
            </w:r>
          </w:p>
        </w:tc>
        <w:tc>
          <w:tcPr>
            <w:tcW w:w="1050" w:type="dxa"/>
            <w:vAlign w:val="top"/>
          </w:tcPr>
          <w:p w14:paraId="2A6592FB">
            <w:pPr>
              <w:pStyle w:val="16"/>
              <w:keepNext w:val="0"/>
              <w:keepLines w:val="0"/>
              <w:pageBreakBefore w:val="0"/>
              <w:kinsoku/>
              <w:wordWrap/>
              <w:overflowPunct/>
              <w:topLinePunct w:val="0"/>
              <w:bidi w:val="0"/>
              <w:spacing w:before="295" w:line="279" w:lineRule="auto"/>
              <w:ind w:left="182" w:right="184" w:firstLine="106"/>
              <w:rPr>
                <w:sz w:val="24"/>
                <w:szCs w:val="24"/>
              </w:rPr>
            </w:pPr>
            <w:r>
              <w:rPr>
                <w:spacing w:val="-4"/>
                <w:sz w:val="24"/>
                <w:szCs w:val="24"/>
              </w:rPr>
              <w:t>报价</w:t>
            </w:r>
            <w:r>
              <w:rPr>
                <w:spacing w:val="-14"/>
                <w:sz w:val="24"/>
                <w:szCs w:val="24"/>
              </w:rPr>
              <w:t>（元）</w:t>
            </w:r>
          </w:p>
        </w:tc>
        <w:tc>
          <w:tcPr>
            <w:tcW w:w="1347" w:type="dxa"/>
            <w:vAlign w:val="top"/>
          </w:tcPr>
          <w:p w14:paraId="5B12620E">
            <w:pPr>
              <w:pStyle w:val="16"/>
              <w:keepNext w:val="0"/>
              <w:keepLines w:val="0"/>
              <w:pageBreakBefore w:val="0"/>
              <w:kinsoku/>
              <w:wordWrap/>
              <w:overflowPunct/>
              <w:topLinePunct w:val="0"/>
              <w:bidi w:val="0"/>
              <w:spacing w:before="104" w:line="264" w:lineRule="auto"/>
              <w:ind w:left="204" w:right="190" w:hanging="2"/>
              <w:jc w:val="both"/>
              <w:rPr>
                <w:sz w:val="24"/>
                <w:szCs w:val="24"/>
              </w:rPr>
            </w:pPr>
            <w:r>
              <w:rPr>
                <w:spacing w:val="-3"/>
                <w:sz w:val="24"/>
                <w:szCs w:val="24"/>
              </w:rPr>
              <w:t>价格评审</w:t>
            </w:r>
            <w:r>
              <w:rPr>
                <w:spacing w:val="-4"/>
                <w:sz w:val="24"/>
                <w:szCs w:val="24"/>
              </w:rPr>
              <w:t>扣除金额</w:t>
            </w:r>
            <w:r>
              <w:rPr>
                <w:spacing w:val="35"/>
                <w:sz w:val="24"/>
                <w:szCs w:val="24"/>
              </w:rPr>
              <w:t>（元）</w:t>
            </w:r>
          </w:p>
        </w:tc>
        <w:tc>
          <w:tcPr>
            <w:tcW w:w="1347" w:type="dxa"/>
            <w:vAlign w:val="top"/>
          </w:tcPr>
          <w:p w14:paraId="0853A044">
            <w:pPr>
              <w:pStyle w:val="16"/>
              <w:keepNext w:val="0"/>
              <w:keepLines w:val="0"/>
              <w:pageBreakBefore w:val="0"/>
              <w:kinsoku/>
              <w:wordWrap/>
              <w:overflowPunct/>
              <w:topLinePunct w:val="0"/>
              <w:bidi w:val="0"/>
              <w:spacing w:before="296" w:line="278" w:lineRule="auto"/>
              <w:ind w:left="443" w:right="188" w:hanging="221"/>
              <w:rPr>
                <w:sz w:val="24"/>
                <w:szCs w:val="24"/>
              </w:rPr>
            </w:pPr>
            <w:r>
              <w:rPr>
                <w:spacing w:val="-8"/>
                <w:sz w:val="24"/>
                <w:szCs w:val="24"/>
              </w:rPr>
              <w:t>品牌型号</w:t>
            </w:r>
            <w:r>
              <w:rPr>
                <w:spacing w:val="-6"/>
                <w:sz w:val="24"/>
                <w:szCs w:val="24"/>
              </w:rPr>
              <w:t>规格</w:t>
            </w:r>
          </w:p>
        </w:tc>
        <w:tc>
          <w:tcPr>
            <w:tcW w:w="1770" w:type="dxa"/>
            <w:vAlign w:val="top"/>
          </w:tcPr>
          <w:p w14:paraId="56BA3F2E">
            <w:pPr>
              <w:pStyle w:val="16"/>
              <w:keepNext w:val="0"/>
              <w:keepLines w:val="0"/>
              <w:pageBreakBefore w:val="0"/>
              <w:kinsoku/>
              <w:wordWrap/>
              <w:overflowPunct/>
              <w:topLinePunct w:val="0"/>
              <w:bidi w:val="0"/>
              <w:spacing w:before="296" w:line="279" w:lineRule="auto"/>
              <w:ind w:left="651" w:right="523" w:hanging="119"/>
              <w:rPr>
                <w:sz w:val="24"/>
                <w:szCs w:val="24"/>
              </w:rPr>
            </w:pPr>
            <w:r>
              <w:rPr>
                <w:spacing w:val="-4"/>
                <w:sz w:val="24"/>
                <w:szCs w:val="24"/>
              </w:rPr>
              <w:t>制造商</w:t>
            </w:r>
            <w:r>
              <w:rPr>
                <w:spacing w:val="-5"/>
                <w:sz w:val="24"/>
                <w:szCs w:val="24"/>
              </w:rPr>
              <w:t>全称</w:t>
            </w:r>
          </w:p>
        </w:tc>
      </w:tr>
      <w:tr w14:paraId="7EC456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1211" w:type="dxa"/>
            <w:tcBorders>
              <w:top w:val="single" w:color="000000" w:sz="4" w:space="0"/>
              <w:bottom w:val="single" w:color="000000" w:sz="4" w:space="0"/>
            </w:tcBorders>
            <w:vAlign w:val="top"/>
          </w:tcPr>
          <w:p w14:paraId="329EC0BE">
            <w:pPr>
              <w:keepNext w:val="0"/>
              <w:keepLines w:val="0"/>
              <w:pageBreakBefore w:val="0"/>
              <w:kinsoku/>
              <w:wordWrap/>
              <w:overflowPunct/>
              <w:topLinePunct w:val="0"/>
              <w:bidi w:val="0"/>
              <w:rPr>
                <w:rFonts w:ascii="Arial"/>
                <w:sz w:val="21"/>
              </w:rPr>
            </w:pPr>
          </w:p>
        </w:tc>
        <w:tc>
          <w:tcPr>
            <w:tcW w:w="2011" w:type="dxa"/>
            <w:vAlign w:val="top"/>
          </w:tcPr>
          <w:p w14:paraId="6653A042">
            <w:pPr>
              <w:keepNext w:val="0"/>
              <w:keepLines w:val="0"/>
              <w:pageBreakBefore w:val="0"/>
              <w:kinsoku/>
              <w:wordWrap/>
              <w:overflowPunct/>
              <w:topLinePunct w:val="0"/>
              <w:bidi w:val="0"/>
              <w:rPr>
                <w:rFonts w:ascii="Arial"/>
                <w:sz w:val="21"/>
              </w:rPr>
            </w:pPr>
          </w:p>
        </w:tc>
        <w:tc>
          <w:tcPr>
            <w:tcW w:w="1122" w:type="dxa"/>
            <w:vAlign w:val="top"/>
          </w:tcPr>
          <w:p w14:paraId="4AB3B2F7">
            <w:pPr>
              <w:keepNext w:val="0"/>
              <w:keepLines w:val="0"/>
              <w:pageBreakBefore w:val="0"/>
              <w:kinsoku/>
              <w:wordWrap/>
              <w:overflowPunct/>
              <w:topLinePunct w:val="0"/>
              <w:bidi w:val="0"/>
              <w:rPr>
                <w:rFonts w:ascii="Arial"/>
                <w:sz w:val="21"/>
              </w:rPr>
            </w:pPr>
          </w:p>
        </w:tc>
        <w:tc>
          <w:tcPr>
            <w:tcW w:w="1050" w:type="dxa"/>
            <w:vAlign w:val="top"/>
          </w:tcPr>
          <w:p w14:paraId="5F351842">
            <w:pPr>
              <w:keepNext w:val="0"/>
              <w:keepLines w:val="0"/>
              <w:pageBreakBefore w:val="0"/>
              <w:kinsoku/>
              <w:wordWrap/>
              <w:overflowPunct/>
              <w:topLinePunct w:val="0"/>
              <w:bidi w:val="0"/>
              <w:rPr>
                <w:rFonts w:ascii="Arial"/>
                <w:sz w:val="21"/>
              </w:rPr>
            </w:pPr>
          </w:p>
        </w:tc>
        <w:tc>
          <w:tcPr>
            <w:tcW w:w="1347" w:type="dxa"/>
            <w:vAlign w:val="top"/>
          </w:tcPr>
          <w:p w14:paraId="3BC5861C">
            <w:pPr>
              <w:keepNext w:val="0"/>
              <w:keepLines w:val="0"/>
              <w:pageBreakBefore w:val="0"/>
              <w:kinsoku/>
              <w:wordWrap/>
              <w:overflowPunct/>
              <w:topLinePunct w:val="0"/>
              <w:bidi w:val="0"/>
              <w:rPr>
                <w:rFonts w:ascii="Arial"/>
                <w:sz w:val="21"/>
              </w:rPr>
            </w:pPr>
          </w:p>
        </w:tc>
        <w:tc>
          <w:tcPr>
            <w:tcW w:w="1347" w:type="dxa"/>
            <w:vAlign w:val="top"/>
          </w:tcPr>
          <w:p w14:paraId="6ADD64C3">
            <w:pPr>
              <w:keepNext w:val="0"/>
              <w:keepLines w:val="0"/>
              <w:pageBreakBefore w:val="0"/>
              <w:kinsoku/>
              <w:wordWrap/>
              <w:overflowPunct/>
              <w:topLinePunct w:val="0"/>
              <w:bidi w:val="0"/>
              <w:rPr>
                <w:rFonts w:ascii="Arial"/>
                <w:sz w:val="21"/>
              </w:rPr>
            </w:pPr>
          </w:p>
        </w:tc>
        <w:tc>
          <w:tcPr>
            <w:tcW w:w="1770" w:type="dxa"/>
            <w:vAlign w:val="top"/>
          </w:tcPr>
          <w:p w14:paraId="5D73951A">
            <w:pPr>
              <w:keepNext w:val="0"/>
              <w:keepLines w:val="0"/>
              <w:pageBreakBefore w:val="0"/>
              <w:kinsoku/>
              <w:wordWrap/>
              <w:overflowPunct/>
              <w:topLinePunct w:val="0"/>
              <w:bidi w:val="0"/>
              <w:rPr>
                <w:rFonts w:ascii="Arial"/>
                <w:sz w:val="21"/>
              </w:rPr>
            </w:pPr>
          </w:p>
        </w:tc>
      </w:tr>
      <w:tr w14:paraId="4A2EF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1211" w:type="dxa"/>
            <w:tcBorders>
              <w:top w:val="single" w:color="000000" w:sz="4" w:space="0"/>
              <w:bottom w:val="single" w:color="000000" w:sz="4" w:space="0"/>
            </w:tcBorders>
            <w:vAlign w:val="top"/>
          </w:tcPr>
          <w:p w14:paraId="5ACD7E38">
            <w:pPr>
              <w:keepNext w:val="0"/>
              <w:keepLines w:val="0"/>
              <w:pageBreakBefore w:val="0"/>
              <w:kinsoku/>
              <w:wordWrap/>
              <w:overflowPunct/>
              <w:topLinePunct w:val="0"/>
              <w:bidi w:val="0"/>
              <w:rPr>
                <w:rFonts w:ascii="Arial"/>
                <w:sz w:val="21"/>
              </w:rPr>
            </w:pPr>
          </w:p>
        </w:tc>
        <w:tc>
          <w:tcPr>
            <w:tcW w:w="2011" w:type="dxa"/>
            <w:vAlign w:val="top"/>
          </w:tcPr>
          <w:p w14:paraId="12365FA8">
            <w:pPr>
              <w:keepNext w:val="0"/>
              <w:keepLines w:val="0"/>
              <w:pageBreakBefore w:val="0"/>
              <w:kinsoku/>
              <w:wordWrap/>
              <w:overflowPunct/>
              <w:topLinePunct w:val="0"/>
              <w:bidi w:val="0"/>
              <w:rPr>
                <w:rFonts w:ascii="Arial"/>
                <w:sz w:val="21"/>
              </w:rPr>
            </w:pPr>
          </w:p>
        </w:tc>
        <w:tc>
          <w:tcPr>
            <w:tcW w:w="1122" w:type="dxa"/>
            <w:vAlign w:val="top"/>
          </w:tcPr>
          <w:p w14:paraId="2CC3C5C6">
            <w:pPr>
              <w:keepNext w:val="0"/>
              <w:keepLines w:val="0"/>
              <w:pageBreakBefore w:val="0"/>
              <w:kinsoku/>
              <w:wordWrap/>
              <w:overflowPunct/>
              <w:topLinePunct w:val="0"/>
              <w:bidi w:val="0"/>
              <w:rPr>
                <w:rFonts w:ascii="Arial"/>
                <w:sz w:val="21"/>
              </w:rPr>
            </w:pPr>
          </w:p>
        </w:tc>
        <w:tc>
          <w:tcPr>
            <w:tcW w:w="1050" w:type="dxa"/>
            <w:vAlign w:val="top"/>
          </w:tcPr>
          <w:p w14:paraId="4BACF123">
            <w:pPr>
              <w:keepNext w:val="0"/>
              <w:keepLines w:val="0"/>
              <w:pageBreakBefore w:val="0"/>
              <w:kinsoku/>
              <w:wordWrap/>
              <w:overflowPunct/>
              <w:topLinePunct w:val="0"/>
              <w:bidi w:val="0"/>
              <w:rPr>
                <w:rFonts w:ascii="Arial"/>
                <w:sz w:val="21"/>
              </w:rPr>
            </w:pPr>
          </w:p>
        </w:tc>
        <w:tc>
          <w:tcPr>
            <w:tcW w:w="1347" w:type="dxa"/>
            <w:vAlign w:val="top"/>
          </w:tcPr>
          <w:p w14:paraId="180513C7">
            <w:pPr>
              <w:keepNext w:val="0"/>
              <w:keepLines w:val="0"/>
              <w:pageBreakBefore w:val="0"/>
              <w:kinsoku/>
              <w:wordWrap/>
              <w:overflowPunct/>
              <w:topLinePunct w:val="0"/>
              <w:bidi w:val="0"/>
              <w:rPr>
                <w:rFonts w:ascii="Arial"/>
                <w:sz w:val="21"/>
              </w:rPr>
            </w:pPr>
          </w:p>
        </w:tc>
        <w:tc>
          <w:tcPr>
            <w:tcW w:w="1347" w:type="dxa"/>
            <w:vAlign w:val="top"/>
          </w:tcPr>
          <w:p w14:paraId="02073559">
            <w:pPr>
              <w:keepNext w:val="0"/>
              <w:keepLines w:val="0"/>
              <w:pageBreakBefore w:val="0"/>
              <w:kinsoku/>
              <w:wordWrap/>
              <w:overflowPunct/>
              <w:topLinePunct w:val="0"/>
              <w:bidi w:val="0"/>
              <w:rPr>
                <w:rFonts w:ascii="Arial"/>
                <w:sz w:val="21"/>
              </w:rPr>
            </w:pPr>
          </w:p>
        </w:tc>
        <w:tc>
          <w:tcPr>
            <w:tcW w:w="1770" w:type="dxa"/>
            <w:vAlign w:val="top"/>
          </w:tcPr>
          <w:p w14:paraId="36D55EB3">
            <w:pPr>
              <w:keepNext w:val="0"/>
              <w:keepLines w:val="0"/>
              <w:pageBreakBefore w:val="0"/>
              <w:kinsoku/>
              <w:wordWrap/>
              <w:overflowPunct/>
              <w:topLinePunct w:val="0"/>
              <w:bidi w:val="0"/>
              <w:rPr>
                <w:rFonts w:ascii="Arial"/>
                <w:sz w:val="21"/>
              </w:rPr>
            </w:pPr>
          </w:p>
        </w:tc>
      </w:tr>
      <w:tr w14:paraId="220E9F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1211" w:type="dxa"/>
            <w:tcBorders>
              <w:top w:val="single" w:color="000000" w:sz="4" w:space="0"/>
              <w:bottom w:val="single" w:color="000000" w:sz="4" w:space="0"/>
            </w:tcBorders>
            <w:vAlign w:val="top"/>
          </w:tcPr>
          <w:p w14:paraId="0761B1BB">
            <w:pPr>
              <w:keepNext w:val="0"/>
              <w:keepLines w:val="0"/>
              <w:pageBreakBefore w:val="0"/>
              <w:kinsoku/>
              <w:wordWrap/>
              <w:overflowPunct/>
              <w:topLinePunct w:val="0"/>
              <w:bidi w:val="0"/>
              <w:rPr>
                <w:rFonts w:ascii="Arial"/>
                <w:sz w:val="21"/>
              </w:rPr>
            </w:pPr>
          </w:p>
        </w:tc>
        <w:tc>
          <w:tcPr>
            <w:tcW w:w="8647" w:type="dxa"/>
            <w:gridSpan w:val="6"/>
            <w:vAlign w:val="top"/>
          </w:tcPr>
          <w:p w14:paraId="7BB6A59C">
            <w:pPr>
              <w:keepNext w:val="0"/>
              <w:keepLines w:val="0"/>
              <w:pageBreakBefore w:val="0"/>
              <w:kinsoku/>
              <w:wordWrap/>
              <w:overflowPunct/>
              <w:topLinePunct w:val="0"/>
              <w:bidi w:val="0"/>
              <w:spacing w:line="264" w:lineRule="auto"/>
              <w:rPr>
                <w:rFonts w:ascii="Arial"/>
                <w:sz w:val="21"/>
              </w:rPr>
            </w:pPr>
          </w:p>
          <w:p w14:paraId="21C89059">
            <w:pPr>
              <w:pStyle w:val="16"/>
              <w:keepNext w:val="0"/>
              <w:keepLines w:val="0"/>
              <w:pageBreakBefore w:val="0"/>
              <w:kinsoku/>
              <w:wordWrap/>
              <w:overflowPunct/>
              <w:topLinePunct w:val="0"/>
              <w:bidi w:val="0"/>
              <w:spacing w:before="78" w:line="218" w:lineRule="auto"/>
              <w:ind w:left="113"/>
              <w:rPr>
                <w:sz w:val="24"/>
                <w:szCs w:val="24"/>
              </w:rPr>
            </w:pPr>
            <w:r>
              <w:rPr>
                <w:spacing w:val="2"/>
                <w:sz w:val="24"/>
                <w:szCs w:val="24"/>
              </w:rPr>
              <w:t>本标段（包）报价总计</w:t>
            </w:r>
            <w:r>
              <w:rPr>
                <w:spacing w:val="-18"/>
                <w:sz w:val="24"/>
                <w:szCs w:val="24"/>
              </w:rPr>
              <w:t>：（</w:t>
            </w:r>
            <w:r>
              <w:rPr>
                <w:spacing w:val="2"/>
                <w:sz w:val="24"/>
                <w:szCs w:val="24"/>
              </w:rPr>
              <w:t>元）</w:t>
            </w:r>
          </w:p>
        </w:tc>
      </w:tr>
      <w:tr w14:paraId="5684D5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211" w:type="dxa"/>
            <w:tcBorders>
              <w:top w:val="single" w:color="000000" w:sz="4" w:space="0"/>
            </w:tcBorders>
            <w:vAlign w:val="top"/>
          </w:tcPr>
          <w:p w14:paraId="7D51652C">
            <w:pPr>
              <w:keepNext w:val="0"/>
              <w:keepLines w:val="0"/>
              <w:pageBreakBefore w:val="0"/>
              <w:kinsoku/>
              <w:wordWrap/>
              <w:overflowPunct/>
              <w:topLinePunct w:val="0"/>
              <w:bidi w:val="0"/>
              <w:rPr>
                <w:rFonts w:ascii="Arial"/>
                <w:sz w:val="21"/>
              </w:rPr>
            </w:pPr>
          </w:p>
        </w:tc>
        <w:tc>
          <w:tcPr>
            <w:tcW w:w="8647" w:type="dxa"/>
            <w:gridSpan w:val="6"/>
            <w:vAlign w:val="top"/>
          </w:tcPr>
          <w:p w14:paraId="4EF91E35">
            <w:pPr>
              <w:keepNext w:val="0"/>
              <w:keepLines w:val="0"/>
              <w:pageBreakBefore w:val="0"/>
              <w:kinsoku/>
              <w:wordWrap/>
              <w:overflowPunct/>
              <w:topLinePunct w:val="0"/>
              <w:bidi w:val="0"/>
              <w:spacing w:line="266" w:lineRule="auto"/>
              <w:rPr>
                <w:rFonts w:ascii="Arial"/>
                <w:sz w:val="21"/>
              </w:rPr>
            </w:pPr>
          </w:p>
          <w:p w14:paraId="10C7CD63">
            <w:pPr>
              <w:pStyle w:val="16"/>
              <w:keepNext w:val="0"/>
              <w:keepLines w:val="0"/>
              <w:pageBreakBefore w:val="0"/>
              <w:kinsoku/>
              <w:wordWrap/>
              <w:overflowPunct/>
              <w:topLinePunct w:val="0"/>
              <w:bidi w:val="0"/>
              <w:spacing w:before="78" w:line="218" w:lineRule="auto"/>
              <w:ind w:left="113"/>
              <w:rPr>
                <w:sz w:val="24"/>
                <w:szCs w:val="24"/>
              </w:rPr>
            </w:pPr>
            <w:r>
              <w:rPr>
                <w:spacing w:val="1"/>
                <w:sz w:val="24"/>
                <w:szCs w:val="24"/>
              </w:rPr>
              <w:t>本标段（包）价格评审扣除金额总计</w:t>
            </w:r>
            <w:r>
              <w:rPr>
                <w:spacing w:val="-15"/>
                <w:sz w:val="24"/>
                <w:szCs w:val="24"/>
              </w:rPr>
              <w:t>：（</w:t>
            </w:r>
            <w:r>
              <w:rPr>
                <w:spacing w:val="1"/>
                <w:sz w:val="24"/>
                <w:szCs w:val="24"/>
              </w:rPr>
              <w:t>元）</w:t>
            </w:r>
          </w:p>
        </w:tc>
      </w:tr>
    </w:tbl>
    <w:p w14:paraId="23F03686">
      <w:pPr>
        <w:pStyle w:val="7"/>
        <w:keepNext w:val="0"/>
        <w:keepLines w:val="0"/>
        <w:pageBreakBefore w:val="0"/>
        <w:kinsoku/>
        <w:wordWrap/>
        <w:overflowPunct/>
        <w:topLinePunct w:val="0"/>
        <w:bidi w:val="0"/>
        <w:spacing w:line="252" w:lineRule="auto"/>
      </w:pPr>
    </w:p>
    <w:p w14:paraId="60A5E8E0">
      <w:pPr>
        <w:pStyle w:val="7"/>
        <w:keepNext w:val="0"/>
        <w:keepLines w:val="0"/>
        <w:pageBreakBefore w:val="0"/>
        <w:kinsoku/>
        <w:wordWrap/>
        <w:overflowPunct/>
        <w:topLinePunct w:val="0"/>
        <w:bidi w:val="0"/>
        <w:spacing w:line="253" w:lineRule="auto"/>
      </w:pPr>
    </w:p>
    <w:p w14:paraId="45C350F9">
      <w:pPr>
        <w:keepNext w:val="0"/>
        <w:keepLines w:val="0"/>
        <w:pageBreakBefore w:val="0"/>
        <w:kinsoku/>
        <w:wordWrap/>
        <w:overflowPunct/>
        <w:topLinePunct w:val="0"/>
        <w:bidi w:val="0"/>
        <w:spacing w:before="78" w:line="224" w:lineRule="auto"/>
        <w:ind w:left="404"/>
        <w:rPr>
          <w:rFonts w:ascii="宋体" w:hAnsi="宋体" w:eastAsia="宋体" w:cs="宋体"/>
          <w:sz w:val="24"/>
          <w:szCs w:val="24"/>
        </w:rPr>
      </w:pPr>
      <w:r>
        <w:rPr>
          <w:rFonts w:ascii="宋体" w:hAnsi="宋体" w:eastAsia="宋体" w:cs="宋体"/>
          <w:spacing w:val="-5"/>
          <w:sz w:val="24"/>
          <w:szCs w:val="24"/>
        </w:rPr>
        <w:t>注：</w:t>
      </w:r>
    </w:p>
    <w:p w14:paraId="7AA17CDC">
      <w:pPr>
        <w:keepNext w:val="0"/>
        <w:keepLines w:val="0"/>
        <w:pageBreakBefore w:val="0"/>
        <w:kinsoku/>
        <w:wordWrap/>
        <w:overflowPunct/>
        <w:topLinePunct w:val="0"/>
        <w:bidi w:val="0"/>
        <w:spacing w:before="150" w:line="279" w:lineRule="auto"/>
        <w:ind w:left="405" w:right="396" w:firstLine="436"/>
        <w:rPr>
          <w:rFonts w:ascii="宋体" w:hAnsi="宋体" w:eastAsia="宋体" w:cs="宋体"/>
          <w:sz w:val="24"/>
          <w:szCs w:val="24"/>
        </w:rPr>
      </w:pPr>
      <w:r>
        <w:rPr>
          <w:rFonts w:ascii="宋体" w:hAnsi="宋体" w:eastAsia="宋体" w:cs="宋体"/>
          <w:sz w:val="24"/>
          <w:szCs w:val="24"/>
        </w:rPr>
        <w:t>1、当一个标段（包）内有多个属于小型和微</w:t>
      </w:r>
      <w:r>
        <w:rPr>
          <w:rFonts w:ascii="宋体" w:hAnsi="宋体" w:eastAsia="宋体" w:cs="宋体"/>
          <w:spacing w:val="-1"/>
          <w:sz w:val="24"/>
          <w:szCs w:val="24"/>
        </w:rPr>
        <w:t>型企业的产品时，供应商应按序号详</w:t>
      </w:r>
      <w:r>
        <w:rPr>
          <w:rFonts w:ascii="宋体" w:hAnsi="宋体" w:eastAsia="宋体" w:cs="宋体"/>
          <w:spacing w:val="-3"/>
          <w:sz w:val="24"/>
          <w:szCs w:val="24"/>
        </w:rPr>
        <w:t>细填写。</w:t>
      </w:r>
    </w:p>
    <w:p w14:paraId="1D4A4F04">
      <w:pPr>
        <w:keepNext w:val="0"/>
        <w:keepLines w:val="0"/>
        <w:pageBreakBefore w:val="0"/>
        <w:kinsoku/>
        <w:wordWrap/>
        <w:overflowPunct/>
        <w:topLinePunct w:val="0"/>
        <w:bidi w:val="0"/>
        <w:spacing w:before="153" w:line="218" w:lineRule="auto"/>
        <w:ind w:left="827"/>
        <w:rPr>
          <w:rFonts w:ascii="宋体" w:hAnsi="宋体" w:eastAsia="宋体" w:cs="宋体"/>
          <w:sz w:val="24"/>
          <w:szCs w:val="24"/>
        </w:rPr>
      </w:pPr>
      <w:r>
        <w:rPr>
          <w:rFonts w:ascii="宋体" w:hAnsi="宋体" w:eastAsia="宋体" w:cs="宋体"/>
          <w:spacing w:val="1"/>
          <w:sz w:val="24"/>
          <w:szCs w:val="24"/>
        </w:rPr>
        <w:t>2、栏目5=栏目4×招标文件规定的价格扣除比率的优惠幅度。</w:t>
      </w:r>
    </w:p>
    <w:p w14:paraId="42C403EB">
      <w:pPr>
        <w:keepNext w:val="0"/>
        <w:keepLines w:val="0"/>
        <w:pageBreakBefore w:val="0"/>
        <w:kinsoku/>
        <w:wordWrap/>
        <w:overflowPunct/>
        <w:topLinePunct w:val="0"/>
        <w:bidi w:val="0"/>
        <w:spacing w:before="157" w:line="280" w:lineRule="auto"/>
        <w:ind w:left="410" w:right="396" w:firstLine="418"/>
        <w:rPr>
          <w:rFonts w:ascii="宋体" w:hAnsi="宋体" w:eastAsia="宋体" w:cs="宋体"/>
          <w:sz w:val="24"/>
          <w:szCs w:val="24"/>
        </w:rPr>
      </w:pPr>
      <w:r>
        <w:rPr>
          <w:rFonts w:ascii="宋体" w:hAnsi="宋体" w:eastAsia="宋体" w:cs="宋体"/>
          <w:spacing w:val="-2"/>
          <w:sz w:val="24"/>
          <w:szCs w:val="24"/>
        </w:rPr>
        <w:t>3、若所供应的产品不具备此类评审优惠条件，本“中小价格扣除明细表”不必填</w:t>
      </w:r>
      <w:r>
        <w:rPr>
          <w:rFonts w:ascii="宋体" w:hAnsi="宋体" w:eastAsia="宋体" w:cs="宋体"/>
          <w:spacing w:val="-8"/>
          <w:sz w:val="24"/>
          <w:szCs w:val="24"/>
        </w:rPr>
        <w:t>写。</w:t>
      </w:r>
    </w:p>
    <w:p w14:paraId="4C1897B7">
      <w:pPr>
        <w:pStyle w:val="7"/>
        <w:keepNext w:val="0"/>
        <w:keepLines w:val="0"/>
        <w:pageBreakBefore w:val="0"/>
        <w:kinsoku/>
        <w:wordWrap/>
        <w:overflowPunct/>
        <w:topLinePunct w:val="0"/>
        <w:bidi w:val="0"/>
        <w:spacing w:line="425" w:lineRule="auto"/>
      </w:pPr>
    </w:p>
    <w:p w14:paraId="25EDD68D">
      <w:pPr>
        <w:keepNext w:val="0"/>
        <w:keepLines w:val="0"/>
        <w:pageBreakBefore w:val="0"/>
        <w:kinsoku/>
        <w:wordWrap/>
        <w:overflowPunct/>
        <w:topLinePunct w:val="0"/>
        <w:bidi w:val="0"/>
        <w:spacing w:before="78" w:line="347" w:lineRule="auto"/>
        <w:ind w:right="457"/>
        <w:jc w:val="right"/>
        <w:rPr>
          <w:rFonts w:ascii="宋体" w:hAnsi="宋体" w:eastAsia="宋体" w:cs="宋体"/>
          <w:sz w:val="24"/>
          <w:szCs w:val="24"/>
        </w:rPr>
      </w:pPr>
      <w:r>
        <w:rPr>
          <w:rFonts w:ascii="宋体" w:hAnsi="宋体" w:eastAsia="宋体" w:cs="宋体"/>
          <w:spacing w:val="-2"/>
          <w:sz w:val="24"/>
          <w:szCs w:val="24"/>
        </w:rPr>
        <w:t>供应商（盖单位章</w:t>
      </w:r>
      <w:r>
        <w:rPr>
          <w:rFonts w:ascii="宋体" w:hAnsi="宋体" w:eastAsia="宋体" w:cs="宋体"/>
          <w:spacing w:val="-28"/>
          <w:sz w:val="24"/>
          <w:szCs w:val="24"/>
        </w:rPr>
        <w:t>）：</w:t>
      </w:r>
      <w:r>
        <w:rPr>
          <w:rFonts w:ascii="宋体" w:hAnsi="宋体" w:eastAsia="宋体" w:cs="宋体"/>
          <w:spacing w:val="-5"/>
          <w:sz w:val="24"/>
          <w:szCs w:val="24"/>
        </w:rPr>
        <w:t>法定代表人或其委托代理人签字：</w:t>
      </w:r>
    </w:p>
    <w:p w14:paraId="3CA95FDA">
      <w:pPr>
        <w:keepNext w:val="0"/>
        <w:keepLines w:val="0"/>
        <w:pageBreakBefore w:val="0"/>
        <w:kinsoku/>
        <w:wordWrap/>
        <w:overflowPunct/>
        <w:topLinePunct w:val="0"/>
        <w:bidi w:val="0"/>
        <w:spacing w:before="33" w:line="219" w:lineRule="auto"/>
        <w:ind w:left="6157"/>
        <w:jc w:val="right"/>
        <w:rPr>
          <w:rFonts w:ascii="宋体" w:hAnsi="宋体" w:eastAsia="宋体" w:cs="宋体"/>
          <w:sz w:val="24"/>
          <w:szCs w:val="24"/>
        </w:rPr>
      </w:pPr>
      <w:r>
        <w:rPr>
          <w:rFonts w:ascii="宋体" w:hAnsi="宋体" w:eastAsia="宋体" w:cs="宋体"/>
          <w:spacing w:val="-13"/>
          <w:sz w:val="24"/>
          <w:szCs w:val="24"/>
        </w:rPr>
        <w:t>日期：年月日</w:t>
      </w:r>
    </w:p>
    <w:p w14:paraId="1BBF01F1">
      <w:pPr>
        <w:keepNext w:val="0"/>
        <w:keepLines w:val="0"/>
        <w:pageBreakBefore w:val="0"/>
        <w:kinsoku/>
        <w:wordWrap/>
        <w:overflowPunct/>
        <w:topLinePunct w:val="0"/>
        <w:bidi w:val="0"/>
        <w:spacing w:line="219" w:lineRule="auto"/>
        <w:rPr>
          <w:rFonts w:ascii="宋体" w:hAnsi="宋体" w:eastAsia="宋体" w:cs="宋体"/>
          <w:sz w:val="24"/>
          <w:szCs w:val="24"/>
        </w:rPr>
        <w:sectPr>
          <w:footerReference r:id="rId29" w:type="default"/>
          <w:pgSz w:w="11906" w:h="16839"/>
          <w:pgMar w:top="1440" w:right="1080" w:bottom="1440" w:left="1080" w:header="0" w:footer="994" w:gutter="0"/>
          <w:pgNumType w:fmt="decimal"/>
          <w:cols w:space="720" w:num="1"/>
        </w:sectPr>
      </w:pPr>
    </w:p>
    <w:p w14:paraId="1649BF3E">
      <w:pPr>
        <w:pStyle w:val="7"/>
        <w:keepNext w:val="0"/>
        <w:keepLines w:val="0"/>
        <w:pageBreakBefore w:val="0"/>
        <w:kinsoku/>
        <w:wordWrap/>
        <w:overflowPunct/>
        <w:topLinePunct w:val="0"/>
        <w:bidi w:val="0"/>
        <w:spacing w:line="247" w:lineRule="auto"/>
        <w:rPr>
          <w:rFonts w:hint="eastAsia" w:eastAsia="宋体"/>
          <w:lang w:eastAsia="zh-CN"/>
        </w:rPr>
      </w:pPr>
    </w:p>
    <w:p w14:paraId="41B76E32">
      <w:pPr>
        <w:keepNext w:val="0"/>
        <w:keepLines w:val="0"/>
        <w:pageBreakBefore w:val="0"/>
        <w:kinsoku/>
        <w:wordWrap/>
        <w:overflowPunct/>
        <w:topLinePunct w:val="0"/>
        <w:bidi w:val="0"/>
        <w:spacing w:before="78" w:line="219" w:lineRule="auto"/>
        <w:ind w:left="3361"/>
        <w:rPr>
          <w:rFonts w:ascii="宋体" w:hAnsi="宋体" w:eastAsia="宋体" w:cs="宋体"/>
          <w:sz w:val="24"/>
          <w:szCs w:val="24"/>
        </w:rPr>
      </w:pPr>
      <w:r>
        <w:rPr>
          <w:rFonts w:ascii="宋体" w:hAnsi="宋体" w:eastAsia="宋体" w:cs="宋体"/>
          <w:b/>
          <w:bCs/>
          <w:spacing w:val="-4"/>
          <w:sz w:val="24"/>
          <w:szCs w:val="24"/>
        </w:rPr>
        <w:t>监狱企业声明函</w:t>
      </w:r>
    </w:p>
    <w:p w14:paraId="4021AD24">
      <w:pPr>
        <w:keepNext w:val="0"/>
        <w:keepLines w:val="0"/>
        <w:pageBreakBefore w:val="0"/>
        <w:kinsoku/>
        <w:wordWrap/>
        <w:overflowPunct/>
        <w:topLinePunct w:val="0"/>
        <w:bidi w:val="0"/>
        <w:spacing w:before="182" w:line="220" w:lineRule="auto"/>
        <w:ind w:left="3588"/>
        <w:rPr>
          <w:rFonts w:ascii="宋体" w:hAnsi="宋体" w:eastAsia="宋体" w:cs="宋体"/>
          <w:sz w:val="24"/>
          <w:szCs w:val="24"/>
        </w:rPr>
      </w:pPr>
      <w:r>
        <w:rPr>
          <w:rFonts w:ascii="宋体" w:hAnsi="宋体" w:eastAsia="宋体" w:cs="宋体"/>
          <w:spacing w:val="-3"/>
          <w:sz w:val="24"/>
          <w:szCs w:val="24"/>
        </w:rPr>
        <w:t>（监狱企业适用）</w:t>
      </w:r>
    </w:p>
    <w:p w14:paraId="004983ED">
      <w:pPr>
        <w:keepNext w:val="0"/>
        <w:keepLines w:val="0"/>
        <w:pageBreakBefore w:val="0"/>
        <w:kinsoku/>
        <w:wordWrap/>
        <w:overflowPunct/>
        <w:topLinePunct w:val="0"/>
        <w:bidi w:val="0"/>
        <w:spacing w:before="181" w:line="219" w:lineRule="auto"/>
        <w:jc w:val="right"/>
        <w:rPr>
          <w:rFonts w:ascii="宋体" w:hAnsi="宋体" w:eastAsia="宋体" w:cs="宋体"/>
          <w:sz w:val="24"/>
          <w:szCs w:val="24"/>
        </w:rPr>
      </w:pPr>
      <w:r>
        <w:rPr>
          <w:rFonts w:ascii="宋体" w:hAnsi="宋体" w:eastAsia="宋体" w:cs="宋体"/>
          <w:spacing w:val="-3"/>
          <w:sz w:val="24"/>
          <w:szCs w:val="24"/>
        </w:rPr>
        <w:t>本公司郑重声明，根据《关于政府采购支持监狱企业发</w:t>
      </w:r>
      <w:r>
        <w:rPr>
          <w:rFonts w:ascii="宋体" w:hAnsi="宋体" w:eastAsia="宋体" w:cs="宋体"/>
          <w:spacing w:val="-4"/>
          <w:sz w:val="24"/>
          <w:szCs w:val="24"/>
        </w:rPr>
        <w:t>展有关问题的通知》（财库</w:t>
      </w:r>
    </w:p>
    <w:p w14:paraId="711E3D6C">
      <w:pPr>
        <w:keepNext w:val="0"/>
        <w:keepLines w:val="0"/>
        <w:pageBreakBefore w:val="0"/>
        <w:kinsoku/>
        <w:wordWrap/>
        <w:overflowPunct/>
        <w:topLinePunct w:val="0"/>
        <w:bidi w:val="0"/>
        <w:spacing w:before="183" w:line="219" w:lineRule="auto"/>
        <w:ind w:left="38"/>
        <w:rPr>
          <w:rFonts w:ascii="宋体" w:hAnsi="宋体" w:eastAsia="宋体" w:cs="宋体"/>
          <w:sz w:val="24"/>
          <w:szCs w:val="24"/>
        </w:rPr>
      </w:pPr>
      <w:r>
        <w:rPr>
          <w:rFonts w:ascii="宋体" w:hAnsi="宋体" w:eastAsia="宋体" w:cs="宋体"/>
          <w:spacing w:val="-3"/>
          <w:sz w:val="24"/>
          <w:szCs w:val="24"/>
        </w:rPr>
        <w:t>[2014]68号）的规定，本公司为监狱企业。</w:t>
      </w:r>
    </w:p>
    <w:p w14:paraId="4E1FC154">
      <w:pPr>
        <w:keepNext w:val="0"/>
        <w:keepLines w:val="0"/>
        <w:pageBreakBefore w:val="0"/>
        <w:kinsoku/>
        <w:wordWrap/>
        <w:overflowPunct/>
        <w:topLinePunct w:val="0"/>
        <w:bidi w:val="0"/>
        <w:spacing w:before="184" w:line="346" w:lineRule="auto"/>
        <w:ind w:left="6" w:firstLine="535"/>
        <w:rPr>
          <w:rFonts w:ascii="宋体" w:hAnsi="宋体" w:eastAsia="宋体" w:cs="宋体"/>
          <w:sz w:val="24"/>
          <w:szCs w:val="24"/>
        </w:rPr>
      </w:pPr>
      <w:r>
        <w:rPr>
          <w:rFonts w:ascii="宋体" w:hAnsi="宋体" w:eastAsia="宋体" w:cs="宋体"/>
          <w:spacing w:val="-3"/>
          <w:sz w:val="24"/>
          <w:szCs w:val="24"/>
        </w:rPr>
        <w:t>本公司参加单位的项目采购</w:t>
      </w:r>
      <w:r>
        <w:rPr>
          <w:rFonts w:ascii="宋体" w:hAnsi="宋体" w:eastAsia="宋体" w:cs="宋体"/>
          <w:spacing w:val="-4"/>
          <w:sz w:val="24"/>
          <w:szCs w:val="24"/>
        </w:rPr>
        <w:t>活动，采购活动提供本企业（填写制造的</w:t>
      </w:r>
      <w:r>
        <w:rPr>
          <w:rFonts w:ascii="宋体" w:hAnsi="宋体" w:eastAsia="宋体" w:cs="宋体"/>
          <w:spacing w:val="-1"/>
          <w:sz w:val="24"/>
          <w:szCs w:val="24"/>
        </w:rPr>
        <w:t>货物，由本企业承担工程、提供服务）。</w:t>
      </w:r>
    </w:p>
    <w:p w14:paraId="1BEC14EF">
      <w:pPr>
        <w:keepNext w:val="0"/>
        <w:keepLines w:val="0"/>
        <w:pageBreakBefore w:val="0"/>
        <w:kinsoku/>
        <w:wordWrap/>
        <w:overflowPunct/>
        <w:topLinePunct w:val="0"/>
        <w:bidi w:val="0"/>
        <w:spacing w:before="35" w:line="219" w:lineRule="auto"/>
        <w:ind w:left="541"/>
        <w:rPr>
          <w:rFonts w:ascii="宋体" w:hAnsi="宋体" w:eastAsia="宋体" w:cs="宋体"/>
          <w:sz w:val="24"/>
          <w:szCs w:val="24"/>
        </w:rPr>
      </w:pPr>
      <w:r>
        <w:rPr>
          <w:rFonts w:ascii="宋体" w:hAnsi="宋体" w:eastAsia="宋体" w:cs="宋体"/>
          <w:spacing w:val="-1"/>
          <w:sz w:val="24"/>
          <w:szCs w:val="24"/>
        </w:rPr>
        <w:t>本条所称货物不包括使用大型企业注册商标的货物和服务。</w:t>
      </w:r>
    </w:p>
    <w:p w14:paraId="45859E25">
      <w:pPr>
        <w:keepNext w:val="0"/>
        <w:keepLines w:val="0"/>
        <w:pageBreakBefore w:val="0"/>
        <w:kinsoku/>
        <w:wordWrap/>
        <w:overflowPunct/>
        <w:topLinePunct w:val="0"/>
        <w:bidi w:val="0"/>
        <w:spacing w:before="183" w:line="219" w:lineRule="auto"/>
        <w:ind w:left="541"/>
        <w:rPr>
          <w:rFonts w:ascii="宋体" w:hAnsi="宋体" w:eastAsia="宋体" w:cs="宋体"/>
          <w:sz w:val="24"/>
          <w:szCs w:val="24"/>
        </w:rPr>
      </w:pPr>
      <w:r>
        <w:rPr>
          <w:rFonts w:ascii="宋体" w:hAnsi="宋体" w:eastAsia="宋体" w:cs="宋体"/>
          <w:spacing w:val="-1"/>
          <w:sz w:val="24"/>
          <w:szCs w:val="24"/>
        </w:rPr>
        <w:t>本公司对上述声明的真实性负责。如有虚假，将依法承担相应责任。</w:t>
      </w:r>
    </w:p>
    <w:p w14:paraId="1E8AA448">
      <w:pPr>
        <w:pStyle w:val="7"/>
        <w:keepNext w:val="0"/>
        <w:keepLines w:val="0"/>
        <w:pageBreakBefore w:val="0"/>
        <w:kinsoku/>
        <w:wordWrap/>
        <w:overflowPunct/>
        <w:topLinePunct w:val="0"/>
        <w:bidi w:val="0"/>
        <w:spacing w:line="284" w:lineRule="auto"/>
      </w:pPr>
    </w:p>
    <w:p w14:paraId="344A422D">
      <w:pPr>
        <w:pStyle w:val="7"/>
        <w:keepNext w:val="0"/>
        <w:keepLines w:val="0"/>
        <w:pageBreakBefore w:val="0"/>
        <w:kinsoku/>
        <w:wordWrap/>
        <w:overflowPunct/>
        <w:topLinePunct w:val="0"/>
        <w:bidi w:val="0"/>
        <w:spacing w:line="285" w:lineRule="auto"/>
      </w:pPr>
    </w:p>
    <w:p w14:paraId="4571E3C5">
      <w:pPr>
        <w:keepNext w:val="0"/>
        <w:keepLines w:val="0"/>
        <w:pageBreakBefore w:val="0"/>
        <w:kinsoku/>
        <w:wordWrap/>
        <w:overflowPunct/>
        <w:topLinePunct w:val="0"/>
        <w:bidi w:val="0"/>
        <w:spacing w:before="79" w:line="219" w:lineRule="auto"/>
        <w:ind w:left="4"/>
        <w:rPr>
          <w:rFonts w:ascii="宋体" w:hAnsi="宋体" w:eastAsia="宋体" w:cs="宋体"/>
          <w:sz w:val="24"/>
          <w:szCs w:val="24"/>
        </w:rPr>
      </w:pPr>
      <w:r>
        <w:rPr>
          <w:rFonts w:ascii="宋体" w:hAnsi="宋体" w:eastAsia="宋体" w:cs="宋体"/>
          <w:spacing w:val="-2"/>
          <w:sz w:val="24"/>
          <w:szCs w:val="24"/>
        </w:rPr>
        <w:t>企业名称（盖公章</w:t>
      </w:r>
      <w:r>
        <w:rPr>
          <w:rFonts w:ascii="宋体" w:hAnsi="宋体" w:eastAsia="宋体" w:cs="宋体"/>
          <w:sz w:val="24"/>
          <w:szCs w:val="24"/>
        </w:rPr>
        <w:t>）：</w:t>
      </w:r>
    </w:p>
    <w:p w14:paraId="67AD4FE4">
      <w:pPr>
        <w:keepNext w:val="0"/>
        <w:keepLines w:val="0"/>
        <w:pageBreakBefore w:val="0"/>
        <w:kinsoku/>
        <w:wordWrap/>
        <w:overflowPunct/>
        <w:topLinePunct w:val="0"/>
        <w:bidi w:val="0"/>
        <w:spacing w:before="184" w:line="384" w:lineRule="auto"/>
        <w:ind w:left="41" w:right="4332" w:hanging="40"/>
        <w:rPr>
          <w:rFonts w:ascii="宋体" w:hAnsi="宋体" w:eastAsia="宋体" w:cs="宋体"/>
          <w:sz w:val="24"/>
          <w:szCs w:val="24"/>
        </w:rPr>
      </w:pPr>
      <w:r>
        <w:rPr>
          <w:rFonts w:ascii="宋体" w:hAnsi="宋体" w:eastAsia="宋体" w:cs="宋体"/>
          <w:spacing w:val="-4"/>
          <w:sz w:val="24"/>
          <w:szCs w:val="24"/>
        </w:rPr>
        <w:t>法定代表人（负责人）或其授权代表(签字)：</w:t>
      </w:r>
      <w:r>
        <w:rPr>
          <w:rFonts w:ascii="宋体" w:hAnsi="宋体" w:eastAsia="宋体" w:cs="宋体"/>
          <w:spacing w:val="-17"/>
          <w:sz w:val="24"/>
          <w:szCs w:val="24"/>
        </w:rPr>
        <w:t>日期：</w:t>
      </w:r>
    </w:p>
    <w:p w14:paraId="16DB20A4">
      <w:pPr>
        <w:keepNext w:val="0"/>
        <w:keepLines w:val="0"/>
        <w:pageBreakBefore w:val="0"/>
        <w:kinsoku/>
        <w:wordWrap/>
        <w:overflowPunct/>
        <w:topLinePunct w:val="0"/>
        <w:bidi w:val="0"/>
        <w:spacing w:line="219" w:lineRule="auto"/>
        <w:ind w:left="3120"/>
        <w:rPr>
          <w:rFonts w:ascii="宋体" w:hAnsi="宋体" w:eastAsia="宋体" w:cs="宋体"/>
          <w:sz w:val="24"/>
          <w:szCs w:val="24"/>
        </w:rPr>
      </w:pPr>
      <w:r>
        <w:rPr>
          <w:rFonts w:ascii="宋体" w:hAnsi="宋体" w:eastAsia="宋体" w:cs="宋体"/>
          <w:b/>
          <w:bCs/>
          <w:spacing w:val="8"/>
          <w:sz w:val="24"/>
          <w:szCs w:val="24"/>
        </w:rPr>
        <w:t>残疾人福利性单位声明函</w:t>
      </w:r>
    </w:p>
    <w:p w14:paraId="74CEF203">
      <w:pPr>
        <w:pStyle w:val="7"/>
        <w:keepNext w:val="0"/>
        <w:keepLines w:val="0"/>
        <w:pageBreakBefore w:val="0"/>
        <w:kinsoku/>
        <w:wordWrap/>
        <w:overflowPunct/>
        <w:topLinePunct w:val="0"/>
        <w:bidi w:val="0"/>
        <w:spacing w:line="247" w:lineRule="auto"/>
      </w:pPr>
    </w:p>
    <w:p w14:paraId="15510020">
      <w:pPr>
        <w:pStyle w:val="7"/>
        <w:keepNext w:val="0"/>
        <w:keepLines w:val="0"/>
        <w:pageBreakBefore w:val="0"/>
        <w:kinsoku/>
        <w:wordWrap/>
        <w:overflowPunct/>
        <w:topLinePunct w:val="0"/>
        <w:bidi w:val="0"/>
        <w:spacing w:line="247" w:lineRule="auto"/>
      </w:pPr>
    </w:p>
    <w:p w14:paraId="5F07C8FB">
      <w:pPr>
        <w:keepNext w:val="0"/>
        <w:keepLines w:val="0"/>
        <w:pageBreakBefore w:val="0"/>
        <w:kinsoku/>
        <w:wordWrap/>
        <w:overflowPunct/>
        <w:topLinePunct w:val="0"/>
        <w:bidi w:val="0"/>
        <w:spacing w:before="79" w:line="333" w:lineRule="auto"/>
        <w:ind w:right="11" w:firstLine="505"/>
        <w:jc w:val="both"/>
        <w:rPr>
          <w:rFonts w:ascii="宋体" w:hAnsi="宋体" w:eastAsia="宋体" w:cs="宋体"/>
          <w:sz w:val="24"/>
          <w:szCs w:val="24"/>
        </w:rPr>
      </w:pPr>
      <w:r>
        <w:rPr>
          <w:rFonts w:ascii="宋体" w:hAnsi="宋体" w:eastAsia="宋体" w:cs="宋体"/>
          <w:spacing w:val="8"/>
          <w:sz w:val="24"/>
          <w:szCs w:val="24"/>
        </w:rPr>
        <w:t>本单位郑重声明，根据《财政部民政部中国残疾人联合会关于促进残疾人就</w:t>
      </w:r>
      <w:r>
        <w:rPr>
          <w:rFonts w:ascii="宋体" w:hAnsi="宋体" w:eastAsia="宋体" w:cs="宋体"/>
          <w:spacing w:val="7"/>
          <w:sz w:val="24"/>
          <w:szCs w:val="24"/>
        </w:rPr>
        <w:t>业政府采购政策的通知》（财库〔2017〕1</w:t>
      </w:r>
      <w:r>
        <w:rPr>
          <w:rFonts w:ascii="宋体" w:hAnsi="宋体" w:eastAsia="宋体" w:cs="宋体"/>
          <w:spacing w:val="6"/>
          <w:sz w:val="24"/>
          <w:szCs w:val="24"/>
        </w:rPr>
        <w:t>41号）的规定，本单位为符合条件的残</w:t>
      </w:r>
      <w:r>
        <w:rPr>
          <w:rFonts w:ascii="宋体" w:hAnsi="宋体" w:eastAsia="宋体" w:cs="宋体"/>
          <w:spacing w:val="10"/>
          <w:sz w:val="24"/>
          <w:szCs w:val="24"/>
        </w:rPr>
        <w:t>疾人福利性单位，且本单位参加单位的项目采购活动提供本单位</w:t>
      </w:r>
      <w:r>
        <w:rPr>
          <w:rFonts w:ascii="宋体" w:hAnsi="宋体" w:eastAsia="宋体" w:cs="宋体"/>
          <w:spacing w:val="9"/>
          <w:sz w:val="24"/>
          <w:szCs w:val="24"/>
        </w:rPr>
        <w:t>制造的货物（由本单位承担工程/提供服务</w:t>
      </w:r>
      <w:r>
        <w:rPr>
          <w:rFonts w:ascii="宋体" w:hAnsi="宋体" w:eastAsia="宋体" w:cs="宋体"/>
          <w:spacing w:val="-13"/>
          <w:sz w:val="24"/>
          <w:szCs w:val="24"/>
        </w:rPr>
        <w:t>），</w:t>
      </w:r>
      <w:r>
        <w:rPr>
          <w:rFonts w:ascii="宋体" w:hAnsi="宋体" w:eastAsia="宋体" w:cs="宋体"/>
          <w:spacing w:val="9"/>
          <w:sz w:val="24"/>
          <w:szCs w:val="24"/>
        </w:rPr>
        <w:t>或者提供其他残疾人福利性单位制造</w:t>
      </w:r>
      <w:r>
        <w:rPr>
          <w:rFonts w:ascii="宋体" w:hAnsi="宋体" w:eastAsia="宋体" w:cs="宋体"/>
          <w:spacing w:val="11"/>
          <w:sz w:val="24"/>
          <w:szCs w:val="24"/>
        </w:rPr>
        <w:t>的货物（不包括使用非残疾人福利性单位注册商标的货物）。</w:t>
      </w:r>
    </w:p>
    <w:p w14:paraId="6C4F00C4">
      <w:pPr>
        <w:keepNext w:val="0"/>
        <w:keepLines w:val="0"/>
        <w:pageBreakBefore w:val="0"/>
        <w:kinsoku/>
        <w:wordWrap/>
        <w:overflowPunct/>
        <w:topLinePunct w:val="0"/>
        <w:bidi w:val="0"/>
        <w:spacing w:before="34" w:line="219" w:lineRule="auto"/>
        <w:ind w:left="505"/>
        <w:rPr>
          <w:rFonts w:ascii="宋体" w:hAnsi="宋体" w:eastAsia="宋体" w:cs="宋体"/>
          <w:sz w:val="24"/>
          <w:szCs w:val="24"/>
        </w:rPr>
      </w:pPr>
      <w:r>
        <w:rPr>
          <w:rFonts w:ascii="宋体" w:hAnsi="宋体" w:eastAsia="宋体" w:cs="宋体"/>
          <w:spacing w:val="11"/>
          <w:sz w:val="24"/>
          <w:szCs w:val="24"/>
        </w:rPr>
        <w:t>本单位对上述声明的真实性负责。如有虚假，将依法承</w:t>
      </w:r>
      <w:r>
        <w:rPr>
          <w:rFonts w:ascii="宋体" w:hAnsi="宋体" w:eastAsia="宋体" w:cs="宋体"/>
          <w:spacing w:val="10"/>
          <w:sz w:val="24"/>
          <w:szCs w:val="24"/>
        </w:rPr>
        <w:t>担相应责任。</w:t>
      </w:r>
    </w:p>
    <w:p w14:paraId="4A55A063">
      <w:pPr>
        <w:pStyle w:val="7"/>
        <w:keepNext w:val="0"/>
        <w:keepLines w:val="0"/>
        <w:pageBreakBefore w:val="0"/>
        <w:kinsoku/>
        <w:wordWrap/>
        <w:overflowPunct/>
        <w:topLinePunct w:val="0"/>
        <w:bidi w:val="0"/>
        <w:spacing w:line="317" w:lineRule="auto"/>
      </w:pPr>
    </w:p>
    <w:p w14:paraId="3D0A69B2">
      <w:pPr>
        <w:pStyle w:val="7"/>
        <w:keepNext w:val="0"/>
        <w:keepLines w:val="0"/>
        <w:pageBreakBefore w:val="0"/>
        <w:kinsoku/>
        <w:wordWrap/>
        <w:overflowPunct/>
        <w:topLinePunct w:val="0"/>
        <w:bidi w:val="0"/>
        <w:spacing w:line="317" w:lineRule="auto"/>
      </w:pPr>
    </w:p>
    <w:p w14:paraId="3E0DD108">
      <w:pPr>
        <w:pStyle w:val="7"/>
        <w:keepNext w:val="0"/>
        <w:keepLines w:val="0"/>
        <w:pageBreakBefore w:val="0"/>
        <w:kinsoku/>
        <w:wordWrap/>
        <w:overflowPunct/>
        <w:topLinePunct w:val="0"/>
        <w:bidi w:val="0"/>
        <w:spacing w:line="317" w:lineRule="auto"/>
      </w:pPr>
    </w:p>
    <w:p w14:paraId="4D148801">
      <w:pPr>
        <w:keepNext w:val="0"/>
        <w:keepLines w:val="0"/>
        <w:pageBreakBefore w:val="0"/>
        <w:kinsoku/>
        <w:wordWrap/>
        <w:overflowPunct/>
        <w:topLinePunct w:val="0"/>
        <w:bidi w:val="0"/>
        <w:spacing w:before="78" w:line="327" w:lineRule="auto"/>
        <w:ind w:left="41" w:right="6876" w:hanging="39"/>
        <w:rPr>
          <w:rFonts w:ascii="宋体" w:hAnsi="宋体" w:eastAsia="宋体" w:cs="宋体"/>
          <w:sz w:val="24"/>
          <w:szCs w:val="24"/>
        </w:rPr>
      </w:pPr>
      <w:r>
        <w:rPr>
          <w:rFonts w:ascii="宋体" w:hAnsi="宋体" w:eastAsia="宋体" w:cs="宋体"/>
          <w:spacing w:val="8"/>
          <w:sz w:val="24"/>
          <w:szCs w:val="24"/>
        </w:rPr>
        <w:t>单位名称（盖章</w:t>
      </w:r>
      <w:r>
        <w:rPr>
          <w:rFonts w:ascii="宋体" w:hAnsi="宋体" w:eastAsia="宋体" w:cs="宋体"/>
          <w:spacing w:val="-17"/>
          <w:sz w:val="24"/>
          <w:szCs w:val="24"/>
        </w:rPr>
        <w:t>）：</w:t>
      </w:r>
      <w:r>
        <w:rPr>
          <w:rFonts w:ascii="宋体" w:hAnsi="宋体" w:eastAsia="宋体" w:cs="宋体"/>
          <w:spacing w:val="-21"/>
          <w:sz w:val="24"/>
          <w:szCs w:val="24"/>
        </w:rPr>
        <w:t>日期：</w:t>
      </w:r>
    </w:p>
    <w:p w14:paraId="06BBFB3E">
      <w:pPr>
        <w:keepNext w:val="0"/>
        <w:keepLines w:val="0"/>
        <w:pageBreakBefore w:val="0"/>
        <w:kinsoku/>
        <w:wordWrap/>
        <w:overflowPunct/>
        <w:topLinePunct w:val="0"/>
        <w:bidi w:val="0"/>
        <w:spacing w:line="327" w:lineRule="auto"/>
        <w:rPr>
          <w:rFonts w:ascii="宋体" w:hAnsi="宋体" w:eastAsia="宋体" w:cs="宋体"/>
          <w:sz w:val="24"/>
          <w:szCs w:val="24"/>
        </w:rPr>
        <w:sectPr>
          <w:footerReference r:id="rId30" w:type="default"/>
          <w:pgSz w:w="11906" w:h="16839"/>
          <w:pgMar w:top="1440" w:right="1080" w:bottom="1440" w:left="1080" w:header="0" w:footer="994" w:gutter="0"/>
          <w:pgNumType w:fmt="decimal"/>
          <w:cols w:space="720" w:num="1"/>
        </w:sectPr>
      </w:pPr>
    </w:p>
    <w:p w14:paraId="4B4E5BE1">
      <w:pPr>
        <w:pStyle w:val="7"/>
        <w:keepNext w:val="0"/>
        <w:keepLines w:val="0"/>
        <w:pageBreakBefore w:val="0"/>
        <w:kinsoku/>
        <w:wordWrap/>
        <w:overflowPunct/>
        <w:topLinePunct w:val="0"/>
        <w:bidi w:val="0"/>
        <w:spacing w:line="269" w:lineRule="auto"/>
      </w:pPr>
    </w:p>
    <w:p w14:paraId="2509128F">
      <w:pPr>
        <w:pStyle w:val="7"/>
        <w:keepNext w:val="0"/>
        <w:keepLines w:val="0"/>
        <w:pageBreakBefore w:val="0"/>
        <w:kinsoku/>
        <w:wordWrap/>
        <w:overflowPunct/>
        <w:topLinePunct w:val="0"/>
        <w:bidi w:val="0"/>
        <w:spacing w:line="270" w:lineRule="auto"/>
      </w:pPr>
    </w:p>
    <w:p w14:paraId="1E6349C5">
      <w:pPr>
        <w:pStyle w:val="7"/>
        <w:keepNext w:val="0"/>
        <w:keepLines w:val="0"/>
        <w:pageBreakBefore w:val="0"/>
        <w:kinsoku/>
        <w:wordWrap/>
        <w:overflowPunct/>
        <w:topLinePunct w:val="0"/>
        <w:bidi w:val="0"/>
        <w:spacing w:line="270" w:lineRule="auto"/>
      </w:pPr>
    </w:p>
    <w:p w14:paraId="52041BBA">
      <w:pPr>
        <w:keepNext w:val="0"/>
        <w:keepLines w:val="0"/>
        <w:pageBreakBefore w:val="0"/>
        <w:kinsoku/>
        <w:wordWrap/>
        <w:overflowPunct/>
        <w:topLinePunct w:val="0"/>
        <w:bidi w:val="0"/>
        <w:spacing w:before="91" w:line="220" w:lineRule="auto"/>
        <w:ind w:left="3976"/>
        <w:rPr>
          <w:rFonts w:ascii="宋体" w:hAnsi="宋体" w:eastAsia="宋体" w:cs="宋体"/>
          <w:sz w:val="28"/>
          <w:szCs w:val="28"/>
        </w:rPr>
      </w:pPr>
      <w:r>
        <w:rPr>
          <w:rFonts w:ascii="宋体" w:hAnsi="宋体" w:eastAsia="宋体" w:cs="宋体"/>
          <w:b/>
          <w:bCs/>
          <w:spacing w:val="-5"/>
          <w:sz w:val="28"/>
          <w:szCs w:val="28"/>
        </w:rPr>
        <w:t>信用记录</w:t>
      </w:r>
    </w:p>
    <w:p w14:paraId="2D8C9B23">
      <w:pPr>
        <w:keepNext w:val="0"/>
        <w:keepLines w:val="0"/>
        <w:pageBreakBefore w:val="0"/>
        <w:kinsoku/>
        <w:wordWrap/>
        <w:overflowPunct/>
        <w:topLinePunct w:val="0"/>
        <w:bidi w:val="0"/>
        <w:spacing w:before="154" w:line="219" w:lineRule="auto"/>
        <w:ind w:left="2911"/>
        <w:rPr>
          <w:rFonts w:ascii="宋体" w:hAnsi="宋体" w:eastAsia="宋体" w:cs="宋体"/>
          <w:sz w:val="24"/>
          <w:szCs w:val="24"/>
        </w:rPr>
      </w:pPr>
      <w:r>
        <w:rPr>
          <w:rFonts w:ascii="宋体" w:hAnsi="宋体" w:eastAsia="宋体" w:cs="宋体"/>
          <w:spacing w:val="9"/>
          <w:sz w:val="24"/>
          <w:szCs w:val="24"/>
        </w:rPr>
        <w:t>（复印件并加盖供应商单位公章）</w:t>
      </w:r>
    </w:p>
    <w:p w14:paraId="64B6A012">
      <w:pPr>
        <w:keepNext w:val="0"/>
        <w:keepLines w:val="0"/>
        <w:pageBreakBefore w:val="0"/>
        <w:kinsoku/>
        <w:wordWrap/>
        <w:overflowPunct/>
        <w:topLinePunct w:val="0"/>
        <w:bidi w:val="0"/>
        <w:spacing w:before="180" w:line="347" w:lineRule="auto"/>
        <w:ind w:right="62" w:firstLine="506"/>
        <w:rPr>
          <w:rFonts w:ascii="宋体" w:hAnsi="宋体" w:eastAsia="宋体" w:cs="宋体"/>
          <w:sz w:val="24"/>
          <w:szCs w:val="24"/>
        </w:rPr>
      </w:pPr>
      <w:r>
        <w:rPr>
          <w:rFonts w:ascii="宋体" w:hAnsi="宋体" w:eastAsia="宋体" w:cs="宋体"/>
          <w:spacing w:val="9"/>
          <w:sz w:val="24"/>
          <w:szCs w:val="24"/>
        </w:rPr>
        <w:t>依据财库[2016]125号文件规定，供应商须符合《关于在政府采购活动中查询及使用信用记录有关问题的通知》的相关要求，即具有良好的信用记录。</w:t>
      </w:r>
    </w:p>
    <w:p w14:paraId="5F7F3295">
      <w:pPr>
        <w:keepNext w:val="0"/>
        <w:keepLines w:val="0"/>
        <w:pageBreakBefore w:val="0"/>
        <w:kinsoku/>
        <w:wordWrap/>
        <w:overflowPunct/>
        <w:topLinePunct w:val="0"/>
        <w:bidi w:val="0"/>
        <w:spacing w:before="31" w:line="344" w:lineRule="auto"/>
        <w:ind w:left="1" w:right="11" w:firstLine="503"/>
        <w:rPr>
          <w:rFonts w:ascii="宋体" w:hAnsi="宋体" w:eastAsia="宋体" w:cs="宋体"/>
          <w:sz w:val="24"/>
          <w:szCs w:val="24"/>
        </w:rPr>
      </w:pPr>
      <w:r>
        <w:rPr>
          <w:rFonts w:ascii="宋体" w:hAnsi="宋体" w:eastAsia="宋体" w:cs="宋体"/>
          <w:spacing w:val="5"/>
          <w:sz w:val="24"/>
          <w:szCs w:val="24"/>
        </w:rPr>
        <w:t>供应商须提供本单位近3年（自公告发布之日起至开标日</w:t>
      </w:r>
      <w:r>
        <w:rPr>
          <w:rFonts w:ascii="宋体" w:hAnsi="宋体" w:eastAsia="宋体" w:cs="宋体"/>
          <w:spacing w:val="4"/>
          <w:sz w:val="24"/>
          <w:szCs w:val="24"/>
        </w:rPr>
        <w:t>前）“信用中国”网</w:t>
      </w:r>
      <w:r>
        <w:rPr>
          <w:rFonts w:ascii="宋体" w:hAnsi="宋体" w:eastAsia="宋体" w:cs="宋体"/>
          <w:spacing w:val="15"/>
          <w:sz w:val="24"/>
          <w:szCs w:val="24"/>
        </w:rPr>
        <w:t>站（</w:t>
      </w:r>
      <w:r>
        <w:rPr>
          <w:rFonts w:ascii="宋体" w:hAnsi="宋体" w:eastAsia="宋体" w:cs="宋体"/>
          <w:sz w:val="24"/>
          <w:szCs w:val="24"/>
        </w:rPr>
        <w:t>www</w:t>
      </w:r>
      <w:r>
        <w:rPr>
          <w:rFonts w:ascii="宋体" w:hAnsi="宋体" w:eastAsia="宋体" w:cs="宋体"/>
          <w:spacing w:val="15"/>
          <w:sz w:val="24"/>
          <w:szCs w:val="24"/>
        </w:rPr>
        <w:t>.</w:t>
      </w:r>
      <w:r>
        <w:rPr>
          <w:rFonts w:ascii="宋体" w:hAnsi="宋体" w:eastAsia="宋体" w:cs="宋体"/>
          <w:sz w:val="24"/>
          <w:szCs w:val="24"/>
        </w:rPr>
        <w:t>creditchina</w:t>
      </w:r>
      <w:r>
        <w:rPr>
          <w:rFonts w:ascii="宋体" w:hAnsi="宋体" w:eastAsia="宋体" w:cs="宋体"/>
          <w:spacing w:val="15"/>
          <w:sz w:val="24"/>
          <w:szCs w:val="24"/>
        </w:rPr>
        <w:t>.</w:t>
      </w:r>
      <w:r>
        <w:rPr>
          <w:rFonts w:ascii="宋体" w:hAnsi="宋体" w:eastAsia="宋体" w:cs="宋体"/>
          <w:sz w:val="24"/>
          <w:szCs w:val="24"/>
        </w:rPr>
        <w:t>gov</w:t>
      </w:r>
      <w:r>
        <w:rPr>
          <w:rFonts w:ascii="宋体" w:hAnsi="宋体" w:eastAsia="宋体" w:cs="宋体"/>
          <w:spacing w:val="15"/>
          <w:sz w:val="24"/>
          <w:szCs w:val="24"/>
        </w:rPr>
        <w:t>.</w:t>
      </w:r>
      <w:r>
        <w:rPr>
          <w:rFonts w:ascii="宋体" w:hAnsi="宋体" w:eastAsia="宋体" w:cs="宋体"/>
          <w:sz w:val="24"/>
          <w:szCs w:val="24"/>
        </w:rPr>
        <w:t>cn</w:t>
      </w:r>
      <w:r>
        <w:rPr>
          <w:rFonts w:ascii="宋体" w:hAnsi="宋体" w:eastAsia="宋体" w:cs="宋体"/>
          <w:spacing w:val="15"/>
          <w:sz w:val="24"/>
          <w:szCs w:val="24"/>
        </w:rPr>
        <w:t>）或国家企业信用信息公示系统</w:t>
      </w:r>
    </w:p>
    <w:p w14:paraId="38D2C0EF">
      <w:pPr>
        <w:keepNext w:val="0"/>
        <w:keepLines w:val="0"/>
        <w:pageBreakBefore w:val="0"/>
        <w:kinsoku/>
        <w:wordWrap/>
        <w:overflowPunct/>
        <w:topLinePunct w:val="0"/>
        <w:bidi w:val="0"/>
        <w:spacing w:before="39" w:line="347" w:lineRule="auto"/>
        <w:ind w:left="507" w:right="2559" w:hanging="495"/>
        <w:rPr>
          <w:rFonts w:ascii="宋体" w:hAnsi="宋体" w:eastAsia="宋体" w:cs="宋体"/>
          <w:sz w:val="24"/>
          <w:szCs w:val="24"/>
        </w:rPr>
      </w:pPr>
      <w:r>
        <w:rPr>
          <w:rFonts w:ascii="宋体" w:hAnsi="宋体" w:eastAsia="宋体" w:cs="宋体"/>
          <w:spacing w:val="8"/>
          <w:sz w:val="24"/>
          <w:szCs w:val="24"/>
        </w:rPr>
        <w:t>（</w:t>
      </w:r>
      <w:r>
        <w:fldChar w:fldCharType="begin"/>
      </w:r>
      <w:r>
        <w:instrText xml:space="preserve"> HYPERLINK "http://www.gsxt.gov.cn" </w:instrText>
      </w:r>
      <w:r>
        <w:fldChar w:fldCharType="separate"/>
      </w:r>
      <w:r>
        <w:rPr>
          <w:rFonts w:ascii="宋体" w:hAnsi="宋体" w:eastAsia="宋体" w:cs="宋体"/>
          <w:sz w:val="24"/>
          <w:szCs w:val="24"/>
        </w:rPr>
        <w:t>http</w:t>
      </w:r>
      <w:r>
        <w:rPr>
          <w:rFonts w:ascii="宋体" w:hAnsi="宋体" w:eastAsia="宋体" w:cs="宋体"/>
          <w:spacing w:val="8"/>
          <w:sz w:val="24"/>
          <w:szCs w:val="24"/>
        </w:rPr>
        <w:t>://</w:t>
      </w:r>
      <w:r>
        <w:rPr>
          <w:rFonts w:ascii="宋体" w:hAnsi="宋体" w:eastAsia="宋体" w:cs="宋体"/>
          <w:sz w:val="24"/>
          <w:szCs w:val="24"/>
        </w:rPr>
        <w:t>www</w:t>
      </w:r>
      <w:r>
        <w:rPr>
          <w:rFonts w:ascii="宋体" w:hAnsi="宋体" w:eastAsia="宋体" w:cs="宋体"/>
          <w:spacing w:val="8"/>
          <w:sz w:val="24"/>
          <w:szCs w:val="24"/>
        </w:rPr>
        <w:t>.</w:t>
      </w:r>
      <w:r>
        <w:rPr>
          <w:rFonts w:ascii="宋体" w:hAnsi="宋体" w:eastAsia="宋体" w:cs="宋体"/>
          <w:sz w:val="24"/>
          <w:szCs w:val="24"/>
        </w:rPr>
        <w:t>gsxt</w:t>
      </w:r>
      <w:r>
        <w:rPr>
          <w:rFonts w:ascii="宋体" w:hAnsi="宋体" w:eastAsia="宋体" w:cs="宋体"/>
          <w:spacing w:val="8"/>
          <w:sz w:val="24"/>
          <w:szCs w:val="24"/>
        </w:rPr>
        <w:t>.</w:t>
      </w:r>
      <w:r>
        <w:rPr>
          <w:rFonts w:ascii="宋体" w:hAnsi="宋体" w:eastAsia="宋体" w:cs="宋体"/>
          <w:sz w:val="24"/>
          <w:szCs w:val="24"/>
        </w:rPr>
        <w:t>gov</w:t>
      </w:r>
      <w:r>
        <w:rPr>
          <w:rFonts w:ascii="宋体" w:hAnsi="宋体" w:eastAsia="宋体" w:cs="宋体"/>
          <w:spacing w:val="8"/>
          <w:sz w:val="24"/>
          <w:szCs w:val="24"/>
        </w:rPr>
        <w:t>.</w:t>
      </w:r>
      <w:r>
        <w:rPr>
          <w:rFonts w:ascii="宋体" w:hAnsi="宋体" w:eastAsia="宋体" w:cs="宋体"/>
          <w:sz w:val="24"/>
          <w:szCs w:val="24"/>
        </w:rPr>
        <w:t>cn</w:t>
      </w:r>
      <w:r>
        <w:rPr>
          <w:rFonts w:ascii="宋体" w:hAnsi="宋体" w:eastAsia="宋体" w:cs="宋体"/>
          <w:sz w:val="24"/>
          <w:szCs w:val="24"/>
        </w:rPr>
        <w:fldChar w:fldCharType="end"/>
      </w:r>
      <w:r>
        <w:rPr>
          <w:rFonts w:ascii="宋体" w:hAnsi="宋体" w:eastAsia="宋体" w:cs="宋体"/>
          <w:spacing w:val="8"/>
          <w:sz w:val="24"/>
          <w:szCs w:val="24"/>
        </w:rPr>
        <w:t>）已公布的信用记录查询结果。</w:t>
      </w:r>
      <w:r>
        <w:rPr>
          <w:rFonts w:ascii="宋体" w:hAnsi="宋体" w:eastAsia="宋体" w:cs="宋体"/>
          <w:spacing w:val="6"/>
          <w:sz w:val="24"/>
          <w:szCs w:val="24"/>
        </w:rPr>
        <w:t>查询信息包含：</w:t>
      </w:r>
    </w:p>
    <w:p w14:paraId="7BC1DDF6">
      <w:pPr>
        <w:keepNext w:val="0"/>
        <w:keepLines w:val="0"/>
        <w:pageBreakBefore w:val="0"/>
        <w:kinsoku/>
        <w:wordWrap/>
        <w:overflowPunct/>
        <w:topLinePunct w:val="0"/>
        <w:bidi w:val="0"/>
        <w:spacing w:before="35" w:line="219" w:lineRule="auto"/>
        <w:ind w:left="18"/>
        <w:rPr>
          <w:rFonts w:ascii="宋体" w:hAnsi="宋体" w:eastAsia="宋体" w:cs="宋体"/>
          <w:sz w:val="24"/>
          <w:szCs w:val="24"/>
        </w:rPr>
      </w:pPr>
      <w:r>
        <w:rPr>
          <w:rFonts w:ascii="宋体" w:hAnsi="宋体" w:eastAsia="宋体" w:cs="宋体"/>
          <w:spacing w:val="8"/>
          <w:sz w:val="24"/>
          <w:szCs w:val="24"/>
        </w:rPr>
        <w:t>1）被列入失信被执行人</w:t>
      </w:r>
    </w:p>
    <w:p w14:paraId="7B3DFEF3">
      <w:pPr>
        <w:keepNext w:val="0"/>
        <w:keepLines w:val="0"/>
        <w:pageBreakBefore w:val="0"/>
        <w:kinsoku/>
        <w:wordWrap/>
        <w:overflowPunct/>
        <w:topLinePunct w:val="0"/>
        <w:bidi w:val="0"/>
        <w:spacing w:before="180" w:line="219" w:lineRule="auto"/>
        <w:ind w:left="3"/>
        <w:rPr>
          <w:rFonts w:ascii="宋体" w:hAnsi="宋体" w:eastAsia="宋体" w:cs="宋体"/>
          <w:sz w:val="24"/>
          <w:szCs w:val="24"/>
        </w:rPr>
      </w:pPr>
      <w:r>
        <w:rPr>
          <w:rFonts w:ascii="宋体" w:hAnsi="宋体" w:eastAsia="宋体" w:cs="宋体"/>
          <w:spacing w:val="10"/>
          <w:sz w:val="24"/>
          <w:szCs w:val="24"/>
        </w:rPr>
        <w:t>2）重大税收违法案件当事人名单的供应商</w:t>
      </w:r>
    </w:p>
    <w:p w14:paraId="6E02B9DA">
      <w:pPr>
        <w:keepNext w:val="0"/>
        <w:keepLines w:val="0"/>
        <w:pageBreakBefore w:val="0"/>
        <w:kinsoku/>
        <w:wordWrap/>
        <w:overflowPunct/>
        <w:topLinePunct w:val="0"/>
        <w:bidi w:val="0"/>
        <w:spacing w:before="180" w:line="219" w:lineRule="auto"/>
        <w:ind w:left="5"/>
        <w:rPr>
          <w:rFonts w:ascii="宋体" w:hAnsi="宋体" w:eastAsia="宋体" w:cs="宋体"/>
          <w:sz w:val="24"/>
          <w:szCs w:val="24"/>
        </w:rPr>
      </w:pPr>
      <w:r>
        <w:rPr>
          <w:rFonts w:ascii="宋体" w:hAnsi="宋体" w:eastAsia="宋体" w:cs="宋体"/>
          <w:spacing w:val="10"/>
          <w:sz w:val="24"/>
          <w:szCs w:val="24"/>
        </w:rPr>
        <w:t>3）列入政府采购严重违法失信行为记录名单</w:t>
      </w:r>
    </w:p>
    <w:p w14:paraId="6341763C">
      <w:pPr>
        <w:keepNext w:val="0"/>
        <w:keepLines w:val="0"/>
        <w:pageBreakBefore w:val="0"/>
        <w:kinsoku/>
        <w:wordWrap/>
        <w:overflowPunct/>
        <w:topLinePunct w:val="0"/>
        <w:bidi w:val="0"/>
        <w:spacing w:before="183" w:line="232" w:lineRule="auto"/>
        <w:ind w:left="1" w:firstLine="1"/>
        <w:rPr>
          <w:rFonts w:ascii="黑体" w:hAnsi="黑体" w:eastAsia="黑体" w:cs="黑体"/>
          <w:sz w:val="24"/>
          <w:szCs w:val="24"/>
        </w:rPr>
      </w:pPr>
      <w:r>
        <w:rPr>
          <w:rFonts w:ascii="黑体" w:hAnsi="黑体" w:eastAsia="黑体" w:cs="黑体"/>
          <w:spacing w:val="11"/>
          <w:sz w:val="24"/>
          <w:szCs w:val="24"/>
        </w:rPr>
        <w:t>注：网站搜索页输入供应商名称，查询相关信息，提供网页打印件，打印件需显示</w:t>
      </w:r>
      <w:r>
        <w:rPr>
          <w:rFonts w:ascii="黑体" w:hAnsi="黑体" w:eastAsia="黑体" w:cs="黑体"/>
          <w:spacing w:val="5"/>
          <w:sz w:val="24"/>
          <w:szCs w:val="24"/>
        </w:rPr>
        <w:t>打印日期。</w:t>
      </w:r>
    </w:p>
    <w:p w14:paraId="189DE604">
      <w:pPr>
        <w:pStyle w:val="7"/>
        <w:keepNext w:val="0"/>
        <w:keepLines w:val="0"/>
        <w:pageBreakBefore w:val="0"/>
        <w:kinsoku/>
        <w:wordWrap/>
        <w:overflowPunct/>
        <w:topLinePunct w:val="0"/>
        <w:bidi w:val="0"/>
        <w:spacing w:line="254" w:lineRule="auto"/>
      </w:pPr>
    </w:p>
    <w:p w14:paraId="33C5A8AB">
      <w:pPr>
        <w:keepNext w:val="0"/>
        <w:keepLines w:val="0"/>
        <w:pageBreakBefore w:val="0"/>
        <w:kinsoku/>
        <w:wordWrap/>
        <w:overflowPunct/>
        <w:topLinePunct w:val="0"/>
        <w:bidi w:val="0"/>
        <w:spacing w:before="78" w:line="219" w:lineRule="auto"/>
        <w:ind w:left="869"/>
        <w:rPr>
          <w:rFonts w:ascii="宋体" w:hAnsi="宋体" w:eastAsia="宋体" w:cs="宋体"/>
          <w:b/>
          <w:bCs/>
          <w:spacing w:val="9"/>
          <w:sz w:val="24"/>
          <w:szCs w:val="24"/>
        </w:rPr>
      </w:pPr>
      <w:r>
        <w:rPr>
          <w:rFonts w:ascii="宋体" w:hAnsi="宋体" w:eastAsia="宋体" w:cs="宋体"/>
          <w:b/>
          <w:bCs/>
          <w:spacing w:val="10"/>
          <w:sz w:val="24"/>
          <w:szCs w:val="24"/>
        </w:rPr>
        <w:t>服务需求、商务条款要求提供的其他材料、有利</w:t>
      </w:r>
      <w:r>
        <w:rPr>
          <w:rFonts w:ascii="宋体" w:hAnsi="宋体" w:eastAsia="宋体" w:cs="宋体"/>
          <w:b/>
          <w:bCs/>
          <w:spacing w:val="9"/>
          <w:sz w:val="24"/>
          <w:szCs w:val="24"/>
        </w:rPr>
        <w:t>于本次投标的相关资料</w:t>
      </w:r>
    </w:p>
    <w:p w14:paraId="17C6DE67">
      <w:pPr>
        <w:rPr>
          <w:rFonts w:ascii="宋体" w:hAnsi="宋体" w:eastAsia="宋体" w:cs="宋体"/>
          <w:b/>
          <w:bCs/>
          <w:spacing w:val="9"/>
          <w:sz w:val="24"/>
          <w:szCs w:val="24"/>
        </w:rPr>
      </w:pPr>
      <w:r>
        <w:rPr>
          <w:rFonts w:ascii="宋体" w:hAnsi="宋体" w:eastAsia="宋体" w:cs="宋体"/>
          <w:b/>
          <w:bCs/>
          <w:spacing w:val="9"/>
          <w:sz w:val="24"/>
          <w:szCs w:val="24"/>
        </w:rPr>
        <w:br w:type="page"/>
      </w:r>
    </w:p>
    <w:p w14:paraId="58C00727">
      <w:pPr>
        <w:keepNext w:val="0"/>
        <w:keepLines w:val="0"/>
        <w:pageBreakBefore w:val="0"/>
        <w:widowControl/>
        <w:kinsoku/>
        <w:wordWrap/>
        <w:overflowPunct/>
        <w:topLinePunct w:val="0"/>
        <w:autoSpaceDE w:val="0"/>
        <w:autoSpaceDN w:val="0"/>
        <w:bidi w:val="0"/>
        <w:adjustRightInd w:val="0"/>
        <w:snapToGrid w:val="0"/>
        <w:spacing w:before="101" w:line="225" w:lineRule="auto"/>
        <w:textAlignment w:val="baseline"/>
        <w:outlineLvl w:val="0"/>
        <w:rPr>
          <w:rFonts w:hint="eastAsia" w:ascii="宋体" w:hAnsi="宋体" w:eastAsia="宋体" w:cs="宋体"/>
          <w:b/>
          <w:bCs/>
          <w:spacing w:val="6"/>
          <w:sz w:val="31"/>
          <w:szCs w:val="31"/>
          <w:lang w:val="en-US" w:eastAsia="zh-CN"/>
        </w:rPr>
      </w:pPr>
      <w:r>
        <w:rPr>
          <w:rFonts w:hint="eastAsia" w:ascii="宋体" w:hAnsi="宋体" w:eastAsia="宋体" w:cs="宋体"/>
          <w:b/>
          <w:bCs/>
          <w:spacing w:val="6"/>
          <w:sz w:val="31"/>
          <w:szCs w:val="31"/>
          <w:lang w:eastAsia="zh-CN"/>
        </w:rPr>
        <w:t>附件：</w:t>
      </w:r>
      <w:r>
        <w:rPr>
          <w:rFonts w:hint="eastAsia" w:ascii="宋体" w:hAnsi="宋体" w:eastAsia="宋体" w:cs="宋体"/>
          <w:b/>
          <w:bCs/>
          <w:spacing w:val="6"/>
          <w:sz w:val="31"/>
          <w:szCs w:val="31"/>
          <w:lang w:val="en-US" w:eastAsia="zh-CN"/>
        </w:rPr>
        <w:t>1</w:t>
      </w:r>
    </w:p>
    <w:p w14:paraId="4507D761">
      <w:pPr>
        <w:keepNext w:val="0"/>
        <w:keepLines w:val="0"/>
        <w:pageBreakBefore w:val="0"/>
        <w:widowControl/>
        <w:kinsoku/>
        <w:wordWrap/>
        <w:overflowPunct/>
        <w:topLinePunct w:val="0"/>
        <w:autoSpaceDE w:val="0"/>
        <w:autoSpaceDN w:val="0"/>
        <w:bidi w:val="0"/>
        <w:adjustRightInd w:val="0"/>
        <w:snapToGrid w:val="0"/>
        <w:spacing w:before="101" w:line="225" w:lineRule="auto"/>
        <w:jc w:val="center"/>
        <w:textAlignment w:val="baseline"/>
        <w:outlineLvl w:val="0"/>
        <w:rPr>
          <w:rFonts w:ascii="宋体" w:hAnsi="宋体" w:eastAsia="宋体" w:cs="宋体"/>
          <w:sz w:val="31"/>
          <w:szCs w:val="31"/>
        </w:rPr>
      </w:pPr>
      <w:r>
        <w:rPr>
          <w:rFonts w:ascii="宋体" w:hAnsi="宋体" w:eastAsia="宋体" w:cs="宋体"/>
          <w:b/>
          <w:bCs/>
          <w:spacing w:val="6"/>
          <w:sz w:val="31"/>
          <w:szCs w:val="31"/>
        </w:rPr>
        <w:t>关于印发中小企业划型标准规定的通知</w:t>
      </w:r>
    </w:p>
    <w:p w14:paraId="12961C5A">
      <w:pPr>
        <w:keepNext w:val="0"/>
        <w:keepLines w:val="0"/>
        <w:pageBreakBefore w:val="0"/>
        <w:widowControl/>
        <w:kinsoku/>
        <w:wordWrap/>
        <w:overflowPunct/>
        <w:topLinePunct w:val="0"/>
        <w:autoSpaceDE w:val="0"/>
        <w:autoSpaceDN w:val="0"/>
        <w:bidi w:val="0"/>
        <w:adjustRightInd w:val="0"/>
        <w:snapToGrid w:val="0"/>
        <w:spacing w:before="128" w:line="224" w:lineRule="auto"/>
        <w:ind w:left="3009"/>
        <w:textAlignment w:val="baseline"/>
        <w:rPr>
          <w:rFonts w:ascii="楷体" w:hAnsi="楷体" w:eastAsia="楷体" w:cs="楷体"/>
          <w:sz w:val="24"/>
          <w:szCs w:val="24"/>
        </w:rPr>
      </w:pPr>
      <w:r>
        <w:rPr>
          <w:rFonts w:ascii="楷体" w:hAnsi="楷体" w:eastAsia="楷体" w:cs="楷体"/>
          <w:spacing w:val="-1"/>
          <w:sz w:val="24"/>
          <w:szCs w:val="24"/>
        </w:rPr>
        <w:t>工信部联企业〔2011〕300</w:t>
      </w:r>
      <w:r>
        <w:rPr>
          <w:rFonts w:ascii="楷体" w:hAnsi="楷体" w:eastAsia="楷体" w:cs="楷体"/>
          <w:spacing w:val="-42"/>
          <w:sz w:val="24"/>
          <w:szCs w:val="24"/>
        </w:rPr>
        <w:t xml:space="preserve"> </w:t>
      </w:r>
      <w:r>
        <w:rPr>
          <w:rFonts w:ascii="楷体" w:hAnsi="楷体" w:eastAsia="楷体" w:cs="楷体"/>
          <w:spacing w:val="-1"/>
          <w:sz w:val="24"/>
          <w:szCs w:val="24"/>
        </w:rPr>
        <w:t>号</w:t>
      </w:r>
    </w:p>
    <w:p w14:paraId="37F9A116">
      <w:pPr>
        <w:keepNext w:val="0"/>
        <w:keepLines w:val="0"/>
        <w:pageBreakBefore w:val="0"/>
        <w:widowControl/>
        <w:kinsoku/>
        <w:wordWrap/>
        <w:overflowPunct/>
        <w:topLinePunct w:val="0"/>
        <w:autoSpaceDE w:val="0"/>
        <w:autoSpaceDN w:val="0"/>
        <w:bidi w:val="0"/>
        <w:adjustRightInd w:val="0"/>
        <w:snapToGrid w:val="0"/>
        <w:spacing w:before="299" w:line="219" w:lineRule="auto"/>
        <w:ind w:left="3"/>
        <w:textAlignment w:val="baseline"/>
        <w:rPr>
          <w:rFonts w:ascii="宋体" w:hAnsi="宋体" w:eastAsia="宋体" w:cs="宋体"/>
          <w:sz w:val="24"/>
          <w:szCs w:val="24"/>
        </w:rPr>
      </w:pPr>
      <w:r>
        <w:rPr>
          <w:rFonts w:ascii="宋体" w:hAnsi="宋体" w:eastAsia="宋体" w:cs="宋体"/>
          <w:spacing w:val="-2"/>
          <w:sz w:val="24"/>
          <w:szCs w:val="24"/>
        </w:rPr>
        <w:t>各省、</w:t>
      </w:r>
      <w:r>
        <w:rPr>
          <w:rFonts w:ascii="宋体" w:hAnsi="宋体" w:eastAsia="宋体" w:cs="宋体"/>
          <w:spacing w:val="-68"/>
          <w:sz w:val="24"/>
          <w:szCs w:val="24"/>
        </w:rPr>
        <w:t xml:space="preserve"> </w:t>
      </w:r>
      <w:r>
        <w:rPr>
          <w:rFonts w:ascii="宋体" w:hAnsi="宋体" w:eastAsia="宋体" w:cs="宋体"/>
          <w:spacing w:val="-2"/>
          <w:sz w:val="24"/>
          <w:szCs w:val="24"/>
        </w:rPr>
        <w:t>自治区、直辖市人民政府，国务院各部委、各直属机构及有关单位：</w:t>
      </w:r>
    </w:p>
    <w:p w14:paraId="5476140E">
      <w:pPr>
        <w:keepNext w:val="0"/>
        <w:keepLines w:val="0"/>
        <w:pageBreakBefore w:val="0"/>
        <w:widowControl/>
        <w:kinsoku/>
        <w:wordWrap/>
        <w:overflowPunct/>
        <w:topLinePunct w:val="0"/>
        <w:autoSpaceDE w:val="0"/>
        <w:autoSpaceDN w:val="0"/>
        <w:bidi w:val="0"/>
        <w:adjustRightInd w:val="0"/>
        <w:snapToGrid w:val="0"/>
        <w:spacing w:before="178" w:line="353" w:lineRule="auto"/>
        <w:ind w:right="2" w:firstLine="483"/>
        <w:jc w:val="both"/>
        <w:textAlignment w:val="baseline"/>
        <w:rPr>
          <w:rFonts w:ascii="宋体" w:hAnsi="宋体" w:eastAsia="宋体" w:cs="宋体"/>
          <w:sz w:val="24"/>
          <w:szCs w:val="24"/>
        </w:rPr>
      </w:pPr>
      <w:r>
        <w:rPr>
          <w:rFonts w:ascii="宋体" w:hAnsi="宋体" w:eastAsia="宋体" w:cs="宋体"/>
          <w:spacing w:val="-2"/>
          <w:sz w:val="24"/>
          <w:szCs w:val="24"/>
        </w:rPr>
        <w:t>为贯彻落实《中华人民共和国中小企业促进法》和《国务院关于进一步促进中小企</w:t>
      </w:r>
      <w:r>
        <w:rPr>
          <w:rFonts w:ascii="宋体" w:hAnsi="宋体" w:eastAsia="宋体" w:cs="宋体"/>
          <w:spacing w:val="10"/>
          <w:sz w:val="24"/>
          <w:szCs w:val="24"/>
        </w:rPr>
        <w:t xml:space="preserve"> </w:t>
      </w:r>
      <w:r>
        <w:rPr>
          <w:rFonts w:ascii="宋体" w:hAnsi="宋体" w:eastAsia="宋体" w:cs="宋体"/>
          <w:spacing w:val="-1"/>
          <w:sz w:val="24"/>
          <w:szCs w:val="24"/>
        </w:rPr>
        <w:t>业发展的若干意见》（国发〔2009〕36</w:t>
      </w:r>
      <w:r>
        <w:rPr>
          <w:rFonts w:ascii="宋体" w:hAnsi="宋体" w:eastAsia="宋体" w:cs="宋体"/>
          <w:spacing w:val="-2"/>
          <w:sz w:val="24"/>
          <w:szCs w:val="24"/>
        </w:rPr>
        <w:t>号</w:t>
      </w:r>
      <w:r>
        <w:rPr>
          <w:rFonts w:ascii="宋体" w:hAnsi="宋体" w:eastAsia="宋体" w:cs="宋体"/>
          <w:sz w:val="24"/>
          <w:szCs w:val="24"/>
        </w:rPr>
        <w:t>），</w:t>
      </w:r>
      <w:r>
        <w:rPr>
          <w:rFonts w:ascii="宋体" w:hAnsi="宋体" w:eastAsia="宋体" w:cs="宋体"/>
          <w:spacing w:val="-2"/>
          <w:sz w:val="24"/>
          <w:szCs w:val="24"/>
        </w:rPr>
        <w:t>工业和信息化部、国家统计局、发展改革</w:t>
      </w:r>
      <w:r>
        <w:rPr>
          <w:rFonts w:ascii="宋体" w:hAnsi="宋体" w:eastAsia="宋体" w:cs="宋体"/>
          <w:sz w:val="24"/>
          <w:szCs w:val="24"/>
        </w:rPr>
        <w:t xml:space="preserve"> </w:t>
      </w:r>
      <w:r>
        <w:rPr>
          <w:rFonts w:ascii="宋体" w:hAnsi="宋体" w:eastAsia="宋体" w:cs="宋体"/>
          <w:spacing w:val="-2"/>
          <w:sz w:val="24"/>
          <w:szCs w:val="24"/>
        </w:rPr>
        <w:t>委、财政部研究制定了《中小企业划型标准规定》。经国务院同意，现印发给你们，请</w:t>
      </w:r>
      <w:r>
        <w:rPr>
          <w:rFonts w:ascii="宋体" w:hAnsi="宋体" w:eastAsia="宋体" w:cs="宋体"/>
          <w:spacing w:val="18"/>
          <w:sz w:val="24"/>
          <w:szCs w:val="24"/>
        </w:rPr>
        <w:t xml:space="preserve"> </w:t>
      </w:r>
      <w:r>
        <w:rPr>
          <w:rFonts w:ascii="宋体" w:hAnsi="宋体" w:eastAsia="宋体" w:cs="宋体"/>
          <w:spacing w:val="-2"/>
          <w:sz w:val="24"/>
          <w:szCs w:val="24"/>
        </w:rPr>
        <w:t>遵照执行。</w:t>
      </w:r>
    </w:p>
    <w:p w14:paraId="5EFFB5B0">
      <w:pPr>
        <w:keepNext w:val="0"/>
        <w:keepLines w:val="0"/>
        <w:pageBreakBefore w:val="0"/>
        <w:widowControl/>
        <w:kinsoku/>
        <w:wordWrap/>
        <w:overflowPunct/>
        <w:topLinePunct w:val="0"/>
        <w:autoSpaceDE w:val="0"/>
        <w:autoSpaceDN w:val="0"/>
        <w:bidi w:val="0"/>
        <w:adjustRightInd w:val="0"/>
        <w:snapToGrid w:val="0"/>
        <w:spacing w:before="35" w:line="220" w:lineRule="auto"/>
        <w:ind w:left="5403"/>
        <w:textAlignment w:val="baseline"/>
        <w:rPr>
          <w:rFonts w:ascii="宋体" w:hAnsi="宋体" w:eastAsia="宋体" w:cs="宋体"/>
          <w:sz w:val="24"/>
          <w:szCs w:val="24"/>
        </w:rPr>
      </w:pPr>
      <w:r>
        <w:rPr>
          <w:rFonts w:ascii="宋体" w:hAnsi="宋体" w:eastAsia="宋体" w:cs="宋体"/>
          <w:spacing w:val="-4"/>
          <w:sz w:val="24"/>
          <w:szCs w:val="24"/>
        </w:rPr>
        <w:t>工业和信息化部</w:t>
      </w:r>
      <w:r>
        <w:rPr>
          <w:rFonts w:ascii="宋体" w:hAnsi="宋体" w:eastAsia="宋体" w:cs="宋体"/>
          <w:spacing w:val="17"/>
          <w:sz w:val="24"/>
          <w:szCs w:val="24"/>
        </w:rPr>
        <w:t xml:space="preserve">  </w:t>
      </w:r>
      <w:r>
        <w:rPr>
          <w:rFonts w:ascii="宋体" w:hAnsi="宋体" w:eastAsia="宋体" w:cs="宋体"/>
          <w:spacing w:val="-4"/>
          <w:sz w:val="24"/>
          <w:szCs w:val="24"/>
        </w:rPr>
        <w:t>国家统计局</w:t>
      </w:r>
    </w:p>
    <w:p w14:paraId="5F47FC1B">
      <w:pPr>
        <w:keepNext w:val="0"/>
        <w:keepLines w:val="0"/>
        <w:pageBreakBefore w:val="0"/>
        <w:widowControl/>
        <w:kinsoku/>
        <w:wordWrap/>
        <w:overflowPunct/>
        <w:topLinePunct w:val="0"/>
        <w:autoSpaceDE w:val="0"/>
        <w:autoSpaceDN w:val="0"/>
        <w:bidi w:val="0"/>
        <w:adjustRightInd w:val="0"/>
        <w:snapToGrid w:val="0"/>
        <w:spacing w:before="179" w:line="347" w:lineRule="auto"/>
        <w:ind w:left="4564" w:right="434" w:firstLine="739"/>
        <w:textAlignment w:val="baseline"/>
        <w:rPr>
          <w:rFonts w:ascii="宋体" w:hAnsi="宋体" w:eastAsia="宋体" w:cs="宋体"/>
          <w:spacing w:val="11"/>
          <w:sz w:val="24"/>
          <w:szCs w:val="24"/>
        </w:rPr>
      </w:pPr>
      <w:r>
        <w:rPr>
          <w:rFonts w:ascii="宋体" w:hAnsi="宋体" w:eastAsia="宋体" w:cs="宋体"/>
          <w:spacing w:val="-3"/>
          <w:sz w:val="24"/>
          <w:szCs w:val="24"/>
        </w:rPr>
        <w:t>国家发展和改革委员会财政部</w:t>
      </w:r>
      <w:r>
        <w:rPr>
          <w:rFonts w:ascii="宋体" w:hAnsi="宋体" w:eastAsia="宋体" w:cs="宋体"/>
          <w:spacing w:val="11"/>
          <w:sz w:val="24"/>
          <w:szCs w:val="24"/>
        </w:rPr>
        <w:t xml:space="preserve"> </w:t>
      </w:r>
    </w:p>
    <w:p w14:paraId="2AA752F2">
      <w:pPr>
        <w:keepNext w:val="0"/>
        <w:keepLines w:val="0"/>
        <w:pageBreakBefore w:val="0"/>
        <w:widowControl/>
        <w:kinsoku/>
        <w:wordWrap/>
        <w:overflowPunct/>
        <w:topLinePunct w:val="0"/>
        <w:autoSpaceDE w:val="0"/>
        <w:autoSpaceDN w:val="0"/>
        <w:bidi w:val="0"/>
        <w:adjustRightInd w:val="0"/>
        <w:snapToGrid w:val="0"/>
        <w:spacing w:before="179" w:line="347" w:lineRule="auto"/>
        <w:ind w:left="4564" w:right="434" w:firstLine="1536" w:firstLineChars="651"/>
        <w:textAlignment w:val="baseline"/>
        <w:rPr>
          <w:rFonts w:ascii="宋体" w:hAnsi="宋体" w:eastAsia="宋体" w:cs="宋体"/>
          <w:sz w:val="24"/>
          <w:szCs w:val="24"/>
        </w:rPr>
      </w:pPr>
      <w:r>
        <w:rPr>
          <w:rFonts w:ascii="宋体" w:hAnsi="宋体" w:eastAsia="宋体" w:cs="宋体"/>
          <w:spacing w:val="-2"/>
          <w:sz w:val="24"/>
          <w:szCs w:val="24"/>
        </w:rPr>
        <w:t>二○一一年六月十八日</w:t>
      </w:r>
    </w:p>
    <w:p w14:paraId="0D39DD07">
      <w:pPr>
        <w:keepNext w:val="0"/>
        <w:keepLines w:val="0"/>
        <w:pageBreakBefore w:val="0"/>
        <w:widowControl/>
        <w:kinsoku/>
        <w:wordWrap/>
        <w:overflowPunct/>
        <w:topLinePunct w:val="0"/>
        <w:autoSpaceDE w:val="0"/>
        <w:autoSpaceDN w:val="0"/>
        <w:bidi w:val="0"/>
        <w:adjustRightInd w:val="0"/>
        <w:snapToGrid w:val="0"/>
        <w:spacing w:before="313" w:line="221" w:lineRule="auto"/>
        <w:ind w:left="3354"/>
        <w:textAlignment w:val="baseline"/>
        <w:outlineLvl w:val="0"/>
        <w:rPr>
          <w:rFonts w:ascii="宋体" w:hAnsi="宋体" w:eastAsia="宋体" w:cs="宋体"/>
          <w:sz w:val="24"/>
          <w:szCs w:val="24"/>
        </w:rPr>
      </w:pPr>
      <w:r>
        <w:rPr>
          <w:rFonts w:ascii="宋体" w:hAnsi="宋体" w:eastAsia="宋体" w:cs="宋体"/>
          <w:b/>
          <w:bCs/>
          <w:spacing w:val="-5"/>
          <w:sz w:val="24"/>
          <w:szCs w:val="24"/>
        </w:rPr>
        <w:t>中小企业划型标准规定</w:t>
      </w:r>
    </w:p>
    <w:p w14:paraId="5C3D1135">
      <w:pPr>
        <w:pStyle w:val="7"/>
        <w:keepNext w:val="0"/>
        <w:keepLines w:val="0"/>
        <w:pageBreakBefore w:val="0"/>
        <w:widowControl/>
        <w:kinsoku/>
        <w:wordWrap/>
        <w:overflowPunct/>
        <w:topLinePunct w:val="0"/>
        <w:autoSpaceDE w:val="0"/>
        <w:autoSpaceDN w:val="0"/>
        <w:bidi w:val="0"/>
        <w:adjustRightInd w:val="0"/>
        <w:snapToGrid w:val="0"/>
        <w:spacing w:line="378" w:lineRule="auto"/>
        <w:textAlignment w:val="baseline"/>
      </w:pPr>
    </w:p>
    <w:p w14:paraId="5118D5D2">
      <w:pPr>
        <w:keepNext w:val="0"/>
        <w:keepLines w:val="0"/>
        <w:pageBreakBefore w:val="0"/>
        <w:widowControl/>
        <w:kinsoku/>
        <w:wordWrap/>
        <w:overflowPunct/>
        <w:topLinePunct w:val="0"/>
        <w:autoSpaceDE w:val="0"/>
        <w:autoSpaceDN w:val="0"/>
        <w:bidi w:val="0"/>
        <w:adjustRightInd w:val="0"/>
        <w:snapToGrid w:val="0"/>
        <w:spacing w:before="78" w:line="290" w:lineRule="auto"/>
        <w:ind w:left="4" w:right="2" w:firstLine="480"/>
        <w:textAlignment w:val="baseline"/>
        <w:rPr>
          <w:rFonts w:ascii="宋体" w:hAnsi="宋体" w:eastAsia="宋体" w:cs="宋体"/>
          <w:sz w:val="24"/>
          <w:szCs w:val="24"/>
        </w:rPr>
      </w:pPr>
      <w:r>
        <w:rPr>
          <w:rFonts w:ascii="宋体" w:hAnsi="宋体" w:eastAsia="宋体" w:cs="宋体"/>
          <w:spacing w:val="-2"/>
          <w:sz w:val="24"/>
          <w:szCs w:val="24"/>
        </w:rPr>
        <w:t>一、根据《中华人民共和国中小企业促进法》和《国务院关于进一步促进中小企业</w:t>
      </w:r>
      <w:r>
        <w:rPr>
          <w:rFonts w:ascii="宋体" w:hAnsi="宋体" w:eastAsia="宋体" w:cs="宋体"/>
          <w:spacing w:val="9"/>
          <w:sz w:val="24"/>
          <w:szCs w:val="24"/>
        </w:rPr>
        <w:t xml:space="preserve"> </w:t>
      </w:r>
      <w:r>
        <w:rPr>
          <w:rFonts w:ascii="宋体" w:hAnsi="宋体" w:eastAsia="宋体" w:cs="宋体"/>
          <w:spacing w:val="-3"/>
          <w:sz w:val="24"/>
          <w:szCs w:val="24"/>
        </w:rPr>
        <w:t>发展的若干意见》</w:t>
      </w:r>
      <w:r>
        <w:rPr>
          <w:rFonts w:ascii="宋体" w:hAnsi="宋体" w:eastAsia="宋体" w:cs="宋体"/>
          <w:spacing w:val="-51"/>
          <w:sz w:val="24"/>
          <w:szCs w:val="24"/>
        </w:rPr>
        <w:t xml:space="preserve"> </w:t>
      </w:r>
      <w:r>
        <w:rPr>
          <w:rFonts w:ascii="宋体" w:hAnsi="宋体" w:eastAsia="宋体" w:cs="宋体"/>
          <w:spacing w:val="-3"/>
          <w:sz w:val="24"/>
          <w:szCs w:val="24"/>
        </w:rPr>
        <w:t>(国发〔2009〕36号)，制定本规定。</w:t>
      </w:r>
    </w:p>
    <w:p w14:paraId="031D3CA0">
      <w:pPr>
        <w:keepNext w:val="0"/>
        <w:keepLines w:val="0"/>
        <w:pageBreakBefore w:val="0"/>
        <w:widowControl/>
        <w:kinsoku/>
        <w:wordWrap/>
        <w:overflowPunct/>
        <w:topLinePunct w:val="0"/>
        <w:autoSpaceDE w:val="0"/>
        <w:autoSpaceDN w:val="0"/>
        <w:bidi w:val="0"/>
        <w:adjustRightInd w:val="0"/>
        <w:snapToGrid w:val="0"/>
        <w:spacing w:before="180" w:line="290" w:lineRule="auto"/>
        <w:ind w:right="2" w:firstLine="484"/>
        <w:textAlignment w:val="baseline"/>
        <w:rPr>
          <w:rFonts w:ascii="宋体" w:hAnsi="宋体" w:eastAsia="宋体" w:cs="宋体"/>
          <w:sz w:val="24"/>
          <w:szCs w:val="24"/>
        </w:rPr>
      </w:pPr>
      <w:r>
        <w:rPr>
          <w:rFonts w:ascii="宋体" w:hAnsi="宋体" w:eastAsia="宋体" w:cs="宋体"/>
          <w:spacing w:val="-2"/>
          <w:sz w:val="24"/>
          <w:szCs w:val="24"/>
        </w:rPr>
        <w:t>二、中小企业划分为中型、小型、微型三种类型，具体标准根据企业从业人员、营</w:t>
      </w:r>
      <w:r>
        <w:rPr>
          <w:rFonts w:ascii="宋体" w:hAnsi="宋体" w:eastAsia="宋体" w:cs="宋体"/>
          <w:spacing w:val="9"/>
          <w:sz w:val="24"/>
          <w:szCs w:val="24"/>
        </w:rPr>
        <w:t xml:space="preserve"> </w:t>
      </w:r>
      <w:r>
        <w:rPr>
          <w:rFonts w:ascii="宋体" w:hAnsi="宋体" w:eastAsia="宋体" w:cs="宋体"/>
          <w:spacing w:val="-1"/>
          <w:sz w:val="24"/>
          <w:szCs w:val="24"/>
        </w:rPr>
        <w:t>业收入、资产总额等指标，结合行业特点制定。</w:t>
      </w:r>
    </w:p>
    <w:p w14:paraId="30636306">
      <w:pPr>
        <w:keepNext w:val="0"/>
        <w:keepLines w:val="0"/>
        <w:pageBreakBefore w:val="0"/>
        <w:widowControl/>
        <w:kinsoku/>
        <w:wordWrap/>
        <w:overflowPunct/>
        <w:topLinePunct w:val="0"/>
        <w:autoSpaceDE w:val="0"/>
        <w:autoSpaceDN w:val="0"/>
        <w:bidi w:val="0"/>
        <w:adjustRightInd w:val="0"/>
        <w:snapToGrid w:val="0"/>
        <w:spacing w:before="180" w:line="336" w:lineRule="auto"/>
        <w:ind w:left="1" w:right="2" w:firstLine="479"/>
        <w:textAlignment w:val="baseline"/>
        <w:rPr>
          <w:rFonts w:ascii="宋体" w:hAnsi="宋体" w:eastAsia="宋体" w:cs="宋体"/>
          <w:sz w:val="24"/>
          <w:szCs w:val="24"/>
        </w:rPr>
      </w:pPr>
      <w:r>
        <w:rPr>
          <w:rFonts w:ascii="宋体" w:hAnsi="宋体" w:eastAsia="宋体" w:cs="宋体"/>
          <w:spacing w:val="-2"/>
          <w:sz w:val="24"/>
          <w:szCs w:val="24"/>
        </w:rPr>
        <w:t>三、本规定适用的行业包括：</w:t>
      </w:r>
      <w:r>
        <w:rPr>
          <w:rFonts w:hint="eastAsia" w:ascii="宋体" w:hAnsi="宋体" w:eastAsia="宋体" w:cs="宋体"/>
          <w:spacing w:val="-2"/>
          <w:sz w:val="24"/>
          <w:szCs w:val="24"/>
          <w:lang w:eastAsia="zh-CN"/>
        </w:rPr>
        <w:t>其他未列明行业</w:t>
      </w:r>
      <w:r>
        <w:rPr>
          <w:rFonts w:ascii="宋体" w:hAnsi="宋体" w:eastAsia="宋体" w:cs="宋体"/>
          <w:spacing w:val="-2"/>
          <w:sz w:val="24"/>
          <w:szCs w:val="24"/>
        </w:rPr>
        <w:t>，工业（包括采矿业，制造业，电</w:t>
      </w:r>
      <w:r>
        <w:rPr>
          <w:rFonts w:ascii="宋体" w:hAnsi="宋体" w:eastAsia="宋体" w:cs="宋体"/>
          <w:spacing w:val="13"/>
          <w:sz w:val="24"/>
          <w:szCs w:val="24"/>
        </w:rPr>
        <w:t xml:space="preserve"> </w:t>
      </w:r>
      <w:r>
        <w:rPr>
          <w:rFonts w:ascii="宋体" w:hAnsi="宋体" w:eastAsia="宋体" w:cs="宋体"/>
          <w:spacing w:val="-2"/>
          <w:sz w:val="24"/>
          <w:szCs w:val="24"/>
        </w:rPr>
        <w:t>力、热力、燃气及水生产和供应业</w:t>
      </w:r>
      <w:r>
        <w:rPr>
          <w:rFonts w:ascii="宋体" w:hAnsi="宋体" w:eastAsia="宋体" w:cs="宋体"/>
          <w:spacing w:val="6"/>
          <w:sz w:val="24"/>
          <w:szCs w:val="24"/>
        </w:rPr>
        <w:t>），</w:t>
      </w:r>
      <w:r>
        <w:rPr>
          <w:rFonts w:ascii="宋体" w:hAnsi="宋体" w:eastAsia="宋体" w:cs="宋体"/>
          <w:spacing w:val="-2"/>
          <w:sz w:val="24"/>
          <w:szCs w:val="24"/>
        </w:rPr>
        <w:t>建筑业，批发业，零售业，交通运输业（不含铁</w:t>
      </w:r>
      <w:r>
        <w:rPr>
          <w:rFonts w:ascii="宋体" w:hAnsi="宋体" w:eastAsia="宋体" w:cs="宋体"/>
          <w:sz w:val="24"/>
          <w:szCs w:val="24"/>
        </w:rPr>
        <w:t xml:space="preserve"> </w:t>
      </w:r>
      <w:r>
        <w:rPr>
          <w:rFonts w:ascii="宋体" w:hAnsi="宋体" w:eastAsia="宋体" w:cs="宋体"/>
          <w:spacing w:val="-2"/>
          <w:sz w:val="24"/>
          <w:szCs w:val="24"/>
        </w:rPr>
        <w:t>路运输业</w:t>
      </w:r>
      <w:r>
        <w:rPr>
          <w:rFonts w:ascii="宋体" w:hAnsi="宋体" w:eastAsia="宋体" w:cs="宋体"/>
          <w:spacing w:val="6"/>
          <w:sz w:val="24"/>
          <w:szCs w:val="24"/>
        </w:rPr>
        <w:t>），</w:t>
      </w:r>
      <w:r>
        <w:rPr>
          <w:rFonts w:ascii="宋体" w:hAnsi="宋体" w:eastAsia="宋体" w:cs="宋体"/>
          <w:spacing w:val="-2"/>
          <w:sz w:val="24"/>
          <w:szCs w:val="24"/>
        </w:rPr>
        <w:t>仓储业，邮政业，住宿业，餐饮业，信息传输业（包括电信、互联网和相</w:t>
      </w:r>
      <w:r>
        <w:rPr>
          <w:rFonts w:ascii="宋体" w:hAnsi="宋体" w:eastAsia="宋体" w:cs="宋体"/>
          <w:sz w:val="24"/>
          <w:szCs w:val="24"/>
        </w:rPr>
        <w:t xml:space="preserve"> </w:t>
      </w:r>
      <w:r>
        <w:rPr>
          <w:rFonts w:ascii="宋体" w:hAnsi="宋体" w:eastAsia="宋体" w:cs="宋体"/>
          <w:spacing w:val="-2"/>
          <w:sz w:val="24"/>
          <w:szCs w:val="24"/>
        </w:rPr>
        <w:t>关服务</w:t>
      </w:r>
      <w:r>
        <w:rPr>
          <w:rFonts w:ascii="宋体" w:hAnsi="宋体" w:eastAsia="宋体" w:cs="宋体"/>
          <w:spacing w:val="6"/>
          <w:sz w:val="24"/>
          <w:szCs w:val="24"/>
        </w:rPr>
        <w:t>），</w:t>
      </w:r>
      <w:r>
        <w:rPr>
          <w:rFonts w:ascii="宋体" w:hAnsi="宋体" w:eastAsia="宋体" w:cs="宋体"/>
          <w:spacing w:val="-2"/>
          <w:sz w:val="24"/>
          <w:szCs w:val="24"/>
        </w:rPr>
        <w:t>软件和信息技术服务业，房地产开发经营，物业管理，租赁和商务服务业，</w:t>
      </w:r>
      <w:r>
        <w:rPr>
          <w:rFonts w:ascii="宋体" w:hAnsi="宋体" w:eastAsia="宋体" w:cs="宋体"/>
          <w:sz w:val="24"/>
          <w:szCs w:val="24"/>
        </w:rPr>
        <w:t xml:space="preserve"> </w:t>
      </w:r>
      <w:r>
        <w:rPr>
          <w:rFonts w:ascii="宋体" w:hAnsi="宋体" w:eastAsia="宋体" w:cs="宋体"/>
          <w:spacing w:val="-2"/>
          <w:sz w:val="24"/>
          <w:szCs w:val="24"/>
        </w:rPr>
        <w:t>其他未列明行业（包括科学研究和技术服务业，水利、环境和公共设施管理业，居民服</w:t>
      </w:r>
      <w:r>
        <w:rPr>
          <w:rFonts w:ascii="宋体" w:hAnsi="宋体" w:eastAsia="宋体" w:cs="宋体"/>
          <w:spacing w:val="16"/>
          <w:sz w:val="24"/>
          <w:szCs w:val="24"/>
        </w:rPr>
        <w:t xml:space="preserve"> </w:t>
      </w:r>
      <w:r>
        <w:rPr>
          <w:rFonts w:ascii="宋体" w:hAnsi="宋体" w:eastAsia="宋体" w:cs="宋体"/>
          <w:spacing w:val="-1"/>
          <w:sz w:val="24"/>
          <w:szCs w:val="24"/>
        </w:rPr>
        <w:t>务、修理和其他服务业，社会工作，文化、体育和娱乐业等）。</w:t>
      </w:r>
    </w:p>
    <w:p w14:paraId="42CE1164">
      <w:pPr>
        <w:keepNext w:val="0"/>
        <w:keepLines w:val="0"/>
        <w:pageBreakBefore w:val="0"/>
        <w:widowControl/>
        <w:kinsoku/>
        <w:wordWrap/>
        <w:overflowPunct/>
        <w:topLinePunct w:val="0"/>
        <w:autoSpaceDE w:val="0"/>
        <w:autoSpaceDN w:val="0"/>
        <w:bidi w:val="0"/>
        <w:adjustRightInd w:val="0"/>
        <w:snapToGrid w:val="0"/>
        <w:spacing w:before="180" w:line="221" w:lineRule="auto"/>
        <w:ind w:left="503"/>
        <w:textAlignment w:val="baseline"/>
        <w:rPr>
          <w:rFonts w:ascii="宋体" w:hAnsi="宋体" w:eastAsia="宋体" w:cs="宋体"/>
          <w:sz w:val="24"/>
          <w:szCs w:val="24"/>
        </w:rPr>
      </w:pPr>
      <w:r>
        <w:rPr>
          <w:rFonts w:ascii="宋体" w:hAnsi="宋体" w:eastAsia="宋体" w:cs="宋体"/>
          <w:spacing w:val="-3"/>
          <w:sz w:val="24"/>
          <w:szCs w:val="24"/>
        </w:rPr>
        <w:t>四、各行业划型标准为：</w:t>
      </w:r>
    </w:p>
    <w:p w14:paraId="00A571FD">
      <w:pPr>
        <w:keepNext w:val="0"/>
        <w:keepLines w:val="0"/>
        <w:pageBreakBefore w:val="0"/>
        <w:widowControl/>
        <w:kinsoku/>
        <w:wordWrap/>
        <w:overflowPunct/>
        <w:topLinePunct w:val="0"/>
        <w:autoSpaceDE w:val="0"/>
        <w:autoSpaceDN w:val="0"/>
        <w:bidi w:val="0"/>
        <w:adjustRightInd w:val="0"/>
        <w:snapToGrid w:val="0"/>
        <w:spacing w:before="180" w:line="313" w:lineRule="auto"/>
        <w:ind w:firstLine="497"/>
        <w:textAlignment w:val="baseline"/>
        <w:rPr>
          <w:rFonts w:ascii="宋体" w:hAnsi="宋体" w:eastAsia="宋体" w:cs="宋体"/>
          <w:sz w:val="24"/>
          <w:szCs w:val="24"/>
        </w:rPr>
      </w:pPr>
      <w:r>
        <w:rPr>
          <w:rFonts w:ascii="宋体" w:hAnsi="宋体" w:eastAsia="宋体" w:cs="宋体"/>
          <w:spacing w:val="1"/>
          <w:sz w:val="24"/>
          <w:szCs w:val="24"/>
        </w:rPr>
        <w:t>（一）</w:t>
      </w:r>
      <w:r>
        <w:rPr>
          <w:rFonts w:hint="eastAsia" w:ascii="宋体" w:hAnsi="宋体" w:eastAsia="宋体" w:cs="宋体"/>
          <w:spacing w:val="1"/>
          <w:sz w:val="24"/>
          <w:szCs w:val="24"/>
          <w:lang w:eastAsia="zh-CN"/>
        </w:rPr>
        <w:t>其他未列明行业</w:t>
      </w:r>
      <w:r>
        <w:rPr>
          <w:rFonts w:ascii="宋体" w:hAnsi="宋体" w:eastAsia="宋体" w:cs="宋体"/>
          <w:spacing w:val="1"/>
          <w:sz w:val="24"/>
          <w:szCs w:val="24"/>
        </w:rPr>
        <w:t>。营业收入20000万元以下的为中小微型企业。其中，营</w:t>
      </w:r>
      <w:r>
        <w:rPr>
          <w:rFonts w:ascii="宋体" w:hAnsi="宋体" w:eastAsia="宋体" w:cs="宋体"/>
          <w:spacing w:val="9"/>
          <w:sz w:val="24"/>
          <w:szCs w:val="24"/>
        </w:rPr>
        <w:t xml:space="preserve"> </w:t>
      </w:r>
      <w:r>
        <w:rPr>
          <w:rFonts w:ascii="宋体" w:hAnsi="宋体" w:eastAsia="宋体" w:cs="宋体"/>
          <w:spacing w:val="2"/>
          <w:sz w:val="24"/>
          <w:szCs w:val="24"/>
        </w:rPr>
        <w:t>业收入500万元及以上的为中型企业，营业收入</w:t>
      </w:r>
      <w:r>
        <w:rPr>
          <w:rFonts w:ascii="宋体" w:hAnsi="宋体" w:eastAsia="宋体" w:cs="宋体"/>
          <w:spacing w:val="1"/>
          <w:sz w:val="24"/>
          <w:szCs w:val="24"/>
        </w:rPr>
        <w:t>50万元及以上的为小型企业，营业收入</w:t>
      </w:r>
      <w:r>
        <w:rPr>
          <w:rFonts w:ascii="宋体" w:hAnsi="宋体" w:eastAsia="宋体" w:cs="宋体"/>
          <w:sz w:val="24"/>
          <w:szCs w:val="24"/>
        </w:rPr>
        <w:t xml:space="preserve"> </w:t>
      </w:r>
      <w:r>
        <w:rPr>
          <w:rFonts w:ascii="宋体" w:hAnsi="宋体" w:eastAsia="宋体" w:cs="宋体"/>
          <w:spacing w:val="-1"/>
          <w:sz w:val="24"/>
          <w:szCs w:val="24"/>
        </w:rPr>
        <w:t>50万元以下的为微型企业。</w:t>
      </w:r>
    </w:p>
    <w:p w14:paraId="381E3229">
      <w:pPr>
        <w:pStyle w:val="7"/>
        <w:keepNext w:val="0"/>
        <w:keepLines w:val="0"/>
        <w:pageBreakBefore w:val="0"/>
        <w:widowControl/>
        <w:kinsoku/>
        <w:wordWrap/>
        <w:overflowPunct/>
        <w:topLinePunct w:val="0"/>
        <w:autoSpaceDE w:val="0"/>
        <w:autoSpaceDN w:val="0"/>
        <w:bidi w:val="0"/>
        <w:adjustRightInd w:val="0"/>
        <w:snapToGrid w:val="0"/>
        <w:spacing w:line="344" w:lineRule="auto"/>
        <w:textAlignment w:val="baseline"/>
      </w:pPr>
      <w:r>
        <w:rPr>
          <w:rFonts w:ascii="宋体" w:hAnsi="宋体" w:eastAsia="宋体" w:cs="宋体"/>
          <w:spacing w:val="1"/>
          <w:sz w:val="24"/>
          <w:szCs w:val="24"/>
        </w:rPr>
        <w:t>（二）工业。从业人员1000人以下或营业收入40000万元以下的为中小微型企业。</w:t>
      </w:r>
      <w:r>
        <w:rPr>
          <w:rFonts w:ascii="宋体" w:hAnsi="宋体" w:eastAsia="宋体" w:cs="宋体"/>
          <w:spacing w:val="5"/>
          <w:sz w:val="24"/>
          <w:szCs w:val="24"/>
        </w:rPr>
        <w:t xml:space="preserve"> </w:t>
      </w:r>
      <w:r>
        <w:rPr>
          <w:rFonts w:ascii="宋体" w:hAnsi="宋体" w:eastAsia="宋体" w:cs="宋体"/>
          <w:spacing w:val="1"/>
          <w:sz w:val="24"/>
          <w:szCs w:val="24"/>
        </w:rPr>
        <w:t>其中，从业人员300人及以上，且营业收入2000万元及以上的为中型企业；从业人员20</w:t>
      </w:r>
      <w:r>
        <w:rPr>
          <w:rFonts w:ascii="宋体" w:hAnsi="宋体" w:eastAsia="宋体" w:cs="宋体"/>
          <w:spacing w:val="18"/>
          <w:sz w:val="24"/>
          <w:szCs w:val="24"/>
        </w:rPr>
        <w:t xml:space="preserve"> </w:t>
      </w:r>
      <w:r>
        <w:rPr>
          <w:rFonts w:ascii="宋体" w:hAnsi="宋体" w:eastAsia="宋体" w:cs="宋体"/>
          <w:spacing w:val="-1"/>
          <w:sz w:val="24"/>
          <w:szCs w:val="24"/>
        </w:rPr>
        <w:t>人及以上，且营业收入300万元及以上的为小型企业</w:t>
      </w:r>
      <w:r>
        <w:rPr>
          <w:rFonts w:ascii="宋体" w:hAnsi="宋体" w:eastAsia="宋体" w:cs="宋体"/>
          <w:spacing w:val="-2"/>
          <w:sz w:val="24"/>
          <w:szCs w:val="24"/>
        </w:rPr>
        <w:t>；从业人员20人以下或营业收入300</w:t>
      </w:r>
    </w:p>
    <w:p w14:paraId="63AE224C">
      <w:pPr>
        <w:keepNext w:val="0"/>
        <w:keepLines w:val="0"/>
        <w:pageBreakBefore w:val="0"/>
        <w:widowControl/>
        <w:kinsoku/>
        <w:wordWrap/>
        <w:overflowPunct/>
        <w:topLinePunct w:val="0"/>
        <w:autoSpaceDE w:val="0"/>
        <w:autoSpaceDN w:val="0"/>
        <w:bidi w:val="0"/>
        <w:adjustRightInd w:val="0"/>
        <w:snapToGrid w:val="0"/>
        <w:spacing w:before="78" w:line="220" w:lineRule="auto"/>
        <w:ind w:left="6"/>
        <w:textAlignment w:val="baseline"/>
        <w:rPr>
          <w:rFonts w:ascii="宋体" w:hAnsi="宋体" w:eastAsia="宋体" w:cs="宋体"/>
          <w:sz w:val="24"/>
          <w:szCs w:val="24"/>
        </w:rPr>
      </w:pPr>
      <w:r>
        <w:rPr>
          <w:rFonts w:ascii="宋体" w:hAnsi="宋体" w:eastAsia="宋体" w:cs="宋体"/>
          <w:spacing w:val="-2"/>
          <w:sz w:val="24"/>
          <w:szCs w:val="24"/>
        </w:rPr>
        <w:t>万元以下的为微型企业。</w:t>
      </w:r>
    </w:p>
    <w:p w14:paraId="430E902F">
      <w:pPr>
        <w:keepNext w:val="0"/>
        <w:keepLines w:val="0"/>
        <w:pageBreakBefore w:val="0"/>
        <w:widowControl/>
        <w:kinsoku/>
        <w:wordWrap/>
        <w:overflowPunct/>
        <w:topLinePunct w:val="0"/>
        <w:autoSpaceDE w:val="0"/>
        <w:autoSpaceDN w:val="0"/>
        <w:bidi w:val="0"/>
        <w:adjustRightInd w:val="0"/>
        <w:snapToGrid w:val="0"/>
        <w:spacing w:before="177" w:line="325" w:lineRule="auto"/>
        <w:ind w:right="81" w:firstLine="478"/>
        <w:textAlignment w:val="baseline"/>
        <w:rPr>
          <w:rFonts w:ascii="宋体" w:hAnsi="宋体" w:eastAsia="宋体" w:cs="宋体"/>
          <w:sz w:val="24"/>
          <w:szCs w:val="24"/>
        </w:rPr>
      </w:pPr>
      <w:r>
        <w:rPr>
          <w:rFonts w:ascii="宋体" w:hAnsi="宋体" w:eastAsia="宋体" w:cs="宋体"/>
          <w:spacing w:val="-1"/>
          <w:sz w:val="24"/>
          <w:szCs w:val="24"/>
        </w:rPr>
        <w:t>（三）建筑业。营业收入80000万元以下或资产总额8</w:t>
      </w:r>
      <w:r>
        <w:rPr>
          <w:rFonts w:ascii="宋体" w:hAnsi="宋体" w:eastAsia="宋体" w:cs="宋体"/>
          <w:spacing w:val="-2"/>
          <w:sz w:val="24"/>
          <w:szCs w:val="24"/>
        </w:rPr>
        <w:t>0000万元以下的为中小微型企</w:t>
      </w:r>
      <w:r>
        <w:rPr>
          <w:rFonts w:ascii="宋体" w:hAnsi="宋体" w:eastAsia="宋体" w:cs="宋体"/>
          <w:sz w:val="24"/>
          <w:szCs w:val="24"/>
        </w:rPr>
        <w:t xml:space="preserve"> </w:t>
      </w:r>
      <w:r>
        <w:rPr>
          <w:rFonts w:ascii="宋体" w:hAnsi="宋体" w:eastAsia="宋体" w:cs="宋体"/>
          <w:spacing w:val="-1"/>
          <w:sz w:val="24"/>
          <w:szCs w:val="24"/>
        </w:rPr>
        <w:t>业。其中，营业收入6000万元及以上，且资产总额50</w:t>
      </w:r>
      <w:r>
        <w:rPr>
          <w:rFonts w:ascii="宋体" w:hAnsi="宋体" w:eastAsia="宋体" w:cs="宋体"/>
          <w:spacing w:val="-2"/>
          <w:sz w:val="24"/>
          <w:szCs w:val="24"/>
        </w:rPr>
        <w:t>00万元及以上的为中型企业；营业</w:t>
      </w:r>
      <w:r>
        <w:rPr>
          <w:rFonts w:ascii="宋体" w:hAnsi="宋体" w:eastAsia="宋体" w:cs="宋体"/>
          <w:sz w:val="24"/>
          <w:szCs w:val="24"/>
        </w:rPr>
        <w:t xml:space="preserve"> </w:t>
      </w:r>
      <w:r>
        <w:rPr>
          <w:rFonts w:ascii="宋体" w:hAnsi="宋体" w:eastAsia="宋体" w:cs="宋体"/>
          <w:spacing w:val="2"/>
          <w:sz w:val="24"/>
          <w:szCs w:val="24"/>
        </w:rPr>
        <w:t>收入300万元及以上，且资产总额300万</w:t>
      </w:r>
      <w:r>
        <w:rPr>
          <w:rFonts w:ascii="宋体" w:hAnsi="宋体" w:eastAsia="宋体" w:cs="宋体"/>
          <w:spacing w:val="1"/>
          <w:sz w:val="24"/>
          <w:szCs w:val="24"/>
        </w:rPr>
        <w:t>元及以上的为小型企业；营业收入300万元以下</w:t>
      </w:r>
      <w:r>
        <w:rPr>
          <w:rFonts w:ascii="宋体" w:hAnsi="宋体" w:eastAsia="宋体" w:cs="宋体"/>
          <w:sz w:val="24"/>
          <w:szCs w:val="24"/>
        </w:rPr>
        <w:t xml:space="preserve"> </w:t>
      </w:r>
      <w:r>
        <w:rPr>
          <w:rFonts w:ascii="宋体" w:hAnsi="宋体" w:eastAsia="宋体" w:cs="宋体"/>
          <w:spacing w:val="-1"/>
          <w:sz w:val="24"/>
          <w:szCs w:val="24"/>
        </w:rPr>
        <w:t>或资产总额300万元以下的为微型企业。</w:t>
      </w:r>
    </w:p>
    <w:p w14:paraId="550A296B">
      <w:pPr>
        <w:keepNext w:val="0"/>
        <w:keepLines w:val="0"/>
        <w:pageBreakBefore w:val="0"/>
        <w:widowControl/>
        <w:kinsoku/>
        <w:wordWrap/>
        <w:overflowPunct/>
        <w:topLinePunct w:val="0"/>
        <w:autoSpaceDE w:val="0"/>
        <w:autoSpaceDN w:val="0"/>
        <w:bidi w:val="0"/>
        <w:adjustRightInd w:val="0"/>
        <w:snapToGrid w:val="0"/>
        <w:spacing w:before="177" w:line="325" w:lineRule="auto"/>
        <w:ind w:right="72" w:firstLine="492"/>
        <w:textAlignment w:val="baseline"/>
        <w:rPr>
          <w:rFonts w:ascii="宋体" w:hAnsi="宋体" w:eastAsia="宋体" w:cs="宋体"/>
          <w:sz w:val="24"/>
          <w:szCs w:val="24"/>
        </w:rPr>
      </w:pPr>
      <w:r>
        <w:rPr>
          <w:rFonts w:ascii="宋体" w:hAnsi="宋体" w:eastAsia="宋体" w:cs="宋体"/>
          <w:spacing w:val="-1"/>
          <w:sz w:val="24"/>
          <w:szCs w:val="24"/>
        </w:rPr>
        <w:t>（四）批发业。从业人员200人以下或营</w:t>
      </w:r>
      <w:r>
        <w:rPr>
          <w:rFonts w:ascii="宋体" w:hAnsi="宋体" w:eastAsia="宋体" w:cs="宋体"/>
          <w:spacing w:val="-2"/>
          <w:sz w:val="24"/>
          <w:szCs w:val="24"/>
        </w:rPr>
        <w:t>业收入40000万元以下的为中小微型企业。</w:t>
      </w:r>
      <w:r>
        <w:rPr>
          <w:rFonts w:ascii="宋体" w:hAnsi="宋体" w:eastAsia="宋体" w:cs="宋体"/>
          <w:sz w:val="24"/>
          <w:szCs w:val="24"/>
        </w:rPr>
        <w:t xml:space="preserve"> </w:t>
      </w:r>
      <w:r>
        <w:rPr>
          <w:rFonts w:ascii="宋体" w:hAnsi="宋体" w:eastAsia="宋体" w:cs="宋体"/>
          <w:spacing w:val="2"/>
          <w:sz w:val="24"/>
          <w:szCs w:val="24"/>
        </w:rPr>
        <w:t>其中，从业人员20人及以上，且营业收入50</w:t>
      </w:r>
      <w:r>
        <w:rPr>
          <w:rFonts w:ascii="宋体" w:hAnsi="宋体" w:eastAsia="宋体" w:cs="宋体"/>
          <w:spacing w:val="1"/>
          <w:sz w:val="24"/>
          <w:szCs w:val="24"/>
        </w:rPr>
        <w:t>00万元及以上的为中型企业；从业人员5人</w:t>
      </w:r>
      <w:r>
        <w:rPr>
          <w:rFonts w:ascii="宋体" w:hAnsi="宋体" w:eastAsia="宋体" w:cs="宋体"/>
          <w:sz w:val="24"/>
          <w:szCs w:val="24"/>
        </w:rPr>
        <w:t xml:space="preserve"> </w:t>
      </w:r>
      <w:r>
        <w:rPr>
          <w:rFonts w:ascii="宋体" w:hAnsi="宋体" w:eastAsia="宋体" w:cs="宋体"/>
          <w:spacing w:val="2"/>
          <w:sz w:val="24"/>
          <w:szCs w:val="24"/>
        </w:rPr>
        <w:t>及以上，且营业收入1000万元及以上的为</w:t>
      </w:r>
      <w:r>
        <w:rPr>
          <w:rFonts w:ascii="宋体" w:hAnsi="宋体" w:eastAsia="宋体" w:cs="宋体"/>
          <w:spacing w:val="1"/>
          <w:sz w:val="24"/>
          <w:szCs w:val="24"/>
        </w:rPr>
        <w:t>小型企业；从业人员5人以下或营业收入1000</w:t>
      </w:r>
      <w:r>
        <w:rPr>
          <w:rFonts w:ascii="宋体" w:hAnsi="宋体" w:eastAsia="宋体" w:cs="宋体"/>
          <w:sz w:val="24"/>
          <w:szCs w:val="24"/>
        </w:rPr>
        <w:t xml:space="preserve"> </w:t>
      </w:r>
      <w:r>
        <w:rPr>
          <w:rFonts w:ascii="宋体" w:hAnsi="宋体" w:eastAsia="宋体" w:cs="宋体"/>
          <w:spacing w:val="-1"/>
          <w:sz w:val="24"/>
          <w:szCs w:val="24"/>
        </w:rPr>
        <w:t>万元以下的为微型企业。</w:t>
      </w:r>
    </w:p>
    <w:p w14:paraId="124807C7">
      <w:pPr>
        <w:keepNext w:val="0"/>
        <w:keepLines w:val="0"/>
        <w:pageBreakBefore w:val="0"/>
        <w:widowControl/>
        <w:kinsoku/>
        <w:wordWrap/>
        <w:overflowPunct/>
        <w:topLinePunct w:val="0"/>
        <w:autoSpaceDE w:val="0"/>
        <w:autoSpaceDN w:val="0"/>
        <w:bidi w:val="0"/>
        <w:adjustRightInd w:val="0"/>
        <w:snapToGrid w:val="0"/>
        <w:spacing w:before="177" w:line="325" w:lineRule="auto"/>
        <w:ind w:right="72" w:firstLine="492"/>
        <w:textAlignment w:val="baseline"/>
        <w:rPr>
          <w:rFonts w:ascii="宋体" w:hAnsi="宋体" w:eastAsia="宋体" w:cs="宋体"/>
          <w:sz w:val="24"/>
          <w:szCs w:val="24"/>
        </w:rPr>
      </w:pPr>
      <w:r>
        <w:rPr>
          <w:rFonts w:ascii="宋体" w:hAnsi="宋体" w:eastAsia="宋体" w:cs="宋体"/>
          <w:spacing w:val="-1"/>
          <w:sz w:val="24"/>
          <w:szCs w:val="24"/>
        </w:rPr>
        <w:t>（五）零售业。从业人员300人以下或营</w:t>
      </w:r>
      <w:r>
        <w:rPr>
          <w:rFonts w:ascii="宋体" w:hAnsi="宋体" w:eastAsia="宋体" w:cs="宋体"/>
          <w:spacing w:val="-2"/>
          <w:sz w:val="24"/>
          <w:szCs w:val="24"/>
        </w:rPr>
        <w:t>业收入20000万元以下的为中小微型企业。</w:t>
      </w:r>
      <w:r>
        <w:rPr>
          <w:rFonts w:ascii="宋体" w:hAnsi="宋体" w:eastAsia="宋体" w:cs="宋体"/>
          <w:sz w:val="24"/>
          <w:szCs w:val="24"/>
        </w:rPr>
        <w:t xml:space="preserve"> </w:t>
      </w:r>
      <w:r>
        <w:rPr>
          <w:rFonts w:ascii="宋体" w:hAnsi="宋体" w:eastAsia="宋体" w:cs="宋体"/>
          <w:spacing w:val="2"/>
          <w:sz w:val="24"/>
          <w:szCs w:val="24"/>
        </w:rPr>
        <w:t>其中，从业人员50人及以上，且营业收入50</w:t>
      </w:r>
      <w:r>
        <w:rPr>
          <w:rFonts w:ascii="宋体" w:hAnsi="宋体" w:eastAsia="宋体" w:cs="宋体"/>
          <w:spacing w:val="1"/>
          <w:sz w:val="24"/>
          <w:szCs w:val="24"/>
        </w:rPr>
        <w:t>0万元及以上的为中型企业；从业人员10人</w:t>
      </w:r>
      <w:r>
        <w:rPr>
          <w:rFonts w:ascii="宋体" w:hAnsi="宋体" w:eastAsia="宋体" w:cs="宋体"/>
          <w:sz w:val="24"/>
          <w:szCs w:val="24"/>
        </w:rPr>
        <w:t xml:space="preserve"> </w:t>
      </w:r>
      <w:r>
        <w:rPr>
          <w:rFonts w:ascii="宋体" w:hAnsi="宋体" w:eastAsia="宋体" w:cs="宋体"/>
          <w:spacing w:val="-1"/>
          <w:sz w:val="24"/>
          <w:szCs w:val="24"/>
        </w:rPr>
        <w:t>及以上，且营业收入100万元及以上的为小型企业；从业</w:t>
      </w:r>
      <w:r>
        <w:rPr>
          <w:rFonts w:ascii="宋体" w:hAnsi="宋体" w:eastAsia="宋体" w:cs="宋体"/>
          <w:spacing w:val="-2"/>
          <w:sz w:val="24"/>
          <w:szCs w:val="24"/>
        </w:rPr>
        <w:t>人员10人以下或营业收入100万</w:t>
      </w:r>
      <w:r>
        <w:rPr>
          <w:rFonts w:ascii="宋体" w:hAnsi="宋体" w:eastAsia="宋体" w:cs="宋体"/>
          <w:sz w:val="24"/>
          <w:szCs w:val="24"/>
        </w:rPr>
        <w:t xml:space="preserve"> </w:t>
      </w:r>
      <w:r>
        <w:rPr>
          <w:rFonts w:ascii="宋体" w:hAnsi="宋体" w:eastAsia="宋体" w:cs="宋体"/>
          <w:spacing w:val="-1"/>
          <w:sz w:val="24"/>
          <w:szCs w:val="24"/>
        </w:rPr>
        <w:t>元以下的为微型企业。</w:t>
      </w:r>
    </w:p>
    <w:p w14:paraId="59F2F52C">
      <w:pPr>
        <w:keepNext w:val="0"/>
        <w:keepLines w:val="0"/>
        <w:pageBreakBefore w:val="0"/>
        <w:widowControl/>
        <w:kinsoku/>
        <w:wordWrap/>
        <w:overflowPunct/>
        <w:topLinePunct w:val="0"/>
        <w:autoSpaceDE w:val="0"/>
        <w:autoSpaceDN w:val="0"/>
        <w:bidi w:val="0"/>
        <w:adjustRightInd w:val="0"/>
        <w:snapToGrid w:val="0"/>
        <w:spacing w:before="182" w:line="324" w:lineRule="auto"/>
        <w:ind w:left="2" w:right="81" w:firstLine="494"/>
        <w:textAlignment w:val="baseline"/>
        <w:rPr>
          <w:rFonts w:ascii="宋体" w:hAnsi="宋体" w:eastAsia="宋体" w:cs="宋体"/>
          <w:sz w:val="24"/>
          <w:szCs w:val="24"/>
        </w:rPr>
      </w:pPr>
      <w:r>
        <w:rPr>
          <w:rFonts w:ascii="宋体" w:hAnsi="宋体" w:eastAsia="宋体" w:cs="宋体"/>
          <w:spacing w:val="1"/>
          <w:sz w:val="24"/>
          <w:szCs w:val="24"/>
        </w:rPr>
        <w:t>（六）交通运输业。从业人员1000人以下或营业收入30000万元以下的为中小微型</w:t>
      </w:r>
      <w:r>
        <w:rPr>
          <w:rFonts w:ascii="宋体" w:hAnsi="宋体" w:eastAsia="宋体" w:cs="宋体"/>
          <w:spacing w:val="5"/>
          <w:sz w:val="24"/>
          <w:szCs w:val="24"/>
        </w:rPr>
        <w:t xml:space="preserve"> </w:t>
      </w:r>
      <w:r>
        <w:rPr>
          <w:rFonts w:ascii="宋体" w:hAnsi="宋体" w:eastAsia="宋体" w:cs="宋体"/>
          <w:spacing w:val="1"/>
          <w:sz w:val="24"/>
          <w:szCs w:val="24"/>
        </w:rPr>
        <w:t>企业。其中，从业人员300人及以上，且营业收入3000万元及以上的为中型企业；从业</w:t>
      </w:r>
      <w:r>
        <w:rPr>
          <w:rFonts w:ascii="宋体" w:hAnsi="宋体" w:eastAsia="宋体" w:cs="宋体"/>
          <w:spacing w:val="18"/>
          <w:sz w:val="24"/>
          <w:szCs w:val="24"/>
        </w:rPr>
        <w:t xml:space="preserve"> </w:t>
      </w:r>
      <w:r>
        <w:rPr>
          <w:rFonts w:ascii="宋体" w:hAnsi="宋体" w:eastAsia="宋体" w:cs="宋体"/>
          <w:spacing w:val="1"/>
          <w:sz w:val="24"/>
          <w:szCs w:val="24"/>
        </w:rPr>
        <w:t>人员20人及以上，且营业收入200万元及以上的为小型企业；从业人员20人以下或营业</w:t>
      </w:r>
      <w:r>
        <w:rPr>
          <w:rFonts w:ascii="宋体" w:hAnsi="宋体" w:eastAsia="宋体" w:cs="宋体"/>
          <w:spacing w:val="18"/>
          <w:sz w:val="24"/>
          <w:szCs w:val="24"/>
        </w:rPr>
        <w:t xml:space="preserve"> </w:t>
      </w:r>
      <w:r>
        <w:rPr>
          <w:rFonts w:ascii="宋体" w:hAnsi="宋体" w:eastAsia="宋体" w:cs="宋体"/>
          <w:spacing w:val="-1"/>
          <w:sz w:val="24"/>
          <w:szCs w:val="24"/>
        </w:rPr>
        <w:t>收入200万元以下的为微型企业。</w:t>
      </w:r>
    </w:p>
    <w:p w14:paraId="74DCBC2C">
      <w:pPr>
        <w:keepNext w:val="0"/>
        <w:keepLines w:val="0"/>
        <w:pageBreakBefore w:val="0"/>
        <w:widowControl/>
        <w:kinsoku/>
        <w:wordWrap/>
        <w:overflowPunct/>
        <w:topLinePunct w:val="0"/>
        <w:autoSpaceDE w:val="0"/>
        <w:autoSpaceDN w:val="0"/>
        <w:bidi w:val="0"/>
        <w:adjustRightInd w:val="0"/>
        <w:snapToGrid w:val="0"/>
        <w:spacing w:before="182" w:line="324" w:lineRule="auto"/>
        <w:ind w:left="1" w:right="72" w:firstLine="490"/>
        <w:textAlignment w:val="baseline"/>
        <w:rPr>
          <w:rFonts w:ascii="宋体" w:hAnsi="宋体" w:eastAsia="宋体" w:cs="宋体"/>
          <w:sz w:val="24"/>
          <w:szCs w:val="24"/>
        </w:rPr>
      </w:pPr>
      <w:r>
        <w:rPr>
          <w:rFonts w:ascii="宋体" w:hAnsi="宋体" w:eastAsia="宋体" w:cs="宋体"/>
          <w:spacing w:val="-1"/>
          <w:sz w:val="24"/>
          <w:szCs w:val="24"/>
        </w:rPr>
        <w:t>（七）仓储业。从业人员200人以下或营</w:t>
      </w:r>
      <w:r>
        <w:rPr>
          <w:rFonts w:ascii="宋体" w:hAnsi="宋体" w:eastAsia="宋体" w:cs="宋体"/>
          <w:spacing w:val="-2"/>
          <w:sz w:val="24"/>
          <w:szCs w:val="24"/>
        </w:rPr>
        <w:t>业收入30000万元以下的为中小微型企业。</w:t>
      </w:r>
      <w:r>
        <w:rPr>
          <w:rFonts w:ascii="宋体" w:hAnsi="宋体" w:eastAsia="宋体" w:cs="宋体"/>
          <w:sz w:val="24"/>
          <w:szCs w:val="24"/>
        </w:rPr>
        <w:t xml:space="preserve"> </w:t>
      </w:r>
      <w:r>
        <w:rPr>
          <w:rFonts w:ascii="宋体" w:hAnsi="宋体" w:eastAsia="宋体" w:cs="宋体"/>
          <w:spacing w:val="1"/>
          <w:sz w:val="24"/>
          <w:szCs w:val="24"/>
        </w:rPr>
        <w:t>其中，从业人员100人及以上，且营业收入1000万元及以上的为中型企业；从业人员20</w:t>
      </w:r>
      <w:r>
        <w:rPr>
          <w:rFonts w:ascii="宋体" w:hAnsi="宋体" w:eastAsia="宋体" w:cs="宋体"/>
          <w:spacing w:val="18"/>
          <w:sz w:val="24"/>
          <w:szCs w:val="24"/>
        </w:rPr>
        <w:t xml:space="preserve"> </w:t>
      </w:r>
      <w:r>
        <w:rPr>
          <w:rFonts w:ascii="宋体" w:hAnsi="宋体" w:eastAsia="宋体" w:cs="宋体"/>
          <w:spacing w:val="-1"/>
          <w:sz w:val="24"/>
          <w:szCs w:val="24"/>
        </w:rPr>
        <w:t>人及以上，且营业收入100万元及以上的为小型企业</w:t>
      </w:r>
      <w:r>
        <w:rPr>
          <w:rFonts w:ascii="宋体" w:hAnsi="宋体" w:eastAsia="宋体" w:cs="宋体"/>
          <w:spacing w:val="-2"/>
          <w:sz w:val="24"/>
          <w:szCs w:val="24"/>
        </w:rPr>
        <w:t>；从业人员20人以下或营业收入100</w:t>
      </w:r>
      <w:r>
        <w:rPr>
          <w:rFonts w:ascii="宋体" w:hAnsi="宋体" w:eastAsia="宋体" w:cs="宋体"/>
          <w:sz w:val="24"/>
          <w:szCs w:val="24"/>
        </w:rPr>
        <w:t xml:space="preserve"> </w:t>
      </w:r>
      <w:r>
        <w:rPr>
          <w:rFonts w:ascii="宋体" w:hAnsi="宋体" w:eastAsia="宋体" w:cs="宋体"/>
          <w:spacing w:val="-1"/>
          <w:sz w:val="24"/>
          <w:szCs w:val="24"/>
        </w:rPr>
        <w:t>万元以下的为微型企业。</w:t>
      </w:r>
    </w:p>
    <w:p w14:paraId="6015CFA4">
      <w:pPr>
        <w:keepNext w:val="0"/>
        <w:keepLines w:val="0"/>
        <w:pageBreakBefore w:val="0"/>
        <w:widowControl/>
        <w:kinsoku/>
        <w:wordWrap/>
        <w:overflowPunct/>
        <w:topLinePunct w:val="0"/>
        <w:autoSpaceDE w:val="0"/>
        <w:autoSpaceDN w:val="0"/>
        <w:bidi w:val="0"/>
        <w:adjustRightInd w:val="0"/>
        <w:snapToGrid w:val="0"/>
        <w:spacing w:before="179" w:line="325" w:lineRule="auto"/>
        <w:ind w:left="1" w:firstLine="476"/>
        <w:textAlignment w:val="baseline"/>
        <w:rPr>
          <w:rFonts w:ascii="宋体" w:hAnsi="宋体" w:eastAsia="宋体" w:cs="宋体"/>
          <w:sz w:val="24"/>
          <w:szCs w:val="24"/>
        </w:rPr>
      </w:pPr>
      <w:r>
        <w:rPr>
          <w:rFonts w:ascii="宋体" w:hAnsi="宋体" w:eastAsia="宋体" w:cs="宋体"/>
          <w:spacing w:val="-2"/>
          <w:sz w:val="24"/>
          <w:szCs w:val="24"/>
        </w:rPr>
        <w:t>（八）邮政业。从业人员1000人以下或营业收入30000</w:t>
      </w:r>
      <w:r>
        <w:rPr>
          <w:rFonts w:ascii="宋体" w:hAnsi="宋体" w:eastAsia="宋体" w:cs="宋体"/>
          <w:spacing w:val="-3"/>
          <w:sz w:val="24"/>
          <w:szCs w:val="24"/>
        </w:rPr>
        <w:t>万元以下的为中小微型企业。</w:t>
      </w:r>
      <w:r>
        <w:rPr>
          <w:rFonts w:ascii="宋体" w:hAnsi="宋体" w:eastAsia="宋体" w:cs="宋体"/>
          <w:sz w:val="24"/>
          <w:szCs w:val="24"/>
        </w:rPr>
        <w:t xml:space="preserve"> </w:t>
      </w:r>
      <w:r>
        <w:rPr>
          <w:rFonts w:ascii="宋体" w:hAnsi="宋体" w:eastAsia="宋体" w:cs="宋体"/>
          <w:spacing w:val="1"/>
          <w:sz w:val="24"/>
          <w:szCs w:val="24"/>
        </w:rPr>
        <w:t>其中，从业人员300人及以上，且营业收入2000万元及以上的为中型企业；从业人员20</w:t>
      </w:r>
      <w:r>
        <w:rPr>
          <w:rFonts w:ascii="宋体" w:hAnsi="宋体" w:eastAsia="宋体" w:cs="宋体"/>
          <w:spacing w:val="18"/>
          <w:sz w:val="24"/>
          <w:szCs w:val="24"/>
        </w:rPr>
        <w:t xml:space="preserve"> </w:t>
      </w:r>
      <w:r>
        <w:rPr>
          <w:rFonts w:ascii="宋体" w:hAnsi="宋体" w:eastAsia="宋体" w:cs="宋体"/>
          <w:spacing w:val="-1"/>
          <w:sz w:val="24"/>
          <w:szCs w:val="24"/>
        </w:rPr>
        <w:t>人及以上，且营业收入100万元及以上的为小型企业</w:t>
      </w:r>
      <w:r>
        <w:rPr>
          <w:rFonts w:ascii="宋体" w:hAnsi="宋体" w:eastAsia="宋体" w:cs="宋体"/>
          <w:spacing w:val="-2"/>
          <w:sz w:val="24"/>
          <w:szCs w:val="24"/>
        </w:rPr>
        <w:t>；从业人员20人以下或营业收入100</w:t>
      </w:r>
      <w:r>
        <w:rPr>
          <w:rFonts w:ascii="宋体" w:hAnsi="宋体" w:eastAsia="宋体" w:cs="宋体"/>
          <w:sz w:val="24"/>
          <w:szCs w:val="24"/>
        </w:rPr>
        <w:t xml:space="preserve"> </w:t>
      </w:r>
      <w:r>
        <w:rPr>
          <w:rFonts w:ascii="宋体" w:hAnsi="宋体" w:eastAsia="宋体" w:cs="宋体"/>
          <w:spacing w:val="-1"/>
          <w:sz w:val="24"/>
          <w:szCs w:val="24"/>
        </w:rPr>
        <w:t>万元以下的为微型企业。</w:t>
      </w:r>
    </w:p>
    <w:p w14:paraId="7E470A97">
      <w:pPr>
        <w:keepNext w:val="0"/>
        <w:keepLines w:val="0"/>
        <w:pageBreakBefore w:val="0"/>
        <w:widowControl/>
        <w:kinsoku/>
        <w:wordWrap/>
        <w:overflowPunct/>
        <w:topLinePunct w:val="0"/>
        <w:autoSpaceDE w:val="0"/>
        <w:autoSpaceDN w:val="0"/>
        <w:bidi w:val="0"/>
        <w:adjustRightInd w:val="0"/>
        <w:snapToGrid w:val="0"/>
        <w:spacing w:before="178" w:line="325" w:lineRule="auto"/>
        <w:ind w:left="1" w:right="72" w:firstLine="490"/>
        <w:textAlignment w:val="baseline"/>
        <w:rPr>
          <w:rFonts w:ascii="宋体" w:hAnsi="宋体" w:eastAsia="宋体" w:cs="宋体"/>
          <w:sz w:val="24"/>
          <w:szCs w:val="24"/>
        </w:rPr>
      </w:pPr>
      <w:r>
        <w:rPr>
          <w:rFonts w:ascii="宋体" w:hAnsi="宋体" w:eastAsia="宋体" w:cs="宋体"/>
          <w:spacing w:val="-1"/>
          <w:sz w:val="24"/>
          <w:szCs w:val="24"/>
        </w:rPr>
        <w:t>（九）住宿业。从业人员300人以下或营</w:t>
      </w:r>
      <w:r>
        <w:rPr>
          <w:rFonts w:ascii="宋体" w:hAnsi="宋体" w:eastAsia="宋体" w:cs="宋体"/>
          <w:spacing w:val="-2"/>
          <w:sz w:val="24"/>
          <w:szCs w:val="24"/>
        </w:rPr>
        <w:t>业收入10000万元以下的为中小微型企业。</w:t>
      </w:r>
      <w:r>
        <w:rPr>
          <w:rFonts w:ascii="宋体" w:hAnsi="宋体" w:eastAsia="宋体" w:cs="宋体"/>
          <w:sz w:val="24"/>
          <w:szCs w:val="24"/>
        </w:rPr>
        <w:t xml:space="preserve"> </w:t>
      </w:r>
      <w:r>
        <w:rPr>
          <w:rFonts w:ascii="宋体" w:hAnsi="宋体" w:eastAsia="宋体" w:cs="宋体"/>
          <w:spacing w:val="1"/>
          <w:sz w:val="24"/>
          <w:szCs w:val="24"/>
        </w:rPr>
        <w:t>其中，从业人员100人及以上，且营业收入2000万元及以上的为中型企业；从业人员10</w:t>
      </w:r>
      <w:r>
        <w:rPr>
          <w:rFonts w:ascii="宋体" w:hAnsi="宋体" w:eastAsia="宋体" w:cs="宋体"/>
          <w:spacing w:val="18"/>
          <w:sz w:val="24"/>
          <w:szCs w:val="24"/>
        </w:rPr>
        <w:t xml:space="preserve"> </w:t>
      </w:r>
      <w:r>
        <w:rPr>
          <w:rFonts w:ascii="宋体" w:hAnsi="宋体" w:eastAsia="宋体" w:cs="宋体"/>
          <w:spacing w:val="-1"/>
          <w:sz w:val="24"/>
          <w:szCs w:val="24"/>
        </w:rPr>
        <w:t>人及以上，且营业收入100万元及以上的为小型企业</w:t>
      </w:r>
      <w:r>
        <w:rPr>
          <w:rFonts w:ascii="宋体" w:hAnsi="宋体" w:eastAsia="宋体" w:cs="宋体"/>
          <w:spacing w:val="-2"/>
          <w:sz w:val="24"/>
          <w:szCs w:val="24"/>
        </w:rPr>
        <w:t>；从业人员10人以下或营业收入100</w:t>
      </w:r>
      <w:r>
        <w:rPr>
          <w:rFonts w:ascii="宋体" w:hAnsi="宋体" w:eastAsia="宋体" w:cs="宋体"/>
          <w:sz w:val="24"/>
          <w:szCs w:val="24"/>
        </w:rPr>
        <w:t xml:space="preserve"> </w:t>
      </w:r>
      <w:r>
        <w:rPr>
          <w:rFonts w:ascii="宋体" w:hAnsi="宋体" w:eastAsia="宋体" w:cs="宋体"/>
          <w:spacing w:val="-1"/>
          <w:sz w:val="24"/>
          <w:szCs w:val="24"/>
        </w:rPr>
        <w:t>万元以下的为微型企业。</w:t>
      </w:r>
    </w:p>
    <w:p w14:paraId="36FF6F21">
      <w:pPr>
        <w:keepNext w:val="0"/>
        <w:keepLines w:val="0"/>
        <w:pageBreakBefore w:val="0"/>
        <w:widowControl/>
        <w:kinsoku/>
        <w:wordWrap/>
        <w:overflowPunct/>
        <w:topLinePunct w:val="0"/>
        <w:autoSpaceDE w:val="0"/>
        <w:autoSpaceDN w:val="0"/>
        <w:bidi w:val="0"/>
        <w:adjustRightInd w:val="0"/>
        <w:snapToGrid w:val="0"/>
        <w:spacing w:before="179" w:line="290" w:lineRule="auto"/>
        <w:ind w:left="1" w:right="72" w:firstLine="490"/>
        <w:textAlignment w:val="baseline"/>
        <w:rPr>
          <w:rFonts w:ascii="宋体" w:hAnsi="宋体" w:eastAsia="宋体" w:cs="宋体"/>
          <w:sz w:val="24"/>
          <w:szCs w:val="24"/>
        </w:rPr>
      </w:pPr>
      <w:r>
        <w:rPr>
          <w:rFonts w:ascii="宋体" w:hAnsi="宋体" w:eastAsia="宋体" w:cs="宋体"/>
          <w:spacing w:val="-1"/>
          <w:sz w:val="24"/>
          <w:szCs w:val="24"/>
        </w:rPr>
        <w:t>（十）餐饮业。从业人员300人以下或营</w:t>
      </w:r>
      <w:r>
        <w:rPr>
          <w:rFonts w:ascii="宋体" w:hAnsi="宋体" w:eastAsia="宋体" w:cs="宋体"/>
          <w:spacing w:val="-2"/>
          <w:sz w:val="24"/>
          <w:szCs w:val="24"/>
        </w:rPr>
        <w:t>业收入10000万元以下的为中小微型企业。</w:t>
      </w:r>
      <w:r>
        <w:rPr>
          <w:rFonts w:ascii="宋体" w:hAnsi="宋体" w:eastAsia="宋体" w:cs="宋体"/>
          <w:sz w:val="24"/>
          <w:szCs w:val="24"/>
        </w:rPr>
        <w:t xml:space="preserve"> </w:t>
      </w:r>
      <w:r>
        <w:rPr>
          <w:rFonts w:ascii="宋体" w:hAnsi="宋体" w:eastAsia="宋体" w:cs="宋体"/>
          <w:spacing w:val="1"/>
          <w:sz w:val="24"/>
          <w:szCs w:val="24"/>
        </w:rPr>
        <w:t>其中，从业人员100人及以上，且营业收入2000万元及以上的为中型企业；从业人员10</w:t>
      </w:r>
      <w:r>
        <w:rPr>
          <w:rFonts w:ascii="宋体" w:hAnsi="宋体" w:eastAsia="宋体" w:cs="宋体"/>
          <w:spacing w:val="-1"/>
          <w:sz w:val="24"/>
          <w:szCs w:val="24"/>
        </w:rPr>
        <w:t>人及以上，且营业收入100万元及以上的为小型企</w:t>
      </w:r>
      <w:r>
        <w:rPr>
          <w:rFonts w:ascii="宋体" w:hAnsi="宋体" w:eastAsia="宋体" w:cs="宋体"/>
          <w:spacing w:val="-2"/>
          <w:sz w:val="24"/>
          <w:szCs w:val="24"/>
        </w:rPr>
        <w:t>业；从业人员10人以下或营业收入100</w:t>
      </w:r>
      <w:r>
        <w:rPr>
          <w:rFonts w:ascii="宋体" w:hAnsi="宋体" w:eastAsia="宋体" w:cs="宋体"/>
          <w:sz w:val="24"/>
          <w:szCs w:val="24"/>
        </w:rPr>
        <w:t xml:space="preserve"> </w:t>
      </w:r>
      <w:r>
        <w:rPr>
          <w:rFonts w:ascii="宋体" w:hAnsi="宋体" w:eastAsia="宋体" w:cs="宋体"/>
          <w:spacing w:val="-2"/>
          <w:sz w:val="24"/>
          <w:szCs w:val="24"/>
        </w:rPr>
        <w:t>万元以下的为微型企业。</w:t>
      </w:r>
    </w:p>
    <w:p w14:paraId="3CF14E16">
      <w:pPr>
        <w:keepNext w:val="0"/>
        <w:keepLines w:val="0"/>
        <w:pageBreakBefore w:val="0"/>
        <w:widowControl/>
        <w:kinsoku/>
        <w:wordWrap/>
        <w:overflowPunct/>
        <w:topLinePunct w:val="0"/>
        <w:autoSpaceDE w:val="0"/>
        <w:autoSpaceDN w:val="0"/>
        <w:bidi w:val="0"/>
        <w:adjustRightInd w:val="0"/>
        <w:snapToGrid w:val="0"/>
        <w:spacing w:before="37" w:line="352" w:lineRule="auto"/>
        <w:ind w:right="2" w:firstLine="478"/>
        <w:jc w:val="both"/>
        <w:textAlignment w:val="baseline"/>
        <w:rPr>
          <w:rFonts w:ascii="宋体" w:hAnsi="宋体" w:eastAsia="宋体" w:cs="宋体"/>
          <w:sz w:val="24"/>
          <w:szCs w:val="24"/>
        </w:rPr>
      </w:pPr>
      <w:r>
        <w:rPr>
          <w:rFonts w:ascii="宋体" w:hAnsi="宋体" w:eastAsia="宋体" w:cs="宋体"/>
          <w:spacing w:val="-1"/>
          <w:sz w:val="24"/>
          <w:szCs w:val="24"/>
        </w:rPr>
        <w:t>（十一）信息传输业。从业人员2000人以下或营业收入</w:t>
      </w:r>
      <w:r>
        <w:rPr>
          <w:rFonts w:ascii="宋体" w:hAnsi="宋体" w:eastAsia="宋体" w:cs="宋体"/>
          <w:spacing w:val="-2"/>
          <w:sz w:val="24"/>
          <w:szCs w:val="24"/>
        </w:rPr>
        <w:t>100000万元以下的为中小微</w:t>
      </w:r>
      <w:r>
        <w:rPr>
          <w:rFonts w:ascii="宋体" w:hAnsi="宋体" w:eastAsia="宋体" w:cs="宋体"/>
          <w:sz w:val="24"/>
          <w:szCs w:val="24"/>
        </w:rPr>
        <w:t xml:space="preserve"> </w:t>
      </w:r>
      <w:r>
        <w:rPr>
          <w:rFonts w:ascii="宋体" w:hAnsi="宋体" w:eastAsia="宋体" w:cs="宋体"/>
          <w:spacing w:val="2"/>
          <w:sz w:val="24"/>
          <w:szCs w:val="24"/>
        </w:rPr>
        <w:t>型企业。其中，从业人员100人及以上，且营</w:t>
      </w:r>
      <w:r>
        <w:rPr>
          <w:rFonts w:ascii="宋体" w:hAnsi="宋体" w:eastAsia="宋体" w:cs="宋体"/>
          <w:spacing w:val="1"/>
          <w:sz w:val="24"/>
          <w:szCs w:val="24"/>
        </w:rPr>
        <w:t>业收入1000万元及以上的为中型企业；从</w:t>
      </w:r>
      <w:r>
        <w:rPr>
          <w:rFonts w:ascii="宋体" w:hAnsi="宋体" w:eastAsia="宋体" w:cs="宋体"/>
          <w:sz w:val="24"/>
          <w:szCs w:val="24"/>
        </w:rPr>
        <w:t xml:space="preserve"> </w:t>
      </w:r>
      <w:r>
        <w:rPr>
          <w:rFonts w:ascii="宋体" w:hAnsi="宋体" w:eastAsia="宋体" w:cs="宋体"/>
          <w:spacing w:val="2"/>
          <w:sz w:val="24"/>
          <w:szCs w:val="24"/>
        </w:rPr>
        <w:t>业人员10人及以上，且营业收入100万元及</w:t>
      </w:r>
      <w:r>
        <w:rPr>
          <w:rFonts w:ascii="宋体" w:hAnsi="宋体" w:eastAsia="宋体" w:cs="宋体"/>
          <w:spacing w:val="1"/>
          <w:sz w:val="24"/>
          <w:szCs w:val="24"/>
        </w:rPr>
        <w:t>以上的为小型企业；从业人员10人以下或营</w:t>
      </w:r>
      <w:r>
        <w:rPr>
          <w:rFonts w:ascii="宋体" w:hAnsi="宋体" w:eastAsia="宋体" w:cs="宋体"/>
          <w:sz w:val="24"/>
          <w:szCs w:val="24"/>
        </w:rPr>
        <w:t xml:space="preserve"> </w:t>
      </w:r>
      <w:r>
        <w:rPr>
          <w:rFonts w:ascii="宋体" w:hAnsi="宋体" w:eastAsia="宋体" w:cs="宋体"/>
          <w:spacing w:val="-1"/>
          <w:sz w:val="24"/>
          <w:szCs w:val="24"/>
        </w:rPr>
        <w:t>业收入100万元以下的为微型企业。</w:t>
      </w:r>
    </w:p>
    <w:p w14:paraId="7093FC76">
      <w:pPr>
        <w:keepNext w:val="0"/>
        <w:keepLines w:val="0"/>
        <w:pageBreakBefore w:val="0"/>
        <w:widowControl/>
        <w:kinsoku/>
        <w:wordWrap/>
        <w:overflowPunct/>
        <w:topLinePunct w:val="0"/>
        <w:autoSpaceDE w:val="0"/>
        <w:autoSpaceDN w:val="0"/>
        <w:bidi w:val="0"/>
        <w:adjustRightInd w:val="0"/>
        <w:snapToGrid w:val="0"/>
        <w:spacing w:before="36" w:line="352" w:lineRule="auto"/>
        <w:ind w:left="3" w:right="2" w:firstLine="474"/>
        <w:jc w:val="both"/>
        <w:textAlignment w:val="baseline"/>
        <w:rPr>
          <w:rFonts w:ascii="宋体" w:hAnsi="宋体" w:eastAsia="宋体" w:cs="宋体"/>
          <w:sz w:val="24"/>
          <w:szCs w:val="24"/>
        </w:rPr>
      </w:pPr>
      <w:r>
        <w:rPr>
          <w:rFonts w:ascii="宋体" w:hAnsi="宋体" w:eastAsia="宋体" w:cs="宋体"/>
          <w:spacing w:val="-1"/>
          <w:sz w:val="24"/>
          <w:szCs w:val="24"/>
        </w:rPr>
        <w:t>（十二）软件和信息技术服务业。从业人员300人以</w:t>
      </w:r>
      <w:r>
        <w:rPr>
          <w:rFonts w:ascii="宋体" w:hAnsi="宋体" w:eastAsia="宋体" w:cs="宋体"/>
          <w:spacing w:val="-2"/>
          <w:sz w:val="24"/>
          <w:szCs w:val="24"/>
        </w:rPr>
        <w:t>下或营业收入10000万元以下的</w:t>
      </w:r>
      <w:r>
        <w:rPr>
          <w:rFonts w:ascii="宋体" w:hAnsi="宋体" w:eastAsia="宋体" w:cs="宋体"/>
          <w:sz w:val="24"/>
          <w:szCs w:val="24"/>
        </w:rPr>
        <w:t xml:space="preserve"> </w:t>
      </w:r>
      <w:r>
        <w:rPr>
          <w:rFonts w:ascii="宋体" w:hAnsi="宋体" w:eastAsia="宋体" w:cs="宋体"/>
          <w:spacing w:val="1"/>
          <w:sz w:val="24"/>
          <w:szCs w:val="24"/>
        </w:rPr>
        <w:t>为中小微型企业。其中，从业人员100人及以上，且营业收入1000万元及以上的为中型</w:t>
      </w:r>
      <w:r>
        <w:rPr>
          <w:rFonts w:ascii="宋体" w:hAnsi="宋体" w:eastAsia="宋体" w:cs="宋体"/>
          <w:spacing w:val="17"/>
          <w:sz w:val="24"/>
          <w:szCs w:val="24"/>
        </w:rPr>
        <w:t xml:space="preserve"> </w:t>
      </w:r>
      <w:r>
        <w:rPr>
          <w:rFonts w:ascii="宋体" w:hAnsi="宋体" w:eastAsia="宋体" w:cs="宋体"/>
          <w:spacing w:val="-1"/>
          <w:sz w:val="24"/>
          <w:szCs w:val="24"/>
        </w:rPr>
        <w:t>企业；从业人员10人及以上，且营业收入5</w:t>
      </w:r>
      <w:r>
        <w:rPr>
          <w:rFonts w:ascii="宋体" w:hAnsi="宋体" w:eastAsia="宋体" w:cs="宋体"/>
          <w:spacing w:val="-2"/>
          <w:sz w:val="24"/>
          <w:szCs w:val="24"/>
        </w:rPr>
        <w:t>0万元及以上的为小型企业；从业人员10人以</w:t>
      </w:r>
      <w:r>
        <w:rPr>
          <w:rFonts w:ascii="宋体" w:hAnsi="宋体" w:eastAsia="宋体" w:cs="宋体"/>
          <w:sz w:val="24"/>
          <w:szCs w:val="24"/>
        </w:rPr>
        <w:t xml:space="preserve"> </w:t>
      </w:r>
      <w:r>
        <w:rPr>
          <w:rFonts w:ascii="宋体" w:hAnsi="宋体" w:eastAsia="宋体" w:cs="宋体"/>
          <w:spacing w:val="-1"/>
          <w:sz w:val="24"/>
          <w:szCs w:val="24"/>
        </w:rPr>
        <w:t>下或营业收入50万元以下的为微型企业。</w:t>
      </w:r>
    </w:p>
    <w:p w14:paraId="379B1524">
      <w:pPr>
        <w:keepNext w:val="0"/>
        <w:keepLines w:val="0"/>
        <w:pageBreakBefore w:val="0"/>
        <w:widowControl/>
        <w:kinsoku/>
        <w:wordWrap/>
        <w:overflowPunct/>
        <w:topLinePunct w:val="0"/>
        <w:autoSpaceDE w:val="0"/>
        <w:autoSpaceDN w:val="0"/>
        <w:bidi w:val="0"/>
        <w:adjustRightInd w:val="0"/>
        <w:snapToGrid w:val="0"/>
        <w:spacing w:before="34" w:line="353" w:lineRule="auto"/>
        <w:ind w:firstLine="497"/>
        <w:jc w:val="both"/>
        <w:textAlignment w:val="baseline"/>
        <w:rPr>
          <w:rFonts w:ascii="宋体" w:hAnsi="宋体" w:eastAsia="宋体" w:cs="宋体"/>
          <w:sz w:val="24"/>
          <w:szCs w:val="24"/>
        </w:rPr>
      </w:pPr>
      <w:r>
        <w:rPr>
          <w:rFonts w:ascii="宋体" w:hAnsi="宋体" w:eastAsia="宋体" w:cs="宋体"/>
          <w:spacing w:val="1"/>
          <w:sz w:val="24"/>
          <w:szCs w:val="24"/>
        </w:rPr>
        <w:t>（十三）房地产开发经营。营业收入200000万元以下或资产总额10000万元以下的</w:t>
      </w:r>
      <w:r>
        <w:rPr>
          <w:rFonts w:ascii="宋体" w:hAnsi="宋体" w:eastAsia="宋体" w:cs="宋体"/>
          <w:spacing w:val="6"/>
          <w:sz w:val="24"/>
          <w:szCs w:val="24"/>
        </w:rPr>
        <w:t xml:space="preserve"> </w:t>
      </w:r>
      <w:r>
        <w:rPr>
          <w:rFonts w:ascii="宋体" w:hAnsi="宋体" w:eastAsia="宋体" w:cs="宋体"/>
          <w:spacing w:val="-1"/>
          <w:sz w:val="24"/>
          <w:szCs w:val="24"/>
        </w:rPr>
        <w:t>为中小微型企业。其中，营业收入1000万元及以上，且</w:t>
      </w:r>
      <w:r>
        <w:rPr>
          <w:rFonts w:ascii="宋体" w:hAnsi="宋体" w:eastAsia="宋体" w:cs="宋体"/>
          <w:spacing w:val="-2"/>
          <w:sz w:val="24"/>
          <w:szCs w:val="24"/>
        </w:rPr>
        <w:t>资产总额5000万元及以上的为中</w:t>
      </w:r>
      <w:r>
        <w:rPr>
          <w:rFonts w:ascii="宋体" w:hAnsi="宋体" w:eastAsia="宋体" w:cs="宋体"/>
          <w:sz w:val="24"/>
          <w:szCs w:val="24"/>
        </w:rPr>
        <w:t xml:space="preserve"> </w:t>
      </w:r>
      <w:r>
        <w:rPr>
          <w:rFonts w:ascii="宋体" w:hAnsi="宋体" w:eastAsia="宋体" w:cs="宋体"/>
          <w:spacing w:val="2"/>
          <w:sz w:val="24"/>
          <w:szCs w:val="24"/>
        </w:rPr>
        <w:t>型企业；营业收入100万元及以上，且资产总</w:t>
      </w:r>
      <w:r>
        <w:rPr>
          <w:rFonts w:ascii="宋体" w:hAnsi="宋体" w:eastAsia="宋体" w:cs="宋体"/>
          <w:spacing w:val="1"/>
          <w:sz w:val="24"/>
          <w:szCs w:val="24"/>
        </w:rPr>
        <w:t>额2000万元及以上的为小型企业；营业收</w:t>
      </w:r>
      <w:r>
        <w:rPr>
          <w:rFonts w:ascii="宋体" w:hAnsi="宋体" w:eastAsia="宋体" w:cs="宋体"/>
          <w:sz w:val="24"/>
          <w:szCs w:val="24"/>
        </w:rPr>
        <w:t xml:space="preserve"> </w:t>
      </w:r>
      <w:r>
        <w:rPr>
          <w:rFonts w:ascii="宋体" w:hAnsi="宋体" w:eastAsia="宋体" w:cs="宋体"/>
          <w:spacing w:val="-1"/>
          <w:sz w:val="24"/>
          <w:szCs w:val="24"/>
        </w:rPr>
        <w:t>入100万元以下或资产总额2000万元以下的为微型企业。</w:t>
      </w:r>
    </w:p>
    <w:p w14:paraId="746486AD">
      <w:pPr>
        <w:keepNext w:val="0"/>
        <w:keepLines w:val="0"/>
        <w:pageBreakBefore w:val="0"/>
        <w:widowControl/>
        <w:kinsoku/>
        <w:wordWrap/>
        <w:overflowPunct/>
        <w:topLinePunct w:val="0"/>
        <w:autoSpaceDE w:val="0"/>
        <w:autoSpaceDN w:val="0"/>
        <w:bidi w:val="0"/>
        <w:adjustRightInd w:val="0"/>
        <w:snapToGrid w:val="0"/>
        <w:spacing w:before="31" w:line="353" w:lineRule="auto"/>
        <w:ind w:right="2" w:firstLine="478"/>
        <w:jc w:val="both"/>
        <w:textAlignment w:val="baseline"/>
        <w:rPr>
          <w:rFonts w:ascii="宋体" w:hAnsi="宋体" w:eastAsia="宋体" w:cs="宋体"/>
          <w:sz w:val="24"/>
          <w:szCs w:val="24"/>
        </w:rPr>
      </w:pPr>
      <w:r>
        <w:rPr>
          <w:rFonts w:ascii="宋体" w:hAnsi="宋体" w:eastAsia="宋体" w:cs="宋体"/>
          <w:spacing w:val="-1"/>
          <w:sz w:val="24"/>
          <w:szCs w:val="24"/>
        </w:rPr>
        <w:t>（十四）物业管理。从业人员1000人以下或营业收</w:t>
      </w:r>
      <w:r>
        <w:rPr>
          <w:rFonts w:ascii="宋体" w:hAnsi="宋体" w:eastAsia="宋体" w:cs="宋体"/>
          <w:spacing w:val="-2"/>
          <w:sz w:val="24"/>
          <w:szCs w:val="24"/>
        </w:rPr>
        <w:t>入5000万元以下的为中小微型企</w:t>
      </w:r>
      <w:r>
        <w:rPr>
          <w:rFonts w:ascii="宋体" w:hAnsi="宋体" w:eastAsia="宋体" w:cs="宋体"/>
          <w:sz w:val="24"/>
          <w:szCs w:val="24"/>
        </w:rPr>
        <w:t xml:space="preserve"> </w:t>
      </w:r>
      <w:r>
        <w:rPr>
          <w:rFonts w:ascii="宋体" w:hAnsi="宋体" w:eastAsia="宋体" w:cs="宋体"/>
          <w:spacing w:val="2"/>
          <w:sz w:val="24"/>
          <w:szCs w:val="24"/>
        </w:rPr>
        <w:t>业。其中，从业人员300人及以上，且营业收</w:t>
      </w:r>
      <w:r>
        <w:rPr>
          <w:rFonts w:ascii="宋体" w:hAnsi="宋体" w:eastAsia="宋体" w:cs="宋体"/>
          <w:spacing w:val="1"/>
          <w:sz w:val="24"/>
          <w:szCs w:val="24"/>
        </w:rPr>
        <w:t>入1000万元及以上的为中型企业；从业人</w:t>
      </w:r>
      <w:r>
        <w:rPr>
          <w:rFonts w:ascii="宋体" w:hAnsi="宋体" w:eastAsia="宋体" w:cs="宋体"/>
          <w:sz w:val="24"/>
          <w:szCs w:val="24"/>
        </w:rPr>
        <w:t xml:space="preserve"> </w:t>
      </w:r>
      <w:r>
        <w:rPr>
          <w:rFonts w:ascii="宋体" w:hAnsi="宋体" w:eastAsia="宋体" w:cs="宋体"/>
          <w:spacing w:val="2"/>
          <w:sz w:val="24"/>
          <w:szCs w:val="24"/>
        </w:rPr>
        <w:t>员100人及以上，且营业收入500万元及</w:t>
      </w:r>
      <w:r>
        <w:rPr>
          <w:rFonts w:ascii="宋体" w:hAnsi="宋体" w:eastAsia="宋体" w:cs="宋体"/>
          <w:spacing w:val="1"/>
          <w:sz w:val="24"/>
          <w:szCs w:val="24"/>
        </w:rPr>
        <w:t>以上的为小型企业；从业人员100人以下或营业</w:t>
      </w:r>
      <w:r>
        <w:rPr>
          <w:rFonts w:ascii="宋体" w:hAnsi="宋体" w:eastAsia="宋体" w:cs="宋体"/>
          <w:sz w:val="24"/>
          <w:szCs w:val="24"/>
        </w:rPr>
        <w:t xml:space="preserve"> </w:t>
      </w:r>
      <w:r>
        <w:rPr>
          <w:rFonts w:ascii="宋体" w:hAnsi="宋体" w:eastAsia="宋体" w:cs="宋体"/>
          <w:spacing w:val="-1"/>
          <w:sz w:val="24"/>
          <w:szCs w:val="24"/>
        </w:rPr>
        <w:t>收入500万元以下的为微型企业。</w:t>
      </w:r>
    </w:p>
    <w:p w14:paraId="03AC2314">
      <w:pPr>
        <w:keepNext w:val="0"/>
        <w:keepLines w:val="0"/>
        <w:pageBreakBefore w:val="0"/>
        <w:widowControl/>
        <w:kinsoku/>
        <w:wordWrap/>
        <w:overflowPunct/>
        <w:topLinePunct w:val="0"/>
        <w:autoSpaceDE w:val="0"/>
        <w:autoSpaceDN w:val="0"/>
        <w:bidi w:val="0"/>
        <w:adjustRightInd w:val="0"/>
        <w:snapToGrid w:val="0"/>
        <w:spacing w:before="32" w:line="353" w:lineRule="auto"/>
        <w:ind w:firstLine="497"/>
        <w:jc w:val="both"/>
        <w:textAlignment w:val="baseline"/>
        <w:rPr>
          <w:rFonts w:ascii="宋体" w:hAnsi="宋体" w:eastAsia="宋体" w:cs="宋体"/>
          <w:sz w:val="24"/>
          <w:szCs w:val="24"/>
        </w:rPr>
      </w:pPr>
      <w:r>
        <w:rPr>
          <w:rFonts w:ascii="宋体" w:hAnsi="宋体" w:eastAsia="宋体" w:cs="宋体"/>
          <w:spacing w:val="1"/>
          <w:sz w:val="24"/>
          <w:szCs w:val="24"/>
        </w:rPr>
        <w:t>（十五）租赁和商务服务业。从业人员300人以下或资产总额120000万元以下的为</w:t>
      </w:r>
      <w:r>
        <w:rPr>
          <w:rFonts w:ascii="宋体" w:hAnsi="宋体" w:eastAsia="宋体" w:cs="宋体"/>
          <w:spacing w:val="5"/>
          <w:sz w:val="24"/>
          <w:szCs w:val="24"/>
        </w:rPr>
        <w:t xml:space="preserve"> </w:t>
      </w:r>
      <w:r>
        <w:rPr>
          <w:rFonts w:ascii="宋体" w:hAnsi="宋体" w:eastAsia="宋体" w:cs="宋体"/>
          <w:spacing w:val="2"/>
          <w:sz w:val="24"/>
          <w:szCs w:val="24"/>
        </w:rPr>
        <w:t>中小微型企业。其中，从业人员100人及以上</w:t>
      </w:r>
      <w:r>
        <w:rPr>
          <w:rFonts w:ascii="宋体" w:hAnsi="宋体" w:eastAsia="宋体" w:cs="宋体"/>
          <w:spacing w:val="1"/>
          <w:sz w:val="24"/>
          <w:szCs w:val="24"/>
        </w:rPr>
        <w:t>，且资产总额8000万元及以上的为中型企</w:t>
      </w:r>
      <w:r>
        <w:rPr>
          <w:rFonts w:ascii="宋体" w:hAnsi="宋体" w:eastAsia="宋体" w:cs="宋体"/>
          <w:sz w:val="24"/>
          <w:szCs w:val="24"/>
        </w:rPr>
        <w:t xml:space="preserve"> </w:t>
      </w:r>
      <w:r>
        <w:rPr>
          <w:rFonts w:ascii="宋体" w:hAnsi="宋体" w:eastAsia="宋体" w:cs="宋体"/>
          <w:spacing w:val="2"/>
          <w:sz w:val="24"/>
          <w:szCs w:val="24"/>
        </w:rPr>
        <w:t>业；从业人员10人及以上，且资产总额100万元</w:t>
      </w:r>
      <w:r>
        <w:rPr>
          <w:rFonts w:ascii="宋体" w:hAnsi="宋体" w:eastAsia="宋体" w:cs="宋体"/>
          <w:spacing w:val="1"/>
          <w:sz w:val="24"/>
          <w:szCs w:val="24"/>
        </w:rPr>
        <w:t>及以上的为小型企业；从业人员10人以</w:t>
      </w:r>
      <w:r>
        <w:rPr>
          <w:rFonts w:ascii="宋体" w:hAnsi="宋体" w:eastAsia="宋体" w:cs="宋体"/>
          <w:sz w:val="24"/>
          <w:szCs w:val="24"/>
        </w:rPr>
        <w:t xml:space="preserve"> </w:t>
      </w:r>
      <w:r>
        <w:rPr>
          <w:rFonts w:ascii="宋体" w:hAnsi="宋体" w:eastAsia="宋体" w:cs="宋体"/>
          <w:spacing w:val="-1"/>
          <w:sz w:val="24"/>
          <w:szCs w:val="24"/>
        </w:rPr>
        <w:t>下或资产总额100万元以下的为微型企业。</w:t>
      </w:r>
    </w:p>
    <w:p w14:paraId="1FD80333">
      <w:pPr>
        <w:keepNext w:val="0"/>
        <w:keepLines w:val="0"/>
        <w:pageBreakBefore w:val="0"/>
        <w:widowControl/>
        <w:kinsoku/>
        <w:wordWrap/>
        <w:overflowPunct/>
        <w:topLinePunct w:val="0"/>
        <w:autoSpaceDE w:val="0"/>
        <w:autoSpaceDN w:val="0"/>
        <w:bidi w:val="0"/>
        <w:adjustRightInd w:val="0"/>
        <w:snapToGrid w:val="0"/>
        <w:spacing w:before="34" w:line="351" w:lineRule="auto"/>
        <w:ind w:left="10" w:firstLine="486"/>
        <w:jc w:val="both"/>
        <w:textAlignment w:val="baseline"/>
        <w:rPr>
          <w:rFonts w:ascii="宋体" w:hAnsi="宋体" w:eastAsia="宋体" w:cs="宋体"/>
          <w:sz w:val="24"/>
          <w:szCs w:val="24"/>
        </w:rPr>
      </w:pPr>
      <w:r>
        <w:rPr>
          <w:rFonts w:ascii="宋体" w:hAnsi="宋体" w:eastAsia="宋体" w:cs="宋体"/>
          <w:spacing w:val="1"/>
          <w:sz w:val="24"/>
          <w:szCs w:val="24"/>
        </w:rPr>
        <w:t>（十六）其他未列明行业。从业人员300人以下的为中小微型企业。其中，从业人</w:t>
      </w:r>
      <w:r>
        <w:rPr>
          <w:rFonts w:ascii="宋体" w:hAnsi="宋体" w:eastAsia="宋体" w:cs="宋体"/>
          <w:spacing w:val="8"/>
          <w:sz w:val="24"/>
          <w:szCs w:val="24"/>
        </w:rPr>
        <w:t xml:space="preserve"> </w:t>
      </w:r>
      <w:r>
        <w:rPr>
          <w:rFonts w:ascii="宋体" w:hAnsi="宋体" w:eastAsia="宋体" w:cs="宋体"/>
          <w:spacing w:val="1"/>
          <w:sz w:val="24"/>
          <w:szCs w:val="24"/>
        </w:rPr>
        <w:t>员100人及以上的为中型企业；从业人员10人及以上的为小型企业；从业人员10人以下</w:t>
      </w:r>
      <w:r>
        <w:rPr>
          <w:rFonts w:ascii="宋体" w:hAnsi="宋体" w:eastAsia="宋体" w:cs="宋体"/>
          <w:spacing w:val="13"/>
          <w:sz w:val="24"/>
          <w:szCs w:val="24"/>
        </w:rPr>
        <w:t xml:space="preserve"> </w:t>
      </w:r>
      <w:r>
        <w:rPr>
          <w:rFonts w:ascii="宋体" w:hAnsi="宋体" w:eastAsia="宋体" w:cs="宋体"/>
          <w:spacing w:val="-3"/>
          <w:sz w:val="24"/>
          <w:szCs w:val="24"/>
        </w:rPr>
        <w:t>的为微型企业。</w:t>
      </w:r>
    </w:p>
    <w:p w14:paraId="113AF5F5">
      <w:pPr>
        <w:keepNext w:val="0"/>
        <w:keepLines w:val="0"/>
        <w:pageBreakBefore w:val="0"/>
        <w:widowControl/>
        <w:kinsoku/>
        <w:wordWrap/>
        <w:overflowPunct/>
        <w:topLinePunct w:val="0"/>
        <w:autoSpaceDE w:val="0"/>
        <w:autoSpaceDN w:val="0"/>
        <w:bidi w:val="0"/>
        <w:adjustRightInd w:val="0"/>
        <w:snapToGrid w:val="0"/>
        <w:spacing w:before="32" w:line="219" w:lineRule="auto"/>
        <w:ind w:left="484"/>
        <w:textAlignment w:val="baseline"/>
        <w:rPr>
          <w:rFonts w:ascii="宋体" w:hAnsi="宋体" w:eastAsia="宋体" w:cs="宋体"/>
          <w:sz w:val="24"/>
          <w:szCs w:val="24"/>
        </w:rPr>
      </w:pPr>
      <w:r>
        <w:rPr>
          <w:rFonts w:ascii="宋体" w:hAnsi="宋体" w:eastAsia="宋体" w:cs="宋体"/>
          <w:spacing w:val="-1"/>
          <w:sz w:val="24"/>
          <w:szCs w:val="24"/>
        </w:rPr>
        <w:t>五、企业类型的划分以统计部门的统计数据为依据。</w:t>
      </w:r>
    </w:p>
    <w:p w14:paraId="65350CD4">
      <w:pPr>
        <w:keepNext w:val="0"/>
        <w:keepLines w:val="0"/>
        <w:pageBreakBefore w:val="0"/>
        <w:widowControl/>
        <w:kinsoku/>
        <w:wordWrap/>
        <w:overflowPunct/>
        <w:topLinePunct w:val="0"/>
        <w:autoSpaceDE w:val="0"/>
        <w:autoSpaceDN w:val="0"/>
        <w:bidi w:val="0"/>
        <w:adjustRightInd w:val="0"/>
        <w:snapToGrid w:val="0"/>
        <w:spacing w:before="180" w:line="290" w:lineRule="auto"/>
        <w:ind w:left="4" w:right="2" w:firstLine="478"/>
        <w:textAlignment w:val="baseline"/>
        <w:rPr>
          <w:rFonts w:ascii="宋体" w:hAnsi="宋体" w:eastAsia="宋体" w:cs="宋体"/>
          <w:sz w:val="24"/>
          <w:szCs w:val="24"/>
        </w:rPr>
      </w:pPr>
      <w:r>
        <w:rPr>
          <w:rFonts w:ascii="宋体" w:hAnsi="宋体" w:eastAsia="宋体" w:cs="宋体"/>
          <w:spacing w:val="-2"/>
          <w:sz w:val="24"/>
          <w:szCs w:val="24"/>
        </w:rPr>
        <w:t>六、本规定适用于在中华人民共和国境内依法设立的各类所有制和各种组织形式的</w:t>
      </w:r>
      <w:r>
        <w:rPr>
          <w:rFonts w:ascii="宋体" w:hAnsi="宋体" w:eastAsia="宋体" w:cs="宋体"/>
          <w:spacing w:val="11"/>
          <w:sz w:val="24"/>
          <w:szCs w:val="24"/>
        </w:rPr>
        <w:t xml:space="preserve"> </w:t>
      </w:r>
      <w:r>
        <w:rPr>
          <w:rFonts w:ascii="宋体" w:hAnsi="宋体" w:eastAsia="宋体" w:cs="宋体"/>
          <w:spacing w:val="-1"/>
          <w:sz w:val="24"/>
          <w:szCs w:val="24"/>
        </w:rPr>
        <w:t>企业。个体工商户和本规定以外的行业，参照本规定进行划型。</w:t>
      </w:r>
    </w:p>
    <w:p w14:paraId="4AC762F6">
      <w:pPr>
        <w:keepNext w:val="0"/>
        <w:keepLines w:val="0"/>
        <w:pageBreakBefore w:val="0"/>
        <w:widowControl/>
        <w:kinsoku/>
        <w:wordWrap/>
        <w:overflowPunct/>
        <w:topLinePunct w:val="0"/>
        <w:autoSpaceDE w:val="0"/>
        <w:autoSpaceDN w:val="0"/>
        <w:bidi w:val="0"/>
        <w:adjustRightInd w:val="0"/>
        <w:snapToGrid w:val="0"/>
        <w:spacing w:before="183" w:line="313" w:lineRule="auto"/>
        <w:ind w:left="3" w:right="2" w:firstLine="476"/>
        <w:textAlignment w:val="baseline"/>
        <w:rPr>
          <w:rFonts w:ascii="宋体" w:hAnsi="宋体" w:eastAsia="宋体" w:cs="宋体"/>
          <w:sz w:val="24"/>
          <w:szCs w:val="24"/>
        </w:rPr>
      </w:pPr>
      <w:r>
        <w:rPr>
          <w:rFonts w:ascii="宋体" w:hAnsi="宋体" w:eastAsia="宋体" w:cs="宋体"/>
          <w:spacing w:val="-2"/>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03882C3C">
      <w:pPr>
        <w:keepNext w:val="0"/>
        <w:keepLines w:val="0"/>
        <w:pageBreakBefore w:val="0"/>
        <w:widowControl/>
        <w:kinsoku/>
        <w:wordWrap/>
        <w:overflowPunct/>
        <w:topLinePunct w:val="0"/>
        <w:autoSpaceDE w:val="0"/>
        <w:autoSpaceDN w:val="0"/>
        <w:bidi w:val="0"/>
        <w:adjustRightInd w:val="0"/>
        <w:snapToGrid w:val="0"/>
        <w:spacing w:line="313" w:lineRule="auto"/>
        <w:textAlignment w:val="baseline"/>
        <w:rPr>
          <w:rFonts w:ascii="宋体" w:hAnsi="宋体" w:eastAsia="宋体" w:cs="宋体"/>
          <w:sz w:val="24"/>
          <w:szCs w:val="24"/>
        </w:rPr>
        <w:sectPr>
          <w:footerReference r:id="rId31" w:type="default"/>
          <w:pgSz w:w="11906" w:h="16839"/>
          <w:pgMar w:top="1440" w:right="1080" w:bottom="1440" w:left="1080" w:header="0" w:footer="994" w:gutter="0"/>
          <w:pgNumType w:fmt="decimal"/>
          <w:cols w:space="720" w:num="1"/>
        </w:sectPr>
      </w:pPr>
    </w:p>
    <w:p w14:paraId="4DD700F8">
      <w:pPr>
        <w:pStyle w:val="2"/>
      </w:pPr>
    </w:p>
    <w:sectPr>
      <w:footerReference r:id="rId32" w:type="default"/>
      <w:pgSz w:w="11906" w:h="16839"/>
      <w:pgMar w:top="1440" w:right="1080" w:bottom="1440" w:left="1080" w:header="0" w:footer="99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89F25">
    <w:pPr>
      <w:spacing w:line="176" w:lineRule="auto"/>
      <w:ind w:left="4473"/>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17F5E">
    <w:pPr>
      <w:spacing w:line="176" w:lineRule="auto"/>
      <w:ind w:left="44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6D86FF">
                          <w:pPr>
                            <w:pStyle w:val="8"/>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3</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6D86FF">
                    <w:pPr>
                      <w:pStyle w:val="8"/>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3</w:t>
                    </w:r>
                    <w:r>
                      <w:rPr>
                        <w:rFonts w:hint="default" w:ascii="Times New Roman" w:hAnsi="Times New Roman" w:cs="Times New Roman"/>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0C25F">
    <w:pPr>
      <w:spacing w:line="176" w:lineRule="auto"/>
      <w:ind w:left="456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5D6704">
                          <w:pPr>
                            <w:pStyle w:val="8"/>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05D6704">
                    <w:pPr>
                      <w:pStyle w:val="8"/>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7001D">
    <w:pPr>
      <w:spacing w:line="176"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A1C1CF">
                          <w:pPr>
                            <w:pStyle w:val="8"/>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5A1C1CF">
                    <w:pPr>
                      <w:pStyle w:val="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C0877">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7F3A03">
                          <w:pPr>
                            <w:pStyle w:val="8"/>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F7F3A03">
                    <w:pPr>
                      <w:pStyle w:val="8"/>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17E20">
    <w:pPr>
      <w:spacing w:line="176" w:lineRule="auto"/>
      <w:ind w:left="44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045D2C">
                          <w:pPr>
                            <w:pStyle w:val="8"/>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A045D2C">
                    <w:pPr>
                      <w:pStyle w:val="8"/>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9451F">
    <w:pPr>
      <w:spacing w:line="176" w:lineRule="auto"/>
      <w:ind w:left="44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C6A5C4">
                          <w:pPr>
                            <w:pStyle w:val="8"/>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8C6A5C4">
                    <w:pPr>
                      <w:pStyle w:val="8"/>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0211F">
    <w:pPr>
      <w:spacing w:line="176" w:lineRule="auto"/>
      <w:ind w:left="44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A1CD4D">
                          <w:pPr>
                            <w:pStyle w:val="8"/>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5A1CD4D">
                    <w:pPr>
                      <w:pStyle w:val="8"/>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DCD8C">
    <w:pPr>
      <w:spacing w:line="176" w:lineRule="auto"/>
      <w:ind w:left="444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9BB9C">
                          <w:pPr>
                            <w:pStyle w:val="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919BB9C">
                    <w:pPr>
                      <w:pStyle w:val="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48FFCE">
    <w:pPr>
      <w:spacing w:line="176" w:lineRule="auto"/>
      <w:ind w:left="444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B9BC74">
                          <w:pPr>
                            <w:pStyle w:val="8"/>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8B9BC74">
                    <w:pPr>
                      <w:pStyle w:val="8"/>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440C1">
    <w:pPr>
      <w:spacing w:line="176" w:lineRule="auto"/>
      <w:ind w:left="44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37B7BB">
                          <w:pPr>
                            <w:pStyle w:val="8"/>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137B7BB">
                    <w:pPr>
                      <w:pStyle w:val="8"/>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37347">
    <w:pPr>
      <w:spacing w:line="176" w:lineRule="auto"/>
      <w:ind w:left="44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4C2B0B">
                          <w:pPr>
                            <w:pStyle w:val="8"/>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F4C2B0B">
                    <w:pPr>
                      <w:pStyle w:val="8"/>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B4F38">
    <w:pPr>
      <w:spacing w:line="176" w:lineRule="auto"/>
      <w:ind w:left="444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69A78E">
                          <w:pPr>
                            <w:pStyle w:val="8"/>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669A78E">
                    <w:pPr>
                      <w:pStyle w:val="8"/>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36612">
    <w:pPr>
      <w:spacing w:line="176" w:lineRule="auto"/>
      <w:ind w:left="444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278D42">
                          <w:pPr>
                            <w:pStyle w:val="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F278D42">
                    <w:pPr>
                      <w:pStyle w:val="8"/>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D2167">
    <w:pPr>
      <w:spacing w:line="176" w:lineRule="auto"/>
      <w:ind w:left="444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5C53CB">
                          <w:pPr>
                            <w:pStyle w:val="8"/>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45C53CB">
                    <w:pPr>
                      <w:pStyle w:val="8"/>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8CCC8">
    <w:pPr>
      <w:spacing w:line="176" w:lineRule="auto"/>
      <w:ind w:left="44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74D72D">
                          <w:pPr>
                            <w:pStyle w:val="8"/>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974D72D">
                    <w:pPr>
                      <w:pStyle w:val="8"/>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7CBED">
    <w:pPr>
      <w:spacing w:line="176" w:lineRule="auto"/>
      <w:ind w:left="48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4F73E0">
                          <w:pPr>
                            <w:pStyle w:val="8"/>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34F73E0">
                    <w:pPr>
                      <w:pStyle w:val="8"/>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9F83F">
    <w:pPr>
      <w:spacing w:line="176" w:lineRule="auto"/>
      <w:ind w:left="445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BEAD7">
                          <w:pPr>
                            <w:pStyle w:val="8"/>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06EBEAD7">
                    <w:pPr>
                      <w:pStyle w:val="8"/>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76F77">
    <w:pPr>
      <w:spacing w:line="176" w:lineRule="auto"/>
      <w:ind w:left="48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714854">
                          <w:pPr>
                            <w:pStyle w:val="8"/>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5A714854">
                    <w:pPr>
                      <w:pStyle w:val="8"/>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A0FB6">
    <w:pPr>
      <w:spacing w:line="176" w:lineRule="auto"/>
      <w:ind w:left="456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1CCD0D">
                          <w:pPr>
                            <w:pStyle w:val="8"/>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401CCD0D">
                    <w:pPr>
                      <w:pStyle w:val="8"/>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46EFD">
    <w:pPr>
      <w:spacing w:line="173" w:lineRule="auto"/>
      <w:ind w:left="44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09280E">
                          <w:pPr>
                            <w:pStyle w:val="8"/>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7109280E">
                    <w:pPr>
                      <w:pStyle w:val="8"/>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75962">
    <w:pPr>
      <w:spacing w:line="176" w:lineRule="auto"/>
      <w:ind w:left="445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6E4FD4">
                          <w:pPr>
                            <w:pStyle w:val="8"/>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666E4FD4">
                    <w:pPr>
                      <w:pStyle w:val="8"/>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DB054">
    <w:pPr>
      <w:spacing w:line="173" w:lineRule="auto"/>
      <w:ind w:left="48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79C839">
                          <w:pPr>
                            <w:pStyle w:val="8"/>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6E79C839">
                    <w:pPr>
                      <w:pStyle w:val="8"/>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47544">
    <w:pPr>
      <w:pStyle w:val="8"/>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D3FB5F">
                          <w:pPr>
                            <w:pStyle w:val="8"/>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07D3FB5F">
                    <w:pPr>
                      <w:pStyle w:val="8"/>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7D455">
    <w:pPr>
      <w:spacing w:line="173"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DBA9E9">
                          <w:pPr>
                            <w:pStyle w:val="8"/>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76DBA9E9">
                    <w:pPr>
                      <w:pStyle w:val="8"/>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7CBB3">
    <w:pPr>
      <w:spacing w:line="240" w:lineRule="auto"/>
      <w:ind w:left="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C540C1">
                          <w:pPr>
                            <w:pStyle w:val="8"/>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73C540C1">
                    <w:pPr>
                      <w:pStyle w:val="8"/>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80B66">
    <w:pPr>
      <w:pStyle w:val="7"/>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D2BB6">
    <w:pPr>
      <w:pStyle w:val="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473C3A"/>
    <w:multiLevelType w:val="singleLevel"/>
    <w:tmpl w:val="07473C3A"/>
    <w:lvl w:ilvl="0" w:tentative="0">
      <w:start w:val="20"/>
      <w:numFmt w:val="decimal"/>
      <w:lvlText w:val="%1."/>
      <w:lvlJc w:val="left"/>
      <w:pPr>
        <w:tabs>
          <w:tab w:val="left" w:pos="312"/>
        </w:tabs>
      </w:pPr>
    </w:lvl>
  </w:abstractNum>
  <w:abstractNum w:abstractNumId="1">
    <w:nsid w:val="1E6E3D70"/>
    <w:multiLevelType w:val="singleLevel"/>
    <w:tmpl w:val="1E6E3D70"/>
    <w:lvl w:ilvl="0" w:tentative="0">
      <w:start w:val="5"/>
      <w:numFmt w:val="decimal"/>
      <w:lvlText w:val="%1."/>
      <w:lvlJc w:val="left"/>
      <w:pPr>
        <w:tabs>
          <w:tab w:val="left" w:pos="312"/>
        </w:tabs>
      </w:pPr>
    </w:lvl>
  </w:abstractNum>
  <w:abstractNum w:abstractNumId="2">
    <w:nsid w:val="6817D787"/>
    <w:multiLevelType w:val="singleLevel"/>
    <w:tmpl w:val="6817D787"/>
    <w:lvl w:ilvl="0" w:tentative="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M0OGI3YTgyNmM4MTNjOTg3ZTBkZDE5MGQxNzJkNzcifQ=="/>
  </w:docVars>
  <w:rsids>
    <w:rsidRoot w:val="00000000"/>
    <w:rsid w:val="01AA1BE1"/>
    <w:rsid w:val="01B34E22"/>
    <w:rsid w:val="01C900CB"/>
    <w:rsid w:val="01CE57B8"/>
    <w:rsid w:val="01D80157"/>
    <w:rsid w:val="01F77037"/>
    <w:rsid w:val="021D1CB0"/>
    <w:rsid w:val="02212070"/>
    <w:rsid w:val="03AA5DB1"/>
    <w:rsid w:val="05634469"/>
    <w:rsid w:val="056703FD"/>
    <w:rsid w:val="060043AE"/>
    <w:rsid w:val="06A41E60"/>
    <w:rsid w:val="06FF6413"/>
    <w:rsid w:val="07C531B9"/>
    <w:rsid w:val="08065580"/>
    <w:rsid w:val="08CB72E3"/>
    <w:rsid w:val="09554A11"/>
    <w:rsid w:val="09D5345C"/>
    <w:rsid w:val="09FC30DE"/>
    <w:rsid w:val="0A284836"/>
    <w:rsid w:val="0A2D3298"/>
    <w:rsid w:val="0A83668A"/>
    <w:rsid w:val="0A8F5D00"/>
    <w:rsid w:val="0BBC2B25"/>
    <w:rsid w:val="0C3E3B2C"/>
    <w:rsid w:val="0C405504"/>
    <w:rsid w:val="0C85560D"/>
    <w:rsid w:val="0D38442D"/>
    <w:rsid w:val="0DA87805"/>
    <w:rsid w:val="0DFA16E3"/>
    <w:rsid w:val="0EA0228A"/>
    <w:rsid w:val="0EFD592E"/>
    <w:rsid w:val="0F64775C"/>
    <w:rsid w:val="0F6E05DA"/>
    <w:rsid w:val="0F7A0D2D"/>
    <w:rsid w:val="0F847DFE"/>
    <w:rsid w:val="0F9811B3"/>
    <w:rsid w:val="100827DD"/>
    <w:rsid w:val="11390774"/>
    <w:rsid w:val="114333A1"/>
    <w:rsid w:val="11A622AD"/>
    <w:rsid w:val="11F22D56"/>
    <w:rsid w:val="129465AA"/>
    <w:rsid w:val="129C545E"/>
    <w:rsid w:val="135B2C24"/>
    <w:rsid w:val="13B37E2C"/>
    <w:rsid w:val="14991C55"/>
    <w:rsid w:val="14B27E01"/>
    <w:rsid w:val="14D013EF"/>
    <w:rsid w:val="14E46C49"/>
    <w:rsid w:val="14EC447B"/>
    <w:rsid w:val="154D2A40"/>
    <w:rsid w:val="15C85851"/>
    <w:rsid w:val="1626576B"/>
    <w:rsid w:val="165E3157"/>
    <w:rsid w:val="169C5A2D"/>
    <w:rsid w:val="16AB2114"/>
    <w:rsid w:val="16BA4105"/>
    <w:rsid w:val="170A508C"/>
    <w:rsid w:val="17483E58"/>
    <w:rsid w:val="1776627E"/>
    <w:rsid w:val="17AD4A37"/>
    <w:rsid w:val="181F73D6"/>
    <w:rsid w:val="182B4B6E"/>
    <w:rsid w:val="182C2DE0"/>
    <w:rsid w:val="183D3240"/>
    <w:rsid w:val="187F5606"/>
    <w:rsid w:val="18D578D5"/>
    <w:rsid w:val="19517ECB"/>
    <w:rsid w:val="198804EA"/>
    <w:rsid w:val="19C07E33"/>
    <w:rsid w:val="19F8734E"/>
    <w:rsid w:val="1A366198"/>
    <w:rsid w:val="1AE96D67"/>
    <w:rsid w:val="1B522B5E"/>
    <w:rsid w:val="1BBD523E"/>
    <w:rsid w:val="1BE7478A"/>
    <w:rsid w:val="1C185B56"/>
    <w:rsid w:val="1C25283A"/>
    <w:rsid w:val="1C580648"/>
    <w:rsid w:val="1C6C7C4F"/>
    <w:rsid w:val="1CAE2016"/>
    <w:rsid w:val="1CE04199"/>
    <w:rsid w:val="1D2D5631"/>
    <w:rsid w:val="1D4D182F"/>
    <w:rsid w:val="1DE43A19"/>
    <w:rsid w:val="1EE86678"/>
    <w:rsid w:val="1F9A0F77"/>
    <w:rsid w:val="1FA47700"/>
    <w:rsid w:val="1FAE2E35"/>
    <w:rsid w:val="1FCD4EA9"/>
    <w:rsid w:val="1FD06331"/>
    <w:rsid w:val="2076109D"/>
    <w:rsid w:val="21D40771"/>
    <w:rsid w:val="22883309"/>
    <w:rsid w:val="22963C78"/>
    <w:rsid w:val="22A04AF7"/>
    <w:rsid w:val="23377209"/>
    <w:rsid w:val="23503E27"/>
    <w:rsid w:val="235B27CC"/>
    <w:rsid w:val="236E0751"/>
    <w:rsid w:val="23D10EA2"/>
    <w:rsid w:val="26906C30"/>
    <w:rsid w:val="281025A5"/>
    <w:rsid w:val="283D6944"/>
    <w:rsid w:val="293D309F"/>
    <w:rsid w:val="29437F8A"/>
    <w:rsid w:val="29D163B1"/>
    <w:rsid w:val="2A866380"/>
    <w:rsid w:val="2AF91248"/>
    <w:rsid w:val="2B004385"/>
    <w:rsid w:val="2BD355F5"/>
    <w:rsid w:val="2C0159AA"/>
    <w:rsid w:val="2C836BD0"/>
    <w:rsid w:val="2CBB1859"/>
    <w:rsid w:val="2CE32344"/>
    <w:rsid w:val="2D26209C"/>
    <w:rsid w:val="2D2D4346"/>
    <w:rsid w:val="2D355D14"/>
    <w:rsid w:val="2E045F3A"/>
    <w:rsid w:val="2E051CB2"/>
    <w:rsid w:val="2E2F6D2F"/>
    <w:rsid w:val="2EF266DA"/>
    <w:rsid w:val="2F1F0B51"/>
    <w:rsid w:val="301D32E3"/>
    <w:rsid w:val="30872E52"/>
    <w:rsid w:val="30D93EF7"/>
    <w:rsid w:val="31010E56"/>
    <w:rsid w:val="312923BE"/>
    <w:rsid w:val="31552F50"/>
    <w:rsid w:val="326351F9"/>
    <w:rsid w:val="32C0264B"/>
    <w:rsid w:val="33136C1F"/>
    <w:rsid w:val="3344502A"/>
    <w:rsid w:val="34A83397"/>
    <w:rsid w:val="34FB5BBD"/>
    <w:rsid w:val="351849C1"/>
    <w:rsid w:val="354264AD"/>
    <w:rsid w:val="354B444E"/>
    <w:rsid w:val="356B689E"/>
    <w:rsid w:val="357F5C79"/>
    <w:rsid w:val="35B20971"/>
    <w:rsid w:val="35C67F79"/>
    <w:rsid w:val="35D02BA5"/>
    <w:rsid w:val="35D94150"/>
    <w:rsid w:val="360311CD"/>
    <w:rsid w:val="37A442EA"/>
    <w:rsid w:val="37C8447C"/>
    <w:rsid w:val="398C14D9"/>
    <w:rsid w:val="3B1B48C3"/>
    <w:rsid w:val="3B1E4DC3"/>
    <w:rsid w:val="3BAB20EB"/>
    <w:rsid w:val="3BFC64A2"/>
    <w:rsid w:val="3C371BD0"/>
    <w:rsid w:val="3CED04E1"/>
    <w:rsid w:val="3D053A7C"/>
    <w:rsid w:val="3D344362"/>
    <w:rsid w:val="3D516CC2"/>
    <w:rsid w:val="3D595B76"/>
    <w:rsid w:val="3EBE2135"/>
    <w:rsid w:val="3EEF6792"/>
    <w:rsid w:val="3F917849"/>
    <w:rsid w:val="40210BCD"/>
    <w:rsid w:val="41195D48"/>
    <w:rsid w:val="41C95079"/>
    <w:rsid w:val="4269685C"/>
    <w:rsid w:val="42734FE4"/>
    <w:rsid w:val="427E0E5F"/>
    <w:rsid w:val="43192030"/>
    <w:rsid w:val="434552A0"/>
    <w:rsid w:val="438020AF"/>
    <w:rsid w:val="43EE7018"/>
    <w:rsid w:val="441D16AC"/>
    <w:rsid w:val="4441183E"/>
    <w:rsid w:val="44D81A76"/>
    <w:rsid w:val="451E1B7F"/>
    <w:rsid w:val="45A73923"/>
    <w:rsid w:val="463D7DE3"/>
    <w:rsid w:val="468679DC"/>
    <w:rsid w:val="46AC31BB"/>
    <w:rsid w:val="46F81A26"/>
    <w:rsid w:val="471E5E67"/>
    <w:rsid w:val="47354F5E"/>
    <w:rsid w:val="4799729B"/>
    <w:rsid w:val="49634005"/>
    <w:rsid w:val="49B54134"/>
    <w:rsid w:val="49D40A5E"/>
    <w:rsid w:val="49E50EBD"/>
    <w:rsid w:val="4A0D5D1E"/>
    <w:rsid w:val="4A392FB7"/>
    <w:rsid w:val="4A963F66"/>
    <w:rsid w:val="4B101F6A"/>
    <w:rsid w:val="4BDC1E4C"/>
    <w:rsid w:val="4C3A6B73"/>
    <w:rsid w:val="4C55038A"/>
    <w:rsid w:val="4C806C7C"/>
    <w:rsid w:val="4CD945DE"/>
    <w:rsid w:val="4D950505"/>
    <w:rsid w:val="4E0D09E3"/>
    <w:rsid w:val="4E214FE5"/>
    <w:rsid w:val="4E241889"/>
    <w:rsid w:val="4EB1136E"/>
    <w:rsid w:val="4F551CFF"/>
    <w:rsid w:val="4F56624C"/>
    <w:rsid w:val="500E459E"/>
    <w:rsid w:val="50493828"/>
    <w:rsid w:val="50664363"/>
    <w:rsid w:val="50850D04"/>
    <w:rsid w:val="50DD28EE"/>
    <w:rsid w:val="50F5506C"/>
    <w:rsid w:val="50FB2D75"/>
    <w:rsid w:val="51142088"/>
    <w:rsid w:val="51905BB3"/>
    <w:rsid w:val="51C23892"/>
    <w:rsid w:val="51F7178E"/>
    <w:rsid w:val="52140592"/>
    <w:rsid w:val="522602C5"/>
    <w:rsid w:val="52426781"/>
    <w:rsid w:val="52812A8D"/>
    <w:rsid w:val="52E820E6"/>
    <w:rsid w:val="52FB6A2F"/>
    <w:rsid w:val="533D58C6"/>
    <w:rsid w:val="540B1521"/>
    <w:rsid w:val="54A656ED"/>
    <w:rsid w:val="54D67D81"/>
    <w:rsid w:val="55466588"/>
    <w:rsid w:val="55821CB6"/>
    <w:rsid w:val="56251D75"/>
    <w:rsid w:val="56312D95"/>
    <w:rsid w:val="565076BF"/>
    <w:rsid w:val="567A0BDF"/>
    <w:rsid w:val="56EA18C1"/>
    <w:rsid w:val="56EF512A"/>
    <w:rsid w:val="56F55B83"/>
    <w:rsid w:val="578F2469"/>
    <w:rsid w:val="585D4315"/>
    <w:rsid w:val="595219A0"/>
    <w:rsid w:val="59FB5B93"/>
    <w:rsid w:val="5B172EA1"/>
    <w:rsid w:val="5B83043A"/>
    <w:rsid w:val="5BC07095"/>
    <w:rsid w:val="5BE82B3E"/>
    <w:rsid w:val="5CAC7619"/>
    <w:rsid w:val="5D02548B"/>
    <w:rsid w:val="5E58606D"/>
    <w:rsid w:val="5E6957C1"/>
    <w:rsid w:val="5E783CA5"/>
    <w:rsid w:val="5E7F3237"/>
    <w:rsid w:val="5E875C48"/>
    <w:rsid w:val="5EF979B3"/>
    <w:rsid w:val="5F0A77B9"/>
    <w:rsid w:val="5F9D59E6"/>
    <w:rsid w:val="5FD749AD"/>
    <w:rsid w:val="5FDF2203"/>
    <w:rsid w:val="5FE5356E"/>
    <w:rsid w:val="5FFE122F"/>
    <w:rsid w:val="602B4DEC"/>
    <w:rsid w:val="607B17DC"/>
    <w:rsid w:val="617D1584"/>
    <w:rsid w:val="6299063F"/>
    <w:rsid w:val="62A72D5C"/>
    <w:rsid w:val="639332E1"/>
    <w:rsid w:val="64AD46A4"/>
    <w:rsid w:val="652A557F"/>
    <w:rsid w:val="65B25CA0"/>
    <w:rsid w:val="674C3ED2"/>
    <w:rsid w:val="67BA6342"/>
    <w:rsid w:val="68637725"/>
    <w:rsid w:val="68D45F2D"/>
    <w:rsid w:val="698931BC"/>
    <w:rsid w:val="6A8614A9"/>
    <w:rsid w:val="6AC41FD2"/>
    <w:rsid w:val="6AC81AC2"/>
    <w:rsid w:val="6AF02DC7"/>
    <w:rsid w:val="6B6712DB"/>
    <w:rsid w:val="6B6C2BD3"/>
    <w:rsid w:val="6B870B24"/>
    <w:rsid w:val="6B8D38E9"/>
    <w:rsid w:val="6B9A4795"/>
    <w:rsid w:val="6BEC5C84"/>
    <w:rsid w:val="6C7D4B2E"/>
    <w:rsid w:val="6D415B5B"/>
    <w:rsid w:val="6E880191"/>
    <w:rsid w:val="6EAC7314"/>
    <w:rsid w:val="6EB30A97"/>
    <w:rsid w:val="6F1F52FA"/>
    <w:rsid w:val="70E1568B"/>
    <w:rsid w:val="71184C1D"/>
    <w:rsid w:val="719C7804"/>
    <w:rsid w:val="71C8684B"/>
    <w:rsid w:val="71E33685"/>
    <w:rsid w:val="73125FD0"/>
    <w:rsid w:val="73165394"/>
    <w:rsid w:val="7396184D"/>
    <w:rsid w:val="7407365B"/>
    <w:rsid w:val="74884070"/>
    <w:rsid w:val="749D5D6D"/>
    <w:rsid w:val="75774810"/>
    <w:rsid w:val="75CB06B8"/>
    <w:rsid w:val="766D79C1"/>
    <w:rsid w:val="769F6A48"/>
    <w:rsid w:val="771340C5"/>
    <w:rsid w:val="774C75D7"/>
    <w:rsid w:val="7762504C"/>
    <w:rsid w:val="77D31AA6"/>
    <w:rsid w:val="78306EF8"/>
    <w:rsid w:val="78522CE8"/>
    <w:rsid w:val="78B93A90"/>
    <w:rsid w:val="790A599B"/>
    <w:rsid w:val="79BC0A44"/>
    <w:rsid w:val="79E36E98"/>
    <w:rsid w:val="7A5944E4"/>
    <w:rsid w:val="7A8F0B1D"/>
    <w:rsid w:val="7AC2652D"/>
    <w:rsid w:val="7B002BB2"/>
    <w:rsid w:val="7C1903CF"/>
    <w:rsid w:val="7C817D22"/>
    <w:rsid w:val="7CE502B1"/>
    <w:rsid w:val="7D867A10"/>
    <w:rsid w:val="7DBF4FA6"/>
    <w:rsid w:val="7E265025"/>
    <w:rsid w:val="7E745D91"/>
    <w:rsid w:val="7E795155"/>
    <w:rsid w:val="7F0709B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120" w:after="120" w:line="578" w:lineRule="auto"/>
      <w:jc w:val="center"/>
      <w:outlineLvl w:val="0"/>
    </w:pPr>
    <w:rPr>
      <w:rFonts w:ascii="宋体" w:hAnsi="宋体"/>
      <w:b/>
      <w:bCs/>
      <w:color w:val="000000"/>
      <w:kern w:val="44"/>
      <w:sz w:val="30"/>
      <w:szCs w:val="30"/>
    </w:rPr>
  </w:style>
  <w:style w:type="paragraph" w:styleId="4">
    <w:name w:val="heading 2"/>
    <w:basedOn w:val="1"/>
    <w:next w:val="1"/>
    <w:qFormat/>
    <w:uiPriority w:val="0"/>
    <w:pPr>
      <w:spacing w:beforeLines="50" w:afterLines="50" w:line="500" w:lineRule="exact"/>
      <w:jc w:val="left"/>
      <w:outlineLvl w:val="1"/>
    </w:pPr>
    <w:rPr>
      <w:rFonts w:eastAsia="黑体"/>
      <w:b/>
      <w:bCs/>
      <w:kern w:val="0"/>
      <w:sz w:val="32"/>
      <w:szCs w:val="32"/>
    </w:rPr>
  </w:style>
  <w:style w:type="paragraph" w:styleId="5">
    <w:name w:val="heading 3"/>
    <w:basedOn w:val="1"/>
    <w:next w:val="1"/>
    <w:qFormat/>
    <w:uiPriority w:val="0"/>
    <w:pPr>
      <w:keepNext/>
      <w:keepLines/>
      <w:spacing w:before="260" w:after="260" w:line="416" w:lineRule="auto"/>
      <w:outlineLvl w:val="2"/>
    </w:pPr>
    <w:rPr>
      <w:rFonts w:ascii="Times New Roman" w:hAnsi="Times New Roman" w:cs="Times New Roman"/>
      <w:b/>
      <w:bCs/>
      <w:sz w:val="32"/>
      <w:szCs w:val="32"/>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customStyle="1" w:styleId="2">
    <w:name w:val="_Style 1"/>
    <w:qFormat/>
    <w:uiPriority w:val="99"/>
    <w:pPr>
      <w:widowControl w:val="0"/>
      <w:jc w:val="both"/>
    </w:pPr>
    <w:rPr>
      <w:rFonts w:ascii="Calibri" w:hAnsi="Calibri" w:eastAsia="宋体" w:cs="Calibri"/>
      <w:kern w:val="2"/>
      <w:sz w:val="21"/>
      <w:szCs w:val="21"/>
      <w:lang w:val="en-US" w:eastAsia="zh-CN" w:bidi="ar-SA"/>
    </w:rPr>
  </w:style>
  <w:style w:type="paragraph" w:styleId="6">
    <w:name w:val="Normal Indent"/>
    <w:basedOn w:val="1"/>
    <w:qFormat/>
    <w:uiPriority w:val="0"/>
    <w:pPr>
      <w:ind w:firstLine="420" w:firstLineChars="200"/>
    </w:p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paragraph" w:styleId="11">
    <w:name w:val="toc 2"/>
    <w:basedOn w:val="1"/>
    <w:next w:val="1"/>
    <w:qFormat/>
    <w:uiPriority w:val="0"/>
    <w:pPr>
      <w:ind w:left="420" w:leftChars="200"/>
    </w:pPr>
  </w:style>
  <w:style w:type="character" w:styleId="14">
    <w:name w:val="page number"/>
    <w:basedOn w:val="13"/>
    <w:qFormat/>
    <w:uiPriority w:val="0"/>
  </w:style>
  <w:style w:type="table" w:customStyle="1" w:styleId="15">
    <w:name w:val="Table Normal"/>
    <w:semiHidden/>
    <w:unhideWhenUsed/>
    <w:qFormat/>
    <w:uiPriority w:val="0"/>
    <w:tblPr>
      <w:tblCellMar>
        <w:top w:w="0" w:type="dxa"/>
        <w:left w:w="0" w:type="dxa"/>
        <w:bottom w:w="0" w:type="dxa"/>
        <w:right w:w="0" w:type="dxa"/>
      </w:tblCellMar>
    </w:tblPr>
  </w:style>
  <w:style w:type="paragraph" w:customStyle="1" w:styleId="16">
    <w:name w:val="Table Text"/>
    <w:basedOn w:val="1"/>
    <w:semiHidden/>
    <w:qFormat/>
    <w:uiPriority w:val="0"/>
    <w:rPr>
      <w:rFonts w:ascii="宋体" w:hAnsi="宋体" w:eastAsia="宋体" w:cs="宋体"/>
      <w:sz w:val="20"/>
      <w:szCs w:val="20"/>
      <w:lang w:val="en-US" w:eastAsia="en-US" w:bidi="ar-SA"/>
    </w:rPr>
  </w:style>
  <w:style w:type="paragraph" w:customStyle="1" w:styleId="17">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
    <w:name w:val="表题"/>
    <w:basedOn w:val="1"/>
    <w:qFormat/>
    <w:uiPriority w:val="0"/>
    <w:pPr>
      <w:spacing w:afterLines="50" w:line="560" w:lineRule="exact"/>
      <w:ind w:firstLine="200" w:firstLineChars="200"/>
      <w:jc w:val="center"/>
    </w:pPr>
    <w:rPr>
      <w:rFonts w:ascii="Times New Roman" w:hAnsi="Times New Roman" w:eastAsia="仿宋_GB2312" w:cs="Times New Roman"/>
      <w:b/>
      <w:sz w:val="24"/>
      <w:szCs w:val="22"/>
    </w:rPr>
  </w:style>
  <w:style w:type="paragraph" w:customStyle="1" w:styleId="19">
    <w:name w:val="目录"/>
    <w:basedOn w:val="1"/>
    <w:qFormat/>
    <w:uiPriority w:val="0"/>
    <w:pPr>
      <w:spacing w:line="540" w:lineRule="exact"/>
      <w:ind w:left="53" w:firstLine="560" w:firstLineChars="200"/>
    </w:pPr>
    <w:rPr>
      <w:rFonts w:ascii="宋体" w:hAnsi="Times New Roman" w:eastAsia="仿宋_GB2312" w:cstheme="minorBidi"/>
      <w:color w:val="FF000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image" Target="media/image7.png"/><Relationship Id="rId4" Type="http://schemas.openxmlformats.org/officeDocument/2006/relationships/endnotes" Target="endnotes.xml"/><Relationship Id="rId39" Type="http://schemas.openxmlformats.org/officeDocument/2006/relationships/image" Target="media/image6.png"/><Relationship Id="rId38" Type="http://schemas.openxmlformats.org/officeDocument/2006/relationships/image" Target="media/image5.png"/><Relationship Id="rId37" Type="http://schemas.openxmlformats.org/officeDocument/2006/relationships/image" Target="media/image4.png"/><Relationship Id="rId36" Type="http://schemas.openxmlformats.org/officeDocument/2006/relationships/image" Target="media/image3.png"/><Relationship Id="rId35" Type="http://schemas.openxmlformats.org/officeDocument/2006/relationships/image" Target="media/image2.png"/><Relationship Id="rId34" Type="http://schemas.openxmlformats.org/officeDocument/2006/relationships/image" Target="media/image1.png"/><Relationship Id="rId33" Type="http://schemas.openxmlformats.org/officeDocument/2006/relationships/theme" Target="theme/theme1.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71</Pages>
  <Words>6748</Words>
  <Characters>7501</Characters>
  <TotalTime>0</TotalTime>
  <ScaleCrop>false</ScaleCrop>
  <LinksUpToDate>false</LinksUpToDate>
  <CharactersWithSpaces>7532</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2024-03-27T17:17:00Z</dcterms:created>
  <dc:creator>yo'yo</dc:creator>
  <cp:lastModifiedBy>菲儿姐姐</cp:lastModifiedBy>
  <cp:lastPrinted>2025-04-21T04:37:31Z</cp:lastPrinted>
  <dcterms:modified xsi:type="dcterms:W3CDTF">2025-04-21T07:44:31Z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2024-07-10T11:45:11Z</vt:filetime>
  </property>
  <property fmtid="{D5CDD505-2E9C-101B-9397-08002B2CF9AE}" pid="4" name="KSOProductBuildVer">
    <vt:lpwstr>2052-12.1.0.20784</vt:lpwstr>
  </property>
  <property fmtid="{D5CDD505-2E9C-101B-9397-08002B2CF9AE}" pid="5" name="ICV">
    <vt:lpwstr>EFCB76E36F944B52841AE2A365D2E974_13</vt:lpwstr>
  </property>
  <property fmtid="{D5CDD505-2E9C-101B-9397-08002B2CF9AE}" pid="6" name="KSOTemplateDocerSaveRecord">
    <vt:lpwstr>eyJoZGlkIjoiMzk5NjdmYTM4NTBlOWZkOGNhYjIzN2QxMzdhMThlODciLCJ1c2VySWQiOiIyMjY0NzcxMzYifQ==</vt:lpwstr>
  </property>
</Properties>
</file>