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584D3">
      <w:pPr>
        <w:pStyle w:val="8"/>
        <w:spacing w:line="254" w:lineRule="auto"/>
        <w:jc w:val="center"/>
        <w:rPr>
          <w:rFonts w:hint="eastAsia" w:ascii="仿宋" w:hAnsi="仿宋" w:eastAsia="仿宋" w:cs="仿宋"/>
          <w:sz w:val="52"/>
          <w:szCs w:val="52"/>
        </w:rPr>
      </w:pPr>
    </w:p>
    <w:p w14:paraId="5344CDDB">
      <w:pPr>
        <w:pStyle w:val="8"/>
        <w:spacing w:line="254" w:lineRule="auto"/>
        <w:jc w:val="center"/>
        <w:outlineLvl w:val="0"/>
        <w:rPr>
          <w:rFonts w:hint="eastAsia" w:ascii="仿宋" w:hAnsi="仿宋" w:eastAsia="仿宋" w:cs="仿宋"/>
          <w:sz w:val="52"/>
          <w:szCs w:val="52"/>
          <w:lang w:eastAsia="zh-CN"/>
        </w:rPr>
      </w:pPr>
      <w:r>
        <w:rPr>
          <w:rFonts w:hint="eastAsia" w:ascii="仿宋" w:hAnsi="仿宋" w:eastAsia="仿宋" w:cs="仿宋"/>
          <w:sz w:val="52"/>
          <w:szCs w:val="52"/>
          <w:lang w:eastAsia="zh-CN"/>
        </w:rPr>
        <w:t>和布克赛尔蒙古自治县1-8号历史遗留采坑恢复治理项目-三次</w:t>
      </w:r>
      <w:bookmarkStart w:id="177" w:name="_GoBack"/>
      <w:bookmarkEnd w:id="177"/>
    </w:p>
    <w:p w14:paraId="24FEF3C7">
      <w:pPr>
        <w:pStyle w:val="8"/>
        <w:spacing w:line="254" w:lineRule="auto"/>
      </w:pPr>
    </w:p>
    <w:p w14:paraId="49685D69">
      <w:pPr>
        <w:pStyle w:val="8"/>
        <w:spacing w:line="254" w:lineRule="auto"/>
      </w:pPr>
    </w:p>
    <w:p w14:paraId="1BCB5DD3">
      <w:pPr>
        <w:pStyle w:val="8"/>
        <w:spacing w:line="254" w:lineRule="auto"/>
      </w:pPr>
    </w:p>
    <w:p w14:paraId="56FE17B1">
      <w:pPr>
        <w:pStyle w:val="8"/>
        <w:spacing w:line="254" w:lineRule="auto"/>
      </w:pPr>
    </w:p>
    <w:p w14:paraId="7B14E15F">
      <w:pPr>
        <w:pStyle w:val="8"/>
        <w:spacing w:line="255" w:lineRule="auto"/>
      </w:pPr>
    </w:p>
    <w:p w14:paraId="3C8FAD91">
      <w:pPr>
        <w:pStyle w:val="8"/>
        <w:spacing w:line="255" w:lineRule="auto"/>
      </w:pPr>
    </w:p>
    <w:p w14:paraId="1046DF72">
      <w:pPr>
        <w:pStyle w:val="8"/>
        <w:spacing w:line="255" w:lineRule="auto"/>
      </w:pPr>
    </w:p>
    <w:p w14:paraId="71EA237E">
      <w:pPr>
        <w:spacing w:before="231" w:line="225" w:lineRule="auto"/>
        <w:ind w:left="2829"/>
        <w:outlineLvl w:val="0"/>
        <w:rPr>
          <w:rFonts w:ascii="仿宋" w:hAnsi="仿宋" w:eastAsia="仿宋" w:cs="仿宋"/>
          <w:sz w:val="71"/>
          <w:szCs w:val="71"/>
        </w:rPr>
      </w:pPr>
      <w:bookmarkStart w:id="0" w:name="_Toc28688"/>
      <w:r>
        <w:rPr>
          <w:rFonts w:ascii="仿宋" w:hAnsi="仿宋" w:eastAsia="仿宋" w:cs="仿宋"/>
          <w:b/>
          <w:bCs/>
          <w:spacing w:val="-19"/>
          <w:sz w:val="71"/>
          <w:szCs w:val="71"/>
        </w:rPr>
        <w:t>采购文件</w:t>
      </w:r>
      <w:bookmarkEnd w:id="0"/>
    </w:p>
    <w:p w14:paraId="33F5118A">
      <w:pPr>
        <w:pStyle w:val="8"/>
        <w:spacing w:line="365" w:lineRule="auto"/>
      </w:pPr>
    </w:p>
    <w:p w14:paraId="1B93C25A">
      <w:pPr>
        <w:spacing w:before="113" w:line="229" w:lineRule="auto"/>
        <w:ind w:left="1307"/>
        <w:rPr>
          <w:rFonts w:ascii="仿宋" w:hAnsi="仿宋" w:eastAsia="仿宋" w:cs="仿宋"/>
          <w:sz w:val="35"/>
          <w:szCs w:val="35"/>
        </w:rPr>
      </w:pPr>
      <w:r>
        <w:rPr>
          <w:rFonts w:ascii="仿宋" w:hAnsi="仿宋" w:eastAsia="仿宋" w:cs="仿宋"/>
          <w:spacing w:val="12"/>
          <w:sz w:val="35"/>
          <w:szCs w:val="35"/>
        </w:rPr>
        <w:t>（项目编号：</w:t>
      </w:r>
      <w:r>
        <w:rPr>
          <w:rFonts w:hint="eastAsia" w:ascii="仿宋" w:hAnsi="仿宋" w:eastAsia="仿宋" w:cs="仿宋"/>
          <w:sz w:val="35"/>
          <w:szCs w:val="35"/>
          <w:lang w:eastAsia="zh-CN"/>
        </w:rPr>
        <w:t>XJZH-ZB-2024013-02</w:t>
      </w:r>
      <w:r>
        <w:rPr>
          <w:rFonts w:ascii="仿宋" w:hAnsi="仿宋" w:eastAsia="仿宋" w:cs="仿宋"/>
          <w:spacing w:val="12"/>
          <w:sz w:val="35"/>
          <w:szCs w:val="35"/>
        </w:rPr>
        <w:t>）</w:t>
      </w:r>
    </w:p>
    <w:p w14:paraId="236D7D6F">
      <w:pPr>
        <w:pStyle w:val="8"/>
        <w:spacing w:line="247" w:lineRule="auto"/>
      </w:pPr>
    </w:p>
    <w:p w14:paraId="172C7AD2">
      <w:pPr>
        <w:pStyle w:val="8"/>
        <w:spacing w:line="247" w:lineRule="auto"/>
      </w:pPr>
    </w:p>
    <w:p w14:paraId="3B94CFE6">
      <w:pPr>
        <w:pStyle w:val="8"/>
        <w:spacing w:line="247" w:lineRule="auto"/>
      </w:pPr>
    </w:p>
    <w:p w14:paraId="01E45EBC">
      <w:pPr>
        <w:pStyle w:val="8"/>
        <w:spacing w:line="247" w:lineRule="auto"/>
      </w:pPr>
    </w:p>
    <w:p w14:paraId="68F1F7E6">
      <w:pPr>
        <w:pStyle w:val="8"/>
        <w:spacing w:line="247" w:lineRule="auto"/>
      </w:pPr>
    </w:p>
    <w:p w14:paraId="28B75729">
      <w:pPr>
        <w:pStyle w:val="8"/>
        <w:spacing w:line="247" w:lineRule="auto"/>
      </w:pPr>
    </w:p>
    <w:p w14:paraId="3708AEFF">
      <w:pPr>
        <w:pStyle w:val="8"/>
        <w:spacing w:line="248" w:lineRule="auto"/>
      </w:pPr>
    </w:p>
    <w:p w14:paraId="7D8DC294">
      <w:pPr>
        <w:pStyle w:val="8"/>
        <w:spacing w:line="248" w:lineRule="auto"/>
      </w:pPr>
    </w:p>
    <w:p w14:paraId="14848317">
      <w:pPr>
        <w:pStyle w:val="8"/>
        <w:spacing w:line="248" w:lineRule="auto"/>
      </w:pPr>
    </w:p>
    <w:p w14:paraId="3C379C2F">
      <w:pPr>
        <w:pStyle w:val="8"/>
        <w:spacing w:line="248" w:lineRule="auto"/>
      </w:pPr>
    </w:p>
    <w:p w14:paraId="29356BB1">
      <w:pPr>
        <w:pStyle w:val="8"/>
        <w:spacing w:line="248" w:lineRule="auto"/>
      </w:pPr>
    </w:p>
    <w:p w14:paraId="0E3DA505">
      <w:pPr>
        <w:pStyle w:val="8"/>
        <w:spacing w:line="248" w:lineRule="auto"/>
      </w:pPr>
    </w:p>
    <w:p w14:paraId="12A51E2B">
      <w:pPr>
        <w:pStyle w:val="8"/>
        <w:spacing w:line="248" w:lineRule="auto"/>
      </w:pPr>
    </w:p>
    <w:p w14:paraId="1B968AA2">
      <w:pPr>
        <w:pStyle w:val="8"/>
        <w:spacing w:line="248" w:lineRule="auto"/>
      </w:pPr>
    </w:p>
    <w:p w14:paraId="5DF449C7">
      <w:pPr>
        <w:pStyle w:val="8"/>
        <w:spacing w:line="248" w:lineRule="auto"/>
      </w:pPr>
    </w:p>
    <w:p w14:paraId="79DA94E2">
      <w:pPr>
        <w:pStyle w:val="8"/>
        <w:spacing w:line="248" w:lineRule="auto"/>
      </w:pPr>
    </w:p>
    <w:p w14:paraId="74B466EB">
      <w:pPr>
        <w:spacing w:before="98" w:line="222" w:lineRule="auto"/>
        <w:ind w:left="21"/>
        <w:rPr>
          <w:rFonts w:hint="eastAsia" w:ascii="仿宋" w:hAnsi="仿宋" w:eastAsia="仿宋" w:cs="仿宋"/>
          <w:sz w:val="30"/>
          <w:szCs w:val="30"/>
          <w:lang w:eastAsia="zh-CN"/>
        </w:rPr>
      </w:pPr>
      <w:r>
        <w:rPr>
          <w:rFonts w:ascii="仿宋" w:hAnsi="仿宋" w:eastAsia="仿宋" w:cs="仿宋"/>
          <w:spacing w:val="-5"/>
          <w:sz w:val="30"/>
          <w:szCs w:val="30"/>
        </w:rPr>
        <w:t>采购人：</w:t>
      </w:r>
      <w:r>
        <w:rPr>
          <w:rFonts w:hint="eastAsia" w:ascii="仿宋" w:hAnsi="仿宋" w:eastAsia="仿宋" w:cs="仿宋"/>
          <w:spacing w:val="-5"/>
          <w:sz w:val="30"/>
          <w:szCs w:val="30"/>
          <w:u w:val="single" w:color="auto"/>
          <w:lang w:eastAsia="zh-CN"/>
        </w:rPr>
        <w:t>和布克赛尔蒙古自治县自然资源局</w:t>
      </w:r>
    </w:p>
    <w:p w14:paraId="77EC9956">
      <w:pPr>
        <w:spacing w:before="313" w:line="222" w:lineRule="auto"/>
        <w:ind w:left="21"/>
        <w:rPr>
          <w:rFonts w:hint="eastAsia" w:ascii="仿宋" w:hAnsi="仿宋" w:eastAsia="仿宋" w:cs="仿宋"/>
          <w:sz w:val="30"/>
          <w:szCs w:val="30"/>
          <w:lang w:eastAsia="zh-CN"/>
        </w:rPr>
      </w:pPr>
      <w:r>
        <w:rPr>
          <w:rFonts w:ascii="仿宋" w:hAnsi="仿宋" w:eastAsia="仿宋" w:cs="仿宋"/>
          <w:spacing w:val="-3"/>
          <w:sz w:val="30"/>
          <w:szCs w:val="30"/>
        </w:rPr>
        <w:t>采购代理机构：</w:t>
      </w:r>
      <w:r>
        <w:rPr>
          <w:rFonts w:hint="eastAsia" w:ascii="仿宋" w:hAnsi="仿宋" w:eastAsia="仿宋" w:cs="仿宋"/>
          <w:spacing w:val="-3"/>
          <w:sz w:val="30"/>
          <w:szCs w:val="30"/>
          <w:u w:val="single" w:color="auto"/>
          <w:lang w:eastAsia="zh-CN"/>
        </w:rPr>
        <w:t>新疆振豪建设项目管理有限公司</w:t>
      </w:r>
    </w:p>
    <w:p w14:paraId="26688321">
      <w:pPr>
        <w:spacing w:before="314" w:line="222" w:lineRule="auto"/>
        <w:ind w:left="82"/>
        <w:rPr>
          <w:rFonts w:ascii="仿宋" w:hAnsi="仿宋" w:eastAsia="仿宋" w:cs="仿宋"/>
          <w:sz w:val="30"/>
          <w:szCs w:val="30"/>
        </w:rPr>
      </w:pPr>
      <w:r>
        <w:rPr>
          <w:rFonts w:ascii="仿宋" w:hAnsi="仿宋" w:eastAsia="仿宋" w:cs="仿宋"/>
          <w:spacing w:val="-18"/>
          <w:sz w:val="30"/>
          <w:szCs w:val="30"/>
        </w:rPr>
        <w:t>日期：</w:t>
      </w:r>
      <w:r>
        <w:rPr>
          <w:rFonts w:ascii="仿宋" w:hAnsi="仿宋" w:eastAsia="仿宋" w:cs="仿宋"/>
          <w:spacing w:val="-18"/>
          <w:sz w:val="30"/>
          <w:szCs w:val="30"/>
          <w:u w:val="single" w:color="auto"/>
        </w:rPr>
        <w:t>202</w:t>
      </w:r>
      <w:r>
        <w:rPr>
          <w:rFonts w:hint="eastAsia" w:ascii="仿宋" w:hAnsi="仿宋" w:eastAsia="仿宋" w:cs="仿宋"/>
          <w:spacing w:val="-18"/>
          <w:sz w:val="30"/>
          <w:szCs w:val="30"/>
          <w:u w:val="single" w:color="auto"/>
          <w:lang w:val="en-US" w:eastAsia="zh-CN"/>
        </w:rPr>
        <w:t>5</w:t>
      </w:r>
      <w:r>
        <w:rPr>
          <w:rFonts w:ascii="仿宋" w:hAnsi="仿宋" w:eastAsia="仿宋" w:cs="仿宋"/>
          <w:spacing w:val="-18"/>
          <w:sz w:val="30"/>
          <w:szCs w:val="30"/>
          <w:u w:val="single" w:color="auto"/>
        </w:rPr>
        <w:t>年</w:t>
      </w:r>
      <w:r>
        <w:rPr>
          <w:rFonts w:hint="eastAsia" w:ascii="仿宋" w:hAnsi="仿宋" w:eastAsia="仿宋" w:cs="仿宋"/>
          <w:spacing w:val="-18"/>
          <w:sz w:val="30"/>
          <w:szCs w:val="30"/>
          <w:u w:val="single" w:color="auto"/>
          <w:lang w:val="en-US" w:eastAsia="zh-CN"/>
        </w:rPr>
        <w:t>1</w:t>
      </w:r>
      <w:r>
        <w:rPr>
          <w:rFonts w:ascii="仿宋" w:hAnsi="仿宋" w:eastAsia="仿宋" w:cs="仿宋"/>
          <w:spacing w:val="-18"/>
          <w:sz w:val="30"/>
          <w:szCs w:val="30"/>
          <w:u w:val="single" w:color="auto"/>
        </w:rPr>
        <w:t>月</w:t>
      </w:r>
    </w:p>
    <w:p w14:paraId="0FBFD21C">
      <w:pPr>
        <w:spacing w:line="222" w:lineRule="auto"/>
        <w:rPr>
          <w:rFonts w:ascii="仿宋" w:hAnsi="仿宋" w:eastAsia="仿宋" w:cs="仿宋"/>
          <w:sz w:val="30"/>
          <w:szCs w:val="30"/>
        </w:rPr>
        <w:sectPr>
          <w:footerReference r:id="rId5" w:type="default"/>
          <w:pgSz w:w="11906" w:h="16840"/>
          <w:pgMar w:top="1431" w:right="1785" w:bottom="1112" w:left="1785" w:header="0" w:footer="943" w:gutter="0"/>
          <w:cols w:space="720" w:num="1"/>
        </w:sectPr>
      </w:pPr>
    </w:p>
    <w:sdt>
      <w:sdtPr>
        <w:rPr>
          <w:rFonts w:ascii="宋体" w:hAnsi="宋体" w:eastAsia="宋体" w:cs="Arial"/>
          <w:snapToGrid w:val="0"/>
          <w:color w:val="000000"/>
          <w:kern w:val="0"/>
          <w:sz w:val="21"/>
          <w:szCs w:val="21"/>
          <w:lang w:val="en-US" w:eastAsia="en-US" w:bidi="ar-SA"/>
        </w:rPr>
        <w:id w:val="147465444"/>
        <w15:color w:val="DBDBDB"/>
        <w:docPartObj>
          <w:docPartGallery w:val="Table of Contents"/>
          <w:docPartUnique/>
        </w:docPartObj>
      </w:sdtPr>
      <w:sdtEndPr>
        <w:rPr>
          <w:rFonts w:ascii="Arial" w:hAnsi="Arial" w:eastAsia="Arial" w:cs="Arial"/>
          <w:snapToGrid w:val="0"/>
          <w:color w:val="000000"/>
          <w:kern w:val="0"/>
          <w:sz w:val="21"/>
          <w:szCs w:val="20"/>
          <w:lang w:val="en-US" w:eastAsia="en-US" w:bidi="ar-SA"/>
        </w:rPr>
      </w:sdtEndPr>
      <w:sdtContent>
        <w:p w14:paraId="34ED4DC2">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74BB661">
          <w:pPr>
            <w:pStyle w:val="29"/>
            <w:tabs>
              <w:tab w:val="right" w:leader="dot" w:pos="8337"/>
            </w:tabs>
          </w:pPr>
          <w:r>
            <w:rPr>
              <w:sz w:val="20"/>
              <w:szCs w:val="20"/>
            </w:rPr>
            <w:fldChar w:fldCharType="begin"/>
          </w:r>
          <w:r>
            <w:rPr>
              <w:sz w:val="20"/>
              <w:szCs w:val="20"/>
            </w:rPr>
            <w:instrText xml:space="preserve">TOC \o "1-3" \h \u </w:instrText>
          </w:r>
          <w:r>
            <w:rPr>
              <w:sz w:val="20"/>
              <w:szCs w:val="20"/>
            </w:rPr>
            <w:fldChar w:fldCharType="separate"/>
          </w:r>
        </w:p>
        <w:p w14:paraId="25F9B975">
          <w:pPr>
            <w:pStyle w:val="29"/>
            <w:tabs>
              <w:tab w:val="right" w:leader="dot" w:pos="8337"/>
            </w:tabs>
            <w:rPr>
              <w:sz w:val="22"/>
              <w:szCs w:val="22"/>
            </w:rPr>
          </w:pPr>
          <w:r>
            <w:rPr>
              <w:sz w:val="22"/>
              <w:szCs w:val="22"/>
            </w:rPr>
            <w:fldChar w:fldCharType="begin"/>
          </w:r>
          <w:r>
            <w:rPr>
              <w:sz w:val="22"/>
              <w:szCs w:val="22"/>
            </w:rPr>
            <w:instrText xml:space="preserve"> HYPERLINK \l _Toc10606 </w:instrText>
          </w:r>
          <w:r>
            <w:rPr>
              <w:sz w:val="22"/>
              <w:szCs w:val="22"/>
            </w:rPr>
            <w:fldChar w:fldCharType="separate"/>
          </w:r>
          <w:r>
            <w:rPr>
              <w:rFonts w:ascii="仿宋" w:hAnsi="仿宋" w:eastAsia="仿宋" w:cs="仿宋"/>
              <w:bCs/>
              <w:spacing w:val="-13"/>
              <w:sz w:val="22"/>
              <w:szCs w:val="32"/>
            </w:rPr>
            <w:t>第1章</w:t>
          </w:r>
          <w:r>
            <w:rPr>
              <w:rFonts w:ascii="仿宋" w:hAnsi="仿宋" w:eastAsia="仿宋" w:cs="仿宋"/>
              <w:spacing w:val="-13"/>
              <w:sz w:val="22"/>
              <w:szCs w:val="32"/>
            </w:rPr>
            <w:t xml:space="preserve"> </w:t>
          </w:r>
          <w:r>
            <w:rPr>
              <w:rFonts w:ascii="仿宋" w:hAnsi="仿宋" w:eastAsia="仿宋" w:cs="仿宋"/>
              <w:bCs/>
              <w:spacing w:val="-13"/>
              <w:sz w:val="22"/>
              <w:szCs w:val="32"/>
            </w:rPr>
            <w:t>招标公告</w:t>
          </w:r>
          <w:r>
            <w:rPr>
              <w:sz w:val="22"/>
              <w:szCs w:val="22"/>
            </w:rPr>
            <w:tab/>
          </w:r>
          <w:r>
            <w:rPr>
              <w:sz w:val="22"/>
              <w:szCs w:val="22"/>
            </w:rPr>
            <w:fldChar w:fldCharType="begin"/>
          </w:r>
          <w:r>
            <w:rPr>
              <w:sz w:val="22"/>
              <w:szCs w:val="22"/>
            </w:rPr>
            <w:instrText xml:space="preserve"> PAGEREF _Toc10606 \h </w:instrText>
          </w:r>
          <w:r>
            <w:rPr>
              <w:sz w:val="22"/>
              <w:szCs w:val="22"/>
            </w:rPr>
            <w:fldChar w:fldCharType="separate"/>
          </w:r>
          <w:r>
            <w:rPr>
              <w:sz w:val="22"/>
              <w:szCs w:val="22"/>
            </w:rPr>
            <w:t>1</w:t>
          </w:r>
          <w:r>
            <w:rPr>
              <w:sz w:val="22"/>
              <w:szCs w:val="22"/>
            </w:rPr>
            <w:fldChar w:fldCharType="end"/>
          </w:r>
          <w:r>
            <w:rPr>
              <w:sz w:val="22"/>
              <w:szCs w:val="22"/>
            </w:rPr>
            <w:fldChar w:fldCharType="end"/>
          </w:r>
        </w:p>
        <w:p w14:paraId="75E3A7F9">
          <w:pPr>
            <w:pStyle w:val="30"/>
            <w:tabs>
              <w:tab w:val="right" w:leader="dot" w:pos="8337"/>
            </w:tabs>
            <w:rPr>
              <w:sz w:val="22"/>
              <w:szCs w:val="22"/>
            </w:rPr>
          </w:pPr>
          <w:r>
            <w:rPr>
              <w:sz w:val="22"/>
              <w:szCs w:val="22"/>
            </w:rPr>
            <w:fldChar w:fldCharType="begin"/>
          </w:r>
          <w:r>
            <w:rPr>
              <w:sz w:val="22"/>
              <w:szCs w:val="22"/>
            </w:rPr>
            <w:instrText xml:space="preserve"> HYPERLINK \l _Toc25026 </w:instrText>
          </w:r>
          <w:r>
            <w:rPr>
              <w:sz w:val="22"/>
              <w:szCs w:val="22"/>
            </w:rPr>
            <w:fldChar w:fldCharType="separate"/>
          </w:r>
          <w:r>
            <w:rPr>
              <w:rFonts w:ascii="仿宋" w:hAnsi="仿宋" w:eastAsia="仿宋" w:cs="仿宋"/>
              <w:spacing w:val="-7"/>
              <w:sz w:val="22"/>
              <w:szCs w:val="32"/>
            </w:rPr>
            <w:t>项目概况</w:t>
          </w:r>
          <w:r>
            <w:rPr>
              <w:sz w:val="22"/>
              <w:szCs w:val="22"/>
            </w:rPr>
            <w:tab/>
          </w:r>
          <w:r>
            <w:rPr>
              <w:sz w:val="22"/>
              <w:szCs w:val="22"/>
            </w:rPr>
            <w:fldChar w:fldCharType="begin"/>
          </w:r>
          <w:r>
            <w:rPr>
              <w:sz w:val="22"/>
              <w:szCs w:val="22"/>
            </w:rPr>
            <w:instrText xml:space="preserve"> PAGEREF _Toc25026 \h </w:instrText>
          </w:r>
          <w:r>
            <w:rPr>
              <w:sz w:val="22"/>
              <w:szCs w:val="22"/>
            </w:rPr>
            <w:fldChar w:fldCharType="separate"/>
          </w:r>
          <w:r>
            <w:rPr>
              <w:sz w:val="22"/>
              <w:szCs w:val="22"/>
            </w:rPr>
            <w:t>1</w:t>
          </w:r>
          <w:r>
            <w:rPr>
              <w:sz w:val="22"/>
              <w:szCs w:val="22"/>
            </w:rPr>
            <w:fldChar w:fldCharType="end"/>
          </w:r>
          <w:r>
            <w:rPr>
              <w:sz w:val="22"/>
              <w:szCs w:val="22"/>
            </w:rPr>
            <w:fldChar w:fldCharType="end"/>
          </w:r>
        </w:p>
        <w:p w14:paraId="7FCCDE4A">
          <w:pPr>
            <w:pStyle w:val="30"/>
            <w:tabs>
              <w:tab w:val="right" w:leader="dot" w:pos="8337"/>
            </w:tabs>
            <w:rPr>
              <w:sz w:val="22"/>
              <w:szCs w:val="22"/>
            </w:rPr>
          </w:pPr>
          <w:r>
            <w:rPr>
              <w:sz w:val="22"/>
              <w:szCs w:val="22"/>
            </w:rPr>
            <w:fldChar w:fldCharType="begin"/>
          </w:r>
          <w:r>
            <w:rPr>
              <w:sz w:val="22"/>
              <w:szCs w:val="22"/>
            </w:rPr>
            <w:instrText xml:space="preserve"> HYPERLINK \l _Toc17963 </w:instrText>
          </w:r>
          <w:r>
            <w:rPr>
              <w:sz w:val="22"/>
              <w:szCs w:val="22"/>
            </w:rPr>
            <w:fldChar w:fldCharType="separate"/>
          </w:r>
          <w:r>
            <w:rPr>
              <w:rFonts w:ascii="仿宋" w:hAnsi="仿宋" w:eastAsia="仿宋" w:cs="仿宋"/>
              <w:bCs/>
              <w:spacing w:val="-8"/>
              <w:sz w:val="22"/>
              <w:szCs w:val="32"/>
            </w:rPr>
            <w:t>一、项目基本情况</w:t>
          </w:r>
          <w:r>
            <w:rPr>
              <w:sz w:val="22"/>
              <w:szCs w:val="22"/>
            </w:rPr>
            <w:tab/>
          </w:r>
          <w:r>
            <w:rPr>
              <w:sz w:val="22"/>
              <w:szCs w:val="22"/>
            </w:rPr>
            <w:fldChar w:fldCharType="begin"/>
          </w:r>
          <w:r>
            <w:rPr>
              <w:sz w:val="22"/>
              <w:szCs w:val="22"/>
            </w:rPr>
            <w:instrText xml:space="preserve"> PAGEREF _Toc17963 \h </w:instrText>
          </w:r>
          <w:r>
            <w:rPr>
              <w:sz w:val="22"/>
              <w:szCs w:val="22"/>
            </w:rPr>
            <w:fldChar w:fldCharType="separate"/>
          </w:r>
          <w:r>
            <w:rPr>
              <w:sz w:val="22"/>
              <w:szCs w:val="22"/>
            </w:rPr>
            <w:t>1</w:t>
          </w:r>
          <w:r>
            <w:rPr>
              <w:sz w:val="22"/>
              <w:szCs w:val="22"/>
            </w:rPr>
            <w:fldChar w:fldCharType="end"/>
          </w:r>
          <w:r>
            <w:rPr>
              <w:sz w:val="22"/>
              <w:szCs w:val="22"/>
            </w:rPr>
            <w:fldChar w:fldCharType="end"/>
          </w:r>
        </w:p>
        <w:p w14:paraId="76F09A90">
          <w:pPr>
            <w:pStyle w:val="30"/>
            <w:tabs>
              <w:tab w:val="right" w:leader="dot" w:pos="8337"/>
            </w:tabs>
            <w:rPr>
              <w:sz w:val="22"/>
              <w:szCs w:val="22"/>
            </w:rPr>
          </w:pPr>
          <w:r>
            <w:rPr>
              <w:sz w:val="22"/>
              <w:szCs w:val="22"/>
            </w:rPr>
            <w:fldChar w:fldCharType="begin"/>
          </w:r>
          <w:r>
            <w:rPr>
              <w:sz w:val="22"/>
              <w:szCs w:val="22"/>
            </w:rPr>
            <w:instrText xml:space="preserve"> HYPERLINK \l _Toc10743 </w:instrText>
          </w:r>
          <w:r>
            <w:rPr>
              <w:sz w:val="22"/>
              <w:szCs w:val="22"/>
            </w:rPr>
            <w:fldChar w:fldCharType="separate"/>
          </w:r>
          <w:r>
            <w:rPr>
              <w:rFonts w:ascii="仿宋" w:hAnsi="仿宋" w:eastAsia="仿宋" w:cs="仿宋"/>
              <w:bCs/>
              <w:spacing w:val="-7"/>
              <w:sz w:val="22"/>
              <w:szCs w:val="32"/>
            </w:rPr>
            <w:t>二、申请人的资格要求：</w:t>
          </w:r>
          <w:r>
            <w:rPr>
              <w:sz w:val="22"/>
              <w:szCs w:val="22"/>
            </w:rPr>
            <w:tab/>
          </w:r>
          <w:r>
            <w:rPr>
              <w:sz w:val="22"/>
              <w:szCs w:val="22"/>
            </w:rPr>
            <w:fldChar w:fldCharType="begin"/>
          </w:r>
          <w:r>
            <w:rPr>
              <w:sz w:val="22"/>
              <w:szCs w:val="22"/>
            </w:rPr>
            <w:instrText xml:space="preserve"> PAGEREF _Toc10743 \h </w:instrText>
          </w:r>
          <w:r>
            <w:rPr>
              <w:sz w:val="22"/>
              <w:szCs w:val="22"/>
            </w:rPr>
            <w:fldChar w:fldCharType="separate"/>
          </w:r>
          <w:r>
            <w:rPr>
              <w:sz w:val="22"/>
              <w:szCs w:val="22"/>
            </w:rPr>
            <w:t>1</w:t>
          </w:r>
          <w:r>
            <w:rPr>
              <w:sz w:val="22"/>
              <w:szCs w:val="22"/>
            </w:rPr>
            <w:fldChar w:fldCharType="end"/>
          </w:r>
          <w:r>
            <w:rPr>
              <w:sz w:val="22"/>
              <w:szCs w:val="22"/>
            </w:rPr>
            <w:fldChar w:fldCharType="end"/>
          </w:r>
        </w:p>
        <w:p w14:paraId="01F5DDFC">
          <w:pPr>
            <w:pStyle w:val="30"/>
            <w:tabs>
              <w:tab w:val="right" w:leader="dot" w:pos="8337"/>
            </w:tabs>
            <w:rPr>
              <w:sz w:val="22"/>
              <w:szCs w:val="22"/>
            </w:rPr>
          </w:pPr>
          <w:r>
            <w:rPr>
              <w:sz w:val="22"/>
              <w:szCs w:val="22"/>
            </w:rPr>
            <w:fldChar w:fldCharType="begin"/>
          </w:r>
          <w:r>
            <w:rPr>
              <w:sz w:val="22"/>
              <w:szCs w:val="22"/>
            </w:rPr>
            <w:instrText xml:space="preserve"> HYPERLINK \l _Toc13065 </w:instrText>
          </w:r>
          <w:r>
            <w:rPr>
              <w:sz w:val="22"/>
              <w:szCs w:val="22"/>
            </w:rPr>
            <w:fldChar w:fldCharType="separate"/>
          </w:r>
          <w:r>
            <w:rPr>
              <w:rFonts w:ascii="仿宋" w:hAnsi="仿宋" w:eastAsia="仿宋" w:cs="仿宋"/>
              <w:bCs/>
              <w:spacing w:val="-8"/>
              <w:sz w:val="22"/>
              <w:szCs w:val="32"/>
            </w:rPr>
            <w:t>三、获取采购文件</w:t>
          </w:r>
          <w:r>
            <w:rPr>
              <w:sz w:val="22"/>
              <w:szCs w:val="22"/>
            </w:rPr>
            <w:tab/>
          </w:r>
          <w:r>
            <w:rPr>
              <w:sz w:val="22"/>
              <w:szCs w:val="22"/>
            </w:rPr>
            <w:fldChar w:fldCharType="begin"/>
          </w:r>
          <w:r>
            <w:rPr>
              <w:sz w:val="22"/>
              <w:szCs w:val="22"/>
            </w:rPr>
            <w:instrText xml:space="preserve"> PAGEREF _Toc13065 \h </w:instrText>
          </w:r>
          <w:r>
            <w:rPr>
              <w:sz w:val="22"/>
              <w:szCs w:val="22"/>
            </w:rPr>
            <w:fldChar w:fldCharType="separate"/>
          </w:r>
          <w:r>
            <w:rPr>
              <w:sz w:val="22"/>
              <w:szCs w:val="22"/>
            </w:rPr>
            <w:t>2</w:t>
          </w:r>
          <w:r>
            <w:rPr>
              <w:sz w:val="22"/>
              <w:szCs w:val="22"/>
            </w:rPr>
            <w:fldChar w:fldCharType="end"/>
          </w:r>
          <w:r>
            <w:rPr>
              <w:sz w:val="22"/>
              <w:szCs w:val="22"/>
            </w:rPr>
            <w:fldChar w:fldCharType="end"/>
          </w:r>
        </w:p>
        <w:p w14:paraId="79899877">
          <w:pPr>
            <w:pStyle w:val="30"/>
            <w:tabs>
              <w:tab w:val="right" w:leader="dot" w:pos="8337"/>
            </w:tabs>
            <w:rPr>
              <w:sz w:val="22"/>
              <w:szCs w:val="22"/>
            </w:rPr>
          </w:pPr>
          <w:r>
            <w:rPr>
              <w:sz w:val="22"/>
              <w:szCs w:val="22"/>
            </w:rPr>
            <w:fldChar w:fldCharType="begin"/>
          </w:r>
          <w:r>
            <w:rPr>
              <w:sz w:val="22"/>
              <w:szCs w:val="22"/>
            </w:rPr>
            <w:instrText xml:space="preserve"> HYPERLINK \l _Toc6904 </w:instrText>
          </w:r>
          <w:r>
            <w:rPr>
              <w:sz w:val="22"/>
              <w:szCs w:val="22"/>
            </w:rPr>
            <w:fldChar w:fldCharType="separate"/>
          </w:r>
          <w:r>
            <w:rPr>
              <w:rFonts w:ascii="仿宋" w:hAnsi="仿宋" w:eastAsia="仿宋" w:cs="仿宋"/>
              <w:bCs/>
              <w:spacing w:val="-7"/>
              <w:sz w:val="22"/>
              <w:szCs w:val="32"/>
            </w:rPr>
            <w:t>四、提交投标文件截止时间、开标时间和地点</w:t>
          </w:r>
          <w:r>
            <w:rPr>
              <w:sz w:val="22"/>
              <w:szCs w:val="22"/>
            </w:rPr>
            <w:tab/>
          </w:r>
          <w:r>
            <w:rPr>
              <w:sz w:val="22"/>
              <w:szCs w:val="22"/>
            </w:rPr>
            <w:fldChar w:fldCharType="begin"/>
          </w:r>
          <w:r>
            <w:rPr>
              <w:sz w:val="22"/>
              <w:szCs w:val="22"/>
            </w:rPr>
            <w:instrText xml:space="preserve"> PAGEREF _Toc6904 \h </w:instrText>
          </w:r>
          <w:r>
            <w:rPr>
              <w:sz w:val="22"/>
              <w:szCs w:val="22"/>
            </w:rPr>
            <w:fldChar w:fldCharType="separate"/>
          </w:r>
          <w:r>
            <w:rPr>
              <w:sz w:val="22"/>
              <w:szCs w:val="22"/>
            </w:rPr>
            <w:t>2</w:t>
          </w:r>
          <w:r>
            <w:rPr>
              <w:sz w:val="22"/>
              <w:szCs w:val="22"/>
            </w:rPr>
            <w:fldChar w:fldCharType="end"/>
          </w:r>
          <w:r>
            <w:rPr>
              <w:sz w:val="22"/>
              <w:szCs w:val="22"/>
            </w:rPr>
            <w:fldChar w:fldCharType="end"/>
          </w:r>
        </w:p>
        <w:p w14:paraId="15AC9D00">
          <w:pPr>
            <w:pStyle w:val="30"/>
            <w:tabs>
              <w:tab w:val="right" w:leader="dot" w:pos="8337"/>
            </w:tabs>
            <w:rPr>
              <w:sz w:val="22"/>
              <w:szCs w:val="22"/>
            </w:rPr>
          </w:pPr>
          <w:r>
            <w:rPr>
              <w:sz w:val="22"/>
              <w:szCs w:val="22"/>
            </w:rPr>
            <w:fldChar w:fldCharType="begin"/>
          </w:r>
          <w:r>
            <w:rPr>
              <w:sz w:val="22"/>
              <w:szCs w:val="22"/>
            </w:rPr>
            <w:instrText xml:space="preserve"> HYPERLINK \l _Toc25768 </w:instrText>
          </w:r>
          <w:r>
            <w:rPr>
              <w:sz w:val="22"/>
              <w:szCs w:val="22"/>
            </w:rPr>
            <w:fldChar w:fldCharType="separate"/>
          </w:r>
          <w:r>
            <w:rPr>
              <w:rFonts w:ascii="仿宋" w:hAnsi="仿宋" w:eastAsia="仿宋" w:cs="仿宋"/>
              <w:bCs/>
              <w:spacing w:val="-9"/>
              <w:sz w:val="22"/>
              <w:szCs w:val="32"/>
            </w:rPr>
            <w:t>五、公告期限</w:t>
          </w:r>
          <w:r>
            <w:rPr>
              <w:sz w:val="22"/>
              <w:szCs w:val="22"/>
            </w:rPr>
            <w:tab/>
          </w:r>
          <w:r>
            <w:rPr>
              <w:sz w:val="22"/>
              <w:szCs w:val="22"/>
            </w:rPr>
            <w:fldChar w:fldCharType="begin"/>
          </w:r>
          <w:r>
            <w:rPr>
              <w:sz w:val="22"/>
              <w:szCs w:val="22"/>
            </w:rPr>
            <w:instrText xml:space="preserve"> PAGEREF _Toc25768 \h </w:instrText>
          </w:r>
          <w:r>
            <w:rPr>
              <w:sz w:val="22"/>
              <w:szCs w:val="22"/>
            </w:rPr>
            <w:fldChar w:fldCharType="separate"/>
          </w:r>
          <w:r>
            <w:rPr>
              <w:sz w:val="22"/>
              <w:szCs w:val="22"/>
            </w:rPr>
            <w:t>2</w:t>
          </w:r>
          <w:r>
            <w:rPr>
              <w:sz w:val="22"/>
              <w:szCs w:val="22"/>
            </w:rPr>
            <w:fldChar w:fldCharType="end"/>
          </w:r>
          <w:r>
            <w:rPr>
              <w:sz w:val="22"/>
              <w:szCs w:val="22"/>
            </w:rPr>
            <w:fldChar w:fldCharType="end"/>
          </w:r>
        </w:p>
        <w:p w14:paraId="62CF71FD">
          <w:pPr>
            <w:pStyle w:val="30"/>
            <w:tabs>
              <w:tab w:val="right" w:leader="dot" w:pos="8337"/>
            </w:tabs>
            <w:rPr>
              <w:sz w:val="22"/>
              <w:szCs w:val="22"/>
            </w:rPr>
          </w:pPr>
          <w:r>
            <w:rPr>
              <w:sz w:val="22"/>
              <w:szCs w:val="22"/>
            </w:rPr>
            <w:fldChar w:fldCharType="begin"/>
          </w:r>
          <w:r>
            <w:rPr>
              <w:sz w:val="22"/>
              <w:szCs w:val="22"/>
            </w:rPr>
            <w:instrText xml:space="preserve"> HYPERLINK \l _Toc8782 </w:instrText>
          </w:r>
          <w:r>
            <w:rPr>
              <w:sz w:val="22"/>
              <w:szCs w:val="22"/>
            </w:rPr>
            <w:fldChar w:fldCharType="separate"/>
          </w:r>
          <w:r>
            <w:rPr>
              <w:rFonts w:ascii="仿宋" w:hAnsi="仿宋" w:eastAsia="仿宋" w:cs="仿宋"/>
              <w:bCs/>
              <w:spacing w:val="-8"/>
              <w:sz w:val="22"/>
              <w:szCs w:val="32"/>
            </w:rPr>
            <w:t>六、其他补充事宜</w:t>
          </w:r>
          <w:r>
            <w:rPr>
              <w:sz w:val="22"/>
              <w:szCs w:val="22"/>
            </w:rPr>
            <w:tab/>
          </w:r>
          <w:r>
            <w:rPr>
              <w:sz w:val="22"/>
              <w:szCs w:val="22"/>
            </w:rPr>
            <w:fldChar w:fldCharType="begin"/>
          </w:r>
          <w:r>
            <w:rPr>
              <w:sz w:val="22"/>
              <w:szCs w:val="22"/>
            </w:rPr>
            <w:instrText xml:space="preserve"> PAGEREF _Toc8782 \h </w:instrText>
          </w:r>
          <w:r>
            <w:rPr>
              <w:sz w:val="22"/>
              <w:szCs w:val="22"/>
            </w:rPr>
            <w:fldChar w:fldCharType="separate"/>
          </w:r>
          <w:r>
            <w:rPr>
              <w:sz w:val="22"/>
              <w:szCs w:val="22"/>
            </w:rPr>
            <w:t>2</w:t>
          </w:r>
          <w:r>
            <w:rPr>
              <w:sz w:val="22"/>
              <w:szCs w:val="22"/>
            </w:rPr>
            <w:fldChar w:fldCharType="end"/>
          </w:r>
          <w:r>
            <w:rPr>
              <w:sz w:val="22"/>
              <w:szCs w:val="22"/>
            </w:rPr>
            <w:fldChar w:fldCharType="end"/>
          </w:r>
        </w:p>
        <w:p w14:paraId="48EB6178">
          <w:pPr>
            <w:pStyle w:val="30"/>
            <w:tabs>
              <w:tab w:val="right" w:leader="dot" w:pos="8337"/>
            </w:tabs>
            <w:rPr>
              <w:sz w:val="22"/>
              <w:szCs w:val="22"/>
            </w:rPr>
          </w:pPr>
          <w:r>
            <w:rPr>
              <w:sz w:val="22"/>
              <w:szCs w:val="22"/>
            </w:rPr>
            <w:fldChar w:fldCharType="begin"/>
          </w:r>
          <w:r>
            <w:rPr>
              <w:sz w:val="22"/>
              <w:szCs w:val="22"/>
            </w:rPr>
            <w:instrText xml:space="preserve"> HYPERLINK \l _Toc31660 </w:instrText>
          </w:r>
          <w:r>
            <w:rPr>
              <w:sz w:val="22"/>
              <w:szCs w:val="22"/>
            </w:rPr>
            <w:fldChar w:fldCharType="separate"/>
          </w:r>
          <w:r>
            <w:rPr>
              <w:rFonts w:ascii="仿宋" w:hAnsi="仿宋" w:eastAsia="仿宋" w:cs="仿宋"/>
              <w:bCs/>
              <w:spacing w:val="-6"/>
              <w:sz w:val="22"/>
              <w:szCs w:val="32"/>
            </w:rPr>
            <w:t>七、对本次采购提出询问，请按以下方式联系</w:t>
          </w:r>
          <w:r>
            <w:rPr>
              <w:sz w:val="22"/>
              <w:szCs w:val="22"/>
            </w:rPr>
            <w:tab/>
          </w:r>
          <w:r>
            <w:rPr>
              <w:sz w:val="22"/>
              <w:szCs w:val="22"/>
            </w:rPr>
            <w:fldChar w:fldCharType="begin"/>
          </w:r>
          <w:r>
            <w:rPr>
              <w:sz w:val="22"/>
              <w:szCs w:val="22"/>
            </w:rPr>
            <w:instrText xml:space="preserve"> PAGEREF _Toc31660 \h </w:instrText>
          </w:r>
          <w:r>
            <w:rPr>
              <w:sz w:val="22"/>
              <w:szCs w:val="22"/>
            </w:rPr>
            <w:fldChar w:fldCharType="separate"/>
          </w:r>
          <w:r>
            <w:rPr>
              <w:sz w:val="22"/>
              <w:szCs w:val="22"/>
            </w:rPr>
            <w:t>3</w:t>
          </w:r>
          <w:r>
            <w:rPr>
              <w:sz w:val="22"/>
              <w:szCs w:val="22"/>
            </w:rPr>
            <w:fldChar w:fldCharType="end"/>
          </w:r>
          <w:r>
            <w:rPr>
              <w:sz w:val="22"/>
              <w:szCs w:val="22"/>
            </w:rPr>
            <w:fldChar w:fldCharType="end"/>
          </w:r>
        </w:p>
        <w:p w14:paraId="29A82F70">
          <w:pPr>
            <w:pStyle w:val="29"/>
            <w:tabs>
              <w:tab w:val="right" w:leader="dot" w:pos="8337"/>
            </w:tabs>
            <w:rPr>
              <w:sz w:val="22"/>
              <w:szCs w:val="22"/>
            </w:rPr>
          </w:pPr>
          <w:r>
            <w:rPr>
              <w:sz w:val="22"/>
              <w:szCs w:val="22"/>
            </w:rPr>
            <w:fldChar w:fldCharType="begin"/>
          </w:r>
          <w:r>
            <w:rPr>
              <w:sz w:val="22"/>
              <w:szCs w:val="22"/>
            </w:rPr>
            <w:instrText xml:space="preserve"> HYPERLINK \l _Toc1714 </w:instrText>
          </w:r>
          <w:r>
            <w:rPr>
              <w:sz w:val="22"/>
              <w:szCs w:val="22"/>
            </w:rPr>
            <w:fldChar w:fldCharType="separate"/>
          </w:r>
          <w:r>
            <w:rPr>
              <w:rFonts w:ascii="仿宋" w:hAnsi="仿宋" w:eastAsia="仿宋" w:cs="仿宋"/>
              <w:bCs/>
              <w:spacing w:val="-3"/>
              <w:sz w:val="22"/>
              <w:szCs w:val="32"/>
            </w:rPr>
            <w:t>第2章</w:t>
          </w:r>
          <w:r>
            <w:rPr>
              <w:rFonts w:ascii="仿宋" w:hAnsi="仿宋" w:eastAsia="仿宋" w:cs="仿宋"/>
              <w:spacing w:val="30"/>
              <w:sz w:val="22"/>
              <w:szCs w:val="32"/>
            </w:rPr>
            <w:t xml:space="preserve"> </w:t>
          </w:r>
          <w:r>
            <w:rPr>
              <w:rFonts w:ascii="仿宋" w:hAnsi="仿宋" w:eastAsia="仿宋" w:cs="仿宋"/>
              <w:bCs/>
              <w:spacing w:val="-3"/>
              <w:sz w:val="22"/>
              <w:szCs w:val="32"/>
            </w:rPr>
            <w:t>供应商须知资料表</w:t>
          </w:r>
          <w:r>
            <w:rPr>
              <w:sz w:val="22"/>
              <w:szCs w:val="22"/>
            </w:rPr>
            <w:tab/>
          </w:r>
          <w:r>
            <w:rPr>
              <w:sz w:val="22"/>
              <w:szCs w:val="22"/>
            </w:rPr>
            <w:fldChar w:fldCharType="begin"/>
          </w:r>
          <w:r>
            <w:rPr>
              <w:sz w:val="22"/>
              <w:szCs w:val="22"/>
            </w:rPr>
            <w:instrText xml:space="preserve"> PAGEREF _Toc1714 \h </w:instrText>
          </w:r>
          <w:r>
            <w:rPr>
              <w:sz w:val="22"/>
              <w:szCs w:val="22"/>
            </w:rPr>
            <w:fldChar w:fldCharType="separate"/>
          </w:r>
          <w:r>
            <w:rPr>
              <w:sz w:val="22"/>
              <w:szCs w:val="22"/>
            </w:rPr>
            <w:t>4</w:t>
          </w:r>
          <w:r>
            <w:rPr>
              <w:sz w:val="22"/>
              <w:szCs w:val="22"/>
            </w:rPr>
            <w:fldChar w:fldCharType="end"/>
          </w:r>
          <w:r>
            <w:rPr>
              <w:sz w:val="22"/>
              <w:szCs w:val="22"/>
            </w:rPr>
            <w:fldChar w:fldCharType="end"/>
          </w:r>
        </w:p>
        <w:p w14:paraId="15710E37">
          <w:pPr>
            <w:pStyle w:val="29"/>
            <w:tabs>
              <w:tab w:val="right" w:leader="dot" w:pos="8337"/>
            </w:tabs>
            <w:rPr>
              <w:sz w:val="22"/>
              <w:szCs w:val="22"/>
            </w:rPr>
          </w:pPr>
          <w:r>
            <w:rPr>
              <w:sz w:val="22"/>
              <w:szCs w:val="22"/>
            </w:rPr>
            <w:fldChar w:fldCharType="begin"/>
          </w:r>
          <w:r>
            <w:rPr>
              <w:sz w:val="22"/>
              <w:szCs w:val="22"/>
            </w:rPr>
            <w:instrText xml:space="preserve"> HYPERLINK \l _Toc31681 </w:instrText>
          </w:r>
          <w:r>
            <w:rPr>
              <w:sz w:val="22"/>
              <w:szCs w:val="22"/>
            </w:rPr>
            <w:fldChar w:fldCharType="separate"/>
          </w:r>
          <w:r>
            <w:rPr>
              <w:rFonts w:ascii="仿宋" w:hAnsi="仿宋" w:eastAsia="仿宋" w:cs="仿宋"/>
              <w:bCs/>
              <w:spacing w:val="-12"/>
              <w:sz w:val="22"/>
              <w:szCs w:val="36"/>
            </w:rPr>
            <w:t>第3章</w:t>
          </w:r>
          <w:r>
            <w:rPr>
              <w:rFonts w:ascii="仿宋" w:hAnsi="仿宋" w:eastAsia="仿宋" w:cs="仿宋"/>
              <w:spacing w:val="-12"/>
              <w:sz w:val="22"/>
              <w:szCs w:val="36"/>
            </w:rPr>
            <w:t xml:space="preserve"> </w:t>
          </w:r>
          <w:r>
            <w:rPr>
              <w:rFonts w:ascii="仿宋" w:hAnsi="仿宋" w:eastAsia="仿宋" w:cs="仿宋"/>
              <w:bCs/>
              <w:spacing w:val="-12"/>
              <w:sz w:val="22"/>
              <w:szCs w:val="36"/>
            </w:rPr>
            <w:t>供应商须知</w:t>
          </w:r>
          <w:r>
            <w:rPr>
              <w:sz w:val="22"/>
              <w:szCs w:val="22"/>
            </w:rPr>
            <w:tab/>
          </w:r>
          <w:r>
            <w:rPr>
              <w:sz w:val="22"/>
              <w:szCs w:val="22"/>
            </w:rPr>
            <w:fldChar w:fldCharType="begin"/>
          </w:r>
          <w:r>
            <w:rPr>
              <w:sz w:val="22"/>
              <w:szCs w:val="22"/>
            </w:rPr>
            <w:instrText xml:space="preserve"> PAGEREF _Toc31681 \h </w:instrText>
          </w:r>
          <w:r>
            <w:rPr>
              <w:sz w:val="22"/>
              <w:szCs w:val="22"/>
            </w:rPr>
            <w:fldChar w:fldCharType="separate"/>
          </w:r>
          <w:r>
            <w:rPr>
              <w:sz w:val="22"/>
              <w:szCs w:val="22"/>
            </w:rPr>
            <w:t>7</w:t>
          </w:r>
          <w:r>
            <w:rPr>
              <w:sz w:val="22"/>
              <w:szCs w:val="22"/>
            </w:rPr>
            <w:fldChar w:fldCharType="end"/>
          </w:r>
          <w:r>
            <w:rPr>
              <w:sz w:val="22"/>
              <w:szCs w:val="22"/>
            </w:rPr>
            <w:fldChar w:fldCharType="end"/>
          </w:r>
        </w:p>
        <w:p w14:paraId="59F131CC">
          <w:pPr>
            <w:pStyle w:val="30"/>
            <w:tabs>
              <w:tab w:val="right" w:leader="dot" w:pos="8337"/>
            </w:tabs>
            <w:rPr>
              <w:sz w:val="22"/>
              <w:szCs w:val="22"/>
            </w:rPr>
          </w:pPr>
          <w:r>
            <w:rPr>
              <w:sz w:val="22"/>
              <w:szCs w:val="22"/>
            </w:rPr>
            <w:fldChar w:fldCharType="begin"/>
          </w:r>
          <w:r>
            <w:rPr>
              <w:sz w:val="22"/>
              <w:szCs w:val="22"/>
            </w:rPr>
            <w:instrText xml:space="preserve"> HYPERLINK \l _Toc25477 </w:instrText>
          </w:r>
          <w:r>
            <w:rPr>
              <w:sz w:val="22"/>
              <w:szCs w:val="22"/>
            </w:rPr>
            <w:fldChar w:fldCharType="separate"/>
          </w:r>
          <w:r>
            <w:rPr>
              <w:rFonts w:ascii="仿宋" w:hAnsi="仿宋" w:eastAsia="仿宋" w:cs="仿宋"/>
              <w:bCs/>
              <w:spacing w:val="-21"/>
              <w:sz w:val="22"/>
              <w:szCs w:val="36"/>
            </w:rPr>
            <w:t>一</w:t>
          </w:r>
          <w:r>
            <w:rPr>
              <w:rFonts w:ascii="仿宋" w:hAnsi="仿宋" w:eastAsia="仿宋" w:cs="仿宋"/>
              <w:spacing w:val="9"/>
              <w:sz w:val="22"/>
              <w:szCs w:val="36"/>
            </w:rPr>
            <w:t xml:space="preserve"> </w:t>
          </w:r>
          <w:r>
            <w:rPr>
              <w:rFonts w:ascii="仿宋" w:hAnsi="仿宋" w:eastAsia="仿宋" w:cs="仿宋"/>
              <w:bCs/>
              <w:spacing w:val="-21"/>
              <w:sz w:val="22"/>
              <w:szCs w:val="36"/>
            </w:rPr>
            <w:t>总则</w:t>
          </w:r>
          <w:r>
            <w:rPr>
              <w:sz w:val="22"/>
              <w:szCs w:val="22"/>
            </w:rPr>
            <w:tab/>
          </w:r>
          <w:r>
            <w:rPr>
              <w:sz w:val="22"/>
              <w:szCs w:val="22"/>
            </w:rPr>
            <w:fldChar w:fldCharType="begin"/>
          </w:r>
          <w:r>
            <w:rPr>
              <w:sz w:val="22"/>
              <w:szCs w:val="22"/>
            </w:rPr>
            <w:instrText xml:space="preserve"> PAGEREF _Toc25477 \h </w:instrText>
          </w:r>
          <w:r>
            <w:rPr>
              <w:sz w:val="22"/>
              <w:szCs w:val="22"/>
            </w:rPr>
            <w:fldChar w:fldCharType="separate"/>
          </w:r>
          <w:r>
            <w:rPr>
              <w:sz w:val="22"/>
              <w:szCs w:val="22"/>
            </w:rPr>
            <w:t>7</w:t>
          </w:r>
          <w:r>
            <w:rPr>
              <w:sz w:val="22"/>
              <w:szCs w:val="22"/>
            </w:rPr>
            <w:fldChar w:fldCharType="end"/>
          </w:r>
          <w:r>
            <w:rPr>
              <w:sz w:val="22"/>
              <w:szCs w:val="22"/>
            </w:rPr>
            <w:fldChar w:fldCharType="end"/>
          </w:r>
        </w:p>
        <w:p w14:paraId="04E4F6A2">
          <w:pPr>
            <w:pStyle w:val="31"/>
            <w:tabs>
              <w:tab w:val="right" w:leader="dot" w:pos="8337"/>
            </w:tabs>
            <w:ind w:left="0" w:leftChars="0" w:firstLine="440" w:firstLineChars="200"/>
            <w:rPr>
              <w:sz w:val="22"/>
              <w:szCs w:val="22"/>
            </w:rPr>
          </w:pPr>
          <w:r>
            <w:rPr>
              <w:sz w:val="22"/>
              <w:szCs w:val="22"/>
            </w:rPr>
            <w:fldChar w:fldCharType="begin"/>
          </w:r>
          <w:r>
            <w:rPr>
              <w:sz w:val="22"/>
              <w:szCs w:val="22"/>
            </w:rPr>
            <w:instrText xml:space="preserve"> HYPERLINK \l _Toc20282 </w:instrText>
          </w:r>
          <w:r>
            <w:rPr>
              <w:sz w:val="22"/>
              <w:szCs w:val="22"/>
            </w:rPr>
            <w:fldChar w:fldCharType="separate"/>
          </w:r>
          <w:r>
            <w:rPr>
              <w:rFonts w:ascii="仿宋" w:hAnsi="仿宋" w:eastAsia="仿宋" w:cs="仿宋"/>
              <w:bCs/>
              <w:spacing w:val="-15"/>
              <w:sz w:val="22"/>
              <w:szCs w:val="36"/>
            </w:rPr>
            <w:t>二</w:t>
          </w:r>
          <w:r>
            <w:rPr>
              <w:rFonts w:ascii="仿宋" w:hAnsi="仿宋" w:eastAsia="仿宋" w:cs="仿宋"/>
              <w:spacing w:val="-15"/>
              <w:sz w:val="22"/>
              <w:szCs w:val="36"/>
            </w:rPr>
            <w:t xml:space="preserve"> </w:t>
          </w:r>
          <w:r>
            <w:rPr>
              <w:rFonts w:ascii="仿宋" w:hAnsi="仿宋" w:eastAsia="仿宋" w:cs="仿宋"/>
              <w:bCs/>
              <w:spacing w:val="-15"/>
              <w:sz w:val="22"/>
              <w:szCs w:val="36"/>
            </w:rPr>
            <w:t>采购文件</w:t>
          </w:r>
          <w:r>
            <w:rPr>
              <w:sz w:val="22"/>
              <w:szCs w:val="22"/>
            </w:rPr>
            <w:tab/>
          </w:r>
          <w:r>
            <w:rPr>
              <w:sz w:val="22"/>
              <w:szCs w:val="22"/>
            </w:rPr>
            <w:fldChar w:fldCharType="begin"/>
          </w:r>
          <w:r>
            <w:rPr>
              <w:sz w:val="22"/>
              <w:szCs w:val="22"/>
            </w:rPr>
            <w:instrText xml:space="preserve"> PAGEREF _Toc20282 \h </w:instrText>
          </w:r>
          <w:r>
            <w:rPr>
              <w:sz w:val="22"/>
              <w:szCs w:val="22"/>
            </w:rPr>
            <w:fldChar w:fldCharType="separate"/>
          </w:r>
          <w:r>
            <w:rPr>
              <w:sz w:val="22"/>
              <w:szCs w:val="22"/>
            </w:rPr>
            <w:t>8</w:t>
          </w:r>
          <w:r>
            <w:rPr>
              <w:sz w:val="22"/>
              <w:szCs w:val="22"/>
            </w:rPr>
            <w:fldChar w:fldCharType="end"/>
          </w:r>
          <w:r>
            <w:rPr>
              <w:sz w:val="22"/>
              <w:szCs w:val="22"/>
            </w:rPr>
            <w:fldChar w:fldCharType="end"/>
          </w:r>
        </w:p>
        <w:p w14:paraId="4A4016D2">
          <w:pPr>
            <w:pStyle w:val="31"/>
            <w:tabs>
              <w:tab w:val="right" w:leader="dot" w:pos="8337"/>
            </w:tabs>
            <w:ind w:left="0" w:leftChars="0" w:firstLine="440" w:firstLineChars="200"/>
            <w:rPr>
              <w:sz w:val="22"/>
              <w:szCs w:val="22"/>
            </w:rPr>
          </w:pPr>
          <w:r>
            <w:rPr>
              <w:sz w:val="22"/>
              <w:szCs w:val="22"/>
            </w:rPr>
            <w:fldChar w:fldCharType="begin"/>
          </w:r>
          <w:r>
            <w:rPr>
              <w:sz w:val="22"/>
              <w:szCs w:val="22"/>
            </w:rPr>
            <w:instrText xml:space="preserve"> HYPERLINK \l _Toc19659 </w:instrText>
          </w:r>
          <w:r>
            <w:rPr>
              <w:sz w:val="22"/>
              <w:szCs w:val="22"/>
            </w:rPr>
            <w:fldChar w:fldCharType="separate"/>
          </w:r>
          <w:r>
            <w:rPr>
              <w:rFonts w:ascii="仿宋" w:hAnsi="仿宋" w:eastAsia="仿宋" w:cs="仿宋"/>
              <w:bCs/>
              <w:spacing w:val="-11"/>
              <w:sz w:val="22"/>
              <w:szCs w:val="36"/>
            </w:rPr>
            <w:t>三</w:t>
          </w:r>
          <w:r>
            <w:rPr>
              <w:rFonts w:ascii="仿宋" w:hAnsi="仿宋" w:eastAsia="仿宋" w:cs="仿宋"/>
              <w:spacing w:val="-11"/>
              <w:sz w:val="22"/>
              <w:szCs w:val="36"/>
            </w:rPr>
            <w:t xml:space="preserve"> </w:t>
          </w:r>
          <w:r>
            <w:rPr>
              <w:rFonts w:ascii="仿宋" w:hAnsi="仿宋" w:eastAsia="仿宋" w:cs="仿宋"/>
              <w:bCs/>
              <w:spacing w:val="-11"/>
              <w:sz w:val="22"/>
              <w:szCs w:val="36"/>
            </w:rPr>
            <w:t>投标文件的编制</w:t>
          </w:r>
          <w:r>
            <w:rPr>
              <w:sz w:val="22"/>
              <w:szCs w:val="22"/>
            </w:rPr>
            <w:tab/>
          </w:r>
          <w:r>
            <w:rPr>
              <w:sz w:val="22"/>
              <w:szCs w:val="22"/>
            </w:rPr>
            <w:fldChar w:fldCharType="begin"/>
          </w:r>
          <w:r>
            <w:rPr>
              <w:sz w:val="22"/>
              <w:szCs w:val="22"/>
            </w:rPr>
            <w:instrText xml:space="preserve"> PAGEREF _Toc19659 \h </w:instrText>
          </w:r>
          <w:r>
            <w:rPr>
              <w:sz w:val="22"/>
              <w:szCs w:val="22"/>
            </w:rPr>
            <w:fldChar w:fldCharType="separate"/>
          </w:r>
          <w:r>
            <w:rPr>
              <w:sz w:val="22"/>
              <w:szCs w:val="22"/>
            </w:rPr>
            <w:t>9</w:t>
          </w:r>
          <w:r>
            <w:rPr>
              <w:sz w:val="22"/>
              <w:szCs w:val="22"/>
            </w:rPr>
            <w:fldChar w:fldCharType="end"/>
          </w:r>
          <w:r>
            <w:rPr>
              <w:sz w:val="22"/>
              <w:szCs w:val="22"/>
            </w:rPr>
            <w:fldChar w:fldCharType="end"/>
          </w:r>
        </w:p>
        <w:p w14:paraId="1636EC38">
          <w:pPr>
            <w:pStyle w:val="31"/>
            <w:tabs>
              <w:tab w:val="right" w:leader="dot" w:pos="8337"/>
            </w:tabs>
            <w:ind w:left="0" w:leftChars="0" w:firstLine="440" w:firstLineChars="200"/>
            <w:rPr>
              <w:sz w:val="22"/>
              <w:szCs w:val="22"/>
            </w:rPr>
          </w:pPr>
          <w:r>
            <w:rPr>
              <w:sz w:val="22"/>
              <w:szCs w:val="22"/>
            </w:rPr>
            <w:fldChar w:fldCharType="begin"/>
          </w:r>
          <w:r>
            <w:rPr>
              <w:sz w:val="22"/>
              <w:szCs w:val="22"/>
            </w:rPr>
            <w:instrText xml:space="preserve"> HYPERLINK \l _Toc20985 </w:instrText>
          </w:r>
          <w:r>
            <w:rPr>
              <w:sz w:val="22"/>
              <w:szCs w:val="22"/>
            </w:rPr>
            <w:fldChar w:fldCharType="separate"/>
          </w:r>
          <w:r>
            <w:rPr>
              <w:rFonts w:ascii="仿宋" w:hAnsi="仿宋" w:eastAsia="仿宋" w:cs="仿宋"/>
              <w:bCs/>
              <w:spacing w:val="-14"/>
              <w:sz w:val="22"/>
              <w:szCs w:val="36"/>
            </w:rPr>
            <w:t>四</w:t>
          </w:r>
          <w:r>
            <w:rPr>
              <w:rFonts w:ascii="仿宋" w:hAnsi="仿宋" w:eastAsia="仿宋" w:cs="仿宋"/>
              <w:spacing w:val="-14"/>
              <w:sz w:val="22"/>
              <w:szCs w:val="36"/>
            </w:rPr>
            <w:t xml:space="preserve"> </w:t>
          </w:r>
          <w:r>
            <w:rPr>
              <w:rFonts w:ascii="仿宋" w:hAnsi="仿宋" w:eastAsia="仿宋" w:cs="仿宋"/>
              <w:bCs/>
              <w:spacing w:val="-14"/>
              <w:sz w:val="22"/>
              <w:szCs w:val="36"/>
            </w:rPr>
            <w:t>投标文件的递交</w:t>
          </w:r>
          <w:r>
            <w:rPr>
              <w:sz w:val="22"/>
              <w:szCs w:val="22"/>
            </w:rPr>
            <w:tab/>
          </w:r>
          <w:r>
            <w:rPr>
              <w:sz w:val="22"/>
              <w:szCs w:val="22"/>
            </w:rPr>
            <w:fldChar w:fldCharType="begin"/>
          </w:r>
          <w:r>
            <w:rPr>
              <w:sz w:val="22"/>
              <w:szCs w:val="22"/>
            </w:rPr>
            <w:instrText xml:space="preserve"> PAGEREF _Toc20985 \h </w:instrText>
          </w:r>
          <w:r>
            <w:rPr>
              <w:sz w:val="22"/>
              <w:szCs w:val="22"/>
            </w:rPr>
            <w:fldChar w:fldCharType="separate"/>
          </w:r>
          <w:r>
            <w:rPr>
              <w:sz w:val="22"/>
              <w:szCs w:val="22"/>
            </w:rPr>
            <w:t>11</w:t>
          </w:r>
          <w:r>
            <w:rPr>
              <w:sz w:val="22"/>
              <w:szCs w:val="22"/>
            </w:rPr>
            <w:fldChar w:fldCharType="end"/>
          </w:r>
          <w:r>
            <w:rPr>
              <w:sz w:val="22"/>
              <w:szCs w:val="22"/>
            </w:rPr>
            <w:fldChar w:fldCharType="end"/>
          </w:r>
        </w:p>
        <w:p w14:paraId="795743EE">
          <w:pPr>
            <w:pStyle w:val="31"/>
            <w:tabs>
              <w:tab w:val="right" w:leader="dot" w:pos="8337"/>
            </w:tabs>
            <w:ind w:left="0" w:leftChars="0" w:firstLine="440" w:firstLineChars="200"/>
            <w:rPr>
              <w:sz w:val="22"/>
              <w:szCs w:val="22"/>
            </w:rPr>
          </w:pPr>
          <w:r>
            <w:rPr>
              <w:sz w:val="22"/>
              <w:szCs w:val="22"/>
            </w:rPr>
            <w:fldChar w:fldCharType="begin"/>
          </w:r>
          <w:r>
            <w:rPr>
              <w:sz w:val="22"/>
              <w:szCs w:val="22"/>
            </w:rPr>
            <w:instrText xml:space="preserve"> HYPERLINK \l _Toc4251 </w:instrText>
          </w:r>
          <w:r>
            <w:rPr>
              <w:sz w:val="22"/>
              <w:szCs w:val="22"/>
            </w:rPr>
            <w:fldChar w:fldCharType="separate"/>
          </w:r>
          <w:r>
            <w:rPr>
              <w:rFonts w:ascii="仿宋" w:hAnsi="仿宋" w:eastAsia="仿宋" w:cs="仿宋"/>
              <w:bCs/>
              <w:spacing w:val="-11"/>
              <w:sz w:val="22"/>
              <w:szCs w:val="36"/>
            </w:rPr>
            <w:t>五</w:t>
          </w:r>
          <w:r>
            <w:rPr>
              <w:rFonts w:ascii="仿宋" w:hAnsi="仿宋" w:eastAsia="仿宋" w:cs="仿宋"/>
              <w:spacing w:val="-11"/>
              <w:sz w:val="22"/>
              <w:szCs w:val="36"/>
            </w:rPr>
            <w:t xml:space="preserve"> </w:t>
          </w:r>
          <w:r>
            <w:rPr>
              <w:rFonts w:ascii="仿宋" w:hAnsi="仿宋" w:eastAsia="仿宋" w:cs="仿宋"/>
              <w:bCs/>
              <w:spacing w:val="-11"/>
              <w:sz w:val="22"/>
              <w:szCs w:val="36"/>
            </w:rPr>
            <w:t>开标及评标</w:t>
          </w:r>
          <w:r>
            <w:rPr>
              <w:sz w:val="22"/>
              <w:szCs w:val="22"/>
            </w:rPr>
            <w:tab/>
          </w:r>
          <w:r>
            <w:rPr>
              <w:sz w:val="22"/>
              <w:szCs w:val="22"/>
            </w:rPr>
            <w:fldChar w:fldCharType="begin"/>
          </w:r>
          <w:r>
            <w:rPr>
              <w:sz w:val="22"/>
              <w:szCs w:val="22"/>
            </w:rPr>
            <w:instrText xml:space="preserve"> PAGEREF _Toc4251 \h </w:instrText>
          </w:r>
          <w:r>
            <w:rPr>
              <w:sz w:val="22"/>
              <w:szCs w:val="22"/>
            </w:rPr>
            <w:fldChar w:fldCharType="separate"/>
          </w:r>
          <w:r>
            <w:rPr>
              <w:sz w:val="22"/>
              <w:szCs w:val="22"/>
            </w:rPr>
            <w:t>12</w:t>
          </w:r>
          <w:r>
            <w:rPr>
              <w:sz w:val="22"/>
              <w:szCs w:val="22"/>
            </w:rPr>
            <w:fldChar w:fldCharType="end"/>
          </w:r>
          <w:r>
            <w:rPr>
              <w:sz w:val="22"/>
              <w:szCs w:val="22"/>
            </w:rPr>
            <w:fldChar w:fldCharType="end"/>
          </w:r>
        </w:p>
        <w:p w14:paraId="6F0AE1CC">
          <w:pPr>
            <w:pStyle w:val="30"/>
            <w:tabs>
              <w:tab w:val="right" w:leader="dot" w:pos="8337"/>
            </w:tabs>
            <w:rPr>
              <w:sz w:val="22"/>
              <w:szCs w:val="22"/>
            </w:rPr>
          </w:pPr>
          <w:r>
            <w:rPr>
              <w:sz w:val="22"/>
              <w:szCs w:val="22"/>
            </w:rPr>
            <w:fldChar w:fldCharType="begin"/>
          </w:r>
          <w:r>
            <w:rPr>
              <w:sz w:val="22"/>
              <w:szCs w:val="22"/>
            </w:rPr>
            <w:instrText xml:space="preserve"> HYPERLINK \l _Toc15988 </w:instrText>
          </w:r>
          <w:r>
            <w:rPr>
              <w:sz w:val="22"/>
              <w:szCs w:val="22"/>
            </w:rPr>
            <w:fldChar w:fldCharType="separate"/>
          </w:r>
          <w:r>
            <w:rPr>
              <w:rFonts w:ascii="仿宋" w:hAnsi="仿宋" w:eastAsia="仿宋" w:cs="仿宋"/>
              <w:bCs/>
              <w:spacing w:val="-10"/>
              <w:sz w:val="22"/>
              <w:szCs w:val="36"/>
            </w:rPr>
            <w:t>六</w:t>
          </w:r>
          <w:r>
            <w:rPr>
              <w:rFonts w:ascii="仿宋" w:hAnsi="仿宋" w:eastAsia="仿宋" w:cs="仿宋"/>
              <w:spacing w:val="-10"/>
              <w:sz w:val="22"/>
              <w:szCs w:val="36"/>
            </w:rPr>
            <w:t xml:space="preserve">  </w:t>
          </w:r>
          <w:r>
            <w:rPr>
              <w:rFonts w:ascii="仿宋" w:hAnsi="仿宋" w:eastAsia="仿宋" w:cs="仿宋"/>
              <w:bCs/>
              <w:spacing w:val="-10"/>
              <w:sz w:val="22"/>
              <w:szCs w:val="36"/>
            </w:rPr>
            <w:t>确定中标</w:t>
          </w:r>
          <w:r>
            <w:rPr>
              <w:sz w:val="22"/>
              <w:szCs w:val="22"/>
            </w:rPr>
            <w:tab/>
          </w:r>
          <w:r>
            <w:rPr>
              <w:sz w:val="22"/>
              <w:szCs w:val="22"/>
            </w:rPr>
            <w:fldChar w:fldCharType="begin"/>
          </w:r>
          <w:r>
            <w:rPr>
              <w:sz w:val="22"/>
              <w:szCs w:val="22"/>
            </w:rPr>
            <w:instrText xml:space="preserve"> PAGEREF _Toc15988 \h </w:instrText>
          </w:r>
          <w:r>
            <w:rPr>
              <w:sz w:val="22"/>
              <w:szCs w:val="22"/>
            </w:rPr>
            <w:fldChar w:fldCharType="separate"/>
          </w:r>
          <w:r>
            <w:rPr>
              <w:sz w:val="22"/>
              <w:szCs w:val="22"/>
            </w:rPr>
            <w:t>16</w:t>
          </w:r>
          <w:r>
            <w:rPr>
              <w:sz w:val="22"/>
              <w:szCs w:val="22"/>
            </w:rPr>
            <w:fldChar w:fldCharType="end"/>
          </w:r>
          <w:r>
            <w:rPr>
              <w:sz w:val="22"/>
              <w:szCs w:val="22"/>
            </w:rPr>
            <w:fldChar w:fldCharType="end"/>
          </w:r>
        </w:p>
        <w:p w14:paraId="53317495">
          <w:pPr>
            <w:pStyle w:val="29"/>
            <w:tabs>
              <w:tab w:val="right" w:leader="dot" w:pos="8337"/>
            </w:tabs>
            <w:rPr>
              <w:sz w:val="22"/>
              <w:szCs w:val="22"/>
            </w:rPr>
          </w:pPr>
          <w:r>
            <w:rPr>
              <w:sz w:val="22"/>
              <w:szCs w:val="22"/>
            </w:rPr>
            <w:fldChar w:fldCharType="begin"/>
          </w:r>
          <w:r>
            <w:rPr>
              <w:sz w:val="22"/>
              <w:szCs w:val="22"/>
            </w:rPr>
            <w:instrText xml:space="preserve"> HYPERLINK \l _Toc16957 </w:instrText>
          </w:r>
          <w:r>
            <w:rPr>
              <w:sz w:val="22"/>
              <w:szCs w:val="22"/>
            </w:rPr>
            <w:fldChar w:fldCharType="separate"/>
          </w:r>
          <w:r>
            <w:rPr>
              <w:rFonts w:ascii="仿宋" w:hAnsi="仿宋" w:eastAsia="仿宋" w:cs="仿宋"/>
              <w:bCs/>
              <w:spacing w:val="-12"/>
              <w:sz w:val="22"/>
              <w:szCs w:val="36"/>
            </w:rPr>
            <w:t>第4章</w:t>
          </w:r>
          <w:r>
            <w:rPr>
              <w:rFonts w:ascii="仿宋" w:hAnsi="仿宋" w:eastAsia="仿宋" w:cs="仿宋"/>
              <w:spacing w:val="-12"/>
              <w:sz w:val="22"/>
              <w:szCs w:val="36"/>
            </w:rPr>
            <w:t xml:space="preserve"> </w:t>
          </w:r>
          <w:r>
            <w:rPr>
              <w:rFonts w:ascii="仿宋" w:hAnsi="仿宋" w:eastAsia="仿宋" w:cs="仿宋"/>
              <w:bCs/>
              <w:spacing w:val="-12"/>
              <w:sz w:val="22"/>
              <w:szCs w:val="36"/>
            </w:rPr>
            <w:t>投标文件格式</w:t>
          </w:r>
          <w:r>
            <w:rPr>
              <w:sz w:val="22"/>
              <w:szCs w:val="22"/>
            </w:rPr>
            <w:tab/>
          </w:r>
          <w:r>
            <w:rPr>
              <w:sz w:val="22"/>
              <w:szCs w:val="22"/>
            </w:rPr>
            <w:fldChar w:fldCharType="begin"/>
          </w:r>
          <w:r>
            <w:rPr>
              <w:sz w:val="22"/>
              <w:szCs w:val="22"/>
            </w:rPr>
            <w:instrText xml:space="preserve"> PAGEREF _Toc16957 \h </w:instrText>
          </w:r>
          <w:r>
            <w:rPr>
              <w:sz w:val="22"/>
              <w:szCs w:val="22"/>
            </w:rPr>
            <w:fldChar w:fldCharType="separate"/>
          </w:r>
          <w:r>
            <w:rPr>
              <w:sz w:val="22"/>
              <w:szCs w:val="22"/>
            </w:rPr>
            <w:t>26</w:t>
          </w:r>
          <w:r>
            <w:rPr>
              <w:sz w:val="22"/>
              <w:szCs w:val="22"/>
            </w:rPr>
            <w:fldChar w:fldCharType="end"/>
          </w:r>
          <w:r>
            <w:rPr>
              <w:sz w:val="22"/>
              <w:szCs w:val="22"/>
            </w:rPr>
            <w:fldChar w:fldCharType="end"/>
          </w:r>
        </w:p>
        <w:p w14:paraId="21568C7C">
          <w:pPr>
            <w:pStyle w:val="30"/>
            <w:tabs>
              <w:tab w:val="right" w:leader="dot" w:pos="8337"/>
            </w:tabs>
            <w:rPr>
              <w:sz w:val="22"/>
              <w:szCs w:val="22"/>
            </w:rPr>
          </w:pPr>
          <w:r>
            <w:rPr>
              <w:sz w:val="22"/>
              <w:szCs w:val="22"/>
            </w:rPr>
            <w:fldChar w:fldCharType="begin"/>
          </w:r>
          <w:r>
            <w:rPr>
              <w:sz w:val="22"/>
              <w:szCs w:val="22"/>
            </w:rPr>
            <w:instrText xml:space="preserve"> HYPERLINK \l _Toc29719 </w:instrText>
          </w:r>
          <w:r>
            <w:rPr>
              <w:sz w:val="22"/>
              <w:szCs w:val="22"/>
            </w:rPr>
            <w:fldChar w:fldCharType="separate"/>
          </w:r>
          <w:r>
            <w:rPr>
              <w:rFonts w:ascii="仿宋" w:hAnsi="仿宋" w:eastAsia="仿宋" w:cs="仿宋"/>
              <w:bCs/>
              <w:spacing w:val="-9"/>
              <w:sz w:val="22"/>
              <w:szCs w:val="36"/>
            </w:rPr>
            <w:t>第一部分各部分封面格式</w:t>
          </w:r>
          <w:r>
            <w:rPr>
              <w:sz w:val="22"/>
              <w:szCs w:val="22"/>
            </w:rPr>
            <w:tab/>
          </w:r>
          <w:r>
            <w:rPr>
              <w:sz w:val="22"/>
              <w:szCs w:val="22"/>
            </w:rPr>
            <w:fldChar w:fldCharType="begin"/>
          </w:r>
          <w:r>
            <w:rPr>
              <w:sz w:val="22"/>
              <w:szCs w:val="22"/>
            </w:rPr>
            <w:instrText xml:space="preserve"> PAGEREF _Toc29719 \h </w:instrText>
          </w:r>
          <w:r>
            <w:rPr>
              <w:sz w:val="22"/>
              <w:szCs w:val="22"/>
            </w:rPr>
            <w:fldChar w:fldCharType="separate"/>
          </w:r>
          <w:r>
            <w:rPr>
              <w:sz w:val="22"/>
              <w:szCs w:val="22"/>
            </w:rPr>
            <w:t>26</w:t>
          </w:r>
          <w:r>
            <w:rPr>
              <w:sz w:val="22"/>
              <w:szCs w:val="22"/>
            </w:rPr>
            <w:fldChar w:fldCharType="end"/>
          </w:r>
          <w:r>
            <w:rPr>
              <w:sz w:val="22"/>
              <w:szCs w:val="22"/>
            </w:rPr>
            <w:fldChar w:fldCharType="end"/>
          </w:r>
        </w:p>
        <w:p w14:paraId="4EEF5488">
          <w:pPr>
            <w:pStyle w:val="30"/>
            <w:tabs>
              <w:tab w:val="right" w:leader="dot" w:pos="8337"/>
            </w:tabs>
            <w:rPr>
              <w:sz w:val="22"/>
              <w:szCs w:val="22"/>
            </w:rPr>
          </w:pPr>
          <w:r>
            <w:rPr>
              <w:sz w:val="22"/>
              <w:szCs w:val="22"/>
            </w:rPr>
            <w:fldChar w:fldCharType="begin"/>
          </w:r>
          <w:r>
            <w:rPr>
              <w:sz w:val="22"/>
              <w:szCs w:val="22"/>
            </w:rPr>
            <w:instrText xml:space="preserve"> HYPERLINK \l _Toc26355 </w:instrText>
          </w:r>
          <w:r>
            <w:rPr>
              <w:sz w:val="22"/>
              <w:szCs w:val="22"/>
            </w:rPr>
            <w:fldChar w:fldCharType="separate"/>
          </w:r>
          <w:r>
            <w:rPr>
              <w:rFonts w:ascii="仿宋" w:hAnsi="仿宋" w:eastAsia="仿宋" w:cs="仿宋"/>
              <w:bCs/>
              <w:spacing w:val="-12"/>
              <w:sz w:val="22"/>
              <w:szCs w:val="32"/>
            </w:rPr>
            <w:t>第二部分报价单</w:t>
          </w:r>
          <w:r>
            <w:rPr>
              <w:sz w:val="22"/>
              <w:szCs w:val="22"/>
            </w:rPr>
            <w:tab/>
          </w:r>
          <w:r>
            <w:rPr>
              <w:sz w:val="22"/>
              <w:szCs w:val="22"/>
            </w:rPr>
            <w:fldChar w:fldCharType="begin"/>
          </w:r>
          <w:r>
            <w:rPr>
              <w:sz w:val="22"/>
              <w:szCs w:val="22"/>
            </w:rPr>
            <w:instrText xml:space="preserve"> PAGEREF _Toc26355 \h </w:instrText>
          </w:r>
          <w:r>
            <w:rPr>
              <w:sz w:val="22"/>
              <w:szCs w:val="22"/>
            </w:rPr>
            <w:fldChar w:fldCharType="separate"/>
          </w:r>
          <w:r>
            <w:rPr>
              <w:sz w:val="22"/>
              <w:szCs w:val="22"/>
            </w:rPr>
            <w:t>27</w:t>
          </w:r>
          <w:r>
            <w:rPr>
              <w:sz w:val="22"/>
              <w:szCs w:val="22"/>
            </w:rPr>
            <w:fldChar w:fldCharType="end"/>
          </w:r>
          <w:r>
            <w:rPr>
              <w:sz w:val="22"/>
              <w:szCs w:val="22"/>
            </w:rPr>
            <w:fldChar w:fldCharType="end"/>
          </w:r>
        </w:p>
        <w:p w14:paraId="077BAA9D">
          <w:pPr>
            <w:pStyle w:val="30"/>
            <w:tabs>
              <w:tab w:val="right" w:leader="dot" w:pos="8337"/>
            </w:tabs>
            <w:rPr>
              <w:sz w:val="22"/>
              <w:szCs w:val="22"/>
            </w:rPr>
          </w:pPr>
          <w:r>
            <w:rPr>
              <w:sz w:val="22"/>
              <w:szCs w:val="22"/>
            </w:rPr>
            <w:fldChar w:fldCharType="begin"/>
          </w:r>
          <w:r>
            <w:rPr>
              <w:sz w:val="22"/>
              <w:szCs w:val="22"/>
            </w:rPr>
            <w:instrText xml:space="preserve"> HYPERLINK \l _Toc31750 </w:instrText>
          </w:r>
          <w:r>
            <w:rPr>
              <w:sz w:val="22"/>
              <w:szCs w:val="22"/>
            </w:rPr>
            <w:fldChar w:fldCharType="separate"/>
          </w:r>
          <w:r>
            <w:rPr>
              <w:rFonts w:ascii="仿宋" w:hAnsi="仿宋" w:eastAsia="仿宋" w:cs="仿宋"/>
              <w:bCs/>
              <w:spacing w:val="-9"/>
              <w:sz w:val="22"/>
              <w:szCs w:val="32"/>
            </w:rPr>
            <w:t>第三部分商务资信投标文件</w:t>
          </w:r>
          <w:r>
            <w:rPr>
              <w:sz w:val="22"/>
              <w:szCs w:val="22"/>
            </w:rPr>
            <w:tab/>
          </w:r>
          <w:r>
            <w:rPr>
              <w:sz w:val="22"/>
              <w:szCs w:val="22"/>
            </w:rPr>
            <w:fldChar w:fldCharType="begin"/>
          </w:r>
          <w:r>
            <w:rPr>
              <w:sz w:val="22"/>
              <w:szCs w:val="22"/>
            </w:rPr>
            <w:instrText xml:space="preserve"> PAGEREF _Toc31750 \h </w:instrText>
          </w:r>
          <w:r>
            <w:rPr>
              <w:sz w:val="22"/>
              <w:szCs w:val="22"/>
            </w:rPr>
            <w:fldChar w:fldCharType="separate"/>
          </w:r>
          <w:r>
            <w:rPr>
              <w:sz w:val="22"/>
              <w:szCs w:val="22"/>
            </w:rPr>
            <w:t>28</w:t>
          </w:r>
          <w:r>
            <w:rPr>
              <w:sz w:val="22"/>
              <w:szCs w:val="22"/>
            </w:rPr>
            <w:fldChar w:fldCharType="end"/>
          </w:r>
          <w:r>
            <w:rPr>
              <w:sz w:val="22"/>
              <w:szCs w:val="22"/>
            </w:rPr>
            <w:fldChar w:fldCharType="end"/>
          </w:r>
        </w:p>
        <w:p w14:paraId="04EFF8CD">
          <w:pPr>
            <w:pStyle w:val="29"/>
            <w:tabs>
              <w:tab w:val="right" w:leader="dot" w:pos="8337"/>
            </w:tabs>
            <w:rPr>
              <w:sz w:val="22"/>
              <w:szCs w:val="22"/>
            </w:rPr>
          </w:pPr>
          <w:r>
            <w:rPr>
              <w:sz w:val="22"/>
              <w:szCs w:val="22"/>
            </w:rPr>
            <w:fldChar w:fldCharType="begin"/>
          </w:r>
          <w:r>
            <w:rPr>
              <w:sz w:val="22"/>
              <w:szCs w:val="22"/>
            </w:rPr>
            <w:instrText xml:space="preserve"> HYPERLINK \l _Toc8938 </w:instrText>
          </w:r>
          <w:r>
            <w:rPr>
              <w:sz w:val="22"/>
              <w:szCs w:val="22"/>
            </w:rPr>
            <w:fldChar w:fldCharType="separate"/>
          </w:r>
          <w:r>
            <w:rPr>
              <w:rFonts w:ascii="仿宋" w:hAnsi="仿宋" w:eastAsia="仿宋" w:cs="仿宋"/>
              <w:bCs/>
              <w:spacing w:val="-11"/>
              <w:sz w:val="22"/>
              <w:szCs w:val="36"/>
            </w:rPr>
            <w:t>第5章</w:t>
          </w:r>
          <w:r>
            <w:rPr>
              <w:rFonts w:ascii="仿宋" w:hAnsi="仿宋" w:eastAsia="仿宋" w:cs="仿宋"/>
              <w:spacing w:val="9"/>
              <w:sz w:val="22"/>
              <w:szCs w:val="36"/>
            </w:rPr>
            <w:t xml:space="preserve">  </w:t>
          </w:r>
          <w:r>
            <w:rPr>
              <w:rFonts w:ascii="仿宋" w:hAnsi="仿宋" w:eastAsia="仿宋" w:cs="仿宋"/>
              <w:bCs/>
              <w:spacing w:val="-11"/>
              <w:sz w:val="22"/>
              <w:szCs w:val="36"/>
            </w:rPr>
            <w:t>采购需求</w:t>
          </w:r>
          <w:r>
            <w:rPr>
              <w:sz w:val="22"/>
              <w:szCs w:val="22"/>
            </w:rPr>
            <w:tab/>
          </w:r>
          <w:r>
            <w:rPr>
              <w:sz w:val="22"/>
              <w:szCs w:val="22"/>
            </w:rPr>
            <w:fldChar w:fldCharType="begin"/>
          </w:r>
          <w:r>
            <w:rPr>
              <w:sz w:val="22"/>
              <w:szCs w:val="22"/>
            </w:rPr>
            <w:instrText xml:space="preserve"> PAGEREF _Toc8938 \h </w:instrText>
          </w:r>
          <w:r>
            <w:rPr>
              <w:sz w:val="22"/>
              <w:szCs w:val="22"/>
            </w:rPr>
            <w:fldChar w:fldCharType="separate"/>
          </w:r>
          <w:r>
            <w:rPr>
              <w:sz w:val="22"/>
              <w:szCs w:val="22"/>
            </w:rPr>
            <w:t>41</w:t>
          </w:r>
          <w:r>
            <w:rPr>
              <w:sz w:val="22"/>
              <w:szCs w:val="22"/>
            </w:rPr>
            <w:fldChar w:fldCharType="end"/>
          </w:r>
          <w:r>
            <w:rPr>
              <w:sz w:val="22"/>
              <w:szCs w:val="22"/>
            </w:rPr>
            <w:fldChar w:fldCharType="end"/>
          </w:r>
        </w:p>
        <w:p w14:paraId="312C1715">
          <w:pPr>
            <w:pStyle w:val="29"/>
            <w:tabs>
              <w:tab w:val="right" w:leader="dot" w:pos="8337"/>
            </w:tabs>
            <w:rPr>
              <w:sz w:val="22"/>
              <w:szCs w:val="22"/>
            </w:rPr>
          </w:pPr>
          <w:r>
            <w:rPr>
              <w:sz w:val="22"/>
              <w:szCs w:val="22"/>
            </w:rPr>
            <w:fldChar w:fldCharType="begin"/>
          </w:r>
          <w:r>
            <w:rPr>
              <w:sz w:val="22"/>
              <w:szCs w:val="22"/>
            </w:rPr>
            <w:instrText xml:space="preserve"> HYPERLINK \l _Toc29768 </w:instrText>
          </w:r>
          <w:r>
            <w:rPr>
              <w:sz w:val="22"/>
              <w:szCs w:val="22"/>
            </w:rPr>
            <w:fldChar w:fldCharType="separate"/>
          </w:r>
          <w:r>
            <w:rPr>
              <w:rFonts w:ascii="仿宋" w:hAnsi="仿宋" w:eastAsia="仿宋" w:cs="仿宋"/>
              <w:bCs/>
              <w:spacing w:val="-7"/>
              <w:sz w:val="22"/>
              <w:szCs w:val="36"/>
            </w:rPr>
            <w:t>第6章</w:t>
          </w:r>
          <w:r>
            <w:rPr>
              <w:rFonts w:ascii="仿宋" w:hAnsi="仿宋" w:eastAsia="仿宋" w:cs="仿宋"/>
              <w:spacing w:val="-7"/>
              <w:sz w:val="22"/>
              <w:szCs w:val="36"/>
            </w:rPr>
            <w:t xml:space="preserve"> </w:t>
          </w:r>
          <w:r>
            <w:rPr>
              <w:rFonts w:ascii="仿宋" w:hAnsi="仿宋" w:eastAsia="仿宋" w:cs="仿宋"/>
              <w:bCs/>
              <w:spacing w:val="-7"/>
              <w:sz w:val="22"/>
              <w:szCs w:val="36"/>
            </w:rPr>
            <w:t>评标方法和标准</w:t>
          </w:r>
          <w:r>
            <w:rPr>
              <w:sz w:val="22"/>
              <w:szCs w:val="22"/>
            </w:rPr>
            <w:tab/>
          </w:r>
          <w:r>
            <w:rPr>
              <w:sz w:val="22"/>
              <w:szCs w:val="22"/>
            </w:rPr>
            <w:fldChar w:fldCharType="begin"/>
          </w:r>
          <w:r>
            <w:rPr>
              <w:sz w:val="22"/>
              <w:szCs w:val="22"/>
            </w:rPr>
            <w:instrText xml:space="preserve"> PAGEREF _Toc29768 \h </w:instrText>
          </w:r>
          <w:r>
            <w:rPr>
              <w:sz w:val="22"/>
              <w:szCs w:val="22"/>
            </w:rPr>
            <w:fldChar w:fldCharType="separate"/>
          </w:r>
          <w:r>
            <w:rPr>
              <w:sz w:val="22"/>
              <w:szCs w:val="22"/>
            </w:rPr>
            <w:t>46</w:t>
          </w:r>
          <w:r>
            <w:rPr>
              <w:sz w:val="22"/>
              <w:szCs w:val="22"/>
            </w:rPr>
            <w:fldChar w:fldCharType="end"/>
          </w:r>
          <w:r>
            <w:rPr>
              <w:sz w:val="22"/>
              <w:szCs w:val="22"/>
            </w:rPr>
            <w:fldChar w:fldCharType="end"/>
          </w:r>
        </w:p>
        <w:p w14:paraId="575921C7">
          <w:pPr>
            <w:pStyle w:val="29"/>
            <w:tabs>
              <w:tab w:val="right" w:leader="dot" w:pos="8337"/>
            </w:tabs>
          </w:pPr>
          <w:r>
            <w:rPr>
              <w:sz w:val="22"/>
              <w:szCs w:val="22"/>
            </w:rPr>
            <w:fldChar w:fldCharType="begin"/>
          </w:r>
          <w:r>
            <w:rPr>
              <w:sz w:val="22"/>
              <w:szCs w:val="22"/>
            </w:rPr>
            <w:instrText xml:space="preserve"> HYPERLINK \l _Toc18652 </w:instrText>
          </w:r>
          <w:r>
            <w:rPr>
              <w:sz w:val="22"/>
              <w:szCs w:val="22"/>
            </w:rPr>
            <w:fldChar w:fldCharType="separate"/>
          </w:r>
          <w:r>
            <w:rPr>
              <w:rFonts w:ascii="仿宋" w:hAnsi="仿宋" w:eastAsia="仿宋" w:cs="仿宋"/>
              <w:bCs/>
              <w:spacing w:val="-9"/>
              <w:sz w:val="22"/>
              <w:szCs w:val="36"/>
            </w:rPr>
            <w:t>第7章</w:t>
          </w:r>
          <w:r>
            <w:rPr>
              <w:rFonts w:ascii="仿宋" w:hAnsi="仿宋" w:eastAsia="仿宋" w:cs="仿宋"/>
              <w:spacing w:val="-9"/>
              <w:sz w:val="22"/>
              <w:szCs w:val="36"/>
            </w:rPr>
            <w:t xml:space="preserve">  </w:t>
          </w:r>
          <w:r>
            <w:rPr>
              <w:rFonts w:ascii="仿宋" w:hAnsi="仿宋" w:eastAsia="仿宋" w:cs="仿宋"/>
              <w:bCs/>
              <w:spacing w:val="-9"/>
              <w:sz w:val="22"/>
              <w:szCs w:val="36"/>
            </w:rPr>
            <w:t>政府采购合同</w:t>
          </w:r>
          <w:r>
            <w:rPr>
              <w:sz w:val="22"/>
              <w:szCs w:val="22"/>
            </w:rPr>
            <w:tab/>
          </w:r>
          <w:r>
            <w:rPr>
              <w:sz w:val="22"/>
              <w:szCs w:val="22"/>
            </w:rPr>
            <w:fldChar w:fldCharType="begin"/>
          </w:r>
          <w:r>
            <w:rPr>
              <w:sz w:val="22"/>
              <w:szCs w:val="22"/>
            </w:rPr>
            <w:instrText xml:space="preserve"> PAGEREF _Toc18652 \h </w:instrText>
          </w:r>
          <w:r>
            <w:rPr>
              <w:sz w:val="22"/>
              <w:szCs w:val="22"/>
            </w:rPr>
            <w:fldChar w:fldCharType="separate"/>
          </w:r>
          <w:r>
            <w:rPr>
              <w:sz w:val="22"/>
              <w:szCs w:val="22"/>
            </w:rPr>
            <w:t>58</w:t>
          </w:r>
          <w:r>
            <w:rPr>
              <w:sz w:val="22"/>
              <w:szCs w:val="22"/>
            </w:rPr>
            <w:fldChar w:fldCharType="end"/>
          </w:r>
          <w:r>
            <w:rPr>
              <w:sz w:val="22"/>
              <w:szCs w:val="22"/>
            </w:rPr>
            <w:fldChar w:fldCharType="end"/>
          </w:r>
        </w:p>
        <w:p w14:paraId="74D1CFAA">
          <w:pPr>
            <w:pStyle w:val="31"/>
            <w:tabs>
              <w:tab w:val="right" w:leader="dot" w:pos="8337"/>
            </w:tabs>
            <w:ind w:left="0" w:leftChars="0" w:firstLine="0" w:firstLineChars="0"/>
          </w:pPr>
        </w:p>
        <w:p w14:paraId="62FDB9BE">
          <w:pPr>
            <w:spacing w:line="231" w:lineRule="auto"/>
            <w:rPr>
              <w:rFonts w:ascii="Arial" w:hAnsi="Arial" w:eastAsia="Arial" w:cs="Arial"/>
              <w:snapToGrid w:val="0"/>
              <w:color w:val="000000"/>
              <w:kern w:val="0"/>
              <w:sz w:val="21"/>
              <w:szCs w:val="20"/>
              <w:lang w:val="en-US" w:eastAsia="en-US" w:bidi="ar-SA"/>
            </w:rPr>
          </w:pPr>
          <w:r>
            <w:rPr>
              <w:szCs w:val="20"/>
            </w:rPr>
            <w:fldChar w:fldCharType="end"/>
          </w:r>
        </w:p>
      </w:sdtContent>
    </w:sdt>
    <w:p w14:paraId="0A46DB14">
      <w:pPr>
        <w:pStyle w:val="11"/>
      </w:pPr>
    </w:p>
    <w:p w14:paraId="48B28C57">
      <w:pPr>
        <w:bidi w:val="0"/>
      </w:pPr>
    </w:p>
    <w:p w14:paraId="0B62A02B">
      <w:pPr>
        <w:bidi w:val="0"/>
      </w:pPr>
    </w:p>
    <w:p w14:paraId="44BCAC12">
      <w:pPr>
        <w:bidi w:val="0"/>
      </w:pPr>
    </w:p>
    <w:p w14:paraId="35215F64">
      <w:pPr>
        <w:bidi w:val="0"/>
      </w:pPr>
    </w:p>
    <w:p w14:paraId="172F1A53">
      <w:pPr>
        <w:bidi w:val="0"/>
      </w:pPr>
    </w:p>
    <w:p w14:paraId="7F6B2F5C">
      <w:pPr>
        <w:bidi w:val="0"/>
      </w:pPr>
    </w:p>
    <w:p w14:paraId="709FBA78">
      <w:pPr>
        <w:bidi w:val="0"/>
      </w:pPr>
    </w:p>
    <w:p w14:paraId="7A7E092B">
      <w:pPr>
        <w:tabs>
          <w:tab w:val="left" w:pos="1513"/>
        </w:tabs>
        <w:bidi w:val="0"/>
        <w:jc w:val="left"/>
        <w:rPr>
          <w:rFonts w:hint="eastAsia" w:eastAsia="宋体"/>
          <w:lang w:eastAsia="zh-CN"/>
        </w:rPr>
        <w:sectPr>
          <w:footerReference r:id="rId6" w:type="default"/>
          <w:pgSz w:w="11906" w:h="16840"/>
          <w:pgMar w:top="1431" w:right="1784" w:bottom="1112" w:left="1785" w:header="0" w:footer="943" w:gutter="0"/>
          <w:cols w:space="720" w:num="1"/>
        </w:sectPr>
      </w:pPr>
      <w:r>
        <w:rPr>
          <w:rFonts w:hint="eastAsia" w:eastAsia="宋体"/>
          <w:lang w:eastAsia="zh-CN"/>
        </w:rPr>
        <w:tab/>
      </w:r>
    </w:p>
    <w:p w14:paraId="053ABC3C">
      <w:pPr>
        <w:spacing w:before="250" w:line="222" w:lineRule="auto"/>
        <w:ind w:left="3045"/>
        <w:outlineLvl w:val="0"/>
        <w:rPr>
          <w:rFonts w:ascii="仿宋" w:hAnsi="仿宋" w:eastAsia="仿宋" w:cs="仿宋"/>
          <w:sz w:val="28"/>
          <w:szCs w:val="28"/>
        </w:rPr>
      </w:pPr>
      <w:bookmarkStart w:id="1" w:name="bookmark1"/>
      <w:bookmarkEnd w:id="1"/>
      <w:bookmarkStart w:id="2" w:name="_Toc10606"/>
      <w:r>
        <w:rPr>
          <w:rFonts w:ascii="仿宋" w:hAnsi="仿宋" w:eastAsia="仿宋" w:cs="仿宋"/>
          <w:b/>
          <w:bCs/>
          <w:spacing w:val="-13"/>
          <w:sz w:val="28"/>
          <w:szCs w:val="28"/>
        </w:rPr>
        <w:t>第1章</w:t>
      </w:r>
      <w:r>
        <w:rPr>
          <w:rFonts w:ascii="仿宋" w:hAnsi="仿宋" w:eastAsia="仿宋" w:cs="仿宋"/>
          <w:spacing w:val="-13"/>
          <w:sz w:val="28"/>
          <w:szCs w:val="28"/>
        </w:rPr>
        <w:t xml:space="preserve"> </w:t>
      </w:r>
      <w:r>
        <w:rPr>
          <w:rFonts w:ascii="仿宋" w:hAnsi="仿宋" w:eastAsia="仿宋" w:cs="仿宋"/>
          <w:b/>
          <w:bCs/>
          <w:spacing w:val="-13"/>
          <w:sz w:val="28"/>
          <w:szCs w:val="28"/>
        </w:rPr>
        <w:t>招标公告</w:t>
      </w:r>
      <w:bookmarkEnd w:id="2"/>
    </w:p>
    <w:p w14:paraId="61E2918F">
      <w:pPr>
        <w:spacing w:before="256" w:line="222" w:lineRule="auto"/>
        <w:ind w:left="626"/>
        <w:outlineLvl w:val="1"/>
        <w:rPr>
          <w:rFonts w:ascii="仿宋" w:hAnsi="仿宋" w:eastAsia="仿宋" w:cs="仿宋"/>
          <w:sz w:val="24"/>
          <w:szCs w:val="24"/>
        </w:rPr>
      </w:pPr>
      <w:bookmarkStart w:id="3" w:name="_Toc25026"/>
      <w:r>
        <w:rPr>
          <w:rFonts w:ascii="仿宋" w:hAnsi="仿宋" w:eastAsia="仿宋" w:cs="仿宋"/>
          <w:spacing w:val="-7"/>
          <w:sz w:val="24"/>
          <w:szCs w:val="24"/>
        </w:rPr>
        <w:t>项目概况</w:t>
      </w:r>
      <w:bookmarkEnd w:id="3"/>
    </w:p>
    <w:p w14:paraId="335637C9">
      <w:pPr>
        <w:spacing w:line="142" w:lineRule="exact"/>
      </w:pPr>
    </w:p>
    <w:tbl>
      <w:tblPr>
        <w:tblStyle w:val="18"/>
        <w:tblW w:w="838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83"/>
      </w:tblGrid>
      <w:tr w14:paraId="1497617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99" w:hRule="atLeast"/>
        </w:trPr>
        <w:tc>
          <w:tcPr>
            <w:tcW w:w="8383" w:type="dxa"/>
            <w:vAlign w:val="top"/>
          </w:tcPr>
          <w:p w14:paraId="05B351EC">
            <w:pPr>
              <w:spacing w:before="235" w:line="347" w:lineRule="auto"/>
              <w:ind w:left="142" w:right="227" w:firstLine="487"/>
              <w:jc w:val="both"/>
              <w:rPr>
                <w:rFonts w:ascii="仿宋" w:hAnsi="仿宋" w:eastAsia="仿宋" w:cs="仿宋"/>
                <w:sz w:val="24"/>
                <w:szCs w:val="24"/>
              </w:rPr>
            </w:pPr>
            <w:r>
              <w:rPr>
                <w:rFonts w:hint="eastAsia" w:ascii="仿宋" w:hAnsi="仿宋" w:eastAsia="仿宋" w:cs="仿宋"/>
                <w:spacing w:val="2"/>
                <w:sz w:val="24"/>
                <w:szCs w:val="24"/>
                <w:lang w:eastAsia="zh-CN"/>
              </w:rPr>
              <w:t>和布克赛尔蒙古自治县1-8号历史遗留采坑恢复治理项目-三次</w:t>
            </w:r>
            <w:r>
              <w:rPr>
                <w:rFonts w:ascii="仿宋" w:hAnsi="仿宋" w:eastAsia="仿宋" w:cs="仿宋"/>
                <w:spacing w:val="2"/>
                <w:sz w:val="24"/>
                <w:szCs w:val="24"/>
              </w:rPr>
              <w:t>的潜在供应商应在新疆政府采购</w:t>
            </w:r>
            <w:r>
              <w:rPr>
                <w:rFonts w:ascii="仿宋" w:hAnsi="仿宋" w:eastAsia="仿宋" w:cs="仿宋"/>
                <w:spacing w:val="17"/>
                <w:sz w:val="24"/>
                <w:szCs w:val="24"/>
              </w:rPr>
              <w:t xml:space="preserve"> </w:t>
            </w:r>
            <w:r>
              <w:rPr>
                <w:rFonts w:ascii="仿宋" w:hAnsi="仿宋" w:eastAsia="仿宋" w:cs="仿宋"/>
                <w:spacing w:val="-1"/>
                <w:sz w:val="24"/>
                <w:szCs w:val="24"/>
              </w:rPr>
              <w:t>网</w:t>
            </w:r>
            <w:r>
              <w:rPr>
                <w:rFonts w:ascii="仿宋" w:hAnsi="仿宋" w:eastAsia="仿宋" w:cs="仿宋"/>
                <w:spacing w:val="-54"/>
                <w:sz w:val="24"/>
                <w:szCs w:val="24"/>
              </w:rPr>
              <w:t xml:space="preserve"> </w:t>
            </w:r>
            <w:r>
              <w:rPr>
                <w:rFonts w:ascii="仿宋" w:hAnsi="仿宋" w:eastAsia="仿宋" w:cs="仿宋"/>
                <w:spacing w:val="-1"/>
                <w:sz w:val="24"/>
                <w:szCs w:val="24"/>
              </w:rPr>
              <w:t>自行下载获取采购文件，并于202</w:t>
            </w: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年</w:t>
            </w:r>
            <w:r>
              <w:rPr>
                <w:rFonts w:hint="eastAsia" w:ascii="仿宋" w:hAnsi="仿宋" w:eastAsia="仿宋" w:cs="仿宋"/>
                <w:spacing w:val="-1"/>
                <w:sz w:val="24"/>
                <w:szCs w:val="24"/>
                <w:lang w:val="en-US" w:eastAsia="zh-CN"/>
              </w:rPr>
              <w:t>02</w:t>
            </w:r>
            <w:r>
              <w:rPr>
                <w:rFonts w:ascii="仿宋" w:hAnsi="仿宋" w:eastAsia="仿宋" w:cs="仿宋"/>
                <w:spacing w:val="-1"/>
                <w:sz w:val="24"/>
                <w:szCs w:val="24"/>
              </w:rPr>
              <w:t>月</w:t>
            </w:r>
            <w:r>
              <w:rPr>
                <w:rFonts w:hint="eastAsia" w:ascii="仿宋" w:hAnsi="仿宋" w:eastAsia="仿宋" w:cs="仿宋"/>
                <w:spacing w:val="-1"/>
                <w:sz w:val="24"/>
                <w:szCs w:val="24"/>
                <w:lang w:val="en-US" w:eastAsia="zh-CN"/>
              </w:rPr>
              <w:t>10</w:t>
            </w:r>
            <w:r>
              <w:rPr>
                <w:rFonts w:ascii="仿宋" w:hAnsi="仿宋" w:eastAsia="仿宋" w:cs="仿宋"/>
                <w:spacing w:val="-1"/>
                <w:sz w:val="24"/>
                <w:szCs w:val="24"/>
              </w:rPr>
              <w:t>日1</w:t>
            </w:r>
            <w:r>
              <w:rPr>
                <w:rFonts w:hint="eastAsia" w:ascii="仿宋" w:hAnsi="仿宋" w:eastAsia="仿宋" w:cs="仿宋"/>
                <w:spacing w:val="-1"/>
                <w:sz w:val="24"/>
                <w:szCs w:val="24"/>
                <w:lang w:val="en-US" w:eastAsia="zh-CN"/>
              </w:rPr>
              <w:t>1</w:t>
            </w:r>
            <w:r>
              <w:rPr>
                <w:rFonts w:ascii="仿宋" w:hAnsi="仿宋" w:eastAsia="仿宋" w:cs="仿宋"/>
                <w:spacing w:val="-1"/>
                <w:sz w:val="24"/>
                <w:szCs w:val="24"/>
              </w:rPr>
              <w:t>:00（</w:t>
            </w:r>
            <w:r>
              <w:rPr>
                <w:rFonts w:ascii="仿宋" w:hAnsi="仿宋" w:eastAsia="仿宋" w:cs="仿宋"/>
                <w:spacing w:val="-2"/>
                <w:sz w:val="24"/>
                <w:szCs w:val="24"/>
              </w:rPr>
              <w:t>北京时间）前递交投</w:t>
            </w:r>
            <w:r>
              <w:rPr>
                <w:rFonts w:ascii="仿宋" w:hAnsi="仿宋" w:eastAsia="仿宋" w:cs="仿宋"/>
                <w:spacing w:val="-5"/>
                <w:sz w:val="24"/>
                <w:szCs w:val="24"/>
              </w:rPr>
              <w:t>标文件。</w:t>
            </w:r>
          </w:p>
        </w:tc>
      </w:tr>
    </w:tbl>
    <w:p w14:paraId="01838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仿宋" w:hAnsi="仿宋" w:eastAsia="仿宋" w:cs="仿宋"/>
          <w:sz w:val="24"/>
          <w:szCs w:val="24"/>
        </w:rPr>
      </w:pPr>
      <w:bookmarkStart w:id="4" w:name="bookmark3"/>
      <w:bookmarkEnd w:id="4"/>
      <w:bookmarkStart w:id="5" w:name="_Toc17963"/>
      <w:r>
        <w:rPr>
          <w:rFonts w:ascii="仿宋" w:hAnsi="仿宋" w:eastAsia="仿宋" w:cs="仿宋"/>
          <w:b/>
          <w:bCs/>
          <w:spacing w:val="-8"/>
          <w:sz w:val="24"/>
          <w:szCs w:val="24"/>
        </w:rPr>
        <w:t>一、项目基本情况</w:t>
      </w:r>
      <w:bookmarkEnd w:id="5"/>
    </w:p>
    <w:p w14:paraId="7B8E60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2"/>
        <w:rPr>
          <w:rFonts w:hint="eastAsia" w:ascii="仿宋" w:hAnsi="仿宋" w:eastAsia="仿宋" w:cs="仿宋"/>
          <w:sz w:val="24"/>
          <w:szCs w:val="24"/>
          <w:lang w:eastAsia="zh-CN"/>
        </w:rPr>
      </w:pPr>
      <w:bookmarkStart w:id="6" w:name="_Toc180"/>
      <w:r>
        <w:rPr>
          <w:rFonts w:ascii="仿宋" w:hAnsi="仿宋" w:eastAsia="仿宋" w:cs="仿宋"/>
          <w:spacing w:val="-3"/>
          <w:sz w:val="24"/>
          <w:szCs w:val="24"/>
        </w:rPr>
        <w:t>项目编号：</w:t>
      </w:r>
      <w:bookmarkEnd w:id="6"/>
      <w:r>
        <w:rPr>
          <w:rFonts w:hint="eastAsia" w:ascii="仿宋" w:hAnsi="仿宋" w:eastAsia="仿宋" w:cs="仿宋"/>
          <w:spacing w:val="-3"/>
          <w:sz w:val="24"/>
          <w:szCs w:val="24"/>
          <w:lang w:eastAsia="zh-CN"/>
        </w:rPr>
        <w:t>XJZH-ZB-2024013-02</w:t>
      </w:r>
    </w:p>
    <w:p w14:paraId="53BDE8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lang w:eastAsia="zh-CN"/>
        </w:rPr>
      </w:pPr>
      <w:r>
        <w:rPr>
          <w:rFonts w:ascii="仿宋" w:hAnsi="仿宋" w:eastAsia="仿宋" w:cs="仿宋"/>
          <w:spacing w:val="-2"/>
          <w:sz w:val="24"/>
          <w:szCs w:val="24"/>
        </w:rPr>
        <w:t>项目名称：</w:t>
      </w:r>
      <w:r>
        <w:rPr>
          <w:rFonts w:hint="eastAsia" w:ascii="仿宋" w:hAnsi="仿宋" w:eastAsia="仿宋" w:cs="仿宋"/>
          <w:spacing w:val="-2"/>
          <w:sz w:val="24"/>
          <w:szCs w:val="24"/>
          <w:lang w:eastAsia="zh-CN"/>
        </w:rPr>
        <w:t>和布克赛尔蒙古自治县1-8号历史遗留采坑恢复治理项目-三次</w:t>
      </w:r>
    </w:p>
    <w:p w14:paraId="1DDDE2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采购方式：公开招标</w:t>
      </w:r>
    </w:p>
    <w:p w14:paraId="460B22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仿宋" w:hAnsi="仿宋" w:eastAsia="仿宋" w:cs="仿宋"/>
          <w:spacing w:val="-3"/>
          <w:sz w:val="24"/>
          <w:szCs w:val="24"/>
          <w:highlight w:val="none"/>
        </w:rPr>
      </w:pPr>
      <w:r>
        <w:rPr>
          <w:rFonts w:ascii="仿宋" w:hAnsi="仿宋" w:eastAsia="仿宋" w:cs="仿宋"/>
          <w:spacing w:val="-3"/>
          <w:sz w:val="24"/>
          <w:szCs w:val="24"/>
        </w:rPr>
        <w:t>预算金额（人民币元）：</w:t>
      </w:r>
      <w:r>
        <w:rPr>
          <w:rFonts w:hint="eastAsia" w:ascii="仿宋" w:hAnsi="仿宋" w:eastAsia="仿宋" w:cs="仿宋"/>
          <w:spacing w:val="-3"/>
          <w:sz w:val="24"/>
          <w:szCs w:val="24"/>
        </w:rPr>
        <w:t>663.3</w:t>
      </w:r>
      <w:r>
        <w:rPr>
          <w:rFonts w:hint="eastAsia" w:ascii="仿宋" w:hAnsi="仿宋" w:eastAsia="仿宋" w:cs="仿宋"/>
          <w:spacing w:val="-3"/>
          <w:sz w:val="24"/>
          <w:szCs w:val="24"/>
          <w:highlight w:val="none"/>
        </w:rPr>
        <w:t>6万元（其中包含方案编制费40万元）</w:t>
      </w:r>
      <w:r>
        <w:rPr>
          <w:rFonts w:ascii="仿宋" w:hAnsi="仿宋" w:eastAsia="仿宋" w:cs="仿宋"/>
          <w:spacing w:val="-3"/>
          <w:sz w:val="24"/>
          <w:szCs w:val="24"/>
          <w:highlight w:val="none"/>
        </w:rPr>
        <w:t xml:space="preserve"> </w:t>
      </w:r>
    </w:p>
    <w:p w14:paraId="5A1735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pacing w:val="-3"/>
          <w:sz w:val="24"/>
          <w:szCs w:val="24"/>
          <w:highlight w:val="none"/>
        </w:rPr>
      </w:pPr>
      <w:r>
        <w:rPr>
          <w:rFonts w:ascii="仿宋" w:hAnsi="仿宋" w:eastAsia="仿宋" w:cs="仿宋"/>
          <w:spacing w:val="-3"/>
          <w:sz w:val="24"/>
          <w:szCs w:val="24"/>
          <w:highlight w:val="none"/>
        </w:rPr>
        <w:t>最高限价（元）：</w:t>
      </w:r>
      <w:r>
        <w:rPr>
          <w:rFonts w:hint="eastAsia" w:ascii="仿宋" w:hAnsi="仿宋" w:eastAsia="仿宋" w:cs="仿宋"/>
          <w:spacing w:val="-3"/>
          <w:sz w:val="24"/>
          <w:szCs w:val="24"/>
          <w:highlight w:val="none"/>
        </w:rPr>
        <w:t>6</w:t>
      </w:r>
      <w:r>
        <w:rPr>
          <w:rFonts w:hint="eastAsia" w:ascii="仿宋" w:hAnsi="仿宋" w:eastAsia="仿宋" w:cs="仿宋"/>
          <w:spacing w:val="-3"/>
          <w:sz w:val="24"/>
          <w:szCs w:val="24"/>
          <w:highlight w:val="none"/>
          <w:lang w:val="en-US" w:eastAsia="zh-CN"/>
        </w:rPr>
        <w:t>2</w:t>
      </w:r>
      <w:r>
        <w:rPr>
          <w:rFonts w:hint="eastAsia" w:ascii="仿宋" w:hAnsi="仿宋" w:eastAsia="仿宋" w:cs="仿宋"/>
          <w:spacing w:val="-3"/>
          <w:sz w:val="24"/>
          <w:szCs w:val="24"/>
          <w:highlight w:val="none"/>
        </w:rPr>
        <w:t>3.36万元</w:t>
      </w:r>
    </w:p>
    <w:p w14:paraId="637F96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仿宋" w:hAnsi="仿宋" w:eastAsia="仿宋" w:cs="仿宋"/>
          <w:spacing w:val="-3"/>
          <w:sz w:val="24"/>
          <w:szCs w:val="24"/>
        </w:rPr>
      </w:pPr>
      <w:r>
        <w:rPr>
          <w:rFonts w:ascii="仿宋" w:hAnsi="仿宋" w:eastAsia="仿宋" w:cs="仿宋"/>
          <w:spacing w:val="-3"/>
          <w:sz w:val="24"/>
          <w:szCs w:val="24"/>
        </w:rPr>
        <w:t>采购需求：</w:t>
      </w:r>
    </w:p>
    <w:p w14:paraId="194F2F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仿宋" w:hAnsi="仿宋" w:eastAsia="仿宋" w:cs="仿宋"/>
          <w:spacing w:val="-4"/>
          <w:sz w:val="24"/>
          <w:szCs w:val="24"/>
        </w:rPr>
      </w:pPr>
      <w:r>
        <w:rPr>
          <w:rFonts w:hint="eastAsia" w:ascii="仿宋" w:hAnsi="仿宋" w:eastAsia="仿宋" w:cs="仿宋"/>
          <w:spacing w:val="-4"/>
          <w:sz w:val="24"/>
          <w:szCs w:val="24"/>
        </w:rPr>
        <w:t>完成1-6号采坑恢复治理工作及7-8号采坑修复工作</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lang w:val="en-US" w:eastAsia="zh-CN"/>
        </w:rPr>
        <w:t>详见招标文件及附件</w:t>
      </w:r>
      <w:r>
        <w:rPr>
          <w:rFonts w:hint="eastAsia" w:ascii="仿宋" w:hAnsi="仿宋" w:eastAsia="仿宋" w:cs="仿宋"/>
          <w:spacing w:val="-4"/>
          <w:sz w:val="24"/>
          <w:szCs w:val="24"/>
          <w:highlight w:val="none"/>
        </w:rPr>
        <w:t>）</w:t>
      </w:r>
    </w:p>
    <w:p w14:paraId="1E7FE3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pacing w:val="-4"/>
          <w:sz w:val="24"/>
          <w:szCs w:val="24"/>
          <w:lang w:val="en-US" w:eastAsia="zh-CN"/>
        </w:rPr>
      </w:pPr>
      <w:r>
        <w:rPr>
          <w:rFonts w:ascii="仿宋" w:hAnsi="仿宋" w:eastAsia="仿宋" w:cs="仿宋"/>
          <w:spacing w:val="-4"/>
          <w:sz w:val="24"/>
          <w:szCs w:val="24"/>
        </w:rPr>
        <w:t>合同履行期限：</w:t>
      </w:r>
      <w:r>
        <w:rPr>
          <w:rFonts w:hint="eastAsia" w:ascii="仿宋" w:hAnsi="仿宋" w:eastAsia="仿宋" w:cs="仿宋"/>
          <w:spacing w:val="-4"/>
          <w:sz w:val="24"/>
          <w:szCs w:val="24"/>
          <w:lang w:val="en-US" w:eastAsia="zh-CN"/>
        </w:rPr>
        <w:t>详见招标文件</w:t>
      </w:r>
    </w:p>
    <w:p w14:paraId="133297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仿宋" w:hAnsi="仿宋" w:eastAsia="仿宋" w:cs="仿宋"/>
          <w:sz w:val="24"/>
          <w:szCs w:val="24"/>
        </w:rPr>
      </w:pPr>
      <w:bookmarkStart w:id="7" w:name="bookmark5"/>
      <w:bookmarkEnd w:id="7"/>
      <w:bookmarkStart w:id="8" w:name="_Toc10743"/>
      <w:r>
        <w:rPr>
          <w:rFonts w:ascii="仿宋" w:hAnsi="仿宋" w:eastAsia="仿宋" w:cs="仿宋"/>
          <w:b/>
          <w:bCs/>
          <w:spacing w:val="-7"/>
          <w:sz w:val="24"/>
          <w:szCs w:val="24"/>
        </w:rPr>
        <w:t>二、申请人的资格要求：</w:t>
      </w:r>
      <w:bookmarkEnd w:id="8"/>
    </w:p>
    <w:p w14:paraId="6A68BE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1．具有独立承担民事责任的能力;</w:t>
      </w:r>
    </w:p>
    <w:p w14:paraId="4DB046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2．具有良好的商业信誉和健全的财务会计制度;</w:t>
      </w:r>
    </w:p>
    <w:p w14:paraId="113EFE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3．具有履行合同所必须的设备和专业技术能力;</w:t>
      </w:r>
    </w:p>
    <w:p w14:paraId="3046B5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4．具有依法缴纳税收和社会保障资金的良好</w:t>
      </w:r>
      <w:r>
        <w:rPr>
          <w:rFonts w:ascii="仿宋" w:hAnsi="仿宋" w:eastAsia="仿宋" w:cs="仿宋"/>
          <w:spacing w:val="-4"/>
          <w:sz w:val="24"/>
          <w:szCs w:val="24"/>
        </w:rPr>
        <w:t>记录;</w:t>
      </w:r>
    </w:p>
    <w:p w14:paraId="3292FD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5．参加本次政府采购活动前三年内，在经营活动中没</w:t>
      </w:r>
      <w:r>
        <w:rPr>
          <w:rFonts w:ascii="仿宋" w:hAnsi="仿宋" w:eastAsia="仿宋" w:cs="仿宋"/>
          <w:spacing w:val="-4"/>
          <w:sz w:val="24"/>
          <w:szCs w:val="24"/>
        </w:rPr>
        <w:t>有重大违法记录;</w:t>
      </w:r>
    </w:p>
    <w:p w14:paraId="24A6FB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6．法律、行政法规规定的其他条件;</w:t>
      </w:r>
    </w:p>
    <w:p w14:paraId="0472CE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jc w:val="both"/>
        <w:textAlignment w:val="baseline"/>
        <w:rPr>
          <w:rFonts w:ascii="仿宋" w:hAnsi="仿宋" w:eastAsia="仿宋" w:cs="仿宋"/>
          <w:spacing w:val="-2"/>
          <w:sz w:val="24"/>
          <w:szCs w:val="24"/>
        </w:rPr>
      </w:pPr>
      <w:r>
        <w:rPr>
          <w:rFonts w:hint="eastAsia" w:ascii="仿宋" w:hAnsi="仿宋" w:eastAsia="仿宋" w:cs="仿宋"/>
          <w:spacing w:val="-2"/>
          <w:sz w:val="24"/>
          <w:szCs w:val="24"/>
          <w:lang w:val="en-US" w:eastAsia="zh-CN"/>
        </w:rPr>
        <w:t>7</w:t>
      </w:r>
      <w:r>
        <w:rPr>
          <w:rFonts w:ascii="仿宋" w:hAnsi="仿宋" w:eastAsia="仿宋" w:cs="仿宋"/>
          <w:spacing w:val="-2"/>
          <w:sz w:val="24"/>
          <w:szCs w:val="24"/>
        </w:rPr>
        <w:t>．根据采购项目提出的特殊要求:专门面向中小企业。</w:t>
      </w:r>
    </w:p>
    <w:p w14:paraId="7412A3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jc w:val="both"/>
        <w:textAlignment w:val="baseline"/>
        <w:rPr>
          <w:rFonts w:hint="eastAsia" w:ascii="仿宋" w:hAnsi="仿宋" w:eastAsia="仿宋" w:cs="仿宋"/>
          <w:spacing w:val="-2"/>
          <w:sz w:val="24"/>
          <w:szCs w:val="24"/>
          <w:lang w:eastAsia="zh-CN"/>
        </w:rPr>
      </w:pPr>
      <w:r>
        <w:rPr>
          <w:rFonts w:hint="eastAsia" w:ascii="仿宋" w:hAnsi="仿宋" w:eastAsia="仿宋" w:cs="仿宋"/>
          <w:spacing w:val="-2"/>
          <w:sz w:val="24"/>
          <w:szCs w:val="24"/>
          <w:lang w:val="en-US" w:eastAsia="zh-CN"/>
        </w:rPr>
        <w:t>8</w:t>
      </w:r>
      <w:r>
        <w:rPr>
          <w:rFonts w:ascii="仿宋" w:hAnsi="仿宋" w:eastAsia="仿宋" w:cs="仿宋"/>
          <w:spacing w:val="-2"/>
          <w:sz w:val="24"/>
          <w:szCs w:val="24"/>
        </w:rPr>
        <w:t>．本项目的特定资格要求：供应商提供</w:t>
      </w:r>
      <w:r>
        <w:rPr>
          <w:rFonts w:hint="eastAsia" w:ascii="仿宋" w:hAnsi="仿宋" w:eastAsia="仿宋" w:cs="仿宋"/>
          <w:spacing w:val="-2"/>
          <w:sz w:val="24"/>
          <w:szCs w:val="24"/>
          <w:lang w:val="en-US" w:eastAsia="zh-CN"/>
        </w:rPr>
        <w:t>地质灾害治理工程设计和</w:t>
      </w:r>
      <w:r>
        <w:rPr>
          <w:rFonts w:ascii="仿宋" w:hAnsi="仿宋" w:eastAsia="仿宋" w:cs="仿宋"/>
          <w:spacing w:val="-2"/>
          <w:sz w:val="24"/>
          <w:szCs w:val="24"/>
        </w:rPr>
        <w:t>地质灾害治理工程施工</w:t>
      </w:r>
      <w:r>
        <w:rPr>
          <w:rFonts w:hint="eastAsia" w:ascii="仿宋" w:hAnsi="仿宋" w:eastAsia="仿宋" w:cs="仿宋"/>
          <w:spacing w:val="-2"/>
          <w:sz w:val="24"/>
          <w:szCs w:val="24"/>
          <w:lang w:val="en-US" w:eastAsia="zh-CN"/>
        </w:rPr>
        <w:t>甲</w:t>
      </w:r>
      <w:r>
        <w:rPr>
          <w:rFonts w:ascii="仿宋" w:hAnsi="仿宋" w:eastAsia="仿宋" w:cs="仿宋"/>
          <w:spacing w:val="-2"/>
          <w:sz w:val="24"/>
          <w:szCs w:val="24"/>
        </w:rPr>
        <w:t>级（含</w:t>
      </w:r>
      <w:r>
        <w:rPr>
          <w:rFonts w:hint="eastAsia" w:ascii="仿宋" w:hAnsi="仿宋" w:eastAsia="仿宋" w:cs="仿宋"/>
          <w:spacing w:val="-2"/>
          <w:sz w:val="24"/>
          <w:szCs w:val="24"/>
          <w:lang w:val="en-US" w:eastAsia="zh-CN"/>
        </w:rPr>
        <w:t>甲</w:t>
      </w:r>
      <w:r>
        <w:rPr>
          <w:rFonts w:ascii="仿宋" w:hAnsi="仿宋" w:eastAsia="仿宋" w:cs="仿宋"/>
          <w:spacing w:val="-2"/>
          <w:sz w:val="24"/>
          <w:szCs w:val="24"/>
        </w:rPr>
        <w:t>级）以上资质；</w:t>
      </w:r>
      <w:r>
        <w:rPr>
          <w:rFonts w:hint="eastAsia" w:ascii="仿宋" w:hAnsi="仿宋" w:eastAsia="仿宋" w:cs="仿宋"/>
          <w:spacing w:val="-2"/>
          <w:sz w:val="24"/>
          <w:szCs w:val="24"/>
        </w:rPr>
        <w:t>拟派项目负责人须具有水工环地质(或水文地质或工程与环境地质或地质工程)高级工程师职称</w:t>
      </w:r>
      <w:r>
        <w:rPr>
          <w:rFonts w:hint="eastAsia" w:ascii="仿宋" w:hAnsi="仿宋" w:eastAsia="仿宋" w:cs="仿宋"/>
          <w:spacing w:val="-2"/>
          <w:sz w:val="24"/>
          <w:szCs w:val="24"/>
          <w:lang w:eastAsia="zh-CN"/>
        </w:rPr>
        <w:t>。</w:t>
      </w:r>
    </w:p>
    <w:p w14:paraId="2589F0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仿宋" w:hAnsi="仿宋" w:eastAsia="仿宋" w:cs="仿宋"/>
          <w:sz w:val="24"/>
          <w:szCs w:val="24"/>
          <w:highlight w:val="none"/>
        </w:rPr>
      </w:pPr>
      <w:r>
        <w:rPr>
          <w:rFonts w:hint="eastAsia" w:ascii="仿宋" w:hAnsi="仿宋" w:eastAsia="仿宋" w:cs="仿宋"/>
          <w:spacing w:val="-3"/>
          <w:sz w:val="24"/>
          <w:szCs w:val="24"/>
          <w:lang w:val="en-US" w:eastAsia="zh-CN"/>
        </w:rPr>
        <w:t>9</w:t>
      </w:r>
      <w:r>
        <w:rPr>
          <w:rFonts w:ascii="仿宋" w:hAnsi="仿宋" w:eastAsia="仿宋" w:cs="仿宋"/>
          <w:spacing w:val="-3"/>
          <w:sz w:val="24"/>
          <w:szCs w:val="24"/>
        </w:rPr>
        <w:t>.</w:t>
      </w:r>
      <w:r>
        <w:rPr>
          <w:rFonts w:ascii="仿宋" w:hAnsi="仿宋" w:eastAsia="仿宋" w:cs="仿宋"/>
          <w:spacing w:val="-4"/>
          <w:sz w:val="24"/>
          <w:szCs w:val="24"/>
          <w:highlight w:val="none"/>
        </w:rPr>
        <w:t>本项目（否）接受联合体投标</w:t>
      </w:r>
    </w:p>
    <w:p w14:paraId="46BE2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仿宋" w:hAnsi="仿宋" w:eastAsia="仿宋" w:cs="仿宋"/>
          <w:sz w:val="24"/>
          <w:szCs w:val="24"/>
        </w:rPr>
      </w:pPr>
      <w:bookmarkStart w:id="9" w:name="bookmark7"/>
      <w:bookmarkEnd w:id="9"/>
      <w:bookmarkStart w:id="10" w:name="_Toc13065"/>
      <w:r>
        <w:rPr>
          <w:rFonts w:ascii="仿宋" w:hAnsi="仿宋" w:eastAsia="仿宋" w:cs="仿宋"/>
          <w:b/>
          <w:bCs/>
          <w:spacing w:val="-8"/>
          <w:sz w:val="24"/>
          <w:szCs w:val="24"/>
        </w:rPr>
        <w:t>三、获取采购文件</w:t>
      </w:r>
      <w:bookmarkEnd w:id="10"/>
    </w:p>
    <w:p w14:paraId="363D30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textAlignment w:val="baseline"/>
        <w:rPr>
          <w:rFonts w:ascii="仿宋" w:hAnsi="仿宋" w:eastAsia="仿宋" w:cs="仿宋"/>
          <w:sz w:val="24"/>
          <w:szCs w:val="24"/>
        </w:rPr>
      </w:pPr>
      <w:r>
        <w:rPr>
          <w:rFonts w:ascii="仿宋" w:hAnsi="仿宋" w:eastAsia="仿宋" w:cs="仿宋"/>
          <w:spacing w:val="-10"/>
          <w:sz w:val="24"/>
          <w:szCs w:val="24"/>
        </w:rPr>
        <w:t>时间：202</w:t>
      </w:r>
      <w:r>
        <w:rPr>
          <w:rFonts w:hint="eastAsia" w:ascii="仿宋" w:hAnsi="仿宋" w:eastAsia="仿宋" w:cs="仿宋"/>
          <w:spacing w:val="-10"/>
          <w:sz w:val="24"/>
          <w:szCs w:val="24"/>
          <w:lang w:val="en-US" w:eastAsia="zh-CN"/>
        </w:rPr>
        <w:t>5</w:t>
      </w:r>
      <w:r>
        <w:rPr>
          <w:rFonts w:ascii="仿宋" w:hAnsi="仿宋" w:eastAsia="仿宋" w:cs="仿宋"/>
          <w:spacing w:val="-10"/>
          <w:sz w:val="24"/>
          <w:szCs w:val="24"/>
        </w:rPr>
        <w:t>年</w:t>
      </w:r>
      <w:r>
        <w:rPr>
          <w:rFonts w:hint="eastAsia" w:ascii="仿宋" w:hAnsi="仿宋" w:eastAsia="仿宋" w:cs="仿宋"/>
          <w:spacing w:val="-10"/>
          <w:sz w:val="24"/>
          <w:szCs w:val="24"/>
          <w:lang w:val="en-US" w:eastAsia="zh-CN"/>
        </w:rPr>
        <w:t>01</w:t>
      </w:r>
      <w:r>
        <w:rPr>
          <w:rFonts w:ascii="仿宋" w:hAnsi="仿宋" w:eastAsia="仿宋" w:cs="仿宋"/>
          <w:spacing w:val="-10"/>
          <w:sz w:val="24"/>
          <w:szCs w:val="24"/>
        </w:rPr>
        <w:t>月</w:t>
      </w:r>
      <w:r>
        <w:rPr>
          <w:rFonts w:hint="eastAsia" w:ascii="仿宋" w:hAnsi="仿宋" w:eastAsia="仿宋" w:cs="仿宋"/>
          <w:spacing w:val="-10"/>
          <w:sz w:val="24"/>
          <w:szCs w:val="24"/>
          <w:lang w:val="en-US" w:eastAsia="zh-CN"/>
        </w:rPr>
        <w:t>15</w:t>
      </w:r>
      <w:r>
        <w:rPr>
          <w:rFonts w:ascii="仿宋" w:hAnsi="仿宋" w:eastAsia="仿宋" w:cs="仿宋"/>
          <w:spacing w:val="-10"/>
          <w:sz w:val="24"/>
          <w:szCs w:val="24"/>
        </w:rPr>
        <w:t>日至202</w:t>
      </w:r>
      <w:r>
        <w:rPr>
          <w:rFonts w:hint="eastAsia" w:ascii="仿宋" w:hAnsi="仿宋" w:eastAsia="仿宋" w:cs="仿宋"/>
          <w:spacing w:val="-10"/>
          <w:sz w:val="24"/>
          <w:szCs w:val="24"/>
          <w:lang w:val="en-US" w:eastAsia="zh-CN"/>
        </w:rPr>
        <w:t>5</w:t>
      </w:r>
      <w:r>
        <w:rPr>
          <w:rFonts w:ascii="仿宋" w:hAnsi="仿宋" w:eastAsia="仿宋" w:cs="仿宋"/>
          <w:spacing w:val="-10"/>
          <w:sz w:val="24"/>
          <w:szCs w:val="24"/>
        </w:rPr>
        <w:t>年</w:t>
      </w:r>
      <w:r>
        <w:rPr>
          <w:rFonts w:hint="eastAsia" w:ascii="仿宋" w:hAnsi="仿宋" w:eastAsia="仿宋" w:cs="仿宋"/>
          <w:spacing w:val="-10"/>
          <w:sz w:val="24"/>
          <w:szCs w:val="24"/>
          <w:lang w:val="en-US" w:eastAsia="zh-CN"/>
        </w:rPr>
        <w:t>01</w:t>
      </w:r>
      <w:r>
        <w:rPr>
          <w:rFonts w:ascii="仿宋" w:hAnsi="仿宋" w:eastAsia="仿宋" w:cs="仿宋"/>
          <w:spacing w:val="-10"/>
          <w:sz w:val="24"/>
          <w:szCs w:val="24"/>
        </w:rPr>
        <w:t>月</w:t>
      </w:r>
      <w:r>
        <w:rPr>
          <w:rFonts w:hint="eastAsia" w:ascii="仿宋" w:hAnsi="仿宋" w:eastAsia="仿宋" w:cs="仿宋"/>
          <w:spacing w:val="-10"/>
          <w:sz w:val="24"/>
          <w:szCs w:val="24"/>
          <w:lang w:val="en-US" w:eastAsia="zh-CN"/>
        </w:rPr>
        <w:t>22</w:t>
      </w:r>
      <w:r>
        <w:rPr>
          <w:rFonts w:ascii="仿宋" w:hAnsi="仿宋" w:eastAsia="仿宋" w:cs="仿宋"/>
          <w:spacing w:val="-10"/>
          <w:sz w:val="24"/>
          <w:szCs w:val="24"/>
        </w:rPr>
        <w:t>日，每天上午10:00至13:30，下午15:30至</w:t>
      </w:r>
      <w:r>
        <w:rPr>
          <w:rFonts w:ascii="仿宋" w:hAnsi="仿宋" w:eastAsia="仿宋" w:cs="仿宋"/>
          <w:spacing w:val="14"/>
          <w:sz w:val="24"/>
          <w:szCs w:val="24"/>
        </w:rPr>
        <w:t xml:space="preserve"> </w:t>
      </w:r>
      <w:r>
        <w:rPr>
          <w:rFonts w:ascii="仿宋" w:hAnsi="仿宋" w:eastAsia="仿宋" w:cs="仿宋"/>
          <w:spacing w:val="-6"/>
          <w:sz w:val="24"/>
          <w:szCs w:val="24"/>
        </w:rPr>
        <w:t>19:</w:t>
      </w:r>
      <w:r>
        <w:rPr>
          <w:rFonts w:hint="eastAsia" w:ascii="仿宋" w:hAnsi="仿宋" w:eastAsia="仿宋" w:cs="仿宋"/>
          <w:spacing w:val="-6"/>
          <w:sz w:val="24"/>
          <w:szCs w:val="24"/>
          <w:lang w:val="en-US" w:eastAsia="zh-CN"/>
        </w:rPr>
        <w:t>0</w:t>
      </w:r>
      <w:r>
        <w:rPr>
          <w:rFonts w:ascii="仿宋" w:hAnsi="仿宋" w:eastAsia="仿宋" w:cs="仿宋"/>
          <w:spacing w:val="-6"/>
          <w:sz w:val="24"/>
          <w:szCs w:val="24"/>
        </w:rPr>
        <w:t>0（北京时间，法定节假日除外）。</w:t>
      </w:r>
    </w:p>
    <w:p w14:paraId="7C691C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jc w:val="both"/>
        <w:textAlignment w:val="baseline"/>
        <w:rPr>
          <w:rFonts w:ascii="仿宋" w:hAnsi="仿宋" w:eastAsia="仿宋" w:cs="仿宋"/>
          <w:sz w:val="24"/>
          <w:szCs w:val="24"/>
        </w:rPr>
      </w:pPr>
      <w:r>
        <w:rPr>
          <w:rFonts w:ascii="仿宋" w:hAnsi="仿宋" w:eastAsia="仿宋" w:cs="仿宋"/>
          <w:spacing w:val="-2"/>
          <w:sz w:val="24"/>
          <w:szCs w:val="24"/>
        </w:rPr>
        <w:t>地点：新疆政府采购网政采云平台（www.zc</w:t>
      </w:r>
      <w:r>
        <w:rPr>
          <w:rFonts w:ascii="仿宋" w:hAnsi="仿宋" w:eastAsia="仿宋" w:cs="仿宋"/>
          <w:spacing w:val="-3"/>
          <w:sz w:val="24"/>
          <w:szCs w:val="24"/>
        </w:rPr>
        <w:t>ygov.cn）。方式：供应商登录</w:t>
      </w:r>
      <w:r>
        <w:rPr>
          <w:rFonts w:ascii="仿宋" w:hAnsi="仿宋" w:eastAsia="仿宋" w:cs="仿宋"/>
          <w:sz w:val="24"/>
          <w:szCs w:val="24"/>
        </w:rPr>
        <w:t xml:space="preserve">   政采云平台</w:t>
      </w:r>
      <w:r>
        <w:fldChar w:fldCharType="begin"/>
      </w:r>
      <w:r>
        <w:instrText xml:space="preserve"> HYPERLINK "https://www.zcygov.cn/" </w:instrText>
      </w:r>
      <w:r>
        <w:fldChar w:fldCharType="separate"/>
      </w:r>
      <w:r>
        <w:rPr>
          <w:rFonts w:ascii="仿宋" w:hAnsi="仿宋" w:eastAsia="仿宋" w:cs="仿宋"/>
          <w:sz w:val="24"/>
          <w:szCs w:val="24"/>
        </w:rPr>
        <w:t>https://www.zcygov</w:t>
      </w:r>
      <w:r>
        <w:rPr>
          <w:rFonts w:ascii="仿宋" w:hAnsi="仿宋" w:eastAsia="仿宋" w:cs="仿宋"/>
          <w:spacing w:val="-1"/>
          <w:sz w:val="24"/>
          <w:szCs w:val="24"/>
        </w:rPr>
        <w:t>.cn/</w:t>
      </w:r>
      <w:r>
        <w:rPr>
          <w:rFonts w:ascii="仿宋" w:hAnsi="仿宋" w:eastAsia="仿宋" w:cs="仿宋"/>
          <w:spacing w:val="-1"/>
          <w:sz w:val="24"/>
          <w:szCs w:val="24"/>
        </w:rPr>
        <w:fldChar w:fldCharType="end"/>
      </w:r>
      <w:r>
        <w:rPr>
          <w:rFonts w:ascii="仿宋" w:hAnsi="仿宋" w:eastAsia="仿宋" w:cs="仿宋"/>
          <w:spacing w:val="-1"/>
          <w:sz w:val="24"/>
          <w:szCs w:val="24"/>
        </w:rPr>
        <w:t>在线申请获取采购文件（进入“项目采购</w:t>
      </w:r>
      <w:r>
        <w:rPr>
          <w:rFonts w:ascii="仿宋" w:hAnsi="仿宋" w:eastAsia="仿宋" w:cs="仿宋"/>
          <w:spacing w:val="-88"/>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3"/>
          <w:sz w:val="24"/>
          <w:szCs w:val="24"/>
        </w:rPr>
        <w:t>应用，在获取采购文件菜单中选择项目，申请获取采购文件）。</w:t>
      </w:r>
    </w:p>
    <w:p w14:paraId="52F574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sz w:val="24"/>
          <w:szCs w:val="24"/>
        </w:rPr>
      </w:pPr>
      <w:r>
        <w:rPr>
          <w:rFonts w:ascii="仿宋" w:hAnsi="仿宋" w:eastAsia="仿宋" w:cs="仿宋"/>
          <w:spacing w:val="-8"/>
          <w:sz w:val="24"/>
          <w:szCs w:val="24"/>
        </w:rPr>
        <w:t>售价（元</w:t>
      </w:r>
      <w:r>
        <w:rPr>
          <w:rFonts w:ascii="仿宋" w:hAnsi="仿宋" w:eastAsia="仿宋" w:cs="仿宋"/>
          <w:spacing w:val="4"/>
          <w:sz w:val="24"/>
          <w:szCs w:val="24"/>
        </w:rPr>
        <w:t>）：</w:t>
      </w:r>
      <w:r>
        <w:rPr>
          <w:rFonts w:ascii="仿宋" w:hAnsi="仿宋" w:eastAsia="仿宋" w:cs="仿宋"/>
          <w:spacing w:val="-8"/>
          <w:sz w:val="24"/>
          <w:szCs w:val="24"/>
        </w:rPr>
        <w:t>0</w:t>
      </w:r>
    </w:p>
    <w:p w14:paraId="46C959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仿宋" w:hAnsi="仿宋" w:eastAsia="仿宋" w:cs="仿宋"/>
          <w:b/>
          <w:bCs/>
          <w:spacing w:val="-7"/>
          <w:sz w:val="24"/>
          <w:szCs w:val="24"/>
        </w:rPr>
      </w:pPr>
      <w:bookmarkStart w:id="11" w:name="bookmark9"/>
      <w:bookmarkEnd w:id="11"/>
      <w:bookmarkStart w:id="12" w:name="_Toc6904"/>
      <w:r>
        <w:rPr>
          <w:rFonts w:ascii="仿宋" w:hAnsi="仿宋" w:eastAsia="仿宋" w:cs="仿宋"/>
          <w:b/>
          <w:bCs/>
          <w:spacing w:val="-7"/>
          <w:sz w:val="24"/>
          <w:szCs w:val="24"/>
        </w:rPr>
        <w:t>四、提交投标文件截止时间、开标时间和地点</w:t>
      </w:r>
      <w:bookmarkEnd w:id="12"/>
    </w:p>
    <w:p w14:paraId="5DC396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提交投标文件截止时间：202</w:t>
      </w:r>
      <w:r>
        <w:rPr>
          <w:rFonts w:hint="eastAsia" w:ascii="仿宋" w:hAnsi="仿宋" w:eastAsia="仿宋" w:cs="仿宋"/>
          <w:spacing w:val="-5"/>
          <w:sz w:val="24"/>
          <w:szCs w:val="24"/>
          <w:lang w:val="en-US" w:eastAsia="zh-CN"/>
        </w:rPr>
        <w:t>5</w:t>
      </w:r>
      <w:r>
        <w:rPr>
          <w:rFonts w:ascii="仿宋" w:hAnsi="仿宋" w:eastAsia="仿宋" w:cs="仿宋"/>
          <w:spacing w:val="-5"/>
          <w:sz w:val="24"/>
          <w:szCs w:val="24"/>
        </w:rPr>
        <w:t>年</w:t>
      </w:r>
      <w:r>
        <w:rPr>
          <w:rFonts w:hint="eastAsia" w:ascii="仿宋" w:hAnsi="仿宋" w:eastAsia="仿宋" w:cs="仿宋"/>
          <w:spacing w:val="-5"/>
          <w:sz w:val="24"/>
          <w:szCs w:val="24"/>
          <w:lang w:val="en-US" w:eastAsia="zh-CN"/>
        </w:rPr>
        <w:t>02</w:t>
      </w:r>
      <w:r>
        <w:rPr>
          <w:rFonts w:ascii="仿宋" w:hAnsi="仿宋" w:eastAsia="仿宋" w:cs="仿宋"/>
          <w:spacing w:val="-5"/>
          <w:sz w:val="24"/>
          <w:szCs w:val="24"/>
        </w:rPr>
        <w:t>月</w:t>
      </w:r>
      <w:r>
        <w:rPr>
          <w:rFonts w:hint="eastAsia" w:ascii="仿宋" w:hAnsi="仿宋" w:eastAsia="仿宋" w:cs="仿宋"/>
          <w:spacing w:val="-5"/>
          <w:sz w:val="24"/>
          <w:szCs w:val="24"/>
          <w:lang w:val="en-US" w:eastAsia="zh-CN"/>
        </w:rPr>
        <w:t>10</w:t>
      </w:r>
      <w:r>
        <w:rPr>
          <w:rFonts w:ascii="仿宋" w:hAnsi="仿宋" w:eastAsia="仿宋" w:cs="仿宋"/>
          <w:spacing w:val="-5"/>
          <w:sz w:val="24"/>
          <w:szCs w:val="24"/>
        </w:rPr>
        <w:t>日1</w:t>
      </w:r>
      <w:r>
        <w:rPr>
          <w:rFonts w:hint="eastAsia" w:ascii="仿宋" w:hAnsi="仿宋" w:eastAsia="仿宋" w:cs="仿宋"/>
          <w:spacing w:val="-5"/>
          <w:sz w:val="24"/>
          <w:szCs w:val="24"/>
          <w:lang w:val="en-US" w:eastAsia="zh-CN"/>
        </w:rPr>
        <w:t>1</w:t>
      </w:r>
      <w:r>
        <w:rPr>
          <w:rFonts w:ascii="仿宋" w:hAnsi="仿宋" w:eastAsia="仿宋" w:cs="仿宋"/>
          <w:spacing w:val="-5"/>
          <w:sz w:val="24"/>
          <w:szCs w:val="24"/>
        </w:rPr>
        <w:t>:00（北京时间）</w:t>
      </w:r>
    </w:p>
    <w:p w14:paraId="0997AF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投标地点：新疆政府采购网政采云客户端</w:t>
      </w:r>
    </w:p>
    <w:p w14:paraId="3CD438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开标时间：202</w:t>
      </w:r>
      <w:r>
        <w:rPr>
          <w:rFonts w:hint="eastAsia" w:ascii="仿宋" w:hAnsi="仿宋" w:eastAsia="仿宋" w:cs="仿宋"/>
          <w:spacing w:val="-5"/>
          <w:sz w:val="24"/>
          <w:szCs w:val="24"/>
          <w:lang w:val="en-US" w:eastAsia="zh-CN"/>
        </w:rPr>
        <w:t>5</w:t>
      </w:r>
      <w:r>
        <w:rPr>
          <w:rFonts w:ascii="仿宋" w:hAnsi="仿宋" w:eastAsia="仿宋" w:cs="仿宋"/>
          <w:spacing w:val="-5"/>
          <w:sz w:val="24"/>
          <w:szCs w:val="24"/>
        </w:rPr>
        <w:t>年</w:t>
      </w:r>
      <w:r>
        <w:rPr>
          <w:rFonts w:hint="eastAsia" w:ascii="仿宋" w:hAnsi="仿宋" w:eastAsia="仿宋" w:cs="仿宋"/>
          <w:spacing w:val="-5"/>
          <w:sz w:val="24"/>
          <w:szCs w:val="24"/>
          <w:lang w:val="en-US" w:eastAsia="zh-CN"/>
        </w:rPr>
        <w:t>02</w:t>
      </w:r>
      <w:r>
        <w:rPr>
          <w:rFonts w:ascii="仿宋" w:hAnsi="仿宋" w:eastAsia="仿宋" w:cs="仿宋"/>
          <w:spacing w:val="-5"/>
          <w:sz w:val="24"/>
          <w:szCs w:val="24"/>
        </w:rPr>
        <w:t>月</w:t>
      </w:r>
      <w:r>
        <w:rPr>
          <w:rFonts w:hint="eastAsia" w:ascii="仿宋" w:hAnsi="仿宋" w:eastAsia="仿宋" w:cs="仿宋"/>
          <w:spacing w:val="-5"/>
          <w:sz w:val="24"/>
          <w:szCs w:val="24"/>
          <w:lang w:val="en-US" w:eastAsia="zh-CN"/>
        </w:rPr>
        <w:t>10</w:t>
      </w:r>
      <w:r>
        <w:rPr>
          <w:rFonts w:ascii="仿宋" w:hAnsi="仿宋" w:eastAsia="仿宋" w:cs="仿宋"/>
          <w:spacing w:val="-5"/>
          <w:sz w:val="24"/>
          <w:szCs w:val="24"/>
        </w:rPr>
        <w:t>日1</w:t>
      </w:r>
      <w:r>
        <w:rPr>
          <w:rFonts w:hint="eastAsia" w:ascii="仿宋" w:hAnsi="仿宋" w:eastAsia="仿宋" w:cs="仿宋"/>
          <w:spacing w:val="-5"/>
          <w:sz w:val="24"/>
          <w:szCs w:val="24"/>
          <w:lang w:val="en-US" w:eastAsia="zh-CN"/>
        </w:rPr>
        <w:t>1</w:t>
      </w:r>
      <w:r>
        <w:rPr>
          <w:rFonts w:ascii="仿宋" w:hAnsi="仿宋" w:eastAsia="仿宋" w:cs="仿宋"/>
          <w:spacing w:val="-5"/>
          <w:sz w:val="24"/>
          <w:szCs w:val="24"/>
        </w:rPr>
        <w:t>:00（北京时间）</w:t>
      </w:r>
    </w:p>
    <w:p w14:paraId="543606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开标地点：新疆政府采购网政采云客户端</w:t>
      </w:r>
    </w:p>
    <w:p w14:paraId="05BF7E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仿宋" w:hAnsi="仿宋" w:eastAsia="仿宋" w:cs="仿宋"/>
          <w:sz w:val="24"/>
          <w:szCs w:val="24"/>
        </w:rPr>
      </w:pPr>
      <w:bookmarkStart w:id="13" w:name="bookmark11"/>
      <w:bookmarkEnd w:id="13"/>
      <w:bookmarkStart w:id="14" w:name="_Toc25768"/>
      <w:r>
        <w:rPr>
          <w:rFonts w:ascii="仿宋" w:hAnsi="仿宋" w:eastAsia="仿宋" w:cs="仿宋"/>
          <w:b/>
          <w:bCs/>
          <w:spacing w:val="-9"/>
          <w:sz w:val="24"/>
          <w:szCs w:val="24"/>
        </w:rPr>
        <w:t>五、公告期限</w:t>
      </w:r>
      <w:bookmarkEnd w:id="14"/>
    </w:p>
    <w:p w14:paraId="7C5066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仿宋" w:hAnsi="仿宋" w:eastAsia="仿宋" w:cs="仿宋"/>
          <w:sz w:val="24"/>
          <w:szCs w:val="24"/>
        </w:rPr>
      </w:pPr>
      <w:r>
        <w:rPr>
          <w:rFonts w:ascii="仿宋" w:hAnsi="仿宋" w:eastAsia="仿宋" w:cs="仿宋"/>
          <w:spacing w:val="-11"/>
          <w:sz w:val="24"/>
          <w:szCs w:val="24"/>
        </w:rPr>
        <w:t>自本公告发布之日起5个工作日。</w:t>
      </w:r>
    </w:p>
    <w:p w14:paraId="4D62A2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仿宋" w:hAnsi="仿宋" w:eastAsia="仿宋" w:cs="仿宋"/>
          <w:sz w:val="24"/>
          <w:szCs w:val="24"/>
        </w:rPr>
      </w:pPr>
      <w:bookmarkStart w:id="15" w:name="bookmark13"/>
      <w:bookmarkEnd w:id="15"/>
      <w:bookmarkStart w:id="16" w:name="_Toc8782"/>
      <w:r>
        <w:rPr>
          <w:rFonts w:ascii="仿宋" w:hAnsi="仿宋" w:eastAsia="仿宋" w:cs="仿宋"/>
          <w:b/>
          <w:bCs/>
          <w:spacing w:val="-8"/>
          <w:sz w:val="24"/>
          <w:szCs w:val="24"/>
        </w:rPr>
        <w:t>六、其他补充事宜</w:t>
      </w:r>
      <w:bookmarkEnd w:id="16"/>
    </w:p>
    <w:p w14:paraId="5B85FC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仿宋" w:hAnsi="仿宋" w:eastAsia="仿宋" w:cs="仿宋"/>
          <w:sz w:val="24"/>
          <w:szCs w:val="24"/>
        </w:rPr>
      </w:pPr>
      <w:r>
        <w:rPr>
          <w:rFonts w:ascii="仿宋" w:hAnsi="仿宋" w:eastAsia="仿宋" w:cs="仿宋"/>
          <w:spacing w:val="-4"/>
          <w:sz w:val="24"/>
          <w:szCs w:val="24"/>
        </w:rPr>
        <w:t>1.依据《中小微企业划分标准》本项目所适用行业为：其他未列明行业。</w:t>
      </w:r>
    </w:p>
    <w:p w14:paraId="5F7D568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2.本项目实行网上投标，采用电子投标文件。若供应</w:t>
      </w:r>
      <w:r>
        <w:rPr>
          <w:rFonts w:ascii="仿宋" w:hAnsi="仿宋" w:eastAsia="仿宋" w:cs="仿宋"/>
          <w:spacing w:val="-5"/>
          <w:sz w:val="24"/>
          <w:szCs w:val="24"/>
        </w:rPr>
        <w:t>商参与投标，</w:t>
      </w:r>
      <w:r>
        <w:rPr>
          <w:rFonts w:ascii="仿宋" w:hAnsi="仿宋" w:eastAsia="仿宋" w:cs="仿宋"/>
          <w:spacing w:val="-59"/>
          <w:sz w:val="24"/>
          <w:szCs w:val="24"/>
        </w:rPr>
        <w:t xml:space="preserve"> </w:t>
      </w:r>
      <w:r>
        <w:rPr>
          <w:rFonts w:ascii="仿宋" w:hAnsi="仿宋" w:eastAsia="仿宋" w:cs="仿宋"/>
          <w:spacing w:val="-5"/>
          <w:sz w:val="24"/>
          <w:szCs w:val="24"/>
        </w:rPr>
        <w:t>自行</w:t>
      </w:r>
      <w:r>
        <w:rPr>
          <w:rFonts w:ascii="仿宋" w:hAnsi="仿宋" w:eastAsia="仿宋" w:cs="仿宋"/>
          <w:sz w:val="24"/>
          <w:szCs w:val="24"/>
        </w:rPr>
        <w:t xml:space="preserve"> </w:t>
      </w:r>
      <w:r>
        <w:rPr>
          <w:rFonts w:ascii="仿宋" w:hAnsi="仿宋" w:eastAsia="仿宋" w:cs="仿宋"/>
          <w:spacing w:val="-4"/>
          <w:sz w:val="24"/>
          <w:szCs w:val="24"/>
        </w:rPr>
        <w:t>承担投标一切费用。</w:t>
      </w:r>
    </w:p>
    <w:p w14:paraId="3439214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both"/>
        <w:textAlignment w:val="baseline"/>
        <w:rPr>
          <w:rFonts w:ascii="仿宋" w:hAnsi="仿宋" w:eastAsia="仿宋" w:cs="仿宋"/>
          <w:sz w:val="24"/>
          <w:szCs w:val="24"/>
        </w:rPr>
      </w:pPr>
      <w:r>
        <w:rPr>
          <w:rFonts w:ascii="仿宋" w:hAnsi="仿宋" w:eastAsia="仿宋" w:cs="仿宋"/>
          <w:spacing w:val="-2"/>
          <w:sz w:val="24"/>
          <w:szCs w:val="24"/>
        </w:rPr>
        <w:t>3.各供应商应在开标前应确保成为新疆维</w:t>
      </w:r>
      <w:r>
        <w:rPr>
          <w:rFonts w:ascii="仿宋" w:hAnsi="仿宋" w:eastAsia="仿宋" w:cs="仿宋"/>
          <w:spacing w:val="-3"/>
          <w:sz w:val="24"/>
          <w:szCs w:val="24"/>
        </w:rPr>
        <w:t>吾尔自治区政府采购网正式注</w:t>
      </w:r>
      <w:r>
        <w:rPr>
          <w:rFonts w:ascii="仿宋" w:hAnsi="仿宋" w:eastAsia="仿宋" w:cs="仿宋"/>
          <w:sz w:val="24"/>
          <w:szCs w:val="24"/>
        </w:rPr>
        <w:t xml:space="preserve"> </w:t>
      </w:r>
      <w:r>
        <w:rPr>
          <w:rFonts w:ascii="仿宋" w:hAnsi="仿宋" w:eastAsia="仿宋" w:cs="仿宋"/>
          <w:spacing w:val="-2"/>
          <w:sz w:val="24"/>
          <w:szCs w:val="24"/>
        </w:rPr>
        <w:t>册入库供应商，并完成CA数字证书申领。因</w:t>
      </w:r>
      <w:r>
        <w:rPr>
          <w:rFonts w:ascii="仿宋" w:hAnsi="仿宋" w:eastAsia="仿宋" w:cs="仿宋"/>
          <w:spacing w:val="-3"/>
          <w:sz w:val="24"/>
          <w:szCs w:val="24"/>
        </w:rPr>
        <w:t>未注册入库、未办理CA数字证书</w:t>
      </w:r>
      <w:r>
        <w:rPr>
          <w:rFonts w:ascii="仿宋" w:hAnsi="仿宋" w:eastAsia="仿宋" w:cs="仿宋"/>
          <w:sz w:val="24"/>
          <w:szCs w:val="24"/>
        </w:rPr>
        <w:t xml:space="preserve"> </w:t>
      </w:r>
      <w:r>
        <w:rPr>
          <w:rFonts w:ascii="仿宋" w:hAnsi="仿宋" w:eastAsia="仿宋" w:cs="仿宋"/>
          <w:spacing w:val="-3"/>
          <w:sz w:val="24"/>
          <w:szCs w:val="24"/>
        </w:rPr>
        <w:t>等原因造成无法投标或投标失败等后果由供应商自行承担。</w:t>
      </w:r>
    </w:p>
    <w:p w14:paraId="005C655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4.本项目为电子招投标，供应商需要使用CA加密设备，有意</w:t>
      </w:r>
      <w:r>
        <w:rPr>
          <w:rFonts w:ascii="仿宋" w:hAnsi="仿宋" w:eastAsia="仿宋" w:cs="仿宋"/>
          <w:spacing w:val="-3"/>
          <w:sz w:val="24"/>
          <w:szCs w:val="24"/>
        </w:rPr>
        <w:t>向参与新疆</w:t>
      </w:r>
      <w:r>
        <w:rPr>
          <w:rFonts w:ascii="仿宋" w:hAnsi="仿宋" w:eastAsia="仿宋" w:cs="仿宋"/>
          <w:sz w:val="24"/>
          <w:szCs w:val="24"/>
        </w:rPr>
        <w:t xml:space="preserve"> </w:t>
      </w:r>
      <w:r>
        <w:rPr>
          <w:rFonts w:ascii="仿宋" w:hAnsi="仿宋" w:eastAsia="仿宋" w:cs="仿宋"/>
          <w:spacing w:val="-3"/>
          <w:sz w:val="24"/>
          <w:szCs w:val="24"/>
        </w:rPr>
        <w:t>区域电子开评标的供应商，请访问新疆数字证书认证</w:t>
      </w:r>
      <w:r>
        <w:rPr>
          <w:rFonts w:ascii="仿宋" w:hAnsi="仿宋" w:eastAsia="仿宋" w:cs="仿宋"/>
          <w:spacing w:val="-4"/>
          <w:sz w:val="24"/>
          <w:szCs w:val="24"/>
        </w:rPr>
        <w:t>中心官方网站</w:t>
      </w:r>
      <w:r>
        <w:rPr>
          <w:rFonts w:ascii="仿宋" w:hAnsi="仿宋" w:eastAsia="仿宋" w:cs="仿宋"/>
          <w:spacing w:val="-2"/>
          <w:sz w:val="24"/>
          <w:szCs w:val="24"/>
        </w:rPr>
        <w:t>（</w:t>
      </w:r>
      <w:r>
        <w:fldChar w:fldCharType="begin"/>
      </w:r>
      <w:r>
        <w:instrText xml:space="preserve"> HYPERLINK "https://www.xjca.com.cn/" </w:instrText>
      </w:r>
      <w:r>
        <w:fldChar w:fldCharType="separate"/>
      </w:r>
      <w:r>
        <w:rPr>
          <w:rFonts w:ascii="仿宋" w:hAnsi="仿宋" w:eastAsia="仿宋" w:cs="仿宋"/>
          <w:spacing w:val="-2"/>
          <w:sz w:val="24"/>
          <w:szCs w:val="24"/>
        </w:rPr>
        <w:t>https://www.xjca.com.cn/</w:t>
      </w:r>
      <w:r>
        <w:rPr>
          <w:rFonts w:ascii="仿宋" w:hAnsi="仿宋" w:eastAsia="仿宋" w:cs="仿宋"/>
          <w:spacing w:val="-2"/>
          <w:sz w:val="24"/>
          <w:szCs w:val="24"/>
        </w:rPr>
        <w:fldChar w:fldCharType="end"/>
      </w:r>
      <w:r>
        <w:rPr>
          <w:rFonts w:ascii="仿宋" w:hAnsi="仿宋" w:eastAsia="仿宋" w:cs="仿宋"/>
          <w:spacing w:val="-2"/>
          <w:sz w:val="24"/>
          <w:szCs w:val="24"/>
        </w:rPr>
        <w:t>）或下</w:t>
      </w:r>
      <w:r>
        <w:rPr>
          <w:rFonts w:ascii="仿宋" w:hAnsi="仿宋" w:eastAsia="仿宋" w:cs="仿宋"/>
          <w:spacing w:val="-3"/>
          <w:sz w:val="24"/>
          <w:szCs w:val="24"/>
        </w:rPr>
        <w:t>载新疆政务通APP自行进行申领。如需咨询</w:t>
      </w:r>
      <w:r>
        <w:rPr>
          <w:rFonts w:ascii="仿宋" w:hAnsi="仿宋" w:eastAsia="仿宋" w:cs="仿宋"/>
          <w:sz w:val="24"/>
          <w:szCs w:val="24"/>
        </w:rPr>
        <w:t xml:space="preserve"> </w:t>
      </w:r>
      <w:r>
        <w:rPr>
          <w:rFonts w:ascii="仿宋" w:hAnsi="仿宋" w:eastAsia="仿宋" w:cs="仿宋"/>
          <w:spacing w:val="-6"/>
          <w:sz w:val="24"/>
          <w:szCs w:val="24"/>
        </w:rPr>
        <w:t>,</w:t>
      </w:r>
      <w:r>
        <w:rPr>
          <w:rFonts w:ascii="仿宋" w:hAnsi="仿宋" w:eastAsia="仿宋" w:cs="仿宋"/>
          <w:spacing w:val="70"/>
          <w:sz w:val="24"/>
          <w:szCs w:val="24"/>
        </w:rPr>
        <w:t xml:space="preserve"> </w:t>
      </w:r>
      <w:r>
        <w:rPr>
          <w:rFonts w:ascii="仿宋" w:hAnsi="仿宋" w:eastAsia="仿宋" w:cs="仿宋"/>
          <w:spacing w:val="-6"/>
          <w:sz w:val="24"/>
          <w:szCs w:val="24"/>
        </w:rPr>
        <w:t>请联系新疆CA服务热线0991-2819290。</w:t>
      </w:r>
    </w:p>
    <w:p w14:paraId="3B5BA8B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0" w:firstLineChars="200"/>
        <w:jc w:val="both"/>
        <w:textAlignment w:val="baseline"/>
        <w:rPr>
          <w:rFonts w:ascii="仿宋" w:hAnsi="仿宋" w:eastAsia="仿宋" w:cs="仿宋"/>
          <w:sz w:val="24"/>
          <w:szCs w:val="24"/>
        </w:rPr>
      </w:pPr>
      <w:r>
        <w:rPr>
          <w:rFonts w:ascii="仿宋" w:hAnsi="仿宋" w:eastAsia="仿宋" w:cs="仿宋"/>
          <w:spacing w:val="5"/>
          <w:sz w:val="24"/>
          <w:szCs w:val="24"/>
        </w:rPr>
        <w:t>5.供应商将政采云电子交易客户端下载、安装完成后，可通过</w:t>
      </w:r>
      <w:r>
        <w:rPr>
          <w:rFonts w:ascii="仿宋" w:hAnsi="仿宋" w:eastAsia="仿宋" w:cs="仿宋"/>
          <w:spacing w:val="4"/>
          <w:sz w:val="24"/>
          <w:szCs w:val="24"/>
        </w:rPr>
        <w:t>账号密码</w:t>
      </w:r>
      <w:r>
        <w:rPr>
          <w:rFonts w:ascii="仿宋" w:hAnsi="仿宋" w:eastAsia="仿宋" w:cs="仿宋"/>
          <w:sz w:val="24"/>
          <w:szCs w:val="24"/>
        </w:rPr>
        <w:t xml:space="preserve"> </w:t>
      </w:r>
      <w:r>
        <w:rPr>
          <w:rFonts w:ascii="仿宋" w:hAnsi="仿宋" w:eastAsia="仿宋" w:cs="仿宋"/>
          <w:spacing w:val="5"/>
          <w:sz w:val="24"/>
          <w:szCs w:val="24"/>
        </w:rPr>
        <w:t>或</w:t>
      </w:r>
      <w:r>
        <w:rPr>
          <w:rFonts w:ascii="仿宋" w:hAnsi="仿宋" w:eastAsia="仿宋" w:cs="仿宋"/>
          <w:sz w:val="24"/>
          <w:szCs w:val="24"/>
        </w:rPr>
        <w:t>CA</w:t>
      </w:r>
      <w:r>
        <w:rPr>
          <w:rFonts w:ascii="仿宋" w:hAnsi="仿宋" w:eastAsia="仿宋" w:cs="仿宋"/>
          <w:spacing w:val="5"/>
          <w:sz w:val="24"/>
          <w:szCs w:val="24"/>
        </w:rPr>
        <w:t>登录客户端进行投标文件制作。在使用政采云投标客户端时，</w:t>
      </w:r>
      <w:r>
        <w:rPr>
          <w:rFonts w:ascii="仿宋" w:hAnsi="仿宋" w:eastAsia="仿宋" w:cs="仿宋"/>
          <w:spacing w:val="4"/>
          <w:sz w:val="24"/>
          <w:szCs w:val="24"/>
        </w:rPr>
        <w:t>建议使用</w:t>
      </w:r>
      <w:r>
        <w:rPr>
          <w:rFonts w:ascii="仿宋" w:hAnsi="仿宋" w:eastAsia="仿宋" w:cs="仿宋"/>
          <w:sz w:val="24"/>
          <w:szCs w:val="24"/>
        </w:rPr>
        <w:t xml:space="preserve"> </w:t>
      </w:r>
      <w:r>
        <w:rPr>
          <w:rFonts w:ascii="仿宋" w:hAnsi="仿宋" w:eastAsia="仿宋" w:cs="仿宋"/>
          <w:spacing w:val="-8"/>
          <w:sz w:val="24"/>
          <w:szCs w:val="24"/>
        </w:rPr>
        <w:t>WIN7</w:t>
      </w:r>
      <w:r>
        <w:rPr>
          <w:rFonts w:ascii="仿宋" w:hAnsi="仿宋" w:eastAsia="仿宋" w:cs="仿宋"/>
          <w:spacing w:val="-60"/>
          <w:sz w:val="24"/>
          <w:szCs w:val="24"/>
        </w:rPr>
        <w:t xml:space="preserve"> </w:t>
      </w:r>
      <w:r>
        <w:rPr>
          <w:rFonts w:ascii="仿宋" w:hAnsi="仿宋" w:eastAsia="仿宋" w:cs="仿宋"/>
          <w:spacing w:val="-8"/>
          <w:sz w:val="24"/>
          <w:szCs w:val="24"/>
        </w:rPr>
        <w:t>及</w:t>
      </w:r>
      <w:r>
        <w:rPr>
          <w:rFonts w:ascii="仿宋" w:hAnsi="仿宋" w:eastAsia="仿宋" w:cs="仿宋"/>
          <w:spacing w:val="-37"/>
          <w:sz w:val="24"/>
          <w:szCs w:val="24"/>
        </w:rPr>
        <w:t xml:space="preserve"> </w:t>
      </w:r>
      <w:r>
        <w:rPr>
          <w:rFonts w:ascii="仿宋" w:hAnsi="仿宋" w:eastAsia="仿宋" w:cs="仿宋"/>
          <w:spacing w:val="-8"/>
          <w:sz w:val="24"/>
          <w:szCs w:val="24"/>
        </w:rPr>
        <w:t>以</w:t>
      </w:r>
      <w:r>
        <w:rPr>
          <w:rFonts w:ascii="仿宋" w:hAnsi="仿宋" w:eastAsia="仿宋" w:cs="仿宋"/>
          <w:spacing w:val="-59"/>
          <w:sz w:val="24"/>
          <w:szCs w:val="24"/>
        </w:rPr>
        <w:t xml:space="preserve"> </w:t>
      </w:r>
      <w:r>
        <w:rPr>
          <w:rFonts w:ascii="仿宋" w:hAnsi="仿宋" w:eastAsia="仿宋" w:cs="仿宋"/>
          <w:spacing w:val="-8"/>
          <w:sz w:val="24"/>
          <w:szCs w:val="24"/>
        </w:rPr>
        <w:t>上</w:t>
      </w:r>
      <w:r>
        <w:rPr>
          <w:rFonts w:ascii="仿宋" w:hAnsi="仿宋" w:eastAsia="仿宋" w:cs="仿宋"/>
          <w:spacing w:val="-61"/>
          <w:sz w:val="24"/>
          <w:szCs w:val="24"/>
        </w:rPr>
        <w:t xml:space="preserve"> </w:t>
      </w:r>
      <w:r>
        <w:rPr>
          <w:rFonts w:ascii="仿宋" w:hAnsi="仿宋" w:eastAsia="仿宋" w:cs="仿宋"/>
          <w:spacing w:val="-8"/>
          <w:sz w:val="24"/>
          <w:szCs w:val="24"/>
        </w:rPr>
        <w:t>操</w:t>
      </w:r>
      <w:r>
        <w:rPr>
          <w:rFonts w:ascii="仿宋" w:hAnsi="仿宋" w:eastAsia="仿宋" w:cs="仿宋"/>
          <w:spacing w:val="-54"/>
          <w:sz w:val="24"/>
          <w:szCs w:val="24"/>
        </w:rPr>
        <w:t xml:space="preserve"> </w:t>
      </w:r>
      <w:r>
        <w:rPr>
          <w:rFonts w:ascii="仿宋" w:hAnsi="仿宋" w:eastAsia="仿宋" w:cs="仿宋"/>
          <w:spacing w:val="-8"/>
          <w:sz w:val="24"/>
          <w:szCs w:val="24"/>
        </w:rPr>
        <w:t>作</w:t>
      </w:r>
      <w:r>
        <w:rPr>
          <w:rFonts w:ascii="仿宋" w:hAnsi="仿宋" w:eastAsia="仿宋" w:cs="仿宋"/>
          <w:spacing w:val="-52"/>
          <w:sz w:val="24"/>
          <w:szCs w:val="24"/>
        </w:rPr>
        <w:t xml:space="preserve"> </w:t>
      </w:r>
      <w:r>
        <w:rPr>
          <w:rFonts w:ascii="仿宋" w:hAnsi="仿宋" w:eastAsia="仿宋" w:cs="仿宋"/>
          <w:spacing w:val="-8"/>
          <w:sz w:val="24"/>
          <w:szCs w:val="24"/>
        </w:rPr>
        <w:t>系</w:t>
      </w:r>
      <w:r>
        <w:rPr>
          <w:rFonts w:ascii="仿宋" w:hAnsi="仿宋" w:eastAsia="仿宋" w:cs="仿宋"/>
          <w:spacing w:val="-56"/>
          <w:sz w:val="24"/>
          <w:szCs w:val="24"/>
        </w:rPr>
        <w:t xml:space="preserve"> </w:t>
      </w:r>
      <w:r>
        <w:rPr>
          <w:rFonts w:ascii="仿宋" w:hAnsi="仿宋" w:eastAsia="仿宋" w:cs="仿宋"/>
          <w:spacing w:val="-8"/>
          <w:sz w:val="24"/>
          <w:szCs w:val="24"/>
        </w:rPr>
        <w:t>统</w:t>
      </w:r>
      <w:r>
        <w:rPr>
          <w:rFonts w:ascii="仿宋" w:hAnsi="仿宋" w:eastAsia="仿宋" w:cs="仿宋"/>
          <w:spacing w:val="-43"/>
          <w:sz w:val="24"/>
          <w:szCs w:val="24"/>
        </w:rPr>
        <w:t xml:space="preserve"> </w:t>
      </w:r>
      <w:r>
        <w:rPr>
          <w:rFonts w:ascii="仿宋" w:hAnsi="仿宋" w:eastAsia="仿宋" w:cs="仿宋"/>
          <w:spacing w:val="-8"/>
          <w:sz w:val="24"/>
          <w:szCs w:val="24"/>
        </w:rPr>
        <w:t>。</w:t>
      </w:r>
      <w:r>
        <w:rPr>
          <w:rFonts w:ascii="仿宋" w:hAnsi="仿宋" w:eastAsia="仿宋" w:cs="仿宋"/>
          <w:spacing w:val="-57"/>
          <w:sz w:val="24"/>
          <w:szCs w:val="24"/>
        </w:rPr>
        <w:t xml:space="preserve"> </w:t>
      </w:r>
      <w:r>
        <w:rPr>
          <w:rFonts w:ascii="仿宋" w:hAnsi="仿宋" w:eastAsia="仿宋" w:cs="仿宋"/>
          <w:spacing w:val="-8"/>
          <w:sz w:val="24"/>
          <w:szCs w:val="24"/>
        </w:rPr>
        <w:t>客</w:t>
      </w:r>
      <w:r>
        <w:rPr>
          <w:rFonts w:ascii="仿宋" w:hAnsi="仿宋" w:eastAsia="仿宋" w:cs="仿宋"/>
          <w:spacing w:val="-61"/>
          <w:sz w:val="24"/>
          <w:szCs w:val="24"/>
        </w:rPr>
        <w:t xml:space="preserve"> </w:t>
      </w:r>
      <w:r>
        <w:rPr>
          <w:rFonts w:ascii="仿宋" w:hAnsi="仿宋" w:eastAsia="仿宋" w:cs="仿宋"/>
          <w:spacing w:val="-8"/>
          <w:sz w:val="24"/>
          <w:szCs w:val="24"/>
        </w:rPr>
        <w:t>户</w:t>
      </w:r>
      <w:r>
        <w:rPr>
          <w:rFonts w:ascii="仿宋" w:hAnsi="仿宋" w:eastAsia="仿宋" w:cs="仿宋"/>
          <w:spacing w:val="-57"/>
          <w:sz w:val="24"/>
          <w:szCs w:val="24"/>
        </w:rPr>
        <w:t xml:space="preserve"> </w:t>
      </w:r>
      <w:r>
        <w:rPr>
          <w:rFonts w:ascii="仿宋" w:hAnsi="仿宋" w:eastAsia="仿宋" w:cs="仿宋"/>
          <w:spacing w:val="-8"/>
          <w:sz w:val="24"/>
          <w:szCs w:val="24"/>
        </w:rPr>
        <w:t>端</w:t>
      </w:r>
      <w:r>
        <w:rPr>
          <w:rFonts w:ascii="仿宋" w:hAnsi="仿宋" w:eastAsia="仿宋" w:cs="仿宋"/>
          <w:spacing w:val="-61"/>
          <w:sz w:val="24"/>
          <w:szCs w:val="24"/>
        </w:rPr>
        <w:t xml:space="preserve"> </w:t>
      </w:r>
      <w:r>
        <w:rPr>
          <w:rFonts w:ascii="仿宋" w:hAnsi="仿宋" w:eastAsia="仿宋" w:cs="仿宋"/>
          <w:spacing w:val="-8"/>
          <w:sz w:val="24"/>
          <w:szCs w:val="24"/>
        </w:rPr>
        <w:t>请</w:t>
      </w:r>
      <w:r>
        <w:rPr>
          <w:rFonts w:ascii="仿宋" w:hAnsi="仿宋" w:eastAsia="仿宋" w:cs="仿宋"/>
          <w:spacing w:val="-53"/>
          <w:sz w:val="24"/>
          <w:szCs w:val="24"/>
        </w:rPr>
        <w:t xml:space="preserve"> </w:t>
      </w:r>
      <w:r>
        <w:rPr>
          <w:rFonts w:ascii="仿宋" w:hAnsi="仿宋" w:eastAsia="仿宋" w:cs="仿宋"/>
          <w:spacing w:val="-8"/>
          <w:sz w:val="24"/>
          <w:szCs w:val="24"/>
        </w:rPr>
        <w:t>至</w:t>
      </w:r>
      <w:r>
        <w:rPr>
          <w:rFonts w:ascii="仿宋" w:hAnsi="仿宋" w:eastAsia="仿宋" w:cs="仿宋"/>
          <w:spacing w:val="-62"/>
          <w:sz w:val="24"/>
          <w:szCs w:val="24"/>
        </w:rPr>
        <w:t xml:space="preserve"> </w:t>
      </w:r>
      <w:r>
        <w:rPr>
          <w:rFonts w:ascii="仿宋" w:hAnsi="仿宋" w:eastAsia="仿宋" w:cs="仿宋"/>
          <w:spacing w:val="-8"/>
          <w:sz w:val="24"/>
          <w:szCs w:val="24"/>
        </w:rPr>
        <w:t>新</w:t>
      </w:r>
      <w:r>
        <w:rPr>
          <w:rFonts w:ascii="仿宋" w:hAnsi="仿宋" w:eastAsia="仿宋" w:cs="仿宋"/>
          <w:spacing w:val="-61"/>
          <w:sz w:val="24"/>
          <w:szCs w:val="24"/>
        </w:rPr>
        <w:t xml:space="preserve"> </w:t>
      </w:r>
      <w:r>
        <w:rPr>
          <w:rFonts w:ascii="仿宋" w:hAnsi="仿宋" w:eastAsia="仿宋" w:cs="仿宋"/>
          <w:spacing w:val="-8"/>
          <w:sz w:val="24"/>
          <w:szCs w:val="24"/>
        </w:rPr>
        <w:t>疆</w:t>
      </w:r>
      <w:r>
        <w:rPr>
          <w:rFonts w:ascii="仿宋" w:hAnsi="仿宋" w:eastAsia="仿宋" w:cs="仿宋"/>
          <w:spacing w:val="-61"/>
          <w:sz w:val="24"/>
          <w:szCs w:val="24"/>
        </w:rPr>
        <w:t xml:space="preserve"> </w:t>
      </w:r>
      <w:r>
        <w:rPr>
          <w:rFonts w:ascii="仿宋" w:hAnsi="仿宋" w:eastAsia="仿宋" w:cs="仿宋"/>
          <w:spacing w:val="-8"/>
          <w:sz w:val="24"/>
          <w:szCs w:val="24"/>
        </w:rPr>
        <w:t>政</w:t>
      </w:r>
      <w:r>
        <w:rPr>
          <w:rFonts w:ascii="仿宋" w:hAnsi="仿宋" w:eastAsia="仿宋" w:cs="仿宋"/>
          <w:spacing w:val="-60"/>
          <w:sz w:val="24"/>
          <w:szCs w:val="24"/>
        </w:rPr>
        <w:t xml:space="preserve"> </w:t>
      </w:r>
      <w:r>
        <w:rPr>
          <w:rFonts w:ascii="仿宋" w:hAnsi="仿宋" w:eastAsia="仿宋" w:cs="仿宋"/>
          <w:spacing w:val="-8"/>
          <w:sz w:val="24"/>
          <w:szCs w:val="24"/>
        </w:rPr>
        <w:t>府</w:t>
      </w:r>
      <w:r>
        <w:rPr>
          <w:rFonts w:ascii="仿宋" w:hAnsi="仿宋" w:eastAsia="仿宋" w:cs="仿宋"/>
          <w:spacing w:val="-56"/>
          <w:sz w:val="24"/>
          <w:szCs w:val="24"/>
        </w:rPr>
        <w:t xml:space="preserve"> </w:t>
      </w:r>
      <w:r>
        <w:rPr>
          <w:rFonts w:ascii="仿宋" w:hAnsi="仿宋" w:eastAsia="仿宋" w:cs="仿宋"/>
          <w:spacing w:val="-8"/>
          <w:sz w:val="24"/>
          <w:szCs w:val="24"/>
        </w:rPr>
        <w:t>采</w:t>
      </w:r>
      <w:r>
        <w:rPr>
          <w:rFonts w:ascii="仿宋" w:hAnsi="仿宋" w:eastAsia="仿宋" w:cs="仿宋"/>
          <w:spacing w:val="-61"/>
          <w:sz w:val="24"/>
          <w:szCs w:val="24"/>
        </w:rPr>
        <w:t xml:space="preserve"> </w:t>
      </w:r>
      <w:r>
        <w:rPr>
          <w:rFonts w:ascii="仿宋" w:hAnsi="仿宋" w:eastAsia="仿宋" w:cs="仿宋"/>
          <w:spacing w:val="-8"/>
          <w:sz w:val="24"/>
          <w:szCs w:val="24"/>
        </w:rPr>
        <w:t>购（http</w:t>
      </w:r>
      <w:r>
        <w:rPr>
          <w:rFonts w:ascii="仿宋" w:hAnsi="仿宋" w:eastAsia="仿宋" w:cs="仿宋"/>
          <w:spacing w:val="-9"/>
          <w:sz w:val="24"/>
          <w:szCs w:val="24"/>
        </w:rPr>
        <w:t>://www.ccgp-</w:t>
      </w:r>
      <w:r>
        <w:rPr>
          <w:rFonts w:ascii="仿宋" w:hAnsi="仿宋" w:eastAsia="仿宋" w:cs="仿宋"/>
          <w:sz w:val="24"/>
          <w:szCs w:val="24"/>
        </w:rPr>
        <w:t xml:space="preserve"> xinjiang</w:t>
      </w:r>
      <w:r>
        <w:rPr>
          <w:rFonts w:ascii="仿宋" w:hAnsi="仿宋" w:eastAsia="仿宋" w:cs="仿宋"/>
          <w:spacing w:val="11"/>
          <w:sz w:val="24"/>
          <w:szCs w:val="24"/>
        </w:rPr>
        <w:t>.</w:t>
      </w:r>
      <w:r>
        <w:rPr>
          <w:rFonts w:ascii="仿宋" w:hAnsi="仿宋" w:eastAsia="仿宋" w:cs="仿宋"/>
          <w:sz w:val="24"/>
          <w:szCs w:val="24"/>
        </w:rPr>
        <w:t>gov</w:t>
      </w:r>
      <w:r>
        <w:rPr>
          <w:rFonts w:ascii="仿宋" w:hAnsi="仿宋" w:eastAsia="仿宋" w:cs="仿宋"/>
          <w:spacing w:val="11"/>
          <w:sz w:val="24"/>
          <w:szCs w:val="24"/>
        </w:rPr>
        <w:t>.</w:t>
      </w:r>
      <w:r>
        <w:rPr>
          <w:rFonts w:ascii="仿宋" w:hAnsi="仿宋" w:eastAsia="仿宋" w:cs="仿宋"/>
          <w:sz w:val="24"/>
          <w:szCs w:val="24"/>
        </w:rPr>
        <w:t>cn</w:t>
      </w:r>
      <w:r>
        <w:rPr>
          <w:rFonts w:ascii="仿宋" w:hAnsi="仿宋" w:eastAsia="仿宋" w:cs="仿宋"/>
          <w:spacing w:val="11"/>
          <w:sz w:val="24"/>
          <w:szCs w:val="24"/>
        </w:rPr>
        <w:t>/）</w:t>
      </w:r>
      <w:r>
        <w:rPr>
          <w:rFonts w:ascii="仿宋" w:hAnsi="仿宋" w:eastAsia="仿宋" w:cs="仿宋"/>
          <w:spacing w:val="-68"/>
          <w:sz w:val="24"/>
          <w:szCs w:val="24"/>
        </w:rPr>
        <w:t xml:space="preserve"> </w:t>
      </w:r>
      <w:r>
        <w:rPr>
          <w:rFonts w:ascii="仿宋" w:hAnsi="仿宋" w:eastAsia="仿宋" w:cs="仿宋"/>
          <w:spacing w:val="11"/>
          <w:sz w:val="24"/>
          <w:szCs w:val="24"/>
        </w:rPr>
        <w:t>下载专区查看</w:t>
      </w:r>
      <w:r>
        <w:rPr>
          <w:rFonts w:ascii="仿宋" w:hAnsi="仿宋" w:eastAsia="仿宋" w:cs="仿宋"/>
          <w:spacing w:val="-71"/>
          <w:sz w:val="24"/>
          <w:szCs w:val="24"/>
        </w:rPr>
        <w:t xml:space="preserve"> </w:t>
      </w:r>
      <w:r>
        <w:rPr>
          <w:rFonts w:ascii="仿宋" w:hAnsi="仿宋" w:eastAsia="仿宋" w:cs="仿宋"/>
          <w:spacing w:val="11"/>
          <w:sz w:val="24"/>
          <w:szCs w:val="24"/>
        </w:rPr>
        <w:t>，如有问题可拨打政采云客</w:t>
      </w:r>
      <w:r>
        <w:rPr>
          <w:rFonts w:ascii="仿宋" w:hAnsi="仿宋" w:eastAsia="仿宋" w:cs="仿宋"/>
          <w:spacing w:val="10"/>
          <w:sz w:val="24"/>
          <w:szCs w:val="24"/>
        </w:rPr>
        <w:t>户服务热线</w:t>
      </w:r>
      <w:r>
        <w:rPr>
          <w:rFonts w:ascii="仿宋" w:hAnsi="仿宋" w:eastAsia="仿宋" w:cs="仿宋"/>
          <w:sz w:val="24"/>
          <w:szCs w:val="24"/>
        </w:rPr>
        <w:t xml:space="preserve"> </w:t>
      </w:r>
      <w:r>
        <w:rPr>
          <w:rFonts w:ascii="仿宋" w:hAnsi="仿宋" w:eastAsia="仿宋" w:cs="仿宋"/>
          <w:spacing w:val="-3"/>
          <w:sz w:val="24"/>
          <w:szCs w:val="24"/>
        </w:rPr>
        <w:t>95763进行咨询。</w:t>
      </w:r>
    </w:p>
    <w:p w14:paraId="3DE18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仿宋" w:hAnsi="仿宋" w:eastAsia="仿宋" w:cs="仿宋"/>
          <w:sz w:val="24"/>
          <w:szCs w:val="24"/>
        </w:rPr>
      </w:pPr>
      <w:bookmarkStart w:id="17" w:name="bookmark15"/>
      <w:bookmarkEnd w:id="17"/>
      <w:bookmarkStart w:id="18" w:name="_Toc31660"/>
      <w:r>
        <w:rPr>
          <w:rFonts w:ascii="仿宋" w:hAnsi="仿宋" w:eastAsia="仿宋" w:cs="仿宋"/>
          <w:b/>
          <w:bCs/>
          <w:spacing w:val="-6"/>
          <w:sz w:val="24"/>
          <w:szCs w:val="24"/>
        </w:rPr>
        <w:t>七、对本次采购提出询问，请按以下方式联系</w:t>
      </w:r>
      <w:bookmarkEnd w:id="18"/>
    </w:p>
    <w:p w14:paraId="3E28DD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outlineLvl w:val="2"/>
        <w:rPr>
          <w:rFonts w:ascii="仿宋" w:hAnsi="仿宋" w:eastAsia="仿宋" w:cs="仿宋"/>
          <w:sz w:val="24"/>
          <w:szCs w:val="24"/>
        </w:rPr>
      </w:pPr>
      <w:bookmarkStart w:id="19" w:name="_Toc20823"/>
      <w:r>
        <w:rPr>
          <w:rFonts w:ascii="仿宋" w:hAnsi="仿宋" w:eastAsia="仿宋" w:cs="仿宋"/>
          <w:spacing w:val="-5"/>
          <w:sz w:val="24"/>
          <w:szCs w:val="24"/>
        </w:rPr>
        <w:t>1.采购人信息</w:t>
      </w:r>
      <w:bookmarkEnd w:id="19"/>
    </w:p>
    <w:p w14:paraId="6F0E14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lang w:eastAsia="zh-CN"/>
        </w:rPr>
      </w:pPr>
      <w:r>
        <w:rPr>
          <w:rFonts w:ascii="仿宋" w:hAnsi="仿宋" w:eastAsia="仿宋" w:cs="仿宋"/>
          <w:spacing w:val="-3"/>
          <w:sz w:val="24"/>
          <w:szCs w:val="24"/>
        </w:rPr>
        <w:t>名称：</w:t>
      </w:r>
      <w:r>
        <w:rPr>
          <w:rFonts w:hint="eastAsia" w:ascii="仿宋" w:hAnsi="仿宋" w:eastAsia="仿宋" w:cs="仿宋"/>
          <w:spacing w:val="-3"/>
          <w:sz w:val="24"/>
          <w:szCs w:val="24"/>
          <w:lang w:eastAsia="zh-CN"/>
        </w:rPr>
        <w:t>和布克赛尔蒙古自治县自然资源局</w:t>
      </w:r>
    </w:p>
    <w:p w14:paraId="3CF0C3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default" w:ascii="仿宋" w:hAnsi="仿宋" w:eastAsia="仿宋" w:cs="仿宋"/>
          <w:color w:val="auto"/>
          <w:sz w:val="24"/>
          <w:szCs w:val="24"/>
          <w:highlight w:val="none"/>
          <w:lang w:val="en-US" w:eastAsia="zh-CN"/>
        </w:rPr>
      </w:pPr>
      <w:r>
        <w:rPr>
          <w:rFonts w:ascii="仿宋" w:hAnsi="仿宋" w:eastAsia="仿宋" w:cs="仿宋"/>
          <w:color w:val="auto"/>
          <w:spacing w:val="-2"/>
          <w:sz w:val="24"/>
          <w:szCs w:val="24"/>
          <w:highlight w:val="none"/>
        </w:rPr>
        <w:t>地址：</w:t>
      </w:r>
      <w:r>
        <w:rPr>
          <w:rFonts w:hint="eastAsia" w:ascii="仿宋" w:hAnsi="仿宋" w:eastAsia="仿宋" w:cs="仿宋"/>
          <w:color w:val="auto"/>
          <w:spacing w:val="-2"/>
          <w:sz w:val="24"/>
          <w:szCs w:val="24"/>
          <w:highlight w:val="none"/>
          <w:lang w:val="en-US" w:eastAsia="zh-CN"/>
        </w:rPr>
        <w:t>和布克赛尔蒙古自治县和布克赛尔镇敖包特东街49号</w:t>
      </w:r>
    </w:p>
    <w:p w14:paraId="5F001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default" w:ascii="仿宋" w:hAnsi="仿宋" w:eastAsia="仿宋" w:cs="仿宋"/>
          <w:color w:val="auto"/>
          <w:spacing w:val="-5"/>
          <w:sz w:val="24"/>
          <w:szCs w:val="24"/>
          <w:lang w:val="en-US" w:eastAsia="zh-CN"/>
        </w:rPr>
      </w:pPr>
      <w:r>
        <w:rPr>
          <w:rFonts w:ascii="仿宋" w:hAnsi="仿宋" w:eastAsia="仿宋" w:cs="仿宋"/>
          <w:color w:val="auto"/>
          <w:spacing w:val="-5"/>
          <w:sz w:val="24"/>
          <w:szCs w:val="24"/>
        </w:rPr>
        <w:t>联系方式：</w:t>
      </w:r>
      <w:r>
        <w:rPr>
          <w:rFonts w:hint="eastAsia" w:ascii="仿宋" w:hAnsi="仿宋" w:eastAsia="仿宋" w:cs="仿宋"/>
          <w:color w:val="auto"/>
          <w:spacing w:val="-5"/>
          <w:sz w:val="24"/>
          <w:szCs w:val="24"/>
          <w:lang w:val="en-US" w:eastAsia="zh-CN"/>
        </w:rPr>
        <w:t>魏海江 13579513777</w:t>
      </w:r>
    </w:p>
    <w:p w14:paraId="6ED844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2"/>
        <w:rPr>
          <w:rFonts w:ascii="仿宋" w:hAnsi="仿宋" w:eastAsia="仿宋" w:cs="仿宋"/>
          <w:sz w:val="24"/>
          <w:szCs w:val="24"/>
        </w:rPr>
      </w:pPr>
      <w:bookmarkStart w:id="20" w:name="_Toc8439"/>
      <w:r>
        <w:rPr>
          <w:rFonts w:ascii="仿宋" w:hAnsi="仿宋" w:eastAsia="仿宋" w:cs="仿宋"/>
          <w:spacing w:val="-3"/>
          <w:sz w:val="24"/>
          <w:szCs w:val="24"/>
        </w:rPr>
        <w:t>2.采购代理机构信息</w:t>
      </w:r>
      <w:bookmarkEnd w:id="20"/>
    </w:p>
    <w:p w14:paraId="3C2EFA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0"/>
        <w:rPr>
          <w:rFonts w:hint="eastAsia" w:ascii="仿宋" w:hAnsi="仿宋" w:eastAsia="仿宋" w:cs="仿宋"/>
          <w:sz w:val="24"/>
          <w:szCs w:val="24"/>
          <w:lang w:eastAsia="zh-CN"/>
        </w:rPr>
      </w:pPr>
      <w:bookmarkStart w:id="21" w:name="_Toc7777"/>
      <w:r>
        <w:rPr>
          <w:rFonts w:ascii="仿宋" w:hAnsi="仿宋" w:eastAsia="仿宋" w:cs="仿宋"/>
          <w:spacing w:val="-2"/>
          <w:sz w:val="24"/>
          <w:szCs w:val="24"/>
        </w:rPr>
        <w:t>名称：</w:t>
      </w:r>
      <w:bookmarkEnd w:id="21"/>
      <w:r>
        <w:rPr>
          <w:rFonts w:hint="eastAsia" w:ascii="仿宋" w:hAnsi="仿宋" w:eastAsia="仿宋" w:cs="仿宋"/>
          <w:spacing w:val="-2"/>
          <w:sz w:val="24"/>
          <w:szCs w:val="24"/>
          <w:lang w:eastAsia="zh-CN"/>
        </w:rPr>
        <w:t>新疆振豪建设项目管理有限公司</w:t>
      </w:r>
    </w:p>
    <w:p w14:paraId="2572DA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lang w:eastAsia="zh-CN"/>
        </w:rPr>
      </w:pPr>
      <w:r>
        <w:rPr>
          <w:rFonts w:ascii="仿宋" w:hAnsi="仿宋" w:eastAsia="仿宋" w:cs="仿宋"/>
          <w:spacing w:val="-2"/>
          <w:sz w:val="24"/>
          <w:szCs w:val="24"/>
        </w:rPr>
        <w:t>地址：</w:t>
      </w:r>
      <w:r>
        <w:rPr>
          <w:rFonts w:hint="eastAsia" w:ascii="仿宋" w:hAnsi="仿宋" w:eastAsia="仿宋" w:cs="仿宋"/>
          <w:spacing w:val="-2"/>
          <w:sz w:val="24"/>
          <w:szCs w:val="24"/>
          <w:lang w:eastAsia="zh-CN"/>
        </w:rPr>
        <w:t>乌鲁木齐市沙依巴克区绿城翡翠园1期横渠大厦5楼</w:t>
      </w:r>
    </w:p>
    <w:p w14:paraId="4C22C8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default" w:ascii="仿宋" w:hAnsi="仿宋" w:eastAsia="仿宋" w:cs="仿宋"/>
          <w:sz w:val="24"/>
          <w:szCs w:val="24"/>
          <w:highlight w:val="none"/>
          <w:lang w:val="en-US" w:eastAsia="zh-CN"/>
        </w:rPr>
      </w:pPr>
      <w:r>
        <w:rPr>
          <w:rFonts w:ascii="仿宋" w:hAnsi="仿宋" w:eastAsia="仿宋" w:cs="仿宋"/>
          <w:spacing w:val="-2"/>
          <w:sz w:val="24"/>
          <w:szCs w:val="24"/>
          <w:highlight w:val="none"/>
        </w:rPr>
        <w:t>项目联系方式：</w:t>
      </w:r>
      <w:r>
        <w:rPr>
          <w:rFonts w:hint="eastAsia" w:ascii="仿宋" w:hAnsi="仿宋" w:eastAsia="仿宋" w:cs="仿宋"/>
          <w:spacing w:val="-2"/>
          <w:sz w:val="24"/>
          <w:szCs w:val="24"/>
          <w:highlight w:val="none"/>
          <w:lang w:val="en-US" w:eastAsia="zh-CN"/>
        </w:rPr>
        <w:t>17797827186</w:t>
      </w:r>
    </w:p>
    <w:p w14:paraId="0700FE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仿宋" w:hAnsi="仿宋" w:eastAsia="仿宋" w:cs="仿宋"/>
          <w:sz w:val="24"/>
          <w:szCs w:val="24"/>
          <w:highlight w:val="none"/>
        </w:rPr>
      </w:pPr>
      <w:r>
        <w:rPr>
          <w:rFonts w:ascii="仿宋" w:hAnsi="仿宋" w:eastAsia="仿宋" w:cs="仿宋"/>
          <w:spacing w:val="-3"/>
          <w:sz w:val="24"/>
          <w:szCs w:val="24"/>
          <w:highlight w:val="none"/>
        </w:rPr>
        <w:t>项目联系人：</w:t>
      </w:r>
      <w:r>
        <w:rPr>
          <w:rFonts w:hint="eastAsia" w:ascii="仿宋" w:hAnsi="仿宋" w:eastAsia="仿宋" w:cs="仿宋"/>
          <w:spacing w:val="-3"/>
          <w:sz w:val="24"/>
          <w:szCs w:val="24"/>
          <w:highlight w:val="none"/>
        </w:rPr>
        <w:t>蒋工</w:t>
      </w:r>
    </w:p>
    <w:p w14:paraId="6DAF9D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sz w:val="24"/>
          <w:szCs w:val="24"/>
        </w:rPr>
        <w:sectPr>
          <w:footerReference r:id="rId7" w:type="default"/>
          <w:pgSz w:w="11907" w:h="16840"/>
          <w:pgMar w:top="1418" w:right="1786" w:bottom="1202" w:left="1786" w:header="0" w:footer="1035" w:gutter="0"/>
          <w:pgNumType w:fmt="decimal" w:start="1"/>
          <w:cols w:space="720" w:num="1"/>
        </w:sectPr>
      </w:pPr>
    </w:p>
    <w:p w14:paraId="53716AFA">
      <w:pPr>
        <w:spacing w:before="250" w:line="222" w:lineRule="auto"/>
        <w:jc w:val="center"/>
        <w:outlineLvl w:val="0"/>
        <w:rPr>
          <w:rFonts w:ascii="仿宋" w:hAnsi="仿宋" w:eastAsia="仿宋" w:cs="仿宋"/>
          <w:b/>
          <w:bCs/>
          <w:spacing w:val="-13"/>
          <w:sz w:val="28"/>
          <w:szCs w:val="28"/>
        </w:rPr>
      </w:pPr>
      <w:bookmarkStart w:id="22" w:name="bookmark17"/>
      <w:bookmarkEnd w:id="22"/>
      <w:bookmarkStart w:id="23" w:name="_Toc1714"/>
      <w:r>
        <w:rPr>
          <w:rFonts w:ascii="仿宋" w:hAnsi="仿宋" w:eastAsia="仿宋" w:cs="仿宋"/>
          <w:b/>
          <w:bCs/>
          <w:spacing w:val="-13"/>
          <w:sz w:val="28"/>
          <w:szCs w:val="28"/>
        </w:rPr>
        <w:t>第2章 供应商须知资料表</w:t>
      </w:r>
      <w:bookmarkEnd w:id="23"/>
    </w:p>
    <w:p w14:paraId="53F5D7EE">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right="0" w:firstLine="452" w:firstLineChars="20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 xml:space="preserve">本表是本招标项目的具体资料，是对供应商须知的具体补充和修改，如有矛盾，应以本资料表为准。 </w:t>
      </w:r>
    </w:p>
    <w:p w14:paraId="08D6F133">
      <w:pPr>
        <w:spacing w:line="44" w:lineRule="auto"/>
        <w:rPr>
          <w:rFonts w:ascii="Arial"/>
          <w:sz w:val="2"/>
        </w:rPr>
      </w:pPr>
    </w:p>
    <w:tbl>
      <w:tblPr>
        <w:tblStyle w:val="18"/>
        <w:tblW w:w="9691"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1"/>
        <w:gridCol w:w="1335"/>
        <w:gridCol w:w="7665"/>
      </w:tblGrid>
      <w:tr w14:paraId="156C8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91" w:type="dxa"/>
            <w:tcBorders>
              <w:top w:val="single" w:color="000000" w:sz="8" w:space="0"/>
              <w:left w:val="single" w:color="000000" w:sz="8" w:space="0"/>
            </w:tcBorders>
            <w:vAlign w:val="center"/>
          </w:tcPr>
          <w:p w14:paraId="42B4E2DC">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r>
              <w:rPr>
                <w:rFonts w:hint="eastAsia" w:ascii="仿宋" w:hAnsi="仿宋" w:eastAsia="仿宋" w:cs="仿宋"/>
                <w:b/>
                <w:bCs/>
                <w:spacing w:val="-26"/>
                <w:sz w:val="24"/>
                <w:szCs w:val="24"/>
              </w:rPr>
              <w:t>条款号</w:t>
            </w:r>
          </w:p>
        </w:tc>
        <w:tc>
          <w:tcPr>
            <w:tcW w:w="1335" w:type="dxa"/>
            <w:tcBorders>
              <w:top w:val="single" w:color="000000" w:sz="8" w:space="0"/>
              <w:right w:val="single" w:color="000000" w:sz="8" w:space="0"/>
            </w:tcBorders>
            <w:vAlign w:val="center"/>
          </w:tcPr>
          <w:p w14:paraId="5442CF1D">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b/>
                <w:bCs/>
                <w:spacing w:val="-26"/>
                <w:sz w:val="24"/>
                <w:szCs w:val="24"/>
              </w:rPr>
            </w:pPr>
            <w:r>
              <w:rPr>
                <w:rFonts w:hint="eastAsia" w:ascii="仿宋" w:hAnsi="仿宋" w:eastAsia="仿宋" w:cs="仿宋"/>
                <w:b/>
                <w:bCs/>
                <w:spacing w:val="-26"/>
                <w:sz w:val="24"/>
                <w:szCs w:val="24"/>
              </w:rPr>
              <w:t>项 目</w:t>
            </w:r>
          </w:p>
        </w:tc>
        <w:tc>
          <w:tcPr>
            <w:tcW w:w="7665" w:type="dxa"/>
            <w:tcBorders>
              <w:top w:val="single" w:color="000000" w:sz="8" w:space="0"/>
              <w:right w:val="single" w:color="000000" w:sz="8" w:space="0"/>
            </w:tcBorders>
            <w:vAlign w:val="center"/>
          </w:tcPr>
          <w:p w14:paraId="0FC0E4C3">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r>
              <w:rPr>
                <w:rFonts w:hint="eastAsia" w:ascii="仿宋" w:hAnsi="仿宋" w:eastAsia="仿宋" w:cs="仿宋"/>
                <w:b/>
                <w:bCs/>
                <w:spacing w:val="-26"/>
                <w:sz w:val="24"/>
                <w:szCs w:val="24"/>
              </w:rPr>
              <w:t>内容</w:t>
            </w:r>
          </w:p>
        </w:tc>
      </w:tr>
      <w:tr w14:paraId="14E39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1" w:type="dxa"/>
            <w:tcBorders>
              <w:left w:val="single" w:color="000000" w:sz="8" w:space="0"/>
            </w:tcBorders>
            <w:vAlign w:val="center"/>
          </w:tcPr>
          <w:p w14:paraId="35421BD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2AB221D8">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335" w:type="dxa"/>
            <w:tcBorders>
              <w:right w:val="single" w:color="000000" w:sz="8" w:space="0"/>
            </w:tcBorders>
            <w:vAlign w:val="center"/>
          </w:tcPr>
          <w:p w14:paraId="3CBD3ED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采购人</w:t>
            </w:r>
          </w:p>
        </w:tc>
        <w:tc>
          <w:tcPr>
            <w:tcW w:w="7665" w:type="dxa"/>
            <w:tcBorders>
              <w:right w:val="single" w:color="000000" w:sz="8" w:space="0"/>
            </w:tcBorders>
            <w:vAlign w:val="top"/>
          </w:tcPr>
          <w:p w14:paraId="6B0F9B82">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lang w:eastAsia="zh-CN"/>
              </w:rPr>
            </w:pPr>
            <w:r>
              <w:rPr>
                <w:rFonts w:hint="eastAsia" w:ascii="仿宋" w:hAnsi="仿宋" w:eastAsia="仿宋" w:cs="仿宋"/>
                <w:spacing w:val="-7"/>
                <w:sz w:val="24"/>
                <w:szCs w:val="24"/>
              </w:rPr>
              <w:t>采购人：</w:t>
            </w:r>
            <w:r>
              <w:rPr>
                <w:rFonts w:hint="eastAsia" w:ascii="仿宋" w:hAnsi="仿宋" w:eastAsia="仿宋" w:cs="仿宋"/>
                <w:spacing w:val="-7"/>
                <w:sz w:val="24"/>
                <w:szCs w:val="24"/>
                <w:lang w:eastAsia="zh-CN"/>
              </w:rPr>
              <w:t>和布克赛尔蒙古自治县自然资源局</w:t>
            </w:r>
          </w:p>
          <w:p w14:paraId="00985591">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地址：</w:t>
            </w:r>
            <w:r>
              <w:rPr>
                <w:rFonts w:hint="eastAsia" w:ascii="仿宋" w:hAnsi="仿宋" w:eastAsia="仿宋" w:cs="仿宋"/>
                <w:color w:val="auto"/>
                <w:spacing w:val="-2"/>
                <w:sz w:val="24"/>
                <w:szCs w:val="24"/>
                <w:highlight w:val="none"/>
                <w:lang w:val="en-US" w:eastAsia="zh-CN"/>
              </w:rPr>
              <w:t>和布克赛尔蒙古自治县和布克赛尔镇敖包特东街49号</w:t>
            </w:r>
          </w:p>
          <w:p w14:paraId="644C255E">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联系人：</w:t>
            </w:r>
            <w:r>
              <w:rPr>
                <w:rFonts w:hint="eastAsia" w:ascii="仿宋" w:hAnsi="仿宋" w:eastAsia="仿宋" w:cs="仿宋"/>
                <w:color w:val="auto"/>
                <w:spacing w:val="-5"/>
                <w:sz w:val="24"/>
                <w:szCs w:val="24"/>
                <w:lang w:val="en-US" w:eastAsia="zh-CN"/>
              </w:rPr>
              <w:t>魏海江</w:t>
            </w:r>
            <w:r>
              <w:rPr>
                <w:rFonts w:hint="eastAsia" w:ascii="仿宋" w:hAnsi="仿宋" w:eastAsia="仿宋" w:cs="仿宋"/>
                <w:color w:val="auto"/>
                <w:spacing w:val="-5"/>
                <w:sz w:val="24"/>
                <w:szCs w:val="24"/>
                <w:highlight w:val="none"/>
                <w:lang w:val="en-US" w:eastAsia="zh-CN"/>
              </w:rPr>
              <w:t xml:space="preserve"> </w:t>
            </w:r>
          </w:p>
          <w:p w14:paraId="46FDA6D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color w:val="auto"/>
                <w:spacing w:val="-6"/>
                <w:sz w:val="24"/>
                <w:szCs w:val="24"/>
                <w:highlight w:val="none"/>
              </w:rPr>
              <w:t>联系电话：</w:t>
            </w:r>
            <w:r>
              <w:rPr>
                <w:rFonts w:hint="eastAsia" w:ascii="仿宋" w:hAnsi="仿宋" w:eastAsia="仿宋" w:cs="仿宋"/>
                <w:color w:val="auto"/>
                <w:spacing w:val="-5"/>
                <w:sz w:val="24"/>
                <w:szCs w:val="24"/>
                <w:lang w:val="en-US" w:eastAsia="zh-CN"/>
              </w:rPr>
              <w:t>13579513777</w:t>
            </w:r>
          </w:p>
        </w:tc>
      </w:tr>
      <w:tr w14:paraId="33216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91" w:type="dxa"/>
            <w:tcBorders>
              <w:left w:val="single" w:color="000000" w:sz="8" w:space="0"/>
            </w:tcBorders>
            <w:vAlign w:val="center"/>
          </w:tcPr>
          <w:p w14:paraId="7C89107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1D7E3426">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335" w:type="dxa"/>
            <w:tcBorders>
              <w:right w:val="single" w:color="000000" w:sz="8" w:space="0"/>
            </w:tcBorders>
            <w:vAlign w:val="center"/>
          </w:tcPr>
          <w:p w14:paraId="2B8FAE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采购代理机构</w:t>
            </w:r>
          </w:p>
        </w:tc>
        <w:tc>
          <w:tcPr>
            <w:tcW w:w="7665" w:type="dxa"/>
            <w:tcBorders>
              <w:right w:val="single" w:color="000000" w:sz="8" w:space="0"/>
            </w:tcBorders>
            <w:vAlign w:val="top"/>
          </w:tcPr>
          <w:p w14:paraId="6146CC94">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lang w:eastAsia="zh-CN"/>
              </w:rPr>
            </w:pPr>
            <w:r>
              <w:rPr>
                <w:rFonts w:hint="eastAsia" w:ascii="仿宋" w:hAnsi="仿宋" w:eastAsia="仿宋" w:cs="仿宋"/>
                <w:spacing w:val="-2"/>
                <w:sz w:val="24"/>
                <w:szCs w:val="24"/>
              </w:rPr>
              <w:t>采购代理机构：</w:t>
            </w:r>
            <w:r>
              <w:rPr>
                <w:rFonts w:hint="eastAsia" w:ascii="仿宋" w:hAnsi="仿宋" w:eastAsia="仿宋" w:cs="仿宋"/>
                <w:spacing w:val="-2"/>
                <w:sz w:val="24"/>
                <w:szCs w:val="24"/>
                <w:lang w:eastAsia="zh-CN"/>
              </w:rPr>
              <w:t>新疆振豪建设项目管理有限公司</w:t>
            </w:r>
          </w:p>
          <w:p w14:paraId="666FC94C">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highlight w:val="none"/>
                <w:lang w:eastAsia="zh-CN"/>
              </w:rPr>
            </w:pPr>
            <w:r>
              <w:rPr>
                <w:rFonts w:hint="eastAsia" w:ascii="仿宋" w:hAnsi="仿宋" w:eastAsia="仿宋" w:cs="仿宋"/>
                <w:spacing w:val="-7"/>
                <w:sz w:val="24"/>
                <w:szCs w:val="24"/>
              </w:rPr>
              <w:t>地址：</w:t>
            </w:r>
            <w:r>
              <w:rPr>
                <w:rFonts w:hint="eastAsia" w:ascii="仿宋" w:hAnsi="仿宋" w:eastAsia="仿宋" w:cs="仿宋"/>
                <w:spacing w:val="-7"/>
                <w:sz w:val="24"/>
                <w:szCs w:val="24"/>
                <w:lang w:eastAsia="zh-CN"/>
              </w:rPr>
              <w:t>乌鲁木</w:t>
            </w:r>
            <w:r>
              <w:rPr>
                <w:rFonts w:hint="eastAsia" w:ascii="仿宋" w:hAnsi="仿宋" w:eastAsia="仿宋" w:cs="仿宋"/>
                <w:spacing w:val="-7"/>
                <w:sz w:val="24"/>
                <w:szCs w:val="24"/>
                <w:highlight w:val="none"/>
                <w:lang w:eastAsia="zh-CN"/>
              </w:rPr>
              <w:t>齐市沙依巴克区绿城翡翠园1期横渠大厦5楼</w:t>
            </w:r>
          </w:p>
          <w:p w14:paraId="43695323">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lang w:val="en-US" w:eastAsia="zh-CN"/>
              </w:rPr>
            </w:pPr>
            <w:r>
              <w:rPr>
                <w:rFonts w:hint="eastAsia" w:ascii="仿宋" w:hAnsi="仿宋" w:eastAsia="仿宋" w:cs="仿宋"/>
                <w:spacing w:val="-6"/>
                <w:sz w:val="24"/>
                <w:szCs w:val="24"/>
                <w:highlight w:val="none"/>
              </w:rPr>
              <w:t>业务联系人：</w:t>
            </w:r>
            <w:r>
              <w:rPr>
                <w:rFonts w:hint="eastAsia" w:ascii="仿宋" w:hAnsi="仿宋" w:eastAsia="仿宋" w:cs="仿宋"/>
                <w:color w:val="auto"/>
                <w:sz w:val="24"/>
                <w:szCs w:val="24"/>
                <w:highlight w:val="none"/>
              </w:rPr>
              <w:t>蒋工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pacing w:val="-2"/>
                <w:sz w:val="24"/>
                <w:szCs w:val="24"/>
                <w:highlight w:val="none"/>
                <w:lang w:val="en-US" w:eastAsia="zh-CN"/>
              </w:rPr>
              <w:t>17797827186</w:t>
            </w:r>
          </w:p>
        </w:tc>
      </w:tr>
      <w:tr w14:paraId="4751C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5" w:hRule="atLeast"/>
        </w:trPr>
        <w:tc>
          <w:tcPr>
            <w:tcW w:w="691" w:type="dxa"/>
            <w:tcBorders>
              <w:left w:val="single" w:color="000000" w:sz="8" w:space="0"/>
              <w:bottom w:val="single" w:color="000000" w:sz="8" w:space="0"/>
            </w:tcBorders>
            <w:vAlign w:val="center"/>
          </w:tcPr>
          <w:p w14:paraId="4D39C75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75C7B0B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6CE0FD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5FBE7CD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7203333A">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335" w:type="dxa"/>
            <w:tcBorders>
              <w:bottom w:val="single" w:color="000000" w:sz="8" w:space="0"/>
              <w:right w:val="single" w:color="000000" w:sz="8" w:space="0"/>
            </w:tcBorders>
            <w:vAlign w:val="center"/>
          </w:tcPr>
          <w:p w14:paraId="159C8190">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1"/>
              <w:jc w:val="center"/>
              <w:textAlignment w:val="baseline"/>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投标人资格证明文件</w:t>
            </w:r>
          </w:p>
        </w:tc>
        <w:tc>
          <w:tcPr>
            <w:tcW w:w="7665" w:type="dxa"/>
            <w:tcBorders>
              <w:bottom w:val="single" w:color="000000" w:sz="8" w:space="0"/>
              <w:right w:val="single" w:color="000000" w:sz="8" w:space="0"/>
            </w:tcBorders>
            <w:vAlign w:val="top"/>
          </w:tcPr>
          <w:p w14:paraId="44A4F71C">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z w:val="24"/>
                <w:szCs w:val="24"/>
              </w:rPr>
            </w:pPr>
            <w:r>
              <w:rPr>
                <w:rFonts w:hint="eastAsia" w:ascii="仿宋" w:hAnsi="仿宋" w:eastAsia="仿宋" w:cs="仿宋"/>
                <w:spacing w:val="-11"/>
                <w:sz w:val="24"/>
                <w:szCs w:val="24"/>
              </w:rPr>
              <w:t>申请人的资格要求：</w:t>
            </w:r>
          </w:p>
          <w:p w14:paraId="4B706D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1．具有独立承担民事责任的能力;</w:t>
            </w:r>
          </w:p>
          <w:p w14:paraId="6B32C0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2．具有良好的商业信誉和健全的财务会计制度;</w:t>
            </w:r>
          </w:p>
          <w:p w14:paraId="553BF8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3．具有履行合同所必须的设备和专业技术能力;</w:t>
            </w:r>
          </w:p>
          <w:p w14:paraId="27E5E6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4．具有依法缴纳税收和社会保障资金的良好</w:t>
            </w:r>
            <w:r>
              <w:rPr>
                <w:rFonts w:ascii="仿宋" w:hAnsi="仿宋" w:eastAsia="仿宋" w:cs="仿宋"/>
                <w:spacing w:val="-4"/>
                <w:sz w:val="24"/>
                <w:szCs w:val="24"/>
              </w:rPr>
              <w:t>记录;</w:t>
            </w:r>
          </w:p>
          <w:p w14:paraId="10DB23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5．参加本次政府采购活动前三年内，在经营活动中没</w:t>
            </w:r>
            <w:r>
              <w:rPr>
                <w:rFonts w:ascii="仿宋" w:hAnsi="仿宋" w:eastAsia="仿宋" w:cs="仿宋"/>
                <w:spacing w:val="-4"/>
                <w:sz w:val="24"/>
                <w:szCs w:val="24"/>
              </w:rPr>
              <w:t>有重大违法记录;</w:t>
            </w:r>
          </w:p>
          <w:p w14:paraId="53B866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6．法律、行政法规规定的其他条件;</w:t>
            </w:r>
          </w:p>
          <w:p w14:paraId="6B2542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jc w:val="both"/>
              <w:textAlignment w:val="baseline"/>
              <w:rPr>
                <w:rFonts w:ascii="仿宋" w:hAnsi="仿宋" w:eastAsia="仿宋" w:cs="仿宋"/>
                <w:spacing w:val="-2"/>
                <w:sz w:val="24"/>
                <w:szCs w:val="24"/>
              </w:rPr>
            </w:pPr>
            <w:r>
              <w:rPr>
                <w:rFonts w:hint="eastAsia" w:ascii="仿宋" w:hAnsi="仿宋" w:eastAsia="仿宋" w:cs="仿宋"/>
                <w:spacing w:val="-2"/>
                <w:sz w:val="24"/>
                <w:szCs w:val="24"/>
                <w:lang w:val="en-US" w:eastAsia="zh-CN"/>
              </w:rPr>
              <w:t>7</w:t>
            </w:r>
            <w:r>
              <w:rPr>
                <w:rFonts w:ascii="仿宋" w:hAnsi="仿宋" w:eastAsia="仿宋" w:cs="仿宋"/>
                <w:spacing w:val="-2"/>
                <w:sz w:val="24"/>
                <w:szCs w:val="24"/>
              </w:rPr>
              <w:t>．根据采购项目提出的特殊要求:专门面向中小企业。</w:t>
            </w:r>
          </w:p>
          <w:p w14:paraId="1A8893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jc w:val="both"/>
              <w:textAlignment w:val="baseline"/>
              <w:rPr>
                <w:rFonts w:hint="eastAsia" w:ascii="仿宋" w:hAnsi="仿宋" w:eastAsia="仿宋" w:cs="仿宋"/>
                <w:spacing w:val="-2"/>
                <w:sz w:val="24"/>
                <w:szCs w:val="24"/>
                <w:lang w:eastAsia="zh-CN"/>
              </w:rPr>
            </w:pPr>
            <w:r>
              <w:rPr>
                <w:rFonts w:hint="eastAsia" w:ascii="仿宋" w:hAnsi="仿宋" w:eastAsia="仿宋" w:cs="仿宋"/>
                <w:spacing w:val="-2"/>
                <w:sz w:val="24"/>
                <w:szCs w:val="24"/>
                <w:lang w:val="en-US" w:eastAsia="zh-CN"/>
              </w:rPr>
              <w:t>8</w:t>
            </w:r>
            <w:r>
              <w:rPr>
                <w:rFonts w:ascii="仿宋" w:hAnsi="仿宋" w:eastAsia="仿宋" w:cs="仿宋"/>
                <w:spacing w:val="-2"/>
                <w:sz w:val="24"/>
                <w:szCs w:val="24"/>
              </w:rPr>
              <w:t>．本项目的特定资格要求：供应商提供</w:t>
            </w:r>
            <w:r>
              <w:rPr>
                <w:rFonts w:hint="eastAsia" w:ascii="仿宋" w:hAnsi="仿宋" w:eastAsia="仿宋" w:cs="仿宋"/>
                <w:spacing w:val="-2"/>
                <w:sz w:val="24"/>
                <w:szCs w:val="24"/>
                <w:lang w:val="en-US" w:eastAsia="zh-CN"/>
              </w:rPr>
              <w:t>地质灾害治理工程设计和</w:t>
            </w:r>
            <w:r>
              <w:rPr>
                <w:rFonts w:ascii="仿宋" w:hAnsi="仿宋" w:eastAsia="仿宋" w:cs="仿宋"/>
                <w:spacing w:val="-2"/>
                <w:sz w:val="24"/>
                <w:szCs w:val="24"/>
              </w:rPr>
              <w:t>地质灾害治理工程施工</w:t>
            </w:r>
            <w:r>
              <w:rPr>
                <w:rFonts w:hint="eastAsia" w:ascii="仿宋" w:hAnsi="仿宋" w:eastAsia="仿宋" w:cs="仿宋"/>
                <w:spacing w:val="-2"/>
                <w:sz w:val="24"/>
                <w:szCs w:val="24"/>
                <w:lang w:val="en-US" w:eastAsia="zh-CN"/>
              </w:rPr>
              <w:t>甲</w:t>
            </w:r>
            <w:r>
              <w:rPr>
                <w:rFonts w:ascii="仿宋" w:hAnsi="仿宋" w:eastAsia="仿宋" w:cs="仿宋"/>
                <w:spacing w:val="-2"/>
                <w:sz w:val="24"/>
                <w:szCs w:val="24"/>
              </w:rPr>
              <w:t>级（含</w:t>
            </w:r>
            <w:r>
              <w:rPr>
                <w:rFonts w:hint="eastAsia" w:ascii="仿宋" w:hAnsi="仿宋" w:eastAsia="仿宋" w:cs="仿宋"/>
                <w:spacing w:val="-2"/>
                <w:sz w:val="24"/>
                <w:szCs w:val="24"/>
                <w:lang w:val="en-US" w:eastAsia="zh-CN"/>
              </w:rPr>
              <w:t>甲</w:t>
            </w:r>
            <w:r>
              <w:rPr>
                <w:rFonts w:ascii="仿宋" w:hAnsi="仿宋" w:eastAsia="仿宋" w:cs="仿宋"/>
                <w:spacing w:val="-2"/>
                <w:sz w:val="24"/>
                <w:szCs w:val="24"/>
              </w:rPr>
              <w:t>级）以上资质；</w:t>
            </w:r>
            <w:r>
              <w:rPr>
                <w:rFonts w:hint="eastAsia" w:ascii="仿宋" w:hAnsi="仿宋" w:eastAsia="仿宋" w:cs="仿宋"/>
                <w:spacing w:val="-2"/>
                <w:sz w:val="24"/>
                <w:szCs w:val="24"/>
              </w:rPr>
              <w:t>拟派项目负责人须具有水工环地质(或水文地质或工程与环境地质或地质工程)高级工程师职称</w:t>
            </w:r>
            <w:r>
              <w:rPr>
                <w:rFonts w:hint="eastAsia" w:ascii="仿宋" w:hAnsi="仿宋" w:eastAsia="仿宋" w:cs="仿宋"/>
                <w:spacing w:val="-2"/>
                <w:sz w:val="24"/>
                <w:szCs w:val="24"/>
                <w:lang w:eastAsia="zh-CN"/>
              </w:rPr>
              <w:t>。</w:t>
            </w:r>
          </w:p>
          <w:p w14:paraId="481FF2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lang w:val="en-US" w:eastAsia="zh-CN"/>
              </w:rPr>
              <w:t>9</w:t>
            </w:r>
            <w:r>
              <w:rPr>
                <w:rFonts w:ascii="仿宋" w:hAnsi="仿宋" w:eastAsia="仿宋" w:cs="仿宋"/>
                <w:spacing w:val="-3"/>
                <w:sz w:val="24"/>
                <w:szCs w:val="24"/>
              </w:rPr>
              <w:t>.</w:t>
            </w:r>
            <w:r>
              <w:rPr>
                <w:rFonts w:ascii="仿宋" w:hAnsi="仿宋" w:eastAsia="仿宋" w:cs="仿宋"/>
                <w:spacing w:val="-4"/>
                <w:sz w:val="24"/>
                <w:szCs w:val="24"/>
                <w:highlight w:val="none"/>
              </w:rPr>
              <w:t>本项目（否）接受联合体投标</w:t>
            </w:r>
          </w:p>
        </w:tc>
      </w:tr>
      <w:tr w14:paraId="3493F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91" w:type="dxa"/>
            <w:tcBorders>
              <w:left w:val="single" w:color="000000" w:sz="8" w:space="0"/>
              <w:bottom w:val="single" w:color="000000" w:sz="8" w:space="0"/>
            </w:tcBorders>
            <w:vAlign w:val="center"/>
          </w:tcPr>
          <w:p w14:paraId="781A08B0">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335" w:type="dxa"/>
            <w:tcBorders>
              <w:bottom w:val="single" w:color="000000" w:sz="8" w:space="0"/>
              <w:right w:val="single" w:color="000000" w:sz="8" w:space="0"/>
            </w:tcBorders>
            <w:vAlign w:val="center"/>
          </w:tcPr>
          <w:p w14:paraId="6E8ADA09">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1"/>
              <w:jc w:val="center"/>
              <w:textAlignment w:val="baseline"/>
              <w:rPr>
                <w:rFonts w:hint="eastAsia" w:ascii="仿宋" w:hAnsi="仿宋" w:eastAsia="仿宋" w:cs="仿宋"/>
                <w:sz w:val="24"/>
                <w:szCs w:val="24"/>
                <w:highlight w:val="none"/>
                <w:lang w:val="en-US" w:eastAsia="zh-CN"/>
              </w:rPr>
            </w:pPr>
            <w:r>
              <w:rPr>
                <w:rFonts w:hint="eastAsia" w:cs="仿宋"/>
                <w:sz w:val="24"/>
                <w:szCs w:val="24"/>
                <w:highlight w:val="none"/>
                <w:lang w:val="en-US" w:eastAsia="zh-CN"/>
              </w:rPr>
              <w:t>服务</w:t>
            </w:r>
            <w:r>
              <w:rPr>
                <w:rFonts w:hint="eastAsia" w:ascii="仿宋" w:hAnsi="仿宋" w:eastAsia="仿宋" w:cs="仿宋"/>
                <w:sz w:val="24"/>
                <w:szCs w:val="24"/>
                <w:highlight w:val="none"/>
                <w:lang w:val="en-US" w:eastAsia="zh-CN"/>
              </w:rPr>
              <w:t>期</w:t>
            </w:r>
          </w:p>
        </w:tc>
        <w:tc>
          <w:tcPr>
            <w:tcW w:w="7665" w:type="dxa"/>
            <w:tcBorders>
              <w:bottom w:val="single" w:color="000000" w:sz="8" w:space="0"/>
              <w:right w:val="single" w:color="000000" w:sz="8" w:space="0"/>
            </w:tcBorders>
            <w:vAlign w:val="top"/>
          </w:tcPr>
          <w:p w14:paraId="1652369F">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1"/>
              <w:jc w:val="both"/>
              <w:textAlignment w:val="baseline"/>
              <w:rPr>
                <w:rFonts w:hint="eastAsia" w:ascii="仿宋" w:hAnsi="仿宋" w:eastAsia="仿宋" w:cs="仿宋"/>
                <w:sz w:val="24"/>
                <w:szCs w:val="24"/>
                <w:highlight w:val="none"/>
                <w:lang w:val="en-US" w:eastAsia="zh-CN"/>
              </w:rPr>
            </w:pPr>
            <w:r>
              <w:rPr>
                <w:rFonts w:hint="eastAsia"/>
              </w:rPr>
              <w:t>2025年2月10日-2025年5月1日，2025年04月1日前完成50%工作量，2025年5月1日完成剩余50%工作量。</w:t>
            </w:r>
          </w:p>
        </w:tc>
      </w:tr>
      <w:tr w14:paraId="3B2E7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91" w:type="dxa"/>
            <w:tcBorders>
              <w:left w:val="single" w:color="000000" w:sz="8" w:space="0"/>
              <w:bottom w:val="single" w:color="000000" w:sz="8" w:space="0"/>
            </w:tcBorders>
            <w:vAlign w:val="center"/>
          </w:tcPr>
          <w:p w14:paraId="559B01D6">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仿宋" w:hAnsi="仿宋" w:eastAsia="仿宋" w:cs="仿宋"/>
                <w:sz w:val="24"/>
                <w:szCs w:val="24"/>
                <w:lang w:val="en-US" w:eastAsia="zh-CN"/>
              </w:rPr>
            </w:pPr>
            <w:r>
              <w:rPr>
                <w:rFonts w:hint="eastAsia" w:cs="仿宋"/>
                <w:sz w:val="24"/>
                <w:szCs w:val="24"/>
                <w:lang w:val="en-US" w:eastAsia="zh-CN"/>
              </w:rPr>
              <w:t>5</w:t>
            </w:r>
          </w:p>
        </w:tc>
        <w:tc>
          <w:tcPr>
            <w:tcW w:w="1335" w:type="dxa"/>
            <w:tcBorders>
              <w:bottom w:val="single" w:color="000000" w:sz="8" w:space="0"/>
              <w:right w:val="single" w:color="000000" w:sz="8" w:space="0"/>
            </w:tcBorders>
            <w:vAlign w:val="center"/>
          </w:tcPr>
          <w:p w14:paraId="0BBF806C">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1"/>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付款方式</w:t>
            </w:r>
          </w:p>
        </w:tc>
        <w:tc>
          <w:tcPr>
            <w:tcW w:w="7665" w:type="dxa"/>
            <w:tcBorders>
              <w:bottom w:val="single" w:color="000000" w:sz="8" w:space="0"/>
              <w:right w:val="single" w:color="000000" w:sz="8" w:space="0"/>
            </w:tcBorders>
            <w:vAlign w:val="center"/>
          </w:tcPr>
          <w:p w14:paraId="4C0BCF90">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1"/>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备注:最终付款方式以和甲方单位签订合同为准。</w:t>
            </w:r>
          </w:p>
        </w:tc>
      </w:tr>
      <w:tr w14:paraId="6A829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1" w:type="dxa"/>
            <w:tcBorders>
              <w:top w:val="single" w:color="000000" w:sz="8" w:space="0"/>
              <w:left w:val="single" w:color="000000" w:sz="8" w:space="0"/>
              <w:bottom w:val="single" w:color="000000" w:sz="8" w:space="0"/>
            </w:tcBorders>
            <w:vAlign w:val="center"/>
          </w:tcPr>
          <w:p w14:paraId="67C537C0">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lang w:val="en-US" w:eastAsia="zh-CN"/>
              </w:rPr>
            </w:pPr>
            <w:r>
              <w:rPr>
                <w:rFonts w:hint="eastAsia" w:cs="仿宋"/>
                <w:sz w:val="24"/>
                <w:szCs w:val="24"/>
                <w:lang w:val="en-US" w:eastAsia="zh-CN"/>
              </w:rPr>
              <w:t>6</w:t>
            </w:r>
          </w:p>
        </w:tc>
        <w:tc>
          <w:tcPr>
            <w:tcW w:w="1335" w:type="dxa"/>
            <w:tcBorders>
              <w:top w:val="single" w:color="000000" w:sz="8" w:space="0"/>
              <w:bottom w:val="single" w:color="000000" w:sz="8" w:space="0"/>
              <w:right w:val="single" w:color="000000" w:sz="8" w:space="0"/>
            </w:tcBorders>
            <w:vAlign w:val="center"/>
          </w:tcPr>
          <w:p w14:paraId="5568B9EE">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0"/>
              <w:jc w:val="center"/>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是否为专门面向中小企业采购</w:t>
            </w:r>
          </w:p>
        </w:tc>
        <w:tc>
          <w:tcPr>
            <w:tcW w:w="7665" w:type="dxa"/>
            <w:tcBorders>
              <w:top w:val="single" w:color="000000" w:sz="8" w:space="0"/>
              <w:bottom w:val="single" w:color="000000" w:sz="8" w:space="0"/>
              <w:right w:val="single" w:color="000000" w:sz="8" w:space="0"/>
            </w:tcBorders>
            <w:vAlign w:val="center"/>
          </w:tcPr>
          <w:p w14:paraId="7F929A78">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0"/>
              <w:jc w:val="both"/>
              <w:textAlignment w:val="baseline"/>
              <w:rPr>
                <w:rFonts w:hint="eastAsia" w:ascii="仿宋" w:hAnsi="仿宋" w:eastAsia="仿宋" w:cs="仿宋"/>
                <w:sz w:val="24"/>
                <w:szCs w:val="24"/>
              </w:rPr>
            </w:pPr>
            <w:r>
              <w:rPr>
                <w:rFonts w:hint="eastAsia" w:ascii="仿宋" w:hAnsi="仿宋" w:eastAsia="仿宋" w:cs="仿宋"/>
                <w:b/>
                <w:bCs/>
                <w:spacing w:val="-1"/>
                <w:sz w:val="24"/>
                <w:szCs w:val="24"/>
                <w:u w:val="none" w:color="auto"/>
              </w:rPr>
              <w:t>专门面</w:t>
            </w:r>
            <w:r>
              <w:rPr>
                <w:rFonts w:hint="eastAsia" w:ascii="仿宋" w:hAnsi="仿宋" w:eastAsia="仿宋" w:cs="仿宋"/>
                <w:b/>
                <w:bCs/>
                <w:spacing w:val="-9"/>
                <w:sz w:val="24"/>
                <w:szCs w:val="24"/>
                <w:u w:val="none" w:color="auto"/>
              </w:rPr>
              <w:t>向中小企业采购</w:t>
            </w:r>
          </w:p>
        </w:tc>
      </w:tr>
      <w:tr w14:paraId="3C0AB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1" w:type="dxa"/>
            <w:tcBorders>
              <w:top w:val="single" w:color="000000" w:sz="8" w:space="0"/>
              <w:left w:val="single" w:color="000000" w:sz="8" w:space="0"/>
              <w:bottom w:val="single" w:color="000000" w:sz="8" w:space="0"/>
            </w:tcBorders>
            <w:vAlign w:val="center"/>
          </w:tcPr>
          <w:p w14:paraId="6F9F7582">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lang w:val="en-US" w:eastAsia="zh-CN"/>
              </w:rPr>
            </w:pPr>
            <w:r>
              <w:rPr>
                <w:rFonts w:hint="eastAsia" w:cs="仿宋"/>
                <w:sz w:val="24"/>
                <w:szCs w:val="24"/>
                <w:lang w:val="en-US" w:eastAsia="zh-CN"/>
              </w:rPr>
              <w:t>7</w:t>
            </w:r>
          </w:p>
        </w:tc>
        <w:tc>
          <w:tcPr>
            <w:tcW w:w="1335" w:type="dxa"/>
            <w:tcBorders>
              <w:top w:val="single" w:color="000000" w:sz="8" w:space="0"/>
              <w:bottom w:val="single" w:color="000000" w:sz="8" w:space="0"/>
              <w:right w:val="single" w:color="000000" w:sz="8" w:space="0"/>
            </w:tcBorders>
            <w:vAlign w:val="center"/>
          </w:tcPr>
          <w:p w14:paraId="47E17706">
            <w:pPr>
              <w:pStyle w:val="19"/>
              <w:keepNext w:val="0"/>
              <w:keepLines w:val="0"/>
              <w:pageBreakBefore w:val="0"/>
              <w:wordWrap/>
              <w:overflowPunct/>
              <w:topLinePunct w:val="0"/>
              <w:bidi w:val="0"/>
              <w:spacing w:line="400" w:lineRule="exact"/>
              <w:ind w:left="0" w:leftChars="0" w:right="0"/>
              <w:jc w:val="center"/>
              <w:rPr>
                <w:rFonts w:hint="eastAsia" w:ascii="仿宋" w:hAnsi="仿宋" w:eastAsia="仿宋" w:cs="仿宋"/>
                <w:sz w:val="24"/>
                <w:szCs w:val="24"/>
              </w:rPr>
            </w:pPr>
            <w:r>
              <w:rPr>
                <w:rFonts w:hint="eastAsia" w:ascii="仿宋" w:hAnsi="仿宋" w:eastAsia="仿宋" w:cs="仿宋"/>
                <w:sz w:val="24"/>
                <w:szCs w:val="24"/>
              </w:rPr>
              <w:t>是否允许联合体投标</w:t>
            </w:r>
          </w:p>
        </w:tc>
        <w:tc>
          <w:tcPr>
            <w:tcW w:w="7665" w:type="dxa"/>
            <w:tcBorders>
              <w:top w:val="single" w:color="000000" w:sz="8" w:space="0"/>
              <w:bottom w:val="single" w:color="000000" w:sz="8" w:space="0"/>
              <w:right w:val="single" w:color="000000" w:sz="8" w:space="0"/>
            </w:tcBorders>
            <w:vAlign w:val="center"/>
          </w:tcPr>
          <w:p w14:paraId="4A7AAB1E">
            <w:pPr>
              <w:pStyle w:val="19"/>
              <w:keepNext w:val="0"/>
              <w:keepLines w:val="0"/>
              <w:pageBreakBefore w:val="0"/>
              <w:wordWrap/>
              <w:overflowPunct/>
              <w:topLinePunct w:val="0"/>
              <w:bidi w:val="0"/>
              <w:spacing w:line="400" w:lineRule="exact"/>
              <w:ind w:left="0" w:leftChars="0" w:right="0"/>
              <w:jc w:val="both"/>
              <w:rPr>
                <w:rFonts w:hint="eastAsia" w:ascii="仿宋" w:hAnsi="仿宋" w:eastAsia="仿宋" w:cs="仿宋"/>
                <w:spacing w:val="-1"/>
                <w:sz w:val="24"/>
                <w:szCs w:val="24"/>
              </w:rPr>
            </w:pPr>
            <w:r>
              <w:rPr>
                <w:rFonts w:hint="eastAsia" w:ascii="仿宋" w:hAnsi="仿宋" w:eastAsia="仿宋" w:cs="仿宋"/>
                <w:sz w:val="24"/>
                <w:szCs w:val="24"/>
              </w:rPr>
              <w:t>本项目不允许联合体投标</w:t>
            </w:r>
          </w:p>
        </w:tc>
      </w:tr>
      <w:tr w14:paraId="5C243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1" w:type="dxa"/>
            <w:tcBorders>
              <w:top w:val="single" w:color="000000" w:sz="8" w:space="0"/>
              <w:left w:val="single" w:color="000000" w:sz="8" w:space="0"/>
              <w:bottom w:val="single" w:color="000000" w:sz="8" w:space="0"/>
            </w:tcBorders>
            <w:vAlign w:val="center"/>
          </w:tcPr>
          <w:p w14:paraId="2051E856">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仿宋" w:hAnsi="仿宋" w:eastAsia="仿宋" w:cs="仿宋"/>
                <w:sz w:val="24"/>
                <w:szCs w:val="24"/>
                <w:lang w:val="en-US" w:eastAsia="zh-CN"/>
              </w:rPr>
            </w:pPr>
            <w:r>
              <w:rPr>
                <w:rFonts w:hint="eastAsia" w:cs="仿宋"/>
                <w:sz w:val="24"/>
                <w:szCs w:val="24"/>
                <w:lang w:val="en-US" w:eastAsia="zh-CN"/>
              </w:rPr>
              <w:t>8</w:t>
            </w:r>
          </w:p>
        </w:tc>
        <w:tc>
          <w:tcPr>
            <w:tcW w:w="1335" w:type="dxa"/>
            <w:tcBorders>
              <w:top w:val="single" w:color="000000" w:sz="8" w:space="0"/>
              <w:bottom w:val="single" w:color="000000" w:sz="8" w:space="0"/>
              <w:right w:val="single" w:color="000000" w:sz="8" w:space="0"/>
            </w:tcBorders>
            <w:vAlign w:val="center"/>
          </w:tcPr>
          <w:p w14:paraId="0BA45B6D">
            <w:pPr>
              <w:keepNext w:val="0"/>
              <w:keepLines w:val="0"/>
              <w:pageBreakBefore w:val="0"/>
              <w:kinsoku/>
              <w:wordWrap/>
              <w:overflowPunct/>
              <w:topLinePunct w:val="0"/>
              <w:autoSpaceDE/>
              <w:autoSpaceDN/>
              <w:bidi w:val="0"/>
              <w:spacing w:line="400" w:lineRule="exact"/>
              <w:ind w:left="0" w:leftChars="0" w:right="0"/>
              <w:jc w:val="center"/>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招标文件澄清或修改时间、形式</w:t>
            </w:r>
          </w:p>
        </w:tc>
        <w:tc>
          <w:tcPr>
            <w:tcW w:w="7665" w:type="dxa"/>
            <w:tcBorders>
              <w:top w:val="single" w:color="000000" w:sz="8" w:space="0"/>
              <w:bottom w:val="single" w:color="000000" w:sz="8" w:space="0"/>
              <w:right w:val="single" w:color="000000" w:sz="8" w:space="0"/>
            </w:tcBorders>
            <w:vAlign w:val="center"/>
          </w:tcPr>
          <w:p w14:paraId="54AC3C72">
            <w:pPr>
              <w:pStyle w:val="14"/>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eastAsia="zh-CN"/>
              </w:rPr>
              <w:t>时间：递交投标文件截至时间</w:t>
            </w:r>
            <w:r>
              <w:rPr>
                <w:rFonts w:hint="eastAsia" w:ascii="仿宋" w:hAnsi="仿宋" w:eastAsia="仿宋" w:cs="仿宋"/>
                <w:color w:val="auto"/>
                <w:kern w:val="2"/>
                <w:sz w:val="24"/>
                <w:szCs w:val="24"/>
                <w:highlight w:val="none"/>
                <w:lang w:val="en-US" w:eastAsia="zh-CN"/>
              </w:rPr>
              <w:t>15日前</w:t>
            </w:r>
          </w:p>
          <w:p w14:paraId="7CAFFDC0">
            <w:pPr>
              <w:pStyle w:val="14"/>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形式：书面或公告</w:t>
            </w:r>
          </w:p>
          <w:p w14:paraId="5AFE1DA9">
            <w:pPr>
              <w:pStyle w:val="14"/>
              <w:keepNext w:val="0"/>
              <w:keepLines w:val="0"/>
              <w:pageBreakBefore w:val="0"/>
              <w:kinsoku/>
              <w:wordWrap/>
              <w:overflowPunct/>
              <w:topLinePunct w:val="0"/>
              <w:autoSpaceDE/>
              <w:autoSpaceDN/>
              <w:bidi w:val="0"/>
              <w:spacing w:line="400" w:lineRule="exact"/>
              <w:ind w:left="0" w:leftChars="0" w:right="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联系邮箱：</w:t>
            </w:r>
            <w:r>
              <w:rPr>
                <w:rFonts w:hint="eastAsia" w:ascii="仿宋" w:hAnsi="仿宋" w:eastAsia="仿宋" w:cs="仿宋"/>
                <w:color w:val="000000"/>
                <w:sz w:val="24"/>
                <w:szCs w:val="24"/>
                <w:highlight w:val="none"/>
                <w:lang w:val="en-US" w:eastAsia="zh-CN"/>
              </w:rPr>
              <w:t>andyjzy@foxmail.com</w:t>
            </w:r>
            <w:r>
              <w:rPr>
                <w:rFonts w:hint="eastAsia" w:ascii="仿宋" w:hAnsi="仿宋" w:eastAsia="仿宋" w:cs="仿宋"/>
                <w:color w:val="000000"/>
                <w:sz w:val="24"/>
                <w:szCs w:val="24"/>
                <w:highlight w:val="none"/>
              </w:rPr>
              <w:t>（注：接受扫描件。）</w:t>
            </w:r>
          </w:p>
        </w:tc>
      </w:tr>
      <w:tr w14:paraId="3592E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1" w:type="dxa"/>
            <w:tcBorders>
              <w:top w:val="single" w:color="000000" w:sz="8" w:space="0"/>
              <w:left w:val="single" w:color="000000" w:sz="8" w:space="0"/>
              <w:bottom w:val="single" w:color="000000" w:sz="8" w:space="0"/>
            </w:tcBorders>
            <w:vAlign w:val="center"/>
          </w:tcPr>
          <w:p w14:paraId="7F54B761">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仿宋" w:hAnsi="仿宋" w:eastAsia="仿宋" w:cs="仿宋"/>
                <w:sz w:val="24"/>
                <w:szCs w:val="24"/>
                <w:lang w:val="en-US" w:eastAsia="zh-CN"/>
              </w:rPr>
            </w:pPr>
            <w:r>
              <w:rPr>
                <w:rFonts w:hint="eastAsia" w:cs="仿宋"/>
                <w:sz w:val="24"/>
                <w:szCs w:val="24"/>
                <w:lang w:val="en-US" w:eastAsia="zh-CN"/>
              </w:rPr>
              <w:t>9</w:t>
            </w:r>
          </w:p>
        </w:tc>
        <w:tc>
          <w:tcPr>
            <w:tcW w:w="1335" w:type="dxa"/>
            <w:tcBorders>
              <w:top w:val="single" w:color="000000" w:sz="8" w:space="0"/>
              <w:bottom w:val="single" w:color="000000" w:sz="8" w:space="0"/>
              <w:right w:val="single" w:color="000000" w:sz="8" w:space="0"/>
            </w:tcBorders>
            <w:vAlign w:val="center"/>
          </w:tcPr>
          <w:p w14:paraId="50FAAC2F">
            <w:pPr>
              <w:keepNext w:val="0"/>
              <w:keepLines w:val="0"/>
              <w:pageBreakBefore w:val="0"/>
              <w:kinsoku/>
              <w:wordWrap/>
              <w:overflowPunct/>
              <w:topLinePunct w:val="0"/>
              <w:autoSpaceDE/>
              <w:autoSpaceDN/>
              <w:bidi w:val="0"/>
              <w:spacing w:line="400" w:lineRule="exact"/>
              <w:ind w:left="0" w:leftChars="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投标人对招标文件提出质疑的时间、形式</w:t>
            </w:r>
          </w:p>
        </w:tc>
        <w:tc>
          <w:tcPr>
            <w:tcW w:w="7665" w:type="dxa"/>
            <w:tcBorders>
              <w:top w:val="single" w:color="000000" w:sz="8" w:space="0"/>
              <w:bottom w:val="single" w:color="000000" w:sz="8" w:space="0"/>
              <w:right w:val="single" w:color="000000" w:sz="8" w:space="0"/>
            </w:tcBorders>
            <w:vAlign w:val="center"/>
          </w:tcPr>
          <w:p w14:paraId="4B97E824">
            <w:pPr>
              <w:pStyle w:val="14"/>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时间：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超过期限的采购人或采购代理机构不再受理。</w:t>
            </w:r>
          </w:p>
          <w:p w14:paraId="52513749">
            <w:pPr>
              <w:pStyle w:val="14"/>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形式：书面形式</w:t>
            </w:r>
          </w:p>
          <w:p w14:paraId="74C38A17">
            <w:pPr>
              <w:pStyle w:val="14"/>
              <w:keepNext w:val="0"/>
              <w:keepLines w:val="0"/>
              <w:pageBreakBefore w:val="0"/>
              <w:kinsoku/>
              <w:wordWrap/>
              <w:overflowPunct/>
              <w:topLinePunct w:val="0"/>
              <w:autoSpaceDE/>
              <w:autoSpaceDN/>
              <w:bidi w:val="0"/>
              <w:spacing w:line="400" w:lineRule="exact"/>
              <w:ind w:left="0" w:leftChars="0" w:right="0"/>
              <w:textAlignment w:val="auto"/>
              <w:rPr>
                <w:rFonts w:hint="eastAsia" w:ascii="仿宋" w:hAnsi="仿宋" w:eastAsia="仿宋" w:cs="仿宋"/>
                <w:color w:val="000000"/>
                <w:sz w:val="24"/>
                <w:szCs w:val="24"/>
                <w:highlight w:val="none"/>
              </w:rPr>
            </w:pPr>
            <w:r>
              <w:rPr>
                <w:rFonts w:hint="eastAsia" w:ascii="仿宋" w:hAnsi="仿宋" w:eastAsia="仿宋" w:cs="仿宋"/>
                <w:snapToGrid w:val="0"/>
                <w:color w:val="auto"/>
                <w:kern w:val="0"/>
                <w:sz w:val="24"/>
                <w:szCs w:val="24"/>
                <w:highlight w:val="none"/>
                <w:lang w:val="en-US" w:eastAsia="zh-CN" w:bidi="ar-SA"/>
              </w:rPr>
              <w:t>联系邮箱：andyjzy@foxmail.com（注：接受扫描件。）</w:t>
            </w:r>
          </w:p>
        </w:tc>
      </w:tr>
      <w:tr w14:paraId="1D1F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1" w:type="dxa"/>
            <w:tcBorders>
              <w:top w:val="single" w:color="000000" w:sz="8" w:space="0"/>
              <w:left w:val="single" w:color="000000" w:sz="8" w:space="0"/>
              <w:bottom w:val="single" w:color="000000" w:sz="8" w:space="0"/>
            </w:tcBorders>
            <w:vAlign w:val="center"/>
          </w:tcPr>
          <w:p w14:paraId="31BB4E54">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仿宋" w:hAnsi="仿宋" w:eastAsia="仿宋" w:cs="仿宋"/>
                <w:sz w:val="24"/>
                <w:szCs w:val="24"/>
                <w:lang w:val="en-US" w:eastAsia="zh-CN"/>
              </w:rPr>
            </w:pPr>
            <w:r>
              <w:rPr>
                <w:rFonts w:hint="eastAsia" w:cs="仿宋"/>
                <w:sz w:val="24"/>
                <w:szCs w:val="24"/>
                <w:lang w:val="en-US" w:eastAsia="zh-CN"/>
              </w:rPr>
              <w:t>10</w:t>
            </w:r>
          </w:p>
        </w:tc>
        <w:tc>
          <w:tcPr>
            <w:tcW w:w="1335" w:type="dxa"/>
            <w:tcBorders>
              <w:top w:val="single" w:color="000000" w:sz="8" w:space="0"/>
              <w:bottom w:val="single" w:color="000000" w:sz="8" w:space="0"/>
              <w:right w:val="single" w:color="000000" w:sz="8" w:space="0"/>
            </w:tcBorders>
            <w:vAlign w:val="center"/>
          </w:tcPr>
          <w:p w14:paraId="454F97FF">
            <w:pPr>
              <w:keepNext w:val="0"/>
              <w:keepLines w:val="0"/>
              <w:pageBreakBefore w:val="0"/>
              <w:kinsoku/>
              <w:wordWrap/>
              <w:overflowPunct/>
              <w:topLinePunct w:val="0"/>
              <w:autoSpaceDE/>
              <w:autoSpaceDN/>
              <w:bidi w:val="0"/>
              <w:spacing w:line="400" w:lineRule="exact"/>
              <w:ind w:left="0" w:leftChars="0" w:right="0"/>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color w:val="auto"/>
                <w:sz w:val="24"/>
                <w:szCs w:val="24"/>
                <w:highlight w:val="none"/>
                <w:lang w:val="en-US" w:eastAsia="zh-CN"/>
              </w:rPr>
              <w:t>投标人对招标文件提出质疑的时间、形式</w:t>
            </w:r>
          </w:p>
        </w:tc>
        <w:tc>
          <w:tcPr>
            <w:tcW w:w="7665" w:type="dxa"/>
            <w:tcBorders>
              <w:top w:val="single" w:color="000000" w:sz="8" w:space="0"/>
              <w:bottom w:val="single" w:color="000000" w:sz="8" w:space="0"/>
              <w:right w:val="single" w:color="000000" w:sz="8" w:space="0"/>
            </w:tcBorders>
            <w:vAlign w:val="center"/>
          </w:tcPr>
          <w:p w14:paraId="13BA8CB4">
            <w:pPr>
              <w:pStyle w:val="14"/>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eastAsia="zh-CN"/>
              </w:rPr>
              <w:t>时间：自收到投标人质疑函之日起</w:t>
            </w:r>
            <w:r>
              <w:rPr>
                <w:rFonts w:hint="eastAsia" w:ascii="仿宋" w:hAnsi="仿宋" w:eastAsia="仿宋" w:cs="仿宋"/>
                <w:color w:val="auto"/>
                <w:kern w:val="2"/>
                <w:sz w:val="24"/>
                <w:szCs w:val="24"/>
                <w:highlight w:val="none"/>
                <w:lang w:val="en-US" w:eastAsia="zh-CN"/>
              </w:rPr>
              <w:t>7个工作日内</w:t>
            </w:r>
          </w:p>
          <w:p w14:paraId="22F23629">
            <w:pPr>
              <w:pStyle w:val="14"/>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形式：书面形式</w:t>
            </w:r>
          </w:p>
          <w:p w14:paraId="5116D8D3">
            <w:pPr>
              <w:pStyle w:val="14"/>
              <w:keepNext w:val="0"/>
              <w:keepLines w:val="0"/>
              <w:pageBreakBefore w:val="0"/>
              <w:kinsoku/>
              <w:wordWrap/>
              <w:overflowPunct/>
              <w:topLinePunct w:val="0"/>
              <w:autoSpaceDE/>
              <w:autoSpaceDN/>
              <w:bidi w:val="0"/>
              <w:spacing w:line="400" w:lineRule="exact"/>
              <w:ind w:left="0" w:leftChars="0" w:right="0"/>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联系邮箱：</w:t>
            </w:r>
            <w:r>
              <w:rPr>
                <w:rFonts w:hint="eastAsia" w:ascii="仿宋" w:hAnsi="仿宋" w:eastAsia="仿宋" w:cs="仿宋"/>
                <w:color w:val="000000"/>
                <w:sz w:val="24"/>
                <w:szCs w:val="24"/>
                <w:highlight w:val="none"/>
                <w:lang w:val="en-US" w:eastAsia="zh-CN"/>
              </w:rPr>
              <w:t>andyjzy@foxmail.com</w:t>
            </w:r>
            <w:r>
              <w:rPr>
                <w:rFonts w:hint="eastAsia" w:ascii="仿宋" w:hAnsi="仿宋" w:eastAsia="仿宋" w:cs="仿宋"/>
                <w:color w:val="000000"/>
                <w:sz w:val="24"/>
                <w:szCs w:val="24"/>
                <w:highlight w:val="none"/>
              </w:rPr>
              <w:t>（注：接受扫描件。）</w:t>
            </w:r>
          </w:p>
        </w:tc>
      </w:tr>
      <w:tr w14:paraId="28167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1" w:type="dxa"/>
            <w:tcBorders>
              <w:top w:val="single" w:color="000000" w:sz="8" w:space="0"/>
              <w:left w:val="single" w:color="000000" w:sz="8" w:space="0"/>
              <w:bottom w:val="single" w:color="000000" w:sz="8" w:space="0"/>
            </w:tcBorders>
            <w:vAlign w:val="center"/>
          </w:tcPr>
          <w:p w14:paraId="34A99295">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仿宋" w:hAnsi="仿宋" w:eastAsia="仿宋" w:cs="仿宋"/>
                <w:sz w:val="24"/>
                <w:szCs w:val="24"/>
                <w:lang w:val="en-US" w:eastAsia="zh-CN"/>
              </w:rPr>
            </w:pPr>
            <w:r>
              <w:rPr>
                <w:rFonts w:hint="eastAsia" w:cs="仿宋"/>
                <w:sz w:val="24"/>
                <w:szCs w:val="24"/>
                <w:lang w:val="en-US" w:eastAsia="zh-CN"/>
              </w:rPr>
              <w:t>11</w:t>
            </w:r>
          </w:p>
        </w:tc>
        <w:tc>
          <w:tcPr>
            <w:tcW w:w="1335" w:type="dxa"/>
            <w:tcBorders>
              <w:top w:val="single" w:color="000000" w:sz="8" w:space="0"/>
              <w:bottom w:val="single" w:color="000000" w:sz="8" w:space="0"/>
              <w:right w:val="single" w:color="000000" w:sz="8" w:space="0"/>
            </w:tcBorders>
            <w:vAlign w:val="center"/>
          </w:tcPr>
          <w:p w14:paraId="3CA7B4C7">
            <w:pPr>
              <w:pStyle w:val="19"/>
              <w:keepNext w:val="0"/>
              <w:keepLines w:val="0"/>
              <w:pageBreakBefore w:val="0"/>
              <w:wordWrap/>
              <w:overflowPunct/>
              <w:topLinePunct w:val="0"/>
              <w:bidi w:val="0"/>
              <w:spacing w:line="400" w:lineRule="exact"/>
              <w:ind w:left="0" w:leftChars="0" w:right="0"/>
              <w:jc w:val="center"/>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最高限价</w:t>
            </w:r>
          </w:p>
        </w:tc>
        <w:tc>
          <w:tcPr>
            <w:tcW w:w="7665" w:type="dxa"/>
            <w:tcBorders>
              <w:top w:val="single" w:color="000000" w:sz="8" w:space="0"/>
              <w:bottom w:val="single" w:color="000000" w:sz="8" w:space="0"/>
              <w:right w:val="single" w:color="000000" w:sz="8" w:space="0"/>
            </w:tcBorders>
            <w:vAlign w:val="top"/>
          </w:tcPr>
          <w:p w14:paraId="09358E86">
            <w:pPr>
              <w:pStyle w:val="19"/>
              <w:keepNext w:val="0"/>
              <w:keepLines w:val="0"/>
              <w:pageBreakBefore w:val="0"/>
              <w:wordWrap/>
              <w:overflowPunct/>
              <w:topLinePunct w:val="0"/>
              <w:bidi w:val="0"/>
              <w:spacing w:line="400" w:lineRule="exact"/>
              <w:ind w:left="0" w:leftChars="0" w:right="0"/>
              <w:rPr>
                <w:rFonts w:hint="eastAsia" w:ascii="仿宋" w:hAnsi="仿宋" w:eastAsia="仿宋" w:cs="仿宋"/>
                <w:spacing w:val="-2"/>
                <w:sz w:val="24"/>
                <w:szCs w:val="24"/>
                <w:highlight w:val="yellow"/>
              </w:rPr>
            </w:pPr>
            <w:r>
              <w:rPr>
                <w:rFonts w:hint="eastAsia" w:ascii="仿宋" w:hAnsi="仿宋" w:eastAsia="仿宋" w:cs="仿宋"/>
                <w:spacing w:val="-2"/>
                <w:sz w:val="24"/>
                <w:szCs w:val="24"/>
                <w:lang w:eastAsia="zh-CN"/>
              </w:rPr>
              <w:t>最高限价</w:t>
            </w:r>
            <w:r>
              <w:rPr>
                <w:rFonts w:hint="eastAsia" w:ascii="仿宋" w:hAnsi="仿宋" w:eastAsia="仿宋" w:cs="仿宋"/>
                <w:spacing w:val="-2"/>
                <w:sz w:val="24"/>
                <w:szCs w:val="24"/>
                <w:lang w:val="en-US" w:eastAsia="zh-CN"/>
              </w:rPr>
              <w:t>为</w:t>
            </w:r>
            <w:r>
              <w:rPr>
                <w:rFonts w:hint="eastAsia" w:ascii="仿宋" w:hAnsi="仿宋" w:eastAsia="仿宋" w:cs="仿宋"/>
                <w:spacing w:val="-2"/>
                <w:sz w:val="24"/>
                <w:szCs w:val="24"/>
              </w:rPr>
              <w:t>：6</w:t>
            </w:r>
            <w:r>
              <w:rPr>
                <w:rFonts w:hint="eastAsia" w:cs="仿宋"/>
                <w:spacing w:val="-2"/>
                <w:sz w:val="24"/>
                <w:szCs w:val="24"/>
                <w:lang w:val="en-US" w:eastAsia="zh-CN"/>
              </w:rPr>
              <w:t>2</w:t>
            </w:r>
            <w:r>
              <w:rPr>
                <w:rFonts w:hint="eastAsia" w:ascii="仿宋" w:hAnsi="仿宋" w:eastAsia="仿宋" w:cs="仿宋"/>
                <w:spacing w:val="-2"/>
                <w:sz w:val="24"/>
                <w:szCs w:val="24"/>
              </w:rPr>
              <w:t>3.36万元</w:t>
            </w:r>
          </w:p>
          <w:p w14:paraId="30AB1A08">
            <w:pPr>
              <w:pStyle w:val="19"/>
              <w:keepNext w:val="0"/>
              <w:keepLines w:val="0"/>
              <w:pageBreakBefore w:val="0"/>
              <w:wordWrap/>
              <w:overflowPunct/>
              <w:topLinePunct w:val="0"/>
              <w:bidi w:val="0"/>
              <w:spacing w:line="400" w:lineRule="exact"/>
              <w:ind w:left="0" w:leftChars="0" w:right="0"/>
              <w:rPr>
                <w:rFonts w:hint="eastAsia" w:ascii="仿宋" w:hAnsi="仿宋" w:eastAsia="仿宋" w:cs="仿宋"/>
                <w:sz w:val="24"/>
                <w:szCs w:val="24"/>
              </w:rPr>
            </w:pPr>
            <w:r>
              <w:rPr>
                <w:rFonts w:hint="eastAsia" w:ascii="仿宋" w:hAnsi="仿宋" w:eastAsia="仿宋" w:cs="仿宋"/>
                <w:color w:val="auto"/>
                <w:sz w:val="24"/>
                <w:szCs w:val="24"/>
                <w:highlight w:val="none"/>
              </w:rPr>
              <w:t>各投标单位的总价不得超出最高限价,否则将作废标处理。</w:t>
            </w:r>
          </w:p>
        </w:tc>
      </w:tr>
      <w:tr w14:paraId="42DF8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1" w:type="dxa"/>
            <w:tcBorders>
              <w:top w:val="single" w:color="000000" w:sz="8" w:space="0"/>
              <w:left w:val="single" w:color="000000" w:sz="8" w:space="0"/>
              <w:bottom w:val="single" w:color="000000" w:sz="8" w:space="0"/>
            </w:tcBorders>
            <w:shd w:val="clear" w:color="auto" w:fill="auto"/>
            <w:vAlign w:val="center"/>
          </w:tcPr>
          <w:p w14:paraId="50E7B4F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4414B221">
            <w:pPr>
              <w:pStyle w:val="17"/>
              <w:keepNext w:val="0"/>
              <w:keepLines w:val="0"/>
              <w:pageBreakBefore w:val="0"/>
              <w:wordWrap/>
              <w:overflowPunct/>
              <w:topLinePunct w:val="0"/>
              <w:bidi w:val="0"/>
              <w:spacing w:line="400" w:lineRule="exact"/>
              <w:ind w:left="0" w:right="0"/>
              <w:rPr>
                <w:rFonts w:hint="eastAsia" w:ascii="仿宋" w:hAnsi="仿宋" w:eastAsia="仿宋" w:cs="仿宋"/>
                <w:sz w:val="24"/>
                <w:szCs w:val="24"/>
              </w:rPr>
            </w:pPr>
          </w:p>
          <w:p w14:paraId="3856892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6CA558E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仿宋" w:hAnsi="仿宋" w:eastAsia="仿宋" w:cs="仿宋"/>
                <w:sz w:val="24"/>
                <w:szCs w:val="24"/>
                <w:lang w:val="en-US"/>
              </w:rPr>
            </w:pPr>
            <w:r>
              <w:rPr>
                <w:rFonts w:hint="eastAsia" w:ascii="仿宋" w:hAnsi="仿宋" w:eastAsia="仿宋" w:cs="仿宋"/>
                <w:sz w:val="24"/>
                <w:szCs w:val="24"/>
                <w:lang w:val="en-US" w:eastAsia="zh-CN"/>
              </w:rPr>
              <w:t>12</w:t>
            </w:r>
          </w:p>
          <w:p w14:paraId="3372177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7BE533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1D026289">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ascii="仿宋" w:hAnsi="仿宋" w:eastAsia="仿宋" w:cs="仿宋"/>
                <w:snapToGrid w:val="0"/>
                <w:color w:val="000000"/>
                <w:kern w:val="0"/>
                <w:sz w:val="24"/>
                <w:szCs w:val="24"/>
                <w:lang w:val="en-US" w:eastAsia="en-US" w:bidi="ar-SA"/>
              </w:rPr>
            </w:pPr>
          </w:p>
        </w:tc>
        <w:tc>
          <w:tcPr>
            <w:tcW w:w="1335" w:type="dxa"/>
            <w:tcBorders>
              <w:top w:val="single" w:color="000000" w:sz="8" w:space="0"/>
              <w:bottom w:val="single" w:color="000000" w:sz="8" w:space="0"/>
              <w:right w:val="single" w:color="000000" w:sz="8" w:space="0"/>
            </w:tcBorders>
            <w:shd w:val="clear" w:color="auto" w:fill="auto"/>
            <w:vAlign w:val="center"/>
          </w:tcPr>
          <w:p w14:paraId="22D5201D">
            <w:pPr>
              <w:pStyle w:val="19"/>
              <w:keepNext w:val="0"/>
              <w:keepLines w:val="0"/>
              <w:pageBreakBefore w:val="0"/>
              <w:wordWrap/>
              <w:overflowPunct/>
              <w:topLinePunct w:val="0"/>
              <w:bidi w:val="0"/>
              <w:spacing w:line="400" w:lineRule="exact"/>
              <w:ind w:left="0" w:leftChars="0" w:right="0" w:rightChars="0" w:firstLine="48" w:firstLineChars="0"/>
              <w:jc w:val="center"/>
              <w:rPr>
                <w:rFonts w:hint="eastAsia" w:ascii="仿宋" w:hAnsi="仿宋" w:eastAsia="仿宋" w:cs="仿宋"/>
                <w:spacing w:val="-5"/>
                <w:sz w:val="24"/>
                <w:szCs w:val="24"/>
              </w:rPr>
            </w:pPr>
            <w:r>
              <w:rPr>
                <w:rFonts w:hint="eastAsia" w:ascii="仿宋" w:hAnsi="仿宋" w:eastAsia="仿宋" w:cs="仿宋"/>
                <w:spacing w:val="-2"/>
                <w:sz w:val="24"/>
                <w:szCs w:val="24"/>
              </w:rPr>
              <w:t>投标保证金</w:t>
            </w:r>
          </w:p>
        </w:tc>
        <w:tc>
          <w:tcPr>
            <w:tcW w:w="7665" w:type="dxa"/>
            <w:tcBorders>
              <w:top w:val="single" w:color="000000" w:sz="8" w:space="0"/>
              <w:bottom w:val="single" w:color="000000" w:sz="8" w:space="0"/>
              <w:right w:val="single" w:color="000000" w:sz="8" w:space="0"/>
            </w:tcBorders>
            <w:shd w:val="clear" w:color="auto" w:fill="auto"/>
            <w:vAlign w:val="top"/>
          </w:tcPr>
          <w:p w14:paraId="29E16F06">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保证金金额：</w:t>
            </w:r>
            <w:r>
              <w:rPr>
                <w:rFonts w:hint="eastAsia" w:ascii="仿宋" w:hAnsi="仿宋" w:eastAsia="仿宋" w:cs="仿宋"/>
                <w:color w:val="auto"/>
                <w:sz w:val="24"/>
                <w:szCs w:val="24"/>
                <w:highlight w:val="none"/>
                <w:lang w:val="en-US" w:eastAsia="zh-CN"/>
              </w:rPr>
              <w:t>60000.00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（大写：陆万元整）</w:t>
            </w:r>
          </w:p>
          <w:p w14:paraId="66D29922">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账户名：新疆振豪建设项目管理有限公司</w:t>
            </w:r>
          </w:p>
          <w:p w14:paraId="790C90B6">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开户行：招商银行乌鲁木齐友好北路支行</w:t>
            </w:r>
          </w:p>
          <w:p w14:paraId="6A89D736">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号：991908443210001</w:t>
            </w:r>
          </w:p>
          <w:p w14:paraId="1F3E5548">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保证金缴纳形式：以转账、电汇或者保函（政府采购电子保函）等非现金形式提交。</w:t>
            </w:r>
          </w:p>
          <w:p w14:paraId="0F27D510">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1.保证金到账截止时间</w:t>
            </w:r>
            <w:bookmarkStart w:id="24" w:name="EB961a54d590dd4901836fe4678f9cafb9"/>
            <w:bookmarkEnd w:id="24"/>
            <w:r>
              <w:rPr>
                <w:rFonts w:hint="eastAsia" w:ascii="仿宋" w:hAnsi="仿宋" w:eastAsia="仿宋" w:cs="仿宋"/>
                <w:color w:val="auto"/>
                <w:sz w:val="24"/>
                <w:szCs w:val="24"/>
                <w:highlight w:val="none"/>
                <w:lang w:val="en-US" w:eastAsia="zh-CN"/>
              </w:rPr>
              <w:t>：同开标时间（响应文件递交截止时间）</w:t>
            </w:r>
          </w:p>
          <w:p w14:paraId="34FC9C99">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2.缴纳的保证金以保证金实际到达采购代理机构账户时间为准； </w:t>
            </w:r>
          </w:p>
          <w:p w14:paraId="63ED6E8C">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3.供应商以转账、电汇或者保函（政府采购电子保函）等非现金形式提交保证金的注意事项如下： </w:t>
            </w:r>
          </w:p>
          <w:p w14:paraId="0AEA26CA">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（1）保证金单位名称必须与供应商登记的单位名称一致,不得以分公司、办事处或其或其他机构名义交纳,否则其投标将被拒绝。 </w:t>
            </w:r>
          </w:p>
          <w:p w14:paraId="19550463">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（2）供应商须在响应截止时间前由供应商账户一次性汇入采购文件指定帐号,供应商须自行评估因异地、跨行、公休日等因素造成的保证金到账延迟风险,并承担相应责任。</w:t>
            </w:r>
          </w:p>
          <w:p w14:paraId="03F36DC5">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（3）供应商请自行查询是否到账,供应商以网银转账、电汇汇款方式缴纳保证金的须从供应商账户转出,请备注项目名称或项目编号。</w:t>
            </w:r>
          </w:p>
          <w:p w14:paraId="62DD0B83">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（4）采用电子保函形式应按以下要求办理：</w:t>
            </w:r>
          </w:p>
          <w:p w14:paraId="60E51E57">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具体操作网址详见以下网址https://jinrong.zcygov.cn/luban/finance/letter/xinjiang?pageModelFlag=650000&amp;utm=luban.luban-PC-42055.959-pc-websitegroup-navBar-front.6.7e243ab01fd611eeaa409fcd72e2594c</w:t>
            </w:r>
          </w:p>
          <w:p w14:paraId="74ADB4BA">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注:供应商未按照招标文件上述要求提交保证金的,投标将被否决。供应商应充分考虑到账时间，否决后果自负。保函应由金融机构或担保机构出具。 </w:t>
            </w:r>
          </w:p>
          <w:p w14:paraId="02F1B0E3">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投标保证金有效期：自提交响应文件的截止之日起90天。</w:t>
            </w:r>
          </w:p>
          <w:p w14:paraId="6BDAE030">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投标保证金咨询电话：17797827186</w:t>
            </w:r>
          </w:p>
          <w:p w14:paraId="5F4AB50B">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保函格式：将政采云电子保函制作到电子投标文件即可</w:t>
            </w:r>
          </w:p>
          <w:p w14:paraId="704741D6">
            <w:pPr>
              <w:pStyle w:val="19"/>
              <w:keepNext w:val="0"/>
              <w:keepLines w:val="0"/>
              <w:pageBreakBefore w:val="0"/>
              <w:wordWrap/>
              <w:overflowPunct/>
              <w:topLinePunct w:val="0"/>
              <w:bidi w:val="0"/>
              <w:spacing w:line="400" w:lineRule="exact"/>
              <w:ind w:left="0" w:leftChars="0" w:right="0" w:rightChars="0" w:firstLine="48" w:firstLine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b/>
                <w:color w:val="auto"/>
                <w:sz w:val="24"/>
                <w:szCs w:val="24"/>
                <w:highlight w:val="none"/>
              </w:rPr>
              <w:t>注：</w:t>
            </w:r>
            <w:r>
              <w:rPr>
                <w:rFonts w:hint="eastAsia" w:ascii="仿宋" w:hAnsi="仿宋" w:eastAsia="仿宋" w:cs="仿宋"/>
                <w:b/>
                <w:bCs/>
                <w:color w:val="auto"/>
                <w:sz w:val="24"/>
                <w:szCs w:val="24"/>
                <w:highlight w:val="none"/>
              </w:rPr>
              <w:t>汇款单上需备注项目名称（可简写）</w:t>
            </w:r>
            <w:r>
              <w:rPr>
                <w:rFonts w:hint="eastAsia" w:ascii="仿宋" w:hAnsi="仿宋" w:eastAsia="仿宋" w:cs="仿宋"/>
                <w:b/>
                <w:bCs/>
                <w:color w:val="auto"/>
                <w:sz w:val="24"/>
                <w:szCs w:val="24"/>
                <w:highlight w:val="none"/>
                <w:lang w:eastAsia="zh-CN"/>
              </w:rPr>
              <w:t>或项目编号</w:t>
            </w:r>
            <w:r>
              <w:rPr>
                <w:rFonts w:hint="eastAsia" w:ascii="仿宋" w:hAnsi="仿宋" w:eastAsia="仿宋" w:cs="仿宋"/>
                <w:b/>
                <w:bCs/>
                <w:color w:val="auto"/>
                <w:sz w:val="24"/>
                <w:szCs w:val="24"/>
                <w:highlight w:val="none"/>
              </w:rPr>
              <w:t>。投标保证金于截止日之前确认到账，若投标人</w:t>
            </w:r>
            <w:r>
              <w:rPr>
                <w:rFonts w:hint="eastAsia" w:ascii="仿宋" w:hAnsi="仿宋" w:eastAsia="仿宋" w:cs="仿宋"/>
                <w:b/>
                <w:bCs/>
                <w:color w:val="auto"/>
                <w:sz w:val="24"/>
                <w:szCs w:val="24"/>
                <w:highlight w:val="none"/>
                <w:lang w:val="zh-CN"/>
              </w:rPr>
              <w:t>未按照上述规定缴纳投标保证金,投标文件将被拒绝评审。</w:t>
            </w:r>
          </w:p>
        </w:tc>
      </w:tr>
      <w:tr w14:paraId="4010E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1" w:type="dxa"/>
            <w:tcBorders>
              <w:top w:val="single" w:color="000000" w:sz="8" w:space="0"/>
              <w:left w:val="single" w:color="000000" w:sz="8" w:space="0"/>
              <w:bottom w:val="single" w:color="000000" w:sz="8" w:space="0"/>
            </w:tcBorders>
            <w:shd w:val="clear" w:color="auto" w:fill="auto"/>
            <w:vAlign w:val="center"/>
          </w:tcPr>
          <w:p w14:paraId="254E5ABA">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z w:val="24"/>
                <w:szCs w:val="24"/>
                <w:lang w:val="en-US" w:eastAsia="zh-CN"/>
              </w:rPr>
              <w:t>13</w:t>
            </w:r>
          </w:p>
        </w:tc>
        <w:tc>
          <w:tcPr>
            <w:tcW w:w="1335" w:type="dxa"/>
            <w:tcBorders>
              <w:top w:val="single" w:color="000000" w:sz="8" w:space="0"/>
              <w:bottom w:val="single" w:color="000000" w:sz="8" w:space="0"/>
              <w:right w:val="single" w:color="000000" w:sz="8" w:space="0"/>
            </w:tcBorders>
            <w:shd w:val="clear" w:color="auto" w:fill="auto"/>
            <w:vAlign w:val="center"/>
          </w:tcPr>
          <w:p w14:paraId="0C67B534">
            <w:pPr>
              <w:pStyle w:val="19"/>
              <w:keepNext w:val="0"/>
              <w:keepLines w:val="0"/>
              <w:pageBreakBefore w:val="0"/>
              <w:wordWrap/>
              <w:overflowPunct/>
              <w:topLinePunct w:val="0"/>
              <w:bidi w:val="0"/>
              <w:spacing w:line="400" w:lineRule="exact"/>
              <w:ind w:left="0" w:leftChars="0" w:right="0"/>
              <w:jc w:val="center"/>
              <w:rPr>
                <w:rFonts w:hint="eastAsia" w:ascii="仿宋" w:hAnsi="仿宋" w:eastAsia="仿宋" w:cs="仿宋"/>
                <w:spacing w:val="-13"/>
                <w:sz w:val="24"/>
                <w:szCs w:val="24"/>
              </w:rPr>
            </w:pPr>
            <w:r>
              <w:rPr>
                <w:rFonts w:hint="eastAsia" w:ascii="仿宋" w:hAnsi="仿宋" w:eastAsia="仿宋" w:cs="仿宋"/>
                <w:spacing w:val="-13"/>
                <w:sz w:val="24"/>
                <w:szCs w:val="24"/>
              </w:rPr>
              <w:t>投标有效期</w:t>
            </w:r>
          </w:p>
        </w:tc>
        <w:tc>
          <w:tcPr>
            <w:tcW w:w="7665" w:type="dxa"/>
            <w:tcBorders>
              <w:top w:val="single" w:color="000000" w:sz="8" w:space="0"/>
              <w:bottom w:val="single" w:color="000000" w:sz="8" w:space="0"/>
              <w:right w:val="single" w:color="000000" w:sz="8" w:space="0"/>
            </w:tcBorders>
            <w:shd w:val="clear" w:color="auto" w:fill="auto"/>
            <w:vAlign w:val="top"/>
          </w:tcPr>
          <w:p w14:paraId="4E81798A">
            <w:pPr>
              <w:pStyle w:val="19"/>
              <w:keepNext w:val="0"/>
              <w:keepLines w:val="0"/>
              <w:pageBreakBefore w:val="0"/>
              <w:wordWrap/>
              <w:overflowPunct/>
              <w:topLinePunct w:val="0"/>
              <w:bidi w:val="0"/>
              <w:spacing w:line="400" w:lineRule="exact"/>
              <w:ind w:left="0" w:leftChars="0" w:right="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13"/>
                <w:sz w:val="24"/>
                <w:szCs w:val="24"/>
                <w:u w:val="single" w:color="auto"/>
              </w:rPr>
              <w:t>90</w:t>
            </w:r>
            <w:r>
              <w:rPr>
                <w:rFonts w:hint="eastAsia" w:ascii="仿宋" w:hAnsi="仿宋" w:eastAsia="仿宋" w:cs="仿宋"/>
                <w:spacing w:val="-56"/>
                <w:sz w:val="24"/>
                <w:szCs w:val="24"/>
              </w:rPr>
              <w:t xml:space="preserve"> </w:t>
            </w:r>
            <w:r>
              <w:rPr>
                <w:rFonts w:hint="eastAsia" w:ascii="仿宋" w:hAnsi="仿宋" w:eastAsia="仿宋" w:cs="仿宋"/>
                <w:spacing w:val="-13"/>
                <w:sz w:val="24"/>
                <w:szCs w:val="24"/>
              </w:rPr>
              <w:t>日历日</w:t>
            </w:r>
          </w:p>
        </w:tc>
      </w:tr>
      <w:tr w14:paraId="0F5A7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691" w:type="dxa"/>
            <w:tcBorders>
              <w:top w:val="single" w:color="000000" w:sz="8" w:space="0"/>
              <w:left w:val="single" w:color="000000" w:sz="8" w:space="0"/>
              <w:bottom w:val="single" w:color="000000" w:sz="8" w:space="0"/>
            </w:tcBorders>
            <w:shd w:val="clear" w:color="auto" w:fill="auto"/>
            <w:vAlign w:val="center"/>
          </w:tcPr>
          <w:p w14:paraId="75409FEC">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cs="仿宋"/>
                <w:sz w:val="24"/>
                <w:szCs w:val="24"/>
                <w:lang w:val="en-US" w:eastAsia="zh-CN"/>
              </w:rPr>
              <w:t>14</w:t>
            </w:r>
          </w:p>
        </w:tc>
        <w:tc>
          <w:tcPr>
            <w:tcW w:w="1335" w:type="dxa"/>
            <w:tcBorders>
              <w:top w:val="single" w:color="000000" w:sz="8" w:space="0"/>
              <w:bottom w:val="single" w:color="000000" w:sz="8" w:space="0"/>
              <w:right w:val="single" w:color="000000" w:sz="8" w:space="0"/>
            </w:tcBorders>
            <w:shd w:val="clear" w:color="auto" w:fill="auto"/>
            <w:vAlign w:val="center"/>
          </w:tcPr>
          <w:p w14:paraId="283655CF">
            <w:pPr>
              <w:pStyle w:val="19"/>
              <w:keepNext w:val="0"/>
              <w:keepLines w:val="0"/>
              <w:pageBreakBefore w:val="0"/>
              <w:wordWrap/>
              <w:overflowPunct/>
              <w:topLinePunct w:val="0"/>
              <w:bidi w:val="0"/>
              <w:spacing w:line="400" w:lineRule="exact"/>
              <w:ind w:left="0" w:leftChars="0" w:right="0"/>
              <w:jc w:val="center"/>
              <w:rPr>
                <w:rFonts w:hint="eastAsia" w:ascii="仿宋" w:hAnsi="仿宋" w:eastAsia="仿宋" w:cs="仿宋"/>
                <w:spacing w:val="-6"/>
                <w:sz w:val="24"/>
                <w:szCs w:val="24"/>
              </w:rPr>
            </w:pPr>
            <w:r>
              <w:rPr>
                <w:rFonts w:hint="eastAsia" w:ascii="仿宋" w:hAnsi="仿宋" w:eastAsia="仿宋" w:cs="仿宋"/>
                <w:spacing w:val="-6"/>
                <w:sz w:val="24"/>
                <w:szCs w:val="24"/>
              </w:rPr>
              <w:t>投标截止时间</w:t>
            </w:r>
          </w:p>
        </w:tc>
        <w:tc>
          <w:tcPr>
            <w:tcW w:w="7665" w:type="dxa"/>
            <w:tcBorders>
              <w:top w:val="single" w:color="000000" w:sz="8" w:space="0"/>
              <w:bottom w:val="single" w:color="000000" w:sz="8" w:space="0"/>
              <w:right w:val="single" w:color="000000" w:sz="8" w:space="0"/>
            </w:tcBorders>
            <w:shd w:val="clear" w:color="auto" w:fill="auto"/>
            <w:vAlign w:val="center"/>
          </w:tcPr>
          <w:p w14:paraId="6CF4D4A2">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本项目采用不见面开标：</w:t>
            </w:r>
          </w:p>
          <w:p w14:paraId="0C06518A">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时间：202</w:t>
            </w:r>
            <w:r>
              <w:rPr>
                <w:rFonts w:hint="eastAsia" w:cs="仿宋"/>
                <w:spacing w:val="-2"/>
                <w:sz w:val="24"/>
                <w:szCs w:val="24"/>
                <w:lang w:val="en-US" w:eastAsia="zh-CN"/>
              </w:rPr>
              <w:t>5</w:t>
            </w:r>
            <w:r>
              <w:rPr>
                <w:rFonts w:hint="eastAsia" w:ascii="仿宋" w:hAnsi="仿宋" w:eastAsia="仿宋" w:cs="仿宋"/>
                <w:spacing w:val="-2"/>
                <w:sz w:val="24"/>
                <w:szCs w:val="24"/>
              </w:rPr>
              <w:t>年</w:t>
            </w:r>
            <w:r>
              <w:rPr>
                <w:rFonts w:hint="eastAsia" w:cs="仿宋"/>
                <w:spacing w:val="-2"/>
                <w:sz w:val="24"/>
                <w:szCs w:val="24"/>
                <w:lang w:val="en-US" w:eastAsia="zh-CN"/>
              </w:rPr>
              <w:t>02</w:t>
            </w:r>
            <w:r>
              <w:rPr>
                <w:rFonts w:hint="eastAsia" w:ascii="仿宋" w:hAnsi="仿宋" w:eastAsia="仿宋" w:cs="仿宋"/>
                <w:spacing w:val="-2"/>
                <w:sz w:val="24"/>
                <w:szCs w:val="24"/>
              </w:rPr>
              <w:t>月</w:t>
            </w:r>
            <w:r>
              <w:rPr>
                <w:rFonts w:hint="eastAsia" w:cs="仿宋"/>
                <w:spacing w:val="-2"/>
                <w:sz w:val="24"/>
                <w:szCs w:val="24"/>
                <w:lang w:val="en-US" w:eastAsia="zh-CN"/>
              </w:rPr>
              <w:t>10</w:t>
            </w:r>
            <w:r>
              <w:rPr>
                <w:rFonts w:hint="eastAsia" w:ascii="仿宋" w:hAnsi="仿宋" w:eastAsia="仿宋" w:cs="仿宋"/>
                <w:spacing w:val="-2"/>
                <w:sz w:val="24"/>
                <w:szCs w:val="24"/>
              </w:rPr>
              <w:t>日1</w:t>
            </w: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:00（北京时间）</w:t>
            </w:r>
          </w:p>
          <w:p w14:paraId="48F9579C">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 w:hAnsi="仿宋" w:eastAsia="仿宋" w:cs="仿宋"/>
                <w:spacing w:val="-7"/>
                <w:sz w:val="24"/>
                <w:szCs w:val="24"/>
                <w:lang w:val="en-US" w:eastAsia="en-US"/>
              </w:rPr>
            </w:pPr>
            <w:r>
              <w:rPr>
                <w:rFonts w:hint="eastAsia" w:ascii="仿宋" w:hAnsi="仿宋" w:eastAsia="仿宋" w:cs="仿宋"/>
                <w:spacing w:val="-2"/>
                <w:sz w:val="24"/>
                <w:szCs w:val="24"/>
              </w:rPr>
              <w:t>投标文件递交地点：供应商应将加密的电子投标文件上传到政采云平台https://www.zcygov.cn对应位置（逾期未上传的或不符合规定的投标文件将被拒绝接收）</w:t>
            </w:r>
          </w:p>
        </w:tc>
      </w:tr>
      <w:tr w14:paraId="10F3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1" w:type="dxa"/>
            <w:tcBorders>
              <w:top w:val="single" w:color="000000" w:sz="8" w:space="0"/>
              <w:left w:val="single" w:color="000000" w:sz="8" w:space="0"/>
              <w:bottom w:val="single" w:color="000000" w:sz="8" w:space="0"/>
            </w:tcBorders>
            <w:shd w:val="clear" w:color="auto" w:fill="auto"/>
            <w:vAlign w:val="center"/>
          </w:tcPr>
          <w:p w14:paraId="0AF3F1E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0991474F">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14"/>
                <w:sz w:val="24"/>
                <w:szCs w:val="24"/>
                <w:lang w:val="en-US" w:eastAsia="zh-CN"/>
              </w:rPr>
              <w:t>1</w:t>
            </w:r>
            <w:r>
              <w:rPr>
                <w:rFonts w:hint="eastAsia" w:cs="仿宋"/>
                <w:spacing w:val="-14"/>
                <w:sz w:val="24"/>
                <w:szCs w:val="24"/>
                <w:lang w:val="en-US" w:eastAsia="zh-CN"/>
              </w:rPr>
              <w:t>5</w:t>
            </w:r>
          </w:p>
        </w:tc>
        <w:tc>
          <w:tcPr>
            <w:tcW w:w="1335" w:type="dxa"/>
            <w:tcBorders>
              <w:top w:val="single" w:color="000000" w:sz="8" w:space="0"/>
              <w:bottom w:val="single" w:color="000000" w:sz="8" w:space="0"/>
              <w:right w:val="single" w:color="000000" w:sz="8" w:space="0"/>
            </w:tcBorders>
            <w:shd w:val="clear" w:color="auto" w:fill="auto"/>
            <w:vAlign w:val="center"/>
          </w:tcPr>
          <w:p w14:paraId="048A279E">
            <w:pPr>
              <w:pStyle w:val="19"/>
              <w:keepNext w:val="0"/>
              <w:keepLines w:val="0"/>
              <w:pageBreakBefore w:val="0"/>
              <w:wordWrap/>
              <w:overflowPunct/>
              <w:topLinePunct w:val="0"/>
              <w:bidi w:val="0"/>
              <w:spacing w:line="400" w:lineRule="exact"/>
              <w:ind w:left="0" w:leftChars="0" w:right="0"/>
              <w:jc w:val="center"/>
              <w:rPr>
                <w:rFonts w:hint="eastAsia" w:ascii="仿宋" w:hAnsi="仿宋" w:eastAsia="仿宋" w:cs="仿宋"/>
                <w:spacing w:val="-6"/>
                <w:sz w:val="24"/>
                <w:szCs w:val="24"/>
              </w:rPr>
            </w:pPr>
            <w:r>
              <w:rPr>
                <w:rFonts w:hint="eastAsia" w:ascii="仿宋" w:hAnsi="仿宋" w:eastAsia="仿宋" w:cs="仿宋"/>
                <w:color w:val="auto"/>
                <w:sz w:val="24"/>
                <w:szCs w:val="24"/>
                <w:highlight w:val="none"/>
              </w:rPr>
              <w:t>开标时间、地点</w:t>
            </w:r>
          </w:p>
        </w:tc>
        <w:tc>
          <w:tcPr>
            <w:tcW w:w="7665" w:type="dxa"/>
            <w:tcBorders>
              <w:top w:val="single" w:color="000000" w:sz="8" w:space="0"/>
              <w:bottom w:val="single" w:color="000000" w:sz="8" w:space="0"/>
              <w:right w:val="single" w:color="000000" w:sz="8" w:space="0"/>
            </w:tcBorders>
            <w:shd w:val="clear" w:color="auto" w:fill="auto"/>
            <w:vAlign w:val="top"/>
          </w:tcPr>
          <w:p w14:paraId="38FB27E1">
            <w:pPr>
              <w:pStyle w:val="19"/>
              <w:keepNext w:val="0"/>
              <w:keepLines w:val="0"/>
              <w:pageBreakBefore w:val="0"/>
              <w:wordWrap/>
              <w:overflowPunct/>
              <w:topLinePunct w:val="0"/>
              <w:bidi w:val="0"/>
              <w:spacing w:line="400" w:lineRule="exact"/>
              <w:ind w:left="0" w:right="0"/>
              <w:rPr>
                <w:rFonts w:hint="eastAsia" w:ascii="仿宋" w:hAnsi="仿宋" w:eastAsia="仿宋" w:cs="仿宋"/>
                <w:sz w:val="24"/>
                <w:szCs w:val="24"/>
              </w:rPr>
            </w:pPr>
            <w:r>
              <w:rPr>
                <w:rFonts w:hint="eastAsia" w:ascii="仿宋" w:hAnsi="仿宋" w:eastAsia="仿宋" w:cs="仿宋"/>
                <w:spacing w:val="-7"/>
                <w:sz w:val="24"/>
                <w:szCs w:val="24"/>
              </w:rPr>
              <w:t>开标时间：202</w:t>
            </w:r>
            <w:r>
              <w:rPr>
                <w:rFonts w:hint="eastAsia" w:cs="仿宋"/>
                <w:spacing w:val="-7"/>
                <w:sz w:val="24"/>
                <w:szCs w:val="24"/>
                <w:lang w:val="en-US" w:eastAsia="zh-CN"/>
              </w:rPr>
              <w:t>5</w:t>
            </w:r>
            <w:r>
              <w:rPr>
                <w:rFonts w:hint="eastAsia" w:ascii="仿宋" w:hAnsi="仿宋" w:eastAsia="仿宋" w:cs="仿宋"/>
                <w:spacing w:val="-7"/>
                <w:sz w:val="24"/>
                <w:szCs w:val="24"/>
              </w:rPr>
              <w:t>年</w:t>
            </w:r>
            <w:r>
              <w:rPr>
                <w:rFonts w:hint="eastAsia" w:cs="仿宋"/>
                <w:spacing w:val="-7"/>
                <w:sz w:val="24"/>
                <w:szCs w:val="24"/>
                <w:lang w:val="en-US" w:eastAsia="zh-CN"/>
              </w:rPr>
              <w:t>02</w:t>
            </w:r>
            <w:r>
              <w:rPr>
                <w:rFonts w:hint="eastAsia" w:ascii="仿宋" w:hAnsi="仿宋" w:eastAsia="仿宋" w:cs="仿宋"/>
                <w:spacing w:val="-7"/>
                <w:sz w:val="24"/>
                <w:szCs w:val="24"/>
              </w:rPr>
              <w:t>月</w:t>
            </w:r>
            <w:r>
              <w:rPr>
                <w:rFonts w:hint="eastAsia" w:cs="仿宋"/>
                <w:spacing w:val="-7"/>
                <w:sz w:val="24"/>
                <w:szCs w:val="24"/>
                <w:lang w:val="en-US" w:eastAsia="zh-CN"/>
              </w:rPr>
              <w:t>10</w:t>
            </w:r>
            <w:r>
              <w:rPr>
                <w:rFonts w:hint="eastAsia" w:ascii="仿宋" w:hAnsi="仿宋" w:eastAsia="仿宋" w:cs="仿宋"/>
                <w:spacing w:val="-7"/>
                <w:sz w:val="24"/>
                <w:szCs w:val="24"/>
              </w:rPr>
              <w:t>日1</w:t>
            </w: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rPr>
              <w:t>:00（北京</w:t>
            </w:r>
            <w:r>
              <w:rPr>
                <w:rFonts w:hint="eastAsia" w:ascii="仿宋" w:hAnsi="仿宋" w:eastAsia="仿宋" w:cs="仿宋"/>
                <w:spacing w:val="-8"/>
                <w:sz w:val="24"/>
                <w:szCs w:val="24"/>
              </w:rPr>
              <w:t>时间）</w:t>
            </w:r>
          </w:p>
          <w:p w14:paraId="74732087">
            <w:pPr>
              <w:pStyle w:val="19"/>
              <w:keepNext w:val="0"/>
              <w:keepLines w:val="0"/>
              <w:pageBreakBefore w:val="0"/>
              <w:wordWrap/>
              <w:overflowPunct/>
              <w:topLinePunct w:val="0"/>
              <w:bidi w:val="0"/>
              <w:spacing w:line="400" w:lineRule="exact"/>
              <w:ind w:left="0" w:right="0"/>
              <w:rPr>
                <w:rFonts w:hint="eastAsia" w:ascii="仿宋" w:hAnsi="仿宋" w:eastAsia="仿宋" w:cs="仿宋"/>
                <w:sz w:val="24"/>
                <w:szCs w:val="24"/>
              </w:rPr>
            </w:pPr>
            <w:r>
              <w:rPr>
                <w:rFonts w:hint="eastAsia" w:ascii="仿宋" w:hAnsi="仿宋" w:eastAsia="仿宋" w:cs="仿宋"/>
                <w:spacing w:val="-2"/>
                <w:sz w:val="24"/>
                <w:szCs w:val="24"/>
              </w:rPr>
              <w:t>开标地点：新疆政府采购网政采云客户端</w:t>
            </w:r>
          </w:p>
          <w:p w14:paraId="369E2CB3">
            <w:pPr>
              <w:pStyle w:val="19"/>
              <w:keepNext w:val="0"/>
              <w:keepLines w:val="0"/>
              <w:pageBreakBefore w:val="0"/>
              <w:wordWrap/>
              <w:overflowPunct/>
              <w:topLinePunct w:val="0"/>
              <w:bidi w:val="0"/>
              <w:spacing w:line="400" w:lineRule="exact"/>
              <w:ind w:left="0" w:leftChars="0" w:right="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6"/>
                <w:sz w:val="24"/>
                <w:szCs w:val="24"/>
              </w:rPr>
              <w:t>评标地点：</w:t>
            </w:r>
            <w:r>
              <w:rPr>
                <w:rFonts w:hint="eastAsia" w:ascii="仿宋" w:hAnsi="仿宋" w:eastAsia="仿宋" w:cs="仿宋"/>
                <w:spacing w:val="-6"/>
                <w:sz w:val="24"/>
                <w:szCs w:val="24"/>
                <w:lang w:eastAsia="zh-CN"/>
              </w:rPr>
              <w:t>乌鲁木齐市沙依巴克区绿城翡翠园1期横渠大厦5楼</w:t>
            </w:r>
            <w:r>
              <w:rPr>
                <w:rFonts w:hint="eastAsia" w:ascii="仿宋" w:hAnsi="仿宋" w:eastAsia="仿宋" w:cs="仿宋"/>
                <w:spacing w:val="-6"/>
                <w:sz w:val="24"/>
                <w:szCs w:val="24"/>
              </w:rPr>
              <w:t>开标厅</w:t>
            </w:r>
          </w:p>
        </w:tc>
      </w:tr>
      <w:tr w14:paraId="0941D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1" w:type="dxa"/>
            <w:tcBorders>
              <w:top w:val="single" w:color="000000" w:sz="8" w:space="0"/>
              <w:left w:val="single" w:color="000000" w:sz="8" w:space="0"/>
              <w:bottom w:val="single" w:color="000000" w:sz="8" w:space="0"/>
            </w:tcBorders>
            <w:shd w:val="clear" w:color="auto" w:fill="auto"/>
            <w:vAlign w:val="center"/>
          </w:tcPr>
          <w:p w14:paraId="41C049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6586971C">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pacing w:val="-14"/>
                <w:sz w:val="24"/>
                <w:szCs w:val="24"/>
                <w:lang w:val="en-US" w:eastAsia="zh-CN"/>
              </w:rPr>
              <w:t>1</w:t>
            </w:r>
            <w:r>
              <w:rPr>
                <w:rFonts w:hint="eastAsia" w:cs="仿宋"/>
                <w:spacing w:val="-14"/>
                <w:sz w:val="24"/>
                <w:szCs w:val="24"/>
                <w:lang w:val="en-US" w:eastAsia="zh-CN"/>
              </w:rPr>
              <w:t>6</w:t>
            </w:r>
          </w:p>
        </w:tc>
        <w:tc>
          <w:tcPr>
            <w:tcW w:w="1335" w:type="dxa"/>
            <w:tcBorders>
              <w:top w:val="single" w:color="000000" w:sz="8" w:space="0"/>
              <w:bottom w:val="single" w:color="000000" w:sz="8" w:space="0"/>
              <w:right w:val="single" w:color="000000" w:sz="8" w:space="0"/>
            </w:tcBorders>
            <w:shd w:val="clear" w:color="auto" w:fill="auto"/>
            <w:vAlign w:val="center"/>
          </w:tcPr>
          <w:p w14:paraId="546FFB84">
            <w:pPr>
              <w:pStyle w:val="19"/>
              <w:keepNext w:val="0"/>
              <w:keepLines w:val="0"/>
              <w:pageBreakBefore w:val="0"/>
              <w:wordWrap/>
              <w:overflowPunct/>
              <w:topLinePunct w:val="0"/>
              <w:bidi w:val="0"/>
              <w:spacing w:line="400" w:lineRule="exact"/>
              <w:ind w:left="0" w:leftChars="0" w:right="0" w:rightChars="0" w:hanging="1" w:firstLineChars="0"/>
              <w:jc w:val="center"/>
              <w:rPr>
                <w:rFonts w:hint="eastAsia" w:ascii="仿宋" w:hAnsi="仿宋" w:eastAsia="仿宋" w:cs="仿宋"/>
                <w:spacing w:val="-7"/>
                <w:sz w:val="24"/>
                <w:szCs w:val="24"/>
              </w:rPr>
            </w:pPr>
            <w:r>
              <w:rPr>
                <w:rFonts w:hint="eastAsia" w:ascii="仿宋" w:hAnsi="仿宋" w:eastAsia="仿宋" w:cs="仿宋"/>
                <w:spacing w:val="-4"/>
                <w:sz w:val="24"/>
                <w:szCs w:val="24"/>
              </w:rPr>
              <w:t>投标文件解密时间</w:t>
            </w:r>
          </w:p>
        </w:tc>
        <w:tc>
          <w:tcPr>
            <w:tcW w:w="7665" w:type="dxa"/>
            <w:tcBorders>
              <w:top w:val="single" w:color="000000" w:sz="8" w:space="0"/>
              <w:bottom w:val="single" w:color="000000" w:sz="8" w:space="0"/>
              <w:right w:val="single" w:color="000000" w:sz="8" w:space="0"/>
            </w:tcBorders>
            <w:shd w:val="clear" w:color="auto" w:fill="auto"/>
            <w:vAlign w:val="top"/>
          </w:tcPr>
          <w:p w14:paraId="79F12D7A">
            <w:pPr>
              <w:pStyle w:val="19"/>
              <w:keepNext w:val="0"/>
              <w:keepLines w:val="0"/>
              <w:pageBreakBefore w:val="0"/>
              <w:wordWrap/>
              <w:overflowPunct/>
              <w:topLinePunct w:val="0"/>
              <w:bidi w:val="0"/>
              <w:spacing w:line="400" w:lineRule="exact"/>
              <w:ind w:left="0" w:leftChars="0" w:right="0" w:rightChars="0" w:hanging="1" w:firstLine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7"/>
                <w:sz w:val="24"/>
                <w:szCs w:val="24"/>
              </w:rPr>
              <w:t>开标时间后30分钟内供应商可以登录“政采云</w:t>
            </w:r>
            <w:r>
              <w:rPr>
                <w:rFonts w:hint="eastAsia" w:ascii="仿宋" w:hAnsi="仿宋" w:eastAsia="仿宋" w:cs="仿宋"/>
                <w:spacing w:val="-76"/>
                <w:sz w:val="24"/>
                <w:szCs w:val="24"/>
              </w:rPr>
              <w:t xml:space="preserve"> </w:t>
            </w:r>
            <w:r>
              <w:rPr>
                <w:rFonts w:hint="eastAsia" w:ascii="仿宋" w:hAnsi="仿宋" w:eastAsia="仿宋" w:cs="仿宋"/>
                <w:spacing w:val="-7"/>
                <w:sz w:val="24"/>
                <w:szCs w:val="24"/>
              </w:rPr>
              <w:t>”平台，用“项目采购-开标评标”功能</w:t>
            </w:r>
            <w:r>
              <w:rPr>
                <w:rFonts w:hint="eastAsia" w:ascii="仿宋" w:hAnsi="仿宋" w:eastAsia="仿宋" w:cs="仿宋"/>
                <w:sz w:val="24"/>
                <w:szCs w:val="24"/>
              </w:rPr>
              <w:t xml:space="preserve"> </w:t>
            </w:r>
            <w:r>
              <w:rPr>
                <w:rFonts w:hint="eastAsia" w:ascii="仿宋" w:hAnsi="仿宋" w:eastAsia="仿宋" w:cs="仿宋"/>
                <w:spacing w:val="-8"/>
                <w:sz w:val="24"/>
                <w:szCs w:val="24"/>
              </w:rPr>
              <w:t>进行解密投标文件。若供应商在规定时间内未按时解密的，视为投标文件</w:t>
            </w:r>
            <w:r>
              <w:rPr>
                <w:rFonts w:hint="eastAsia" w:ascii="仿宋" w:hAnsi="仿宋" w:eastAsia="仿宋" w:cs="仿宋"/>
                <w:spacing w:val="-9"/>
                <w:sz w:val="24"/>
                <w:szCs w:val="24"/>
              </w:rPr>
              <w:t>撤回。</w:t>
            </w:r>
          </w:p>
        </w:tc>
      </w:tr>
      <w:tr w14:paraId="6B00B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91" w:type="dxa"/>
            <w:tcBorders>
              <w:left w:val="single" w:color="000000" w:sz="8" w:space="0"/>
            </w:tcBorders>
            <w:vAlign w:val="center"/>
          </w:tcPr>
          <w:p w14:paraId="301330D7">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1</w:t>
            </w:r>
            <w:r>
              <w:rPr>
                <w:rFonts w:hint="eastAsia" w:cs="仿宋"/>
                <w:spacing w:val="-14"/>
                <w:sz w:val="24"/>
                <w:szCs w:val="24"/>
                <w:lang w:val="en-US" w:eastAsia="zh-CN"/>
              </w:rPr>
              <w:t>7</w:t>
            </w:r>
          </w:p>
        </w:tc>
        <w:tc>
          <w:tcPr>
            <w:tcW w:w="1335" w:type="dxa"/>
            <w:tcBorders>
              <w:right w:val="single" w:color="000000" w:sz="8" w:space="0"/>
            </w:tcBorders>
            <w:vAlign w:val="center"/>
          </w:tcPr>
          <w:p w14:paraId="78C8E6FE">
            <w:pPr>
              <w:pStyle w:val="19"/>
              <w:keepNext w:val="0"/>
              <w:keepLines w:val="0"/>
              <w:pageBreakBefore w:val="0"/>
              <w:wordWrap/>
              <w:overflowPunct/>
              <w:topLinePunct w:val="0"/>
              <w:bidi w:val="0"/>
              <w:spacing w:line="400" w:lineRule="exact"/>
              <w:ind w:left="0" w:right="0"/>
              <w:jc w:val="center"/>
              <w:rPr>
                <w:rFonts w:hint="eastAsia" w:ascii="仿宋" w:hAnsi="仿宋" w:eastAsia="仿宋" w:cs="仿宋"/>
                <w:spacing w:val="-4"/>
                <w:sz w:val="24"/>
                <w:szCs w:val="24"/>
              </w:rPr>
            </w:pPr>
            <w:r>
              <w:rPr>
                <w:rFonts w:hint="eastAsia" w:ascii="仿宋" w:hAnsi="仿宋" w:eastAsia="仿宋" w:cs="仿宋"/>
                <w:spacing w:val="-4"/>
                <w:sz w:val="24"/>
                <w:szCs w:val="24"/>
              </w:rPr>
              <w:t>评标方法</w:t>
            </w:r>
          </w:p>
        </w:tc>
        <w:tc>
          <w:tcPr>
            <w:tcW w:w="7665" w:type="dxa"/>
            <w:tcBorders>
              <w:right w:val="single" w:color="000000" w:sz="8" w:space="0"/>
            </w:tcBorders>
            <w:vAlign w:val="center"/>
          </w:tcPr>
          <w:p w14:paraId="5CB86D41">
            <w:pPr>
              <w:pStyle w:val="19"/>
              <w:keepNext w:val="0"/>
              <w:keepLines w:val="0"/>
              <w:pageBreakBefore w:val="0"/>
              <w:wordWrap/>
              <w:overflowPunct/>
              <w:topLinePunct w:val="0"/>
              <w:bidi w:val="0"/>
              <w:spacing w:line="400" w:lineRule="exact"/>
              <w:ind w:left="0" w:right="0"/>
              <w:jc w:val="both"/>
              <w:rPr>
                <w:rFonts w:hint="eastAsia" w:ascii="仿宋" w:hAnsi="仿宋" w:eastAsia="仿宋" w:cs="仿宋"/>
                <w:sz w:val="24"/>
                <w:szCs w:val="24"/>
              </w:rPr>
            </w:pPr>
            <w:r>
              <w:rPr>
                <w:rFonts w:hint="eastAsia" w:ascii="仿宋" w:hAnsi="仿宋" w:eastAsia="仿宋" w:cs="仿宋"/>
                <w:spacing w:val="-4"/>
                <w:sz w:val="24"/>
                <w:szCs w:val="24"/>
                <w:u w:val="none" w:color="auto"/>
              </w:rPr>
              <w:t>综合评分法</w:t>
            </w:r>
          </w:p>
        </w:tc>
      </w:tr>
      <w:tr w14:paraId="48961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91" w:type="dxa"/>
            <w:tcBorders>
              <w:left w:val="single" w:color="000000" w:sz="8" w:space="0"/>
            </w:tcBorders>
            <w:vAlign w:val="center"/>
          </w:tcPr>
          <w:p w14:paraId="3EAAF328">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lang w:val="en-US" w:eastAsia="zh-CN"/>
              </w:rPr>
            </w:pPr>
            <w:r>
              <w:rPr>
                <w:rFonts w:hint="eastAsia" w:ascii="仿宋" w:hAnsi="仿宋" w:eastAsia="仿宋" w:cs="仿宋"/>
                <w:spacing w:val="-14"/>
                <w:sz w:val="24"/>
                <w:szCs w:val="24"/>
              </w:rPr>
              <w:t>1</w:t>
            </w:r>
            <w:r>
              <w:rPr>
                <w:rFonts w:hint="eastAsia" w:cs="仿宋"/>
                <w:spacing w:val="-14"/>
                <w:sz w:val="24"/>
                <w:szCs w:val="24"/>
                <w:lang w:val="en-US" w:eastAsia="zh-CN"/>
              </w:rPr>
              <w:t>8</w:t>
            </w:r>
          </w:p>
        </w:tc>
        <w:tc>
          <w:tcPr>
            <w:tcW w:w="1335" w:type="dxa"/>
            <w:tcBorders>
              <w:right w:val="single" w:color="000000" w:sz="8" w:space="0"/>
            </w:tcBorders>
            <w:vAlign w:val="center"/>
          </w:tcPr>
          <w:p w14:paraId="0B2C4D13">
            <w:pPr>
              <w:pStyle w:val="19"/>
              <w:keepNext w:val="0"/>
              <w:keepLines w:val="0"/>
              <w:pageBreakBefore w:val="0"/>
              <w:wordWrap/>
              <w:overflowPunct/>
              <w:topLinePunct w:val="0"/>
              <w:bidi w:val="0"/>
              <w:spacing w:line="400" w:lineRule="exact"/>
              <w:ind w:left="0" w:right="0"/>
              <w:jc w:val="center"/>
              <w:rPr>
                <w:rFonts w:hint="eastAsia" w:ascii="仿宋" w:hAnsi="仿宋" w:eastAsia="仿宋" w:cs="仿宋"/>
                <w:spacing w:val="-4"/>
                <w:sz w:val="24"/>
                <w:szCs w:val="24"/>
              </w:rPr>
            </w:pPr>
            <w:r>
              <w:rPr>
                <w:rFonts w:hint="eastAsia" w:ascii="仿宋" w:hAnsi="仿宋" w:eastAsia="仿宋" w:cs="仿宋"/>
                <w:spacing w:val="-4"/>
                <w:sz w:val="24"/>
                <w:szCs w:val="24"/>
              </w:rPr>
              <w:t>评标委员会</w:t>
            </w:r>
          </w:p>
        </w:tc>
        <w:tc>
          <w:tcPr>
            <w:tcW w:w="7665" w:type="dxa"/>
            <w:tcBorders>
              <w:right w:val="single" w:color="000000" w:sz="8" w:space="0"/>
            </w:tcBorders>
            <w:vAlign w:val="center"/>
          </w:tcPr>
          <w:p w14:paraId="058B08D0">
            <w:pPr>
              <w:pStyle w:val="19"/>
              <w:keepNext w:val="0"/>
              <w:keepLines w:val="0"/>
              <w:pageBreakBefore w:val="0"/>
              <w:wordWrap/>
              <w:overflowPunct/>
              <w:topLinePunct w:val="0"/>
              <w:bidi w:val="0"/>
              <w:spacing w:line="400" w:lineRule="exact"/>
              <w:ind w:left="0" w:right="0"/>
              <w:jc w:val="both"/>
              <w:rPr>
                <w:rFonts w:hint="eastAsia" w:ascii="仿宋" w:hAnsi="仿宋" w:eastAsia="仿宋" w:cs="仿宋"/>
                <w:spacing w:val="-4"/>
                <w:sz w:val="24"/>
                <w:szCs w:val="24"/>
              </w:rPr>
            </w:pPr>
            <w:r>
              <w:rPr>
                <w:rFonts w:hint="eastAsia" w:ascii="仿宋" w:hAnsi="仿宋" w:eastAsia="仿宋" w:cs="仿宋"/>
                <w:spacing w:val="-4"/>
                <w:sz w:val="24"/>
                <w:szCs w:val="24"/>
              </w:rPr>
              <w:t>评标委员会构成：</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rPr>
              <w:t>人，其中招标人代表0-</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人，专家</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rPr>
              <w:t>人；</w:t>
            </w:r>
          </w:p>
          <w:p w14:paraId="21A66E6D">
            <w:pPr>
              <w:pStyle w:val="19"/>
              <w:keepNext w:val="0"/>
              <w:keepLines w:val="0"/>
              <w:pageBreakBefore w:val="0"/>
              <w:wordWrap/>
              <w:overflowPunct/>
              <w:topLinePunct w:val="0"/>
              <w:bidi w:val="0"/>
              <w:spacing w:line="400" w:lineRule="exact"/>
              <w:ind w:left="0" w:right="0"/>
              <w:jc w:val="both"/>
              <w:rPr>
                <w:rFonts w:hint="eastAsia" w:ascii="仿宋" w:hAnsi="仿宋" w:eastAsia="仿宋" w:cs="仿宋"/>
                <w:spacing w:val="-4"/>
                <w:sz w:val="24"/>
                <w:szCs w:val="24"/>
              </w:rPr>
            </w:pPr>
            <w:r>
              <w:rPr>
                <w:rFonts w:hint="eastAsia" w:ascii="仿宋" w:hAnsi="仿宋" w:eastAsia="仿宋" w:cs="仿宋"/>
                <w:spacing w:val="-4"/>
                <w:sz w:val="24"/>
                <w:szCs w:val="24"/>
              </w:rPr>
              <w:t>评标专家确定方式：开标前48小时从新疆政采云平台专家库中随机抽取。</w:t>
            </w:r>
          </w:p>
        </w:tc>
      </w:tr>
      <w:tr w14:paraId="590C9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91" w:type="dxa"/>
            <w:tcBorders>
              <w:left w:val="single" w:color="000000" w:sz="8" w:space="0"/>
            </w:tcBorders>
            <w:shd w:val="clear" w:color="auto" w:fill="auto"/>
            <w:vAlign w:val="center"/>
          </w:tcPr>
          <w:p w14:paraId="7441CBBA">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14"/>
                <w:sz w:val="24"/>
                <w:szCs w:val="24"/>
              </w:rPr>
              <w:t>1</w:t>
            </w:r>
            <w:r>
              <w:rPr>
                <w:rFonts w:hint="eastAsia" w:cs="仿宋"/>
                <w:spacing w:val="-14"/>
                <w:sz w:val="24"/>
                <w:szCs w:val="24"/>
                <w:lang w:val="en-US" w:eastAsia="zh-CN"/>
              </w:rPr>
              <w:t>9</w:t>
            </w:r>
          </w:p>
        </w:tc>
        <w:tc>
          <w:tcPr>
            <w:tcW w:w="1335" w:type="dxa"/>
            <w:tcBorders>
              <w:right w:val="single" w:color="000000" w:sz="8" w:space="0"/>
            </w:tcBorders>
            <w:shd w:val="clear" w:color="auto" w:fill="auto"/>
            <w:vAlign w:val="center"/>
          </w:tcPr>
          <w:p w14:paraId="0DA56CDF">
            <w:pPr>
              <w:pStyle w:val="19"/>
              <w:keepNext w:val="0"/>
              <w:keepLines w:val="0"/>
              <w:pageBreakBefore w:val="0"/>
              <w:wordWrap/>
              <w:overflowPunct/>
              <w:topLinePunct w:val="0"/>
              <w:bidi w:val="0"/>
              <w:spacing w:line="400" w:lineRule="exact"/>
              <w:ind w:left="0" w:leftChars="0" w:right="0"/>
              <w:jc w:val="center"/>
              <w:rPr>
                <w:rFonts w:hint="eastAsia" w:ascii="仿宋" w:hAnsi="仿宋" w:eastAsia="仿宋" w:cs="仿宋"/>
                <w:spacing w:val="-4"/>
                <w:sz w:val="24"/>
                <w:szCs w:val="24"/>
              </w:rPr>
            </w:pPr>
            <w:r>
              <w:rPr>
                <w:rFonts w:hint="eastAsia" w:ascii="仿宋" w:hAnsi="仿宋" w:eastAsia="仿宋" w:cs="仿宋"/>
                <w:spacing w:val="-3"/>
                <w:sz w:val="24"/>
                <w:szCs w:val="24"/>
                <w:highlight w:val="none"/>
              </w:rPr>
              <w:t>履约保证金</w:t>
            </w:r>
          </w:p>
        </w:tc>
        <w:tc>
          <w:tcPr>
            <w:tcW w:w="7665" w:type="dxa"/>
            <w:tcBorders>
              <w:right w:val="single" w:color="000000" w:sz="8" w:space="0"/>
            </w:tcBorders>
            <w:shd w:val="clear" w:color="auto" w:fill="auto"/>
            <w:vAlign w:val="top"/>
          </w:tcPr>
          <w:p w14:paraId="091287C4">
            <w:pPr>
              <w:pStyle w:val="19"/>
              <w:keepNext w:val="0"/>
              <w:keepLines w:val="0"/>
              <w:pageBreakBefore w:val="0"/>
              <w:wordWrap/>
              <w:overflowPunct/>
              <w:topLinePunct w:val="0"/>
              <w:bidi w:val="0"/>
              <w:spacing w:line="400" w:lineRule="exact"/>
              <w:ind w:left="0" w:right="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履约保证金金额：5%</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w:t>
            </w:r>
          </w:p>
          <w:p w14:paraId="292DD1D4">
            <w:pPr>
              <w:pStyle w:val="19"/>
              <w:keepNext w:val="0"/>
              <w:keepLines w:val="0"/>
              <w:pageBreakBefore w:val="0"/>
              <w:wordWrap/>
              <w:overflowPunct/>
              <w:topLinePunct w:val="0"/>
              <w:bidi w:val="0"/>
              <w:spacing w:line="400" w:lineRule="exact"/>
              <w:ind w:left="0" w:right="0"/>
              <w:rPr>
                <w:rFonts w:hint="eastAsia" w:ascii="仿宋" w:hAnsi="仿宋" w:eastAsia="仿宋" w:cs="仿宋"/>
                <w:sz w:val="24"/>
                <w:szCs w:val="24"/>
              </w:rPr>
            </w:pPr>
            <w:r>
              <w:rPr>
                <w:rFonts w:hint="eastAsia" w:ascii="仿宋" w:hAnsi="仿宋" w:eastAsia="仿宋" w:cs="仿宋"/>
                <w:spacing w:val="-2"/>
                <w:sz w:val="24"/>
                <w:szCs w:val="24"/>
              </w:rPr>
              <w:t>履约保证金形式：保函、保单、电汇或企业账户网银汇款。</w:t>
            </w:r>
          </w:p>
          <w:p w14:paraId="2E4BC3A2">
            <w:pPr>
              <w:pStyle w:val="19"/>
              <w:keepNext w:val="0"/>
              <w:keepLines w:val="0"/>
              <w:pageBreakBefore w:val="0"/>
              <w:wordWrap/>
              <w:overflowPunct/>
              <w:topLinePunct w:val="0"/>
              <w:bidi w:val="0"/>
              <w:spacing w:line="400" w:lineRule="exact"/>
              <w:ind w:left="0" w:right="0"/>
              <w:rPr>
                <w:rFonts w:hint="eastAsia" w:ascii="仿宋" w:hAnsi="仿宋" w:eastAsia="仿宋" w:cs="仿宋"/>
                <w:sz w:val="24"/>
                <w:szCs w:val="24"/>
              </w:rPr>
            </w:pPr>
            <w:r>
              <w:rPr>
                <w:rFonts w:hint="eastAsia" w:ascii="仿宋" w:hAnsi="仿宋" w:eastAsia="仿宋" w:cs="仿宋"/>
                <w:spacing w:val="-6"/>
                <w:sz w:val="24"/>
                <w:szCs w:val="24"/>
              </w:rPr>
              <w:t>提交履约保证金的时间：在中标通知书发出后</w:t>
            </w:r>
            <w:r>
              <w:rPr>
                <w:rFonts w:hint="eastAsia" w:ascii="仿宋" w:hAnsi="仿宋" w:eastAsia="仿宋" w:cs="仿宋"/>
                <w:spacing w:val="-6"/>
                <w:sz w:val="24"/>
                <w:szCs w:val="24"/>
                <w:u w:val="single" w:color="auto"/>
              </w:rPr>
              <w:t>3</w:t>
            </w:r>
            <w:r>
              <w:rPr>
                <w:rFonts w:hint="eastAsia" w:ascii="仿宋" w:hAnsi="仿宋" w:eastAsia="仿宋" w:cs="仿宋"/>
                <w:spacing w:val="-55"/>
                <w:sz w:val="24"/>
                <w:szCs w:val="24"/>
              </w:rPr>
              <w:t xml:space="preserve"> </w:t>
            </w:r>
            <w:r>
              <w:rPr>
                <w:rFonts w:hint="eastAsia" w:ascii="仿宋" w:hAnsi="仿宋" w:eastAsia="仿宋" w:cs="仿宋"/>
                <w:spacing w:val="-6"/>
                <w:sz w:val="24"/>
                <w:szCs w:val="24"/>
              </w:rPr>
              <w:t>日历日内。</w:t>
            </w:r>
          </w:p>
          <w:p w14:paraId="06F03456">
            <w:pPr>
              <w:pStyle w:val="19"/>
              <w:keepNext w:val="0"/>
              <w:keepLines w:val="0"/>
              <w:pageBreakBefore w:val="0"/>
              <w:wordWrap/>
              <w:overflowPunct/>
              <w:topLinePunct w:val="0"/>
              <w:bidi w:val="0"/>
              <w:spacing w:line="400" w:lineRule="exact"/>
              <w:ind w:left="0" w:leftChars="0" w:right="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4"/>
                <w:sz w:val="24"/>
                <w:szCs w:val="24"/>
              </w:rPr>
              <w:t>履约保证金收款人：</w:t>
            </w:r>
            <w:r>
              <w:rPr>
                <w:rFonts w:hint="eastAsia" w:ascii="仿宋" w:hAnsi="仿宋" w:eastAsia="仿宋" w:cs="仿宋"/>
                <w:spacing w:val="-4"/>
                <w:sz w:val="24"/>
                <w:szCs w:val="24"/>
                <w:lang w:eastAsia="zh-CN"/>
              </w:rPr>
              <w:t>和布克赛尔蒙古自治县自然资源局</w:t>
            </w:r>
          </w:p>
        </w:tc>
      </w:tr>
      <w:tr w14:paraId="17A49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91" w:type="dxa"/>
            <w:tcBorders>
              <w:left w:val="single" w:color="000000" w:sz="8" w:space="0"/>
            </w:tcBorders>
            <w:shd w:val="clear" w:color="auto" w:fill="auto"/>
            <w:vAlign w:val="center"/>
          </w:tcPr>
          <w:p w14:paraId="59226B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797ECE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p w14:paraId="16EDFA6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24"/>
                <w:szCs w:val="24"/>
              </w:rPr>
            </w:pPr>
          </w:p>
          <w:p w14:paraId="53A29224">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ascii="仿宋" w:hAnsi="仿宋" w:eastAsia="仿宋" w:cs="仿宋"/>
                <w:snapToGrid w:val="0"/>
                <w:color w:val="000000"/>
                <w:kern w:val="0"/>
                <w:sz w:val="24"/>
                <w:szCs w:val="24"/>
                <w:lang w:val="en-US" w:eastAsia="zh-CN" w:bidi="ar-SA"/>
              </w:rPr>
            </w:pPr>
          </w:p>
        </w:tc>
        <w:tc>
          <w:tcPr>
            <w:tcW w:w="1335" w:type="dxa"/>
            <w:tcBorders>
              <w:right w:val="single" w:color="000000" w:sz="8" w:space="0"/>
            </w:tcBorders>
            <w:shd w:val="clear" w:color="auto" w:fill="auto"/>
            <w:vAlign w:val="center"/>
          </w:tcPr>
          <w:p w14:paraId="4D2E9BF1">
            <w:pPr>
              <w:pStyle w:val="19"/>
              <w:keepNext w:val="0"/>
              <w:keepLines w:val="0"/>
              <w:pageBreakBefore w:val="0"/>
              <w:wordWrap/>
              <w:overflowPunct/>
              <w:topLinePunct w:val="0"/>
              <w:bidi w:val="0"/>
              <w:spacing w:line="400" w:lineRule="exact"/>
              <w:ind w:left="0" w:leftChars="0" w:right="0"/>
              <w:jc w:val="center"/>
              <w:rPr>
                <w:rFonts w:hint="eastAsia" w:ascii="仿宋" w:hAnsi="仿宋" w:eastAsia="仿宋" w:cs="仿宋"/>
                <w:spacing w:val="-3"/>
                <w:sz w:val="24"/>
                <w:szCs w:val="24"/>
              </w:rPr>
            </w:pPr>
            <w:r>
              <w:rPr>
                <w:rFonts w:hint="eastAsia" w:ascii="仿宋" w:hAnsi="仿宋" w:eastAsia="仿宋" w:cs="仿宋"/>
                <w:spacing w:val="-4"/>
                <w:sz w:val="24"/>
                <w:szCs w:val="24"/>
              </w:rPr>
              <w:t>采购代理服务费</w:t>
            </w:r>
          </w:p>
        </w:tc>
        <w:tc>
          <w:tcPr>
            <w:tcW w:w="7665" w:type="dxa"/>
            <w:tcBorders>
              <w:right w:val="single" w:color="000000" w:sz="8" w:space="0"/>
            </w:tcBorders>
            <w:shd w:val="clear" w:color="auto" w:fill="auto"/>
            <w:vAlign w:val="top"/>
          </w:tcPr>
          <w:p w14:paraId="65A34EC7">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招标代理服务费的计算参照“《国家发展改革委关于进一步放开建设项目专业服务价格的通知》 [2015] 299号文件”、“国家发展改革委办公厅关于采购代理服务收费有关问题的通知（发改价格[2011]534号）文件”及新建招协[2024]4号的规定。根据《关于加强工程建设项目招标代理机构事中事后监管的通知》（新建建[2020]9号）规定：招标代理服务费用应由招标人支付，招标人、代理机构与中标人另有约定的，从其约定。本次招标代理服务费由中标单位支付。</w:t>
            </w:r>
          </w:p>
          <w:p w14:paraId="73C4C338">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支付方：由中标人支付</w:t>
            </w:r>
          </w:p>
          <w:p w14:paraId="4FCD240D">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0"/>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支付形式：对公转账</w:t>
            </w:r>
          </w:p>
          <w:p w14:paraId="5BE008DE">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3"/>
                <w:sz w:val="24"/>
                <w:szCs w:val="24"/>
              </w:rPr>
              <w:t>支付时间：领取中标通知书时</w:t>
            </w:r>
          </w:p>
        </w:tc>
      </w:tr>
      <w:tr w14:paraId="6A37B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91" w:type="dxa"/>
            <w:tcBorders>
              <w:left w:val="single" w:color="000000" w:sz="8" w:space="0"/>
            </w:tcBorders>
            <w:shd w:val="clear" w:color="auto" w:fill="auto"/>
            <w:vAlign w:val="center"/>
          </w:tcPr>
          <w:p w14:paraId="0BD40D2C">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21</w:t>
            </w:r>
          </w:p>
        </w:tc>
        <w:tc>
          <w:tcPr>
            <w:tcW w:w="1335" w:type="dxa"/>
            <w:tcBorders>
              <w:right w:val="single" w:color="000000" w:sz="8" w:space="0"/>
            </w:tcBorders>
            <w:shd w:val="clear" w:color="auto" w:fill="auto"/>
            <w:vAlign w:val="center"/>
          </w:tcPr>
          <w:p w14:paraId="4B87B22A">
            <w:pPr>
              <w:pStyle w:val="19"/>
              <w:keepNext w:val="0"/>
              <w:keepLines w:val="0"/>
              <w:pageBreakBefore w:val="0"/>
              <w:wordWrap/>
              <w:overflowPunct/>
              <w:topLinePunct w:val="0"/>
              <w:bidi w:val="0"/>
              <w:spacing w:line="400" w:lineRule="exact"/>
              <w:ind w:left="0" w:leftChars="0" w:right="0" w:rightChars="0" w:hanging="4" w:firstLineChars="0"/>
              <w:jc w:val="center"/>
              <w:rPr>
                <w:rFonts w:hint="eastAsia" w:ascii="仿宋" w:hAnsi="仿宋" w:eastAsia="仿宋" w:cs="仿宋"/>
                <w:spacing w:val="-2"/>
                <w:sz w:val="24"/>
                <w:szCs w:val="24"/>
              </w:rPr>
            </w:pPr>
            <w:r>
              <w:rPr>
                <w:rFonts w:hint="eastAsia" w:ascii="仿宋" w:hAnsi="仿宋" w:eastAsia="仿宋" w:cs="仿宋"/>
                <w:spacing w:val="-2"/>
                <w:sz w:val="24"/>
                <w:szCs w:val="24"/>
              </w:rPr>
              <w:t>企业</w:t>
            </w:r>
          </w:p>
          <w:p w14:paraId="1E1BA4F0">
            <w:pPr>
              <w:pStyle w:val="19"/>
              <w:keepNext w:val="0"/>
              <w:keepLines w:val="0"/>
              <w:pageBreakBefore w:val="0"/>
              <w:wordWrap/>
              <w:overflowPunct/>
              <w:topLinePunct w:val="0"/>
              <w:bidi w:val="0"/>
              <w:spacing w:line="400" w:lineRule="exact"/>
              <w:ind w:left="0" w:leftChars="0" w:right="0" w:rightChars="0" w:hanging="4" w:firstLineChars="0"/>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pacing w:val="-2"/>
                <w:sz w:val="24"/>
                <w:szCs w:val="24"/>
              </w:rPr>
              <w:t>所属行业</w:t>
            </w:r>
          </w:p>
        </w:tc>
        <w:tc>
          <w:tcPr>
            <w:tcW w:w="7665" w:type="dxa"/>
            <w:tcBorders>
              <w:right w:val="single" w:color="000000" w:sz="8" w:space="0"/>
            </w:tcBorders>
            <w:shd w:val="clear" w:color="auto" w:fill="auto"/>
            <w:vAlign w:val="center"/>
          </w:tcPr>
          <w:p w14:paraId="2D169BD2">
            <w:pPr>
              <w:pStyle w:val="19"/>
              <w:keepNext w:val="0"/>
              <w:keepLines w:val="0"/>
              <w:pageBreakBefore w:val="0"/>
              <w:wordWrap/>
              <w:overflowPunct/>
              <w:topLinePunct w:val="0"/>
              <w:bidi w:val="0"/>
              <w:spacing w:line="400" w:lineRule="exact"/>
              <w:ind w:left="0" w:leftChars="0" w:right="0" w:rightChars="0" w:hanging="4" w:firstLineChars="0"/>
              <w:jc w:val="left"/>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b/>
                <w:bCs/>
                <w:spacing w:val="-2"/>
                <w:sz w:val="24"/>
                <w:szCs w:val="24"/>
              </w:rPr>
              <w:t>其他未列明行业。</w:t>
            </w:r>
          </w:p>
        </w:tc>
      </w:tr>
      <w:tr w14:paraId="37029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91" w:type="dxa"/>
            <w:tcBorders>
              <w:left w:val="single" w:color="000000" w:sz="8" w:space="0"/>
            </w:tcBorders>
            <w:shd w:val="clear" w:color="auto" w:fill="auto"/>
            <w:vAlign w:val="center"/>
          </w:tcPr>
          <w:p w14:paraId="4FF978A8">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pacing w:val="-14"/>
                <w:sz w:val="24"/>
                <w:szCs w:val="24"/>
                <w:lang w:val="en-US" w:eastAsia="zh-CN"/>
              </w:rPr>
              <w:t>22</w:t>
            </w:r>
          </w:p>
        </w:tc>
        <w:tc>
          <w:tcPr>
            <w:tcW w:w="1335" w:type="dxa"/>
            <w:tcBorders>
              <w:right w:val="single" w:color="000000" w:sz="8" w:space="0"/>
            </w:tcBorders>
            <w:shd w:val="clear" w:color="auto" w:fill="auto"/>
            <w:vAlign w:val="center"/>
          </w:tcPr>
          <w:p w14:paraId="04B57ACF">
            <w:pPr>
              <w:keepNext w:val="0"/>
              <w:keepLines w:val="0"/>
              <w:pageBreakBefore w:val="0"/>
              <w:wordWrap/>
              <w:overflowPunct/>
              <w:topLinePunct w:val="0"/>
              <w:bidi w:val="0"/>
              <w:spacing w:line="400" w:lineRule="exact"/>
              <w:ind w:left="0" w:right="0"/>
              <w:jc w:val="center"/>
              <w:rPr>
                <w:rFonts w:hint="eastAsia" w:ascii="仿宋" w:hAnsi="仿宋" w:eastAsia="仿宋" w:cs="仿宋"/>
                <w:bCs/>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lang w:val="en-US" w:eastAsia="zh-CN"/>
              </w:rPr>
              <w:t>电子投标文件签章</w:t>
            </w:r>
          </w:p>
        </w:tc>
        <w:tc>
          <w:tcPr>
            <w:tcW w:w="7665" w:type="dxa"/>
            <w:tcBorders>
              <w:right w:val="single" w:color="000000" w:sz="8" w:space="0"/>
            </w:tcBorders>
            <w:shd w:val="clear" w:color="auto" w:fill="auto"/>
            <w:vAlign w:val="center"/>
          </w:tcPr>
          <w:p w14:paraId="4441F96D">
            <w:pPr>
              <w:pStyle w:val="34"/>
              <w:keepNext w:val="0"/>
              <w:keepLines w:val="0"/>
              <w:pageBreakBefore w:val="0"/>
              <w:wordWrap/>
              <w:overflowPunct/>
              <w:topLinePunct w:val="0"/>
              <w:bidi w:val="0"/>
              <w:spacing w:line="400" w:lineRule="exact"/>
              <w:ind w:left="0" w:right="0"/>
              <w:rPr>
                <w:rFonts w:hint="eastAsia" w:ascii="仿宋" w:hAnsi="仿宋" w:eastAsia="仿宋" w:cs="仿宋"/>
                <w:bCs/>
                <w:color w:val="auto"/>
                <w:kern w:val="2"/>
                <w:sz w:val="24"/>
                <w:szCs w:val="24"/>
                <w:highlight w:val="none"/>
                <w:lang w:val="en-US" w:eastAsia="en-US" w:bidi="ar-SA"/>
              </w:rPr>
            </w:pPr>
            <w:r>
              <w:rPr>
                <w:rFonts w:hint="eastAsia" w:ascii="仿宋" w:hAnsi="仿宋" w:eastAsia="仿宋" w:cs="仿宋"/>
                <w:color w:val="auto"/>
                <w:sz w:val="24"/>
                <w:szCs w:val="24"/>
                <w:highlight w:val="none"/>
                <w:lang w:val="en-US" w:eastAsia="zh-CN"/>
              </w:rPr>
              <w:t>电子投标文件的内容按招标文件要求进行签章。未按要求进行数字证书认证的投标文件，</w:t>
            </w:r>
            <w:r>
              <w:rPr>
                <w:rFonts w:hint="eastAsia" w:ascii="仿宋" w:hAnsi="仿宋" w:eastAsia="仿宋" w:cs="仿宋"/>
                <w:color w:val="auto"/>
                <w:sz w:val="24"/>
                <w:szCs w:val="24"/>
                <w:highlight w:val="none"/>
                <w:lang w:eastAsia="zh-CN"/>
              </w:rPr>
              <w:t>视为</w:t>
            </w:r>
            <w:r>
              <w:rPr>
                <w:rFonts w:hint="eastAsia" w:ascii="仿宋" w:hAnsi="仿宋" w:eastAsia="仿宋" w:cs="仿宋"/>
                <w:color w:val="000000"/>
                <w:sz w:val="24"/>
                <w:szCs w:val="24"/>
                <w:highlight w:val="none"/>
              </w:rPr>
              <w:t>无效</w:t>
            </w:r>
            <w:r>
              <w:rPr>
                <w:rFonts w:hint="eastAsia" w:ascii="仿宋" w:hAnsi="仿宋" w:eastAsia="仿宋" w:cs="仿宋"/>
                <w:color w:val="000000"/>
                <w:sz w:val="24"/>
                <w:szCs w:val="24"/>
                <w:highlight w:val="none"/>
                <w:lang w:eastAsia="zh-CN"/>
              </w:rPr>
              <w:t>投标文件</w:t>
            </w:r>
            <w:r>
              <w:rPr>
                <w:rFonts w:hint="eastAsia" w:ascii="仿宋" w:hAnsi="仿宋" w:eastAsia="仿宋" w:cs="仿宋"/>
                <w:color w:val="auto"/>
                <w:sz w:val="24"/>
                <w:szCs w:val="24"/>
                <w:highlight w:val="none"/>
                <w:lang w:val="en-US" w:eastAsia="zh-CN"/>
              </w:rPr>
              <w:t>。</w:t>
            </w:r>
          </w:p>
        </w:tc>
      </w:tr>
      <w:tr w14:paraId="40322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91" w:type="dxa"/>
            <w:tcBorders>
              <w:left w:val="single" w:color="000000" w:sz="8" w:space="0"/>
            </w:tcBorders>
            <w:shd w:val="clear" w:color="auto" w:fill="auto"/>
            <w:vAlign w:val="center"/>
          </w:tcPr>
          <w:p w14:paraId="79F8793F">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jc w:val="center"/>
              <w:textAlignment w:val="baseline"/>
              <w:rPr>
                <w:rFonts w:hint="default" w:ascii="仿宋" w:hAnsi="仿宋" w:eastAsia="仿宋" w:cs="仿宋"/>
                <w:spacing w:val="-14"/>
                <w:sz w:val="24"/>
                <w:szCs w:val="24"/>
                <w:lang w:val="en-US" w:eastAsia="zh-CN"/>
              </w:rPr>
            </w:pPr>
            <w:r>
              <w:rPr>
                <w:rFonts w:hint="eastAsia" w:cs="仿宋"/>
                <w:spacing w:val="-14"/>
                <w:sz w:val="24"/>
                <w:szCs w:val="24"/>
                <w:lang w:val="en-US" w:eastAsia="zh-CN"/>
              </w:rPr>
              <w:t>23</w:t>
            </w:r>
          </w:p>
        </w:tc>
        <w:tc>
          <w:tcPr>
            <w:tcW w:w="1335" w:type="dxa"/>
            <w:tcBorders>
              <w:right w:val="single" w:color="000000" w:sz="8" w:space="0"/>
            </w:tcBorders>
            <w:shd w:val="clear" w:color="auto" w:fill="auto"/>
            <w:vAlign w:val="center"/>
          </w:tcPr>
          <w:p w14:paraId="226ED8F2">
            <w:pPr>
              <w:keepNext w:val="0"/>
              <w:keepLines w:val="0"/>
              <w:pageBreakBefore w:val="0"/>
              <w:kinsoku/>
              <w:wordWrap/>
              <w:overflowPunct/>
              <w:topLinePunct w:val="0"/>
              <w:autoSpaceDE/>
              <w:autoSpaceDN/>
              <w:bidi w:val="0"/>
              <w:spacing w:line="400" w:lineRule="exact"/>
              <w:ind w:left="0" w:leftChars="0" w:right="0"/>
              <w:jc w:val="center"/>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pacing w:val="-14"/>
                <w:sz w:val="24"/>
                <w:szCs w:val="24"/>
                <w:highlight w:val="none"/>
              </w:rPr>
              <w:t>投标文件</w:t>
            </w:r>
            <w:r>
              <w:rPr>
                <w:rFonts w:hint="eastAsia" w:ascii="仿宋" w:hAnsi="仿宋" w:eastAsia="仿宋" w:cs="仿宋"/>
                <w:color w:val="auto"/>
                <w:sz w:val="24"/>
                <w:szCs w:val="24"/>
                <w:highlight w:val="none"/>
              </w:rPr>
              <w:t>密封</w:t>
            </w:r>
            <w:r>
              <w:rPr>
                <w:rFonts w:hint="eastAsia" w:ascii="仿宋" w:hAnsi="仿宋" w:eastAsia="仿宋" w:cs="仿宋"/>
                <w:color w:val="auto"/>
                <w:sz w:val="24"/>
                <w:szCs w:val="24"/>
                <w:highlight w:val="none"/>
                <w:lang w:eastAsia="zh-CN"/>
              </w:rPr>
              <w:t>性</w:t>
            </w:r>
          </w:p>
        </w:tc>
        <w:tc>
          <w:tcPr>
            <w:tcW w:w="7665" w:type="dxa"/>
            <w:tcBorders>
              <w:right w:val="single" w:color="000000" w:sz="8" w:space="0"/>
            </w:tcBorders>
            <w:shd w:val="clear" w:color="auto" w:fill="auto"/>
            <w:vAlign w:val="center"/>
          </w:tcPr>
          <w:p w14:paraId="3C66D7C3">
            <w:pPr>
              <w:keepNext w:val="0"/>
              <w:keepLines w:val="0"/>
              <w:pageBreakBefore w:val="0"/>
              <w:kinsoku/>
              <w:wordWrap/>
              <w:overflowPunct/>
              <w:topLinePunct w:val="0"/>
              <w:autoSpaceDE/>
              <w:autoSpaceDN/>
              <w:bidi w:val="0"/>
              <w:spacing w:line="40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电子版投标文件：递交投标文件截止时间之前将电子投标文件上传到“政采云”平台。应按照本项目招标文件和政采云平台的要求编制、加密传输投标文件。</w:t>
            </w:r>
          </w:p>
          <w:p w14:paraId="1149B3C1">
            <w:pPr>
              <w:keepNext w:val="0"/>
              <w:keepLines w:val="0"/>
              <w:pageBreakBefore w:val="0"/>
              <w:kinsoku/>
              <w:wordWrap/>
              <w:overflowPunct/>
              <w:topLinePunct w:val="0"/>
              <w:autoSpaceDE/>
              <w:autoSpaceDN/>
              <w:bidi w:val="0"/>
              <w:spacing w:line="400" w:lineRule="exact"/>
              <w:ind w:left="0" w:leftChars="0" w:right="0"/>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rPr>
              <w:t>若中标则需单独提供纸质版一正二副投标文件，电子光盘3份（电子投标文件不加密）。为了节能减排、保护环境，倡议投标文件双面打印！</w:t>
            </w:r>
          </w:p>
        </w:tc>
      </w:tr>
      <w:tr w14:paraId="1BF0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91" w:type="dxa"/>
            <w:tcBorders>
              <w:left w:val="single" w:color="000000" w:sz="8" w:space="0"/>
            </w:tcBorders>
            <w:shd w:val="clear" w:color="auto" w:fill="auto"/>
            <w:vAlign w:val="center"/>
          </w:tcPr>
          <w:p w14:paraId="4D1F4C04">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ascii="仿宋" w:hAnsi="仿宋" w:eastAsia="仿宋" w:cs="仿宋"/>
                <w:spacing w:val="-14"/>
                <w:sz w:val="24"/>
                <w:szCs w:val="24"/>
                <w:lang w:val="en-US" w:eastAsia="zh-CN"/>
              </w:rPr>
            </w:pPr>
            <w:r>
              <w:rPr>
                <w:rFonts w:hint="eastAsia" w:cs="仿宋"/>
                <w:spacing w:val="-14"/>
                <w:sz w:val="24"/>
                <w:szCs w:val="24"/>
                <w:lang w:val="en-US" w:eastAsia="zh-CN"/>
              </w:rPr>
              <w:t>24</w:t>
            </w:r>
          </w:p>
        </w:tc>
        <w:tc>
          <w:tcPr>
            <w:tcW w:w="1335" w:type="dxa"/>
            <w:tcBorders>
              <w:right w:val="single" w:color="000000" w:sz="8" w:space="0"/>
            </w:tcBorders>
            <w:shd w:val="clear" w:color="auto" w:fill="auto"/>
            <w:vAlign w:val="center"/>
          </w:tcPr>
          <w:p w14:paraId="28A12FDD">
            <w:pPr>
              <w:keepNext w:val="0"/>
              <w:keepLines w:val="0"/>
              <w:pageBreakBefore w:val="0"/>
              <w:kinsoku/>
              <w:wordWrap/>
              <w:overflowPunct/>
              <w:topLinePunct w:val="0"/>
              <w:autoSpaceDE/>
              <w:autoSpaceDN/>
              <w:bidi w:val="0"/>
              <w:spacing w:line="400" w:lineRule="exact"/>
              <w:ind w:left="0" w:leftChars="0" w:right="0"/>
              <w:jc w:val="center"/>
              <w:textAlignment w:val="auto"/>
              <w:rPr>
                <w:rFonts w:hint="eastAsia" w:ascii="仿宋" w:hAnsi="仿宋" w:eastAsia="仿宋" w:cs="仿宋"/>
                <w:bCs/>
                <w:snapToGrid w:val="0"/>
                <w:color w:val="auto"/>
                <w:kern w:val="0"/>
                <w:sz w:val="24"/>
                <w:szCs w:val="24"/>
                <w:highlight w:val="none"/>
                <w:lang w:val="en-US" w:eastAsia="zh-CN" w:bidi="ar-SA"/>
              </w:rPr>
            </w:pPr>
            <w:r>
              <w:rPr>
                <w:rFonts w:hint="eastAsia" w:ascii="仿宋" w:hAnsi="仿宋" w:eastAsia="仿宋" w:cs="仿宋"/>
                <w:bCs/>
                <w:snapToGrid w:val="0"/>
                <w:color w:val="auto"/>
                <w:kern w:val="0"/>
                <w:sz w:val="24"/>
                <w:szCs w:val="24"/>
                <w:highlight w:val="none"/>
                <w:lang w:val="en-US" w:eastAsia="zh-CN" w:bidi="ar-SA"/>
              </w:rPr>
              <w:t>其他</w:t>
            </w:r>
          </w:p>
        </w:tc>
        <w:tc>
          <w:tcPr>
            <w:tcW w:w="7665" w:type="dxa"/>
            <w:tcBorders>
              <w:right w:val="single" w:color="000000" w:sz="8" w:space="0"/>
            </w:tcBorders>
            <w:shd w:val="clear" w:color="auto" w:fill="auto"/>
            <w:vAlign w:val="center"/>
          </w:tcPr>
          <w:p w14:paraId="591F27E8">
            <w:pPr>
              <w:keepNext w:val="0"/>
              <w:keepLines w:val="0"/>
              <w:pageBreakBefore w:val="0"/>
              <w:kinsoku/>
              <w:wordWrap/>
              <w:overflowPunct/>
              <w:topLinePunct w:val="0"/>
              <w:autoSpaceDE/>
              <w:autoSpaceDN/>
              <w:bidi w:val="0"/>
              <w:spacing w:line="400" w:lineRule="exact"/>
              <w:ind w:left="0" w:leftChars="0" w:right="0"/>
              <w:textAlignment w:val="auto"/>
              <w:rPr>
                <w:rFonts w:hint="eastAsia" w:ascii="仿宋" w:hAnsi="仿宋" w:eastAsia="仿宋" w:cs="仿宋"/>
                <w:bCs/>
                <w:snapToGrid w:val="0"/>
                <w:color w:val="auto"/>
                <w:kern w:val="0"/>
                <w:sz w:val="24"/>
                <w:szCs w:val="24"/>
                <w:highlight w:val="none"/>
                <w:lang w:val="en-US" w:eastAsia="zh-CN" w:bidi="ar-SA"/>
              </w:rPr>
            </w:pPr>
            <w:r>
              <w:rPr>
                <w:rFonts w:hint="eastAsia" w:ascii="仿宋" w:hAnsi="仿宋" w:eastAsia="仿宋" w:cs="仿宋"/>
                <w:b/>
                <w:color w:val="auto"/>
                <w:sz w:val="24"/>
                <w:szCs w:val="24"/>
                <w:highlight w:val="none"/>
              </w:rPr>
              <w:t>投标人应自行承担所有与准备和参加投标有关的费用，无论投标的结果如何，采购人或采购代理机构在任何情况下均无承担这些费用的义务和责任。</w:t>
            </w:r>
          </w:p>
        </w:tc>
      </w:tr>
      <w:tr w14:paraId="08E3B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691" w:type="dxa"/>
            <w:gridSpan w:val="3"/>
            <w:tcBorders>
              <w:left w:val="single" w:color="000000" w:sz="8" w:space="0"/>
              <w:right w:val="single" w:color="000000" w:sz="8" w:space="0"/>
            </w:tcBorders>
            <w:shd w:val="clear" w:color="auto" w:fill="auto"/>
            <w:vAlign w:val="center"/>
          </w:tcPr>
          <w:p w14:paraId="7BC85229">
            <w:pPr>
              <w:keepNext w:val="0"/>
              <w:keepLines w:val="0"/>
              <w:pageBreakBefore w:val="0"/>
              <w:kinsoku/>
              <w:wordWrap/>
              <w:overflowPunct/>
              <w:topLinePunct w:val="0"/>
              <w:autoSpaceDE/>
              <w:autoSpaceDN/>
              <w:bidi w:val="0"/>
              <w:spacing w:line="400" w:lineRule="exact"/>
              <w:ind w:left="0" w:leftChars="0" w:right="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本表内容与采购文件其它内容不一致的，应当以本表内容为准。</w:t>
            </w:r>
          </w:p>
        </w:tc>
      </w:tr>
    </w:tbl>
    <w:p w14:paraId="754C37B9">
      <w:pPr>
        <w:spacing w:line="222" w:lineRule="exact"/>
        <w:rPr>
          <w:sz w:val="19"/>
          <w:szCs w:val="19"/>
        </w:rPr>
        <w:sectPr>
          <w:footerReference r:id="rId8" w:type="default"/>
          <w:pgSz w:w="11907" w:h="16840"/>
          <w:pgMar w:top="1418" w:right="846" w:bottom="1204" w:left="971" w:header="0" w:footer="1035" w:gutter="0"/>
          <w:pgNumType w:fmt="decimal"/>
          <w:cols w:space="720" w:num="1"/>
        </w:sectPr>
      </w:pPr>
    </w:p>
    <w:p w14:paraId="239B1230">
      <w:pPr>
        <w:pStyle w:val="8"/>
      </w:pPr>
    </w:p>
    <w:p w14:paraId="07CD0DF3">
      <w:pPr>
        <w:pStyle w:val="8"/>
      </w:pPr>
    </w:p>
    <w:p w14:paraId="3EBD3A4E">
      <w:pPr>
        <w:spacing w:before="250" w:line="222" w:lineRule="auto"/>
        <w:jc w:val="center"/>
        <w:outlineLvl w:val="0"/>
        <w:rPr>
          <w:rFonts w:ascii="仿宋" w:hAnsi="仿宋" w:eastAsia="仿宋" w:cs="仿宋"/>
          <w:b/>
          <w:bCs/>
          <w:spacing w:val="-13"/>
          <w:sz w:val="28"/>
          <w:szCs w:val="28"/>
        </w:rPr>
      </w:pPr>
      <w:bookmarkStart w:id="25" w:name="bookmark19"/>
      <w:bookmarkEnd w:id="25"/>
      <w:bookmarkStart w:id="26" w:name="_Toc31681"/>
      <w:r>
        <w:rPr>
          <w:rFonts w:ascii="仿宋" w:hAnsi="仿宋" w:eastAsia="仿宋" w:cs="仿宋"/>
          <w:b/>
          <w:bCs/>
          <w:spacing w:val="-13"/>
          <w:sz w:val="28"/>
          <w:szCs w:val="28"/>
        </w:rPr>
        <w:t>第3章 供应商须知</w:t>
      </w:r>
      <w:bookmarkEnd w:id="26"/>
    </w:p>
    <w:p w14:paraId="7F888543">
      <w:pPr>
        <w:spacing w:before="250" w:line="222" w:lineRule="auto"/>
        <w:jc w:val="center"/>
        <w:outlineLvl w:val="0"/>
        <w:rPr>
          <w:rFonts w:ascii="仿宋" w:hAnsi="仿宋" w:eastAsia="仿宋" w:cs="仿宋"/>
          <w:b/>
          <w:bCs/>
          <w:spacing w:val="-13"/>
          <w:sz w:val="28"/>
          <w:szCs w:val="28"/>
        </w:rPr>
      </w:pPr>
      <w:bookmarkStart w:id="27" w:name="bookmark21"/>
      <w:bookmarkEnd w:id="27"/>
      <w:bookmarkStart w:id="28" w:name="_Toc25477"/>
      <w:r>
        <w:rPr>
          <w:rFonts w:ascii="仿宋" w:hAnsi="仿宋" w:eastAsia="仿宋" w:cs="仿宋"/>
          <w:b/>
          <w:bCs/>
          <w:spacing w:val="-13"/>
          <w:sz w:val="28"/>
          <w:szCs w:val="28"/>
        </w:rPr>
        <w:t>一 总则</w:t>
      </w:r>
      <w:bookmarkEnd w:id="28"/>
    </w:p>
    <w:p w14:paraId="7DFAADEE">
      <w:pPr>
        <w:spacing w:before="276" w:line="222" w:lineRule="auto"/>
        <w:ind w:left="80"/>
        <w:outlineLvl w:val="1"/>
        <w:rPr>
          <w:rFonts w:ascii="仿宋" w:hAnsi="仿宋" w:eastAsia="仿宋" w:cs="仿宋"/>
          <w:sz w:val="24"/>
          <w:szCs w:val="24"/>
        </w:rPr>
      </w:pPr>
      <w:bookmarkStart w:id="29" w:name="_Toc9363"/>
      <w:r>
        <w:rPr>
          <w:rFonts w:ascii="仿宋" w:hAnsi="仿宋" w:eastAsia="仿宋" w:cs="仿宋"/>
          <w:b/>
          <w:bCs/>
          <w:spacing w:val="-7"/>
          <w:sz w:val="24"/>
          <w:szCs w:val="24"/>
        </w:rPr>
        <w:t>1.采购人、采购代理机构及供应商</w:t>
      </w:r>
      <w:bookmarkEnd w:id="29"/>
    </w:p>
    <w:p w14:paraId="063C2ECD">
      <w:pPr>
        <w:spacing w:before="179" w:line="342" w:lineRule="auto"/>
        <w:ind w:left="16" w:firstLine="489"/>
        <w:rPr>
          <w:rFonts w:ascii="仿宋" w:hAnsi="仿宋" w:eastAsia="仿宋" w:cs="仿宋"/>
          <w:sz w:val="24"/>
          <w:szCs w:val="24"/>
        </w:rPr>
      </w:pPr>
      <w:r>
        <w:rPr>
          <w:rFonts w:ascii="仿宋" w:hAnsi="仿宋" w:eastAsia="仿宋" w:cs="仿宋"/>
          <w:spacing w:val="-2"/>
          <w:sz w:val="24"/>
          <w:szCs w:val="24"/>
        </w:rPr>
        <w:t>1.1采购人：是指依法开展政府采购活动的国家机关、事业单位、团体组织。</w:t>
      </w:r>
      <w:r>
        <w:rPr>
          <w:rFonts w:ascii="仿宋" w:hAnsi="仿宋" w:eastAsia="仿宋" w:cs="仿宋"/>
          <w:spacing w:val="5"/>
          <w:sz w:val="24"/>
          <w:szCs w:val="24"/>
        </w:rPr>
        <w:t xml:space="preserve"> </w:t>
      </w:r>
      <w:r>
        <w:rPr>
          <w:rFonts w:ascii="仿宋" w:hAnsi="仿宋" w:eastAsia="仿宋" w:cs="仿宋"/>
          <w:spacing w:val="-1"/>
          <w:sz w:val="24"/>
          <w:szCs w:val="24"/>
        </w:rPr>
        <w:t>本项目的采购人见供应商须知资料表。</w:t>
      </w:r>
    </w:p>
    <w:p w14:paraId="4AA3BFBA">
      <w:pPr>
        <w:spacing w:before="44" w:line="342" w:lineRule="auto"/>
        <w:ind w:left="15" w:right="203" w:firstLine="490"/>
        <w:rPr>
          <w:rFonts w:ascii="仿宋" w:hAnsi="仿宋" w:eastAsia="仿宋" w:cs="仿宋"/>
          <w:sz w:val="24"/>
          <w:szCs w:val="24"/>
        </w:rPr>
      </w:pPr>
      <w:r>
        <w:rPr>
          <w:rFonts w:ascii="仿宋" w:hAnsi="仿宋" w:eastAsia="仿宋" w:cs="仿宋"/>
          <w:spacing w:val="-1"/>
          <w:sz w:val="24"/>
          <w:szCs w:val="24"/>
        </w:rPr>
        <w:t>1.2采购代理机构：是指集中采购代理机构或从事采购代理业务的社会中介</w:t>
      </w:r>
      <w:r>
        <w:rPr>
          <w:rFonts w:ascii="仿宋" w:hAnsi="仿宋" w:eastAsia="仿宋" w:cs="仿宋"/>
          <w:spacing w:val="6"/>
          <w:sz w:val="24"/>
          <w:szCs w:val="24"/>
        </w:rPr>
        <w:t xml:space="preserve"> </w:t>
      </w:r>
      <w:r>
        <w:rPr>
          <w:rFonts w:ascii="仿宋" w:hAnsi="仿宋" w:eastAsia="仿宋" w:cs="仿宋"/>
          <w:spacing w:val="-1"/>
          <w:sz w:val="24"/>
          <w:szCs w:val="24"/>
        </w:rPr>
        <w:t>机构。本项目的采购代理机构见供应商须知资料表。</w:t>
      </w:r>
    </w:p>
    <w:p w14:paraId="06891B43">
      <w:pPr>
        <w:spacing w:before="44" w:line="343" w:lineRule="auto"/>
        <w:ind w:left="19" w:right="203" w:firstLine="486"/>
        <w:rPr>
          <w:rFonts w:ascii="仿宋" w:hAnsi="仿宋" w:eastAsia="仿宋" w:cs="仿宋"/>
          <w:sz w:val="24"/>
          <w:szCs w:val="24"/>
        </w:rPr>
      </w:pPr>
      <w:r>
        <w:rPr>
          <w:rFonts w:ascii="仿宋" w:hAnsi="仿宋" w:eastAsia="仿宋" w:cs="仿宋"/>
          <w:spacing w:val="-1"/>
          <w:sz w:val="24"/>
          <w:szCs w:val="24"/>
        </w:rPr>
        <w:t>1.3供应商：是指向采购人提供货物、工程或者服务的法人、非法人组织或</w:t>
      </w:r>
      <w:r>
        <w:rPr>
          <w:rFonts w:ascii="仿宋" w:hAnsi="仿宋" w:eastAsia="仿宋" w:cs="仿宋"/>
          <w:spacing w:val="6"/>
          <w:sz w:val="24"/>
          <w:szCs w:val="24"/>
        </w:rPr>
        <w:t xml:space="preserve"> </w:t>
      </w:r>
      <w:r>
        <w:rPr>
          <w:rFonts w:ascii="仿宋" w:hAnsi="仿宋" w:eastAsia="仿宋" w:cs="仿宋"/>
          <w:spacing w:val="-1"/>
          <w:sz w:val="24"/>
          <w:szCs w:val="24"/>
        </w:rPr>
        <w:t>者自然人。本项目的供应商须满足以下条件：</w:t>
      </w:r>
    </w:p>
    <w:p w14:paraId="20CBEA35">
      <w:pPr>
        <w:spacing w:before="41" w:line="290" w:lineRule="auto"/>
        <w:ind w:left="29" w:right="203" w:firstLine="476"/>
        <w:rPr>
          <w:rFonts w:ascii="仿宋" w:hAnsi="仿宋" w:eastAsia="仿宋" w:cs="仿宋"/>
          <w:sz w:val="24"/>
          <w:szCs w:val="24"/>
        </w:rPr>
      </w:pPr>
      <w:r>
        <w:rPr>
          <w:rFonts w:ascii="仿宋" w:hAnsi="仿宋" w:eastAsia="仿宋" w:cs="仿宋"/>
          <w:spacing w:val="-1"/>
          <w:sz w:val="24"/>
          <w:szCs w:val="24"/>
        </w:rPr>
        <w:t>1.3.1在中华人民共和国境内注册，能够独立承担民事责任，有生产或供应</w:t>
      </w:r>
      <w:r>
        <w:rPr>
          <w:rFonts w:ascii="仿宋" w:hAnsi="仿宋" w:eastAsia="仿宋" w:cs="仿宋"/>
          <w:spacing w:val="7"/>
          <w:sz w:val="24"/>
          <w:szCs w:val="24"/>
        </w:rPr>
        <w:t xml:space="preserve"> </w:t>
      </w:r>
      <w:r>
        <w:rPr>
          <w:rFonts w:ascii="仿宋" w:hAnsi="仿宋" w:eastAsia="仿宋" w:cs="仿宋"/>
          <w:spacing w:val="-4"/>
          <w:sz w:val="24"/>
          <w:szCs w:val="24"/>
        </w:rPr>
        <w:t>能力的本国供应商。</w:t>
      </w:r>
    </w:p>
    <w:p w14:paraId="471CBA9C">
      <w:pPr>
        <w:spacing w:before="179" w:line="291" w:lineRule="auto"/>
        <w:ind w:left="20" w:right="203" w:firstLine="485"/>
        <w:rPr>
          <w:rFonts w:ascii="仿宋" w:hAnsi="仿宋" w:eastAsia="仿宋" w:cs="仿宋"/>
          <w:sz w:val="24"/>
          <w:szCs w:val="24"/>
        </w:rPr>
      </w:pPr>
      <w:r>
        <w:rPr>
          <w:rFonts w:ascii="仿宋" w:hAnsi="仿宋" w:eastAsia="仿宋" w:cs="仿宋"/>
          <w:spacing w:val="-1"/>
          <w:sz w:val="24"/>
          <w:szCs w:val="24"/>
        </w:rPr>
        <w:t>1.3.2具备《中华人民共和国政府采购法》第二十二条关于供应商条件的规</w:t>
      </w:r>
      <w:r>
        <w:rPr>
          <w:rFonts w:ascii="仿宋" w:hAnsi="仿宋" w:eastAsia="仿宋" w:cs="仿宋"/>
          <w:spacing w:val="7"/>
          <w:sz w:val="24"/>
          <w:szCs w:val="24"/>
        </w:rPr>
        <w:t xml:space="preserve"> </w:t>
      </w:r>
      <w:r>
        <w:rPr>
          <w:rFonts w:ascii="仿宋" w:hAnsi="仿宋" w:eastAsia="仿宋" w:cs="仿宋"/>
          <w:spacing w:val="-1"/>
          <w:sz w:val="24"/>
          <w:szCs w:val="24"/>
        </w:rPr>
        <w:t>定，遵守本项目采购人本级和上级财政部门政府采购的有关规定。</w:t>
      </w:r>
    </w:p>
    <w:p w14:paraId="13063322">
      <w:pPr>
        <w:spacing w:before="178" w:line="222" w:lineRule="auto"/>
        <w:ind w:left="505"/>
        <w:rPr>
          <w:rFonts w:ascii="仿宋" w:hAnsi="仿宋" w:eastAsia="仿宋" w:cs="仿宋"/>
          <w:sz w:val="24"/>
          <w:szCs w:val="24"/>
        </w:rPr>
      </w:pPr>
      <w:r>
        <w:rPr>
          <w:rFonts w:ascii="仿宋" w:hAnsi="仿宋" w:eastAsia="仿宋" w:cs="仿宋"/>
          <w:spacing w:val="-1"/>
          <w:sz w:val="24"/>
          <w:szCs w:val="24"/>
        </w:rPr>
        <w:t>1.3.3以采购代理机构认可的方式获得了本项目的采购文件。</w:t>
      </w:r>
    </w:p>
    <w:p w14:paraId="5027B23E">
      <w:pPr>
        <w:spacing w:before="177" w:line="220" w:lineRule="auto"/>
        <w:ind w:left="505"/>
        <w:rPr>
          <w:rFonts w:ascii="仿宋" w:hAnsi="仿宋" w:eastAsia="仿宋" w:cs="仿宋"/>
          <w:sz w:val="24"/>
          <w:szCs w:val="24"/>
        </w:rPr>
      </w:pPr>
      <w:r>
        <w:rPr>
          <w:rFonts w:ascii="仿宋" w:hAnsi="仿宋" w:eastAsia="仿宋" w:cs="仿宋"/>
          <w:spacing w:val="-1"/>
          <w:sz w:val="24"/>
          <w:szCs w:val="24"/>
        </w:rPr>
        <w:t>1.3.4符合供应商须知资料表中规定的其</w:t>
      </w:r>
      <w:r>
        <w:rPr>
          <w:rFonts w:ascii="仿宋" w:hAnsi="仿宋" w:eastAsia="仿宋" w:cs="仿宋"/>
          <w:spacing w:val="-2"/>
          <w:sz w:val="24"/>
          <w:szCs w:val="24"/>
        </w:rPr>
        <w:t>他要求。</w:t>
      </w:r>
    </w:p>
    <w:p w14:paraId="670E3A38">
      <w:pPr>
        <w:spacing w:before="181" w:line="291" w:lineRule="auto"/>
        <w:ind w:left="46" w:right="203" w:firstLine="459"/>
        <w:rPr>
          <w:rFonts w:ascii="仿宋" w:hAnsi="仿宋" w:eastAsia="仿宋" w:cs="仿宋"/>
          <w:sz w:val="24"/>
          <w:szCs w:val="24"/>
        </w:rPr>
      </w:pPr>
      <w:r>
        <w:rPr>
          <w:rFonts w:ascii="仿宋" w:hAnsi="仿宋" w:eastAsia="仿宋" w:cs="仿宋"/>
          <w:spacing w:val="-1"/>
          <w:sz w:val="24"/>
          <w:szCs w:val="24"/>
        </w:rPr>
        <w:t>1.3.5若供应商须知资料表中写明专门面向中小企业采购的，如供应商为非</w:t>
      </w:r>
      <w:r>
        <w:rPr>
          <w:rFonts w:ascii="仿宋" w:hAnsi="仿宋" w:eastAsia="仿宋" w:cs="仿宋"/>
          <w:spacing w:val="7"/>
          <w:sz w:val="24"/>
          <w:szCs w:val="24"/>
        </w:rPr>
        <w:t xml:space="preserve"> </w:t>
      </w:r>
      <w:r>
        <w:rPr>
          <w:rFonts w:ascii="仿宋" w:hAnsi="仿宋" w:eastAsia="仿宋" w:cs="仿宋"/>
          <w:spacing w:val="-3"/>
          <w:sz w:val="24"/>
          <w:szCs w:val="24"/>
        </w:rPr>
        <w:t>中小企业，其投标将被认定为投标无效。</w:t>
      </w:r>
    </w:p>
    <w:p w14:paraId="517075C5">
      <w:pPr>
        <w:spacing w:before="178" w:line="220" w:lineRule="auto"/>
        <w:ind w:left="505"/>
        <w:outlineLvl w:val="2"/>
        <w:rPr>
          <w:rFonts w:ascii="仿宋" w:hAnsi="仿宋" w:eastAsia="仿宋" w:cs="仿宋"/>
          <w:sz w:val="24"/>
          <w:szCs w:val="24"/>
        </w:rPr>
      </w:pPr>
      <w:bookmarkStart w:id="30" w:name="_Toc20678"/>
      <w:r>
        <w:rPr>
          <w:rFonts w:ascii="仿宋" w:hAnsi="仿宋" w:eastAsia="仿宋" w:cs="仿宋"/>
          <w:spacing w:val="-1"/>
          <w:sz w:val="24"/>
          <w:szCs w:val="24"/>
        </w:rPr>
        <w:t>1.4如供应商须知资料表中允许联合体投标，对联合体规定如下：</w:t>
      </w:r>
      <w:bookmarkEnd w:id="30"/>
    </w:p>
    <w:p w14:paraId="77D3BA92">
      <w:pPr>
        <w:spacing w:before="182" w:line="222" w:lineRule="auto"/>
        <w:jc w:val="right"/>
        <w:rPr>
          <w:rFonts w:ascii="仿宋" w:hAnsi="仿宋" w:eastAsia="仿宋" w:cs="仿宋"/>
          <w:sz w:val="24"/>
          <w:szCs w:val="24"/>
        </w:rPr>
      </w:pPr>
      <w:r>
        <w:rPr>
          <w:rFonts w:ascii="仿宋" w:hAnsi="仿宋" w:eastAsia="仿宋" w:cs="仿宋"/>
          <w:spacing w:val="-2"/>
          <w:sz w:val="24"/>
          <w:szCs w:val="24"/>
        </w:rPr>
        <w:t>1.4.1两个以上供应商可以组成一个投标联合体，以一个供应商的身份投标。</w:t>
      </w:r>
    </w:p>
    <w:p w14:paraId="37C00145">
      <w:pPr>
        <w:spacing w:before="177" w:line="291" w:lineRule="auto"/>
        <w:ind w:left="29" w:right="203" w:firstLine="476"/>
        <w:rPr>
          <w:rFonts w:ascii="仿宋" w:hAnsi="仿宋" w:eastAsia="仿宋" w:cs="仿宋"/>
          <w:sz w:val="24"/>
          <w:szCs w:val="24"/>
        </w:rPr>
      </w:pPr>
      <w:r>
        <w:rPr>
          <w:rFonts w:ascii="仿宋" w:hAnsi="仿宋" w:eastAsia="仿宋" w:cs="仿宋"/>
          <w:spacing w:val="-1"/>
          <w:sz w:val="24"/>
          <w:szCs w:val="24"/>
        </w:rPr>
        <w:t>1.4.2联合体各方均应符合《中华人民共和国政府采购法》第二十二条规定</w:t>
      </w:r>
      <w:r>
        <w:rPr>
          <w:rFonts w:ascii="仿宋" w:hAnsi="仿宋" w:eastAsia="仿宋" w:cs="仿宋"/>
          <w:spacing w:val="7"/>
          <w:sz w:val="24"/>
          <w:szCs w:val="24"/>
        </w:rPr>
        <w:t xml:space="preserve"> </w:t>
      </w:r>
      <w:r>
        <w:rPr>
          <w:rFonts w:ascii="仿宋" w:hAnsi="仿宋" w:eastAsia="仿宋" w:cs="仿宋"/>
          <w:spacing w:val="-8"/>
          <w:sz w:val="24"/>
          <w:szCs w:val="24"/>
        </w:rPr>
        <w:t>的条件。</w:t>
      </w:r>
    </w:p>
    <w:p w14:paraId="00C5BC2C">
      <w:pPr>
        <w:spacing w:before="178" w:line="290" w:lineRule="auto"/>
        <w:ind w:left="21" w:right="203" w:firstLine="484"/>
        <w:rPr>
          <w:rFonts w:ascii="仿宋" w:hAnsi="仿宋" w:eastAsia="仿宋" w:cs="仿宋"/>
          <w:sz w:val="24"/>
          <w:szCs w:val="24"/>
        </w:rPr>
      </w:pPr>
      <w:r>
        <w:rPr>
          <w:rFonts w:ascii="仿宋" w:hAnsi="仿宋" w:eastAsia="仿宋" w:cs="仿宋"/>
          <w:spacing w:val="-1"/>
          <w:sz w:val="24"/>
          <w:szCs w:val="24"/>
        </w:rPr>
        <w:t>1.4.3采购人根据采购项目对供应商的特殊要求，联合体中至少应当有一方</w:t>
      </w:r>
      <w:r>
        <w:rPr>
          <w:rFonts w:ascii="仿宋" w:hAnsi="仿宋" w:eastAsia="仿宋" w:cs="仿宋"/>
          <w:spacing w:val="7"/>
          <w:sz w:val="24"/>
          <w:szCs w:val="24"/>
        </w:rPr>
        <w:t xml:space="preserve"> </w:t>
      </w:r>
      <w:r>
        <w:rPr>
          <w:rFonts w:ascii="仿宋" w:hAnsi="仿宋" w:eastAsia="仿宋" w:cs="仿宋"/>
          <w:spacing w:val="-4"/>
          <w:sz w:val="24"/>
          <w:szCs w:val="24"/>
        </w:rPr>
        <w:t>符合相关规定。</w:t>
      </w:r>
    </w:p>
    <w:p w14:paraId="6FF06E33">
      <w:pPr>
        <w:spacing w:before="178" w:line="290" w:lineRule="auto"/>
        <w:ind w:left="17" w:right="203" w:firstLine="488"/>
        <w:rPr>
          <w:rFonts w:ascii="仿宋" w:hAnsi="仿宋" w:eastAsia="仿宋" w:cs="仿宋"/>
          <w:sz w:val="24"/>
          <w:szCs w:val="24"/>
        </w:rPr>
      </w:pPr>
      <w:r>
        <w:rPr>
          <w:rFonts w:ascii="仿宋" w:hAnsi="仿宋" w:eastAsia="仿宋" w:cs="仿宋"/>
          <w:spacing w:val="-1"/>
          <w:sz w:val="24"/>
          <w:szCs w:val="24"/>
        </w:rPr>
        <w:t>1.4.4联合体各方应签订共同投标协议，明确约定联合体各方承担的工作和</w:t>
      </w:r>
      <w:r>
        <w:rPr>
          <w:rFonts w:ascii="仿宋" w:hAnsi="仿宋" w:eastAsia="仿宋" w:cs="仿宋"/>
          <w:spacing w:val="7"/>
          <w:sz w:val="24"/>
          <w:szCs w:val="24"/>
        </w:rPr>
        <w:t xml:space="preserve"> </w:t>
      </w:r>
      <w:r>
        <w:rPr>
          <w:rFonts w:ascii="仿宋" w:hAnsi="仿宋" w:eastAsia="仿宋" w:cs="仿宋"/>
          <w:spacing w:val="-1"/>
          <w:sz w:val="24"/>
          <w:szCs w:val="24"/>
        </w:rPr>
        <w:t>相应的责任，并将共同投标协议连同投标文件一并提交招标采购单位。</w:t>
      </w:r>
    </w:p>
    <w:p w14:paraId="2171ED6A">
      <w:pPr>
        <w:spacing w:before="180" w:line="314" w:lineRule="auto"/>
        <w:ind w:left="14" w:right="203" w:firstLine="491"/>
        <w:rPr>
          <w:rFonts w:ascii="仿宋" w:hAnsi="仿宋" w:eastAsia="仿宋" w:cs="仿宋"/>
          <w:sz w:val="24"/>
          <w:szCs w:val="24"/>
        </w:rPr>
      </w:pPr>
      <w:r>
        <w:rPr>
          <w:rFonts w:ascii="仿宋" w:hAnsi="仿宋" w:eastAsia="仿宋" w:cs="仿宋"/>
          <w:spacing w:val="-1"/>
          <w:sz w:val="24"/>
          <w:szCs w:val="24"/>
        </w:rPr>
        <w:t>1.4.5大中型企业、其他自然人、法人或者非法人组织与小型、微型企业组</w:t>
      </w:r>
      <w:r>
        <w:rPr>
          <w:rFonts w:ascii="仿宋" w:hAnsi="仿宋" w:eastAsia="仿宋" w:cs="仿宋"/>
          <w:spacing w:val="7"/>
          <w:sz w:val="24"/>
          <w:szCs w:val="24"/>
        </w:rPr>
        <w:t xml:space="preserve"> </w:t>
      </w:r>
      <w:r>
        <w:rPr>
          <w:rFonts w:ascii="仿宋" w:hAnsi="仿宋" w:eastAsia="仿宋" w:cs="仿宋"/>
          <w:spacing w:val="-1"/>
          <w:sz w:val="24"/>
          <w:szCs w:val="24"/>
        </w:rPr>
        <w:t>成联合体共同参加投标，共同投标协议中应写明小型、微型企业的协议合同金</w:t>
      </w:r>
      <w:r>
        <w:rPr>
          <w:rFonts w:ascii="仿宋" w:hAnsi="仿宋" w:eastAsia="仿宋" w:cs="仿宋"/>
          <w:spacing w:val="8"/>
          <w:sz w:val="24"/>
          <w:szCs w:val="24"/>
        </w:rPr>
        <w:t xml:space="preserve">  </w:t>
      </w:r>
      <w:r>
        <w:rPr>
          <w:rFonts w:ascii="仿宋" w:hAnsi="仿宋" w:eastAsia="仿宋" w:cs="仿宋"/>
          <w:spacing w:val="-1"/>
          <w:sz w:val="24"/>
          <w:szCs w:val="24"/>
        </w:rPr>
        <w:t>额占到共同投标协议投标总金额的比例。</w:t>
      </w:r>
    </w:p>
    <w:p w14:paraId="56C99577">
      <w:pPr>
        <w:spacing w:line="314" w:lineRule="auto"/>
        <w:rPr>
          <w:rFonts w:ascii="仿宋" w:hAnsi="仿宋" w:eastAsia="仿宋" w:cs="仿宋"/>
          <w:sz w:val="24"/>
          <w:szCs w:val="24"/>
        </w:rPr>
        <w:sectPr>
          <w:footerReference r:id="rId9" w:type="default"/>
          <w:pgSz w:w="11907" w:h="16840"/>
          <w:pgMar w:top="1415" w:right="1638" w:bottom="1204" w:left="1786" w:header="0" w:footer="1035" w:gutter="0"/>
          <w:pgNumType w:fmt="decimal"/>
          <w:cols w:space="720" w:num="1"/>
        </w:sectPr>
      </w:pPr>
    </w:p>
    <w:p w14:paraId="59BDAB22">
      <w:pPr>
        <w:spacing w:before="48" w:line="290" w:lineRule="auto"/>
        <w:ind w:left="27" w:right="55" w:firstLine="478"/>
        <w:rPr>
          <w:rFonts w:ascii="仿宋" w:hAnsi="仿宋" w:eastAsia="仿宋" w:cs="仿宋"/>
          <w:sz w:val="24"/>
          <w:szCs w:val="24"/>
        </w:rPr>
      </w:pPr>
      <w:r>
        <w:rPr>
          <w:rFonts w:ascii="仿宋" w:hAnsi="仿宋" w:eastAsia="仿宋" w:cs="仿宋"/>
          <w:spacing w:val="-1"/>
          <w:sz w:val="24"/>
          <w:szCs w:val="24"/>
        </w:rPr>
        <w:t>1.4.6联合体中有同类资质的供应商按照联合体分工承担相同工作的，按照</w:t>
      </w:r>
      <w:r>
        <w:rPr>
          <w:rFonts w:ascii="仿宋" w:hAnsi="仿宋" w:eastAsia="仿宋" w:cs="仿宋"/>
          <w:spacing w:val="7"/>
          <w:sz w:val="24"/>
          <w:szCs w:val="24"/>
        </w:rPr>
        <w:t xml:space="preserve"> </w:t>
      </w:r>
      <w:r>
        <w:rPr>
          <w:rFonts w:ascii="仿宋" w:hAnsi="仿宋" w:eastAsia="仿宋" w:cs="仿宋"/>
          <w:spacing w:val="-2"/>
          <w:sz w:val="24"/>
          <w:szCs w:val="24"/>
        </w:rPr>
        <w:t>资质等级较低的供应商确定资质等级。</w:t>
      </w:r>
    </w:p>
    <w:p w14:paraId="15FB44A6">
      <w:pPr>
        <w:spacing w:before="178" w:line="314" w:lineRule="auto"/>
        <w:ind w:left="18" w:right="64" w:firstLine="482"/>
        <w:rPr>
          <w:rFonts w:ascii="仿宋" w:hAnsi="仿宋" w:eastAsia="仿宋" w:cs="仿宋"/>
          <w:sz w:val="24"/>
          <w:szCs w:val="24"/>
        </w:rPr>
      </w:pPr>
      <w:r>
        <w:rPr>
          <w:rFonts w:ascii="仿宋" w:hAnsi="仿宋" w:eastAsia="仿宋" w:cs="仿宋"/>
          <w:spacing w:val="-1"/>
          <w:sz w:val="24"/>
          <w:szCs w:val="24"/>
        </w:rPr>
        <w:t>1.4.7以联合体形式参加政府采购活动的，联合体各方不得再单独参加或者</w:t>
      </w:r>
      <w:r>
        <w:rPr>
          <w:rFonts w:ascii="仿宋" w:hAnsi="仿宋" w:eastAsia="仿宋" w:cs="仿宋"/>
          <w:spacing w:val="3"/>
          <w:sz w:val="24"/>
          <w:szCs w:val="24"/>
        </w:rPr>
        <w:t xml:space="preserve"> </w:t>
      </w:r>
      <w:r>
        <w:rPr>
          <w:rFonts w:ascii="仿宋" w:hAnsi="仿宋" w:eastAsia="仿宋" w:cs="仿宋"/>
          <w:spacing w:val="-1"/>
          <w:sz w:val="24"/>
          <w:szCs w:val="24"/>
        </w:rPr>
        <w:t>与其他供应商另外组成联合体参加本项目投标，否则相关投标将被认定为投标</w:t>
      </w:r>
      <w:r>
        <w:rPr>
          <w:rFonts w:ascii="仿宋" w:hAnsi="仿宋" w:eastAsia="仿宋" w:cs="仿宋"/>
          <w:spacing w:val="7"/>
          <w:sz w:val="24"/>
          <w:szCs w:val="24"/>
        </w:rPr>
        <w:t xml:space="preserve">  </w:t>
      </w:r>
      <w:r>
        <w:rPr>
          <w:rFonts w:ascii="仿宋" w:hAnsi="仿宋" w:eastAsia="仿宋" w:cs="仿宋"/>
          <w:spacing w:val="-7"/>
          <w:sz w:val="24"/>
          <w:szCs w:val="24"/>
        </w:rPr>
        <w:t>无效。</w:t>
      </w:r>
    </w:p>
    <w:p w14:paraId="2ADF616E">
      <w:pPr>
        <w:spacing w:before="175" w:line="220" w:lineRule="auto"/>
        <w:ind w:left="505"/>
        <w:rPr>
          <w:rFonts w:ascii="仿宋" w:hAnsi="仿宋" w:eastAsia="仿宋" w:cs="仿宋"/>
          <w:sz w:val="24"/>
          <w:szCs w:val="24"/>
        </w:rPr>
      </w:pPr>
      <w:r>
        <w:rPr>
          <w:rFonts w:ascii="仿宋" w:hAnsi="仿宋" w:eastAsia="仿宋" w:cs="仿宋"/>
          <w:spacing w:val="-1"/>
          <w:sz w:val="24"/>
          <w:szCs w:val="24"/>
        </w:rPr>
        <w:t>1.4.8对联合体投标的其他资格要求见供应商须知资料表。</w:t>
      </w:r>
    </w:p>
    <w:p w14:paraId="7357CC19">
      <w:pPr>
        <w:spacing w:before="182" w:line="343" w:lineRule="auto"/>
        <w:ind w:left="22" w:right="55" w:firstLine="483"/>
        <w:rPr>
          <w:rFonts w:ascii="仿宋" w:hAnsi="仿宋" w:eastAsia="仿宋" w:cs="仿宋"/>
          <w:sz w:val="24"/>
          <w:szCs w:val="24"/>
        </w:rPr>
      </w:pPr>
      <w:r>
        <w:rPr>
          <w:rFonts w:ascii="仿宋" w:hAnsi="仿宋" w:eastAsia="仿宋" w:cs="仿宋"/>
          <w:spacing w:val="-1"/>
          <w:sz w:val="24"/>
          <w:szCs w:val="24"/>
        </w:rPr>
        <w:t>1.5单位负责人为同一人或者存在直接控股、管理关系的不同供应商，其相</w:t>
      </w:r>
      <w:r>
        <w:rPr>
          <w:rFonts w:ascii="仿宋" w:hAnsi="仿宋" w:eastAsia="仿宋" w:cs="仿宋"/>
          <w:spacing w:val="6"/>
          <w:sz w:val="24"/>
          <w:szCs w:val="24"/>
        </w:rPr>
        <w:t xml:space="preserve"> </w:t>
      </w:r>
      <w:r>
        <w:rPr>
          <w:rFonts w:ascii="仿宋" w:hAnsi="仿宋" w:eastAsia="仿宋" w:cs="仿宋"/>
          <w:spacing w:val="-2"/>
          <w:sz w:val="24"/>
          <w:szCs w:val="24"/>
        </w:rPr>
        <w:t>关投标将被认定为投标无效。</w:t>
      </w:r>
    </w:p>
    <w:p w14:paraId="1A443DB8">
      <w:pPr>
        <w:spacing w:before="41" w:line="343" w:lineRule="auto"/>
        <w:ind w:left="15" w:right="55" w:firstLine="490"/>
        <w:rPr>
          <w:rFonts w:ascii="仿宋" w:hAnsi="仿宋" w:eastAsia="仿宋" w:cs="仿宋"/>
          <w:sz w:val="24"/>
          <w:szCs w:val="24"/>
        </w:rPr>
      </w:pPr>
      <w:r>
        <w:rPr>
          <w:rFonts w:ascii="仿宋" w:hAnsi="仿宋" w:eastAsia="仿宋" w:cs="仿宋"/>
          <w:spacing w:val="-1"/>
          <w:sz w:val="24"/>
          <w:szCs w:val="24"/>
        </w:rPr>
        <w:t>1.6供应商在投标过程中不得向采购人提供或给予影响其正常决策行为的任</w:t>
      </w:r>
      <w:r>
        <w:rPr>
          <w:rFonts w:ascii="仿宋" w:hAnsi="仿宋" w:eastAsia="仿宋" w:cs="仿宋"/>
          <w:spacing w:val="6"/>
          <w:sz w:val="24"/>
          <w:szCs w:val="24"/>
        </w:rPr>
        <w:t xml:space="preserve"> </w:t>
      </w:r>
      <w:r>
        <w:rPr>
          <w:rFonts w:ascii="仿宋" w:hAnsi="仿宋" w:eastAsia="仿宋" w:cs="仿宋"/>
          <w:spacing w:val="-1"/>
          <w:sz w:val="24"/>
          <w:szCs w:val="24"/>
        </w:rPr>
        <w:t>何有价值物品或服务。一经发现，其投标将被认定为投标无效。</w:t>
      </w:r>
    </w:p>
    <w:p w14:paraId="4D0D1EB4">
      <w:pPr>
        <w:spacing w:before="42" w:line="222" w:lineRule="auto"/>
        <w:ind w:left="10"/>
        <w:outlineLvl w:val="1"/>
        <w:rPr>
          <w:rFonts w:ascii="仿宋" w:hAnsi="仿宋" w:eastAsia="仿宋" w:cs="仿宋"/>
          <w:sz w:val="24"/>
          <w:szCs w:val="24"/>
        </w:rPr>
      </w:pPr>
      <w:bookmarkStart w:id="31" w:name="_Toc13509"/>
      <w:r>
        <w:rPr>
          <w:rFonts w:ascii="仿宋" w:hAnsi="仿宋" w:eastAsia="仿宋" w:cs="仿宋"/>
          <w:spacing w:val="-2"/>
          <w:sz w:val="24"/>
          <w:szCs w:val="24"/>
        </w:rPr>
        <w:t>2.资金来源</w:t>
      </w:r>
      <w:bookmarkEnd w:id="31"/>
    </w:p>
    <w:p w14:paraId="02D85CDE">
      <w:pPr>
        <w:spacing w:before="178" w:line="344" w:lineRule="auto"/>
        <w:ind w:left="24" w:right="90" w:firstLine="466"/>
        <w:rPr>
          <w:rFonts w:ascii="仿宋" w:hAnsi="仿宋" w:eastAsia="仿宋" w:cs="仿宋"/>
          <w:sz w:val="24"/>
          <w:szCs w:val="24"/>
        </w:rPr>
      </w:pPr>
      <w:r>
        <w:rPr>
          <w:rFonts w:ascii="仿宋" w:hAnsi="仿宋" w:eastAsia="仿宋" w:cs="仿宋"/>
          <w:spacing w:val="-1"/>
          <w:sz w:val="24"/>
          <w:szCs w:val="24"/>
        </w:rPr>
        <w:t>2.1本项目的采购人已获得足以支付本次招标后</w:t>
      </w:r>
      <w:r>
        <w:rPr>
          <w:rFonts w:ascii="仿宋" w:hAnsi="仿宋" w:eastAsia="仿宋" w:cs="仿宋"/>
          <w:spacing w:val="-2"/>
          <w:sz w:val="24"/>
          <w:szCs w:val="24"/>
        </w:rPr>
        <w:t>所签订的合同项下的资金 (</w:t>
      </w:r>
      <w:r>
        <w:rPr>
          <w:rFonts w:ascii="仿宋" w:hAnsi="仿宋" w:eastAsia="仿宋" w:cs="仿宋"/>
          <w:sz w:val="24"/>
          <w:szCs w:val="24"/>
        </w:rPr>
        <w:t xml:space="preserve"> </w:t>
      </w:r>
      <w:r>
        <w:rPr>
          <w:rFonts w:ascii="仿宋" w:hAnsi="仿宋" w:eastAsia="仿宋" w:cs="仿宋"/>
          <w:spacing w:val="-1"/>
          <w:sz w:val="24"/>
          <w:szCs w:val="24"/>
        </w:rPr>
        <w:t>包括财政性资金和本项目采购中无法与财政性资金分割的非财政性资金）。</w:t>
      </w:r>
    </w:p>
    <w:p w14:paraId="53B43A12">
      <w:pPr>
        <w:spacing w:before="39" w:line="220" w:lineRule="auto"/>
        <w:ind w:left="490"/>
        <w:outlineLvl w:val="2"/>
        <w:rPr>
          <w:rFonts w:ascii="仿宋" w:hAnsi="仿宋" w:eastAsia="仿宋" w:cs="仿宋"/>
          <w:sz w:val="24"/>
          <w:szCs w:val="24"/>
        </w:rPr>
      </w:pPr>
      <w:bookmarkStart w:id="32" w:name="_Toc27381"/>
      <w:r>
        <w:rPr>
          <w:rFonts w:ascii="仿宋" w:hAnsi="仿宋" w:eastAsia="仿宋" w:cs="仿宋"/>
          <w:spacing w:val="-1"/>
          <w:sz w:val="24"/>
          <w:szCs w:val="24"/>
        </w:rPr>
        <w:t>2.2项目预算金额和分项或分包最高限价见供应商须知资料表。</w:t>
      </w:r>
      <w:bookmarkEnd w:id="32"/>
    </w:p>
    <w:p w14:paraId="7360ECB3">
      <w:pPr>
        <w:spacing w:before="181" w:line="345" w:lineRule="auto"/>
        <w:ind w:left="17" w:right="110" w:firstLine="473"/>
        <w:rPr>
          <w:rFonts w:ascii="仿宋" w:hAnsi="仿宋" w:eastAsia="仿宋" w:cs="仿宋"/>
          <w:sz w:val="24"/>
          <w:szCs w:val="24"/>
        </w:rPr>
      </w:pPr>
      <w:r>
        <w:rPr>
          <w:rFonts w:ascii="仿宋" w:hAnsi="仿宋" w:eastAsia="仿宋" w:cs="仿宋"/>
          <w:spacing w:val="-2"/>
          <w:sz w:val="24"/>
          <w:szCs w:val="24"/>
        </w:rPr>
        <w:t>2.3供应商报价超过采购文件规定的预算金额或者分项、分包最高限价的，</w:t>
      </w:r>
      <w:r>
        <w:rPr>
          <w:rFonts w:ascii="仿宋" w:hAnsi="仿宋" w:eastAsia="仿宋" w:cs="仿宋"/>
          <w:spacing w:val="1"/>
          <w:sz w:val="24"/>
          <w:szCs w:val="24"/>
        </w:rPr>
        <w:t xml:space="preserve"> </w:t>
      </w:r>
      <w:r>
        <w:rPr>
          <w:rFonts w:ascii="仿宋" w:hAnsi="仿宋" w:eastAsia="仿宋" w:cs="仿宋"/>
          <w:spacing w:val="-2"/>
          <w:sz w:val="24"/>
          <w:szCs w:val="24"/>
        </w:rPr>
        <w:t>其投标将被认定为投标无效。</w:t>
      </w:r>
    </w:p>
    <w:p w14:paraId="56B862D1">
      <w:pPr>
        <w:spacing w:before="38" w:line="222" w:lineRule="auto"/>
        <w:ind w:left="12"/>
        <w:outlineLvl w:val="1"/>
        <w:rPr>
          <w:rFonts w:ascii="仿宋" w:hAnsi="仿宋" w:eastAsia="仿宋" w:cs="仿宋"/>
          <w:sz w:val="24"/>
          <w:szCs w:val="24"/>
        </w:rPr>
      </w:pPr>
      <w:bookmarkStart w:id="33" w:name="_Toc3598"/>
      <w:r>
        <w:rPr>
          <w:rFonts w:ascii="仿宋" w:hAnsi="仿宋" w:eastAsia="仿宋" w:cs="仿宋"/>
          <w:spacing w:val="-3"/>
          <w:sz w:val="24"/>
          <w:szCs w:val="24"/>
        </w:rPr>
        <w:t>3.投标费用</w:t>
      </w:r>
      <w:bookmarkEnd w:id="33"/>
    </w:p>
    <w:p w14:paraId="4ED6EA9A">
      <w:pPr>
        <w:spacing w:before="177" w:line="345" w:lineRule="auto"/>
        <w:ind w:left="6" w:right="212" w:firstLine="494"/>
        <w:rPr>
          <w:rFonts w:ascii="仿宋" w:hAnsi="仿宋" w:eastAsia="仿宋" w:cs="仿宋"/>
          <w:sz w:val="24"/>
          <w:szCs w:val="24"/>
        </w:rPr>
      </w:pPr>
      <w:r>
        <w:rPr>
          <w:rFonts w:ascii="仿宋" w:hAnsi="仿宋" w:eastAsia="仿宋" w:cs="仿宋"/>
          <w:spacing w:val="-2"/>
          <w:sz w:val="24"/>
          <w:szCs w:val="24"/>
        </w:rPr>
        <w:t>不论投标的结果如何，供应商应承担所有与准备和参加投标有关的费用。</w:t>
      </w:r>
      <w:r>
        <w:rPr>
          <w:rFonts w:ascii="仿宋" w:hAnsi="仿宋" w:eastAsia="仿宋" w:cs="仿宋"/>
          <w:spacing w:val="4"/>
          <w:sz w:val="24"/>
          <w:szCs w:val="24"/>
        </w:rPr>
        <w:t xml:space="preserve"> </w:t>
      </w:r>
      <w:r>
        <w:rPr>
          <w:rFonts w:ascii="仿宋" w:hAnsi="仿宋" w:eastAsia="仿宋" w:cs="仿宋"/>
          <w:spacing w:val="-2"/>
          <w:sz w:val="24"/>
          <w:szCs w:val="24"/>
        </w:rPr>
        <w:t>4.适用法律</w:t>
      </w:r>
    </w:p>
    <w:p w14:paraId="53B739C7">
      <w:pPr>
        <w:spacing w:before="36" w:line="352" w:lineRule="auto"/>
        <w:ind w:left="14" w:right="175" w:firstLine="481"/>
        <w:jc w:val="both"/>
        <w:rPr>
          <w:rFonts w:ascii="仿宋" w:hAnsi="仿宋" w:eastAsia="仿宋" w:cs="仿宋"/>
          <w:sz w:val="24"/>
          <w:szCs w:val="24"/>
        </w:rPr>
      </w:pPr>
      <w:r>
        <w:rPr>
          <w:rFonts w:ascii="仿宋" w:hAnsi="仿宋" w:eastAsia="仿宋" w:cs="仿宋"/>
          <w:spacing w:val="-1"/>
          <w:sz w:val="24"/>
          <w:szCs w:val="24"/>
        </w:rPr>
        <w:t>本项目采购人、采购代理机构、供应商、评标委员会的相关行为均受《中</w:t>
      </w:r>
      <w:r>
        <w:rPr>
          <w:rFonts w:ascii="仿宋" w:hAnsi="仿宋" w:eastAsia="仿宋" w:cs="仿宋"/>
          <w:spacing w:val="14"/>
          <w:sz w:val="24"/>
          <w:szCs w:val="24"/>
        </w:rPr>
        <w:t xml:space="preserve"> </w:t>
      </w:r>
      <w:r>
        <w:rPr>
          <w:rFonts w:ascii="仿宋" w:hAnsi="仿宋" w:eastAsia="仿宋" w:cs="仿宋"/>
          <w:spacing w:val="-1"/>
          <w:sz w:val="24"/>
          <w:szCs w:val="24"/>
        </w:rPr>
        <w:t>华人民共和国政府采购法》《中华人民共和国政府采购法实施条例》及本项目</w:t>
      </w:r>
      <w:r>
        <w:rPr>
          <w:rFonts w:ascii="仿宋" w:hAnsi="仿宋" w:eastAsia="仿宋" w:cs="仿宋"/>
          <w:spacing w:val="17"/>
          <w:sz w:val="24"/>
          <w:szCs w:val="24"/>
        </w:rPr>
        <w:t xml:space="preserve"> </w:t>
      </w:r>
      <w:r>
        <w:rPr>
          <w:rFonts w:ascii="仿宋" w:hAnsi="仿宋" w:eastAsia="仿宋" w:cs="仿宋"/>
          <w:spacing w:val="-1"/>
          <w:sz w:val="24"/>
          <w:szCs w:val="24"/>
        </w:rPr>
        <w:t>本级和上级财政部门政府采购有关规定的约束，其权利受到上述法律法规的保</w:t>
      </w:r>
      <w:r>
        <w:rPr>
          <w:rFonts w:ascii="仿宋" w:hAnsi="仿宋" w:eastAsia="仿宋" w:cs="仿宋"/>
          <w:spacing w:val="17"/>
          <w:sz w:val="24"/>
          <w:szCs w:val="24"/>
        </w:rPr>
        <w:t xml:space="preserve"> </w:t>
      </w:r>
      <w:r>
        <w:rPr>
          <w:rFonts w:ascii="仿宋" w:hAnsi="仿宋" w:eastAsia="仿宋" w:cs="仿宋"/>
          <w:spacing w:val="-8"/>
          <w:sz w:val="24"/>
          <w:szCs w:val="24"/>
        </w:rPr>
        <w:t>护。</w:t>
      </w:r>
    </w:p>
    <w:p w14:paraId="781B8C67">
      <w:pPr>
        <w:spacing w:before="136" w:line="223" w:lineRule="auto"/>
        <w:ind w:left="3576"/>
        <w:outlineLvl w:val="2"/>
        <w:rPr>
          <w:rFonts w:ascii="仿宋" w:hAnsi="仿宋" w:eastAsia="仿宋" w:cs="仿宋"/>
          <w:sz w:val="28"/>
          <w:szCs w:val="28"/>
        </w:rPr>
      </w:pPr>
      <w:bookmarkStart w:id="34" w:name="bookmark23"/>
      <w:bookmarkEnd w:id="34"/>
      <w:bookmarkStart w:id="35" w:name="_Toc20282"/>
      <w:r>
        <w:rPr>
          <w:rFonts w:ascii="仿宋" w:hAnsi="仿宋" w:eastAsia="仿宋" w:cs="仿宋"/>
          <w:b/>
          <w:bCs/>
          <w:spacing w:val="-15"/>
          <w:sz w:val="28"/>
          <w:szCs w:val="28"/>
        </w:rPr>
        <w:t>二</w:t>
      </w:r>
      <w:r>
        <w:rPr>
          <w:rFonts w:ascii="仿宋" w:hAnsi="仿宋" w:eastAsia="仿宋" w:cs="仿宋"/>
          <w:spacing w:val="-15"/>
          <w:sz w:val="28"/>
          <w:szCs w:val="28"/>
        </w:rPr>
        <w:t xml:space="preserve"> </w:t>
      </w:r>
      <w:r>
        <w:rPr>
          <w:rFonts w:ascii="仿宋" w:hAnsi="仿宋" w:eastAsia="仿宋" w:cs="仿宋"/>
          <w:b/>
          <w:bCs/>
          <w:spacing w:val="-15"/>
          <w:sz w:val="28"/>
          <w:szCs w:val="28"/>
        </w:rPr>
        <w:t>采购文件</w:t>
      </w:r>
      <w:bookmarkEnd w:id="35"/>
    </w:p>
    <w:p w14:paraId="36802FE0">
      <w:pPr>
        <w:spacing w:before="278" w:line="222" w:lineRule="auto"/>
        <w:ind w:left="53"/>
        <w:outlineLvl w:val="1"/>
        <w:rPr>
          <w:rFonts w:ascii="仿宋" w:hAnsi="仿宋" w:eastAsia="仿宋" w:cs="仿宋"/>
          <w:sz w:val="24"/>
          <w:szCs w:val="24"/>
        </w:rPr>
      </w:pPr>
      <w:bookmarkStart w:id="36" w:name="_Toc23037"/>
      <w:r>
        <w:rPr>
          <w:rFonts w:ascii="仿宋" w:hAnsi="仿宋" w:eastAsia="仿宋" w:cs="仿宋"/>
          <w:b/>
          <w:bCs/>
          <w:spacing w:val="-7"/>
          <w:sz w:val="24"/>
          <w:szCs w:val="24"/>
        </w:rPr>
        <w:t>5.采购文件构成</w:t>
      </w:r>
      <w:bookmarkEnd w:id="36"/>
    </w:p>
    <w:p w14:paraId="18552DC3">
      <w:pPr>
        <w:spacing w:before="180" w:line="343" w:lineRule="auto"/>
        <w:ind w:left="504" w:right="4073" w:hanging="12"/>
        <w:outlineLvl w:val="2"/>
        <w:rPr>
          <w:rFonts w:ascii="仿宋" w:hAnsi="仿宋" w:eastAsia="仿宋" w:cs="仿宋"/>
          <w:sz w:val="24"/>
          <w:szCs w:val="24"/>
        </w:rPr>
      </w:pPr>
      <w:bookmarkStart w:id="37" w:name="_Toc9673"/>
      <w:r>
        <w:rPr>
          <w:rFonts w:ascii="仿宋" w:hAnsi="仿宋" w:eastAsia="仿宋" w:cs="仿宋"/>
          <w:spacing w:val="-4"/>
          <w:sz w:val="24"/>
          <w:szCs w:val="24"/>
        </w:rPr>
        <w:t>5.1采购文件分为共7章，内容如下：</w:t>
      </w:r>
      <w:r>
        <w:rPr>
          <w:rFonts w:ascii="仿宋" w:hAnsi="仿宋" w:eastAsia="仿宋" w:cs="仿宋"/>
          <w:sz w:val="24"/>
          <w:szCs w:val="24"/>
        </w:rPr>
        <w:t xml:space="preserve"> </w:t>
      </w:r>
      <w:r>
        <w:rPr>
          <w:rFonts w:ascii="仿宋" w:hAnsi="仿宋" w:eastAsia="仿宋" w:cs="仿宋"/>
          <w:spacing w:val="-4"/>
          <w:sz w:val="24"/>
          <w:szCs w:val="24"/>
        </w:rPr>
        <w:t>第1章招标公告</w:t>
      </w:r>
      <w:bookmarkEnd w:id="37"/>
    </w:p>
    <w:p w14:paraId="689B9552">
      <w:pPr>
        <w:spacing w:before="41" w:line="345" w:lineRule="auto"/>
        <w:ind w:left="505" w:right="5335"/>
        <w:rPr>
          <w:rFonts w:ascii="仿宋" w:hAnsi="仿宋" w:eastAsia="仿宋" w:cs="仿宋"/>
          <w:sz w:val="24"/>
          <w:szCs w:val="24"/>
        </w:rPr>
      </w:pPr>
      <w:r>
        <w:rPr>
          <w:rFonts w:ascii="仿宋" w:hAnsi="仿宋" w:eastAsia="仿宋" w:cs="仿宋"/>
          <w:spacing w:val="-3"/>
          <w:sz w:val="24"/>
          <w:szCs w:val="24"/>
        </w:rPr>
        <w:t>第2章供应商须知资料表</w:t>
      </w:r>
      <w:r>
        <w:rPr>
          <w:rFonts w:ascii="仿宋" w:hAnsi="仿宋" w:eastAsia="仿宋" w:cs="仿宋"/>
          <w:spacing w:val="5"/>
          <w:sz w:val="24"/>
          <w:szCs w:val="24"/>
        </w:rPr>
        <w:t xml:space="preserve"> </w:t>
      </w:r>
      <w:r>
        <w:rPr>
          <w:rFonts w:ascii="仿宋" w:hAnsi="仿宋" w:eastAsia="仿宋" w:cs="仿宋"/>
          <w:spacing w:val="-4"/>
          <w:sz w:val="24"/>
          <w:szCs w:val="24"/>
        </w:rPr>
        <w:t>第3章供应商须知</w:t>
      </w:r>
    </w:p>
    <w:p w14:paraId="3C0734CF">
      <w:pPr>
        <w:spacing w:before="37" w:line="222" w:lineRule="auto"/>
        <w:ind w:left="505"/>
        <w:rPr>
          <w:rFonts w:ascii="仿宋" w:hAnsi="仿宋" w:eastAsia="仿宋" w:cs="仿宋"/>
          <w:sz w:val="24"/>
          <w:szCs w:val="24"/>
        </w:rPr>
      </w:pPr>
      <w:r>
        <w:rPr>
          <w:rFonts w:ascii="仿宋" w:hAnsi="仿宋" w:eastAsia="仿宋" w:cs="仿宋"/>
          <w:spacing w:val="-3"/>
          <w:sz w:val="24"/>
          <w:szCs w:val="24"/>
        </w:rPr>
        <w:t>第4章投标文件格式</w:t>
      </w:r>
    </w:p>
    <w:p w14:paraId="03478216">
      <w:pPr>
        <w:spacing w:line="222" w:lineRule="auto"/>
        <w:rPr>
          <w:rFonts w:ascii="仿宋" w:hAnsi="仿宋" w:eastAsia="仿宋" w:cs="仿宋"/>
          <w:sz w:val="24"/>
          <w:szCs w:val="24"/>
        </w:rPr>
        <w:sectPr>
          <w:footerReference r:id="rId10" w:type="default"/>
          <w:pgSz w:w="11907" w:h="16840"/>
          <w:pgMar w:top="1418" w:right="1786" w:bottom="1204" w:left="1786" w:header="0" w:footer="1035" w:gutter="0"/>
          <w:pgNumType w:fmt="decimal"/>
          <w:cols w:space="720" w:num="1"/>
        </w:sectPr>
      </w:pPr>
    </w:p>
    <w:p w14:paraId="43AD23CC">
      <w:pPr>
        <w:spacing w:before="49" w:line="222" w:lineRule="auto"/>
        <w:ind w:left="505"/>
        <w:rPr>
          <w:rFonts w:ascii="仿宋" w:hAnsi="仿宋" w:eastAsia="仿宋" w:cs="仿宋"/>
          <w:sz w:val="24"/>
          <w:szCs w:val="24"/>
        </w:rPr>
      </w:pPr>
      <w:r>
        <w:rPr>
          <w:rFonts w:ascii="仿宋" w:hAnsi="仿宋" w:eastAsia="仿宋" w:cs="仿宋"/>
          <w:spacing w:val="-4"/>
          <w:sz w:val="24"/>
          <w:szCs w:val="24"/>
        </w:rPr>
        <w:t>第5章采购需求</w:t>
      </w:r>
    </w:p>
    <w:p w14:paraId="56EF3730">
      <w:pPr>
        <w:spacing w:before="177" w:line="343" w:lineRule="auto"/>
        <w:ind w:left="505" w:right="5585"/>
        <w:rPr>
          <w:rFonts w:ascii="仿宋" w:hAnsi="仿宋" w:eastAsia="仿宋" w:cs="仿宋"/>
          <w:sz w:val="24"/>
          <w:szCs w:val="24"/>
        </w:rPr>
      </w:pPr>
      <w:r>
        <w:rPr>
          <w:rFonts w:ascii="仿宋" w:hAnsi="仿宋" w:eastAsia="仿宋" w:cs="仿宋"/>
          <w:spacing w:val="-3"/>
          <w:sz w:val="24"/>
          <w:szCs w:val="24"/>
        </w:rPr>
        <w:t>第6章评标方法和标准</w:t>
      </w:r>
      <w:r>
        <w:rPr>
          <w:rFonts w:ascii="仿宋" w:hAnsi="仿宋" w:eastAsia="仿宋" w:cs="仿宋"/>
          <w:spacing w:val="2"/>
          <w:sz w:val="24"/>
          <w:szCs w:val="24"/>
        </w:rPr>
        <w:t xml:space="preserve"> </w:t>
      </w:r>
      <w:r>
        <w:rPr>
          <w:rFonts w:ascii="仿宋" w:hAnsi="仿宋" w:eastAsia="仿宋" w:cs="仿宋"/>
          <w:spacing w:val="-3"/>
          <w:sz w:val="24"/>
          <w:szCs w:val="24"/>
        </w:rPr>
        <w:t>第7章政府采购合同</w:t>
      </w:r>
    </w:p>
    <w:p w14:paraId="7D78DEE9">
      <w:pPr>
        <w:spacing w:before="40" w:line="222" w:lineRule="auto"/>
        <w:ind w:left="492"/>
        <w:outlineLvl w:val="2"/>
        <w:rPr>
          <w:rFonts w:ascii="仿宋" w:hAnsi="仿宋" w:eastAsia="仿宋" w:cs="仿宋"/>
          <w:sz w:val="24"/>
          <w:szCs w:val="24"/>
        </w:rPr>
      </w:pPr>
      <w:bookmarkStart w:id="38" w:name="_Toc14678"/>
      <w:r>
        <w:rPr>
          <w:rFonts w:ascii="仿宋" w:hAnsi="仿宋" w:eastAsia="仿宋" w:cs="仿宋"/>
          <w:spacing w:val="-1"/>
          <w:sz w:val="24"/>
          <w:szCs w:val="24"/>
        </w:rPr>
        <w:t>5.2如本文件的前后内容不一致，以最后描述为准。</w:t>
      </w:r>
      <w:bookmarkEnd w:id="38"/>
    </w:p>
    <w:p w14:paraId="0BA9295B">
      <w:pPr>
        <w:spacing w:before="178" w:line="349" w:lineRule="auto"/>
        <w:ind w:left="16" w:right="65" w:firstLine="476"/>
        <w:rPr>
          <w:rFonts w:ascii="仿宋" w:hAnsi="仿宋" w:eastAsia="仿宋" w:cs="仿宋"/>
          <w:sz w:val="24"/>
          <w:szCs w:val="24"/>
        </w:rPr>
      </w:pPr>
      <w:r>
        <w:rPr>
          <w:rFonts w:ascii="仿宋" w:hAnsi="仿宋" w:eastAsia="仿宋" w:cs="仿宋"/>
          <w:sz w:val="24"/>
          <w:szCs w:val="24"/>
        </w:rPr>
        <w:t>5.3供应商应认真阅读采购文件所有的事</w:t>
      </w:r>
      <w:r>
        <w:rPr>
          <w:rFonts w:ascii="仿宋" w:hAnsi="仿宋" w:eastAsia="仿宋" w:cs="仿宋"/>
          <w:spacing w:val="-1"/>
          <w:sz w:val="24"/>
          <w:szCs w:val="24"/>
        </w:rPr>
        <w:t>项、格式、条款和技术规范等。如</w:t>
      </w:r>
      <w:r>
        <w:rPr>
          <w:rFonts w:ascii="仿宋" w:hAnsi="仿宋" w:eastAsia="仿宋" w:cs="仿宋"/>
          <w:sz w:val="24"/>
          <w:szCs w:val="24"/>
        </w:rPr>
        <w:t xml:space="preserve"> </w:t>
      </w:r>
      <w:r>
        <w:rPr>
          <w:rFonts w:ascii="仿宋" w:hAnsi="仿宋" w:eastAsia="仿宋" w:cs="仿宋"/>
          <w:spacing w:val="-1"/>
          <w:sz w:val="24"/>
          <w:szCs w:val="24"/>
        </w:rPr>
        <w:t>供应商没有按照采购文件要求提交全部资料，或者投标文件没有对采购文件在</w:t>
      </w:r>
      <w:r>
        <w:rPr>
          <w:rFonts w:ascii="仿宋" w:hAnsi="仿宋" w:eastAsia="仿宋" w:cs="仿宋"/>
          <w:spacing w:val="8"/>
          <w:sz w:val="24"/>
          <w:szCs w:val="24"/>
        </w:rPr>
        <w:t xml:space="preserve">  </w:t>
      </w:r>
      <w:r>
        <w:rPr>
          <w:rFonts w:ascii="仿宋" w:hAnsi="仿宋" w:eastAsia="仿宋" w:cs="仿宋"/>
          <w:spacing w:val="-1"/>
          <w:sz w:val="24"/>
          <w:szCs w:val="24"/>
        </w:rPr>
        <w:t>各方面都做出实质性响应，可能导致其投标被认定为投标无效。</w:t>
      </w:r>
    </w:p>
    <w:p w14:paraId="211A9EC8">
      <w:pPr>
        <w:spacing w:before="40" w:line="222" w:lineRule="auto"/>
        <w:ind w:left="9"/>
        <w:outlineLvl w:val="1"/>
        <w:rPr>
          <w:rFonts w:ascii="仿宋" w:hAnsi="仿宋" w:eastAsia="仿宋" w:cs="仿宋"/>
          <w:sz w:val="24"/>
          <w:szCs w:val="24"/>
        </w:rPr>
      </w:pPr>
      <w:bookmarkStart w:id="39" w:name="_Toc10317"/>
      <w:r>
        <w:rPr>
          <w:rFonts w:ascii="仿宋" w:hAnsi="仿宋" w:eastAsia="仿宋" w:cs="仿宋"/>
          <w:b/>
          <w:bCs/>
          <w:spacing w:val="-3"/>
          <w:sz w:val="24"/>
          <w:szCs w:val="24"/>
        </w:rPr>
        <w:t>6.采购文件的澄清与修改</w:t>
      </w:r>
      <w:bookmarkEnd w:id="39"/>
    </w:p>
    <w:p w14:paraId="34D448DE">
      <w:pPr>
        <w:spacing w:before="179" w:line="349" w:lineRule="auto"/>
        <w:ind w:left="15" w:right="65" w:firstLine="474"/>
        <w:jc w:val="both"/>
        <w:rPr>
          <w:rFonts w:ascii="仿宋" w:hAnsi="仿宋" w:eastAsia="仿宋" w:cs="仿宋"/>
          <w:sz w:val="24"/>
          <w:szCs w:val="24"/>
        </w:rPr>
      </w:pPr>
      <w:r>
        <w:rPr>
          <w:rFonts w:ascii="仿宋" w:hAnsi="仿宋" w:eastAsia="仿宋" w:cs="仿宋"/>
          <w:sz w:val="24"/>
          <w:szCs w:val="24"/>
        </w:rPr>
        <w:t>6.1为了保证对采购文件的澄清和修改满足法律</w:t>
      </w:r>
      <w:r>
        <w:rPr>
          <w:rFonts w:ascii="仿宋" w:hAnsi="仿宋" w:eastAsia="仿宋" w:cs="仿宋"/>
          <w:spacing w:val="-1"/>
          <w:sz w:val="24"/>
          <w:szCs w:val="24"/>
        </w:rPr>
        <w:t>的时限要求，任何要求对采</w:t>
      </w:r>
      <w:r>
        <w:rPr>
          <w:rFonts w:ascii="仿宋" w:hAnsi="仿宋" w:eastAsia="仿宋" w:cs="仿宋"/>
          <w:sz w:val="24"/>
          <w:szCs w:val="24"/>
        </w:rPr>
        <w:t xml:space="preserve"> </w:t>
      </w:r>
      <w:r>
        <w:rPr>
          <w:rFonts w:ascii="仿宋" w:hAnsi="仿宋" w:eastAsia="仿宋" w:cs="仿宋"/>
          <w:spacing w:val="-1"/>
          <w:sz w:val="24"/>
          <w:szCs w:val="24"/>
        </w:rPr>
        <w:t>购文件进行澄清的供应商，均应在投标截止期十五日前，以书面形式将澄清要</w:t>
      </w:r>
      <w:r>
        <w:rPr>
          <w:rFonts w:ascii="仿宋" w:hAnsi="仿宋" w:eastAsia="仿宋" w:cs="仿宋"/>
          <w:spacing w:val="8"/>
          <w:sz w:val="24"/>
          <w:szCs w:val="24"/>
        </w:rPr>
        <w:t xml:space="preserve">  </w:t>
      </w:r>
      <w:r>
        <w:rPr>
          <w:rFonts w:ascii="仿宋" w:hAnsi="仿宋" w:eastAsia="仿宋" w:cs="仿宋"/>
          <w:spacing w:val="-2"/>
          <w:sz w:val="24"/>
          <w:szCs w:val="24"/>
        </w:rPr>
        <w:t>求通知采购人或采购代理机构。</w:t>
      </w:r>
    </w:p>
    <w:p w14:paraId="4B944F43">
      <w:pPr>
        <w:spacing w:before="36" w:line="349" w:lineRule="auto"/>
        <w:ind w:left="14" w:firstLine="475"/>
        <w:rPr>
          <w:rFonts w:ascii="仿宋" w:hAnsi="仿宋" w:eastAsia="仿宋" w:cs="仿宋"/>
          <w:sz w:val="24"/>
          <w:szCs w:val="24"/>
        </w:rPr>
      </w:pPr>
      <w:r>
        <w:rPr>
          <w:rFonts w:ascii="仿宋" w:hAnsi="仿宋" w:eastAsia="仿宋" w:cs="仿宋"/>
          <w:sz w:val="24"/>
          <w:szCs w:val="24"/>
        </w:rPr>
        <w:t>6.2采购人可主动地或在解答供应商提出的澄</w:t>
      </w:r>
      <w:r>
        <w:rPr>
          <w:rFonts w:ascii="仿宋" w:hAnsi="仿宋" w:eastAsia="仿宋" w:cs="仿宋"/>
          <w:spacing w:val="-1"/>
          <w:sz w:val="24"/>
          <w:szCs w:val="24"/>
        </w:rPr>
        <w:t>清问题时对采购文件澄清或</w:t>
      </w:r>
      <w:r>
        <w:rPr>
          <w:rFonts w:ascii="仿宋" w:hAnsi="仿宋" w:eastAsia="仿宋" w:cs="仿宋"/>
          <w:sz w:val="24"/>
          <w:szCs w:val="24"/>
        </w:rPr>
        <w:t xml:space="preserve">   </w:t>
      </w:r>
      <w:r>
        <w:rPr>
          <w:rFonts w:ascii="仿宋" w:hAnsi="仿宋" w:eastAsia="仿宋" w:cs="仿宋"/>
          <w:spacing w:val="-2"/>
          <w:sz w:val="24"/>
          <w:szCs w:val="24"/>
        </w:rPr>
        <w:t>修改。采购代理机构将以发布澄清（更正）公告的方式，澄清或修改采购文件，</w:t>
      </w:r>
      <w:r>
        <w:rPr>
          <w:rFonts w:ascii="仿宋" w:hAnsi="仿宋" w:eastAsia="仿宋" w:cs="仿宋"/>
          <w:sz w:val="24"/>
          <w:szCs w:val="24"/>
        </w:rPr>
        <w:t xml:space="preserve"> </w:t>
      </w:r>
      <w:r>
        <w:rPr>
          <w:rFonts w:ascii="仿宋" w:hAnsi="仿宋" w:eastAsia="仿宋" w:cs="仿宋"/>
          <w:spacing w:val="-1"/>
          <w:sz w:val="24"/>
          <w:szCs w:val="24"/>
        </w:rPr>
        <w:t>澄清或修改内容作为采购文件的组成部分。</w:t>
      </w:r>
    </w:p>
    <w:p w14:paraId="6ACFA5C3">
      <w:pPr>
        <w:spacing w:before="41" w:line="344" w:lineRule="auto"/>
        <w:ind w:left="16" w:right="65" w:firstLine="473"/>
        <w:rPr>
          <w:rFonts w:ascii="仿宋" w:hAnsi="仿宋" w:eastAsia="仿宋" w:cs="仿宋"/>
          <w:sz w:val="24"/>
          <w:szCs w:val="24"/>
        </w:rPr>
      </w:pPr>
      <w:r>
        <w:rPr>
          <w:rFonts w:ascii="仿宋" w:hAnsi="仿宋" w:eastAsia="仿宋" w:cs="仿宋"/>
          <w:sz w:val="24"/>
          <w:szCs w:val="24"/>
        </w:rPr>
        <w:t>6.3澄清或者修改的内容可能影响投标文件编制</w:t>
      </w:r>
      <w:r>
        <w:rPr>
          <w:rFonts w:ascii="仿宋" w:hAnsi="仿宋" w:eastAsia="仿宋" w:cs="仿宋"/>
          <w:spacing w:val="-1"/>
          <w:sz w:val="24"/>
          <w:szCs w:val="24"/>
        </w:rPr>
        <w:t>的，采购代理机构将以发布</w:t>
      </w:r>
      <w:r>
        <w:rPr>
          <w:rFonts w:ascii="仿宋" w:hAnsi="仿宋" w:eastAsia="仿宋" w:cs="仿宋"/>
          <w:sz w:val="24"/>
          <w:szCs w:val="24"/>
        </w:rPr>
        <w:t xml:space="preserve"> </w:t>
      </w:r>
      <w:r>
        <w:rPr>
          <w:rFonts w:ascii="仿宋" w:hAnsi="仿宋" w:eastAsia="仿宋" w:cs="仿宋"/>
          <w:spacing w:val="-1"/>
          <w:sz w:val="24"/>
          <w:szCs w:val="24"/>
        </w:rPr>
        <w:t>澄清（更正）公告的方式告知所有潜在供应商，并对其具有约束力。</w:t>
      </w:r>
    </w:p>
    <w:p w14:paraId="2D1031A5">
      <w:pPr>
        <w:spacing w:before="41" w:line="222" w:lineRule="auto"/>
        <w:ind w:left="13"/>
        <w:outlineLvl w:val="1"/>
        <w:rPr>
          <w:rFonts w:ascii="仿宋" w:hAnsi="仿宋" w:eastAsia="仿宋" w:cs="仿宋"/>
          <w:sz w:val="24"/>
          <w:szCs w:val="24"/>
        </w:rPr>
      </w:pPr>
      <w:bookmarkStart w:id="40" w:name="_Toc29506"/>
      <w:r>
        <w:rPr>
          <w:rFonts w:ascii="仿宋" w:hAnsi="仿宋" w:eastAsia="仿宋" w:cs="仿宋"/>
          <w:b/>
          <w:bCs/>
          <w:spacing w:val="-3"/>
          <w:sz w:val="24"/>
          <w:szCs w:val="24"/>
        </w:rPr>
        <w:t>7.投标截止时间的顺延</w:t>
      </w:r>
      <w:bookmarkEnd w:id="40"/>
    </w:p>
    <w:p w14:paraId="0BABB9B6">
      <w:pPr>
        <w:spacing w:before="176" w:line="345" w:lineRule="auto"/>
        <w:ind w:left="14" w:right="185" w:firstLine="489"/>
        <w:rPr>
          <w:rFonts w:ascii="仿宋" w:hAnsi="仿宋" w:eastAsia="仿宋" w:cs="仿宋"/>
          <w:sz w:val="24"/>
          <w:szCs w:val="24"/>
        </w:rPr>
      </w:pPr>
      <w:r>
        <w:rPr>
          <w:rFonts w:ascii="仿宋" w:hAnsi="仿宋" w:eastAsia="仿宋" w:cs="仿宋"/>
          <w:spacing w:val="-1"/>
          <w:sz w:val="24"/>
          <w:szCs w:val="24"/>
        </w:rPr>
        <w:t>为使供应商准备投标时有足够的时间对采购文件的澄清或者修改部分进行</w:t>
      </w:r>
      <w:r>
        <w:rPr>
          <w:rFonts w:ascii="仿宋" w:hAnsi="仿宋" w:eastAsia="仿宋" w:cs="仿宋"/>
          <w:spacing w:val="6"/>
          <w:sz w:val="24"/>
          <w:szCs w:val="24"/>
        </w:rPr>
        <w:t xml:space="preserve"> </w:t>
      </w:r>
      <w:r>
        <w:rPr>
          <w:rFonts w:ascii="仿宋" w:hAnsi="仿宋" w:eastAsia="仿宋" w:cs="仿宋"/>
          <w:spacing w:val="-1"/>
          <w:sz w:val="24"/>
          <w:szCs w:val="24"/>
        </w:rPr>
        <w:t>研究，采购人将依法决定是否顺延投标截止时间。</w:t>
      </w:r>
    </w:p>
    <w:p w14:paraId="70B7DF7F">
      <w:pPr>
        <w:spacing w:before="136" w:line="222" w:lineRule="auto"/>
        <w:ind w:left="3155"/>
        <w:outlineLvl w:val="2"/>
        <w:rPr>
          <w:rFonts w:ascii="仿宋" w:hAnsi="仿宋" w:eastAsia="仿宋" w:cs="仿宋"/>
          <w:sz w:val="28"/>
          <w:szCs w:val="28"/>
        </w:rPr>
      </w:pPr>
      <w:bookmarkStart w:id="41" w:name="bookmark25"/>
      <w:bookmarkEnd w:id="41"/>
      <w:bookmarkStart w:id="42" w:name="_Toc19659"/>
      <w:r>
        <w:rPr>
          <w:rFonts w:ascii="仿宋" w:hAnsi="仿宋" w:eastAsia="仿宋" w:cs="仿宋"/>
          <w:b/>
          <w:bCs/>
          <w:spacing w:val="-11"/>
          <w:sz w:val="28"/>
          <w:szCs w:val="28"/>
        </w:rPr>
        <w:t>三</w:t>
      </w:r>
      <w:r>
        <w:rPr>
          <w:rFonts w:ascii="仿宋" w:hAnsi="仿宋" w:eastAsia="仿宋" w:cs="仿宋"/>
          <w:spacing w:val="-11"/>
          <w:sz w:val="28"/>
          <w:szCs w:val="28"/>
        </w:rPr>
        <w:t xml:space="preserve"> </w:t>
      </w:r>
      <w:r>
        <w:rPr>
          <w:rFonts w:ascii="仿宋" w:hAnsi="仿宋" w:eastAsia="仿宋" w:cs="仿宋"/>
          <w:b/>
          <w:bCs/>
          <w:spacing w:val="-11"/>
          <w:sz w:val="28"/>
          <w:szCs w:val="28"/>
        </w:rPr>
        <w:t>投标文件的编制</w:t>
      </w:r>
      <w:bookmarkEnd w:id="42"/>
    </w:p>
    <w:p w14:paraId="361916C5">
      <w:pPr>
        <w:spacing w:before="281" w:line="221" w:lineRule="auto"/>
        <w:ind w:left="8"/>
        <w:outlineLvl w:val="1"/>
        <w:rPr>
          <w:rFonts w:ascii="仿宋" w:hAnsi="仿宋" w:eastAsia="仿宋" w:cs="仿宋"/>
          <w:sz w:val="24"/>
          <w:szCs w:val="24"/>
        </w:rPr>
      </w:pPr>
      <w:bookmarkStart w:id="43" w:name="_Toc19236"/>
      <w:r>
        <w:rPr>
          <w:rFonts w:ascii="仿宋" w:hAnsi="仿宋" w:eastAsia="仿宋" w:cs="仿宋"/>
          <w:b/>
          <w:bCs/>
          <w:spacing w:val="-5"/>
          <w:sz w:val="24"/>
          <w:szCs w:val="24"/>
        </w:rPr>
        <w:t>8.投标范围及投标文件中标准和计量单位的使用</w:t>
      </w:r>
      <w:bookmarkEnd w:id="43"/>
    </w:p>
    <w:p w14:paraId="1D50742F">
      <w:pPr>
        <w:spacing w:before="178" w:line="344" w:lineRule="auto"/>
        <w:ind w:left="23" w:right="65" w:firstLine="465"/>
        <w:rPr>
          <w:rFonts w:ascii="仿宋" w:hAnsi="仿宋" w:eastAsia="仿宋" w:cs="仿宋"/>
          <w:sz w:val="24"/>
          <w:szCs w:val="24"/>
        </w:rPr>
      </w:pPr>
      <w:r>
        <w:rPr>
          <w:rFonts w:ascii="仿宋" w:hAnsi="仿宋" w:eastAsia="仿宋" w:cs="仿宋"/>
          <w:sz w:val="24"/>
          <w:szCs w:val="24"/>
        </w:rPr>
        <w:t>8.1项目有分包的，供应商可对采购文件其中一个</w:t>
      </w:r>
      <w:r>
        <w:rPr>
          <w:rFonts w:ascii="仿宋" w:hAnsi="仿宋" w:eastAsia="仿宋" w:cs="仿宋"/>
          <w:spacing w:val="-1"/>
          <w:sz w:val="24"/>
          <w:szCs w:val="24"/>
        </w:rPr>
        <w:t>或几个分包进行投标，除</w:t>
      </w:r>
      <w:r>
        <w:rPr>
          <w:rFonts w:ascii="仿宋" w:hAnsi="仿宋" w:eastAsia="仿宋" w:cs="仿宋"/>
          <w:sz w:val="24"/>
          <w:szCs w:val="24"/>
        </w:rPr>
        <w:t xml:space="preserve"> </w:t>
      </w:r>
      <w:r>
        <w:rPr>
          <w:rFonts w:ascii="仿宋" w:hAnsi="仿宋" w:eastAsia="仿宋" w:cs="仿宋"/>
          <w:spacing w:val="-2"/>
          <w:sz w:val="24"/>
          <w:szCs w:val="24"/>
        </w:rPr>
        <w:t>非在供应商须知资料表中另有规定。</w:t>
      </w:r>
    </w:p>
    <w:p w14:paraId="2AC20F67">
      <w:pPr>
        <w:spacing w:before="39" w:line="345" w:lineRule="auto"/>
        <w:ind w:left="17" w:right="65" w:firstLine="471"/>
        <w:rPr>
          <w:rFonts w:ascii="仿宋" w:hAnsi="仿宋" w:eastAsia="仿宋" w:cs="仿宋"/>
          <w:sz w:val="24"/>
          <w:szCs w:val="24"/>
        </w:rPr>
      </w:pPr>
      <w:r>
        <w:rPr>
          <w:rFonts w:ascii="仿宋" w:hAnsi="仿宋" w:eastAsia="仿宋" w:cs="仿宋"/>
          <w:spacing w:val="-1"/>
          <w:sz w:val="24"/>
          <w:szCs w:val="24"/>
        </w:rPr>
        <w:t>8.2供应商应当对所投分包采购文件中“采购需求</w:t>
      </w:r>
      <w:r>
        <w:rPr>
          <w:rFonts w:ascii="仿宋" w:hAnsi="仿宋" w:eastAsia="仿宋" w:cs="仿宋"/>
          <w:spacing w:val="-88"/>
          <w:sz w:val="24"/>
          <w:szCs w:val="24"/>
        </w:rPr>
        <w:t xml:space="preserve"> </w:t>
      </w:r>
      <w:r>
        <w:rPr>
          <w:rFonts w:ascii="仿宋" w:hAnsi="仿宋" w:eastAsia="仿宋" w:cs="仿宋"/>
          <w:spacing w:val="-1"/>
          <w:sz w:val="24"/>
          <w:szCs w:val="24"/>
        </w:rPr>
        <w:t>”所</w:t>
      </w:r>
      <w:r>
        <w:rPr>
          <w:rFonts w:ascii="仿宋" w:hAnsi="仿宋" w:eastAsia="仿宋" w:cs="仿宋"/>
          <w:spacing w:val="-2"/>
          <w:sz w:val="24"/>
          <w:szCs w:val="24"/>
        </w:rPr>
        <w:t>列的所有服务内容进</w:t>
      </w:r>
      <w:r>
        <w:rPr>
          <w:rFonts w:ascii="仿宋" w:hAnsi="仿宋" w:eastAsia="仿宋" w:cs="仿宋"/>
          <w:sz w:val="24"/>
          <w:szCs w:val="24"/>
        </w:rPr>
        <w:t xml:space="preserve"> </w:t>
      </w:r>
      <w:r>
        <w:rPr>
          <w:rFonts w:ascii="仿宋" w:hAnsi="仿宋" w:eastAsia="仿宋" w:cs="仿宋"/>
          <w:spacing w:val="-1"/>
          <w:sz w:val="24"/>
          <w:szCs w:val="24"/>
        </w:rPr>
        <w:t>行投标，如仅响应分包中的部分内容，其投标将被认定为投标无效。</w:t>
      </w:r>
    </w:p>
    <w:p w14:paraId="55D7F019">
      <w:pPr>
        <w:spacing w:before="38" w:line="344" w:lineRule="auto"/>
        <w:ind w:left="18" w:right="185" w:firstLine="470"/>
        <w:rPr>
          <w:rFonts w:ascii="仿宋" w:hAnsi="仿宋" w:eastAsia="仿宋" w:cs="仿宋"/>
          <w:sz w:val="24"/>
          <w:szCs w:val="24"/>
        </w:rPr>
      </w:pPr>
      <w:r>
        <w:rPr>
          <w:rFonts w:ascii="仿宋" w:hAnsi="仿宋" w:eastAsia="仿宋" w:cs="仿宋"/>
          <w:sz w:val="24"/>
          <w:szCs w:val="24"/>
        </w:rPr>
        <w:t>8.3无论采购文件第5章采购需求中是否要求，供</w:t>
      </w:r>
      <w:r>
        <w:rPr>
          <w:rFonts w:ascii="仿宋" w:hAnsi="仿宋" w:eastAsia="仿宋" w:cs="仿宋"/>
          <w:spacing w:val="-1"/>
          <w:sz w:val="24"/>
          <w:szCs w:val="24"/>
        </w:rPr>
        <w:t>应商所投服务均应符合国</w:t>
      </w:r>
      <w:r>
        <w:rPr>
          <w:rFonts w:ascii="仿宋" w:hAnsi="仿宋" w:eastAsia="仿宋" w:cs="仿宋"/>
          <w:sz w:val="24"/>
          <w:szCs w:val="24"/>
        </w:rPr>
        <w:t xml:space="preserve"> </w:t>
      </w:r>
      <w:r>
        <w:rPr>
          <w:rFonts w:ascii="仿宋" w:hAnsi="仿宋" w:eastAsia="仿宋" w:cs="仿宋"/>
          <w:spacing w:val="-3"/>
          <w:sz w:val="24"/>
          <w:szCs w:val="24"/>
        </w:rPr>
        <w:t>家强制性标准。</w:t>
      </w:r>
    </w:p>
    <w:p w14:paraId="1F62FF11">
      <w:pPr>
        <w:spacing w:before="38" w:line="345" w:lineRule="auto"/>
        <w:ind w:left="22" w:right="65" w:firstLine="466"/>
        <w:rPr>
          <w:rFonts w:ascii="仿宋" w:hAnsi="仿宋" w:eastAsia="仿宋" w:cs="仿宋"/>
          <w:sz w:val="24"/>
          <w:szCs w:val="24"/>
        </w:rPr>
      </w:pPr>
      <w:r>
        <w:rPr>
          <w:rFonts w:ascii="仿宋" w:hAnsi="仿宋" w:eastAsia="仿宋" w:cs="仿宋"/>
          <w:sz w:val="24"/>
          <w:szCs w:val="24"/>
        </w:rPr>
        <w:t>8.4除采购文件中有特殊要求外，投标文件中所使</w:t>
      </w:r>
      <w:r>
        <w:rPr>
          <w:rFonts w:ascii="仿宋" w:hAnsi="仿宋" w:eastAsia="仿宋" w:cs="仿宋"/>
          <w:spacing w:val="-1"/>
          <w:sz w:val="24"/>
          <w:szCs w:val="24"/>
        </w:rPr>
        <w:t>用的计量单位，应采用中</w:t>
      </w:r>
      <w:r>
        <w:rPr>
          <w:rFonts w:ascii="仿宋" w:hAnsi="仿宋" w:eastAsia="仿宋" w:cs="仿宋"/>
          <w:sz w:val="24"/>
          <w:szCs w:val="24"/>
        </w:rPr>
        <w:t xml:space="preserve"> </w:t>
      </w:r>
      <w:r>
        <w:rPr>
          <w:rFonts w:ascii="仿宋" w:hAnsi="仿宋" w:eastAsia="仿宋" w:cs="仿宋"/>
          <w:spacing w:val="-2"/>
          <w:sz w:val="24"/>
          <w:szCs w:val="24"/>
        </w:rPr>
        <w:t>华人民共和国法定计量单位。</w:t>
      </w:r>
    </w:p>
    <w:p w14:paraId="606E2841">
      <w:pPr>
        <w:spacing w:before="62" w:line="222" w:lineRule="auto"/>
        <w:ind w:left="47"/>
        <w:outlineLvl w:val="1"/>
        <w:rPr>
          <w:rFonts w:ascii="仿宋" w:hAnsi="仿宋" w:eastAsia="仿宋" w:cs="仿宋"/>
          <w:sz w:val="24"/>
          <w:szCs w:val="24"/>
        </w:rPr>
      </w:pPr>
      <w:bookmarkStart w:id="44" w:name="_Toc16553"/>
      <w:r>
        <w:rPr>
          <w:rFonts w:ascii="仿宋" w:hAnsi="仿宋" w:eastAsia="仿宋" w:cs="仿宋"/>
          <w:b/>
          <w:bCs/>
          <w:spacing w:val="-7"/>
          <w:sz w:val="24"/>
          <w:szCs w:val="24"/>
        </w:rPr>
        <w:t>9.投标文件构成</w:t>
      </w:r>
      <w:bookmarkEnd w:id="44"/>
    </w:p>
    <w:p w14:paraId="50FE1FAC">
      <w:pPr>
        <w:spacing w:line="222" w:lineRule="auto"/>
        <w:rPr>
          <w:rFonts w:ascii="仿宋" w:hAnsi="仿宋" w:eastAsia="仿宋" w:cs="仿宋"/>
          <w:sz w:val="24"/>
          <w:szCs w:val="24"/>
        </w:rPr>
        <w:sectPr>
          <w:footerReference r:id="rId11" w:type="default"/>
          <w:pgSz w:w="11907" w:h="16840"/>
          <w:pgMar w:top="1418" w:right="1776" w:bottom="1204" w:left="1786" w:header="0" w:footer="1035" w:gutter="0"/>
          <w:pgNumType w:fmt="decimal"/>
          <w:cols w:space="720" w:num="1"/>
        </w:sectPr>
      </w:pPr>
    </w:p>
    <w:p w14:paraId="38C5184B">
      <w:pPr>
        <w:spacing w:before="48" w:line="343" w:lineRule="auto"/>
        <w:ind w:left="14" w:firstLine="474"/>
        <w:rPr>
          <w:rFonts w:ascii="仿宋" w:hAnsi="仿宋" w:eastAsia="仿宋" w:cs="仿宋"/>
          <w:sz w:val="24"/>
          <w:szCs w:val="24"/>
        </w:rPr>
      </w:pPr>
      <w:r>
        <w:rPr>
          <w:rFonts w:ascii="仿宋" w:hAnsi="仿宋" w:eastAsia="仿宋" w:cs="仿宋"/>
          <w:spacing w:val="1"/>
          <w:sz w:val="24"/>
          <w:szCs w:val="24"/>
        </w:rPr>
        <w:t>9.1供应商应完整地按采购文件提供的投标文件</w:t>
      </w:r>
      <w:r>
        <w:rPr>
          <w:rFonts w:ascii="仿宋" w:hAnsi="仿宋" w:eastAsia="仿宋" w:cs="仿宋"/>
          <w:sz w:val="24"/>
          <w:szCs w:val="24"/>
        </w:rPr>
        <w:t xml:space="preserve">格式及要求编写投标文件， </w:t>
      </w:r>
      <w:r>
        <w:rPr>
          <w:rFonts w:ascii="仿宋" w:hAnsi="仿宋" w:eastAsia="仿宋" w:cs="仿宋"/>
          <w:spacing w:val="-4"/>
          <w:sz w:val="24"/>
          <w:szCs w:val="24"/>
        </w:rPr>
        <w:t>投标文件应包括“报价单</w:t>
      </w:r>
      <w:r>
        <w:rPr>
          <w:rFonts w:ascii="仿宋" w:hAnsi="仿宋" w:eastAsia="仿宋" w:cs="仿宋"/>
          <w:spacing w:val="-88"/>
          <w:sz w:val="24"/>
          <w:szCs w:val="24"/>
        </w:rPr>
        <w:t xml:space="preserve"> </w:t>
      </w:r>
      <w:r>
        <w:rPr>
          <w:rFonts w:ascii="仿宋" w:hAnsi="仿宋" w:eastAsia="仿宋" w:cs="仿宋"/>
          <w:spacing w:val="-4"/>
          <w:sz w:val="24"/>
          <w:szCs w:val="24"/>
        </w:rPr>
        <w:t>”“商务资信投标文件</w:t>
      </w:r>
      <w:r>
        <w:rPr>
          <w:rFonts w:ascii="仿宋" w:hAnsi="仿宋" w:eastAsia="仿宋" w:cs="仿宋"/>
          <w:spacing w:val="-88"/>
          <w:sz w:val="24"/>
          <w:szCs w:val="24"/>
        </w:rPr>
        <w:t xml:space="preserve"> </w:t>
      </w:r>
      <w:r>
        <w:rPr>
          <w:rFonts w:ascii="仿宋" w:hAnsi="仿宋" w:eastAsia="仿宋" w:cs="仿宋"/>
          <w:spacing w:val="-4"/>
          <w:sz w:val="24"/>
          <w:szCs w:val="24"/>
        </w:rPr>
        <w:t>”和“技术</w:t>
      </w:r>
      <w:r>
        <w:rPr>
          <w:rFonts w:ascii="仿宋" w:hAnsi="仿宋" w:eastAsia="仿宋" w:cs="仿宋"/>
          <w:spacing w:val="-5"/>
          <w:sz w:val="24"/>
          <w:szCs w:val="24"/>
        </w:rPr>
        <w:t>投标方案</w:t>
      </w:r>
      <w:r>
        <w:rPr>
          <w:rFonts w:ascii="仿宋" w:hAnsi="仿宋" w:eastAsia="仿宋" w:cs="仿宋"/>
          <w:spacing w:val="-89"/>
          <w:sz w:val="24"/>
          <w:szCs w:val="24"/>
        </w:rPr>
        <w:t xml:space="preserve"> </w:t>
      </w:r>
      <w:r>
        <w:rPr>
          <w:rFonts w:ascii="仿宋" w:hAnsi="仿宋" w:eastAsia="仿宋" w:cs="仿宋"/>
          <w:spacing w:val="-5"/>
          <w:sz w:val="24"/>
          <w:szCs w:val="24"/>
        </w:rPr>
        <w:t>”三部分。</w:t>
      </w:r>
    </w:p>
    <w:p w14:paraId="5E7F0D42">
      <w:pPr>
        <w:spacing w:before="40" w:line="222" w:lineRule="auto"/>
        <w:ind w:left="488"/>
        <w:rPr>
          <w:rFonts w:ascii="仿宋" w:hAnsi="仿宋" w:eastAsia="仿宋" w:cs="仿宋"/>
          <w:sz w:val="24"/>
          <w:szCs w:val="24"/>
        </w:rPr>
      </w:pPr>
      <w:r>
        <w:rPr>
          <w:rFonts w:ascii="仿宋" w:hAnsi="仿宋" w:eastAsia="仿宋" w:cs="仿宋"/>
          <w:sz w:val="24"/>
          <w:szCs w:val="24"/>
        </w:rPr>
        <w:t>9.2上述文件应按照采购文件规定的格式填写、签</w:t>
      </w:r>
      <w:r>
        <w:rPr>
          <w:rFonts w:ascii="仿宋" w:hAnsi="仿宋" w:eastAsia="仿宋" w:cs="仿宋"/>
          <w:spacing w:val="-1"/>
          <w:sz w:val="24"/>
          <w:szCs w:val="24"/>
        </w:rPr>
        <w:t>署和盖章。若供应商未依</w:t>
      </w:r>
    </w:p>
    <w:p w14:paraId="22BE5871">
      <w:pPr>
        <w:spacing w:before="179" w:line="345" w:lineRule="auto"/>
        <w:ind w:left="23" w:right="977" w:hanging="2"/>
        <w:rPr>
          <w:rFonts w:ascii="仿宋" w:hAnsi="仿宋" w:eastAsia="仿宋" w:cs="仿宋"/>
          <w:sz w:val="24"/>
          <w:szCs w:val="24"/>
        </w:rPr>
      </w:pPr>
      <w:r>
        <w:rPr>
          <w:rFonts w:ascii="仿宋" w:hAnsi="仿宋" w:eastAsia="仿宋" w:cs="仿宋"/>
          <w:spacing w:val="-3"/>
          <w:sz w:val="24"/>
          <w:szCs w:val="24"/>
        </w:rPr>
        <w:t>照要求制作投标文件的，则视为不响应采购文件编制投标文件的要求，</w:t>
      </w:r>
      <w:r>
        <w:rPr>
          <w:rFonts w:ascii="仿宋" w:hAnsi="仿宋" w:eastAsia="仿宋" w:cs="仿宋"/>
          <w:spacing w:val="15"/>
          <w:sz w:val="24"/>
          <w:szCs w:val="24"/>
        </w:rPr>
        <w:t xml:space="preserve"> </w:t>
      </w:r>
      <w:r>
        <w:rPr>
          <w:rFonts w:ascii="仿宋" w:hAnsi="仿宋" w:eastAsia="仿宋" w:cs="仿宋"/>
          <w:spacing w:val="-5"/>
          <w:sz w:val="24"/>
          <w:szCs w:val="24"/>
        </w:rPr>
        <w:t>为无效投标。</w:t>
      </w:r>
    </w:p>
    <w:p w14:paraId="62BFBAE6">
      <w:pPr>
        <w:spacing w:before="57" w:line="220" w:lineRule="auto"/>
        <w:ind w:left="80"/>
        <w:outlineLvl w:val="1"/>
        <w:rPr>
          <w:rFonts w:ascii="仿宋" w:hAnsi="仿宋" w:eastAsia="仿宋" w:cs="仿宋"/>
          <w:sz w:val="24"/>
          <w:szCs w:val="24"/>
        </w:rPr>
      </w:pPr>
      <w:bookmarkStart w:id="45" w:name="_Toc6684"/>
      <w:r>
        <w:rPr>
          <w:rFonts w:ascii="仿宋" w:hAnsi="仿宋" w:eastAsia="仿宋" w:cs="仿宋"/>
          <w:b/>
          <w:bCs/>
          <w:spacing w:val="-6"/>
          <w:sz w:val="24"/>
          <w:szCs w:val="24"/>
        </w:rPr>
        <w:t>10.证明投标标的的合格性和符合采购文件规定的技术文件</w:t>
      </w:r>
      <w:bookmarkEnd w:id="45"/>
    </w:p>
    <w:p w14:paraId="2037A023">
      <w:pPr>
        <w:spacing w:before="180" w:line="345" w:lineRule="auto"/>
        <w:ind w:left="15" w:right="203" w:firstLine="490"/>
        <w:rPr>
          <w:rFonts w:ascii="仿宋" w:hAnsi="仿宋" w:eastAsia="仿宋" w:cs="仿宋"/>
          <w:sz w:val="24"/>
          <w:szCs w:val="24"/>
        </w:rPr>
      </w:pPr>
      <w:r>
        <w:rPr>
          <w:rFonts w:ascii="仿宋" w:hAnsi="仿宋" w:eastAsia="仿宋" w:cs="仿宋"/>
          <w:spacing w:val="-1"/>
          <w:sz w:val="24"/>
          <w:szCs w:val="24"/>
        </w:rPr>
        <w:t>10.1供应商应提交证明文件，证明其投标内容符合采购文件规定。该证明</w:t>
      </w:r>
      <w:r>
        <w:rPr>
          <w:rFonts w:ascii="仿宋" w:hAnsi="仿宋" w:eastAsia="仿宋" w:cs="仿宋"/>
          <w:spacing w:val="6"/>
          <w:sz w:val="24"/>
          <w:szCs w:val="24"/>
        </w:rPr>
        <w:t xml:space="preserve"> </w:t>
      </w:r>
      <w:r>
        <w:rPr>
          <w:rFonts w:ascii="仿宋" w:hAnsi="仿宋" w:eastAsia="仿宋" w:cs="仿宋"/>
          <w:spacing w:val="-2"/>
          <w:sz w:val="24"/>
          <w:szCs w:val="24"/>
        </w:rPr>
        <w:t>文件是投标文件的一部分。</w:t>
      </w:r>
    </w:p>
    <w:p w14:paraId="340223E8">
      <w:pPr>
        <w:spacing w:before="38" w:line="220" w:lineRule="auto"/>
        <w:ind w:left="505"/>
        <w:outlineLvl w:val="2"/>
        <w:rPr>
          <w:rFonts w:ascii="仿宋" w:hAnsi="仿宋" w:eastAsia="仿宋" w:cs="仿宋"/>
          <w:sz w:val="24"/>
          <w:szCs w:val="24"/>
        </w:rPr>
      </w:pPr>
      <w:bookmarkStart w:id="46" w:name="_Toc31916"/>
      <w:r>
        <w:rPr>
          <w:rFonts w:ascii="仿宋" w:hAnsi="仿宋" w:eastAsia="仿宋" w:cs="仿宋"/>
          <w:spacing w:val="-1"/>
          <w:sz w:val="24"/>
          <w:szCs w:val="24"/>
        </w:rPr>
        <w:t>10.2上款所述的证明文件，可以是文字资料、图纸和数据。</w:t>
      </w:r>
      <w:bookmarkEnd w:id="46"/>
    </w:p>
    <w:p w14:paraId="5852709A">
      <w:pPr>
        <w:spacing w:before="204" w:line="222" w:lineRule="auto"/>
        <w:ind w:left="80"/>
        <w:outlineLvl w:val="1"/>
        <w:rPr>
          <w:rFonts w:ascii="仿宋" w:hAnsi="仿宋" w:eastAsia="仿宋" w:cs="仿宋"/>
          <w:sz w:val="24"/>
          <w:szCs w:val="24"/>
        </w:rPr>
      </w:pPr>
      <w:bookmarkStart w:id="47" w:name="_Toc29041"/>
      <w:r>
        <w:rPr>
          <w:rFonts w:ascii="仿宋" w:hAnsi="仿宋" w:eastAsia="仿宋" w:cs="仿宋"/>
          <w:b/>
          <w:bCs/>
          <w:spacing w:val="-11"/>
          <w:sz w:val="24"/>
          <w:szCs w:val="24"/>
        </w:rPr>
        <w:t>11.投标报价</w:t>
      </w:r>
      <w:bookmarkEnd w:id="47"/>
    </w:p>
    <w:p w14:paraId="1134D576">
      <w:pPr>
        <w:spacing w:before="176" w:line="350" w:lineRule="auto"/>
        <w:ind w:left="14" w:right="203" w:firstLine="491"/>
        <w:rPr>
          <w:rFonts w:ascii="仿宋" w:hAnsi="仿宋" w:eastAsia="仿宋" w:cs="仿宋"/>
          <w:sz w:val="24"/>
          <w:szCs w:val="24"/>
        </w:rPr>
      </w:pPr>
      <w:r>
        <w:rPr>
          <w:rFonts w:ascii="仿宋" w:hAnsi="仿宋" w:eastAsia="仿宋" w:cs="仿宋"/>
          <w:spacing w:val="-1"/>
          <w:sz w:val="24"/>
          <w:szCs w:val="24"/>
        </w:rPr>
        <w:t>11.1所有投标均以人民币报价。供应商的投标报价应遵守《中华人民共和</w:t>
      </w:r>
      <w:r>
        <w:rPr>
          <w:rFonts w:ascii="仿宋" w:hAnsi="仿宋" w:eastAsia="仿宋" w:cs="仿宋"/>
          <w:spacing w:val="6"/>
          <w:sz w:val="24"/>
          <w:szCs w:val="24"/>
        </w:rPr>
        <w:t xml:space="preserve"> </w:t>
      </w:r>
      <w:r>
        <w:rPr>
          <w:rFonts w:ascii="仿宋" w:hAnsi="仿宋" w:eastAsia="仿宋" w:cs="仿宋"/>
          <w:spacing w:val="-1"/>
          <w:sz w:val="24"/>
          <w:szCs w:val="24"/>
        </w:rPr>
        <w:t>国价格法》。同时，根据《中华人民共和国政府采购法》第二条的规定，为保</w:t>
      </w:r>
      <w:r>
        <w:rPr>
          <w:rFonts w:ascii="仿宋" w:hAnsi="仿宋" w:eastAsia="仿宋" w:cs="仿宋"/>
          <w:spacing w:val="17"/>
          <w:sz w:val="24"/>
          <w:szCs w:val="24"/>
        </w:rPr>
        <w:t xml:space="preserve"> </w:t>
      </w:r>
      <w:r>
        <w:rPr>
          <w:rFonts w:ascii="仿宋" w:hAnsi="仿宋" w:eastAsia="仿宋" w:cs="仿宋"/>
          <w:spacing w:val="-1"/>
          <w:sz w:val="24"/>
          <w:szCs w:val="24"/>
        </w:rPr>
        <w:t>证公平竞争，如有主体投标标的的赠与行为，其投标将被认定为</w:t>
      </w:r>
      <w:r>
        <w:rPr>
          <w:rFonts w:ascii="仿宋" w:hAnsi="仿宋" w:eastAsia="仿宋" w:cs="仿宋"/>
          <w:b/>
          <w:bCs/>
          <w:spacing w:val="-1"/>
          <w:sz w:val="24"/>
          <w:szCs w:val="24"/>
        </w:rPr>
        <w:t>投标无效</w:t>
      </w:r>
      <w:r>
        <w:rPr>
          <w:rFonts w:ascii="仿宋" w:hAnsi="仿宋" w:eastAsia="仿宋" w:cs="仿宋"/>
          <w:spacing w:val="-1"/>
          <w:sz w:val="24"/>
          <w:szCs w:val="24"/>
        </w:rPr>
        <w:t>。</w:t>
      </w:r>
    </w:p>
    <w:p w14:paraId="4014AEF7">
      <w:pPr>
        <w:spacing w:before="36" w:line="346" w:lineRule="auto"/>
        <w:ind w:left="19" w:right="203" w:firstLine="486"/>
        <w:rPr>
          <w:rFonts w:ascii="仿宋" w:hAnsi="仿宋" w:eastAsia="仿宋" w:cs="仿宋"/>
          <w:sz w:val="24"/>
          <w:szCs w:val="24"/>
        </w:rPr>
      </w:pPr>
      <w:r>
        <w:rPr>
          <w:rFonts w:ascii="仿宋" w:hAnsi="仿宋" w:eastAsia="仿宋" w:cs="仿宋"/>
          <w:spacing w:val="-1"/>
          <w:sz w:val="24"/>
          <w:szCs w:val="24"/>
        </w:rPr>
        <w:t>11.2供应商应在投标分项报价单上标明招标项目的总价，并由法定代表人</w:t>
      </w:r>
      <w:r>
        <w:rPr>
          <w:rFonts w:ascii="仿宋" w:hAnsi="仿宋" w:eastAsia="仿宋" w:cs="仿宋"/>
          <w:spacing w:val="6"/>
          <w:sz w:val="24"/>
          <w:szCs w:val="24"/>
        </w:rPr>
        <w:t xml:space="preserve"> </w:t>
      </w:r>
      <w:r>
        <w:rPr>
          <w:rFonts w:ascii="仿宋" w:hAnsi="仿宋" w:eastAsia="仿宋" w:cs="仿宋"/>
          <w:spacing w:val="-2"/>
          <w:sz w:val="24"/>
          <w:szCs w:val="24"/>
        </w:rPr>
        <w:t>或其委托代理人签署。</w:t>
      </w:r>
    </w:p>
    <w:p w14:paraId="0047B52B">
      <w:pPr>
        <w:spacing w:before="36" w:line="222" w:lineRule="auto"/>
        <w:ind w:left="505"/>
        <w:outlineLvl w:val="2"/>
        <w:rPr>
          <w:rFonts w:ascii="仿宋" w:hAnsi="仿宋" w:eastAsia="仿宋" w:cs="仿宋"/>
          <w:sz w:val="24"/>
          <w:szCs w:val="24"/>
        </w:rPr>
      </w:pPr>
      <w:bookmarkStart w:id="48" w:name="_Toc16944"/>
      <w:r>
        <w:rPr>
          <w:rFonts w:ascii="仿宋" w:hAnsi="仿宋" w:eastAsia="仿宋" w:cs="仿宋"/>
          <w:spacing w:val="-2"/>
          <w:sz w:val="24"/>
          <w:szCs w:val="24"/>
        </w:rPr>
        <w:t>11.3采购人不接受具有附加条件的报价。</w:t>
      </w:r>
      <w:bookmarkEnd w:id="48"/>
    </w:p>
    <w:p w14:paraId="561BE935">
      <w:pPr>
        <w:spacing w:before="179" w:line="343" w:lineRule="auto"/>
        <w:ind w:left="17" w:right="203" w:firstLine="488"/>
        <w:rPr>
          <w:rFonts w:ascii="仿宋" w:hAnsi="仿宋" w:eastAsia="仿宋" w:cs="仿宋"/>
          <w:sz w:val="24"/>
          <w:szCs w:val="24"/>
        </w:rPr>
      </w:pPr>
      <w:r>
        <w:rPr>
          <w:rFonts w:ascii="仿宋" w:hAnsi="仿宋" w:eastAsia="仿宋" w:cs="仿宋"/>
          <w:spacing w:val="-1"/>
          <w:sz w:val="24"/>
          <w:szCs w:val="24"/>
        </w:rPr>
        <w:t>11.4供应商所报的投标报价在合同履行过程中是固定不变的，不得以任何</w:t>
      </w:r>
      <w:r>
        <w:rPr>
          <w:rFonts w:ascii="仿宋" w:hAnsi="仿宋" w:eastAsia="仿宋" w:cs="仿宋"/>
          <w:spacing w:val="6"/>
          <w:sz w:val="24"/>
          <w:szCs w:val="24"/>
        </w:rPr>
        <w:t xml:space="preserve"> </w:t>
      </w:r>
      <w:r>
        <w:rPr>
          <w:rFonts w:ascii="仿宋" w:hAnsi="仿宋" w:eastAsia="仿宋" w:cs="仿宋"/>
          <w:spacing w:val="-1"/>
          <w:sz w:val="24"/>
          <w:szCs w:val="24"/>
        </w:rPr>
        <w:t>理由予以变更。任何包含价格调整要求的投标，将被认定为投标无效。</w:t>
      </w:r>
    </w:p>
    <w:p w14:paraId="223EB6AE">
      <w:pPr>
        <w:spacing w:before="65" w:line="221" w:lineRule="auto"/>
        <w:ind w:left="80"/>
        <w:outlineLvl w:val="1"/>
        <w:rPr>
          <w:rFonts w:ascii="仿宋" w:hAnsi="仿宋" w:eastAsia="仿宋" w:cs="仿宋"/>
          <w:sz w:val="24"/>
          <w:szCs w:val="24"/>
        </w:rPr>
      </w:pPr>
      <w:bookmarkStart w:id="49" w:name="_Toc30076"/>
      <w:r>
        <w:rPr>
          <w:rFonts w:ascii="仿宋" w:hAnsi="仿宋" w:eastAsia="仿宋" w:cs="仿宋"/>
          <w:b/>
          <w:bCs/>
          <w:spacing w:val="-10"/>
          <w:sz w:val="24"/>
          <w:szCs w:val="24"/>
        </w:rPr>
        <w:t>12.投标保证金</w:t>
      </w:r>
      <w:bookmarkEnd w:id="49"/>
    </w:p>
    <w:p w14:paraId="4E946FA6">
      <w:pPr>
        <w:spacing w:before="180" w:line="345" w:lineRule="auto"/>
        <w:ind w:left="29" w:right="203" w:firstLine="476"/>
        <w:rPr>
          <w:rFonts w:ascii="仿宋" w:hAnsi="仿宋" w:eastAsia="仿宋" w:cs="仿宋"/>
          <w:sz w:val="24"/>
          <w:szCs w:val="24"/>
        </w:rPr>
      </w:pPr>
      <w:r>
        <w:rPr>
          <w:rFonts w:ascii="仿宋" w:hAnsi="仿宋" w:eastAsia="仿宋" w:cs="仿宋"/>
          <w:spacing w:val="-1"/>
          <w:sz w:val="24"/>
          <w:szCs w:val="24"/>
        </w:rPr>
        <w:t>12.1供应商应提交供应商须知资料表中规定的投标保证金，并作为其投标</w:t>
      </w:r>
      <w:r>
        <w:rPr>
          <w:rFonts w:ascii="仿宋" w:hAnsi="仿宋" w:eastAsia="仿宋" w:cs="仿宋"/>
          <w:spacing w:val="6"/>
          <w:sz w:val="24"/>
          <w:szCs w:val="24"/>
        </w:rPr>
        <w:t xml:space="preserve"> </w:t>
      </w:r>
      <w:r>
        <w:rPr>
          <w:rFonts w:ascii="仿宋" w:hAnsi="仿宋" w:eastAsia="仿宋" w:cs="仿宋"/>
          <w:spacing w:val="-6"/>
          <w:sz w:val="24"/>
          <w:szCs w:val="24"/>
        </w:rPr>
        <w:t>的一部分。</w:t>
      </w:r>
    </w:p>
    <w:p w14:paraId="71540CCD">
      <w:pPr>
        <w:spacing w:before="36" w:line="219" w:lineRule="auto"/>
        <w:ind w:left="505"/>
        <w:outlineLvl w:val="2"/>
        <w:rPr>
          <w:rFonts w:ascii="仿宋" w:hAnsi="仿宋" w:eastAsia="仿宋" w:cs="仿宋"/>
          <w:sz w:val="24"/>
          <w:szCs w:val="24"/>
        </w:rPr>
      </w:pPr>
      <w:bookmarkStart w:id="50" w:name="_Toc4844"/>
      <w:r>
        <w:rPr>
          <w:rFonts w:ascii="仿宋" w:hAnsi="仿宋" w:eastAsia="仿宋" w:cs="仿宋"/>
          <w:spacing w:val="-1"/>
          <w:sz w:val="24"/>
          <w:szCs w:val="24"/>
        </w:rPr>
        <w:t>12.2供应商存在下列情形的，投标保证金不予</w:t>
      </w:r>
      <w:r>
        <w:rPr>
          <w:rFonts w:ascii="仿宋" w:hAnsi="仿宋" w:eastAsia="仿宋" w:cs="仿宋"/>
          <w:spacing w:val="-2"/>
          <w:sz w:val="24"/>
          <w:szCs w:val="24"/>
        </w:rPr>
        <w:t>退还：</w:t>
      </w:r>
      <w:bookmarkEnd w:id="50"/>
    </w:p>
    <w:p w14:paraId="5CD7B525">
      <w:pPr>
        <w:spacing w:before="183" w:line="219" w:lineRule="auto"/>
        <w:ind w:left="500"/>
        <w:rPr>
          <w:rFonts w:ascii="仿宋" w:hAnsi="仿宋" w:eastAsia="仿宋" w:cs="仿宋"/>
          <w:sz w:val="24"/>
          <w:szCs w:val="24"/>
        </w:rPr>
      </w:pPr>
      <w:r>
        <w:rPr>
          <w:rFonts w:ascii="仿宋" w:hAnsi="仿宋" w:eastAsia="仿宋" w:cs="仿宋"/>
          <w:spacing w:val="-2"/>
          <w:sz w:val="24"/>
          <w:szCs w:val="24"/>
        </w:rPr>
        <w:t>（1）在投标有效期内，撤销投标的；</w:t>
      </w:r>
    </w:p>
    <w:p w14:paraId="4B9179EA">
      <w:pPr>
        <w:spacing w:before="184" w:line="222" w:lineRule="auto"/>
        <w:ind w:left="500"/>
        <w:rPr>
          <w:rFonts w:ascii="仿宋" w:hAnsi="仿宋" w:eastAsia="仿宋" w:cs="仿宋"/>
          <w:sz w:val="24"/>
          <w:szCs w:val="24"/>
        </w:rPr>
      </w:pPr>
      <w:r>
        <w:rPr>
          <w:rFonts w:ascii="仿宋" w:hAnsi="仿宋" w:eastAsia="仿宋" w:cs="仿宋"/>
          <w:spacing w:val="-1"/>
          <w:sz w:val="24"/>
          <w:szCs w:val="24"/>
        </w:rPr>
        <w:t>（2）中标后不按本须知第30条的规定与采购人签订合同的；</w:t>
      </w:r>
    </w:p>
    <w:p w14:paraId="7F6B9B9D">
      <w:pPr>
        <w:spacing w:before="176" w:line="221" w:lineRule="auto"/>
        <w:ind w:left="500"/>
        <w:rPr>
          <w:rFonts w:ascii="仿宋" w:hAnsi="仿宋" w:eastAsia="仿宋" w:cs="仿宋"/>
          <w:sz w:val="24"/>
          <w:szCs w:val="24"/>
        </w:rPr>
      </w:pPr>
      <w:r>
        <w:rPr>
          <w:rFonts w:ascii="仿宋" w:hAnsi="仿宋" w:eastAsia="仿宋" w:cs="仿宋"/>
          <w:spacing w:val="-1"/>
          <w:sz w:val="24"/>
          <w:szCs w:val="24"/>
        </w:rPr>
        <w:t>（3）中标后不按本须知第31条的规定提交履约保证金的；</w:t>
      </w:r>
    </w:p>
    <w:p w14:paraId="60529CE3">
      <w:pPr>
        <w:spacing w:before="179" w:line="222" w:lineRule="auto"/>
        <w:ind w:left="500"/>
        <w:rPr>
          <w:rFonts w:ascii="仿宋" w:hAnsi="仿宋" w:eastAsia="仿宋" w:cs="仿宋"/>
          <w:sz w:val="24"/>
          <w:szCs w:val="24"/>
        </w:rPr>
      </w:pPr>
      <w:r>
        <w:rPr>
          <w:rFonts w:ascii="仿宋" w:hAnsi="仿宋" w:eastAsia="仿宋" w:cs="仿宋"/>
          <w:spacing w:val="-1"/>
          <w:sz w:val="24"/>
          <w:szCs w:val="24"/>
        </w:rPr>
        <w:t>（4）中标后不按本须知第32条的规定缴纳中标服务费的；</w:t>
      </w:r>
    </w:p>
    <w:p w14:paraId="43CCAB47">
      <w:pPr>
        <w:spacing w:before="179" w:line="219" w:lineRule="auto"/>
        <w:ind w:left="500"/>
        <w:rPr>
          <w:rFonts w:ascii="仿宋" w:hAnsi="仿宋" w:eastAsia="仿宋" w:cs="仿宋"/>
          <w:sz w:val="24"/>
          <w:szCs w:val="24"/>
        </w:rPr>
      </w:pPr>
      <w:r>
        <w:rPr>
          <w:rFonts w:ascii="仿宋" w:hAnsi="仿宋" w:eastAsia="仿宋" w:cs="仿宋"/>
          <w:spacing w:val="-2"/>
          <w:sz w:val="24"/>
          <w:szCs w:val="24"/>
        </w:rPr>
        <w:t>（5）存在其他违法违规行为的。</w:t>
      </w:r>
    </w:p>
    <w:p w14:paraId="3E23F3D0">
      <w:pPr>
        <w:spacing w:before="179" w:line="345" w:lineRule="auto"/>
        <w:ind w:left="17" w:right="203" w:firstLine="488"/>
        <w:rPr>
          <w:rFonts w:ascii="仿宋" w:hAnsi="仿宋" w:eastAsia="仿宋" w:cs="仿宋"/>
          <w:sz w:val="24"/>
          <w:szCs w:val="24"/>
        </w:rPr>
      </w:pPr>
      <w:r>
        <w:rPr>
          <w:rFonts w:ascii="仿宋" w:hAnsi="仿宋" w:eastAsia="仿宋" w:cs="仿宋"/>
          <w:spacing w:val="-1"/>
          <w:sz w:val="24"/>
          <w:szCs w:val="24"/>
        </w:rPr>
        <w:t>12.3政府采购信用担保试点范围内的项目，接受符合财政部门规定的政府</w:t>
      </w:r>
      <w:r>
        <w:rPr>
          <w:rFonts w:ascii="仿宋" w:hAnsi="仿宋" w:eastAsia="仿宋" w:cs="仿宋"/>
          <w:spacing w:val="6"/>
          <w:sz w:val="24"/>
          <w:szCs w:val="24"/>
        </w:rPr>
        <w:t xml:space="preserve"> </w:t>
      </w:r>
      <w:r>
        <w:rPr>
          <w:rFonts w:ascii="仿宋" w:hAnsi="仿宋" w:eastAsia="仿宋" w:cs="仿宋"/>
          <w:spacing w:val="-2"/>
          <w:sz w:val="24"/>
          <w:szCs w:val="24"/>
        </w:rPr>
        <w:t>采购投标担保函原件。</w:t>
      </w:r>
    </w:p>
    <w:p w14:paraId="5EE4AE7B">
      <w:pPr>
        <w:spacing w:line="345" w:lineRule="auto"/>
        <w:rPr>
          <w:rFonts w:ascii="仿宋" w:hAnsi="仿宋" w:eastAsia="仿宋" w:cs="仿宋"/>
          <w:sz w:val="24"/>
          <w:szCs w:val="24"/>
        </w:rPr>
        <w:sectPr>
          <w:footerReference r:id="rId12" w:type="default"/>
          <w:pgSz w:w="11907" w:h="16840"/>
          <w:pgMar w:top="1418" w:right="1758" w:bottom="1204" w:left="1786" w:header="0" w:footer="1035" w:gutter="0"/>
          <w:pgNumType w:fmt="decimal"/>
          <w:cols w:space="720" w:num="1"/>
        </w:sectPr>
      </w:pPr>
    </w:p>
    <w:p w14:paraId="7F4E11D3">
      <w:pPr>
        <w:spacing w:before="50" w:line="343" w:lineRule="auto"/>
        <w:ind w:left="15" w:right="185" w:firstLine="490"/>
        <w:rPr>
          <w:rFonts w:ascii="仿宋" w:hAnsi="仿宋" w:eastAsia="仿宋" w:cs="仿宋"/>
          <w:sz w:val="24"/>
          <w:szCs w:val="24"/>
        </w:rPr>
      </w:pPr>
      <w:r>
        <w:rPr>
          <w:rFonts w:ascii="仿宋" w:hAnsi="仿宋" w:eastAsia="仿宋" w:cs="仿宋"/>
          <w:spacing w:val="-1"/>
          <w:sz w:val="24"/>
          <w:szCs w:val="24"/>
        </w:rPr>
        <w:t>12.4供应商未按本须知第12.1和12.3条规定提交投标保证金的，其投标将</w:t>
      </w:r>
      <w:r>
        <w:rPr>
          <w:rFonts w:ascii="仿宋" w:hAnsi="仿宋" w:eastAsia="仿宋" w:cs="仿宋"/>
          <w:spacing w:val="10"/>
          <w:sz w:val="24"/>
          <w:szCs w:val="24"/>
        </w:rPr>
        <w:t xml:space="preserve"> </w:t>
      </w:r>
      <w:r>
        <w:rPr>
          <w:rFonts w:ascii="仿宋" w:hAnsi="仿宋" w:eastAsia="仿宋" w:cs="仿宋"/>
          <w:spacing w:val="-2"/>
          <w:sz w:val="24"/>
          <w:szCs w:val="24"/>
        </w:rPr>
        <w:t>被认定为投标无效。</w:t>
      </w:r>
    </w:p>
    <w:p w14:paraId="759E9FCD">
      <w:pPr>
        <w:spacing w:before="38" w:line="344" w:lineRule="auto"/>
        <w:ind w:left="19" w:right="185" w:firstLine="486"/>
        <w:rPr>
          <w:rFonts w:ascii="仿宋" w:hAnsi="仿宋" w:eastAsia="仿宋" w:cs="仿宋"/>
          <w:sz w:val="24"/>
          <w:szCs w:val="24"/>
        </w:rPr>
      </w:pPr>
      <w:r>
        <w:rPr>
          <w:rFonts w:ascii="仿宋" w:hAnsi="仿宋" w:eastAsia="仿宋" w:cs="仿宋"/>
          <w:spacing w:val="-1"/>
          <w:sz w:val="24"/>
          <w:szCs w:val="24"/>
        </w:rPr>
        <w:t>12.5联合体投标的，可以由联合体中的一方或者共同提交投标保证金。以</w:t>
      </w:r>
      <w:r>
        <w:rPr>
          <w:rFonts w:ascii="仿宋" w:hAnsi="仿宋" w:eastAsia="仿宋" w:cs="仿宋"/>
          <w:spacing w:val="6"/>
          <w:sz w:val="24"/>
          <w:szCs w:val="24"/>
        </w:rPr>
        <w:t xml:space="preserve"> </w:t>
      </w:r>
      <w:r>
        <w:rPr>
          <w:rFonts w:ascii="仿宋" w:hAnsi="仿宋" w:eastAsia="仿宋" w:cs="仿宋"/>
          <w:spacing w:val="-1"/>
          <w:sz w:val="24"/>
          <w:szCs w:val="24"/>
        </w:rPr>
        <w:t>一方名义提交投标保证金的，对联合体各方均具有约束力。</w:t>
      </w:r>
    </w:p>
    <w:p w14:paraId="27614A48">
      <w:pPr>
        <w:spacing w:before="62" w:line="221" w:lineRule="auto"/>
        <w:ind w:left="80"/>
        <w:outlineLvl w:val="2"/>
        <w:rPr>
          <w:rFonts w:ascii="仿宋" w:hAnsi="仿宋" w:eastAsia="仿宋" w:cs="仿宋"/>
          <w:sz w:val="24"/>
          <w:szCs w:val="24"/>
        </w:rPr>
      </w:pPr>
      <w:bookmarkStart w:id="51" w:name="_Toc23761"/>
      <w:r>
        <w:rPr>
          <w:rFonts w:ascii="仿宋" w:hAnsi="仿宋" w:eastAsia="仿宋" w:cs="仿宋"/>
          <w:spacing w:val="-8"/>
          <w:sz w:val="24"/>
          <w:szCs w:val="24"/>
        </w:rPr>
        <w:t>12.6</w:t>
      </w:r>
      <w:r>
        <w:rPr>
          <w:rFonts w:ascii="仿宋" w:hAnsi="仿宋" w:eastAsia="仿宋" w:cs="仿宋"/>
          <w:b/>
          <w:bCs/>
          <w:spacing w:val="-8"/>
          <w:sz w:val="24"/>
          <w:szCs w:val="24"/>
        </w:rPr>
        <w:t>投标保证金的退还</w:t>
      </w:r>
      <w:bookmarkEnd w:id="51"/>
    </w:p>
    <w:p w14:paraId="04760005">
      <w:pPr>
        <w:spacing w:before="179" w:line="290" w:lineRule="auto"/>
        <w:ind w:left="507" w:right="65" w:hanging="2"/>
        <w:rPr>
          <w:rFonts w:ascii="仿宋" w:hAnsi="仿宋" w:eastAsia="仿宋" w:cs="仿宋"/>
          <w:sz w:val="24"/>
          <w:szCs w:val="24"/>
        </w:rPr>
      </w:pPr>
      <w:r>
        <w:rPr>
          <w:rFonts w:ascii="仿宋" w:hAnsi="仿宋" w:eastAsia="仿宋" w:cs="仿宋"/>
          <w:spacing w:val="-1"/>
          <w:sz w:val="24"/>
          <w:szCs w:val="24"/>
        </w:rPr>
        <w:t>12.6.1中标人应在与采购人签订合同之日起5个工作日内，及时联系保证金</w:t>
      </w:r>
      <w:r>
        <w:rPr>
          <w:rFonts w:ascii="仿宋" w:hAnsi="仿宋" w:eastAsia="仿宋" w:cs="仿宋"/>
          <w:spacing w:val="8"/>
          <w:sz w:val="24"/>
          <w:szCs w:val="24"/>
        </w:rPr>
        <w:t xml:space="preserve"> </w:t>
      </w:r>
      <w:r>
        <w:rPr>
          <w:rFonts w:ascii="仿宋" w:hAnsi="仿宋" w:eastAsia="仿宋" w:cs="仿宋"/>
          <w:spacing w:val="-2"/>
          <w:sz w:val="24"/>
          <w:szCs w:val="24"/>
        </w:rPr>
        <w:t>收受机构办理投标保证金无息退还手续。</w:t>
      </w:r>
    </w:p>
    <w:p w14:paraId="2D86384C">
      <w:pPr>
        <w:spacing w:before="181" w:line="313" w:lineRule="auto"/>
        <w:ind w:left="14" w:right="65" w:firstLine="491"/>
        <w:rPr>
          <w:rFonts w:ascii="仿宋" w:hAnsi="仿宋" w:eastAsia="仿宋" w:cs="仿宋"/>
          <w:sz w:val="24"/>
          <w:szCs w:val="24"/>
        </w:rPr>
      </w:pPr>
      <w:r>
        <w:rPr>
          <w:rFonts w:ascii="仿宋" w:hAnsi="仿宋" w:eastAsia="仿宋" w:cs="仿宋"/>
          <w:spacing w:val="-1"/>
          <w:sz w:val="24"/>
          <w:szCs w:val="24"/>
        </w:rPr>
        <w:t>12.6.2未中标供应商的投标保证金将在中标通知书发出之日暨中标结果公</w:t>
      </w:r>
      <w:r>
        <w:rPr>
          <w:rFonts w:ascii="仿宋" w:hAnsi="仿宋" w:eastAsia="仿宋" w:cs="仿宋"/>
          <w:spacing w:val="3"/>
          <w:sz w:val="24"/>
          <w:szCs w:val="24"/>
        </w:rPr>
        <w:t xml:space="preserve">  </w:t>
      </w:r>
      <w:r>
        <w:rPr>
          <w:rFonts w:ascii="仿宋" w:hAnsi="仿宋" w:eastAsia="仿宋" w:cs="仿宋"/>
          <w:spacing w:val="-1"/>
          <w:sz w:val="24"/>
          <w:szCs w:val="24"/>
        </w:rPr>
        <w:t>告公布之日起5个工作日内无息退还。供应商及时联系保证金收受机构办理退还</w:t>
      </w:r>
      <w:r>
        <w:rPr>
          <w:rFonts w:ascii="仿宋" w:hAnsi="仿宋" w:eastAsia="仿宋" w:cs="仿宋"/>
          <w:spacing w:val="18"/>
          <w:sz w:val="24"/>
          <w:szCs w:val="24"/>
        </w:rPr>
        <w:t xml:space="preserve"> </w:t>
      </w:r>
      <w:r>
        <w:rPr>
          <w:rFonts w:ascii="仿宋" w:hAnsi="仿宋" w:eastAsia="仿宋" w:cs="仿宋"/>
          <w:spacing w:val="-2"/>
          <w:sz w:val="24"/>
          <w:szCs w:val="24"/>
        </w:rPr>
        <w:t>投标保证金手续。</w:t>
      </w:r>
    </w:p>
    <w:p w14:paraId="545709F4">
      <w:pPr>
        <w:spacing w:before="178" w:line="221" w:lineRule="auto"/>
        <w:ind w:left="505"/>
        <w:rPr>
          <w:rFonts w:ascii="仿宋" w:hAnsi="仿宋" w:eastAsia="仿宋" w:cs="仿宋"/>
          <w:sz w:val="24"/>
          <w:szCs w:val="24"/>
        </w:rPr>
      </w:pPr>
      <w:r>
        <w:rPr>
          <w:rFonts w:ascii="仿宋" w:hAnsi="仿宋" w:eastAsia="仿宋" w:cs="仿宋"/>
          <w:spacing w:val="-2"/>
          <w:sz w:val="24"/>
          <w:szCs w:val="24"/>
        </w:rPr>
        <w:t>12.6.3政府采购投标担保函不予退回。</w:t>
      </w:r>
    </w:p>
    <w:p w14:paraId="0A2F07B6">
      <w:pPr>
        <w:spacing w:before="181" w:line="343" w:lineRule="auto"/>
        <w:ind w:left="15" w:right="185" w:firstLine="490"/>
        <w:rPr>
          <w:rFonts w:ascii="仿宋" w:hAnsi="仿宋" w:eastAsia="仿宋" w:cs="仿宋"/>
          <w:sz w:val="24"/>
          <w:szCs w:val="24"/>
        </w:rPr>
      </w:pPr>
      <w:r>
        <w:rPr>
          <w:rFonts w:ascii="仿宋" w:hAnsi="仿宋" w:eastAsia="仿宋" w:cs="仿宋"/>
          <w:spacing w:val="-1"/>
          <w:sz w:val="24"/>
          <w:szCs w:val="24"/>
        </w:rPr>
        <w:t>12.7因供应商自身原因导致无法及时退还的，采购人或采购代理机构将不</w:t>
      </w:r>
      <w:r>
        <w:rPr>
          <w:rFonts w:ascii="仿宋" w:hAnsi="仿宋" w:eastAsia="仿宋" w:cs="仿宋"/>
          <w:spacing w:val="6"/>
          <w:sz w:val="24"/>
          <w:szCs w:val="24"/>
        </w:rPr>
        <w:t xml:space="preserve"> </w:t>
      </w:r>
      <w:r>
        <w:rPr>
          <w:rFonts w:ascii="仿宋" w:hAnsi="仿宋" w:eastAsia="仿宋" w:cs="仿宋"/>
          <w:spacing w:val="-3"/>
          <w:sz w:val="24"/>
          <w:szCs w:val="24"/>
        </w:rPr>
        <w:t>承担相应责任。</w:t>
      </w:r>
    </w:p>
    <w:p w14:paraId="0EA6CAC8">
      <w:pPr>
        <w:spacing w:before="66" w:line="222" w:lineRule="auto"/>
        <w:ind w:left="80"/>
        <w:outlineLvl w:val="1"/>
        <w:rPr>
          <w:rFonts w:ascii="仿宋" w:hAnsi="仿宋" w:eastAsia="仿宋" w:cs="仿宋"/>
          <w:sz w:val="24"/>
          <w:szCs w:val="24"/>
        </w:rPr>
      </w:pPr>
      <w:bookmarkStart w:id="52" w:name="_Toc32760"/>
      <w:r>
        <w:rPr>
          <w:rFonts w:ascii="仿宋" w:hAnsi="仿宋" w:eastAsia="仿宋" w:cs="仿宋"/>
          <w:b/>
          <w:bCs/>
          <w:spacing w:val="-10"/>
          <w:sz w:val="24"/>
          <w:szCs w:val="24"/>
        </w:rPr>
        <w:t>13.投标有效期</w:t>
      </w:r>
      <w:bookmarkEnd w:id="52"/>
    </w:p>
    <w:p w14:paraId="27322BF2">
      <w:pPr>
        <w:spacing w:before="179" w:line="343" w:lineRule="auto"/>
        <w:ind w:left="14" w:right="185" w:firstLine="491"/>
        <w:rPr>
          <w:rFonts w:ascii="仿宋" w:hAnsi="仿宋" w:eastAsia="仿宋" w:cs="仿宋"/>
          <w:sz w:val="24"/>
          <w:szCs w:val="24"/>
        </w:rPr>
      </w:pPr>
      <w:r>
        <w:rPr>
          <w:rFonts w:ascii="仿宋" w:hAnsi="仿宋" w:eastAsia="仿宋" w:cs="仿宋"/>
          <w:spacing w:val="-1"/>
          <w:sz w:val="24"/>
          <w:szCs w:val="24"/>
        </w:rPr>
        <w:t>13.1投标应在供应商须知资料表中规定时间内保持有效。投标有效期不满</w:t>
      </w:r>
      <w:r>
        <w:rPr>
          <w:rFonts w:ascii="仿宋" w:hAnsi="仿宋" w:eastAsia="仿宋" w:cs="仿宋"/>
          <w:spacing w:val="6"/>
          <w:sz w:val="24"/>
          <w:szCs w:val="24"/>
        </w:rPr>
        <w:t xml:space="preserve"> </w:t>
      </w:r>
      <w:r>
        <w:rPr>
          <w:rFonts w:ascii="仿宋" w:hAnsi="仿宋" w:eastAsia="仿宋" w:cs="仿宋"/>
          <w:spacing w:val="-2"/>
          <w:sz w:val="24"/>
          <w:szCs w:val="24"/>
        </w:rPr>
        <w:t>足要求的投标，其投标将被认定为</w:t>
      </w:r>
      <w:r>
        <w:rPr>
          <w:rFonts w:ascii="仿宋" w:hAnsi="仿宋" w:eastAsia="仿宋" w:cs="仿宋"/>
          <w:b/>
          <w:bCs/>
          <w:spacing w:val="-2"/>
          <w:sz w:val="24"/>
          <w:szCs w:val="24"/>
        </w:rPr>
        <w:t>投标无效</w:t>
      </w:r>
      <w:r>
        <w:rPr>
          <w:rFonts w:ascii="仿宋" w:hAnsi="仿宋" w:eastAsia="仿宋" w:cs="仿宋"/>
          <w:spacing w:val="-2"/>
          <w:sz w:val="24"/>
          <w:szCs w:val="24"/>
        </w:rPr>
        <w:t>。</w:t>
      </w:r>
    </w:p>
    <w:p w14:paraId="25B51EA4">
      <w:pPr>
        <w:spacing w:before="41" w:line="353" w:lineRule="auto"/>
        <w:ind w:left="16" w:firstLine="489"/>
        <w:rPr>
          <w:rFonts w:ascii="仿宋" w:hAnsi="仿宋" w:eastAsia="仿宋" w:cs="仿宋"/>
          <w:sz w:val="24"/>
          <w:szCs w:val="24"/>
        </w:rPr>
      </w:pPr>
      <w:r>
        <w:rPr>
          <w:rFonts w:ascii="仿宋" w:hAnsi="仿宋" w:eastAsia="仿宋" w:cs="仿宋"/>
          <w:spacing w:val="-2"/>
          <w:sz w:val="24"/>
          <w:szCs w:val="24"/>
        </w:rPr>
        <w:t>13.2为保证有充分时间签订合同，采购人或采购</w:t>
      </w:r>
      <w:r>
        <w:rPr>
          <w:rFonts w:ascii="仿宋" w:hAnsi="仿宋" w:eastAsia="仿宋" w:cs="仿宋"/>
          <w:spacing w:val="-3"/>
          <w:sz w:val="24"/>
          <w:szCs w:val="24"/>
        </w:rPr>
        <w:t>代理机构可根据实际情况，</w:t>
      </w:r>
      <w:r>
        <w:rPr>
          <w:rFonts w:ascii="仿宋" w:hAnsi="仿宋" w:eastAsia="仿宋" w:cs="仿宋"/>
          <w:sz w:val="24"/>
          <w:szCs w:val="24"/>
        </w:rPr>
        <w:t xml:space="preserve"> </w:t>
      </w:r>
      <w:r>
        <w:rPr>
          <w:rFonts w:ascii="仿宋" w:hAnsi="仿宋" w:eastAsia="仿宋" w:cs="仿宋"/>
          <w:spacing w:val="-1"/>
          <w:sz w:val="24"/>
          <w:szCs w:val="24"/>
        </w:rPr>
        <w:t>在原投标有效期截止之前，要求供应商延长投标文件的有效期。接受该要求的</w:t>
      </w:r>
      <w:r>
        <w:rPr>
          <w:rFonts w:ascii="仿宋" w:hAnsi="仿宋" w:eastAsia="仿宋" w:cs="仿宋"/>
          <w:spacing w:val="8"/>
          <w:sz w:val="24"/>
          <w:szCs w:val="24"/>
        </w:rPr>
        <w:t xml:space="preserve">  </w:t>
      </w:r>
      <w:r>
        <w:rPr>
          <w:rFonts w:ascii="仿宋" w:hAnsi="仿宋" w:eastAsia="仿宋" w:cs="仿宋"/>
          <w:spacing w:val="-1"/>
          <w:sz w:val="24"/>
          <w:szCs w:val="24"/>
        </w:rPr>
        <w:t>供应商将不会被要求和允许修正其投标，且本须知中有关投标保证金的要求须</w:t>
      </w:r>
      <w:r>
        <w:rPr>
          <w:rFonts w:ascii="仿宋" w:hAnsi="仿宋" w:eastAsia="仿宋" w:cs="仿宋"/>
          <w:spacing w:val="8"/>
          <w:sz w:val="24"/>
          <w:szCs w:val="24"/>
        </w:rPr>
        <w:t xml:space="preserve">  </w:t>
      </w:r>
      <w:r>
        <w:rPr>
          <w:rFonts w:ascii="仿宋" w:hAnsi="仿宋" w:eastAsia="仿宋" w:cs="仿宋"/>
          <w:spacing w:val="-1"/>
          <w:sz w:val="24"/>
          <w:szCs w:val="24"/>
        </w:rPr>
        <w:t>在延长的有效期内继续有效。供应商可以拒绝延长投标有效期的要求，其投标</w:t>
      </w:r>
      <w:r>
        <w:rPr>
          <w:rFonts w:ascii="仿宋" w:hAnsi="仿宋" w:eastAsia="仿宋" w:cs="仿宋"/>
          <w:spacing w:val="8"/>
          <w:sz w:val="24"/>
          <w:szCs w:val="24"/>
        </w:rPr>
        <w:t xml:space="preserve">  </w:t>
      </w:r>
      <w:r>
        <w:rPr>
          <w:rFonts w:ascii="仿宋" w:hAnsi="仿宋" w:eastAsia="仿宋" w:cs="仿宋"/>
          <w:spacing w:val="-1"/>
          <w:sz w:val="24"/>
          <w:szCs w:val="24"/>
        </w:rPr>
        <w:t>保证金将及时按规定无息退还。上述要求和答复都应以书面形式提交。</w:t>
      </w:r>
    </w:p>
    <w:p w14:paraId="65257C75">
      <w:pPr>
        <w:spacing w:before="61" w:line="222" w:lineRule="auto"/>
        <w:ind w:left="80"/>
        <w:outlineLvl w:val="1"/>
        <w:rPr>
          <w:rFonts w:ascii="仿宋" w:hAnsi="仿宋" w:eastAsia="仿宋" w:cs="仿宋"/>
          <w:sz w:val="24"/>
          <w:szCs w:val="24"/>
        </w:rPr>
      </w:pPr>
      <w:bookmarkStart w:id="53" w:name="_Toc7598"/>
      <w:r>
        <w:rPr>
          <w:rFonts w:ascii="仿宋" w:hAnsi="仿宋" w:eastAsia="仿宋" w:cs="仿宋"/>
          <w:b/>
          <w:bCs/>
          <w:spacing w:val="-8"/>
          <w:sz w:val="24"/>
          <w:szCs w:val="24"/>
        </w:rPr>
        <w:t>14.投标文件的签署及规定</w:t>
      </w:r>
      <w:bookmarkEnd w:id="53"/>
    </w:p>
    <w:p w14:paraId="55931884">
      <w:pPr>
        <w:spacing w:before="179" w:line="220" w:lineRule="auto"/>
        <w:ind w:left="505"/>
        <w:rPr>
          <w:rFonts w:ascii="仿宋" w:hAnsi="仿宋" w:eastAsia="仿宋" w:cs="仿宋"/>
          <w:sz w:val="24"/>
          <w:szCs w:val="24"/>
        </w:rPr>
      </w:pPr>
      <w:r>
        <w:rPr>
          <w:rFonts w:ascii="仿宋" w:hAnsi="仿宋" w:eastAsia="仿宋" w:cs="仿宋"/>
          <w:spacing w:val="-1"/>
          <w:sz w:val="24"/>
          <w:szCs w:val="24"/>
        </w:rPr>
        <w:t>14.1供应商应按供应商须知资料表中的规定，准备和上传投标文件。</w:t>
      </w:r>
    </w:p>
    <w:p w14:paraId="0AE0721A">
      <w:pPr>
        <w:spacing w:before="183" w:line="342" w:lineRule="auto"/>
        <w:ind w:left="14" w:right="159" w:firstLine="491"/>
        <w:rPr>
          <w:rFonts w:ascii="仿宋" w:hAnsi="仿宋" w:eastAsia="仿宋" w:cs="仿宋"/>
          <w:sz w:val="24"/>
          <w:szCs w:val="24"/>
        </w:rPr>
      </w:pPr>
      <w:r>
        <w:rPr>
          <w:rFonts w:ascii="仿宋" w:hAnsi="仿宋" w:eastAsia="仿宋" w:cs="仿宋"/>
          <w:spacing w:val="-2"/>
          <w:sz w:val="24"/>
          <w:szCs w:val="24"/>
        </w:rPr>
        <w:t>14.2</w:t>
      </w:r>
      <w:r>
        <w:rPr>
          <w:rFonts w:ascii="仿宋" w:hAnsi="仿宋" w:eastAsia="仿宋" w:cs="仿宋"/>
          <w:b/>
          <w:bCs/>
          <w:spacing w:val="-2"/>
          <w:sz w:val="24"/>
          <w:szCs w:val="24"/>
        </w:rPr>
        <w:t>投标文件由供应商的法定代表人或其委托代理人</w:t>
      </w:r>
      <w:r>
        <w:rPr>
          <w:rFonts w:ascii="仿宋" w:hAnsi="仿宋" w:eastAsia="仿宋" w:cs="仿宋"/>
          <w:b/>
          <w:bCs/>
          <w:spacing w:val="-3"/>
          <w:sz w:val="24"/>
          <w:szCs w:val="24"/>
        </w:rPr>
        <w:t>按采购文件规定在投</w:t>
      </w:r>
      <w:r>
        <w:rPr>
          <w:rFonts w:ascii="仿宋" w:hAnsi="仿宋" w:eastAsia="仿宋" w:cs="仿宋"/>
          <w:sz w:val="24"/>
          <w:szCs w:val="24"/>
        </w:rPr>
        <w:t xml:space="preserve"> </w:t>
      </w:r>
      <w:r>
        <w:rPr>
          <w:rFonts w:ascii="仿宋" w:hAnsi="仿宋" w:eastAsia="仿宋" w:cs="仿宋"/>
          <w:b/>
          <w:bCs/>
          <w:spacing w:val="-3"/>
          <w:sz w:val="24"/>
          <w:szCs w:val="24"/>
        </w:rPr>
        <w:t>标文件上签字并加盖单位印章。</w:t>
      </w:r>
    </w:p>
    <w:p w14:paraId="0A168615">
      <w:pPr>
        <w:spacing w:before="140" w:line="223" w:lineRule="auto"/>
        <w:ind w:left="3180"/>
        <w:outlineLvl w:val="2"/>
        <w:rPr>
          <w:rFonts w:ascii="仿宋" w:hAnsi="仿宋" w:eastAsia="仿宋" w:cs="仿宋"/>
          <w:sz w:val="28"/>
          <w:szCs w:val="28"/>
        </w:rPr>
      </w:pPr>
      <w:bookmarkStart w:id="54" w:name="bookmark27"/>
      <w:bookmarkEnd w:id="54"/>
      <w:bookmarkStart w:id="55" w:name="_Toc20985"/>
      <w:r>
        <w:rPr>
          <w:rFonts w:ascii="仿宋" w:hAnsi="仿宋" w:eastAsia="仿宋" w:cs="仿宋"/>
          <w:b/>
          <w:bCs/>
          <w:spacing w:val="-14"/>
          <w:sz w:val="28"/>
          <w:szCs w:val="28"/>
        </w:rPr>
        <w:t>四</w:t>
      </w:r>
      <w:r>
        <w:rPr>
          <w:rFonts w:ascii="仿宋" w:hAnsi="仿宋" w:eastAsia="仿宋" w:cs="仿宋"/>
          <w:spacing w:val="-14"/>
          <w:sz w:val="28"/>
          <w:szCs w:val="28"/>
        </w:rPr>
        <w:t xml:space="preserve"> </w:t>
      </w:r>
      <w:r>
        <w:rPr>
          <w:rFonts w:ascii="仿宋" w:hAnsi="仿宋" w:eastAsia="仿宋" w:cs="仿宋"/>
          <w:b/>
          <w:bCs/>
          <w:spacing w:val="-14"/>
          <w:sz w:val="28"/>
          <w:szCs w:val="28"/>
        </w:rPr>
        <w:t>投标文件的递交</w:t>
      </w:r>
      <w:bookmarkEnd w:id="55"/>
    </w:p>
    <w:p w14:paraId="6049375B">
      <w:pPr>
        <w:spacing w:before="277" w:line="222" w:lineRule="auto"/>
        <w:ind w:left="80"/>
        <w:outlineLvl w:val="1"/>
        <w:rPr>
          <w:rFonts w:ascii="仿宋" w:hAnsi="仿宋" w:eastAsia="仿宋" w:cs="仿宋"/>
          <w:sz w:val="24"/>
          <w:szCs w:val="24"/>
        </w:rPr>
      </w:pPr>
      <w:bookmarkStart w:id="56" w:name="_Toc25602"/>
      <w:r>
        <w:rPr>
          <w:rFonts w:ascii="仿宋" w:hAnsi="仿宋" w:eastAsia="仿宋" w:cs="仿宋"/>
          <w:b/>
          <w:bCs/>
          <w:spacing w:val="-9"/>
          <w:sz w:val="24"/>
          <w:szCs w:val="24"/>
        </w:rPr>
        <w:t>15.投标文件的编制</w:t>
      </w:r>
      <w:bookmarkEnd w:id="56"/>
    </w:p>
    <w:p w14:paraId="6E3104BF">
      <w:pPr>
        <w:spacing w:before="205" w:line="222" w:lineRule="auto"/>
        <w:ind w:left="551"/>
        <w:rPr>
          <w:rFonts w:ascii="仿宋" w:hAnsi="仿宋" w:eastAsia="仿宋" w:cs="仿宋"/>
          <w:sz w:val="24"/>
          <w:szCs w:val="24"/>
        </w:rPr>
      </w:pPr>
      <w:r>
        <w:rPr>
          <w:rFonts w:ascii="仿宋" w:hAnsi="仿宋" w:eastAsia="仿宋" w:cs="仿宋"/>
          <w:spacing w:val="-4"/>
          <w:sz w:val="24"/>
          <w:szCs w:val="24"/>
        </w:rPr>
        <w:t>15.1投标文件三部分内容分别拟编。</w:t>
      </w:r>
    </w:p>
    <w:p w14:paraId="6854DFB2">
      <w:pPr>
        <w:spacing w:before="200" w:line="221" w:lineRule="auto"/>
        <w:ind w:left="556"/>
        <w:rPr>
          <w:rFonts w:ascii="仿宋" w:hAnsi="仿宋" w:eastAsia="仿宋" w:cs="仿宋"/>
          <w:sz w:val="24"/>
          <w:szCs w:val="24"/>
        </w:rPr>
      </w:pPr>
      <w:r>
        <w:rPr>
          <w:rFonts w:ascii="仿宋" w:hAnsi="仿宋" w:eastAsia="仿宋" w:cs="仿宋"/>
          <w:spacing w:val="-2"/>
          <w:sz w:val="24"/>
          <w:szCs w:val="24"/>
        </w:rPr>
        <w:t>15.2所有封面上均应：按照投标文件格式进行编</w:t>
      </w:r>
      <w:r>
        <w:rPr>
          <w:rFonts w:ascii="仿宋" w:hAnsi="仿宋" w:eastAsia="仿宋" w:cs="仿宋"/>
          <w:spacing w:val="-3"/>
          <w:sz w:val="24"/>
          <w:szCs w:val="24"/>
        </w:rPr>
        <w:t>制。</w:t>
      </w:r>
    </w:p>
    <w:p w14:paraId="5BDE71E7">
      <w:pPr>
        <w:spacing w:line="221" w:lineRule="auto"/>
        <w:rPr>
          <w:rFonts w:ascii="仿宋" w:hAnsi="仿宋" w:eastAsia="仿宋" w:cs="仿宋"/>
          <w:sz w:val="24"/>
          <w:szCs w:val="24"/>
        </w:rPr>
        <w:sectPr>
          <w:footerReference r:id="rId13" w:type="default"/>
          <w:pgSz w:w="11907" w:h="16840"/>
          <w:pgMar w:top="1418" w:right="1776" w:bottom="1204" w:left="1786" w:header="0" w:footer="1035" w:gutter="0"/>
          <w:pgNumType w:fmt="decimal"/>
          <w:cols w:space="720" w:num="1"/>
        </w:sectPr>
      </w:pPr>
    </w:p>
    <w:p w14:paraId="07384F9E">
      <w:pPr>
        <w:spacing w:before="48" w:line="222" w:lineRule="auto"/>
        <w:ind w:left="80"/>
        <w:rPr>
          <w:rFonts w:ascii="仿宋" w:hAnsi="仿宋" w:eastAsia="仿宋" w:cs="仿宋"/>
          <w:sz w:val="24"/>
          <w:szCs w:val="24"/>
        </w:rPr>
      </w:pPr>
      <w:r>
        <w:rPr>
          <w:rFonts w:ascii="仿宋" w:hAnsi="仿宋" w:eastAsia="仿宋" w:cs="仿宋"/>
          <w:spacing w:val="-2"/>
          <w:sz w:val="24"/>
          <w:szCs w:val="24"/>
        </w:rPr>
        <w:t>15.3如果供应商未按上述要求编制，其投标文件将被认定为</w:t>
      </w:r>
      <w:r>
        <w:rPr>
          <w:rFonts w:ascii="仿宋" w:hAnsi="仿宋" w:eastAsia="仿宋" w:cs="仿宋"/>
          <w:b/>
          <w:bCs/>
          <w:spacing w:val="-2"/>
          <w:sz w:val="24"/>
          <w:szCs w:val="24"/>
        </w:rPr>
        <w:t>投标</w:t>
      </w:r>
      <w:r>
        <w:rPr>
          <w:rFonts w:ascii="仿宋" w:hAnsi="仿宋" w:eastAsia="仿宋" w:cs="仿宋"/>
          <w:b/>
          <w:bCs/>
          <w:spacing w:val="-3"/>
          <w:sz w:val="24"/>
          <w:szCs w:val="24"/>
        </w:rPr>
        <w:t>无效。</w:t>
      </w:r>
    </w:p>
    <w:p w14:paraId="1ACDD2E0">
      <w:pPr>
        <w:spacing w:before="201" w:line="222" w:lineRule="auto"/>
        <w:ind w:left="80"/>
        <w:outlineLvl w:val="1"/>
        <w:rPr>
          <w:rFonts w:ascii="仿宋" w:hAnsi="仿宋" w:eastAsia="仿宋" w:cs="仿宋"/>
          <w:sz w:val="24"/>
          <w:szCs w:val="24"/>
        </w:rPr>
      </w:pPr>
      <w:bookmarkStart w:id="57" w:name="_Toc23444"/>
      <w:r>
        <w:rPr>
          <w:rFonts w:ascii="仿宋" w:hAnsi="仿宋" w:eastAsia="仿宋" w:cs="仿宋"/>
          <w:b/>
          <w:bCs/>
          <w:spacing w:val="-11"/>
          <w:sz w:val="24"/>
          <w:szCs w:val="24"/>
        </w:rPr>
        <w:t>16.投标截止</w:t>
      </w:r>
      <w:bookmarkEnd w:id="57"/>
    </w:p>
    <w:p w14:paraId="16CB601C">
      <w:pPr>
        <w:spacing w:before="178" w:line="343" w:lineRule="auto"/>
        <w:ind w:left="23" w:right="175" w:firstLine="482"/>
        <w:rPr>
          <w:rFonts w:ascii="仿宋" w:hAnsi="仿宋" w:eastAsia="仿宋" w:cs="仿宋"/>
          <w:sz w:val="24"/>
          <w:szCs w:val="24"/>
        </w:rPr>
      </w:pPr>
      <w:r>
        <w:rPr>
          <w:rFonts w:ascii="仿宋" w:hAnsi="仿宋" w:eastAsia="仿宋" w:cs="仿宋"/>
          <w:spacing w:val="-1"/>
          <w:sz w:val="24"/>
          <w:szCs w:val="24"/>
        </w:rPr>
        <w:t>16.1供应商应在供应商须知资料表中规定的截止时间前，将投标文件上传</w:t>
      </w:r>
      <w:r>
        <w:rPr>
          <w:rFonts w:ascii="仿宋" w:hAnsi="仿宋" w:eastAsia="仿宋" w:cs="仿宋"/>
          <w:spacing w:val="6"/>
          <w:sz w:val="24"/>
          <w:szCs w:val="24"/>
        </w:rPr>
        <w:t xml:space="preserve"> </w:t>
      </w:r>
      <w:r>
        <w:rPr>
          <w:rFonts w:ascii="仿宋" w:hAnsi="仿宋" w:eastAsia="仿宋" w:cs="仿宋"/>
          <w:spacing w:val="-2"/>
          <w:sz w:val="24"/>
          <w:szCs w:val="24"/>
        </w:rPr>
        <w:t>至招标公告中规定的平台中。</w:t>
      </w:r>
    </w:p>
    <w:p w14:paraId="41C703F4">
      <w:pPr>
        <w:spacing w:before="43" w:line="349" w:lineRule="auto"/>
        <w:ind w:left="16" w:right="175" w:firstLine="489"/>
        <w:jc w:val="both"/>
        <w:rPr>
          <w:rFonts w:ascii="仿宋" w:hAnsi="仿宋" w:eastAsia="仿宋" w:cs="仿宋"/>
          <w:sz w:val="24"/>
          <w:szCs w:val="24"/>
        </w:rPr>
      </w:pPr>
      <w:r>
        <w:rPr>
          <w:rFonts w:ascii="仿宋" w:hAnsi="仿宋" w:eastAsia="仿宋" w:cs="仿宋"/>
          <w:spacing w:val="-1"/>
          <w:sz w:val="24"/>
          <w:szCs w:val="24"/>
        </w:rPr>
        <w:t>16.2采购人和采购代理机构有权按本须知的规定，延迟投标截止时间。在</w:t>
      </w:r>
      <w:r>
        <w:rPr>
          <w:rFonts w:ascii="仿宋" w:hAnsi="仿宋" w:eastAsia="仿宋" w:cs="仿宋"/>
          <w:spacing w:val="6"/>
          <w:sz w:val="24"/>
          <w:szCs w:val="24"/>
        </w:rPr>
        <w:t xml:space="preserve"> </w:t>
      </w:r>
      <w:r>
        <w:rPr>
          <w:rFonts w:ascii="仿宋" w:hAnsi="仿宋" w:eastAsia="仿宋" w:cs="仿宋"/>
          <w:spacing w:val="-1"/>
          <w:sz w:val="24"/>
          <w:szCs w:val="24"/>
        </w:rPr>
        <w:t>此情况下，采购人、采购代理机构和供应商受投标截止时间制约的所有权利和</w:t>
      </w:r>
      <w:r>
        <w:rPr>
          <w:rFonts w:ascii="仿宋" w:hAnsi="仿宋" w:eastAsia="仿宋" w:cs="仿宋"/>
          <w:spacing w:val="16"/>
          <w:sz w:val="24"/>
          <w:szCs w:val="24"/>
        </w:rPr>
        <w:t xml:space="preserve"> </w:t>
      </w:r>
      <w:r>
        <w:rPr>
          <w:rFonts w:ascii="仿宋" w:hAnsi="仿宋" w:eastAsia="仿宋" w:cs="仿宋"/>
          <w:spacing w:val="-2"/>
          <w:sz w:val="24"/>
          <w:szCs w:val="24"/>
        </w:rPr>
        <w:t>义务均应延长至新的截止时间。</w:t>
      </w:r>
    </w:p>
    <w:p w14:paraId="7AC9DA9F">
      <w:pPr>
        <w:spacing w:before="39" w:line="342" w:lineRule="auto"/>
        <w:ind w:left="21" w:right="175" w:firstLine="484"/>
        <w:rPr>
          <w:rFonts w:ascii="仿宋" w:hAnsi="仿宋" w:eastAsia="仿宋" w:cs="仿宋"/>
          <w:sz w:val="24"/>
          <w:szCs w:val="24"/>
        </w:rPr>
      </w:pPr>
      <w:r>
        <w:rPr>
          <w:rFonts w:ascii="仿宋" w:hAnsi="仿宋" w:eastAsia="仿宋" w:cs="仿宋"/>
          <w:spacing w:val="-1"/>
          <w:sz w:val="24"/>
          <w:szCs w:val="24"/>
        </w:rPr>
        <w:t>16.3未按照公告时间内完成投标文件的上传，采购人和采购代理机构将拒</w:t>
      </w:r>
      <w:r>
        <w:rPr>
          <w:rFonts w:ascii="仿宋" w:hAnsi="仿宋" w:eastAsia="仿宋" w:cs="仿宋"/>
          <w:spacing w:val="6"/>
          <w:sz w:val="24"/>
          <w:szCs w:val="24"/>
        </w:rPr>
        <w:t xml:space="preserve"> </w:t>
      </w:r>
      <w:r>
        <w:rPr>
          <w:rFonts w:ascii="仿宋" w:hAnsi="仿宋" w:eastAsia="仿宋" w:cs="仿宋"/>
          <w:spacing w:val="-2"/>
          <w:sz w:val="24"/>
          <w:szCs w:val="24"/>
        </w:rPr>
        <w:t>绝接收在截止时间后的投标文件。</w:t>
      </w:r>
    </w:p>
    <w:p w14:paraId="11F36F3B">
      <w:pPr>
        <w:spacing w:before="67" w:line="222" w:lineRule="auto"/>
        <w:ind w:left="80"/>
        <w:outlineLvl w:val="1"/>
        <w:rPr>
          <w:rFonts w:ascii="仿宋" w:hAnsi="仿宋" w:eastAsia="仿宋" w:cs="仿宋"/>
          <w:sz w:val="24"/>
          <w:szCs w:val="24"/>
        </w:rPr>
      </w:pPr>
      <w:bookmarkStart w:id="58" w:name="_Toc31881"/>
      <w:r>
        <w:rPr>
          <w:rFonts w:ascii="仿宋" w:hAnsi="仿宋" w:eastAsia="仿宋" w:cs="仿宋"/>
          <w:b/>
          <w:bCs/>
          <w:spacing w:val="-8"/>
          <w:sz w:val="24"/>
          <w:szCs w:val="24"/>
        </w:rPr>
        <w:t>17.投标文件的接收、修改与撤回</w:t>
      </w:r>
      <w:bookmarkEnd w:id="58"/>
    </w:p>
    <w:p w14:paraId="24140BDC">
      <w:pPr>
        <w:spacing w:before="178" w:line="346" w:lineRule="auto"/>
        <w:ind w:left="28" w:right="175" w:firstLine="477"/>
        <w:rPr>
          <w:rFonts w:ascii="仿宋" w:hAnsi="仿宋" w:eastAsia="仿宋" w:cs="仿宋"/>
          <w:sz w:val="24"/>
          <w:szCs w:val="24"/>
        </w:rPr>
      </w:pPr>
      <w:r>
        <w:rPr>
          <w:rFonts w:ascii="仿宋" w:hAnsi="仿宋" w:eastAsia="仿宋" w:cs="仿宋"/>
          <w:spacing w:val="-1"/>
          <w:sz w:val="24"/>
          <w:szCs w:val="24"/>
        </w:rPr>
        <w:t>17.1在解密时间截止后解密投标文件的，采购人和采购代理机构将拒绝接</w:t>
      </w:r>
      <w:r>
        <w:rPr>
          <w:rFonts w:ascii="仿宋" w:hAnsi="仿宋" w:eastAsia="仿宋" w:cs="仿宋"/>
          <w:spacing w:val="6"/>
          <w:sz w:val="24"/>
          <w:szCs w:val="24"/>
        </w:rPr>
        <w:t xml:space="preserve"> </w:t>
      </w:r>
      <w:r>
        <w:rPr>
          <w:rFonts w:ascii="仿宋" w:hAnsi="仿宋" w:eastAsia="仿宋" w:cs="仿宋"/>
          <w:spacing w:val="-15"/>
          <w:sz w:val="24"/>
          <w:szCs w:val="24"/>
        </w:rPr>
        <w:t>收。</w:t>
      </w:r>
    </w:p>
    <w:p w14:paraId="068E659C">
      <w:pPr>
        <w:spacing w:before="35" w:line="345" w:lineRule="auto"/>
        <w:ind w:left="14" w:right="175" w:firstLine="491"/>
        <w:rPr>
          <w:rFonts w:ascii="仿宋" w:hAnsi="仿宋" w:eastAsia="仿宋" w:cs="仿宋"/>
          <w:sz w:val="24"/>
          <w:szCs w:val="24"/>
        </w:rPr>
      </w:pPr>
      <w:r>
        <w:rPr>
          <w:rFonts w:ascii="仿宋" w:hAnsi="仿宋" w:eastAsia="仿宋" w:cs="仿宋"/>
          <w:spacing w:val="-1"/>
          <w:sz w:val="24"/>
          <w:szCs w:val="24"/>
        </w:rPr>
        <w:t>17.2在投标截止期之后，采购人和采购代理机构不接受供应商主动对其投</w:t>
      </w:r>
      <w:r>
        <w:rPr>
          <w:rFonts w:ascii="仿宋" w:hAnsi="仿宋" w:eastAsia="仿宋" w:cs="仿宋"/>
          <w:spacing w:val="6"/>
          <w:sz w:val="24"/>
          <w:szCs w:val="24"/>
        </w:rPr>
        <w:t xml:space="preserve"> </w:t>
      </w:r>
      <w:r>
        <w:rPr>
          <w:rFonts w:ascii="仿宋" w:hAnsi="仿宋" w:eastAsia="仿宋" w:cs="仿宋"/>
          <w:spacing w:val="-2"/>
          <w:sz w:val="24"/>
          <w:szCs w:val="24"/>
        </w:rPr>
        <w:t>标文件做任何修改。</w:t>
      </w:r>
    </w:p>
    <w:p w14:paraId="7649A6FF">
      <w:pPr>
        <w:spacing w:before="135" w:line="223" w:lineRule="auto"/>
        <w:ind w:left="3152"/>
        <w:outlineLvl w:val="2"/>
        <w:rPr>
          <w:rFonts w:ascii="仿宋" w:hAnsi="仿宋" w:eastAsia="仿宋" w:cs="仿宋"/>
          <w:sz w:val="28"/>
          <w:szCs w:val="28"/>
        </w:rPr>
      </w:pPr>
      <w:bookmarkStart w:id="59" w:name="bookmark29"/>
      <w:bookmarkEnd w:id="59"/>
      <w:bookmarkStart w:id="60" w:name="_Toc4251"/>
      <w:r>
        <w:rPr>
          <w:rFonts w:ascii="仿宋" w:hAnsi="仿宋" w:eastAsia="仿宋" w:cs="仿宋"/>
          <w:b/>
          <w:bCs/>
          <w:spacing w:val="-11"/>
          <w:sz w:val="28"/>
          <w:szCs w:val="28"/>
        </w:rPr>
        <w:t>五</w:t>
      </w:r>
      <w:r>
        <w:rPr>
          <w:rFonts w:ascii="仿宋" w:hAnsi="仿宋" w:eastAsia="仿宋" w:cs="仿宋"/>
          <w:spacing w:val="-11"/>
          <w:sz w:val="28"/>
          <w:szCs w:val="28"/>
        </w:rPr>
        <w:t xml:space="preserve"> </w:t>
      </w:r>
      <w:r>
        <w:rPr>
          <w:rFonts w:ascii="仿宋" w:hAnsi="仿宋" w:eastAsia="仿宋" w:cs="仿宋"/>
          <w:b/>
          <w:bCs/>
          <w:spacing w:val="-11"/>
          <w:sz w:val="28"/>
          <w:szCs w:val="28"/>
        </w:rPr>
        <w:t>开标及评标</w:t>
      </w:r>
      <w:bookmarkEnd w:id="60"/>
    </w:p>
    <w:p w14:paraId="202A4F5B">
      <w:pPr>
        <w:pStyle w:val="33"/>
        <w:spacing w:line="360" w:lineRule="auto"/>
        <w:jc w:val="left"/>
        <w:rPr>
          <w:rFonts w:ascii="仿宋" w:hAnsi="仿宋" w:eastAsia="仿宋" w:cs="仿宋"/>
          <w:b/>
          <w:bCs/>
          <w:spacing w:val="-13"/>
          <w:sz w:val="24"/>
          <w:szCs w:val="24"/>
        </w:rPr>
      </w:pPr>
      <w:bookmarkStart w:id="61" w:name="_Toc1477"/>
    </w:p>
    <w:p w14:paraId="583498D9">
      <w:pPr>
        <w:pStyle w:val="33"/>
        <w:spacing w:line="360" w:lineRule="auto"/>
        <w:jc w:val="left"/>
        <w:rPr>
          <w:rFonts w:hint="eastAsia" w:ascii="宋体" w:hAnsi="宋体"/>
          <w:color w:val="auto"/>
          <w:sz w:val="24"/>
          <w:highlight w:val="none"/>
        </w:rPr>
      </w:pPr>
      <w:r>
        <w:rPr>
          <w:rFonts w:ascii="仿宋" w:hAnsi="仿宋" w:eastAsia="仿宋" w:cs="仿宋"/>
          <w:b/>
          <w:bCs/>
          <w:spacing w:val="-13"/>
          <w:sz w:val="24"/>
          <w:szCs w:val="24"/>
        </w:rPr>
        <w:t>18.开标</w:t>
      </w:r>
      <w:bookmarkEnd w:id="61"/>
      <w:r>
        <w:rPr>
          <w:rFonts w:hint="eastAsia" w:ascii="仿宋" w:hAnsi="仿宋" w:eastAsia="仿宋" w:cs="仿宋"/>
          <w:b/>
          <w:bCs/>
          <w:spacing w:val="-13"/>
          <w:sz w:val="24"/>
          <w:szCs w:val="24"/>
          <w:lang w:eastAsia="zh-CN"/>
        </w:rPr>
        <w:t>：</w:t>
      </w:r>
      <w:r>
        <w:rPr>
          <w:rFonts w:hint="eastAsia" w:ascii="仿宋" w:hAnsi="仿宋" w:eastAsia="仿宋" w:cs="仿宋"/>
          <w:b/>
          <w:bCs/>
          <w:spacing w:val="-13"/>
          <w:sz w:val="24"/>
          <w:szCs w:val="24"/>
        </w:rPr>
        <w:t>本项目采用不见面开标方式</w:t>
      </w:r>
    </w:p>
    <w:p w14:paraId="1CEC1869">
      <w:pPr>
        <w:spacing w:before="180" w:line="343" w:lineRule="auto"/>
        <w:ind w:left="28" w:right="175" w:firstLine="477"/>
        <w:rPr>
          <w:rFonts w:ascii="仿宋" w:hAnsi="仿宋" w:eastAsia="仿宋" w:cs="仿宋"/>
          <w:sz w:val="24"/>
          <w:szCs w:val="24"/>
        </w:rPr>
      </w:pPr>
      <w:r>
        <w:rPr>
          <w:rFonts w:ascii="仿宋" w:hAnsi="仿宋" w:eastAsia="仿宋" w:cs="仿宋"/>
          <w:spacing w:val="-1"/>
          <w:sz w:val="24"/>
          <w:szCs w:val="24"/>
        </w:rPr>
        <w:t>18.1采购人和采购代理机构将按供应商须知资料表中规定的开标时间和地</w:t>
      </w:r>
      <w:r>
        <w:rPr>
          <w:rFonts w:ascii="仿宋" w:hAnsi="仿宋" w:eastAsia="仿宋" w:cs="仿宋"/>
          <w:spacing w:val="6"/>
          <w:sz w:val="24"/>
          <w:szCs w:val="24"/>
        </w:rPr>
        <w:t xml:space="preserve"> </w:t>
      </w:r>
      <w:r>
        <w:rPr>
          <w:rFonts w:ascii="仿宋" w:hAnsi="仿宋" w:eastAsia="仿宋" w:cs="仿宋"/>
          <w:spacing w:val="-2"/>
          <w:sz w:val="24"/>
          <w:szCs w:val="24"/>
        </w:rPr>
        <w:t>点组织公开开标活动。供应商不足3家的，不得开标。</w:t>
      </w:r>
    </w:p>
    <w:p w14:paraId="784EF155">
      <w:pPr>
        <w:spacing w:before="41" w:line="345" w:lineRule="auto"/>
        <w:ind w:left="17" w:right="212" w:firstLine="488"/>
        <w:rPr>
          <w:rFonts w:ascii="仿宋" w:hAnsi="仿宋" w:eastAsia="仿宋" w:cs="仿宋"/>
          <w:sz w:val="24"/>
          <w:szCs w:val="24"/>
        </w:rPr>
      </w:pPr>
      <w:r>
        <w:rPr>
          <w:rFonts w:ascii="仿宋" w:hAnsi="仿宋" w:eastAsia="仿宋" w:cs="仿宋"/>
          <w:spacing w:val="-2"/>
          <w:sz w:val="24"/>
          <w:szCs w:val="24"/>
        </w:rPr>
        <w:t>18.2开标时，由采购人或采购代理机构当众宣读供应商名称、投标价格。</w:t>
      </w:r>
      <w:r>
        <w:rPr>
          <w:rFonts w:ascii="仿宋" w:hAnsi="仿宋" w:eastAsia="仿宋" w:cs="仿宋"/>
          <w:spacing w:val="3"/>
          <w:sz w:val="24"/>
          <w:szCs w:val="24"/>
        </w:rPr>
        <w:t xml:space="preserve"> </w:t>
      </w:r>
      <w:r>
        <w:rPr>
          <w:rFonts w:ascii="仿宋" w:hAnsi="仿宋" w:eastAsia="仿宋" w:cs="仿宋"/>
          <w:spacing w:val="-1"/>
          <w:sz w:val="24"/>
          <w:szCs w:val="24"/>
        </w:rPr>
        <w:t>未宣读投标价格等实质内容，评标时不予承认。</w:t>
      </w:r>
    </w:p>
    <w:p w14:paraId="75437C88">
      <w:pPr>
        <w:spacing w:before="36" w:line="344" w:lineRule="auto"/>
        <w:ind w:left="20" w:right="175" w:firstLine="485"/>
        <w:rPr>
          <w:rFonts w:ascii="仿宋" w:hAnsi="仿宋" w:eastAsia="仿宋" w:cs="仿宋"/>
          <w:sz w:val="24"/>
          <w:szCs w:val="24"/>
        </w:rPr>
      </w:pPr>
      <w:r>
        <w:rPr>
          <w:rFonts w:ascii="仿宋" w:hAnsi="仿宋" w:eastAsia="仿宋" w:cs="仿宋"/>
          <w:spacing w:val="-1"/>
          <w:sz w:val="24"/>
          <w:szCs w:val="24"/>
        </w:rPr>
        <w:t>18.3采购人或采购代理机构将对开标过程进行记录，由参加开标的采购人</w:t>
      </w:r>
      <w:r>
        <w:rPr>
          <w:rFonts w:ascii="仿宋" w:hAnsi="仿宋" w:eastAsia="仿宋" w:cs="仿宋"/>
          <w:spacing w:val="6"/>
          <w:sz w:val="24"/>
          <w:szCs w:val="24"/>
        </w:rPr>
        <w:t xml:space="preserve"> </w:t>
      </w:r>
      <w:r>
        <w:rPr>
          <w:rFonts w:ascii="仿宋" w:hAnsi="仿宋" w:eastAsia="仿宋" w:cs="仿宋"/>
          <w:spacing w:val="-1"/>
          <w:sz w:val="24"/>
          <w:szCs w:val="24"/>
        </w:rPr>
        <w:t>代表或监督人员和相关工作人员签字确认，并存档备查。</w:t>
      </w:r>
    </w:p>
    <w:p w14:paraId="18A86EDC">
      <w:pPr>
        <w:spacing w:before="40" w:line="219" w:lineRule="auto"/>
        <w:ind w:left="505"/>
        <w:outlineLvl w:val="2"/>
        <w:rPr>
          <w:rFonts w:ascii="仿宋" w:hAnsi="仿宋" w:eastAsia="仿宋" w:cs="仿宋"/>
          <w:sz w:val="24"/>
          <w:szCs w:val="24"/>
        </w:rPr>
      </w:pPr>
      <w:bookmarkStart w:id="62" w:name="_Toc3990"/>
      <w:r>
        <w:rPr>
          <w:rFonts w:ascii="仿宋" w:hAnsi="仿宋" w:eastAsia="仿宋" w:cs="仿宋"/>
          <w:spacing w:val="-1"/>
          <w:sz w:val="24"/>
          <w:szCs w:val="24"/>
        </w:rPr>
        <w:t>18.4供应商代表对开标记录有疑义，应在线上提出询问。</w:t>
      </w:r>
      <w:bookmarkEnd w:id="62"/>
    </w:p>
    <w:p w14:paraId="267740DE">
      <w:pPr>
        <w:spacing w:before="209" w:line="222" w:lineRule="auto"/>
        <w:ind w:left="80"/>
        <w:outlineLvl w:val="1"/>
        <w:rPr>
          <w:rFonts w:ascii="仿宋" w:hAnsi="仿宋" w:eastAsia="仿宋" w:cs="仿宋"/>
          <w:sz w:val="24"/>
          <w:szCs w:val="24"/>
        </w:rPr>
      </w:pPr>
      <w:bookmarkStart w:id="63" w:name="_Toc32233"/>
      <w:r>
        <w:rPr>
          <w:rFonts w:ascii="仿宋" w:hAnsi="仿宋" w:eastAsia="仿宋" w:cs="仿宋"/>
          <w:b/>
          <w:bCs/>
          <w:spacing w:val="-8"/>
          <w:sz w:val="24"/>
          <w:szCs w:val="24"/>
        </w:rPr>
        <w:t>19.资格审查及组建评标委员会</w:t>
      </w:r>
      <w:bookmarkEnd w:id="63"/>
    </w:p>
    <w:p w14:paraId="12ECD57D">
      <w:pPr>
        <w:spacing w:before="178" w:line="350" w:lineRule="auto"/>
        <w:ind w:left="17" w:right="175" w:firstLine="488"/>
        <w:jc w:val="both"/>
        <w:rPr>
          <w:rFonts w:ascii="仿宋" w:hAnsi="仿宋" w:eastAsia="仿宋" w:cs="仿宋"/>
          <w:sz w:val="24"/>
          <w:szCs w:val="24"/>
        </w:rPr>
      </w:pPr>
      <w:r>
        <w:rPr>
          <w:rFonts w:ascii="仿宋" w:hAnsi="仿宋" w:eastAsia="仿宋" w:cs="仿宋"/>
          <w:spacing w:val="-1"/>
          <w:sz w:val="24"/>
          <w:szCs w:val="24"/>
        </w:rPr>
        <w:t>19.1评标委员会依据法律法规和采购文件中规定的内容，对供应商的资格</w:t>
      </w:r>
      <w:r>
        <w:rPr>
          <w:rFonts w:ascii="仿宋" w:hAnsi="仿宋" w:eastAsia="仿宋" w:cs="仿宋"/>
          <w:spacing w:val="6"/>
          <w:sz w:val="24"/>
          <w:szCs w:val="24"/>
        </w:rPr>
        <w:t xml:space="preserve"> </w:t>
      </w:r>
      <w:r>
        <w:rPr>
          <w:rFonts w:ascii="仿宋" w:hAnsi="仿宋" w:eastAsia="仿宋" w:cs="仿宋"/>
          <w:spacing w:val="-1"/>
          <w:sz w:val="24"/>
          <w:szCs w:val="24"/>
        </w:rPr>
        <w:t>进行审查。未通过资格审查的供应商不进入评标，通过资格审查的供应商不足</w:t>
      </w:r>
      <w:r>
        <w:rPr>
          <w:rFonts w:ascii="仿宋" w:hAnsi="仿宋" w:eastAsia="仿宋" w:cs="仿宋"/>
          <w:spacing w:val="15"/>
          <w:sz w:val="24"/>
          <w:szCs w:val="24"/>
        </w:rPr>
        <w:t xml:space="preserve"> </w:t>
      </w:r>
      <w:r>
        <w:rPr>
          <w:rFonts w:ascii="仿宋" w:hAnsi="仿宋" w:eastAsia="仿宋" w:cs="仿宋"/>
          <w:spacing w:val="-2"/>
          <w:sz w:val="24"/>
          <w:szCs w:val="24"/>
        </w:rPr>
        <w:t>三家的，不得评标。</w:t>
      </w:r>
    </w:p>
    <w:p w14:paraId="382F74F0">
      <w:pPr>
        <w:spacing w:line="350" w:lineRule="auto"/>
        <w:rPr>
          <w:rFonts w:ascii="仿宋" w:hAnsi="仿宋" w:eastAsia="仿宋" w:cs="仿宋"/>
          <w:sz w:val="24"/>
          <w:szCs w:val="24"/>
        </w:rPr>
        <w:sectPr>
          <w:footerReference r:id="rId14" w:type="default"/>
          <w:pgSz w:w="11907" w:h="16840"/>
          <w:pgMar w:top="1418" w:right="1786" w:bottom="1204" w:left="1786" w:header="0" w:footer="1035" w:gutter="0"/>
          <w:pgNumType w:fmt="decimal"/>
          <w:cols w:space="720" w:num="1"/>
        </w:sectPr>
      </w:pPr>
    </w:p>
    <w:p w14:paraId="13BE7011">
      <w:pPr>
        <w:spacing w:before="50" w:line="348" w:lineRule="auto"/>
        <w:ind w:left="14" w:right="203" w:firstLine="491"/>
        <w:jc w:val="both"/>
        <w:rPr>
          <w:rFonts w:ascii="仿宋" w:hAnsi="仿宋" w:eastAsia="仿宋" w:cs="仿宋"/>
          <w:sz w:val="24"/>
          <w:szCs w:val="24"/>
        </w:rPr>
      </w:pPr>
      <w:r>
        <w:rPr>
          <w:rFonts w:ascii="仿宋" w:hAnsi="仿宋" w:eastAsia="仿宋" w:cs="仿宋"/>
          <w:spacing w:val="-1"/>
          <w:sz w:val="24"/>
          <w:szCs w:val="24"/>
        </w:rPr>
        <w:t>19.2采购人或采购代理机构将在开标前1个工作日至投标截止后1小时的期</w:t>
      </w:r>
      <w:r>
        <w:rPr>
          <w:rFonts w:ascii="仿宋" w:hAnsi="仿宋" w:eastAsia="仿宋" w:cs="仿宋"/>
          <w:spacing w:val="7"/>
          <w:sz w:val="24"/>
          <w:szCs w:val="24"/>
        </w:rPr>
        <w:t xml:space="preserve"> </w:t>
      </w:r>
      <w:r>
        <w:rPr>
          <w:rFonts w:ascii="仿宋" w:hAnsi="仿宋" w:eastAsia="仿宋" w:cs="仿宋"/>
          <w:spacing w:val="-1"/>
          <w:sz w:val="24"/>
          <w:szCs w:val="24"/>
        </w:rPr>
        <w:t>间内查询供应商的信用记录。供应商存在不良信用记录的，其投标将被认定为</w:t>
      </w:r>
      <w:r>
        <w:rPr>
          <w:rFonts w:ascii="仿宋" w:hAnsi="仿宋" w:eastAsia="仿宋" w:cs="仿宋"/>
          <w:spacing w:val="17"/>
          <w:sz w:val="24"/>
          <w:szCs w:val="24"/>
        </w:rPr>
        <w:t xml:space="preserve"> </w:t>
      </w:r>
      <w:r>
        <w:rPr>
          <w:rFonts w:ascii="仿宋" w:hAnsi="仿宋" w:eastAsia="仿宋" w:cs="仿宋"/>
          <w:spacing w:val="-4"/>
          <w:sz w:val="24"/>
          <w:szCs w:val="24"/>
        </w:rPr>
        <w:t>投标无效。</w:t>
      </w:r>
    </w:p>
    <w:p w14:paraId="6577FEDA">
      <w:pPr>
        <w:spacing w:before="43" w:line="354" w:lineRule="auto"/>
        <w:ind w:left="16" w:right="83" w:firstLine="489"/>
        <w:jc w:val="both"/>
        <w:rPr>
          <w:rFonts w:ascii="仿宋" w:hAnsi="仿宋" w:eastAsia="仿宋" w:cs="仿宋"/>
          <w:sz w:val="24"/>
          <w:szCs w:val="24"/>
        </w:rPr>
      </w:pPr>
      <w:r>
        <w:rPr>
          <w:rFonts w:ascii="仿宋" w:hAnsi="仿宋" w:eastAsia="仿宋" w:cs="仿宋"/>
          <w:spacing w:val="-1"/>
          <w:sz w:val="24"/>
          <w:szCs w:val="24"/>
        </w:rPr>
        <w:t>19.2.1不良信用记录指：符合《中华人民共和国政府采购法》第二十二条</w:t>
      </w:r>
      <w:r>
        <w:rPr>
          <w:rFonts w:ascii="仿宋" w:hAnsi="仿宋" w:eastAsia="仿宋" w:cs="仿宋"/>
          <w:spacing w:val="3"/>
          <w:sz w:val="24"/>
          <w:szCs w:val="24"/>
        </w:rPr>
        <w:t xml:space="preserve">  </w:t>
      </w:r>
      <w:r>
        <w:rPr>
          <w:rFonts w:ascii="仿宋" w:hAnsi="仿宋" w:eastAsia="仿宋" w:cs="仿宋"/>
          <w:spacing w:val="-1"/>
          <w:sz w:val="24"/>
          <w:szCs w:val="24"/>
        </w:rPr>
        <w:t>的规定,且必须为未被列入“信用中国</w:t>
      </w:r>
      <w:r>
        <w:rPr>
          <w:rFonts w:ascii="仿宋" w:hAnsi="仿宋" w:eastAsia="仿宋" w:cs="仿宋"/>
          <w:spacing w:val="-88"/>
          <w:sz w:val="24"/>
          <w:szCs w:val="24"/>
        </w:rPr>
        <w:t xml:space="preserve"> </w:t>
      </w:r>
      <w:r>
        <w:rPr>
          <w:rFonts w:ascii="仿宋" w:hAnsi="仿宋" w:eastAsia="仿宋" w:cs="仿宋"/>
          <w:spacing w:val="-1"/>
          <w:sz w:val="24"/>
          <w:szCs w:val="24"/>
        </w:rPr>
        <w:t>”网站(www.creditchina.gov.cn)</w:t>
      </w:r>
      <w:r>
        <w:rPr>
          <w:rFonts w:ascii="仿宋" w:hAnsi="仿宋" w:eastAsia="仿宋" w:cs="仿宋"/>
          <w:spacing w:val="-2"/>
          <w:sz w:val="24"/>
          <w:szCs w:val="24"/>
        </w:rPr>
        <w:t>、中国</w:t>
      </w:r>
      <w:r>
        <w:rPr>
          <w:rFonts w:ascii="仿宋" w:hAnsi="仿宋" w:eastAsia="仿宋" w:cs="仿宋"/>
          <w:sz w:val="24"/>
          <w:szCs w:val="24"/>
        </w:rPr>
        <w:t xml:space="preserve"> 政府采购网(www.ccgp.gov.cn)渠道信</w:t>
      </w:r>
      <w:r>
        <w:rPr>
          <w:rFonts w:ascii="仿宋" w:hAnsi="仿宋" w:eastAsia="仿宋" w:cs="仿宋"/>
          <w:spacing w:val="-1"/>
          <w:sz w:val="24"/>
          <w:szCs w:val="24"/>
        </w:rPr>
        <w:t>用记录失信被执行人、重大税收违法案件</w:t>
      </w:r>
      <w:r>
        <w:rPr>
          <w:rFonts w:ascii="仿宋" w:hAnsi="仿宋" w:eastAsia="仿宋" w:cs="仿宋"/>
          <w:sz w:val="24"/>
          <w:szCs w:val="24"/>
        </w:rPr>
        <w:t xml:space="preserve"> </w:t>
      </w:r>
      <w:r>
        <w:rPr>
          <w:rFonts w:ascii="仿宋" w:hAnsi="仿宋" w:eastAsia="仿宋" w:cs="仿宋"/>
          <w:spacing w:val="-1"/>
          <w:sz w:val="24"/>
          <w:szCs w:val="24"/>
        </w:rPr>
        <w:t>当事人名单、政府采购严重违法失信行为记录名单的供应商，国家企业公示信</w:t>
      </w:r>
      <w:r>
        <w:rPr>
          <w:rFonts w:ascii="仿宋" w:hAnsi="仿宋" w:eastAsia="仿宋" w:cs="仿宋"/>
          <w:spacing w:val="8"/>
          <w:sz w:val="24"/>
          <w:szCs w:val="24"/>
        </w:rPr>
        <w:t xml:space="preserve">  </w:t>
      </w:r>
      <w:r>
        <w:rPr>
          <w:rFonts w:ascii="仿宋" w:hAnsi="仿宋" w:eastAsia="仿宋" w:cs="仿宋"/>
          <w:sz w:val="24"/>
          <w:szCs w:val="24"/>
        </w:rPr>
        <w:t>息系统（www.gsxt.gov.cn）查询诚信</w:t>
      </w:r>
      <w:r>
        <w:rPr>
          <w:rFonts w:ascii="仿宋" w:hAnsi="仿宋" w:eastAsia="仿宋" w:cs="仿宋"/>
          <w:spacing w:val="-1"/>
          <w:sz w:val="24"/>
          <w:szCs w:val="24"/>
        </w:rPr>
        <w:t>记录如有严重行政处罚信息不得参加本项</w:t>
      </w:r>
      <w:r>
        <w:rPr>
          <w:rFonts w:ascii="仿宋" w:hAnsi="仿宋" w:eastAsia="仿宋" w:cs="仿宋"/>
          <w:sz w:val="24"/>
          <w:szCs w:val="24"/>
        </w:rPr>
        <w:t xml:space="preserve"> </w:t>
      </w:r>
      <w:r>
        <w:rPr>
          <w:rFonts w:ascii="仿宋" w:hAnsi="仿宋" w:eastAsia="仿宋" w:cs="仿宋"/>
          <w:spacing w:val="-1"/>
          <w:sz w:val="24"/>
          <w:szCs w:val="24"/>
        </w:rPr>
        <w:t>目（查询结果以代理公司开标现场核查为准）</w:t>
      </w:r>
    </w:p>
    <w:p w14:paraId="6E927B84">
      <w:pPr>
        <w:spacing w:before="36" w:line="345" w:lineRule="auto"/>
        <w:ind w:left="22" w:right="203" w:firstLine="497"/>
        <w:rPr>
          <w:rFonts w:ascii="仿宋" w:hAnsi="仿宋" w:eastAsia="仿宋" w:cs="仿宋"/>
          <w:sz w:val="24"/>
          <w:szCs w:val="24"/>
        </w:rPr>
      </w:pPr>
      <w:r>
        <w:rPr>
          <w:rFonts w:ascii="仿宋" w:hAnsi="仿宋" w:eastAsia="仿宋" w:cs="仿宋"/>
          <w:spacing w:val="-1"/>
          <w:sz w:val="24"/>
          <w:szCs w:val="24"/>
        </w:rPr>
        <w:t>以联合体形式参加投标的，联合体任何成员存在以</w:t>
      </w:r>
      <w:r>
        <w:rPr>
          <w:rFonts w:ascii="仿宋" w:hAnsi="仿宋" w:eastAsia="仿宋" w:cs="仿宋"/>
          <w:spacing w:val="-2"/>
          <w:sz w:val="24"/>
          <w:szCs w:val="24"/>
        </w:rPr>
        <w:t>上不良信用记录的，联</w:t>
      </w:r>
      <w:r>
        <w:rPr>
          <w:rFonts w:ascii="仿宋" w:hAnsi="仿宋" w:eastAsia="仿宋" w:cs="仿宋"/>
          <w:sz w:val="24"/>
          <w:szCs w:val="24"/>
        </w:rPr>
        <w:t xml:space="preserve"> </w:t>
      </w:r>
      <w:r>
        <w:rPr>
          <w:rFonts w:ascii="仿宋" w:hAnsi="仿宋" w:eastAsia="仿宋" w:cs="仿宋"/>
          <w:spacing w:val="-2"/>
          <w:sz w:val="24"/>
          <w:szCs w:val="24"/>
        </w:rPr>
        <w:t>合体投标将被认定为投标无效。</w:t>
      </w:r>
    </w:p>
    <w:p w14:paraId="0680FA3D">
      <w:pPr>
        <w:spacing w:before="36" w:line="222" w:lineRule="auto"/>
        <w:ind w:left="505"/>
        <w:rPr>
          <w:rFonts w:ascii="仿宋" w:hAnsi="仿宋" w:eastAsia="仿宋" w:cs="仿宋"/>
          <w:sz w:val="24"/>
          <w:szCs w:val="24"/>
        </w:rPr>
      </w:pPr>
      <w:r>
        <w:rPr>
          <w:rFonts w:ascii="仿宋" w:hAnsi="仿宋" w:eastAsia="仿宋" w:cs="仿宋"/>
          <w:spacing w:val="-1"/>
          <w:sz w:val="24"/>
          <w:szCs w:val="24"/>
        </w:rPr>
        <w:t>19.2.2查询及记录方式：采购人或采购代理机构经办人将查询网页打印、</w:t>
      </w:r>
    </w:p>
    <w:p w14:paraId="6699A7AA">
      <w:pPr>
        <w:spacing w:before="181" w:line="349" w:lineRule="auto"/>
        <w:ind w:left="16" w:firstLine="4"/>
        <w:rPr>
          <w:rFonts w:ascii="仿宋" w:hAnsi="仿宋" w:eastAsia="仿宋" w:cs="仿宋"/>
          <w:sz w:val="24"/>
          <w:szCs w:val="24"/>
        </w:rPr>
      </w:pPr>
      <w:r>
        <w:rPr>
          <w:rFonts w:ascii="仿宋" w:hAnsi="仿宋" w:eastAsia="仿宋" w:cs="仿宋"/>
          <w:spacing w:val="-2"/>
          <w:sz w:val="24"/>
          <w:szCs w:val="24"/>
        </w:rPr>
        <w:t>签字并存档备查。供应商不良信用记录以采购人或采购代理机构查询结果为准。</w:t>
      </w:r>
      <w:r>
        <w:rPr>
          <w:rFonts w:ascii="仿宋" w:hAnsi="仿宋" w:eastAsia="仿宋" w:cs="仿宋"/>
          <w:spacing w:val="10"/>
          <w:sz w:val="24"/>
          <w:szCs w:val="24"/>
        </w:rPr>
        <w:t xml:space="preserve"> </w:t>
      </w:r>
      <w:r>
        <w:rPr>
          <w:rFonts w:ascii="仿宋" w:hAnsi="仿宋" w:eastAsia="仿宋" w:cs="仿宋"/>
          <w:spacing w:val="-1"/>
          <w:sz w:val="24"/>
          <w:szCs w:val="24"/>
        </w:rPr>
        <w:t>在本采购文件规定的查询时间之后，网站信息发生的任何变更均不再作为评标</w:t>
      </w:r>
      <w:r>
        <w:rPr>
          <w:rFonts w:ascii="仿宋" w:hAnsi="仿宋" w:eastAsia="仿宋" w:cs="仿宋"/>
          <w:spacing w:val="8"/>
          <w:sz w:val="24"/>
          <w:szCs w:val="24"/>
        </w:rPr>
        <w:t xml:space="preserve">  </w:t>
      </w:r>
      <w:r>
        <w:rPr>
          <w:rFonts w:ascii="仿宋" w:hAnsi="仿宋" w:eastAsia="仿宋" w:cs="仿宋"/>
          <w:spacing w:val="-6"/>
          <w:sz w:val="24"/>
          <w:szCs w:val="24"/>
        </w:rPr>
        <w:t>依据。</w:t>
      </w:r>
    </w:p>
    <w:p w14:paraId="5840EF90">
      <w:pPr>
        <w:spacing w:before="38" w:line="344" w:lineRule="auto"/>
        <w:ind w:left="16" w:right="203" w:firstLine="480"/>
        <w:rPr>
          <w:rFonts w:ascii="仿宋" w:hAnsi="仿宋" w:eastAsia="仿宋" w:cs="仿宋"/>
          <w:sz w:val="24"/>
          <w:szCs w:val="24"/>
        </w:rPr>
      </w:pPr>
      <w:r>
        <w:rPr>
          <w:rFonts w:ascii="仿宋" w:hAnsi="仿宋" w:eastAsia="仿宋" w:cs="仿宋"/>
          <w:spacing w:val="-1"/>
          <w:sz w:val="24"/>
          <w:szCs w:val="24"/>
        </w:rPr>
        <w:t>供应商自行提供的与网站信息不一致的其他证明材料亦不作为资格审查的</w:t>
      </w:r>
      <w:r>
        <w:rPr>
          <w:rFonts w:ascii="仿宋" w:hAnsi="仿宋" w:eastAsia="仿宋" w:cs="仿宋"/>
          <w:spacing w:val="14"/>
          <w:sz w:val="24"/>
          <w:szCs w:val="24"/>
        </w:rPr>
        <w:t xml:space="preserve"> </w:t>
      </w:r>
      <w:r>
        <w:rPr>
          <w:rFonts w:ascii="仿宋" w:hAnsi="仿宋" w:eastAsia="仿宋" w:cs="仿宋"/>
          <w:spacing w:val="-6"/>
          <w:sz w:val="24"/>
          <w:szCs w:val="24"/>
        </w:rPr>
        <w:t>依据。</w:t>
      </w:r>
    </w:p>
    <w:p w14:paraId="3B061638">
      <w:pPr>
        <w:spacing w:before="38" w:line="352" w:lineRule="auto"/>
        <w:ind w:left="14" w:right="83" w:firstLine="491"/>
        <w:jc w:val="both"/>
        <w:rPr>
          <w:rFonts w:ascii="仿宋" w:hAnsi="仿宋" w:eastAsia="仿宋" w:cs="仿宋"/>
          <w:sz w:val="24"/>
          <w:szCs w:val="24"/>
        </w:rPr>
      </w:pPr>
      <w:r>
        <w:rPr>
          <w:rFonts w:ascii="仿宋" w:hAnsi="仿宋" w:eastAsia="仿宋" w:cs="仿宋"/>
          <w:spacing w:val="-1"/>
          <w:sz w:val="24"/>
          <w:szCs w:val="24"/>
        </w:rPr>
        <w:t>19.3按照《中华人民共和国政府采购法》《中华人民共和国政府采购法实</w:t>
      </w:r>
      <w:r>
        <w:rPr>
          <w:rFonts w:ascii="仿宋" w:hAnsi="仿宋" w:eastAsia="仿宋" w:cs="仿宋"/>
          <w:spacing w:val="3"/>
          <w:sz w:val="24"/>
          <w:szCs w:val="24"/>
        </w:rPr>
        <w:t xml:space="preserve">  </w:t>
      </w:r>
      <w:r>
        <w:rPr>
          <w:rFonts w:ascii="仿宋" w:hAnsi="仿宋" w:eastAsia="仿宋" w:cs="仿宋"/>
          <w:spacing w:val="-1"/>
          <w:sz w:val="24"/>
          <w:szCs w:val="24"/>
        </w:rPr>
        <w:t>施条例》及本项目本级和上级财政部门的有关规定依法组建的评标委员会，负</w:t>
      </w:r>
      <w:r>
        <w:rPr>
          <w:rFonts w:ascii="仿宋" w:hAnsi="仿宋" w:eastAsia="仿宋" w:cs="仿宋"/>
          <w:spacing w:val="8"/>
          <w:sz w:val="24"/>
          <w:szCs w:val="24"/>
        </w:rPr>
        <w:t xml:space="preserve">  </w:t>
      </w:r>
      <w:r>
        <w:rPr>
          <w:rFonts w:ascii="仿宋" w:hAnsi="仿宋" w:eastAsia="仿宋" w:cs="仿宋"/>
          <w:spacing w:val="-1"/>
          <w:sz w:val="24"/>
          <w:szCs w:val="24"/>
        </w:rPr>
        <w:t>责本项目评标工作。本项目评标委员会成员5名，按相关规定从自治区政府采购</w:t>
      </w:r>
      <w:r>
        <w:rPr>
          <w:rFonts w:ascii="仿宋" w:hAnsi="仿宋" w:eastAsia="仿宋" w:cs="仿宋"/>
          <w:spacing w:val="18"/>
          <w:sz w:val="24"/>
          <w:szCs w:val="24"/>
        </w:rPr>
        <w:t xml:space="preserve"> </w:t>
      </w:r>
      <w:r>
        <w:rPr>
          <w:rFonts w:ascii="仿宋" w:hAnsi="仿宋" w:eastAsia="仿宋" w:cs="仿宋"/>
          <w:spacing w:val="-2"/>
          <w:sz w:val="24"/>
          <w:szCs w:val="24"/>
        </w:rPr>
        <w:t>专家库中随机抽取。</w:t>
      </w:r>
    </w:p>
    <w:p w14:paraId="2C282A71">
      <w:pPr>
        <w:spacing w:before="58" w:line="220" w:lineRule="auto"/>
        <w:ind w:left="49"/>
        <w:outlineLvl w:val="1"/>
        <w:rPr>
          <w:rFonts w:ascii="仿宋" w:hAnsi="仿宋" w:eastAsia="仿宋" w:cs="仿宋"/>
          <w:sz w:val="24"/>
          <w:szCs w:val="24"/>
        </w:rPr>
      </w:pPr>
      <w:bookmarkStart w:id="64" w:name="_Toc30863"/>
      <w:r>
        <w:rPr>
          <w:rFonts w:ascii="仿宋" w:hAnsi="仿宋" w:eastAsia="仿宋" w:cs="仿宋"/>
          <w:b/>
          <w:bCs/>
          <w:spacing w:val="-6"/>
          <w:sz w:val="24"/>
          <w:szCs w:val="24"/>
        </w:rPr>
        <w:t>20.投标文件的符合性审查与澄清</w:t>
      </w:r>
      <w:bookmarkEnd w:id="64"/>
    </w:p>
    <w:p w14:paraId="1EEC862E">
      <w:pPr>
        <w:spacing w:before="183" w:line="350" w:lineRule="auto"/>
        <w:ind w:left="15" w:right="203" w:firstLine="475"/>
        <w:rPr>
          <w:rFonts w:ascii="仿宋" w:hAnsi="仿宋" w:eastAsia="仿宋" w:cs="仿宋"/>
          <w:sz w:val="24"/>
          <w:szCs w:val="24"/>
        </w:rPr>
      </w:pPr>
      <w:r>
        <w:rPr>
          <w:rFonts w:ascii="仿宋" w:hAnsi="仿宋" w:eastAsia="仿宋" w:cs="仿宋"/>
          <w:sz w:val="24"/>
          <w:szCs w:val="24"/>
        </w:rPr>
        <w:t>20.1符合性审查是指依据采购文件的规定，</w:t>
      </w:r>
      <w:r>
        <w:rPr>
          <w:rFonts w:ascii="仿宋" w:hAnsi="仿宋" w:eastAsia="仿宋" w:cs="仿宋"/>
          <w:spacing w:val="-1"/>
          <w:sz w:val="24"/>
          <w:szCs w:val="24"/>
        </w:rPr>
        <w:t>从投标文件的有效性和完整性</w:t>
      </w:r>
      <w:r>
        <w:rPr>
          <w:rFonts w:ascii="仿宋" w:hAnsi="仿宋" w:eastAsia="仿宋" w:cs="仿宋"/>
          <w:sz w:val="24"/>
          <w:szCs w:val="24"/>
        </w:rPr>
        <w:t xml:space="preserve"> </w:t>
      </w:r>
      <w:r>
        <w:rPr>
          <w:rFonts w:ascii="仿宋" w:hAnsi="仿宋" w:eastAsia="仿宋" w:cs="仿宋"/>
          <w:spacing w:val="-1"/>
          <w:sz w:val="24"/>
          <w:szCs w:val="24"/>
        </w:rPr>
        <w:t>对采购文件的响应程度进行审查，以确定是否对采购文件的实质性要求做出响</w:t>
      </w:r>
      <w:r>
        <w:rPr>
          <w:rFonts w:ascii="仿宋" w:hAnsi="仿宋" w:eastAsia="仿宋" w:cs="仿宋"/>
          <w:spacing w:val="17"/>
          <w:sz w:val="24"/>
          <w:szCs w:val="24"/>
        </w:rPr>
        <w:t xml:space="preserve"> </w:t>
      </w:r>
      <w:r>
        <w:rPr>
          <w:rFonts w:ascii="仿宋" w:hAnsi="仿宋" w:eastAsia="仿宋" w:cs="仿宋"/>
          <w:spacing w:val="-8"/>
          <w:sz w:val="24"/>
          <w:szCs w:val="24"/>
        </w:rPr>
        <w:t>应。</w:t>
      </w:r>
    </w:p>
    <w:p w14:paraId="7E1249D9">
      <w:pPr>
        <w:spacing w:before="34" w:line="222" w:lineRule="auto"/>
        <w:ind w:left="490"/>
        <w:outlineLvl w:val="2"/>
        <w:rPr>
          <w:rFonts w:ascii="仿宋" w:hAnsi="仿宋" w:eastAsia="仿宋" w:cs="仿宋"/>
          <w:sz w:val="24"/>
          <w:szCs w:val="24"/>
        </w:rPr>
      </w:pPr>
      <w:bookmarkStart w:id="65" w:name="_Toc15596"/>
      <w:r>
        <w:rPr>
          <w:rFonts w:ascii="仿宋" w:hAnsi="仿宋" w:eastAsia="仿宋" w:cs="仿宋"/>
          <w:spacing w:val="-2"/>
          <w:sz w:val="24"/>
          <w:szCs w:val="24"/>
        </w:rPr>
        <w:t>20.2投标文件的澄清</w:t>
      </w:r>
      <w:bookmarkEnd w:id="65"/>
    </w:p>
    <w:p w14:paraId="390DDCBF">
      <w:pPr>
        <w:spacing w:before="179" w:line="351" w:lineRule="auto"/>
        <w:ind w:left="16" w:right="203" w:firstLine="474"/>
        <w:rPr>
          <w:rFonts w:ascii="仿宋" w:hAnsi="仿宋" w:eastAsia="仿宋" w:cs="仿宋"/>
          <w:sz w:val="24"/>
          <w:szCs w:val="24"/>
        </w:rPr>
      </w:pPr>
      <w:r>
        <w:rPr>
          <w:rFonts w:ascii="仿宋" w:hAnsi="仿宋" w:eastAsia="仿宋" w:cs="仿宋"/>
          <w:sz w:val="24"/>
          <w:szCs w:val="24"/>
        </w:rPr>
        <w:t>20.2.1在评标期间，评标委员会将以书面方</w:t>
      </w:r>
      <w:r>
        <w:rPr>
          <w:rFonts w:ascii="仿宋" w:hAnsi="仿宋" w:eastAsia="仿宋" w:cs="仿宋"/>
          <w:spacing w:val="-1"/>
          <w:sz w:val="24"/>
          <w:szCs w:val="24"/>
        </w:rPr>
        <w:t>式要求供应商对其投标文件中</w:t>
      </w:r>
      <w:r>
        <w:rPr>
          <w:rFonts w:ascii="仿宋" w:hAnsi="仿宋" w:eastAsia="仿宋" w:cs="仿宋"/>
          <w:sz w:val="24"/>
          <w:szCs w:val="24"/>
        </w:rPr>
        <w:t xml:space="preserve"> </w:t>
      </w:r>
      <w:r>
        <w:rPr>
          <w:rFonts w:ascii="仿宋" w:hAnsi="仿宋" w:eastAsia="仿宋" w:cs="仿宋"/>
          <w:spacing w:val="-1"/>
          <w:sz w:val="24"/>
          <w:szCs w:val="24"/>
        </w:rPr>
        <w:t>含义不明确、对同类问题表述不一致或者有明显文字和计算错误的内容，以及</w:t>
      </w:r>
      <w:r>
        <w:rPr>
          <w:rFonts w:ascii="仿宋" w:hAnsi="仿宋" w:eastAsia="仿宋" w:cs="仿宋"/>
          <w:spacing w:val="16"/>
          <w:sz w:val="24"/>
          <w:szCs w:val="24"/>
        </w:rPr>
        <w:t xml:space="preserve"> </w:t>
      </w:r>
      <w:r>
        <w:rPr>
          <w:rFonts w:ascii="仿宋" w:hAnsi="仿宋" w:eastAsia="仿宋" w:cs="仿宋"/>
          <w:spacing w:val="-1"/>
          <w:sz w:val="24"/>
          <w:szCs w:val="24"/>
        </w:rPr>
        <w:t>评标委员会认为供应商的报价明显低于其他通过符合性检查供应商的报价，有</w:t>
      </w:r>
      <w:r>
        <w:rPr>
          <w:rFonts w:ascii="仿宋" w:hAnsi="仿宋" w:eastAsia="仿宋" w:cs="仿宋"/>
          <w:spacing w:val="16"/>
          <w:sz w:val="24"/>
          <w:szCs w:val="24"/>
        </w:rPr>
        <w:t xml:space="preserve"> </w:t>
      </w:r>
      <w:r>
        <w:rPr>
          <w:rFonts w:ascii="仿宋" w:hAnsi="仿宋" w:eastAsia="仿宋" w:cs="仿宋"/>
          <w:spacing w:val="-1"/>
          <w:sz w:val="24"/>
          <w:szCs w:val="24"/>
        </w:rPr>
        <w:t>可能影响履约的情况作必要的澄清、说明或补正。供应商澄清、说明或补正。</w:t>
      </w:r>
    </w:p>
    <w:p w14:paraId="560BD88D">
      <w:pPr>
        <w:spacing w:line="351" w:lineRule="auto"/>
        <w:rPr>
          <w:rFonts w:ascii="仿宋" w:hAnsi="仿宋" w:eastAsia="仿宋" w:cs="仿宋"/>
          <w:sz w:val="24"/>
          <w:szCs w:val="24"/>
        </w:rPr>
        <w:sectPr>
          <w:footerReference r:id="rId15" w:type="default"/>
          <w:pgSz w:w="11907" w:h="16840"/>
          <w:pgMar w:top="1418" w:right="1758" w:bottom="1204" w:left="1786" w:header="0" w:footer="1035" w:gutter="0"/>
          <w:pgNumType w:fmt="decimal"/>
          <w:cols w:space="720" w:num="1"/>
        </w:sectPr>
      </w:pPr>
    </w:p>
    <w:p w14:paraId="789BFD6E">
      <w:pPr>
        <w:spacing w:before="49" w:line="342" w:lineRule="auto"/>
        <w:ind w:left="28" w:right="175" w:hanging="13"/>
        <w:rPr>
          <w:rFonts w:ascii="仿宋" w:hAnsi="仿宋" w:eastAsia="仿宋" w:cs="仿宋"/>
          <w:sz w:val="24"/>
          <w:szCs w:val="24"/>
        </w:rPr>
      </w:pPr>
      <w:r>
        <w:rPr>
          <w:rFonts w:ascii="仿宋" w:hAnsi="仿宋" w:eastAsia="仿宋" w:cs="仿宋"/>
          <w:spacing w:val="-1"/>
          <w:sz w:val="24"/>
          <w:szCs w:val="24"/>
        </w:rPr>
        <w:t>应在评标委员会规定的时间内以书面方式进行，并不得超出投标文件范围或者</w:t>
      </w:r>
      <w:r>
        <w:rPr>
          <w:rFonts w:ascii="仿宋" w:hAnsi="仿宋" w:eastAsia="仿宋" w:cs="仿宋"/>
          <w:spacing w:val="17"/>
          <w:sz w:val="24"/>
          <w:szCs w:val="24"/>
        </w:rPr>
        <w:t xml:space="preserve"> </w:t>
      </w:r>
      <w:r>
        <w:rPr>
          <w:rFonts w:ascii="仿宋" w:hAnsi="仿宋" w:eastAsia="仿宋" w:cs="仿宋"/>
          <w:spacing w:val="-3"/>
          <w:sz w:val="24"/>
          <w:szCs w:val="24"/>
        </w:rPr>
        <w:t>改变投标文件的实质性内容。</w:t>
      </w:r>
    </w:p>
    <w:p w14:paraId="2C8DBF42">
      <w:pPr>
        <w:spacing w:before="40" w:line="291" w:lineRule="auto"/>
        <w:ind w:left="490" w:right="1412"/>
        <w:rPr>
          <w:rFonts w:ascii="仿宋" w:hAnsi="仿宋" w:eastAsia="仿宋" w:cs="仿宋"/>
          <w:sz w:val="24"/>
          <w:szCs w:val="24"/>
        </w:rPr>
      </w:pPr>
      <w:r>
        <w:rPr>
          <w:rFonts w:ascii="仿宋" w:hAnsi="仿宋" w:eastAsia="仿宋" w:cs="仿宋"/>
          <w:spacing w:val="-2"/>
          <w:sz w:val="24"/>
          <w:szCs w:val="24"/>
        </w:rPr>
        <w:t>20.2.2供应商的澄清、说明或补正将作为投标文件的一部分。</w:t>
      </w:r>
      <w:r>
        <w:rPr>
          <w:rFonts w:ascii="仿宋" w:hAnsi="仿宋" w:eastAsia="仿宋" w:cs="仿宋"/>
          <w:spacing w:val="10"/>
          <w:sz w:val="24"/>
          <w:szCs w:val="24"/>
        </w:rPr>
        <w:t xml:space="preserve"> </w:t>
      </w:r>
      <w:r>
        <w:rPr>
          <w:rFonts w:ascii="仿宋" w:hAnsi="仿宋" w:eastAsia="仿宋" w:cs="仿宋"/>
          <w:spacing w:val="-1"/>
          <w:sz w:val="24"/>
          <w:szCs w:val="24"/>
        </w:rPr>
        <w:t>20.3投标文件报价出现前后不一致的，按照下列规定修正：</w:t>
      </w:r>
    </w:p>
    <w:p w14:paraId="785375BC">
      <w:pPr>
        <w:spacing w:before="180" w:line="290" w:lineRule="auto"/>
        <w:ind w:left="24" w:right="175" w:firstLine="476"/>
        <w:rPr>
          <w:rFonts w:ascii="仿宋" w:hAnsi="仿宋" w:eastAsia="仿宋" w:cs="仿宋"/>
          <w:sz w:val="24"/>
          <w:szCs w:val="24"/>
        </w:rPr>
      </w:pPr>
      <w:r>
        <w:rPr>
          <w:rFonts w:ascii="仿宋" w:hAnsi="仿宋" w:eastAsia="仿宋" w:cs="仿宋"/>
          <w:spacing w:val="-1"/>
          <w:sz w:val="24"/>
          <w:szCs w:val="24"/>
        </w:rPr>
        <w:t>（一）投标文件中报价单内容与投标文件中相应内容不一致的，以报价单</w:t>
      </w:r>
      <w:r>
        <w:rPr>
          <w:rFonts w:ascii="仿宋" w:hAnsi="仿宋" w:eastAsia="仿宋" w:cs="仿宋"/>
          <w:spacing w:val="10"/>
          <w:sz w:val="24"/>
          <w:szCs w:val="24"/>
        </w:rPr>
        <w:t xml:space="preserve"> </w:t>
      </w:r>
      <w:r>
        <w:rPr>
          <w:rFonts w:ascii="仿宋" w:hAnsi="仿宋" w:eastAsia="仿宋" w:cs="仿宋"/>
          <w:spacing w:val="-9"/>
          <w:sz w:val="24"/>
          <w:szCs w:val="24"/>
        </w:rPr>
        <w:t>为准；</w:t>
      </w:r>
    </w:p>
    <w:p w14:paraId="749C4C8D">
      <w:pPr>
        <w:spacing w:before="179" w:line="222" w:lineRule="auto"/>
        <w:ind w:left="500"/>
        <w:rPr>
          <w:rFonts w:ascii="仿宋" w:hAnsi="仿宋" w:eastAsia="仿宋" w:cs="仿宋"/>
          <w:sz w:val="24"/>
          <w:szCs w:val="24"/>
        </w:rPr>
      </w:pPr>
      <w:r>
        <w:rPr>
          <w:rFonts w:ascii="仿宋" w:hAnsi="仿宋" w:eastAsia="仿宋" w:cs="仿宋"/>
          <w:spacing w:val="-1"/>
          <w:sz w:val="24"/>
          <w:szCs w:val="24"/>
        </w:rPr>
        <w:t>（二）大写金额和小写金额不一致的，以大写金额为准；</w:t>
      </w:r>
    </w:p>
    <w:p w14:paraId="45A2A183">
      <w:pPr>
        <w:spacing w:before="177" w:line="290" w:lineRule="auto"/>
        <w:ind w:left="18" w:right="175" w:firstLine="482"/>
        <w:rPr>
          <w:rFonts w:ascii="仿宋" w:hAnsi="仿宋" w:eastAsia="仿宋" w:cs="仿宋"/>
          <w:sz w:val="24"/>
          <w:szCs w:val="24"/>
        </w:rPr>
      </w:pPr>
      <w:r>
        <w:rPr>
          <w:rFonts w:ascii="仿宋" w:hAnsi="仿宋" w:eastAsia="仿宋" w:cs="仿宋"/>
          <w:spacing w:val="-1"/>
          <w:sz w:val="24"/>
          <w:szCs w:val="24"/>
        </w:rPr>
        <w:t>（三）单价金额小数点或者百分比有明显错位的，以开标一览表的总价为</w:t>
      </w:r>
      <w:r>
        <w:rPr>
          <w:rFonts w:ascii="仿宋" w:hAnsi="仿宋" w:eastAsia="仿宋" w:cs="仿宋"/>
          <w:spacing w:val="10"/>
          <w:sz w:val="24"/>
          <w:szCs w:val="24"/>
        </w:rPr>
        <w:t xml:space="preserve"> </w:t>
      </w:r>
      <w:r>
        <w:rPr>
          <w:rFonts w:ascii="仿宋" w:hAnsi="仿宋" w:eastAsia="仿宋" w:cs="仿宋"/>
          <w:spacing w:val="-3"/>
          <w:sz w:val="24"/>
          <w:szCs w:val="24"/>
        </w:rPr>
        <w:t>准，并修改单价；</w:t>
      </w:r>
    </w:p>
    <w:p w14:paraId="003D53CD">
      <w:pPr>
        <w:spacing w:before="181" w:line="325" w:lineRule="auto"/>
        <w:ind w:left="10" w:right="175" w:firstLine="489"/>
        <w:rPr>
          <w:rFonts w:ascii="仿宋" w:hAnsi="仿宋" w:eastAsia="仿宋" w:cs="仿宋"/>
          <w:sz w:val="24"/>
          <w:szCs w:val="24"/>
        </w:rPr>
      </w:pPr>
      <w:r>
        <w:rPr>
          <w:rFonts w:ascii="仿宋" w:hAnsi="仿宋" w:eastAsia="仿宋" w:cs="仿宋"/>
          <w:spacing w:val="-1"/>
          <w:sz w:val="24"/>
          <w:szCs w:val="24"/>
        </w:rPr>
        <w:t>（四）总价金额与按单价汇总金额不一致的，以单价金额计算结果为准。</w:t>
      </w:r>
      <w:r>
        <w:rPr>
          <w:rFonts w:ascii="仿宋" w:hAnsi="仿宋" w:eastAsia="仿宋" w:cs="仿宋"/>
          <w:spacing w:val="10"/>
          <w:sz w:val="24"/>
          <w:szCs w:val="24"/>
        </w:rPr>
        <w:t xml:space="preserve"> </w:t>
      </w:r>
      <w:r>
        <w:rPr>
          <w:rFonts w:ascii="仿宋" w:hAnsi="仿宋" w:eastAsia="仿宋" w:cs="仿宋"/>
          <w:sz w:val="24"/>
          <w:szCs w:val="24"/>
        </w:rPr>
        <w:t>同时出现两种以上不一致的，按照前款规定的顺</w:t>
      </w:r>
      <w:r>
        <w:rPr>
          <w:rFonts w:ascii="仿宋" w:hAnsi="仿宋" w:eastAsia="仿宋" w:cs="仿宋"/>
          <w:spacing w:val="-1"/>
          <w:sz w:val="24"/>
          <w:szCs w:val="24"/>
        </w:rPr>
        <w:t>序修正。修正后的报价按照第</w:t>
      </w:r>
      <w:r>
        <w:rPr>
          <w:rFonts w:ascii="仿宋" w:hAnsi="仿宋" w:eastAsia="仿宋" w:cs="仿宋"/>
          <w:sz w:val="24"/>
          <w:szCs w:val="24"/>
        </w:rPr>
        <w:t xml:space="preserve"> </w:t>
      </w:r>
      <w:r>
        <w:rPr>
          <w:rFonts w:ascii="仿宋" w:hAnsi="仿宋" w:eastAsia="仿宋" w:cs="仿宋"/>
          <w:spacing w:val="-1"/>
          <w:sz w:val="24"/>
          <w:szCs w:val="24"/>
        </w:rPr>
        <w:t>20.2条的规定经供应商确认后产生约束力，供应商不确认的，将被认定为</w:t>
      </w:r>
      <w:r>
        <w:rPr>
          <w:rFonts w:ascii="仿宋" w:hAnsi="仿宋" w:eastAsia="仿宋" w:cs="仿宋"/>
          <w:b/>
          <w:bCs/>
          <w:spacing w:val="-1"/>
          <w:sz w:val="24"/>
          <w:szCs w:val="24"/>
        </w:rPr>
        <w:t>投标</w:t>
      </w:r>
      <w:r>
        <w:rPr>
          <w:rFonts w:ascii="仿宋" w:hAnsi="仿宋" w:eastAsia="仿宋" w:cs="仿宋"/>
          <w:spacing w:val="18"/>
          <w:sz w:val="24"/>
          <w:szCs w:val="24"/>
        </w:rPr>
        <w:t xml:space="preserve"> </w:t>
      </w:r>
      <w:r>
        <w:rPr>
          <w:rFonts w:ascii="仿宋" w:hAnsi="仿宋" w:eastAsia="仿宋" w:cs="仿宋"/>
          <w:b/>
          <w:bCs/>
          <w:spacing w:val="-6"/>
          <w:sz w:val="24"/>
          <w:szCs w:val="24"/>
        </w:rPr>
        <w:t>无效</w:t>
      </w:r>
      <w:r>
        <w:rPr>
          <w:rFonts w:ascii="仿宋" w:hAnsi="仿宋" w:eastAsia="仿宋" w:cs="仿宋"/>
          <w:spacing w:val="-6"/>
          <w:sz w:val="24"/>
          <w:szCs w:val="24"/>
        </w:rPr>
        <w:t>。</w:t>
      </w:r>
    </w:p>
    <w:p w14:paraId="222EE2FB">
      <w:pPr>
        <w:spacing w:before="176" w:line="222" w:lineRule="auto"/>
        <w:ind w:left="497"/>
        <w:rPr>
          <w:rFonts w:ascii="仿宋" w:hAnsi="仿宋" w:eastAsia="仿宋" w:cs="仿宋"/>
          <w:sz w:val="24"/>
          <w:szCs w:val="24"/>
        </w:rPr>
      </w:pPr>
      <w:r>
        <w:rPr>
          <w:rFonts w:ascii="仿宋" w:hAnsi="仿宋" w:eastAsia="仿宋" w:cs="仿宋"/>
          <w:spacing w:val="-1"/>
          <w:sz w:val="24"/>
          <w:szCs w:val="24"/>
        </w:rPr>
        <w:t>对不同文字文本投标文件的解释发生异议的，以中文文本为准。</w:t>
      </w:r>
    </w:p>
    <w:p w14:paraId="18FE2665">
      <w:pPr>
        <w:spacing w:before="180" w:line="348" w:lineRule="auto"/>
        <w:ind w:left="14" w:right="175" w:firstLine="476"/>
        <w:rPr>
          <w:rFonts w:ascii="仿宋" w:hAnsi="仿宋" w:eastAsia="仿宋" w:cs="仿宋"/>
          <w:sz w:val="24"/>
          <w:szCs w:val="24"/>
        </w:rPr>
      </w:pPr>
      <w:r>
        <w:rPr>
          <w:rFonts w:ascii="仿宋" w:hAnsi="仿宋" w:eastAsia="仿宋" w:cs="仿宋"/>
          <w:sz w:val="24"/>
          <w:szCs w:val="24"/>
        </w:rPr>
        <w:t>20.4供应商为提供服务所伴随投标的产品如</w:t>
      </w:r>
      <w:r>
        <w:rPr>
          <w:rFonts w:ascii="仿宋" w:hAnsi="仿宋" w:eastAsia="仿宋" w:cs="仿宋"/>
          <w:spacing w:val="-1"/>
          <w:sz w:val="24"/>
          <w:szCs w:val="24"/>
        </w:rPr>
        <w:t>被列入财政部与国家主管部门</w:t>
      </w:r>
      <w:r>
        <w:rPr>
          <w:rFonts w:ascii="仿宋" w:hAnsi="仿宋" w:eastAsia="仿宋" w:cs="仿宋"/>
          <w:sz w:val="24"/>
          <w:szCs w:val="24"/>
        </w:rPr>
        <w:t xml:space="preserve"> </w:t>
      </w:r>
      <w:r>
        <w:rPr>
          <w:rFonts w:ascii="仿宋" w:hAnsi="仿宋" w:eastAsia="仿宋" w:cs="仿宋"/>
          <w:spacing w:val="-1"/>
          <w:sz w:val="24"/>
          <w:szCs w:val="24"/>
        </w:rPr>
        <w:t>颁发的节能产品目录或环境标志产品目录或无线局域网产品目录，应提供相关</w:t>
      </w:r>
      <w:r>
        <w:rPr>
          <w:rFonts w:ascii="仿宋" w:hAnsi="仿宋" w:eastAsia="仿宋" w:cs="仿宋"/>
          <w:spacing w:val="17"/>
          <w:sz w:val="24"/>
          <w:szCs w:val="24"/>
        </w:rPr>
        <w:t xml:space="preserve"> </w:t>
      </w:r>
      <w:r>
        <w:rPr>
          <w:rFonts w:ascii="仿宋" w:hAnsi="仿宋" w:eastAsia="仿宋" w:cs="仿宋"/>
          <w:spacing w:val="-1"/>
          <w:sz w:val="24"/>
          <w:szCs w:val="24"/>
        </w:rPr>
        <w:t>证明，在评标时予以优先采购，具体优先采购办法见第6章评标方法和标准。</w:t>
      </w:r>
    </w:p>
    <w:p w14:paraId="09070C78">
      <w:pPr>
        <w:spacing w:before="65" w:line="222" w:lineRule="auto"/>
        <w:ind w:left="58"/>
        <w:outlineLvl w:val="1"/>
        <w:rPr>
          <w:rFonts w:ascii="仿宋" w:hAnsi="仿宋" w:eastAsia="仿宋" w:cs="仿宋"/>
          <w:sz w:val="24"/>
          <w:szCs w:val="24"/>
        </w:rPr>
      </w:pPr>
      <w:bookmarkStart w:id="66" w:name="_Toc849"/>
      <w:r>
        <w:rPr>
          <w:rFonts w:ascii="仿宋" w:hAnsi="仿宋" w:eastAsia="仿宋" w:cs="仿宋"/>
          <w:b/>
          <w:bCs/>
          <w:spacing w:val="-7"/>
          <w:sz w:val="24"/>
          <w:szCs w:val="24"/>
        </w:rPr>
        <w:t>21.投标偏离</w:t>
      </w:r>
      <w:bookmarkEnd w:id="66"/>
    </w:p>
    <w:p w14:paraId="6A6F9D35">
      <w:pPr>
        <w:spacing w:before="199" w:line="222" w:lineRule="auto"/>
        <w:ind w:left="491"/>
        <w:rPr>
          <w:rFonts w:ascii="仿宋" w:hAnsi="仿宋" w:eastAsia="仿宋" w:cs="仿宋"/>
          <w:sz w:val="24"/>
          <w:szCs w:val="24"/>
        </w:rPr>
      </w:pPr>
      <w:r>
        <w:rPr>
          <w:rFonts w:ascii="仿宋" w:hAnsi="仿宋" w:eastAsia="仿宋" w:cs="仿宋"/>
          <w:spacing w:val="-2"/>
          <w:sz w:val="24"/>
          <w:szCs w:val="24"/>
        </w:rPr>
        <w:t>评标委员不接受投标文件中得负偏离。</w:t>
      </w:r>
    </w:p>
    <w:p w14:paraId="2126BE91">
      <w:pPr>
        <w:spacing w:before="203" w:line="222" w:lineRule="auto"/>
        <w:ind w:left="58"/>
        <w:outlineLvl w:val="1"/>
        <w:rPr>
          <w:rFonts w:ascii="仿宋" w:hAnsi="仿宋" w:eastAsia="仿宋" w:cs="仿宋"/>
          <w:sz w:val="24"/>
          <w:szCs w:val="24"/>
        </w:rPr>
      </w:pPr>
      <w:bookmarkStart w:id="67" w:name="_Toc9311"/>
      <w:r>
        <w:rPr>
          <w:rFonts w:ascii="仿宋" w:hAnsi="仿宋" w:eastAsia="仿宋" w:cs="仿宋"/>
          <w:b/>
          <w:bCs/>
          <w:spacing w:val="-7"/>
          <w:sz w:val="24"/>
          <w:szCs w:val="24"/>
        </w:rPr>
        <w:t>22.投标无效</w:t>
      </w:r>
      <w:bookmarkEnd w:id="67"/>
    </w:p>
    <w:p w14:paraId="36541DBC">
      <w:pPr>
        <w:spacing w:before="174" w:line="354" w:lineRule="auto"/>
        <w:ind w:left="14" w:right="175" w:firstLine="476"/>
        <w:jc w:val="both"/>
        <w:rPr>
          <w:rFonts w:ascii="仿宋" w:hAnsi="仿宋" w:eastAsia="仿宋" w:cs="仿宋"/>
          <w:sz w:val="24"/>
          <w:szCs w:val="24"/>
        </w:rPr>
      </w:pPr>
      <w:r>
        <w:rPr>
          <w:rFonts w:ascii="仿宋" w:hAnsi="仿宋" w:eastAsia="仿宋" w:cs="仿宋"/>
          <w:sz w:val="24"/>
          <w:szCs w:val="24"/>
        </w:rPr>
        <w:t>22.1在比较与评价之前，根据本须知的规定</w:t>
      </w:r>
      <w:r>
        <w:rPr>
          <w:rFonts w:ascii="仿宋" w:hAnsi="仿宋" w:eastAsia="仿宋" w:cs="仿宋"/>
          <w:spacing w:val="-1"/>
          <w:sz w:val="24"/>
          <w:szCs w:val="24"/>
        </w:rPr>
        <w:t>，评标委员会要审查每份投标</w:t>
      </w:r>
      <w:r>
        <w:rPr>
          <w:rFonts w:ascii="仿宋" w:hAnsi="仿宋" w:eastAsia="仿宋" w:cs="仿宋"/>
          <w:sz w:val="24"/>
          <w:szCs w:val="24"/>
        </w:rPr>
        <w:t xml:space="preserve"> </w:t>
      </w:r>
      <w:r>
        <w:rPr>
          <w:rFonts w:ascii="仿宋" w:hAnsi="仿宋" w:eastAsia="仿宋" w:cs="仿宋"/>
          <w:spacing w:val="-1"/>
          <w:sz w:val="24"/>
          <w:szCs w:val="24"/>
        </w:rPr>
        <w:t>文件是否实质上响应了采购文件的要求。实质上响应的投标应该是与采购文件</w:t>
      </w:r>
      <w:r>
        <w:rPr>
          <w:rFonts w:ascii="仿宋" w:hAnsi="仿宋" w:eastAsia="仿宋" w:cs="仿宋"/>
          <w:spacing w:val="17"/>
          <w:sz w:val="24"/>
          <w:szCs w:val="24"/>
        </w:rPr>
        <w:t xml:space="preserve"> </w:t>
      </w:r>
      <w:r>
        <w:rPr>
          <w:rFonts w:ascii="仿宋" w:hAnsi="仿宋" w:eastAsia="仿宋" w:cs="仿宋"/>
          <w:spacing w:val="-1"/>
          <w:sz w:val="24"/>
          <w:szCs w:val="24"/>
        </w:rPr>
        <w:t>要求的全部条款、条件和规格相符，没有偏离的投标。对招标条款的偏离，将</w:t>
      </w:r>
      <w:r>
        <w:rPr>
          <w:rFonts w:ascii="仿宋" w:hAnsi="仿宋" w:eastAsia="仿宋" w:cs="仿宋"/>
          <w:spacing w:val="17"/>
          <w:sz w:val="24"/>
          <w:szCs w:val="24"/>
        </w:rPr>
        <w:t xml:space="preserve"> </w:t>
      </w:r>
      <w:r>
        <w:rPr>
          <w:rFonts w:ascii="仿宋" w:hAnsi="仿宋" w:eastAsia="仿宋" w:cs="仿宋"/>
          <w:spacing w:val="-1"/>
          <w:sz w:val="24"/>
          <w:szCs w:val="24"/>
        </w:rPr>
        <w:t>被认定为投标无效。供应商不得通过修正或撤销不符合要求的偏离从而使其投</w:t>
      </w:r>
      <w:r>
        <w:rPr>
          <w:rFonts w:ascii="仿宋" w:hAnsi="仿宋" w:eastAsia="仿宋" w:cs="仿宋"/>
          <w:spacing w:val="17"/>
          <w:sz w:val="24"/>
          <w:szCs w:val="24"/>
        </w:rPr>
        <w:t xml:space="preserve"> </w:t>
      </w:r>
      <w:r>
        <w:rPr>
          <w:rFonts w:ascii="仿宋" w:hAnsi="仿宋" w:eastAsia="仿宋" w:cs="仿宋"/>
          <w:spacing w:val="-2"/>
          <w:sz w:val="24"/>
          <w:szCs w:val="24"/>
        </w:rPr>
        <w:t>标成为实质上响应的投标。</w:t>
      </w:r>
    </w:p>
    <w:p w14:paraId="2F358DC0">
      <w:pPr>
        <w:spacing w:before="38" w:line="342" w:lineRule="auto"/>
        <w:ind w:left="22" w:right="175" w:firstLine="474"/>
        <w:rPr>
          <w:rFonts w:ascii="仿宋" w:hAnsi="仿宋" w:eastAsia="仿宋" w:cs="仿宋"/>
          <w:sz w:val="24"/>
          <w:szCs w:val="24"/>
        </w:rPr>
      </w:pPr>
      <w:r>
        <w:rPr>
          <w:rFonts w:ascii="仿宋" w:hAnsi="仿宋" w:eastAsia="仿宋" w:cs="仿宋"/>
          <w:spacing w:val="-1"/>
          <w:sz w:val="24"/>
          <w:szCs w:val="24"/>
        </w:rPr>
        <w:t>评标委员会决定投标的响应性只根据采购文件要求、投标文件内容及财政</w:t>
      </w:r>
      <w:r>
        <w:rPr>
          <w:rFonts w:ascii="仿宋" w:hAnsi="仿宋" w:eastAsia="仿宋" w:cs="仿宋"/>
          <w:spacing w:val="14"/>
          <w:sz w:val="24"/>
          <w:szCs w:val="24"/>
        </w:rPr>
        <w:t xml:space="preserve"> </w:t>
      </w:r>
      <w:r>
        <w:rPr>
          <w:rFonts w:ascii="仿宋" w:hAnsi="仿宋" w:eastAsia="仿宋" w:cs="仿宋"/>
          <w:spacing w:val="-2"/>
          <w:sz w:val="24"/>
          <w:szCs w:val="24"/>
        </w:rPr>
        <w:t>主管部门指定相关信息发布媒体。</w:t>
      </w:r>
    </w:p>
    <w:p w14:paraId="2D64A2C5">
      <w:pPr>
        <w:spacing w:before="43" w:line="222" w:lineRule="auto"/>
        <w:ind w:left="490"/>
        <w:outlineLvl w:val="2"/>
        <w:rPr>
          <w:rFonts w:ascii="仿宋" w:hAnsi="仿宋" w:eastAsia="仿宋" w:cs="仿宋"/>
          <w:sz w:val="24"/>
          <w:szCs w:val="24"/>
        </w:rPr>
      </w:pPr>
      <w:bookmarkStart w:id="68" w:name="_Toc6259"/>
      <w:r>
        <w:rPr>
          <w:rFonts w:ascii="仿宋" w:hAnsi="仿宋" w:eastAsia="仿宋" w:cs="仿宋"/>
          <w:sz w:val="24"/>
          <w:szCs w:val="24"/>
        </w:rPr>
        <w:t>22.2如发现下列情况之一的，其投标将被认定为投标无效</w:t>
      </w:r>
      <w:r>
        <w:rPr>
          <w:rFonts w:ascii="仿宋" w:hAnsi="仿宋" w:eastAsia="仿宋" w:cs="仿宋"/>
          <w:spacing w:val="-11"/>
          <w:sz w:val="24"/>
          <w:szCs w:val="24"/>
        </w:rPr>
        <w:t>：（</w:t>
      </w:r>
      <w:r>
        <w:rPr>
          <w:rFonts w:ascii="仿宋" w:hAnsi="仿宋" w:eastAsia="仿宋" w:cs="仿宋"/>
          <w:b/>
          <w:bCs/>
          <w:sz w:val="24"/>
          <w:szCs w:val="24"/>
        </w:rPr>
        <w:t>以下情形应</w:t>
      </w:r>
      <w:bookmarkEnd w:id="68"/>
    </w:p>
    <w:p w14:paraId="607055A2">
      <w:pPr>
        <w:spacing w:before="180" w:line="219" w:lineRule="auto"/>
        <w:ind w:left="40"/>
        <w:outlineLvl w:val="1"/>
        <w:rPr>
          <w:rFonts w:ascii="仿宋" w:hAnsi="仿宋" w:eastAsia="仿宋" w:cs="仿宋"/>
          <w:sz w:val="24"/>
          <w:szCs w:val="24"/>
        </w:rPr>
      </w:pPr>
      <w:bookmarkStart w:id="69" w:name="_Toc23221"/>
      <w:r>
        <w:rPr>
          <w:rFonts w:ascii="仿宋" w:hAnsi="仿宋" w:eastAsia="仿宋" w:cs="仿宋"/>
          <w:b/>
          <w:bCs/>
          <w:spacing w:val="-4"/>
          <w:sz w:val="24"/>
          <w:szCs w:val="24"/>
        </w:rPr>
        <w:t>当在采购文件中规定，并以醒目的方式标明</w:t>
      </w:r>
      <w:r>
        <w:rPr>
          <w:rFonts w:ascii="仿宋" w:hAnsi="仿宋" w:eastAsia="仿宋" w:cs="仿宋"/>
          <w:spacing w:val="-4"/>
          <w:sz w:val="24"/>
          <w:szCs w:val="24"/>
        </w:rPr>
        <w:t>）</w:t>
      </w:r>
      <w:bookmarkEnd w:id="69"/>
    </w:p>
    <w:p w14:paraId="18A09A01">
      <w:pPr>
        <w:spacing w:before="181" w:line="221" w:lineRule="auto"/>
        <w:ind w:left="20"/>
        <w:rPr>
          <w:rFonts w:ascii="仿宋" w:hAnsi="仿宋" w:eastAsia="仿宋" w:cs="仿宋"/>
          <w:sz w:val="24"/>
          <w:szCs w:val="24"/>
        </w:rPr>
      </w:pPr>
      <w:r>
        <w:rPr>
          <w:rFonts w:ascii="仿宋" w:hAnsi="仿宋" w:eastAsia="仿宋" w:cs="仿宋"/>
          <w:b/>
          <w:bCs/>
          <w:spacing w:val="-3"/>
          <w:sz w:val="24"/>
          <w:szCs w:val="24"/>
        </w:rPr>
        <w:t>（1）未按采购文件规定的形式和金额提交投标保证金的；</w:t>
      </w:r>
    </w:p>
    <w:p w14:paraId="4FB31043">
      <w:pPr>
        <w:spacing w:line="221" w:lineRule="auto"/>
        <w:rPr>
          <w:rFonts w:ascii="仿宋" w:hAnsi="仿宋" w:eastAsia="仿宋" w:cs="仿宋"/>
          <w:sz w:val="24"/>
          <w:szCs w:val="24"/>
        </w:rPr>
        <w:sectPr>
          <w:footerReference r:id="rId16" w:type="default"/>
          <w:pgSz w:w="11907" w:h="16840"/>
          <w:pgMar w:top="1418" w:right="1786" w:bottom="1204" w:left="1786" w:header="0" w:footer="1035" w:gutter="0"/>
          <w:pgNumType w:fmt="decimal"/>
          <w:cols w:space="720" w:num="1"/>
        </w:sectPr>
      </w:pPr>
    </w:p>
    <w:p w14:paraId="24C03324">
      <w:pPr>
        <w:spacing w:before="49" w:line="222" w:lineRule="auto"/>
        <w:ind w:left="20"/>
        <w:rPr>
          <w:rFonts w:ascii="仿宋" w:hAnsi="仿宋" w:eastAsia="仿宋" w:cs="仿宋"/>
          <w:sz w:val="24"/>
          <w:szCs w:val="24"/>
        </w:rPr>
      </w:pPr>
      <w:r>
        <w:rPr>
          <w:rFonts w:ascii="仿宋" w:hAnsi="仿宋" w:eastAsia="仿宋" w:cs="仿宋"/>
          <w:b/>
          <w:bCs/>
          <w:spacing w:val="-3"/>
          <w:sz w:val="24"/>
          <w:szCs w:val="24"/>
        </w:rPr>
        <w:t>（2）未按照采购文件规定要求签署、盖章的；</w:t>
      </w:r>
    </w:p>
    <w:p w14:paraId="72481261">
      <w:pPr>
        <w:spacing w:before="176" w:line="220" w:lineRule="auto"/>
        <w:ind w:left="20"/>
        <w:rPr>
          <w:rFonts w:ascii="仿宋" w:hAnsi="仿宋" w:eastAsia="仿宋" w:cs="仿宋"/>
          <w:sz w:val="24"/>
          <w:szCs w:val="24"/>
        </w:rPr>
      </w:pPr>
      <w:r>
        <w:rPr>
          <w:rFonts w:ascii="仿宋" w:hAnsi="仿宋" w:eastAsia="仿宋" w:cs="仿宋"/>
          <w:b/>
          <w:bCs/>
          <w:spacing w:val="-3"/>
          <w:sz w:val="24"/>
          <w:szCs w:val="24"/>
        </w:rPr>
        <w:t>（3）未满足采购文件中技术条款的实质性要求；</w:t>
      </w:r>
    </w:p>
    <w:p w14:paraId="2CAB94AB">
      <w:pPr>
        <w:spacing w:before="179" w:line="219" w:lineRule="auto"/>
        <w:ind w:left="20"/>
        <w:rPr>
          <w:rFonts w:ascii="仿宋" w:hAnsi="仿宋" w:eastAsia="仿宋" w:cs="仿宋"/>
          <w:sz w:val="24"/>
          <w:szCs w:val="24"/>
        </w:rPr>
      </w:pPr>
      <w:r>
        <w:rPr>
          <w:rFonts w:ascii="仿宋" w:hAnsi="仿宋" w:eastAsia="仿宋" w:cs="仿宋"/>
          <w:b/>
          <w:bCs/>
          <w:spacing w:val="-3"/>
          <w:sz w:val="24"/>
          <w:szCs w:val="24"/>
        </w:rPr>
        <w:t>（4）与其他供应商串通投标，或者与采购人串通投标；</w:t>
      </w:r>
    </w:p>
    <w:p w14:paraId="1ADAC6BF">
      <w:pPr>
        <w:spacing w:before="182" w:line="222" w:lineRule="auto"/>
        <w:ind w:left="20"/>
        <w:rPr>
          <w:rFonts w:ascii="仿宋" w:hAnsi="仿宋" w:eastAsia="仿宋" w:cs="仿宋"/>
          <w:sz w:val="24"/>
          <w:szCs w:val="24"/>
        </w:rPr>
      </w:pPr>
      <w:r>
        <w:rPr>
          <w:rFonts w:ascii="仿宋" w:hAnsi="仿宋" w:eastAsia="仿宋" w:cs="仿宋"/>
          <w:b/>
          <w:bCs/>
          <w:spacing w:val="-3"/>
          <w:sz w:val="24"/>
          <w:szCs w:val="24"/>
        </w:rPr>
        <w:t>（5）属于采购文件规定的其他投标无效情形；</w:t>
      </w:r>
    </w:p>
    <w:p w14:paraId="2FEF7007">
      <w:pPr>
        <w:spacing w:before="181" w:line="342" w:lineRule="auto"/>
        <w:ind w:left="12" w:firstLine="7"/>
        <w:rPr>
          <w:rFonts w:ascii="仿宋" w:hAnsi="仿宋" w:eastAsia="仿宋" w:cs="仿宋"/>
          <w:sz w:val="24"/>
          <w:szCs w:val="24"/>
        </w:rPr>
      </w:pPr>
      <w:r>
        <w:rPr>
          <w:rFonts w:ascii="仿宋" w:hAnsi="仿宋" w:eastAsia="仿宋" w:cs="仿宋"/>
          <w:b/>
          <w:bCs/>
          <w:spacing w:val="-4"/>
          <w:sz w:val="24"/>
          <w:szCs w:val="24"/>
        </w:rPr>
        <w:t>（6）评标委员会认为供应商的报价明显低于其他通过符合性检查供应商的报价，</w:t>
      </w:r>
      <w:r>
        <w:rPr>
          <w:rFonts w:ascii="仿宋" w:hAnsi="仿宋" w:eastAsia="仿宋" w:cs="仿宋"/>
          <w:spacing w:val="10"/>
          <w:sz w:val="24"/>
          <w:szCs w:val="24"/>
        </w:rPr>
        <w:t xml:space="preserve"> </w:t>
      </w:r>
      <w:r>
        <w:rPr>
          <w:rFonts w:ascii="仿宋" w:hAnsi="仿宋" w:eastAsia="仿宋" w:cs="仿宋"/>
          <w:b/>
          <w:bCs/>
          <w:spacing w:val="-2"/>
          <w:sz w:val="24"/>
          <w:szCs w:val="24"/>
        </w:rPr>
        <w:t>有可能影响履约的，且供应商未按照规定证明其报价</w:t>
      </w:r>
      <w:r>
        <w:rPr>
          <w:rFonts w:ascii="仿宋" w:hAnsi="仿宋" w:eastAsia="仿宋" w:cs="仿宋"/>
          <w:b/>
          <w:bCs/>
          <w:spacing w:val="-3"/>
          <w:sz w:val="24"/>
          <w:szCs w:val="24"/>
        </w:rPr>
        <w:t>合理性的；</w:t>
      </w:r>
    </w:p>
    <w:p w14:paraId="06F34D35">
      <w:pPr>
        <w:spacing w:before="43" w:line="222" w:lineRule="auto"/>
        <w:ind w:left="20"/>
        <w:rPr>
          <w:rFonts w:ascii="仿宋" w:hAnsi="仿宋" w:eastAsia="仿宋" w:cs="仿宋"/>
          <w:sz w:val="24"/>
          <w:szCs w:val="24"/>
        </w:rPr>
      </w:pPr>
      <w:r>
        <w:rPr>
          <w:rFonts w:ascii="仿宋" w:hAnsi="仿宋" w:eastAsia="仿宋" w:cs="仿宋"/>
          <w:b/>
          <w:bCs/>
          <w:spacing w:val="-3"/>
          <w:sz w:val="24"/>
          <w:szCs w:val="24"/>
        </w:rPr>
        <w:t>（7）投标文件含有采购人不能接受的附加条件的；</w:t>
      </w:r>
    </w:p>
    <w:p w14:paraId="6B354607">
      <w:pPr>
        <w:spacing w:before="177" w:line="220" w:lineRule="auto"/>
        <w:ind w:left="20"/>
        <w:rPr>
          <w:rFonts w:ascii="仿宋" w:hAnsi="仿宋" w:eastAsia="仿宋" w:cs="仿宋"/>
          <w:sz w:val="24"/>
          <w:szCs w:val="24"/>
        </w:rPr>
      </w:pPr>
      <w:r>
        <w:rPr>
          <w:rFonts w:ascii="仿宋" w:hAnsi="仿宋" w:eastAsia="仿宋" w:cs="仿宋"/>
          <w:b/>
          <w:bCs/>
          <w:spacing w:val="-3"/>
          <w:sz w:val="24"/>
          <w:szCs w:val="24"/>
        </w:rPr>
        <w:t>（8）不符合法规和采购文件中规定的其他实质性要求的。</w:t>
      </w:r>
    </w:p>
    <w:p w14:paraId="46713121">
      <w:pPr>
        <w:spacing w:before="182" w:line="222" w:lineRule="auto"/>
        <w:ind w:left="10"/>
        <w:outlineLvl w:val="1"/>
        <w:rPr>
          <w:rFonts w:ascii="仿宋" w:hAnsi="仿宋" w:eastAsia="仿宋" w:cs="仿宋"/>
          <w:sz w:val="24"/>
          <w:szCs w:val="24"/>
        </w:rPr>
      </w:pPr>
      <w:bookmarkStart w:id="70" w:name="_Toc3044"/>
      <w:r>
        <w:rPr>
          <w:rFonts w:ascii="仿宋" w:hAnsi="仿宋" w:eastAsia="仿宋" w:cs="仿宋"/>
          <w:b/>
          <w:bCs/>
          <w:spacing w:val="-7"/>
          <w:sz w:val="24"/>
          <w:szCs w:val="24"/>
        </w:rPr>
        <w:t>23.比较与评价</w:t>
      </w:r>
      <w:bookmarkEnd w:id="70"/>
    </w:p>
    <w:p w14:paraId="74F6DDA7">
      <w:pPr>
        <w:spacing w:before="178" w:line="344" w:lineRule="auto"/>
        <w:ind w:left="14" w:right="338" w:firstLine="476"/>
        <w:rPr>
          <w:rFonts w:ascii="仿宋" w:hAnsi="仿宋" w:eastAsia="仿宋" w:cs="仿宋"/>
          <w:sz w:val="24"/>
          <w:szCs w:val="24"/>
        </w:rPr>
      </w:pPr>
      <w:r>
        <w:rPr>
          <w:rFonts w:ascii="仿宋" w:hAnsi="仿宋" w:eastAsia="仿宋" w:cs="仿宋"/>
          <w:sz w:val="24"/>
          <w:szCs w:val="24"/>
        </w:rPr>
        <w:t>23.1经符合性审查合格的投标文件，评标委</w:t>
      </w:r>
      <w:r>
        <w:rPr>
          <w:rFonts w:ascii="仿宋" w:hAnsi="仿宋" w:eastAsia="仿宋" w:cs="仿宋"/>
          <w:spacing w:val="-1"/>
          <w:sz w:val="24"/>
          <w:szCs w:val="24"/>
        </w:rPr>
        <w:t>员会将根据采购文件确定的评</w:t>
      </w:r>
      <w:r>
        <w:rPr>
          <w:rFonts w:ascii="仿宋" w:hAnsi="仿宋" w:eastAsia="仿宋" w:cs="仿宋"/>
          <w:sz w:val="24"/>
          <w:szCs w:val="24"/>
        </w:rPr>
        <w:t xml:space="preserve"> </w:t>
      </w:r>
      <w:r>
        <w:rPr>
          <w:rFonts w:ascii="仿宋" w:hAnsi="仿宋" w:eastAsia="仿宋" w:cs="仿宋"/>
          <w:spacing w:val="-1"/>
          <w:sz w:val="24"/>
          <w:szCs w:val="24"/>
        </w:rPr>
        <w:t>标方法和标准，对其技术部分和商务部分作进一步的比较和评价。</w:t>
      </w:r>
    </w:p>
    <w:p w14:paraId="460A5F2B">
      <w:pPr>
        <w:spacing w:before="39" w:line="344" w:lineRule="auto"/>
        <w:ind w:left="16" w:right="37" w:firstLine="474"/>
        <w:rPr>
          <w:rFonts w:ascii="仿宋" w:hAnsi="仿宋" w:eastAsia="仿宋" w:cs="仿宋"/>
          <w:sz w:val="24"/>
          <w:szCs w:val="24"/>
        </w:rPr>
      </w:pPr>
      <w:r>
        <w:rPr>
          <w:rFonts w:ascii="仿宋" w:hAnsi="仿宋" w:eastAsia="仿宋" w:cs="仿宋"/>
          <w:sz w:val="24"/>
          <w:szCs w:val="24"/>
        </w:rPr>
        <w:t>23.2评标严格按照采购文件的要求和条件进</w:t>
      </w:r>
      <w:r>
        <w:rPr>
          <w:rFonts w:ascii="仿宋" w:hAnsi="仿宋" w:eastAsia="仿宋" w:cs="仿宋"/>
          <w:spacing w:val="-1"/>
          <w:sz w:val="24"/>
          <w:szCs w:val="24"/>
        </w:rPr>
        <w:t>行。根据实际情况，在供应商</w:t>
      </w:r>
      <w:r>
        <w:rPr>
          <w:rFonts w:ascii="仿宋" w:hAnsi="仿宋" w:eastAsia="仿宋" w:cs="仿宋"/>
          <w:sz w:val="24"/>
          <w:szCs w:val="24"/>
        </w:rPr>
        <w:t xml:space="preserve">   </w:t>
      </w:r>
      <w:r>
        <w:rPr>
          <w:rFonts w:ascii="仿宋" w:hAnsi="仿宋" w:eastAsia="仿宋" w:cs="仿宋"/>
          <w:spacing w:val="-2"/>
          <w:sz w:val="24"/>
          <w:szCs w:val="24"/>
        </w:rPr>
        <w:t>须知资料表中规定采用下列一种评标方法，具体办法详见第6章评标方</w:t>
      </w:r>
      <w:r>
        <w:rPr>
          <w:rFonts w:ascii="仿宋" w:hAnsi="仿宋" w:eastAsia="仿宋" w:cs="仿宋"/>
          <w:spacing w:val="-3"/>
          <w:sz w:val="24"/>
          <w:szCs w:val="24"/>
        </w:rPr>
        <w:t>法和标准：</w:t>
      </w:r>
    </w:p>
    <w:p w14:paraId="29676B43">
      <w:pPr>
        <w:spacing w:before="38" w:line="291" w:lineRule="auto"/>
        <w:ind w:left="15" w:right="218" w:firstLine="485"/>
        <w:rPr>
          <w:rFonts w:ascii="仿宋" w:hAnsi="仿宋" w:eastAsia="仿宋" w:cs="仿宋"/>
          <w:sz w:val="24"/>
          <w:szCs w:val="24"/>
        </w:rPr>
      </w:pPr>
      <w:r>
        <w:rPr>
          <w:rFonts w:ascii="仿宋" w:hAnsi="仿宋" w:eastAsia="仿宋" w:cs="仿宋"/>
          <w:spacing w:val="-1"/>
          <w:sz w:val="24"/>
          <w:szCs w:val="24"/>
        </w:rPr>
        <w:t>（1）最低评标价法，是指投标文件满足采购文件全部实质性要求，且投标</w:t>
      </w:r>
      <w:r>
        <w:rPr>
          <w:rFonts w:ascii="仿宋" w:hAnsi="仿宋" w:eastAsia="仿宋" w:cs="仿宋"/>
          <w:spacing w:val="11"/>
          <w:sz w:val="24"/>
          <w:szCs w:val="24"/>
        </w:rPr>
        <w:t xml:space="preserve"> </w:t>
      </w:r>
      <w:r>
        <w:rPr>
          <w:rFonts w:ascii="仿宋" w:hAnsi="仿宋" w:eastAsia="仿宋" w:cs="仿宋"/>
          <w:spacing w:val="-1"/>
          <w:sz w:val="24"/>
          <w:szCs w:val="24"/>
        </w:rPr>
        <w:t>报价最低的供应商为中标候选人的评标方法。</w:t>
      </w:r>
    </w:p>
    <w:p w14:paraId="4E87AB88">
      <w:pPr>
        <w:spacing w:before="180" w:line="290" w:lineRule="auto"/>
        <w:ind w:left="34" w:right="218" w:firstLine="466"/>
        <w:rPr>
          <w:rFonts w:ascii="仿宋" w:hAnsi="仿宋" w:eastAsia="仿宋" w:cs="仿宋"/>
          <w:sz w:val="24"/>
          <w:szCs w:val="24"/>
        </w:rPr>
      </w:pPr>
      <w:r>
        <w:rPr>
          <w:rFonts w:ascii="仿宋" w:hAnsi="仿宋" w:eastAsia="仿宋" w:cs="仿宋"/>
          <w:spacing w:val="-1"/>
          <w:sz w:val="24"/>
          <w:szCs w:val="24"/>
        </w:rPr>
        <w:t>（2）综合评分法，是指投标文件满足采购文件全部实质性要求，且按照评</w:t>
      </w:r>
      <w:r>
        <w:rPr>
          <w:rFonts w:ascii="仿宋" w:hAnsi="仿宋" w:eastAsia="仿宋" w:cs="仿宋"/>
          <w:spacing w:val="11"/>
          <w:sz w:val="24"/>
          <w:szCs w:val="24"/>
        </w:rPr>
        <w:t xml:space="preserve"> </w:t>
      </w:r>
      <w:r>
        <w:rPr>
          <w:rFonts w:ascii="仿宋" w:hAnsi="仿宋" w:eastAsia="仿宋" w:cs="仿宋"/>
          <w:spacing w:val="-1"/>
          <w:sz w:val="24"/>
          <w:szCs w:val="24"/>
        </w:rPr>
        <w:t>审因素的量化指标评审得分最高的供应商为中标候选人</w:t>
      </w:r>
      <w:r>
        <w:rPr>
          <w:rFonts w:ascii="仿宋" w:hAnsi="仿宋" w:eastAsia="仿宋" w:cs="仿宋"/>
          <w:spacing w:val="-2"/>
          <w:sz w:val="24"/>
          <w:szCs w:val="24"/>
        </w:rPr>
        <w:t>的评标方法。</w:t>
      </w:r>
    </w:p>
    <w:p w14:paraId="13794958">
      <w:pPr>
        <w:spacing w:before="177" w:line="221" w:lineRule="auto"/>
        <w:ind w:left="490"/>
        <w:rPr>
          <w:rFonts w:ascii="仿宋" w:hAnsi="仿宋" w:eastAsia="仿宋" w:cs="仿宋"/>
          <w:sz w:val="24"/>
          <w:szCs w:val="24"/>
        </w:rPr>
      </w:pPr>
      <w:r>
        <w:rPr>
          <w:rFonts w:ascii="仿宋" w:hAnsi="仿宋" w:eastAsia="仿宋" w:cs="仿宋"/>
          <w:sz w:val="24"/>
          <w:szCs w:val="24"/>
        </w:rPr>
        <w:t>23.3根据《政府采购促进中小企业发展管理办法》（</w:t>
      </w:r>
      <w:r>
        <w:rPr>
          <w:rFonts w:ascii="仿宋" w:hAnsi="仿宋" w:eastAsia="仿宋" w:cs="仿宋"/>
          <w:spacing w:val="-1"/>
          <w:sz w:val="24"/>
          <w:szCs w:val="24"/>
        </w:rPr>
        <w:t>财库[2020]46号）、</w:t>
      </w:r>
    </w:p>
    <w:p w14:paraId="35217229">
      <w:pPr>
        <w:spacing w:before="181" w:line="222" w:lineRule="auto"/>
        <w:ind w:left="14"/>
        <w:rPr>
          <w:rFonts w:ascii="仿宋" w:hAnsi="仿宋" w:eastAsia="仿宋" w:cs="仿宋"/>
          <w:sz w:val="24"/>
          <w:szCs w:val="24"/>
        </w:rPr>
      </w:pPr>
      <w:r>
        <w:rPr>
          <w:rFonts w:ascii="仿宋" w:hAnsi="仿宋" w:eastAsia="仿宋" w:cs="仿宋"/>
          <w:spacing w:val="-1"/>
          <w:sz w:val="24"/>
          <w:szCs w:val="24"/>
        </w:rPr>
        <w:t>《财政部司法部关于政府采购支持监狱企业发展有关问题的通知》（财库</w:t>
      </w:r>
    </w:p>
    <w:p w14:paraId="061692BB">
      <w:pPr>
        <w:spacing w:before="177" w:line="344" w:lineRule="auto"/>
        <w:ind w:left="20" w:right="113" w:firstLine="20"/>
        <w:rPr>
          <w:rFonts w:ascii="仿宋" w:hAnsi="仿宋" w:eastAsia="仿宋" w:cs="仿宋"/>
          <w:sz w:val="24"/>
          <w:szCs w:val="24"/>
        </w:rPr>
      </w:pPr>
      <w:r>
        <w:rPr>
          <w:rFonts w:ascii="仿宋" w:hAnsi="仿宋" w:eastAsia="仿宋" w:cs="仿宋"/>
          <w:spacing w:val="-1"/>
          <w:sz w:val="24"/>
          <w:szCs w:val="24"/>
        </w:rPr>
        <w:t>〔2014〕68号）和《三部门联合发布</w:t>
      </w:r>
      <w:r>
        <w:rPr>
          <w:rFonts w:ascii="仿宋" w:hAnsi="仿宋" w:eastAsia="仿宋" w:cs="仿宋"/>
          <w:spacing w:val="-2"/>
          <w:sz w:val="24"/>
          <w:szCs w:val="24"/>
        </w:rPr>
        <w:t>关于促进残疾人就业政府采购政策的通知》</w:t>
      </w:r>
      <w:r>
        <w:rPr>
          <w:rFonts w:ascii="仿宋" w:hAnsi="仿宋" w:eastAsia="仿宋" w:cs="仿宋"/>
          <w:sz w:val="24"/>
          <w:szCs w:val="24"/>
        </w:rPr>
        <w:t xml:space="preserve"> </w:t>
      </w:r>
      <w:r>
        <w:rPr>
          <w:rFonts w:ascii="仿宋" w:hAnsi="仿宋" w:eastAsia="仿宋" w:cs="仿宋"/>
          <w:spacing w:val="-1"/>
          <w:sz w:val="24"/>
          <w:szCs w:val="24"/>
        </w:rPr>
        <w:t>（财库〔2017〕141号）的规定，对满足价格扣除条件且在投标文件中提交了《</w:t>
      </w:r>
    </w:p>
    <w:p w14:paraId="39DEF57D">
      <w:pPr>
        <w:spacing w:before="41" w:line="349" w:lineRule="auto"/>
        <w:ind w:left="14" w:right="218" w:firstLine="1"/>
        <w:jc w:val="both"/>
        <w:rPr>
          <w:rFonts w:ascii="仿宋" w:hAnsi="仿宋" w:eastAsia="仿宋" w:cs="仿宋"/>
          <w:sz w:val="24"/>
          <w:szCs w:val="24"/>
        </w:rPr>
      </w:pPr>
      <w:r>
        <w:rPr>
          <w:rFonts w:ascii="仿宋" w:hAnsi="仿宋" w:eastAsia="仿宋" w:cs="仿宋"/>
          <w:spacing w:val="-1"/>
          <w:sz w:val="24"/>
          <w:szCs w:val="24"/>
        </w:rPr>
        <w:t>供应商企业类型声明函》或省级以上监狱管理局、戒毒管理局（含新疆生产建</w:t>
      </w:r>
      <w:r>
        <w:rPr>
          <w:rFonts w:ascii="仿宋" w:hAnsi="仿宋" w:eastAsia="仿宋" w:cs="仿宋"/>
          <w:spacing w:val="8"/>
          <w:sz w:val="24"/>
          <w:szCs w:val="24"/>
        </w:rPr>
        <w:t xml:space="preserve">  </w:t>
      </w:r>
      <w:r>
        <w:rPr>
          <w:rFonts w:ascii="仿宋" w:hAnsi="仿宋" w:eastAsia="仿宋" w:cs="仿宋"/>
          <w:sz w:val="24"/>
          <w:szCs w:val="24"/>
        </w:rPr>
        <w:t>设兵团）出具的属于监狱企业的证明文件的供</w:t>
      </w:r>
      <w:r>
        <w:rPr>
          <w:rFonts w:ascii="仿宋" w:hAnsi="仿宋" w:eastAsia="仿宋" w:cs="仿宋"/>
          <w:spacing w:val="-1"/>
          <w:sz w:val="24"/>
          <w:szCs w:val="24"/>
        </w:rPr>
        <w:t>应商，其投标报价扣除6-10%后参</w:t>
      </w:r>
      <w:r>
        <w:rPr>
          <w:rFonts w:ascii="仿宋" w:hAnsi="仿宋" w:eastAsia="仿宋" w:cs="仿宋"/>
          <w:sz w:val="24"/>
          <w:szCs w:val="24"/>
        </w:rPr>
        <w:t xml:space="preserve"> </w:t>
      </w:r>
      <w:r>
        <w:rPr>
          <w:rFonts w:ascii="仿宋" w:hAnsi="仿宋" w:eastAsia="仿宋" w:cs="仿宋"/>
          <w:spacing w:val="-1"/>
          <w:sz w:val="24"/>
          <w:szCs w:val="24"/>
        </w:rPr>
        <w:t>与评审。具体办法详见采购文件第6章评标方法和标准。</w:t>
      </w:r>
    </w:p>
    <w:p w14:paraId="6B3A5629">
      <w:pPr>
        <w:spacing w:before="63" w:line="222" w:lineRule="auto"/>
        <w:ind w:left="16"/>
        <w:rPr>
          <w:rFonts w:ascii="仿宋" w:hAnsi="仿宋" w:eastAsia="仿宋" w:cs="仿宋"/>
          <w:sz w:val="24"/>
          <w:szCs w:val="24"/>
        </w:rPr>
      </w:pPr>
      <w:r>
        <w:rPr>
          <w:rFonts w:ascii="仿宋" w:hAnsi="仿宋" w:eastAsia="仿宋" w:cs="仿宋"/>
          <w:b/>
          <w:bCs/>
          <w:spacing w:val="-5"/>
          <w:sz w:val="24"/>
          <w:szCs w:val="24"/>
        </w:rPr>
        <w:t>本项目采用招标方式：公开招标，评分方法：综合</w:t>
      </w:r>
      <w:r>
        <w:rPr>
          <w:rFonts w:ascii="仿宋" w:hAnsi="仿宋" w:eastAsia="仿宋" w:cs="仿宋"/>
          <w:b/>
          <w:bCs/>
          <w:spacing w:val="-6"/>
          <w:sz w:val="24"/>
          <w:szCs w:val="24"/>
        </w:rPr>
        <w:t>评分法。</w:t>
      </w:r>
    </w:p>
    <w:p w14:paraId="2980DC58">
      <w:pPr>
        <w:spacing w:before="199" w:line="222" w:lineRule="auto"/>
        <w:ind w:left="49"/>
        <w:outlineLvl w:val="1"/>
        <w:rPr>
          <w:rFonts w:ascii="仿宋" w:hAnsi="仿宋" w:eastAsia="仿宋" w:cs="仿宋"/>
          <w:sz w:val="24"/>
          <w:szCs w:val="24"/>
        </w:rPr>
      </w:pPr>
      <w:bookmarkStart w:id="71" w:name="_Toc22054"/>
      <w:r>
        <w:rPr>
          <w:rFonts w:ascii="仿宋" w:hAnsi="仿宋" w:eastAsia="仿宋" w:cs="仿宋"/>
          <w:b/>
          <w:bCs/>
          <w:spacing w:val="-8"/>
          <w:sz w:val="24"/>
          <w:szCs w:val="24"/>
        </w:rPr>
        <w:t>24.废标</w:t>
      </w:r>
      <w:bookmarkEnd w:id="71"/>
    </w:p>
    <w:p w14:paraId="3BCD7703">
      <w:pPr>
        <w:spacing w:before="200" w:line="222" w:lineRule="auto"/>
        <w:ind w:left="507"/>
        <w:rPr>
          <w:rFonts w:ascii="仿宋" w:hAnsi="仿宋" w:eastAsia="仿宋" w:cs="仿宋"/>
          <w:sz w:val="24"/>
          <w:szCs w:val="24"/>
        </w:rPr>
      </w:pPr>
      <w:r>
        <w:rPr>
          <w:rFonts w:ascii="仿宋" w:hAnsi="仿宋" w:eastAsia="仿宋" w:cs="仿宋"/>
          <w:spacing w:val="-6"/>
          <w:sz w:val="24"/>
          <w:szCs w:val="24"/>
        </w:rPr>
        <w:t>出现下列情形之一，将导致项目废标：</w:t>
      </w:r>
    </w:p>
    <w:p w14:paraId="052D0F99">
      <w:pPr>
        <w:spacing w:before="177" w:line="220" w:lineRule="auto"/>
        <w:ind w:left="20"/>
        <w:rPr>
          <w:rFonts w:ascii="仿宋" w:hAnsi="仿宋" w:eastAsia="仿宋" w:cs="仿宋"/>
          <w:sz w:val="24"/>
          <w:szCs w:val="24"/>
        </w:rPr>
      </w:pPr>
      <w:r>
        <w:rPr>
          <w:rFonts w:ascii="仿宋" w:hAnsi="仿宋" w:eastAsia="仿宋" w:cs="仿宋"/>
          <w:b/>
          <w:bCs/>
          <w:spacing w:val="-2"/>
          <w:sz w:val="24"/>
          <w:szCs w:val="24"/>
        </w:rPr>
        <w:t>（1）符合专业条件的供应商或者对采购文件做实质性响应</w:t>
      </w:r>
      <w:r>
        <w:rPr>
          <w:rFonts w:ascii="仿宋" w:hAnsi="仿宋" w:eastAsia="仿宋" w:cs="仿宋"/>
          <w:b/>
          <w:bCs/>
          <w:spacing w:val="-3"/>
          <w:sz w:val="24"/>
          <w:szCs w:val="24"/>
        </w:rPr>
        <w:t>的供应商不足三家；</w:t>
      </w:r>
    </w:p>
    <w:p w14:paraId="5F07E76B">
      <w:pPr>
        <w:spacing w:before="182" w:line="221" w:lineRule="auto"/>
        <w:ind w:left="20"/>
        <w:rPr>
          <w:rFonts w:ascii="仿宋" w:hAnsi="仿宋" w:eastAsia="仿宋" w:cs="仿宋"/>
          <w:sz w:val="24"/>
          <w:szCs w:val="24"/>
        </w:rPr>
      </w:pPr>
      <w:r>
        <w:rPr>
          <w:rFonts w:ascii="仿宋" w:hAnsi="仿宋" w:eastAsia="仿宋" w:cs="仿宋"/>
          <w:b/>
          <w:bCs/>
          <w:spacing w:val="-3"/>
          <w:sz w:val="24"/>
          <w:szCs w:val="24"/>
        </w:rPr>
        <w:t>（2）出现影响采购公正的违法、违规行为的；</w:t>
      </w:r>
    </w:p>
    <w:p w14:paraId="508227AD">
      <w:pPr>
        <w:spacing w:before="178" w:line="222" w:lineRule="auto"/>
        <w:ind w:left="20"/>
        <w:rPr>
          <w:rFonts w:ascii="仿宋" w:hAnsi="仿宋" w:eastAsia="仿宋" w:cs="仿宋"/>
          <w:sz w:val="24"/>
          <w:szCs w:val="24"/>
        </w:rPr>
      </w:pPr>
      <w:r>
        <w:rPr>
          <w:rFonts w:ascii="仿宋" w:hAnsi="仿宋" w:eastAsia="仿宋" w:cs="仿宋"/>
          <w:b/>
          <w:bCs/>
          <w:spacing w:val="-3"/>
          <w:sz w:val="24"/>
          <w:szCs w:val="24"/>
        </w:rPr>
        <w:t>（3）供应商的报价均超过了采购预算，采购人不能支付的；</w:t>
      </w:r>
    </w:p>
    <w:p w14:paraId="634CC0BC">
      <w:pPr>
        <w:spacing w:line="222" w:lineRule="auto"/>
        <w:rPr>
          <w:rFonts w:ascii="仿宋" w:hAnsi="仿宋" w:eastAsia="仿宋" w:cs="仿宋"/>
          <w:sz w:val="24"/>
          <w:szCs w:val="24"/>
        </w:rPr>
        <w:sectPr>
          <w:footerReference r:id="rId17" w:type="default"/>
          <w:pgSz w:w="11907" w:h="16840"/>
          <w:pgMar w:top="1418" w:right="1622" w:bottom="1204" w:left="1786" w:header="0" w:footer="1035" w:gutter="0"/>
          <w:pgNumType w:fmt="decimal"/>
          <w:cols w:space="720" w:num="1"/>
        </w:sectPr>
      </w:pPr>
    </w:p>
    <w:p w14:paraId="02FEBF5E">
      <w:pPr>
        <w:spacing w:before="48" w:line="222" w:lineRule="auto"/>
        <w:ind w:left="20"/>
        <w:rPr>
          <w:rFonts w:ascii="仿宋" w:hAnsi="仿宋" w:eastAsia="仿宋" w:cs="仿宋"/>
          <w:sz w:val="24"/>
          <w:szCs w:val="24"/>
        </w:rPr>
      </w:pPr>
      <w:r>
        <w:rPr>
          <w:rFonts w:ascii="仿宋" w:hAnsi="仿宋" w:eastAsia="仿宋" w:cs="仿宋"/>
          <w:b/>
          <w:bCs/>
          <w:spacing w:val="-3"/>
          <w:sz w:val="24"/>
          <w:szCs w:val="24"/>
        </w:rPr>
        <w:t>（4）因重大变故，采购任务取消的。</w:t>
      </w:r>
    </w:p>
    <w:p w14:paraId="0C6B733D">
      <w:pPr>
        <w:spacing w:before="201" w:line="221" w:lineRule="auto"/>
        <w:ind w:left="49"/>
        <w:outlineLvl w:val="1"/>
        <w:rPr>
          <w:rFonts w:ascii="仿宋" w:hAnsi="仿宋" w:eastAsia="仿宋" w:cs="仿宋"/>
          <w:sz w:val="24"/>
          <w:szCs w:val="24"/>
        </w:rPr>
      </w:pPr>
      <w:bookmarkStart w:id="72" w:name="_Toc19682"/>
      <w:r>
        <w:rPr>
          <w:rFonts w:ascii="仿宋" w:hAnsi="仿宋" w:eastAsia="仿宋" w:cs="仿宋"/>
          <w:b/>
          <w:bCs/>
          <w:spacing w:val="-7"/>
          <w:sz w:val="24"/>
          <w:szCs w:val="24"/>
        </w:rPr>
        <w:t>25.保密原则</w:t>
      </w:r>
      <w:bookmarkEnd w:id="72"/>
    </w:p>
    <w:p w14:paraId="16F66504">
      <w:pPr>
        <w:spacing w:before="179" w:line="219" w:lineRule="auto"/>
        <w:ind w:left="490"/>
        <w:outlineLvl w:val="2"/>
        <w:rPr>
          <w:rFonts w:ascii="仿宋" w:hAnsi="仿宋" w:eastAsia="仿宋" w:cs="仿宋"/>
          <w:sz w:val="24"/>
          <w:szCs w:val="24"/>
        </w:rPr>
      </w:pPr>
      <w:bookmarkStart w:id="73" w:name="_Toc23382"/>
      <w:r>
        <w:rPr>
          <w:rFonts w:ascii="仿宋" w:hAnsi="仿宋" w:eastAsia="仿宋" w:cs="仿宋"/>
          <w:spacing w:val="-1"/>
          <w:sz w:val="24"/>
          <w:szCs w:val="24"/>
        </w:rPr>
        <w:t>25.1评标将在严格保密的情况下进行。</w:t>
      </w:r>
      <w:bookmarkEnd w:id="73"/>
    </w:p>
    <w:p w14:paraId="31529489">
      <w:pPr>
        <w:spacing w:before="183" w:line="345" w:lineRule="auto"/>
        <w:ind w:left="21" w:right="175" w:firstLine="469"/>
        <w:rPr>
          <w:rFonts w:ascii="仿宋" w:hAnsi="仿宋" w:eastAsia="仿宋" w:cs="仿宋"/>
          <w:sz w:val="24"/>
          <w:szCs w:val="24"/>
        </w:rPr>
      </w:pPr>
      <w:r>
        <w:rPr>
          <w:rFonts w:ascii="仿宋" w:hAnsi="仿宋" w:eastAsia="仿宋" w:cs="仿宋"/>
          <w:sz w:val="24"/>
          <w:szCs w:val="24"/>
        </w:rPr>
        <w:t>25.2政府采购评审专家应当遵守评审工作纪</w:t>
      </w:r>
      <w:r>
        <w:rPr>
          <w:rFonts w:ascii="仿宋" w:hAnsi="仿宋" w:eastAsia="仿宋" w:cs="仿宋"/>
          <w:spacing w:val="-1"/>
          <w:sz w:val="24"/>
          <w:szCs w:val="24"/>
        </w:rPr>
        <w:t>律，不得泄露评审文件、评审</w:t>
      </w:r>
      <w:r>
        <w:rPr>
          <w:rFonts w:ascii="仿宋" w:hAnsi="仿宋" w:eastAsia="仿宋" w:cs="仿宋"/>
          <w:sz w:val="24"/>
          <w:szCs w:val="24"/>
        </w:rPr>
        <w:t xml:space="preserve"> </w:t>
      </w:r>
      <w:r>
        <w:rPr>
          <w:rFonts w:ascii="仿宋" w:hAnsi="仿宋" w:eastAsia="仿宋" w:cs="仿宋"/>
          <w:spacing w:val="-2"/>
          <w:sz w:val="24"/>
          <w:szCs w:val="24"/>
        </w:rPr>
        <w:t>情况和评审中获悉的商业秘密。</w:t>
      </w:r>
    </w:p>
    <w:p w14:paraId="00C23138">
      <w:pPr>
        <w:spacing w:before="135" w:line="223" w:lineRule="auto"/>
        <w:ind w:left="3149"/>
        <w:outlineLvl w:val="1"/>
        <w:rPr>
          <w:rFonts w:ascii="仿宋" w:hAnsi="仿宋" w:eastAsia="仿宋" w:cs="仿宋"/>
          <w:sz w:val="28"/>
          <w:szCs w:val="28"/>
        </w:rPr>
      </w:pPr>
      <w:bookmarkStart w:id="74" w:name="bookmark31"/>
      <w:bookmarkEnd w:id="74"/>
      <w:bookmarkStart w:id="75" w:name="_Toc15988"/>
      <w:r>
        <w:rPr>
          <w:rFonts w:ascii="仿宋" w:hAnsi="仿宋" w:eastAsia="仿宋" w:cs="仿宋"/>
          <w:b/>
          <w:bCs/>
          <w:spacing w:val="-10"/>
          <w:sz w:val="28"/>
          <w:szCs w:val="28"/>
        </w:rPr>
        <w:t>六</w:t>
      </w:r>
      <w:r>
        <w:rPr>
          <w:rFonts w:ascii="仿宋" w:hAnsi="仿宋" w:eastAsia="仿宋" w:cs="仿宋"/>
          <w:spacing w:val="-10"/>
          <w:sz w:val="28"/>
          <w:szCs w:val="28"/>
        </w:rPr>
        <w:t xml:space="preserve">  </w:t>
      </w:r>
      <w:r>
        <w:rPr>
          <w:rFonts w:ascii="仿宋" w:hAnsi="仿宋" w:eastAsia="仿宋" w:cs="仿宋"/>
          <w:b/>
          <w:bCs/>
          <w:spacing w:val="-10"/>
          <w:sz w:val="28"/>
          <w:szCs w:val="28"/>
        </w:rPr>
        <w:t>确定中标</w:t>
      </w:r>
      <w:bookmarkEnd w:id="75"/>
    </w:p>
    <w:p w14:paraId="17ACE6C0">
      <w:pPr>
        <w:spacing w:before="277" w:line="222" w:lineRule="auto"/>
        <w:ind w:left="49"/>
        <w:outlineLvl w:val="1"/>
        <w:rPr>
          <w:rFonts w:ascii="仿宋" w:hAnsi="仿宋" w:eastAsia="仿宋" w:cs="仿宋"/>
          <w:sz w:val="24"/>
          <w:szCs w:val="24"/>
        </w:rPr>
      </w:pPr>
      <w:bookmarkStart w:id="76" w:name="_Toc30297"/>
      <w:r>
        <w:rPr>
          <w:rFonts w:ascii="仿宋" w:hAnsi="仿宋" w:eastAsia="仿宋" w:cs="仿宋"/>
          <w:b/>
          <w:bCs/>
          <w:spacing w:val="-6"/>
          <w:sz w:val="24"/>
          <w:szCs w:val="24"/>
        </w:rPr>
        <w:t>26.中标候选人的确定原则及标准</w:t>
      </w:r>
      <w:bookmarkEnd w:id="76"/>
    </w:p>
    <w:p w14:paraId="0E13F0EB">
      <w:pPr>
        <w:spacing w:before="177" w:line="345" w:lineRule="auto"/>
        <w:ind w:left="16" w:right="230" w:firstLine="490"/>
        <w:rPr>
          <w:rFonts w:ascii="仿宋" w:hAnsi="仿宋" w:eastAsia="仿宋" w:cs="仿宋"/>
          <w:sz w:val="24"/>
          <w:szCs w:val="24"/>
        </w:rPr>
      </w:pPr>
      <w:r>
        <w:rPr>
          <w:rFonts w:ascii="仿宋" w:hAnsi="仿宋" w:eastAsia="仿宋" w:cs="仿宋"/>
          <w:spacing w:val="-3"/>
          <w:sz w:val="24"/>
          <w:szCs w:val="24"/>
        </w:rPr>
        <w:t>除第28条规定外，对实质上响应采购文件的供应商按下列方法进行排序，</w:t>
      </w:r>
      <w:r>
        <w:rPr>
          <w:rFonts w:ascii="仿宋" w:hAnsi="仿宋" w:eastAsia="仿宋" w:cs="仿宋"/>
          <w:spacing w:val="16"/>
          <w:sz w:val="24"/>
          <w:szCs w:val="24"/>
        </w:rPr>
        <w:t xml:space="preserve"> </w:t>
      </w:r>
      <w:r>
        <w:rPr>
          <w:rFonts w:ascii="仿宋" w:hAnsi="仿宋" w:eastAsia="仿宋" w:cs="仿宋"/>
          <w:spacing w:val="-3"/>
          <w:sz w:val="24"/>
          <w:szCs w:val="24"/>
        </w:rPr>
        <w:t>确定中标候选人：</w:t>
      </w:r>
    </w:p>
    <w:p w14:paraId="12C558B4">
      <w:pPr>
        <w:spacing w:before="37" w:line="325" w:lineRule="auto"/>
        <w:ind w:left="14" w:right="55" w:firstLine="485"/>
        <w:rPr>
          <w:rFonts w:ascii="仿宋" w:hAnsi="仿宋" w:eastAsia="仿宋" w:cs="仿宋"/>
          <w:sz w:val="24"/>
          <w:szCs w:val="24"/>
        </w:rPr>
      </w:pPr>
      <w:r>
        <w:rPr>
          <w:rFonts w:ascii="仿宋" w:hAnsi="仿宋" w:eastAsia="仿宋" w:cs="仿宋"/>
          <w:spacing w:val="-1"/>
          <w:sz w:val="24"/>
          <w:szCs w:val="24"/>
        </w:rPr>
        <w:t>（1）采用最低评标价法的，除了算术修正和落实政府采购政策需进行的价</w:t>
      </w:r>
      <w:r>
        <w:rPr>
          <w:rFonts w:ascii="仿宋" w:hAnsi="仿宋" w:eastAsia="仿宋" w:cs="仿宋"/>
          <w:spacing w:val="11"/>
          <w:sz w:val="24"/>
          <w:szCs w:val="24"/>
        </w:rPr>
        <w:t xml:space="preserve"> </w:t>
      </w:r>
      <w:r>
        <w:rPr>
          <w:rFonts w:ascii="仿宋" w:hAnsi="仿宋" w:eastAsia="仿宋" w:cs="仿宋"/>
          <w:spacing w:val="-1"/>
          <w:sz w:val="24"/>
          <w:szCs w:val="24"/>
        </w:rPr>
        <w:t>格扣除外，不对供应商的投标价格进行任何调整。评标结果按修正和扣除后的</w:t>
      </w:r>
      <w:r>
        <w:rPr>
          <w:rFonts w:ascii="仿宋" w:hAnsi="仿宋" w:eastAsia="仿宋" w:cs="仿宋"/>
          <w:spacing w:val="8"/>
          <w:sz w:val="24"/>
          <w:szCs w:val="24"/>
        </w:rPr>
        <w:t xml:space="preserve">  </w:t>
      </w:r>
      <w:r>
        <w:rPr>
          <w:rFonts w:ascii="仿宋" w:hAnsi="仿宋" w:eastAsia="仿宋" w:cs="仿宋"/>
          <w:spacing w:val="-1"/>
          <w:sz w:val="24"/>
          <w:szCs w:val="24"/>
        </w:rPr>
        <w:t>投标报价由低到高顺序排列。报价相同的处理方式详见采购文件四、综合评分</w:t>
      </w:r>
      <w:r>
        <w:rPr>
          <w:rFonts w:ascii="仿宋" w:hAnsi="仿宋" w:eastAsia="仿宋" w:cs="仿宋"/>
          <w:spacing w:val="8"/>
          <w:sz w:val="24"/>
          <w:szCs w:val="24"/>
        </w:rPr>
        <w:t xml:space="preserve">  </w:t>
      </w:r>
      <w:r>
        <w:rPr>
          <w:rFonts w:ascii="仿宋" w:hAnsi="仿宋" w:eastAsia="仿宋" w:cs="仿宋"/>
          <w:spacing w:val="-3"/>
          <w:sz w:val="24"/>
          <w:szCs w:val="24"/>
        </w:rPr>
        <w:t>法评分标准。</w:t>
      </w:r>
    </w:p>
    <w:p w14:paraId="580574C3">
      <w:pPr>
        <w:spacing w:before="181" w:line="312" w:lineRule="auto"/>
        <w:ind w:left="17" w:right="55" w:firstLine="483"/>
        <w:rPr>
          <w:rFonts w:ascii="仿宋" w:hAnsi="仿宋" w:eastAsia="仿宋" w:cs="仿宋"/>
          <w:sz w:val="24"/>
          <w:szCs w:val="24"/>
        </w:rPr>
      </w:pPr>
      <w:r>
        <w:rPr>
          <w:rFonts w:ascii="仿宋" w:hAnsi="仿宋" w:eastAsia="仿宋" w:cs="仿宋"/>
          <w:spacing w:val="-1"/>
          <w:sz w:val="24"/>
          <w:szCs w:val="24"/>
        </w:rPr>
        <w:t>（2）采用综合评分法的，评标结果按评审后得分由高到低顺序排列。得分</w:t>
      </w:r>
      <w:r>
        <w:rPr>
          <w:rFonts w:ascii="仿宋" w:hAnsi="仿宋" w:eastAsia="仿宋" w:cs="仿宋"/>
          <w:spacing w:val="11"/>
          <w:sz w:val="24"/>
          <w:szCs w:val="24"/>
        </w:rPr>
        <w:t xml:space="preserve"> </w:t>
      </w:r>
      <w:r>
        <w:rPr>
          <w:rFonts w:ascii="仿宋" w:hAnsi="仿宋" w:eastAsia="仿宋" w:cs="仿宋"/>
          <w:spacing w:val="-1"/>
          <w:sz w:val="24"/>
          <w:szCs w:val="24"/>
        </w:rPr>
        <w:t>相同的，按修正和扣除后的投标报价由低到高顺序排列。得分与投标报价均相</w:t>
      </w:r>
      <w:r>
        <w:rPr>
          <w:rFonts w:ascii="仿宋" w:hAnsi="仿宋" w:eastAsia="仿宋" w:cs="仿宋"/>
          <w:spacing w:val="7"/>
          <w:sz w:val="24"/>
          <w:szCs w:val="24"/>
        </w:rPr>
        <w:t xml:space="preserve">  </w:t>
      </w:r>
      <w:r>
        <w:rPr>
          <w:rFonts w:ascii="仿宋" w:hAnsi="仿宋" w:eastAsia="仿宋" w:cs="仿宋"/>
          <w:spacing w:val="-1"/>
          <w:sz w:val="24"/>
          <w:szCs w:val="24"/>
        </w:rPr>
        <w:t>同的处理方式详见采购文件第6章评标方法和标准。</w:t>
      </w:r>
    </w:p>
    <w:p w14:paraId="027EF0C9">
      <w:pPr>
        <w:spacing w:before="205" w:line="222" w:lineRule="auto"/>
        <w:ind w:left="16"/>
        <w:outlineLvl w:val="2"/>
        <w:rPr>
          <w:rFonts w:ascii="仿宋" w:hAnsi="仿宋" w:eastAsia="仿宋" w:cs="仿宋"/>
          <w:sz w:val="24"/>
          <w:szCs w:val="24"/>
        </w:rPr>
      </w:pPr>
      <w:bookmarkStart w:id="77" w:name="_Toc17631"/>
      <w:r>
        <w:rPr>
          <w:rFonts w:ascii="仿宋" w:hAnsi="仿宋" w:eastAsia="仿宋" w:cs="仿宋"/>
          <w:b/>
          <w:bCs/>
          <w:spacing w:val="-7"/>
          <w:sz w:val="24"/>
          <w:szCs w:val="24"/>
        </w:rPr>
        <w:t>本项目采用综合评分法</w:t>
      </w:r>
      <w:bookmarkEnd w:id="77"/>
    </w:p>
    <w:p w14:paraId="0D64896E">
      <w:pPr>
        <w:spacing w:before="197" w:line="222" w:lineRule="auto"/>
        <w:ind w:left="49"/>
        <w:outlineLvl w:val="1"/>
        <w:rPr>
          <w:rFonts w:ascii="仿宋" w:hAnsi="仿宋" w:eastAsia="仿宋" w:cs="仿宋"/>
          <w:sz w:val="24"/>
          <w:szCs w:val="24"/>
        </w:rPr>
      </w:pPr>
      <w:bookmarkStart w:id="78" w:name="_Toc26841"/>
      <w:r>
        <w:rPr>
          <w:rFonts w:ascii="仿宋" w:hAnsi="仿宋" w:eastAsia="仿宋" w:cs="仿宋"/>
          <w:b/>
          <w:bCs/>
          <w:spacing w:val="-6"/>
          <w:sz w:val="24"/>
          <w:szCs w:val="24"/>
        </w:rPr>
        <w:t>27.确定中标候选人和中标人</w:t>
      </w:r>
      <w:bookmarkEnd w:id="78"/>
    </w:p>
    <w:p w14:paraId="57BB8D05">
      <w:pPr>
        <w:spacing w:before="179" w:line="345" w:lineRule="auto"/>
        <w:ind w:left="18" w:right="175" w:firstLine="478"/>
        <w:rPr>
          <w:rFonts w:ascii="仿宋" w:hAnsi="仿宋" w:eastAsia="仿宋" w:cs="仿宋"/>
          <w:sz w:val="24"/>
          <w:szCs w:val="24"/>
        </w:rPr>
      </w:pPr>
      <w:r>
        <w:rPr>
          <w:rFonts w:ascii="仿宋" w:hAnsi="仿宋" w:eastAsia="仿宋" w:cs="仿宋"/>
          <w:spacing w:val="-1"/>
          <w:sz w:val="24"/>
          <w:szCs w:val="24"/>
        </w:rPr>
        <w:t>评标委员会将根据评标标准，按供应商须知资料表中规定数量推荐中标候</w:t>
      </w:r>
      <w:r>
        <w:rPr>
          <w:rFonts w:ascii="仿宋" w:hAnsi="仿宋" w:eastAsia="仿宋" w:cs="仿宋"/>
          <w:spacing w:val="14"/>
          <w:sz w:val="24"/>
          <w:szCs w:val="24"/>
        </w:rPr>
        <w:t xml:space="preserve"> </w:t>
      </w:r>
      <w:r>
        <w:rPr>
          <w:rFonts w:ascii="仿宋" w:hAnsi="仿宋" w:eastAsia="仿宋" w:cs="仿宋"/>
          <w:spacing w:val="-1"/>
          <w:sz w:val="24"/>
          <w:szCs w:val="24"/>
        </w:rPr>
        <w:t>选人；或根据采购人的委托，直接确定中标人。</w:t>
      </w:r>
    </w:p>
    <w:p w14:paraId="7CAD494A">
      <w:pPr>
        <w:spacing w:before="61" w:line="222" w:lineRule="auto"/>
        <w:ind w:left="49"/>
        <w:outlineLvl w:val="1"/>
        <w:rPr>
          <w:rFonts w:ascii="仿宋" w:hAnsi="仿宋" w:eastAsia="仿宋" w:cs="仿宋"/>
          <w:sz w:val="24"/>
          <w:szCs w:val="24"/>
        </w:rPr>
      </w:pPr>
      <w:bookmarkStart w:id="79" w:name="_Toc14264"/>
      <w:r>
        <w:rPr>
          <w:rFonts w:ascii="仿宋" w:hAnsi="仿宋" w:eastAsia="仿宋" w:cs="仿宋"/>
          <w:b/>
          <w:bCs/>
          <w:spacing w:val="-6"/>
          <w:sz w:val="24"/>
          <w:szCs w:val="24"/>
        </w:rPr>
        <w:t>28.采购任务取消</w:t>
      </w:r>
      <w:bookmarkEnd w:id="79"/>
    </w:p>
    <w:p w14:paraId="26B28F65">
      <w:pPr>
        <w:spacing w:before="180" w:line="344" w:lineRule="auto"/>
        <w:ind w:left="23" w:right="175" w:firstLine="496"/>
        <w:rPr>
          <w:rFonts w:ascii="仿宋" w:hAnsi="仿宋" w:eastAsia="仿宋" w:cs="仿宋"/>
          <w:sz w:val="24"/>
          <w:szCs w:val="24"/>
        </w:rPr>
      </w:pPr>
      <w:r>
        <w:rPr>
          <w:rFonts w:ascii="仿宋" w:hAnsi="仿宋" w:eastAsia="仿宋" w:cs="仿宋"/>
          <w:spacing w:val="-1"/>
          <w:sz w:val="24"/>
          <w:szCs w:val="24"/>
        </w:rPr>
        <w:t>因重大变故采购任务取消时，采购人有权拒绝任何</w:t>
      </w:r>
      <w:r>
        <w:rPr>
          <w:rFonts w:ascii="仿宋" w:hAnsi="仿宋" w:eastAsia="仿宋" w:cs="仿宋"/>
          <w:spacing w:val="-2"/>
          <w:sz w:val="24"/>
          <w:szCs w:val="24"/>
        </w:rPr>
        <w:t>供应商中标，且对受影</w:t>
      </w:r>
      <w:r>
        <w:rPr>
          <w:rFonts w:ascii="仿宋" w:hAnsi="仿宋" w:eastAsia="仿宋" w:cs="仿宋"/>
          <w:sz w:val="24"/>
          <w:szCs w:val="24"/>
        </w:rPr>
        <w:t xml:space="preserve"> </w:t>
      </w:r>
      <w:r>
        <w:rPr>
          <w:rFonts w:ascii="仿宋" w:hAnsi="仿宋" w:eastAsia="仿宋" w:cs="仿宋"/>
          <w:spacing w:val="-2"/>
          <w:sz w:val="24"/>
          <w:szCs w:val="24"/>
        </w:rPr>
        <w:t>响的供应商不承担任何责任。</w:t>
      </w:r>
    </w:p>
    <w:p w14:paraId="5DFDC0B7">
      <w:pPr>
        <w:spacing w:before="117" w:line="222" w:lineRule="auto"/>
        <w:ind w:left="49"/>
        <w:outlineLvl w:val="1"/>
        <w:rPr>
          <w:rFonts w:ascii="仿宋" w:hAnsi="仿宋" w:eastAsia="仿宋" w:cs="仿宋"/>
          <w:sz w:val="24"/>
          <w:szCs w:val="24"/>
        </w:rPr>
      </w:pPr>
      <w:bookmarkStart w:id="80" w:name="_Toc7780"/>
      <w:r>
        <w:rPr>
          <w:rFonts w:ascii="仿宋" w:hAnsi="仿宋" w:eastAsia="仿宋" w:cs="仿宋"/>
          <w:b/>
          <w:bCs/>
          <w:spacing w:val="-6"/>
          <w:sz w:val="24"/>
          <w:szCs w:val="24"/>
        </w:rPr>
        <w:t>29.中标通知书和招标结果公示</w:t>
      </w:r>
      <w:bookmarkEnd w:id="80"/>
    </w:p>
    <w:p w14:paraId="553B9D73">
      <w:pPr>
        <w:spacing w:before="179" w:line="345" w:lineRule="auto"/>
        <w:ind w:left="20" w:right="175" w:firstLine="470"/>
        <w:rPr>
          <w:rFonts w:ascii="仿宋" w:hAnsi="仿宋" w:eastAsia="仿宋" w:cs="仿宋"/>
          <w:sz w:val="24"/>
          <w:szCs w:val="24"/>
        </w:rPr>
      </w:pPr>
      <w:r>
        <w:rPr>
          <w:rFonts w:ascii="仿宋" w:hAnsi="仿宋" w:eastAsia="仿宋" w:cs="仿宋"/>
          <w:sz w:val="24"/>
          <w:szCs w:val="24"/>
        </w:rPr>
        <w:t>29.1在投标有效期内，中标人确定后，采购</w:t>
      </w:r>
      <w:r>
        <w:rPr>
          <w:rFonts w:ascii="仿宋" w:hAnsi="仿宋" w:eastAsia="仿宋" w:cs="仿宋"/>
          <w:spacing w:val="-1"/>
          <w:sz w:val="24"/>
          <w:szCs w:val="24"/>
        </w:rPr>
        <w:t>人或者采购代理机构发布中标</w:t>
      </w:r>
      <w:r>
        <w:rPr>
          <w:rFonts w:ascii="仿宋" w:hAnsi="仿宋" w:eastAsia="仿宋" w:cs="仿宋"/>
          <w:sz w:val="24"/>
          <w:szCs w:val="24"/>
        </w:rPr>
        <w:t xml:space="preserve"> </w:t>
      </w:r>
      <w:r>
        <w:rPr>
          <w:rFonts w:ascii="仿宋" w:hAnsi="仿宋" w:eastAsia="仿宋" w:cs="仿宋"/>
          <w:spacing w:val="-1"/>
          <w:sz w:val="24"/>
          <w:szCs w:val="24"/>
        </w:rPr>
        <w:t>公告，同时以书面形式向中标人发出中标通知书；</w:t>
      </w:r>
    </w:p>
    <w:p w14:paraId="42994C5A">
      <w:pPr>
        <w:spacing w:before="37" w:line="222" w:lineRule="auto"/>
        <w:ind w:left="490"/>
        <w:rPr>
          <w:rFonts w:ascii="仿宋" w:hAnsi="仿宋" w:eastAsia="仿宋" w:cs="仿宋"/>
          <w:sz w:val="24"/>
          <w:szCs w:val="24"/>
        </w:rPr>
      </w:pPr>
      <w:r>
        <w:rPr>
          <w:rFonts w:ascii="仿宋" w:hAnsi="仿宋" w:eastAsia="仿宋" w:cs="仿宋"/>
          <w:spacing w:val="-1"/>
          <w:sz w:val="24"/>
          <w:szCs w:val="24"/>
        </w:rPr>
        <w:t>29.2中标通知书是合同的组成部分；</w:t>
      </w:r>
    </w:p>
    <w:p w14:paraId="14A2B6A1">
      <w:pPr>
        <w:spacing w:before="179" w:line="222" w:lineRule="auto"/>
        <w:ind w:left="490"/>
        <w:rPr>
          <w:rFonts w:ascii="仿宋" w:hAnsi="仿宋" w:eastAsia="仿宋" w:cs="仿宋"/>
          <w:sz w:val="24"/>
          <w:szCs w:val="24"/>
        </w:rPr>
      </w:pPr>
      <w:r>
        <w:rPr>
          <w:rFonts w:ascii="仿宋" w:hAnsi="仿宋" w:eastAsia="仿宋" w:cs="仿宋"/>
          <w:spacing w:val="-1"/>
          <w:sz w:val="24"/>
          <w:szCs w:val="24"/>
        </w:rPr>
        <w:t>29.3招标结果公告和中标通知书同时发出。</w:t>
      </w:r>
    </w:p>
    <w:p w14:paraId="2837AB83">
      <w:pPr>
        <w:spacing w:before="198" w:line="224" w:lineRule="auto"/>
        <w:ind w:left="53"/>
        <w:outlineLvl w:val="1"/>
        <w:rPr>
          <w:rFonts w:ascii="仿宋" w:hAnsi="仿宋" w:eastAsia="仿宋" w:cs="仿宋"/>
          <w:sz w:val="24"/>
          <w:szCs w:val="24"/>
        </w:rPr>
      </w:pPr>
      <w:bookmarkStart w:id="81" w:name="_Toc9591"/>
      <w:r>
        <w:rPr>
          <w:rFonts w:ascii="仿宋" w:hAnsi="仿宋" w:eastAsia="仿宋" w:cs="仿宋"/>
          <w:b/>
          <w:bCs/>
          <w:spacing w:val="-7"/>
          <w:sz w:val="24"/>
          <w:szCs w:val="24"/>
        </w:rPr>
        <w:t>30.签订合同</w:t>
      </w:r>
      <w:bookmarkEnd w:id="81"/>
    </w:p>
    <w:p w14:paraId="748BCDD1">
      <w:pPr>
        <w:spacing w:line="224" w:lineRule="auto"/>
        <w:rPr>
          <w:rFonts w:ascii="仿宋" w:hAnsi="仿宋" w:eastAsia="仿宋" w:cs="仿宋"/>
          <w:sz w:val="24"/>
          <w:szCs w:val="24"/>
        </w:rPr>
        <w:sectPr>
          <w:footerReference r:id="rId18" w:type="default"/>
          <w:pgSz w:w="11907" w:h="16840"/>
          <w:pgMar w:top="1418" w:right="1786" w:bottom="1204" w:left="1786" w:header="0" w:footer="1035" w:gutter="0"/>
          <w:pgNumType w:fmt="decimal"/>
          <w:cols w:space="720" w:num="1"/>
        </w:sectPr>
      </w:pPr>
    </w:p>
    <w:p w14:paraId="3E04EF4E">
      <w:pPr>
        <w:spacing w:before="49" w:line="222" w:lineRule="auto"/>
        <w:ind w:left="492"/>
        <w:rPr>
          <w:rFonts w:ascii="仿宋" w:hAnsi="仿宋" w:eastAsia="仿宋" w:cs="仿宋"/>
          <w:sz w:val="24"/>
          <w:szCs w:val="24"/>
        </w:rPr>
      </w:pPr>
      <w:r>
        <w:rPr>
          <w:rFonts w:ascii="仿宋" w:hAnsi="仿宋" w:eastAsia="仿宋" w:cs="仿宋"/>
          <w:sz w:val="24"/>
          <w:szCs w:val="24"/>
        </w:rPr>
        <w:t>30.1中标人应当自发出中标通知书之日</w:t>
      </w:r>
      <w:r>
        <w:rPr>
          <w:rFonts w:ascii="仿宋" w:hAnsi="仿宋" w:eastAsia="仿宋" w:cs="仿宋"/>
          <w:spacing w:val="-1"/>
          <w:sz w:val="24"/>
          <w:szCs w:val="24"/>
        </w:rPr>
        <w:t>起30日内，与采购人签订合同。</w:t>
      </w:r>
    </w:p>
    <w:p w14:paraId="61BFB690">
      <w:pPr>
        <w:spacing w:before="177" w:line="343" w:lineRule="auto"/>
        <w:ind w:left="492"/>
        <w:rPr>
          <w:rFonts w:ascii="仿宋" w:hAnsi="仿宋" w:eastAsia="仿宋" w:cs="仿宋"/>
          <w:sz w:val="24"/>
          <w:szCs w:val="24"/>
        </w:rPr>
      </w:pPr>
      <w:r>
        <w:rPr>
          <w:rFonts w:ascii="仿宋" w:hAnsi="仿宋" w:eastAsia="仿宋" w:cs="仿宋"/>
          <w:spacing w:val="-2"/>
          <w:sz w:val="24"/>
          <w:szCs w:val="24"/>
        </w:rPr>
        <w:t>30.2采购文件、中标人的投标文件及其澄清文件等，均为签订合同的依据。</w:t>
      </w:r>
      <w:r>
        <w:rPr>
          <w:rFonts w:ascii="仿宋" w:hAnsi="仿宋" w:eastAsia="仿宋" w:cs="仿宋"/>
          <w:spacing w:val="18"/>
          <w:sz w:val="24"/>
          <w:szCs w:val="24"/>
        </w:rPr>
        <w:t xml:space="preserve"> </w:t>
      </w:r>
      <w:r>
        <w:rPr>
          <w:rFonts w:ascii="仿宋" w:hAnsi="仿宋" w:eastAsia="仿宋" w:cs="仿宋"/>
          <w:sz w:val="24"/>
          <w:szCs w:val="24"/>
        </w:rPr>
        <w:t>30.3中标人拒绝与采购人签订合同的，</w:t>
      </w:r>
      <w:r>
        <w:rPr>
          <w:rFonts w:ascii="仿宋" w:hAnsi="仿宋" w:eastAsia="仿宋" w:cs="仿宋"/>
          <w:spacing w:val="-1"/>
          <w:sz w:val="24"/>
          <w:szCs w:val="24"/>
        </w:rPr>
        <w:t>采购人可以按照评审报告推荐的中</w:t>
      </w:r>
    </w:p>
    <w:p w14:paraId="41CC25B5">
      <w:pPr>
        <w:spacing w:before="40" w:line="346" w:lineRule="auto"/>
        <w:ind w:left="21" w:right="203" w:hanging="7"/>
        <w:rPr>
          <w:rFonts w:ascii="仿宋" w:hAnsi="仿宋" w:eastAsia="仿宋" w:cs="仿宋"/>
          <w:sz w:val="24"/>
          <w:szCs w:val="24"/>
        </w:rPr>
      </w:pPr>
      <w:r>
        <w:rPr>
          <w:rFonts w:ascii="仿宋" w:hAnsi="仿宋" w:eastAsia="仿宋" w:cs="仿宋"/>
          <w:spacing w:val="-1"/>
          <w:sz w:val="24"/>
          <w:szCs w:val="24"/>
        </w:rPr>
        <w:t>标候选人名单排序，确定下一中标候选人为中标人，也可以重新开展政府采购</w:t>
      </w:r>
      <w:r>
        <w:rPr>
          <w:rFonts w:ascii="仿宋" w:hAnsi="仿宋" w:eastAsia="仿宋" w:cs="仿宋"/>
          <w:spacing w:val="17"/>
          <w:sz w:val="24"/>
          <w:szCs w:val="24"/>
        </w:rPr>
        <w:t xml:space="preserve"> </w:t>
      </w:r>
      <w:r>
        <w:rPr>
          <w:rFonts w:ascii="仿宋" w:hAnsi="仿宋" w:eastAsia="仿宋" w:cs="仿宋"/>
          <w:spacing w:val="-8"/>
          <w:sz w:val="24"/>
          <w:szCs w:val="24"/>
        </w:rPr>
        <w:t>活动。</w:t>
      </w:r>
    </w:p>
    <w:p w14:paraId="6983BA9E">
      <w:pPr>
        <w:spacing w:before="32" w:line="345" w:lineRule="auto"/>
        <w:ind w:left="20" w:right="188" w:firstLine="472"/>
        <w:rPr>
          <w:rFonts w:ascii="仿宋" w:hAnsi="仿宋" w:eastAsia="仿宋" w:cs="仿宋"/>
          <w:sz w:val="24"/>
          <w:szCs w:val="24"/>
        </w:rPr>
      </w:pPr>
      <w:r>
        <w:rPr>
          <w:rFonts w:ascii="仿宋" w:hAnsi="仿宋" w:eastAsia="仿宋" w:cs="仿宋"/>
          <w:spacing w:val="-1"/>
          <w:sz w:val="24"/>
          <w:szCs w:val="24"/>
        </w:rPr>
        <w:t>30.4当出现法规规定的</w:t>
      </w:r>
      <w:r>
        <w:rPr>
          <w:rFonts w:ascii="仿宋" w:hAnsi="仿宋" w:eastAsia="仿宋" w:cs="仿宋"/>
          <w:b/>
          <w:bCs/>
          <w:spacing w:val="-1"/>
          <w:sz w:val="24"/>
          <w:szCs w:val="24"/>
        </w:rPr>
        <w:t>中标无效或中标结果无效情形时</w:t>
      </w:r>
      <w:r>
        <w:rPr>
          <w:rFonts w:ascii="仿宋" w:hAnsi="仿宋" w:eastAsia="仿宋" w:cs="仿宋"/>
          <w:spacing w:val="-1"/>
          <w:sz w:val="24"/>
          <w:szCs w:val="24"/>
        </w:rPr>
        <w:t>，采购人可与</w:t>
      </w:r>
      <w:r>
        <w:rPr>
          <w:rFonts w:ascii="仿宋" w:hAnsi="仿宋" w:eastAsia="仿宋" w:cs="仿宋"/>
          <w:spacing w:val="-2"/>
          <w:sz w:val="24"/>
          <w:szCs w:val="24"/>
        </w:rPr>
        <w:t>排名</w:t>
      </w:r>
      <w:r>
        <w:rPr>
          <w:rFonts w:ascii="仿宋" w:hAnsi="仿宋" w:eastAsia="仿宋" w:cs="仿宋"/>
          <w:sz w:val="24"/>
          <w:szCs w:val="24"/>
        </w:rPr>
        <w:t xml:space="preserve"> </w:t>
      </w:r>
      <w:r>
        <w:rPr>
          <w:rFonts w:ascii="仿宋" w:hAnsi="仿宋" w:eastAsia="仿宋" w:cs="仿宋"/>
          <w:spacing w:val="-1"/>
          <w:sz w:val="24"/>
          <w:szCs w:val="24"/>
        </w:rPr>
        <w:t>下一位的中标候选人另行签订合同，或依法重新开展采购活动。</w:t>
      </w:r>
    </w:p>
    <w:p w14:paraId="1F9725C9">
      <w:pPr>
        <w:spacing w:before="59" w:line="221" w:lineRule="auto"/>
        <w:ind w:left="53"/>
        <w:outlineLvl w:val="1"/>
        <w:rPr>
          <w:rFonts w:ascii="仿宋" w:hAnsi="仿宋" w:eastAsia="仿宋" w:cs="仿宋"/>
          <w:sz w:val="24"/>
          <w:szCs w:val="24"/>
        </w:rPr>
      </w:pPr>
      <w:bookmarkStart w:id="82" w:name="_Toc42"/>
      <w:r>
        <w:rPr>
          <w:rFonts w:ascii="仿宋" w:hAnsi="仿宋" w:eastAsia="仿宋" w:cs="仿宋"/>
          <w:b/>
          <w:bCs/>
          <w:spacing w:val="-7"/>
          <w:sz w:val="24"/>
          <w:szCs w:val="24"/>
        </w:rPr>
        <w:t>31.履约保证金</w:t>
      </w:r>
      <w:bookmarkEnd w:id="82"/>
    </w:p>
    <w:p w14:paraId="5DE3C012">
      <w:pPr>
        <w:spacing w:before="182" w:line="220" w:lineRule="auto"/>
        <w:ind w:left="492"/>
        <w:rPr>
          <w:rFonts w:ascii="仿宋" w:hAnsi="仿宋" w:eastAsia="仿宋" w:cs="仿宋"/>
          <w:sz w:val="24"/>
          <w:szCs w:val="24"/>
        </w:rPr>
      </w:pPr>
      <w:r>
        <w:rPr>
          <w:rFonts w:ascii="仿宋" w:hAnsi="仿宋" w:eastAsia="仿宋" w:cs="仿宋"/>
          <w:spacing w:val="-1"/>
          <w:sz w:val="24"/>
          <w:szCs w:val="24"/>
        </w:rPr>
        <w:t>31.1中标人应按照</w:t>
      </w:r>
      <w:r>
        <w:rPr>
          <w:rFonts w:ascii="仿宋" w:hAnsi="仿宋" w:eastAsia="仿宋" w:cs="仿宋"/>
          <w:spacing w:val="-1"/>
          <w:sz w:val="24"/>
          <w:szCs w:val="24"/>
          <w:u w:val="single" w:color="auto"/>
        </w:rPr>
        <w:t>供应商须知资料</w:t>
      </w:r>
      <w:r>
        <w:rPr>
          <w:rFonts w:ascii="仿宋" w:hAnsi="仿宋" w:eastAsia="仿宋" w:cs="仿宋"/>
          <w:spacing w:val="-1"/>
          <w:sz w:val="24"/>
          <w:szCs w:val="24"/>
        </w:rPr>
        <w:t>表规定向采购人缴纳履约保证金。</w:t>
      </w:r>
    </w:p>
    <w:p w14:paraId="68C2E8DC">
      <w:pPr>
        <w:spacing w:before="180" w:line="349" w:lineRule="auto"/>
        <w:ind w:left="15" w:right="203" w:firstLine="477"/>
        <w:rPr>
          <w:rFonts w:ascii="仿宋" w:hAnsi="仿宋" w:eastAsia="仿宋" w:cs="仿宋"/>
          <w:sz w:val="24"/>
          <w:szCs w:val="24"/>
        </w:rPr>
      </w:pPr>
      <w:r>
        <w:rPr>
          <w:rFonts w:ascii="仿宋" w:hAnsi="仿宋" w:eastAsia="仿宋" w:cs="仿宋"/>
          <w:sz w:val="24"/>
          <w:szCs w:val="24"/>
        </w:rPr>
        <w:t>31.2政府采购利用担保试点范围内的项目，</w:t>
      </w:r>
      <w:r>
        <w:rPr>
          <w:rFonts w:ascii="仿宋" w:hAnsi="仿宋" w:eastAsia="仿宋" w:cs="仿宋"/>
          <w:spacing w:val="-1"/>
          <w:sz w:val="24"/>
          <w:szCs w:val="24"/>
        </w:rPr>
        <w:t>除31.1规定的情形外，中标人</w:t>
      </w:r>
      <w:r>
        <w:rPr>
          <w:rFonts w:ascii="仿宋" w:hAnsi="仿宋" w:eastAsia="仿宋" w:cs="仿宋"/>
          <w:sz w:val="24"/>
          <w:szCs w:val="24"/>
        </w:rPr>
        <w:t xml:space="preserve"> </w:t>
      </w:r>
      <w:r>
        <w:rPr>
          <w:rFonts w:ascii="仿宋" w:hAnsi="仿宋" w:eastAsia="仿宋" w:cs="仿宋"/>
          <w:spacing w:val="-1"/>
          <w:sz w:val="24"/>
          <w:szCs w:val="24"/>
        </w:rPr>
        <w:t>也可以按照财政部门的规定，向采购人提供合格的履约担保函（格式见本章附</w:t>
      </w:r>
      <w:r>
        <w:rPr>
          <w:rFonts w:ascii="仿宋" w:hAnsi="仿宋" w:eastAsia="仿宋" w:cs="仿宋"/>
          <w:spacing w:val="17"/>
          <w:sz w:val="24"/>
          <w:szCs w:val="24"/>
        </w:rPr>
        <w:t xml:space="preserve"> </w:t>
      </w:r>
      <w:r>
        <w:rPr>
          <w:rFonts w:ascii="仿宋" w:hAnsi="仿宋" w:eastAsia="仿宋" w:cs="仿宋"/>
          <w:spacing w:val="-4"/>
          <w:sz w:val="24"/>
          <w:szCs w:val="24"/>
        </w:rPr>
        <w:t>件1）。</w:t>
      </w:r>
    </w:p>
    <w:p w14:paraId="7466C9A9">
      <w:pPr>
        <w:spacing w:before="40" w:line="349" w:lineRule="auto"/>
        <w:ind w:left="14" w:right="203" w:firstLine="478"/>
        <w:jc w:val="both"/>
        <w:rPr>
          <w:rFonts w:ascii="仿宋" w:hAnsi="仿宋" w:eastAsia="仿宋" w:cs="仿宋"/>
          <w:sz w:val="24"/>
          <w:szCs w:val="24"/>
        </w:rPr>
      </w:pPr>
      <w:r>
        <w:rPr>
          <w:rFonts w:ascii="仿宋" w:hAnsi="仿宋" w:eastAsia="仿宋" w:cs="仿宋"/>
          <w:sz w:val="24"/>
          <w:szCs w:val="24"/>
        </w:rPr>
        <w:t>31.3如果中标人没有按照上述履约保证</w:t>
      </w:r>
      <w:r>
        <w:rPr>
          <w:rFonts w:ascii="仿宋" w:hAnsi="仿宋" w:eastAsia="仿宋" w:cs="仿宋"/>
          <w:spacing w:val="-1"/>
          <w:sz w:val="24"/>
          <w:szCs w:val="24"/>
        </w:rPr>
        <w:t>金的规定执行，将视为放弃中标资</w:t>
      </w:r>
      <w:r>
        <w:rPr>
          <w:rFonts w:ascii="仿宋" w:hAnsi="仿宋" w:eastAsia="仿宋" w:cs="仿宋"/>
          <w:sz w:val="24"/>
          <w:szCs w:val="24"/>
        </w:rPr>
        <w:t xml:space="preserve"> </w:t>
      </w:r>
      <w:r>
        <w:rPr>
          <w:rFonts w:ascii="仿宋" w:hAnsi="仿宋" w:eastAsia="仿宋" w:cs="仿宋"/>
          <w:spacing w:val="-1"/>
          <w:sz w:val="24"/>
          <w:szCs w:val="24"/>
        </w:rPr>
        <w:t>格，中标人的投标保证金将不予退还。在此情况下，采购人可确定下一候选人</w:t>
      </w:r>
      <w:r>
        <w:rPr>
          <w:rFonts w:ascii="仿宋" w:hAnsi="仿宋" w:eastAsia="仿宋" w:cs="仿宋"/>
          <w:spacing w:val="17"/>
          <w:sz w:val="24"/>
          <w:szCs w:val="24"/>
        </w:rPr>
        <w:t xml:space="preserve"> </w:t>
      </w:r>
      <w:r>
        <w:rPr>
          <w:rFonts w:ascii="仿宋" w:hAnsi="仿宋" w:eastAsia="仿宋" w:cs="仿宋"/>
          <w:spacing w:val="-1"/>
          <w:sz w:val="24"/>
          <w:szCs w:val="24"/>
        </w:rPr>
        <w:t>为中标人，也可以重新开展采购活动。</w:t>
      </w:r>
    </w:p>
    <w:p w14:paraId="43BEBE75">
      <w:pPr>
        <w:spacing w:before="62" w:line="222" w:lineRule="auto"/>
        <w:ind w:left="53"/>
        <w:outlineLvl w:val="1"/>
        <w:rPr>
          <w:rFonts w:ascii="仿宋" w:hAnsi="仿宋" w:eastAsia="仿宋" w:cs="仿宋"/>
          <w:sz w:val="24"/>
          <w:szCs w:val="24"/>
        </w:rPr>
      </w:pPr>
      <w:bookmarkStart w:id="83" w:name="_Toc31931"/>
      <w:r>
        <w:rPr>
          <w:rFonts w:ascii="仿宋" w:hAnsi="仿宋" w:eastAsia="仿宋" w:cs="仿宋"/>
          <w:b/>
          <w:bCs/>
          <w:spacing w:val="-7"/>
          <w:sz w:val="24"/>
          <w:szCs w:val="24"/>
        </w:rPr>
        <w:t>32.中标服务费</w:t>
      </w:r>
      <w:bookmarkEnd w:id="83"/>
    </w:p>
    <w:p w14:paraId="548E8CE4">
      <w:pPr>
        <w:spacing w:before="201" w:line="220" w:lineRule="auto"/>
        <w:ind w:left="519"/>
        <w:rPr>
          <w:rFonts w:ascii="仿宋" w:hAnsi="仿宋" w:eastAsia="仿宋" w:cs="仿宋"/>
          <w:sz w:val="24"/>
          <w:szCs w:val="24"/>
        </w:rPr>
      </w:pPr>
      <w:r>
        <w:rPr>
          <w:rFonts w:ascii="仿宋" w:hAnsi="仿宋" w:eastAsia="仿宋" w:cs="仿宋"/>
          <w:spacing w:val="-4"/>
          <w:sz w:val="24"/>
          <w:szCs w:val="24"/>
        </w:rPr>
        <w:t>中标人须按照</w:t>
      </w:r>
      <w:r>
        <w:rPr>
          <w:rFonts w:ascii="仿宋" w:hAnsi="仿宋" w:eastAsia="仿宋" w:cs="仿宋"/>
          <w:spacing w:val="-4"/>
          <w:sz w:val="24"/>
          <w:szCs w:val="24"/>
          <w:u w:val="single" w:color="auto"/>
        </w:rPr>
        <w:t>投标须知资料表</w:t>
      </w:r>
      <w:r>
        <w:rPr>
          <w:rFonts w:ascii="仿宋" w:hAnsi="仿宋" w:eastAsia="仿宋" w:cs="仿宋"/>
          <w:spacing w:val="-4"/>
          <w:sz w:val="24"/>
          <w:szCs w:val="24"/>
        </w:rPr>
        <w:t>规定，向采购代理机构支付中标服务费。</w:t>
      </w:r>
    </w:p>
    <w:p w14:paraId="7ED767AD">
      <w:pPr>
        <w:spacing w:before="205" w:line="221" w:lineRule="auto"/>
        <w:ind w:left="53"/>
        <w:outlineLvl w:val="1"/>
        <w:rPr>
          <w:rFonts w:ascii="仿宋" w:hAnsi="仿宋" w:eastAsia="仿宋" w:cs="仿宋"/>
          <w:sz w:val="24"/>
          <w:szCs w:val="24"/>
        </w:rPr>
      </w:pPr>
      <w:bookmarkStart w:id="84" w:name="_Toc3001"/>
      <w:r>
        <w:rPr>
          <w:rFonts w:ascii="仿宋" w:hAnsi="仿宋" w:eastAsia="仿宋" w:cs="仿宋"/>
          <w:b/>
          <w:bCs/>
          <w:spacing w:val="-6"/>
          <w:sz w:val="24"/>
          <w:szCs w:val="24"/>
        </w:rPr>
        <w:t>33.政府采购信用担保</w:t>
      </w:r>
      <w:bookmarkEnd w:id="84"/>
    </w:p>
    <w:p w14:paraId="34FA1FA5">
      <w:pPr>
        <w:spacing w:before="205" w:line="220" w:lineRule="auto"/>
        <w:ind w:left="531"/>
        <w:outlineLvl w:val="2"/>
        <w:rPr>
          <w:rFonts w:ascii="仿宋" w:hAnsi="仿宋" w:eastAsia="仿宋" w:cs="仿宋"/>
          <w:sz w:val="24"/>
          <w:szCs w:val="24"/>
        </w:rPr>
      </w:pPr>
      <w:bookmarkStart w:id="85" w:name="_Toc4258"/>
      <w:r>
        <w:rPr>
          <w:rFonts w:ascii="仿宋" w:hAnsi="仿宋" w:eastAsia="仿宋" w:cs="仿宋"/>
          <w:spacing w:val="-2"/>
          <w:sz w:val="24"/>
          <w:szCs w:val="24"/>
        </w:rPr>
        <w:t>33.1本项目是否属于信用担保试点范围见</w:t>
      </w:r>
      <w:r>
        <w:rPr>
          <w:rFonts w:ascii="仿宋" w:hAnsi="仿宋" w:eastAsia="仿宋" w:cs="仿宋"/>
          <w:spacing w:val="-2"/>
          <w:sz w:val="24"/>
          <w:szCs w:val="24"/>
          <w:u w:val="single" w:color="auto"/>
        </w:rPr>
        <w:t>供应商须知资料表</w:t>
      </w:r>
      <w:r>
        <w:rPr>
          <w:rFonts w:ascii="仿宋" w:hAnsi="仿宋" w:eastAsia="仿宋" w:cs="仿宋"/>
          <w:spacing w:val="-2"/>
          <w:sz w:val="24"/>
          <w:szCs w:val="24"/>
        </w:rPr>
        <w:t>。</w:t>
      </w:r>
      <w:bookmarkEnd w:id="85"/>
    </w:p>
    <w:p w14:paraId="58DD512B">
      <w:pPr>
        <w:spacing w:before="179" w:line="345" w:lineRule="auto"/>
        <w:ind w:left="21" w:right="203" w:firstLine="471"/>
        <w:rPr>
          <w:rFonts w:ascii="仿宋" w:hAnsi="仿宋" w:eastAsia="仿宋" w:cs="仿宋"/>
          <w:sz w:val="24"/>
          <w:szCs w:val="24"/>
        </w:rPr>
      </w:pPr>
      <w:r>
        <w:rPr>
          <w:rFonts w:ascii="仿宋" w:hAnsi="仿宋" w:eastAsia="仿宋" w:cs="仿宋"/>
          <w:sz w:val="24"/>
          <w:szCs w:val="24"/>
        </w:rPr>
        <w:t>33.2如属于政府采购信用担保试点范围</w:t>
      </w:r>
      <w:r>
        <w:rPr>
          <w:rFonts w:ascii="仿宋" w:hAnsi="仿宋" w:eastAsia="仿宋" w:cs="仿宋"/>
          <w:spacing w:val="-1"/>
          <w:sz w:val="24"/>
          <w:szCs w:val="24"/>
        </w:rPr>
        <w:t>内，中小型企业供应商可以自由按</w:t>
      </w:r>
      <w:r>
        <w:rPr>
          <w:rFonts w:ascii="仿宋" w:hAnsi="仿宋" w:eastAsia="仿宋" w:cs="仿宋"/>
          <w:sz w:val="24"/>
          <w:szCs w:val="24"/>
        </w:rPr>
        <w:t xml:space="preserve"> </w:t>
      </w:r>
      <w:r>
        <w:rPr>
          <w:rFonts w:ascii="仿宋" w:hAnsi="仿宋" w:eastAsia="仿宋" w:cs="仿宋"/>
          <w:spacing w:val="-1"/>
          <w:sz w:val="24"/>
          <w:szCs w:val="24"/>
        </w:rPr>
        <w:t>照财政部门的规定，采用投标担保、履约担保和融资担保。</w:t>
      </w:r>
    </w:p>
    <w:p w14:paraId="358F46EA">
      <w:pPr>
        <w:spacing w:before="64" w:line="221" w:lineRule="auto"/>
        <w:ind w:left="533"/>
        <w:rPr>
          <w:rFonts w:ascii="仿宋" w:hAnsi="仿宋" w:eastAsia="仿宋" w:cs="仿宋"/>
          <w:sz w:val="24"/>
          <w:szCs w:val="24"/>
        </w:rPr>
      </w:pPr>
      <w:r>
        <w:rPr>
          <w:rFonts w:ascii="仿宋" w:hAnsi="仿宋" w:eastAsia="仿宋" w:cs="仿宋"/>
          <w:spacing w:val="-1"/>
          <w:sz w:val="24"/>
          <w:szCs w:val="24"/>
        </w:rPr>
        <w:t>33.2.1供应商递交的投标担保函和履约担保函应符合本采购文件的规定。</w:t>
      </w:r>
    </w:p>
    <w:p w14:paraId="3D66CB55">
      <w:pPr>
        <w:spacing w:before="204" w:line="221" w:lineRule="auto"/>
        <w:ind w:left="526"/>
        <w:rPr>
          <w:rFonts w:ascii="仿宋" w:hAnsi="仿宋" w:eastAsia="仿宋" w:cs="仿宋"/>
          <w:sz w:val="24"/>
          <w:szCs w:val="24"/>
        </w:rPr>
      </w:pPr>
      <w:r>
        <w:rPr>
          <w:rFonts w:ascii="仿宋" w:hAnsi="仿宋" w:eastAsia="仿宋" w:cs="仿宋"/>
          <w:spacing w:val="-2"/>
          <w:sz w:val="24"/>
          <w:szCs w:val="24"/>
        </w:rPr>
        <w:t>33.2.2中标人可以采取融资担保的形式为政</w:t>
      </w:r>
      <w:r>
        <w:rPr>
          <w:rFonts w:ascii="仿宋" w:hAnsi="仿宋" w:eastAsia="仿宋" w:cs="仿宋"/>
          <w:spacing w:val="-3"/>
          <w:sz w:val="24"/>
          <w:szCs w:val="24"/>
        </w:rPr>
        <w:t>府采购项目履约进行融资。</w:t>
      </w:r>
    </w:p>
    <w:p w14:paraId="0D9244AB">
      <w:pPr>
        <w:spacing w:before="203" w:line="220" w:lineRule="auto"/>
        <w:ind w:left="531"/>
        <w:rPr>
          <w:rFonts w:ascii="仿宋" w:hAnsi="仿宋" w:eastAsia="仿宋" w:cs="仿宋"/>
          <w:sz w:val="24"/>
          <w:szCs w:val="24"/>
        </w:rPr>
      </w:pPr>
      <w:r>
        <w:rPr>
          <w:rFonts w:ascii="仿宋" w:hAnsi="仿宋" w:eastAsia="仿宋" w:cs="仿宋"/>
          <w:spacing w:val="-2"/>
          <w:sz w:val="24"/>
          <w:szCs w:val="24"/>
        </w:rPr>
        <w:t>33.2.3合格的政府采购专业信用担保机构见</w:t>
      </w:r>
      <w:r>
        <w:rPr>
          <w:rFonts w:ascii="仿宋" w:hAnsi="仿宋" w:eastAsia="仿宋" w:cs="仿宋"/>
          <w:spacing w:val="-2"/>
          <w:sz w:val="24"/>
          <w:szCs w:val="24"/>
          <w:u w:val="single" w:color="auto"/>
        </w:rPr>
        <w:t>供应商须知资料表</w:t>
      </w:r>
      <w:r>
        <w:rPr>
          <w:rFonts w:ascii="仿宋" w:hAnsi="仿宋" w:eastAsia="仿宋" w:cs="仿宋"/>
          <w:spacing w:val="-2"/>
          <w:sz w:val="24"/>
          <w:szCs w:val="24"/>
        </w:rPr>
        <w:t>。</w:t>
      </w:r>
    </w:p>
    <w:p w14:paraId="1E7C95BA">
      <w:pPr>
        <w:spacing w:before="206" w:line="222" w:lineRule="auto"/>
        <w:ind w:left="53"/>
        <w:outlineLvl w:val="1"/>
        <w:rPr>
          <w:rFonts w:ascii="仿宋" w:hAnsi="仿宋" w:eastAsia="仿宋" w:cs="仿宋"/>
          <w:sz w:val="24"/>
          <w:szCs w:val="24"/>
        </w:rPr>
      </w:pPr>
      <w:bookmarkStart w:id="86" w:name="_Toc27759"/>
      <w:r>
        <w:rPr>
          <w:rFonts w:ascii="仿宋" w:hAnsi="仿宋" w:eastAsia="仿宋" w:cs="仿宋"/>
          <w:b/>
          <w:bCs/>
          <w:spacing w:val="-7"/>
          <w:sz w:val="24"/>
          <w:szCs w:val="24"/>
        </w:rPr>
        <w:t>34.廉洁自律规定</w:t>
      </w:r>
      <w:bookmarkEnd w:id="86"/>
    </w:p>
    <w:p w14:paraId="79EAB7F8">
      <w:pPr>
        <w:spacing w:before="179" w:line="342" w:lineRule="auto"/>
        <w:ind w:left="16" w:right="203" w:firstLine="476"/>
        <w:rPr>
          <w:rFonts w:ascii="仿宋" w:hAnsi="仿宋" w:eastAsia="仿宋" w:cs="仿宋"/>
          <w:sz w:val="24"/>
          <w:szCs w:val="24"/>
        </w:rPr>
      </w:pPr>
      <w:r>
        <w:rPr>
          <w:rFonts w:ascii="仿宋" w:hAnsi="仿宋" w:eastAsia="仿宋" w:cs="仿宋"/>
          <w:sz w:val="24"/>
          <w:szCs w:val="24"/>
        </w:rPr>
        <w:t>34.1采购代理机构工作人员不得以不正</w:t>
      </w:r>
      <w:r>
        <w:rPr>
          <w:rFonts w:ascii="仿宋" w:hAnsi="仿宋" w:eastAsia="仿宋" w:cs="仿宋"/>
          <w:spacing w:val="-1"/>
          <w:sz w:val="24"/>
          <w:szCs w:val="24"/>
        </w:rPr>
        <w:t>当手段获取政府采购代理业务，不</w:t>
      </w:r>
      <w:r>
        <w:rPr>
          <w:rFonts w:ascii="仿宋" w:hAnsi="仿宋" w:eastAsia="仿宋" w:cs="仿宋"/>
          <w:sz w:val="24"/>
          <w:szCs w:val="24"/>
        </w:rPr>
        <w:t xml:space="preserve"> </w:t>
      </w:r>
      <w:r>
        <w:rPr>
          <w:rFonts w:ascii="仿宋" w:hAnsi="仿宋" w:eastAsia="仿宋" w:cs="仿宋"/>
          <w:spacing w:val="-1"/>
          <w:sz w:val="24"/>
          <w:szCs w:val="24"/>
        </w:rPr>
        <w:t>得与采购人、供应商恶意串通操纵政府采购活动。</w:t>
      </w:r>
    </w:p>
    <w:p w14:paraId="5845D7DA">
      <w:pPr>
        <w:spacing w:before="44" w:line="343" w:lineRule="auto"/>
        <w:ind w:left="14" w:right="6" w:firstLine="478"/>
        <w:rPr>
          <w:rFonts w:ascii="仿宋" w:hAnsi="仿宋" w:eastAsia="仿宋" w:cs="仿宋"/>
          <w:sz w:val="24"/>
          <w:szCs w:val="24"/>
        </w:rPr>
      </w:pPr>
      <w:r>
        <w:rPr>
          <w:rFonts w:ascii="仿宋" w:hAnsi="仿宋" w:eastAsia="仿宋" w:cs="仿宋"/>
          <w:spacing w:val="-2"/>
          <w:sz w:val="24"/>
          <w:szCs w:val="24"/>
        </w:rPr>
        <w:t>34.2采购代理机构工作人员不得接受采购人或者供应商组织的宴请、旅游、</w:t>
      </w:r>
      <w:r>
        <w:rPr>
          <w:rFonts w:ascii="仿宋" w:hAnsi="仿宋" w:eastAsia="仿宋" w:cs="仿宋"/>
          <w:spacing w:val="12"/>
          <w:sz w:val="24"/>
          <w:szCs w:val="24"/>
        </w:rPr>
        <w:t xml:space="preserve"> </w:t>
      </w:r>
      <w:r>
        <w:rPr>
          <w:rFonts w:ascii="仿宋" w:hAnsi="仿宋" w:eastAsia="仿宋" w:cs="仿宋"/>
          <w:spacing w:val="-1"/>
          <w:sz w:val="24"/>
          <w:szCs w:val="24"/>
        </w:rPr>
        <w:t>娱乐，不得收受礼品、现金、有价证券等，不得向采购人或者供应商报销应当</w:t>
      </w:r>
      <w:r>
        <w:rPr>
          <w:rFonts w:ascii="仿宋" w:hAnsi="仿宋" w:eastAsia="仿宋" w:cs="仿宋"/>
          <w:spacing w:val="8"/>
          <w:sz w:val="24"/>
          <w:szCs w:val="24"/>
        </w:rPr>
        <w:t xml:space="preserve">  </w:t>
      </w:r>
      <w:r>
        <w:rPr>
          <w:rFonts w:ascii="仿宋" w:hAnsi="仿宋" w:eastAsia="仿宋" w:cs="仿宋"/>
          <w:spacing w:val="-2"/>
          <w:sz w:val="24"/>
          <w:szCs w:val="24"/>
        </w:rPr>
        <w:t>由个人承担的费用。</w:t>
      </w:r>
    </w:p>
    <w:p w14:paraId="166F492A">
      <w:pPr>
        <w:spacing w:line="343" w:lineRule="auto"/>
        <w:rPr>
          <w:rFonts w:ascii="仿宋" w:hAnsi="仿宋" w:eastAsia="仿宋" w:cs="仿宋"/>
          <w:sz w:val="24"/>
          <w:szCs w:val="24"/>
        </w:rPr>
        <w:sectPr>
          <w:footerReference r:id="rId19" w:type="default"/>
          <w:pgSz w:w="11907" w:h="16840"/>
          <w:pgMar w:top="1418" w:right="1758" w:bottom="1204" w:left="1786" w:header="0" w:footer="1035" w:gutter="0"/>
          <w:pgNumType w:fmt="decimal"/>
          <w:cols w:space="720" w:num="1"/>
        </w:sectPr>
      </w:pPr>
    </w:p>
    <w:p w14:paraId="1F93B610">
      <w:pPr>
        <w:spacing w:before="48" w:line="343" w:lineRule="auto"/>
        <w:ind w:left="29" w:right="185" w:firstLine="463"/>
        <w:rPr>
          <w:rFonts w:ascii="仿宋" w:hAnsi="仿宋" w:eastAsia="仿宋" w:cs="仿宋"/>
          <w:sz w:val="24"/>
          <w:szCs w:val="24"/>
        </w:rPr>
      </w:pPr>
      <w:r>
        <w:rPr>
          <w:rFonts w:ascii="仿宋" w:hAnsi="仿宋" w:eastAsia="仿宋" w:cs="仿宋"/>
          <w:sz w:val="24"/>
          <w:szCs w:val="24"/>
        </w:rPr>
        <w:t>34.3为强化采购代理机构内部监督机制</w:t>
      </w:r>
      <w:r>
        <w:rPr>
          <w:rFonts w:ascii="仿宋" w:hAnsi="仿宋" w:eastAsia="仿宋" w:cs="仿宋"/>
          <w:spacing w:val="-1"/>
          <w:sz w:val="24"/>
          <w:szCs w:val="24"/>
        </w:rPr>
        <w:t>，供应商可按供应商须知资料表中</w:t>
      </w:r>
      <w:r>
        <w:rPr>
          <w:rFonts w:ascii="仿宋" w:hAnsi="仿宋" w:eastAsia="仿宋" w:cs="仿宋"/>
          <w:sz w:val="24"/>
          <w:szCs w:val="24"/>
        </w:rPr>
        <w:t xml:space="preserve"> </w:t>
      </w:r>
      <w:r>
        <w:rPr>
          <w:rFonts w:ascii="仿宋" w:hAnsi="仿宋" w:eastAsia="仿宋" w:cs="仿宋"/>
          <w:spacing w:val="-1"/>
          <w:sz w:val="24"/>
          <w:szCs w:val="24"/>
        </w:rPr>
        <w:t>的监督电话和信箱，反映采购代理机构的廉洁</w:t>
      </w:r>
      <w:r>
        <w:rPr>
          <w:rFonts w:ascii="仿宋" w:hAnsi="仿宋" w:eastAsia="仿宋" w:cs="仿宋"/>
          <w:spacing w:val="-2"/>
          <w:sz w:val="24"/>
          <w:szCs w:val="24"/>
        </w:rPr>
        <w:t>自律等问题。</w:t>
      </w:r>
    </w:p>
    <w:p w14:paraId="06AAAE17">
      <w:pPr>
        <w:spacing w:before="64" w:line="224" w:lineRule="auto"/>
        <w:ind w:left="53"/>
        <w:outlineLvl w:val="1"/>
        <w:rPr>
          <w:rFonts w:ascii="仿宋" w:hAnsi="仿宋" w:eastAsia="仿宋" w:cs="仿宋"/>
          <w:sz w:val="24"/>
          <w:szCs w:val="24"/>
        </w:rPr>
      </w:pPr>
      <w:bookmarkStart w:id="87" w:name="_Toc22749"/>
      <w:r>
        <w:rPr>
          <w:rFonts w:ascii="仿宋" w:hAnsi="仿宋" w:eastAsia="仿宋" w:cs="仿宋"/>
          <w:b/>
          <w:bCs/>
          <w:spacing w:val="-7"/>
          <w:sz w:val="24"/>
          <w:szCs w:val="24"/>
        </w:rPr>
        <w:t>35.人员回避</w:t>
      </w:r>
      <w:bookmarkEnd w:id="87"/>
    </w:p>
    <w:p w14:paraId="03675E74">
      <w:pPr>
        <w:spacing w:before="177" w:line="342" w:lineRule="auto"/>
        <w:ind w:left="24" w:right="185" w:firstLine="471"/>
        <w:rPr>
          <w:rFonts w:ascii="仿宋" w:hAnsi="仿宋" w:eastAsia="仿宋" w:cs="仿宋"/>
          <w:sz w:val="24"/>
          <w:szCs w:val="24"/>
        </w:rPr>
      </w:pPr>
      <w:r>
        <w:rPr>
          <w:rFonts w:ascii="仿宋" w:hAnsi="仿宋" w:eastAsia="仿宋" w:cs="仿宋"/>
          <w:spacing w:val="-1"/>
          <w:sz w:val="24"/>
          <w:szCs w:val="24"/>
        </w:rPr>
        <w:t>供应商认为采购人员及其相关人员有法律法规所列与其他供应商有利害关</w:t>
      </w:r>
      <w:r>
        <w:rPr>
          <w:rFonts w:ascii="仿宋" w:hAnsi="仿宋" w:eastAsia="仿宋" w:cs="仿宋"/>
          <w:spacing w:val="14"/>
          <w:sz w:val="24"/>
          <w:szCs w:val="24"/>
        </w:rPr>
        <w:t xml:space="preserve"> </w:t>
      </w:r>
      <w:r>
        <w:rPr>
          <w:rFonts w:ascii="仿宋" w:hAnsi="仿宋" w:eastAsia="仿宋" w:cs="仿宋"/>
          <w:spacing w:val="-1"/>
          <w:sz w:val="24"/>
          <w:szCs w:val="24"/>
        </w:rPr>
        <w:t>系的，可以向采购人或采购代理机构书面提出回避申请，并说明理由。</w:t>
      </w:r>
    </w:p>
    <w:p w14:paraId="1450D552">
      <w:pPr>
        <w:spacing w:before="58" w:line="223" w:lineRule="auto"/>
        <w:ind w:left="53"/>
        <w:outlineLvl w:val="1"/>
        <w:rPr>
          <w:rFonts w:hint="eastAsia" w:ascii="仿宋" w:hAnsi="仿宋" w:eastAsia="仿宋" w:cs="仿宋"/>
          <w:sz w:val="24"/>
          <w:szCs w:val="24"/>
          <w:lang w:eastAsia="zh-CN"/>
        </w:rPr>
      </w:pPr>
      <w:bookmarkStart w:id="88" w:name="_Toc5572"/>
      <w:r>
        <w:rPr>
          <w:rFonts w:ascii="仿宋" w:hAnsi="仿宋" w:eastAsia="仿宋" w:cs="仿宋"/>
          <w:b/>
          <w:bCs/>
          <w:spacing w:val="-7"/>
          <w:sz w:val="24"/>
          <w:szCs w:val="24"/>
        </w:rPr>
        <w:t>36.</w:t>
      </w:r>
      <w:r>
        <w:rPr>
          <w:rFonts w:hint="eastAsia" w:ascii="仿宋" w:hAnsi="仿宋" w:eastAsia="仿宋" w:cs="仿宋"/>
          <w:b/>
          <w:bCs/>
          <w:spacing w:val="-7"/>
          <w:sz w:val="24"/>
          <w:szCs w:val="24"/>
          <w:lang w:eastAsia="zh-CN"/>
        </w:rPr>
        <w:t>询问与质疑</w:t>
      </w:r>
      <w:bookmarkEnd w:id="88"/>
      <w:r>
        <w:rPr>
          <w:rFonts w:hint="eastAsia" w:ascii="仿宋" w:hAnsi="仿宋" w:eastAsia="仿宋" w:cs="仿宋"/>
          <w:b/>
          <w:bCs/>
          <w:spacing w:val="-7"/>
          <w:sz w:val="24"/>
          <w:szCs w:val="24"/>
          <w:lang w:eastAsia="zh-CN"/>
        </w:rPr>
        <w:t>和投诉</w:t>
      </w:r>
    </w:p>
    <w:p w14:paraId="2AFA3B42">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36</w:t>
      </w:r>
      <w:r>
        <w:rPr>
          <w:rFonts w:hint="eastAsia" w:ascii="仿宋" w:hAnsi="仿宋" w:eastAsia="仿宋" w:cs="仿宋"/>
          <w:snapToGrid w:val="0"/>
          <w:color w:val="000000"/>
          <w:spacing w:val="-1"/>
          <w:kern w:val="0"/>
          <w:sz w:val="24"/>
          <w:szCs w:val="24"/>
          <w:lang w:val="en-US" w:eastAsia="en-US" w:bidi="ar-SA"/>
        </w:rPr>
        <w:t>.1</w:t>
      </w:r>
      <w:r>
        <w:rPr>
          <w:rFonts w:ascii="仿宋" w:hAnsi="仿宋" w:eastAsia="仿宋" w:cs="仿宋"/>
          <w:snapToGrid w:val="0"/>
          <w:color w:val="000000"/>
          <w:spacing w:val="-1"/>
          <w:kern w:val="0"/>
          <w:sz w:val="24"/>
          <w:szCs w:val="24"/>
          <w:lang w:val="en-US" w:eastAsia="en-US" w:bidi="ar-SA"/>
        </w:rPr>
        <w:t>询问</w:t>
      </w:r>
    </w:p>
    <w:p w14:paraId="28C5DBAB">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36</w:t>
      </w:r>
      <w:r>
        <w:rPr>
          <w:rFonts w:hint="eastAsia" w:ascii="仿宋" w:hAnsi="仿宋" w:eastAsia="仿宋" w:cs="仿宋"/>
          <w:snapToGrid w:val="0"/>
          <w:color w:val="000000"/>
          <w:spacing w:val="-1"/>
          <w:kern w:val="0"/>
          <w:sz w:val="24"/>
          <w:szCs w:val="24"/>
          <w:lang w:val="en-US" w:eastAsia="en-US" w:bidi="ar-SA"/>
        </w:rPr>
        <w:t>.1.1</w:t>
      </w:r>
      <w:r>
        <w:rPr>
          <w:rFonts w:ascii="仿宋" w:hAnsi="仿宋" w:eastAsia="仿宋" w:cs="仿宋"/>
          <w:snapToGrid w:val="0"/>
          <w:color w:val="000000"/>
          <w:spacing w:val="-1"/>
          <w:kern w:val="0"/>
          <w:sz w:val="24"/>
          <w:szCs w:val="24"/>
          <w:lang w:val="en-US" w:eastAsia="en-US" w:bidi="ar-SA"/>
        </w:rPr>
        <w:t>投标人对政府采购活动事项有疑问的，可依法提出询问，并按《投标人须知资料表》载明的形式送达采购人或采购代理机构。</w:t>
      </w:r>
    </w:p>
    <w:p w14:paraId="60267542">
      <w:pPr>
        <w:pStyle w:val="33"/>
        <w:spacing w:line="360" w:lineRule="auto"/>
        <w:ind w:firstLine="476" w:firstLineChars="200"/>
        <w:rPr>
          <w:rFonts w:hint="eastAsia"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36</w:t>
      </w:r>
      <w:r>
        <w:rPr>
          <w:rFonts w:hint="eastAsia" w:ascii="仿宋" w:hAnsi="仿宋" w:eastAsia="仿宋" w:cs="仿宋"/>
          <w:snapToGrid w:val="0"/>
          <w:color w:val="000000"/>
          <w:spacing w:val="-1"/>
          <w:kern w:val="0"/>
          <w:sz w:val="24"/>
          <w:szCs w:val="24"/>
          <w:lang w:val="en-US" w:eastAsia="en-US" w:bidi="ar-SA"/>
        </w:rPr>
        <w:t>.1.2采购人或采购代理机构对供应商依法提出的询问，在3个工作日内作出答复，但答复的内容不得涉及商业秘密。</w:t>
      </w:r>
    </w:p>
    <w:p w14:paraId="46CB81BE">
      <w:pPr>
        <w:pStyle w:val="33"/>
        <w:spacing w:line="360" w:lineRule="auto"/>
        <w:ind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36</w:t>
      </w:r>
      <w:r>
        <w:rPr>
          <w:rFonts w:hint="eastAsia" w:ascii="仿宋" w:hAnsi="仿宋" w:eastAsia="仿宋" w:cs="仿宋"/>
          <w:snapToGrid w:val="0"/>
          <w:color w:val="000000"/>
          <w:spacing w:val="-1"/>
          <w:kern w:val="0"/>
          <w:sz w:val="24"/>
          <w:szCs w:val="24"/>
          <w:lang w:val="en-US" w:eastAsia="en-US" w:bidi="ar-SA"/>
        </w:rPr>
        <w:t>.2  质疑</w:t>
      </w:r>
      <w:r>
        <w:rPr>
          <w:rFonts w:hint="eastAsia" w:ascii="仿宋" w:hAnsi="仿宋" w:eastAsia="仿宋" w:cs="仿宋"/>
          <w:snapToGrid w:val="0"/>
          <w:color w:val="000000"/>
          <w:spacing w:val="-1"/>
          <w:kern w:val="0"/>
          <w:sz w:val="24"/>
          <w:szCs w:val="24"/>
          <w:lang w:val="en-US" w:eastAsia="zh-CN" w:bidi="ar-SA"/>
        </w:rPr>
        <w:t>和投诉</w:t>
      </w:r>
    </w:p>
    <w:p w14:paraId="4F3A6E88">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质疑、投诉的接收和处理严格按照《中华人共和国政府采购法》、《政府采购质 疑和投诉办法》、《财政部关于加强政府采购投标人投诉受理审查工作的通知》的规定办理。</w:t>
      </w:r>
    </w:p>
    <w:p w14:paraId="441598B9">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36</w:t>
      </w:r>
      <w:r>
        <w:rPr>
          <w:rFonts w:ascii="仿宋" w:hAnsi="仿宋" w:eastAsia="仿宋" w:cs="仿宋"/>
          <w:snapToGrid w:val="0"/>
          <w:color w:val="000000"/>
          <w:spacing w:val="-1"/>
          <w:kern w:val="0"/>
          <w:sz w:val="24"/>
          <w:szCs w:val="24"/>
          <w:lang w:val="en-US" w:eastAsia="en-US" w:bidi="ar-SA"/>
        </w:rPr>
        <w:t>.</w:t>
      </w:r>
      <w:r>
        <w:rPr>
          <w:rFonts w:hint="eastAsia" w:ascii="仿宋" w:hAnsi="仿宋" w:eastAsia="仿宋" w:cs="仿宋"/>
          <w:snapToGrid w:val="0"/>
          <w:color w:val="000000"/>
          <w:spacing w:val="-1"/>
          <w:kern w:val="0"/>
          <w:sz w:val="24"/>
          <w:szCs w:val="24"/>
          <w:lang w:val="en-US" w:eastAsia="zh-CN" w:bidi="ar-SA"/>
        </w:rPr>
        <w:t>2.1</w:t>
      </w:r>
      <w:r>
        <w:rPr>
          <w:rFonts w:ascii="仿宋" w:hAnsi="仿宋" w:eastAsia="仿宋" w:cs="仿宋"/>
          <w:snapToGrid w:val="0"/>
          <w:color w:val="000000"/>
          <w:spacing w:val="-1"/>
          <w:kern w:val="0"/>
          <w:sz w:val="24"/>
          <w:szCs w:val="24"/>
          <w:lang w:val="en-US" w:eastAsia="en-US" w:bidi="ar-SA"/>
        </w:rPr>
        <w:t xml:space="preserve"> 投标人认为招标文件、采购过程和中标、成交结果使自己的权益受到损害的，可 以在知道或者应知其权益受到损害之日起七个工作日内，以书面形式向采购人提出质疑。 针对同一采购环节的质疑应一次性提出，提出质疑的投标人应当是参与所质疑项目招标活动的投标人。</w:t>
      </w:r>
    </w:p>
    <w:p w14:paraId="1B4F2240">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36.2.2</w:t>
      </w:r>
      <w:r>
        <w:rPr>
          <w:rFonts w:ascii="仿宋" w:hAnsi="仿宋" w:eastAsia="仿宋" w:cs="仿宋"/>
          <w:snapToGrid w:val="0"/>
          <w:color w:val="000000"/>
          <w:spacing w:val="-1"/>
          <w:kern w:val="0"/>
          <w:sz w:val="24"/>
          <w:szCs w:val="24"/>
          <w:lang w:val="en-US" w:eastAsia="en-US" w:bidi="ar-SA"/>
        </w:rPr>
        <w:t>潜在投标人已依法获取其可质疑的招标文件的，可以对该文件提出质疑。对招标 文件提出质疑的，应当在获取招标文件或者招标文件公告期限届满之日起 7 个工作日内提出。</w:t>
      </w:r>
    </w:p>
    <w:p w14:paraId="00FF19DF">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36.2.3</w:t>
      </w:r>
      <w:r>
        <w:rPr>
          <w:rFonts w:ascii="仿宋" w:hAnsi="仿宋" w:eastAsia="仿宋" w:cs="仿宋"/>
          <w:snapToGrid w:val="0"/>
          <w:color w:val="000000"/>
          <w:spacing w:val="-1"/>
          <w:kern w:val="0"/>
          <w:sz w:val="24"/>
          <w:szCs w:val="24"/>
          <w:lang w:val="en-US" w:eastAsia="en-US" w:bidi="ar-SA"/>
        </w:rPr>
        <w:t xml:space="preserve"> 投标人可以委托代理人进行质疑和投诉。其授权委托书应当载明代理人的姓名或者名称、代理事项、具体权限、期限和相关事项。投标人为自然人的，应当由本人签字； 投标人为法人或者其他组织的，应当由法定代表人、主要负责人签字或者盖章，并加盖公章。</w:t>
      </w:r>
    </w:p>
    <w:p w14:paraId="3753A677">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代理人提出质疑和投诉，应当提交投标人签署的授权委托书。</w:t>
      </w:r>
    </w:p>
    <w:p w14:paraId="4AD992E6">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36.2.4</w:t>
      </w:r>
      <w:r>
        <w:rPr>
          <w:rFonts w:ascii="仿宋" w:hAnsi="仿宋" w:eastAsia="仿宋" w:cs="仿宋"/>
          <w:snapToGrid w:val="0"/>
          <w:color w:val="000000"/>
          <w:spacing w:val="-1"/>
          <w:kern w:val="0"/>
          <w:sz w:val="24"/>
          <w:szCs w:val="24"/>
          <w:lang w:val="en-US" w:eastAsia="en-US" w:bidi="ar-SA"/>
        </w:rPr>
        <w:t>投标人提出质疑应当提交质疑函和必要的证明材料。质疑函应当包括下列内容：</w:t>
      </w:r>
    </w:p>
    <w:p w14:paraId="7B0F9AE8">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（一）投标人的姓名或者名称、地址、邮编、联系人及联系电话；</w:t>
      </w:r>
    </w:p>
    <w:p w14:paraId="24F6CE91">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（二）质疑项目的名称、编号；</w:t>
      </w:r>
    </w:p>
    <w:p w14:paraId="48B38E3B">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（三）具体、明确的质疑事项和与质疑事项相关的请求；</w:t>
      </w:r>
    </w:p>
    <w:p w14:paraId="3F053A60">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（四）事实依据；</w:t>
      </w:r>
    </w:p>
    <w:p w14:paraId="19457150">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（五）必要的法律依据；</w:t>
      </w:r>
    </w:p>
    <w:p w14:paraId="7E2A8CF1">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（六）提出质疑的日期。</w:t>
      </w:r>
    </w:p>
    <w:p w14:paraId="366D08A4">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投标人为自然人的，应当由本人签字；投标人为法人或者其他组织的，应当由法定代表人、主要负责人或者其被授权人签字或盖章，并加盖公章。</w:t>
      </w:r>
    </w:p>
    <w:p w14:paraId="51894987">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接收质疑函的方式：书面形式</w:t>
      </w:r>
    </w:p>
    <w:p w14:paraId="37C8F5B8">
      <w:pPr>
        <w:pStyle w:val="33"/>
        <w:spacing w:line="360" w:lineRule="auto"/>
        <w:ind w:firstLine="476" w:firstLineChars="200"/>
        <w:rPr>
          <w:rFonts w:hint="eastAsia"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联系部门：新疆振豪建设项目管理有限公司；</w:t>
      </w:r>
    </w:p>
    <w:p w14:paraId="1DD0E85D">
      <w:pPr>
        <w:pStyle w:val="33"/>
        <w:spacing w:line="360" w:lineRule="auto"/>
        <w:ind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en-US" w:bidi="ar-SA"/>
        </w:rPr>
        <w:t xml:space="preserve">联系人及电话：蒋工  </w:t>
      </w:r>
      <w:r>
        <w:rPr>
          <w:rFonts w:hint="eastAsia" w:ascii="仿宋" w:hAnsi="仿宋" w:eastAsia="仿宋" w:cs="仿宋"/>
          <w:snapToGrid w:val="0"/>
          <w:color w:val="000000"/>
          <w:spacing w:val="-1"/>
          <w:kern w:val="0"/>
          <w:sz w:val="24"/>
          <w:szCs w:val="24"/>
          <w:lang w:val="en-US" w:eastAsia="zh-CN" w:bidi="ar-SA"/>
        </w:rPr>
        <w:t>17797827186</w:t>
      </w:r>
    </w:p>
    <w:p w14:paraId="78BC7891">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 xml:space="preserve">通讯地址： </w:t>
      </w:r>
      <w:r>
        <w:rPr>
          <w:rFonts w:hint="eastAsia" w:ascii="仿宋" w:hAnsi="仿宋" w:eastAsia="仿宋" w:cs="仿宋"/>
          <w:snapToGrid w:val="0"/>
          <w:color w:val="000000"/>
          <w:spacing w:val="-1"/>
          <w:kern w:val="0"/>
          <w:sz w:val="24"/>
          <w:szCs w:val="24"/>
          <w:lang w:val="en-US" w:eastAsia="en-US" w:bidi="ar-SA"/>
        </w:rPr>
        <w:t>乌鲁木齐市沙依巴克区绿城翡翠园1期横渠大厦5楼。</w:t>
      </w:r>
    </w:p>
    <w:p w14:paraId="45FD403E">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36.2.5</w:t>
      </w:r>
      <w:r>
        <w:rPr>
          <w:rFonts w:ascii="仿宋" w:hAnsi="仿宋" w:eastAsia="仿宋" w:cs="仿宋"/>
          <w:snapToGrid w:val="0"/>
          <w:color w:val="000000"/>
          <w:spacing w:val="-1"/>
          <w:kern w:val="0"/>
          <w:sz w:val="24"/>
          <w:szCs w:val="24"/>
          <w:lang w:val="en-US" w:eastAsia="en-US" w:bidi="ar-SA"/>
        </w:rPr>
        <w:t>质疑投标人对采购人、采购代理机构的答复不满意，或者采购人、采购代理机构 未在规定时间内作出答复的，可以在答复期满后 15 个工作日内向本办法第六条规定的财政部门提起投诉。</w:t>
      </w:r>
    </w:p>
    <w:p w14:paraId="0AEE7DA4">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36.2.6</w:t>
      </w:r>
      <w:r>
        <w:rPr>
          <w:rFonts w:ascii="仿宋" w:hAnsi="仿宋" w:eastAsia="仿宋" w:cs="仿宋"/>
          <w:snapToGrid w:val="0"/>
          <w:color w:val="000000"/>
          <w:spacing w:val="-1"/>
          <w:kern w:val="0"/>
          <w:sz w:val="24"/>
          <w:szCs w:val="24"/>
          <w:lang w:val="en-US" w:eastAsia="en-US" w:bidi="ar-SA"/>
        </w:rPr>
        <w:t xml:space="preserve"> 投诉人投诉时，应当提交投诉书和必要的证明材料，并按照被投诉采购人、采购代理机构（以下简称被投诉人）和与投诉事项有关的投标人数量提供投诉书的副本。投诉书应当包括下列内容：</w:t>
      </w:r>
    </w:p>
    <w:p w14:paraId="037F504E">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（一）投诉人和被投诉人的姓名或者名称、通讯地址、邮编、联系人及联系电话；</w:t>
      </w:r>
    </w:p>
    <w:p w14:paraId="63D39D0A">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（二）质疑和质疑答复情况说明及相关证明材料；</w:t>
      </w:r>
    </w:p>
    <w:p w14:paraId="24F83D96">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（三）具体、明确的投诉事项和与投诉事项相关的投诉请求；</w:t>
      </w:r>
    </w:p>
    <w:p w14:paraId="5652416A">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（四）事实依据；</w:t>
      </w:r>
    </w:p>
    <w:p w14:paraId="04E34B1C">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（五）法律依据；</w:t>
      </w:r>
    </w:p>
    <w:p w14:paraId="46A48F5B">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（六）提起投诉的日期。</w:t>
      </w:r>
    </w:p>
    <w:p w14:paraId="7F26F54C">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投诉人为自然人的，应当由本人签字；投诉人为法人或者其他组织的，应当由法定代表人、主要负责人，或者其授权代表签字或者盖章，并加盖公章。</w:t>
      </w:r>
    </w:p>
    <w:p w14:paraId="333534BC">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zh-CN" w:bidi="ar-SA"/>
        </w:rPr>
        <w:t>36.2.7</w:t>
      </w:r>
      <w:r>
        <w:rPr>
          <w:rFonts w:ascii="仿宋" w:hAnsi="仿宋" w:eastAsia="仿宋" w:cs="仿宋"/>
          <w:snapToGrid w:val="0"/>
          <w:color w:val="000000"/>
          <w:spacing w:val="-1"/>
          <w:kern w:val="0"/>
          <w:sz w:val="24"/>
          <w:szCs w:val="24"/>
          <w:lang w:val="en-US" w:eastAsia="en-US" w:bidi="ar-SA"/>
        </w:rPr>
        <w:t>投诉人应当根据《政府采购质疑和投诉办法》第七条第二款规定的信息内容，并按照其规定的方式提起投诉。</w:t>
      </w:r>
    </w:p>
    <w:p w14:paraId="53092029">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投诉人提起投诉应当符合下列条件：</w:t>
      </w:r>
    </w:p>
    <w:p w14:paraId="7D9DC761">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（一）提起投诉前已依法进行质疑；</w:t>
      </w:r>
    </w:p>
    <w:p w14:paraId="2450E432">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（二）投诉书内容符合本办法的规定；</w:t>
      </w:r>
    </w:p>
    <w:p w14:paraId="53B927C5">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（三）在投诉有效期限内提起投诉；</w:t>
      </w:r>
    </w:p>
    <w:p w14:paraId="3464F9B8">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（四）同一投诉事项未经财政部门投诉处理；</w:t>
      </w:r>
    </w:p>
    <w:p w14:paraId="07833164">
      <w:pPr>
        <w:pStyle w:val="33"/>
        <w:spacing w:line="360" w:lineRule="auto"/>
        <w:ind w:firstLine="476" w:firstLineChars="200"/>
        <w:rPr>
          <w:rFonts w:ascii="仿宋" w:hAnsi="仿宋" w:eastAsia="仿宋" w:cs="仿宋"/>
          <w:snapToGrid w:val="0"/>
          <w:color w:val="000000"/>
          <w:spacing w:val="-1"/>
          <w:kern w:val="0"/>
          <w:sz w:val="24"/>
          <w:szCs w:val="24"/>
          <w:lang w:val="en-US" w:eastAsia="en-US" w:bidi="ar-SA"/>
        </w:rPr>
        <w:sectPr>
          <w:headerReference r:id="rId20" w:type="default"/>
          <w:footerReference r:id="rId21" w:type="default"/>
          <w:pgSz w:w="11906" w:h="16838"/>
          <w:pgMar w:top="1118" w:right="1096" w:bottom="1322" w:left="1456" w:header="877" w:footer="1162" w:gutter="0"/>
          <w:pgBorders>
            <w:top w:val="none" w:sz="0" w:space="0"/>
            <w:left w:val="none" w:sz="0" w:space="0"/>
            <w:bottom w:val="none" w:sz="0" w:space="0"/>
            <w:right w:val="none" w:sz="0" w:space="0"/>
          </w:pgBorders>
          <w:pgNumType w:fmt="decimal"/>
          <w:cols w:space="720" w:num="1"/>
        </w:sectPr>
      </w:pPr>
      <w:r>
        <w:rPr>
          <w:rFonts w:ascii="仿宋" w:hAnsi="仿宋" w:eastAsia="仿宋" w:cs="仿宋"/>
          <w:snapToGrid w:val="0"/>
          <w:color w:val="000000"/>
          <w:spacing w:val="-1"/>
          <w:kern w:val="0"/>
          <w:sz w:val="24"/>
          <w:szCs w:val="24"/>
          <w:lang w:val="en-US" w:eastAsia="en-US" w:bidi="ar-SA"/>
        </w:rPr>
        <w:t>（五）财政部规定的其他条件。</w:t>
      </w:r>
    </w:p>
    <w:p w14:paraId="1EDBCE1C">
      <w:pPr>
        <w:keepNext w:val="0"/>
        <w:keepLines w:val="0"/>
        <w:pageBreakBefore w:val="0"/>
        <w:widowControl w:val="0"/>
        <w:wordWrap/>
        <w:overflowPunct/>
        <w:topLinePunct w:val="0"/>
        <w:bidi w:val="0"/>
        <w:spacing w:before="208" w:line="227" w:lineRule="auto"/>
        <w:ind w:left="4068"/>
        <w:rPr>
          <w:rFonts w:hint="eastAsia" w:ascii="仿宋" w:hAnsi="仿宋" w:eastAsia="仿宋" w:cs="仿宋"/>
          <w:b/>
          <w:bCs/>
          <w:sz w:val="24"/>
          <w:szCs w:val="24"/>
        </w:rPr>
      </w:pPr>
      <w:r>
        <w:rPr>
          <w:rFonts w:hint="eastAsia" w:ascii="仿宋" w:hAnsi="仿宋" w:eastAsia="仿宋" w:cs="仿宋"/>
          <w:b/>
          <w:bCs/>
          <w:sz w:val="24"/>
          <w:szCs w:val="24"/>
        </w:rPr>
        <mc:AlternateContent>
          <mc:Choice Requires="wps">
            <w:drawing>
              <wp:anchor distT="0" distB="0" distL="114300" distR="114300" simplePos="0" relativeHeight="251661312" behindDoc="0" locked="0" layoutInCell="0" allowOverlap="1">
                <wp:simplePos x="0" y="0"/>
                <wp:positionH relativeFrom="page">
                  <wp:posOffset>1228725</wp:posOffset>
                </wp:positionH>
                <wp:positionV relativeFrom="page">
                  <wp:posOffset>6069330</wp:posOffset>
                </wp:positionV>
                <wp:extent cx="4191000" cy="8255"/>
                <wp:effectExtent l="0" t="0" r="0" b="0"/>
                <wp:wrapNone/>
                <wp:docPr id="67" name="任意多边形 67"/>
                <wp:cNvGraphicFramePr/>
                <a:graphic xmlns:a="http://schemas.openxmlformats.org/drawingml/2006/main">
                  <a:graphicData uri="http://schemas.microsoft.com/office/word/2010/wordprocessingShape">
                    <wps:wsp>
                      <wps:cNvSpPr/>
                      <wps:spPr>
                        <a:xfrm>
                          <a:off x="0" y="0"/>
                          <a:ext cx="4191000" cy="8255"/>
                        </a:xfrm>
                        <a:custGeom>
                          <a:avLst/>
                          <a:gdLst/>
                          <a:ahLst/>
                          <a:cxnLst/>
                          <a:pathLst>
                            <a:path w="6600" h="12">
                              <a:moveTo>
                                <a:pt x="0" y="6"/>
                              </a:moveTo>
                              <a:lnTo>
                                <a:pt x="6599" y="6"/>
                              </a:lnTo>
                            </a:path>
                          </a:pathLst>
                        </a:custGeom>
                        <a:noFill/>
                        <a:ln w="7620"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96.75pt;margin-top:477.9pt;height:0.65pt;width:330pt;mso-position-horizontal-relative:page;mso-position-vertical-relative:page;z-index:251661312;mso-width-relative:page;mso-height-relative:page;" filled="f" stroked="t" coordsize="6600,12" o:allowincell="f" o:gfxdata="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mYAbnXAAAACwEAAA8AAAAAAAAAAQAgAAAAIgAAAGRycy9k&#10;b3ducmV2LnhtbFBLAQIUABQAAAAIAIdO4kAtGV40PAIAAJcEAAAOAAAAAAAAAAEAIAAAACYBAABk&#10;cnMvZTJvRG9jLnhtbFBLBQYAAAAABgAGAFkBAADUBQAAAAA=&#10;" path="m0,6l6599,6e">
                <v:fill on="f" focussize="0,0"/>
                <v:stroke weight="0.6pt" color="#000000" joinstyle="bevel" dashstyle="dash"/>
                <v:imagedata o:title=""/>
                <o:lock v:ext="edit" aspectratio="f"/>
              </v:shape>
            </w:pict>
          </mc:Fallback>
        </mc:AlternateContent>
      </w:r>
      <w:r>
        <w:rPr>
          <w:rFonts w:hint="eastAsia" w:ascii="仿宋" w:hAnsi="仿宋" w:eastAsia="仿宋" w:cs="仿宋"/>
          <w:b/>
          <w:bCs/>
          <w:sz w:val="24"/>
          <w:szCs w:val="24"/>
        </w:rPr>
        <mc:AlternateContent>
          <mc:Choice Requires="wps">
            <w:drawing>
              <wp:anchor distT="0" distB="0" distL="114300" distR="114300" simplePos="0" relativeHeight="251662336" behindDoc="0" locked="0" layoutInCell="0" allowOverlap="1">
                <wp:simplePos x="0" y="0"/>
                <wp:positionH relativeFrom="page">
                  <wp:posOffset>1228725</wp:posOffset>
                </wp:positionH>
                <wp:positionV relativeFrom="page">
                  <wp:posOffset>6704330</wp:posOffset>
                </wp:positionV>
                <wp:extent cx="4038600" cy="8255"/>
                <wp:effectExtent l="0" t="0" r="0" b="0"/>
                <wp:wrapNone/>
                <wp:docPr id="66" name="任意多边形 66"/>
                <wp:cNvGraphicFramePr/>
                <a:graphic xmlns:a="http://schemas.openxmlformats.org/drawingml/2006/main">
                  <a:graphicData uri="http://schemas.microsoft.com/office/word/2010/wordprocessingShape">
                    <wps:wsp>
                      <wps:cNvSpPr/>
                      <wps:spPr>
                        <a:xfrm>
                          <a:off x="0" y="0"/>
                          <a:ext cx="4038600" cy="8255"/>
                        </a:xfrm>
                        <a:custGeom>
                          <a:avLst/>
                          <a:gdLst/>
                          <a:ahLst/>
                          <a:cxnLst/>
                          <a:pathLst>
                            <a:path w="6360" h="12">
                              <a:moveTo>
                                <a:pt x="0" y="6"/>
                              </a:moveTo>
                              <a:lnTo>
                                <a:pt x="6359" y="6"/>
                              </a:lnTo>
                            </a:path>
                          </a:pathLst>
                        </a:custGeom>
                        <a:noFill/>
                        <a:ln w="7620"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96.75pt;margin-top:527.9pt;height:0.65pt;width:318pt;mso-position-horizontal-relative:page;mso-position-vertical-relative:page;z-index:251662336;mso-width-relative:page;mso-height-relative:page;" filled="f" stroked="t" coordsize="6360,12" o:allowincell="f" o:gfxdata="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R999tgAAAANAQAADwAAAAAAAAABACAAAAAiAAAAZHJz&#10;L2Rvd25yZXYueG1sUEsBAhQAFAAAAAgAh07iQOPq5N89AgAAlwQAAA4AAAAAAAAAAQAgAAAAJwEA&#10;AGRycy9lMm9Eb2MueG1sUEsFBgAAAAAGAAYAWQEAANYFAAAAAA==&#10;" path="m0,6l6359,6e">
                <v:fill on="f" focussize="0,0"/>
                <v:stroke weight="0.6pt" color="#000000" joinstyle="bevel" dashstyle="dash"/>
                <v:imagedata o:title=""/>
                <o:lock v:ext="edit" aspectratio="f"/>
              </v:shape>
            </w:pict>
          </mc:Fallback>
        </mc:AlternateContent>
      </w:r>
      <w:r>
        <w:rPr>
          <w:rFonts w:hint="eastAsia" w:ascii="仿宋" w:hAnsi="仿宋" w:eastAsia="仿宋" w:cs="仿宋"/>
          <w:b/>
          <w:bCs/>
          <w:spacing w:val="8"/>
          <w:sz w:val="24"/>
          <w:szCs w:val="24"/>
        </w:rPr>
        <w:t>质疑函范本</w:t>
      </w:r>
    </w:p>
    <w:p w14:paraId="08C8C446">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z w:val="24"/>
          <w:szCs w:val="24"/>
        </w:rPr>
      </w:pPr>
      <w:r>
        <w:rPr>
          <w:rFonts w:hint="eastAsia" w:ascii="仿宋" w:hAnsi="仿宋" w:eastAsia="仿宋" w:cs="仿宋"/>
          <w:spacing w:val="8"/>
          <w:sz w:val="24"/>
          <w:szCs w:val="24"/>
        </w:rPr>
        <w:t>一、质疑</w:t>
      </w:r>
      <w:r>
        <w:rPr>
          <w:rFonts w:hint="eastAsia" w:ascii="仿宋" w:hAnsi="仿宋" w:eastAsia="仿宋" w:cs="仿宋"/>
          <w:color w:val="333333"/>
          <w:spacing w:val="8"/>
          <w:sz w:val="24"/>
          <w:szCs w:val="24"/>
        </w:rPr>
        <w:t>投标人</w:t>
      </w:r>
      <w:r>
        <w:rPr>
          <w:rFonts w:hint="eastAsia" w:ascii="仿宋" w:hAnsi="仿宋" w:eastAsia="仿宋" w:cs="仿宋"/>
          <w:spacing w:val="8"/>
          <w:sz w:val="24"/>
          <w:szCs w:val="24"/>
        </w:rPr>
        <w:t>基本信息</w:t>
      </w:r>
    </w:p>
    <w:p w14:paraId="3B32E381">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质疑投标人：</w:t>
      </w:r>
      <w:r>
        <w:rPr>
          <w:rFonts w:hint="eastAsia" w:ascii="仿宋" w:hAnsi="仿宋" w:eastAsia="仿宋" w:cs="仿宋"/>
          <w:spacing w:val="8"/>
          <w:sz w:val="24"/>
          <w:szCs w:val="24"/>
        </w:rPr>
        <w:drawing>
          <wp:inline distT="0" distB="0" distL="114300" distR="114300">
            <wp:extent cx="3047365" cy="7620"/>
            <wp:effectExtent l="0" t="0" r="0" b="0"/>
            <wp:docPr id="65" name="图片 1"/>
            <wp:cNvGraphicFramePr/>
            <a:graphic xmlns:a="http://schemas.openxmlformats.org/drawingml/2006/main">
              <a:graphicData uri="http://schemas.openxmlformats.org/drawingml/2006/picture">
                <pic:pic xmlns:pic="http://schemas.openxmlformats.org/drawingml/2006/picture">
                  <pic:nvPicPr>
                    <pic:cNvPr id="65" name="图片 1"/>
                    <pic:cNvPicPr/>
                  </pic:nvPicPr>
                  <pic:blipFill>
                    <a:blip r:embed="rId55"/>
                    <a:stretch>
                      <a:fillRect/>
                    </a:stretch>
                  </pic:blipFill>
                  <pic:spPr>
                    <a:xfrm>
                      <a:off x="0" y="0"/>
                      <a:ext cx="3047365" cy="7620"/>
                    </a:xfrm>
                    <a:prstGeom prst="rect">
                      <a:avLst/>
                    </a:prstGeom>
                    <a:noFill/>
                    <a:ln>
                      <a:noFill/>
                    </a:ln>
                  </pic:spPr>
                </pic:pic>
              </a:graphicData>
            </a:graphic>
          </wp:inline>
        </w:drawing>
      </w:r>
    </w:p>
    <w:p w14:paraId="717B15D9">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lang w:eastAsia="zh-CN"/>
        </w:rPr>
        <w:t>地址</w:t>
      </w:r>
      <w:r>
        <w:rPr>
          <w:rFonts w:hint="eastAsia" w:ascii="仿宋" w:hAnsi="仿宋" w:eastAsia="仿宋" w:cs="仿宋"/>
          <w:spacing w:val="8"/>
          <w:sz w:val="24"/>
          <w:szCs w:val="24"/>
        </w:rPr>
        <w:t xml:space="preserve"> </w:t>
      </w:r>
      <w:r>
        <w:rPr>
          <w:rFonts w:hint="eastAsia" w:ascii="仿宋" w:hAnsi="仿宋" w:eastAsia="仿宋" w:cs="仿宋"/>
          <w:spacing w:val="8"/>
          <w:sz w:val="24"/>
          <w:szCs w:val="24"/>
        </w:rPr>
        <w:drawing>
          <wp:inline distT="0" distB="0" distL="114300" distR="114300">
            <wp:extent cx="1980565" cy="7620"/>
            <wp:effectExtent l="0" t="0" r="0" b="0"/>
            <wp:docPr id="64" name="图片 2"/>
            <wp:cNvGraphicFramePr/>
            <a:graphic xmlns:a="http://schemas.openxmlformats.org/drawingml/2006/main">
              <a:graphicData uri="http://schemas.openxmlformats.org/drawingml/2006/picture">
                <pic:pic xmlns:pic="http://schemas.openxmlformats.org/drawingml/2006/picture">
                  <pic:nvPicPr>
                    <pic:cNvPr id="64" name="图片 2"/>
                    <pic:cNvPicPr/>
                  </pic:nvPicPr>
                  <pic:blipFill>
                    <a:blip r:embed="rId56"/>
                    <a:stretch>
                      <a:fillRect/>
                    </a:stretch>
                  </pic:blipFill>
                  <pic:spPr>
                    <a:xfrm>
                      <a:off x="0" y="0"/>
                      <a:ext cx="1980565" cy="7620"/>
                    </a:xfrm>
                    <a:prstGeom prst="rect">
                      <a:avLst/>
                    </a:prstGeom>
                    <a:noFill/>
                    <a:ln>
                      <a:noFill/>
                    </a:ln>
                  </pic:spPr>
                </pic:pic>
              </a:graphicData>
            </a:graphic>
          </wp:inline>
        </w:drawing>
      </w:r>
      <w:r>
        <w:rPr>
          <w:rFonts w:hint="eastAsia" w:ascii="仿宋" w:hAnsi="仿宋" w:eastAsia="仿宋" w:cs="仿宋"/>
          <w:spacing w:val="8"/>
          <w:sz w:val="24"/>
          <w:szCs w:val="24"/>
        </w:rPr>
        <w:t xml:space="preserve"> 邮编： </w:t>
      </w:r>
      <w:r>
        <w:rPr>
          <w:rFonts w:hint="eastAsia" w:ascii="仿宋" w:hAnsi="仿宋" w:eastAsia="仿宋" w:cs="仿宋"/>
          <w:spacing w:val="8"/>
          <w:sz w:val="24"/>
          <w:szCs w:val="24"/>
        </w:rPr>
        <w:drawing>
          <wp:inline distT="0" distB="0" distL="114300" distR="114300">
            <wp:extent cx="2717165" cy="7620"/>
            <wp:effectExtent l="0" t="0" r="0" b="0"/>
            <wp:docPr id="63" name="图片 3"/>
            <wp:cNvGraphicFramePr/>
            <a:graphic xmlns:a="http://schemas.openxmlformats.org/drawingml/2006/main">
              <a:graphicData uri="http://schemas.openxmlformats.org/drawingml/2006/picture">
                <pic:pic xmlns:pic="http://schemas.openxmlformats.org/drawingml/2006/picture">
                  <pic:nvPicPr>
                    <pic:cNvPr id="63" name="图片 3"/>
                    <pic:cNvPicPr/>
                  </pic:nvPicPr>
                  <pic:blipFill>
                    <a:blip r:embed="rId57"/>
                    <a:stretch>
                      <a:fillRect/>
                    </a:stretch>
                  </pic:blipFill>
                  <pic:spPr>
                    <a:xfrm>
                      <a:off x="0" y="0"/>
                      <a:ext cx="2717165" cy="7620"/>
                    </a:xfrm>
                    <a:prstGeom prst="rect">
                      <a:avLst/>
                    </a:prstGeom>
                    <a:noFill/>
                    <a:ln>
                      <a:noFill/>
                    </a:ln>
                  </pic:spPr>
                </pic:pic>
              </a:graphicData>
            </a:graphic>
          </wp:inline>
        </w:drawing>
      </w:r>
    </w:p>
    <w:p w14:paraId="676443B2">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 xml:space="preserve">联系人： </w:t>
      </w:r>
      <w:r>
        <w:rPr>
          <w:rFonts w:hint="eastAsia" w:ascii="仿宋" w:hAnsi="仿宋" w:eastAsia="仿宋" w:cs="仿宋"/>
          <w:spacing w:val="8"/>
          <w:sz w:val="24"/>
          <w:szCs w:val="24"/>
        </w:rPr>
        <w:drawing>
          <wp:inline distT="0" distB="0" distL="114300" distR="114300">
            <wp:extent cx="1675765" cy="7620"/>
            <wp:effectExtent l="0" t="0" r="0" b="0"/>
            <wp:docPr id="62" name="图片 4"/>
            <wp:cNvGraphicFramePr/>
            <a:graphic xmlns:a="http://schemas.openxmlformats.org/drawingml/2006/main">
              <a:graphicData uri="http://schemas.openxmlformats.org/drawingml/2006/picture">
                <pic:pic xmlns:pic="http://schemas.openxmlformats.org/drawingml/2006/picture">
                  <pic:nvPicPr>
                    <pic:cNvPr id="62" name="图片 4"/>
                    <pic:cNvPicPr/>
                  </pic:nvPicPr>
                  <pic:blipFill>
                    <a:blip r:embed="rId58"/>
                    <a:stretch>
                      <a:fillRect/>
                    </a:stretch>
                  </pic:blipFill>
                  <pic:spPr>
                    <a:xfrm>
                      <a:off x="0" y="0"/>
                      <a:ext cx="1675765" cy="7620"/>
                    </a:xfrm>
                    <a:prstGeom prst="rect">
                      <a:avLst/>
                    </a:prstGeom>
                    <a:noFill/>
                    <a:ln>
                      <a:noFill/>
                    </a:ln>
                  </pic:spPr>
                </pic:pic>
              </a:graphicData>
            </a:graphic>
          </wp:inline>
        </w:drawing>
      </w:r>
      <w:r>
        <w:rPr>
          <w:rFonts w:hint="eastAsia" w:ascii="仿宋" w:hAnsi="仿宋" w:eastAsia="仿宋" w:cs="仿宋"/>
          <w:spacing w:val="8"/>
          <w:sz w:val="24"/>
          <w:szCs w:val="24"/>
        </w:rPr>
        <w:t xml:space="preserve"> 联系电话： </w:t>
      </w:r>
      <w:r>
        <w:rPr>
          <w:rFonts w:hint="eastAsia" w:ascii="仿宋" w:hAnsi="仿宋" w:eastAsia="仿宋" w:cs="仿宋"/>
          <w:spacing w:val="8"/>
          <w:sz w:val="24"/>
          <w:szCs w:val="24"/>
        </w:rPr>
        <w:drawing>
          <wp:inline distT="0" distB="0" distL="114300" distR="114300">
            <wp:extent cx="2285365" cy="7620"/>
            <wp:effectExtent l="0" t="0" r="0" b="0"/>
            <wp:docPr id="61" name="图片 5"/>
            <wp:cNvGraphicFramePr/>
            <a:graphic xmlns:a="http://schemas.openxmlformats.org/drawingml/2006/main">
              <a:graphicData uri="http://schemas.openxmlformats.org/drawingml/2006/picture">
                <pic:pic xmlns:pic="http://schemas.openxmlformats.org/drawingml/2006/picture">
                  <pic:nvPicPr>
                    <pic:cNvPr id="61" name="图片 5"/>
                    <pic:cNvPicPr/>
                  </pic:nvPicPr>
                  <pic:blipFill>
                    <a:blip r:embed="rId59"/>
                    <a:stretch>
                      <a:fillRect/>
                    </a:stretch>
                  </pic:blipFill>
                  <pic:spPr>
                    <a:xfrm>
                      <a:off x="0" y="0"/>
                      <a:ext cx="2285365" cy="7620"/>
                    </a:xfrm>
                    <a:prstGeom prst="rect">
                      <a:avLst/>
                    </a:prstGeom>
                    <a:noFill/>
                    <a:ln>
                      <a:noFill/>
                    </a:ln>
                  </pic:spPr>
                </pic:pic>
              </a:graphicData>
            </a:graphic>
          </wp:inline>
        </w:drawing>
      </w:r>
    </w:p>
    <w:p w14:paraId="3F920812">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 xml:space="preserve">被授权人： </w:t>
      </w:r>
      <w:r>
        <w:rPr>
          <w:rFonts w:hint="eastAsia" w:ascii="仿宋" w:hAnsi="仿宋" w:eastAsia="仿宋" w:cs="仿宋"/>
          <w:spacing w:val="8"/>
          <w:sz w:val="24"/>
          <w:szCs w:val="24"/>
        </w:rPr>
        <w:drawing>
          <wp:inline distT="0" distB="0" distL="114300" distR="114300">
            <wp:extent cx="3199765" cy="7620"/>
            <wp:effectExtent l="0" t="0" r="0" b="0"/>
            <wp:docPr id="60" name="图片 6"/>
            <wp:cNvGraphicFramePr/>
            <a:graphic xmlns:a="http://schemas.openxmlformats.org/drawingml/2006/main">
              <a:graphicData uri="http://schemas.openxmlformats.org/drawingml/2006/picture">
                <pic:pic xmlns:pic="http://schemas.openxmlformats.org/drawingml/2006/picture">
                  <pic:nvPicPr>
                    <pic:cNvPr id="60" name="图片 6"/>
                    <pic:cNvPicPr/>
                  </pic:nvPicPr>
                  <pic:blipFill>
                    <a:blip r:embed="rId60"/>
                    <a:stretch>
                      <a:fillRect/>
                    </a:stretch>
                  </pic:blipFill>
                  <pic:spPr>
                    <a:xfrm>
                      <a:off x="0" y="0"/>
                      <a:ext cx="3199765" cy="7620"/>
                    </a:xfrm>
                    <a:prstGeom prst="rect">
                      <a:avLst/>
                    </a:prstGeom>
                    <a:noFill/>
                    <a:ln>
                      <a:noFill/>
                    </a:ln>
                  </pic:spPr>
                </pic:pic>
              </a:graphicData>
            </a:graphic>
          </wp:inline>
        </w:drawing>
      </w:r>
    </w:p>
    <w:p w14:paraId="6161D216">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 xml:space="preserve">联系电话： </w:t>
      </w:r>
      <w:r>
        <w:rPr>
          <w:rFonts w:hint="eastAsia" w:ascii="仿宋" w:hAnsi="仿宋" w:eastAsia="仿宋" w:cs="仿宋"/>
          <w:spacing w:val="8"/>
          <w:sz w:val="24"/>
          <w:szCs w:val="24"/>
        </w:rPr>
        <w:drawing>
          <wp:inline distT="0" distB="0" distL="114300" distR="114300">
            <wp:extent cx="3275965" cy="7620"/>
            <wp:effectExtent l="0" t="0" r="0" b="0"/>
            <wp:docPr id="59" name="图片 7"/>
            <wp:cNvGraphicFramePr/>
            <a:graphic xmlns:a="http://schemas.openxmlformats.org/drawingml/2006/main">
              <a:graphicData uri="http://schemas.openxmlformats.org/drawingml/2006/picture">
                <pic:pic xmlns:pic="http://schemas.openxmlformats.org/drawingml/2006/picture">
                  <pic:nvPicPr>
                    <pic:cNvPr id="59" name="图片 7"/>
                    <pic:cNvPicPr/>
                  </pic:nvPicPr>
                  <pic:blipFill>
                    <a:blip r:embed="rId61"/>
                    <a:stretch>
                      <a:fillRect/>
                    </a:stretch>
                  </pic:blipFill>
                  <pic:spPr>
                    <a:xfrm>
                      <a:off x="0" y="0"/>
                      <a:ext cx="3275965" cy="7620"/>
                    </a:xfrm>
                    <a:prstGeom prst="rect">
                      <a:avLst/>
                    </a:prstGeom>
                    <a:noFill/>
                    <a:ln>
                      <a:noFill/>
                    </a:ln>
                  </pic:spPr>
                </pic:pic>
              </a:graphicData>
            </a:graphic>
          </wp:inline>
        </w:drawing>
      </w:r>
    </w:p>
    <w:p w14:paraId="5D08417A">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 xml:space="preserve">地址：  </w:t>
      </w:r>
      <w:r>
        <w:rPr>
          <w:rFonts w:hint="eastAsia" w:ascii="仿宋" w:hAnsi="仿宋" w:eastAsia="仿宋" w:cs="仿宋"/>
          <w:spacing w:val="8"/>
          <w:sz w:val="24"/>
          <w:szCs w:val="24"/>
        </w:rPr>
        <w:drawing>
          <wp:inline distT="0" distB="0" distL="114300" distR="114300">
            <wp:extent cx="1828165" cy="7620"/>
            <wp:effectExtent l="0" t="0" r="0" b="0"/>
            <wp:docPr id="58" name="图片 8"/>
            <wp:cNvGraphicFramePr/>
            <a:graphic xmlns:a="http://schemas.openxmlformats.org/drawingml/2006/main">
              <a:graphicData uri="http://schemas.openxmlformats.org/drawingml/2006/picture">
                <pic:pic xmlns:pic="http://schemas.openxmlformats.org/drawingml/2006/picture">
                  <pic:nvPicPr>
                    <pic:cNvPr id="58" name="图片 8"/>
                    <pic:cNvPicPr/>
                  </pic:nvPicPr>
                  <pic:blipFill>
                    <a:blip r:embed="rId62"/>
                    <a:stretch>
                      <a:fillRect/>
                    </a:stretch>
                  </pic:blipFill>
                  <pic:spPr>
                    <a:xfrm>
                      <a:off x="0" y="0"/>
                      <a:ext cx="1828165" cy="7620"/>
                    </a:xfrm>
                    <a:prstGeom prst="rect">
                      <a:avLst/>
                    </a:prstGeom>
                    <a:noFill/>
                    <a:ln>
                      <a:noFill/>
                    </a:ln>
                  </pic:spPr>
                </pic:pic>
              </a:graphicData>
            </a:graphic>
          </wp:inline>
        </w:drawing>
      </w:r>
      <w:r>
        <w:rPr>
          <w:rFonts w:hint="eastAsia" w:ascii="仿宋" w:hAnsi="仿宋" w:eastAsia="仿宋" w:cs="仿宋"/>
          <w:spacing w:val="8"/>
          <w:sz w:val="24"/>
          <w:szCs w:val="24"/>
        </w:rPr>
        <w:t xml:space="preserve"> 邮编： </w:t>
      </w:r>
      <w:r>
        <w:rPr>
          <w:rFonts w:hint="eastAsia" w:ascii="仿宋" w:hAnsi="仿宋" w:eastAsia="仿宋" w:cs="仿宋"/>
          <w:spacing w:val="8"/>
          <w:sz w:val="24"/>
          <w:szCs w:val="24"/>
        </w:rPr>
        <w:drawing>
          <wp:inline distT="0" distB="0" distL="114300" distR="114300">
            <wp:extent cx="2793365" cy="7620"/>
            <wp:effectExtent l="0" t="0" r="0" b="0"/>
            <wp:docPr id="57" name="图片 9"/>
            <wp:cNvGraphicFramePr/>
            <a:graphic xmlns:a="http://schemas.openxmlformats.org/drawingml/2006/main">
              <a:graphicData uri="http://schemas.openxmlformats.org/drawingml/2006/picture">
                <pic:pic xmlns:pic="http://schemas.openxmlformats.org/drawingml/2006/picture">
                  <pic:nvPicPr>
                    <pic:cNvPr id="57" name="图片 9"/>
                    <pic:cNvPicPr/>
                  </pic:nvPicPr>
                  <pic:blipFill>
                    <a:blip r:embed="rId63"/>
                    <a:stretch>
                      <a:fillRect/>
                    </a:stretch>
                  </pic:blipFill>
                  <pic:spPr>
                    <a:xfrm>
                      <a:off x="0" y="0"/>
                      <a:ext cx="2793365" cy="7620"/>
                    </a:xfrm>
                    <a:prstGeom prst="rect">
                      <a:avLst/>
                    </a:prstGeom>
                    <a:noFill/>
                    <a:ln>
                      <a:noFill/>
                    </a:ln>
                  </pic:spPr>
                </pic:pic>
              </a:graphicData>
            </a:graphic>
          </wp:inline>
        </w:drawing>
      </w:r>
    </w:p>
    <w:p w14:paraId="65B74CB4">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二、质疑项目基本情况</w:t>
      </w:r>
    </w:p>
    <w:p w14:paraId="311E146C">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 xml:space="preserve">质疑项目的名称： </w:t>
      </w:r>
      <w:r>
        <w:rPr>
          <w:rFonts w:hint="eastAsia" w:ascii="仿宋" w:hAnsi="仿宋" w:eastAsia="仿宋" w:cs="仿宋"/>
          <w:spacing w:val="8"/>
          <w:sz w:val="24"/>
          <w:szCs w:val="24"/>
        </w:rPr>
        <w:drawing>
          <wp:inline distT="0" distB="0" distL="114300" distR="114300">
            <wp:extent cx="2894965" cy="7620"/>
            <wp:effectExtent l="0" t="0" r="0" b="0"/>
            <wp:docPr id="56" name="图片 10"/>
            <wp:cNvGraphicFramePr/>
            <a:graphic xmlns:a="http://schemas.openxmlformats.org/drawingml/2006/main">
              <a:graphicData uri="http://schemas.openxmlformats.org/drawingml/2006/picture">
                <pic:pic xmlns:pic="http://schemas.openxmlformats.org/drawingml/2006/picture">
                  <pic:nvPicPr>
                    <pic:cNvPr id="56" name="图片 10"/>
                    <pic:cNvPicPr/>
                  </pic:nvPicPr>
                  <pic:blipFill>
                    <a:blip r:embed="rId64"/>
                    <a:stretch>
                      <a:fillRect/>
                    </a:stretch>
                  </pic:blipFill>
                  <pic:spPr>
                    <a:xfrm>
                      <a:off x="0" y="0"/>
                      <a:ext cx="2894965" cy="7620"/>
                    </a:xfrm>
                    <a:prstGeom prst="rect">
                      <a:avLst/>
                    </a:prstGeom>
                    <a:noFill/>
                    <a:ln>
                      <a:noFill/>
                    </a:ln>
                  </pic:spPr>
                </pic:pic>
              </a:graphicData>
            </a:graphic>
          </wp:inline>
        </w:drawing>
      </w:r>
    </w:p>
    <w:p w14:paraId="37C76365">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 xml:space="preserve">质疑项目的编号： </w:t>
      </w:r>
      <w:r>
        <w:rPr>
          <w:rFonts w:hint="eastAsia" w:ascii="仿宋" w:hAnsi="仿宋" w:eastAsia="仿宋" w:cs="仿宋"/>
          <w:spacing w:val="8"/>
          <w:sz w:val="24"/>
          <w:szCs w:val="24"/>
        </w:rPr>
        <w:drawing>
          <wp:inline distT="0" distB="0" distL="114300" distR="114300">
            <wp:extent cx="1142365" cy="7620"/>
            <wp:effectExtent l="0" t="0" r="0" b="0"/>
            <wp:docPr id="55" name="图片 11"/>
            <wp:cNvGraphicFramePr/>
            <a:graphic xmlns:a="http://schemas.openxmlformats.org/drawingml/2006/main">
              <a:graphicData uri="http://schemas.openxmlformats.org/drawingml/2006/picture">
                <pic:pic xmlns:pic="http://schemas.openxmlformats.org/drawingml/2006/picture">
                  <pic:nvPicPr>
                    <pic:cNvPr id="55" name="图片 11"/>
                    <pic:cNvPicPr/>
                  </pic:nvPicPr>
                  <pic:blipFill>
                    <a:blip r:embed="rId65"/>
                    <a:stretch>
                      <a:fillRect/>
                    </a:stretch>
                  </pic:blipFill>
                  <pic:spPr>
                    <a:xfrm>
                      <a:off x="0" y="0"/>
                      <a:ext cx="1142365" cy="7620"/>
                    </a:xfrm>
                    <a:prstGeom prst="rect">
                      <a:avLst/>
                    </a:prstGeom>
                    <a:noFill/>
                    <a:ln>
                      <a:noFill/>
                    </a:ln>
                  </pic:spPr>
                </pic:pic>
              </a:graphicData>
            </a:graphic>
          </wp:inline>
        </w:drawing>
      </w:r>
      <w:r>
        <w:rPr>
          <w:rFonts w:hint="eastAsia" w:ascii="仿宋" w:hAnsi="仿宋" w:eastAsia="仿宋" w:cs="仿宋"/>
          <w:spacing w:val="8"/>
          <w:sz w:val="24"/>
          <w:szCs w:val="24"/>
        </w:rPr>
        <w:t xml:space="preserve"> 包号： </w:t>
      </w:r>
      <w:r>
        <w:rPr>
          <w:rFonts w:hint="eastAsia" w:ascii="仿宋" w:hAnsi="仿宋" w:eastAsia="仿宋" w:cs="仿宋"/>
          <w:spacing w:val="8"/>
          <w:sz w:val="24"/>
          <w:szCs w:val="24"/>
        </w:rPr>
        <w:drawing>
          <wp:inline distT="0" distB="0" distL="114300" distR="114300">
            <wp:extent cx="1294765" cy="7620"/>
            <wp:effectExtent l="0" t="0" r="0" b="0"/>
            <wp:docPr id="54" name="图片 12"/>
            <wp:cNvGraphicFramePr/>
            <a:graphic xmlns:a="http://schemas.openxmlformats.org/drawingml/2006/main">
              <a:graphicData uri="http://schemas.openxmlformats.org/drawingml/2006/picture">
                <pic:pic xmlns:pic="http://schemas.openxmlformats.org/drawingml/2006/picture">
                  <pic:nvPicPr>
                    <pic:cNvPr id="54" name="图片 12"/>
                    <pic:cNvPicPr/>
                  </pic:nvPicPr>
                  <pic:blipFill>
                    <a:blip r:embed="rId66"/>
                    <a:stretch>
                      <a:fillRect/>
                    </a:stretch>
                  </pic:blipFill>
                  <pic:spPr>
                    <a:xfrm>
                      <a:off x="0" y="0"/>
                      <a:ext cx="1294765" cy="7620"/>
                    </a:xfrm>
                    <a:prstGeom prst="rect">
                      <a:avLst/>
                    </a:prstGeom>
                    <a:noFill/>
                    <a:ln>
                      <a:noFill/>
                    </a:ln>
                  </pic:spPr>
                </pic:pic>
              </a:graphicData>
            </a:graphic>
          </wp:inline>
        </w:drawing>
      </w:r>
    </w:p>
    <w:p w14:paraId="147578CF">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 xml:space="preserve">采购人名称： </w:t>
      </w:r>
      <w:r>
        <w:rPr>
          <w:rFonts w:hint="eastAsia" w:ascii="仿宋" w:hAnsi="仿宋" w:eastAsia="仿宋" w:cs="仿宋"/>
          <w:spacing w:val="8"/>
          <w:sz w:val="24"/>
          <w:szCs w:val="24"/>
        </w:rPr>
        <w:drawing>
          <wp:inline distT="0" distB="0" distL="114300" distR="114300">
            <wp:extent cx="3123565" cy="7620"/>
            <wp:effectExtent l="0" t="0" r="0" b="0"/>
            <wp:docPr id="53" name="图片 13"/>
            <wp:cNvGraphicFramePr/>
            <a:graphic xmlns:a="http://schemas.openxmlformats.org/drawingml/2006/main">
              <a:graphicData uri="http://schemas.openxmlformats.org/drawingml/2006/picture">
                <pic:pic xmlns:pic="http://schemas.openxmlformats.org/drawingml/2006/picture">
                  <pic:nvPicPr>
                    <pic:cNvPr id="53" name="图片 13"/>
                    <pic:cNvPicPr/>
                  </pic:nvPicPr>
                  <pic:blipFill>
                    <a:blip r:embed="rId67"/>
                    <a:stretch>
                      <a:fillRect/>
                    </a:stretch>
                  </pic:blipFill>
                  <pic:spPr>
                    <a:xfrm>
                      <a:off x="0" y="0"/>
                      <a:ext cx="3123565" cy="7620"/>
                    </a:xfrm>
                    <a:prstGeom prst="rect">
                      <a:avLst/>
                    </a:prstGeom>
                    <a:noFill/>
                    <a:ln>
                      <a:noFill/>
                    </a:ln>
                  </pic:spPr>
                </pic:pic>
              </a:graphicData>
            </a:graphic>
          </wp:inline>
        </w:drawing>
      </w:r>
    </w:p>
    <w:p w14:paraId="6997E6EB">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 xml:space="preserve">招标文件获取日期： </w:t>
      </w:r>
      <w:r>
        <w:rPr>
          <w:rFonts w:hint="eastAsia" w:ascii="仿宋" w:hAnsi="仿宋" w:eastAsia="仿宋" w:cs="仿宋"/>
          <w:spacing w:val="8"/>
          <w:sz w:val="24"/>
          <w:szCs w:val="24"/>
        </w:rPr>
        <w:drawing>
          <wp:inline distT="0" distB="0" distL="114300" distR="114300">
            <wp:extent cx="3275965" cy="7620"/>
            <wp:effectExtent l="0" t="0" r="0" b="0"/>
            <wp:docPr id="52" name="图片 14"/>
            <wp:cNvGraphicFramePr/>
            <a:graphic xmlns:a="http://schemas.openxmlformats.org/drawingml/2006/main">
              <a:graphicData uri="http://schemas.openxmlformats.org/drawingml/2006/picture">
                <pic:pic xmlns:pic="http://schemas.openxmlformats.org/drawingml/2006/picture">
                  <pic:nvPicPr>
                    <pic:cNvPr id="52" name="图片 14"/>
                    <pic:cNvPicPr/>
                  </pic:nvPicPr>
                  <pic:blipFill>
                    <a:blip r:embed="rId68"/>
                    <a:stretch>
                      <a:fillRect/>
                    </a:stretch>
                  </pic:blipFill>
                  <pic:spPr>
                    <a:xfrm>
                      <a:off x="0" y="0"/>
                      <a:ext cx="3275965" cy="7620"/>
                    </a:xfrm>
                    <a:prstGeom prst="rect">
                      <a:avLst/>
                    </a:prstGeom>
                    <a:noFill/>
                    <a:ln>
                      <a:noFill/>
                    </a:ln>
                  </pic:spPr>
                </pic:pic>
              </a:graphicData>
            </a:graphic>
          </wp:inline>
        </w:drawing>
      </w:r>
    </w:p>
    <w:p w14:paraId="45229BA8">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三、质疑事项具体内容</w:t>
      </w:r>
    </w:p>
    <w:p w14:paraId="1628D703">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质疑事项 1：</w:t>
      </w:r>
      <w:r>
        <w:rPr>
          <w:rFonts w:hint="eastAsia" w:ascii="仿宋" w:hAnsi="仿宋" w:eastAsia="仿宋" w:cs="仿宋"/>
          <w:spacing w:val="8"/>
          <w:sz w:val="24"/>
          <w:szCs w:val="24"/>
        </w:rPr>
        <w:drawing>
          <wp:inline distT="0" distB="0" distL="114300" distR="114300">
            <wp:extent cx="3123565" cy="7620"/>
            <wp:effectExtent l="0" t="0" r="0" b="0"/>
            <wp:docPr id="51" name="图片 15"/>
            <wp:cNvGraphicFramePr/>
            <a:graphic xmlns:a="http://schemas.openxmlformats.org/drawingml/2006/main">
              <a:graphicData uri="http://schemas.openxmlformats.org/drawingml/2006/picture">
                <pic:pic xmlns:pic="http://schemas.openxmlformats.org/drawingml/2006/picture">
                  <pic:nvPicPr>
                    <pic:cNvPr id="51" name="图片 15"/>
                    <pic:cNvPicPr/>
                  </pic:nvPicPr>
                  <pic:blipFill>
                    <a:blip r:embed="rId69"/>
                    <a:stretch>
                      <a:fillRect/>
                    </a:stretch>
                  </pic:blipFill>
                  <pic:spPr>
                    <a:xfrm>
                      <a:off x="0" y="0"/>
                      <a:ext cx="3123565" cy="7620"/>
                    </a:xfrm>
                    <a:prstGeom prst="rect">
                      <a:avLst/>
                    </a:prstGeom>
                    <a:noFill/>
                    <a:ln>
                      <a:noFill/>
                    </a:ln>
                  </pic:spPr>
                </pic:pic>
              </a:graphicData>
            </a:graphic>
          </wp:inline>
        </w:drawing>
      </w:r>
    </w:p>
    <w:p w14:paraId="464B960E">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 xml:space="preserve">事实依据： </w:t>
      </w:r>
      <w:r>
        <w:rPr>
          <w:rFonts w:hint="eastAsia" w:ascii="仿宋" w:hAnsi="仿宋" w:eastAsia="仿宋" w:cs="仿宋"/>
          <w:spacing w:val="8"/>
          <w:sz w:val="24"/>
          <w:szCs w:val="24"/>
        </w:rPr>
        <w:drawing>
          <wp:inline distT="0" distB="0" distL="114300" distR="114300">
            <wp:extent cx="3199765" cy="7620"/>
            <wp:effectExtent l="0" t="0" r="0" b="0"/>
            <wp:docPr id="50" name="图片 16"/>
            <wp:cNvGraphicFramePr/>
            <a:graphic xmlns:a="http://schemas.openxmlformats.org/drawingml/2006/main">
              <a:graphicData uri="http://schemas.openxmlformats.org/drawingml/2006/picture">
                <pic:pic xmlns:pic="http://schemas.openxmlformats.org/drawingml/2006/picture">
                  <pic:nvPicPr>
                    <pic:cNvPr id="50" name="图片 16"/>
                    <pic:cNvPicPr/>
                  </pic:nvPicPr>
                  <pic:blipFill>
                    <a:blip r:embed="rId70"/>
                    <a:stretch>
                      <a:fillRect/>
                    </a:stretch>
                  </pic:blipFill>
                  <pic:spPr>
                    <a:xfrm>
                      <a:off x="0" y="0"/>
                      <a:ext cx="3199765" cy="7620"/>
                    </a:xfrm>
                    <a:prstGeom prst="rect">
                      <a:avLst/>
                    </a:prstGeom>
                    <a:noFill/>
                    <a:ln>
                      <a:noFill/>
                    </a:ln>
                  </pic:spPr>
                </pic:pic>
              </a:graphicData>
            </a:graphic>
          </wp:inline>
        </w:drawing>
      </w:r>
    </w:p>
    <w:p w14:paraId="0E9F49E4">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p>
    <w:p w14:paraId="0F20C962">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p>
    <w:p w14:paraId="3E134A09">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 xml:space="preserve">法律依据： </w:t>
      </w:r>
      <w:r>
        <w:rPr>
          <w:rFonts w:hint="eastAsia" w:ascii="仿宋" w:hAnsi="仿宋" w:eastAsia="仿宋" w:cs="仿宋"/>
          <w:spacing w:val="8"/>
          <w:sz w:val="24"/>
          <w:szCs w:val="24"/>
        </w:rPr>
        <w:drawing>
          <wp:inline distT="0" distB="0" distL="114300" distR="114300">
            <wp:extent cx="3199765" cy="7620"/>
            <wp:effectExtent l="0" t="0" r="0" b="0"/>
            <wp:docPr id="2" name="图片 17"/>
            <wp:cNvGraphicFramePr/>
            <a:graphic xmlns:a="http://schemas.openxmlformats.org/drawingml/2006/main">
              <a:graphicData uri="http://schemas.openxmlformats.org/drawingml/2006/picture">
                <pic:pic xmlns:pic="http://schemas.openxmlformats.org/drawingml/2006/picture">
                  <pic:nvPicPr>
                    <pic:cNvPr id="2" name="图片 17"/>
                    <pic:cNvPicPr/>
                  </pic:nvPicPr>
                  <pic:blipFill>
                    <a:blip r:embed="rId71"/>
                    <a:stretch>
                      <a:fillRect/>
                    </a:stretch>
                  </pic:blipFill>
                  <pic:spPr>
                    <a:xfrm>
                      <a:off x="0" y="0"/>
                      <a:ext cx="3199765" cy="7620"/>
                    </a:xfrm>
                    <a:prstGeom prst="rect">
                      <a:avLst/>
                    </a:prstGeom>
                    <a:noFill/>
                    <a:ln>
                      <a:noFill/>
                    </a:ln>
                  </pic:spPr>
                </pic:pic>
              </a:graphicData>
            </a:graphic>
          </wp:inline>
        </w:drawing>
      </w:r>
    </w:p>
    <w:p w14:paraId="05175B35">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p>
    <w:p w14:paraId="249A4A01">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p>
    <w:p w14:paraId="7E43A946">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质疑事项 2</w:t>
      </w:r>
    </w:p>
    <w:p w14:paraId="58B402F0">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w:t>
      </w:r>
    </w:p>
    <w:p w14:paraId="4C0765C5">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四、与质疑事项相关的质疑请求</w:t>
      </w:r>
    </w:p>
    <w:p w14:paraId="3429A657">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 xml:space="preserve">请求： </w:t>
      </w:r>
      <w:r>
        <w:rPr>
          <w:rFonts w:hint="eastAsia" w:ascii="仿宋" w:hAnsi="仿宋" w:eastAsia="仿宋" w:cs="仿宋"/>
          <w:spacing w:val="8"/>
          <w:sz w:val="24"/>
          <w:szCs w:val="24"/>
        </w:rPr>
        <w:drawing>
          <wp:inline distT="0" distB="0" distL="114300" distR="114300">
            <wp:extent cx="3580765" cy="7620"/>
            <wp:effectExtent l="0" t="0" r="0" b="0"/>
            <wp:docPr id="1" name="图片 18"/>
            <wp:cNvGraphicFramePr/>
            <a:graphic xmlns:a="http://schemas.openxmlformats.org/drawingml/2006/main">
              <a:graphicData uri="http://schemas.openxmlformats.org/drawingml/2006/picture">
                <pic:pic xmlns:pic="http://schemas.openxmlformats.org/drawingml/2006/picture">
                  <pic:nvPicPr>
                    <pic:cNvPr id="1" name="图片 18"/>
                    <pic:cNvPicPr/>
                  </pic:nvPicPr>
                  <pic:blipFill>
                    <a:blip r:embed="rId72"/>
                    <a:stretch>
                      <a:fillRect/>
                    </a:stretch>
                  </pic:blipFill>
                  <pic:spPr>
                    <a:xfrm>
                      <a:off x="0" y="0"/>
                      <a:ext cx="3580765" cy="7620"/>
                    </a:xfrm>
                    <a:prstGeom prst="rect">
                      <a:avLst/>
                    </a:prstGeom>
                    <a:noFill/>
                    <a:ln>
                      <a:noFill/>
                    </a:ln>
                  </pic:spPr>
                </pic:pic>
              </a:graphicData>
            </a:graphic>
          </wp:inline>
        </w:drawing>
      </w:r>
    </w:p>
    <w:p w14:paraId="2624513E">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签字(签章)：                    公章：</w:t>
      </w:r>
    </w:p>
    <w:p w14:paraId="765FFFA6">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日期：</w:t>
      </w:r>
    </w:p>
    <w:p w14:paraId="2AFE2251">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sectPr>
          <w:footerReference r:id="rId22" w:type="default"/>
          <w:pgSz w:w="11906" w:h="16838"/>
          <w:pgMar w:top="1118" w:right="1096" w:bottom="1322" w:left="1456" w:header="877" w:footer="1162" w:gutter="0"/>
          <w:pgBorders>
            <w:top w:val="none" w:sz="0" w:space="0"/>
            <w:left w:val="none" w:sz="0" w:space="0"/>
            <w:bottom w:val="none" w:sz="0" w:space="0"/>
            <w:right w:val="none" w:sz="0" w:space="0"/>
          </w:pgBorders>
          <w:pgNumType w:fmt="decimal"/>
          <w:cols w:space="720" w:num="1"/>
        </w:sectPr>
      </w:pPr>
    </w:p>
    <w:p w14:paraId="404428BF">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b/>
          <w:bCs/>
          <w:spacing w:val="8"/>
          <w:sz w:val="24"/>
          <w:szCs w:val="24"/>
        </w:rPr>
      </w:pPr>
      <w:r>
        <w:rPr>
          <w:rFonts w:hint="eastAsia" w:ascii="仿宋" w:hAnsi="仿宋" w:eastAsia="仿宋" w:cs="仿宋"/>
          <w:b/>
          <w:bCs/>
          <w:spacing w:val="8"/>
          <w:sz w:val="24"/>
          <w:szCs w:val="24"/>
        </w:rPr>
        <w:t>质疑函制作说明：</w:t>
      </w:r>
    </w:p>
    <w:p w14:paraId="16FA09CD">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1.投标人提出质疑时，应提交质疑函和必要的证明材料。</w:t>
      </w:r>
    </w:p>
    <w:p w14:paraId="3C886D12">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2.质疑投标人若委托代理人进行质疑的，质疑函应按要求列明“被授权人 ”的有关内 容，并在附件中提交由质疑投标人签署的授权委托书。授权委托书应载明代理人的姓名或者名称、代理事项、具体权限、期限和相关事项。</w:t>
      </w:r>
    </w:p>
    <w:p w14:paraId="04133DC9">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3.质疑投标人若对项目的某一分包进行质疑，质疑函中应列明具体分包号。</w:t>
      </w:r>
    </w:p>
    <w:p w14:paraId="050E7E67">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4.质疑函的质疑事项应具体、明确，并有必要的事实依据和法律依据。</w:t>
      </w:r>
    </w:p>
    <w:p w14:paraId="5B6B697D">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spacing w:val="8"/>
          <w:sz w:val="24"/>
          <w:szCs w:val="24"/>
        </w:rPr>
      </w:pPr>
      <w:r>
        <w:rPr>
          <w:rFonts w:hint="eastAsia" w:ascii="仿宋" w:hAnsi="仿宋" w:eastAsia="仿宋" w:cs="仿宋"/>
          <w:spacing w:val="8"/>
          <w:sz w:val="24"/>
          <w:szCs w:val="24"/>
        </w:rPr>
        <w:t>5.质疑函的质疑请求应与质疑事项相关。</w:t>
      </w:r>
    </w:p>
    <w:p w14:paraId="0F4929CC">
      <w:pPr>
        <w:spacing w:line="342" w:lineRule="auto"/>
        <w:rPr>
          <w:rFonts w:hint="eastAsia" w:ascii="仿宋" w:hAnsi="仿宋" w:eastAsia="仿宋" w:cs="仿宋"/>
          <w:sz w:val="24"/>
          <w:szCs w:val="24"/>
        </w:rPr>
        <w:sectPr>
          <w:footerReference r:id="rId23" w:type="default"/>
          <w:pgSz w:w="11907" w:h="16840"/>
          <w:pgMar w:top="1418" w:right="1776" w:bottom="1204" w:left="1786" w:header="0" w:footer="1035" w:gutter="0"/>
          <w:pgNumType w:fmt="decimal"/>
          <w:cols w:space="720" w:num="1"/>
        </w:sectPr>
      </w:pPr>
      <w:r>
        <w:rPr>
          <w:rFonts w:hint="eastAsia" w:ascii="仿宋" w:hAnsi="仿宋" w:eastAsia="仿宋" w:cs="仿宋"/>
          <w:spacing w:val="8"/>
          <w:sz w:val="24"/>
          <w:szCs w:val="24"/>
        </w:rPr>
        <w:t>6.质疑投标人为自然人的，质疑函应由本人签字；质疑投标人为法人或者其他组织的，质疑函应由法定代表人、主要负责人或者其被授权人签字或者盖章，并加盖公章。</w:t>
      </w:r>
    </w:p>
    <w:p w14:paraId="124945D6">
      <w:pPr>
        <w:spacing w:before="133" w:line="223" w:lineRule="auto"/>
        <w:ind w:left="3159"/>
        <w:outlineLvl w:val="0"/>
        <w:rPr>
          <w:rFonts w:ascii="仿宋" w:hAnsi="仿宋" w:eastAsia="仿宋" w:cs="仿宋"/>
          <w:sz w:val="28"/>
          <w:szCs w:val="28"/>
        </w:rPr>
      </w:pPr>
      <w:bookmarkStart w:id="89" w:name="bookmark33"/>
      <w:bookmarkEnd w:id="89"/>
      <w:bookmarkStart w:id="90" w:name="_Toc16957"/>
      <w:r>
        <w:rPr>
          <w:rFonts w:ascii="仿宋" w:hAnsi="仿宋" w:eastAsia="仿宋" w:cs="仿宋"/>
          <w:b/>
          <w:bCs/>
          <w:spacing w:val="-12"/>
          <w:sz w:val="28"/>
          <w:szCs w:val="28"/>
        </w:rPr>
        <w:t>第4章</w:t>
      </w:r>
      <w:r>
        <w:rPr>
          <w:rFonts w:ascii="仿宋" w:hAnsi="仿宋" w:eastAsia="仿宋" w:cs="仿宋"/>
          <w:spacing w:val="-12"/>
          <w:sz w:val="28"/>
          <w:szCs w:val="28"/>
        </w:rPr>
        <w:t xml:space="preserve"> </w:t>
      </w:r>
      <w:r>
        <w:rPr>
          <w:rFonts w:ascii="仿宋" w:hAnsi="仿宋" w:eastAsia="仿宋" w:cs="仿宋"/>
          <w:b/>
          <w:bCs/>
          <w:spacing w:val="-12"/>
          <w:sz w:val="28"/>
          <w:szCs w:val="28"/>
        </w:rPr>
        <w:t>投标文件格式</w:t>
      </w:r>
      <w:bookmarkEnd w:id="90"/>
    </w:p>
    <w:p w14:paraId="52DD5947">
      <w:pPr>
        <w:pStyle w:val="8"/>
        <w:spacing w:line="372" w:lineRule="auto"/>
      </w:pPr>
    </w:p>
    <w:p w14:paraId="03FFB8BE">
      <w:pPr>
        <w:spacing w:before="91" w:line="223" w:lineRule="auto"/>
        <w:ind w:left="2838"/>
        <w:outlineLvl w:val="1"/>
        <w:rPr>
          <w:rFonts w:ascii="仿宋" w:hAnsi="仿宋" w:eastAsia="仿宋" w:cs="仿宋"/>
          <w:sz w:val="28"/>
          <w:szCs w:val="28"/>
        </w:rPr>
      </w:pPr>
      <w:bookmarkStart w:id="91" w:name="bookmark35"/>
      <w:bookmarkEnd w:id="91"/>
      <w:bookmarkStart w:id="92" w:name="_Toc29719"/>
      <w:r>
        <w:rPr>
          <w:rFonts w:ascii="仿宋" w:hAnsi="仿宋" w:eastAsia="仿宋" w:cs="仿宋"/>
          <w:b/>
          <w:bCs/>
          <w:spacing w:val="-9"/>
          <w:sz w:val="28"/>
          <w:szCs w:val="28"/>
        </w:rPr>
        <w:t>第一部分各部分封面格式</w:t>
      </w:r>
      <w:bookmarkEnd w:id="92"/>
    </w:p>
    <w:p w14:paraId="4C130E1B">
      <w:pPr>
        <w:spacing w:before="228" w:line="223" w:lineRule="auto"/>
        <w:ind w:left="2404"/>
        <w:outlineLvl w:val="2"/>
        <w:rPr>
          <w:rFonts w:ascii="仿宋" w:hAnsi="仿宋" w:eastAsia="仿宋" w:cs="仿宋"/>
          <w:sz w:val="28"/>
          <w:szCs w:val="28"/>
        </w:rPr>
      </w:pPr>
      <w:bookmarkStart w:id="93" w:name="_Toc5587"/>
      <w:r>
        <w:rPr>
          <w:rFonts w:ascii="仿宋" w:hAnsi="仿宋" w:eastAsia="仿宋" w:cs="仿宋"/>
          <w:spacing w:val="-4"/>
          <w:sz w:val="28"/>
          <w:szCs w:val="28"/>
        </w:rPr>
        <w:t>（投标文件各部分封面示例）</w:t>
      </w:r>
      <w:bookmarkEnd w:id="93"/>
    </w:p>
    <w:p w14:paraId="5AFADEDF">
      <w:pPr>
        <w:pStyle w:val="8"/>
        <w:spacing w:line="291" w:lineRule="auto"/>
      </w:pPr>
    </w:p>
    <w:p w14:paraId="740969A2">
      <w:pPr>
        <w:pStyle w:val="8"/>
        <w:spacing w:line="291" w:lineRule="auto"/>
      </w:pPr>
    </w:p>
    <w:p w14:paraId="2371C18E">
      <w:pPr>
        <w:pStyle w:val="8"/>
        <w:spacing w:line="291" w:lineRule="auto"/>
      </w:pPr>
    </w:p>
    <w:p w14:paraId="76279451">
      <w:pPr>
        <w:pStyle w:val="8"/>
        <w:spacing w:line="291" w:lineRule="auto"/>
      </w:pPr>
    </w:p>
    <w:p w14:paraId="02BF721F">
      <w:pPr>
        <w:spacing w:before="139" w:line="228" w:lineRule="auto"/>
        <w:ind w:left="3317"/>
        <w:rPr>
          <w:rFonts w:ascii="仿宋" w:hAnsi="仿宋" w:eastAsia="仿宋" w:cs="仿宋"/>
          <w:sz w:val="43"/>
          <w:szCs w:val="43"/>
        </w:rPr>
      </w:pPr>
      <w:r>
        <w:rPr>
          <w:rFonts w:ascii="仿宋" w:hAnsi="仿宋" w:eastAsia="仿宋" w:cs="仿宋"/>
          <w:b/>
          <w:bCs/>
          <w:spacing w:val="-53"/>
          <w:sz w:val="43"/>
          <w:szCs w:val="43"/>
        </w:rPr>
        <w:t>×</w:t>
      </w:r>
      <w:r>
        <w:rPr>
          <w:rFonts w:ascii="仿宋" w:hAnsi="仿宋" w:eastAsia="仿宋" w:cs="仿宋"/>
          <w:spacing w:val="-133"/>
          <w:sz w:val="43"/>
          <w:szCs w:val="43"/>
        </w:rPr>
        <w:t xml:space="preserve"> </w:t>
      </w:r>
      <w:r>
        <w:rPr>
          <w:rFonts w:ascii="仿宋" w:hAnsi="仿宋" w:eastAsia="仿宋" w:cs="仿宋"/>
          <w:b/>
          <w:bCs/>
          <w:spacing w:val="-53"/>
          <w:sz w:val="43"/>
          <w:szCs w:val="43"/>
        </w:rPr>
        <w:t>×</w:t>
      </w:r>
      <w:r>
        <w:rPr>
          <w:rFonts w:ascii="仿宋" w:hAnsi="仿宋" w:eastAsia="仿宋" w:cs="仿宋"/>
          <w:spacing w:val="-137"/>
          <w:sz w:val="43"/>
          <w:szCs w:val="43"/>
        </w:rPr>
        <w:t xml:space="preserve"> </w:t>
      </w:r>
      <w:r>
        <w:rPr>
          <w:rFonts w:ascii="仿宋" w:hAnsi="仿宋" w:eastAsia="仿宋" w:cs="仿宋"/>
          <w:b/>
          <w:bCs/>
          <w:spacing w:val="-53"/>
          <w:sz w:val="43"/>
          <w:szCs w:val="43"/>
        </w:rPr>
        <w:t>×</w:t>
      </w:r>
      <w:r>
        <w:rPr>
          <w:rFonts w:ascii="仿宋" w:hAnsi="仿宋" w:eastAsia="仿宋" w:cs="仿宋"/>
          <w:spacing w:val="-137"/>
          <w:sz w:val="43"/>
          <w:szCs w:val="43"/>
        </w:rPr>
        <w:t xml:space="preserve"> </w:t>
      </w:r>
      <w:r>
        <w:rPr>
          <w:rFonts w:ascii="仿宋" w:hAnsi="仿宋" w:eastAsia="仿宋" w:cs="仿宋"/>
          <w:b/>
          <w:bCs/>
          <w:spacing w:val="-53"/>
          <w:sz w:val="43"/>
          <w:szCs w:val="43"/>
        </w:rPr>
        <w:t>×项目</w:t>
      </w:r>
    </w:p>
    <w:p w14:paraId="2C0CA7D6">
      <w:pPr>
        <w:pStyle w:val="8"/>
        <w:spacing w:line="246" w:lineRule="auto"/>
      </w:pPr>
    </w:p>
    <w:p w14:paraId="5008B682">
      <w:pPr>
        <w:pStyle w:val="8"/>
        <w:spacing w:line="246" w:lineRule="auto"/>
      </w:pPr>
    </w:p>
    <w:p w14:paraId="13952146">
      <w:pPr>
        <w:pStyle w:val="8"/>
        <w:spacing w:line="247" w:lineRule="auto"/>
      </w:pPr>
    </w:p>
    <w:p w14:paraId="4DA2DB27">
      <w:pPr>
        <w:pStyle w:val="8"/>
        <w:spacing w:line="247" w:lineRule="auto"/>
      </w:pPr>
    </w:p>
    <w:p w14:paraId="2B45340C">
      <w:pPr>
        <w:pStyle w:val="8"/>
        <w:spacing w:line="247" w:lineRule="auto"/>
      </w:pPr>
    </w:p>
    <w:p w14:paraId="2DF6ADBA">
      <w:pPr>
        <w:spacing w:before="97" w:line="224" w:lineRule="auto"/>
        <w:jc w:val="center"/>
        <w:rPr>
          <w:rFonts w:hint="eastAsia" w:ascii="仿宋" w:hAnsi="仿宋" w:eastAsia="仿宋" w:cs="仿宋"/>
          <w:sz w:val="30"/>
          <w:szCs w:val="30"/>
          <w:lang w:eastAsia="zh-CN"/>
        </w:rPr>
      </w:pPr>
      <w:r>
        <w:rPr>
          <w:rFonts w:ascii="仿宋" w:hAnsi="仿宋" w:eastAsia="仿宋" w:cs="仿宋"/>
          <w:b/>
          <w:bCs/>
          <w:spacing w:val="-1"/>
          <w:sz w:val="30"/>
          <w:szCs w:val="30"/>
        </w:rPr>
        <w:t>项目编号：</w:t>
      </w:r>
      <w:r>
        <w:rPr>
          <w:rFonts w:hint="eastAsia" w:ascii="仿宋" w:hAnsi="仿宋" w:eastAsia="仿宋" w:cs="仿宋"/>
          <w:b/>
          <w:bCs/>
          <w:spacing w:val="-1"/>
          <w:sz w:val="30"/>
          <w:szCs w:val="30"/>
          <w:lang w:eastAsia="zh-CN"/>
        </w:rPr>
        <w:t>XJZH-ZB-2024013-02</w:t>
      </w:r>
    </w:p>
    <w:p w14:paraId="5B618433">
      <w:pPr>
        <w:pStyle w:val="8"/>
        <w:spacing w:line="267" w:lineRule="auto"/>
      </w:pPr>
    </w:p>
    <w:p w14:paraId="5BFEC2C4">
      <w:pPr>
        <w:pStyle w:val="8"/>
        <w:spacing w:line="268" w:lineRule="auto"/>
      </w:pPr>
    </w:p>
    <w:p w14:paraId="360E19BB">
      <w:pPr>
        <w:pStyle w:val="8"/>
        <w:spacing w:line="268" w:lineRule="auto"/>
      </w:pPr>
    </w:p>
    <w:p w14:paraId="4898F02B">
      <w:pPr>
        <w:pStyle w:val="8"/>
        <w:spacing w:line="268" w:lineRule="auto"/>
      </w:pPr>
    </w:p>
    <w:p w14:paraId="4BB3EF5B">
      <w:pPr>
        <w:pStyle w:val="8"/>
        <w:spacing w:line="268" w:lineRule="auto"/>
      </w:pPr>
    </w:p>
    <w:p w14:paraId="39197267">
      <w:pPr>
        <w:pStyle w:val="8"/>
        <w:spacing w:line="268" w:lineRule="auto"/>
      </w:pPr>
    </w:p>
    <w:p w14:paraId="1CCA33A1">
      <w:pPr>
        <w:spacing w:before="140" w:line="226" w:lineRule="auto"/>
        <w:ind w:left="3138"/>
        <w:rPr>
          <w:rFonts w:ascii="仿宋" w:hAnsi="仿宋" w:eastAsia="仿宋" w:cs="仿宋"/>
          <w:sz w:val="43"/>
          <w:szCs w:val="43"/>
        </w:rPr>
      </w:pPr>
      <w:r>
        <w:rPr>
          <w:rFonts w:ascii="仿宋" w:hAnsi="仿宋" w:eastAsia="仿宋" w:cs="仿宋"/>
          <w:b/>
          <w:bCs/>
          <w:spacing w:val="3"/>
          <w:sz w:val="43"/>
          <w:szCs w:val="43"/>
        </w:rPr>
        <w:t>技术投标文件</w:t>
      </w:r>
    </w:p>
    <w:p w14:paraId="7766BC27">
      <w:pPr>
        <w:spacing w:before="362" w:line="226" w:lineRule="auto"/>
        <w:jc w:val="center"/>
        <w:rPr>
          <w:rFonts w:ascii="仿宋" w:hAnsi="仿宋" w:eastAsia="仿宋" w:cs="仿宋"/>
          <w:sz w:val="43"/>
          <w:szCs w:val="43"/>
        </w:rPr>
      </w:pPr>
      <w:r>
        <w:rPr>
          <w:rFonts w:hint="eastAsia" w:ascii="仿宋" w:hAnsi="仿宋" w:eastAsia="仿宋" w:cs="仿宋"/>
          <w:b/>
          <w:bCs/>
          <w:spacing w:val="-6"/>
          <w:sz w:val="43"/>
          <w:szCs w:val="43"/>
          <w:lang w:val="en-US" w:eastAsia="zh-CN"/>
        </w:rPr>
        <w:t xml:space="preserve">  </w:t>
      </w:r>
      <w:r>
        <w:rPr>
          <w:rFonts w:ascii="仿宋" w:hAnsi="仿宋" w:eastAsia="仿宋" w:cs="仿宋"/>
          <w:b/>
          <w:bCs/>
          <w:spacing w:val="-6"/>
          <w:sz w:val="43"/>
          <w:szCs w:val="43"/>
        </w:rPr>
        <w:t>(商务资信投标文件)</w:t>
      </w:r>
    </w:p>
    <w:p w14:paraId="6F57BD44">
      <w:pPr>
        <w:pStyle w:val="8"/>
        <w:spacing w:line="245" w:lineRule="auto"/>
      </w:pPr>
    </w:p>
    <w:p w14:paraId="7ECC4EAB">
      <w:pPr>
        <w:pStyle w:val="8"/>
        <w:spacing w:line="245" w:lineRule="auto"/>
      </w:pPr>
    </w:p>
    <w:p w14:paraId="418750A6">
      <w:pPr>
        <w:pStyle w:val="8"/>
        <w:spacing w:line="245" w:lineRule="auto"/>
      </w:pPr>
    </w:p>
    <w:p w14:paraId="0F59A60B">
      <w:pPr>
        <w:pStyle w:val="8"/>
        <w:spacing w:line="245" w:lineRule="auto"/>
      </w:pPr>
    </w:p>
    <w:p w14:paraId="16F73409">
      <w:pPr>
        <w:pStyle w:val="8"/>
        <w:spacing w:line="245" w:lineRule="auto"/>
      </w:pPr>
    </w:p>
    <w:p w14:paraId="34995E9F">
      <w:pPr>
        <w:pStyle w:val="8"/>
        <w:spacing w:line="245" w:lineRule="auto"/>
      </w:pPr>
    </w:p>
    <w:p w14:paraId="0AB2CD4E">
      <w:pPr>
        <w:pStyle w:val="8"/>
        <w:spacing w:line="245" w:lineRule="auto"/>
      </w:pPr>
    </w:p>
    <w:p w14:paraId="7FFE35EC">
      <w:pPr>
        <w:spacing w:before="98" w:line="415" w:lineRule="auto"/>
        <w:ind w:left="3252" w:right="3329" w:hanging="298"/>
        <w:rPr>
          <w:rFonts w:ascii="仿宋" w:hAnsi="仿宋" w:eastAsia="仿宋" w:cs="仿宋"/>
          <w:sz w:val="30"/>
          <w:szCs w:val="30"/>
        </w:rPr>
      </w:pPr>
      <w:r>
        <w:rPr>
          <w:rFonts w:ascii="仿宋" w:hAnsi="仿宋" w:eastAsia="仿宋" w:cs="仿宋"/>
          <w:b/>
          <w:bCs/>
          <w:spacing w:val="-11"/>
          <w:sz w:val="30"/>
          <w:szCs w:val="30"/>
        </w:rPr>
        <w:t>（供应商名称）</w:t>
      </w:r>
      <w:r>
        <w:rPr>
          <w:rFonts w:ascii="仿宋" w:hAnsi="仿宋" w:eastAsia="仿宋" w:cs="仿宋"/>
          <w:spacing w:val="4"/>
          <w:sz w:val="30"/>
          <w:szCs w:val="30"/>
        </w:rPr>
        <w:t xml:space="preserve"> </w:t>
      </w:r>
      <w:r>
        <w:rPr>
          <w:rFonts w:ascii="仿宋" w:hAnsi="仿宋" w:eastAsia="仿宋" w:cs="仿宋"/>
          <w:b/>
          <w:bCs/>
          <w:spacing w:val="-4"/>
          <w:sz w:val="30"/>
          <w:szCs w:val="30"/>
        </w:rPr>
        <w:t>202</w:t>
      </w:r>
      <w:r>
        <w:rPr>
          <w:rFonts w:hint="eastAsia" w:ascii="仿宋" w:hAnsi="仿宋" w:eastAsia="仿宋" w:cs="仿宋"/>
          <w:b/>
          <w:bCs/>
          <w:spacing w:val="-4"/>
          <w:sz w:val="30"/>
          <w:szCs w:val="30"/>
          <w:lang w:val="en-US" w:eastAsia="zh-CN"/>
        </w:rPr>
        <w:t>5</w:t>
      </w:r>
      <w:r>
        <w:rPr>
          <w:rFonts w:ascii="仿宋" w:hAnsi="仿宋" w:eastAsia="仿宋" w:cs="仿宋"/>
          <w:b/>
          <w:bCs/>
          <w:spacing w:val="-4"/>
          <w:sz w:val="30"/>
          <w:szCs w:val="30"/>
        </w:rPr>
        <w:t>年</w:t>
      </w:r>
      <w:r>
        <w:rPr>
          <w:rFonts w:hint="eastAsia" w:ascii="仿宋" w:hAnsi="仿宋" w:eastAsia="仿宋" w:cs="仿宋"/>
          <w:b/>
          <w:bCs/>
          <w:spacing w:val="-4"/>
          <w:sz w:val="30"/>
          <w:szCs w:val="30"/>
          <w:lang w:val="en-US" w:eastAsia="zh-CN"/>
        </w:rPr>
        <w:t>01</w:t>
      </w:r>
      <w:r>
        <w:rPr>
          <w:rFonts w:ascii="仿宋" w:hAnsi="仿宋" w:eastAsia="仿宋" w:cs="仿宋"/>
          <w:b/>
          <w:bCs/>
          <w:spacing w:val="-4"/>
          <w:sz w:val="30"/>
          <w:szCs w:val="30"/>
        </w:rPr>
        <w:t>月</w:t>
      </w:r>
    </w:p>
    <w:p w14:paraId="4E1ABAE3">
      <w:pPr>
        <w:spacing w:line="415" w:lineRule="auto"/>
        <w:rPr>
          <w:rFonts w:ascii="仿宋" w:hAnsi="仿宋" w:eastAsia="仿宋" w:cs="仿宋"/>
          <w:sz w:val="30"/>
          <w:szCs w:val="30"/>
        </w:rPr>
        <w:sectPr>
          <w:footerReference r:id="rId24" w:type="default"/>
          <w:pgSz w:w="11907" w:h="16840"/>
          <w:pgMar w:top="1431" w:right="1786" w:bottom="1204" w:left="1786" w:header="0" w:footer="1035" w:gutter="0"/>
          <w:pgNumType w:fmt="decimal"/>
          <w:cols w:space="720" w:num="1"/>
        </w:sectPr>
      </w:pPr>
    </w:p>
    <w:p w14:paraId="1959FD53">
      <w:pPr>
        <w:spacing w:before="112" w:line="221" w:lineRule="auto"/>
        <w:ind w:left="3623"/>
        <w:outlineLvl w:val="1"/>
        <w:rPr>
          <w:rFonts w:ascii="仿宋" w:hAnsi="仿宋" w:eastAsia="仿宋" w:cs="仿宋"/>
          <w:sz w:val="24"/>
          <w:szCs w:val="24"/>
        </w:rPr>
      </w:pPr>
      <w:bookmarkStart w:id="94" w:name="bookmark37"/>
      <w:bookmarkEnd w:id="94"/>
      <w:bookmarkStart w:id="95" w:name="_Toc26355"/>
      <w:r>
        <w:rPr>
          <w:rFonts w:ascii="仿宋" w:hAnsi="仿宋" w:eastAsia="仿宋" w:cs="仿宋"/>
          <w:b/>
          <w:bCs/>
          <w:spacing w:val="-12"/>
          <w:sz w:val="24"/>
          <w:szCs w:val="24"/>
        </w:rPr>
        <w:t>第二部分报价单</w:t>
      </w:r>
      <w:bookmarkEnd w:id="95"/>
    </w:p>
    <w:p w14:paraId="6402EFEC">
      <w:pPr>
        <w:pStyle w:val="8"/>
        <w:spacing w:line="320" w:lineRule="auto"/>
      </w:pPr>
    </w:p>
    <w:p w14:paraId="50372318">
      <w:pPr>
        <w:pStyle w:val="8"/>
        <w:spacing w:line="321" w:lineRule="auto"/>
      </w:pPr>
    </w:p>
    <w:p w14:paraId="6FA0D753">
      <w:pPr>
        <w:spacing w:before="78" w:line="221" w:lineRule="auto"/>
        <w:ind w:left="638"/>
        <w:rPr>
          <w:rFonts w:ascii="仿宋" w:hAnsi="仿宋" w:eastAsia="仿宋" w:cs="仿宋"/>
          <w:sz w:val="24"/>
          <w:szCs w:val="24"/>
        </w:rPr>
      </w:pPr>
      <w:r>
        <w:rPr>
          <w:rFonts w:ascii="仿宋" w:hAnsi="仿宋" w:eastAsia="仿宋" w:cs="仿宋"/>
          <w:spacing w:val="-5"/>
          <w:sz w:val="24"/>
          <w:szCs w:val="24"/>
        </w:rPr>
        <w:t>项目名称：招标编号：</w:t>
      </w:r>
    </w:p>
    <w:p w14:paraId="36191DAB">
      <w:pPr>
        <w:spacing w:before="204" w:line="221" w:lineRule="auto"/>
        <w:ind w:left="637"/>
        <w:rPr>
          <w:rFonts w:ascii="仿宋" w:hAnsi="仿宋" w:eastAsia="仿宋" w:cs="仿宋"/>
          <w:sz w:val="24"/>
          <w:szCs w:val="24"/>
        </w:rPr>
      </w:pPr>
      <w:r>
        <w:rPr>
          <w:rFonts w:ascii="仿宋" w:hAnsi="仿宋" w:eastAsia="仿宋" w:cs="仿宋"/>
          <w:spacing w:val="-3"/>
          <w:sz w:val="24"/>
          <w:szCs w:val="24"/>
        </w:rPr>
        <w:t xml:space="preserve">报价单位：                                     </w:t>
      </w:r>
      <w:r>
        <w:rPr>
          <w:rFonts w:ascii="仿宋" w:hAnsi="仿宋" w:eastAsia="仿宋" w:cs="仿宋"/>
          <w:spacing w:val="-4"/>
          <w:sz w:val="24"/>
          <w:szCs w:val="24"/>
        </w:rPr>
        <w:t xml:space="preserve">           人民币</w:t>
      </w:r>
      <w:r>
        <w:rPr>
          <w:rFonts w:ascii="仿宋" w:hAnsi="仿宋" w:eastAsia="仿宋" w:cs="仿宋"/>
          <w:b/>
          <w:bCs/>
          <w:spacing w:val="-4"/>
          <w:sz w:val="24"/>
          <w:szCs w:val="24"/>
        </w:rPr>
        <w:t>万元</w:t>
      </w:r>
    </w:p>
    <w:p w14:paraId="0935415D">
      <w:pPr>
        <w:spacing w:line="145" w:lineRule="exact"/>
      </w:pPr>
    </w:p>
    <w:tbl>
      <w:tblPr>
        <w:tblStyle w:val="18"/>
        <w:tblW w:w="9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2415"/>
        <w:gridCol w:w="1635"/>
        <w:gridCol w:w="1470"/>
        <w:gridCol w:w="1170"/>
        <w:gridCol w:w="1065"/>
      </w:tblGrid>
      <w:tr w14:paraId="773DF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1332" w:type="dxa"/>
            <w:tcBorders>
              <w:bottom w:val="single" w:color="000000" w:sz="4" w:space="0"/>
              <w:right w:val="single" w:color="000000" w:sz="4" w:space="0"/>
            </w:tcBorders>
            <w:vAlign w:val="top"/>
          </w:tcPr>
          <w:p w14:paraId="62F39534">
            <w:pPr>
              <w:pStyle w:val="19"/>
              <w:spacing w:before="253" w:line="221" w:lineRule="auto"/>
              <w:ind w:left="355"/>
            </w:pPr>
            <w:r>
              <w:rPr>
                <w:spacing w:val="-6"/>
              </w:rPr>
              <w:t>标项名称</w:t>
            </w:r>
          </w:p>
        </w:tc>
        <w:tc>
          <w:tcPr>
            <w:tcW w:w="2415" w:type="dxa"/>
            <w:tcBorders>
              <w:left w:val="single" w:color="000000" w:sz="4" w:space="0"/>
              <w:bottom w:val="single" w:color="000000" w:sz="4" w:space="0"/>
            </w:tcBorders>
            <w:vAlign w:val="top"/>
          </w:tcPr>
          <w:p w14:paraId="44D0F96A">
            <w:pPr>
              <w:pStyle w:val="19"/>
              <w:spacing w:before="256" w:line="222" w:lineRule="auto"/>
              <w:ind w:left="714"/>
            </w:pPr>
            <w:r>
              <w:rPr>
                <w:spacing w:val="-6"/>
              </w:rPr>
              <w:t>投标总价</w:t>
            </w:r>
          </w:p>
        </w:tc>
        <w:tc>
          <w:tcPr>
            <w:tcW w:w="1635" w:type="dxa"/>
            <w:tcBorders>
              <w:top w:val="single" w:color="000000" w:sz="4" w:space="0"/>
              <w:bottom w:val="single" w:color="000000" w:sz="4" w:space="0"/>
            </w:tcBorders>
            <w:vAlign w:val="top"/>
          </w:tcPr>
          <w:p w14:paraId="79A3244E">
            <w:pPr>
              <w:pStyle w:val="19"/>
              <w:spacing w:before="253" w:line="221" w:lineRule="auto"/>
              <w:ind w:left="332"/>
            </w:pPr>
            <w:r>
              <w:rPr>
                <w:spacing w:val="-6"/>
              </w:rPr>
              <w:t>投标保证金</w:t>
            </w:r>
          </w:p>
        </w:tc>
        <w:tc>
          <w:tcPr>
            <w:tcW w:w="1470" w:type="dxa"/>
            <w:tcBorders>
              <w:top w:val="single" w:color="000000" w:sz="4" w:space="0"/>
              <w:bottom w:val="single" w:color="000000" w:sz="4" w:space="0"/>
            </w:tcBorders>
            <w:vAlign w:val="top"/>
          </w:tcPr>
          <w:p w14:paraId="42E069C8">
            <w:pPr>
              <w:pStyle w:val="19"/>
              <w:spacing w:before="256" w:line="222" w:lineRule="auto"/>
              <w:ind w:left="284"/>
            </w:pPr>
            <w:r>
              <w:rPr>
                <w:spacing w:val="-9"/>
              </w:rPr>
              <w:t>履约期限</w:t>
            </w:r>
          </w:p>
        </w:tc>
        <w:tc>
          <w:tcPr>
            <w:tcW w:w="1170" w:type="dxa"/>
            <w:tcBorders>
              <w:top w:val="single" w:color="000000" w:sz="4" w:space="0"/>
              <w:bottom w:val="single" w:color="000000" w:sz="4" w:space="0"/>
            </w:tcBorders>
            <w:vAlign w:val="top"/>
          </w:tcPr>
          <w:p w14:paraId="06A0EAE7">
            <w:pPr>
              <w:pStyle w:val="19"/>
              <w:spacing w:before="256" w:line="222" w:lineRule="auto"/>
              <w:ind w:left="74"/>
            </w:pPr>
            <w:r>
              <w:rPr>
                <w:spacing w:val="-9"/>
              </w:rPr>
              <w:t>履约地点</w:t>
            </w:r>
          </w:p>
        </w:tc>
        <w:tc>
          <w:tcPr>
            <w:tcW w:w="1065" w:type="dxa"/>
            <w:tcBorders>
              <w:top w:val="single" w:color="000000" w:sz="4" w:space="0"/>
              <w:bottom w:val="single" w:color="000000" w:sz="4" w:space="0"/>
              <w:right w:val="single" w:color="000000" w:sz="4" w:space="0"/>
            </w:tcBorders>
            <w:vAlign w:val="top"/>
          </w:tcPr>
          <w:p w14:paraId="61B6673B">
            <w:pPr>
              <w:pStyle w:val="19"/>
              <w:spacing w:before="256" w:line="224" w:lineRule="auto"/>
              <w:ind w:left="366"/>
            </w:pPr>
            <w:r>
              <w:rPr>
                <w:spacing w:val="-9"/>
              </w:rPr>
              <w:t>备注</w:t>
            </w:r>
          </w:p>
        </w:tc>
      </w:tr>
      <w:tr w14:paraId="76BD9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trPr>
        <w:tc>
          <w:tcPr>
            <w:tcW w:w="1332" w:type="dxa"/>
            <w:tcBorders>
              <w:top w:val="single" w:color="000000" w:sz="4" w:space="0"/>
              <w:right w:val="single" w:color="000000" w:sz="4" w:space="0"/>
            </w:tcBorders>
            <w:vAlign w:val="top"/>
          </w:tcPr>
          <w:p w14:paraId="02E7E96F">
            <w:pPr>
              <w:rPr>
                <w:rFonts w:ascii="Arial"/>
                <w:sz w:val="21"/>
              </w:rPr>
            </w:pPr>
          </w:p>
        </w:tc>
        <w:tc>
          <w:tcPr>
            <w:tcW w:w="2415" w:type="dxa"/>
            <w:tcBorders>
              <w:top w:val="single" w:color="000000" w:sz="4" w:space="0"/>
              <w:left w:val="single" w:color="000000" w:sz="4" w:space="0"/>
            </w:tcBorders>
            <w:vAlign w:val="top"/>
          </w:tcPr>
          <w:p w14:paraId="2B2D5C87">
            <w:pPr>
              <w:spacing w:line="248" w:lineRule="auto"/>
              <w:rPr>
                <w:rFonts w:ascii="Arial"/>
                <w:sz w:val="21"/>
              </w:rPr>
            </w:pPr>
          </w:p>
          <w:p w14:paraId="03200F40">
            <w:pPr>
              <w:spacing w:line="248" w:lineRule="auto"/>
              <w:rPr>
                <w:rFonts w:ascii="Arial"/>
                <w:sz w:val="21"/>
              </w:rPr>
            </w:pPr>
          </w:p>
          <w:p w14:paraId="786A9BD6">
            <w:pPr>
              <w:pStyle w:val="19"/>
              <w:spacing w:before="78" w:line="345" w:lineRule="auto"/>
              <w:ind w:left="33" w:right="1776" w:firstLine="5"/>
            </w:pPr>
            <w:r>
              <w:rPr>
                <w:spacing w:val="-44"/>
              </w:rPr>
              <w:t>大写：</w:t>
            </w:r>
            <w:r>
              <w:t xml:space="preserve"> </w:t>
            </w:r>
            <w:r>
              <w:rPr>
                <w:spacing w:val="-42"/>
              </w:rPr>
              <w:t>小写：</w:t>
            </w:r>
          </w:p>
        </w:tc>
        <w:tc>
          <w:tcPr>
            <w:tcW w:w="1635" w:type="dxa"/>
            <w:tcBorders>
              <w:top w:val="single" w:color="000000" w:sz="4" w:space="0"/>
            </w:tcBorders>
            <w:vAlign w:val="top"/>
          </w:tcPr>
          <w:p w14:paraId="1DF70653">
            <w:pPr>
              <w:rPr>
                <w:rFonts w:ascii="Arial"/>
                <w:sz w:val="21"/>
              </w:rPr>
            </w:pPr>
          </w:p>
        </w:tc>
        <w:tc>
          <w:tcPr>
            <w:tcW w:w="1470" w:type="dxa"/>
            <w:tcBorders>
              <w:top w:val="single" w:color="000000" w:sz="4" w:space="0"/>
            </w:tcBorders>
            <w:vAlign w:val="top"/>
          </w:tcPr>
          <w:p w14:paraId="69ED926F">
            <w:pPr>
              <w:rPr>
                <w:rFonts w:ascii="Arial"/>
                <w:sz w:val="21"/>
              </w:rPr>
            </w:pPr>
          </w:p>
        </w:tc>
        <w:tc>
          <w:tcPr>
            <w:tcW w:w="1170" w:type="dxa"/>
            <w:tcBorders>
              <w:top w:val="single" w:color="000000" w:sz="4" w:space="0"/>
            </w:tcBorders>
            <w:vAlign w:val="top"/>
          </w:tcPr>
          <w:p w14:paraId="0AAB0EA6">
            <w:pPr>
              <w:rPr>
                <w:rFonts w:ascii="Arial"/>
                <w:sz w:val="21"/>
              </w:rPr>
            </w:pPr>
          </w:p>
        </w:tc>
        <w:tc>
          <w:tcPr>
            <w:tcW w:w="1065" w:type="dxa"/>
            <w:tcBorders>
              <w:top w:val="single" w:color="000000" w:sz="4" w:space="0"/>
              <w:right w:val="single" w:color="000000" w:sz="4" w:space="0"/>
            </w:tcBorders>
            <w:vAlign w:val="top"/>
          </w:tcPr>
          <w:p w14:paraId="680B2522">
            <w:pPr>
              <w:rPr>
                <w:rFonts w:ascii="Arial"/>
                <w:sz w:val="21"/>
              </w:rPr>
            </w:pPr>
          </w:p>
        </w:tc>
      </w:tr>
    </w:tbl>
    <w:p w14:paraId="09091931">
      <w:pPr>
        <w:pStyle w:val="8"/>
        <w:spacing w:line="241" w:lineRule="auto"/>
      </w:pPr>
    </w:p>
    <w:p w14:paraId="32B508C4">
      <w:pPr>
        <w:pStyle w:val="8"/>
        <w:spacing w:line="241" w:lineRule="auto"/>
      </w:pPr>
    </w:p>
    <w:p w14:paraId="33005EEA">
      <w:pPr>
        <w:pStyle w:val="8"/>
        <w:spacing w:line="241" w:lineRule="auto"/>
      </w:pPr>
    </w:p>
    <w:p w14:paraId="028A2298">
      <w:pPr>
        <w:pStyle w:val="8"/>
        <w:spacing w:line="241" w:lineRule="auto"/>
      </w:pPr>
    </w:p>
    <w:p w14:paraId="7D52E495">
      <w:pPr>
        <w:spacing w:before="78" w:line="221" w:lineRule="auto"/>
        <w:ind w:left="638"/>
        <w:rPr>
          <w:rFonts w:ascii="仿宋" w:hAnsi="仿宋" w:eastAsia="仿宋" w:cs="仿宋"/>
          <w:sz w:val="24"/>
          <w:szCs w:val="24"/>
        </w:rPr>
      </w:pPr>
      <w:r>
        <w:rPr>
          <w:rFonts w:ascii="仿宋" w:hAnsi="仿宋" w:eastAsia="仿宋" w:cs="仿宋"/>
          <w:spacing w:val="-4"/>
          <w:sz w:val="24"/>
          <w:szCs w:val="24"/>
        </w:rPr>
        <w:t>供应商名称（单位章</w:t>
      </w:r>
      <w:r>
        <w:rPr>
          <w:rFonts w:ascii="仿宋" w:hAnsi="仿宋" w:eastAsia="仿宋" w:cs="仿宋"/>
          <w:sz w:val="24"/>
          <w:szCs w:val="24"/>
        </w:rPr>
        <w:t>）：</w:t>
      </w:r>
    </w:p>
    <w:p w14:paraId="5C646A70">
      <w:pPr>
        <w:spacing w:before="257" w:line="223" w:lineRule="auto"/>
        <w:ind w:left="644"/>
        <w:rPr>
          <w:rFonts w:ascii="仿宋" w:hAnsi="仿宋" w:eastAsia="仿宋" w:cs="仿宋"/>
          <w:sz w:val="24"/>
          <w:szCs w:val="24"/>
        </w:rPr>
      </w:pPr>
      <w:r>
        <w:rPr>
          <w:rFonts w:ascii="仿宋" w:hAnsi="仿宋" w:eastAsia="仿宋" w:cs="仿宋"/>
          <w:spacing w:val="-4"/>
          <w:sz w:val="24"/>
          <w:szCs w:val="24"/>
        </w:rPr>
        <w:t>法定代表人或其委托代理人(签字):</w:t>
      </w:r>
    </w:p>
    <w:p w14:paraId="72A8C695">
      <w:pPr>
        <w:spacing w:line="223" w:lineRule="auto"/>
        <w:rPr>
          <w:rFonts w:ascii="仿宋" w:hAnsi="仿宋" w:eastAsia="仿宋" w:cs="仿宋"/>
          <w:sz w:val="24"/>
          <w:szCs w:val="24"/>
        </w:rPr>
        <w:sectPr>
          <w:footerReference r:id="rId25" w:type="default"/>
          <w:pgSz w:w="11907" w:h="16840"/>
          <w:pgMar w:top="1431" w:right="692" w:bottom="1202" w:left="1747" w:header="0" w:footer="1032" w:gutter="0"/>
          <w:pgNumType w:fmt="decimal"/>
          <w:cols w:space="720" w:num="1"/>
        </w:sectPr>
      </w:pPr>
    </w:p>
    <w:p w14:paraId="3FE0511B">
      <w:pPr>
        <w:spacing w:before="222" w:line="222" w:lineRule="auto"/>
        <w:ind w:left="2653"/>
        <w:outlineLvl w:val="1"/>
        <w:rPr>
          <w:rFonts w:ascii="仿宋" w:hAnsi="仿宋" w:eastAsia="仿宋" w:cs="仿宋"/>
          <w:sz w:val="24"/>
          <w:szCs w:val="24"/>
        </w:rPr>
      </w:pPr>
      <w:bookmarkStart w:id="96" w:name="bookmark39"/>
      <w:bookmarkEnd w:id="96"/>
      <w:bookmarkStart w:id="97" w:name="_Toc31750"/>
      <w:r>
        <w:rPr>
          <w:rFonts w:ascii="仿宋" w:hAnsi="仿宋" w:eastAsia="仿宋" w:cs="仿宋"/>
          <w:b/>
          <w:bCs/>
          <w:spacing w:val="-9"/>
          <w:sz w:val="24"/>
          <w:szCs w:val="24"/>
        </w:rPr>
        <w:t>第三部分商务资信投标文件</w:t>
      </w:r>
      <w:bookmarkEnd w:id="97"/>
    </w:p>
    <w:p w14:paraId="3ADCDE5C">
      <w:pPr>
        <w:spacing w:before="300" w:line="343" w:lineRule="auto"/>
        <w:ind w:left="71" w:right="33" w:firstLine="472"/>
        <w:rPr>
          <w:rFonts w:ascii="仿宋" w:hAnsi="仿宋" w:eastAsia="仿宋" w:cs="仿宋"/>
          <w:sz w:val="24"/>
          <w:szCs w:val="24"/>
        </w:rPr>
      </w:pPr>
      <w:r>
        <w:rPr>
          <w:rFonts w:ascii="仿宋" w:hAnsi="仿宋" w:eastAsia="仿宋" w:cs="仿宋"/>
          <w:spacing w:val="2"/>
          <w:sz w:val="24"/>
          <w:szCs w:val="24"/>
        </w:rPr>
        <w:t>供应商应根据采购文件的要求提供详细的商务投标方案，参照项目的具体</w:t>
      </w:r>
      <w:r>
        <w:rPr>
          <w:rFonts w:ascii="仿宋" w:hAnsi="仿宋" w:eastAsia="仿宋" w:cs="仿宋"/>
          <w:spacing w:val="11"/>
          <w:sz w:val="24"/>
          <w:szCs w:val="24"/>
        </w:rPr>
        <w:t xml:space="preserve"> </w:t>
      </w:r>
      <w:r>
        <w:rPr>
          <w:rFonts w:ascii="仿宋" w:hAnsi="仿宋" w:eastAsia="仿宋" w:cs="仿宋"/>
          <w:spacing w:val="-5"/>
          <w:sz w:val="24"/>
          <w:szCs w:val="24"/>
        </w:rPr>
        <w:t>情况及评分标准编制。</w:t>
      </w:r>
    </w:p>
    <w:p w14:paraId="11EE932B">
      <w:pPr>
        <w:spacing w:before="83" w:line="349" w:lineRule="auto"/>
        <w:ind w:left="60" w:right="31" w:firstLine="533"/>
        <w:rPr>
          <w:rFonts w:ascii="仿宋" w:hAnsi="仿宋" w:eastAsia="仿宋" w:cs="仿宋"/>
          <w:sz w:val="24"/>
          <w:szCs w:val="24"/>
        </w:rPr>
      </w:pPr>
      <w:r>
        <w:rPr>
          <w:rFonts w:ascii="仿宋" w:hAnsi="仿宋" w:eastAsia="仿宋" w:cs="仿宋"/>
          <w:spacing w:val="-1"/>
          <w:sz w:val="24"/>
          <w:szCs w:val="24"/>
        </w:rPr>
        <w:t>以下提供部分投标文件格式（表格可按照同样格式扩展</w:t>
      </w:r>
      <w:r>
        <w:rPr>
          <w:rFonts w:ascii="仿宋" w:hAnsi="仿宋" w:eastAsia="仿宋" w:cs="仿宋"/>
          <w:spacing w:val="1"/>
          <w:sz w:val="24"/>
          <w:szCs w:val="24"/>
        </w:rPr>
        <w:t>）</w:t>
      </w:r>
      <w:r>
        <w:rPr>
          <w:rFonts w:ascii="仿宋" w:hAnsi="仿宋" w:eastAsia="仿宋" w:cs="仿宋"/>
          <w:spacing w:val="-64"/>
          <w:sz w:val="24"/>
          <w:szCs w:val="24"/>
        </w:rPr>
        <w:t xml:space="preserve"> </w:t>
      </w:r>
      <w:r>
        <w:rPr>
          <w:rFonts w:ascii="仿宋" w:hAnsi="仿宋" w:eastAsia="仿宋" w:cs="仿宋"/>
          <w:spacing w:val="1"/>
          <w:sz w:val="24"/>
          <w:szCs w:val="24"/>
        </w:rPr>
        <w:t>，</w:t>
      </w:r>
      <w:r>
        <w:rPr>
          <w:rFonts w:ascii="仿宋" w:hAnsi="仿宋" w:eastAsia="仿宋" w:cs="仿宋"/>
          <w:spacing w:val="-1"/>
          <w:sz w:val="24"/>
          <w:szCs w:val="24"/>
        </w:rPr>
        <w:t>供应商需保证</w:t>
      </w:r>
      <w:r>
        <w:rPr>
          <w:rFonts w:ascii="仿宋" w:hAnsi="仿宋" w:eastAsia="仿宋" w:cs="仿宋"/>
          <w:sz w:val="24"/>
          <w:szCs w:val="24"/>
        </w:rPr>
        <w:t xml:space="preserve"> </w:t>
      </w:r>
      <w:r>
        <w:rPr>
          <w:rFonts w:ascii="仿宋" w:hAnsi="仿宋" w:eastAsia="仿宋" w:cs="仿宋"/>
          <w:spacing w:val="-2"/>
          <w:sz w:val="24"/>
          <w:szCs w:val="24"/>
        </w:rPr>
        <w:t>所提供的资料的真实性。未提供格式的，供应商可自行编制。提供部分投标文</w:t>
      </w:r>
      <w:r>
        <w:rPr>
          <w:rFonts w:ascii="仿宋" w:hAnsi="仿宋" w:eastAsia="仿宋" w:cs="仿宋"/>
          <w:spacing w:val="6"/>
          <w:sz w:val="24"/>
          <w:szCs w:val="24"/>
        </w:rPr>
        <w:t xml:space="preserve">  </w:t>
      </w:r>
      <w:r>
        <w:rPr>
          <w:rFonts w:ascii="仿宋" w:hAnsi="仿宋" w:eastAsia="仿宋" w:cs="仿宋"/>
          <w:spacing w:val="-5"/>
          <w:sz w:val="24"/>
          <w:szCs w:val="24"/>
        </w:rPr>
        <w:t>件格式目录</w:t>
      </w:r>
    </w:p>
    <w:p w14:paraId="6B959FF4">
      <w:pPr>
        <w:spacing w:before="80" w:line="222" w:lineRule="auto"/>
        <w:ind w:left="580"/>
        <w:rPr>
          <w:rFonts w:ascii="仿宋" w:hAnsi="仿宋" w:eastAsia="仿宋" w:cs="仿宋"/>
          <w:sz w:val="24"/>
          <w:szCs w:val="24"/>
        </w:rPr>
      </w:pPr>
      <w:r>
        <w:rPr>
          <w:rFonts w:ascii="仿宋" w:hAnsi="仿宋" w:eastAsia="仿宋" w:cs="仿宋"/>
          <w:spacing w:val="-6"/>
          <w:sz w:val="24"/>
          <w:szCs w:val="24"/>
        </w:rPr>
        <w:t>1.投标书（投标文件格式一）</w:t>
      </w:r>
    </w:p>
    <w:p w14:paraId="7EADCCCB">
      <w:pPr>
        <w:spacing w:before="212" w:line="221" w:lineRule="auto"/>
        <w:ind w:left="534"/>
        <w:rPr>
          <w:rFonts w:ascii="仿宋" w:hAnsi="仿宋" w:eastAsia="仿宋" w:cs="仿宋"/>
          <w:sz w:val="24"/>
          <w:szCs w:val="24"/>
        </w:rPr>
      </w:pPr>
      <w:r>
        <w:rPr>
          <w:rFonts w:ascii="仿宋" w:hAnsi="仿宋" w:eastAsia="仿宋" w:cs="仿宋"/>
          <w:spacing w:val="-1"/>
          <w:sz w:val="24"/>
          <w:szCs w:val="24"/>
        </w:rPr>
        <w:t>2.投标保证金缴纳凭证复印件或政府采购投标担</w:t>
      </w:r>
      <w:r>
        <w:rPr>
          <w:rFonts w:ascii="仿宋" w:hAnsi="仿宋" w:eastAsia="仿宋" w:cs="仿宋"/>
          <w:spacing w:val="-2"/>
          <w:sz w:val="24"/>
          <w:szCs w:val="24"/>
        </w:rPr>
        <w:t>保函（投标文件格式二）</w:t>
      </w:r>
    </w:p>
    <w:p w14:paraId="1185EF27">
      <w:pPr>
        <w:spacing w:before="181" w:line="373" w:lineRule="auto"/>
        <w:ind w:left="522" w:right="3772" w:firstLine="10"/>
        <w:rPr>
          <w:rFonts w:ascii="仿宋" w:hAnsi="仿宋" w:eastAsia="仿宋" w:cs="仿宋"/>
          <w:sz w:val="24"/>
          <w:szCs w:val="24"/>
        </w:rPr>
      </w:pPr>
      <w:r>
        <w:rPr>
          <w:rFonts w:ascii="仿宋" w:hAnsi="仿宋" w:eastAsia="仿宋" w:cs="仿宋"/>
          <w:spacing w:val="-3"/>
          <w:sz w:val="24"/>
          <w:szCs w:val="24"/>
        </w:rPr>
        <w:t>3.技术规格偏离表（投标文件格式三）</w:t>
      </w:r>
      <w:r>
        <w:rPr>
          <w:rFonts w:ascii="仿宋" w:hAnsi="仿宋" w:eastAsia="仿宋" w:cs="仿宋"/>
          <w:spacing w:val="2"/>
          <w:sz w:val="24"/>
          <w:szCs w:val="24"/>
        </w:rPr>
        <w:t xml:space="preserve"> </w:t>
      </w:r>
      <w:r>
        <w:rPr>
          <w:rFonts w:ascii="仿宋" w:hAnsi="仿宋" w:eastAsia="仿宋" w:cs="仿宋"/>
          <w:spacing w:val="-3"/>
          <w:sz w:val="24"/>
          <w:szCs w:val="24"/>
        </w:rPr>
        <w:t>4.商务条款偏离表（投标文件格式四）</w:t>
      </w:r>
    </w:p>
    <w:p w14:paraId="7D8334B4">
      <w:pPr>
        <w:spacing w:before="113" w:line="349" w:lineRule="auto"/>
        <w:ind w:left="61" w:right="31" w:firstLine="476"/>
        <w:jc w:val="both"/>
        <w:rPr>
          <w:rFonts w:ascii="仿宋" w:hAnsi="仿宋" w:eastAsia="仿宋" w:cs="仿宋"/>
          <w:sz w:val="24"/>
          <w:szCs w:val="24"/>
        </w:rPr>
      </w:pPr>
      <w:r>
        <w:rPr>
          <w:rFonts w:ascii="仿宋" w:hAnsi="仿宋" w:eastAsia="仿宋" w:cs="仿宋"/>
          <w:spacing w:val="2"/>
          <w:sz w:val="24"/>
          <w:szCs w:val="24"/>
        </w:rPr>
        <w:t>5.符合《政府采购促进中小企业发展暂行办法》《关于政府采购支持监狱</w:t>
      </w:r>
      <w:r>
        <w:rPr>
          <w:rFonts w:ascii="仿宋" w:hAnsi="仿宋" w:eastAsia="仿宋" w:cs="仿宋"/>
          <w:spacing w:val="15"/>
          <w:sz w:val="24"/>
          <w:szCs w:val="24"/>
        </w:rPr>
        <w:t xml:space="preserve"> </w:t>
      </w:r>
      <w:r>
        <w:rPr>
          <w:rFonts w:ascii="仿宋" w:hAnsi="仿宋" w:eastAsia="仿宋" w:cs="仿宋"/>
          <w:spacing w:val="2"/>
          <w:sz w:val="24"/>
          <w:szCs w:val="24"/>
        </w:rPr>
        <w:t>企业发展有关问题的通知》和《三部门联合发布关于促进残疾人就业政府采购</w:t>
      </w:r>
      <w:r>
        <w:rPr>
          <w:rFonts w:ascii="仿宋" w:hAnsi="仿宋" w:eastAsia="仿宋" w:cs="仿宋"/>
          <w:spacing w:val="12"/>
          <w:sz w:val="24"/>
          <w:szCs w:val="24"/>
        </w:rPr>
        <w:t xml:space="preserve"> </w:t>
      </w:r>
      <w:r>
        <w:rPr>
          <w:rFonts w:ascii="仿宋" w:hAnsi="仿宋" w:eastAsia="仿宋" w:cs="仿宋"/>
          <w:spacing w:val="-2"/>
          <w:sz w:val="24"/>
          <w:szCs w:val="24"/>
        </w:rPr>
        <w:t>政策的通知》价格扣减条件的供应商须提交）</w:t>
      </w:r>
    </w:p>
    <w:p w14:paraId="33984EB7">
      <w:pPr>
        <w:spacing w:before="76" w:line="222" w:lineRule="auto"/>
        <w:ind w:left="538"/>
        <w:outlineLvl w:val="2"/>
        <w:rPr>
          <w:rFonts w:ascii="仿宋" w:hAnsi="仿宋" w:eastAsia="仿宋" w:cs="仿宋"/>
          <w:sz w:val="24"/>
          <w:szCs w:val="24"/>
        </w:rPr>
      </w:pPr>
      <w:bookmarkStart w:id="98" w:name="_Toc24867"/>
      <w:r>
        <w:rPr>
          <w:rFonts w:ascii="仿宋" w:hAnsi="仿宋" w:eastAsia="仿宋" w:cs="仿宋"/>
          <w:spacing w:val="-2"/>
          <w:sz w:val="24"/>
          <w:szCs w:val="24"/>
        </w:rPr>
        <w:t>5-1《供应商企业类型声明函》（投标文件格式五）</w:t>
      </w:r>
      <w:bookmarkEnd w:id="98"/>
    </w:p>
    <w:p w14:paraId="5214F2CE">
      <w:pPr>
        <w:spacing w:before="290" w:line="220" w:lineRule="auto"/>
        <w:ind w:left="538"/>
        <w:rPr>
          <w:rFonts w:ascii="仿宋" w:hAnsi="仿宋" w:eastAsia="仿宋" w:cs="仿宋"/>
          <w:sz w:val="24"/>
          <w:szCs w:val="24"/>
        </w:rPr>
      </w:pPr>
      <w:r>
        <w:rPr>
          <w:rFonts w:ascii="仿宋" w:hAnsi="仿宋" w:eastAsia="仿宋" w:cs="仿宋"/>
          <w:spacing w:val="-2"/>
          <w:sz w:val="24"/>
          <w:szCs w:val="24"/>
        </w:rPr>
        <w:t>5-2《残疾人福利性单位声明函》（投标文件格式六）</w:t>
      </w:r>
    </w:p>
    <w:p w14:paraId="1117F583">
      <w:pPr>
        <w:pStyle w:val="8"/>
        <w:spacing w:line="256" w:lineRule="auto"/>
      </w:pPr>
    </w:p>
    <w:p w14:paraId="50DEAA01">
      <w:pPr>
        <w:spacing w:before="79" w:line="438" w:lineRule="auto"/>
        <w:ind w:left="530" w:right="3724" w:firstLine="2"/>
        <w:rPr>
          <w:rFonts w:ascii="仿宋" w:hAnsi="仿宋" w:eastAsia="仿宋" w:cs="仿宋"/>
          <w:sz w:val="24"/>
          <w:szCs w:val="24"/>
        </w:rPr>
      </w:pPr>
      <w:r>
        <w:rPr>
          <w:rFonts w:ascii="仿宋" w:hAnsi="仿宋" w:eastAsia="仿宋" w:cs="仿宋"/>
          <w:spacing w:val="-7"/>
          <w:sz w:val="24"/>
          <w:szCs w:val="24"/>
        </w:rPr>
        <w:t>5-3中小企业声明函（投标文件格式七）</w:t>
      </w:r>
      <w:r>
        <w:rPr>
          <w:rFonts w:ascii="仿宋" w:hAnsi="仿宋" w:eastAsia="仿宋" w:cs="仿宋"/>
          <w:spacing w:val="8"/>
          <w:sz w:val="24"/>
          <w:szCs w:val="24"/>
        </w:rPr>
        <w:t xml:space="preserve"> </w:t>
      </w:r>
      <w:r>
        <w:rPr>
          <w:rFonts w:ascii="仿宋" w:hAnsi="仿宋" w:eastAsia="仿宋" w:cs="仿宋"/>
          <w:spacing w:val="-2"/>
          <w:sz w:val="24"/>
          <w:szCs w:val="24"/>
        </w:rPr>
        <w:t>6.供应商关联单位的说明（格式自拟）</w:t>
      </w:r>
    </w:p>
    <w:p w14:paraId="0A90BB82">
      <w:pPr>
        <w:spacing w:line="222" w:lineRule="auto"/>
        <w:ind w:left="541"/>
        <w:rPr>
          <w:rFonts w:ascii="仿宋" w:hAnsi="仿宋" w:eastAsia="仿宋" w:cs="仿宋"/>
          <w:sz w:val="24"/>
          <w:szCs w:val="24"/>
        </w:rPr>
      </w:pPr>
      <w:r>
        <w:rPr>
          <w:rFonts w:ascii="仿宋" w:hAnsi="仿宋" w:eastAsia="仿宋" w:cs="仿宋"/>
          <w:spacing w:val="-4"/>
          <w:sz w:val="24"/>
          <w:szCs w:val="24"/>
        </w:rPr>
        <w:t>7.投标文件还应包括供应商须知第10条的所有技术文件</w:t>
      </w:r>
    </w:p>
    <w:p w14:paraId="4C642030">
      <w:pPr>
        <w:spacing w:line="222" w:lineRule="auto"/>
        <w:rPr>
          <w:rFonts w:ascii="仿宋" w:hAnsi="仿宋" w:eastAsia="仿宋" w:cs="仿宋"/>
          <w:sz w:val="24"/>
          <w:szCs w:val="24"/>
        </w:rPr>
        <w:sectPr>
          <w:footerReference r:id="rId26" w:type="default"/>
          <w:pgSz w:w="11907" w:h="16840"/>
          <w:pgMar w:top="1431" w:right="1786" w:bottom="1204" w:left="1786" w:header="0" w:footer="1035" w:gutter="0"/>
          <w:pgNumType w:fmt="decimal"/>
          <w:cols w:space="720" w:num="1"/>
        </w:sectPr>
      </w:pPr>
    </w:p>
    <w:p w14:paraId="05A0F214">
      <w:pPr>
        <w:spacing w:before="121" w:line="223" w:lineRule="auto"/>
        <w:ind w:left="2806"/>
        <w:outlineLvl w:val="2"/>
        <w:rPr>
          <w:rFonts w:ascii="仿宋" w:hAnsi="仿宋" w:eastAsia="仿宋" w:cs="仿宋"/>
          <w:sz w:val="28"/>
          <w:szCs w:val="28"/>
        </w:rPr>
      </w:pPr>
      <w:bookmarkStart w:id="99" w:name="_Toc19390"/>
      <w:r>
        <w:rPr>
          <w:rFonts w:ascii="仿宋" w:hAnsi="仿宋" w:eastAsia="仿宋" w:cs="仿宋"/>
          <w:b/>
          <w:bCs/>
          <w:spacing w:val="-7"/>
          <w:sz w:val="28"/>
          <w:szCs w:val="28"/>
        </w:rPr>
        <w:t>1.投标书（投标文件格式一）</w:t>
      </w:r>
      <w:bookmarkEnd w:id="99"/>
    </w:p>
    <w:p w14:paraId="66F86B1D">
      <w:pPr>
        <w:spacing w:before="278" w:line="222" w:lineRule="auto"/>
        <w:ind w:left="66"/>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18"/>
          <w:sz w:val="24"/>
          <w:szCs w:val="24"/>
        </w:rPr>
        <w:t>：</w:t>
      </w:r>
      <w:r>
        <w:rPr>
          <w:rFonts w:ascii="仿宋" w:hAnsi="仿宋" w:eastAsia="仿宋" w:cs="仿宋"/>
          <w:spacing w:val="9"/>
          <w:sz w:val="24"/>
          <w:szCs w:val="24"/>
          <w:u w:val="single" w:color="auto"/>
        </w:rPr>
        <w:t xml:space="preserve">           </w:t>
      </w:r>
      <w:r>
        <w:rPr>
          <w:rFonts w:ascii="仿宋" w:hAnsi="仿宋" w:eastAsia="仿宋" w:cs="仿宋"/>
          <w:spacing w:val="-18"/>
          <w:sz w:val="24"/>
          <w:szCs w:val="24"/>
          <w:u w:val="single" w:color="auto"/>
        </w:rPr>
        <w:t>（</w:t>
      </w:r>
      <w:r>
        <w:rPr>
          <w:rFonts w:ascii="仿宋" w:hAnsi="仿宋" w:eastAsia="仿宋" w:cs="仿宋"/>
          <w:spacing w:val="2"/>
          <w:sz w:val="24"/>
          <w:szCs w:val="24"/>
          <w:u w:val="single" w:color="auto"/>
        </w:rPr>
        <w:t>采购人）</w:t>
      </w:r>
    </w:p>
    <w:p w14:paraId="118F9079">
      <w:pPr>
        <w:tabs>
          <w:tab w:val="left" w:pos="8402"/>
        </w:tabs>
        <w:spacing w:before="257" w:line="349" w:lineRule="auto"/>
        <w:ind w:left="48" w:firstLine="496"/>
        <w:jc w:val="both"/>
        <w:rPr>
          <w:rFonts w:ascii="仿宋" w:hAnsi="仿宋" w:eastAsia="仿宋" w:cs="仿宋"/>
          <w:sz w:val="24"/>
          <w:szCs w:val="24"/>
        </w:rPr>
      </w:pPr>
      <w:r>
        <w:rPr>
          <w:rFonts w:ascii="仿宋" w:hAnsi="仿宋" w:eastAsia="仿宋" w:cs="仿宋"/>
          <w:spacing w:val="-6"/>
          <w:sz w:val="24"/>
          <w:szCs w:val="24"/>
        </w:rPr>
        <w:t>根据贵方(</w:t>
      </w:r>
      <w:r>
        <w:rPr>
          <w:rFonts w:ascii="仿宋" w:hAnsi="仿宋" w:eastAsia="仿宋" w:cs="仿宋"/>
          <w:spacing w:val="-6"/>
          <w:sz w:val="24"/>
          <w:szCs w:val="24"/>
          <w:u w:val="single" w:color="auto"/>
        </w:rPr>
        <w:t>项目名称</w:t>
      </w:r>
      <w:r>
        <w:rPr>
          <w:rFonts w:ascii="仿宋" w:hAnsi="仿宋" w:eastAsia="仿宋" w:cs="仿宋"/>
          <w:spacing w:val="-6"/>
          <w:sz w:val="24"/>
          <w:szCs w:val="24"/>
        </w:rPr>
        <w:t>)项目的投标邀请(</w:t>
      </w:r>
      <w:r>
        <w:rPr>
          <w:rFonts w:ascii="仿宋" w:hAnsi="仿宋" w:eastAsia="仿宋" w:cs="仿宋"/>
          <w:spacing w:val="-6"/>
          <w:sz w:val="24"/>
          <w:szCs w:val="24"/>
          <w:u w:val="single" w:color="auto"/>
        </w:rPr>
        <w:t>招标编号、包号：</w:t>
      </w:r>
      <w:r>
        <w:rPr>
          <w:rFonts w:ascii="仿宋" w:hAnsi="仿宋" w:eastAsia="仿宋" w:cs="仿宋"/>
          <w:spacing w:val="-6"/>
          <w:sz w:val="24"/>
          <w:szCs w:val="24"/>
        </w:rPr>
        <w:t>),签字代表(</w:t>
      </w:r>
      <w:r>
        <w:rPr>
          <w:rFonts w:ascii="仿宋" w:hAnsi="仿宋" w:eastAsia="仿宋" w:cs="仿宋"/>
          <w:spacing w:val="-6"/>
          <w:sz w:val="24"/>
          <w:szCs w:val="24"/>
          <w:u w:val="single" w:color="auto"/>
        </w:rPr>
        <w:t>姓名、</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
          <w:sz w:val="24"/>
          <w:szCs w:val="24"/>
          <w:u w:val="single" w:color="auto"/>
        </w:rPr>
        <w:t>职务</w:t>
      </w:r>
      <w:r>
        <w:rPr>
          <w:rFonts w:ascii="仿宋" w:hAnsi="仿宋" w:eastAsia="仿宋" w:cs="仿宋"/>
          <w:spacing w:val="1"/>
          <w:sz w:val="24"/>
          <w:szCs w:val="24"/>
        </w:rPr>
        <w:t>)经正式授权并代表供应商（</w:t>
      </w:r>
      <w:r>
        <w:rPr>
          <w:rFonts w:ascii="仿宋" w:hAnsi="仿宋" w:eastAsia="仿宋" w:cs="仿宋"/>
          <w:spacing w:val="-83"/>
          <w:sz w:val="24"/>
          <w:szCs w:val="24"/>
        </w:rPr>
        <w:t xml:space="preserve"> </w:t>
      </w:r>
      <w:r>
        <w:rPr>
          <w:rFonts w:ascii="仿宋" w:hAnsi="仿宋" w:eastAsia="仿宋" w:cs="仿宋"/>
          <w:spacing w:val="-102"/>
          <w:sz w:val="24"/>
          <w:szCs w:val="24"/>
          <w:u w:val="single" w:color="auto"/>
        </w:rPr>
        <w:t xml:space="preserve"> </w:t>
      </w:r>
      <w:r>
        <w:rPr>
          <w:rFonts w:ascii="仿宋" w:hAnsi="仿宋" w:eastAsia="仿宋" w:cs="仿宋"/>
          <w:spacing w:val="1"/>
          <w:sz w:val="24"/>
          <w:szCs w:val="24"/>
          <w:u w:val="single" w:color="auto"/>
        </w:rPr>
        <w:t>名称、地址</w:t>
      </w:r>
      <w:r>
        <w:rPr>
          <w:rFonts w:ascii="仿宋" w:hAnsi="仿宋" w:eastAsia="仿宋" w:cs="仿宋"/>
          <w:sz w:val="24"/>
          <w:szCs w:val="24"/>
        </w:rPr>
        <w:t xml:space="preserve">）提交投标书，并以形式出具的金 </w:t>
      </w:r>
      <w:r>
        <w:rPr>
          <w:rFonts w:ascii="仿宋" w:hAnsi="仿宋" w:eastAsia="仿宋" w:cs="仿宋"/>
          <w:spacing w:val="-3"/>
          <w:sz w:val="24"/>
          <w:szCs w:val="24"/>
        </w:rPr>
        <w:t>额为人民币元的投标保证金。</w:t>
      </w:r>
    </w:p>
    <w:p w14:paraId="00981FD4">
      <w:pPr>
        <w:spacing w:before="123" w:line="220" w:lineRule="auto"/>
        <w:ind w:left="544"/>
        <w:rPr>
          <w:rFonts w:ascii="仿宋" w:hAnsi="仿宋" w:eastAsia="仿宋" w:cs="仿宋"/>
          <w:sz w:val="24"/>
          <w:szCs w:val="24"/>
        </w:rPr>
      </w:pPr>
      <w:r>
        <w:rPr>
          <w:rFonts w:ascii="仿宋" w:hAnsi="仿宋" w:eastAsia="仿宋" w:cs="仿宋"/>
          <w:spacing w:val="-3"/>
          <w:sz w:val="24"/>
          <w:szCs w:val="24"/>
        </w:rPr>
        <w:t>据此，签字代表宣布同意如下：</w:t>
      </w:r>
    </w:p>
    <w:p w14:paraId="66B1744B">
      <w:pPr>
        <w:spacing w:before="207" w:line="313" w:lineRule="auto"/>
        <w:ind w:left="826" w:right="110" w:hanging="216"/>
        <w:rPr>
          <w:rFonts w:ascii="仿宋" w:hAnsi="仿宋" w:eastAsia="仿宋" w:cs="仿宋"/>
          <w:sz w:val="24"/>
          <w:szCs w:val="24"/>
        </w:rPr>
      </w:pPr>
      <w:r>
        <w:rPr>
          <w:rFonts w:ascii="仿宋" w:hAnsi="仿宋" w:eastAsia="仿宋" w:cs="仿宋"/>
          <w:spacing w:val="-4"/>
          <w:sz w:val="24"/>
          <w:szCs w:val="24"/>
        </w:rPr>
        <w:t>（1）附投标价格表中规定的应提供服务的投标总价详见开标一览表，</w:t>
      </w:r>
      <w:r>
        <w:rPr>
          <w:rFonts w:ascii="仿宋" w:hAnsi="仿宋" w:eastAsia="仿宋" w:cs="仿宋"/>
          <w:spacing w:val="-4"/>
          <w:sz w:val="24"/>
          <w:szCs w:val="24"/>
          <w:u w:val="single" w:color="auto"/>
        </w:rPr>
        <w:t>其中</w:t>
      </w:r>
      <w:r>
        <w:rPr>
          <w:rFonts w:ascii="仿宋" w:hAnsi="仿宋" w:eastAsia="仿宋" w:cs="仿宋"/>
          <w:spacing w:val="14"/>
          <w:sz w:val="24"/>
          <w:szCs w:val="24"/>
        </w:rPr>
        <w:t xml:space="preserve"> </w:t>
      </w:r>
      <w:r>
        <w:rPr>
          <w:rFonts w:ascii="仿宋" w:hAnsi="仿宋" w:eastAsia="仿宋" w:cs="仿宋"/>
          <w:spacing w:val="-3"/>
          <w:sz w:val="24"/>
          <w:szCs w:val="24"/>
          <w:u w:val="single" w:color="auto"/>
        </w:rPr>
        <w:t>由小型和</w:t>
      </w:r>
      <w:r>
        <w:rPr>
          <w:rFonts w:ascii="仿宋" w:hAnsi="仿宋" w:eastAsia="仿宋" w:cs="仿宋"/>
          <w:spacing w:val="-3"/>
          <w:sz w:val="24"/>
          <w:szCs w:val="24"/>
        </w:rPr>
        <w:t>微型企业制造产品的价格为</w:t>
      </w:r>
      <w:r>
        <w:rPr>
          <w:rFonts w:ascii="仿宋" w:hAnsi="仿宋" w:eastAsia="仿宋" w:cs="仿宋"/>
          <w:spacing w:val="-3"/>
          <w:sz w:val="24"/>
          <w:szCs w:val="24"/>
          <w:u w:val="single" w:color="auto"/>
        </w:rPr>
        <w:t>（用文字和数字表示</w:t>
      </w:r>
      <w:r>
        <w:rPr>
          <w:rFonts w:ascii="仿宋" w:hAnsi="仿宋" w:eastAsia="仿宋" w:cs="仿宋"/>
          <w:sz w:val="24"/>
          <w:szCs w:val="24"/>
          <w:u w:val="single" w:color="auto"/>
        </w:rPr>
        <w:t>），</w:t>
      </w:r>
      <w:r>
        <w:rPr>
          <w:rFonts w:ascii="仿宋" w:hAnsi="仿宋" w:eastAsia="仿宋" w:cs="仿宋"/>
          <w:spacing w:val="-60"/>
          <w:sz w:val="24"/>
          <w:szCs w:val="24"/>
          <w:u w:val="single" w:color="auto"/>
        </w:rPr>
        <w:t xml:space="preserve"> </w:t>
      </w:r>
      <w:r>
        <w:rPr>
          <w:rFonts w:ascii="仿宋" w:hAnsi="仿宋" w:eastAsia="仿宋" w:cs="仿宋"/>
          <w:spacing w:val="-3"/>
          <w:sz w:val="24"/>
          <w:szCs w:val="24"/>
          <w:u w:val="single" w:color="auto"/>
        </w:rPr>
        <w:t>占</w:t>
      </w:r>
      <w:r>
        <w:rPr>
          <w:rFonts w:ascii="仿宋" w:hAnsi="仿宋" w:eastAsia="仿宋" w:cs="仿宋"/>
          <w:spacing w:val="-4"/>
          <w:sz w:val="24"/>
          <w:szCs w:val="24"/>
          <w:u w:val="single" w:color="auto"/>
        </w:rPr>
        <w:t>投标总</w:t>
      </w:r>
      <w:r>
        <w:rPr>
          <w:rFonts w:ascii="仿宋" w:hAnsi="仿宋" w:eastAsia="仿宋" w:cs="仿宋"/>
          <w:sz w:val="24"/>
          <w:szCs w:val="24"/>
        </w:rPr>
        <w:t xml:space="preserve"> </w:t>
      </w:r>
      <w:r>
        <w:rPr>
          <w:rFonts w:ascii="仿宋" w:hAnsi="仿宋" w:eastAsia="仿宋" w:cs="仿宋"/>
          <w:spacing w:val="-7"/>
          <w:sz w:val="24"/>
          <w:szCs w:val="24"/>
          <w:u w:val="single" w:color="auto"/>
        </w:rPr>
        <w:t>价%</w:t>
      </w:r>
      <w:r>
        <w:rPr>
          <w:rFonts w:ascii="仿宋" w:hAnsi="仿宋" w:eastAsia="仿宋" w:cs="仿宋"/>
          <w:spacing w:val="-7"/>
          <w:sz w:val="24"/>
          <w:szCs w:val="24"/>
        </w:rPr>
        <w:t>。</w:t>
      </w:r>
    </w:p>
    <w:p w14:paraId="0B422D16">
      <w:pPr>
        <w:spacing w:before="203" w:line="222" w:lineRule="auto"/>
        <w:ind w:left="610"/>
        <w:rPr>
          <w:rFonts w:ascii="仿宋" w:hAnsi="仿宋" w:eastAsia="仿宋" w:cs="仿宋"/>
          <w:sz w:val="24"/>
          <w:szCs w:val="24"/>
        </w:rPr>
      </w:pPr>
      <w:r>
        <w:rPr>
          <w:rFonts w:ascii="仿宋" w:hAnsi="仿宋" w:eastAsia="仿宋" w:cs="仿宋"/>
          <w:spacing w:val="-2"/>
          <w:sz w:val="24"/>
          <w:szCs w:val="24"/>
        </w:rPr>
        <w:t>（2）本投标有效期为自投标截止之日起个日</w:t>
      </w:r>
      <w:r>
        <w:rPr>
          <w:rFonts w:ascii="仿宋" w:hAnsi="仿宋" w:eastAsia="仿宋" w:cs="仿宋"/>
          <w:spacing w:val="-3"/>
          <w:sz w:val="24"/>
          <w:szCs w:val="24"/>
        </w:rPr>
        <w:t>历日。</w:t>
      </w:r>
    </w:p>
    <w:p w14:paraId="01467829">
      <w:pPr>
        <w:spacing w:before="204" w:line="313" w:lineRule="auto"/>
        <w:ind w:left="1136" w:right="112" w:hanging="526"/>
        <w:rPr>
          <w:rFonts w:ascii="仿宋" w:hAnsi="仿宋" w:eastAsia="仿宋" w:cs="仿宋"/>
          <w:sz w:val="24"/>
          <w:szCs w:val="24"/>
        </w:rPr>
      </w:pPr>
      <w:r>
        <w:rPr>
          <w:rFonts w:ascii="仿宋" w:hAnsi="仿宋" w:eastAsia="仿宋" w:cs="仿宋"/>
          <w:spacing w:val="-4"/>
          <w:sz w:val="24"/>
          <w:szCs w:val="24"/>
        </w:rPr>
        <w:t>（3）联合体中的大中型企业和其他自然人、法人或者非法人组织，与联合</w:t>
      </w:r>
      <w:r>
        <w:rPr>
          <w:rFonts w:ascii="仿宋" w:hAnsi="仿宋" w:eastAsia="仿宋" w:cs="仿宋"/>
          <w:spacing w:val="11"/>
          <w:sz w:val="24"/>
          <w:szCs w:val="24"/>
        </w:rPr>
        <w:t xml:space="preserve"> </w:t>
      </w:r>
      <w:r>
        <w:rPr>
          <w:rFonts w:ascii="仿宋" w:hAnsi="仿宋" w:eastAsia="仿宋" w:cs="仿宋"/>
          <w:spacing w:val="-2"/>
          <w:sz w:val="24"/>
          <w:szCs w:val="24"/>
        </w:rPr>
        <w:t>体中的小型、微型企业之间</w:t>
      </w:r>
      <w:r>
        <w:rPr>
          <w:rFonts w:ascii="仿宋" w:hAnsi="仿宋" w:eastAsia="仿宋" w:cs="仿宋"/>
          <w:spacing w:val="-2"/>
          <w:sz w:val="24"/>
          <w:szCs w:val="24"/>
          <w:u w:val="single" w:color="auto"/>
        </w:rPr>
        <w:t>（</w:t>
      </w:r>
      <w:r>
        <w:rPr>
          <w:rFonts w:ascii="仿宋" w:hAnsi="仿宋" w:eastAsia="仿宋" w:cs="仿宋"/>
          <w:spacing w:val="-7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存在、不存在）投资关系（如果联合</w:t>
      </w:r>
      <w:r>
        <w:rPr>
          <w:rFonts w:ascii="仿宋" w:hAnsi="仿宋" w:eastAsia="仿宋" w:cs="仿宋"/>
          <w:sz w:val="24"/>
          <w:szCs w:val="24"/>
        </w:rPr>
        <w:t xml:space="preserve">  </w:t>
      </w:r>
      <w:r>
        <w:rPr>
          <w:rFonts w:ascii="仿宋" w:hAnsi="仿宋" w:eastAsia="仿宋" w:cs="仿宋"/>
          <w:spacing w:val="-5"/>
          <w:sz w:val="24"/>
          <w:szCs w:val="24"/>
        </w:rPr>
        <w:t>体的话）。</w:t>
      </w:r>
    </w:p>
    <w:p w14:paraId="57D1345C">
      <w:pPr>
        <w:spacing w:before="201" w:line="290" w:lineRule="auto"/>
        <w:ind w:left="1142" w:right="95" w:hanging="532"/>
        <w:rPr>
          <w:rFonts w:ascii="仿宋" w:hAnsi="仿宋" w:eastAsia="仿宋" w:cs="仿宋"/>
          <w:sz w:val="24"/>
          <w:szCs w:val="24"/>
        </w:rPr>
      </w:pPr>
      <w:r>
        <w:rPr>
          <w:rFonts w:ascii="仿宋" w:hAnsi="仿宋" w:eastAsia="仿宋" w:cs="仿宋"/>
          <w:spacing w:val="-4"/>
          <w:sz w:val="24"/>
          <w:szCs w:val="24"/>
        </w:rPr>
        <w:t>（4）已详细审查全部采购文件，包括所有补充通知</w:t>
      </w:r>
      <w:r>
        <w:rPr>
          <w:rFonts w:ascii="仿宋" w:hAnsi="仿宋" w:eastAsia="仿宋" w:cs="仿宋"/>
          <w:spacing w:val="-5"/>
          <w:sz w:val="24"/>
          <w:szCs w:val="24"/>
        </w:rPr>
        <w:t>（如果有的话</w:t>
      </w:r>
      <w:r>
        <w:rPr>
          <w:rFonts w:ascii="仿宋" w:hAnsi="仿宋" w:eastAsia="仿宋" w:cs="仿宋"/>
          <w:spacing w:val="14"/>
          <w:sz w:val="24"/>
          <w:szCs w:val="24"/>
        </w:rPr>
        <w:t>），</w:t>
      </w:r>
      <w:r>
        <w:rPr>
          <w:rFonts w:ascii="仿宋" w:hAnsi="仿宋" w:eastAsia="仿宋" w:cs="仿宋"/>
          <w:spacing w:val="-5"/>
          <w:sz w:val="24"/>
          <w:szCs w:val="24"/>
        </w:rPr>
        <w:t>完全</w:t>
      </w:r>
      <w:r>
        <w:rPr>
          <w:rFonts w:ascii="仿宋" w:hAnsi="仿宋" w:eastAsia="仿宋" w:cs="仿宋"/>
          <w:sz w:val="24"/>
          <w:szCs w:val="24"/>
        </w:rPr>
        <w:t xml:space="preserve"> </w:t>
      </w:r>
      <w:r>
        <w:rPr>
          <w:rFonts w:ascii="仿宋" w:hAnsi="仿宋" w:eastAsia="仿宋" w:cs="仿宋"/>
          <w:spacing w:val="-2"/>
          <w:sz w:val="24"/>
          <w:szCs w:val="24"/>
        </w:rPr>
        <w:t>理解并同意放弃对这方面有不明、误解和质疑的权力。</w:t>
      </w:r>
    </w:p>
    <w:p w14:paraId="41F640B5">
      <w:pPr>
        <w:spacing w:before="204" w:line="219" w:lineRule="auto"/>
        <w:ind w:left="610"/>
        <w:rPr>
          <w:rFonts w:ascii="仿宋" w:hAnsi="仿宋" w:eastAsia="仿宋" w:cs="仿宋"/>
          <w:sz w:val="24"/>
          <w:szCs w:val="24"/>
        </w:rPr>
      </w:pPr>
      <w:r>
        <w:rPr>
          <w:rFonts w:ascii="仿宋" w:hAnsi="仿宋" w:eastAsia="仿宋" w:cs="仿宋"/>
          <w:spacing w:val="-2"/>
          <w:sz w:val="24"/>
          <w:szCs w:val="24"/>
        </w:rPr>
        <w:t>（5）在规定的开标时间后，遵守采购文件中有关保证金的规定。</w:t>
      </w:r>
    </w:p>
    <w:p w14:paraId="7DBDD24C">
      <w:pPr>
        <w:spacing w:before="210" w:line="314" w:lineRule="auto"/>
        <w:ind w:left="1137" w:right="110" w:hanging="527"/>
        <w:rPr>
          <w:rFonts w:ascii="仿宋" w:hAnsi="仿宋" w:eastAsia="仿宋" w:cs="仿宋"/>
          <w:sz w:val="24"/>
          <w:szCs w:val="24"/>
        </w:rPr>
      </w:pPr>
      <w:r>
        <w:rPr>
          <w:rFonts w:ascii="仿宋" w:hAnsi="仿宋" w:eastAsia="仿宋" w:cs="仿宋"/>
          <w:spacing w:val="-5"/>
          <w:sz w:val="24"/>
          <w:szCs w:val="24"/>
        </w:rPr>
        <w:t>（6）根据供应商须知第1条规定，我方不是为本项目提供整体设计、规范</w:t>
      </w:r>
      <w:r>
        <w:rPr>
          <w:rFonts w:ascii="仿宋" w:hAnsi="仿宋" w:eastAsia="仿宋" w:cs="仿宋"/>
          <w:spacing w:val="7"/>
          <w:sz w:val="24"/>
          <w:szCs w:val="24"/>
        </w:rPr>
        <w:t xml:space="preserve">  </w:t>
      </w:r>
      <w:r>
        <w:rPr>
          <w:rFonts w:ascii="仿宋" w:hAnsi="仿宋" w:eastAsia="仿宋" w:cs="仿宋"/>
          <w:spacing w:val="-2"/>
          <w:sz w:val="24"/>
          <w:szCs w:val="24"/>
        </w:rPr>
        <w:t>编制或者项目管理、监理、检测等服务的供应商，我方不是采购代理</w:t>
      </w:r>
      <w:r>
        <w:rPr>
          <w:rFonts w:ascii="仿宋" w:hAnsi="仿宋" w:eastAsia="仿宋" w:cs="仿宋"/>
          <w:spacing w:val="14"/>
          <w:sz w:val="24"/>
          <w:szCs w:val="24"/>
        </w:rPr>
        <w:t xml:space="preserve"> </w:t>
      </w:r>
      <w:r>
        <w:rPr>
          <w:rFonts w:ascii="仿宋" w:hAnsi="仿宋" w:eastAsia="仿宋" w:cs="仿宋"/>
          <w:spacing w:val="-4"/>
          <w:sz w:val="24"/>
          <w:szCs w:val="24"/>
        </w:rPr>
        <w:t>机构的附属机构。</w:t>
      </w:r>
    </w:p>
    <w:p w14:paraId="260899CB">
      <w:pPr>
        <w:spacing w:before="201" w:line="290" w:lineRule="auto"/>
        <w:ind w:left="1199" w:right="112" w:hanging="589"/>
        <w:rPr>
          <w:rFonts w:ascii="仿宋" w:hAnsi="仿宋" w:eastAsia="仿宋" w:cs="仿宋"/>
          <w:sz w:val="24"/>
          <w:szCs w:val="24"/>
        </w:rPr>
      </w:pPr>
      <w:r>
        <w:rPr>
          <w:rFonts w:ascii="仿宋" w:hAnsi="仿宋" w:eastAsia="仿宋" w:cs="仿宋"/>
          <w:spacing w:val="-4"/>
          <w:sz w:val="24"/>
          <w:szCs w:val="24"/>
        </w:rPr>
        <w:t>（7）在领取中标通知书的同时按采购文件规定的形式，向贵方一次性支付</w:t>
      </w:r>
      <w:r>
        <w:rPr>
          <w:rFonts w:ascii="仿宋" w:hAnsi="仿宋" w:eastAsia="仿宋" w:cs="仿宋"/>
          <w:spacing w:val="11"/>
          <w:sz w:val="24"/>
          <w:szCs w:val="24"/>
        </w:rPr>
        <w:t xml:space="preserve"> </w:t>
      </w:r>
      <w:r>
        <w:rPr>
          <w:rFonts w:ascii="仿宋" w:hAnsi="仿宋" w:eastAsia="仿宋" w:cs="仿宋"/>
          <w:spacing w:val="-14"/>
          <w:sz w:val="24"/>
          <w:szCs w:val="24"/>
        </w:rPr>
        <w:t>中标服务费。</w:t>
      </w:r>
    </w:p>
    <w:p w14:paraId="328EED98">
      <w:pPr>
        <w:spacing w:before="203" w:line="291" w:lineRule="auto"/>
        <w:ind w:left="1137" w:right="112" w:hanging="527"/>
        <w:rPr>
          <w:rFonts w:ascii="仿宋" w:hAnsi="仿宋" w:eastAsia="仿宋" w:cs="仿宋"/>
          <w:sz w:val="24"/>
          <w:szCs w:val="24"/>
        </w:rPr>
      </w:pPr>
      <w:r>
        <w:rPr>
          <w:rFonts w:ascii="仿宋" w:hAnsi="仿宋" w:eastAsia="仿宋" w:cs="仿宋"/>
          <w:spacing w:val="-4"/>
          <w:sz w:val="24"/>
          <w:szCs w:val="24"/>
        </w:rPr>
        <w:t>（8）按照贵方可能要求，提供与其投标有关的一切数据或资料，完全理解</w:t>
      </w:r>
      <w:r>
        <w:rPr>
          <w:rFonts w:ascii="仿宋" w:hAnsi="仿宋" w:eastAsia="仿宋" w:cs="仿宋"/>
          <w:spacing w:val="11"/>
          <w:sz w:val="24"/>
          <w:szCs w:val="24"/>
        </w:rPr>
        <w:t xml:space="preserve"> </w:t>
      </w:r>
      <w:r>
        <w:rPr>
          <w:rFonts w:ascii="仿宋" w:hAnsi="仿宋" w:eastAsia="仿宋" w:cs="仿宋"/>
          <w:spacing w:val="-2"/>
          <w:sz w:val="24"/>
          <w:szCs w:val="24"/>
        </w:rPr>
        <w:t>贵方不一定接受最低价的投标或收到的任何投标。</w:t>
      </w:r>
    </w:p>
    <w:p w14:paraId="796808D3">
      <w:pPr>
        <w:spacing w:before="198" w:line="221" w:lineRule="auto"/>
        <w:ind w:left="610"/>
        <w:rPr>
          <w:rFonts w:ascii="仿宋" w:hAnsi="仿宋" w:eastAsia="仿宋" w:cs="仿宋"/>
          <w:sz w:val="24"/>
          <w:szCs w:val="24"/>
        </w:rPr>
      </w:pPr>
      <w:r>
        <w:rPr>
          <w:rFonts w:ascii="仿宋" w:hAnsi="仿宋" w:eastAsia="仿宋" w:cs="仿宋"/>
          <w:spacing w:val="-2"/>
          <w:sz w:val="24"/>
          <w:szCs w:val="24"/>
        </w:rPr>
        <w:t>（9）按照采购文件的规定履行合同责任和义务。</w:t>
      </w:r>
    </w:p>
    <w:p w14:paraId="0D48F7D4">
      <w:pPr>
        <w:spacing w:before="258" w:line="220" w:lineRule="auto"/>
        <w:ind w:left="219"/>
        <w:rPr>
          <w:rFonts w:ascii="仿宋" w:hAnsi="仿宋" w:eastAsia="仿宋" w:cs="仿宋"/>
          <w:sz w:val="24"/>
          <w:szCs w:val="24"/>
        </w:rPr>
      </w:pPr>
      <w:r>
        <w:rPr>
          <w:rFonts w:ascii="仿宋" w:hAnsi="仿宋" w:eastAsia="仿宋" w:cs="仿宋"/>
          <w:spacing w:val="-4"/>
          <w:sz w:val="24"/>
          <w:szCs w:val="24"/>
        </w:rPr>
        <w:t>与本投标有关的一切正式往来信函请寄：</w:t>
      </w:r>
    </w:p>
    <w:p w14:paraId="5AC5DCAA">
      <w:pPr>
        <w:spacing w:before="206" w:line="368" w:lineRule="auto"/>
        <w:ind w:left="602" w:right="7145" w:hanging="1"/>
        <w:jc w:val="both"/>
        <w:rPr>
          <w:rFonts w:ascii="仿宋" w:hAnsi="仿宋" w:eastAsia="仿宋" w:cs="仿宋"/>
          <w:sz w:val="24"/>
          <w:szCs w:val="24"/>
        </w:rPr>
      </w:pPr>
      <w:r>
        <w:rPr>
          <w:rFonts w:ascii="仿宋" w:hAnsi="仿宋" w:eastAsia="仿宋" w:cs="仿宋"/>
          <w:spacing w:val="-22"/>
          <w:sz w:val="24"/>
          <w:szCs w:val="24"/>
        </w:rPr>
        <w:t>地址：</w:t>
      </w:r>
      <w:r>
        <w:rPr>
          <w:rFonts w:ascii="仿宋" w:hAnsi="仿宋" w:eastAsia="仿宋" w:cs="仿宋"/>
          <w:spacing w:val="1"/>
          <w:sz w:val="24"/>
          <w:szCs w:val="24"/>
        </w:rPr>
        <w:t xml:space="preserve"> </w:t>
      </w:r>
      <w:r>
        <w:rPr>
          <w:rFonts w:ascii="仿宋" w:hAnsi="仿宋" w:eastAsia="仿宋" w:cs="仿宋"/>
          <w:spacing w:val="-22"/>
          <w:sz w:val="24"/>
          <w:szCs w:val="24"/>
        </w:rPr>
        <w:t>传真：</w:t>
      </w:r>
      <w:r>
        <w:rPr>
          <w:rFonts w:ascii="仿宋" w:hAnsi="仿宋" w:eastAsia="仿宋" w:cs="仿宋"/>
          <w:sz w:val="24"/>
          <w:szCs w:val="24"/>
        </w:rPr>
        <w:t xml:space="preserve"> </w:t>
      </w:r>
      <w:r>
        <w:rPr>
          <w:rFonts w:ascii="仿宋" w:hAnsi="仿宋" w:eastAsia="仿宋" w:cs="仿宋"/>
          <w:spacing w:val="-22"/>
          <w:sz w:val="24"/>
          <w:szCs w:val="24"/>
        </w:rPr>
        <w:t>电话：</w:t>
      </w:r>
    </w:p>
    <w:p w14:paraId="180513CE">
      <w:pPr>
        <w:spacing w:line="368" w:lineRule="auto"/>
        <w:rPr>
          <w:rFonts w:ascii="仿宋" w:hAnsi="仿宋" w:eastAsia="仿宋" w:cs="仿宋"/>
          <w:sz w:val="24"/>
          <w:szCs w:val="24"/>
        </w:rPr>
        <w:sectPr>
          <w:footerReference r:id="rId27" w:type="default"/>
          <w:pgSz w:w="11907" w:h="16840"/>
          <w:pgMar w:top="1431" w:right="1716" w:bottom="1202" w:left="1786" w:header="0" w:footer="1033" w:gutter="0"/>
          <w:pgNumType w:fmt="decimal"/>
          <w:cols w:space="720" w:num="1"/>
        </w:sectPr>
      </w:pPr>
    </w:p>
    <w:p w14:paraId="70C150FD">
      <w:pPr>
        <w:spacing w:before="49" w:line="222" w:lineRule="auto"/>
        <w:ind w:left="651"/>
        <w:rPr>
          <w:rFonts w:ascii="仿宋" w:hAnsi="仿宋" w:eastAsia="仿宋" w:cs="仿宋"/>
          <w:sz w:val="24"/>
          <w:szCs w:val="24"/>
        </w:rPr>
      </w:pPr>
      <w:r>
        <w:rPr>
          <w:rFonts w:ascii="仿宋" w:hAnsi="仿宋" w:eastAsia="仿宋" w:cs="仿宋"/>
          <w:spacing w:val="-13"/>
          <w:sz w:val="24"/>
          <w:szCs w:val="24"/>
        </w:rPr>
        <w:t>电子函件：</w:t>
      </w:r>
    </w:p>
    <w:p w14:paraId="37C512C6">
      <w:pPr>
        <w:spacing w:before="256" w:line="359" w:lineRule="auto"/>
        <w:ind w:left="601" w:right="1839" w:firstLine="11"/>
        <w:rPr>
          <w:rFonts w:ascii="仿宋" w:hAnsi="仿宋" w:eastAsia="仿宋" w:cs="仿宋"/>
          <w:sz w:val="24"/>
          <w:szCs w:val="24"/>
        </w:rPr>
      </w:pPr>
      <w:r>
        <w:rPr>
          <w:rFonts w:ascii="仿宋" w:hAnsi="仿宋" w:eastAsia="仿宋" w:cs="仿宋"/>
          <w:spacing w:val="-3"/>
          <w:sz w:val="24"/>
          <w:szCs w:val="24"/>
        </w:rPr>
        <w:t>法定代表人或其委托代理人签字：供应商名称（全称</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pacing w:val="-4"/>
          <w:sz w:val="24"/>
          <w:szCs w:val="24"/>
        </w:rPr>
        <w:t>供应商开户银行（全称</w:t>
      </w:r>
      <w:r>
        <w:rPr>
          <w:rFonts w:ascii="仿宋" w:hAnsi="仿宋" w:eastAsia="仿宋" w:cs="仿宋"/>
          <w:spacing w:val="1"/>
          <w:sz w:val="24"/>
          <w:szCs w:val="24"/>
        </w:rPr>
        <w:t>）：</w:t>
      </w:r>
    </w:p>
    <w:p w14:paraId="70181045">
      <w:pPr>
        <w:spacing w:before="43" w:line="361" w:lineRule="auto"/>
        <w:ind w:left="601" w:right="5909"/>
        <w:rPr>
          <w:rFonts w:ascii="仿宋" w:hAnsi="仿宋" w:eastAsia="仿宋" w:cs="仿宋"/>
          <w:sz w:val="24"/>
          <w:szCs w:val="24"/>
        </w:rPr>
      </w:pPr>
      <w:r>
        <w:rPr>
          <w:rFonts w:ascii="仿宋" w:hAnsi="仿宋" w:eastAsia="仿宋" w:cs="仿宋"/>
          <w:spacing w:val="-13"/>
          <w:sz w:val="24"/>
          <w:szCs w:val="24"/>
        </w:rPr>
        <w:t>供应商银行帐号：</w:t>
      </w:r>
      <w:r>
        <w:rPr>
          <w:rFonts w:ascii="仿宋" w:hAnsi="仿宋" w:eastAsia="仿宋" w:cs="仿宋"/>
          <w:spacing w:val="6"/>
          <w:sz w:val="24"/>
          <w:szCs w:val="24"/>
        </w:rPr>
        <w:t xml:space="preserve"> </w:t>
      </w:r>
      <w:r>
        <w:rPr>
          <w:rFonts w:ascii="仿宋" w:hAnsi="仿宋" w:eastAsia="仿宋" w:cs="仿宋"/>
          <w:spacing w:val="-5"/>
          <w:sz w:val="24"/>
          <w:szCs w:val="24"/>
        </w:rPr>
        <w:t>供应商单位章：</w:t>
      </w:r>
    </w:p>
    <w:p w14:paraId="54470854">
      <w:pPr>
        <w:spacing w:before="40" w:line="223" w:lineRule="auto"/>
        <w:ind w:left="651"/>
        <w:rPr>
          <w:rFonts w:ascii="仿宋" w:hAnsi="仿宋" w:eastAsia="仿宋" w:cs="仿宋"/>
          <w:sz w:val="24"/>
          <w:szCs w:val="24"/>
        </w:rPr>
      </w:pPr>
      <w:r>
        <w:rPr>
          <w:rFonts w:ascii="仿宋" w:hAnsi="仿宋" w:eastAsia="仿宋" w:cs="仿宋"/>
          <w:spacing w:val="-23"/>
          <w:sz w:val="24"/>
          <w:szCs w:val="24"/>
        </w:rPr>
        <w:t>日期：</w:t>
      </w:r>
    </w:p>
    <w:p w14:paraId="432A01F1">
      <w:pPr>
        <w:spacing w:line="223" w:lineRule="auto"/>
        <w:rPr>
          <w:rFonts w:ascii="仿宋" w:hAnsi="仿宋" w:eastAsia="仿宋" w:cs="仿宋"/>
          <w:sz w:val="24"/>
          <w:szCs w:val="24"/>
        </w:rPr>
        <w:sectPr>
          <w:footerReference r:id="rId28" w:type="default"/>
          <w:pgSz w:w="11907" w:h="16840"/>
          <w:pgMar w:top="1418" w:right="1786" w:bottom="1202" w:left="1786" w:header="0" w:footer="1032" w:gutter="0"/>
          <w:pgNumType w:fmt="decimal"/>
          <w:cols w:space="720" w:num="1"/>
        </w:sectPr>
      </w:pPr>
    </w:p>
    <w:p w14:paraId="23222578">
      <w:pPr>
        <w:spacing w:before="120" w:line="222" w:lineRule="auto"/>
        <w:ind w:left="2050"/>
        <w:outlineLvl w:val="2"/>
        <w:rPr>
          <w:rFonts w:ascii="仿宋" w:hAnsi="仿宋" w:eastAsia="仿宋" w:cs="仿宋"/>
          <w:sz w:val="28"/>
          <w:szCs w:val="28"/>
        </w:rPr>
      </w:pPr>
      <w:bookmarkStart w:id="100" w:name="_Toc26955"/>
      <w:r>
        <w:rPr>
          <w:rFonts w:ascii="仿宋" w:hAnsi="仿宋" w:eastAsia="仿宋" w:cs="仿宋"/>
          <w:b/>
          <w:bCs/>
          <w:spacing w:val="-5"/>
          <w:sz w:val="28"/>
          <w:szCs w:val="28"/>
        </w:rPr>
        <w:t>2.投标保证金缴纳凭证复印件或投标担保函</w:t>
      </w:r>
      <w:bookmarkEnd w:id="100"/>
    </w:p>
    <w:p w14:paraId="76CECF8F">
      <w:pPr>
        <w:spacing w:before="215" w:line="354" w:lineRule="auto"/>
        <w:ind w:left="57" w:right="33" w:firstLine="422"/>
        <w:rPr>
          <w:rFonts w:ascii="仿宋" w:hAnsi="仿宋" w:eastAsia="仿宋" w:cs="仿宋"/>
          <w:sz w:val="24"/>
          <w:szCs w:val="24"/>
        </w:rPr>
      </w:pPr>
      <w:r>
        <w:rPr>
          <w:rFonts w:ascii="仿宋" w:hAnsi="仿宋" w:eastAsia="仿宋" w:cs="仿宋"/>
          <w:spacing w:val="10"/>
          <w:sz w:val="24"/>
          <w:szCs w:val="24"/>
        </w:rPr>
        <w:t>供应商可将本项目投标保证金支付的汇款凭证</w:t>
      </w:r>
      <w:r>
        <w:rPr>
          <w:rFonts w:ascii="仿宋" w:hAnsi="仿宋" w:eastAsia="仿宋" w:cs="仿宋"/>
          <w:spacing w:val="-57"/>
          <w:sz w:val="24"/>
          <w:szCs w:val="24"/>
        </w:rPr>
        <w:t xml:space="preserve"> </w:t>
      </w:r>
      <w:r>
        <w:rPr>
          <w:rFonts w:ascii="仿宋" w:hAnsi="仿宋" w:eastAsia="仿宋" w:cs="仿宋"/>
          <w:spacing w:val="10"/>
          <w:sz w:val="24"/>
          <w:szCs w:val="24"/>
        </w:rPr>
        <w:t>、支票、汇票或保证金收</w:t>
      </w:r>
      <w:r>
        <w:rPr>
          <w:rFonts w:ascii="仿宋" w:hAnsi="仿宋" w:eastAsia="仿宋" w:cs="仿宋"/>
          <w:sz w:val="24"/>
          <w:szCs w:val="24"/>
        </w:rPr>
        <w:t xml:space="preserve"> </w:t>
      </w:r>
      <w:r>
        <w:rPr>
          <w:rFonts w:ascii="仿宋" w:hAnsi="仿宋" w:eastAsia="仿宋" w:cs="仿宋"/>
          <w:spacing w:val="8"/>
          <w:sz w:val="24"/>
          <w:szCs w:val="24"/>
        </w:rPr>
        <w:t>据（如有）</w:t>
      </w:r>
      <w:r>
        <w:rPr>
          <w:rFonts w:ascii="仿宋" w:hAnsi="仿宋" w:eastAsia="仿宋" w:cs="仿宋"/>
          <w:spacing w:val="-62"/>
          <w:sz w:val="24"/>
          <w:szCs w:val="24"/>
        </w:rPr>
        <w:t xml:space="preserve"> </w:t>
      </w:r>
      <w:r>
        <w:rPr>
          <w:rFonts w:ascii="仿宋" w:hAnsi="仿宋" w:eastAsia="仿宋" w:cs="仿宋"/>
          <w:spacing w:val="8"/>
          <w:sz w:val="24"/>
          <w:szCs w:val="24"/>
        </w:rPr>
        <w:t>的复印件作为缴纳凭证放在本部分，复印件上应加盖本单位章；</w:t>
      </w:r>
      <w:r>
        <w:rPr>
          <w:rFonts w:ascii="仿宋" w:hAnsi="仿宋" w:eastAsia="仿宋" w:cs="仿宋"/>
          <w:sz w:val="24"/>
          <w:szCs w:val="24"/>
        </w:rPr>
        <w:t xml:space="preserve"> </w:t>
      </w:r>
      <w:r>
        <w:rPr>
          <w:rFonts w:ascii="仿宋" w:hAnsi="仿宋" w:eastAsia="仿宋" w:cs="仿宋"/>
          <w:spacing w:val="13"/>
          <w:sz w:val="24"/>
          <w:szCs w:val="24"/>
        </w:rPr>
        <w:t>使用银行保函等其他投标担保函的</w:t>
      </w:r>
      <w:r>
        <w:rPr>
          <w:rFonts w:ascii="仿宋" w:hAnsi="仿宋" w:eastAsia="仿宋" w:cs="仿宋"/>
          <w:spacing w:val="-71"/>
          <w:sz w:val="24"/>
          <w:szCs w:val="24"/>
        </w:rPr>
        <w:t xml:space="preserve"> </w:t>
      </w:r>
      <w:r>
        <w:rPr>
          <w:rFonts w:ascii="仿宋" w:hAnsi="仿宋" w:eastAsia="仿宋" w:cs="仿宋"/>
          <w:spacing w:val="13"/>
          <w:sz w:val="24"/>
          <w:szCs w:val="24"/>
        </w:rPr>
        <w:t>，应将担保</w:t>
      </w:r>
      <w:r>
        <w:rPr>
          <w:rFonts w:ascii="仿宋" w:hAnsi="仿宋" w:eastAsia="仿宋" w:cs="仿宋"/>
          <w:spacing w:val="12"/>
          <w:sz w:val="24"/>
          <w:szCs w:val="24"/>
        </w:rPr>
        <w:t>函正本</w:t>
      </w:r>
      <w:r>
        <w:rPr>
          <w:rFonts w:ascii="仿宋" w:hAnsi="仿宋" w:eastAsia="仿宋" w:cs="仿宋"/>
          <w:spacing w:val="-70"/>
          <w:sz w:val="24"/>
          <w:szCs w:val="24"/>
        </w:rPr>
        <w:t xml:space="preserve"> </w:t>
      </w:r>
      <w:r>
        <w:rPr>
          <w:rFonts w:ascii="仿宋" w:hAnsi="仿宋" w:eastAsia="仿宋" w:cs="仿宋"/>
          <w:spacing w:val="12"/>
          <w:sz w:val="24"/>
          <w:szCs w:val="24"/>
        </w:rPr>
        <w:t>，放在本部分中</w:t>
      </w:r>
      <w:r>
        <w:rPr>
          <w:rFonts w:ascii="仿宋" w:hAnsi="仿宋" w:eastAsia="仿宋" w:cs="仿宋"/>
          <w:spacing w:val="-68"/>
          <w:sz w:val="24"/>
          <w:szCs w:val="24"/>
        </w:rPr>
        <w:t xml:space="preserve"> </w:t>
      </w:r>
      <w:r>
        <w:rPr>
          <w:rFonts w:ascii="仿宋" w:hAnsi="仿宋" w:eastAsia="仿宋" w:cs="仿宋"/>
          <w:spacing w:val="12"/>
          <w:sz w:val="24"/>
          <w:szCs w:val="24"/>
        </w:rPr>
        <w:t>；如</w:t>
      </w:r>
      <w:r>
        <w:rPr>
          <w:rFonts w:ascii="仿宋" w:hAnsi="仿宋" w:eastAsia="仿宋" w:cs="仿宋"/>
          <w:sz w:val="24"/>
          <w:szCs w:val="24"/>
        </w:rPr>
        <w:t xml:space="preserve"> </w:t>
      </w:r>
      <w:r>
        <w:rPr>
          <w:rFonts w:ascii="仿宋" w:hAnsi="仿宋" w:eastAsia="仿宋" w:cs="仿宋"/>
          <w:spacing w:val="12"/>
          <w:sz w:val="24"/>
          <w:szCs w:val="24"/>
        </w:rPr>
        <w:t>采用政府采购信用担保形式的</w:t>
      </w:r>
      <w:r>
        <w:rPr>
          <w:rFonts w:ascii="仿宋" w:hAnsi="仿宋" w:eastAsia="仿宋" w:cs="仿宋"/>
          <w:spacing w:val="-71"/>
          <w:sz w:val="24"/>
          <w:szCs w:val="24"/>
        </w:rPr>
        <w:t xml:space="preserve"> </w:t>
      </w:r>
      <w:r>
        <w:rPr>
          <w:rFonts w:ascii="仿宋" w:hAnsi="仿宋" w:eastAsia="仿宋" w:cs="仿宋"/>
          <w:spacing w:val="12"/>
          <w:sz w:val="24"/>
          <w:szCs w:val="24"/>
        </w:rPr>
        <w:t>，应使用（投标文件格式四）,将原件</w:t>
      </w:r>
      <w:r>
        <w:rPr>
          <w:rFonts w:ascii="仿宋" w:hAnsi="仿宋" w:eastAsia="仿宋" w:cs="仿宋"/>
          <w:spacing w:val="11"/>
          <w:sz w:val="24"/>
          <w:szCs w:val="24"/>
        </w:rPr>
        <w:t>装订在</w:t>
      </w:r>
      <w:r>
        <w:rPr>
          <w:rFonts w:ascii="仿宋" w:hAnsi="仿宋" w:eastAsia="仿宋" w:cs="仿宋"/>
          <w:sz w:val="24"/>
          <w:szCs w:val="24"/>
        </w:rPr>
        <w:t xml:space="preserve"> </w:t>
      </w:r>
      <w:r>
        <w:rPr>
          <w:rFonts w:ascii="仿宋" w:hAnsi="仿宋" w:eastAsia="仿宋" w:cs="仿宋"/>
          <w:spacing w:val="-1"/>
          <w:sz w:val="24"/>
          <w:szCs w:val="24"/>
        </w:rPr>
        <w:t>本部分中。</w:t>
      </w:r>
    </w:p>
    <w:p w14:paraId="7681ADFC">
      <w:pPr>
        <w:spacing w:line="354" w:lineRule="auto"/>
        <w:rPr>
          <w:rFonts w:ascii="仿宋" w:hAnsi="仿宋" w:eastAsia="仿宋" w:cs="仿宋"/>
          <w:sz w:val="24"/>
          <w:szCs w:val="24"/>
        </w:rPr>
        <w:sectPr>
          <w:footerReference r:id="rId29" w:type="default"/>
          <w:pgSz w:w="11907" w:h="16840"/>
          <w:pgMar w:top="1431" w:right="1786" w:bottom="1202" w:left="1786" w:header="0" w:footer="1032" w:gutter="0"/>
          <w:pgNumType w:fmt="decimal"/>
          <w:cols w:space="720" w:num="1"/>
        </w:sectPr>
      </w:pPr>
    </w:p>
    <w:p w14:paraId="31C287D8">
      <w:pPr>
        <w:spacing w:before="48" w:line="221" w:lineRule="auto"/>
        <w:ind w:left="1369"/>
        <w:rPr>
          <w:rFonts w:ascii="仿宋" w:hAnsi="仿宋" w:eastAsia="仿宋" w:cs="仿宋"/>
          <w:sz w:val="24"/>
          <w:szCs w:val="24"/>
        </w:rPr>
      </w:pPr>
      <w:r>
        <w:rPr>
          <w:rFonts w:ascii="仿宋" w:hAnsi="仿宋" w:eastAsia="仿宋" w:cs="仿宋"/>
          <w:b/>
          <w:bCs/>
          <w:spacing w:val="-3"/>
          <w:sz w:val="24"/>
          <w:szCs w:val="24"/>
        </w:rPr>
        <w:t>政府采购投标担保函（项目用</w:t>
      </w:r>
      <w:r>
        <w:rPr>
          <w:rFonts w:ascii="仿宋" w:hAnsi="仿宋" w:eastAsia="仿宋" w:cs="仿宋"/>
          <w:b/>
          <w:bCs/>
          <w:spacing w:val="-25"/>
          <w:sz w:val="24"/>
          <w:szCs w:val="24"/>
        </w:rPr>
        <w:t>）（</w:t>
      </w:r>
      <w:r>
        <w:rPr>
          <w:rFonts w:ascii="仿宋" w:hAnsi="仿宋" w:eastAsia="仿宋" w:cs="仿宋"/>
          <w:b/>
          <w:bCs/>
          <w:spacing w:val="-3"/>
          <w:sz w:val="24"/>
          <w:szCs w:val="24"/>
        </w:rPr>
        <w:t>投标文件格式二）</w:t>
      </w:r>
    </w:p>
    <w:p w14:paraId="5F2FD482">
      <w:pPr>
        <w:spacing w:before="197" w:line="224" w:lineRule="auto"/>
        <w:ind w:left="6780"/>
        <w:rPr>
          <w:rFonts w:ascii="仿宋" w:hAnsi="仿宋" w:eastAsia="仿宋" w:cs="仿宋"/>
          <w:sz w:val="24"/>
          <w:szCs w:val="24"/>
        </w:rPr>
      </w:pPr>
      <w:r>
        <w:rPr>
          <w:rFonts w:ascii="仿宋" w:hAnsi="仿宋" w:eastAsia="仿宋" w:cs="仿宋"/>
          <w:spacing w:val="-6"/>
          <w:sz w:val="24"/>
          <w:szCs w:val="24"/>
        </w:rPr>
        <w:t>编号：</w:t>
      </w:r>
    </w:p>
    <w:p w14:paraId="7083AE8D">
      <w:pPr>
        <w:tabs>
          <w:tab w:val="left" w:pos="2018"/>
        </w:tabs>
        <w:spacing w:before="196" w:line="222" w:lineRule="auto"/>
        <w:ind w:left="133"/>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
          <w:sz w:val="24"/>
          <w:szCs w:val="24"/>
        </w:rPr>
        <w:t>（采购人或采购代理机构</w:t>
      </w:r>
      <w:r>
        <w:rPr>
          <w:rFonts w:ascii="仿宋" w:hAnsi="仿宋" w:eastAsia="仿宋" w:cs="仿宋"/>
          <w:spacing w:val="1"/>
          <w:sz w:val="24"/>
          <w:szCs w:val="24"/>
        </w:rPr>
        <w:t>）：</w:t>
      </w:r>
    </w:p>
    <w:p w14:paraId="73ACF367">
      <w:pPr>
        <w:spacing w:before="200" w:line="351" w:lineRule="auto"/>
        <w:ind w:left="38" w:right="220" w:firstLine="444"/>
        <w:jc w:val="both"/>
        <w:rPr>
          <w:rFonts w:ascii="仿宋" w:hAnsi="仿宋" w:eastAsia="仿宋" w:cs="仿宋"/>
          <w:sz w:val="24"/>
          <w:szCs w:val="24"/>
        </w:rPr>
      </w:pPr>
      <w:r>
        <w:rPr>
          <w:rFonts w:ascii="仿宋" w:hAnsi="仿宋" w:eastAsia="仿宋" w:cs="仿宋"/>
          <w:spacing w:val="1"/>
          <w:sz w:val="24"/>
          <w:szCs w:val="24"/>
        </w:rPr>
        <w:t>鉴于（以下简称“供应商</w:t>
      </w:r>
      <w:r>
        <w:rPr>
          <w:rFonts w:ascii="仿宋" w:hAnsi="仿宋" w:eastAsia="仿宋" w:cs="仿宋"/>
          <w:spacing w:val="-83"/>
          <w:sz w:val="24"/>
          <w:szCs w:val="24"/>
        </w:rPr>
        <w:t xml:space="preserve"> </w:t>
      </w:r>
      <w:r>
        <w:rPr>
          <w:rFonts w:ascii="仿宋" w:hAnsi="仿宋" w:eastAsia="仿宋" w:cs="仿宋"/>
          <w:spacing w:val="1"/>
          <w:sz w:val="24"/>
          <w:szCs w:val="24"/>
        </w:rPr>
        <w:t>”）拟参加编号为的</w:t>
      </w:r>
      <w:r>
        <w:rPr>
          <w:rFonts w:ascii="仿宋" w:hAnsi="仿宋" w:eastAsia="仿宋" w:cs="仿宋"/>
          <w:spacing w:val="-11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1"/>
          <w:sz w:val="24"/>
          <w:szCs w:val="24"/>
        </w:rPr>
        <w:t>项</w:t>
      </w:r>
      <w:r>
        <w:rPr>
          <w:rFonts w:ascii="仿宋" w:hAnsi="仿宋" w:eastAsia="仿宋" w:cs="仿宋"/>
          <w:spacing w:val="-50"/>
          <w:sz w:val="24"/>
          <w:szCs w:val="24"/>
        </w:rPr>
        <w:t xml:space="preserve"> </w:t>
      </w:r>
      <w:r>
        <w:rPr>
          <w:rFonts w:ascii="仿宋" w:hAnsi="仿宋" w:eastAsia="仿宋" w:cs="仿宋"/>
          <w:spacing w:val="1"/>
          <w:sz w:val="24"/>
          <w:szCs w:val="24"/>
        </w:rPr>
        <w:t>目（</w:t>
      </w:r>
      <w:r>
        <w:rPr>
          <w:rFonts w:ascii="仿宋" w:hAnsi="仿宋" w:eastAsia="仿宋" w:cs="仿宋"/>
          <w:sz w:val="24"/>
          <w:szCs w:val="24"/>
        </w:rPr>
        <w:t xml:space="preserve">以下简称 </w:t>
      </w:r>
      <w:r>
        <w:rPr>
          <w:rFonts w:ascii="仿宋" w:hAnsi="仿宋" w:eastAsia="仿宋" w:cs="仿宋"/>
          <w:spacing w:val="9"/>
          <w:sz w:val="24"/>
          <w:szCs w:val="24"/>
        </w:rPr>
        <w:t>“本项目</w:t>
      </w:r>
      <w:r>
        <w:rPr>
          <w:rFonts w:ascii="仿宋" w:hAnsi="仿宋" w:eastAsia="仿宋" w:cs="仿宋"/>
          <w:spacing w:val="-67"/>
          <w:sz w:val="24"/>
          <w:szCs w:val="24"/>
        </w:rPr>
        <w:t xml:space="preserve"> </w:t>
      </w:r>
      <w:r>
        <w:rPr>
          <w:rFonts w:ascii="仿宋" w:hAnsi="仿宋" w:eastAsia="仿宋" w:cs="仿宋"/>
          <w:spacing w:val="9"/>
          <w:sz w:val="24"/>
          <w:szCs w:val="24"/>
        </w:rPr>
        <w:t>”）投标，根据本项目采购文件，供应商参加投标时应向你方交</w:t>
      </w:r>
      <w:r>
        <w:rPr>
          <w:rFonts w:ascii="仿宋" w:hAnsi="仿宋" w:eastAsia="仿宋" w:cs="仿宋"/>
          <w:sz w:val="24"/>
          <w:szCs w:val="24"/>
        </w:rPr>
        <w:t xml:space="preserve"> </w:t>
      </w:r>
      <w:r>
        <w:rPr>
          <w:rFonts w:ascii="仿宋" w:hAnsi="仿宋" w:eastAsia="仿宋" w:cs="仿宋"/>
          <w:spacing w:val="12"/>
          <w:sz w:val="24"/>
          <w:szCs w:val="24"/>
        </w:rPr>
        <w:t>纳投标保证金，且可以投标担保函的形式交纳投标保</w:t>
      </w:r>
      <w:r>
        <w:rPr>
          <w:rFonts w:ascii="仿宋" w:hAnsi="仿宋" w:eastAsia="仿宋" w:cs="仿宋"/>
          <w:spacing w:val="11"/>
          <w:sz w:val="24"/>
          <w:szCs w:val="24"/>
        </w:rPr>
        <w:t>证金。应供应商的申</w:t>
      </w:r>
      <w:r>
        <w:rPr>
          <w:rFonts w:ascii="仿宋" w:hAnsi="仿宋" w:eastAsia="仿宋" w:cs="仿宋"/>
          <w:sz w:val="24"/>
          <w:szCs w:val="24"/>
        </w:rPr>
        <w:t xml:space="preserve"> </w:t>
      </w:r>
      <w:r>
        <w:rPr>
          <w:rFonts w:ascii="仿宋" w:hAnsi="仿宋" w:eastAsia="仿宋" w:cs="仿宋"/>
          <w:spacing w:val="8"/>
          <w:sz w:val="24"/>
          <w:szCs w:val="24"/>
        </w:rPr>
        <w:t>请，我方以保证的方式向你方提供如下投标保证金担保：</w:t>
      </w:r>
    </w:p>
    <w:p w14:paraId="3EE77A34">
      <w:pPr>
        <w:spacing w:before="64" w:line="221" w:lineRule="auto"/>
        <w:ind w:left="484"/>
        <w:rPr>
          <w:rFonts w:ascii="仿宋" w:hAnsi="仿宋" w:eastAsia="仿宋" w:cs="仿宋"/>
          <w:sz w:val="24"/>
          <w:szCs w:val="24"/>
        </w:rPr>
      </w:pPr>
      <w:r>
        <w:rPr>
          <w:rFonts w:ascii="仿宋" w:hAnsi="仿宋" w:eastAsia="仿宋" w:cs="仿宋"/>
          <w:spacing w:val="5"/>
          <w:sz w:val="24"/>
          <w:szCs w:val="24"/>
        </w:rPr>
        <w:t>一、保证责任的情形及保证金额</w:t>
      </w:r>
    </w:p>
    <w:p w14:paraId="1B472A25">
      <w:pPr>
        <w:spacing w:before="205" w:line="219" w:lineRule="auto"/>
        <w:ind w:left="274"/>
        <w:rPr>
          <w:rFonts w:ascii="仿宋" w:hAnsi="仿宋" w:eastAsia="仿宋" w:cs="仿宋"/>
          <w:sz w:val="24"/>
          <w:szCs w:val="24"/>
        </w:rPr>
      </w:pPr>
      <w:r>
        <w:rPr>
          <w:rFonts w:ascii="仿宋" w:hAnsi="仿宋" w:eastAsia="仿宋" w:cs="仿宋"/>
          <w:spacing w:val="7"/>
          <w:sz w:val="24"/>
          <w:szCs w:val="24"/>
        </w:rPr>
        <w:t>（一）在供应商出现下列情形之一时，我方承担保证责任：</w:t>
      </w:r>
    </w:p>
    <w:p w14:paraId="0EF04A99">
      <w:pPr>
        <w:spacing w:before="205" w:line="291" w:lineRule="auto"/>
        <w:ind w:left="485" w:right="89" w:firstLine="10"/>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60"/>
          <w:sz w:val="24"/>
          <w:szCs w:val="24"/>
        </w:rPr>
        <w:t xml:space="preserve"> </w:t>
      </w:r>
      <w:r>
        <w:rPr>
          <w:rFonts w:ascii="仿宋" w:hAnsi="仿宋" w:eastAsia="仿宋" w:cs="仿宋"/>
          <w:spacing w:val="4"/>
          <w:sz w:val="24"/>
          <w:szCs w:val="24"/>
        </w:rPr>
        <w:t>中标后供应商无正当理由不与采购人或者采购代理机构签订《政府采</w:t>
      </w:r>
      <w:r>
        <w:rPr>
          <w:rFonts w:ascii="仿宋" w:hAnsi="仿宋" w:eastAsia="仿宋" w:cs="仿宋"/>
          <w:sz w:val="24"/>
          <w:szCs w:val="24"/>
        </w:rPr>
        <w:t xml:space="preserve"> </w:t>
      </w:r>
      <w:r>
        <w:rPr>
          <w:rFonts w:ascii="仿宋" w:hAnsi="仿宋" w:eastAsia="仿宋" w:cs="仿宋"/>
          <w:spacing w:val="-1"/>
          <w:sz w:val="24"/>
          <w:szCs w:val="24"/>
        </w:rPr>
        <w:t>购合同》；</w:t>
      </w:r>
    </w:p>
    <w:p w14:paraId="5EDB7501">
      <w:pPr>
        <w:spacing w:before="203" w:line="221" w:lineRule="auto"/>
        <w:ind w:left="469"/>
        <w:outlineLvl w:val="2"/>
        <w:rPr>
          <w:rFonts w:ascii="仿宋" w:hAnsi="仿宋" w:eastAsia="仿宋" w:cs="仿宋"/>
          <w:sz w:val="24"/>
          <w:szCs w:val="24"/>
        </w:rPr>
      </w:pPr>
      <w:bookmarkStart w:id="101" w:name="_Toc14077"/>
      <w:r>
        <w:rPr>
          <w:rFonts w:ascii="仿宋" w:hAnsi="仿宋" w:eastAsia="仿宋" w:cs="仿宋"/>
          <w:spacing w:val="8"/>
          <w:sz w:val="24"/>
          <w:szCs w:val="24"/>
        </w:rPr>
        <w:t>2．采购文件规定的供应商应当缴纳保证金</w:t>
      </w:r>
      <w:r>
        <w:rPr>
          <w:rFonts w:ascii="仿宋" w:hAnsi="仿宋" w:eastAsia="仿宋" w:cs="仿宋"/>
          <w:spacing w:val="7"/>
          <w:sz w:val="24"/>
          <w:szCs w:val="24"/>
        </w:rPr>
        <w:t>的其他情形。</w:t>
      </w:r>
      <w:bookmarkEnd w:id="101"/>
    </w:p>
    <w:p w14:paraId="78560C86">
      <w:pPr>
        <w:spacing w:before="204" w:line="343" w:lineRule="auto"/>
        <w:ind w:left="93" w:right="127" w:firstLine="180"/>
        <w:rPr>
          <w:rFonts w:ascii="仿宋" w:hAnsi="仿宋" w:eastAsia="仿宋" w:cs="仿宋"/>
          <w:sz w:val="24"/>
          <w:szCs w:val="24"/>
        </w:rPr>
      </w:pPr>
      <w:r>
        <w:rPr>
          <w:rFonts w:ascii="仿宋" w:hAnsi="仿宋" w:eastAsia="仿宋" w:cs="仿宋"/>
          <w:spacing w:val="6"/>
          <w:sz w:val="24"/>
          <w:szCs w:val="24"/>
        </w:rPr>
        <w:t>（二）我方承担保证责任的最高金额为人民币元（大写</w:t>
      </w:r>
      <w:r>
        <w:rPr>
          <w:rFonts w:ascii="仿宋" w:hAnsi="仿宋" w:eastAsia="仿宋" w:cs="仿宋"/>
          <w:spacing w:val="8"/>
          <w:sz w:val="24"/>
          <w:szCs w:val="24"/>
        </w:rPr>
        <w:t>）</w:t>
      </w:r>
      <w:r>
        <w:rPr>
          <w:rFonts w:ascii="仿宋" w:hAnsi="仿宋" w:eastAsia="仿宋" w:cs="仿宋"/>
          <w:spacing w:val="-65"/>
          <w:sz w:val="24"/>
          <w:szCs w:val="24"/>
        </w:rPr>
        <w:t xml:space="preserve"> </w:t>
      </w:r>
      <w:r>
        <w:rPr>
          <w:rFonts w:ascii="仿宋" w:hAnsi="仿宋" w:eastAsia="仿宋" w:cs="仿宋"/>
          <w:spacing w:val="8"/>
          <w:sz w:val="24"/>
          <w:szCs w:val="24"/>
        </w:rPr>
        <w:t>，</w:t>
      </w:r>
      <w:r>
        <w:rPr>
          <w:rFonts w:ascii="仿宋" w:hAnsi="仿宋" w:eastAsia="仿宋" w:cs="仿宋"/>
          <w:spacing w:val="6"/>
          <w:sz w:val="24"/>
          <w:szCs w:val="24"/>
        </w:rPr>
        <w:t>即本项目的投</w:t>
      </w:r>
      <w:r>
        <w:rPr>
          <w:rFonts w:ascii="仿宋" w:hAnsi="仿宋" w:eastAsia="仿宋" w:cs="仿宋"/>
          <w:sz w:val="24"/>
          <w:szCs w:val="24"/>
        </w:rPr>
        <w:t xml:space="preserve"> </w:t>
      </w:r>
      <w:r>
        <w:rPr>
          <w:rFonts w:ascii="仿宋" w:hAnsi="仿宋" w:eastAsia="仿宋" w:cs="仿宋"/>
          <w:spacing w:val="-1"/>
          <w:sz w:val="24"/>
          <w:szCs w:val="24"/>
        </w:rPr>
        <w:t>标保证金金额。</w:t>
      </w:r>
    </w:p>
    <w:p w14:paraId="670E7367">
      <w:pPr>
        <w:spacing w:before="66" w:line="221" w:lineRule="auto"/>
        <w:ind w:left="491"/>
        <w:rPr>
          <w:rFonts w:ascii="仿宋" w:hAnsi="仿宋" w:eastAsia="仿宋" w:cs="仿宋"/>
          <w:sz w:val="24"/>
          <w:szCs w:val="24"/>
        </w:rPr>
      </w:pPr>
      <w:r>
        <w:rPr>
          <w:rFonts w:ascii="仿宋" w:hAnsi="仿宋" w:eastAsia="仿宋" w:cs="仿宋"/>
          <w:spacing w:val="5"/>
          <w:sz w:val="24"/>
          <w:szCs w:val="24"/>
        </w:rPr>
        <w:t>二、保证的方式及保证期间</w:t>
      </w:r>
    </w:p>
    <w:p w14:paraId="544ADF19">
      <w:pPr>
        <w:spacing w:before="203" w:line="220" w:lineRule="auto"/>
        <w:ind w:left="494"/>
        <w:rPr>
          <w:rFonts w:ascii="仿宋" w:hAnsi="仿宋" w:eastAsia="仿宋" w:cs="仿宋"/>
          <w:sz w:val="24"/>
          <w:szCs w:val="24"/>
        </w:rPr>
      </w:pPr>
      <w:r>
        <w:rPr>
          <w:rFonts w:ascii="仿宋" w:hAnsi="仿宋" w:eastAsia="仿宋" w:cs="仿宋"/>
          <w:spacing w:val="4"/>
          <w:sz w:val="24"/>
          <w:szCs w:val="24"/>
        </w:rPr>
        <w:t>我方保证的方式为：连带责任保证。</w:t>
      </w:r>
    </w:p>
    <w:p w14:paraId="2FCB99E9">
      <w:pPr>
        <w:spacing w:before="205" w:line="221" w:lineRule="auto"/>
        <w:ind w:left="494"/>
        <w:rPr>
          <w:rFonts w:ascii="仿宋" w:hAnsi="仿宋" w:eastAsia="仿宋" w:cs="仿宋"/>
          <w:sz w:val="24"/>
          <w:szCs w:val="24"/>
        </w:rPr>
      </w:pPr>
      <w:r>
        <w:rPr>
          <w:rFonts w:ascii="仿宋" w:hAnsi="仿宋" w:eastAsia="仿宋" w:cs="仿宋"/>
          <w:spacing w:val="-1"/>
          <w:sz w:val="24"/>
          <w:szCs w:val="24"/>
        </w:rPr>
        <w:t>我方的保证期间为：</w:t>
      </w:r>
      <w:r>
        <w:rPr>
          <w:rFonts w:ascii="仿宋" w:hAnsi="仿宋" w:eastAsia="仿宋" w:cs="仿宋"/>
          <w:spacing w:val="-45"/>
          <w:sz w:val="24"/>
          <w:szCs w:val="24"/>
        </w:rPr>
        <w:t xml:space="preserve"> </w:t>
      </w:r>
      <w:r>
        <w:rPr>
          <w:rFonts w:ascii="仿宋" w:hAnsi="仿宋" w:eastAsia="仿宋" w:cs="仿宋"/>
          <w:spacing w:val="-1"/>
          <w:sz w:val="24"/>
          <w:szCs w:val="24"/>
        </w:rPr>
        <w:t>自本保函生效之日起个月止。</w:t>
      </w:r>
    </w:p>
    <w:p w14:paraId="188EABC4">
      <w:pPr>
        <w:spacing w:before="205" w:line="221" w:lineRule="auto"/>
        <w:ind w:left="490"/>
        <w:rPr>
          <w:rFonts w:ascii="仿宋" w:hAnsi="仿宋" w:eastAsia="仿宋" w:cs="仿宋"/>
          <w:sz w:val="24"/>
          <w:szCs w:val="24"/>
        </w:rPr>
      </w:pPr>
      <w:r>
        <w:rPr>
          <w:rFonts w:ascii="仿宋" w:hAnsi="仿宋" w:eastAsia="仿宋" w:cs="仿宋"/>
          <w:spacing w:val="5"/>
          <w:sz w:val="24"/>
          <w:szCs w:val="24"/>
        </w:rPr>
        <w:t>三、承担保证责任的程序</w:t>
      </w:r>
    </w:p>
    <w:p w14:paraId="15710F3F">
      <w:pPr>
        <w:spacing w:before="199" w:line="313" w:lineRule="auto"/>
        <w:ind w:left="61" w:right="71" w:firstLine="434"/>
        <w:rPr>
          <w:rFonts w:ascii="仿宋" w:hAnsi="仿宋" w:eastAsia="仿宋" w:cs="仿宋"/>
          <w:sz w:val="24"/>
          <w:szCs w:val="24"/>
        </w:rPr>
      </w:pPr>
      <w:r>
        <w:rPr>
          <w:rFonts w:ascii="仿宋" w:hAnsi="仿宋" w:eastAsia="仿宋" w:cs="仿宋"/>
          <w:spacing w:val="6"/>
          <w:sz w:val="24"/>
          <w:szCs w:val="24"/>
        </w:rPr>
        <w:t>1．你方要求我方承担保证责任的，应在本保函保证期间内</w:t>
      </w:r>
      <w:r>
        <w:rPr>
          <w:rFonts w:ascii="仿宋" w:hAnsi="仿宋" w:eastAsia="仿宋" w:cs="仿宋"/>
          <w:spacing w:val="-64"/>
          <w:sz w:val="24"/>
          <w:szCs w:val="24"/>
        </w:rPr>
        <w:t xml:space="preserve"> </w:t>
      </w:r>
      <w:r>
        <w:rPr>
          <w:rFonts w:ascii="仿宋" w:hAnsi="仿宋" w:eastAsia="仿宋" w:cs="仿宋"/>
          <w:spacing w:val="6"/>
          <w:sz w:val="24"/>
          <w:szCs w:val="24"/>
        </w:rPr>
        <w:t>向我方发出</w:t>
      </w:r>
      <w:r>
        <w:rPr>
          <w:rFonts w:ascii="仿宋" w:hAnsi="仿宋" w:eastAsia="仿宋" w:cs="仿宋"/>
          <w:sz w:val="24"/>
          <w:szCs w:val="24"/>
        </w:rPr>
        <w:t xml:space="preserve">  </w:t>
      </w:r>
      <w:r>
        <w:rPr>
          <w:rFonts w:ascii="仿宋" w:hAnsi="仿宋" w:eastAsia="仿宋" w:cs="仿宋"/>
          <w:spacing w:val="8"/>
          <w:sz w:val="24"/>
          <w:szCs w:val="24"/>
        </w:rPr>
        <w:t>书面索赔通知。索赔通知应写明要求索赔的金额，支付款项应到达的账号，</w:t>
      </w:r>
      <w:r>
        <w:rPr>
          <w:rFonts w:ascii="仿宋" w:hAnsi="仿宋" w:eastAsia="仿宋" w:cs="仿宋"/>
          <w:spacing w:val="16"/>
          <w:sz w:val="24"/>
          <w:szCs w:val="24"/>
        </w:rPr>
        <w:t xml:space="preserve"> </w:t>
      </w:r>
      <w:r>
        <w:rPr>
          <w:rFonts w:ascii="仿宋" w:hAnsi="仿宋" w:eastAsia="仿宋" w:cs="仿宋"/>
          <w:spacing w:val="8"/>
          <w:sz w:val="24"/>
          <w:szCs w:val="24"/>
        </w:rPr>
        <w:t>并附有证明供应商发生我方应承担保证责任情形的事实材料。</w:t>
      </w:r>
    </w:p>
    <w:p w14:paraId="79360B67">
      <w:pPr>
        <w:spacing w:before="208" w:line="313" w:lineRule="auto"/>
        <w:ind w:left="59" w:right="89" w:firstLine="409"/>
        <w:rPr>
          <w:rFonts w:ascii="仿宋" w:hAnsi="仿宋" w:eastAsia="仿宋" w:cs="仿宋"/>
          <w:sz w:val="24"/>
          <w:szCs w:val="24"/>
        </w:rPr>
      </w:pPr>
      <w:r>
        <w:rPr>
          <w:rFonts w:ascii="仿宋" w:hAnsi="仿宋" w:eastAsia="仿宋" w:cs="仿宋"/>
          <w:spacing w:val="2"/>
          <w:sz w:val="24"/>
          <w:szCs w:val="24"/>
        </w:rPr>
        <w:t>2．我方在收到索赔通知及相关证明材料后，在个工作</w:t>
      </w:r>
      <w:r>
        <w:rPr>
          <w:rFonts w:ascii="仿宋" w:hAnsi="仿宋" w:eastAsia="仿宋" w:cs="仿宋"/>
          <w:spacing w:val="-36"/>
          <w:sz w:val="24"/>
          <w:szCs w:val="24"/>
        </w:rPr>
        <w:t xml:space="preserve"> </w:t>
      </w:r>
      <w:r>
        <w:rPr>
          <w:rFonts w:ascii="仿宋" w:hAnsi="仿宋" w:eastAsia="仿宋" w:cs="仿宋"/>
          <w:spacing w:val="2"/>
          <w:sz w:val="24"/>
          <w:szCs w:val="24"/>
        </w:rPr>
        <w:t>日</w:t>
      </w:r>
      <w:r>
        <w:rPr>
          <w:rFonts w:ascii="仿宋" w:hAnsi="仿宋" w:eastAsia="仿宋" w:cs="仿宋"/>
          <w:spacing w:val="-68"/>
          <w:sz w:val="24"/>
          <w:szCs w:val="24"/>
        </w:rPr>
        <w:t xml:space="preserve"> </w:t>
      </w:r>
      <w:r>
        <w:rPr>
          <w:rFonts w:ascii="仿宋" w:hAnsi="仿宋" w:eastAsia="仿宋" w:cs="仿宋"/>
          <w:spacing w:val="2"/>
          <w:sz w:val="24"/>
          <w:szCs w:val="24"/>
        </w:rPr>
        <w:t>内进行审查，符</w:t>
      </w:r>
      <w:r>
        <w:rPr>
          <w:rFonts w:ascii="仿宋" w:hAnsi="仿宋" w:eastAsia="仿宋" w:cs="仿宋"/>
          <w:sz w:val="24"/>
          <w:szCs w:val="24"/>
        </w:rPr>
        <w:t xml:space="preserve"> </w:t>
      </w:r>
      <w:r>
        <w:rPr>
          <w:rFonts w:ascii="仿宋" w:hAnsi="仿宋" w:eastAsia="仿宋" w:cs="仿宋"/>
          <w:spacing w:val="8"/>
          <w:sz w:val="24"/>
          <w:szCs w:val="24"/>
        </w:rPr>
        <w:t>合应承担保证责任情形的，我方应按照你方的要求代供应商向你方支付投标</w:t>
      </w:r>
      <w:r>
        <w:rPr>
          <w:rFonts w:ascii="仿宋" w:hAnsi="仿宋" w:eastAsia="仿宋" w:cs="仿宋"/>
          <w:spacing w:val="1"/>
          <w:sz w:val="24"/>
          <w:szCs w:val="24"/>
        </w:rPr>
        <w:t xml:space="preserve"> </w:t>
      </w:r>
      <w:r>
        <w:rPr>
          <w:rFonts w:ascii="仿宋" w:hAnsi="仿宋" w:eastAsia="仿宋" w:cs="仿宋"/>
          <w:spacing w:val="-1"/>
          <w:sz w:val="24"/>
          <w:szCs w:val="24"/>
        </w:rPr>
        <w:t>保证金。</w:t>
      </w:r>
    </w:p>
    <w:p w14:paraId="628A43F0">
      <w:pPr>
        <w:spacing w:before="205" w:line="221" w:lineRule="auto"/>
        <w:ind w:left="530"/>
        <w:rPr>
          <w:rFonts w:ascii="仿宋" w:hAnsi="仿宋" w:eastAsia="仿宋" w:cs="仿宋"/>
          <w:sz w:val="24"/>
          <w:szCs w:val="24"/>
        </w:rPr>
      </w:pPr>
      <w:r>
        <w:rPr>
          <w:rFonts w:ascii="仿宋" w:hAnsi="仿宋" w:eastAsia="仿宋" w:cs="仿宋"/>
          <w:spacing w:val="-1"/>
          <w:sz w:val="24"/>
          <w:szCs w:val="24"/>
        </w:rPr>
        <w:t>四、保证责任的终止</w:t>
      </w:r>
    </w:p>
    <w:p w14:paraId="3C5AB229">
      <w:pPr>
        <w:spacing w:before="201" w:line="290" w:lineRule="auto"/>
        <w:ind w:left="106" w:right="89" w:firstLine="389"/>
        <w:rPr>
          <w:rFonts w:ascii="仿宋" w:hAnsi="仿宋" w:eastAsia="仿宋" w:cs="仿宋"/>
          <w:sz w:val="24"/>
          <w:szCs w:val="24"/>
        </w:rPr>
      </w:pPr>
      <w:r>
        <w:rPr>
          <w:rFonts w:ascii="仿宋" w:hAnsi="仿宋" w:eastAsia="仿宋" w:cs="仿宋"/>
          <w:spacing w:val="4"/>
          <w:sz w:val="24"/>
          <w:szCs w:val="24"/>
        </w:rPr>
        <w:t>1．保证期间届满你方未向我方书面主张保证责任的，</w:t>
      </w:r>
      <w:r>
        <w:rPr>
          <w:rFonts w:ascii="仿宋" w:hAnsi="仿宋" w:eastAsia="仿宋" w:cs="仿宋"/>
          <w:spacing w:val="-52"/>
          <w:sz w:val="24"/>
          <w:szCs w:val="24"/>
        </w:rPr>
        <w:t xml:space="preserve"> </w:t>
      </w:r>
      <w:r>
        <w:rPr>
          <w:rFonts w:ascii="仿宋" w:hAnsi="仿宋" w:eastAsia="仿宋" w:cs="仿宋"/>
          <w:spacing w:val="3"/>
          <w:sz w:val="24"/>
          <w:szCs w:val="24"/>
        </w:rPr>
        <w:t>自保证期间届满次</w:t>
      </w:r>
      <w:r>
        <w:rPr>
          <w:rFonts w:ascii="仿宋" w:hAnsi="仿宋" w:eastAsia="仿宋" w:cs="仿宋"/>
          <w:sz w:val="24"/>
          <w:szCs w:val="24"/>
        </w:rPr>
        <w:t xml:space="preserve"> 日起，我方保证责任自动终止。</w:t>
      </w:r>
    </w:p>
    <w:p w14:paraId="3458BCDC">
      <w:pPr>
        <w:spacing w:before="202" w:line="290" w:lineRule="auto"/>
        <w:ind w:left="57" w:right="77" w:firstLine="412"/>
        <w:rPr>
          <w:rFonts w:ascii="仿宋" w:hAnsi="仿宋" w:eastAsia="仿宋" w:cs="仿宋"/>
          <w:sz w:val="24"/>
          <w:szCs w:val="24"/>
        </w:rPr>
      </w:pPr>
      <w:r>
        <w:rPr>
          <w:rFonts w:ascii="仿宋" w:hAnsi="仿宋" w:eastAsia="仿宋" w:cs="仿宋"/>
          <w:spacing w:val="5"/>
          <w:sz w:val="24"/>
          <w:szCs w:val="24"/>
        </w:rPr>
        <w:t>2．我方按照本保函向你贵方履行了保证责任后，</w:t>
      </w:r>
      <w:r>
        <w:rPr>
          <w:rFonts w:ascii="仿宋" w:hAnsi="仿宋" w:eastAsia="仿宋" w:cs="仿宋"/>
          <w:spacing w:val="-52"/>
          <w:sz w:val="24"/>
          <w:szCs w:val="24"/>
        </w:rPr>
        <w:t xml:space="preserve"> </w:t>
      </w:r>
      <w:r>
        <w:rPr>
          <w:rFonts w:ascii="仿宋" w:hAnsi="仿宋" w:eastAsia="仿宋" w:cs="仿宋"/>
          <w:spacing w:val="5"/>
          <w:sz w:val="24"/>
          <w:szCs w:val="24"/>
        </w:rPr>
        <w:t>自我方向你贵方支付款</w:t>
      </w:r>
      <w:r>
        <w:rPr>
          <w:rFonts w:ascii="仿宋" w:hAnsi="仿宋" w:eastAsia="仿宋" w:cs="仿宋"/>
          <w:sz w:val="24"/>
          <w:szCs w:val="24"/>
        </w:rPr>
        <w:t xml:space="preserve"> </w:t>
      </w:r>
      <w:r>
        <w:rPr>
          <w:rFonts w:ascii="仿宋" w:hAnsi="仿宋" w:eastAsia="仿宋" w:cs="仿宋"/>
          <w:spacing w:val="3"/>
          <w:sz w:val="24"/>
          <w:szCs w:val="24"/>
        </w:rPr>
        <w:t>项（支付款项从我方账户划出）之</w:t>
      </w:r>
      <w:r>
        <w:rPr>
          <w:rFonts w:ascii="仿宋" w:hAnsi="仿宋" w:eastAsia="仿宋" w:cs="仿宋"/>
          <w:spacing w:val="-33"/>
          <w:sz w:val="24"/>
          <w:szCs w:val="24"/>
        </w:rPr>
        <w:t xml:space="preserve"> </w:t>
      </w:r>
      <w:r>
        <w:rPr>
          <w:rFonts w:ascii="仿宋" w:hAnsi="仿宋" w:eastAsia="仿宋" w:cs="仿宋"/>
          <w:spacing w:val="3"/>
          <w:sz w:val="24"/>
          <w:szCs w:val="24"/>
        </w:rPr>
        <w:t>日起，保证责任终止。</w:t>
      </w:r>
    </w:p>
    <w:p w14:paraId="67AEF566">
      <w:pPr>
        <w:spacing w:line="290" w:lineRule="auto"/>
        <w:rPr>
          <w:rFonts w:ascii="仿宋" w:hAnsi="仿宋" w:eastAsia="仿宋" w:cs="仿宋"/>
          <w:sz w:val="24"/>
          <w:szCs w:val="24"/>
        </w:rPr>
        <w:sectPr>
          <w:footerReference r:id="rId30" w:type="default"/>
          <w:pgSz w:w="11907" w:h="16840"/>
          <w:pgMar w:top="1418" w:right="1786" w:bottom="1202" w:left="1786" w:header="0" w:footer="1032" w:gutter="0"/>
          <w:pgNumType w:fmt="decimal"/>
          <w:cols w:space="720" w:num="1"/>
        </w:sectPr>
      </w:pPr>
    </w:p>
    <w:p w14:paraId="137040EC">
      <w:pPr>
        <w:spacing w:before="47" w:line="290" w:lineRule="auto"/>
        <w:ind w:left="59" w:right="38" w:firstLine="411"/>
        <w:rPr>
          <w:rFonts w:ascii="仿宋" w:hAnsi="仿宋" w:eastAsia="仿宋" w:cs="仿宋"/>
          <w:sz w:val="24"/>
          <w:szCs w:val="24"/>
        </w:rPr>
      </w:pPr>
      <w:r>
        <w:rPr>
          <w:rFonts w:ascii="仿宋" w:hAnsi="仿宋" w:eastAsia="仿宋" w:cs="仿宋"/>
          <w:spacing w:val="8"/>
          <w:sz w:val="24"/>
          <w:szCs w:val="24"/>
        </w:rPr>
        <w:t>3．按照法律法规的规定或出现我方保证责任终止的其它情形的，我方在</w:t>
      </w:r>
      <w:r>
        <w:rPr>
          <w:rFonts w:ascii="仿宋" w:hAnsi="仿宋" w:eastAsia="仿宋" w:cs="仿宋"/>
          <w:spacing w:val="7"/>
          <w:sz w:val="24"/>
          <w:szCs w:val="24"/>
        </w:rPr>
        <w:t xml:space="preserve"> </w:t>
      </w:r>
      <w:r>
        <w:rPr>
          <w:rFonts w:ascii="仿宋" w:hAnsi="仿宋" w:eastAsia="仿宋" w:cs="仿宋"/>
          <w:spacing w:val="5"/>
          <w:sz w:val="24"/>
          <w:szCs w:val="24"/>
        </w:rPr>
        <w:t>本保函项下的保证责任亦终止。</w:t>
      </w:r>
    </w:p>
    <w:p w14:paraId="7CCC6942">
      <w:pPr>
        <w:spacing w:before="202" w:line="223" w:lineRule="auto"/>
        <w:ind w:left="484"/>
        <w:rPr>
          <w:rFonts w:ascii="仿宋" w:hAnsi="仿宋" w:eastAsia="仿宋" w:cs="仿宋"/>
          <w:sz w:val="24"/>
          <w:szCs w:val="24"/>
        </w:rPr>
      </w:pPr>
      <w:r>
        <w:rPr>
          <w:rFonts w:ascii="仿宋" w:hAnsi="仿宋" w:eastAsia="仿宋" w:cs="仿宋"/>
          <w:spacing w:val="1"/>
          <w:sz w:val="24"/>
          <w:szCs w:val="24"/>
        </w:rPr>
        <w:t>五、免责条款</w:t>
      </w:r>
    </w:p>
    <w:p w14:paraId="6647E11F">
      <w:pPr>
        <w:spacing w:before="195" w:line="290" w:lineRule="auto"/>
        <w:ind w:left="72" w:right="276" w:firstLine="424"/>
        <w:rPr>
          <w:rFonts w:ascii="仿宋" w:hAnsi="仿宋" w:eastAsia="仿宋" w:cs="仿宋"/>
          <w:sz w:val="24"/>
          <w:szCs w:val="24"/>
        </w:rPr>
      </w:pPr>
      <w:r>
        <w:rPr>
          <w:rFonts w:ascii="仿宋" w:hAnsi="仿宋" w:eastAsia="仿宋" w:cs="仿宋"/>
          <w:spacing w:val="8"/>
          <w:sz w:val="24"/>
          <w:szCs w:val="24"/>
        </w:rPr>
        <w:t>1．依照法律规定或你方与供应商的另行约定，全部或</w:t>
      </w:r>
      <w:r>
        <w:rPr>
          <w:rFonts w:ascii="仿宋" w:hAnsi="仿宋" w:eastAsia="仿宋" w:cs="仿宋"/>
          <w:spacing w:val="7"/>
          <w:sz w:val="24"/>
          <w:szCs w:val="24"/>
        </w:rPr>
        <w:t>者部分免除供应</w:t>
      </w:r>
      <w:r>
        <w:rPr>
          <w:rFonts w:ascii="仿宋" w:hAnsi="仿宋" w:eastAsia="仿宋" w:cs="仿宋"/>
          <w:sz w:val="24"/>
          <w:szCs w:val="24"/>
        </w:rPr>
        <w:t xml:space="preserve"> </w:t>
      </w:r>
      <w:r>
        <w:rPr>
          <w:rFonts w:ascii="仿宋" w:hAnsi="仿宋" w:eastAsia="仿宋" w:cs="仿宋"/>
          <w:spacing w:val="6"/>
          <w:sz w:val="24"/>
          <w:szCs w:val="24"/>
        </w:rPr>
        <w:t>商投标保证金义务时，我方亦免除相应的保证责任。</w:t>
      </w:r>
    </w:p>
    <w:p w14:paraId="5135187D">
      <w:pPr>
        <w:spacing w:before="203" w:line="290" w:lineRule="auto"/>
        <w:ind w:left="64" w:right="41" w:firstLine="404"/>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70"/>
          <w:sz w:val="24"/>
          <w:szCs w:val="24"/>
        </w:rPr>
        <w:t xml:space="preserve"> </w:t>
      </w:r>
      <w:r>
        <w:rPr>
          <w:rFonts w:ascii="仿宋" w:hAnsi="仿宋" w:eastAsia="仿宋" w:cs="仿宋"/>
          <w:spacing w:val="7"/>
          <w:sz w:val="24"/>
          <w:szCs w:val="24"/>
        </w:rPr>
        <w:t>因你方原因致使供应商发生本保函第一条第</w:t>
      </w:r>
      <w:r>
        <w:rPr>
          <w:rFonts w:ascii="仿宋" w:hAnsi="仿宋" w:eastAsia="仿宋" w:cs="仿宋"/>
          <w:spacing w:val="6"/>
          <w:sz w:val="24"/>
          <w:szCs w:val="24"/>
        </w:rPr>
        <w:t>（一）款约定情形的，我</w:t>
      </w:r>
      <w:r>
        <w:rPr>
          <w:rFonts w:ascii="仿宋" w:hAnsi="仿宋" w:eastAsia="仿宋" w:cs="仿宋"/>
          <w:sz w:val="24"/>
          <w:szCs w:val="24"/>
        </w:rPr>
        <w:t xml:space="preserve"> </w:t>
      </w:r>
      <w:r>
        <w:rPr>
          <w:rFonts w:ascii="仿宋" w:hAnsi="仿宋" w:eastAsia="仿宋" w:cs="仿宋"/>
          <w:spacing w:val="3"/>
          <w:sz w:val="24"/>
          <w:szCs w:val="24"/>
        </w:rPr>
        <w:t>方不承担保证责任。</w:t>
      </w:r>
    </w:p>
    <w:p w14:paraId="2E481CB8">
      <w:pPr>
        <w:spacing w:before="202" w:line="292" w:lineRule="auto"/>
        <w:ind w:left="472" w:right="67" w:hanging="1"/>
        <w:rPr>
          <w:rFonts w:ascii="仿宋" w:hAnsi="仿宋" w:eastAsia="仿宋" w:cs="仿宋"/>
          <w:sz w:val="24"/>
          <w:szCs w:val="24"/>
        </w:rPr>
      </w:pPr>
      <w:r>
        <w:rPr>
          <w:rFonts w:ascii="仿宋" w:hAnsi="仿宋" w:eastAsia="仿宋" w:cs="仿宋"/>
          <w:spacing w:val="7"/>
          <w:sz w:val="24"/>
          <w:szCs w:val="24"/>
        </w:rPr>
        <w:t>3．因不可抗力造成供应商发生本保函第一条约定情形的，我方不承担保</w:t>
      </w:r>
      <w:r>
        <w:rPr>
          <w:rFonts w:ascii="仿宋" w:hAnsi="仿宋" w:eastAsia="仿宋" w:cs="仿宋"/>
          <w:spacing w:val="11"/>
          <w:sz w:val="24"/>
          <w:szCs w:val="24"/>
        </w:rPr>
        <w:t xml:space="preserve"> </w:t>
      </w:r>
      <w:r>
        <w:rPr>
          <w:rFonts w:ascii="仿宋" w:hAnsi="仿宋" w:eastAsia="仿宋" w:cs="仿宋"/>
          <w:sz w:val="24"/>
          <w:szCs w:val="24"/>
        </w:rPr>
        <w:t>证责任。</w:t>
      </w:r>
    </w:p>
    <w:p w14:paraId="19B44401">
      <w:pPr>
        <w:spacing w:before="196" w:line="314" w:lineRule="auto"/>
        <w:ind w:left="60" w:right="43" w:firstLine="400"/>
        <w:rPr>
          <w:rFonts w:ascii="仿宋" w:hAnsi="仿宋" w:eastAsia="仿宋" w:cs="仿宋"/>
          <w:sz w:val="24"/>
          <w:szCs w:val="24"/>
        </w:rPr>
      </w:pPr>
      <w:r>
        <w:rPr>
          <w:rFonts w:ascii="仿宋" w:hAnsi="仿宋" w:eastAsia="仿宋" w:cs="仿宋"/>
          <w:spacing w:val="8"/>
          <w:sz w:val="24"/>
          <w:szCs w:val="24"/>
        </w:rPr>
        <w:t>4．你方或其他有权机关对采购文件进行任何澄清或修改，加重我方保证</w:t>
      </w:r>
      <w:r>
        <w:rPr>
          <w:rFonts w:ascii="仿宋" w:hAnsi="仿宋" w:eastAsia="仿宋" w:cs="仿宋"/>
          <w:spacing w:val="13"/>
          <w:sz w:val="24"/>
          <w:szCs w:val="24"/>
        </w:rPr>
        <w:t xml:space="preserve"> </w:t>
      </w:r>
      <w:r>
        <w:rPr>
          <w:rFonts w:ascii="仿宋" w:hAnsi="仿宋" w:eastAsia="仿宋" w:cs="仿宋"/>
          <w:spacing w:val="8"/>
          <w:sz w:val="24"/>
          <w:szCs w:val="24"/>
        </w:rPr>
        <w:t>责任的，我方对加重部分不承担保证责任，但该澄清或修改经我方事先书面</w:t>
      </w:r>
      <w:r>
        <w:rPr>
          <w:rFonts w:ascii="仿宋" w:hAnsi="仿宋" w:eastAsia="仿宋" w:cs="仿宋"/>
          <w:spacing w:val="4"/>
          <w:sz w:val="24"/>
          <w:szCs w:val="24"/>
        </w:rPr>
        <w:t xml:space="preserve"> </w:t>
      </w:r>
      <w:r>
        <w:rPr>
          <w:rFonts w:ascii="仿宋" w:hAnsi="仿宋" w:eastAsia="仿宋" w:cs="仿宋"/>
          <w:spacing w:val="3"/>
          <w:sz w:val="24"/>
          <w:szCs w:val="24"/>
        </w:rPr>
        <w:t>同意的除外。</w:t>
      </w:r>
    </w:p>
    <w:p w14:paraId="50B1CA0E">
      <w:pPr>
        <w:spacing w:before="202" w:line="222" w:lineRule="auto"/>
        <w:ind w:left="480"/>
        <w:rPr>
          <w:rFonts w:ascii="仿宋" w:hAnsi="仿宋" w:eastAsia="仿宋" w:cs="仿宋"/>
          <w:sz w:val="24"/>
          <w:szCs w:val="24"/>
        </w:rPr>
      </w:pPr>
      <w:r>
        <w:rPr>
          <w:rFonts w:ascii="仿宋" w:hAnsi="仿宋" w:eastAsia="仿宋" w:cs="仿宋"/>
          <w:spacing w:val="3"/>
          <w:sz w:val="24"/>
          <w:szCs w:val="24"/>
        </w:rPr>
        <w:t>六、争议的解决</w:t>
      </w:r>
    </w:p>
    <w:p w14:paraId="2E0133B0">
      <w:pPr>
        <w:spacing w:before="200" w:line="343" w:lineRule="auto"/>
        <w:ind w:left="68" w:right="113" w:firstLine="454"/>
        <w:rPr>
          <w:rFonts w:ascii="仿宋" w:hAnsi="仿宋" w:eastAsia="仿宋" w:cs="仿宋"/>
          <w:sz w:val="24"/>
          <w:szCs w:val="24"/>
        </w:rPr>
      </w:pPr>
      <w:r>
        <w:rPr>
          <w:rFonts w:ascii="仿宋" w:hAnsi="仿宋" w:eastAsia="仿宋" w:cs="仿宋"/>
          <w:spacing w:val="6"/>
          <w:sz w:val="24"/>
          <w:szCs w:val="24"/>
        </w:rPr>
        <w:t>因本保函发生的纠纷，</w:t>
      </w:r>
      <w:r>
        <w:rPr>
          <w:rFonts w:ascii="仿宋" w:hAnsi="仿宋" w:eastAsia="仿宋" w:cs="仿宋"/>
          <w:spacing w:val="-48"/>
          <w:sz w:val="24"/>
          <w:szCs w:val="24"/>
        </w:rPr>
        <w:t xml:space="preserve"> </w:t>
      </w:r>
      <w:r>
        <w:rPr>
          <w:rFonts w:ascii="仿宋" w:hAnsi="仿宋" w:eastAsia="仿宋" w:cs="仿宋"/>
          <w:spacing w:val="6"/>
          <w:sz w:val="24"/>
          <w:szCs w:val="24"/>
        </w:rPr>
        <w:t>由你我双方协商解决，协商不成的，通过诉讼程</w:t>
      </w:r>
      <w:r>
        <w:rPr>
          <w:rFonts w:ascii="仿宋" w:hAnsi="仿宋" w:eastAsia="仿宋" w:cs="仿宋"/>
          <w:sz w:val="24"/>
          <w:szCs w:val="24"/>
        </w:rPr>
        <w:t xml:space="preserve"> </w:t>
      </w:r>
      <w:r>
        <w:rPr>
          <w:rFonts w:ascii="仿宋" w:hAnsi="仿宋" w:eastAsia="仿宋" w:cs="仿宋"/>
          <w:spacing w:val="4"/>
          <w:sz w:val="24"/>
          <w:szCs w:val="24"/>
        </w:rPr>
        <w:t>序解决，诉讼管辖地法院为法院。</w:t>
      </w:r>
    </w:p>
    <w:p w14:paraId="729579C7">
      <w:pPr>
        <w:spacing w:before="67" w:line="221" w:lineRule="auto"/>
        <w:ind w:left="485"/>
        <w:rPr>
          <w:rFonts w:ascii="仿宋" w:hAnsi="仿宋" w:eastAsia="仿宋" w:cs="仿宋"/>
          <w:sz w:val="24"/>
          <w:szCs w:val="24"/>
        </w:rPr>
      </w:pPr>
      <w:r>
        <w:rPr>
          <w:rFonts w:ascii="仿宋" w:hAnsi="仿宋" w:eastAsia="仿宋" w:cs="仿宋"/>
          <w:spacing w:val="2"/>
          <w:sz w:val="24"/>
          <w:szCs w:val="24"/>
        </w:rPr>
        <w:t>七、保函的生效</w:t>
      </w:r>
    </w:p>
    <w:p w14:paraId="29A9F12A">
      <w:pPr>
        <w:spacing w:before="204" w:line="221" w:lineRule="auto"/>
        <w:ind w:left="479"/>
        <w:rPr>
          <w:rFonts w:ascii="仿宋" w:hAnsi="仿宋" w:eastAsia="仿宋" w:cs="仿宋"/>
          <w:sz w:val="24"/>
          <w:szCs w:val="24"/>
        </w:rPr>
      </w:pPr>
      <w:r>
        <w:rPr>
          <w:rFonts w:ascii="仿宋" w:hAnsi="仿宋" w:eastAsia="仿宋" w:cs="仿宋"/>
          <w:spacing w:val="1"/>
          <w:sz w:val="24"/>
          <w:szCs w:val="24"/>
        </w:rPr>
        <w:t>本保函自我方加盖公章之</w:t>
      </w:r>
      <w:r>
        <w:rPr>
          <w:rFonts w:ascii="仿宋" w:hAnsi="仿宋" w:eastAsia="仿宋" w:cs="仿宋"/>
          <w:spacing w:val="-42"/>
          <w:sz w:val="24"/>
          <w:szCs w:val="24"/>
        </w:rPr>
        <w:t xml:space="preserve"> </w:t>
      </w:r>
      <w:r>
        <w:rPr>
          <w:rFonts w:ascii="仿宋" w:hAnsi="仿宋" w:eastAsia="仿宋" w:cs="仿宋"/>
          <w:spacing w:val="1"/>
          <w:sz w:val="24"/>
          <w:szCs w:val="24"/>
        </w:rPr>
        <w:t>日起生效。</w:t>
      </w:r>
    </w:p>
    <w:p w14:paraId="535219F5">
      <w:pPr>
        <w:spacing w:before="204" w:line="572" w:lineRule="auto"/>
        <w:ind w:left="5840" w:right="786" w:hanging="215"/>
        <w:rPr>
          <w:rFonts w:ascii="仿宋" w:hAnsi="仿宋" w:eastAsia="仿宋" w:cs="仿宋"/>
          <w:sz w:val="24"/>
          <w:szCs w:val="24"/>
        </w:rPr>
      </w:pPr>
      <w:r>
        <w:rPr>
          <w:rFonts w:ascii="仿宋" w:hAnsi="仿宋" w:eastAsia="仿宋" w:cs="仿宋"/>
          <w:spacing w:val="5"/>
          <w:sz w:val="24"/>
          <w:szCs w:val="24"/>
        </w:rPr>
        <w:t>保证人</w:t>
      </w:r>
      <w:r>
        <w:rPr>
          <w:rFonts w:ascii="仿宋" w:hAnsi="仿宋" w:eastAsia="仿宋" w:cs="仿宋"/>
          <w:spacing w:val="-14"/>
          <w:sz w:val="24"/>
          <w:szCs w:val="24"/>
        </w:rPr>
        <w:t>：（</w:t>
      </w:r>
      <w:r>
        <w:rPr>
          <w:rFonts w:ascii="仿宋" w:hAnsi="仿宋" w:eastAsia="仿宋" w:cs="仿宋"/>
          <w:spacing w:val="5"/>
          <w:sz w:val="24"/>
          <w:szCs w:val="24"/>
        </w:rPr>
        <w:t>公章）</w:t>
      </w:r>
      <w:r>
        <w:rPr>
          <w:rFonts w:ascii="仿宋" w:hAnsi="仿宋" w:eastAsia="仿宋" w:cs="仿宋"/>
          <w:sz w:val="24"/>
          <w:szCs w:val="24"/>
        </w:rPr>
        <w:t xml:space="preserve"> </w:t>
      </w:r>
      <w:r>
        <w:rPr>
          <w:rFonts w:ascii="仿宋" w:hAnsi="仿宋" w:eastAsia="仿宋" w:cs="仿宋"/>
          <w:spacing w:val="-10"/>
          <w:sz w:val="24"/>
          <w:szCs w:val="24"/>
        </w:rPr>
        <w:t>年月日</w:t>
      </w:r>
    </w:p>
    <w:p w14:paraId="71C6927D">
      <w:pPr>
        <w:spacing w:line="572" w:lineRule="auto"/>
        <w:rPr>
          <w:rFonts w:ascii="仿宋" w:hAnsi="仿宋" w:eastAsia="仿宋" w:cs="仿宋"/>
          <w:sz w:val="24"/>
          <w:szCs w:val="24"/>
        </w:rPr>
        <w:sectPr>
          <w:footerReference r:id="rId31" w:type="default"/>
          <w:pgSz w:w="11907" w:h="16840"/>
          <w:pgMar w:top="1418" w:right="1786" w:bottom="1202" w:left="1786" w:header="0" w:footer="1032" w:gutter="0"/>
          <w:pgNumType w:fmt="decimal"/>
          <w:cols w:space="720" w:num="1"/>
        </w:sectPr>
      </w:pPr>
    </w:p>
    <w:p w14:paraId="30E8D11E">
      <w:pPr>
        <w:spacing w:before="121" w:line="223" w:lineRule="auto"/>
        <w:ind w:left="2053"/>
        <w:outlineLvl w:val="2"/>
        <w:rPr>
          <w:rFonts w:ascii="仿宋" w:hAnsi="仿宋" w:eastAsia="仿宋" w:cs="仿宋"/>
          <w:sz w:val="28"/>
          <w:szCs w:val="28"/>
        </w:rPr>
      </w:pPr>
      <w:bookmarkStart w:id="102" w:name="_Toc24458"/>
      <w:r>
        <w:rPr>
          <w:rFonts w:ascii="仿宋" w:hAnsi="仿宋" w:eastAsia="仿宋" w:cs="仿宋"/>
          <w:b/>
          <w:bCs/>
          <w:spacing w:val="-5"/>
          <w:sz w:val="28"/>
          <w:szCs w:val="28"/>
        </w:rPr>
        <w:t>3.技术规格偏离表（投标文件格式三）</w:t>
      </w:r>
      <w:bookmarkEnd w:id="102"/>
    </w:p>
    <w:p w14:paraId="4E154740">
      <w:pPr>
        <w:spacing w:before="277" w:line="221" w:lineRule="auto"/>
        <w:ind w:left="271"/>
        <w:rPr>
          <w:rFonts w:ascii="仿宋" w:hAnsi="仿宋" w:eastAsia="仿宋" w:cs="仿宋"/>
          <w:sz w:val="24"/>
          <w:szCs w:val="24"/>
        </w:rPr>
      </w:pPr>
      <w:r>
        <w:rPr>
          <w:rFonts w:ascii="仿宋" w:hAnsi="仿宋" w:eastAsia="仿宋" w:cs="仿宋"/>
          <w:spacing w:val="-6"/>
          <w:sz w:val="24"/>
          <w:szCs w:val="24"/>
        </w:rPr>
        <w:t>项目名称:招标编号:包号：</w:t>
      </w:r>
    </w:p>
    <w:p w14:paraId="0E476A7F">
      <w:pPr>
        <w:spacing w:line="144" w:lineRule="exact"/>
      </w:pPr>
    </w:p>
    <w:tbl>
      <w:tblPr>
        <w:tblStyle w:val="18"/>
        <w:tblW w:w="8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258"/>
        <w:gridCol w:w="2338"/>
        <w:gridCol w:w="1258"/>
        <w:gridCol w:w="1258"/>
        <w:gridCol w:w="899"/>
        <w:gridCol w:w="906"/>
      </w:tblGrid>
      <w:tr w14:paraId="10E03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34" w:type="dxa"/>
            <w:vAlign w:val="top"/>
          </w:tcPr>
          <w:p w14:paraId="367943EB">
            <w:pPr>
              <w:pStyle w:val="19"/>
              <w:spacing w:before="178" w:line="222" w:lineRule="auto"/>
              <w:ind w:left="203"/>
            </w:pPr>
            <w:r>
              <w:rPr>
                <w:spacing w:val="-8"/>
              </w:rPr>
              <w:t>序号</w:t>
            </w:r>
          </w:p>
        </w:tc>
        <w:tc>
          <w:tcPr>
            <w:tcW w:w="1258" w:type="dxa"/>
            <w:vAlign w:val="top"/>
          </w:tcPr>
          <w:p w14:paraId="25F91714">
            <w:pPr>
              <w:pStyle w:val="19"/>
              <w:spacing w:before="177" w:line="221" w:lineRule="auto"/>
              <w:ind w:left="183"/>
            </w:pPr>
            <w:r>
              <w:rPr>
                <w:spacing w:val="-9"/>
              </w:rPr>
              <w:t>货物名称</w:t>
            </w:r>
          </w:p>
        </w:tc>
        <w:tc>
          <w:tcPr>
            <w:tcW w:w="2338" w:type="dxa"/>
            <w:vAlign w:val="top"/>
          </w:tcPr>
          <w:p w14:paraId="373AE8EA">
            <w:pPr>
              <w:pStyle w:val="19"/>
              <w:spacing w:before="178" w:line="222" w:lineRule="auto"/>
              <w:ind w:left="491"/>
            </w:pPr>
            <w:r>
              <w:rPr>
                <w:spacing w:val="-5"/>
              </w:rPr>
              <w:t>采购文件条款号</w:t>
            </w:r>
          </w:p>
        </w:tc>
        <w:tc>
          <w:tcPr>
            <w:tcW w:w="1258" w:type="dxa"/>
            <w:vAlign w:val="top"/>
          </w:tcPr>
          <w:p w14:paraId="6BD3DC19">
            <w:pPr>
              <w:pStyle w:val="19"/>
              <w:spacing w:before="178" w:line="222" w:lineRule="auto"/>
              <w:ind w:left="174"/>
            </w:pPr>
            <w:r>
              <w:rPr>
                <w:spacing w:val="-6"/>
              </w:rPr>
              <w:t>招标规格</w:t>
            </w:r>
          </w:p>
        </w:tc>
        <w:tc>
          <w:tcPr>
            <w:tcW w:w="1258" w:type="dxa"/>
            <w:vAlign w:val="top"/>
          </w:tcPr>
          <w:p w14:paraId="68740876">
            <w:pPr>
              <w:pStyle w:val="19"/>
              <w:spacing w:before="178" w:line="222" w:lineRule="auto"/>
              <w:ind w:left="176"/>
            </w:pPr>
            <w:r>
              <w:rPr>
                <w:spacing w:val="-6"/>
              </w:rPr>
              <w:t>投标规格</w:t>
            </w:r>
          </w:p>
        </w:tc>
        <w:tc>
          <w:tcPr>
            <w:tcW w:w="899" w:type="dxa"/>
            <w:vAlign w:val="top"/>
          </w:tcPr>
          <w:p w14:paraId="2B0E3DDA">
            <w:pPr>
              <w:pStyle w:val="19"/>
              <w:spacing w:before="178" w:line="222" w:lineRule="auto"/>
              <w:ind w:left="242"/>
            </w:pPr>
            <w:r>
              <w:rPr>
                <w:spacing w:val="-9"/>
              </w:rPr>
              <w:t>偏离</w:t>
            </w:r>
          </w:p>
        </w:tc>
        <w:tc>
          <w:tcPr>
            <w:tcW w:w="906" w:type="dxa"/>
            <w:vAlign w:val="top"/>
          </w:tcPr>
          <w:p w14:paraId="141C7BF0">
            <w:pPr>
              <w:pStyle w:val="19"/>
              <w:spacing w:before="177" w:line="224" w:lineRule="auto"/>
              <w:ind w:left="243"/>
            </w:pPr>
            <w:r>
              <w:rPr>
                <w:spacing w:val="-9"/>
              </w:rPr>
              <w:t>说明</w:t>
            </w:r>
          </w:p>
        </w:tc>
      </w:tr>
      <w:tr w14:paraId="6675E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41B96ECE">
            <w:pPr>
              <w:rPr>
                <w:rFonts w:ascii="Arial"/>
                <w:sz w:val="21"/>
              </w:rPr>
            </w:pPr>
          </w:p>
        </w:tc>
        <w:tc>
          <w:tcPr>
            <w:tcW w:w="1258" w:type="dxa"/>
            <w:vAlign w:val="top"/>
          </w:tcPr>
          <w:p w14:paraId="5B7254A3">
            <w:pPr>
              <w:rPr>
                <w:rFonts w:ascii="Arial"/>
                <w:sz w:val="21"/>
              </w:rPr>
            </w:pPr>
          </w:p>
        </w:tc>
        <w:tc>
          <w:tcPr>
            <w:tcW w:w="2338" w:type="dxa"/>
            <w:vAlign w:val="top"/>
          </w:tcPr>
          <w:p w14:paraId="1585D62E">
            <w:pPr>
              <w:rPr>
                <w:rFonts w:ascii="Arial"/>
                <w:sz w:val="21"/>
              </w:rPr>
            </w:pPr>
          </w:p>
        </w:tc>
        <w:tc>
          <w:tcPr>
            <w:tcW w:w="1258" w:type="dxa"/>
            <w:vAlign w:val="top"/>
          </w:tcPr>
          <w:p w14:paraId="129C1F2A">
            <w:pPr>
              <w:rPr>
                <w:rFonts w:ascii="Arial"/>
                <w:sz w:val="21"/>
              </w:rPr>
            </w:pPr>
          </w:p>
        </w:tc>
        <w:tc>
          <w:tcPr>
            <w:tcW w:w="1258" w:type="dxa"/>
            <w:vAlign w:val="top"/>
          </w:tcPr>
          <w:p w14:paraId="33CEEEA7">
            <w:pPr>
              <w:rPr>
                <w:rFonts w:ascii="Arial"/>
                <w:sz w:val="21"/>
              </w:rPr>
            </w:pPr>
          </w:p>
        </w:tc>
        <w:tc>
          <w:tcPr>
            <w:tcW w:w="899" w:type="dxa"/>
            <w:vAlign w:val="top"/>
          </w:tcPr>
          <w:p w14:paraId="2248356D">
            <w:pPr>
              <w:rPr>
                <w:rFonts w:ascii="Arial"/>
                <w:sz w:val="21"/>
              </w:rPr>
            </w:pPr>
          </w:p>
        </w:tc>
        <w:tc>
          <w:tcPr>
            <w:tcW w:w="906" w:type="dxa"/>
            <w:vAlign w:val="top"/>
          </w:tcPr>
          <w:p w14:paraId="4885E5DF">
            <w:pPr>
              <w:rPr>
                <w:rFonts w:ascii="Arial"/>
                <w:sz w:val="21"/>
              </w:rPr>
            </w:pPr>
          </w:p>
        </w:tc>
      </w:tr>
      <w:tr w14:paraId="7D265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303B39D0">
            <w:pPr>
              <w:rPr>
                <w:rFonts w:ascii="Arial"/>
                <w:sz w:val="21"/>
              </w:rPr>
            </w:pPr>
          </w:p>
        </w:tc>
        <w:tc>
          <w:tcPr>
            <w:tcW w:w="1258" w:type="dxa"/>
            <w:vAlign w:val="top"/>
          </w:tcPr>
          <w:p w14:paraId="77DA75A0">
            <w:pPr>
              <w:rPr>
                <w:rFonts w:ascii="Arial"/>
                <w:sz w:val="21"/>
              </w:rPr>
            </w:pPr>
          </w:p>
        </w:tc>
        <w:tc>
          <w:tcPr>
            <w:tcW w:w="2338" w:type="dxa"/>
            <w:vAlign w:val="top"/>
          </w:tcPr>
          <w:p w14:paraId="08E6092D">
            <w:pPr>
              <w:rPr>
                <w:rFonts w:ascii="Arial"/>
                <w:sz w:val="21"/>
              </w:rPr>
            </w:pPr>
          </w:p>
        </w:tc>
        <w:tc>
          <w:tcPr>
            <w:tcW w:w="1258" w:type="dxa"/>
            <w:vAlign w:val="top"/>
          </w:tcPr>
          <w:p w14:paraId="020EAE27">
            <w:pPr>
              <w:rPr>
                <w:rFonts w:ascii="Arial"/>
                <w:sz w:val="21"/>
              </w:rPr>
            </w:pPr>
          </w:p>
        </w:tc>
        <w:tc>
          <w:tcPr>
            <w:tcW w:w="1258" w:type="dxa"/>
            <w:vAlign w:val="top"/>
          </w:tcPr>
          <w:p w14:paraId="258CB413">
            <w:pPr>
              <w:rPr>
                <w:rFonts w:ascii="Arial"/>
                <w:sz w:val="21"/>
              </w:rPr>
            </w:pPr>
          </w:p>
        </w:tc>
        <w:tc>
          <w:tcPr>
            <w:tcW w:w="899" w:type="dxa"/>
            <w:vAlign w:val="top"/>
          </w:tcPr>
          <w:p w14:paraId="0E9F6A06">
            <w:pPr>
              <w:rPr>
                <w:rFonts w:ascii="Arial"/>
                <w:sz w:val="21"/>
              </w:rPr>
            </w:pPr>
          </w:p>
        </w:tc>
        <w:tc>
          <w:tcPr>
            <w:tcW w:w="906" w:type="dxa"/>
            <w:vAlign w:val="top"/>
          </w:tcPr>
          <w:p w14:paraId="292A1B30">
            <w:pPr>
              <w:rPr>
                <w:rFonts w:ascii="Arial"/>
                <w:sz w:val="21"/>
              </w:rPr>
            </w:pPr>
          </w:p>
        </w:tc>
      </w:tr>
      <w:tr w14:paraId="5128D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0F6C4A59">
            <w:pPr>
              <w:rPr>
                <w:rFonts w:ascii="Arial"/>
                <w:sz w:val="21"/>
              </w:rPr>
            </w:pPr>
          </w:p>
        </w:tc>
        <w:tc>
          <w:tcPr>
            <w:tcW w:w="1258" w:type="dxa"/>
            <w:vAlign w:val="top"/>
          </w:tcPr>
          <w:p w14:paraId="6DC0EC0C">
            <w:pPr>
              <w:rPr>
                <w:rFonts w:ascii="Arial"/>
                <w:sz w:val="21"/>
              </w:rPr>
            </w:pPr>
          </w:p>
        </w:tc>
        <w:tc>
          <w:tcPr>
            <w:tcW w:w="2338" w:type="dxa"/>
            <w:vAlign w:val="top"/>
          </w:tcPr>
          <w:p w14:paraId="33ED372E">
            <w:pPr>
              <w:rPr>
                <w:rFonts w:ascii="Arial"/>
                <w:sz w:val="21"/>
              </w:rPr>
            </w:pPr>
          </w:p>
        </w:tc>
        <w:tc>
          <w:tcPr>
            <w:tcW w:w="1258" w:type="dxa"/>
            <w:vAlign w:val="top"/>
          </w:tcPr>
          <w:p w14:paraId="7F04D680">
            <w:pPr>
              <w:rPr>
                <w:rFonts w:ascii="Arial"/>
                <w:sz w:val="21"/>
              </w:rPr>
            </w:pPr>
          </w:p>
        </w:tc>
        <w:tc>
          <w:tcPr>
            <w:tcW w:w="1258" w:type="dxa"/>
            <w:vAlign w:val="top"/>
          </w:tcPr>
          <w:p w14:paraId="25D4E401">
            <w:pPr>
              <w:rPr>
                <w:rFonts w:ascii="Arial"/>
                <w:sz w:val="21"/>
              </w:rPr>
            </w:pPr>
          </w:p>
        </w:tc>
        <w:tc>
          <w:tcPr>
            <w:tcW w:w="899" w:type="dxa"/>
            <w:vAlign w:val="top"/>
          </w:tcPr>
          <w:p w14:paraId="253B20B7">
            <w:pPr>
              <w:rPr>
                <w:rFonts w:ascii="Arial"/>
                <w:sz w:val="21"/>
              </w:rPr>
            </w:pPr>
          </w:p>
        </w:tc>
        <w:tc>
          <w:tcPr>
            <w:tcW w:w="906" w:type="dxa"/>
            <w:vAlign w:val="top"/>
          </w:tcPr>
          <w:p w14:paraId="677CA573">
            <w:pPr>
              <w:rPr>
                <w:rFonts w:ascii="Arial"/>
                <w:sz w:val="21"/>
              </w:rPr>
            </w:pPr>
          </w:p>
        </w:tc>
      </w:tr>
      <w:tr w14:paraId="10A48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222B91A6">
            <w:pPr>
              <w:rPr>
                <w:rFonts w:ascii="Arial"/>
                <w:sz w:val="21"/>
              </w:rPr>
            </w:pPr>
          </w:p>
        </w:tc>
        <w:tc>
          <w:tcPr>
            <w:tcW w:w="1258" w:type="dxa"/>
            <w:vAlign w:val="top"/>
          </w:tcPr>
          <w:p w14:paraId="3793126B">
            <w:pPr>
              <w:rPr>
                <w:rFonts w:ascii="Arial"/>
                <w:sz w:val="21"/>
              </w:rPr>
            </w:pPr>
          </w:p>
        </w:tc>
        <w:tc>
          <w:tcPr>
            <w:tcW w:w="2338" w:type="dxa"/>
            <w:vAlign w:val="top"/>
          </w:tcPr>
          <w:p w14:paraId="4E572AF9">
            <w:pPr>
              <w:rPr>
                <w:rFonts w:ascii="Arial"/>
                <w:sz w:val="21"/>
              </w:rPr>
            </w:pPr>
          </w:p>
        </w:tc>
        <w:tc>
          <w:tcPr>
            <w:tcW w:w="1258" w:type="dxa"/>
            <w:vAlign w:val="top"/>
          </w:tcPr>
          <w:p w14:paraId="5DC3980E">
            <w:pPr>
              <w:rPr>
                <w:rFonts w:ascii="Arial"/>
                <w:sz w:val="21"/>
              </w:rPr>
            </w:pPr>
          </w:p>
        </w:tc>
        <w:tc>
          <w:tcPr>
            <w:tcW w:w="1258" w:type="dxa"/>
            <w:vAlign w:val="top"/>
          </w:tcPr>
          <w:p w14:paraId="0E220418">
            <w:pPr>
              <w:rPr>
                <w:rFonts w:ascii="Arial"/>
                <w:sz w:val="21"/>
              </w:rPr>
            </w:pPr>
          </w:p>
        </w:tc>
        <w:tc>
          <w:tcPr>
            <w:tcW w:w="899" w:type="dxa"/>
            <w:vAlign w:val="top"/>
          </w:tcPr>
          <w:p w14:paraId="0CF3EC6F">
            <w:pPr>
              <w:rPr>
                <w:rFonts w:ascii="Arial"/>
                <w:sz w:val="21"/>
              </w:rPr>
            </w:pPr>
          </w:p>
        </w:tc>
        <w:tc>
          <w:tcPr>
            <w:tcW w:w="906" w:type="dxa"/>
            <w:vAlign w:val="top"/>
          </w:tcPr>
          <w:p w14:paraId="1A33D380">
            <w:pPr>
              <w:rPr>
                <w:rFonts w:ascii="Arial"/>
                <w:sz w:val="21"/>
              </w:rPr>
            </w:pPr>
          </w:p>
        </w:tc>
      </w:tr>
      <w:tr w14:paraId="76947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245B589D">
            <w:pPr>
              <w:rPr>
                <w:rFonts w:ascii="Arial"/>
                <w:sz w:val="21"/>
              </w:rPr>
            </w:pPr>
          </w:p>
        </w:tc>
        <w:tc>
          <w:tcPr>
            <w:tcW w:w="1258" w:type="dxa"/>
            <w:vAlign w:val="top"/>
          </w:tcPr>
          <w:p w14:paraId="4C997046">
            <w:pPr>
              <w:rPr>
                <w:rFonts w:ascii="Arial"/>
                <w:sz w:val="21"/>
              </w:rPr>
            </w:pPr>
          </w:p>
        </w:tc>
        <w:tc>
          <w:tcPr>
            <w:tcW w:w="2338" w:type="dxa"/>
            <w:vAlign w:val="top"/>
          </w:tcPr>
          <w:p w14:paraId="014D7D11">
            <w:pPr>
              <w:rPr>
                <w:rFonts w:ascii="Arial"/>
                <w:sz w:val="21"/>
              </w:rPr>
            </w:pPr>
          </w:p>
        </w:tc>
        <w:tc>
          <w:tcPr>
            <w:tcW w:w="1258" w:type="dxa"/>
            <w:vAlign w:val="top"/>
          </w:tcPr>
          <w:p w14:paraId="57ADEF21">
            <w:pPr>
              <w:rPr>
                <w:rFonts w:ascii="Arial"/>
                <w:sz w:val="21"/>
              </w:rPr>
            </w:pPr>
          </w:p>
        </w:tc>
        <w:tc>
          <w:tcPr>
            <w:tcW w:w="1258" w:type="dxa"/>
            <w:vAlign w:val="top"/>
          </w:tcPr>
          <w:p w14:paraId="1D37A900">
            <w:pPr>
              <w:rPr>
                <w:rFonts w:ascii="Arial"/>
                <w:sz w:val="21"/>
              </w:rPr>
            </w:pPr>
          </w:p>
        </w:tc>
        <w:tc>
          <w:tcPr>
            <w:tcW w:w="899" w:type="dxa"/>
            <w:vAlign w:val="top"/>
          </w:tcPr>
          <w:p w14:paraId="2E954520">
            <w:pPr>
              <w:rPr>
                <w:rFonts w:ascii="Arial"/>
                <w:sz w:val="21"/>
              </w:rPr>
            </w:pPr>
          </w:p>
        </w:tc>
        <w:tc>
          <w:tcPr>
            <w:tcW w:w="906" w:type="dxa"/>
            <w:vAlign w:val="top"/>
          </w:tcPr>
          <w:p w14:paraId="43F3EC4A">
            <w:pPr>
              <w:rPr>
                <w:rFonts w:ascii="Arial"/>
                <w:sz w:val="21"/>
              </w:rPr>
            </w:pPr>
          </w:p>
        </w:tc>
      </w:tr>
      <w:tr w14:paraId="3A69E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13C4A497">
            <w:pPr>
              <w:rPr>
                <w:rFonts w:ascii="Arial"/>
                <w:sz w:val="21"/>
              </w:rPr>
            </w:pPr>
          </w:p>
        </w:tc>
        <w:tc>
          <w:tcPr>
            <w:tcW w:w="1258" w:type="dxa"/>
            <w:vAlign w:val="top"/>
          </w:tcPr>
          <w:p w14:paraId="2A4CC9D9">
            <w:pPr>
              <w:rPr>
                <w:rFonts w:ascii="Arial"/>
                <w:sz w:val="21"/>
              </w:rPr>
            </w:pPr>
          </w:p>
        </w:tc>
        <w:tc>
          <w:tcPr>
            <w:tcW w:w="2338" w:type="dxa"/>
            <w:vAlign w:val="top"/>
          </w:tcPr>
          <w:p w14:paraId="34FD0DF3">
            <w:pPr>
              <w:rPr>
                <w:rFonts w:ascii="Arial"/>
                <w:sz w:val="21"/>
              </w:rPr>
            </w:pPr>
          </w:p>
        </w:tc>
        <w:tc>
          <w:tcPr>
            <w:tcW w:w="1258" w:type="dxa"/>
            <w:vAlign w:val="top"/>
          </w:tcPr>
          <w:p w14:paraId="6E9BA4B8">
            <w:pPr>
              <w:rPr>
                <w:rFonts w:ascii="Arial"/>
                <w:sz w:val="21"/>
              </w:rPr>
            </w:pPr>
          </w:p>
        </w:tc>
        <w:tc>
          <w:tcPr>
            <w:tcW w:w="1258" w:type="dxa"/>
            <w:vAlign w:val="top"/>
          </w:tcPr>
          <w:p w14:paraId="19E7A5AA">
            <w:pPr>
              <w:rPr>
                <w:rFonts w:ascii="Arial"/>
                <w:sz w:val="21"/>
              </w:rPr>
            </w:pPr>
          </w:p>
        </w:tc>
        <w:tc>
          <w:tcPr>
            <w:tcW w:w="899" w:type="dxa"/>
            <w:vAlign w:val="top"/>
          </w:tcPr>
          <w:p w14:paraId="725A7013">
            <w:pPr>
              <w:rPr>
                <w:rFonts w:ascii="Arial"/>
                <w:sz w:val="21"/>
              </w:rPr>
            </w:pPr>
          </w:p>
        </w:tc>
        <w:tc>
          <w:tcPr>
            <w:tcW w:w="906" w:type="dxa"/>
            <w:vAlign w:val="top"/>
          </w:tcPr>
          <w:p w14:paraId="53BB4062">
            <w:pPr>
              <w:rPr>
                <w:rFonts w:ascii="Arial"/>
                <w:sz w:val="21"/>
              </w:rPr>
            </w:pPr>
          </w:p>
        </w:tc>
      </w:tr>
      <w:tr w14:paraId="7A5E4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4FAF2FBA">
            <w:pPr>
              <w:rPr>
                <w:rFonts w:ascii="Arial"/>
                <w:sz w:val="21"/>
              </w:rPr>
            </w:pPr>
          </w:p>
        </w:tc>
        <w:tc>
          <w:tcPr>
            <w:tcW w:w="1258" w:type="dxa"/>
            <w:vAlign w:val="top"/>
          </w:tcPr>
          <w:p w14:paraId="48679E1A">
            <w:pPr>
              <w:rPr>
                <w:rFonts w:ascii="Arial"/>
                <w:sz w:val="21"/>
              </w:rPr>
            </w:pPr>
          </w:p>
        </w:tc>
        <w:tc>
          <w:tcPr>
            <w:tcW w:w="2338" w:type="dxa"/>
            <w:vAlign w:val="top"/>
          </w:tcPr>
          <w:p w14:paraId="1B0CAE84">
            <w:pPr>
              <w:rPr>
                <w:rFonts w:ascii="Arial"/>
                <w:sz w:val="21"/>
              </w:rPr>
            </w:pPr>
          </w:p>
        </w:tc>
        <w:tc>
          <w:tcPr>
            <w:tcW w:w="1258" w:type="dxa"/>
            <w:vAlign w:val="top"/>
          </w:tcPr>
          <w:p w14:paraId="2BDE3069">
            <w:pPr>
              <w:rPr>
                <w:rFonts w:ascii="Arial"/>
                <w:sz w:val="21"/>
              </w:rPr>
            </w:pPr>
          </w:p>
        </w:tc>
        <w:tc>
          <w:tcPr>
            <w:tcW w:w="1258" w:type="dxa"/>
            <w:vAlign w:val="top"/>
          </w:tcPr>
          <w:p w14:paraId="73EFFA21">
            <w:pPr>
              <w:rPr>
                <w:rFonts w:ascii="Arial"/>
                <w:sz w:val="21"/>
              </w:rPr>
            </w:pPr>
          </w:p>
        </w:tc>
        <w:tc>
          <w:tcPr>
            <w:tcW w:w="899" w:type="dxa"/>
            <w:vAlign w:val="top"/>
          </w:tcPr>
          <w:p w14:paraId="26A87F74">
            <w:pPr>
              <w:rPr>
                <w:rFonts w:ascii="Arial"/>
                <w:sz w:val="21"/>
              </w:rPr>
            </w:pPr>
          </w:p>
        </w:tc>
        <w:tc>
          <w:tcPr>
            <w:tcW w:w="906" w:type="dxa"/>
            <w:vAlign w:val="top"/>
          </w:tcPr>
          <w:p w14:paraId="646C0369">
            <w:pPr>
              <w:rPr>
                <w:rFonts w:ascii="Arial"/>
                <w:sz w:val="21"/>
              </w:rPr>
            </w:pPr>
          </w:p>
        </w:tc>
      </w:tr>
      <w:tr w14:paraId="4C7CA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683A7D55">
            <w:pPr>
              <w:rPr>
                <w:rFonts w:ascii="Arial"/>
                <w:sz w:val="21"/>
              </w:rPr>
            </w:pPr>
          </w:p>
        </w:tc>
        <w:tc>
          <w:tcPr>
            <w:tcW w:w="1258" w:type="dxa"/>
            <w:vAlign w:val="top"/>
          </w:tcPr>
          <w:p w14:paraId="43EE02D0">
            <w:pPr>
              <w:rPr>
                <w:rFonts w:ascii="Arial"/>
                <w:sz w:val="21"/>
              </w:rPr>
            </w:pPr>
          </w:p>
        </w:tc>
        <w:tc>
          <w:tcPr>
            <w:tcW w:w="2338" w:type="dxa"/>
            <w:vAlign w:val="top"/>
          </w:tcPr>
          <w:p w14:paraId="731A3837">
            <w:pPr>
              <w:rPr>
                <w:rFonts w:ascii="Arial"/>
                <w:sz w:val="21"/>
              </w:rPr>
            </w:pPr>
          </w:p>
        </w:tc>
        <w:tc>
          <w:tcPr>
            <w:tcW w:w="1258" w:type="dxa"/>
            <w:vAlign w:val="top"/>
          </w:tcPr>
          <w:p w14:paraId="35847456">
            <w:pPr>
              <w:rPr>
                <w:rFonts w:ascii="Arial"/>
                <w:sz w:val="21"/>
              </w:rPr>
            </w:pPr>
          </w:p>
        </w:tc>
        <w:tc>
          <w:tcPr>
            <w:tcW w:w="1258" w:type="dxa"/>
            <w:vAlign w:val="top"/>
          </w:tcPr>
          <w:p w14:paraId="71AFF804">
            <w:pPr>
              <w:rPr>
                <w:rFonts w:ascii="Arial"/>
                <w:sz w:val="21"/>
              </w:rPr>
            </w:pPr>
          </w:p>
        </w:tc>
        <w:tc>
          <w:tcPr>
            <w:tcW w:w="899" w:type="dxa"/>
            <w:vAlign w:val="top"/>
          </w:tcPr>
          <w:p w14:paraId="4F4B047E">
            <w:pPr>
              <w:rPr>
                <w:rFonts w:ascii="Arial"/>
                <w:sz w:val="21"/>
              </w:rPr>
            </w:pPr>
          </w:p>
        </w:tc>
        <w:tc>
          <w:tcPr>
            <w:tcW w:w="906" w:type="dxa"/>
            <w:vAlign w:val="top"/>
          </w:tcPr>
          <w:p w14:paraId="377D3EC2">
            <w:pPr>
              <w:rPr>
                <w:rFonts w:ascii="Arial"/>
                <w:sz w:val="21"/>
              </w:rPr>
            </w:pPr>
          </w:p>
        </w:tc>
      </w:tr>
      <w:tr w14:paraId="67391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529E98CD">
            <w:pPr>
              <w:rPr>
                <w:rFonts w:ascii="Arial"/>
                <w:sz w:val="21"/>
              </w:rPr>
            </w:pPr>
          </w:p>
        </w:tc>
        <w:tc>
          <w:tcPr>
            <w:tcW w:w="1258" w:type="dxa"/>
            <w:vAlign w:val="top"/>
          </w:tcPr>
          <w:p w14:paraId="1F413F2E">
            <w:pPr>
              <w:rPr>
                <w:rFonts w:ascii="Arial"/>
                <w:sz w:val="21"/>
              </w:rPr>
            </w:pPr>
          </w:p>
        </w:tc>
        <w:tc>
          <w:tcPr>
            <w:tcW w:w="2338" w:type="dxa"/>
            <w:vAlign w:val="top"/>
          </w:tcPr>
          <w:p w14:paraId="65EC434F">
            <w:pPr>
              <w:rPr>
                <w:rFonts w:ascii="Arial"/>
                <w:sz w:val="21"/>
              </w:rPr>
            </w:pPr>
          </w:p>
        </w:tc>
        <w:tc>
          <w:tcPr>
            <w:tcW w:w="1258" w:type="dxa"/>
            <w:vAlign w:val="top"/>
          </w:tcPr>
          <w:p w14:paraId="0D388A3D">
            <w:pPr>
              <w:rPr>
                <w:rFonts w:ascii="Arial"/>
                <w:sz w:val="21"/>
              </w:rPr>
            </w:pPr>
          </w:p>
        </w:tc>
        <w:tc>
          <w:tcPr>
            <w:tcW w:w="1258" w:type="dxa"/>
            <w:vAlign w:val="top"/>
          </w:tcPr>
          <w:p w14:paraId="62E5041B">
            <w:pPr>
              <w:rPr>
                <w:rFonts w:ascii="Arial"/>
                <w:sz w:val="21"/>
              </w:rPr>
            </w:pPr>
          </w:p>
        </w:tc>
        <w:tc>
          <w:tcPr>
            <w:tcW w:w="899" w:type="dxa"/>
            <w:vAlign w:val="top"/>
          </w:tcPr>
          <w:p w14:paraId="1D183417">
            <w:pPr>
              <w:rPr>
                <w:rFonts w:ascii="Arial"/>
                <w:sz w:val="21"/>
              </w:rPr>
            </w:pPr>
          </w:p>
        </w:tc>
        <w:tc>
          <w:tcPr>
            <w:tcW w:w="906" w:type="dxa"/>
            <w:vAlign w:val="top"/>
          </w:tcPr>
          <w:p w14:paraId="5C1228EB">
            <w:pPr>
              <w:rPr>
                <w:rFonts w:ascii="Arial"/>
                <w:sz w:val="21"/>
              </w:rPr>
            </w:pPr>
          </w:p>
        </w:tc>
      </w:tr>
      <w:tr w14:paraId="1B7B3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79297B2B">
            <w:pPr>
              <w:rPr>
                <w:rFonts w:ascii="Arial"/>
                <w:sz w:val="21"/>
              </w:rPr>
            </w:pPr>
          </w:p>
        </w:tc>
        <w:tc>
          <w:tcPr>
            <w:tcW w:w="1258" w:type="dxa"/>
            <w:vAlign w:val="top"/>
          </w:tcPr>
          <w:p w14:paraId="55705FE0">
            <w:pPr>
              <w:rPr>
                <w:rFonts w:ascii="Arial"/>
                <w:sz w:val="21"/>
              </w:rPr>
            </w:pPr>
          </w:p>
        </w:tc>
        <w:tc>
          <w:tcPr>
            <w:tcW w:w="2338" w:type="dxa"/>
            <w:vAlign w:val="top"/>
          </w:tcPr>
          <w:p w14:paraId="3A16BCE2">
            <w:pPr>
              <w:rPr>
                <w:rFonts w:ascii="Arial"/>
                <w:sz w:val="21"/>
              </w:rPr>
            </w:pPr>
          </w:p>
        </w:tc>
        <w:tc>
          <w:tcPr>
            <w:tcW w:w="1258" w:type="dxa"/>
            <w:vAlign w:val="top"/>
          </w:tcPr>
          <w:p w14:paraId="02E8A73F">
            <w:pPr>
              <w:rPr>
                <w:rFonts w:ascii="Arial"/>
                <w:sz w:val="21"/>
              </w:rPr>
            </w:pPr>
          </w:p>
        </w:tc>
        <w:tc>
          <w:tcPr>
            <w:tcW w:w="1258" w:type="dxa"/>
            <w:vAlign w:val="top"/>
          </w:tcPr>
          <w:p w14:paraId="06504BF7">
            <w:pPr>
              <w:rPr>
                <w:rFonts w:ascii="Arial"/>
                <w:sz w:val="21"/>
              </w:rPr>
            </w:pPr>
          </w:p>
        </w:tc>
        <w:tc>
          <w:tcPr>
            <w:tcW w:w="899" w:type="dxa"/>
            <w:vAlign w:val="top"/>
          </w:tcPr>
          <w:p w14:paraId="409FD9B7">
            <w:pPr>
              <w:rPr>
                <w:rFonts w:ascii="Arial"/>
                <w:sz w:val="21"/>
              </w:rPr>
            </w:pPr>
          </w:p>
        </w:tc>
        <w:tc>
          <w:tcPr>
            <w:tcW w:w="906" w:type="dxa"/>
            <w:vAlign w:val="top"/>
          </w:tcPr>
          <w:p w14:paraId="63CCFEBE">
            <w:pPr>
              <w:rPr>
                <w:rFonts w:ascii="Arial"/>
                <w:sz w:val="21"/>
              </w:rPr>
            </w:pPr>
          </w:p>
        </w:tc>
      </w:tr>
      <w:tr w14:paraId="607EE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5AF86149">
            <w:pPr>
              <w:rPr>
                <w:rFonts w:ascii="Arial"/>
                <w:sz w:val="21"/>
              </w:rPr>
            </w:pPr>
          </w:p>
        </w:tc>
        <w:tc>
          <w:tcPr>
            <w:tcW w:w="1258" w:type="dxa"/>
            <w:vAlign w:val="top"/>
          </w:tcPr>
          <w:p w14:paraId="5E0342AE">
            <w:pPr>
              <w:rPr>
                <w:rFonts w:ascii="Arial"/>
                <w:sz w:val="21"/>
              </w:rPr>
            </w:pPr>
          </w:p>
        </w:tc>
        <w:tc>
          <w:tcPr>
            <w:tcW w:w="2338" w:type="dxa"/>
            <w:vAlign w:val="top"/>
          </w:tcPr>
          <w:p w14:paraId="18735EB0">
            <w:pPr>
              <w:rPr>
                <w:rFonts w:ascii="Arial"/>
                <w:sz w:val="21"/>
              </w:rPr>
            </w:pPr>
          </w:p>
        </w:tc>
        <w:tc>
          <w:tcPr>
            <w:tcW w:w="1258" w:type="dxa"/>
            <w:vAlign w:val="top"/>
          </w:tcPr>
          <w:p w14:paraId="16D987F4">
            <w:pPr>
              <w:rPr>
                <w:rFonts w:ascii="Arial"/>
                <w:sz w:val="21"/>
              </w:rPr>
            </w:pPr>
          </w:p>
        </w:tc>
        <w:tc>
          <w:tcPr>
            <w:tcW w:w="1258" w:type="dxa"/>
            <w:vAlign w:val="top"/>
          </w:tcPr>
          <w:p w14:paraId="2DDF72F7">
            <w:pPr>
              <w:rPr>
                <w:rFonts w:ascii="Arial"/>
                <w:sz w:val="21"/>
              </w:rPr>
            </w:pPr>
          </w:p>
        </w:tc>
        <w:tc>
          <w:tcPr>
            <w:tcW w:w="899" w:type="dxa"/>
            <w:vAlign w:val="top"/>
          </w:tcPr>
          <w:p w14:paraId="2D218F92">
            <w:pPr>
              <w:rPr>
                <w:rFonts w:ascii="Arial"/>
                <w:sz w:val="21"/>
              </w:rPr>
            </w:pPr>
          </w:p>
        </w:tc>
        <w:tc>
          <w:tcPr>
            <w:tcW w:w="906" w:type="dxa"/>
            <w:vAlign w:val="top"/>
          </w:tcPr>
          <w:p w14:paraId="4EA04F27">
            <w:pPr>
              <w:rPr>
                <w:rFonts w:ascii="Arial"/>
                <w:sz w:val="21"/>
              </w:rPr>
            </w:pPr>
          </w:p>
        </w:tc>
      </w:tr>
      <w:tr w14:paraId="29CE5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2AF647C9">
            <w:pPr>
              <w:rPr>
                <w:rFonts w:ascii="Arial"/>
                <w:sz w:val="21"/>
              </w:rPr>
            </w:pPr>
          </w:p>
        </w:tc>
        <w:tc>
          <w:tcPr>
            <w:tcW w:w="1258" w:type="dxa"/>
            <w:vAlign w:val="top"/>
          </w:tcPr>
          <w:p w14:paraId="474BDCF2">
            <w:pPr>
              <w:rPr>
                <w:rFonts w:ascii="Arial"/>
                <w:sz w:val="21"/>
              </w:rPr>
            </w:pPr>
          </w:p>
        </w:tc>
        <w:tc>
          <w:tcPr>
            <w:tcW w:w="2338" w:type="dxa"/>
            <w:vAlign w:val="top"/>
          </w:tcPr>
          <w:p w14:paraId="512A3678">
            <w:pPr>
              <w:rPr>
                <w:rFonts w:ascii="Arial"/>
                <w:sz w:val="21"/>
              </w:rPr>
            </w:pPr>
          </w:p>
        </w:tc>
        <w:tc>
          <w:tcPr>
            <w:tcW w:w="1258" w:type="dxa"/>
            <w:vAlign w:val="top"/>
          </w:tcPr>
          <w:p w14:paraId="59062D19">
            <w:pPr>
              <w:rPr>
                <w:rFonts w:ascii="Arial"/>
                <w:sz w:val="21"/>
              </w:rPr>
            </w:pPr>
          </w:p>
        </w:tc>
        <w:tc>
          <w:tcPr>
            <w:tcW w:w="1258" w:type="dxa"/>
            <w:vAlign w:val="top"/>
          </w:tcPr>
          <w:p w14:paraId="013098A6">
            <w:pPr>
              <w:rPr>
                <w:rFonts w:ascii="Arial"/>
                <w:sz w:val="21"/>
              </w:rPr>
            </w:pPr>
          </w:p>
        </w:tc>
        <w:tc>
          <w:tcPr>
            <w:tcW w:w="899" w:type="dxa"/>
            <w:vAlign w:val="top"/>
          </w:tcPr>
          <w:p w14:paraId="1AB60AEE">
            <w:pPr>
              <w:rPr>
                <w:rFonts w:ascii="Arial"/>
                <w:sz w:val="21"/>
              </w:rPr>
            </w:pPr>
          </w:p>
        </w:tc>
        <w:tc>
          <w:tcPr>
            <w:tcW w:w="906" w:type="dxa"/>
            <w:vAlign w:val="top"/>
          </w:tcPr>
          <w:p w14:paraId="7AB7C631">
            <w:pPr>
              <w:rPr>
                <w:rFonts w:ascii="Arial"/>
                <w:sz w:val="21"/>
              </w:rPr>
            </w:pPr>
          </w:p>
        </w:tc>
      </w:tr>
      <w:tr w14:paraId="56CA8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43715126">
            <w:pPr>
              <w:rPr>
                <w:rFonts w:ascii="Arial"/>
                <w:sz w:val="21"/>
              </w:rPr>
            </w:pPr>
          </w:p>
        </w:tc>
        <w:tc>
          <w:tcPr>
            <w:tcW w:w="1258" w:type="dxa"/>
            <w:vAlign w:val="top"/>
          </w:tcPr>
          <w:p w14:paraId="2AB31EDC">
            <w:pPr>
              <w:rPr>
                <w:rFonts w:ascii="Arial"/>
                <w:sz w:val="21"/>
              </w:rPr>
            </w:pPr>
          </w:p>
        </w:tc>
        <w:tc>
          <w:tcPr>
            <w:tcW w:w="2338" w:type="dxa"/>
            <w:vAlign w:val="top"/>
          </w:tcPr>
          <w:p w14:paraId="685CB79E">
            <w:pPr>
              <w:rPr>
                <w:rFonts w:ascii="Arial"/>
                <w:sz w:val="21"/>
              </w:rPr>
            </w:pPr>
          </w:p>
        </w:tc>
        <w:tc>
          <w:tcPr>
            <w:tcW w:w="1258" w:type="dxa"/>
            <w:vAlign w:val="top"/>
          </w:tcPr>
          <w:p w14:paraId="6BF3FE7D">
            <w:pPr>
              <w:rPr>
                <w:rFonts w:ascii="Arial"/>
                <w:sz w:val="21"/>
              </w:rPr>
            </w:pPr>
          </w:p>
        </w:tc>
        <w:tc>
          <w:tcPr>
            <w:tcW w:w="1258" w:type="dxa"/>
            <w:vAlign w:val="top"/>
          </w:tcPr>
          <w:p w14:paraId="62B22149">
            <w:pPr>
              <w:rPr>
                <w:rFonts w:ascii="Arial"/>
                <w:sz w:val="21"/>
              </w:rPr>
            </w:pPr>
          </w:p>
        </w:tc>
        <w:tc>
          <w:tcPr>
            <w:tcW w:w="899" w:type="dxa"/>
            <w:vAlign w:val="top"/>
          </w:tcPr>
          <w:p w14:paraId="0AFEAE3E">
            <w:pPr>
              <w:rPr>
                <w:rFonts w:ascii="Arial"/>
                <w:sz w:val="21"/>
              </w:rPr>
            </w:pPr>
          </w:p>
        </w:tc>
        <w:tc>
          <w:tcPr>
            <w:tcW w:w="906" w:type="dxa"/>
            <w:vAlign w:val="top"/>
          </w:tcPr>
          <w:p w14:paraId="0D83ABB1">
            <w:pPr>
              <w:rPr>
                <w:rFonts w:ascii="Arial"/>
                <w:sz w:val="21"/>
              </w:rPr>
            </w:pPr>
          </w:p>
        </w:tc>
      </w:tr>
      <w:tr w14:paraId="6B6EB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3A156A71">
            <w:pPr>
              <w:rPr>
                <w:rFonts w:ascii="Arial"/>
                <w:sz w:val="21"/>
              </w:rPr>
            </w:pPr>
          </w:p>
        </w:tc>
        <w:tc>
          <w:tcPr>
            <w:tcW w:w="1258" w:type="dxa"/>
            <w:vAlign w:val="top"/>
          </w:tcPr>
          <w:p w14:paraId="3E8851ED">
            <w:pPr>
              <w:rPr>
                <w:rFonts w:ascii="Arial"/>
                <w:sz w:val="21"/>
              </w:rPr>
            </w:pPr>
          </w:p>
        </w:tc>
        <w:tc>
          <w:tcPr>
            <w:tcW w:w="2338" w:type="dxa"/>
            <w:vAlign w:val="top"/>
          </w:tcPr>
          <w:p w14:paraId="447E03D4">
            <w:pPr>
              <w:rPr>
                <w:rFonts w:ascii="Arial"/>
                <w:sz w:val="21"/>
              </w:rPr>
            </w:pPr>
          </w:p>
        </w:tc>
        <w:tc>
          <w:tcPr>
            <w:tcW w:w="1258" w:type="dxa"/>
            <w:vAlign w:val="top"/>
          </w:tcPr>
          <w:p w14:paraId="0ED4BE9E">
            <w:pPr>
              <w:rPr>
                <w:rFonts w:ascii="Arial"/>
                <w:sz w:val="21"/>
              </w:rPr>
            </w:pPr>
          </w:p>
        </w:tc>
        <w:tc>
          <w:tcPr>
            <w:tcW w:w="1258" w:type="dxa"/>
            <w:vAlign w:val="top"/>
          </w:tcPr>
          <w:p w14:paraId="3C5D9773">
            <w:pPr>
              <w:rPr>
                <w:rFonts w:ascii="Arial"/>
                <w:sz w:val="21"/>
              </w:rPr>
            </w:pPr>
          </w:p>
        </w:tc>
        <w:tc>
          <w:tcPr>
            <w:tcW w:w="899" w:type="dxa"/>
            <w:vAlign w:val="top"/>
          </w:tcPr>
          <w:p w14:paraId="28DD2F5B">
            <w:pPr>
              <w:rPr>
                <w:rFonts w:ascii="Arial"/>
                <w:sz w:val="21"/>
              </w:rPr>
            </w:pPr>
          </w:p>
        </w:tc>
        <w:tc>
          <w:tcPr>
            <w:tcW w:w="906" w:type="dxa"/>
            <w:vAlign w:val="top"/>
          </w:tcPr>
          <w:p w14:paraId="48EE75AC">
            <w:pPr>
              <w:rPr>
                <w:rFonts w:ascii="Arial"/>
                <w:sz w:val="21"/>
              </w:rPr>
            </w:pPr>
          </w:p>
        </w:tc>
      </w:tr>
      <w:tr w14:paraId="24C8F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2E94BA0D">
            <w:pPr>
              <w:rPr>
                <w:rFonts w:ascii="Arial"/>
                <w:sz w:val="21"/>
              </w:rPr>
            </w:pPr>
          </w:p>
        </w:tc>
        <w:tc>
          <w:tcPr>
            <w:tcW w:w="1258" w:type="dxa"/>
            <w:vAlign w:val="top"/>
          </w:tcPr>
          <w:p w14:paraId="21929575">
            <w:pPr>
              <w:rPr>
                <w:rFonts w:ascii="Arial"/>
                <w:sz w:val="21"/>
              </w:rPr>
            </w:pPr>
          </w:p>
        </w:tc>
        <w:tc>
          <w:tcPr>
            <w:tcW w:w="2338" w:type="dxa"/>
            <w:vAlign w:val="top"/>
          </w:tcPr>
          <w:p w14:paraId="1077F311">
            <w:pPr>
              <w:rPr>
                <w:rFonts w:ascii="Arial"/>
                <w:sz w:val="21"/>
              </w:rPr>
            </w:pPr>
          </w:p>
        </w:tc>
        <w:tc>
          <w:tcPr>
            <w:tcW w:w="1258" w:type="dxa"/>
            <w:vAlign w:val="top"/>
          </w:tcPr>
          <w:p w14:paraId="337CC548">
            <w:pPr>
              <w:rPr>
                <w:rFonts w:ascii="Arial"/>
                <w:sz w:val="21"/>
              </w:rPr>
            </w:pPr>
          </w:p>
        </w:tc>
        <w:tc>
          <w:tcPr>
            <w:tcW w:w="1258" w:type="dxa"/>
            <w:vAlign w:val="top"/>
          </w:tcPr>
          <w:p w14:paraId="1B8682BC">
            <w:pPr>
              <w:rPr>
                <w:rFonts w:ascii="Arial"/>
                <w:sz w:val="21"/>
              </w:rPr>
            </w:pPr>
          </w:p>
        </w:tc>
        <w:tc>
          <w:tcPr>
            <w:tcW w:w="899" w:type="dxa"/>
            <w:vAlign w:val="top"/>
          </w:tcPr>
          <w:p w14:paraId="35F5BFE4">
            <w:pPr>
              <w:rPr>
                <w:rFonts w:ascii="Arial"/>
                <w:sz w:val="21"/>
              </w:rPr>
            </w:pPr>
          </w:p>
        </w:tc>
        <w:tc>
          <w:tcPr>
            <w:tcW w:w="906" w:type="dxa"/>
            <w:vAlign w:val="top"/>
          </w:tcPr>
          <w:p w14:paraId="05C94BFB">
            <w:pPr>
              <w:rPr>
                <w:rFonts w:ascii="Arial"/>
                <w:sz w:val="21"/>
              </w:rPr>
            </w:pPr>
          </w:p>
        </w:tc>
      </w:tr>
      <w:tr w14:paraId="0A3B4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36E03502">
            <w:pPr>
              <w:rPr>
                <w:rFonts w:ascii="Arial"/>
                <w:sz w:val="21"/>
              </w:rPr>
            </w:pPr>
          </w:p>
        </w:tc>
        <w:tc>
          <w:tcPr>
            <w:tcW w:w="1258" w:type="dxa"/>
            <w:vAlign w:val="top"/>
          </w:tcPr>
          <w:p w14:paraId="41094FB7">
            <w:pPr>
              <w:rPr>
                <w:rFonts w:ascii="Arial"/>
                <w:sz w:val="21"/>
              </w:rPr>
            </w:pPr>
          </w:p>
        </w:tc>
        <w:tc>
          <w:tcPr>
            <w:tcW w:w="2338" w:type="dxa"/>
            <w:vAlign w:val="top"/>
          </w:tcPr>
          <w:p w14:paraId="6DB6EEE4">
            <w:pPr>
              <w:rPr>
                <w:rFonts w:ascii="Arial"/>
                <w:sz w:val="21"/>
              </w:rPr>
            </w:pPr>
          </w:p>
        </w:tc>
        <w:tc>
          <w:tcPr>
            <w:tcW w:w="1258" w:type="dxa"/>
            <w:vAlign w:val="top"/>
          </w:tcPr>
          <w:p w14:paraId="7072BA80">
            <w:pPr>
              <w:rPr>
                <w:rFonts w:ascii="Arial"/>
                <w:sz w:val="21"/>
              </w:rPr>
            </w:pPr>
          </w:p>
        </w:tc>
        <w:tc>
          <w:tcPr>
            <w:tcW w:w="1258" w:type="dxa"/>
            <w:vAlign w:val="top"/>
          </w:tcPr>
          <w:p w14:paraId="1D1EA27D">
            <w:pPr>
              <w:rPr>
                <w:rFonts w:ascii="Arial"/>
                <w:sz w:val="21"/>
              </w:rPr>
            </w:pPr>
          </w:p>
        </w:tc>
        <w:tc>
          <w:tcPr>
            <w:tcW w:w="899" w:type="dxa"/>
            <w:vAlign w:val="top"/>
          </w:tcPr>
          <w:p w14:paraId="13E4D456">
            <w:pPr>
              <w:rPr>
                <w:rFonts w:ascii="Arial"/>
                <w:sz w:val="21"/>
              </w:rPr>
            </w:pPr>
          </w:p>
        </w:tc>
        <w:tc>
          <w:tcPr>
            <w:tcW w:w="906" w:type="dxa"/>
            <w:vAlign w:val="top"/>
          </w:tcPr>
          <w:p w14:paraId="5BB62B62">
            <w:pPr>
              <w:rPr>
                <w:rFonts w:ascii="Arial"/>
                <w:sz w:val="21"/>
              </w:rPr>
            </w:pPr>
          </w:p>
        </w:tc>
      </w:tr>
      <w:tr w14:paraId="4C545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34" w:type="dxa"/>
            <w:vAlign w:val="top"/>
          </w:tcPr>
          <w:p w14:paraId="66EF39D6">
            <w:pPr>
              <w:rPr>
                <w:rFonts w:ascii="Arial"/>
                <w:sz w:val="21"/>
              </w:rPr>
            </w:pPr>
          </w:p>
        </w:tc>
        <w:tc>
          <w:tcPr>
            <w:tcW w:w="1258" w:type="dxa"/>
            <w:vAlign w:val="top"/>
          </w:tcPr>
          <w:p w14:paraId="76C42B68">
            <w:pPr>
              <w:rPr>
                <w:rFonts w:ascii="Arial"/>
                <w:sz w:val="21"/>
              </w:rPr>
            </w:pPr>
          </w:p>
        </w:tc>
        <w:tc>
          <w:tcPr>
            <w:tcW w:w="2338" w:type="dxa"/>
            <w:vAlign w:val="top"/>
          </w:tcPr>
          <w:p w14:paraId="35C6D2CF">
            <w:pPr>
              <w:rPr>
                <w:rFonts w:ascii="Arial"/>
                <w:sz w:val="21"/>
              </w:rPr>
            </w:pPr>
          </w:p>
        </w:tc>
        <w:tc>
          <w:tcPr>
            <w:tcW w:w="1258" w:type="dxa"/>
            <w:vAlign w:val="top"/>
          </w:tcPr>
          <w:p w14:paraId="50718D1F">
            <w:pPr>
              <w:rPr>
                <w:rFonts w:ascii="Arial"/>
                <w:sz w:val="21"/>
              </w:rPr>
            </w:pPr>
          </w:p>
        </w:tc>
        <w:tc>
          <w:tcPr>
            <w:tcW w:w="1258" w:type="dxa"/>
            <w:vAlign w:val="top"/>
          </w:tcPr>
          <w:p w14:paraId="4F074872">
            <w:pPr>
              <w:rPr>
                <w:rFonts w:ascii="Arial"/>
                <w:sz w:val="21"/>
              </w:rPr>
            </w:pPr>
          </w:p>
        </w:tc>
        <w:tc>
          <w:tcPr>
            <w:tcW w:w="899" w:type="dxa"/>
            <w:vAlign w:val="top"/>
          </w:tcPr>
          <w:p w14:paraId="3DE2020D">
            <w:pPr>
              <w:rPr>
                <w:rFonts w:ascii="Arial"/>
                <w:sz w:val="21"/>
              </w:rPr>
            </w:pPr>
          </w:p>
        </w:tc>
        <w:tc>
          <w:tcPr>
            <w:tcW w:w="906" w:type="dxa"/>
            <w:vAlign w:val="top"/>
          </w:tcPr>
          <w:p w14:paraId="0861E9F6">
            <w:pPr>
              <w:rPr>
                <w:rFonts w:ascii="Arial"/>
                <w:sz w:val="21"/>
              </w:rPr>
            </w:pPr>
          </w:p>
        </w:tc>
      </w:tr>
    </w:tbl>
    <w:p w14:paraId="6AE9DD33">
      <w:pPr>
        <w:pStyle w:val="8"/>
      </w:pPr>
    </w:p>
    <w:p w14:paraId="6DF3F634">
      <w:pPr>
        <w:pStyle w:val="8"/>
      </w:pPr>
    </w:p>
    <w:p w14:paraId="71DF7FE0">
      <w:pPr>
        <w:pStyle w:val="8"/>
        <w:spacing w:line="241" w:lineRule="auto"/>
      </w:pPr>
    </w:p>
    <w:p w14:paraId="394477B0">
      <w:pPr>
        <w:pStyle w:val="8"/>
        <w:spacing w:line="241" w:lineRule="auto"/>
      </w:pPr>
    </w:p>
    <w:p w14:paraId="6F44FDE4">
      <w:pPr>
        <w:spacing w:before="78" w:line="404" w:lineRule="auto"/>
        <w:ind w:left="819" w:right="4503" w:firstLine="6"/>
        <w:rPr>
          <w:rFonts w:ascii="仿宋" w:hAnsi="仿宋" w:eastAsia="仿宋" w:cs="仿宋"/>
          <w:sz w:val="24"/>
          <w:szCs w:val="24"/>
        </w:rPr>
      </w:pPr>
      <w:r>
        <w:rPr>
          <w:rFonts w:ascii="仿宋" w:hAnsi="仿宋" w:eastAsia="仿宋" w:cs="仿宋"/>
          <w:spacing w:val="-4"/>
          <w:sz w:val="24"/>
          <w:szCs w:val="24"/>
        </w:rPr>
        <w:t>法定代表人或其委托代理人签字:</w:t>
      </w:r>
      <w:r>
        <w:rPr>
          <w:rFonts w:ascii="仿宋" w:hAnsi="仿宋" w:eastAsia="仿宋" w:cs="仿宋"/>
          <w:spacing w:val="6"/>
          <w:sz w:val="24"/>
          <w:szCs w:val="24"/>
        </w:rPr>
        <w:t xml:space="preserve"> </w:t>
      </w:r>
      <w:r>
        <w:rPr>
          <w:rFonts w:ascii="仿宋" w:hAnsi="仿宋" w:eastAsia="仿宋" w:cs="仿宋"/>
          <w:spacing w:val="-4"/>
          <w:sz w:val="24"/>
          <w:szCs w:val="24"/>
        </w:rPr>
        <w:t>供应商(盖单位章):</w:t>
      </w:r>
    </w:p>
    <w:p w14:paraId="7C1C00FD">
      <w:pPr>
        <w:spacing w:line="404" w:lineRule="auto"/>
        <w:rPr>
          <w:rFonts w:ascii="仿宋" w:hAnsi="仿宋" w:eastAsia="仿宋" w:cs="仿宋"/>
          <w:sz w:val="24"/>
          <w:szCs w:val="24"/>
        </w:rPr>
        <w:sectPr>
          <w:footerReference r:id="rId32" w:type="default"/>
          <w:pgSz w:w="11907" w:h="16840"/>
          <w:pgMar w:top="1431" w:right="1576" w:bottom="1202" w:left="1573" w:header="0" w:footer="1032" w:gutter="0"/>
          <w:pgNumType w:fmt="decimal"/>
          <w:cols w:space="720" w:num="1"/>
        </w:sectPr>
      </w:pPr>
    </w:p>
    <w:p w14:paraId="1D640DE3">
      <w:pPr>
        <w:spacing w:before="121" w:line="223" w:lineRule="auto"/>
        <w:ind w:left="2045"/>
        <w:outlineLvl w:val="2"/>
        <w:rPr>
          <w:rFonts w:ascii="仿宋" w:hAnsi="仿宋" w:eastAsia="仿宋" w:cs="仿宋"/>
          <w:sz w:val="28"/>
          <w:szCs w:val="28"/>
        </w:rPr>
      </w:pPr>
      <w:bookmarkStart w:id="103" w:name="_Toc25320"/>
      <w:r>
        <w:rPr>
          <w:rFonts w:ascii="仿宋" w:hAnsi="仿宋" w:eastAsia="仿宋" w:cs="仿宋"/>
          <w:b/>
          <w:bCs/>
          <w:spacing w:val="-5"/>
          <w:sz w:val="28"/>
          <w:szCs w:val="28"/>
        </w:rPr>
        <w:t>4.商务条款偏离表（投标文件格式四）</w:t>
      </w:r>
      <w:bookmarkEnd w:id="103"/>
    </w:p>
    <w:p w14:paraId="1AAE457C">
      <w:pPr>
        <w:spacing w:before="277" w:line="221" w:lineRule="auto"/>
        <w:ind w:left="901"/>
        <w:rPr>
          <w:rFonts w:ascii="仿宋" w:hAnsi="仿宋" w:eastAsia="仿宋" w:cs="仿宋"/>
          <w:sz w:val="24"/>
          <w:szCs w:val="24"/>
        </w:rPr>
      </w:pPr>
      <w:r>
        <w:rPr>
          <w:rFonts w:ascii="仿宋" w:hAnsi="仿宋" w:eastAsia="仿宋" w:cs="仿宋"/>
          <w:spacing w:val="-6"/>
          <w:sz w:val="24"/>
          <w:szCs w:val="24"/>
        </w:rPr>
        <w:t>项目名称:招标编号:包号：</w:t>
      </w:r>
    </w:p>
    <w:p w14:paraId="560CD24A">
      <w:pPr>
        <w:spacing w:line="144" w:lineRule="exact"/>
      </w:pPr>
    </w:p>
    <w:tbl>
      <w:tblPr>
        <w:tblStyle w:val="18"/>
        <w:tblW w:w="8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2038"/>
        <w:gridCol w:w="2516"/>
        <w:gridCol w:w="2517"/>
        <w:gridCol w:w="906"/>
      </w:tblGrid>
      <w:tr w14:paraId="15C28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54" w:type="dxa"/>
            <w:vAlign w:val="top"/>
          </w:tcPr>
          <w:p w14:paraId="3478648C">
            <w:pPr>
              <w:pStyle w:val="19"/>
              <w:spacing w:before="75" w:line="222" w:lineRule="auto"/>
              <w:ind w:left="264"/>
            </w:pPr>
            <w:r>
              <w:rPr>
                <w:spacing w:val="-8"/>
              </w:rPr>
              <w:t>序号</w:t>
            </w:r>
          </w:p>
        </w:tc>
        <w:tc>
          <w:tcPr>
            <w:tcW w:w="2038" w:type="dxa"/>
            <w:vAlign w:val="top"/>
          </w:tcPr>
          <w:p w14:paraId="00B795AE">
            <w:pPr>
              <w:pStyle w:val="19"/>
              <w:spacing w:before="75" w:line="222" w:lineRule="auto"/>
              <w:ind w:left="207"/>
            </w:pPr>
            <w:r>
              <w:rPr>
                <w:spacing w:val="-5"/>
              </w:rPr>
              <w:t>采购文件条款号</w:t>
            </w:r>
          </w:p>
        </w:tc>
        <w:tc>
          <w:tcPr>
            <w:tcW w:w="2516" w:type="dxa"/>
            <w:vAlign w:val="top"/>
          </w:tcPr>
          <w:p w14:paraId="052C2C7B">
            <w:pPr>
              <w:pStyle w:val="19"/>
              <w:spacing w:before="75" w:line="222" w:lineRule="auto"/>
              <w:ind w:left="209"/>
            </w:pPr>
            <w:r>
              <w:rPr>
                <w:spacing w:val="-4"/>
              </w:rPr>
              <w:t>采购文件的商务条款</w:t>
            </w:r>
          </w:p>
        </w:tc>
        <w:tc>
          <w:tcPr>
            <w:tcW w:w="2517" w:type="dxa"/>
            <w:vAlign w:val="top"/>
          </w:tcPr>
          <w:p w14:paraId="1DAB1EAE">
            <w:pPr>
              <w:pStyle w:val="19"/>
              <w:spacing w:before="75" w:line="222" w:lineRule="auto"/>
              <w:ind w:left="206"/>
            </w:pPr>
            <w:r>
              <w:rPr>
                <w:spacing w:val="-4"/>
              </w:rPr>
              <w:t>投标文件的商务条款</w:t>
            </w:r>
          </w:p>
        </w:tc>
        <w:tc>
          <w:tcPr>
            <w:tcW w:w="906" w:type="dxa"/>
            <w:vAlign w:val="top"/>
          </w:tcPr>
          <w:p w14:paraId="5B569C76">
            <w:pPr>
              <w:pStyle w:val="19"/>
              <w:spacing w:before="74" w:line="224" w:lineRule="auto"/>
              <w:ind w:left="244"/>
            </w:pPr>
            <w:r>
              <w:rPr>
                <w:spacing w:val="-9"/>
              </w:rPr>
              <w:t>说明</w:t>
            </w:r>
          </w:p>
        </w:tc>
      </w:tr>
      <w:tr w14:paraId="43FA1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15FC9D1A">
            <w:pPr>
              <w:rPr>
                <w:rFonts w:ascii="Arial"/>
                <w:sz w:val="21"/>
              </w:rPr>
            </w:pPr>
          </w:p>
        </w:tc>
        <w:tc>
          <w:tcPr>
            <w:tcW w:w="2038" w:type="dxa"/>
            <w:vAlign w:val="top"/>
          </w:tcPr>
          <w:p w14:paraId="1B15A5A7">
            <w:pPr>
              <w:rPr>
                <w:rFonts w:ascii="Arial"/>
                <w:sz w:val="21"/>
              </w:rPr>
            </w:pPr>
          </w:p>
        </w:tc>
        <w:tc>
          <w:tcPr>
            <w:tcW w:w="2516" w:type="dxa"/>
            <w:vAlign w:val="top"/>
          </w:tcPr>
          <w:p w14:paraId="244CCAC5">
            <w:pPr>
              <w:rPr>
                <w:rFonts w:ascii="Arial"/>
                <w:sz w:val="21"/>
              </w:rPr>
            </w:pPr>
          </w:p>
        </w:tc>
        <w:tc>
          <w:tcPr>
            <w:tcW w:w="2517" w:type="dxa"/>
            <w:vAlign w:val="top"/>
          </w:tcPr>
          <w:p w14:paraId="73F70DBA">
            <w:pPr>
              <w:rPr>
                <w:rFonts w:ascii="Arial"/>
                <w:sz w:val="21"/>
              </w:rPr>
            </w:pPr>
          </w:p>
        </w:tc>
        <w:tc>
          <w:tcPr>
            <w:tcW w:w="906" w:type="dxa"/>
            <w:vAlign w:val="top"/>
          </w:tcPr>
          <w:p w14:paraId="4C49CD51">
            <w:pPr>
              <w:rPr>
                <w:rFonts w:ascii="Arial"/>
                <w:sz w:val="21"/>
              </w:rPr>
            </w:pPr>
          </w:p>
        </w:tc>
      </w:tr>
      <w:tr w14:paraId="43DAE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6572E702">
            <w:pPr>
              <w:rPr>
                <w:rFonts w:ascii="Arial"/>
                <w:sz w:val="21"/>
              </w:rPr>
            </w:pPr>
          </w:p>
        </w:tc>
        <w:tc>
          <w:tcPr>
            <w:tcW w:w="2038" w:type="dxa"/>
            <w:vAlign w:val="top"/>
          </w:tcPr>
          <w:p w14:paraId="0786A0D4">
            <w:pPr>
              <w:rPr>
                <w:rFonts w:ascii="Arial"/>
                <w:sz w:val="21"/>
              </w:rPr>
            </w:pPr>
          </w:p>
        </w:tc>
        <w:tc>
          <w:tcPr>
            <w:tcW w:w="2516" w:type="dxa"/>
            <w:vAlign w:val="top"/>
          </w:tcPr>
          <w:p w14:paraId="02E1472C">
            <w:pPr>
              <w:rPr>
                <w:rFonts w:ascii="Arial"/>
                <w:sz w:val="21"/>
              </w:rPr>
            </w:pPr>
          </w:p>
        </w:tc>
        <w:tc>
          <w:tcPr>
            <w:tcW w:w="2517" w:type="dxa"/>
            <w:vAlign w:val="top"/>
          </w:tcPr>
          <w:p w14:paraId="5934C1AA">
            <w:pPr>
              <w:rPr>
                <w:rFonts w:ascii="Arial"/>
                <w:sz w:val="21"/>
              </w:rPr>
            </w:pPr>
          </w:p>
        </w:tc>
        <w:tc>
          <w:tcPr>
            <w:tcW w:w="906" w:type="dxa"/>
            <w:vAlign w:val="top"/>
          </w:tcPr>
          <w:p w14:paraId="09A82BC4">
            <w:pPr>
              <w:rPr>
                <w:rFonts w:ascii="Arial"/>
                <w:sz w:val="21"/>
              </w:rPr>
            </w:pPr>
          </w:p>
        </w:tc>
      </w:tr>
      <w:tr w14:paraId="71DC2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5F6E9AFD">
            <w:pPr>
              <w:rPr>
                <w:rFonts w:ascii="Arial"/>
                <w:sz w:val="21"/>
              </w:rPr>
            </w:pPr>
          </w:p>
        </w:tc>
        <w:tc>
          <w:tcPr>
            <w:tcW w:w="2038" w:type="dxa"/>
            <w:vAlign w:val="top"/>
          </w:tcPr>
          <w:p w14:paraId="531CC92D">
            <w:pPr>
              <w:rPr>
                <w:rFonts w:ascii="Arial"/>
                <w:sz w:val="21"/>
              </w:rPr>
            </w:pPr>
          </w:p>
        </w:tc>
        <w:tc>
          <w:tcPr>
            <w:tcW w:w="2516" w:type="dxa"/>
            <w:vAlign w:val="top"/>
          </w:tcPr>
          <w:p w14:paraId="59FC97B2">
            <w:pPr>
              <w:rPr>
                <w:rFonts w:ascii="Arial"/>
                <w:sz w:val="21"/>
              </w:rPr>
            </w:pPr>
          </w:p>
        </w:tc>
        <w:tc>
          <w:tcPr>
            <w:tcW w:w="2517" w:type="dxa"/>
            <w:vAlign w:val="top"/>
          </w:tcPr>
          <w:p w14:paraId="67393FF3">
            <w:pPr>
              <w:rPr>
                <w:rFonts w:ascii="Arial"/>
                <w:sz w:val="21"/>
              </w:rPr>
            </w:pPr>
          </w:p>
        </w:tc>
        <w:tc>
          <w:tcPr>
            <w:tcW w:w="906" w:type="dxa"/>
            <w:vAlign w:val="top"/>
          </w:tcPr>
          <w:p w14:paraId="51DFAA28">
            <w:pPr>
              <w:rPr>
                <w:rFonts w:ascii="Arial"/>
                <w:sz w:val="21"/>
              </w:rPr>
            </w:pPr>
          </w:p>
        </w:tc>
      </w:tr>
      <w:tr w14:paraId="33720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708EEC25">
            <w:pPr>
              <w:rPr>
                <w:rFonts w:ascii="Arial"/>
                <w:sz w:val="21"/>
              </w:rPr>
            </w:pPr>
          </w:p>
        </w:tc>
        <w:tc>
          <w:tcPr>
            <w:tcW w:w="2038" w:type="dxa"/>
            <w:vAlign w:val="top"/>
          </w:tcPr>
          <w:p w14:paraId="0982463C">
            <w:pPr>
              <w:rPr>
                <w:rFonts w:ascii="Arial"/>
                <w:sz w:val="21"/>
              </w:rPr>
            </w:pPr>
          </w:p>
        </w:tc>
        <w:tc>
          <w:tcPr>
            <w:tcW w:w="2516" w:type="dxa"/>
            <w:vAlign w:val="top"/>
          </w:tcPr>
          <w:p w14:paraId="1CFD68A7">
            <w:pPr>
              <w:rPr>
                <w:rFonts w:ascii="Arial"/>
                <w:sz w:val="21"/>
              </w:rPr>
            </w:pPr>
          </w:p>
        </w:tc>
        <w:tc>
          <w:tcPr>
            <w:tcW w:w="2517" w:type="dxa"/>
            <w:vAlign w:val="top"/>
          </w:tcPr>
          <w:p w14:paraId="26E09121">
            <w:pPr>
              <w:rPr>
                <w:rFonts w:ascii="Arial"/>
                <w:sz w:val="21"/>
              </w:rPr>
            </w:pPr>
          </w:p>
        </w:tc>
        <w:tc>
          <w:tcPr>
            <w:tcW w:w="906" w:type="dxa"/>
            <w:vAlign w:val="top"/>
          </w:tcPr>
          <w:p w14:paraId="103BCEC5">
            <w:pPr>
              <w:rPr>
                <w:rFonts w:ascii="Arial"/>
                <w:sz w:val="21"/>
              </w:rPr>
            </w:pPr>
          </w:p>
        </w:tc>
      </w:tr>
      <w:tr w14:paraId="4AA7D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2A391555">
            <w:pPr>
              <w:rPr>
                <w:rFonts w:ascii="Arial"/>
                <w:sz w:val="21"/>
              </w:rPr>
            </w:pPr>
          </w:p>
        </w:tc>
        <w:tc>
          <w:tcPr>
            <w:tcW w:w="2038" w:type="dxa"/>
            <w:vAlign w:val="top"/>
          </w:tcPr>
          <w:p w14:paraId="39785EFF">
            <w:pPr>
              <w:rPr>
                <w:rFonts w:ascii="Arial"/>
                <w:sz w:val="21"/>
              </w:rPr>
            </w:pPr>
          </w:p>
        </w:tc>
        <w:tc>
          <w:tcPr>
            <w:tcW w:w="2516" w:type="dxa"/>
            <w:vAlign w:val="top"/>
          </w:tcPr>
          <w:p w14:paraId="14737FAD">
            <w:pPr>
              <w:rPr>
                <w:rFonts w:ascii="Arial"/>
                <w:sz w:val="21"/>
              </w:rPr>
            </w:pPr>
          </w:p>
        </w:tc>
        <w:tc>
          <w:tcPr>
            <w:tcW w:w="2517" w:type="dxa"/>
            <w:vAlign w:val="top"/>
          </w:tcPr>
          <w:p w14:paraId="51118C04">
            <w:pPr>
              <w:rPr>
                <w:rFonts w:ascii="Arial"/>
                <w:sz w:val="21"/>
              </w:rPr>
            </w:pPr>
          </w:p>
        </w:tc>
        <w:tc>
          <w:tcPr>
            <w:tcW w:w="906" w:type="dxa"/>
            <w:vAlign w:val="top"/>
          </w:tcPr>
          <w:p w14:paraId="40EC8B2C">
            <w:pPr>
              <w:rPr>
                <w:rFonts w:ascii="Arial"/>
                <w:sz w:val="21"/>
              </w:rPr>
            </w:pPr>
          </w:p>
        </w:tc>
      </w:tr>
      <w:tr w14:paraId="531C0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754D8BCA">
            <w:pPr>
              <w:rPr>
                <w:rFonts w:ascii="Arial"/>
                <w:sz w:val="21"/>
              </w:rPr>
            </w:pPr>
          </w:p>
        </w:tc>
        <w:tc>
          <w:tcPr>
            <w:tcW w:w="2038" w:type="dxa"/>
            <w:vAlign w:val="top"/>
          </w:tcPr>
          <w:p w14:paraId="6CDEB175">
            <w:pPr>
              <w:rPr>
                <w:rFonts w:ascii="Arial"/>
                <w:sz w:val="21"/>
              </w:rPr>
            </w:pPr>
          </w:p>
        </w:tc>
        <w:tc>
          <w:tcPr>
            <w:tcW w:w="2516" w:type="dxa"/>
            <w:vAlign w:val="top"/>
          </w:tcPr>
          <w:p w14:paraId="7E87CC3E">
            <w:pPr>
              <w:rPr>
                <w:rFonts w:ascii="Arial"/>
                <w:sz w:val="21"/>
              </w:rPr>
            </w:pPr>
          </w:p>
        </w:tc>
        <w:tc>
          <w:tcPr>
            <w:tcW w:w="2517" w:type="dxa"/>
            <w:vAlign w:val="top"/>
          </w:tcPr>
          <w:p w14:paraId="4F8666F2">
            <w:pPr>
              <w:rPr>
                <w:rFonts w:ascii="Arial"/>
                <w:sz w:val="21"/>
              </w:rPr>
            </w:pPr>
          </w:p>
        </w:tc>
        <w:tc>
          <w:tcPr>
            <w:tcW w:w="906" w:type="dxa"/>
            <w:vAlign w:val="top"/>
          </w:tcPr>
          <w:p w14:paraId="5F52E007">
            <w:pPr>
              <w:rPr>
                <w:rFonts w:ascii="Arial"/>
                <w:sz w:val="21"/>
              </w:rPr>
            </w:pPr>
          </w:p>
        </w:tc>
      </w:tr>
      <w:tr w14:paraId="270D1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3845F870">
            <w:pPr>
              <w:rPr>
                <w:rFonts w:ascii="Arial"/>
                <w:sz w:val="21"/>
              </w:rPr>
            </w:pPr>
          </w:p>
        </w:tc>
        <w:tc>
          <w:tcPr>
            <w:tcW w:w="2038" w:type="dxa"/>
            <w:vAlign w:val="top"/>
          </w:tcPr>
          <w:p w14:paraId="41121165">
            <w:pPr>
              <w:rPr>
                <w:rFonts w:ascii="Arial"/>
                <w:sz w:val="21"/>
              </w:rPr>
            </w:pPr>
          </w:p>
        </w:tc>
        <w:tc>
          <w:tcPr>
            <w:tcW w:w="2516" w:type="dxa"/>
            <w:vAlign w:val="top"/>
          </w:tcPr>
          <w:p w14:paraId="4BC1CE7A">
            <w:pPr>
              <w:rPr>
                <w:rFonts w:ascii="Arial"/>
                <w:sz w:val="21"/>
              </w:rPr>
            </w:pPr>
          </w:p>
        </w:tc>
        <w:tc>
          <w:tcPr>
            <w:tcW w:w="2517" w:type="dxa"/>
            <w:vAlign w:val="top"/>
          </w:tcPr>
          <w:p w14:paraId="77F222E3">
            <w:pPr>
              <w:rPr>
                <w:rFonts w:ascii="Arial"/>
                <w:sz w:val="21"/>
              </w:rPr>
            </w:pPr>
          </w:p>
        </w:tc>
        <w:tc>
          <w:tcPr>
            <w:tcW w:w="906" w:type="dxa"/>
            <w:vAlign w:val="top"/>
          </w:tcPr>
          <w:p w14:paraId="59B1EA2B">
            <w:pPr>
              <w:rPr>
                <w:rFonts w:ascii="Arial"/>
                <w:sz w:val="21"/>
              </w:rPr>
            </w:pPr>
          </w:p>
        </w:tc>
      </w:tr>
      <w:tr w14:paraId="2FA27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37FCD919">
            <w:pPr>
              <w:rPr>
                <w:rFonts w:ascii="Arial"/>
                <w:sz w:val="21"/>
              </w:rPr>
            </w:pPr>
          </w:p>
        </w:tc>
        <w:tc>
          <w:tcPr>
            <w:tcW w:w="2038" w:type="dxa"/>
            <w:vAlign w:val="top"/>
          </w:tcPr>
          <w:p w14:paraId="369F4EFA">
            <w:pPr>
              <w:rPr>
                <w:rFonts w:ascii="Arial"/>
                <w:sz w:val="21"/>
              </w:rPr>
            </w:pPr>
          </w:p>
        </w:tc>
        <w:tc>
          <w:tcPr>
            <w:tcW w:w="2516" w:type="dxa"/>
            <w:vAlign w:val="top"/>
          </w:tcPr>
          <w:p w14:paraId="3D16C98B">
            <w:pPr>
              <w:rPr>
                <w:rFonts w:ascii="Arial"/>
                <w:sz w:val="21"/>
              </w:rPr>
            </w:pPr>
          </w:p>
        </w:tc>
        <w:tc>
          <w:tcPr>
            <w:tcW w:w="2517" w:type="dxa"/>
            <w:vAlign w:val="top"/>
          </w:tcPr>
          <w:p w14:paraId="5409BFAB">
            <w:pPr>
              <w:rPr>
                <w:rFonts w:ascii="Arial"/>
                <w:sz w:val="21"/>
              </w:rPr>
            </w:pPr>
          </w:p>
        </w:tc>
        <w:tc>
          <w:tcPr>
            <w:tcW w:w="906" w:type="dxa"/>
            <w:vAlign w:val="top"/>
          </w:tcPr>
          <w:p w14:paraId="32C76DD2">
            <w:pPr>
              <w:rPr>
                <w:rFonts w:ascii="Arial"/>
                <w:sz w:val="21"/>
              </w:rPr>
            </w:pPr>
          </w:p>
        </w:tc>
      </w:tr>
      <w:tr w14:paraId="0884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04799F1C">
            <w:pPr>
              <w:rPr>
                <w:rFonts w:ascii="Arial"/>
                <w:sz w:val="21"/>
              </w:rPr>
            </w:pPr>
          </w:p>
        </w:tc>
        <w:tc>
          <w:tcPr>
            <w:tcW w:w="2038" w:type="dxa"/>
            <w:vAlign w:val="top"/>
          </w:tcPr>
          <w:p w14:paraId="23A497EE">
            <w:pPr>
              <w:rPr>
                <w:rFonts w:ascii="Arial"/>
                <w:sz w:val="21"/>
              </w:rPr>
            </w:pPr>
          </w:p>
        </w:tc>
        <w:tc>
          <w:tcPr>
            <w:tcW w:w="2516" w:type="dxa"/>
            <w:vAlign w:val="top"/>
          </w:tcPr>
          <w:p w14:paraId="4BC253BC">
            <w:pPr>
              <w:rPr>
                <w:rFonts w:ascii="Arial"/>
                <w:sz w:val="21"/>
              </w:rPr>
            </w:pPr>
          </w:p>
        </w:tc>
        <w:tc>
          <w:tcPr>
            <w:tcW w:w="2517" w:type="dxa"/>
            <w:vAlign w:val="top"/>
          </w:tcPr>
          <w:p w14:paraId="1DB6D80A">
            <w:pPr>
              <w:rPr>
                <w:rFonts w:ascii="Arial"/>
                <w:sz w:val="21"/>
              </w:rPr>
            </w:pPr>
          </w:p>
        </w:tc>
        <w:tc>
          <w:tcPr>
            <w:tcW w:w="906" w:type="dxa"/>
            <w:vAlign w:val="top"/>
          </w:tcPr>
          <w:p w14:paraId="1CB499B6">
            <w:pPr>
              <w:rPr>
                <w:rFonts w:ascii="Arial"/>
                <w:sz w:val="21"/>
              </w:rPr>
            </w:pPr>
          </w:p>
        </w:tc>
      </w:tr>
      <w:tr w14:paraId="15274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2A1F6CD2">
            <w:pPr>
              <w:rPr>
                <w:rFonts w:ascii="Arial"/>
                <w:sz w:val="21"/>
              </w:rPr>
            </w:pPr>
          </w:p>
        </w:tc>
        <w:tc>
          <w:tcPr>
            <w:tcW w:w="2038" w:type="dxa"/>
            <w:vAlign w:val="top"/>
          </w:tcPr>
          <w:p w14:paraId="08A73678">
            <w:pPr>
              <w:rPr>
                <w:rFonts w:ascii="Arial"/>
                <w:sz w:val="21"/>
              </w:rPr>
            </w:pPr>
          </w:p>
        </w:tc>
        <w:tc>
          <w:tcPr>
            <w:tcW w:w="2516" w:type="dxa"/>
            <w:vAlign w:val="top"/>
          </w:tcPr>
          <w:p w14:paraId="4BE6C14C">
            <w:pPr>
              <w:rPr>
                <w:rFonts w:ascii="Arial"/>
                <w:sz w:val="21"/>
              </w:rPr>
            </w:pPr>
          </w:p>
        </w:tc>
        <w:tc>
          <w:tcPr>
            <w:tcW w:w="2517" w:type="dxa"/>
            <w:vAlign w:val="top"/>
          </w:tcPr>
          <w:p w14:paraId="7E54E874">
            <w:pPr>
              <w:rPr>
                <w:rFonts w:ascii="Arial"/>
                <w:sz w:val="21"/>
              </w:rPr>
            </w:pPr>
          </w:p>
        </w:tc>
        <w:tc>
          <w:tcPr>
            <w:tcW w:w="906" w:type="dxa"/>
            <w:vAlign w:val="top"/>
          </w:tcPr>
          <w:p w14:paraId="35F88661">
            <w:pPr>
              <w:rPr>
                <w:rFonts w:ascii="Arial"/>
                <w:sz w:val="21"/>
              </w:rPr>
            </w:pPr>
          </w:p>
        </w:tc>
      </w:tr>
      <w:tr w14:paraId="48048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296FE343">
            <w:pPr>
              <w:rPr>
                <w:rFonts w:ascii="Arial"/>
                <w:sz w:val="21"/>
              </w:rPr>
            </w:pPr>
          </w:p>
        </w:tc>
        <w:tc>
          <w:tcPr>
            <w:tcW w:w="2038" w:type="dxa"/>
            <w:vAlign w:val="top"/>
          </w:tcPr>
          <w:p w14:paraId="3293E931">
            <w:pPr>
              <w:rPr>
                <w:rFonts w:ascii="Arial"/>
                <w:sz w:val="21"/>
              </w:rPr>
            </w:pPr>
          </w:p>
        </w:tc>
        <w:tc>
          <w:tcPr>
            <w:tcW w:w="2516" w:type="dxa"/>
            <w:vAlign w:val="top"/>
          </w:tcPr>
          <w:p w14:paraId="3A5A723C">
            <w:pPr>
              <w:rPr>
                <w:rFonts w:ascii="Arial"/>
                <w:sz w:val="21"/>
              </w:rPr>
            </w:pPr>
          </w:p>
        </w:tc>
        <w:tc>
          <w:tcPr>
            <w:tcW w:w="2517" w:type="dxa"/>
            <w:vAlign w:val="top"/>
          </w:tcPr>
          <w:p w14:paraId="73A43001">
            <w:pPr>
              <w:rPr>
                <w:rFonts w:ascii="Arial"/>
                <w:sz w:val="21"/>
              </w:rPr>
            </w:pPr>
          </w:p>
        </w:tc>
        <w:tc>
          <w:tcPr>
            <w:tcW w:w="906" w:type="dxa"/>
            <w:vAlign w:val="top"/>
          </w:tcPr>
          <w:p w14:paraId="5682669B">
            <w:pPr>
              <w:rPr>
                <w:rFonts w:ascii="Arial"/>
                <w:sz w:val="21"/>
              </w:rPr>
            </w:pPr>
          </w:p>
        </w:tc>
      </w:tr>
      <w:tr w14:paraId="278D6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34A84C5F">
            <w:pPr>
              <w:rPr>
                <w:rFonts w:ascii="Arial"/>
                <w:sz w:val="21"/>
              </w:rPr>
            </w:pPr>
          </w:p>
        </w:tc>
        <w:tc>
          <w:tcPr>
            <w:tcW w:w="2038" w:type="dxa"/>
            <w:vAlign w:val="top"/>
          </w:tcPr>
          <w:p w14:paraId="1CA461FB">
            <w:pPr>
              <w:rPr>
                <w:rFonts w:ascii="Arial"/>
                <w:sz w:val="21"/>
              </w:rPr>
            </w:pPr>
          </w:p>
        </w:tc>
        <w:tc>
          <w:tcPr>
            <w:tcW w:w="2516" w:type="dxa"/>
            <w:vAlign w:val="top"/>
          </w:tcPr>
          <w:p w14:paraId="5676A410">
            <w:pPr>
              <w:rPr>
                <w:rFonts w:ascii="Arial"/>
                <w:sz w:val="21"/>
              </w:rPr>
            </w:pPr>
          </w:p>
        </w:tc>
        <w:tc>
          <w:tcPr>
            <w:tcW w:w="2517" w:type="dxa"/>
            <w:vAlign w:val="top"/>
          </w:tcPr>
          <w:p w14:paraId="20C857B8">
            <w:pPr>
              <w:rPr>
                <w:rFonts w:ascii="Arial"/>
                <w:sz w:val="21"/>
              </w:rPr>
            </w:pPr>
          </w:p>
        </w:tc>
        <w:tc>
          <w:tcPr>
            <w:tcW w:w="906" w:type="dxa"/>
            <w:vAlign w:val="top"/>
          </w:tcPr>
          <w:p w14:paraId="563547A6">
            <w:pPr>
              <w:rPr>
                <w:rFonts w:ascii="Arial"/>
                <w:sz w:val="21"/>
              </w:rPr>
            </w:pPr>
          </w:p>
        </w:tc>
      </w:tr>
      <w:tr w14:paraId="412E4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433BFF68">
            <w:pPr>
              <w:rPr>
                <w:rFonts w:ascii="Arial"/>
                <w:sz w:val="21"/>
              </w:rPr>
            </w:pPr>
          </w:p>
        </w:tc>
        <w:tc>
          <w:tcPr>
            <w:tcW w:w="2038" w:type="dxa"/>
            <w:vAlign w:val="top"/>
          </w:tcPr>
          <w:p w14:paraId="25E1B67E">
            <w:pPr>
              <w:rPr>
                <w:rFonts w:ascii="Arial"/>
                <w:sz w:val="21"/>
              </w:rPr>
            </w:pPr>
          </w:p>
        </w:tc>
        <w:tc>
          <w:tcPr>
            <w:tcW w:w="2516" w:type="dxa"/>
            <w:vAlign w:val="top"/>
          </w:tcPr>
          <w:p w14:paraId="7E405733">
            <w:pPr>
              <w:rPr>
                <w:rFonts w:ascii="Arial"/>
                <w:sz w:val="21"/>
              </w:rPr>
            </w:pPr>
          </w:p>
        </w:tc>
        <w:tc>
          <w:tcPr>
            <w:tcW w:w="2517" w:type="dxa"/>
            <w:vAlign w:val="top"/>
          </w:tcPr>
          <w:p w14:paraId="7106320A">
            <w:pPr>
              <w:rPr>
                <w:rFonts w:ascii="Arial"/>
                <w:sz w:val="21"/>
              </w:rPr>
            </w:pPr>
          </w:p>
        </w:tc>
        <w:tc>
          <w:tcPr>
            <w:tcW w:w="906" w:type="dxa"/>
            <w:vAlign w:val="top"/>
          </w:tcPr>
          <w:p w14:paraId="53E5B0ED">
            <w:pPr>
              <w:rPr>
                <w:rFonts w:ascii="Arial"/>
                <w:sz w:val="21"/>
              </w:rPr>
            </w:pPr>
          </w:p>
        </w:tc>
      </w:tr>
      <w:tr w14:paraId="13E25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2CF614B3">
            <w:pPr>
              <w:rPr>
                <w:rFonts w:ascii="Arial"/>
                <w:sz w:val="21"/>
              </w:rPr>
            </w:pPr>
          </w:p>
        </w:tc>
        <w:tc>
          <w:tcPr>
            <w:tcW w:w="2038" w:type="dxa"/>
            <w:vAlign w:val="top"/>
          </w:tcPr>
          <w:p w14:paraId="78C14A24">
            <w:pPr>
              <w:rPr>
                <w:rFonts w:ascii="Arial"/>
                <w:sz w:val="21"/>
              </w:rPr>
            </w:pPr>
          </w:p>
        </w:tc>
        <w:tc>
          <w:tcPr>
            <w:tcW w:w="2516" w:type="dxa"/>
            <w:vAlign w:val="top"/>
          </w:tcPr>
          <w:p w14:paraId="2CAFF06B">
            <w:pPr>
              <w:rPr>
                <w:rFonts w:ascii="Arial"/>
                <w:sz w:val="21"/>
              </w:rPr>
            </w:pPr>
          </w:p>
        </w:tc>
        <w:tc>
          <w:tcPr>
            <w:tcW w:w="2517" w:type="dxa"/>
            <w:vAlign w:val="top"/>
          </w:tcPr>
          <w:p w14:paraId="3A3F604F">
            <w:pPr>
              <w:rPr>
                <w:rFonts w:ascii="Arial"/>
                <w:sz w:val="21"/>
              </w:rPr>
            </w:pPr>
          </w:p>
        </w:tc>
        <w:tc>
          <w:tcPr>
            <w:tcW w:w="906" w:type="dxa"/>
            <w:vAlign w:val="top"/>
          </w:tcPr>
          <w:p w14:paraId="6F3BDE8C">
            <w:pPr>
              <w:rPr>
                <w:rFonts w:ascii="Arial"/>
                <w:sz w:val="21"/>
              </w:rPr>
            </w:pPr>
          </w:p>
        </w:tc>
      </w:tr>
      <w:tr w14:paraId="4D9D4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7D000E05">
            <w:pPr>
              <w:rPr>
                <w:rFonts w:ascii="Arial"/>
                <w:sz w:val="21"/>
              </w:rPr>
            </w:pPr>
          </w:p>
        </w:tc>
        <w:tc>
          <w:tcPr>
            <w:tcW w:w="2038" w:type="dxa"/>
            <w:vAlign w:val="top"/>
          </w:tcPr>
          <w:p w14:paraId="2B40B7F8">
            <w:pPr>
              <w:rPr>
                <w:rFonts w:ascii="Arial"/>
                <w:sz w:val="21"/>
              </w:rPr>
            </w:pPr>
          </w:p>
        </w:tc>
        <w:tc>
          <w:tcPr>
            <w:tcW w:w="2516" w:type="dxa"/>
            <w:vAlign w:val="top"/>
          </w:tcPr>
          <w:p w14:paraId="68DDF6C6">
            <w:pPr>
              <w:rPr>
                <w:rFonts w:ascii="Arial"/>
                <w:sz w:val="21"/>
              </w:rPr>
            </w:pPr>
          </w:p>
        </w:tc>
        <w:tc>
          <w:tcPr>
            <w:tcW w:w="2517" w:type="dxa"/>
            <w:vAlign w:val="top"/>
          </w:tcPr>
          <w:p w14:paraId="263C6D89">
            <w:pPr>
              <w:rPr>
                <w:rFonts w:ascii="Arial"/>
                <w:sz w:val="21"/>
              </w:rPr>
            </w:pPr>
          </w:p>
        </w:tc>
        <w:tc>
          <w:tcPr>
            <w:tcW w:w="906" w:type="dxa"/>
            <w:vAlign w:val="top"/>
          </w:tcPr>
          <w:p w14:paraId="4917067B">
            <w:pPr>
              <w:rPr>
                <w:rFonts w:ascii="Arial"/>
                <w:sz w:val="21"/>
              </w:rPr>
            </w:pPr>
          </w:p>
        </w:tc>
      </w:tr>
      <w:tr w14:paraId="1C3CE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07B511B2">
            <w:pPr>
              <w:rPr>
                <w:rFonts w:ascii="Arial"/>
                <w:sz w:val="21"/>
              </w:rPr>
            </w:pPr>
          </w:p>
        </w:tc>
        <w:tc>
          <w:tcPr>
            <w:tcW w:w="2038" w:type="dxa"/>
            <w:vAlign w:val="top"/>
          </w:tcPr>
          <w:p w14:paraId="69ECE2B8">
            <w:pPr>
              <w:rPr>
                <w:rFonts w:ascii="Arial"/>
                <w:sz w:val="21"/>
              </w:rPr>
            </w:pPr>
          </w:p>
        </w:tc>
        <w:tc>
          <w:tcPr>
            <w:tcW w:w="2516" w:type="dxa"/>
            <w:vAlign w:val="top"/>
          </w:tcPr>
          <w:p w14:paraId="1C5378DE">
            <w:pPr>
              <w:rPr>
                <w:rFonts w:ascii="Arial"/>
                <w:sz w:val="21"/>
              </w:rPr>
            </w:pPr>
          </w:p>
        </w:tc>
        <w:tc>
          <w:tcPr>
            <w:tcW w:w="2517" w:type="dxa"/>
            <w:vAlign w:val="top"/>
          </w:tcPr>
          <w:p w14:paraId="3E84B607">
            <w:pPr>
              <w:rPr>
                <w:rFonts w:ascii="Arial"/>
                <w:sz w:val="21"/>
              </w:rPr>
            </w:pPr>
          </w:p>
        </w:tc>
        <w:tc>
          <w:tcPr>
            <w:tcW w:w="906" w:type="dxa"/>
            <w:vAlign w:val="top"/>
          </w:tcPr>
          <w:p w14:paraId="70E556E5">
            <w:pPr>
              <w:rPr>
                <w:rFonts w:ascii="Arial"/>
                <w:sz w:val="21"/>
              </w:rPr>
            </w:pPr>
          </w:p>
        </w:tc>
      </w:tr>
      <w:tr w14:paraId="66C44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54" w:type="dxa"/>
            <w:vAlign w:val="top"/>
          </w:tcPr>
          <w:p w14:paraId="092B06C0">
            <w:pPr>
              <w:rPr>
                <w:rFonts w:ascii="Arial"/>
                <w:sz w:val="21"/>
              </w:rPr>
            </w:pPr>
          </w:p>
        </w:tc>
        <w:tc>
          <w:tcPr>
            <w:tcW w:w="2038" w:type="dxa"/>
            <w:vAlign w:val="top"/>
          </w:tcPr>
          <w:p w14:paraId="11F5E138">
            <w:pPr>
              <w:rPr>
                <w:rFonts w:ascii="Arial"/>
                <w:sz w:val="21"/>
              </w:rPr>
            </w:pPr>
          </w:p>
        </w:tc>
        <w:tc>
          <w:tcPr>
            <w:tcW w:w="2516" w:type="dxa"/>
            <w:vAlign w:val="top"/>
          </w:tcPr>
          <w:p w14:paraId="30F40469">
            <w:pPr>
              <w:rPr>
                <w:rFonts w:ascii="Arial"/>
                <w:sz w:val="21"/>
              </w:rPr>
            </w:pPr>
          </w:p>
        </w:tc>
        <w:tc>
          <w:tcPr>
            <w:tcW w:w="2517" w:type="dxa"/>
            <w:vAlign w:val="top"/>
          </w:tcPr>
          <w:p w14:paraId="1751105F">
            <w:pPr>
              <w:rPr>
                <w:rFonts w:ascii="Arial"/>
                <w:sz w:val="21"/>
              </w:rPr>
            </w:pPr>
          </w:p>
        </w:tc>
        <w:tc>
          <w:tcPr>
            <w:tcW w:w="906" w:type="dxa"/>
            <w:vAlign w:val="top"/>
          </w:tcPr>
          <w:p w14:paraId="6BEA6011">
            <w:pPr>
              <w:rPr>
                <w:rFonts w:ascii="Arial"/>
                <w:sz w:val="21"/>
              </w:rPr>
            </w:pPr>
          </w:p>
        </w:tc>
      </w:tr>
    </w:tbl>
    <w:p w14:paraId="38ED3416">
      <w:pPr>
        <w:pStyle w:val="8"/>
      </w:pPr>
    </w:p>
    <w:p w14:paraId="0EDF6F54">
      <w:pPr>
        <w:pStyle w:val="8"/>
      </w:pPr>
    </w:p>
    <w:p w14:paraId="2D19E7F4">
      <w:pPr>
        <w:pStyle w:val="8"/>
        <w:spacing w:line="241" w:lineRule="auto"/>
      </w:pPr>
    </w:p>
    <w:p w14:paraId="67FB8900">
      <w:pPr>
        <w:pStyle w:val="8"/>
        <w:spacing w:line="241" w:lineRule="auto"/>
      </w:pPr>
    </w:p>
    <w:p w14:paraId="0437846C">
      <w:pPr>
        <w:spacing w:before="78" w:line="404" w:lineRule="auto"/>
        <w:ind w:left="909" w:right="4593" w:firstLine="6"/>
        <w:rPr>
          <w:rFonts w:ascii="仿宋" w:hAnsi="仿宋" w:eastAsia="仿宋" w:cs="仿宋"/>
          <w:sz w:val="24"/>
          <w:szCs w:val="24"/>
        </w:rPr>
      </w:pPr>
      <w:r>
        <w:rPr>
          <w:rFonts w:ascii="仿宋" w:hAnsi="仿宋" w:eastAsia="仿宋" w:cs="仿宋"/>
          <w:spacing w:val="-4"/>
          <w:sz w:val="24"/>
          <w:szCs w:val="24"/>
        </w:rPr>
        <w:t>法定代表人或其委托代理人签字:</w:t>
      </w:r>
      <w:r>
        <w:rPr>
          <w:rFonts w:ascii="仿宋" w:hAnsi="仿宋" w:eastAsia="仿宋" w:cs="仿宋"/>
          <w:spacing w:val="6"/>
          <w:sz w:val="24"/>
          <w:szCs w:val="24"/>
        </w:rPr>
        <w:t xml:space="preserve"> </w:t>
      </w:r>
      <w:r>
        <w:rPr>
          <w:rFonts w:ascii="仿宋" w:hAnsi="仿宋" w:eastAsia="仿宋" w:cs="仿宋"/>
          <w:spacing w:val="-4"/>
          <w:sz w:val="24"/>
          <w:szCs w:val="24"/>
        </w:rPr>
        <w:t>供应商(盖单位章):</w:t>
      </w:r>
    </w:p>
    <w:p w14:paraId="1C077FE0">
      <w:pPr>
        <w:spacing w:line="404" w:lineRule="auto"/>
        <w:rPr>
          <w:rFonts w:ascii="仿宋" w:hAnsi="仿宋" w:eastAsia="仿宋" w:cs="仿宋"/>
          <w:sz w:val="24"/>
          <w:szCs w:val="24"/>
        </w:rPr>
        <w:sectPr>
          <w:footerReference r:id="rId33" w:type="default"/>
          <w:pgSz w:w="11907" w:h="16840"/>
          <w:pgMar w:top="1431" w:right="1486" w:bottom="1202" w:left="1483" w:header="0" w:footer="1032" w:gutter="0"/>
          <w:pgNumType w:fmt="decimal"/>
          <w:cols w:space="720" w:num="1"/>
        </w:sectPr>
      </w:pPr>
    </w:p>
    <w:p w14:paraId="7D7F832D">
      <w:pPr>
        <w:spacing w:before="115" w:line="221" w:lineRule="auto"/>
        <w:ind w:left="1246"/>
        <w:outlineLvl w:val="1"/>
        <w:rPr>
          <w:rFonts w:ascii="仿宋" w:hAnsi="仿宋" w:eastAsia="仿宋" w:cs="仿宋"/>
          <w:sz w:val="24"/>
          <w:szCs w:val="24"/>
        </w:rPr>
      </w:pPr>
      <w:bookmarkStart w:id="104" w:name="_Toc3056"/>
      <w:r>
        <w:rPr>
          <w:rFonts w:ascii="仿宋" w:hAnsi="仿宋" w:eastAsia="仿宋" w:cs="仿宋"/>
          <w:b/>
          <w:bCs/>
          <w:spacing w:val="-4"/>
          <w:sz w:val="24"/>
          <w:szCs w:val="24"/>
        </w:rPr>
        <w:t>5-1供应商企业（单位）类型声明函（投标文</w:t>
      </w:r>
      <w:r>
        <w:rPr>
          <w:rFonts w:ascii="仿宋" w:hAnsi="仿宋" w:eastAsia="仿宋" w:cs="仿宋"/>
          <w:b/>
          <w:bCs/>
          <w:spacing w:val="-5"/>
          <w:sz w:val="24"/>
          <w:szCs w:val="24"/>
        </w:rPr>
        <w:t>件格式五）</w:t>
      </w:r>
      <w:bookmarkEnd w:id="104"/>
    </w:p>
    <w:p w14:paraId="6F793E45">
      <w:pPr>
        <w:spacing w:before="254" w:line="404" w:lineRule="auto"/>
        <w:ind w:left="500" w:right="1375" w:hanging="484"/>
        <w:rPr>
          <w:rFonts w:ascii="仿宋" w:hAnsi="仿宋" w:eastAsia="仿宋" w:cs="仿宋"/>
          <w:sz w:val="24"/>
          <w:szCs w:val="24"/>
        </w:rPr>
      </w:pPr>
      <w:r>
        <w:rPr>
          <w:rFonts w:ascii="仿宋" w:hAnsi="仿宋" w:eastAsia="仿宋" w:cs="仿宋"/>
          <w:spacing w:val="-2"/>
          <w:sz w:val="24"/>
          <w:szCs w:val="24"/>
        </w:rPr>
        <w:t>本企业（单位）郑重声明下列事项（按照实际情况勾选或填空</w:t>
      </w:r>
      <w:r>
        <w:rPr>
          <w:rFonts w:ascii="仿宋" w:hAnsi="仿宋" w:eastAsia="仿宋" w:cs="仿宋"/>
          <w:spacing w:val="24"/>
          <w:sz w:val="24"/>
          <w:szCs w:val="24"/>
        </w:rPr>
        <w:t>）：</w:t>
      </w:r>
      <w:r>
        <w:rPr>
          <w:rFonts w:ascii="仿宋" w:hAnsi="仿宋" w:eastAsia="仿宋" w:cs="仿宋"/>
          <w:sz w:val="24"/>
          <w:szCs w:val="24"/>
        </w:rPr>
        <w:t xml:space="preserve">  </w:t>
      </w:r>
      <w:r>
        <w:rPr>
          <w:rFonts w:ascii="仿宋" w:hAnsi="仿宋" w:eastAsia="仿宋" w:cs="仿宋"/>
          <w:spacing w:val="-6"/>
          <w:sz w:val="24"/>
          <w:szCs w:val="24"/>
        </w:rPr>
        <w:t>1.</w:t>
      </w:r>
      <w:r>
        <w:rPr>
          <w:rFonts w:ascii="仿宋" w:hAnsi="仿宋" w:eastAsia="仿宋" w:cs="仿宋"/>
          <w:spacing w:val="-71"/>
          <w:sz w:val="24"/>
          <w:szCs w:val="24"/>
        </w:rPr>
        <w:t xml:space="preserve"> </w:t>
      </w:r>
      <w:r>
        <w:rPr>
          <w:rFonts w:ascii="仿宋" w:hAnsi="仿宋" w:eastAsia="仿宋" w:cs="仿宋"/>
          <w:spacing w:val="-6"/>
          <w:sz w:val="24"/>
          <w:szCs w:val="24"/>
        </w:rPr>
        <w:t>□本企业（单位）为直接供应商，提供本企业（单位）服务。</w:t>
      </w:r>
    </w:p>
    <w:p w14:paraId="2BA9E0FE">
      <w:pPr>
        <w:spacing w:before="42" w:line="349" w:lineRule="auto"/>
        <w:ind w:left="66" w:right="165" w:firstLine="244"/>
        <w:jc w:val="both"/>
        <w:rPr>
          <w:rFonts w:ascii="仿宋" w:hAnsi="仿宋" w:eastAsia="仿宋" w:cs="仿宋"/>
          <w:sz w:val="24"/>
          <w:szCs w:val="24"/>
        </w:rPr>
      </w:pPr>
      <w:r>
        <w:rPr>
          <w:rFonts w:ascii="仿宋" w:hAnsi="仿宋" w:eastAsia="仿宋" w:cs="仿宋"/>
          <w:spacing w:val="-1"/>
          <w:sz w:val="24"/>
          <w:szCs w:val="24"/>
        </w:rPr>
        <w:t>（1）根据《工业和信息化部、国家统计局、国家发展</w:t>
      </w:r>
      <w:r>
        <w:rPr>
          <w:rFonts w:ascii="仿宋" w:hAnsi="仿宋" w:eastAsia="仿宋" w:cs="仿宋"/>
          <w:spacing w:val="-2"/>
          <w:sz w:val="24"/>
          <w:szCs w:val="24"/>
        </w:rPr>
        <w:t>和改革委员会、财政部</w:t>
      </w:r>
      <w:r>
        <w:rPr>
          <w:rFonts w:ascii="仿宋" w:hAnsi="仿宋" w:eastAsia="仿宋" w:cs="仿宋"/>
          <w:sz w:val="24"/>
          <w:szCs w:val="24"/>
        </w:rPr>
        <w:t xml:space="preserve"> </w:t>
      </w:r>
      <w:r>
        <w:rPr>
          <w:rFonts w:ascii="仿宋" w:hAnsi="仿宋" w:eastAsia="仿宋" w:cs="仿宋"/>
          <w:spacing w:val="-1"/>
          <w:sz w:val="24"/>
          <w:szCs w:val="24"/>
        </w:rPr>
        <w:t>关于印发中小企业划型标准规定的通知》（工信部联企业[2011]300号）规定的</w:t>
      </w:r>
      <w:r>
        <w:rPr>
          <w:rFonts w:ascii="仿宋" w:hAnsi="仿宋" w:eastAsia="仿宋" w:cs="仿宋"/>
          <w:sz w:val="24"/>
          <w:szCs w:val="24"/>
        </w:rPr>
        <w:t xml:space="preserve"> </w:t>
      </w:r>
      <w:r>
        <w:rPr>
          <w:rFonts w:ascii="仿宋" w:hAnsi="仿宋" w:eastAsia="仿宋" w:cs="仿宋"/>
          <w:spacing w:val="-2"/>
          <w:sz w:val="24"/>
          <w:szCs w:val="24"/>
        </w:rPr>
        <w:t>划分标准，本企业为（请填写：中型、小型、微型）企业。</w:t>
      </w:r>
    </w:p>
    <w:p w14:paraId="73E31CFC">
      <w:pPr>
        <w:spacing w:before="118" w:line="290" w:lineRule="auto"/>
        <w:ind w:left="76" w:right="285" w:firstLine="411"/>
        <w:rPr>
          <w:rFonts w:ascii="仿宋" w:hAnsi="仿宋" w:eastAsia="仿宋" w:cs="仿宋"/>
          <w:sz w:val="24"/>
          <w:szCs w:val="24"/>
        </w:rPr>
      </w:pPr>
      <w:r>
        <w:rPr>
          <w:rFonts w:ascii="仿宋" w:hAnsi="仿宋" w:eastAsia="仿宋" w:cs="仿宋"/>
          <w:spacing w:val="-3"/>
          <w:sz w:val="24"/>
          <w:szCs w:val="24"/>
        </w:rPr>
        <w:t>（2）本企业（请填写：是、不是）监狱企业。后附省级以上监狱管</w:t>
      </w:r>
      <w:r>
        <w:rPr>
          <w:rFonts w:ascii="仿宋" w:hAnsi="仿宋" w:eastAsia="仿宋" w:cs="仿宋"/>
          <w:spacing w:val="-4"/>
          <w:sz w:val="24"/>
          <w:szCs w:val="24"/>
        </w:rPr>
        <w:t>理局、</w:t>
      </w:r>
      <w:r>
        <w:rPr>
          <w:rFonts w:ascii="仿宋" w:hAnsi="仿宋" w:eastAsia="仿宋" w:cs="仿宋"/>
          <w:sz w:val="24"/>
          <w:szCs w:val="24"/>
        </w:rPr>
        <w:t xml:space="preserve"> </w:t>
      </w:r>
      <w:r>
        <w:rPr>
          <w:rFonts w:ascii="仿宋" w:hAnsi="仿宋" w:eastAsia="仿宋" w:cs="仿宋"/>
          <w:spacing w:val="-3"/>
          <w:sz w:val="24"/>
          <w:szCs w:val="24"/>
        </w:rPr>
        <w:t>戒毒管理局（含新疆生产建设兵团）出具的属于监狱企业的证明文件。</w:t>
      </w:r>
    </w:p>
    <w:p w14:paraId="511BEE72">
      <w:pPr>
        <w:spacing w:before="256" w:line="289" w:lineRule="auto"/>
        <w:ind w:left="71" w:right="167" w:firstLine="416"/>
        <w:rPr>
          <w:rFonts w:ascii="仿宋" w:hAnsi="仿宋" w:eastAsia="仿宋" w:cs="仿宋"/>
          <w:sz w:val="24"/>
          <w:szCs w:val="24"/>
        </w:rPr>
      </w:pPr>
      <w:r>
        <w:rPr>
          <w:rFonts w:ascii="仿宋" w:hAnsi="仿宋" w:eastAsia="仿宋" w:cs="仿宋"/>
          <w:spacing w:val="-3"/>
          <w:sz w:val="24"/>
          <w:szCs w:val="24"/>
        </w:rPr>
        <w:t>（3）根据《关于促进残疾人就业政府采购政策的通知》（财库〔2017〕141</w:t>
      </w:r>
      <w:r>
        <w:rPr>
          <w:rFonts w:ascii="仿宋" w:hAnsi="仿宋" w:eastAsia="仿宋" w:cs="仿宋"/>
          <w:spacing w:val="7"/>
          <w:sz w:val="24"/>
          <w:szCs w:val="24"/>
        </w:rPr>
        <w:t xml:space="preserve"> </w:t>
      </w:r>
      <w:r>
        <w:rPr>
          <w:rFonts w:ascii="仿宋" w:hAnsi="仿宋" w:eastAsia="仿宋" w:cs="仿宋"/>
          <w:spacing w:val="-2"/>
          <w:sz w:val="24"/>
          <w:szCs w:val="24"/>
        </w:rPr>
        <w:t>号）。本单位（请填写：是、不是）残疾人福利性单位。</w:t>
      </w:r>
    </w:p>
    <w:p w14:paraId="6418D51F">
      <w:pPr>
        <w:spacing w:before="260" w:line="349" w:lineRule="auto"/>
        <w:ind w:left="60" w:right="244" w:firstLine="40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76"/>
          <w:sz w:val="24"/>
          <w:szCs w:val="24"/>
        </w:rPr>
        <w:t xml:space="preserve"> </w:t>
      </w:r>
      <w:r>
        <w:rPr>
          <w:rFonts w:ascii="仿宋" w:hAnsi="仿宋" w:eastAsia="仿宋" w:cs="仿宋"/>
          <w:spacing w:val="-2"/>
          <w:sz w:val="24"/>
          <w:szCs w:val="24"/>
        </w:rPr>
        <w:t>□本项目提供伴随货物，</w:t>
      </w:r>
      <w:r>
        <w:rPr>
          <w:rFonts w:ascii="仿宋" w:hAnsi="仿宋" w:eastAsia="仿宋" w:cs="仿宋"/>
          <w:spacing w:val="-71"/>
          <w:sz w:val="24"/>
          <w:szCs w:val="24"/>
        </w:rPr>
        <w:t xml:space="preserve"> </w:t>
      </w:r>
      <w:r>
        <w:rPr>
          <w:rFonts w:ascii="仿宋" w:hAnsi="仿宋" w:eastAsia="仿宋" w:cs="仿宋"/>
          <w:spacing w:val="-2"/>
          <w:sz w:val="24"/>
          <w:szCs w:val="24"/>
        </w:rPr>
        <w:t>由其他（请填写：</w:t>
      </w:r>
      <w:r>
        <w:rPr>
          <w:rFonts w:ascii="仿宋" w:hAnsi="仿宋" w:eastAsia="仿宋" w:cs="仿宋"/>
          <w:spacing w:val="-69"/>
          <w:sz w:val="24"/>
          <w:szCs w:val="24"/>
        </w:rPr>
        <w:t xml:space="preserve"> </w:t>
      </w:r>
      <w:r>
        <w:rPr>
          <w:rFonts w:ascii="仿宋" w:hAnsi="仿宋" w:eastAsia="仿宋" w:cs="仿宋"/>
          <w:spacing w:val="-2"/>
          <w:sz w:val="24"/>
          <w:szCs w:val="24"/>
        </w:rPr>
        <w:t>中型、小型、微型）企业、</w:t>
      </w:r>
      <w:r>
        <w:rPr>
          <w:rFonts w:ascii="仿宋" w:hAnsi="仿宋" w:eastAsia="仿宋" w:cs="仿宋"/>
          <w:sz w:val="24"/>
          <w:szCs w:val="24"/>
        </w:rPr>
        <w:t xml:space="preserve"> 监狱企业或残疾人福利性单位制造。本条所称货物不包括使用大型企业注册商</w:t>
      </w:r>
      <w:r>
        <w:rPr>
          <w:rFonts w:ascii="仿宋" w:hAnsi="仿宋" w:eastAsia="仿宋" w:cs="仿宋"/>
          <w:spacing w:val="7"/>
          <w:sz w:val="24"/>
          <w:szCs w:val="24"/>
        </w:rPr>
        <w:t xml:space="preserve"> </w:t>
      </w:r>
      <w:r>
        <w:rPr>
          <w:rFonts w:ascii="仿宋" w:hAnsi="仿宋" w:eastAsia="仿宋" w:cs="仿宋"/>
          <w:spacing w:val="-2"/>
          <w:sz w:val="24"/>
          <w:szCs w:val="24"/>
        </w:rPr>
        <w:t>标的货物。（后附制造商企业（单位）类型声明函）</w:t>
      </w:r>
    </w:p>
    <w:p w14:paraId="72836671">
      <w:pPr>
        <w:spacing w:before="119" w:line="349" w:lineRule="auto"/>
        <w:ind w:left="61" w:right="223" w:firstLine="411"/>
        <w:jc w:val="both"/>
        <w:rPr>
          <w:rFonts w:ascii="仿宋" w:hAnsi="仿宋" w:eastAsia="仿宋" w:cs="仿宋"/>
          <w:sz w:val="24"/>
          <w:szCs w:val="24"/>
        </w:rPr>
      </w:pPr>
      <w:r>
        <w:rPr>
          <w:rFonts w:ascii="仿宋" w:hAnsi="仿宋" w:eastAsia="仿宋" w:cs="仿宋"/>
          <w:sz w:val="24"/>
          <w:szCs w:val="24"/>
        </w:rPr>
        <w:t>3.</w:t>
      </w:r>
      <w:r>
        <w:rPr>
          <w:rFonts w:ascii="仿宋" w:hAnsi="仿宋" w:eastAsia="仿宋" w:cs="仿宋"/>
          <w:spacing w:val="-74"/>
          <w:sz w:val="24"/>
          <w:szCs w:val="24"/>
        </w:rPr>
        <w:t xml:space="preserve"> </w:t>
      </w:r>
      <w:r>
        <w:rPr>
          <w:rFonts w:ascii="仿宋" w:hAnsi="仿宋" w:eastAsia="仿宋" w:cs="仿宋"/>
          <w:sz w:val="24"/>
          <w:szCs w:val="24"/>
        </w:rPr>
        <w:t>□本企业（单位）为联合体一方，提供本企业（单位）制造的货物，</w:t>
      </w:r>
      <w:r>
        <w:rPr>
          <w:rFonts w:ascii="仿宋" w:hAnsi="仿宋" w:eastAsia="仿宋" w:cs="仿宋"/>
          <w:spacing w:val="-70"/>
          <w:sz w:val="24"/>
          <w:szCs w:val="24"/>
        </w:rPr>
        <w:t xml:space="preserve"> </w:t>
      </w:r>
      <w:r>
        <w:rPr>
          <w:rFonts w:ascii="仿宋" w:hAnsi="仿宋" w:eastAsia="仿宋" w:cs="仿宋"/>
          <w:sz w:val="24"/>
          <w:szCs w:val="24"/>
        </w:rPr>
        <w:t xml:space="preserve">由 </w:t>
      </w:r>
      <w:r>
        <w:rPr>
          <w:rFonts w:ascii="仿宋" w:hAnsi="仿宋" w:eastAsia="仿宋" w:cs="仿宋"/>
          <w:spacing w:val="1"/>
          <w:sz w:val="24"/>
          <w:szCs w:val="24"/>
        </w:rPr>
        <w:t>本企业（单位）承担工程、提供服务。本企业（单位）提供协</w:t>
      </w:r>
      <w:r>
        <w:rPr>
          <w:rFonts w:ascii="仿宋" w:hAnsi="仿宋" w:eastAsia="仿宋" w:cs="仿宋"/>
          <w:sz w:val="24"/>
          <w:szCs w:val="24"/>
        </w:rPr>
        <w:t xml:space="preserve">议合同金额占到 </w:t>
      </w:r>
      <w:r>
        <w:rPr>
          <w:rFonts w:ascii="仿宋" w:hAnsi="仿宋" w:eastAsia="仿宋" w:cs="仿宋"/>
          <w:spacing w:val="-2"/>
          <w:sz w:val="24"/>
          <w:szCs w:val="24"/>
        </w:rPr>
        <w:t>共同投标协议合同总金额的比例为。</w:t>
      </w:r>
    </w:p>
    <w:p w14:paraId="189C3CEF">
      <w:pPr>
        <w:pStyle w:val="8"/>
        <w:spacing w:line="276" w:lineRule="auto"/>
      </w:pPr>
    </w:p>
    <w:p w14:paraId="07031442">
      <w:pPr>
        <w:spacing w:before="78" w:line="220" w:lineRule="auto"/>
        <w:ind w:left="61"/>
        <w:rPr>
          <w:rFonts w:ascii="仿宋" w:hAnsi="仿宋" w:eastAsia="仿宋" w:cs="仿宋"/>
          <w:sz w:val="24"/>
          <w:szCs w:val="24"/>
        </w:rPr>
      </w:pPr>
      <w:r>
        <w:rPr>
          <w:rFonts w:ascii="仿宋" w:hAnsi="仿宋" w:eastAsia="仿宋" w:cs="仿宋"/>
          <w:spacing w:val="-2"/>
          <w:sz w:val="24"/>
          <w:szCs w:val="24"/>
        </w:rPr>
        <w:t>本企业（单位）对上述声明的真实性负责。如有虚假，将依法承担相应责任。</w:t>
      </w:r>
    </w:p>
    <w:p w14:paraId="26B1457A">
      <w:pPr>
        <w:pStyle w:val="8"/>
        <w:spacing w:line="409" w:lineRule="auto"/>
      </w:pPr>
    </w:p>
    <w:p w14:paraId="6BCA676C">
      <w:pPr>
        <w:spacing w:before="78" w:line="345" w:lineRule="auto"/>
        <w:ind w:left="557" w:right="4492" w:hanging="5"/>
        <w:rPr>
          <w:rFonts w:ascii="仿宋" w:hAnsi="仿宋" w:eastAsia="仿宋" w:cs="仿宋"/>
          <w:sz w:val="24"/>
          <w:szCs w:val="24"/>
        </w:rPr>
      </w:pPr>
      <w:r>
        <w:rPr>
          <w:rFonts w:ascii="仿宋" w:hAnsi="仿宋" w:eastAsia="仿宋" w:cs="仿宋"/>
          <w:spacing w:val="-4"/>
          <w:sz w:val="24"/>
          <w:szCs w:val="24"/>
        </w:rPr>
        <w:t>注:小微企业须提供以下证明材料</w:t>
      </w:r>
      <w:r>
        <w:rPr>
          <w:rFonts w:ascii="仿宋" w:hAnsi="仿宋" w:eastAsia="仿宋" w:cs="仿宋"/>
          <w:spacing w:val="7"/>
          <w:sz w:val="24"/>
          <w:szCs w:val="24"/>
        </w:rPr>
        <w:t xml:space="preserve"> </w:t>
      </w:r>
      <w:r>
        <w:rPr>
          <w:rFonts w:ascii="仿宋" w:hAnsi="仿宋" w:eastAsia="仿宋" w:cs="仿宋"/>
          <w:spacing w:val="-6"/>
          <w:sz w:val="24"/>
          <w:szCs w:val="24"/>
        </w:rPr>
        <w:t>1.中小企业声明函。</w:t>
      </w:r>
    </w:p>
    <w:p w14:paraId="6ECB074A">
      <w:pPr>
        <w:spacing w:before="80" w:line="343" w:lineRule="auto"/>
        <w:ind w:left="62" w:firstLine="466"/>
        <w:rPr>
          <w:rFonts w:ascii="仿宋" w:hAnsi="仿宋" w:eastAsia="仿宋" w:cs="仿宋"/>
          <w:sz w:val="24"/>
          <w:szCs w:val="24"/>
        </w:rPr>
      </w:pPr>
      <w:r>
        <w:rPr>
          <w:rFonts w:ascii="仿宋" w:hAnsi="仿宋" w:eastAsia="仿宋" w:cs="仿宋"/>
          <w:spacing w:val="7"/>
          <w:sz w:val="24"/>
          <w:szCs w:val="24"/>
        </w:rPr>
        <w:t>2.各行业主管部门出具的小微企业证明材料或政府网站“小微</w:t>
      </w:r>
      <w:r>
        <w:rPr>
          <w:rFonts w:ascii="仿宋" w:hAnsi="仿宋" w:eastAsia="仿宋" w:cs="仿宋"/>
          <w:spacing w:val="6"/>
          <w:sz w:val="24"/>
          <w:szCs w:val="24"/>
        </w:rPr>
        <w:t>企业名录</w:t>
      </w:r>
      <w:r>
        <w:rPr>
          <w:rFonts w:ascii="仿宋" w:hAnsi="仿宋" w:eastAsia="仿宋" w:cs="仿宋"/>
          <w:spacing w:val="-83"/>
          <w:sz w:val="24"/>
          <w:szCs w:val="24"/>
        </w:rPr>
        <w:t xml:space="preserve"> </w:t>
      </w:r>
      <w:r>
        <w:rPr>
          <w:rFonts w:ascii="仿宋" w:hAnsi="仿宋" w:eastAsia="仿宋" w:cs="仿宋"/>
          <w:spacing w:val="6"/>
          <w:sz w:val="24"/>
          <w:szCs w:val="24"/>
        </w:rPr>
        <w:t>”</w:t>
      </w:r>
      <w:r>
        <w:rPr>
          <w:rFonts w:ascii="仿宋" w:hAnsi="仿宋" w:eastAsia="仿宋" w:cs="仿宋"/>
          <w:sz w:val="24"/>
          <w:szCs w:val="24"/>
        </w:rPr>
        <w:t xml:space="preserve"> </w:t>
      </w:r>
      <w:r>
        <w:rPr>
          <w:rFonts w:ascii="仿宋" w:hAnsi="仿宋" w:eastAsia="仿宋" w:cs="仿宋"/>
          <w:spacing w:val="-6"/>
          <w:sz w:val="24"/>
          <w:szCs w:val="24"/>
        </w:rPr>
        <w:t>查询截图。</w:t>
      </w:r>
    </w:p>
    <w:p w14:paraId="1D699C2D">
      <w:pPr>
        <w:spacing w:before="82" w:line="220" w:lineRule="auto"/>
        <w:ind w:left="533"/>
        <w:outlineLvl w:val="2"/>
        <w:rPr>
          <w:rFonts w:ascii="仿宋" w:hAnsi="仿宋" w:eastAsia="仿宋" w:cs="仿宋"/>
          <w:sz w:val="24"/>
          <w:szCs w:val="24"/>
        </w:rPr>
      </w:pPr>
      <w:bookmarkStart w:id="105" w:name="_Toc14562"/>
      <w:r>
        <w:rPr>
          <w:rFonts w:ascii="仿宋" w:hAnsi="仿宋" w:eastAsia="仿宋" w:cs="仿宋"/>
          <w:spacing w:val="-2"/>
          <w:sz w:val="24"/>
          <w:szCs w:val="24"/>
        </w:rPr>
        <w:t>3.投标货物是小微企业自身或其它小微企业生产的证明材料。</w:t>
      </w:r>
      <w:bookmarkEnd w:id="105"/>
    </w:p>
    <w:p w14:paraId="6C53D885">
      <w:pPr>
        <w:pStyle w:val="8"/>
        <w:spacing w:line="304" w:lineRule="auto"/>
      </w:pPr>
    </w:p>
    <w:p w14:paraId="4F8BBFBA">
      <w:pPr>
        <w:pStyle w:val="8"/>
        <w:spacing w:line="304" w:lineRule="auto"/>
      </w:pPr>
    </w:p>
    <w:p w14:paraId="47E6891B">
      <w:pPr>
        <w:spacing w:before="79" w:line="377" w:lineRule="auto"/>
        <w:ind w:left="4066" w:right="1488" w:firstLine="58"/>
        <w:rPr>
          <w:rFonts w:ascii="仿宋" w:hAnsi="仿宋" w:eastAsia="仿宋" w:cs="仿宋"/>
          <w:sz w:val="24"/>
          <w:szCs w:val="24"/>
        </w:rPr>
      </w:pPr>
      <w:r>
        <w:rPr>
          <w:rFonts w:ascii="仿宋" w:hAnsi="仿宋" w:eastAsia="仿宋" w:cs="仿宋"/>
          <w:spacing w:val="2"/>
          <w:sz w:val="24"/>
          <w:szCs w:val="24"/>
        </w:rPr>
        <w:t>供应商名称（盖单位章</w:t>
      </w:r>
      <w:r>
        <w:rPr>
          <w:rFonts w:ascii="仿宋" w:hAnsi="仿宋" w:eastAsia="仿宋" w:cs="仿宋"/>
          <w:spacing w:val="-21"/>
          <w:sz w:val="24"/>
          <w:szCs w:val="24"/>
        </w:rPr>
        <w:t>）：</w:t>
      </w:r>
      <w:r>
        <w:rPr>
          <w:rFonts w:ascii="仿宋" w:hAnsi="仿宋" w:eastAsia="仿宋" w:cs="仿宋"/>
          <w:sz w:val="24"/>
          <w:szCs w:val="24"/>
        </w:rPr>
        <w:t xml:space="preserve"> </w:t>
      </w:r>
      <w:r>
        <w:rPr>
          <w:rFonts w:ascii="仿宋" w:hAnsi="仿宋" w:eastAsia="仿宋" w:cs="仿宋"/>
          <w:spacing w:val="-21"/>
          <w:sz w:val="24"/>
          <w:szCs w:val="24"/>
        </w:rPr>
        <w:t>日期：</w:t>
      </w:r>
    </w:p>
    <w:p w14:paraId="04059A9C">
      <w:pPr>
        <w:spacing w:line="377" w:lineRule="auto"/>
        <w:rPr>
          <w:rFonts w:ascii="仿宋" w:hAnsi="仿宋" w:eastAsia="仿宋" w:cs="仿宋"/>
          <w:sz w:val="24"/>
          <w:szCs w:val="24"/>
        </w:rPr>
        <w:sectPr>
          <w:footerReference r:id="rId34" w:type="default"/>
          <w:pgSz w:w="11907" w:h="16840"/>
          <w:pgMar w:top="1431" w:right="1647" w:bottom="1202" w:left="1786" w:header="0" w:footer="1032" w:gutter="0"/>
          <w:pgNumType w:fmt="decimal"/>
          <w:cols w:space="720" w:num="1"/>
        </w:sectPr>
      </w:pPr>
    </w:p>
    <w:p w14:paraId="20E7A264">
      <w:pPr>
        <w:spacing w:before="113" w:line="220" w:lineRule="auto"/>
        <w:ind w:left="1995"/>
        <w:outlineLvl w:val="1"/>
        <w:rPr>
          <w:rFonts w:ascii="仿宋" w:hAnsi="仿宋" w:eastAsia="仿宋" w:cs="仿宋"/>
          <w:sz w:val="24"/>
          <w:szCs w:val="24"/>
        </w:rPr>
      </w:pPr>
      <w:bookmarkStart w:id="106" w:name="_Toc13722"/>
      <w:r>
        <w:rPr>
          <w:rFonts w:ascii="仿宋" w:hAnsi="仿宋" w:eastAsia="仿宋" w:cs="仿宋"/>
          <w:b/>
          <w:bCs/>
          <w:spacing w:val="-5"/>
          <w:sz w:val="24"/>
          <w:szCs w:val="24"/>
        </w:rPr>
        <w:t>5-2残疾人福利性单位声明函（投标文件格式六）</w:t>
      </w:r>
      <w:bookmarkEnd w:id="106"/>
    </w:p>
    <w:p w14:paraId="6DF9D160">
      <w:pPr>
        <w:pStyle w:val="8"/>
        <w:spacing w:line="322" w:lineRule="auto"/>
      </w:pPr>
    </w:p>
    <w:p w14:paraId="2211DC30">
      <w:pPr>
        <w:pStyle w:val="8"/>
        <w:spacing w:line="322" w:lineRule="auto"/>
      </w:pPr>
    </w:p>
    <w:p w14:paraId="233B4072">
      <w:pPr>
        <w:spacing w:before="78" w:line="353" w:lineRule="auto"/>
        <w:ind w:left="58" w:right="21" w:firstLine="569"/>
        <w:jc w:val="both"/>
        <w:rPr>
          <w:rFonts w:ascii="仿宋" w:hAnsi="仿宋" w:eastAsia="仿宋" w:cs="仿宋"/>
          <w:sz w:val="24"/>
          <w:szCs w:val="24"/>
        </w:rPr>
      </w:pPr>
      <w:r>
        <w:rPr>
          <w:rFonts w:ascii="仿宋" w:hAnsi="仿宋" w:eastAsia="仿宋" w:cs="仿宋"/>
          <w:sz w:val="24"/>
          <w:szCs w:val="24"/>
        </w:rPr>
        <w:t>本单位郑重声明，根据《财政部民政部中国残疾人联合会关于促进残疾人</w:t>
      </w:r>
      <w:r>
        <w:rPr>
          <w:rFonts w:ascii="仿宋" w:hAnsi="仿宋" w:eastAsia="仿宋" w:cs="仿宋"/>
          <w:spacing w:val="3"/>
          <w:sz w:val="24"/>
          <w:szCs w:val="24"/>
        </w:rPr>
        <w:t xml:space="preserve"> </w:t>
      </w:r>
      <w:r>
        <w:rPr>
          <w:rFonts w:ascii="仿宋" w:hAnsi="仿宋" w:eastAsia="仿宋" w:cs="仿宋"/>
          <w:spacing w:val="-1"/>
          <w:sz w:val="24"/>
          <w:szCs w:val="24"/>
        </w:rPr>
        <w:t>就业政府采购政策的通知》（财库〔2017〕141号）的规定，本单位为符合条件</w:t>
      </w:r>
      <w:r>
        <w:rPr>
          <w:rFonts w:ascii="仿宋" w:hAnsi="仿宋" w:eastAsia="仿宋" w:cs="仿宋"/>
          <w:spacing w:val="6"/>
          <w:sz w:val="24"/>
          <w:szCs w:val="24"/>
        </w:rPr>
        <w:t xml:space="preserve"> </w:t>
      </w:r>
      <w:r>
        <w:rPr>
          <w:rFonts w:ascii="仿宋" w:hAnsi="仿宋" w:eastAsia="仿宋" w:cs="仿宋"/>
          <w:spacing w:val="2"/>
          <w:sz w:val="24"/>
          <w:szCs w:val="24"/>
        </w:rPr>
        <w:t>的残疾人福利性单位，且本单位参加单位的项目采购活动提供本单位制造的货</w:t>
      </w:r>
      <w:r>
        <w:rPr>
          <w:rFonts w:ascii="仿宋" w:hAnsi="仿宋" w:eastAsia="仿宋" w:cs="仿宋"/>
          <w:spacing w:val="18"/>
          <w:sz w:val="24"/>
          <w:szCs w:val="24"/>
        </w:rPr>
        <w:t xml:space="preserve"> </w:t>
      </w:r>
      <w:r>
        <w:rPr>
          <w:rFonts w:ascii="仿宋" w:hAnsi="仿宋" w:eastAsia="仿宋" w:cs="仿宋"/>
          <w:spacing w:val="3"/>
          <w:sz w:val="24"/>
          <w:szCs w:val="24"/>
        </w:rPr>
        <w:t>物，或者提供其他残疾人福利性单位制造的货物（不</w:t>
      </w:r>
      <w:r>
        <w:rPr>
          <w:rFonts w:ascii="仿宋" w:hAnsi="仿宋" w:eastAsia="仿宋" w:cs="仿宋"/>
          <w:spacing w:val="2"/>
          <w:sz w:val="24"/>
          <w:szCs w:val="24"/>
        </w:rPr>
        <w:t>包括使用非残疾人福利性</w:t>
      </w:r>
      <w:r>
        <w:rPr>
          <w:rFonts w:ascii="仿宋" w:hAnsi="仿宋" w:eastAsia="仿宋" w:cs="仿宋"/>
          <w:sz w:val="24"/>
          <w:szCs w:val="24"/>
        </w:rPr>
        <w:t xml:space="preserve"> </w:t>
      </w:r>
      <w:r>
        <w:rPr>
          <w:rFonts w:ascii="仿宋" w:hAnsi="仿宋" w:eastAsia="仿宋" w:cs="仿宋"/>
          <w:spacing w:val="-3"/>
          <w:sz w:val="24"/>
          <w:szCs w:val="24"/>
        </w:rPr>
        <w:t>单位注册商标的货物）。</w:t>
      </w:r>
    </w:p>
    <w:p w14:paraId="52FC9DB2">
      <w:pPr>
        <w:spacing w:before="62" w:line="220" w:lineRule="auto"/>
        <w:ind w:left="601"/>
        <w:rPr>
          <w:rFonts w:ascii="仿宋" w:hAnsi="仿宋" w:eastAsia="仿宋" w:cs="仿宋"/>
          <w:sz w:val="24"/>
          <w:szCs w:val="24"/>
        </w:rPr>
      </w:pPr>
      <w:r>
        <w:rPr>
          <w:rFonts w:ascii="仿宋" w:hAnsi="仿宋" w:eastAsia="仿宋" w:cs="仿宋"/>
          <w:spacing w:val="-2"/>
          <w:sz w:val="24"/>
          <w:szCs w:val="24"/>
        </w:rPr>
        <w:t>本单位对上述声明的真实性负责。如有虚假，将依法承担相应责任。</w:t>
      </w:r>
    </w:p>
    <w:p w14:paraId="6DCA43C3">
      <w:pPr>
        <w:pStyle w:val="8"/>
        <w:spacing w:line="245" w:lineRule="auto"/>
      </w:pPr>
    </w:p>
    <w:p w14:paraId="7A049E8B">
      <w:pPr>
        <w:pStyle w:val="8"/>
        <w:spacing w:line="245" w:lineRule="auto"/>
      </w:pPr>
    </w:p>
    <w:p w14:paraId="7440E5F4">
      <w:pPr>
        <w:pStyle w:val="8"/>
        <w:spacing w:line="245" w:lineRule="auto"/>
      </w:pPr>
    </w:p>
    <w:p w14:paraId="35CF2076">
      <w:pPr>
        <w:pStyle w:val="8"/>
        <w:spacing w:line="245" w:lineRule="auto"/>
      </w:pPr>
    </w:p>
    <w:p w14:paraId="1A223E91">
      <w:pPr>
        <w:pStyle w:val="8"/>
        <w:spacing w:line="245" w:lineRule="auto"/>
      </w:pPr>
    </w:p>
    <w:p w14:paraId="02DA3AB8">
      <w:pPr>
        <w:pStyle w:val="8"/>
        <w:spacing w:line="245" w:lineRule="auto"/>
      </w:pPr>
    </w:p>
    <w:p w14:paraId="7D81757F">
      <w:pPr>
        <w:pStyle w:val="8"/>
        <w:spacing w:line="245" w:lineRule="auto"/>
      </w:pPr>
    </w:p>
    <w:p w14:paraId="4C2B9002">
      <w:pPr>
        <w:pStyle w:val="8"/>
        <w:spacing w:line="245" w:lineRule="auto"/>
      </w:pPr>
    </w:p>
    <w:p w14:paraId="0CE0F5D2">
      <w:pPr>
        <w:pStyle w:val="8"/>
        <w:spacing w:line="245" w:lineRule="auto"/>
      </w:pPr>
    </w:p>
    <w:p w14:paraId="505E3648">
      <w:pPr>
        <w:pStyle w:val="8"/>
        <w:spacing w:line="245" w:lineRule="auto"/>
      </w:pPr>
    </w:p>
    <w:p w14:paraId="244ECCC6">
      <w:pPr>
        <w:pStyle w:val="8"/>
        <w:spacing w:line="246" w:lineRule="auto"/>
      </w:pPr>
    </w:p>
    <w:p w14:paraId="0038395F">
      <w:pPr>
        <w:spacing w:before="78" w:line="375" w:lineRule="auto"/>
        <w:ind w:left="3286" w:right="953" w:firstLine="106"/>
        <w:rPr>
          <w:rFonts w:ascii="仿宋" w:hAnsi="仿宋" w:eastAsia="仿宋" w:cs="仿宋"/>
          <w:sz w:val="24"/>
          <w:szCs w:val="24"/>
        </w:rPr>
      </w:pPr>
      <w:r>
        <w:rPr>
          <w:rFonts w:ascii="仿宋" w:hAnsi="仿宋" w:eastAsia="仿宋" w:cs="仿宋"/>
          <w:spacing w:val="-3"/>
          <w:sz w:val="24"/>
          <w:szCs w:val="24"/>
        </w:rPr>
        <w:t>残疾人福利性单位名称（盖单位章</w:t>
      </w:r>
      <w:r>
        <w:rPr>
          <w:rFonts w:ascii="仿宋" w:hAnsi="仿宋" w:eastAsia="仿宋" w:cs="仿宋"/>
          <w:spacing w:val="-25"/>
          <w:sz w:val="24"/>
          <w:szCs w:val="24"/>
        </w:rPr>
        <w:t>）：</w:t>
      </w:r>
      <w:r>
        <w:rPr>
          <w:rFonts w:ascii="仿宋" w:hAnsi="仿宋" w:eastAsia="仿宋" w:cs="仿宋"/>
          <w:spacing w:val="1"/>
          <w:sz w:val="24"/>
          <w:szCs w:val="24"/>
        </w:rPr>
        <w:t xml:space="preserve"> </w:t>
      </w:r>
      <w:r>
        <w:rPr>
          <w:rFonts w:ascii="仿宋" w:hAnsi="仿宋" w:eastAsia="仿宋" w:cs="仿宋"/>
          <w:spacing w:val="-23"/>
          <w:sz w:val="24"/>
          <w:szCs w:val="24"/>
        </w:rPr>
        <w:t>日期：</w:t>
      </w:r>
    </w:p>
    <w:p w14:paraId="4F63491B">
      <w:pPr>
        <w:spacing w:line="375" w:lineRule="auto"/>
        <w:rPr>
          <w:rFonts w:ascii="仿宋" w:hAnsi="仿宋" w:eastAsia="仿宋" w:cs="仿宋"/>
          <w:sz w:val="24"/>
          <w:szCs w:val="24"/>
        </w:rPr>
        <w:sectPr>
          <w:footerReference r:id="rId35" w:type="default"/>
          <w:pgSz w:w="11907" w:h="16840"/>
          <w:pgMar w:top="1431" w:right="1786" w:bottom="1202" w:left="1786" w:header="0" w:footer="1032" w:gutter="0"/>
          <w:pgNumType w:fmt="decimal"/>
          <w:cols w:space="720" w:num="1"/>
        </w:sectPr>
      </w:pPr>
    </w:p>
    <w:p w14:paraId="697F37C4">
      <w:pPr>
        <w:spacing w:before="115" w:line="222" w:lineRule="auto"/>
        <w:ind w:left="2139"/>
        <w:rPr>
          <w:rFonts w:ascii="仿宋" w:hAnsi="仿宋" w:eastAsia="仿宋" w:cs="仿宋"/>
          <w:sz w:val="24"/>
          <w:szCs w:val="24"/>
        </w:rPr>
      </w:pPr>
      <w:r>
        <w:rPr>
          <w:rFonts w:ascii="仿宋" w:hAnsi="仿宋" w:eastAsia="仿宋" w:cs="仿宋"/>
          <w:b/>
          <w:bCs/>
          <w:spacing w:val="-7"/>
          <w:sz w:val="24"/>
          <w:szCs w:val="24"/>
        </w:rPr>
        <w:t>5-3中小企业声明函（投标文件格式七）</w:t>
      </w:r>
    </w:p>
    <w:p w14:paraId="1439DCE1">
      <w:pPr>
        <w:spacing w:before="306" w:line="222" w:lineRule="auto"/>
        <w:jc w:val="center"/>
        <w:rPr>
          <w:rFonts w:ascii="仿宋" w:hAnsi="仿宋" w:eastAsia="仿宋" w:cs="仿宋"/>
          <w:sz w:val="24"/>
          <w:szCs w:val="24"/>
        </w:rPr>
      </w:pPr>
      <w:r>
        <w:rPr>
          <w:rFonts w:ascii="仿宋" w:hAnsi="仿宋" w:eastAsia="仿宋" w:cs="仿宋"/>
          <w:spacing w:val="-14"/>
          <w:sz w:val="24"/>
          <w:szCs w:val="24"/>
        </w:rPr>
        <w:t>中小企业声明函(工程、服务)</w:t>
      </w:r>
    </w:p>
    <w:p w14:paraId="5C683D23">
      <w:pPr>
        <w:spacing w:before="256" w:line="353" w:lineRule="auto"/>
        <w:ind w:left="62" w:right="19" w:firstLine="565"/>
        <w:jc w:val="both"/>
        <w:rPr>
          <w:rFonts w:ascii="仿宋" w:hAnsi="仿宋" w:eastAsia="仿宋" w:cs="仿宋"/>
          <w:sz w:val="24"/>
          <w:szCs w:val="24"/>
        </w:rPr>
      </w:pPr>
      <w:r>
        <w:rPr>
          <w:rFonts w:ascii="仿宋" w:hAnsi="仿宋" w:eastAsia="仿宋" w:cs="仿宋"/>
          <w:spacing w:val="-7"/>
          <w:sz w:val="24"/>
          <w:szCs w:val="24"/>
        </w:rPr>
        <w:t>本公司(联合体)郑重声明,根据《政府采购促进中小企业发展管理办法》(财</w:t>
      </w:r>
      <w:r>
        <w:rPr>
          <w:rFonts w:ascii="仿宋" w:hAnsi="仿宋" w:eastAsia="仿宋" w:cs="仿宋"/>
          <w:spacing w:val="11"/>
          <w:sz w:val="24"/>
          <w:szCs w:val="24"/>
        </w:rPr>
        <w:t xml:space="preserve"> </w:t>
      </w:r>
      <w:r>
        <w:rPr>
          <w:rFonts w:ascii="仿宋" w:hAnsi="仿宋" w:eastAsia="仿宋" w:cs="仿宋"/>
          <w:spacing w:val="-1"/>
          <w:sz w:val="24"/>
          <w:szCs w:val="24"/>
        </w:rPr>
        <w:t>库[2020]46号)的规定,本公司(联合体)参加(单位名称)的(项目名称)采购活动,</w:t>
      </w:r>
      <w:r>
        <w:rPr>
          <w:rFonts w:ascii="仿宋" w:hAnsi="仿宋" w:eastAsia="仿宋" w:cs="仿宋"/>
          <w:sz w:val="24"/>
          <w:szCs w:val="24"/>
        </w:rPr>
        <w:t xml:space="preserve"> </w:t>
      </w:r>
      <w:r>
        <w:rPr>
          <w:rFonts w:ascii="仿宋" w:hAnsi="仿宋" w:eastAsia="仿宋" w:cs="仿宋"/>
          <w:spacing w:val="9"/>
          <w:sz w:val="24"/>
          <w:szCs w:val="24"/>
        </w:rPr>
        <w:t>工程的施工单位全部为符合政策要求的中小企业(或者:服务全部由符政策要</w:t>
      </w:r>
      <w:r>
        <w:rPr>
          <w:rFonts w:ascii="仿宋" w:hAnsi="仿宋" w:eastAsia="仿宋" w:cs="仿宋"/>
          <w:spacing w:val="16"/>
          <w:sz w:val="24"/>
          <w:szCs w:val="24"/>
        </w:rPr>
        <w:t xml:space="preserve"> </w:t>
      </w:r>
      <w:r>
        <w:rPr>
          <w:rFonts w:ascii="仿宋" w:hAnsi="仿宋" w:eastAsia="仿宋" w:cs="仿宋"/>
          <w:spacing w:val="2"/>
          <w:sz w:val="24"/>
          <w:szCs w:val="24"/>
        </w:rPr>
        <w:t>求的中小企业承接)。相关企业(含联合体中的中小企业、签订分包意向协议的</w:t>
      </w:r>
      <w:r>
        <w:rPr>
          <w:rFonts w:ascii="仿宋" w:hAnsi="仿宋" w:eastAsia="仿宋" w:cs="仿宋"/>
          <w:spacing w:val="14"/>
          <w:sz w:val="24"/>
          <w:szCs w:val="24"/>
        </w:rPr>
        <w:t xml:space="preserve"> </w:t>
      </w:r>
      <w:r>
        <w:rPr>
          <w:rFonts w:ascii="仿宋" w:hAnsi="仿宋" w:eastAsia="仿宋" w:cs="仿宋"/>
          <w:spacing w:val="-4"/>
          <w:sz w:val="24"/>
          <w:szCs w:val="24"/>
        </w:rPr>
        <w:t>中小企业)的具体情况如下:</w:t>
      </w:r>
    </w:p>
    <w:p w14:paraId="48CF7AA8">
      <w:pPr>
        <w:spacing w:before="77" w:line="349" w:lineRule="auto"/>
        <w:ind w:left="63" w:right="24" w:firstLine="581"/>
        <w:jc w:val="both"/>
        <w:rPr>
          <w:rFonts w:ascii="仿宋" w:hAnsi="仿宋" w:eastAsia="仿宋" w:cs="仿宋"/>
          <w:sz w:val="24"/>
          <w:szCs w:val="24"/>
        </w:rPr>
      </w:pPr>
      <w:r>
        <w:rPr>
          <w:rFonts w:ascii="仿宋" w:hAnsi="仿宋" w:eastAsia="仿宋" w:cs="仿宋"/>
          <w:spacing w:val="1"/>
          <w:sz w:val="24"/>
          <w:szCs w:val="24"/>
        </w:rPr>
        <w:t>1.</w:t>
      </w:r>
      <w:r>
        <w:rPr>
          <w:rFonts w:ascii="仿宋" w:hAnsi="仿宋" w:eastAsia="仿宋" w:cs="仿宋"/>
          <w:spacing w:val="-53"/>
          <w:sz w:val="24"/>
          <w:szCs w:val="24"/>
        </w:rPr>
        <w:t xml:space="preserve"> </w:t>
      </w:r>
      <w:r>
        <w:rPr>
          <w:rFonts w:ascii="仿宋" w:hAnsi="仿宋" w:eastAsia="仿宋" w:cs="仿宋"/>
          <w:spacing w:val="1"/>
          <w:sz w:val="24"/>
          <w:szCs w:val="24"/>
        </w:rPr>
        <w:t>(标的名称),属于(采购文件中明确的所属行业);承建(承接)企业为(企</w:t>
      </w:r>
      <w:r>
        <w:rPr>
          <w:rFonts w:ascii="仿宋" w:hAnsi="仿宋" w:eastAsia="仿宋" w:cs="仿宋"/>
          <w:sz w:val="24"/>
          <w:szCs w:val="24"/>
        </w:rPr>
        <w:t xml:space="preserve"> </w:t>
      </w:r>
      <w:r>
        <w:rPr>
          <w:rFonts w:ascii="仿宋" w:hAnsi="仿宋" w:eastAsia="仿宋" w:cs="仿宋"/>
          <w:spacing w:val="-1"/>
          <w:sz w:val="24"/>
          <w:szCs w:val="24"/>
        </w:rPr>
        <w:t>业名称),从业人员人,营业收入为万元,资产总额为万元2,属于(中型企业、小型</w:t>
      </w:r>
      <w:r>
        <w:rPr>
          <w:rFonts w:ascii="仿宋" w:hAnsi="仿宋" w:eastAsia="仿宋" w:cs="仿宋"/>
          <w:spacing w:val="4"/>
          <w:sz w:val="24"/>
          <w:szCs w:val="24"/>
        </w:rPr>
        <w:t xml:space="preserve"> </w:t>
      </w:r>
      <w:r>
        <w:rPr>
          <w:rFonts w:ascii="仿宋" w:hAnsi="仿宋" w:eastAsia="仿宋" w:cs="仿宋"/>
          <w:spacing w:val="-4"/>
          <w:sz w:val="24"/>
          <w:szCs w:val="24"/>
        </w:rPr>
        <w:t>企业、微型企业);</w:t>
      </w:r>
    </w:p>
    <w:p w14:paraId="2BD6E729">
      <w:pPr>
        <w:spacing w:before="76" w:line="350" w:lineRule="auto"/>
        <w:ind w:left="68" w:right="26" w:firstLine="547"/>
        <w:jc w:val="both"/>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65"/>
          <w:sz w:val="24"/>
          <w:szCs w:val="24"/>
        </w:rPr>
        <w:t xml:space="preserve"> </w:t>
      </w:r>
      <w:r>
        <w:rPr>
          <w:rFonts w:ascii="仿宋" w:hAnsi="仿宋" w:eastAsia="仿宋" w:cs="仿宋"/>
          <w:spacing w:val="2"/>
          <w:sz w:val="24"/>
          <w:szCs w:val="24"/>
        </w:rPr>
        <w:t>(标的名称),属于(采购文件中明确的所属行业);承建(承接)企业为(企</w:t>
      </w:r>
      <w:r>
        <w:rPr>
          <w:rFonts w:ascii="仿宋" w:hAnsi="仿宋" w:eastAsia="仿宋" w:cs="仿宋"/>
          <w:sz w:val="24"/>
          <w:szCs w:val="24"/>
        </w:rPr>
        <w:t xml:space="preserve"> </w:t>
      </w:r>
      <w:r>
        <w:rPr>
          <w:rFonts w:ascii="仿宋" w:hAnsi="仿宋" w:eastAsia="仿宋" w:cs="仿宋"/>
          <w:spacing w:val="5"/>
          <w:sz w:val="24"/>
          <w:szCs w:val="24"/>
        </w:rPr>
        <w:t>业名称),从业人员人,营业收入为万元,资产总额为万元2,属于(中型企业、小</w:t>
      </w:r>
      <w:r>
        <w:rPr>
          <w:rFonts w:ascii="仿宋" w:hAnsi="仿宋" w:eastAsia="仿宋" w:cs="仿宋"/>
          <w:spacing w:val="14"/>
          <w:sz w:val="24"/>
          <w:szCs w:val="24"/>
        </w:rPr>
        <w:t xml:space="preserve"> </w:t>
      </w:r>
      <w:r>
        <w:rPr>
          <w:rFonts w:ascii="仿宋" w:hAnsi="仿宋" w:eastAsia="仿宋" w:cs="仿宋"/>
          <w:spacing w:val="-4"/>
          <w:sz w:val="24"/>
          <w:szCs w:val="24"/>
        </w:rPr>
        <w:t>型企业、微型企业);</w:t>
      </w:r>
    </w:p>
    <w:p w14:paraId="7DA4E57D">
      <w:pPr>
        <w:spacing w:before="114" w:line="344" w:lineRule="auto"/>
        <w:ind w:left="71" w:right="45" w:firstLine="601"/>
        <w:rPr>
          <w:rFonts w:ascii="仿宋" w:hAnsi="仿宋" w:eastAsia="仿宋" w:cs="仿宋"/>
          <w:sz w:val="24"/>
          <w:szCs w:val="24"/>
        </w:rPr>
      </w:pPr>
      <w:r>
        <w:rPr>
          <w:rFonts w:ascii="仿宋" w:hAnsi="仿宋" w:eastAsia="仿宋" w:cs="仿宋"/>
          <w:spacing w:val="2"/>
          <w:sz w:val="24"/>
          <w:szCs w:val="24"/>
        </w:rPr>
        <w:t>以上企业,不属于大企业的分支机构,不存在控</w:t>
      </w:r>
      <w:r>
        <w:rPr>
          <w:rFonts w:ascii="仿宋" w:hAnsi="仿宋" w:eastAsia="仿宋" w:cs="仿宋"/>
          <w:spacing w:val="1"/>
          <w:sz w:val="24"/>
          <w:szCs w:val="24"/>
        </w:rPr>
        <w:t>股股东为大企业的情形,也</w:t>
      </w:r>
      <w:r>
        <w:rPr>
          <w:rFonts w:ascii="仿宋" w:hAnsi="仿宋" w:eastAsia="仿宋" w:cs="仿宋"/>
          <w:sz w:val="24"/>
          <w:szCs w:val="24"/>
        </w:rPr>
        <w:t xml:space="preserve"> </w:t>
      </w:r>
      <w:r>
        <w:rPr>
          <w:rFonts w:ascii="仿宋" w:hAnsi="仿宋" w:eastAsia="仿宋" w:cs="仿宋"/>
          <w:spacing w:val="-3"/>
          <w:sz w:val="24"/>
          <w:szCs w:val="24"/>
        </w:rPr>
        <w:t>不存在与大企业的负责人为同一人的情形。</w:t>
      </w:r>
    </w:p>
    <w:p w14:paraId="3F301291">
      <w:pPr>
        <w:spacing w:before="81" w:line="220" w:lineRule="auto"/>
        <w:ind w:left="628"/>
        <w:rPr>
          <w:rFonts w:ascii="仿宋" w:hAnsi="仿宋" w:eastAsia="仿宋" w:cs="仿宋"/>
          <w:sz w:val="24"/>
          <w:szCs w:val="24"/>
        </w:rPr>
      </w:pPr>
      <w:r>
        <w:rPr>
          <w:rFonts w:ascii="仿宋" w:hAnsi="仿宋" w:eastAsia="仿宋" w:cs="仿宋"/>
          <w:spacing w:val="-2"/>
          <w:sz w:val="24"/>
          <w:szCs w:val="24"/>
        </w:rPr>
        <w:t>本企业对上述声明内容的真实性负责。如有虚假,将依法承担相应责任。</w:t>
      </w:r>
    </w:p>
    <w:p w14:paraId="7AAF6517">
      <w:pPr>
        <w:pStyle w:val="8"/>
        <w:spacing w:line="261" w:lineRule="auto"/>
      </w:pPr>
    </w:p>
    <w:p w14:paraId="3BD3AA79">
      <w:pPr>
        <w:pStyle w:val="8"/>
        <w:spacing w:line="262" w:lineRule="auto"/>
      </w:pPr>
    </w:p>
    <w:p w14:paraId="48660F6F">
      <w:pPr>
        <w:pStyle w:val="8"/>
        <w:spacing w:line="262" w:lineRule="auto"/>
      </w:pPr>
    </w:p>
    <w:p w14:paraId="1E4AC2C4">
      <w:pPr>
        <w:pStyle w:val="8"/>
        <w:spacing w:line="262" w:lineRule="auto"/>
      </w:pPr>
    </w:p>
    <w:p w14:paraId="4000D15E">
      <w:pPr>
        <w:pStyle w:val="8"/>
        <w:spacing w:line="262" w:lineRule="auto"/>
      </w:pPr>
    </w:p>
    <w:p w14:paraId="7A0F3D02">
      <w:pPr>
        <w:pStyle w:val="8"/>
        <w:spacing w:line="262" w:lineRule="auto"/>
      </w:pPr>
    </w:p>
    <w:p w14:paraId="3F8DE98D">
      <w:pPr>
        <w:spacing w:before="79" w:line="344" w:lineRule="auto"/>
        <w:ind w:left="6082" w:right="580" w:hanging="97"/>
        <w:rPr>
          <w:rFonts w:ascii="仿宋" w:hAnsi="仿宋" w:eastAsia="仿宋" w:cs="仿宋"/>
          <w:sz w:val="24"/>
          <w:szCs w:val="24"/>
        </w:rPr>
      </w:pPr>
      <w:r>
        <w:rPr>
          <w:rFonts w:ascii="仿宋" w:hAnsi="仿宋" w:eastAsia="仿宋" w:cs="仿宋"/>
          <w:spacing w:val="-4"/>
          <w:sz w:val="24"/>
          <w:szCs w:val="24"/>
        </w:rPr>
        <w:t>企业名称(盖章):</w:t>
      </w:r>
      <w:r>
        <w:rPr>
          <w:rFonts w:ascii="仿宋" w:hAnsi="仿宋" w:eastAsia="仿宋" w:cs="仿宋"/>
          <w:spacing w:val="3"/>
          <w:sz w:val="24"/>
          <w:szCs w:val="24"/>
        </w:rPr>
        <w:t xml:space="preserve"> </w:t>
      </w:r>
      <w:r>
        <w:rPr>
          <w:rFonts w:ascii="仿宋" w:hAnsi="仿宋" w:eastAsia="仿宋" w:cs="仿宋"/>
          <w:spacing w:val="-31"/>
          <w:sz w:val="24"/>
          <w:szCs w:val="24"/>
        </w:rPr>
        <w:t>日期:</w:t>
      </w:r>
    </w:p>
    <w:p w14:paraId="3A515300">
      <w:pPr>
        <w:spacing w:line="344" w:lineRule="auto"/>
        <w:rPr>
          <w:rFonts w:ascii="仿宋" w:hAnsi="仿宋" w:eastAsia="仿宋" w:cs="仿宋"/>
          <w:sz w:val="24"/>
          <w:szCs w:val="24"/>
        </w:rPr>
        <w:sectPr>
          <w:footerReference r:id="rId36" w:type="default"/>
          <w:pgSz w:w="11907" w:h="16840"/>
          <w:pgMar w:top="1431" w:right="1786" w:bottom="1202" w:left="1786" w:header="0" w:footer="1032" w:gutter="0"/>
          <w:pgNumType w:fmt="decimal"/>
          <w:cols w:space="720" w:num="1"/>
        </w:sectPr>
      </w:pPr>
    </w:p>
    <w:p w14:paraId="54139EB0">
      <w:pPr>
        <w:spacing w:before="120" w:line="222" w:lineRule="auto"/>
        <w:ind w:left="2049"/>
        <w:outlineLvl w:val="2"/>
        <w:rPr>
          <w:rFonts w:ascii="仿宋" w:hAnsi="仿宋" w:eastAsia="仿宋" w:cs="仿宋"/>
          <w:sz w:val="28"/>
          <w:szCs w:val="28"/>
        </w:rPr>
      </w:pPr>
      <w:bookmarkStart w:id="107" w:name="_Toc439"/>
      <w:r>
        <w:rPr>
          <w:rFonts w:ascii="仿宋" w:hAnsi="仿宋" w:eastAsia="仿宋" w:cs="仿宋"/>
          <w:b/>
          <w:bCs/>
          <w:spacing w:val="-5"/>
          <w:sz w:val="28"/>
          <w:szCs w:val="28"/>
        </w:rPr>
        <w:t>6.供应商关联单位的说明</w:t>
      </w:r>
      <w:bookmarkEnd w:id="107"/>
    </w:p>
    <w:p w14:paraId="20CD230B">
      <w:pPr>
        <w:spacing w:before="280" w:line="219" w:lineRule="auto"/>
        <w:ind w:left="16"/>
        <w:rPr>
          <w:rFonts w:ascii="仿宋" w:hAnsi="仿宋" w:eastAsia="仿宋" w:cs="仿宋"/>
          <w:sz w:val="24"/>
          <w:szCs w:val="24"/>
        </w:rPr>
      </w:pPr>
      <w:r>
        <w:rPr>
          <w:rFonts w:ascii="仿宋" w:hAnsi="仿宋" w:eastAsia="仿宋" w:cs="仿宋"/>
          <w:spacing w:val="-2"/>
          <w:sz w:val="24"/>
          <w:szCs w:val="24"/>
        </w:rPr>
        <w:t>说明：供应商应当如实披露与本单位存在下列关联关系的单位名称：</w:t>
      </w:r>
    </w:p>
    <w:p w14:paraId="1366F855">
      <w:pPr>
        <w:spacing w:before="206" w:line="221" w:lineRule="auto"/>
        <w:ind w:left="20"/>
        <w:rPr>
          <w:rFonts w:ascii="仿宋" w:hAnsi="仿宋" w:eastAsia="仿宋" w:cs="仿宋"/>
          <w:sz w:val="24"/>
          <w:szCs w:val="24"/>
        </w:rPr>
      </w:pPr>
      <w:r>
        <w:rPr>
          <w:rFonts w:ascii="仿宋" w:hAnsi="仿宋" w:eastAsia="仿宋" w:cs="仿宋"/>
          <w:spacing w:val="-2"/>
          <w:sz w:val="24"/>
          <w:szCs w:val="24"/>
        </w:rPr>
        <w:t>（1）与供应商单位负责人为同一人的其他单位；</w:t>
      </w:r>
    </w:p>
    <w:p w14:paraId="1252EE9B">
      <w:pPr>
        <w:spacing w:before="205" w:line="219" w:lineRule="auto"/>
        <w:ind w:left="20"/>
        <w:rPr>
          <w:rFonts w:ascii="仿宋" w:hAnsi="仿宋" w:eastAsia="仿宋" w:cs="仿宋"/>
          <w:sz w:val="24"/>
          <w:szCs w:val="24"/>
        </w:rPr>
      </w:pPr>
      <w:r>
        <w:rPr>
          <w:rFonts w:ascii="仿宋" w:hAnsi="仿宋" w:eastAsia="仿宋" w:cs="仿宋"/>
          <w:spacing w:val="-2"/>
          <w:sz w:val="24"/>
          <w:szCs w:val="24"/>
        </w:rPr>
        <w:t>（2）与供应商存在直接控股、管理关系的其他单位。</w:t>
      </w:r>
    </w:p>
    <w:p w14:paraId="4E604DF2">
      <w:pPr>
        <w:spacing w:line="219" w:lineRule="auto"/>
        <w:rPr>
          <w:rFonts w:ascii="仿宋" w:hAnsi="仿宋" w:eastAsia="仿宋" w:cs="仿宋"/>
          <w:sz w:val="24"/>
          <w:szCs w:val="24"/>
        </w:rPr>
        <w:sectPr>
          <w:footerReference r:id="rId37" w:type="default"/>
          <w:pgSz w:w="11907" w:h="16840"/>
          <w:pgMar w:top="1431" w:right="1786" w:bottom="1202" w:left="1786" w:header="0" w:footer="1032" w:gutter="0"/>
          <w:pgNumType w:fmt="decimal"/>
          <w:cols w:space="720" w:num="1"/>
        </w:sectPr>
      </w:pPr>
    </w:p>
    <w:p w14:paraId="6158B4E1">
      <w:pPr>
        <w:spacing w:before="121" w:line="223" w:lineRule="auto"/>
        <w:ind w:left="2067"/>
        <w:outlineLvl w:val="1"/>
        <w:rPr>
          <w:rFonts w:ascii="仿宋" w:hAnsi="仿宋" w:eastAsia="仿宋" w:cs="仿宋"/>
          <w:sz w:val="28"/>
          <w:szCs w:val="28"/>
        </w:rPr>
      </w:pPr>
      <w:bookmarkStart w:id="108" w:name="_Toc12226"/>
      <w:r>
        <w:rPr>
          <w:rFonts w:ascii="仿宋" w:hAnsi="仿宋" w:eastAsia="仿宋" w:cs="仿宋"/>
          <w:b/>
          <w:bCs/>
          <w:spacing w:val="-7"/>
          <w:sz w:val="28"/>
          <w:szCs w:val="28"/>
        </w:rPr>
        <w:t>第四部分</w:t>
      </w:r>
      <w:r>
        <w:rPr>
          <w:rFonts w:hint="eastAsia" w:ascii="仿宋" w:hAnsi="仿宋" w:eastAsia="仿宋" w:cs="仿宋"/>
          <w:b/>
          <w:bCs/>
          <w:spacing w:val="-7"/>
          <w:sz w:val="28"/>
          <w:szCs w:val="28"/>
          <w:lang w:val="en-US" w:eastAsia="zh-CN"/>
        </w:rPr>
        <w:t xml:space="preserve"> </w:t>
      </w:r>
      <w:r>
        <w:rPr>
          <w:rFonts w:ascii="仿宋" w:hAnsi="仿宋" w:eastAsia="仿宋" w:cs="仿宋"/>
          <w:b/>
          <w:bCs/>
          <w:spacing w:val="-7"/>
          <w:sz w:val="28"/>
          <w:szCs w:val="28"/>
        </w:rPr>
        <w:t>技术投标方案</w:t>
      </w:r>
      <w:bookmarkEnd w:id="108"/>
    </w:p>
    <w:p w14:paraId="615B2494">
      <w:pPr>
        <w:pStyle w:val="8"/>
        <w:spacing w:line="267" w:lineRule="auto"/>
      </w:pPr>
    </w:p>
    <w:p w14:paraId="26EA5269">
      <w:pPr>
        <w:spacing w:before="78" w:line="345" w:lineRule="auto"/>
        <w:ind w:left="66" w:right="36" w:firstLine="475"/>
        <w:rPr>
          <w:rFonts w:ascii="仿宋" w:hAnsi="仿宋" w:eastAsia="仿宋" w:cs="仿宋"/>
          <w:sz w:val="24"/>
          <w:szCs w:val="24"/>
        </w:rPr>
      </w:pPr>
      <w:r>
        <w:rPr>
          <w:rFonts w:ascii="仿宋" w:hAnsi="仿宋" w:eastAsia="仿宋" w:cs="仿宋"/>
          <w:spacing w:val="2"/>
          <w:sz w:val="24"/>
          <w:szCs w:val="24"/>
        </w:rPr>
        <w:t>供应商应根据采购文件的要求，参照项目的具体情况及评分标准技术表内</w:t>
      </w:r>
      <w:r>
        <w:rPr>
          <w:rFonts w:ascii="仿宋" w:hAnsi="仿宋" w:eastAsia="仿宋" w:cs="仿宋"/>
          <w:spacing w:val="11"/>
          <w:sz w:val="24"/>
          <w:szCs w:val="24"/>
        </w:rPr>
        <w:t xml:space="preserve"> </w:t>
      </w:r>
      <w:r>
        <w:rPr>
          <w:rFonts w:ascii="仿宋" w:hAnsi="仿宋" w:eastAsia="仿宋" w:cs="仿宋"/>
          <w:spacing w:val="-4"/>
          <w:sz w:val="24"/>
          <w:szCs w:val="24"/>
        </w:rPr>
        <w:t>容编制技术投标方案。</w:t>
      </w:r>
    </w:p>
    <w:p w14:paraId="10AC0333">
      <w:pPr>
        <w:spacing w:line="345" w:lineRule="auto"/>
        <w:rPr>
          <w:rFonts w:ascii="仿宋" w:hAnsi="仿宋" w:eastAsia="仿宋" w:cs="仿宋"/>
          <w:sz w:val="24"/>
          <w:szCs w:val="24"/>
        </w:rPr>
        <w:sectPr>
          <w:footerReference r:id="rId38" w:type="default"/>
          <w:pgSz w:w="11907" w:h="16840"/>
          <w:pgMar w:top="1431" w:right="1786" w:bottom="1202" w:left="1786" w:header="0" w:footer="1033" w:gutter="0"/>
          <w:pgNumType w:fmt="decimal"/>
          <w:cols w:space="720" w:num="1"/>
        </w:sectPr>
      </w:pPr>
    </w:p>
    <w:p w14:paraId="22BF8353">
      <w:pPr>
        <w:spacing w:before="121" w:line="223" w:lineRule="auto"/>
        <w:ind w:left="3171"/>
        <w:outlineLvl w:val="0"/>
        <w:rPr>
          <w:rFonts w:ascii="仿宋" w:hAnsi="仿宋" w:eastAsia="仿宋" w:cs="仿宋"/>
          <w:sz w:val="28"/>
          <w:szCs w:val="28"/>
        </w:rPr>
      </w:pPr>
      <w:bookmarkStart w:id="109" w:name="bookmark44"/>
      <w:bookmarkEnd w:id="109"/>
      <w:bookmarkStart w:id="110" w:name="bookmark41"/>
      <w:bookmarkEnd w:id="110"/>
      <w:bookmarkStart w:id="111" w:name="_Toc8938"/>
      <w:r>
        <w:rPr>
          <w:rFonts w:ascii="仿宋" w:hAnsi="仿宋" w:eastAsia="仿宋" w:cs="仿宋"/>
          <w:b/>
          <w:bCs/>
          <w:spacing w:val="-11"/>
          <w:sz w:val="28"/>
          <w:szCs w:val="28"/>
        </w:rPr>
        <w:t>第5章</w:t>
      </w:r>
      <w:r>
        <w:rPr>
          <w:rFonts w:ascii="仿宋" w:hAnsi="仿宋" w:eastAsia="仿宋" w:cs="仿宋"/>
          <w:spacing w:val="9"/>
          <w:sz w:val="28"/>
          <w:szCs w:val="28"/>
        </w:rPr>
        <w:t xml:space="preserve">  </w:t>
      </w:r>
      <w:r>
        <w:rPr>
          <w:rFonts w:ascii="仿宋" w:hAnsi="仿宋" w:eastAsia="仿宋" w:cs="仿宋"/>
          <w:b/>
          <w:bCs/>
          <w:spacing w:val="-11"/>
          <w:sz w:val="28"/>
          <w:szCs w:val="28"/>
        </w:rPr>
        <w:t>采购需求</w:t>
      </w:r>
      <w:bookmarkEnd w:id="111"/>
    </w:p>
    <w:p w14:paraId="50DB1A53">
      <w:pPr>
        <w:pStyle w:val="32"/>
        <w:spacing w:line="500" w:lineRule="exact"/>
        <w:ind w:firstLine="482" w:firstLineChars="200"/>
        <w:rPr>
          <w:rFonts w:hint="eastAsia" w:ascii="仿宋_GB2312" w:hAnsi="仿宋_GB2312" w:eastAsia="仿宋_GB2312" w:cs="仿宋_GB2312"/>
          <w:b/>
          <w:bCs/>
          <w:sz w:val="24"/>
          <w:szCs w:val="24"/>
        </w:rPr>
      </w:pPr>
      <w:bookmarkStart w:id="112" w:name="bookmark49"/>
      <w:bookmarkEnd w:id="112"/>
      <w:bookmarkStart w:id="113" w:name="bookmark43"/>
      <w:bookmarkEnd w:id="113"/>
      <w:r>
        <w:rPr>
          <w:rFonts w:hint="eastAsia" w:ascii="仿宋_GB2312" w:hAnsi="仿宋_GB2312" w:eastAsia="仿宋_GB2312" w:cs="仿宋_GB2312"/>
          <w:b/>
          <w:bCs/>
          <w:sz w:val="24"/>
          <w:szCs w:val="24"/>
        </w:rPr>
        <w:t>一、项目名称、编号、资金</w:t>
      </w:r>
    </w:p>
    <w:p w14:paraId="0F27E920">
      <w:pPr>
        <w:pStyle w:val="32"/>
        <w:keepNext w:val="0"/>
        <w:keepLines w:val="0"/>
        <w:pageBreakBefore w:val="0"/>
        <w:wordWrap/>
        <w:overflowPunct/>
        <w:topLinePunct w:val="0"/>
        <w:bidi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（一）项目名称：</w:t>
      </w:r>
      <w:r>
        <w:rPr>
          <w:rFonts w:hint="eastAsia" w:ascii="仿宋_GB2312" w:hAnsi="仿宋_GB2312" w:eastAsia="仿宋_GB2312" w:cs="仿宋_GB2312"/>
          <w:sz w:val="24"/>
          <w:szCs w:val="24"/>
          <w:lang w:eastAsia="zh-CN"/>
        </w:rPr>
        <w:t>和布克赛尔蒙古自治县1-8号历史遗留采坑恢复治理项目-三次</w:t>
      </w:r>
    </w:p>
    <w:p w14:paraId="34D8BE95">
      <w:pPr>
        <w:keepNext w:val="0"/>
        <w:keepLines w:val="0"/>
        <w:pageBreakBefore w:val="0"/>
        <w:wordWrap/>
        <w:overflowPunct/>
        <w:topLinePunct w:val="0"/>
        <w:bidi w:val="0"/>
        <w:spacing w:before="78" w:line="360" w:lineRule="auto"/>
        <w:ind w:right="36" w:firstLine="488" w:firstLineChars="200"/>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（二）招标人名称：和布克赛尔蒙古自治县自然资源局</w:t>
      </w:r>
    </w:p>
    <w:p w14:paraId="0552FDD2">
      <w:pPr>
        <w:pStyle w:val="32"/>
        <w:keepNext w:val="0"/>
        <w:keepLines w:val="0"/>
        <w:pageBreakBefore w:val="0"/>
        <w:wordWrap/>
        <w:overflowPunct/>
        <w:topLinePunct w:val="0"/>
        <w:bidi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）项目编号：</w:t>
      </w:r>
      <w:r>
        <w:rPr>
          <w:rFonts w:hint="eastAsia" w:ascii="仿宋_GB2312" w:hAnsi="仿宋_GB2312" w:eastAsia="仿宋_GB2312" w:cs="仿宋_GB2312"/>
          <w:sz w:val="24"/>
          <w:szCs w:val="24"/>
          <w:lang w:eastAsia="zh-CN"/>
        </w:rPr>
        <w:t>XJZH-ZB-2024013-02</w:t>
      </w:r>
    </w:p>
    <w:p w14:paraId="609F996A">
      <w:pPr>
        <w:pStyle w:val="32"/>
        <w:keepNext w:val="0"/>
        <w:keepLines w:val="0"/>
        <w:pageBreakBefore w:val="0"/>
        <w:wordWrap/>
        <w:overflowPunct/>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）项目经费：663.36万元（其中包含方案编制费40万元）</w:t>
      </w:r>
    </w:p>
    <w:p w14:paraId="32C958E0">
      <w:pPr>
        <w:pStyle w:val="32"/>
        <w:spacing w:line="5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二、治理区范围和面积</w:t>
      </w:r>
    </w:p>
    <w:p w14:paraId="33486C54">
      <w:pPr>
        <w:pStyle w:val="32"/>
        <w:spacing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工程建设规模：完成1-6号采坑恢复治理工作及7-8号采坑修复工作。</w:t>
      </w:r>
    </w:p>
    <w:p w14:paraId="3139A22C">
      <w:pPr>
        <w:pStyle w:val="32"/>
        <w:spacing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本次包含1个治理区</w:t>
      </w:r>
      <w:r>
        <w:rPr>
          <w:rFonts w:hint="eastAsia" w:ascii="仿宋_GB2312" w:hAnsi="仿宋_GB2312" w:eastAsia="仿宋_GB2312" w:cs="仿宋_GB2312"/>
          <w:color w:val="auto"/>
          <w:sz w:val="24"/>
          <w:szCs w:val="24"/>
          <w:highlight w:val="none"/>
          <w:lang w:eastAsia="zh-CN"/>
        </w:rPr>
        <w:t>位于和布克赛尔蒙古自治县县城东南6</w:t>
      </w:r>
      <w:r>
        <w:rPr>
          <w:rFonts w:hint="eastAsia" w:ascii="仿宋_GB2312" w:hAnsi="仿宋_GB2312" w:eastAsia="仿宋_GB2312" w:cs="仿宋_GB2312"/>
          <w:color w:val="auto"/>
          <w:sz w:val="24"/>
          <w:szCs w:val="24"/>
          <w:highlight w:val="none"/>
          <w:lang w:val="en-US" w:eastAsia="zh-CN"/>
        </w:rPr>
        <w:t>0千米</w:t>
      </w:r>
      <w:r>
        <w:rPr>
          <w:rFonts w:hint="eastAsia" w:ascii="仿宋_GB2312" w:hAnsi="仿宋_GB2312" w:eastAsia="仿宋_GB2312" w:cs="仿宋_GB2312"/>
          <w:color w:val="auto"/>
          <w:sz w:val="24"/>
          <w:szCs w:val="24"/>
          <w:highlight w:val="none"/>
          <w:lang w:eastAsia="zh-CN"/>
        </w:rPr>
        <w:t>和什托洛盖镇境内，东距</w:t>
      </w:r>
      <w:r>
        <w:rPr>
          <w:rFonts w:hint="eastAsia" w:ascii="仿宋_GB2312" w:hAnsi="仿宋_GB2312" w:eastAsia="仿宋_GB2312" w:cs="仿宋_GB2312"/>
          <w:color w:val="auto"/>
          <w:sz w:val="24"/>
          <w:szCs w:val="24"/>
          <w:highlight w:val="none"/>
          <w:lang w:val="en-US" w:eastAsia="zh-CN"/>
        </w:rPr>
        <w:t>S225省道1.6千米。</w:t>
      </w:r>
    </w:p>
    <w:p w14:paraId="0B0C4FF9">
      <w:pPr>
        <w:pStyle w:val="32"/>
        <w:spacing w:line="5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治理区地理坐标为</w:t>
      </w:r>
      <w:r>
        <w:rPr>
          <w:rFonts w:hint="eastAsia" w:ascii="仿宋_GB2312" w:hAnsi="仿宋_GB2312" w:eastAsia="仿宋_GB2312" w:cs="仿宋_GB2312"/>
          <w:color w:val="auto"/>
          <w:sz w:val="24"/>
          <w:szCs w:val="24"/>
          <w:highlight w:val="none"/>
          <w:lang w:eastAsia="zh-CN"/>
        </w:rPr>
        <w:t>东经8</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57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lang w:eastAsia="zh-CN"/>
        </w:rPr>
        <w:t>″，北纬46°3</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47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。区内有简易道路相通，交通十分便利</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治理对象为1处采坑和随意混杂堆放废料堆、建筑垃圾、生活垃圾及其影响范围,面积约为</w:t>
      </w:r>
      <w:r>
        <w:rPr>
          <w:rFonts w:hint="eastAsia" w:ascii="仿宋_GB2312" w:hAnsi="仿宋_GB2312" w:eastAsia="仿宋_GB2312" w:cs="仿宋_GB2312"/>
          <w:color w:val="auto"/>
          <w:sz w:val="24"/>
          <w:szCs w:val="24"/>
          <w:highlight w:val="none"/>
          <w:lang w:val="en-US" w:eastAsia="zh-CN"/>
        </w:rPr>
        <w:t>902422</w:t>
      </w:r>
      <w:r>
        <w:rPr>
          <w:rFonts w:hint="eastAsia" w:ascii="仿宋_GB2312" w:hAnsi="仿宋_GB2312" w:eastAsia="仿宋_GB2312" w:cs="仿宋_GB2312"/>
          <w:color w:val="auto"/>
          <w:sz w:val="24"/>
          <w:szCs w:val="24"/>
          <w:highlight w:val="none"/>
        </w:rPr>
        <w:t>平方米</w:t>
      </w:r>
      <w:r>
        <w:rPr>
          <w:rFonts w:hint="eastAsia" w:ascii="仿宋_GB2312" w:hAnsi="仿宋_GB2312" w:eastAsia="仿宋_GB2312" w:cs="仿宋_GB2312"/>
          <w:color w:val="auto"/>
          <w:kern w:val="0"/>
          <w:sz w:val="24"/>
          <w:szCs w:val="24"/>
          <w:highlight w:val="none"/>
        </w:rPr>
        <w:t>。</w:t>
      </w:r>
    </w:p>
    <w:p w14:paraId="7AD96767">
      <w:pPr>
        <w:pStyle w:val="32"/>
        <w:spacing w:line="500" w:lineRule="exact"/>
        <w:ind w:firstLine="482" w:firstLineChars="200"/>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u w:val="single"/>
        </w:rPr>
        <w:t>最终治理区面积与当地自然资源主管部门沟通后确定的为准。</w:t>
      </w:r>
    </w:p>
    <w:p w14:paraId="7C09CBC9">
      <w:pPr>
        <w:pStyle w:val="32"/>
        <w:spacing w:line="500" w:lineRule="exact"/>
        <w:ind w:firstLine="482" w:firstLineChars="200"/>
        <w:rPr>
          <w:rFonts w:hint="eastAsia" w:ascii="仿宋_GB2312" w:hAnsi="仿宋_GB2312" w:eastAsia="仿宋_GB2312" w:cs="仿宋_GB2312"/>
          <w:b/>
          <w:bCs/>
          <w:sz w:val="24"/>
          <w:szCs w:val="24"/>
        </w:rPr>
      </w:pPr>
      <w:bookmarkStart w:id="114" w:name="_Toc361257022"/>
      <w:bookmarkStart w:id="115" w:name="_Toc361510097"/>
      <w:bookmarkStart w:id="116" w:name="_Toc203286356"/>
      <w:r>
        <w:rPr>
          <w:rFonts w:hint="eastAsia" w:ascii="仿宋_GB2312" w:hAnsi="仿宋_GB2312" w:eastAsia="仿宋_GB2312" w:cs="仿宋_GB2312"/>
          <w:b/>
          <w:bCs/>
          <w:sz w:val="24"/>
          <w:szCs w:val="24"/>
        </w:rPr>
        <w:t>三、社会经济概况</w:t>
      </w:r>
    </w:p>
    <w:bookmarkEnd w:id="114"/>
    <w:bookmarkEnd w:id="115"/>
    <w:bookmarkEnd w:id="116"/>
    <w:p w14:paraId="1AEAFC51">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布克赛尔蒙古自治县位于新疆伊犁州塔城地区，准噶尔盆地西北边缘，地处塔城、克拉玛依、阿勒泰三地区中心。北与阿勒泰、哈萨克斯坦共和国交界，南部与玛纳斯县、沙湾县接壤，西与额敏县、托里县以白杨河为界，东邻阿勒泰地区。县境东西长210公里，南北宽207公里，辖区总面积3.06万平方公里。和布克赛尔蒙古自治县历史悠久，早在秦汉时期就为塞种人、乌孙、匈奴等古民族的游牧地。1955年2月，改称和布克赛尔蒙古自治县，隶属塔城专区。和布克赛尔蒙古自治县辖2个镇，5个乡，4个牧场总人口</w:t>
      </w:r>
      <w:r>
        <w:rPr>
          <w:rFonts w:hint="eastAsia" w:ascii="仿宋_GB2312" w:hAnsi="仿宋_GB2312" w:eastAsia="仿宋_GB2312" w:cs="仿宋_GB2312"/>
          <w:sz w:val="24"/>
          <w:szCs w:val="24"/>
          <w:lang w:val="en-US" w:eastAsia="zh-CN"/>
        </w:rPr>
        <w:t>5.4</w:t>
      </w:r>
      <w:r>
        <w:rPr>
          <w:rFonts w:hint="eastAsia" w:ascii="仿宋_GB2312" w:hAnsi="仿宋_GB2312" w:eastAsia="仿宋_GB2312" w:cs="仿宋_GB2312"/>
          <w:sz w:val="24"/>
          <w:szCs w:val="24"/>
        </w:rPr>
        <w:t>万人。和布克赛尔县民族由蒙古族、汉族、哈萨克族等19个民族组成。</w:t>
      </w:r>
    </w:p>
    <w:p w14:paraId="79433286">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四、自然地理概况</w:t>
      </w:r>
    </w:p>
    <w:p w14:paraId="1BEAEA5F">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（一）地形地貌</w:t>
      </w:r>
    </w:p>
    <w:p w14:paraId="6CF0134E">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布克赛尔县地势北高南低，最高点为北部的赛尔山木斯套峰，海拔3835米，最低点为南部的玛纳斯湖，海拔249米。从北往南分布有高山、谷地、丘陵、平原、沙漠等多种地貌。工作区地处冲洪积砾质平原区，地形平坦开阔，工作区内有零星植被发育。</w:t>
      </w:r>
    </w:p>
    <w:p w14:paraId="5324F697">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（二）气象</w:t>
      </w:r>
    </w:p>
    <w:p w14:paraId="0D635D87">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和布克赛尔县地处内陆，远离海洋，属大陆性北温带干旱气候，由于纬度及地形的差异，和布克赛尔县分为两个大的不同气候区。</w:t>
      </w:r>
    </w:p>
    <w:p w14:paraId="62244E2B">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北部山地气候区，包括和布克谷地在内，≥10℃的积温在2100℃左右，年平均气温只有3.1℃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3.5℃，无霜期短，仅135天左右；降水量除中山带以上稍多外，一般降水都在150毫米左右；积雪不稳定，有明显的冬季逆温层，有利于牲畜越冬和喜凉作物的生长，但春秋多有偏西大风，常受风灾之害。</w:t>
      </w:r>
    </w:p>
    <w:p w14:paraId="2E044C0D">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南部平原气候区，热量丰富，年平均气温7.0℃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7.3℃，光照充足，无霜期较长达180~190天;降水少，年平均降水只有88.5毫米，蒸发量大;夏季炎热，有干热风之害;冬季严寒，降雪少，积雪薄。</w:t>
      </w:r>
    </w:p>
    <w:p w14:paraId="7B5848B9">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布克赛尔县境日照充足，全年平均实际日照时数为3006.4小时，5～8月，日照时数均大于305小时，其中8月份日照时数最多达310小时，12月份日照时数最少为161.1小时；1～8月递增，9～12月递减，年日照百分率为68%。县境的气温随着南北高度差异而变化，在南部夏孜盖平原区年际变化更大。县境全年1月份最冷，7月份最热，最大年较差44.1℃，而北部山间谷地最大年较差为32.7℃，最大日较差23.2℃。</w:t>
      </w:r>
    </w:p>
    <w:p w14:paraId="7A763C72">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（三）地层岩性、地质构造</w:t>
      </w:r>
    </w:p>
    <w:p w14:paraId="08296594">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1.地层岩性</w:t>
      </w:r>
    </w:p>
    <w:p w14:paraId="1A62A8F9">
      <w:pPr>
        <w:widowControl/>
        <w:adjustRightInd w:val="0"/>
        <w:spacing w:line="50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工作区出露为第四系上更新统—全新统冲洪积层（Q</w:t>
      </w:r>
      <w:r>
        <w:rPr>
          <w:rFonts w:hint="eastAsia" w:ascii="仿宋_GB2312" w:hAnsi="仿宋_GB2312" w:eastAsia="仿宋_GB2312" w:cs="仿宋_GB2312"/>
          <w:sz w:val="24"/>
          <w:szCs w:val="24"/>
          <w:vertAlign w:val="subscript"/>
        </w:rPr>
        <w:t>3-4</w:t>
      </w:r>
      <w:r>
        <w:rPr>
          <w:rFonts w:hint="eastAsia" w:ascii="仿宋_GB2312" w:hAnsi="仿宋_GB2312" w:eastAsia="仿宋_GB2312" w:cs="仿宋_GB2312"/>
          <w:sz w:val="24"/>
          <w:szCs w:val="24"/>
          <w:vertAlign w:val="superscript"/>
        </w:rPr>
        <w:t>apl</w:t>
      </w:r>
      <w:r>
        <w:rPr>
          <w:rFonts w:hint="eastAsia" w:ascii="仿宋_GB2312" w:hAnsi="仿宋_GB2312" w:eastAsia="仿宋_GB2312" w:cs="仿宋_GB2312"/>
          <w:sz w:val="24"/>
          <w:szCs w:val="24"/>
        </w:rPr>
        <w:t>），岩性为</w:t>
      </w:r>
      <w:r>
        <w:rPr>
          <w:rFonts w:hint="eastAsia" w:ascii="仿宋_GB2312" w:hAnsi="仿宋_GB2312" w:eastAsia="仿宋_GB2312" w:cs="仿宋_GB2312"/>
          <w:bCs/>
          <w:sz w:val="24"/>
          <w:szCs w:val="24"/>
        </w:rPr>
        <w:t>圆砾，灰黄色，稍密～中密，干燥，充填物以中粗砂为主，含少量卵石。</w:t>
      </w:r>
    </w:p>
    <w:p w14:paraId="5EA95C20">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2.地质构造</w:t>
      </w:r>
    </w:p>
    <w:p w14:paraId="658FA126">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工作区处于处于准噶尔盆地西北边缘。从大地构造位置来讲，它位于哈萨克斯坦-准噶尔板块的准噶尔微板块之上。其地质构造受多期构造运动影响。</w:t>
      </w:r>
    </w:p>
    <w:p w14:paraId="34F63210">
      <w:pPr>
        <w:pStyle w:val="32"/>
        <w:spacing w:line="50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在古生代时期，该区域受加里东期和海西期构造运动的作用，地层发生褶皱和断裂。这种地质运动造就了复杂的褶皱构造和断裂系统。例如，县境内分布的褶皱构造使得岩层呈现出弯曲变形的形态，一些背斜和向斜构造在地质勘查中较为常见。断裂构造方面，不同方向的断裂带纵横交错，这些断裂带对当地的地层稳定性、矿产分布等都有着深远的影响。像一些深大断裂控制了岩浆活动</w:t>
      </w:r>
      <w:r>
        <w:rPr>
          <w:rFonts w:hint="eastAsia" w:ascii="仿宋_GB2312" w:hAnsi="仿宋_GB2312" w:eastAsia="仿宋_GB2312" w:cs="仿宋_GB2312"/>
          <w:sz w:val="24"/>
          <w:szCs w:val="24"/>
          <w:lang w:val="en-US" w:eastAsia="zh-CN"/>
        </w:rPr>
        <w:t>。</w:t>
      </w:r>
    </w:p>
    <w:p w14:paraId="09332AB1">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（四）水文地质条件</w:t>
      </w:r>
    </w:p>
    <w:p w14:paraId="02DD6224">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工作区赋存有第四系松散岩类孔隙潜水，含水层岩性为第四系冲洪积卵砾石，工作区内未见地下水露头。</w:t>
      </w:r>
    </w:p>
    <w:p w14:paraId="17AB310A">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（五）工程地质条件</w:t>
      </w:r>
    </w:p>
    <w:p w14:paraId="62F6DBC8">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土体类型为</w:t>
      </w:r>
      <w:r>
        <w:rPr>
          <w:rFonts w:hint="eastAsia" w:ascii="仿宋_GB2312" w:hAnsi="仿宋_GB2312" w:eastAsia="仿宋_GB2312" w:cs="仿宋_GB2312"/>
          <w:kern w:val="0"/>
          <w:sz w:val="24"/>
          <w:szCs w:val="24"/>
        </w:rPr>
        <w:t>第四系冲洪积卵砾石土单层土体</w:t>
      </w:r>
      <w:r>
        <w:rPr>
          <w:rFonts w:hint="eastAsia" w:ascii="仿宋_GB2312" w:hAnsi="仿宋_GB2312" w:eastAsia="仿宋_GB2312" w:cs="仿宋_GB2312"/>
          <w:sz w:val="24"/>
          <w:szCs w:val="24"/>
        </w:rPr>
        <w:t>。岩性为冲洪积砂卵砾石层，稍密～中密，磨圆度较好，分选性较差，级配良好，骨架颗粒为圆砾，充填物为中粗砂，砾石母岩成分主要以安山质凝灰岩和花岗岩为主，母岩属硬质岩石，砾石表面微风化，所形成的碎石土地层，工程力学性能较好，地基土承载力特征值按照经验值取值为200～300千帕。</w:t>
      </w:r>
    </w:p>
    <w:p w14:paraId="2A9C5412">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五、主要地质环境问题</w:t>
      </w:r>
    </w:p>
    <w:p w14:paraId="37D4433B">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工作区由于周边公路建设时采挖砂石料形成露天采坑。现采砂活动终止，采矿权人灭失。工作区内</w:t>
      </w:r>
      <w:r>
        <w:rPr>
          <w:rFonts w:hint="eastAsia" w:ascii="仿宋_GB2312" w:hAnsi="仿宋_GB2312" w:eastAsia="仿宋_GB2312" w:cs="仿宋_GB2312"/>
          <w:kern w:val="0"/>
          <w:sz w:val="24"/>
          <w:szCs w:val="24"/>
        </w:rPr>
        <w:t>采坑四壁存在崩塌地质灾害隐患，采坑内废料随意堆放，严重影响地形地貌景观当地生态系统。</w:t>
      </w:r>
    </w:p>
    <w:p w14:paraId="658C3414">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六、目标任务</w:t>
      </w:r>
    </w:p>
    <w:p w14:paraId="15D1C7C9">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（一）目标</w:t>
      </w:r>
    </w:p>
    <w:p w14:paraId="047ECB52">
      <w:pPr>
        <w:pStyle w:val="32"/>
        <w:spacing w:line="50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通过和布克赛尔蒙古自治县1-8号历史遗留采坑恢复治理工程的实施，改善地质环境现状，基本消除露天采坑及废料堆等对土地利用规划的影响，使治理区与周围地形地貌相协调</w:t>
      </w:r>
      <w:r>
        <w:rPr>
          <w:rFonts w:hint="eastAsia" w:ascii="仿宋_GB2312" w:hAnsi="仿宋_GB2312" w:eastAsia="仿宋_GB2312" w:cs="仿宋_GB2312"/>
          <w:sz w:val="24"/>
          <w:szCs w:val="24"/>
        </w:rPr>
        <w:t xml:space="preserve">。 </w:t>
      </w:r>
    </w:p>
    <w:p w14:paraId="29BBA5C1">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（二）任务</w:t>
      </w:r>
    </w:p>
    <w:p w14:paraId="2CC7FD63">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1.对采砂坑、废料堆及料场区进行1:500～1:1000地形测量和工程地质测绘，查明工作区地质环境条件、主要的地质环境问题及其分布范围，编制地质环境治理工程设计和施工组织设计。</w:t>
      </w:r>
    </w:p>
    <w:p w14:paraId="0E040D79">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2.按照审批通过的治理工程设计和施工组织设计，组织地质环境治理工程施工。</w:t>
      </w:r>
    </w:p>
    <w:p w14:paraId="012C3CC0">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3.治理工程完工后，制作永久性的治理工程说明碑。</w:t>
      </w:r>
    </w:p>
    <w:p w14:paraId="127BD59C">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七、主要技术要求</w:t>
      </w:r>
    </w:p>
    <w:p w14:paraId="3AB1A9EA">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（一）《工程测量规范》（GB50026-20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w:t>
      </w:r>
    </w:p>
    <w:p w14:paraId="7DDDE73C">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（二）《岩土工程勘察规范（2009年版）》（GB50021-2001）；</w:t>
      </w:r>
    </w:p>
    <w:p w14:paraId="01BE4097">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（三）《建筑工程地质勘探与取样技术规程》（JGJ/T87-2012）；</w:t>
      </w:r>
    </w:p>
    <w:p w14:paraId="1198B0DD">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（四）《土工试验方法标准》（GB/T50123-2019）；</w:t>
      </w:r>
    </w:p>
    <w:p w14:paraId="7590887D">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（五）《全球定位系统测量（GPS）规范》（GB/T18314-2009）；</w:t>
      </w:r>
    </w:p>
    <w:p w14:paraId="4A899F54">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（六）《建筑边坡工程技术规范》（GB50330-2013）；</w:t>
      </w:r>
    </w:p>
    <w:p w14:paraId="6BF31175">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（七）《土方与爆破工程施工及验收规范》（GB50201-2012）；</w:t>
      </w:r>
    </w:p>
    <w:p w14:paraId="74644DC6">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（八）《地质勘查与地质灾害监测评估防治技术使用手册》；</w:t>
      </w:r>
    </w:p>
    <w:p w14:paraId="4516EF1A">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（九）《建设工程勘察设计管理条例》；</w:t>
      </w:r>
    </w:p>
    <w:p w14:paraId="6E72CBA9">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（十）《建设工程质量管理条例》；</w:t>
      </w:r>
    </w:p>
    <w:p w14:paraId="4802786E">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（十一）《建设工程安全生产管理条例》；</w:t>
      </w:r>
    </w:p>
    <w:p w14:paraId="59093DD2">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（十二）《建设项目环境保护管理条例》；</w:t>
      </w:r>
    </w:p>
    <w:p w14:paraId="2F6F3F7E">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（十三）《建设工程施工质量验收规范》；</w:t>
      </w:r>
    </w:p>
    <w:p w14:paraId="1273ED16">
      <w:pPr>
        <w:spacing w:line="500" w:lineRule="exact"/>
        <w:ind w:firstLine="463" w:firstLineChars="192"/>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（十四）施工工地扬尘污染防治须纳入安全生产文明施工管理范畴，建立扬尘控制责任制度，工地必须采取相应的扬尘治理措施工作内容，并将扬尘治理费用列入工程造价；</w:t>
      </w:r>
    </w:p>
    <w:p w14:paraId="12A09205">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（十五）其他有关规范、规程和技术要求。</w:t>
      </w:r>
    </w:p>
    <w:p w14:paraId="6DE0FDFD">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同时满足项目任务书、设计书及审批意见书和有关规定的要求。</w:t>
      </w:r>
    </w:p>
    <w:p w14:paraId="1595D500">
      <w:pPr>
        <w:pStyle w:val="32"/>
        <w:numPr>
          <w:ilvl w:val="0"/>
          <w:numId w:val="6"/>
        </w:numPr>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主要实物工作量</w:t>
      </w:r>
    </w:p>
    <w:p w14:paraId="6C5D562D">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根据治理区设计方案，治理区内工程主要分为采坑回填、场地平整、覆土</w:t>
      </w:r>
      <w:r>
        <w:rPr>
          <w:rFonts w:hint="eastAsia" w:ascii="仿宋_GB2312" w:hAnsi="仿宋_GB2312" w:eastAsia="仿宋_GB2312" w:cs="仿宋_GB2312"/>
          <w:sz w:val="24"/>
          <w:szCs w:val="24"/>
          <w:lang w:val="en-US" w:eastAsia="zh-CN"/>
        </w:rPr>
        <w:t>播种</w:t>
      </w:r>
      <w:r>
        <w:rPr>
          <w:rFonts w:hint="eastAsia" w:ascii="仿宋_GB2312" w:hAnsi="仿宋_GB2312" w:eastAsia="仿宋_GB2312" w:cs="仿宋_GB2312"/>
          <w:sz w:val="24"/>
          <w:szCs w:val="24"/>
        </w:rPr>
        <w:t>等</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个分项工程。</w:t>
      </w:r>
    </w:p>
    <w:p w14:paraId="0F8C1E71">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具体如下：</w:t>
      </w:r>
    </w:p>
    <w:p w14:paraId="04D1A431">
      <w:pPr>
        <w:pStyle w:val="32"/>
        <w:spacing w:line="5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采坑回填</w:t>
      </w:r>
      <w:r>
        <w:rPr>
          <w:rFonts w:hint="eastAsia" w:ascii="仿宋_GB2312" w:hAnsi="仿宋_GB2312" w:eastAsia="仿宋_GB2312" w:cs="仿宋_GB2312"/>
          <w:sz w:val="24"/>
          <w:szCs w:val="24"/>
          <w:lang w:eastAsia="zh-CN"/>
        </w:rPr>
        <w:t>，采用</w:t>
      </w:r>
      <w:r>
        <w:rPr>
          <w:rFonts w:hint="eastAsia" w:ascii="仿宋_GB2312" w:hAnsi="仿宋_GB2312" w:eastAsia="仿宋_GB2312" w:cs="仿宋_GB2312"/>
          <w:sz w:val="24"/>
          <w:szCs w:val="24"/>
          <w:lang w:val="en-US" w:eastAsia="zh-CN"/>
        </w:rPr>
        <w:t>装载机、自斜车和推土机对采坑周边范围内的废渣推运回填至采坑。</w:t>
      </w:r>
    </w:p>
    <w:p w14:paraId="14042D65">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场地平整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利用装载机、挖掘机</w:t>
      </w:r>
      <w:r>
        <w:rPr>
          <w:rFonts w:hint="eastAsia" w:ascii="仿宋_GB2312" w:hAnsi="仿宋_GB2312" w:eastAsia="仿宋_GB2312" w:cs="仿宋_GB2312"/>
          <w:sz w:val="24"/>
          <w:szCs w:val="24"/>
          <w:lang w:eastAsia="zh-CN"/>
        </w:rPr>
        <w:t>按照设计的坡度指标</w:t>
      </w:r>
      <w:r>
        <w:rPr>
          <w:rFonts w:hint="eastAsia" w:ascii="仿宋_GB2312" w:hAnsi="仿宋_GB2312" w:eastAsia="仿宋_GB2312" w:cs="仿宋_GB2312"/>
          <w:sz w:val="24"/>
          <w:szCs w:val="24"/>
        </w:rPr>
        <w:t>对治理区</w:t>
      </w:r>
      <w:r>
        <w:rPr>
          <w:rFonts w:hint="eastAsia" w:ascii="仿宋_GB2312" w:hAnsi="仿宋_GB2312" w:eastAsia="仿宋_GB2312" w:cs="仿宋_GB2312"/>
          <w:sz w:val="24"/>
          <w:szCs w:val="24"/>
          <w:lang w:eastAsia="zh-CN"/>
        </w:rPr>
        <w:t>削高填低</w:t>
      </w:r>
      <w:r>
        <w:rPr>
          <w:rFonts w:hint="eastAsia" w:ascii="仿宋_GB2312" w:hAnsi="仿宋_GB2312" w:eastAsia="仿宋_GB2312" w:cs="仿宋_GB2312"/>
          <w:sz w:val="24"/>
          <w:szCs w:val="24"/>
        </w:rPr>
        <w:t>进行场地平整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平整后与原始地形相协调。</w:t>
      </w:r>
    </w:p>
    <w:p w14:paraId="59A18E1B">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覆土</w:t>
      </w:r>
      <w:r>
        <w:rPr>
          <w:rFonts w:hint="eastAsia" w:ascii="仿宋_GB2312" w:hAnsi="仿宋_GB2312" w:eastAsia="仿宋_GB2312" w:cs="仿宋_GB2312"/>
          <w:sz w:val="24"/>
          <w:szCs w:val="24"/>
          <w:lang w:val="en-US" w:eastAsia="zh-CN"/>
        </w:rPr>
        <w:t>播种</w:t>
      </w:r>
      <w:r>
        <w:rPr>
          <w:rFonts w:hint="eastAsia" w:ascii="仿宋_GB2312" w:hAnsi="仿宋_GB2312" w:eastAsia="仿宋_GB2312" w:cs="仿宋_GB2312"/>
          <w:sz w:val="24"/>
          <w:szCs w:val="24"/>
        </w:rPr>
        <w:t>工程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本次对</w:t>
      </w:r>
      <w:r>
        <w:rPr>
          <w:rFonts w:hint="eastAsia" w:ascii="仿宋_GB2312" w:hAnsi="仿宋_GB2312" w:eastAsia="仿宋_GB2312" w:cs="仿宋_GB2312"/>
          <w:sz w:val="24"/>
          <w:szCs w:val="24"/>
          <w:lang w:val="en-US" w:eastAsia="zh-CN"/>
        </w:rPr>
        <w:t>采坑</w:t>
      </w:r>
      <w:r>
        <w:rPr>
          <w:rFonts w:hint="eastAsia" w:ascii="仿宋_GB2312" w:hAnsi="仿宋_GB2312" w:eastAsia="仿宋_GB2312" w:cs="仿宋_GB2312"/>
          <w:sz w:val="24"/>
          <w:szCs w:val="24"/>
        </w:rPr>
        <w:t>恢复治理后地表进行覆土施工，为后续生态复绿工作提供可供生长的土壤环境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按照治理区恢复后作为天然牧草地使用的要求对</w:t>
      </w:r>
      <w:r>
        <w:rPr>
          <w:rFonts w:hint="eastAsia" w:ascii="仿宋_GB2312" w:hAnsi="仿宋_GB2312" w:eastAsia="仿宋_GB2312" w:cs="仿宋_GB2312"/>
          <w:sz w:val="24"/>
          <w:szCs w:val="24"/>
          <w:lang w:val="en-US" w:eastAsia="zh-CN"/>
        </w:rPr>
        <w:t>治理区</w:t>
      </w:r>
      <w:r>
        <w:rPr>
          <w:rFonts w:hint="eastAsia" w:ascii="仿宋_GB2312" w:hAnsi="仿宋_GB2312" w:eastAsia="仿宋_GB2312" w:cs="仿宋_GB2312"/>
          <w:sz w:val="24"/>
          <w:szCs w:val="24"/>
        </w:rPr>
        <w:t>进行覆土，覆土</w:t>
      </w:r>
      <w:r>
        <w:rPr>
          <w:rFonts w:hint="eastAsia" w:ascii="仿宋_GB2312" w:hAnsi="仿宋_GB2312" w:eastAsia="仿宋_GB2312" w:cs="仿宋_GB2312"/>
          <w:sz w:val="24"/>
          <w:szCs w:val="24"/>
          <w:lang w:eastAsia="zh-CN"/>
        </w:rPr>
        <w:t>厚度</w:t>
      </w:r>
      <w:r>
        <w:rPr>
          <w:rFonts w:hint="eastAsia" w:ascii="仿宋_GB2312" w:hAnsi="仿宋_GB2312" w:eastAsia="仿宋_GB2312" w:cs="仿宋_GB2312"/>
          <w:sz w:val="24"/>
          <w:szCs w:val="24"/>
          <w:lang w:val="en-US" w:eastAsia="zh-CN"/>
        </w:rPr>
        <w:t>0.2米</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根据治理区周边植被调查和植物种子的可得性，此次初步设计的植物为：绢蒿、针茅、沙蓬、驼绒藜、隐子草。</w:t>
      </w:r>
    </w:p>
    <w:p w14:paraId="52944677">
      <w:pPr>
        <w:pStyle w:val="32"/>
        <w:spacing w:line="500" w:lineRule="exact"/>
        <w:ind w:firstLine="482" w:firstLineChars="200"/>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u w:val="single"/>
        </w:rPr>
        <w:t>最终设计方案及工作量以审批后的设计书为准。</w:t>
      </w:r>
    </w:p>
    <w:p w14:paraId="71850A13">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九、预期提交成果</w:t>
      </w:r>
    </w:p>
    <w:p w14:paraId="2E726800">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（一）设计成果</w:t>
      </w:r>
    </w:p>
    <w:p w14:paraId="045A4244">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1.《和布克赛尔蒙古自治县1-8号历史遗留采坑恢复治理设计书》（分为施工设计和施工组织设计两部分）；</w:t>
      </w:r>
    </w:p>
    <w:p w14:paraId="36014AD3">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2.《和布克赛尔蒙古自治县1-8号历史遗留采坑恢复治理平面布置图》及各单项治理工程设计大样图。</w:t>
      </w:r>
    </w:p>
    <w:p w14:paraId="45C87814">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（二）施工资料</w:t>
      </w:r>
    </w:p>
    <w:p w14:paraId="130433E3">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1.《和布克赛尔蒙古自治县1-8号历史遗留采坑恢复治理施工管理资料》；</w:t>
      </w:r>
    </w:p>
    <w:p w14:paraId="6C505A8A">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2.《和布克赛尔蒙古自治县1-8号历史遗留采坑恢复治理施工技术资料》；</w:t>
      </w:r>
    </w:p>
    <w:p w14:paraId="49CBC7EB">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3.《和布克赛尔蒙古自治县1-8号历史遗留采坑恢复治理施工安全管理资料》；</w:t>
      </w:r>
    </w:p>
    <w:p w14:paraId="3EE23243">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4.《和布克赛尔蒙古自治县1-8号历史遗留采坑恢复治理竣工总结报告》；</w:t>
      </w:r>
    </w:p>
    <w:p w14:paraId="776F905B">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5.照片和影像资料；</w:t>
      </w:r>
    </w:p>
    <w:p w14:paraId="17BB9143">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6.其他原始资料；</w:t>
      </w:r>
    </w:p>
    <w:p w14:paraId="3D3DD840">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7.附图：《和布克赛尔蒙古自治县1-8号历史遗留采坑恢复治理竣工图》等相关图件（提交附带属性的AUTOCAD和MAPGIS格式的数据光盘）。</w:t>
      </w:r>
    </w:p>
    <w:p w14:paraId="3EEA27D0">
      <w:pPr>
        <w:pStyle w:val="32"/>
        <w:spacing w:line="50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所有资料均要求提交光盘；所有图件比例尺均要求与勘查报告图件比例尺保持一致。</w:t>
      </w:r>
    </w:p>
    <w:p w14:paraId="5B9F465C">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最终成果资料应按地质资料汇交有关要求向和布克赛尔蒙古自治县自然资源局汇交纸介质和电子版各3套。</w:t>
      </w:r>
    </w:p>
    <w:p w14:paraId="25D80649">
      <w:pPr>
        <w:pStyle w:val="32"/>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十、工作周期</w:t>
      </w:r>
    </w:p>
    <w:p w14:paraId="07ED9700">
      <w:pPr>
        <w:rPr>
          <w:rFonts w:ascii="仿宋" w:hAnsi="仿宋" w:eastAsia="仿宋" w:cs="仿宋"/>
          <w:b/>
          <w:bCs/>
          <w:spacing w:val="-7"/>
          <w:sz w:val="28"/>
          <w:szCs w:val="28"/>
        </w:rPr>
      </w:pPr>
      <w:r>
        <w:rPr>
          <w:rFonts w:hint="eastAsia" w:ascii="仿宋_GB2312" w:hAnsi="仿宋_GB2312" w:eastAsia="仿宋_GB2312" w:cs="仿宋_GB2312"/>
          <w:snapToGrid/>
          <w:color w:val="auto"/>
          <w:kern w:val="2"/>
          <w:sz w:val="24"/>
          <w:szCs w:val="24"/>
          <w:lang w:val="en-US" w:eastAsia="zh-CN" w:bidi="ar-SA"/>
        </w:rPr>
        <w:t>2025年2月10日-2025年5月1日，2025年04月1日前完成50%工作量，2025年5月1日完成剩余50%工作量。</w:t>
      </w:r>
      <w:r>
        <w:rPr>
          <w:rFonts w:ascii="仿宋" w:hAnsi="仿宋" w:eastAsia="仿宋" w:cs="仿宋"/>
          <w:b/>
          <w:bCs/>
          <w:spacing w:val="-7"/>
          <w:sz w:val="28"/>
          <w:szCs w:val="28"/>
        </w:rPr>
        <w:br w:type="page"/>
      </w:r>
    </w:p>
    <w:p w14:paraId="7FB9BBA4">
      <w:pPr>
        <w:spacing w:before="57" w:line="223" w:lineRule="auto"/>
        <w:ind w:left="2895"/>
        <w:outlineLvl w:val="0"/>
        <w:rPr>
          <w:rFonts w:ascii="仿宋" w:hAnsi="仿宋" w:eastAsia="仿宋" w:cs="仿宋"/>
          <w:sz w:val="28"/>
          <w:szCs w:val="28"/>
        </w:rPr>
      </w:pPr>
      <w:bookmarkStart w:id="117" w:name="_Toc29768"/>
      <w:r>
        <w:rPr>
          <w:rFonts w:ascii="仿宋" w:hAnsi="仿宋" w:eastAsia="仿宋" w:cs="仿宋"/>
          <w:b/>
          <w:bCs/>
          <w:spacing w:val="-7"/>
          <w:sz w:val="28"/>
          <w:szCs w:val="28"/>
        </w:rPr>
        <w:t>第6章</w:t>
      </w:r>
      <w:r>
        <w:rPr>
          <w:rFonts w:ascii="仿宋" w:hAnsi="仿宋" w:eastAsia="仿宋" w:cs="仿宋"/>
          <w:spacing w:val="-7"/>
          <w:sz w:val="28"/>
          <w:szCs w:val="28"/>
        </w:rPr>
        <w:t xml:space="preserve"> </w:t>
      </w:r>
      <w:r>
        <w:rPr>
          <w:rFonts w:ascii="仿宋" w:hAnsi="仿宋" w:eastAsia="仿宋" w:cs="仿宋"/>
          <w:b/>
          <w:bCs/>
          <w:spacing w:val="-7"/>
          <w:sz w:val="28"/>
          <w:szCs w:val="28"/>
        </w:rPr>
        <w:t>评标方法和标准</w:t>
      </w:r>
      <w:bookmarkEnd w:id="117"/>
    </w:p>
    <w:p w14:paraId="1BF8A04A">
      <w:pPr>
        <w:spacing w:before="290" w:line="345" w:lineRule="auto"/>
        <w:ind w:left="14" w:right="91" w:firstLine="445"/>
        <w:rPr>
          <w:rFonts w:ascii="仿宋" w:hAnsi="仿宋" w:eastAsia="仿宋" w:cs="仿宋"/>
          <w:sz w:val="24"/>
          <w:szCs w:val="24"/>
        </w:rPr>
      </w:pPr>
      <w:r>
        <w:rPr>
          <w:rFonts w:ascii="仿宋" w:hAnsi="仿宋" w:eastAsia="仿宋" w:cs="仿宋"/>
          <w:b/>
          <w:bCs/>
          <w:spacing w:val="-11"/>
          <w:sz w:val="24"/>
          <w:szCs w:val="24"/>
        </w:rPr>
        <w:t>本项目将按照采购文件供应商须知中“五</w:t>
      </w:r>
      <w:r>
        <w:rPr>
          <w:rFonts w:hint="eastAsia" w:ascii="仿宋" w:hAnsi="仿宋" w:eastAsia="仿宋" w:cs="仿宋"/>
          <w:b/>
          <w:bCs/>
          <w:spacing w:val="-11"/>
          <w:sz w:val="24"/>
          <w:szCs w:val="24"/>
          <w:lang w:val="en-US" w:eastAsia="zh-CN"/>
        </w:rPr>
        <w:t xml:space="preserve"> </w:t>
      </w:r>
      <w:r>
        <w:rPr>
          <w:rFonts w:ascii="仿宋" w:hAnsi="仿宋" w:eastAsia="仿宋" w:cs="仿宋"/>
          <w:b/>
          <w:bCs/>
          <w:spacing w:val="-11"/>
          <w:sz w:val="24"/>
          <w:szCs w:val="24"/>
        </w:rPr>
        <w:t>开标及评标”“</w:t>
      </w:r>
      <w:r>
        <w:rPr>
          <w:rFonts w:ascii="仿宋" w:hAnsi="仿宋" w:eastAsia="仿宋" w:cs="仿宋"/>
          <w:b/>
          <w:bCs/>
          <w:spacing w:val="-12"/>
          <w:sz w:val="24"/>
          <w:szCs w:val="24"/>
        </w:rPr>
        <w:t>六</w:t>
      </w:r>
      <w:r>
        <w:rPr>
          <w:rFonts w:hint="eastAsia" w:ascii="仿宋" w:hAnsi="仿宋" w:eastAsia="仿宋" w:cs="仿宋"/>
          <w:b/>
          <w:bCs/>
          <w:spacing w:val="-12"/>
          <w:sz w:val="24"/>
          <w:szCs w:val="24"/>
          <w:lang w:val="en-US" w:eastAsia="zh-CN"/>
        </w:rPr>
        <w:t xml:space="preserve"> </w:t>
      </w:r>
      <w:r>
        <w:rPr>
          <w:rFonts w:ascii="仿宋" w:hAnsi="仿宋" w:eastAsia="仿宋" w:cs="仿宋"/>
          <w:b/>
          <w:bCs/>
          <w:spacing w:val="-12"/>
          <w:sz w:val="24"/>
          <w:szCs w:val="24"/>
        </w:rPr>
        <w:t>确定中标</w:t>
      </w:r>
      <w:r>
        <w:rPr>
          <w:rFonts w:ascii="仿宋" w:hAnsi="仿宋" w:eastAsia="仿宋" w:cs="仿宋"/>
          <w:spacing w:val="-93"/>
          <w:sz w:val="24"/>
          <w:szCs w:val="24"/>
        </w:rPr>
        <w:t xml:space="preserve"> </w:t>
      </w:r>
      <w:r>
        <w:rPr>
          <w:rFonts w:ascii="仿宋" w:hAnsi="仿宋" w:eastAsia="仿宋" w:cs="仿宋"/>
          <w:b/>
          <w:bCs/>
          <w:spacing w:val="-12"/>
          <w:sz w:val="24"/>
          <w:szCs w:val="24"/>
        </w:rPr>
        <w:t>”及本章的</w:t>
      </w:r>
      <w:r>
        <w:rPr>
          <w:rFonts w:ascii="仿宋" w:hAnsi="仿宋" w:eastAsia="仿宋" w:cs="仿宋"/>
          <w:sz w:val="24"/>
          <w:szCs w:val="24"/>
        </w:rPr>
        <w:t xml:space="preserve"> </w:t>
      </w:r>
      <w:r>
        <w:rPr>
          <w:rFonts w:ascii="仿宋" w:hAnsi="仿宋" w:eastAsia="仿宋" w:cs="仿宋"/>
          <w:b/>
          <w:bCs/>
          <w:spacing w:val="-10"/>
          <w:sz w:val="24"/>
          <w:szCs w:val="24"/>
        </w:rPr>
        <w:t>规定评标。</w:t>
      </w:r>
    </w:p>
    <w:p w14:paraId="3B9BC0E6">
      <w:pPr>
        <w:spacing w:before="244" w:line="221" w:lineRule="auto"/>
        <w:ind w:left="545"/>
        <w:outlineLvl w:val="1"/>
        <w:rPr>
          <w:rFonts w:ascii="仿宋" w:hAnsi="仿宋" w:eastAsia="仿宋" w:cs="仿宋"/>
          <w:sz w:val="24"/>
          <w:szCs w:val="24"/>
        </w:rPr>
      </w:pPr>
      <w:bookmarkStart w:id="118" w:name="_Toc22431"/>
      <w:r>
        <w:rPr>
          <w:rFonts w:ascii="仿宋" w:hAnsi="仿宋" w:eastAsia="仿宋" w:cs="仿宋"/>
          <w:spacing w:val="1"/>
          <w:sz w:val="24"/>
          <w:szCs w:val="24"/>
        </w:rPr>
        <w:t>（内容包括投标无效界定和详细评标标准）</w:t>
      </w:r>
      <w:bookmarkEnd w:id="118"/>
    </w:p>
    <w:p w14:paraId="6DD163F3">
      <w:pPr>
        <w:pStyle w:val="8"/>
        <w:spacing w:line="400" w:lineRule="auto"/>
      </w:pPr>
    </w:p>
    <w:p w14:paraId="0BA32BAB">
      <w:pPr>
        <w:spacing w:before="78" w:line="224" w:lineRule="auto"/>
        <w:ind w:left="695"/>
        <w:outlineLvl w:val="1"/>
        <w:rPr>
          <w:rFonts w:ascii="仿宋" w:hAnsi="仿宋" w:eastAsia="仿宋" w:cs="仿宋"/>
          <w:sz w:val="24"/>
          <w:szCs w:val="24"/>
        </w:rPr>
      </w:pPr>
      <w:bookmarkStart w:id="119" w:name="bookmark51"/>
      <w:bookmarkEnd w:id="119"/>
      <w:bookmarkStart w:id="120" w:name="_Toc24440"/>
      <w:r>
        <w:rPr>
          <w:rFonts w:ascii="仿宋" w:hAnsi="仿宋" w:eastAsia="仿宋" w:cs="仿宋"/>
          <w:spacing w:val="-14"/>
          <w:sz w:val="24"/>
          <w:szCs w:val="24"/>
        </w:rPr>
        <w:t>1.总则</w:t>
      </w:r>
      <w:bookmarkEnd w:id="120"/>
    </w:p>
    <w:p w14:paraId="4823DBFD">
      <w:pPr>
        <w:pStyle w:val="8"/>
        <w:spacing w:line="275" w:lineRule="auto"/>
      </w:pPr>
    </w:p>
    <w:p w14:paraId="6C6AC775">
      <w:pPr>
        <w:spacing w:before="78" w:line="349" w:lineRule="auto"/>
        <w:ind w:left="14" w:right="108" w:firstLine="680"/>
        <w:rPr>
          <w:rFonts w:ascii="仿宋" w:hAnsi="仿宋" w:eastAsia="仿宋" w:cs="仿宋"/>
          <w:sz w:val="24"/>
          <w:szCs w:val="24"/>
        </w:rPr>
      </w:pPr>
      <w:r>
        <w:rPr>
          <w:rFonts w:ascii="仿宋" w:hAnsi="仿宋" w:eastAsia="仿宋" w:cs="仿宋"/>
          <w:spacing w:val="-5"/>
          <w:sz w:val="24"/>
          <w:szCs w:val="24"/>
        </w:rPr>
        <w:t>1.1根据《中华人民共和国政府采购法》《中华人民共和国政府采购法实施条</w:t>
      </w:r>
      <w:r>
        <w:rPr>
          <w:rFonts w:ascii="仿宋" w:hAnsi="仿宋" w:eastAsia="仿宋" w:cs="仿宋"/>
          <w:spacing w:val="3"/>
          <w:sz w:val="24"/>
          <w:szCs w:val="24"/>
        </w:rPr>
        <w:t xml:space="preserve"> </w:t>
      </w:r>
      <w:r>
        <w:rPr>
          <w:rFonts w:ascii="仿宋" w:hAnsi="仿宋" w:eastAsia="仿宋" w:cs="仿宋"/>
          <w:spacing w:val="-2"/>
          <w:sz w:val="24"/>
          <w:szCs w:val="24"/>
        </w:rPr>
        <w:t>例》《政府采购货物和服务招标投标管理办法</w:t>
      </w:r>
      <w:r>
        <w:rPr>
          <w:rFonts w:ascii="仿宋" w:hAnsi="仿宋" w:eastAsia="仿宋" w:cs="仿宋"/>
          <w:spacing w:val="-3"/>
          <w:sz w:val="24"/>
          <w:szCs w:val="24"/>
        </w:rPr>
        <w:t>（财政部第87号令）》等法律制度，</w:t>
      </w:r>
      <w:r>
        <w:rPr>
          <w:rFonts w:ascii="仿宋" w:hAnsi="仿宋" w:eastAsia="仿宋" w:cs="仿宋"/>
          <w:sz w:val="24"/>
          <w:szCs w:val="24"/>
        </w:rPr>
        <w:t xml:space="preserve"> </w:t>
      </w:r>
      <w:r>
        <w:rPr>
          <w:rFonts w:ascii="仿宋" w:hAnsi="仿宋" w:eastAsia="仿宋" w:cs="仿宋"/>
          <w:spacing w:val="-2"/>
          <w:sz w:val="24"/>
          <w:szCs w:val="24"/>
        </w:rPr>
        <w:t>结合采购项目特点制定本评标办法。</w:t>
      </w:r>
    </w:p>
    <w:p w14:paraId="4F66863B">
      <w:pPr>
        <w:spacing w:before="220" w:line="351" w:lineRule="auto"/>
        <w:ind w:left="15" w:firstLine="679"/>
        <w:rPr>
          <w:rFonts w:ascii="仿宋" w:hAnsi="仿宋" w:eastAsia="仿宋" w:cs="仿宋"/>
          <w:sz w:val="24"/>
          <w:szCs w:val="24"/>
        </w:rPr>
      </w:pPr>
      <w:r>
        <w:rPr>
          <w:rFonts w:ascii="仿宋" w:hAnsi="仿宋" w:eastAsia="仿宋" w:cs="仿宋"/>
          <w:spacing w:val="-5"/>
          <w:sz w:val="24"/>
          <w:szCs w:val="24"/>
        </w:rPr>
        <w:t>1.2评标工作由采购代理机构负责组织，具体评标事务由采购代理机构依法组</w:t>
      </w:r>
      <w:r>
        <w:rPr>
          <w:rFonts w:ascii="仿宋" w:hAnsi="仿宋" w:eastAsia="仿宋" w:cs="仿宋"/>
          <w:spacing w:val="1"/>
          <w:sz w:val="24"/>
          <w:szCs w:val="24"/>
        </w:rPr>
        <w:t xml:space="preserve">  </w:t>
      </w:r>
      <w:r>
        <w:rPr>
          <w:rFonts w:ascii="仿宋" w:hAnsi="仿宋" w:eastAsia="仿宋" w:cs="仿宋"/>
          <w:sz w:val="24"/>
          <w:szCs w:val="24"/>
        </w:rPr>
        <w:t>建的评标委员会负责。评标委员会由采购人代表和有关技术、经济、法律等方面的</w:t>
      </w:r>
      <w:r>
        <w:rPr>
          <w:rFonts w:ascii="仿宋" w:hAnsi="仿宋" w:eastAsia="仿宋" w:cs="仿宋"/>
          <w:spacing w:val="16"/>
          <w:sz w:val="24"/>
          <w:szCs w:val="24"/>
        </w:rPr>
        <w:t xml:space="preserve"> </w:t>
      </w:r>
      <w:r>
        <w:rPr>
          <w:rFonts w:ascii="仿宋" w:hAnsi="仿宋" w:eastAsia="仿宋" w:cs="仿宋"/>
          <w:spacing w:val="-1"/>
          <w:sz w:val="24"/>
          <w:szCs w:val="24"/>
        </w:rPr>
        <w:t>专家组成。（本项目评标委员会由5人组成，按相关规定从自治区政府采购专家库</w:t>
      </w:r>
      <w:r>
        <w:rPr>
          <w:rFonts w:ascii="仿宋" w:hAnsi="仿宋" w:eastAsia="仿宋" w:cs="仿宋"/>
          <w:spacing w:val="7"/>
          <w:sz w:val="24"/>
          <w:szCs w:val="24"/>
        </w:rPr>
        <w:t xml:space="preserve">  </w:t>
      </w:r>
      <w:r>
        <w:rPr>
          <w:rFonts w:ascii="仿宋" w:hAnsi="仿宋" w:eastAsia="仿宋" w:cs="仿宋"/>
          <w:spacing w:val="-4"/>
          <w:sz w:val="24"/>
          <w:szCs w:val="24"/>
        </w:rPr>
        <w:t>中随机抽取）</w:t>
      </w:r>
    </w:p>
    <w:p w14:paraId="2B7FB058">
      <w:pPr>
        <w:spacing w:before="214" w:line="345" w:lineRule="auto"/>
        <w:ind w:left="14" w:right="108" w:firstLine="680"/>
        <w:rPr>
          <w:rFonts w:ascii="仿宋" w:hAnsi="仿宋" w:eastAsia="仿宋" w:cs="仿宋"/>
          <w:sz w:val="24"/>
          <w:szCs w:val="24"/>
        </w:rPr>
      </w:pPr>
      <w:r>
        <w:rPr>
          <w:rFonts w:ascii="仿宋" w:hAnsi="仿宋" w:eastAsia="仿宋" w:cs="仿宋"/>
          <w:spacing w:val="-5"/>
          <w:sz w:val="24"/>
          <w:szCs w:val="24"/>
        </w:rPr>
        <w:t>1.3评标工作应遵循公平、公正、科学及择优的原则，并以相同的评标程序和</w:t>
      </w:r>
      <w:r>
        <w:rPr>
          <w:rFonts w:ascii="仿宋" w:hAnsi="仿宋" w:eastAsia="仿宋" w:cs="仿宋"/>
          <w:spacing w:val="3"/>
          <w:sz w:val="24"/>
          <w:szCs w:val="24"/>
        </w:rPr>
        <w:t xml:space="preserve"> </w:t>
      </w:r>
      <w:r>
        <w:rPr>
          <w:rFonts w:ascii="仿宋" w:hAnsi="仿宋" w:eastAsia="仿宋" w:cs="仿宋"/>
          <w:spacing w:val="-4"/>
          <w:sz w:val="24"/>
          <w:szCs w:val="24"/>
        </w:rPr>
        <w:t>标准对待所有的供应商。</w:t>
      </w:r>
    </w:p>
    <w:p w14:paraId="5AB235C7">
      <w:pPr>
        <w:spacing w:before="220" w:line="344" w:lineRule="auto"/>
        <w:ind w:left="26" w:right="108" w:firstLine="668"/>
        <w:rPr>
          <w:rFonts w:ascii="仿宋" w:hAnsi="仿宋" w:eastAsia="仿宋" w:cs="仿宋"/>
          <w:sz w:val="24"/>
          <w:szCs w:val="24"/>
        </w:rPr>
      </w:pPr>
      <w:r>
        <w:rPr>
          <w:rFonts w:ascii="仿宋" w:hAnsi="仿宋" w:eastAsia="仿宋" w:cs="仿宋"/>
          <w:spacing w:val="-5"/>
          <w:sz w:val="24"/>
          <w:szCs w:val="24"/>
        </w:rPr>
        <w:t>1.4评标委员会按照采购文件规定的评标方法和标准进行评标，并独立履行下</w:t>
      </w:r>
      <w:r>
        <w:rPr>
          <w:rFonts w:ascii="仿宋" w:hAnsi="仿宋" w:eastAsia="仿宋" w:cs="仿宋"/>
          <w:spacing w:val="3"/>
          <w:sz w:val="24"/>
          <w:szCs w:val="24"/>
        </w:rPr>
        <w:t xml:space="preserve"> </w:t>
      </w:r>
      <w:r>
        <w:rPr>
          <w:rFonts w:ascii="仿宋" w:hAnsi="仿宋" w:eastAsia="仿宋" w:cs="仿宋"/>
          <w:spacing w:val="-9"/>
          <w:sz w:val="24"/>
          <w:szCs w:val="24"/>
        </w:rPr>
        <w:t>列职责：</w:t>
      </w:r>
    </w:p>
    <w:p w14:paraId="59A83235">
      <w:pPr>
        <w:spacing w:before="216" w:line="220" w:lineRule="auto"/>
        <w:ind w:left="207"/>
        <w:outlineLvl w:val="2"/>
        <w:rPr>
          <w:rFonts w:ascii="仿宋" w:hAnsi="仿宋" w:eastAsia="仿宋" w:cs="仿宋"/>
          <w:sz w:val="24"/>
          <w:szCs w:val="24"/>
        </w:rPr>
      </w:pPr>
      <w:bookmarkStart w:id="121" w:name="_Toc18879"/>
      <w:r>
        <w:rPr>
          <w:rFonts w:ascii="仿宋" w:hAnsi="仿宋" w:eastAsia="仿宋" w:cs="仿宋"/>
          <w:spacing w:val="-3"/>
          <w:sz w:val="24"/>
          <w:szCs w:val="24"/>
        </w:rPr>
        <w:t>（一）对供应商的资格性、符合性进行审查；</w:t>
      </w:r>
      <w:bookmarkEnd w:id="121"/>
    </w:p>
    <w:p w14:paraId="6121FC88">
      <w:pPr>
        <w:pStyle w:val="8"/>
        <w:spacing w:line="279" w:lineRule="auto"/>
      </w:pPr>
    </w:p>
    <w:p w14:paraId="3AC83221">
      <w:pPr>
        <w:spacing w:before="79" w:line="220" w:lineRule="auto"/>
        <w:ind w:left="207"/>
        <w:rPr>
          <w:rFonts w:ascii="仿宋" w:hAnsi="仿宋" w:eastAsia="仿宋" w:cs="仿宋"/>
          <w:sz w:val="24"/>
          <w:szCs w:val="24"/>
        </w:rPr>
      </w:pPr>
      <w:r>
        <w:rPr>
          <w:rFonts w:ascii="仿宋" w:hAnsi="仿宋" w:eastAsia="仿宋" w:cs="仿宋"/>
          <w:spacing w:val="-2"/>
          <w:sz w:val="24"/>
          <w:szCs w:val="24"/>
        </w:rPr>
        <w:t>（二）审查、评价投标文件是否符合采购文件的商务、技术等实质性要求；</w:t>
      </w:r>
    </w:p>
    <w:p w14:paraId="017738A7">
      <w:pPr>
        <w:pStyle w:val="8"/>
        <w:spacing w:line="282" w:lineRule="auto"/>
      </w:pPr>
    </w:p>
    <w:p w14:paraId="5B50B297">
      <w:pPr>
        <w:spacing w:before="79" w:line="220" w:lineRule="auto"/>
        <w:ind w:left="207"/>
        <w:rPr>
          <w:rFonts w:ascii="仿宋" w:hAnsi="仿宋" w:eastAsia="仿宋" w:cs="仿宋"/>
          <w:sz w:val="24"/>
          <w:szCs w:val="24"/>
        </w:rPr>
      </w:pPr>
      <w:r>
        <w:rPr>
          <w:rFonts w:ascii="仿宋" w:hAnsi="仿宋" w:eastAsia="仿宋" w:cs="仿宋"/>
          <w:spacing w:val="-2"/>
          <w:sz w:val="24"/>
          <w:szCs w:val="24"/>
        </w:rPr>
        <w:t>（三）要求供应商对投标文件有关事项作出澄清或者说明；</w:t>
      </w:r>
    </w:p>
    <w:p w14:paraId="7C694D63">
      <w:pPr>
        <w:pStyle w:val="8"/>
        <w:spacing w:line="281" w:lineRule="auto"/>
      </w:pPr>
    </w:p>
    <w:p w14:paraId="4167095A">
      <w:pPr>
        <w:spacing w:before="78" w:line="221" w:lineRule="auto"/>
        <w:ind w:left="207"/>
        <w:rPr>
          <w:rFonts w:ascii="仿宋" w:hAnsi="仿宋" w:eastAsia="仿宋" w:cs="仿宋"/>
          <w:sz w:val="24"/>
          <w:szCs w:val="24"/>
        </w:rPr>
      </w:pPr>
      <w:r>
        <w:rPr>
          <w:rFonts w:ascii="仿宋" w:hAnsi="仿宋" w:eastAsia="仿宋" w:cs="仿宋"/>
          <w:spacing w:val="-4"/>
          <w:sz w:val="24"/>
          <w:szCs w:val="24"/>
        </w:rPr>
        <w:t>（四）对投标文件进行比较和评价；</w:t>
      </w:r>
    </w:p>
    <w:p w14:paraId="199EB2C0">
      <w:pPr>
        <w:pStyle w:val="8"/>
        <w:spacing w:line="280" w:lineRule="auto"/>
      </w:pPr>
    </w:p>
    <w:p w14:paraId="7D914E74">
      <w:pPr>
        <w:spacing w:before="79" w:line="221" w:lineRule="auto"/>
        <w:ind w:left="207"/>
        <w:rPr>
          <w:rFonts w:ascii="仿宋" w:hAnsi="仿宋" w:eastAsia="仿宋" w:cs="仿宋"/>
          <w:sz w:val="24"/>
          <w:szCs w:val="24"/>
        </w:rPr>
      </w:pPr>
      <w:r>
        <w:rPr>
          <w:rFonts w:ascii="仿宋" w:hAnsi="仿宋" w:eastAsia="仿宋" w:cs="仿宋"/>
          <w:spacing w:val="-2"/>
          <w:sz w:val="24"/>
          <w:szCs w:val="24"/>
        </w:rPr>
        <w:t>（五）确定中标候选人名单，以及根据采购人委托直接确定中标人；</w:t>
      </w:r>
    </w:p>
    <w:p w14:paraId="4C952EEF">
      <w:pPr>
        <w:pStyle w:val="8"/>
        <w:spacing w:line="278" w:lineRule="auto"/>
      </w:pPr>
    </w:p>
    <w:p w14:paraId="7EFBB486">
      <w:pPr>
        <w:spacing w:before="79" w:line="221" w:lineRule="auto"/>
        <w:ind w:left="207"/>
        <w:rPr>
          <w:rFonts w:ascii="仿宋" w:hAnsi="仿宋" w:eastAsia="仿宋" w:cs="仿宋"/>
          <w:sz w:val="24"/>
          <w:szCs w:val="24"/>
        </w:rPr>
      </w:pPr>
      <w:r>
        <w:rPr>
          <w:rFonts w:ascii="仿宋" w:hAnsi="仿宋" w:eastAsia="仿宋" w:cs="仿宋"/>
          <w:spacing w:val="-2"/>
          <w:sz w:val="24"/>
          <w:szCs w:val="24"/>
        </w:rPr>
        <w:t>（六）向采购人、采购代理机构或者有关部门报告评标中发现的违法行为。</w:t>
      </w:r>
    </w:p>
    <w:p w14:paraId="40ADC806">
      <w:pPr>
        <w:pStyle w:val="8"/>
        <w:spacing w:line="280" w:lineRule="auto"/>
      </w:pPr>
    </w:p>
    <w:p w14:paraId="7F6081E0">
      <w:pPr>
        <w:spacing w:before="79" w:line="222" w:lineRule="auto"/>
        <w:ind w:left="207"/>
        <w:outlineLvl w:val="2"/>
        <w:rPr>
          <w:rFonts w:ascii="仿宋" w:hAnsi="仿宋" w:eastAsia="仿宋" w:cs="仿宋"/>
          <w:sz w:val="24"/>
          <w:szCs w:val="24"/>
        </w:rPr>
      </w:pPr>
      <w:bookmarkStart w:id="122" w:name="_Toc32545"/>
      <w:r>
        <w:rPr>
          <w:rFonts w:ascii="仿宋" w:hAnsi="仿宋" w:eastAsia="仿宋" w:cs="仿宋"/>
          <w:spacing w:val="-3"/>
          <w:sz w:val="24"/>
          <w:szCs w:val="24"/>
        </w:rPr>
        <w:t>（七）法律、法规和规章规定的其他职责。</w:t>
      </w:r>
      <w:bookmarkEnd w:id="122"/>
    </w:p>
    <w:p w14:paraId="440DB46B">
      <w:pPr>
        <w:spacing w:line="222" w:lineRule="auto"/>
        <w:rPr>
          <w:rFonts w:ascii="仿宋" w:hAnsi="仿宋" w:eastAsia="仿宋" w:cs="仿宋"/>
          <w:sz w:val="24"/>
          <w:szCs w:val="24"/>
        </w:rPr>
        <w:sectPr>
          <w:footerReference r:id="rId39" w:type="default"/>
          <w:pgSz w:w="11907" w:h="16840"/>
          <w:pgMar w:top="1415" w:right="1447" w:bottom="1202" w:left="1786" w:header="0" w:footer="1033" w:gutter="0"/>
          <w:pgNumType w:fmt="decimal"/>
          <w:cols w:space="720" w:num="1"/>
        </w:sectPr>
      </w:pPr>
    </w:p>
    <w:p w14:paraId="3C58657F">
      <w:pPr>
        <w:spacing w:before="49" w:line="342" w:lineRule="auto"/>
        <w:ind w:left="19" w:right="189" w:firstLine="676"/>
        <w:rPr>
          <w:rFonts w:ascii="仿宋" w:hAnsi="仿宋" w:eastAsia="仿宋" w:cs="仿宋"/>
          <w:sz w:val="24"/>
          <w:szCs w:val="24"/>
        </w:rPr>
      </w:pPr>
      <w:r>
        <w:rPr>
          <w:rFonts w:ascii="仿宋" w:hAnsi="仿宋" w:eastAsia="仿宋" w:cs="仿宋"/>
          <w:spacing w:val="-5"/>
          <w:sz w:val="24"/>
          <w:szCs w:val="24"/>
        </w:rPr>
        <w:t>1.5评标过程独立、保密。供应商非法干预评标过程的行为将导致其投标文件</w:t>
      </w:r>
      <w:r>
        <w:rPr>
          <w:rFonts w:ascii="仿宋" w:hAnsi="仿宋" w:eastAsia="仿宋" w:cs="仿宋"/>
          <w:spacing w:val="3"/>
          <w:sz w:val="24"/>
          <w:szCs w:val="24"/>
        </w:rPr>
        <w:t xml:space="preserve"> </w:t>
      </w:r>
      <w:r>
        <w:rPr>
          <w:rFonts w:ascii="仿宋" w:hAnsi="仿宋" w:eastAsia="仿宋" w:cs="仿宋"/>
          <w:spacing w:val="-5"/>
          <w:sz w:val="24"/>
          <w:szCs w:val="24"/>
        </w:rPr>
        <w:t>作为无效处理。</w:t>
      </w:r>
    </w:p>
    <w:p w14:paraId="33843509">
      <w:pPr>
        <w:spacing w:before="224" w:line="349" w:lineRule="auto"/>
        <w:ind w:left="19" w:right="81" w:firstLine="675"/>
        <w:jc w:val="both"/>
        <w:rPr>
          <w:rFonts w:ascii="仿宋" w:hAnsi="仿宋" w:eastAsia="仿宋" w:cs="仿宋"/>
          <w:sz w:val="24"/>
          <w:szCs w:val="24"/>
        </w:rPr>
      </w:pPr>
      <w:r>
        <w:rPr>
          <w:rFonts w:ascii="仿宋" w:hAnsi="仿宋" w:eastAsia="仿宋" w:cs="仿宋"/>
          <w:spacing w:val="-4"/>
          <w:sz w:val="24"/>
          <w:szCs w:val="24"/>
        </w:rPr>
        <w:t>1.6评标委员会评价投标文件的响应性，对于供应商而言，除评标委员会要求</w:t>
      </w:r>
      <w:r>
        <w:rPr>
          <w:rFonts w:ascii="仿宋" w:hAnsi="仿宋" w:eastAsia="仿宋" w:cs="仿宋"/>
          <w:spacing w:val="9"/>
          <w:sz w:val="24"/>
          <w:szCs w:val="24"/>
        </w:rPr>
        <w:t xml:space="preserve"> </w:t>
      </w:r>
      <w:r>
        <w:rPr>
          <w:rFonts w:ascii="仿宋" w:hAnsi="仿宋" w:eastAsia="仿宋" w:cs="仿宋"/>
          <w:sz w:val="24"/>
          <w:szCs w:val="24"/>
        </w:rPr>
        <w:t>其澄清、说明或者更正而提供的资料外，仅依据投标文件本身的内容，不寻求其他</w:t>
      </w:r>
      <w:r>
        <w:rPr>
          <w:rFonts w:ascii="仿宋" w:hAnsi="仿宋" w:eastAsia="仿宋" w:cs="仿宋"/>
          <w:spacing w:val="12"/>
          <w:sz w:val="24"/>
          <w:szCs w:val="24"/>
        </w:rPr>
        <w:t xml:space="preserve"> </w:t>
      </w:r>
      <w:r>
        <w:rPr>
          <w:rFonts w:ascii="仿宋" w:hAnsi="仿宋" w:eastAsia="仿宋" w:cs="仿宋"/>
          <w:spacing w:val="-6"/>
          <w:sz w:val="24"/>
          <w:szCs w:val="24"/>
        </w:rPr>
        <w:t>外部证据。</w:t>
      </w:r>
    </w:p>
    <w:p w14:paraId="1EA8E480">
      <w:pPr>
        <w:spacing w:before="219" w:line="220" w:lineRule="auto"/>
        <w:ind w:left="577"/>
        <w:rPr>
          <w:rFonts w:ascii="仿宋" w:hAnsi="仿宋" w:eastAsia="仿宋" w:cs="仿宋"/>
          <w:sz w:val="24"/>
          <w:szCs w:val="24"/>
        </w:rPr>
      </w:pPr>
      <w:r>
        <w:rPr>
          <w:rFonts w:ascii="仿宋" w:hAnsi="仿宋" w:eastAsia="仿宋" w:cs="仿宋"/>
          <w:spacing w:val="-3"/>
          <w:sz w:val="24"/>
          <w:szCs w:val="24"/>
        </w:rPr>
        <w:t>1.7采购人或者采购代理机构负责组织评标工作，并履行下列职责：</w:t>
      </w:r>
    </w:p>
    <w:p w14:paraId="541A3BC0">
      <w:pPr>
        <w:spacing w:before="259" w:line="290" w:lineRule="auto"/>
        <w:ind w:left="245" w:right="295" w:firstLine="221"/>
        <w:rPr>
          <w:rFonts w:ascii="仿宋" w:hAnsi="仿宋" w:eastAsia="仿宋" w:cs="仿宋"/>
          <w:sz w:val="24"/>
          <w:szCs w:val="24"/>
        </w:rPr>
      </w:pPr>
      <w:r>
        <w:rPr>
          <w:rFonts w:ascii="仿宋" w:hAnsi="仿宋" w:eastAsia="仿宋" w:cs="仿宋"/>
          <w:spacing w:val="2"/>
          <w:sz w:val="24"/>
          <w:szCs w:val="24"/>
        </w:rPr>
        <w:t>（一）核对评审专家身份和采购人代表信息，对评审专家在政府采购活动中</w:t>
      </w:r>
      <w:r>
        <w:rPr>
          <w:rFonts w:ascii="仿宋" w:hAnsi="仿宋" w:eastAsia="仿宋" w:cs="仿宋"/>
          <w:spacing w:val="5"/>
          <w:sz w:val="24"/>
          <w:szCs w:val="24"/>
        </w:rPr>
        <w:t xml:space="preserve"> </w:t>
      </w:r>
      <w:r>
        <w:rPr>
          <w:rFonts w:ascii="仿宋" w:hAnsi="仿宋" w:eastAsia="仿宋" w:cs="仿宋"/>
          <w:spacing w:val="-2"/>
          <w:sz w:val="24"/>
          <w:szCs w:val="24"/>
        </w:rPr>
        <w:t>的职责履行情况予以记录，并及时将有关违法违规行为向财政部门报告；</w:t>
      </w:r>
    </w:p>
    <w:p w14:paraId="59EA7D3B">
      <w:pPr>
        <w:pStyle w:val="8"/>
        <w:spacing w:line="279" w:lineRule="auto"/>
      </w:pPr>
    </w:p>
    <w:p w14:paraId="527517AA">
      <w:pPr>
        <w:spacing w:before="78" w:line="220" w:lineRule="auto"/>
        <w:ind w:left="466"/>
        <w:rPr>
          <w:rFonts w:ascii="仿宋" w:hAnsi="仿宋" w:eastAsia="仿宋" w:cs="仿宋"/>
          <w:sz w:val="24"/>
          <w:szCs w:val="24"/>
        </w:rPr>
      </w:pPr>
      <w:r>
        <w:rPr>
          <w:rFonts w:ascii="仿宋" w:hAnsi="仿宋" w:eastAsia="仿宋" w:cs="仿宋"/>
          <w:spacing w:val="-5"/>
          <w:sz w:val="24"/>
          <w:szCs w:val="24"/>
        </w:rPr>
        <w:t>（二）宣布评标纪律；</w:t>
      </w:r>
    </w:p>
    <w:p w14:paraId="00554A1F">
      <w:pPr>
        <w:pStyle w:val="8"/>
        <w:spacing w:line="282" w:lineRule="auto"/>
      </w:pPr>
    </w:p>
    <w:p w14:paraId="10499AD3">
      <w:pPr>
        <w:spacing w:before="79" w:line="220" w:lineRule="auto"/>
        <w:ind w:left="466"/>
        <w:rPr>
          <w:rFonts w:ascii="仿宋" w:hAnsi="仿宋" w:eastAsia="仿宋" w:cs="仿宋"/>
          <w:sz w:val="24"/>
          <w:szCs w:val="24"/>
        </w:rPr>
      </w:pPr>
      <w:r>
        <w:rPr>
          <w:rFonts w:ascii="仿宋" w:hAnsi="仿宋" w:eastAsia="仿宋" w:cs="仿宋"/>
          <w:spacing w:val="-2"/>
          <w:sz w:val="24"/>
          <w:szCs w:val="24"/>
        </w:rPr>
        <w:t>（三）公布供应商名单，告知评审专家应当回避的情形；</w:t>
      </w:r>
    </w:p>
    <w:p w14:paraId="401DCF56">
      <w:pPr>
        <w:pStyle w:val="8"/>
        <w:spacing w:line="280" w:lineRule="auto"/>
      </w:pPr>
    </w:p>
    <w:p w14:paraId="73A094FD">
      <w:pPr>
        <w:spacing w:before="78" w:line="222" w:lineRule="auto"/>
        <w:ind w:left="466"/>
        <w:rPr>
          <w:rFonts w:ascii="仿宋" w:hAnsi="仿宋" w:eastAsia="仿宋" w:cs="仿宋"/>
          <w:sz w:val="24"/>
          <w:szCs w:val="24"/>
        </w:rPr>
      </w:pPr>
      <w:r>
        <w:rPr>
          <w:rFonts w:ascii="仿宋" w:hAnsi="仿宋" w:eastAsia="仿宋" w:cs="仿宋"/>
          <w:spacing w:val="-2"/>
          <w:sz w:val="24"/>
          <w:szCs w:val="24"/>
        </w:rPr>
        <w:t>（四）组织评标委员会推选评标组长，采购人代表不得担任组长；</w:t>
      </w:r>
    </w:p>
    <w:p w14:paraId="333D2880">
      <w:pPr>
        <w:pStyle w:val="8"/>
        <w:spacing w:line="277" w:lineRule="auto"/>
      </w:pPr>
    </w:p>
    <w:p w14:paraId="2A3C5CFE">
      <w:pPr>
        <w:spacing w:before="78" w:line="219" w:lineRule="auto"/>
        <w:ind w:left="466"/>
        <w:rPr>
          <w:rFonts w:ascii="仿宋" w:hAnsi="仿宋" w:eastAsia="仿宋" w:cs="仿宋"/>
          <w:sz w:val="24"/>
          <w:szCs w:val="24"/>
        </w:rPr>
      </w:pPr>
      <w:r>
        <w:rPr>
          <w:rFonts w:ascii="仿宋" w:hAnsi="仿宋" w:eastAsia="仿宋" w:cs="仿宋"/>
          <w:spacing w:val="-2"/>
          <w:sz w:val="24"/>
          <w:szCs w:val="24"/>
        </w:rPr>
        <w:t>（五）在评标期间采取必要的通讯管理措施，保证评标活动不受外界干扰；</w:t>
      </w:r>
    </w:p>
    <w:p w14:paraId="0AAB591B">
      <w:pPr>
        <w:pStyle w:val="8"/>
        <w:spacing w:line="285" w:lineRule="auto"/>
      </w:pPr>
    </w:p>
    <w:p w14:paraId="302A969A">
      <w:pPr>
        <w:spacing w:before="78" w:line="221" w:lineRule="auto"/>
        <w:ind w:left="466"/>
        <w:rPr>
          <w:rFonts w:ascii="仿宋" w:hAnsi="仿宋" w:eastAsia="仿宋" w:cs="仿宋"/>
          <w:sz w:val="24"/>
          <w:szCs w:val="24"/>
        </w:rPr>
      </w:pPr>
      <w:r>
        <w:rPr>
          <w:rFonts w:ascii="仿宋" w:hAnsi="仿宋" w:eastAsia="仿宋" w:cs="仿宋"/>
          <w:spacing w:val="-2"/>
          <w:sz w:val="24"/>
          <w:szCs w:val="24"/>
        </w:rPr>
        <w:t>（六）根据评标委员会的要求介绍政府采购相关政策法规、采购文件；</w:t>
      </w:r>
    </w:p>
    <w:p w14:paraId="0A777F2D">
      <w:pPr>
        <w:pStyle w:val="8"/>
        <w:spacing w:line="279" w:lineRule="auto"/>
      </w:pPr>
    </w:p>
    <w:p w14:paraId="11D11531">
      <w:pPr>
        <w:spacing w:before="79" w:line="289" w:lineRule="auto"/>
        <w:ind w:left="216" w:right="292" w:firstLine="249"/>
        <w:rPr>
          <w:rFonts w:ascii="仿宋" w:hAnsi="仿宋" w:eastAsia="仿宋" w:cs="仿宋"/>
          <w:sz w:val="24"/>
          <w:szCs w:val="24"/>
        </w:rPr>
      </w:pPr>
      <w:r>
        <w:rPr>
          <w:rFonts w:ascii="仿宋" w:hAnsi="仿宋" w:eastAsia="仿宋" w:cs="仿宋"/>
          <w:spacing w:val="2"/>
          <w:sz w:val="24"/>
          <w:szCs w:val="24"/>
        </w:rPr>
        <w:t>（七）维护评标秩序，监督评标委员会依照采购文件规定的评标程序、方法</w:t>
      </w:r>
      <w:r>
        <w:rPr>
          <w:rFonts w:ascii="仿宋" w:hAnsi="仿宋" w:eastAsia="仿宋" w:cs="仿宋"/>
          <w:spacing w:val="8"/>
          <w:sz w:val="24"/>
          <w:szCs w:val="24"/>
        </w:rPr>
        <w:t xml:space="preserve"> </w:t>
      </w:r>
      <w:r>
        <w:rPr>
          <w:rFonts w:ascii="仿宋" w:hAnsi="仿宋" w:eastAsia="仿宋" w:cs="仿宋"/>
          <w:spacing w:val="2"/>
          <w:sz w:val="24"/>
          <w:szCs w:val="24"/>
        </w:rPr>
        <w:t>和标准进行独立评审，及时制止和纠正采购人代表、评审专家的倾向性言论或</w:t>
      </w:r>
    </w:p>
    <w:p w14:paraId="34241201">
      <w:pPr>
        <w:spacing w:before="181" w:line="221" w:lineRule="auto"/>
        <w:ind w:left="220"/>
        <w:rPr>
          <w:rFonts w:ascii="仿宋" w:hAnsi="仿宋" w:eastAsia="仿宋" w:cs="仿宋"/>
          <w:sz w:val="24"/>
          <w:szCs w:val="24"/>
        </w:rPr>
      </w:pPr>
      <w:r>
        <w:rPr>
          <w:rFonts w:ascii="仿宋" w:hAnsi="仿宋" w:eastAsia="仿宋" w:cs="仿宋"/>
          <w:spacing w:val="-4"/>
          <w:sz w:val="24"/>
          <w:szCs w:val="24"/>
        </w:rPr>
        <w:t>者违法违规行为；</w:t>
      </w:r>
    </w:p>
    <w:p w14:paraId="3FEC65BD">
      <w:pPr>
        <w:pStyle w:val="8"/>
        <w:spacing w:line="284" w:lineRule="auto"/>
      </w:pPr>
    </w:p>
    <w:p w14:paraId="62817260">
      <w:pPr>
        <w:spacing w:before="79" w:line="348" w:lineRule="auto"/>
        <w:ind w:left="216" w:right="215" w:firstLine="249"/>
        <w:jc w:val="both"/>
        <w:rPr>
          <w:rFonts w:ascii="仿宋" w:hAnsi="仿宋" w:eastAsia="仿宋" w:cs="仿宋"/>
          <w:sz w:val="24"/>
          <w:szCs w:val="24"/>
        </w:rPr>
      </w:pPr>
      <w:r>
        <w:rPr>
          <w:rFonts w:ascii="仿宋" w:hAnsi="仿宋" w:eastAsia="仿宋" w:cs="仿宋"/>
          <w:spacing w:val="-3"/>
          <w:sz w:val="24"/>
          <w:szCs w:val="24"/>
        </w:rPr>
        <w:t>（八）核对评标结果，有财政部87号令第六十四条规定情形的，要求评标委员</w:t>
      </w:r>
      <w:r>
        <w:rPr>
          <w:rFonts w:ascii="仿宋" w:hAnsi="仿宋" w:eastAsia="仿宋" w:cs="仿宋"/>
          <w:spacing w:val="15"/>
          <w:sz w:val="24"/>
          <w:szCs w:val="24"/>
        </w:rPr>
        <w:t xml:space="preserve"> </w:t>
      </w:r>
      <w:r>
        <w:rPr>
          <w:rFonts w:ascii="仿宋" w:hAnsi="仿宋" w:eastAsia="仿宋" w:cs="仿宋"/>
          <w:spacing w:val="2"/>
          <w:sz w:val="24"/>
          <w:szCs w:val="24"/>
        </w:rPr>
        <w:t>会复核或者书面说明理由，评标委员会拒绝的，应予记录并向本级财政部门报</w:t>
      </w:r>
      <w:r>
        <w:rPr>
          <w:rFonts w:ascii="仿宋" w:hAnsi="仿宋" w:eastAsia="仿宋" w:cs="仿宋"/>
          <w:spacing w:val="13"/>
          <w:sz w:val="24"/>
          <w:szCs w:val="24"/>
        </w:rPr>
        <w:t xml:space="preserve"> </w:t>
      </w:r>
      <w:r>
        <w:rPr>
          <w:rFonts w:ascii="仿宋" w:hAnsi="仿宋" w:eastAsia="仿宋" w:cs="仿宋"/>
          <w:spacing w:val="-8"/>
          <w:sz w:val="24"/>
          <w:szCs w:val="24"/>
        </w:rPr>
        <w:t>告；</w:t>
      </w:r>
    </w:p>
    <w:p w14:paraId="73A93903">
      <w:pPr>
        <w:spacing w:before="215" w:line="222" w:lineRule="auto"/>
        <w:ind w:left="466"/>
        <w:outlineLvl w:val="2"/>
        <w:rPr>
          <w:rFonts w:ascii="仿宋" w:hAnsi="仿宋" w:eastAsia="仿宋" w:cs="仿宋"/>
          <w:sz w:val="24"/>
          <w:szCs w:val="24"/>
        </w:rPr>
      </w:pPr>
      <w:bookmarkStart w:id="123" w:name="_Toc21828"/>
      <w:r>
        <w:rPr>
          <w:rFonts w:ascii="仿宋" w:hAnsi="仿宋" w:eastAsia="仿宋" w:cs="仿宋"/>
          <w:spacing w:val="-4"/>
          <w:sz w:val="24"/>
          <w:szCs w:val="24"/>
        </w:rPr>
        <w:t>（九）处理与评标有关的其他事项。</w:t>
      </w:r>
      <w:bookmarkEnd w:id="123"/>
    </w:p>
    <w:p w14:paraId="2D77FDC8">
      <w:pPr>
        <w:pStyle w:val="8"/>
        <w:spacing w:line="280" w:lineRule="auto"/>
      </w:pPr>
    </w:p>
    <w:p w14:paraId="67AA3261">
      <w:pPr>
        <w:spacing w:before="79" w:line="349" w:lineRule="auto"/>
        <w:ind w:left="34" w:firstLine="661"/>
        <w:rPr>
          <w:rFonts w:ascii="仿宋" w:hAnsi="仿宋" w:eastAsia="仿宋" w:cs="仿宋"/>
          <w:sz w:val="24"/>
          <w:szCs w:val="24"/>
        </w:rPr>
      </w:pPr>
      <w:r>
        <w:rPr>
          <w:rFonts w:ascii="仿宋" w:hAnsi="仿宋" w:eastAsia="仿宋" w:cs="仿宋"/>
          <w:spacing w:val="4"/>
          <w:sz w:val="24"/>
          <w:szCs w:val="24"/>
        </w:rPr>
        <w:t>采购人可以在评标前说明项目背景和采购需求，说明内容不得含有歧视性、</w:t>
      </w:r>
      <w:r>
        <w:rPr>
          <w:rFonts w:ascii="仿宋" w:hAnsi="仿宋" w:eastAsia="仿宋" w:cs="仿宋"/>
          <w:spacing w:val="5"/>
          <w:sz w:val="24"/>
          <w:szCs w:val="24"/>
        </w:rPr>
        <w:t xml:space="preserve"> </w:t>
      </w:r>
      <w:r>
        <w:rPr>
          <w:rFonts w:ascii="仿宋" w:hAnsi="仿宋" w:eastAsia="仿宋" w:cs="仿宋"/>
          <w:spacing w:val="2"/>
          <w:sz w:val="24"/>
          <w:szCs w:val="24"/>
        </w:rPr>
        <w:t>倾向性意见，不得超出采购文件所述范围。说明应当提交书面材料，并随采购文件</w:t>
      </w:r>
      <w:r>
        <w:rPr>
          <w:rFonts w:ascii="仿宋" w:hAnsi="仿宋" w:eastAsia="仿宋" w:cs="仿宋"/>
          <w:spacing w:val="7"/>
          <w:sz w:val="24"/>
          <w:szCs w:val="24"/>
        </w:rPr>
        <w:t xml:space="preserve"> </w:t>
      </w:r>
      <w:r>
        <w:rPr>
          <w:rFonts w:ascii="仿宋" w:hAnsi="仿宋" w:eastAsia="仿宋" w:cs="仿宋"/>
          <w:spacing w:val="-6"/>
          <w:sz w:val="24"/>
          <w:szCs w:val="24"/>
        </w:rPr>
        <w:t>一并存档。</w:t>
      </w:r>
    </w:p>
    <w:p w14:paraId="2A9FE1BA">
      <w:pPr>
        <w:spacing w:before="84" w:line="222" w:lineRule="auto"/>
        <w:ind w:left="685"/>
        <w:outlineLvl w:val="1"/>
        <w:rPr>
          <w:rFonts w:ascii="仿宋" w:hAnsi="仿宋" w:eastAsia="仿宋" w:cs="仿宋"/>
          <w:sz w:val="24"/>
          <w:szCs w:val="24"/>
        </w:rPr>
      </w:pPr>
      <w:bookmarkStart w:id="124" w:name="bookmark53"/>
      <w:bookmarkEnd w:id="124"/>
      <w:bookmarkStart w:id="125" w:name="_Toc14133"/>
      <w:r>
        <w:rPr>
          <w:rFonts w:ascii="仿宋" w:hAnsi="仿宋" w:eastAsia="仿宋" w:cs="仿宋"/>
          <w:b/>
          <w:bCs/>
          <w:spacing w:val="-7"/>
          <w:sz w:val="24"/>
          <w:szCs w:val="24"/>
        </w:rPr>
        <w:t>2.评标方法</w:t>
      </w:r>
      <w:bookmarkEnd w:id="125"/>
    </w:p>
    <w:p w14:paraId="01543754">
      <w:pPr>
        <w:spacing w:line="222" w:lineRule="auto"/>
        <w:rPr>
          <w:rFonts w:ascii="仿宋" w:hAnsi="仿宋" w:eastAsia="仿宋" w:cs="仿宋"/>
          <w:sz w:val="24"/>
          <w:szCs w:val="24"/>
        </w:rPr>
        <w:sectPr>
          <w:footerReference r:id="rId40" w:type="default"/>
          <w:pgSz w:w="11907" w:h="16840"/>
          <w:pgMar w:top="1418" w:right="1366" w:bottom="1202" w:left="1786" w:header="0" w:footer="1033" w:gutter="0"/>
          <w:pgNumType w:fmt="decimal"/>
          <w:cols w:space="720" w:num="1"/>
        </w:sectPr>
      </w:pPr>
    </w:p>
    <w:p w14:paraId="0182F051">
      <w:pPr>
        <w:spacing w:before="50" w:line="351" w:lineRule="auto"/>
        <w:ind w:left="214" w:right="45" w:firstLine="483"/>
        <w:jc w:val="both"/>
        <w:rPr>
          <w:rFonts w:ascii="仿宋" w:hAnsi="仿宋" w:eastAsia="仿宋" w:cs="仿宋"/>
          <w:sz w:val="24"/>
          <w:szCs w:val="24"/>
        </w:rPr>
      </w:pPr>
      <w:r>
        <w:rPr>
          <w:rFonts w:ascii="仿宋" w:hAnsi="仿宋" w:eastAsia="仿宋" w:cs="仿宋"/>
          <w:b/>
          <w:bCs/>
          <w:spacing w:val="-2"/>
          <w:sz w:val="24"/>
          <w:szCs w:val="24"/>
        </w:rPr>
        <w:t>本项目评标方法为：综合评分法。详细评标标准：采用综合</w:t>
      </w:r>
      <w:r>
        <w:rPr>
          <w:rFonts w:ascii="仿宋" w:hAnsi="仿宋" w:eastAsia="仿宋" w:cs="仿宋"/>
          <w:b/>
          <w:bCs/>
          <w:spacing w:val="-3"/>
          <w:sz w:val="24"/>
          <w:szCs w:val="24"/>
        </w:rPr>
        <w:t>评标法，则：评</w:t>
      </w:r>
      <w:r>
        <w:rPr>
          <w:rFonts w:ascii="仿宋" w:hAnsi="仿宋" w:eastAsia="仿宋" w:cs="仿宋"/>
          <w:sz w:val="24"/>
          <w:szCs w:val="24"/>
        </w:rPr>
        <w:t xml:space="preserve"> </w:t>
      </w:r>
      <w:r>
        <w:rPr>
          <w:rFonts w:ascii="仿宋" w:hAnsi="仿宋" w:eastAsia="仿宋" w:cs="仿宋"/>
          <w:b/>
          <w:bCs/>
          <w:spacing w:val="-2"/>
          <w:sz w:val="24"/>
          <w:szCs w:val="24"/>
        </w:rPr>
        <w:t>标结果按评审后得分由高到低顺序排列。得分相同的，按投标报价由低到高</w:t>
      </w:r>
      <w:r>
        <w:rPr>
          <w:rFonts w:ascii="仿宋" w:hAnsi="仿宋" w:eastAsia="仿宋" w:cs="仿宋"/>
          <w:b/>
          <w:bCs/>
          <w:spacing w:val="-3"/>
          <w:sz w:val="24"/>
          <w:szCs w:val="24"/>
        </w:rPr>
        <w:t>顺序</w:t>
      </w:r>
      <w:r>
        <w:rPr>
          <w:rFonts w:ascii="仿宋" w:hAnsi="仿宋" w:eastAsia="仿宋" w:cs="仿宋"/>
          <w:sz w:val="24"/>
          <w:szCs w:val="24"/>
        </w:rPr>
        <w:t xml:space="preserve"> </w:t>
      </w:r>
      <w:r>
        <w:rPr>
          <w:rFonts w:ascii="仿宋" w:hAnsi="仿宋" w:eastAsia="仿宋" w:cs="仿宋"/>
          <w:b/>
          <w:bCs/>
          <w:spacing w:val="-2"/>
          <w:sz w:val="24"/>
          <w:szCs w:val="24"/>
        </w:rPr>
        <w:t>排列。得分且投标报价相同的并列。投标文件满足采购文件全部实质性要求</w:t>
      </w:r>
      <w:r>
        <w:rPr>
          <w:rFonts w:ascii="仿宋" w:hAnsi="仿宋" w:eastAsia="仿宋" w:cs="仿宋"/>
          <w:b/>
          <w:bCs/>
          <w:spacing w:val="-3"/>
          <w:sz w:val="24"/>
          <w:szCs w:val="24"/>
        </w:rPr>
        <w:t>，且</w:t>
      </w:r>
      <w:r>
        <w:rPr>
          <w:rFonts w:ascii="仿宋" w:hAnsi="仿宋" w:eastAsia="仿宋" w:cs="仿宋"/>
          <w:sz w:val="24"/>
          <w:szCs w:val="24"/>
        </w:rPr>
        <w:t xml:space="preserve"> </w:t>
      </w:r>
      <w:r>
        <w:rPr>
          <w:rFonts w:ascii="仿宋" w:hAnsi="仿宋" w:eastAsia="仿宋" w:cs="仿宋"/>
          <w:b/>
          <w:bCs/>
          <w:spacing w:val="-2"/>
          <w:sz w:val="24"/>
          <w:szCs w:val="24"/>
        </w:rPr>
        <w:t>按照评审因素的量化指标评审得分最高的供应商为排名第一的中标候</w:t>
      </w:r>
      <w:r>
        <w:rPr>
          <w:rFonts w:ascii="仿宋" w:hAnsi="仿宋" w:eastAsia="仿宋" w:cs="仿宋"/>
          <w:b/>
          <w:bCs/>
          <w:spacing w:val="-3"/>
          <w:sz w:val="24"/>
          <w:szCs w:val="24"/>
        </w:rPr>
        <w:t>选人。</w:t>
      </w:r>
    </w:p>
    <w:p w14:paraId="128C90E9">
      <w:pPr>
        <w:spacing w:before="58" w:line="222" w:lineRule="auto"/>
        <w:ind w:left="691"/>
        <w:outlineLvl w:val="1"/>
        <w:rPr>
          <w:rFonts w:ascii="仿宋" w:hAnsi="仿宋" w:eastAsia="仿宋" w:cs="仿宋"/>
          <w:sz w:val="24"/>
          <w:szCs w:val="24"/>
        </w:rPr>
      </w:pPr>
      <w:bookmarkStart w:id="126" w:name="bookmark55"/>
      <w:bookmarkEnd w:id="126"/>
      <w:bookmarkStart w:id="127" w:name="_Toc20169"/>
      <w:r>
        <w:rPr>
          <w:rFonts w:ascii="仿宋" w:hAnsi="仿宋" w:eastAsia="仿宋" w:cs="仿宋"/>
          <w:b/>
          <w:bCs/>
          <w:spacing w:val="-8"/>
          <w:sz w:val="24"/>
          <w:szCs w:val="24"/>
        </w:rPr>
        <w:t>3.评标程序</w:t>
      </w:r>
      <w:bookmarkEnd w:id="127"/>
    </w:p>
    <w:p w14:paraId="5566D0EF">
      <w:pPr>
        <w:pStyle w:val="8"/>
        <w:spacing w:line="277" w:lineRule="auto"/>
      </w:pPr>
    </w:p>
    <w:p w14:paraId="4FB47957">
      <w:pPr>
        <w:spacing w:before="78" w:line="222" w:lineRule="auto"/>
        <w:ind w:left="689"/>
        <w:outlineLvl w:val="2"/>
        <w:rPr>
          <w:rFonts w:ascii="仿宋" w:hAnsi="仿宋" w:eastAsia="仿宋" w:cs="仿宋"/>
          <w:sz w:val="24"/>
          <w:szCs w:val="24"/>
        </w:rPr>
      </w:pPr>
      <w:bookmarkStart w:id="128" w:name="_Toc20612"/>
      <w:r>
        <w:rPr>
          <w:rFonts w:ascii="仿宋" w:hAnsi="仿宋" w:eastAsia="仿宋" w:cs="仿宋"/>
          <w:spacing w:val="-3"/>
          <w:sz w:val="24"/>
          <w:szCs w:val="24"/>
        </w:rPr>
        <w:t>3.1熟悉和理解采购文件和停止评标。</w:t>
      </w:r>
      <w:bookmarkEnd w:id="128"/>
    </w:p>
    <w:p w14:paraId="33B4FD96">
      <w:pPr>
        <w:pStyle w:val="8"/>
        <w:spacing w:line="277" w:lineRule="auto"/>
      </w:pPr>
    </w:p>
    <w:p w14:paraId="5655390F">
      <w:pPr>
        <w:spacing w:before="78" w:line="350" w:lineRule="auto"/>
        <w:ind w:left="37" w:right="66" w:firstLine="651"/>
        <w:rPr>
          <w:rFonts w:ascii="仿宋" w:hAnsi="仿宋" w:eastAsia="仿宋" w:cs="仿宋"/>
          <w:sz w:val="24"/>
          <w:szCs w:val="24"/>
        </w:rPr>
      </w:pPr>
      <w:r>
        <w:rPr>
          <w:rFonts w:ascii="仿宋" w:hAnsi="仿宋" w:eastAsia="仿宋" w:cs="仿宋"/>
          <w:spacing w:val="-3"/>
          <w:sz w:val="24"/>
          <w:szCs w:val="24"/>
        </w:rPr>
        <w:t>3.1.1评标委员会正式评标前，应当对采购文件进</w:t>
      </w:r>
      <w:r>
        <w:rPr>
          <w:rFonts w:ascii="仿宋" w:hAnsi="仿宋" w:eastAsia="仿宋" w:cs="仿宋"/>
          <w:spacing w:val="-4"/>
          <w:sz w:val="24"/>
          <w:szCs w:val="24"/>
        </w:rPr>
        <w:t>行熟悉和理解，内容主要包</w:t>
      </w:r>
      <w:r>
        <w:rPr>
          <w:rFonts w:ascii="仿宋" w:hAnsi="仿宋" w:eastAsia="仿宋" w:cs="仿宋"/>
          <w:sz w:val="24"/>
          <w:szCs w:val="24"/>
        </w:rPr>
        <w:t xml:space="preserve"> 括采购文件中采购项目技术、规格型号和商务要求、评标方法和标准以及可能涉</w:t>
      </w:r>
      <w:r>
        <w:rPr>
          <w:rFonts w:ascii="仿宋" w:hAnsi="仿宋" w:eastAsia="仿宋" w:cs="仿宋"/>
          <w:spacing w:val="7"/>
          <w:sz w:val="24"/>
          <w:szCs w:val="24"/>
        </w:rPr>
        <w:t xml:space="preserve">  </w:t>
      </w:r>
      <w:r>
        <w:rPr>
          <w:rFonts w:ascii="仿宋" w:hAnsi="仿宋" w:eastAsia="仿宋" w:cs="仿宋"/>
          <w:spacing w:val="-3"/>
          <w:sz w:val="24"/>
          <w:szCs w:val="24"/>
        </w:rPr>
        <w:t>及签订政府采购合同的内容等。</w:t>
      </w:r>
    </w:p>
    <w:p w14:paraId="7CB774B5">
      <w:pPr>
        <w:spacing w:before="211" w:line="219" w:lineRule="auto"/>
        <w:jc w:val="right"/>
        <w:rPr>
          <w:rFonts w:ascii="仿宋" w:hAnsi="仿宋" w:eastAsia="仿宋" w:cs="仿宋"/>
          <w:sz w:val="24"/>
          <w:szCs w:val="24"/>
        </w:rPr>
      </w:pPr>
      <w:r>
        <w:rPr>
          <w:rFonts w:ascii="仿宋" w:hAnsi="仿宋" w:eastAsia="仿宋" w:cs="仿宋"/>
          <w:spacing w:val="5"/>
          <w:sz w:val="24"/>
          <w:szCs w:val="24"/>
        </w:rPr>
        <w:t>评标委员会发现采购文件存在歧义、重大缺陷导致评标工作无法进行，或者采</w:t>
      </w:r>
    </w:p>
    <w:p w14:paraId="5843F9D8">
      <w:pPr>
        <w:spacing w:before="181" w:line="380" w:lineRule="auto"/>
        <w:ind w:left="15" w:right="2"/>
        <w:rPr>
          <w:rFonts w:ascii="仿宋" w:hAnsi="仿宋" w:eastAsia="仿宋" w:cs="仿宋"/>
          <w:sz w:val="24"/>
          <w:szCs w:val="24"/>
        </w:rPr>
      </w:pPr>
      <w:r>
        <w:rPr>
          <w:rFonts w:ascii="仿宋" w:hAnsi="仿宋" w:eastAsia="仿宋" w:cs="仿宋"/>
          <w:spacing w:val="7"/>
          <w:sz w:val="24"/>
          <w:szCs w:val="24"/>
        </w:rPr>
        <w:t>购文件内容违反国家有关强制性规定的，应当停止评标工作，与采购人或者采购</w:t>
      </w:r>
      <w:r>
        <w:rPr>
          <w:rFonts w:ascii="仿宋" w:hAnsi="仿宋" w:eastAsia="仿宋" w:cs="仿宋"/>
          <w:spacing w:val="14"/>
          <w:sz w:val="24"/>
          <w:szCs w:val="24"/>
        </w:rPr>
        <w:t xml:space="preserve"> </w:t>
      </w:r>
      <w:r>
        <w:rPr>
          <w:rFonts w:ascii="仿宋" w:hAnsi="仿宋" w:eastAsia="仿宋" w:cs="仿宋"/>
          <w:spacing w:val="1"/>
          <w:sz w:val="24"/>
          <w:szCs w:val="24"/>
        </w:rPr>
        <w:t>代理机构沟通并作书面记录。采购人或者采购代理机构确认后，应当修改采购文</w:t>
      </w:r>
      <w:r>
        <w:rPr>
          <w:rFonts w:ascii="仿宋" w:hAnsi="仿宋" w:eastAsia="仿宋" w:cs="仿宋"/>
          <w:spacing w:val="5"/>
          <w:sz w:val="24"/>
          <w:szCs w:val="24"/>
        </w:rPr>
        <w:t xml:space="preserve">  </w:t>
      </w:r>
      <w:r>
        <w:rPr>
          <w:rFonts w:ascii="仿宋" w:hAnsi="仿宋" w:eastAsia="仿宋" w:cs="仿宋"/>
          <w:spacing w:val="-4"/>
          <w:sz w:val="24"/>
          <w:szCs w:val="24"/>
        </w:rPr>
        <w:t>件，重新组织采购活动。</w:t>
      </w:r>
    </w:p>
    <w:p w14:paraId="0153A61D">
      <w:pPr>
        <w:spacing w:before="175" w:line="481" w:lineRule="auto"/>
        <w:ind w:left="689" w:right="3636"/>
        <w:rPr>
          <w:rFonts w:ascii="仿宋" w:hAnsi="仿宋" w:eastAsia="仿宋" w:cs="仿宋"/>
          <w:sz w:val="24"/>
          <w:szCs w:val="24"/>
        </w:rPr>
      </w:pPr>
      <w:r>
        <w:rPr>
          <w:rFonts w:ascii="仿宋" w:hAnsi="仿宋" w:eastAsia="仿宋" w:cs="仿宋"/>
          <w:spacing w:val="-5"/>
          <w:sz w:val="24"/>
          <w:szCs w:val="24"/>
        </w:rPr>
        <w:t>3.2资格性检查（见综合评分表前附表）。</w:t>
      </w:r>
      <w:r>
        <w:rPr>
          <w:rFonts w:ascii="仿宋" w:hAnsi="仿宋" w:eastAsia="仿宋" w:cs="仿宋"/>
          <w:spacing w:val="10"/>
          <w:sz w:val="24"/>
          <w:szCs w:val="24"/>
        </w:rPr>
        <w:t xml:space="preserve"> </w:t>
      </w:r>
      <w:r>
        <w:rPr>
          <w:rFonts w:ascii="仿宋" w:hAnsi="仿宋" w:eastAsia="仿宋" w:cs="仿宋"/>
          <w:spacing w:val="-5"/>
          <w:sz w:val="24"/>
          <w:szCs w:val="24"/>
        </w:rPr>
        <w:t>3.3符合性检查（见综合评分表前附表）。</w:t>
      </w:r>
    </w:p>
    <w:p w14:paraId="27E2D928">
      <w:pPr>
        <w:spacing w:before="46" w:line="289" w:lineRule="auto"/>
        <w:ind w:left="55" w:right="66" w:firstLine="633"/>
        <w:rPr>
          <w:rFonts w:ascii="仿宋" w:hAnsi="仿宋" w:eastAsia="仿宋" w:cs="仿宋"/>
          <w:sz w:val="24"/>
          <w:szCs w:val="24"/>
        </w:rPr>
      </w:pPr>
      <w:r>
        <w:rPr>
          <w:rFonts w:ascii="仿宋" w:hAnsi="仿宋" w:eastAsia="仿宋" w:cs="仿宋"/>
          <w:spacing w:val="-3"/>
          <w:sz w:val="24"/>
          <w:szCs w:val="24"/>
        </w:rPr>
        <w:t>3.3.1评标委员会依据本采购文件的实质性要求，</w:t>
      </w:r>
      <w:r>
        <w:rPr>
          <w:rFonts w:ascii="仿宋" w:hAnsi="仿宋" w:eastAsia="仿宋" w:cs="仿宋"/>
          <w:spacing w:val="-4"/>
          <w:sz w:val="24"/>
          <w:szCs w:val="24"/>
        </w:rPr>
        <w:t>对符合资格的投标文件进行</w:t>
      </w:r>
      <w:r>
        <w:rPr>
          <w:rFonts w:ascii="仿宋" w:hAnsi="仿宋" w:eastAsia="仿宋" w:cs="仿宋"/>
          <w:sz w:val="24"/>
          <w:szCs w:val="24"/>
        </w:rPr>
        <w:t xml:space="preserve"> </w:t>
      </w:r>
      <w:r>
        <w:rPr>
          <w:rFonts w:ascii="仿宋" w:hAnsi="仿宋" w:eastAsia="仿宋" w:cs="仿宋"/>
          <w:spacing w:val="-3"/>
          <w:sz w:val="24"/>
          <w:szCs w:val="24"/>
        </w:rPr>
        <w:t>审查，以确定其是否满足本采购文件的实质性要求。</w:t>
      </w:r>
    </w:p>
    <w:p w14:paraId="18BD9C2B">
      <w:pPr>
        <w:pStyle w:val="8"/>
        <w:spacing w:line="281" w:lineRule="auto"/>
      </w:pPr>
    </w:p>
    <w:p w14:paraId="4B586586">
      <w:pPr>
        <w:spacing w:before="78" w:line="313" w:lineRule="auto"/>
        <w:ind w:left="33" w:right="66" w:firstLine="655"/>
        <w:rPr>
          <w:rFonts w:ascii="仿宋" w:hAnsi="仿宋" w:eastAsia="仿宋" w:cs="仿宋"/>
          <w:sz w:val="24"/>
          <w:szCs w:val="24"/>
        </w:rPr>
      </w:pPr>
      <w:r>
        <w:rPr>
          <w:rFonts w:ascii="仿宋" w:hAnsi="仿宋" w:eastAsia="仿宋" w:cs="仿宋"/>
          <w:spacing w:val="-3"/>
          <w:sz w:val="24"/>
          <w:szCs w:val="24"/>
        </w:rPr>
        <w:t>3.3.2本项目符合性审查事项仅限于本采购文件的</w:t>
      </w:r>
      <w:r>
        <w:rPr>
          <w:rFonts w:ascii="仿宋" w:hAnsi="仿宋" w:eastAsia="仿宋" w:cs="仿宋"/>
          <w:spacing w:val="-4"/>
          <w:sz w:val="24"/>
          <w:szCs w:val="24"/>
        </w:rPr>
        <w:t>明确规定。投标文件是否满</w:t>
      </w:r>
      <w:r>
        <w:rPr>
          <w:rFonts w:ascii="仿宋" w:hAnsi="仿宋" w:eastAsia="仿宋" w:cs="仿宋"/>
          <w:sz w:val="24"/>
          <w:szCs w:val="24"/>
        </w:rPr>
        <w:t xml:space="preserve"> </w:t>
      </w:r>
      <w:r>
        <w:rPr>
          <w:rFonts w:ascii="仿宋" w:hAnsi="仿宋" w:eastAsia="仿宋" w:cs="仿宋"/>
          <w:spacing w:val="1"/>
          <w:sz w:val="24"/>
          <w:szCs w:val="24"/>
        </w:rPr>
        <w:t>足采购文件的实质性要求，必须以本采购文</w:t>
      </w:r>
      <w:r>
        <w:rPr>
          <w:rFonts w:ascii="仿宋" w:hAnsi="仿宋" w:eastAsia="仿宋" w:cs="仿宋"/>
          <w:sz w:val="24"/>
          <w:szCs w:val="24"/>
        </w:rPr>
        <w:t xml:space="preserve">件的明确规定作为依据，否则，不能  </w:t>
      </w:r>
      <w:r>
        <w:rPr>
          <w:rFonts w:ascii="仿宋" w:hAnsi="仿宋" w:eastAsia="仿宋" w:cs="仿宋"/>
          <w:spacing w:val="-2"/>
          <w:sz w:val="24"/>
          <w:szCs w:val="24"/>
        </w:rPr>
        <w:t>对投标文件作为无效处理，评标委员会不得臆测符合性审查事项。</w:t>
      </w:r>
    </w:p>
    <w:p w14:paraId="6BA9E377">
      <w:pPr>
        <w:pStyle w:val="8"/>
        <w:spacing w:line="281" w:lineRule="auto"/>
      </w:pPr>
    </w:p>
    <w:p w14:paraId="441B2587">
      <w:pPr>
        <w:spacing w:before="78" w:line="313" w:lineRule="auto"/>
        <w:ind w:left="35" w:right="66" w:firstLine="654"/>
        <w:rPr>
          <w:rFonts w:ascii="仿宋" w:hAnsi="仿宋" w:eastAsia="仿宋" w:cs="仿宋"/>
          <w:sz w:val="24"/>
          <w:szCs w:val="24"/>
        </w:rPr>
      </w:pPr>
      <w:r>
        <w:rPr>
          <w:rFonts w:ascii="仿宋" w:hAnsi="仿宋" w:eastAsia="仿宋" w:cs="仿宋"/>
          <w:spacing w:val="-3"/>
          <w:sz w:val="24"/>
          <w:szCs w:val="24"/>
        </w:rPr>
        <w:t>3.3.3投标文件以骑缝章的形式代替投标文件内容</w:t>
      </w:r>
      <w:r>
        <w:rPr>
          <w:rFonts w:ascii="仿宋" w:hAnsi="仿宋" w:eastAsia="仿宋" w:cs="仿宋"/>
          <w:spacing w:val="-4"/>
          <w:sz w:val="24"/>
          <w:szCs w:val="24"/>
        </w:rPr>
        <w:t>逐页盖章的（但是骑缝章模</w:t>
      </w:r>
      <w:r>
        <w:rPr>
          <w:rFonts w:ascii="仿宋" w:hAnsi="仿宋" w:eastAsia="仿宋" w:cs="仿宋"/>
          <w:sz w:val="24"/>
          <w:szCs w:val="24"/>
        </w:rPr>
        <w:t xml:space="preserve"> 糊不清，印章名称无法辨认的除外）本项目不作为实质性要求进行规定，即不作</w:t>
      </w:r>
      <w:r>
        <w:rPr>
          <w:rFonts w:ascii="仿宋" w:hAnsi="仿宋" w:eastAsia="仿宋" w:cs="仿宋"/>
          <w:spacing w:val="7"/>
          <w:sz w:val="24"/>
          <w:szCs w:val="24"/>
        </w:rPr>
        <w:t xml:space="preserve">  </w:t>
      </w:r>
      <w:r>
        <w:rPr>
          <w:rFonts w:ascii="仿宋" w:hAnsi="仿宋" w:eastAsia="仿宋" w:cs="仿宋"/>
          <w:spacing w:val="-2"/>
          <w:sz w:val="24"/>
          <w:szCs w:val="24"/>
        </w:rPr>
        <w:t>为符合性审查事项，不得作为无效投标处理：</w:t>
      </w:r>
    </w:p>
    <w:p w14:paraId="20BF99C3">
      <w:pPr>
        <w:pStyle w:val="8"/>
        <w:spacing w:line="280" w:lineRule="auto"/>
      </w:pPr>
    </w:p>
    <w:p w14:paraId="3431EA45">
      <w:pPr>
        <w:spacing w:before="78" w:line="344" w:lineRule="auto"/>
        <w:ind w:left="51" w:right="98" w:firstLine="638"/>
        <w:rPr>
          <w:rFonts w:ascii="仿宋" w:hAnsi="仿宋" w:eastAsia="仿宋" w:cs="仿宋"/>
          <w:sz w:val="24"/>
          <w:szCs w:val="24"/>
        </w:rPr>
      </w:pPr>
      <w:r>
        <w:rPr>
          <w:rFonts w:ascii="仿宋" w:hAnsi="仿宋" w:eastAsia="仿宋" w:cs="仿宋"/>
          <w:spacing w:val="-4"/>
          <w:sz w:val="24"/>
          <w:szCs w:val="24"/>
        </w:rPr>
        <w:t>3.4比较与评价。按采购文件中规定的评标方法和</w:t>
      </w:r>
      <w:r>
        <w:rPr>
          <w:rFonts w:ascii="仿宋" w:hAnsi="仿宋" w:eastAsia="仿宋" w:cs="仿宋"/>
          <w:spacing w:val="-5"/>
          <w:sz w:val="24"/>
          <w:szCs w:val="24"/>
        </w:rPr>
        <w:t>标准，对未作无效投标处理</w:t>
      </w:r>
      <w:r>
        <w:rPr>
          <w:rFonts w:ascii="仿宋" w:hAnsi="仿宋" w:eastAsia="仿宋" w:cs="仿宋"/>
          <w:sz w:val="24"/>
          <w:szCs w:val="24"/>
        </w:rPr>
        <w:t xml:space="preserve"> </w:t>
      </w:r>
      <w:r>
        <w:rPr>
          <w:rFonts w:ascii="仿宋" w:hAnsi="仿宋" w:eastAsia="仿宋" w:cs="仿宋"/>
          <w:spacing w:val="-2"/>
          <w:sz w:val="24"/>
          <w:szCs w:val="24"/>
        </w:rPr>
        <w:t>的投标文件进行技术、型号、商务等方面评估，综合比较与评价。</w:t>
      </w:r>
    </w:p>
    <w:p w14:paraId="288C7B0D">
      <w:pPr>
        <w:spacing w:line="344" w:lineRule="auto"/>
        <w:rPr>
          <w:rFonts w:ascii="仿宋" w:hAnsi="仿宋" w:eastAsia="仿宋" w:cs="仿宋"/>
          <w:sz w:val="24"/>
          <w:szCs w:val="24"/>
        </w:rPr>
        <w:sectPr>
          <w:footerReference r:id="rId41" w:type="default"/>
          <w:pgSz w:w="11907" w:h="16840"/>
          <w:pgMar w:top="1418" w:right="1443" w:bottom="1202" w:left="1786" w:header="0" w:footer="1033" w:gutter="0"/>
          <w:pgNumType w:fmt="decimal"/>
          <w:cols w:space="720" w:num="1"/>
        </w:sectPr>
      </w:pPr>
    </w:p>
    <w:p w14:paraId="418C8DCD">
      <w:pPr>
        <w:spacing w:before="46" w:line="354" w:lineRule="auto"/>
        <w:ind w:left="33" w:right="173" w:firstLine="655"/>
        <w:rPr>
          <w:rFonts w:ascii="仿宋" w:hAnsi="仿宋" w:eastAsia="仿宋" w:cs="仿宋"/>
          <w:sz w:val="24"/>
          <w:szCs w:val="24"/>
        </w:rPr>
      </w:pPr>
      <w:r>
        <w:rPr>
          <w:rFonts w:ascii="仿宋" w:hAnsi="仿宋" w:eastAsia="仿宋" w:cs="仿宋"/>
          <w:spacing w:val="-3"/>
          <w:sz w:val="24"/>
          <w:szCs w:val="24"/>
        </w:rPr>
        <w:t>3.4.1评标委员会首先按照采购文件要求对投标文</w:t>
      </w:r>
      <w:r>
        <w:rPr>
          <w:rFonts w:ascii="仿宋" w:hAnsi="仿宋" w:eastAsia="仿宋" w:cs="仿宋"/>
          <w:spacing w:val="-4"/>
          <w:sz w:val="24"/>
          <w:szCs w:val="24"/>
        </w:rPr>
        <w:t>件中的供应商资格、供应商</w:t>
      </w:r>
      <w:r>
        <w:rPr>
          <w:rFonts w:ascii="仿宋" w:hAnsi="仿宋" w:eastAsia="仿宋" w:cs="仿宋"/>
          <w:sz w:val="24"/>
          <w:szCs w:val="24"/>
        </w:rPr>
        <w:t xml:space="preserve"> </w:t>
      </w:r>
      <w:r>
        <w:rPr>
          <w:rFonts w:ascii="仿宋" w:hAnsi="仿宋" w:eastAsia="仿宋" w:cs="仿宋"/>
          <w:spacing w:val="-4"/>
          <w:sz w:val="24"/>
          <w:szCs w:val="24"/>
        </w:rPr>
        <w:t>资格证明文件、重要技术指标以及技术和商务上要求的</w:t>
      </w:r>
      <w:r>
        <w:rPr>
          <w:rFonts w:ascii="仿宋" w:hAnsi="仿宋" w:eastAsia="仿宋" w:cs="仿宋"/>
          <w:spacing w:val="-5"/>
          <w:sz w:val="24"/>
          <w:szCs w:val="24"/>
        </w:rPr>
        <w:t>其它重要内容进行审核，审</w:t>
      </w:r>
      <w:r>
        <w:rPr>
          <w:rFonts w:ascii="仿宋" w:hAnsi="仿宋" w:eastAsia="仿宋" w:cs="仿宋"/>
          <w:sz w:val="24"/>
          <w:szCs w:val="24"/>
        </w:rPr>
        <w:t xml:space="preserve">  核合格后即视为实质性响应的投标文件，除考虑投标价格外，还应考虑以下因素：</w:t>
      </w:r>
      <w:r>
        <w:rPr>
          <w:rFonts w:ascii="仿宋" w:hAnsi="仿宋" w:eastAsia="仿宋" w:cs="仿宋"/>
          <w:spacing w:val="17"/>
          <w:sz w:val="24"/>
          <w:szCs w:val="24"/>
        </w:rPr>
        <w:t xml:space="preserve"> </w:t>
      </w:r>
      <w:r>
        <w:rPr>
          <w:rFonts w:ascii="仿宋" w:hAnsi="仿宋" w:eastAsia="仿宋" w:cs="仿宋"/>
          <w:spacing w:val="1"/>
          <w:sz w:val="24"/>
          <w:szCs w:val="24"/>
        </w:rPr>
        <w:t>投标文件中所报交货期及付款方式；货物的</w:t>
      </w:r>
      <w:r>
        <w:rPr>
          <w:rFonts w:ascii="仿宋" w:hAnsi="仿宋" w:eastAsia="仿宋" w:cs="仿宋"/>
          <w:sz w:val="24"/>
          <w:szCs w:val="24"/>
        </w:rPr>
        <w:t>技术水平、性能和供货能力；货物的质 量和适用性；配套产品的安全性、先进性；投标方为其所供货物提供零备件及售后</w:t>
      </w:r>
      <w:r>
        <w:rPr>
          <w:rFonts w:ascii="仿宋" w:hAnsi="仿宋" w:eastAsia="仿宋" w:cs="仿宋"/>
          <w:spacing w:val="12"/>
          <w:sz w:val="24"/>
          <w:szCs w:val="24"/>
        </w:rPr>
        <w:t xml:space="preserve"> </w:t>
      </w:r>
      <w:r>
        <w:rPr>
          <w:rFonts w:ascii="仿宋" w:hAnsi="仿宋" w:eastAsia="仿宋" w:cs="仿宋"/>
          <w:spacing w:val="-2"/>
          <w:sz w:val="24"/>
          <w:szCs w:val="24"/>
        </w:rPr>
        <w:t>服务的可能性；零备件、专用工具及相关服务的费用。</w:t>
      </w:r>
    </w:p>
    <w:p w14:paraId="647660DB">
      <w:pPr>
        <w:spacing w:before="223" w:line="348" w:lineRule="auto"/>
        <w:ind w:left="33" w:right="175" w:firstLine="661"/>
        <w:jc w:val="both"/>
        <w:rPr>
          <w:rFonts w:ascii="仿宋" w:hAnsi="仿宋" w:eastAsia="仿宋" w:cs="仿宋"/>
          <w:sz w:val="24"/>
          <w:szCs w:val="24"/>
        </w:rPr>
      </w:pPr>
      <w:r>
        <w:rPr>
          <w:rFonts w:ascii="仿宋" w:hAnsi="仿宋" w:eastAsia="仿宋" w:cs="仿宋"/>
          <w:spacing w:val="2"/>
          <w:sz w:val="24"/>
          <w:szCs w:val="24"/>
        </w:rPr>
        <w:t>评审完毕，评标委员会根据汇总各供应商的综合得分，按照得分高低进行排</w:t>
      </w:r>
      <w:r>
        <w:rPr>
          <w:rFonts w:ascii="仿宋" w:hAnsi="仿宋" w:eastAsia="仿宋" w:cs="仿宋"/>
          <w:spacing w:val="9"/>
          <w:sz w:val="24"/>
          <w:szCs w:val="24"/>
        </w:rPr>
        <w:t xml:space="preserve"> </w:t>
      </w:r>
      <w:r>
        <w:rPr>
          <w:rFonts w:ascii="仿宋" w:hAnsi="仿宋" w:eastAsia="仿宋" w:cs="仿宋"/>
          <w:spacing w:val="7"/>
          <w:sz w:val="24"/>
          <w:szCs w:val="24"/>
        </w:rPr>
        <w:t xml:space="preserve">序，取前三名作为中标候选人推荐给招标委员会。如果两供应商的得分相同，投 </w:t>
      </w:r>
      <w:r>
        <w:rPr>
          <w:rFonts w:ascii="仿宋" w:hAnsi="仿宋" w:eastAsia="仿宋" w:cs="仿宋"/>
          <w:spacing w:val="-4"/>
          <w:sz w:val="24"/>
          <w:szCs w:val="24"/>
        </w:rPr>
        <w:t>标价格低者排在前。</w:t>
      </w:r>
    </w:p>
    <w:p w14:paraId="26DBFBC8">
      <w:pPr>
        <w:spacing w:before="78" w:line="345" w:lineRule="auto"/>
        <w:ind w:left="44" w:right="401" w:firstLine="651"/>
        <w:rPr>
          <w:rFonts w:ascii="仿宋" w:hAnsi="仿宋" w:eastAsia="仿宋" w:cs="仿宋"/>
          <w:sz w:val="24"/>
          <w:szCs w:val="24"/>
        </w:rPr>
      </w:pPr>
      <w:r>
        <w:rPr>
          <w:rFonts w:ascii="仿宋" w:hAnsi="仿宋" w:eastAsia="仿宋" w:cs="仿宋"/>
          <w:spacing w:val="-5"/>
          <w:sz w:val="24"/>
          <w:szCs w:val="24"/>
        </w:rPr>
        <w:t>本项目参数要求、评审内容如有指向性，仅作为招标参考，投标服务不应低</w:t>
      </w:r>
      <w:r>
        <w:rPr>
          <w:rFonts w:ascii="仿宋" w:hAnsi="仿宋" w:eastAsia="仿宋" w:cs="仿宋"/>
          <w:spacing w:val="15"/>
          <w:sz w:val="24"/>
          <w:szCs w:val="24"/>
        </w:rPr>
        <w:t xml:space="preserve"> </w:t>
      </w:r>
      <w:r>
        <w:rPr>
          <w:rFonts w:ascii="仿宋" w:hAnsi="仿宋" w:eastAsia="仿宋" w:cs="仿宋"/>
          <w:spacing w:val="-2"/>
          <w:sz w:val="24"/>
          <w:szCs w:val="24"/>
        </w:rPr>
        <w:t>于招标要求，如有不符合要求，视为不响应采购文件规定。</w:t>
      </w:r>
    </w:p>
    <w:p w14:paraId="6886FC5E">
      <w:pPr>
        <w:spacing w:before="75" w:line="343" w:lineRule="auto"/>
        <w:ind w:left="65" w:right="254" w:firstLine="624"/>
        <w:rPr>
          <w:rFonts w:ascii="仿宋" w:hAnsi="仿宋" w:eastAsia="仿宋" w:cs="仿宋"/>
          <w:sz w:val="24"/>
          <w:szCs w:val="24"/>
        </w:rPr>
      </w:pPr>
      <w:r>
        <w:rPr>
          <w:rFonts w:ascii="仿宋" w:hAnsi="仿宋" w:eastAsia="仿宋" w:cs="仿宋"/>
          <w:spacing w:val="-3"/>
          <w:sz w:val="24"/>
          <w:szCs w:val="24"/>
        </w:rPr>
        <w:t>3.5复核。评分汇总结束后，评标委员会应当进</w:t>
      </w:r>
      <w:r>
        <w:rPr>
          <w:rFonts w:ascii="仿宋" w:hAnsi="仿宋" w:eastAsia="仿宋" w:cs="仿宋"/>
          <w:spacing w:val="-4"/>
          <w:sz w:val="24"/>
          <w:szCs w:val="24"/>
        </w:rPr>
        <w:t>行复核，特别要对拟推荐为中</w:t>
      </w:r>
      <w:r>
        <w:rPr>
          <w:rFonts w:ascii="仿宋" w:hAnsi="仿宋" w:eastAsia="仿宋" w:cs="仿宋"/>
          <w:sz w:val="24"/>
          <w:szCs w:val="24"/>
        </w:rPr>
        <w:t xml:space="preserve"> </w:t>
      </w:r>
      <w:r>
        <w:rPr>
          <w:rFonts w:ascii="仿宋" w:hAnsi="仿宋" w:eastAsia="仿宋" w:cs="仿宋"/>
          <w:spacing w:val="-2"/>
          <w:sz w:val="24"/>
          <w:szCs w:val="24"/>
        </w:rPr>
        <w:t>标候选供应商的、报价最低的、投标文件被</w:t>
      </w:r>
      <w:r>
        <w:rPr>
          <w:rFonts w:ascii="仿宋" w:hAnsi="仿宋" w:eastAsia="仿宋" w:cs="仿宋"/>
          <w:spacing w:val="-3"/>
          <w:sz w:val="24"/>
          <w:szCs w:val="24"/>
        </w:rPr>
        <w:t>认定为无效的进行重点复核。</w:t>
      </w:r>
    </w:p>
    <w:p w14:paraId="46DD03A9">
      <w:pPr>
        <w:spacing w:before="222" w:line="222" w:lineRule="auto"/>
        <w:ind w:left="689"/>
        <w:outlineLvl w:val="2"/>
        <w:rPr>
          <w:rFonts w:ascii="仿宋" w:hAnsi="仿宋" w:eastAsia="仿宋" w:cs="仿宋"/>
          <w:sz w:val="24"/>
          <w:szCs w:val="24"/>
        </w:rPr>
      </w:pPr>
      <w:bookmarkStart w:id="129" w:name="_Toc12254"/>
      <w:r>
        <w:rPr>
          <w:rFonts w:ascii="仿宋" w:hAnsi="仿宋" w:eastAsia="仿宋" w:cs="仿宋"/>
          <w:spacing w:val="-3"/>
          <w:sz w:val="24"/>
          <w:szCs w:val="24"/>
        </w:rPr>
        <w:t>3.6推荐中标候选供应商。中标候选供应商应当排序。</w:t>
      </w:r>
      <w:bookmarkEnd w:id="129"/>
    </w:p>
    <w:p w14:paraId="116DE060">
      <w:pPr>
        <w:pStyle w:val="8"/>
        <w:spacing w:line="281" w:lineRule="auto"/>
      </w:pPr>
    </w:p>
    <w:p w14:paraId="5798C63D">
      <w:pPr>
        <w:spacing w:before="78" w:line="343" w:lineRule="auto"/>
        <w:ind w:left="59" w:right="288" w:firstLine="630"/>
        <w:rPr>
          <w:rFonts w:ascii="仿宋" w:hAnsi="仿宋" w:eastAsia="仿宋" w:cs="仿宋"/>
          <w:sz w:val="24"/>
          <w:szCs w:val="24"/>
        </w:rPr>
      </w:pPr>
      <w:r>
        <w:rPr>
          <w:rFonts w:ascii="仿宋" w:hAnsi="仿宋" w:eastAsia="仿宋" w:cs="仿宋"/>
          <w:spacing w:val="-4"/>
          <w:sz w:val="24"/>
          <w:szCs w:val="24"/>
        </w:rPr>
        <w:t>3.7出具评标报告。评标委员会推荐中标候选供应</w:t>
      </w:r>
      <w:r>
        <w:rPr>
          <w:rFonts w:ascii="仿宋" w:hAnsi="仿宋" w:eastAsia="仿宋" w:cs="仿宋"/>
          <w:spacing w:val="-5"/>
          <w:sz w:val="24"/>
          <w:szCs w:val="24"/>
        </w:rPr>
        <w:t>商后，应当向招标采购单位</w:t>
      </w:r>
      <w:r>
        <w:rPr>
          <w:rFonts w:ascii="仿宋" w:hAnsi="仿宋" w:eastAsia="仿宋" w:cs="仿宋"/>
          <w:sz w:val="24"/>
          <w:szCs w:val="24"/>
        </w:rPr>
        <w:t xml:space="preserve"> </w:t>
      </w:r>
      <w:r>
        <w:rPr>
          <w:rFonts w:ascii="仿宋" w:hAnsi="仿宋" w:eastAsia="仿宋" w:cs="仿宋"/>
          <w:spacing w:val="-3"/>
          <w:sz w:val="24"/>
          <w:szCs w:val="24"/>
        </w:rPr>
        <w:t>出具评标报告。评标报告应当包括下列内容：</w:t>
      </w:r>
    </w:p>
    <w:p w14:paraId="7A2187DA">
      <w:pPr>
        <w:spacing w:before="218" w:line="221" w:lineRule="auto"/>
        <w:ind w:left="704"/>
        <w:rPr>
          <w:rFonts w:ascii="仿宋" w:hAnsi="仿宋" w:eastAsia="仿宋" w:cs="仿宋"/>
          <w:sz w:val="24"/>
          <w:szCs w:val="24"/>
        </w:rPr>
      </w:pPr>
      <w:r>
        <w:rPr>
          <w:rFonts w:ascii="仿宋" w:hAnsi="仿宋" w:eastAsia="仿宋" w:cs="仿宋"/>
          <w:spacing w:val="-2"/>
          <w:sz w:val="24"/>
          <w:szCs w:val="24"/>
        </w:rPr>
        <w:t>（一）招标公告刊登的媒体名称、开标日期和地点；</w:t>
      </w:r>
    </w:p>
    <w:p w14:paraId="358CC4DF">
      <w:pPr>
        <w:spacing w:before="257" w:line="221" w:lineRule="auto"/>
        <w:ind w:left="687"/>
        <w:rPr>
          <w:rFonts w:ascii="仿宋" w:hAnsi="仿宋" w:eastAsia="仿宋" w:cs="仿宋"/>
          <w:sz w:val="24"/>
          <w:szCs w:val="24"/>
        </w:rPr>
      </w:pPr>
      <w:r>
        <w:rPr>
          <w:rFonts w:ascii="仿宋" w:hAnsi="仿宋" w:eastAsia="仿宋" w:cs="仿宋"/>
          <w:spacing w:val="-4"/>
          <w:sz w:val="24"/>
          <w:szCs w:val="24"/>
        </w:rPr>
        <w:t>（二）评标委员会成员名单；</w:t>
      </w:r>
    </w:p>
    <w:p w14:paraId="0FC0B607">
      <w:pPr>
        <w:pStyle w:val="8"/>
        <w:spacing w:line="279" w:lineRule="auto"/>
      </w:pPr>
    </w:p>
    <w:p w14:paraId="2375F29C">
      <w:pPr>
        <w:spacing w:before="78" w:line="222" w:lineRule="auto"/>
        <w:ind w:left="687"/>
        <w:rPr>
          <w:rFonts w:ascii="仿宋" w:hAnsi="仿宋" w:eastAsia="仿宋" w:cs="仿宋"/>
          <w:sz w:val="24"/>
          <w:szCs w:val="24"/>
        </w:rPr>
      </w:pPr>
      <w:r>
        <w:rPr>
          <w:rFonts w:ascii="仿宋" w:hAnsi="仿宋" w:eastAsia="仿宋" w:cs="仿宋"/>
          <w:spacing w:val="-4"/>
          <w:sz w:val="24"/>
          <w:szCs w:val="24"/>
        </w:rPr>
        <w:t>（三）评标方法和标准；</w:t>
      </w:r>
    </w:p>
    <w:p w14:paraId="1CBE049C">
      <w:pPr>
        <w:pStyle w:val="8"/>
        <w:spacing w:line="274" w:lineRule="auto"/>
      </w:pPr>
    </w:p>
    <w:p w14:paraId="1C2BFAF7">
      <w:pPr>
        <w:spacing w:before="78" w:line="221" w:lineRule="auto"/>
        <w:ind w:left="687"/>
        <w:rPr>
          <w:rFonts w:ascii="仿宋" w:hAnsi="仿宋" w:eastAsia="仿宋" w:cs="仿宋"/>
          <w:sz w:val="24"/>
          <w:szCs w:val="24"/>
        </w:rPr>
      </w:pPr>
      <w:r>
        <w:rPr>
          <w:rFonts w:ascii="仿宋" w:hAnsi="仿宋" w:eastAsia="仿宋" w:cs="仿宋"/>
          <w:spacing w:val="-2"/>
          <w:sz w:val="24"/>
          <w:szCs w:val="24"/>
        </w:rPr>
        <w:t>（四）开标记录和评标情况及说明，包括无效供应商名单及原因；</w:t>
      </w:r>
    </w:p>
    <w:p w14:paraId="31C8CF98">
      <w:pPr>
        <w:pStyle w:val="8"/>
        <w:spacing w:line="280" w:lineRule="auto"/>
      </w:pPr>
    </w:p>
    <w:p w14:paraId="30443FC6">
      <w:pPr>
        <w:spacing w:before="79" w:line="221" w:lineRule="auto"/>
        <w:jc w:val="right"/>
        <w:rPr>
          <w:rFonts w:ascii="仿宋" w:hAnsi="仿宋" w:eastAsia="仿宋" w:cs="仿宋"/>
          <w:sz w:val="24"/>
          <w:szCs w:val="24"/>
        </w:rPr>
      </w:pPr>
      <w:r>
        <w:rPr>
          <w:rFonts w:ascii="仿宋" w:hAnsi="仿宋" w:eastAsia="仿宋" w:cs="仿宋"/>
          <w:spacing w:val="-7"/>
          <w:sz w:val="24"/>
          <w:szCs w:val="24"/>
        </w:rPr>
        <w:t>（五）评标结果，确定的中标候选人名单或者经采购人委托直接确定的中标人；</w:t>
      </w:r>
    </w:p>
    <w:p w14:paraId="3E331794">
      <w:pPr>
        <w:pStyle w:val="8"/>
        <w:spacing w:line="280" w:lineRule="auto"/>
      </w:pPr>
    </w:p>
    <w:p w14:paraId="740B9456">
      <w:pPr>
        <w:spacing w:before="79" w:line="290" w:lineRule="auto"/>
        <w:ind w:left="34" w:right="182" w:firstLine="653"/>
        <w:rPr>
          <w:rFonts w:ascii="仿宋" w:hAnsi="仿宋" w:eastAsia="仿宋" w:cs="仿宋"/>
          <w:sz w:val="24"/>
          <w:szCs w:val="24"/>
        </w:rPr>
      </w:pPr>
      <w:r>
        <w:rPr>
          <w:rFonts w:ascii="仿宋" w:hAnsi="仿宋" w:eastAsia="仿宋" w:cs="仿宋"/>
          <w:spacing w:val="-5"/>
          <w:sz w:val="24"/>
          <w:szCs w:val="24"/>
        </w:rPr>
        <w:t>（六）其他需要说明的情况，包括评标过程中供应商根据评标委员会要求进行</w:t>
      </w:r>
      <w:r>
        <w:rPr>
          <w:rFonts w:ascii="仿宋" w:hAnsi="仿宋" w:eastAsia="仿宋" w:cs="仿宋"/>
          <w:spacing w:val="6"/>
          <w:sz w:val="24"/>
          <w:szCs w:val="24"/>
        </w:rPr>
        <w:t xml:space="preserve"> </w:t>
      </w:r>
      <w:r>
        <w:rPr>
          <w:rFonts w:ascii="仿宋" w:hAnsi="仿宋" w:eastAsia="仿宋" w:cs="仿宋"/>
          <w:spacing w:val="-3"/>
          <w:sz w:val="24"/>
          <w:szCs w:val="24"/>
        </w:rPr>
        <w:t>的澄清、说明或者补正，评标委员会成员的更换等。</w:t>
      </w:r>
    </w:p>
    <w:p w14:paraId="18BE1822">
      <w:pPr>
        <w:pStyle w:val="8"/>
        <w:spacing w:line="276" w:lineRule="auto"/>
      </w:pPr>
    </w:p>
    <w:p w14:paraId="3691499F">
      <w:pPr>
        <w:spacing w:before="79" w:line="349" w:lineRule="auto"/>
        <w:ind w:left="17" w:firstLine="660"/>
        <w:jc w:val="both"/>
        <w:rPr>
          <w:rFonts w:ascii="仿宋" w:hAnsi="仿宋" w:eastAsia="仿宋" w:cs="仿宋"/>
          <w:sz w:val="24"/>
          <w:szCs w:val="24"/>
        </w:rPr>
      </w:pPr>
      <w:r>
        <w:rPr>
          <w:rFonts w:ascii="仿宋" w:hAnsi="仿宋" w:eastAsia="仿宋" w:cs="仿宋"/>
          <w:spacing w:val="-6"/>
          <w:sz w:val="24"/>
          <w:szCs w:val="24"/>
        </w:rPr>
        <w:t>评标委员会成员应当在评标报告中签字确认，对评标过程和结果有不同意见</w:t>
      </w:r>
      <w:r>
        <w:rPr>
          <w:rFonts w:ascii="仿宋" w:hAnsi="仿宋" w:eastAsia="仿宋" w:cs="仿宋"/>
          <w:spacing w:val="-7"/>
          <w:sz w:val="24"/>
          <w:szCs w:val="24"/>
        </w:rPr>
        <w:t>的，</w:t>
      </w:r>
      <w:r>
        <w:rPr>
          <w:rFonts w:ascii="仿宋" w:hAnsi="仿宋" w:eastAsia="仿宋" w:cs="仿宋"/>
          <w:sz w:val="24"/>
          <w:szCs w:val="24"/>
        </w:rPr>
        <w:t xml:space="preserve"> </w:t>
      </w:r>
      <w:r>
        <w:rPr>
          <w:rFonts w:ascii="仿宋" w:hAnsi="仿宋" w:eastAsia="仿宋" w:cs="仿宋"/>
          <w:spacing w:val="1"/>
          <w:sz w:val="24"/>
          <w:szCs w:val="24"/>
        </w:rPr>
        <w:t>应当在评标报告中写明并说明理由。签字但未写明不同意见或者未说</w:t>
      </w:r>
      <w:r>
        <w:rPr>
          <w:rFonts w:ascii="仿宋" w:hAnsi="仿宋" w:eastAsia="仿宋" w:cs="仿宋"/>
          <w:sz w:val="24"/>
          <w:szCs w:val="24"/>
        </w:rPr>
        <w:t>明理由的，视  同无意见。拒不签字又未另行书面说明其不同意见和理由的，视同同意评标结果。</w:t>
      </w:r>
    </w:p>
    <w:p w14:paraId="29DB7322">
      <w:pPr>
        <w:spacing w:line="349" w:lineRule="auto"/>
        <w:rPr>
          <w:rFonts w:ascii="仿宋" w:hAnsi="仿宋" w:eastAsia="仿宋" w:cs="仿宋"/>
          <w:sz w:val="24"/>
          <w:szCs w:val="24"/>
        </w:rPr>
        <w:sectPr>
          <w:footerReference r:id="rId42" w:type="default"/>
          <w:pgSz w:w="11907" w:h="16840"/>
          <w:pgMar w:top="1418" w:right="1252" w:bottom="1202" w:left="1786" w:header="0" w:footer="1032" w:gutter="0"/>
          <w:pgNumType w:fmt="decimal"/>
          <w:cols w:space="720" w:num="1"/>
        </w:sectPr>
      </w:pPr>
    </w:p>
    <w:p w14:paraId="2C9D1DD2">
      <w:pPr>
        <w:spacing w:before="47" w:line="354" w:lineRule="auto"/>
        <w:ind w:left="17" w:right="101" w:firstLine="655"/>
        <w:jc w:val="both"/>
        <w:rPr>
          <w:rFonts w:ascii="仿宋" w:hAnsi="仿宋" w:eastAsia="仿宋" w:cs="仿宋"/>
          <w:sz w:val="24"/>
          <w:szCs w:val="24"/>
        </w:rPr>
      </w:pPr>
      <w:r>
        <w:rPr>
          <w:rFonts w:ascii="仿宋" w:hAnsi="仿宋" w:eastAsia="仿宋" w:cs="仿宋"/>
          <w:spacing w:val="-3"/>
          <w:sz w:val="24"/>
          <w:szCs w:val="24"/>
        </w:rPr>
        <w:t>3.8评标争议处理规则。评标委员会在评审过程</w:t>
      </w:r>
      <w:r>
        <w:rPr>
          <w:rFonts w:ascii="仿宋" w:hAnsi="仿宋" w:eastAsia="仿宋" w:cs="仿宋"/>
          <w:spacing w:val="-4"/>
          <w:sz w:val="24"/>
          <w:szCs w:val="24"/>
        </w:rPr>
        <w:t>中，对于符合性审查、对供应</w:t>
      </w:r>
      <w:r>
        <w:rPr>
          <w:rFonts w:ascii="仿宋" w:hAnsi="仿宋" w:eastAsia="仿宋" w:cs="仿宋"/>
          <w:sz w:val="24"/>
          <w:szCs w:val="24"/>
        </w:rPr>
        <w:t xml:space="preserve"> </w:t>
      </w:r>
      <w:r>
        <w:rPr>
          <w:rFonts w:ascii="仿宋" w:hAnsi="仿宋" w:eastAsia="仿宋" w:cs="仿宋"/>
          <w:spacing w:val="1"/>
          <w:sz w:val="24"/>
          <w:szCs w:val="24"/>
        </w:rPr>
        <w:t>商投标文件做无效投标处理及其他需要共同</w:t>
      </w:r>
      <w:r>
        <w:rPr>
          <w:rFonts w:ascii="仿宋" w:hAnsi="仿宋" w:eastAsia="仿宋" w:cs="仿宋"/>
          <w:sz w:val="24"/>
          <w:szCs w:val="24"/>
        </w:rPr>
        <w:t xml:space="preserve">认定的事项存在争议的，应当以少数服 </w:t>
      </w:r>
      <w:r>
        <w:rPr>
          <w:rFonts w:ascii="仿宋" w:hAnsi="仿宋" w:eastAsia="仿宋" w:cs="仿宋"/>
          <w:spacing w:val="1"/>
          <w:sz w:val="24"/>
          <w:szCs w:val="24"/>
        </w:rPr>
        <w:t>从多数的原则做出结论，但不得违背法律法</w:t>
      </w:r>
      <w:r>
        <w:rPr>
          <w:rFonts w:ascii="仿宋" w:hAnsi="仿宋" w:eastAsia="仿宋" w:cs="仿宋"/>
          <w:sz w:val="24"/>
          <w:szCs w:val="24"/>
        </w:rPr>
        <w:t xml:space="preserve">规和采购文件规定。有不同意见的评标 </w:t>
      </w:r>
      <w:r>
        <w:rPr>
          <w:rFonts w:ascii="仿宋" w:hAnsi="仿宋" w:eastAsia="仿宋" w:cs="仿宋"/>
          <w:spacing w:val="1"/>
          <w:sz w:val="24"/>
          <w:szCs w:val="24"/>
        </w:rPr>
        <w:t>委员会成员认为认定过程和结果不符合法律</w:t>
      </w:r>
      <w:r>
        <w:rPr>
          <w:rFonts w:ascii="仿宋" w:hAnsi="仿宋" w:eastAsia="仿宋" w:cs="仿宋"/>
          <w:sz w:val="24"/>
          <w:szCs w:val="24"/>
        </w:rPr>
        <w:t>法规或者采购文件规定的，应当及时向 招标采购单位书面反映。招标采购单位收到书面反映后，应当书面报告采购项目同</w:t>
      </w:r>
      <w:r>
        <w:rPr>
          <w:rFonts w:ascii="仿宋" w:hAnsi="仿宋" w:eastAsia="仿宋" w:cs="仿宋"/>
          <w:spacing w:val="5"/>
          <w:sz w:val="24"/>
          <w:szCs w:val="24"/>
        </w:rPr>
        <w:t xml:space="preserve"> </w:t>
      </w:r>
      <w:r>
        <w:rPr>
          <w:rFonts w:ascii="仿宋" w:hAnsi="仿宋" w:eastAsia="仿宋" w:cs="仿宋"/>
          <w:spacing w:val="-4"/>
          <w:sz w:val="24"/>
          <w:szCs w:val="24"/>
        </w:rPr>
        <w:t>级财政部门依法处理。</w:t>
      </w:r>
    </w:p>
    <w:p w14:paraId="2C1D3996">
      <w:pPr>
        <w:spacing w:before="218" w:line="222" w:lineRule="auto"/>
        <w:ind w:left="672"/>
        <w:outlineLvl w:val="2"/>
        <w:rPr>
          <w:rFonts w:ascii="仿宋" w:hAnsi="仿宋" w:eastAsia="仿宋" w:cs="仿宋"/>
          <w:sz w:val="24"/>
          <w:szCs w:val="24"/>
        </w:rPr>
      </w:pPr>
      <w:bookmarkStart w:id="130" w:name="_Toc27228"/>
      <w:r>
        <w:rPr>
          <w:rFonts w:ascii="仿宋" w:hAnsi="仿宋" w:eastAsia="仿宋" w:cs="仿宋"/>
          <w:spacing w:val="-3"/>
          <w:sz w:val="24"/>
          <w:szCs w:val="24"/>
        </w:rPr>
        <w:t>3.9供应商应当书面澄清、说明或者更正。</w:t>
      </w:r>
      <w:bookmarkEnd w:id="130"/>
    </w:p>
    <w:p w14:paraId="572DDDA1">
      <w:pPr>
        <w:pStyle w:val="8"/>
        <w:spacing w:line="278" w:lineRule="auto"/>
      </w:pPr>
    </w:p>
    <w:p w14:paraId="2E83B76E">
      <w:pPr>
        <w:spacing w:before="78" w:line="325" w:lineRule="auto"/>
        <w:ind w:left="18" w:right="101" w:firstLine="654"/>
        <w:rPr>
          <w:rFonts w:ascii="仿宋" w:hAnsi="仿宋" w:eastAsia="仿宋" w:cs="仿宋"/>
          <w:sz w:val="24"/>
          <w:szCs w:val="24"/>
        </w:rPr>
      </w:pPr>
      <w:r>
        <w:rPr>
          <w:rFonts w:ascii="仿宋" w:hAnsi="仿宋" w:eastAsia="仿宋" w:cs="仿宋"/>
          <w:spacing w:val="-3"/>
          <w:sz w:val="24"/>
          <w:szCs w:val="24"/>
        </w:rPr>
        <w:t>3.9.1在评标过程中，评标委员会对投标文件中含</w:t>
      </w:r>
      <w:r>
        <w:rPr>
          <w:rFonts w:ascii="仿宋" w:hAnsi="仿宋" w:eastAsia="仿宋" w:cs="仿宋"/>
          <w:spacing w:val="-4"/>
          <w:sz w:val="24"/>
          <w:szCs w:val="24"/>
        </w:rPr>
        <w:t>义不明确、同类问题表述不</w:t>
      </w:r>
      <w:r>
        <w:rPr>
          <w:rFonts w:ascii="仿宋" w:hAnsi="仿宋" w:eastAsia="仿宋" w:cs="仿宋"/>
          <w:sz w:val="24"/>
          <w:szCs w:val="24"/>
        </w:rPr>
        <w:t xml:space="preserve"> 一致或者有明显文字和计算错误的内容，应当以书面形式（须由评标委员会全体成</w:t>
      </w:r>
      <w:r>
        <w:rPr>
          <w:rFonts w:ascii="仿宋" w:hAnsi="仿宋" w:eastAsia="仿宋" w:cs="仿宋"/>
          <w:spacing w:val="18"/>
          <w:sz w:val="24"/>
          <w:szCs w:val="24"/>
        </w:rPr>
        <w:t xml:space="preserve"> </w:t>
      </w:r>
      <w:r>
        <w:rPr>
          <w:rFonts w:ascii="仿宋" w:hAnsi="仿宋" w:eastAsia="仿宋" w:cs="仿宋"/>
          <w:sz w:val="24"/>
          <w:szCs w:val="24"/>
        </w:rPr>
        <w:t>员签字）要求供应商作出必要的书面澄清、说明或者更正，并给予供应商必要的反</w:t>
      </w:r>
      <w:r>
        <w:rPr>
          <w:rFonts w:ascii="仿宋" w:hAnsi="仿宋" w:eastAsia="仿宋" w:cs="仿宋"/>
          <w:spacing w:val="8"/>
          <w:sz w:val="24"/>
          <w:szCs w:val="24"/>
        </w:rPr>
        <w:t xml:space="preserve"> </w:t>
      </w:r>
      <w:r>
        <w:rPr>
          <w:rFonts w:ascii="仿宋" w:hAnsi="仿宋" w:eastAsia="仿宋" w:cs="仿宋"/>
          <w:spacing w:val="-7"/>
          <w:sz w:val="24"/>
          <w:szCs w:val="24"/>
        </w:rPr>
        <w:t>馈时间。</w:t>
      </w:r>
    </w:p>
    <w:p w14:paraId="04731B22">
      <w:pPr>
        <w:pStyle w:val="8"/>
        <w:spacing w:line="274" w:lineRule="auto"/>
      </w:pPr>
    </w:p>
    <w:p w14:paraId="39962C1F">
      <w:pPr>
        <w:spacing w:before="78" w:line="336" w:lineRule="auto"/>
        <w:ind w:left="18" w:right="38" w:firstLine="894"/>
        <w:rPr>
          <w:rFonts w:ascii="仿宋" w:hAnsi="仿宋" w:eastAsia="仿宋" w:cs="仿宋"/>
          <w:sz w:val="24"/>
          <w:szCs w:val="24"/>
        </w:rPr>
      </w:pPr>
      <w:r>
        <w:rPr>
          <w:rFonts w:ascii="仿宋" w:hAnsi="仿宋" w:eastAsia="仿宋" w:cs="仿宋"/>
          <w:spacing w:val="-3"/>
          <w:sz w:val="24"/>
          <w:szCs w:val="24"/>
        </w:rPr>
        <w:t>3.9.2供应商应当书面澄清、说明或者更正，并加</w:t>
      </w:r>
      <w:r>
        <w:rPr>
          <w:rFonts w:ascii="仿宋" w:hAnsi="仿宋" w:eastAsia="仿宋" w:cs="仿宋"/>
          <w:spacing w:val="-4"/>
          <w:sz w:val="24"/>
          <w:szCs w:val="24"/>
        </w:rPr>
        <w:t>盖公章或签字确认（供应</w:t>
      </w:r>
      <w:r>
        <w:rPr>
          <w:rFonts w:ascii="仿宋" w:hAnsi="仿宋" w:eastAsia="仿宋" w:cs="仿宋"/>
          <w:sz w:val="24"/>
          <w:szCs w:val="24"/>
        </w:rPr>
        <w:t xml:space="preserve">  </w:t>
      </w:r>
      <w:r>
        <w:rPr>
          <w:rFonts w:ascii="仿宋" w:hAnsi="仿宋" w:eastAsia="仿宋" w:cs="仿宋"/>
          <w:spacing w:val="-4"/>
          <w:sz w:val="24"/>
          <w:szCs w:val="24"/>
        </w:rPr>
        <w:t>商为法人的，应当由其法定代表人或者代理人签字确认；供</w:t>
      </w:r>
      <w:r>
        <w:rPr>
          <w:rFonts w:ascii="仿宋" w:hAnsi="仿宋" w:eastAsia="仿宋" w:cs="仿宋"/>
          <w:spacing w:val="-5"/>
          <w:sz w:val="24"/>
          <w:szCs w:val="24"/>
        </w:rPr>
        <w:t>应商为其他组织的，应当</w:t>
      </w:r>
      <w:r>
        <w:rPr>
          <w:rFonts w:ascii="仿宋" w:hAnsi="仿宋" w:eastAsia="仿宋" w:cs="仿宋"/>
          <w:sz w:val="24"/>
          <w:szCs w:val="24"/>
        </w:rPr>
        <w:t xml:space="preserve"> 由其主要负责人或者代理人签字确认；供应商为自然人的，应当由其本人或者代理</w:t>
      </w:r>
      <w:r>
        <w:rPr>
          <w:rFonts w:ascii="仿宋" w:hAnsi="仿宋" w:eastAsia="仿宋" w:cs="仿宋"/>
          <w:spacing w:val="18"/>
          <w:sz w:val="24"/>
          <w:szCs w:val="24"/>
        </w:rPr>
        <w:t xml:space="preserve"> </w:t>
      </w:r>
      <w:r>
        <w:rPr>
          <w:rFonts w:ascii="仿宋" w:hAnsi="仿宋" w:eastAsia="仿宋" w:cs="仿宋"/>
          <w:sz w:val="24"/>
          <w:szCs w:val="24"/>
        </w:rPr>
        <w:t>人签字确认</w:t>
      </w:r>
      <w:r>
        <w:rPr>
          <w:rFonts w:ascii="仿宋" w:hAnsi="仿宋" w:eastAsia="仿宋" w:cs="仿宋"/>
          <w:spacing w:val="27"/>
          <w:sz w:val="24"/>
          <w:szCs w:val="24"/>
        </w:rPr>
        <w:t>），</w:t>
      </w:r>
      <w:r>
        <w:rPr>
          <w:rFonts w:ascii="仿宋" w:hAnsi="仿宋" w:eastAsia="仿宋" w:cs="仿宋"/>
          <w:sz w:val="24"/>
          <w:szCs w:val="24"/>
        </w:rPr>
        <w:t>否则无效。澄清、说明或者更正不影响投标文件的效力，有效的澄 清、说明或者更正材料，是投标文件的组成部分。但供应商的澄清、说明或者补正</w:t>
      </w:r>
      <w:r>
        <w:rPr>
          <w:rFonts w:ascii="仿宋" w:hAnsi="仿宋" w:eastAsia="仿宋" w:cs="仿宋"/>
          <w:spacing w:val="6"/>
          <w:sz w:val="24"/>
          <w:szCs w:val="24"/>
        </w:rPr>
        <w:t xml:space="preserve"> </w:t>
      </w:r>
      <w:r>
        <w:rPr>
          <w:rFonts w:ascii="仿宋" w:hAnsi="仿宋" w:eastAsia="仿宋" w:cs="仿宋"/>
          <w:spacing w:val="-2"/>
          <w:sz w:val="24"/>
          <w:szCs w:val="24"/>
        </w:rPr>
        <w:t>不得超出投标文件的范围或者改变投标文件的实质性内容。</w:t>
      </w:r>
    </w:p>
    <w:p w14:paraId="25905893">
      <w:pPr>
        <w:pStyle w:val="8"/>
        <w:spacing w:line="281" w:lineRule="auto"/>
      </w:pPr>
    </w:p>
    <w:p w14:paraId="3D204D51">
      <w:pPr>
        <w:spacing w:before="78" w:line="313" w:lineRule="auto"/>
        <w:ind w:left="47" w:firstLine="625"/>
        <w:rPr>
          <w:rFonts w:ascii="仿宋" w:hAnsi="仿宋" w:eastAsia="仿宋" w:cs="仿宋"/>
          <w:sz w:val="24"/>
          <w:szCs w:val="24"/>
        </w:rPr>
      </w:pPr>
      <w:r>
        <w:rPr>
          <w:rFonts w:ascii="仿宋" w:hAnsi="仿宋" w:eastAsia="仿宋" w:cs="仿宋"/>
          <w:spacing w:val="-5"/>
          <w:sz w:val="24"/>
          <w:szCs w:val="24"/>
        </w:rPr>
        <w:t>3.9.3评标委员会要求供应商澄清、说明或者更正，不得超出采购文件的范围，</w:t>
      </w:r>
      <w:r>
        <w:rPr>
          <w:rFonts w:ascii="仿宋" w:hAnsi="仿宋" w:eastAsia="仿宋" w:cs="仿宋"/>
          <w:spacing w:val="10"/>
          <w:sz w:val="24"/>
          <w:szCs w:val="24"/>
        </w:rPr>
        <w:t xml:space="preserve"> </w:t>
      </w:r>
      <w:r>
        <w:rPr>
          <w:rFonts w:ascii="仿宋" w:hAnsi="仿宋" w:eastAsia="仿宋" w:cs="仿宋"/>
          <w:spacing w:val="-1"/>
          <w:sz w:val="24"/>
          <w:szCs w:val="24"/>
        </w:rPr>
        <w:t>不得以此让供应商实质改变投标文件的内容，不得影响供应商公平竞争。本项目下</w:t>
      </w:r>
      <w:r>
        <w:rPr>
          <w:rFonts w:ascii="仿宋" w:hAnsi="仿宋" w:eastAsia="仿宋" w:cs="仿宋"/>
          <w:spacing w:val="4"/>
          <w:sz w:val="24"/>
          <w:szCs w:val="24"/>
        </w:rPr>
        <w:t xml:space="preserve">  </w:t>
      </w:r>
      <w:r>
        <w:rPr>
          <w:rFonts w:ascii="仿宋" w:hAnsi="仿宋" w:eastAsia="仿宋" w:cs="仿宋"/>
          <w:spacing w:val="-5"/>
          <w:sz w:val="24"/>
          <w:szCs w:val="24"/>
        </w:rPr>
        <w:t>列内容不得澄清：</w:t>
      </w:r>
    </w:p>
    <w:p w14:paraId="327C3496">
      <w:pPr>
        <w:pStyle w:val="8"/>
        <w:spacing w:line="277" w:lineRule="auto"/>
      </w:pPr>
    </w:p>
    <w:p w14:paraId="61861C4D">
      <w:pPr>
        <w:spacing w:before="79" w:line="219" w:lineRule="auto"/>
        <w:ind w:left="685"/>
        <w:rPr>
          <w:rFonts w:ascii="仿宋" w:hAnsi="仿宋" w:eastAsia="仿宋" w:cs="仿宋"/>
          <w:sz w:val="24"/>
          <w:szCs w:val="24"/>
        </w:rPr>
      </w:pPr>
      <w:r>
        <w:rPr>
          <w:rFonts w:ascii="仿宋" w:hAnsi="仿宋" w:eastAsia="仿宋" w:cs="仿宋"/>
          <w:spacing w:val="-2"/>
          <w:sz w:val="24"/>
          <w:szCs w:val="24"/>
        </w:rPr>
        <w:t>（一）按财政部规定应当在评标时不予承认的投标文件内容事项；</w:t>
      </w:r>
    </w:p>
    <w:p w14:paraId="48A47AB5">
      <w:pPr>
        <w:pStyle w:val="8"/>
        <w:spacing w:line="280" w:lineRule="auto"/>
      </w:pPr>
    </w:p>
    <w:p w14:paraId="5E2CFA89">
      <w:pPr>
        <w:spacing w:before="79" w:line="222" w:lineRule="auto"/>
        <w:ind w:left="685"/>
        <w:rPr>
          <w:rFonts w:ascii="仿宋" w:hAnsi="仿宋" w:eastAsia="仿宋" w:cs="仿宋"/>
          <w:sz w:val="24"/>
          <w:szCs w:val="24"/>
        </w:rPr>
      </w:pPr>
      <w:r>
        <w:rPr>
          <w:rFonts w:ascii="仿宋" w:hAnsi="仿宋" w:eastAsia="仿宋" w:cs="仿宋"/>
          <w:spacing w:val="-3"/>
          <w:sz w:val="24"/>
          <w:szCs w:val="24"/>
        </w:rPr>
        <w:t>（二）投标文件中已经明确的内容事项；</w:t>
      </w:r>
    </w:p>
    <w:p w14:paraId="6A110F1B">
      <w:pPr>
        <w:pStyle w:val="8"/>
        <w:spacing w:line="277" w:lineRule="auto"/>
      </w:pPr>
    </w:p>
    <w:p w14:paraId="31CC7950">
      <w:pPr>
        <w:spacing w:before="78" w:line="220" w:lineRule="auto"/>
        <w:ind w:left="685"/>
        <w:rPr>
          <w:rFonts w:ascii="仿宋" w:hAnsi="仿宋" w:eastAsia="仿宋" w:cs="仿宋"/>
          <w:sz w:val="24"/>
          <w:szCs w:val="24"/>
        </w:rPr>
      </w:pPr>
      <w:r>
        <w:rPr>
          <w:rFonts w:ascii="仿宋" w:hAnsi="仿宋" w:eastAsia="仿宋" w:cs="仿宋"/>
          <w:spacing w:val="-4"/>
          <w:sz w:val="24"/>
          <w:szCs w:val="24"/>
        </w:rPr>
        <w:t>（三）投标文件未提供的材料。</w:t>
      </w:r>
    </w:p>
    <w:p w14:paraId="650C273E">
      <w:pPr>
        <w:pStyle w:val="8"/>
        <w:spacing w:line="278" w:lineRule="auto"/>
      </w:pPr>
    </w:p>
    <w:p w14:paraId="3D1B92B1">
      <w:pPr>
        <w:spacing w:before="79" w:line="351" w:lineRule="auto"/>
        <w:ind w:left="16" w:right="106" w:firstLine="653"/>
        <w:jc w:val="both"/>
        <w:rPr>
          <w:rFonts w:ascii="仿宋" w:hAnsi="仿宋" w:eastAsia="仿宋" w:cs="仿宋"/>
          <w:sz w:val="24"/>
          <w:szCs w:val="24"/>
        </w:rPr>
      </w:pPr>
      <w:r>
        <w:rPr>
          <w:rFonts w:ascii="仿宋" w:hAnsi="仿宋" w:eastAsia="仿宋" w:cs="仿宋"/>
          <w:sz w:val="24"/>
          <w:szCs w:val="24"/>
        </w:rPr>
        <w:t>3.10评标委员会认为供应商的报价明显低于其他通过符合性审查供应商的报</w:t>
      </w:r>
      <w:r>
        <w:rPr>
          <w:rFonts w:ascii="仿宋" w:hAnsi="仿宋" w:eastAsia="仿宋" w:cs="仿宋"/>
          <w:spacing w:val="12"/>
          <w:sz w:val="24"/>
          <w:szCs w:val="24"/>
        </w:rPr>
        <w:t xml:space="preserve"> </w:t>
      </w:r>
      <w:r>
        <w:rPr>
          <w:rFonts w:ascii="仿宋" w:hAnsi="仿宋" w:eastAsia="仿宋" w:cs="仿宋"/>
          <w:sz w:val="24"/>
          <w:szCs w:val="24"/>
        </w:rPr>
        <w:t>价，有可能影响产品质量或者不能诚信履约的，评标委员会组长在评标现场发起“</w:t>
      </w:r>
      <w:r>
        <w:rPr>
          <w:rFonts w:ascii="仿宋" w:hAnsi="仿宋" w:eastAsia="仿宋" w:cs="仿宋"/>
          <w:spacing w:val="15"/>
          <w:sz w:val="24"/>
          <w:szCs w:val="24"/>
        </w:rPr>
        <w:t xml:space="preserve"> </w:t>
      </w:r>
      <w:r>
        <w:rPr>
          <w:rFonts w:ascii="仿宋" w:hAnsi="仿宋" w:eastAsia="仿宋" w:cs="仿宋"/>
          <w:spacing w:val="-1"/>
          <w:sz w:val="24"/>
          <w:szCs w:val="24"/>
        </w:rPr>
        <w:t>在线询标</w:t>
      </w:r>
      <w:r>
        <w:rPr>
          <w:rFonts w:ascii="仿宋" w:hAnsi="仿宋" w:eastAsia="仿宋" w:cs="仿宋"/>
          <w:spacing w:val="-88"/>
          <w:sz w:val="24"/>
          <w:szCs w:val="24"/>
        </w:rPr>
        <w:t xml:space="preserve"> </w:t>
      </w:r>
      <w:r>
        <w:rPr>
          <w:rFonts w:ascii="仿宋" w:hAnsi="仿宋" w:eastAsia="仿宋" w:cs="仿宋"/>
          <w:spacing w:val="-1"/>
          <w:sz w:val="24"/>
          <w:szCs w:val="24"/>
        </w:rPr>
        <w:t>”，必要时提交相关证明材料；供</w:t>
      </w:r>
      <w:r>
        <w:rPr>
          <w:rFonts w:ascii="仿宋" w:hAnsi="仿宋" w:eastAsia="仿宋" w:cs="仿宋"/>
          <w:spacing w:val="-2"/>
          <w:sz w:val="24"/>
          <w:szCs w:val="24"/>
        </w:rPr>
        <w:t>应商不能证明其报价合理性的，评标委</w:t>
      </w:r>
      <w:r>
        <w:rPr>
          <w:rFonts w:ascii="仿宋" w:hAnsi="仿宋" w:eastAsia="仿宋" w:cs="仿宋"/>
          <w:sz w:val="24"/>
          <w:szCs w:val="24"/>
        </w:rPr>
        <w:t xml:space="preserve"> </w:t>
      </w:r>
      <w:r>
        <w:rPr>
          <w:rFonts w:ascii="仿宋" w:hAnsi="仿宋" w:eastAsia="仿宋" w:cs="仿宋"/>
          <w:spacing w:val="-2"/>
          <w:sz w:val="24"/>
          <w:szCs w:val="24"/>
        </w:rPr>
        <w:t>员会应当将其作为无效投标处理。</w:t>
      </w:r>
    </w:p>
    <w:p w14:paraId="5D226199">
      <w:pPr>
        <w:spacing w:line="351" w:lineRule="auto"/>
        <w:rPr>
          <w:rFonts w:ascii="仿宋" w:hAnsi="仿宋" w:eastAsia="仿宋" w:cs="仿宋"/>
          <w:sz w:val="24"/>
          <w:szCs w:val="24"/>
        </w:rPr>
        <w:sectPr>
          <w:footerReference r:id="rId43" w:type="default"/>
          <w:pgSz w:w="11907" w:h="16840"/>
          <w:pgMar w:top="1418" w:right="1341" w:bottom="1201" w:left="1786" w:header="0" w:footer="1033" w:gutter="0"/>
          <w:pgNumType w:fmt="decimal"/>
          <w:cols w:space="720" w:num="1"/>
        </w:sectPr>
      </w:pPr>
    </w:p>
    <w:p w14:paraId="787EBF1E">
      <w:pPr>
        <w:spacing w:before="48" w:line="352" w:lineRule="auto"/>
        <w:ind w:left="16" w:firstLine="660"/>
        <w:jc w:val="both"/>
        <w:rPr>
          <w:rFonts w:ascii="仿宋" w:hAnsi="仿宋" w:eastAsia="仿宋" w:cs="仿宋"/>
          <w:sz w:val="24"/>
          <w:szCs w:val="24"/>
        </w:rPr>
      </w:pPr>
      <w:r>
        <w:rPr>
          <w:rFonts w:ascii="仿宋" w:hAnsi="仿宋" w:eastAsia="仿宋" w:cs="仿宋"/>
          <w:spacing w:val="-6"/>
          <w:sz w:val="24"/>
          <w:szCs w:val="24"/>
        </w:rPr>
        <w:t>供应商书面说明应当签字确认或者加盖公章，否则无效。书面说明的签字确认，</w:t>
      </w:r>
      <w:r>
        <w:rPr>
          <w:rFonts w:ascii="仿宋" w:hAnsi="仿宋" w:eastAsia="仿宋" w:cs="仿宋"/>
          <w:sz w:val="24"/>
          <w:szCs w:val="24"/>
        </w:rPr>
        <w:t xml:space="preserve"> 供应商为法人的，</w:t>
      </w:r>
      <w:r>
        <w:rPr>
          <w:rFonts w:ascii="仿宋" w:hAnsi="仿宋" w:eastAsia="仿宋" w:cs="仿宋"/>
          <w:spacing w:val="-54"/>
          <w:sz w:val="24"/>
          <w:szCs w:val="24"/>
        </w:rPr>
        <w:t xml:space="preserve"> </w:t>
      </w:r>
      <w:r>
        <w:rPr>
          <w:rFonts w:ascii="仿宋" w:hAnsi="仿宋" w:eastAsia="仿宋" w:cs="仿宋"/>
          <w:sz w:val="24"/>
          <w:szCs w:val="24"/>
        </w:rPr>
        <w:t xml:space="preserve">由其法定代表人或者代理人签字确认；供应商为其他组织的，由  </w:t>
      </w:r>
      <w:r>
        <w:rPr>
          <w:rFonts w:ascii="仿宋" w:hAnsi="仿宋" w:eastAsia="仿宋" w:cs="仿宋"/>
          <w:spacing w:val="1"/>
          <w:sz w:val="24"/>
          <w:szCs w:val="24"/>
        </w:rPr>
        <w:t>其主要负责人或者代理人签字确认；供应商为自</w:t>
      </w:r>
      <w:r>
        <w:rPr>
          <w:rFonts w:ascii="仿宋" w:hAnsi="仿宋" w:eastAsia="仿宋" w:cs="仿宋"/>
          <w:sz w:val="24"/>
          <w:szCs w:val="24"/>
        </w:rPr>
        <w:t>然人的，</w:t>
      </w:r>
      <w:r>
        <w:rPr>
          <w:rFonts w:ascii="仿宋" w:hAnsi="仿宋" w:eastAsia="仿宋" w:cs="仿宋"/>
          <w:spacing w:val="-71"/>
          <w:sz w:val="24"/>
          <w:szCs w:val="24"/>
        </w:rPr>
        <w:t xml:space="preserve"> </w:t>
      </w:r>
      <w:r>
        <w:rPr>
          <w:rFonts w:ascii="仿宋" w:hAnsi="仿宋" w:eastAsia="仿宋" w:cs="仿宋"/>
          <w:sz w:val="24"/>
          <w:szCs w:val="24"/>
        </w:rPr>
        <w:t xml:space="preserve">由其本人或者代理人签字  </w:t>
      </w:r>
      <w:r>
        <w:rPr>
          <w:rFonts w:ascii="仿宋" w:hAnsi="仿宋" w:eastAsia="仿宋" w:cs="仿宋"/>
          <w:spacing w:val="-7"/>
          <w:sz w:val="24"/>
          <w:szCs w:val="24"/>
        </w:rPr>
        <w:t>确认。</w:t>
      </w:r>
    </w:p>
    <w:p w14:paraId="4EFC4788">
      <w:pPr>
        <w:spacing w:before="72" w:line="221" w:lineRule="auto"/>
        <w:ind w:left="670"/>
        <w:outlineLvl w:val="2"/>
        <w:rPr>
          <w:rFonts w:ascii="仿宋" w:hAnsi="仿宋" w:eastAsia="仿宋" w:cs="仿宋"/>
          <w:sz w:val="24"/>
          <w:szCs w:val="24"/>
        </w:rPr>
      </w:pPr>
      <w:bookmarkStart w:id="131" w:name="_Toc24236"/>
      <w:r>
        <w:rPr>
          <w:rFonts w:ascii="仿宋" w:hAnsi="仿宋" w:eastAsia="仿宋" w:cs="仿宋"/>
          <w:spacing w:val="-3"/>
          <w:sz w:val="24"/>
          <w:szCs w:val="24"/>
        </w:rPr>
        <w:t>3.11招标采购单位现场复核评标结果。</w:t>
      </w:r>
      <w:bookmarkEnd w:id="131"/>
    </w:p>
    <w:p w14:paraId="4C96B448">
      <w:pPr>
        <w:pStyle w:val="8"/>
        <w:spacing w:line="279" w:lineRule="auto"/>
      </w:pPr>
    </w:p>
    <w:p w14:paraId="00987D1A">
      <w:pPr>
        <w:spacing w:before="78" w:line="351" w:lineRule="auto"/>
        <w:ind w:left="17" w:right="190" w:firstLine="650"/>
        <w:jc w:val="both"/>
        <w:rPr>
          <w:rFonts w:ascii="仿宋" w:hAnsi="仿宋" w:eastAsia="仿宋" w:cs="仿宋"/>
          <w:sz w:val="24"/>
          <w:szCs w:val="24"/>
        </w:rPr>
      </w:pPr>
      <w:r>
        <w:rPr>
          <w:rFonts w:ascii="仿宋" w:hAnsi="仿宋" w:eastAsia="仿宋" w:cs="仿宋"/>
          <w:sz w:val="24"/>
          <w:szCs w:val="24"/>
        </w:rPr>
        <w:t>3.11.1评标报告签署前，经复核发现存在实质性错误的，评标委员会应当当</w:t>
      </w:r>
      <w:r>
        <w:rPr>
          <w:rFonts w:ascii="仿宋" w:hAnsi="仿宋" w:eastAsia="仿宋" w:cs="仿宋"/>
          <w:spacing w:val="12"/>
          <w:sz w:val="24"/>
          <w:szCs w:val="24"/>
        </w:rPr>
        <w:t xml:space="preserve"> </w:t>
      </w:r>
      <w:r>
        <w:rPr>
          <w:rFonts w:ascii="仿宋" w:hAnsi="仿宋" w:eastAsia="仿宋" w:cs="仿宋"/>
          <w:spacing w:val="1"/>
          <w:sz w:val="24"/>
          <w:szCs w:val="24"/>
        </w:rPr>
        <w:t>场修改评标结果，并在评标报告中记载；评</w:t>
      </w:r>
      <w:r>
        <w:rPr>
          <w:rFonts w:ascii="仿宋" w:hAnsi="仿宋" w:eastAsia="仿宋" w:cs="仿宋"/>
          <w:sz w:val="24"/>
          <w:szCs w:val="24"/>
        </w:rPr>
        <w:t>标报告签署后，采购人或者采购代理机 构发现存在以上情形之一的，应当组织原评标委员会进行重新评审，重新评审改变</w:t>
      </w:r>
      <w:r>
        <w:rPr>
          <w:rFonts w:ascii="仿宋" w:hAnsi="仿宋" w:eastAsia="仿宋" w:cs="仿宋"/>
          <w:spacing w:val="12"/>
          <w:sz w:val="24"/>
          <w:szCs w:val="24"/>
        </w:rPr>
        <w:t xml:space="preserve"> </w:t>
      </w:r>
      <w:r>
        <w:rPr>
          <w:rFonts w:ascii="仿宋" w:hAnsi="仿宋" w:eastAsia="仿宋" w:cs="仿宋"/>
          <w:spacing w:val="-2"/>
          <w:sz w:val="24"/>
          <w:szCs w:val="24"/>
        </w:rPr>
        <w:t>评标结果的，书面报告本级财政部门。</w:t>
      </w:r>
    </w:p>
    <w:p w14:paraId="2D4C4613">
      <w:pPr>
        <w:spacing w:before="219" w:line="222" w:lineRule="auto"/>
        <w:ind w:left="657"/>
        <w:outlineLvl w:val="1"/>
        <w:rPr>
          <w:rFonts w:ascii="仿宋" w:hAnsi="仿宋" w:eastAsia="仿宋" w:cs="仿宋"/>
          <w:sz w:val="24"/>
          <w:szCs w:val="24"/>
        </w:rPr>
      </w:pPr>
      <w:bookmarkStart w:id="132" w:name="bookmark57"/>
      <w:bookmarkEnd w:id="132"/>
      <w:bookmarkStart w:id="133" w:name="_Toc19983"/>
      <w:r>
        <w:rPr>
          <w:rFonts w:ascii="仿宋" w:hAnsi="仿宋" w:eastAsia="仿宋" w:cs="仿宋"/>
          <w:b/>
          <w:bCs/>
          <w:spacing w:val="-7"/>
          <w:sz w:val="24"/>
          <w:szCs w:val="24"/>
        </w:rPr>
        <w:t>4.废标</w:t>
      </w:r>
      <w:bookmarkEnd w:id="133"/>
    </w:p>
    <w:p w14:paraId="628E303F">
      <w:pPr>
        <w:pStyle w:val="8"/>
        <w:spacing w:line="276" w:lineRule="auto"/>
      </w:pPr>
    </w:p>
    <w:p w14:paraId="17B9B15A">
      <w:pPr>
        <w:spacing w:before="78" w:line="343" w:lineRule="auto"/>
        <w:ind w:left="44" w:right="185" w:firstLine="636"/>
        <w:rPr>
          <w:rFonts w:ascii="仿宋" w:hAnsi="仿宋" w:eastAsia="仿宋" w:cs="仿宋"/>
          <w:sz w:val="24"/>
          <w:szCs w:val="24"/>
        </w:rPr>
      </w:pPr>
      <w:r>
        <w:rPr>
          <w:rFonts w:ascii="仿宋" w:hAnsi="仿宋" w:eastAsia="仿宋" w:cs="仿宋"/>
          <w:spacing w:val="-5"/>
          <w:sz w:val="24"/>
          <w:szCs w:val="24"/>
        </w:rPr>
        <w:t>废标后，采购代理机构应在网上公告。供应商需要知晓导致废标情形的具体原</w:t>
      </w:r>
      <w:r>
        <w:rPr>
          <w:rFonts w:ascii="仿宋" w:hAnsi="仿宋" w:eastAsia="仿宋" w:cs="仿宋"/>
          <w:spacing w:val="11"/>
          <w:sz w:val="24"/>
          <w:szCs w:val="24"/>
        </w:rPr>
        <w:t xml:space="preserve"> </w:t>
      </w:r>
      <w:r>
        <w:rPr>
          <w:rFonts w:ascii="仿宋" w:hAnsi="仿宋" w:eastAsia="仿宋" w:cs="仿宋"/>
          <w:spacing w:val="-3"/>
          <w:sz w:val="24"/>
          <w:szCs w:val="24"/>
        </w:rPr>
        <w:t>因和理由的，可以通过书面形式询问招标采购单位。</w:t>
      </w:r>
    </w:p>
    <w:p w14:paraId="38323D91">
      <w:pPr>
        <w:spacing w:before="83" w:line="344" w:lineRule="auto"/>
        <w:ind w:left="17" w:right="185" w:firstLine="661"/>
        <w:rPr>
          <w:rFonts w:ascii="仿宋" w:hAnsi="仿宋" w:eastAsia="仿宋" w:cs="仿宋"/>
          <w:sz w:val="24"/>
          <w:szCs w:val="24"/>
        </w:rPr>
      </w:pPr>
      <w:r>
        <w:rPr>
          <w:rFonts w:ascii="仿宋" w:hAnsi="仿宋" w:eastAsia="仿宋" w:cs="仿宋"/>
          <w:spacing w:val="-5"/>
          <w:sz w:val="24"/>
          <w:szCs w:val="24"/>
        </w:rPr>
        <w:t>对于评标过程中废标的采购项目，评标委员会应当对采购文件是否存在倾向性</w:t>
      </w:r>
      <w:r>
        <w:rPr>
          <w:rFonts w:ascii="仿宋" w:hAnsi="仿宋" w:eastAsia="仿宋" w:cs="仿宋"/>
          <w:spacing w:val="12"/>
          <w:sz w:val="24"/>
          <w:szCs w:val="24"/>
        </w:rPr>
        <w:t xml:space="preserve"> </w:t>
      </w:r>
      <w:r>
        <w:rPr>
          <w:rFonts w:ascii="仿宋" w:hAnsi="仿宋" w:eastAsia="仿宋" w:cs="仿宋"/>
          <w:spacing w:val="-2"/>
          <w:sz w:val="24"/>
          <w:szCs w:val="24"/>
        </w:rPr>
        <w:t>和歧视性、是否存在不合理条款进行论证，并出具书面论证意见。</w:t>
      </w:r>
    </w:p>
    <w:p w14:paraId="6CE0E6E4">
      <w:pPr>
        <w:spacing w:before="80" w:line="222" w:lineRule="auto"/>
        <w:ind w:left="679"/>
        <w:rPr>
          <w:rFonts w:ascii="仿宋" w:hAnsi="仿宋" w:eastAsia="仿宋" w:cs="仿宋"/>
          <w:sz w:val="24"/>
          <w:szCs w:val="24"/>
        </w:rPr>
      </w:pPr>
      <w:r>
        <w:rPr>
          <w:rFonts w:ascii="仿宋" w:hAnsi="仿宋" w:eastAsia="仿宋" w:cs="仿宋"/>
          <w:b/>
          <w:bCs/>
          <w:spacing w:val="-5"/>
          <w:sz w:val="24"/>
          <w:szCs w:val="24"/>
        </w:rPr>
        <w:t>如发现下列情况之一的，其投标将被认定为</w:t>
      </w:r>
      <w:r>
        <w:rPr>
          <w:rFonts w:ascii="仿宋" w:hAnsi="仿宋" w:eastAsia="仿宋" w:cs="仿宋"/>
          <w:b/>
          <w:bCs/>
          <w:spacing w:val="-6"/>
          <w:sz w:val="24"/>
          <w:szCs w:val="24"/>
        </w:rPr>
        <w:t>投标无效：</w:t>
      </w:r>
    </w:p>
    <w:p w14:paraId="626F37DD">
      <w:pPr>
        <w:pStyle w:val="8"/>
        <w:spacing w:line="277" w:lineRule="auto"/>
      </w:pPr>
    </w:p>
    <w:p w14:paraId="2107721D">
      <w:pPr>
        <w:spacing w:before="79" w:line="221" w:lineRule="auto"/>
        <w:ind w:left="660"/>
        <w:rPr>
          <w:rFonts w:ascii="仿宋" w:hAnsi="仿宋" w:eastAsia="仿宋" w:cs="仿宋"/>
          <w:sz w:val="24"/>
          <w:szCs w:val="24"/>
        </w:rPr>
      </w:pPr>
      <w:r>
        <w:rPr>
          <w:rFonts w:ascii="仿宋" w:hAnsi="仿宋" w:eastAsia="仿宋" w:cs="仿宋"/>
          <w:b/>
          <w:bCs/>
          <w:spacing w:val="-4"/>
          <w:sz w:val="24"/>
          <w:szCs w:val="24"/>
        </w:rPr>
        <w:t>①未按采购文件规定的形式和金额提交投标保证金的；</w:t>
      </w:r>
    </w:p>
    <w:p w14:paraId="51343068">
      <w:pPr>
        <w:pStyle w:val="8"/>
        <w:spacing w:line="278" w:lineRule="auto"/>
      </w:pPr>
    </w:p>
    <w:p w14:paraId="5E554B48">
      <w:pPr>
        <w:spacing w:before="78" w:line="222" w:lineRule="auto"/>
        <w:ind w:left="657"/>
        <w:rPr>
          <w:rFonts w:ascii="仿宋" w:hAnsi="仿宋" w:eastAsia="仿宋" w:cs="仿宋"/>
          <w:sz w:val="24"/>
          <w:szCs w:val="24"/>
        </w:rPr>
      </w:pPr>
      <w:r>
        <w:rPr>
          <w:rFonts w:ascii="仿宋" w:hAnsi="仿宋" w:eastAsia="仿宋" w:cs="仿宋"/>
          <w:b/>
          <w:bCs/>
          <w:spacing w:val="-5"/>
          <w:sz w:val="24"/>
          <w:szCs w:val="24"/>
        </w:rPr>
        <w:t>②未按照采购文件规定要求签署、盖章的；</w:t>
      </w:r>
    </w:p>
    <w:p w14:paraId="5A23920A">
      <w:pPr>
        <w:pStyle w:val="8"/>
        <w:spacing w:line="275" w:lineRule="auto"/>
      </w:pPr>
    </w:p>
    <w:p w14:paraId="31F67866">
      <w:pPr>
        <w:spacing w:before="78" w:line="220" w:lineRule="auto"/>
        <w:ind w:left="657"/>
        <w:rPr>
          <w:rFonts w:ascii="仿宋" w:hAnsi="仿宋" w:eastAsia="仿宋" w:cs="仿宋"/>
          <w:sz w:val="24"/>
          <w:szCs w:val="24"/>
        </w:rPr>
      </w:pPr>
      <w:r>
        <w:rPr>
          <w:rFonts w:ascii="仿宋" w:hAnsi="仿宋" w:eastAsia="仿宋" w:cs="仿宋"/>
          <w:b/>
          <w:bCs/>
          <w:spacing w:val="-5"/>
          <w:sz w:val="24"/>
          <w:szCs w:val="24"/>
        </w:rPr>
        <w:t>③未满足采购文件中技术条款的实质性要求；</w:t>
      </w:r>
    </w:p>
    <w:p w14:paraId="7344C3D7">
      <w:pPr>
        <w:pStyle w:val="8"/>
        <w:spacing w:line="285" w:lineRule="auto"/>
      </w:pPr>
    </w:p>
    <w:p w14:paraId="7A5069FD">
      <w:pPr>
        <w:spacing w:before="78" w:line="219" w:lineRule="auto"/>
        <w:ind w:left="657"/>
        <w:rPr>
          <w:rFonts w:ascii="仿宋" w:hAnsi="仿宋" w:eastAsia="仿宋" w:cs="仿宋"/>
          <w:sz w:val="24"/>
          <w:szCs w:val="24"/>
        </w:rPr>
      </w:pPr>
      <w:r>
        <w:rPr>
          <w:rFonts w:ascii="仿宋" w:hAnsi="仿宋" w:eastAsia="仿宋" w:cs="仿宋"/>
          <w:b/>
          <w:bCs/>
          <w:spacing w:val="-4"/>
          <w:sz w:val="24"/>
          <w:szCs w:val="24"/>
        </w:rPr>
        <w:t>④与其他供应商串通投标，或者与采购人串通投标；</w:t>
      </w:r>
    </w:p>
    <w:p w14:paraId="164AD3AC">
      <w:pPr>
        <w:pStyle w:val="8"/>
        <w:spacing w:line="284" w:lineRule="auto"/>
      </w:pPr>
    </w:p>
    <w:p w14:paraId="36766236">
      <w:pPr>
        <w:spacing w:before="79" w:line="222" w:lineRule="auto"/>
        <w:ind w:left="657"/>
        <w:rPr>
          <w:rFonts w:ascii="仿宋" w:hAnsi="仿宋" w:eastAsia="仿宋" w:cs="仿宋"/>
          <w:sz w:val="24"/>
          <w:szCs w:val="24"/>
        </w:rPr>
      </w:pPr>
      <w:r>
        <w:rPr>
          <w:rFonts w:ascii="仿宋" w:hAnsi="仿宋" w:eastAsia="仿宋" w:cs="仿宋"/>
          <w:b/>
          <w:bCs/>
          <w:spacing w:val="-5"/>
          <w:sz w:val="24"/>
          <w:szCs w:val="24"/>
        </w:rPr>
        <w:t>⑤属于采购文件规定的其他投标无效情形；</w:t>
      </w:r>
    </w:p>
    <w:p w14:paraId="144D9256">
      <w:pPr>
        <w:pStyle w:val="8"/>
        <w:spacing w:line="275" w:lineRule="auto"/>
      </w:pPr>
    </w:p>
    <w:p w14:paraId="13ED7916">
      <w:pPr>
        <w:spacing w:before="79" w:line="289" w:lineRule="auto"/>
        <w:ind w:left="12" w:right="52" w:firstLine="644"/>
        <w:rPr>
          <w:rFonts w:ascii="仿宋" w:hAnsi="仿宋" w:eastAsia="仿宋" w:cs="仿宋"/>
          <w:sz w:val="24"/>
          <w:szCs w:val="24"/>
        </w:rPr>
      </w:pPr>
      <w:r>
        <w:rPr>
          <w:rFonts w:ascii="仿宋" w:hAnsi="仿宋" w:eastAsia="仿宋" w:cs="仿宋"/>
          <w:b/>
          <w:bCs/>
          <w:spacing w:val="-3"/>
          <w:sz w:val="24"/>
          <w:szCs w:val="24"/>
        </w:rPr>
        <w:t>⑥评标委员会认为供应商的报价明显低于其他通过符合性检查供应商的报价，</w:t>
      </w:r>
      <w:r>
        <w:rPr>
          <w:rFonts w:ascii="仿宋" w:hAnsi="仿宋" w:eastAsia="仿宋" w:cs="仿宋"/>
          <w:spacing w:val="13"/>
          <w:sz w:val="24"/>
          <w:szCs w:val="24"/>
        </w:rPr>
        <w:t xml:space="preserve"> </w:t>
      </w:r>
      <w:r>
        <w:rPr>
          <w:rFonts w:ascii="仿宋" w:hAnsi="仿宋" w:eastAsia="仿宋" w:cs="仿宋"/>
          <w:b/>
          <w:bCs/>
          <w:spacing w:val="-4"/>
          <w:sz w:val="24"/>
          <w:szCs w:val="24"/>
        </w:rPr>
        <w:t>有可能影响履约的，且供应商未按照规定证明其</w:t>
      </w:r>
      <w:r>
        <w:rPr>
          <w:rFonts w:ascii="仿宋" w:hAnsi="仿宋" w:eastAsia="仿宋" w:cs="仿宋"/>
          <w:b/>
          <w:bCs/>
          <w:spacing w:val="-5"/>
          <w:sz w:val="24"/>
          <w:szCs w:val="24"/>
        </w:rPr>
        <w:t>报价合理性的；</w:t>
      </w:r>
    </w:p>
    <w:p w14:paraId="267C6E96">
      <w:pPr>
        <w:spacing w:before="261" w:line="222" w:lineRule="auto"/>
        <w:ind w:left="662"/>
        <w:rPr>
          <w:rFonts w:ascii="仿宋" w:hAnsi="仿宋" w:eastAsia="仿宋" w:cs="仿宋"/>
          <w:sz w:val="24"/>
          <w:szCs w:val="24"/>
        </w:rPr>
      </w:pPr>
      <w:r>
        <w:rPr>
          <w:rFonts w:ascii="仿宋" w:hAnsi="仿宋" w:eastAsia="仿宋" w:cs="仿宋"/>
          <w:b/>
          <w:bCs/>
          <w:spacing w:val="-5"/>
          <w:sz w:val="24"/>
          <w:szCs w:val="24"/>
        </w:rPr>
        <w:t>⑦投标文件含有采购人不能接受的附加条件的；</w:t>
      </w:r>
    </w:p>
    <w:p w14:paraId="58F14C6B">
      <w:pPr>
        <w:pStyle w:val="8"/>
        <w:spacing w:line="275" w:lineRule="auto"/>
      </w:pPr>
    </w:p>
    <w:p w14:paraId="059A77C6">
      <w:pPr>
        <w:spacing w:before="78" w:line="220" w:lineRule="auto"/>
        <w:ind w:left="662"/>
        <w:rPr>
          <w:rFonts w:ascii="仿宋" w:hAnsi="仿宋" w:eastAsia="仿宋" w:cs="仿宋"/>
          <w:sz w:val="24"/>
          <w:szCs w:val="24"/>
        </w:rPr>
      </w:pPr>
      <w:r>
        <w:rPr>
          <w:rFonts w:ascii="仿宋" w:hAnsi="仿宋" w:eastAsia="仿宋" w:cs="仿宋"/>
          <w:b/>
          <w:bCs/>
          <w:spacing w:val="-4"/>
          <w:sz w:val="24"/>
          <w:szCs w:val="24"/>
        </w:rPr>
        <w:t>⑧不符合法规和采购文件中规定的其他实质性要求的。</w:t>
      </w:r>
    </w:p>
    <w:p w14:paraId="4164C0AA">
      <w:pPr>
        <w:pStyle w:val="8"/>
        <w:spacing w:line="280" w:lineRule="auto"/>
      </w:pPr>
    </w:p>
    <w:p w14:paraId="36F29C5C">
      <w:pPr>
        <w:spacing w:before="78" w:line="222" w:lineRule="auto"/>
        <w:ind w:left="672"/>
        <w:outlineLvl w:val="1"/>
        <w:rPr>
          <w:rFonts w:ascii="仿宋" w:hAnsi="仿宋" w:eastAsia="仿宋" w:cs="仿宋"/>
          <w:sz w:val="24"/>
          <w:szCs w:val="24"/>
        </w:rPr>
      </w:pPr>
      <w:bookmarkStart w:id="134" w:name="bookmark59"/>
      <w:bookmarkEnd w:id="134"/>
      <w:bookmarkStart w:id="135" w:name="_Toc13282"/>
      <w:r>
        <w:rPr>
          <w:rFonts w:ascii="仿宋" w:hAnsi="仿宋" w:eastAsia="仿宋" w:cs="仿宋"/>
          <w:b/>
          <w:bCs/>
          <w:spacing w:val="-9"/>
          <w:sz w:val="24"/>
          <w:szCs w:val="24"/>
        </w:rPr>
        <w:t>5.定标</w:t>
      </w:r>
      <w:bookmarkEnd w:id="135"/>
    </w:p>
    <w:p w14:paraId="3724C5D3">
      <w:pPr>
        <w:spacing w:line="222" w:lineRule="auto"/>
        <w:rPr>
          <w:rFonts w:ascii="仿宋" w:hAnsi="仿宋" w:eastAsia="仿宋" w:cs="仿宋"/>
          <w:sz w:val="24"/>
          <w:szCs w:val="24"/>
        </w:rPr>
        <w:sectPr>
          <w:footerReference r:id="rId44" w:type="default"/>
          <w:pgSz w:w="11907" w:h="16840"/>
          <w:pgMar w:top="1418" w:right="1252" w:bottom="1200" w:left="1786" w:header="0" w:footer="1033" w:gutter="0"/>
          <w:pgNumType w:fmt="decimal"/>
          <w:cols w:space="720" w:num="1"/>
        </w:sectPr>
      </w:pPr>
    </w:p>
    <w:p w14:paraId="171002A8">
      <w:pPr>
        <w:spacing w:before="48" w:line="221" w:lineRule="auto"/>
        <w:ind w:left="670"/>
        <w:rPr>
          <w:rFonts w:ascii="仿宋" w:hAnsi="仿宋" w:eastAsia="仿宋" w:cs="仿宋"/>
          <w:sz w:val="24"/>
          <w:szCs w:val="24"/>
        </w:rPr>
      </w:pPr>
      <w:r>
        <w:rPr>
          <w:rFonts w:ascii="仿宋" w:hAnsi="仿宋" w:eastAsia="仿宋" w:cs="仿宋"/>
          <w:spacing w:val="-2"/>
          <w:sz w:val="24"/>
          <w:szCs w:val="24"/>
        </w:rPr>
        <w:t>5.1.定标原则：由采购人根据评标委员会的推</w:t>
      </w:r>
      <w:r>
        <w:rPr>
          <w:rFonts w:ascii="仿宋" w:hAnsi="仿宋" w:eastAsia="仿宋" w:cs="仿宋"/>
          <w:spacing w:val="-3"/>
          <w:sz w:val="24"/>
          <w:szCs w:val="24"/>
        </w:rPr>
        <w:t>荐意见确定中标供应商。</w:t>
      </w:r>
    </w:p>
    <w:p w14:paraId="21E13203">
      <w:pPr>
        <w:pStyle w:val="8"/>
        <w:spacing w:line="279" w:lineRule="auto"/>
      </w:pPr>
    </w:p>
    <w:p w14:paraId="1C0F2414">
      <w:pPr>
        <w:spacing w:before="78" w:line="222" w:lineRule="auto"/>
        <w:ind w:left="670"/>
        <w:outlineLvl w:val="2"/>
        <w:rPr>
          <w:rFonts w:ascii="仿宋" w:hAnsi="仿宋" w:eastAsia="仿宋" w:cs="仿宋"/>
          <w:sz w:val="24"/>
          <w:szCs w:val="24"/>
        </w:rPr>
      </w:pPr>
      <w:bookmarkStart w:id="136" w:name="_Toc23462"/>
      <w:r>
        <w:rPr>
          <w:rFonts w:ascii="仿宋" w:hAnsi="仿宋" w:eastAsia="仿宋" w:cs="仿宋"/>
          <w:spacing w:val="-6"/>
          <w:sz w:val="24"/>
          <w:szCs w:val="24"/>
        </w:rPr>
        <w:t>5.2定标程序</w:t>
      </w:r>
      <w:bookmarkEnd w:id="136"/>
    </w:p>
    <w:p w14:paraId="4EDBD319">
      <w:pPr>
        <w:spacing w:before="216" w:line="222" w:lineRule="auto"/>
        <w:ind w:left="672"/>
        <w:rPr>
          <w:rFonts w:ascii="仿宋" w:hAnsi="仿宋" w:eastAsia="仿宋" w:cs="仿宋"/>
          <w:sz w:val="24"/>
          <w:szCs w:val="24"/>
        </w:rPr>
      </w:pPr>
      <w:r>
        <w:rPr>
          <w:rFonts w:ascii="仿宋" w:hAnsi="仿宋" w:eastAsia="仿宋" w:cs="仿宋"/>
          <w:spacing w:val="-1"/>
          <w:sz w:val="24"/>
          <w:szCs w:val="24"/>
        </w:rPr>
        <w:t>5.2.1评标委员会将评标情况写出书面报</w:t>
      </w:r>
      <w:r>
        <w:rPr>
          <w:rFonts w:ascii="仿宋" w:hAnsi="仿宋" w:eastAsia="仿宋" w:cs="仿宋"/>
          <w:spacing w:val="-2"/>
          <w:sz w:val="24"/>
          <w:szCs w:val="24"/>
        </w:rPr>
        <w:t>告，推荐中标候选供应商。</w:t>
      </w:r>
    </w:p>
    <w:p w14:paraId="67DE8092">
      <w:pPr>
        <w:pStyle w:val="8"/>
        <w:spacing w:line="280" w:lineRule="auto"/>
      </w:pPr>
    </w:p>
    <w:p w14:paraId="5267B7A5">
      <w:pPr>
        <w:spacing w:before="78" w:line="291" w:lineRule="auto"/>
        <w:ind w:left="24" w:right="119" w:firstLine="648"/>
        <w:rPr>
          <w:rFonts w:ascii="仿宋" w:hAnsi="仿宋" w:eastAsia="仿宋" w:cs="仿宋"/>
          <w:sz w:val="24"/>
          <w:szCs w:val="24"/>
        </w:rPr>
      </w:pPr>
      <w:r>
        <w:rPr>
          <w:rFonts w:ascii="仿宋" w:hAnsi="仿宋" w:eastAsia="仿宋" w:cs="仿宋"/>
          <w:sz w:val="24"/>
          <w:szCs w:val="24"/>
        </w:rPr>
        <w:t>5.2.2采购代理机构在评标结束后2个工作日内将采购结果确认单和评标报告</w:t>
      </w:r>
      <w:r>
        <w:rPr>
          <w:rFonts w:ascii="仿宋" w:hAnsi="仿宋" w:eastAsia="仿宋" w:cs="仿宋"/>
          <w:spacing w:val="2"/>
          <w:sz w:val="24"/>
          <w:szCs w:val="24"/>
        </w:rPr>
        <w:t xml:space="preserve"> </w:t>
      </w:r>
      <w:r>
        <w:rPr>
          <w:rFonts w:ascii="仿宋" w:hAnsi="仿宋" w:eastAsia="仿宋" w:cs="仿宋"/>
          <w:spacing w:val="-5"/>
          <w:sz w:val="24"/>
          <w:szCs w:val="24"/>
        </w:rPr>
        <w:t>发至采购人处。</w:t>
      </w:r>
    </w:p>
    <w:p w14:paraId="34E4A550">
      <w:pPr>
        <w:pStyle w:val="8"/>
        <w:spacing w:line="279" w:lineRule="auto"/>
      </w:pPr>
    </w:p>
    <w:p w14:paraId="26795BB3">
      <w:pPr>
        <w:spacing w:before="79" w:line="324" w:lineRule="auto"/>
        <w:ind w:left="14" w:right="40" w:firstLine="658"/>
        <w:rPr>
          <w:rFonts w:ascii="仿宋" w:hAnsi="仿宋" w:eastAsia="仿宋" w:cs="仿宋"/>
          <w:sz w:val="24"/>
          <w:szCs w:val="24"/>
        </w:rPr>
      </w:pPr>
      <w:r>
        <w:rPr>
          <w:rFonts w:ascii="仿宋" w:hAnsi="仿宋" w:eastAsia="仿宋" w:cs="仿宋"/>
          <w:spacing w:val="-5"/>
          <w:sz w:val="24"/>
          <w:szCs w:val="24"/>
        </w:rPr>
        <w:t>5.2.3采购人在收到后5个工作日内，按照评标报告中推荐的中标候</w:t>
      </w:r>
      <w:r>
        <w:rPr>
          <w:rFonts w:ascii="仿宋" w:hAnsi="仿宋" w:eastAsia="仿宋" w:cs="仿宋"/>
          <w:spacing w:val="-6"/>
          <w:sz w:val="24"/>
          <w:szCs w:val="24"/>
        </w:rPr>
        <w:t>选供应商顺</w:t>
      </w:r>
      <w:r>
        <w:rPr>
          <w:rFonts w:ascii="仿宋" w:hAnsi="仿宋" w:eastAsia="仿宋" w:cs="仿宋"/>
          <w:sz w:val="24"/>
          <w:szCs w:val="24"/>
        </w:rPr>
        <w:t xml:space="preserve"> </w:t>
      </w:r>
      <w:r>
        <w:rPr>
          <w:rFonts w:ascii="仿宋" w:hAnsi="仿宋" w:eastAsia="仿宋" w:cs="仿宋"/>
          <w:spacing w:val="1"/>
          <w:sz w:val="24"/>
          <w:szCs w:val="24"/>
        </w:rPr>
        <w:t>序确定中标供应商。采用综合评分法的，评</w:t>
      </w:r>
      <w:r>
        <w:rPr>
          <w:rFonts w:ascii="仿宋" w:hAnsi="仿宋" w:eastAsia="仿宋" w:cs="仿宋"/>
          <w:sz w:val="24"/>
          <w:szCs w:val="24"/>
        </w:rPr>
        <w:t xml:space="preserve">标结果按投标报价由低到高顺序排列； </w:t>
      </w:r>
      <w:r>
        <w:rPr>
          <w:rFonts w:ascii="仿宋" w:hAnsi="仿宋" w:eastAsia="仿宋" w:cs="仿宋"/>
          <w:spacing w:val="1"/>
          <w:sz w:val="24"/>
          <w:szCs w:val="24"/>
        </w:rPr>
        <w:t>投标报价相同的并列，投标文件满足采购文</w:t>
      </w:r>
      <w:r>
        <w:rPr>
          <w:rFonts w:ascii="仿宋" w:hAnsi="仿宋" w:eastAsia="仿宋" w:cs="仿宋"/>
          <w:sz w:val="24"/>
          <w:szCs w:val="24"/>
        </w:rPr>
        <w:t>件全部实质性要求且投标报价最低的供 应商为中标候选供应商；报价相同且满足采购文件全部实质性要求的并列，由采购</w:t>
      </w:r>
    </w:p>
    <w:p w14:paraId="31744011">
      <w:pPr>
        <w:spacing w:before="182" w:line="220" w:lineRule="auto"/>
        <w:ind w:left="19"/>
        <w:rPr>
          <w:rFonts w:ascii="仿宋" w:hAnsi="仿宋" w:eastAsia="仿宋" w:cs="仿宋"/>
          <w:sz w:val="24"/>
          <w:szCs w:val="24"/>
        </w:rPr>
      </w:pPr>
      <w:r>
        <w:rPr>
          <w:rFonts w:ascii="仿宋" w:hAnsi="仿宋" w:eastAsia="仿宋" w:cs="仿宋"/>
          <w:spacing w:val="-2"/>
          <w:sz w:val="24"/>
          <w:szCs w:val="24"/>
        </w:rPr>
        <w:t>人自主采取公平、择优的方式选择中标供应商。</w:t>
      </w:r>
    </w:p>
    <w:p w14:paraId="2CFBC166">
      <w:pPr>
        <w:pStyle w:val="8"/>
        <w:spacing w:line="280" w:lineRule="auto"/>
      </w:pPr>
    </w:p>
    <w:p w14:paraId="44D14A22">
      <w:pPr>
        <w:spacing w:before="78" w:line="289" w:lineRule="auto"/>
        <w:ind w:left="51" w:firstLine="621"/>
        <w:rPr>
          <w:rFonts w:ascii="仿宋" w:hAnsi="仿宋" w:eastAsia="仿宋" w:cs="仿宋"/>
          <w:sz w:val="24"/>
          <w:szCs w:val="24"/>
        </w:rPr>
      </w:pPr>
      <w:r>
        <w:rPr>
          <w:rFonts w:ascii="仿宋" w:hAnsi="仿宋" w:eastAsia="仿宋" w:cs="仿宋"/>
          <w:spacing w:val="-4"/>
          <w:sz w:val="24"/>
          <w:szCs w:val="24"/>
        </w:rPr>
        <w:t>5.2.4根据采购人确定的中标供应商，采购代理机</w:t>
      </w:r>
      <w:r>
        <w:rPr>
          <w:rFonts w:ascii="仿宋" w:hAnsi="仿宋" w:eastAsia="仿宋" w:cs="仿宋"/>
          <w:spacing w:val="-5"/>
          <w:sz w:val="24"/>
          <w:szCs w:val="24"/>
        </w:rPr>
        <w:t>构在新疆政府采购网上发布</w:t>
      </w:r>
      <w:r>
        <w:rPr>
          <w:rFonts w:ascii="仿宋" w:hAnsi="仿宋" w:eastAsia="仿宋" w:cs="仿宋"/>
          <w:sz w:val="24"/>
          <w:szCs w:val="24"/>
        </w:rPr>
        <w:t xml:space="preserve">  </w:t>
      </w:r>
      <w:r>
        <w:rPr>
          <w:rFonts w:ascii="仿宋" w:hAnsi="仿宋" w:eastAsia="仿宋" w:cs="仿宋"/>
          <w:spacing w:val="-3"/>
          <w:sz w:val="24"/>
          <w:szCs w:val="24"/>
        </w:rPr>
        <w:t>中标公告，并自采购人确定中标之日起3个工作日内向中标供应商发出中标通知书。</w:t>
      </w:r>
    </w:p>
    <w:p w14:paraId="7E03CCDD">
      <w:pPr>
        <w:pStyle w:val="8"/>
        <w:spacing w:line="279" w:lineRule="auto"/>
      </w:pPr>
    </w:p>
    <w:p w14:paraId="0B2B2C1D">
      <w:pPr>
        <w:spacing w:before="79" w:line="220" w:lineRule="auto"/>
        <w:ind w:left="672"/>
        <w:rPr>
          <w:rFonts w:ascii="仿宋" w:hAnsi="仿宋" w:eastAsia="仿宋" w:cs="仿宋"/>
          <w:sz w:val="24"/>
          <w:szCs w:val="24"/>
        </w:rPr>
      </w:pPr>
      <w:r>
        <w:rPr>
          <w:rFonts w:ascii="仿宋" w:hAnsi="仿宋" w:eastAsia="仿宋" w:cs="仿宋"/>
          <w:spacing w:val="-2"/>
          <w:sz w:val="24"/>
          <w:szCs w:val="24"/>
        </w:rPr>
        <w:t>5.2.5招标采购单位不退回供应商投标文件和其他投标资料。</w:t>
      </w:r>
    </w:p>
    <w:p w14:paraId="7FB04E6D">
      <w:pPr>
        <w:pStyle w:val="8"/>
        <w:spacing w:line="279" w:lineRule="auto"/>
      </w:pPr>
    </w:p>
    <w:p w14:paraId="49344C53">
      <w:pPr>
        <w:spacing w:before="78" w:line="221" w:lineRule="auto"/>
        <w:ind w:left="667"/>
        <w:outlineLvl w:val="1"/>
        <w:rPr>
          <w:rFonts w:ascii="仿宋" w:hAnsi="仿宋" w:eastAsia="仿宋" w:cs="仿宋"/>
          <w:sz w:val="24"/>
          <w:szCs w:val="24"/>
        </w:rPr>
      </w:pPr>
      <w:bookmarkStart w:id="137" w:name="bookmark61"/>
      <w:bookmarkEnd w:id="137"/>
      <w:bookmarkStart w:id="138" w:name="_Toc14610"/>
      <w:r>
        <w:rPr>
          <w:rFonts w:ascii="仿宋" w:hAnsi="仿宋" w:eastAsia="仿宋" w:cs="仿宋"/>
          <w:b/>
          <w:bCs/>
          <w:spacing w:val="-2"/>
          <w:sz w:val="24"/>
          <w:szCs w:val="24"/>
        </w:rPr>
        <w:t>6.详细的评标标准</w:t>
      </w:r>
      <w:r>
        <w:rPr>
          <w:rFonts w:ascii="仿宋" w:hAnsi="仿宋" w:eastAsia="仿宋" w:cs="仿宋"/>
          <w:b/>
          <w:bCs/>
          <w:spacing w:val="-28"/>
          <w:sz w:val="24"/>
          <w:szCs w:val="24"/>
        </w:rPr>
        <w:t>：（</w:t>
      </w:r>
      <w:r>
        <w:rPr>
          <w:rFonts w:ascii="仿宋" w:hAnsi="仿宋" w:eastAsia="仿宋" w:cs="仿宋"/>
          <w:b/>
          <w:bCs/>
          <w:spacing w:val="-2"/>
          <w:sz w:val="24"/>
          <w:szCs w:val="24"/>
        </w:rPr>
        <w:t>具体内容详见综合评分</w:t>
      </w:r>
      <w:r>
        <w:rPr>
          <w:rFonts w:ascii="仿宋" w:hAnsi="仿宋" w:eastAsia="仿宋" w:cs="仿宋"/>
          <w:b/>
          <w:bCs/>
          <w:spacing w:val="-3"/>
          <w:sz w:val="24"/>
          <w:szCs w:val="24"/>
        </w:rPr>
        <w:t>表）</w:t>
      </w:r>
      <w:bookmarkEnd w:id="138"/>
    </w:p>
    <w:p w14:paraId="4C2D386C">
      <w:pPr>
        <w:pStyle w:val="8"/>
        <w:spacing w:line="281" w:lineRule="auto"/>
      </w:pPr>
    </w:p>
    <w:p w14:paraId="28309B3F">
      <w:pPr>
        <w:spacing w:before="79" w:line="349" w:lineRule="auto"/>
        <w:ind w:left="20" w:right="32" w:firstLine="658"/>
        <w:jc w:val="both"/>
        <w:rPr>
          <w:rFonts w:ascii="仿宋" w:hAnsi="仿宋" w:eastAsia="仿宋" w:cs="仿宋"/>
          <w:sz w:val="24"/>
          <w:szCs w:val="24"/>
        </w:rPr>
      </w:pPr>
      <w:r>
        <w:rPr>
          <w:rFonts w:ascii="仿宋" w:hAnsi="仿宋" w:eastAsia="仿宋" w:cs="仿宋"/>
          <w:spacing w:val="-5"/>
          <w:sz w:val="24"/>
          <w:szCs w:val="24"/>
        </w:rPr>
        <w:t>各供应商的价格得分的计算公式：采用低价优先法计算，即满足采购文件要求</w:t>
      </w:r>
      <w:r>
        <w:rPr>
          <w:rFonts w:ascii="仿宋" w:hAnsi="仿宋" w:eastAsia="仿宋" w:cs="仿宋"/>
          <w:spacing w:val="13"/>
          <w:sz w:val="24"/>
          <w:szCs w:val="24"/>
        </w:rPr>
        <w:t xml:space="preserve"> </w:t>
      </w:r>
      <w:r>
        <w:rPr>
          <w:rFonts w:ascii="仿宋" w:hAnsi="仿宋" w:eastAsia="仿宋" w:cs="仿宋"/>
          <w:sz w:val="24"/>
          <w:szCs w:val="24"/>
        </w:rPr>
        <w:t>且投标价格最低的投标报价为评标基准价，其价格分为满分。其他供应商的价格分</w:t>
      </w:r>
      <w:r>
        <w:rPr>
          <w:rFonts w:ascii="仿宋" w:hAnsi="仿宋" w:eastAsia="仿宋" w:cs="仿宋"/>
          <w:spacing w:val="11"/>
          <w:sz w:val="24"/>
          <w:szCs w:val="24"/>
        </w:rPr>
        <w:t xml:space="preserve"> </w:t>
      </w:r>
      <w:r>
        <w:rPr>
          <w:rFonts w:ascii="仿宋" w:hAnsi="仿宋" w:eastAsia="仿宋" w:cs="仿宋"/>
          <w:spacing w:val="-4"/>
          <w:sz w:val="24"/>
          <w:szCs w:val="24"/>
        </w:rPr>
        <w:t>统一按照下列公式计算：</w:t>
      </w:r>
    </w:p>
    <w:p w14:paraId="09809C31">
      <w:pPr>
        <w:spacing w:before="79" w:line="222" w:lineRule="auto"/>
        <w:ind w:left="677"/>
        <w:rPr>
          <w:rFonts w:ascii="仿宋" w:hAnsi="仿宋" w:eastAsia="仿宋" w:cs="仿宋"/>
          <w:sz w:val="24"/>
          <w:szCs w:val="24"/>
        </w:rPr>
      </w:pPr>
      <w:r>
        <w:rPr>
          <w:rFonts w:ascii="仿宋" w:hAnsi="仿宋" w:eastAsia="仿宋" w:cs="仿宋"/>
          <w:spacing w:val="-2"/>
          <w:sz w:val="24"/>
          <w:szCs w:val="24"/>
        </w:rPr>
        <w:t>投标报价得分=(评标基准价／投标报价)×价格权值</w:t>
      </w:r>
    </w:p>
    <w:p w14:paraId="7E76869A">
      <w:pPr>
        <w:pStyle w:val="8"/>
        <w:spacing w:line="277" w:lineRule="auto"/>
      </w:pPr>
    </w:p>
    <w:p w14:paraId="243B36AE">
      <w:pPr>
        <w:spacing w:before="78" w:line="345" w:lineRule="auto"/>
        <w:ind w:left="19" w:right="195" w:firstLine="658"/>
        <w:rPr>
          <w:rFonts w:ascii="仿宋" w:hAnsi="仿宋" w:eastAsia="仿宋" w:cs="仿宋"/>
          <w:sz w:val="24"/>
          <w:szCs w:val="24"/>
        </w:rPr>
      </w:pPr>
      <w:r>
        <w:rPr>
          <w:rFonts w:ascii="仿宋" w:hAnsi="仿宋" w:eastAsia="仿宋" w:cs="仿宋"/>
          <w:spacing w:val="-6"/>
          <w:sz w:val="24"/>
          <w:szCs w:val="24"/>
        </w:rPr>
        <w:t>计算分数时四舍五入取小数点后两位,分数最高不超过10分。由监标人员负责</w:t>
      </w:r>
      <w:r>
        <w:rPr>
          <w:rFonts w:ascii="仿宋" w:hAnsi="仿宋" w:eastAsia="仿宋" w:cs="仿宋"/>
          <w:spacing w:val="10"/>
          <w:sz w:val="24"/>
          <w:szCs w:val="24"/>
        </w:rPr>
        <w:t xml:space="preserve"> </w:t>
      </w:r>
      <w:r>
        <w:rPr>
          <w:rFonts w:ascii="仿宋" w:hAnsi="仿宋" w:eastAsia="仿宋" w:cs="仿宋"/>
          <w:spacing w:val="-3"/>
          <w:sz w:val="24"/>
          <w:szCs w:val="24"/>
        </w:rPr>
        <w:t>核准每个合格供应商的价格得分。</w:t>
      </w:r>
    </w:p>
    <w:p w14:paraId="5F6F08C0">
      <w:pPr>
        <w:spacing w:before="72" w:line="344" w:lineRule="auto"/>
        <w:ind w:left="25" w:right="111" w:firstLine="663"/>
        <w:rPr>
          <w:rFonts w:ascii="仿宋" w:hAnsi="仿宋" w:eastAsia="仿宋" w:cs="仿宋"/>
          <w:sz w:val="24"/>
          <w:szCs w:val="24"/>
        </w:rPr>
      </w:pPr>
      <w:r>
        <w:rPr>
          <w:rFonts w:ascii="仿宋" w:hAnsi="仿宋" w:eastAsia="仿宋" w:cs="仿宋"/>
          <w:spacing w:val="-4"/>
          <w:sz w:val="24"/>
          <w:szCs w:val="24"/>
        </w:rPr>
        <w:t>注：若为中小企业，其投标报价扣除10%后参与评审，提供相关证明资料，否</w:t>
      </w:r>
      <w:r>
        <w:rPr>
          <w:rFonts w:ascii="仿宋" w:hAnsi="仿宋" w:eastAsia="仿宋" w:cs="仿宋"/>
          <w:spacing w:val="13"/>
          <w:sz w:val="24"/>
          <w:szCs w:val="24"/>
        </w:rPr>
        <w:t xml:space="preserve"> </w:t>
      </w:r>
      <w:r>
        <w:rPr>
          <w:rFonts w:ascii="仿宋" w:hAnsi="仿宋" w:eastAsia="仿宋" w:cs="仿宋"/>
          <w:spacing w:val="-8"/>
          <w:sz w:val="24"/>
          <w:szCs w:val="24"/>
        </w:rPr>
        <w:t>则无效。</w:t>
      </w:r>
    </w:p>
    <w:p w14:paraId="476E26E6">
      <w:pPr>
        <w:spacing w:line="344" w:lineRule="auto"/>
        <w:rPr>
          <w:rFonts w:ascii="仿宋" w:hAnsi="仿宋" w:eastAsia="仿宋" w:cs="仿宋"/>
          <w:sz w:val="24"/>
          <w:szCs w:val="24"/>
        </w:rPr>
        <w:sectPr>
          <w:footerReference r:id="rId45" w:type="default"/>
          <w:pgSz w:w="11907" w:h="16840"/>
          <w:pgMar w:top="1418" w:right="1405" w:bottom="1202" w:left="1786" w:header="0" w:footer="1033" w:gutter="0"/>
          <w:pgNumType w:fmt="decimal"/>
          <w:cols w:space="720" w:num="1"/>
        </w:sectPr>
      </w:pPr>
    </w:p>
    <w:p w14:paraId="0332C978">
      <w:pPr>
        <w:spacing w:before="49" w:line="222" w:lineRule="auto"/>
        <w:ind w:left="3828"/>
        <w:outlineLvl w:val="0"/>
        <w:rPr>
          <w:rFonts w:ascii="仿宋" w:hAnsi="仿宋" w:eastAsia="仿宋" w:cs="仿宋"/>
          <w:sz w:val="24"/>
          <w:szCs w:val="24"/>
        </w:rPr>
      </w:pPr>
      <w:bookmarkStart w:id="139" w:name="bookmark63"/>
      <w:bookmarkEnd w:id="139"/>
      <w:bookmarkStart w:id="140" w:name="_Toc16727"/>
      <w:r>
        <w:rPr>
          <w:rFonts w:ascii="仿宋" w:hAnsi="仿宋" w:eastAsia="仿宋" w:cs="仿宋"/>
          <w:b/>
          <w:bCs/>
          <w:spacing w:val="-13"/>
          <w:sz w:val="24"/>
          <w:szCs w:val="24"/>
        </w:rPr>
        <w:t>资格审查表</w:t>
      </w:r>
      <w:bookmarkEnd w:id="140"/>
    </w:p>
    <w:p w14:paraId="61D47CB3">
      <w:pPr>
        <w:spacing w:line="141" w:lineRule="exact"/>
      </w:pPr>
    </w:p>
    <w:tbl>
      <w:tblPr>
        <w:tblStyle w:val="18"/>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7312"/>
        <w:gridCol w:w="716"/>
        <w:gridCol w:w="758"/>
      </w:tblGrid>
      <w:tr w14:paraId="55F54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1" w:type="dxa"/>
            <w:vMerge w:val="restart"/>
            <w:tcBorders>
              <w:bottom w:val="nil"/>
            </w:tcBorders>
            <w:shd w:val="clear" w:color="auto" w:fill="E2EFDA"/>
            <w:vAlign w:val="top"/>
          </w:tcPr>
          <w:p w14:paraId="1DD80CA0">
            <w:pPr>
              <w:spacing w:line="265" w:lineRule="auto"/>
              <w:rPr>
                <w:rFonts w:ascii="Arial"/>
                <w:sz w:val="21"/>
              </w:rPr>
            </w:pPr>
          </w:p>
          <w:p w14:paraId="2426AF72">
            <w:pPr>
              <w:pStyle w:val="19"/>
              <w:spacing w:before="78" w:line="222" w:lineRule="auto"/>
              <w:ind w:left="178"/>
            </w:pPr>
            <w:r>
              <w:rPr>
                <w:b/>
                <w:bCs/>
                <w:spacing w:val="-11"/>
              </w:rPr>
              <w:t>序号</w:t>
            </w:r>
          </w:p>
        </w:tc>
        <w:tc>
          <w:tcPr>
            <w:tcW w:w="7312" w:type="dxa"/>
            <w:vMerge w:val="restart"/>
            <w:tcBorders>
              <w:bottom w:val="nil"/>
            </w:tcBorders>
            <w:shd w:val="clear" w:color="auto" w:fill="E2EFDA"/>
            <w:vAlign w:val="top"/>
          </w:tcPr>
          <w:p w14:paraId="2837F880">
            <w:pPr>
              <w:spacing w:line="265" w:lineRule="auto"/>
              <w:rPr>
                <w:rFonts w:ascii="Arial"/>
                <w:sz w:val="21"/>
              </w:rPr>
            </w:pPr>
          </w:p>
          <w:p w14:paraId="06DAFBA7">
            <w:pPr>
              <w:pStyle w:val="19"/>
              <w:spacing w:before="78" w:line="222" w:lineRule="auto"/>
              <w:ind w:left="2675"/>
            </w:pPr>
            <w:r>
              <w:rPr>
                <w:b/>
                <w:bCs/>
                <w:spacing w:val="-17"/>
              </w:rPr>
              <w:t>审核项目</w:t>
            </w:r>
          </w:p>
        </w:tc>
        <w:tc>
          <w:tcPr>
            <w:tcW w:w="1474" w:type="dxa"/>
            <w:gridSpan w:val="2"/>
            <w:shd w:val="clear" w:color="auto" w:fill="E2EFDA"/>
            <w:vAlign w:val="top"/>
          </w:tcPr>
          <w:p w14:paraId="440D9C30">
            <w:pPr>
              <w:pStyle w:val="19"/>
              <w:spacing w:before="133" w:line="223" w:lineRule="auto"/>
              <w:ind w:left="630"/>
            </w:pPr>
            <w:r>
              <w:rPr>
                <w:b/>
                <w:bCs/>
                <w:spacing w:val="-11"/>
              </w:rPr>
              <w:t>供应商</w:t>
            </w:r>
          </w:p>
        </w:tc>
      </w:tr>
      <w:tr w14:paraId="58933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1" w:type="dxa"/>
            <w:vMerge w:val="continue"/>
            <w:tcBorders>
              <w:top w:val="nil"/>
            </w:tcBorders>
            <w:vAlign w:val="top"/>
          </w:tcPr>
          <w:p w14:paraId="66AB74AF">
            <w:pPr>
              <w:rPr>
                <w:rFonts w:ascii="Arial"/>
                <w:sz w:val="21"/>
              </w:rPr>
            </w:pPr>
          </w:p>
        </w:tc>
        <w:tc>
          <w:tcPr>
            <w:tcW w:w="7312" w:type="dxa"/>
            <w:vMerge w:val="continue"/>
            <w:tcBorders>
              <w:top w:val="nil"/>
            </w:tcBorders>
            <w:vAlign w:val="top"/>
          </w:tcPr>
          <w:p w14:paraId="1F85A3E2">
            <w:pPr>
              <w:rPr>
                <w:rFonts w:ascii="Arial"/>
                <w:sz w:val="21"/>
              </w:rPr>
            </w:pPr>
          </w:p>
        </w:tc>
        <w:tc>
          <w:tcPr>
            <w:tcW w:w="716" w:type="dxa"/>
            <w:shd w:val="clear" w:color="auto" w:fill="E2EFDA"/>
            <w:vAlign w:val="top"/>
          </w:tcPr>
          <w:p w14:paraId="6133C32F">
            <w:pPr>
              <w:pStyle w:val="19"/>
              <w:spacing w:before="128" w:line="224" w:lineRule="auto"/>
              <w:ind w:left="251"/>
            </w:pPr>
            <w:r>
              <w:rPr>
                <w:b/>
                <w:bCs/>
                <w:spacing w:val="-3"/>
              </w:rPr>
              <w:t>是</w:t>
            </w:r>
          </w:p>
        </w:tc>
        <w:tc>
          <w:tcPr>
            <w:tcW w:w="758" w:type="dxa"/>
            <w:shd w:val="clear" w:color="auto" w:fill="E2EFDA"/>
            <w:vAlign w:val="top"/>
          </w:tcPr>
          <w:p w14:paraId="3918B30B">
            <w:pPr>
              <w:pStyle w:val="19"/>
              <w:spacing w:before="128" w:line="224" w:lineRule="auto"/>
              <w:ind w:left="399"/>
            </w:pPr>
            <w:r>
              <w:rPr>
                <w:b/>
                <w:bCs/>
                <w:spacing w:val="-3"/>
              </w:rPr>
              <w:t>否</w:t>
            </w:r>
          </w:p>
        </w:tc>
      </w:tr>
      <w:tr w14:paraId="7770C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1" w:type="dxa"/>
            <w:vAlign w:val="top"/>
          </w:tcPr>
          <w:p w14:paraId="635C03BC">
            <w:pPr>
              <w:pStyle w:val="19"/>
              <w:spacing w:before="260" w:line="181" w:lineRule="auto"/>
              <w:ind w:left="317"/>
            </w:pPr>
            <w:r>
              <w:t>1</w:t>
            </w:r>
          </w:p>
        </w:tc>
        <w:tc>
          <w:tcPr>
            <w:tcW w:w="7312" w:type="dxa"/>
            <w:vAlign w:val="top"/>
          </w:tcPr>
          <w:p w14:paraId="3EBD9E04">
            <w:pPr>
              <w:pStyle w:val="19"/>
              <w:spacing w:before="146" w:line="222" w:lineRule="auto"/>
            </w:pPr>
            <w:r>
              <w:rPr>
                <w:spacing w:val="-3"/>
              </w:rPr>
              <w:t>具有独立承担民事责任的能力</w:t>
            </w:r>
            <w:r>
              <w:rPr>
                <w:rFonts w:hint="eastAsia"/>
                <w:spacing w:val="-3"/>
                <w:lang w:eastAsia="zh-CN"/>
              </w:rPr>
              <w:t>（</w:t>
            </w:r>
            <w:r>
              <w:rPr>
                <w:rFonts w:hint="eastAsia"/>
                <w:spacing w:val="-3"/>
                <w:lang w:val="en-US" w:eastAsia="zh-CN"/>
              </w:rPr>
              <w:t>营业执照复印件加盖公章</w:t>
            </w:r>
            <w:r>
              <w:rPr>
                <w:rFonts w:hint="eastAsia"/>
                <w:spacing w:val="-3"/>
                <w:lang w:eastAsia="zh-CN"/>
              </w:rPr>
              <w:t>）</w:t>
            </w:r>
            <w:r>
              <w:rPr>
                <w:spacing w:val="-3"/>
              </w:rPr>
              <w:t>;</w:t>
            </w:r>
          </w:p>
        </w:tc>
        <w:tc>
          <w:tcPr>
            <w:tcW w:w="716" w:type="dxa"/>
            <w:vAlign w:val="top"/>
          </w:tcPr>
          <w:p w14:paraId="76CC57F0">
            <w:pPr>
              <w:rPr>
                <w:rFonts w:ascii="Arial"/>
                <w:sz w:val="21"/>
              </w:rPr>
            </w:pPr>
          </w:p>
        </w:tc>
        <w:tc>
          <w:tcPr>
            <w:tcW w:w="758" w:type="dxa"/>
            <w:vAlign w:val="top"/>
          </w:tcPr>
          <w:p w14:paraId="3C2474EC">
            <w:pPr>
              <w:rPr>
                <w:rFonts w:ascii="Arial"/>
                <w:sz w:val="21"/>
              </w:rPr>
            </w:pPr>
          </w:p>
        </w:tc>
      </w:tr>
      <w:tr w14:paraId="353F8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11" w:type="dxa"/>
            <w:vAlign w:val="top"/>
          </w:tcPr>
          <w:p w14:paraId="6E8F9977">
            <w:pPr>
              <w:spacing w:line="343" w:lineRule="auto"/>
              <w:rPr>
                <w:rFonts w:ascii="Arial"/>
                <w:sz w:val="21"/>
              </w:rPr>
            </w:pPr>
          </w:p>
          <w:p w14:paraId="66B052E0">
            <w:pPr>
              <w:pStyle w:val="19"/>
              <w:spacing w:before="78" w:line="180" w:lineRule="auto"/>
              <w:ind w:left="303"/>
            </w:pPr>
            <w:r>
              <w:t>2</w:t>
            </w:r>
          </w:p>
        </w:tc>
        <w:tc>
          <w:tcPr>
            <w:tcW w:w="7312" w:type="dxa"/>
            <w:vAlign w:val="top"/>
          </w:tcPr>
          <w:p w14:paraId="6419F736">
            <w:pPr>
              <w:pStyle w:val="19"/>
              <w:spacing w:before="33" w:line="222" w:lineRule="auto"/>
              <w:ind w:left="17"/>
              <w:rPr>
                <w:rFonts w:hint="eastAsia" w:eastAsia="仿宋"/>
                <w:lang w:eastAsia="zh-CN"/>
              </w:rPr>
            </w:pPr>
            <w:r>
              <w:rPr>
                <w:spacing w:val="-2"/>
              </w:rPr>
              <w:t>具有良好的商业信誉和健全的财务会计制度</w:t>
            </w:r>
            <w:r>
              <w:rPr>
                <w:rFonts w:hint="eastAsia"/>
                <w:spacing w:val="-2"/>
                <w:lang w:eastAsia="zh-CN"/>
              </w:rPr>
              <w:t>，（1）提供会计师事务所出具的2023年度财务审计报告复印件或银行在开标日前三个月内开具的资信证明；（2）复印件加盖供应商公章。</w:t>
            </w:r>
          </w:p>
        </w:tc>
        <w:tc>
          <w:tcPr>
            <w:tcW w:w="716" w:type="dxa"/>
            <w:vAlign w:val="top"/>
          </w:tcPr>
          <w:p w14:paraId="29BF9D9C">
            <w:pPr>
              <w:rPr>
                <w:rFonts w:ascii="Arial"/>
                <w:sz w:val="21"/>
              </w:rPr>
            </w:pPr>
          </w:p>
        </w:tc>
        <w:tc>
          <w:tcPr>
            <w:tcW w:w="758" w:type="dxa"/>
            <w:vAlign w:val="top"/>
          </w:tcPr>
          <w:p w14:paraId="49347D29">
            <w:pPr>
              <w:rPr>
                <w:rFonts w:ascii="Arial"/>
                <w:sz w:val="21"/>
              </w:rPr>
            </w:pPr>
          </w:p>
        </w:tc>
      </w:tr>
      <w:tr w14:paraId="58045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1" w:type="dxa"/>
            <w:vAlign w:val="top"/>
          </w:tcPr>
          <w:p w14:paraId="78C6E542">
            <w:pPr>
              <w:spacing w:line="263" w:lineRule="auto"/>
              <w:rPr>
                <w:rFonts w:ascii="Arial"/>
                <w:sz w:val="21"/>
              </w:rPr>
            </w:pPr>
          </w:p>
          <w:p w14:paraId="6526E23D">
            <w:pPr>
              <w:pStyle w:val="19"/>
              <w:spacing w:before="78" w:line="180" w:lineRule="auto"/>
              <w:ind w:left="305"/>
            </w:pPr>
            <w:r>
              <w:t>3</w:t>
            </w:r>
          </w:p>
        </w:tc>
        <w:tc>
          <w:tcPr>
            <w:tcW w:w="7312" w:type="dxa"/>
            <w:vAlign w:val="top"/>
          </w:tcPr>
          <w:p w14:paraId="5FE25035">
            <w:pPr>
              <w:pStyle w:val="19"/>
              <w:spacing w:before="148" w:line="221" w:lineRule="auto"/>
              <w:rPr>
                <w:rFonts w:hint="eastAsia" w:eastAsia="仿宋"/>
                <w:lang w:eastAsia="zh-CN"/>
              </w:rPr>
            </w:pPr>
            <w:r>
              <w:rPr>
                <w:spacing w:val="-2"/>
              </w:rPr>
              <w:t>具有履行合同所必须的设备和专业技术能力</w:t>
            </w:r>
            <w:r>
              <w:rPr>
                <w:rFonts w:hint="eastAsia"/>
                <w:spacing w:val="-2"/>
                <w:lang w:eastAsia="zh-CN"/>
              </w:rPr>
              <w:t>，提供了可充分满足履行合同所需设备和专业技术能力的承诺书。</w:t>
            </w:r>
          </w:p>
        </w:tc>
        <w:tc>
          <w:tcPr>
            <w:tcW w:w="716" w:type="dxa"/>
            <w:vAlign w:val="top"/>
          </w:tcPr>
          <w:p w14:paraId="5EE079CB">
            <w:pPr>
              <w:rPr>
                <w:rFonts w:ascii="Arial"/>
                <w:sz w:val="21"/>
              </w:rPr>
            </w:pPr>
          </w:p>
        </w:tc>
        <w:tc>
          <w:tcPr>
            <w:tcW w:w="758" w:type="dxa"/>
            <w:vAlign w:val="top"/>
          </w:tcPr>
          <w:p w14:paraId="3163568E">
            <w:pPr>
              <w:rPr>
                <w:rFonts w:ascii="Arial"/>
                <w:sz w:val="21"/>
              </w:rPr>
            </w:pPr>
          </w:p>
        </w:tc>
      </w:tr>
      <w:tr w14:paraId="27921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11" w:type="dxa"/>
            <w:vAlign w:val="top"/>
          </w:tcPr>
          <w:p w14:paraId="1FB72488">
            <w:pPr>
              <w:pStyle w:val="19"/>
              <w:spacing w:before="257" w:line="180" w:lineRule="auto"/>
              <w:ind w:left="299"/>
            </w:pPr>
            <w:r>
              <w:t>4</w:t>
            </w:r>
          </w:p>
        </w:tc>
        <w:tc>
          <w:tcPr>
            <w:tcW w:w="7312" w:type="dxa"/>
            <w:vAlign w:val="top"/>
          </w:tcPr>
          <w:p w14:paraId="7992AFED">
            <w:pPr>
              <w:pStyle w:val="19"/>
              <w:spacing w:before="148" w:line="221" w:lineRule="auto"/>
              <w:rPr>
                <w:rFonts w:hint="eastAsia" w:eastAsia="仿宋"/>
                <w:lang w:eastAsia="zh-CN"/>
              </w:rPr>
            </w:pPr>
            <w:r>
              <w:rPr>
                <w:spacing w:val="-2"/>
              </w:rPr>
              <w:t>具有依法缴纳税收和社会保障资金的良好记录</w:t>
            </w:r>
            <w:r>
              <w:rPr>
                <w:rFonts w:hint="eastAsia"/>
                <w:spacing w:val="-2"/>
                <w:lang w:eastAsia="zh-CN"/>
              </w:rPr>
              <w:t>，提供开标前近一年任意三个月依法缴纳税收证明及依法缴纳社保证明。税收证明材料可以是税收完税证明或纳税申报表等具备同等效力的资料；社保证明材料可以是社会保险单缴费汇总单等具备同等效力的资料，须加盖公章。（新成立企业以成立时间开始计算）</w:t>
            </w:r>
          </w:p>
        </w:tc>
        <w:tc>
          <w:tcPr>
            <w:tcW w:w="716" w:type="dxa"/>
            <w:vAlign w:val="top"/>
          </w:tcPr>
          <w:p w14:paraId="608F7034">
            <w:pPr>
              <w:rPr>
                <w:rFonts w:ascii="Arial"/>
                <w:sz w:val="21"/>
              </w:rPr>
            </w:pPr>
          </w:p>
        </w:tc>
        <w:tc>
          <w:tcPr>
            <w:tcW w:w="758" w:type="dxa"/>
            <w:vAlign w:val="top"/>
          </w:tcPr>
          <w:p w14:paraId="21F1E46B">
            <w:pPr>
              <w:rPr>
                <w:rFonts w:ascii="Arial"/>
                <w:sz w:val="21"/>
              </w:rPr>
            </w:pPr>
          </w:p>
        </w:tc>
      </w:tr>
      <w:tr w14:paraId="7392C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11" w:type="dxa"/>
            <w:vAlign w:val="top"/>
          </w:tcPr>
          <w:p w14:paraId="2BCAAA1E">
            <w:pPr>
              <w:pStyle w:val="19"/>
              <w:spacing w:before="257" w:line="179" w:lineRule="auto"/>
              <w:ind w:left="305"/>
            </w:pPr>
            <w:r>
              <w:t>5</w:t>
            </w:r>
          </w:p>
        </w:tc>
        <w:tc>
          <w:tcPr>
            <w:tcW w:w="7312" w:type="dxa"/>
            <w:vAlign w:val="top"/>
          </w:tcPr>
          <w:p w14:paraId="19AB4457">
            <w:pPr>
              <w:pStyle w:val="19"/>
              <w:spacing w:before="150" w:line="219" w:lineRule="auto"/>
              <w:rPr>
                <w:rFonts w:hint="eastAsia" w:eastAsia="仿宋"/>
                <w:lang w:eastAsia="zh-CN"/>
              </w:rPr>
            </w:pPr>
            <w:r>
              <w:rPr>
                <w:spacing w:val="-2"/>
              </w:rPr>
              <w:t>参加本次政府采购活动前三年内，在经营活动中没有重大违法记录</w:t>
            </w:r>
            <w:r>
              <w:rPr>
                <w:rFonts w:hint="eastAsia"/>
                <w:spacing w:val="-2"/>
                <w:lang w:eastAsia="zh-CN"/>
              </w:rPr>
              <w:t>，提供了参加政府采购活动前三年内，在经营活动中没有重大违法记录的书面声明函；</w:t>
            </w:r>
          </w:p>
        </w:tc>
        <w:tc>
          <w:tcPr>
            <w:tcW w:w="716" w:type="dxa"/>
            <w:vAlign w:val="top"/>
          </w:tcPr>
          <w:p w14:paraId="5902E981">
            <w:pPr>
              <w:rPr>
                <w:rFonts w:ascii="Arial"/>
                <w:sz w:val="21"/>
              </w:rPr>
            </w:pPr>
          </w:p>
        </w:tc>
        <w:tc>
          <w:tcPr>
            <w:tcW w:w="758" w:type="dxa"/>
            <w:vAlign w:val="top"/>
          </w:tcPr>
          <w:p w14:paraId="57793257">
            <w:pPr>
              <w:rPr>
                <w:rFonts w:ascii="Arial"/>
                <w:sz w:val="21"/>
              </w:rPr>
            </w:pPr>
          </w:p>
        </w:tc>
      </w:tr>
      <w:tr w14:paraId="2EC00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1" w:type="dxa"/>
            <w:vAlign w:val="top"/>
          </w:tcPr>
          <w:p w14:paraId="5CFABF01">
            <w:pPr>
              <w:pStyle w:val="19"/>
              <w:spacing w:before="238" w:line="180" w:lineRule="auto"/>
              <w:ind w:left="302"/>
            </w:pPr>
            <w:r>
              <w:t>6</w:t>
            </w:r>
          </w:p>
        </w:tc>
        <w:tc>
          <w:tcPr>
            <w:tcW w:w="7312" w:type="dxa"/>
            <w:vAlign w:val="top"/>
          </w:tcPr>
          <w:p w14:paraId="71B5EC20">
            <w:pPr>
              <w:pStyle w:val="19"/>
              <w:spacing w:before="148" w:line="221" w:lineRule="auto"/>
            </w:pPr>
            <w:r>
              <w:rPr>
                <w:spacing w:val="-3"/>
              </w:rPr>
              <w:t>法律、行政法规规定的其他条件;</w:t>
            </w:r>
          </w:p>
        </w:tc>
        <w:tc>
          <w:tcPr>
            <w:tcW w:w="716" w:type="dxa"/>
            <w:vAlign w:val="top"/>
          </w:tcPr>
          <w:p w14:paraId="39FC3C6D">
            <w:pPr>
              <w:rPr>
                <w:rFonts w:ascii="Arial"/>
                <w:sz w:val="21"/>
              </w:rPr>
            </w:pPr>
          </w:p>
        </w:tc>
        <w:tc>
          <w:tcPr>
            <w:tcW w:w="758" w:type="dxa"/>
            <w:vAlign w:val="top"/>
          </w:tcPr>
          <w:p w14:paraId="15A00AB9">
            <w:pPr>
              <w:rPr>
                <w:rFonts w:ascii="Arial"/>
                <w:sz w:val="21"/>
              </w:rPr>
            </w:pPr>
          </w:p>
        </w:tc>
      </w:tr>
      <w:tr w14:paraId="4F2B4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11" w:type="dxa"/>
            <w:vAlign w:val="top"/>
          </w:tcPr>
          <w:p w14:paraId="675E655C">
            <w:pPr>
              <w:pStyle w:val="19"/>
              <w:spacing w:before="230" w:line="180" w:lineRule="auto"/>
              <w:ind w:left="301"/>
              <w:rPr>
                <w:rFonts w:hint="eastAsia" w:eastAsia="仿宋"/>
                <w:lang w:eastAsia="zh-CN"/>
              </w:rPr>
            </w:pPr>
            <w:r>
              <w:rPr>
                <w:rFonts w:hint="eastAsia"/>
                <w:lang w:val="en-US" w:eastAsia="zh-CN"/>
              </w:rPr>
              <w:t>7</w:t>
            </w:r>
          </w:p>
        </w:tc>
        <w:tc>
          <w:tcPr>
            <w:tcW w:w="7312" w:type="dxa"/>
            <w:vAlign w:val="top"/>
          </w:tcPr>
          <w:p w14:paraId="621EC63C">
            <w:pPr>
              <w:pStyle w:val="19"/>
              <w:spacing w:before="149" w:line="221" w:lineRule="auto"/>
            </w:pPr>
            <w:r>
              <w:rPr>
                <w:spacing w:val="-2"/>
              </w:rPr>
              <w:t>有效的投标保证金缴纳凭证；</w:t>
            </w:r>
          </w:p>
        </w:tc>
        <w:tc>
          <w:tcPr>
            <w:tcW w:w="716" w:type="dxa"/>
            <w:vAlign w:val="top"/>
          </w:tcPr>
          <w:p w14:paraId="4F50E401">
            <w:pPr>
              <w:rPr>
                <w:rFonts w:ascii="Arial"/>
                <w:sz w:val="21"/>
              </w:rPr>
            </w:pPr>
          </w:p>
        </w:tc>
        <w:tc>
          <w:tcPr>
            <w:tcW w:w="758" w:type="dxa"/>
            <w:vAlign w:val="top"/>
          </w:tcPr>
          <w:p w14:paraId="11789488">
            <w:pPr>
              <w:rPr>
                <w:rFonts w:ascii="Arial"/>
                <w:sz w:val="21"/>
              </w:rPr>
            </w:pPr>
          </w:p>
        </w:tc>
      </w:tr>
      <w:tr w14:paraId="36245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11" w:type="dxa"/>
            <w:vAlign w:val="top"/>
          </w:tcPr>
          <w:p w14:paraId="56F60B00">
            <w:pPr>
              <w:pStyle w:val="19"/>
              <w:spacing w:before="230" w:line="180" w:lineRule="auto"/>
              <w:ind w:left="301"/>
              <w:rPr>
                <w:rFonts w:hint="eastAsia" w:eastAsia="仿宋"/>
                <w:lang w:eastAsia="zh-CN"/>
              </w:rPr>
            </w:pPr>
            <w:r>
              <w:rPr>
                <w:rFonts w:hint="eastAsia"/>
                <w:lang w:val="en-US" w:eastAsia="zh-CN"/>
              </w:rPr>
              <w:t>8</w:t>
            </w:r>
          </w:p>
        </w:tc>
        <w:tc>
          <w:tcPr>
            <w:tcW w:w="7312" w:type="dxa"/>
            <w:vAlign w:val="top"/>
          </w:tcPr>
          <w:p w14:paraId="11F6FB70">
            <w:pPr>
              <w:pStyle w:val="19"/>
              <w:spacing w:before="150" w:line="222" w:lineRule="auto"/>
              <w:ind w:left="138"/>
              <w:rPr>
                <w:rFonts w:hint="eastAsia" w:eastAsia="仿宋"/>
                <w:lang w:eastAsia="zh-CN"/>
              </w:rPr>
            </w:pPr>
            <w:r>
              <w:rPr>
                <w:spacing w:val="-2"/>
              </w:rPr>
              <w:t>专门面向中小企业</w:t>
            </w:r>
            <w:r>
              <w:rPr>
                <w:rFonts w:hint="eastAsia"/>
                <w:spacing w:val="-2"/>
                <w:lang w:eastAsia="zh-CN"/>
              </w:rPr>
              <w:t>（</w:t>
            </w:r>
            <w:r>
              <w:rPr>
                <w:rFonts w:hint="eastAsia"/>
                <w:spacing w:val="-2"/>
                <w:lang w:val="en-US" w:eastAsia="zh-CN"/>
              </w:rPr>
              <w:t>中小企业承诺书</w:t>
            </w:r>
            <w:r>
              <w:rPr>
                <w:rFonts w:hint="eastAsia"/>
                <w:spacing w:val="-2"/>
                <w:lang w:eastAsia="zh-CN"/>
              </w:rPr>
              <w:t>）</w:t>
            </w:r>
          </w:p>
        </w:tc>
        <w:tc>
          <w:tcPr>
            <w:tcW w:w="716" w:type="dxa"/>
            <w:vAlign w:val="top"/>
          </w:tcPr>
          <w:p w14:paraId="27A31899">
            <w:pPr>
              <w:rPr>
                <w:rFonts w:ascii="Arial"/>
                <w:sz w:val="21"/>
              </w:rPr>
            </w:pPr>
          </w:p>
        </w:tc>
        <w:tc>
          <w:tcPr>
            <w:tcW w:w="758" w:type="dxa"/>
            <w:vAlign w:val="top"/>
          </w:tcPr>
          <w:p w14:paraId="55A0ADF6">
            <w:pPr>
              <w:rPr>
                <w:rFonts w:ascii="Arial"/>
                <w:sz w:val="21"/>
              </w:rPr>
            </w:pPr>
          </w:p>
        </w:tc>
      </w:tr>
      <w:tr w14:paraId="259C2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1" w:type="dxa"/>
            <w:vAlign w:val="top"/>
          </w:tcPr>
          <w:p w14:paraId="0445CE53">
            <w:pPr>
              <w:spacing w:line="363" w:lineRule="auto"/>
              <w:rPr>
                <w:rFonts w:ascii="Arial"/>
                <w:sz w:val="21"/>
              </w:rPr>
            </w:pPr>
          </w:p>
          <w:p w14:paraId="1FA48311">
            <w:pPr>
              <w:pStyle w:val="19"/>
              <w:spacing w:before="78" w:line="181" w:lineRule="auto"/>
              <w:ind w:left="257"/>
              <w:rPr>
                <w:rFonts w:hint="eastAsia" w:eastAsia="仿宋"/>
                <w:lang w:eastAsia="zh-CN"/>
              </w:rPr>
            </w:pPr>
            <w:r>
              <w:rPr>
                <w:rFonts w:hint="eastAsia"/>
                <w:spacing w:val="-14"/>
                <w:lang w:val="en-US" w:eastAsia="zh-CN"/>
              </w:rPr>
              <w:t>9</w:t>
            </w:r>
          </w:p>
        </w:tc>
        <w:tc>
          <w:tcPr>
            <w:tcW w:w="7312" w:type="dxa"/>
            <w:vAlign w:val="top"/>
          </w:tcPr>
          <w:p w14:paraId="3A39CF3E">
            <w:pPr>
              <w:pStyle w:val="19"/>
              <w:spacing w:before="151" w:line="227" w:lineRule="auto"/>
              <w:ind w:left="140" w:right="12"/>
              <w:jc w:val="both"/>
            </w:pPr>
            <w:r>
              <w:rPr>
                <w:spacing w:val="-2"/>
              </w:rPr>
              <w:t>项目的特定资格要求：</w:t>
            </w:r>
            <w:r>
              <w:rPr>
                <w:rFonts w:ascii="仿宋" w:hAnsi="仿宋" w:eastAsia="仿宋" w:cs="仿宋"/>
                <w:spacing w:val="-2"/>
                <w:sz w:val="24"/>
                <w:szCs w:val="24"/>
              </w:rPr>
              <w:t>供应商提供</w:t>
            </w:r>
            <w:r>
              <w:rPr>
                <w:rFonts w:hint="eastAsia" w:ascii="仿宋" w:hAnsi="仿宋" w:eastAsia="仿宋" w:cs="仿宋"/>
                <w:spacing w:val="-2"/>
                <w:sz w:val="24"/>
                <w:szCs w:val="24"/>
                <w:lang w:val="en-US" w:eastAsia="zh-CN"/>
              </w:rPr>
              <w:t>地质灾害治理工程设计和</w:t>
            </w:r>
            <w:r>
              <w:rPr>
                <w:rFonts w:ascii="仿宋" w:hAnsi="仿宋" w:eastAsia="仿宋" w:cs="仿宋"/>
                <w:spacing w:val="-2"/>
                <w:sz w:val="24"/>
                <w:szCs w:val="24"/>
              </w:rPr>
              <w:t>地质灾害治理工程施工</w:t>
            </w:r>
            <w:r>
              <w:rPr>
                <w:rFonts w:hint="eastAsia" w:ascii="仿宋" w:hAnsi="仿宋" w:eastAsia="仿宋" w:cs="仿宋"/>
                <w:spacing w:val="-2"/>
                <w:sz w:val="24"/>
                <w:szCs w:val="24"/>
                <w:lang w:val="en-US" w:eastAsia="zh-CN"/>
              </w:rPr>
              <w:t>甲</w:t>
            </w:r>
            <w:r>
              <w:rPr>
                <w:rFonts w:ascii="仿宋" w:hAnsi="仿宋" w:eastAsia="仿宋" w:cs="仿宋"/>
                <w:spacing w:val="-2"/>
                <w:sz w:val="24"/>
                <w:szCs w:val="24"/>
              </w:rPr>
              <w:t>级（含</w:t>
            </w:r>
            <w:r>
              <w:rPr>
                <w:rFonts w:hint="eastAsia" w:ascii="仿宋" w:hAnsi="仿宋" w:eastAsia="仿宋" w:cs="仿宋"/>
                <w:spacing w:val="-2"/>
                <w:sz w:val="24"/>
                <w:szCs w:val="24"/>
                <w:lang w:val="en-US" w:eastAsia="zh-CN"/>
              </w:rPr>
              <w:t>甲</w:t>
            </w:r>
            <w:r>
              <w:rPr>
                <w:rFonts w:ascii="仿宋" w:hAnsi="仿宋" w:eastAsia="仿宋" w:cs="仿宋"/>
                <w:spacing w:val="-2"/>
                <w:sz w:val="24"/>
                <w:szCs w:val="24"/>
              </w:rPr>
              <w:t>级）以上资质；</w:t>
            </w:r>
            <w:r>
              <w:rPr>
                <w:rFonts w:hint="eastAsia" w:ascii="仿宋" w:hAnsi="仿宋" w:eastAsia="仿宋" w:cs="仿宋"/>
                <w:spacing w:val="-2"/>
                <w:sz w:val="24"/>
                <w:szCs w:val="24"/>
              </w:rPr>
              <w:t>拟派项目负责人须具有水工环地质(或水文地质或工程与环境地质或地质工程)高级工程师职称</w:t>
            </w:r>
            <w:r>
              <w:rPr>
                <w:rFonts w:hint="eastAsia" w:ascii="仿宋" w:hAnsi="仿宋" w:eastAsia="仿宋" w:cs="仿宋"/>
                <w:spacing w:val="-2"/>
                <w:sz w:val="24"/>
                <w:szCs w:val="24"/>
                <w:lang w:eastAsia="zh-CN"/>
              </w:rPr>
              <w:t>。</w:t>
            </w:r>
          </w:p>
        </w:tc>
        <w:tc>
          <w:tcPr>
            <w:tcW w:w="716" w:type="dxa"/>
            <w:vAlign w:val="top"/>
          </w:tcPr>
          <w:p w14:paraId="758F3DF0">
            <w:pPr>
              <w:rPr>
                <w:rFonts w:ascii="Arial"/>
                <w:sz w:val="21"/>
              </w:rPr>
            </w:pPr>
          </w:p>
        </w:tc>
        <w:tc>
          <w:tcPr>
            <w:tcW w:w="758" w:type="dxa"/>
            <w:vAlign w:val="top"/>
          </w:tcPr>
          <w:p w14:paraId="61AC2A37">
            <w:pPr>
              <w:rPr>
                <w:rFonts w:ascii="Arial"/>
                <w:sz w:val="21"/>
              </w:rPr>
            </w:pPr>
          </w:p>
        </w:tc>
      </w:tr>
      <w:tr w14:paraId="10962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8023" w:type="dxa"/>
            <w:gridSpan w:val="2"/>
            <w:vAlign w:val="top"/>
          </w:tcPr>
          <w:p w14:paraId="25809D3B">
            <w:pPr>
              <w:pStyle w:val="19"/>
              <w:spacing w:before="291" w:line="224" w:lineRule="auto"/>
              <w:ind w:left="146"/>
            </w:pPr>
            <w:r>
              <w:rPr>
                <w:spacing w:val="-11"/>
              </w:rPr>
              <w:t>结论</w:t>
            </w:r>
          </w:p>
        </w:tc>
        <w:tc>
          <w:tcPr>
            <w:tcW w:w="716" w:type="dxa"/>
            <w:vAlign w:val="top"/>
          </w:tcPr>
          <w:p w14:paraId="29515C56">
            <w:pPr>
              <w:rPr>
                <w:rFonts w:ascii="Arial"/>
                <w:sz w:val="21"/>
              </w:rPr>
            </w:pPr>
          </w:p>
        </w:tc>
        <w:tc>
          <w:tcPr>
            <w:tcW w:w="758" w:type="dxa"/>
            <w:vAlign w:val="top"/>
          </w:tcPr>
          <w:p w14:paraId="01B7C8FC">
            <w:pPr>
              <w:rPr>
                <w:rFonts w:ascii="Arial"/>
                <w:sz w:val="21"/>
              </w:rPr>
            </w:pPr>
          </w:p>
        </w:tc>
      </w:tr>
      <w:tr w14:paraId="77784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8023" w:type="dxa"/>
            <w:gridSpan w:val="2"/>
            <w:vAlign w:val="top"/>
          </w:tcPr>
          <w:p w14:paraId="5BF35152">
            <w:pPr>
              <w:pStyle w:val="19"/>
              <w:spacing w:before="153" w:line="222" w:lineRule="auto"/>
              <w:ind w:left="146"/>
            </w:pPr>
            <w:r>
              <w:rPr>
                <w:spacing w:val="-2"/>
              </w:rPr>
              <w:t>结论：是否通过评审（须填写通过或不通过）</w:t>
            </w:r>
          </w:p>
          <w:p w14:paraId="4606865A">
            <w:pPr>
              <w:pStyle w:val="19"/>
              <w:spacing w:before="40" w:line="204" w:lineRule="auto"/>
              <w:ind w:left="148"/>
            </w:pPr>
            <w:r>
              <w:rPr>
                <w:spacing w:val="-4"/>
              </w:rPr>
              <w:t>注：如有一项不合格，作废标处理。</w:t>
            </w:r>
          </w:p>
        </w:tc>
        <w:tc>
          <w:tcPr>
            <w:tcW w:w="716" w:type="dxa"/>
            <w:vAlign w:val="top"/>
          </w:tcPr>
          <w:p w14:paraId="6C76CD92">
            <w:pPr>
              <w:rPr>
                <w:rFonts w:ascii="Arial"/>
                <w:sz w:val="21"/>
              </w:rPr>
            </w:pPr>
          </w:p>
        </w:tc>
        <w:tc>
          <w:tcPr>
            <w:tcW w:w="758" w:type="dxa"/>
            <w:vAlign w:val="top"/>
          </w:tcPr>
          <w:p w14:paraId="6BBB0A11">
            <w:pPr>
              <w:rPr>
                <w:rFonts w:ascii="Arial"/>
                <w:sz w:val="21"/>
              </w:rPr>
            </w:pPr>
          </w:p>
        </w:tc>
      </w:tr>
    </w:tbl>
    <w:p w14:paraId="38CDCE45">
      <w:pPr>
        <w:pStyle w:val="8"/>
      </w:pPr>
    </w:p>
    <w:p w14:paraId="1B568CCB">
      <w:pPr>
        <w:sectPr>
          <w:footerReference r:id="rId46" w:type="default"/>
          <w:pgSz w:w="11907" w:h="16840"/>
          <w:pgMar w:top="1418" w:right="1030" w:bottom="1200" w:left="1373" w:header="0" w:footer="1033" w:gutter="0"/>
          <w:pgNumType w:fmt="decimal"/>
          <w:cols w:space="720" w:num="1"/>
        </w:sectPr>
      </w:pPr>
    </w:p>
    <w:p w14:paraId="2799FA03">
      <w:pPr>
        <w:spacing w:before="127" w:line="220" w:lineRule="auto"/>
        <w:ind w:left="3951"/>
        <w:outlineLvl w:val="1"/>
        <w:rPr>
          <w:rFonts w:ascii="仿宋" w:hAnsi="仿宋" w:eastAsia="仿宋" w:cs="仿宋"/>
          <w:sz w:val="24"/>
          <w:szCs w:val="24"/>
        </w:rPr>
      </w:pPr>
      <w:bookmarkStart w:id="141" w:name="bookmark65"/>
      <w:bookmarkEnd w:id="141"/>
      <w:bookmarkStart w:id="142" w:name="_Toc10975"/>
      <w:r>
        <w:rPr>
          <w:rFonts w:ascii="仿宋" w:hAnsi="仿宋" w:eastAsia="仿宋" w:cs="仿宋"/>
          <w:b/>
          <w:bCs/>
          <w:spacing w:val="-4"/>
          <w:sz w:val="24"/>
          <w:szCs w:val="24"/>
        </w:rPr>
        <w:t>符合性检查表</w:t>
      </w:r>
      <w:bookmarkEnd w:id="142"/>
    </w:p>
    <w:p w14:paraId="4D99C250">
      <w:pPr>
        <w:spacing w:line="143" w:lineRule="exact"/>
      </w:pPr>
    </w:p>
    <w:tbl>
      <w:tblPr>
        <w:tblStyle w:val="18"/>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088"/>
        <w:gridCol w:w="5164"/>
        <w:gridCol w:w="1388"/>
      </w:tblGrid>
      <w:tr w14:paraId="245C8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097" w:type="dxa"/>
            <w:vAlign w:val="top"/>
          </w:tcPr>
          <w:p w14:paraId="6E48552E">
            <w:pPr>
              <w:pStyle w:val="19"/>
              <w:spacing w:before="304" w:line="222" w:lineRule="auto"/>
              <w:ind w:left="196"/>
            </w:pPr>
            <w:r>
              <w:rPr>
                <w:b/>
                <w:bCs/>
                <w:spacing w:val="-11"/>
              </w:rPr>
              <w:t>序号</w:t>
            </w:r>
          </w:p>
        </w:tc>
        <w:tc>
          <w:tcPr>
            <w:tcW w:w="7252" w:type="dxa"/>
            <w:gridSpan w:val="2"/>
            <w:vAlign w:val="top"/>
          </w:tcPr>
          <w:p w14:paraId="444991F9">
            <w:pPr>
              <w:pStyle w:val="19"/>
              <w:spacing w:before="304" w:line="222" w:lineRule="auto"/>
              <w:ind w:left="2828"/>
            </w:pPr>
            <w:r>
              <w:rPr>
                <w:b/>
                <w:bCs/>
                <w:spacing w:val="-17"/>
              </w:rPr>
              <w:t>审核内容</w:t>
            </w:r>
          </w:p>
        </w:tc>
        <w:tc>
          <w:tcPr>
            <w:tcW w:w="1388" w:type="dxa"/>
            <w:vAlign w:val="top"/>
          </w:tcPr>
          <w:p w14:paraId="763A9854">
            <w:pPr>
              <w:pStyle w:val="19"/>
              <w:spacing w:before="304" w:line="222" w:lineRule="auto"/>
              <w:ind w:left="239"/>
            </w:pPr>
            <w:r>
              <w:rPr>
                <w:b/>
                <w:bCs/>
                <w:spacing w:val="-10"/>
              </w:rPr>
              <w:t>偏差标记</w:t>
            </w:r>
          </w:p>
        </w:tc>
      </w:tr>
      <w:tr w14:paraId="5E923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97" w:type="dxa"/>
            <w:vAlign w:val="top"/>
          </w:tcPr>
          <w:p w14:paraId="7B239308">
            <w:pPr>
              <w:spacing w:line="347" w:lineRule="auto"/>
              <w:rPr>
                <w:rFonts w:ascii="Arial"/>
                <w:sz w:val="21"/>
              </w:rPr>
            </w:pPr>
          </w:p>
          <w:p w14:paraId="166D9FEA">
            <w:pPr>
              <w:pStyle w:val="19"/>
              <w:spacing w:before="78" w:line="181" w:lineRule="auto"/>
              <w:ind w:left="509"/>
            </w:pPr>
            <w:r>
              <w:t>1</w:t>
            </w:r>
          </w:p>
        </w:tc>
        <w:tc>
          <w:tcPr>
            <w:tcW w:w="2088" w:type="dxa"/>
            <w:vAlign w:val="top"/>
          </w:tcPr>
          <w:p w14:paraId="30B9C310">
            <w:pPr>
              <w:pStyle w:val="19"/>
              <w:spacing w:before="312" w:line="221" w:lineRule="auto"/>
              <w:ind w:left="394"/>
            </w:pPr>
            <w:r>
              <w:rPr>
                <w:spacing w:val="-6"/>
              </w:rPr>
              <w:t>供应商名称</w:t>
            </w:r>
          </w:p>
        </w:tc>
        <w:tc>
          <w:tcPr>
            <w:tcW w:w="5164" w:type="dxa"/>
            <w:vAlign w:val="top"/>
          </w:tcPr>
          <w:p w14:paraId="4F7582FF">
            <w:pPr>
              <w:pStyle w:val="19"/>
              <w:spacing w:before="312" w:line="223" w:lineRule="auto"/>
              <w:ind w:left="1566"/>
            </w:pPr>
            <w:r>
              <w:rPr>
                <w:spacing w:val="-7"/>
              </w:rPr>
              <w:t>与营业执照一致</w:t>
            </w:r>
          </w:p>
        </w:tc>
        <w:tc>
          <w:tcPr>
            <w:tcW w:w="1388" w:type="dxa"/>
            <w:vAlign w:val="top"/>
          </w:tcPr>
          <w:p w14:paraId="21B19D92">
            <w:pPr>
              <w:rPr>
                <w:rFonts w:ascii="Arial"/>
                <w:sz w:val="21"/>
              </w:rPr>
            </w:pPr>
          </w:p>
        </w:tc>
      </w:tr>
      <w:tr w14:paraId="20313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97" w:type="dxa"/>
            <w:vAlign w:val="top"/>
          </w:tcPr>
          <w:p w14:paraId="4CFB8CAC">
            <w:pPr>
              <w:spacing w:line="348" w:lineRule="auto"/>
              <w:rPr>
                <w:rFonts w:ascii="Arial"/>
                <w:sz w:val="21"/>
              </w:rPr>
            </w:pPr>
          </w:p>
          <w:p w14:paraId="2062E65B">
            <w:pPr>
              <w:pStyle w:val="19"/>
              <w:spacing w:before="79" w:line="180" w:lineRule="auto"/>
              <w:ind w:left="494"/>
            </w:pPr>
            <w:r>
              <w:t>2</w:t>
            </w:r>
          </w:p>
        </w:tc>
        <w:tc>
          <w:tcPr>
            <w:tcW w:w="2088" w:type="dxa"/>
            <w:vAlign w:val="top"/>
          </w:tcPr>
          <w:p w14:paraId="74033CF4">
            <w:pPr>
              <w:pStyle w:val="19"/>
              <w:spacing w:before="315" w:line="222" w:lineRule="auto"/>
              <w:ind w:left="169"/>
            </w:pPr>
            <w:r>
              <w:rPr>
                <w:spacing w:val="-4"/>
              </w:rPr>
              <w:t>投标文件的格式</w:t>
            </w:r>
          </w:p>
        </w:tc>
        <w:tc>
          <w:tcPr>
            <w:tcW w:w="5164" w:type="dxa"/>
            <w:vAlign w:val="top"/>
          </w:tcPr>
          <w:p w14:paraId="3554E626">
            <w:pPr>
              <w:pStyle w:val="19"/>
              <w:spacing w:before="315" w:line="222" w:lineRule="auto"/>
              <w:ind w:left="555"/>
            </w:pPr>
            <w:r>
              <w:rPr>
                <w:spacing w:val="-2"/>
              </w:rPr>
              <w:t>投标文件按照采购文件格式完整提供</w:t>
            </w:r>
          </w:p>
        </w:tc>
        <w:tc>
          <w:tcPr>
            <w:tcW w:w="1388" w:type="dxa"/>
            <w:vAlign w:val="top"/>
          </w:tcPr>
          <w:p w14:paraId="7AC5EDE9">
            <w:pPr>
              <w:rPr>
                <w:rFonts w:ascii="Arial"/>
                <w:sz w:val="21"/>
              </w:rPr>
            </w:pPr>
          </w:p>
        </w:tc>
      </w:tr>
      <w:tr w14:paraId="18CD6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97" w:type="dxa"/>
            <w:vAlign w:val="top"/>
          </w:tcPr>
          <w:p w14:paraId="7589568E">
            <w:pPr>
              <w:spacing w:line="349" w:lineRule="auto"/>
              <w:rPr>
                <w:rFonts w:ascii="Arial"/>
                <w:sz w:val="21"/>
              </w:rPr>
            </w:pPr>
          </w:p>
          <w:p w14:paraId="6AE10E49">
            <w:pPr>
              <w:pStyle w:val="19"/>
              <w:spacing w:before="78" w:line="180" w:lineRule="auto"/>
              <w:ind w:left="496"/>
            </w:pPr>
            <w:r>
              <w:t>3</w:t>
            </w:r>
          </w:p>
        </w:tc>
        <w:tc>
          <w:tcPr>
            <w:tcW w:w="2088" w:type="dxa"/>
            <w:vAlign w:val="top"/>
          </w:tcPr>
          <w:p w14:paraId="6B6C5D36">
            <w:pPr>
              <w:pStyle w:val="19"/>
              <w:spacing w:before="316" w:line="222" w:lineRule="auto"/>
              <w:ind w:left="279"/>
            </w:pPr>
            <w:r>
              <w:rPr>
                <w:spacing w:val="-5"/>
              </w:rPr>
              <w:t>投标文件签署</w:t>
            </w:r>
          </w:p>
        </w:tc>
        <w:tc>
          <w:tcPr>
            <w:tcW w:w="5164" w:type="dxa"/>
            <w:vAlign w:val="top"/>
          </w:tcPr>
          <w:p w14:paraId="7A727FAA">
            <w:pPr>
              <w:pStyle w:val="19"/>
              <w:spacing w:before="315" w:line="221" w:lineRule="auto"/>
              <w:ind w:left="666"/>
            </w:pPr>
            <w:r>
              <w:rPr>
                <w:spacing w:val="-2"/>
              </w:rPr>
              <w:t>投标文件的签章符合采购文件规定</w:t>
            </w:r>
          </w:p>
        </w:tc>
        <w:tc>
          <w:tcPr>
            <w:tcW w:w="1388" w:type="dxa"/>
            <w:vAlign w:val="top"/>
          </w:tcPr>
          <w:p w14:paraId="5ADB18BE">
            <w:pPr>
              <w:rPr>
                <w:rFonts w:ascii="Arial"/>
                <w:sz w:val="21"/>
              </w:rPr>
            </w:pPr>
          </w:p>
        </w:tc>
      </w:tr>
      <w:tr w14:paraId="593F9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97" w:type="dxa"/>
            <w:vAlign w:val="top"/>
          </w:tcPr>
          <w:p w14:paraId="4A65487E">
            <w:pPr>
              <w:spacing w:line="349" w:lineRule="auto"/>
              <w:rPr>
                <w:rFonts w:ascii="Arial"/>
                <w:sz w:val="21"/>
              </w:rPr>
            </w:pPr>
          </w:p>
          <w:p w14:paraId="7CFB99FE">
            <w:pPr>
              <w:pStyle w:val="19"/>
              <w:spacing w:before="78" w:line="180" w:lineRule="auto"/>
              <w:ind w:left="490"/>
            </w:pPr>
            <w:r>
              <w:t>4</w:t>
            </w:r>
          </w:p>
        </w:tc>
        <w:tc>
          <w:tcPr>
            <w:tcW w:w="2088" w:type="dxa"/>
            <w:vAlign w:val="top"/>
          </w:tcPr>
          <w:p w14:paraId="6F6165E3">
            <w:pPr>
              <w:pStyle w:val="19"/>
              <w:spacing w:before="318" w:line="222" w:lineRule="auto"/>
              <w:ind w:left="500"/>
            </w:pPr>
            <w:r>
              <w:rPr>
                <w:spacing w:val="-6"/>
              </w:rPr>
              <w:t>投标报价</w:t>
            </w:r>
          </w:p>
        </w:tc>
        <w:tc>
          <w:tcPr>
            <w:tcW w:w="5164" w:type="dxa"/>
            <w:vAlign w:val="top"/>
          </w:tcPr>
          <w:p w14:paraId="2C24B444">
            <w:pPr>
              <w:rPr>
                <w:rFonts w:ascii="Arial"/>
                <w:sz w:val="21"/>
              </w:rPr>
            </w:pPr>
          </w:p>
          <w:p w14:paraId="78D82FD0">
            <w:pPr>
              <w:pStyle w:val="19"/>
              <w:spacing w:before="78" w:line="222" w:lineRule="auto"/>
              <w:ind w:left="1105"/>
            </w:pPr>
            <w:r>
              <w:rPr>
                <w:spacing w:val="-4"/>
              </w:rPr>
              <w:t>投标报价未超过项目预算</w:t>
            </w:r>
          </w:p>
        </w:tc>
        <w:tc>
          <w:tcPr>
            <w:tcW w:w="1388" w:type="dxa"/>
            <w:vAlign w:val="top"/>
          </w:tcPr>
          <w:p w14:paraId="4F12C018">
            <w:pPr>
              <w:rPr>
                <w:rFonts w:ascii="Arial"/>
                <w:sz w:val="21"/>
              </w:rPr>
            </w:pPr>
          </w:p>
        </w:tc>
      </w:tr>
      <w:tr w14:paraId="7FC69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97" w:type="dxa"/>
            <w:vAlign w:val="top"/>
          </w:tcPr>
          <w:p w14:paraId="15E8D8D1">
            <w:pPr>
              <w:spacing w:line="351" w:lineRule="auto"/>
              <w:rPr>
                <w:rFonts w:ascii="Arial"/>
                <w:sz w:val="21"/>
              </w:rPr>
            </w:pPr>
          </w:p>
          <w:p w14:paraId="5EF4E850">
            <w:pPr>
              <w:pStyle w:val="19"/>
              <w:spacing w:before="78" w:line="179" w:lineRule="auto"/>
              <w:ind w:left="496"/>
            </w:pPr>
            <w:r>
              <w:t>5</w:t>
            </w:r>
          </w:p>
        </w:tc>
        <w:tc>
          <w:tcPr>
            <w:tcW w:w="2088" w:type="dxa"/>
            <w:vAlign w:val="top"/>
          </w:tcPr>
          <w:p w14:paraId="1024A423">
            <w:pPr>
              <w:pStyle w:val="19"/>
              <w:spacing w:before="318" w:line="223" w:lineRule="auto"/>
              <w:ind w:left="515"/>
            </w:pPr>
            <w:r>
              <w:rPr>
                <w:spacing w:val="-9"/>
              </w:rPr>
              <w:t>合同条款</w:t>
            </w:r>
          </w:p>
        </w:tc>
        <w:tc>
          <w:tcPr>
            <w:tcW w:w="5164" w:type="dxa"/>
            <w:vAlign w:val="top"/>
          </w:tcPr>
          <w:p w14:paraId="6C4348DC">
            <w:pPr>
              <w:pStyle w:val="19"/>
              <w:spacing w:before="319" w:line="220" w:lineRule="auto"/>
              <w:ind w:left="560"/>
            </w:pPr>
            <w:r>
              <w:rPr>
                <w:spacing w:val="-3"/>
              </w:rPr>
              <w:t>对采购文件规定的服务条款作出响应</w:t>
            </w:r>
          </w:p>
        </w:tc>
        <w:tc>
          <w:tcPr>
            <w:tcW w:w="1388" w:type="dxa"/>
            <w:vAlign w:val="top"/>
          </w:tcPr>
          <w:p w14:paraId="4C427EB6">
            <w:pPr>
              <w:rPr>
                <w:rFonts w:ascii="Arial"/>
                <w:sz w:val="21"/>
              </w:rPr>
            </w:pPr>
          </w:p>
        </w:tc>
      </w:tr>
      <w:tr w14:paraId="59C7F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097" w:type="dxa"/>
            <w:vAlign w:val="top"/>
          </w:tcPr>
          <w:p w14:paraId="7561B6C9">
            <w:pPr>
              <w:spacing w:line="350" w:lineRule="auto"/>
              <w:rPr>
                <w:rFonts w:ascii="Arial"/>
                <w:sz w:val="21"/>
              </w:rPr>
            </w:pPr>
          </w:p>
          <w:p w14:paraId="46445A5A">
            <w:pPr>
              <w:pStyle w:val="19"/>
              <w:spacing w:before="78" w:line="180" w:lineRule="auto"/>
              <w:ind w:left="493"/>
            </w:pPr>
            <w:r>
              <w:t>6</w:t>
            </w:r>
          </w:p>
        </w:tc>
        <w:tc>
          <w:tcPr>
            <w:tcW w:w="2088" w:type="dxa"/>
            <w:vAlign w:val="top"/>
          </w:tcPr>
          <w:p w14:paraId="14CD0D7E">
            <w:pPr>
              <w:pStyle w:val="19"/>
              <w:spacing w:before="319" w:line="220" w:lineRule="auto"/>
              <w:ind w:left="279"/>
            </w:pPr>
            <w:r>
              <w:rPr>
                <w:spacing w:val="-5"/>
              </w:rPr>
              <w:t>投标文件制作</w:t>
            </w:r>
          </w:p>
        </w:tc>
        <w:tc>
          <w:tcPr>
            <w:tcW w:w="5164" w:type="dxa"/>
            <w:vAlign w:val="top"/>
          </w:tcPr>
          <w:p w14:paraId="6F977435">
            <w:pPr>
              <w:rPr>
                <w:rFonts w:ascii="Arial"/>
                <w:sz w:val="21"/>
              </w:rPr>
            </w:pPr>
          </w:p>
          <w:p w14:paraId="3D8EA74A">
            <w:pPr>
              <w:pStyle w:val="19"/>
              <w:spacing w:before="78" w:line="222" w:lineRule="auto"/>
              <w:ind w:left="1438"/>
            </w:pPr>
            <w:r>
              <w:rPr>
                <w:spacing w:val="-4"/>
              </w:rPr>
              <w:t>满足采购文件规定</w:t>
            </w:r>
          </w:p>
        </w:tc>
        <w:tc>
          <w:tcPr>
            <w:tcW w:w="1388" w:type="dxa"/>
            <w:vAlign w:val="top"/>
          </w:tcPr>
          <w:p w14:paraId="7F6F8971">
            <w:pPr>
              <w:rPr>
                <w:rFonts w:ascii="Arial"/>
                <w:sz w:val="21"/>
              </w:rPr>
            </w:pPr>
          </w:p>
        </w:tc>
      </w:tr>
      <w:tr w14:paraId="6C932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97" w:type="dxa"/>
            <w:vAlign w:val="top"/>
          </w:tcPr>
          <w:p w14:paraId="4D9B43B5">
            <w:pPr>
              <w:spacing w:line="351" w:lineRule="auto"/>
              <w:rPr>
                <w:rFonts w:ascii="Arial"/>
                <w:sz w:val="21"/>
              </w:rPr>
            </w:pPr>
          </w:p>
          <w:p w14:paraId="3ADAFFFB">
            <w:pPr>
              <w:pStyle w:val="19"/>
              <w:spacing w:before="78" w:line="179" w:lineRule="auto"/>
              <w:ind w:left="497"/>
            </w:pPr>
            <w:r>
              <w:t>7</w:t>
            </w:r>
          </w:p>
        </w:tc>
        <w:tc>
          <w:tcPr>
            <w:tcW w:w="2088" w:type="dxa"/>
            <w:vAlign w:val="top"/>
          </w:tcPr>
          <w:p w14:paraId="41C750C3">
            <w:pPr>
              <w:spacing w:line="241" w:lineRule="auto"/>
              <w:rPr>
                <w:rFonts w:ascii="Arial"/>
                <w:sz w:val="21"/>
              </w:rPr>
            </w:pPr>
          </w:p>
          <w:p w14:paraId="708E6C0B">
            <w:pPr>
              <w:pStyle w:val="19"/>
              <w:spacing w:before="78" w:line="222" w:lineRule="auto"/>
              <w:ind w:left="390"/>
            </w:pPr>
            <w:r>
              <w:rPr>
                <w:spacing w:val="-5"/>
              </w:rPr>
              <w:t>投标有效期</w:t>
            </w:r>
          </w:p>
        </w:tc>
        <w:tc>
          <w:tcPr>
            <w:tcW w:w="5164" w:type="dxa"/>
            <w:vAlign w:val="top"/>
          </w:tcPr>
          <w:p w14:paraId="154C4D3D">
            <w:pPr>
              <w:spacing w:line="241" w:lineRule="auto"/>
              <w:rPr>
                <w:rFonts w:ascii="Arial"/>
                <w:sz w:val="21"/>
              </w:rPr>
            </w:pPr>
          </w:p>
          <w:p w14:paraId="4C39D905">
            <w:pPr>
              <w:pStyle w:val="19"/>
              <w:spacing w:before="78" w:line="222" w:lineRule="auto"/>
              <w:ind w:left="1438"/>
            </w:pPr>
            <w:r>
              <w:rPr>
                <w:spacing w:val="-4"/>
              </w:rPr>
              <w:t>满足采购文件规定</w:t>
            </w:r>
          </w:p>
        </w:tc>
        <w:tc>
          <w:tcPr>
            <w:tcW w:w="1388" w:type="dxa"/>
            <w:vAlign w:val="top"/>
          </w:tcPr>
          <w:p w14:paraId="651ABA93">
            <w:pPr>
              <w:rPr>
                <w:rFonts w:ascii="Arial"/>
                <w:sz w:val="21"/>
              </w:rPr>
            </w:pPr>
          </w:p>
        </w:tc>
      </w:tr>
      <w:tr w14:paraId="6C07B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1097" w:type="dxa"/>
            <w:vAlign w:val="top"/>
          </w:tcPr>
          <w:p w14:paraId="2587C58E">
            <w:pPr>
              <w:spacing w:line="464" w:lineRule="auto"/>
              <w:rPr>
                <w:rFonts w:ascii="Arial"/>
                <w:sz w:val="21"/>
              </w:rPr>
            </w:pPr>
          </w:p>
          <w:p w14:paraId="5F008F65">
            <w:pPr>
              <w:pStyle w:val="19"/>
              <w:spacing w:before="78" w:line="180" w:lineRule="auto"/>
              <w:ind w:left="492"/>
            </w:pPr>
            <w:r>
              <w:t>8</w:t>
            </w:r>
          </w:p>
        </w:tc>
        <w:tc>
          <w:tcPr>
            <w:tcW w:w="2088" w:type="dxa"/>
            <w:vAlign w:val="top"/>
          </w:tcPr>
          <w:p w14:paraId="64CC132D">
            <w:pPr>
              <w:spacing w:line="241" w:lineRule="auto"/>
              <w:rPr>
                <w:rFonts w:ascii="Arial"/>
                <w:sz w:val="21"/>
              </w:rPr>
            </w:pPr>
          </w:p>
          <w:p w14:paraId="1D071309">
            <w:pPr>
              <w:pStyle w:val="19"/>
              <w:spacing w:before="78" w:line="222" w:lineRule="auto"/>
              <w:ind w:left="723"/>
            </w:pPr>
            <w:r>
              <w:rPr>
                <w:spacing w:val="-9"/>
              </w:rPr>
              <w:t>其他</w:t>
            </w:r>
          </w:p>
        </w:tc>
        <w:tc>
          <w:tcPr>
            <w:tcW w:w="5164" w:type="dxa"/>
            <w:vAlign w:val="top"/>
          </w:tcPr>
          <w:p w14:paraId="7F62BF0A">
            <w:pPr>
              <w:pStyle w:val="19"/>
              <w:spacing w:before="179" w:line="231" w:lineRule="auto"/>
              <w:ind w:left="13" w:right="142"/>
            </w:pPr>
            <w:r>
              <w:rPr>
                <w:spacing w:val="-2"/>
              </w:rPr>
              <w:t>投标文件未附有采购人不能接受的附加条件及法</w:t>
            </w:r>
            <w:r>
              <w:rPr>
                <w:spacing w:val="4"/>
              </w:rPr>
              <w:t xml:space="preserve"> </w:t>
            </w:r>
            <w:r>
              <w:rPr>
                <w:spacing w:val="-4"/>
              </w:rPr>
              <w:t>律、法规和采购文件规定的其他无效情形</w:t>
            </w:r>
          </w:p>
        </w:tc>
        <w:tc>
          <w:tcPr>
            <w:tcW w:w="1388" w:type="dxa"/>
            <w:vAlign w:val="top"/>
          </w:tcPr>
          <w:p w14:paraId="1452B49A">
            <w:pPr>
              <w:rPr>
                <w:rFonts w:ascii="Arial"/>
                <w:sz w:val="21"/>
              </w:rPr>
            </w:pPr>
          </w:p>
        </w:tc>
      </w:tr>
      <w:tr w14:paraId="14A0F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097" w:type="dxa"/>
            <w:vAlign w:val="top"/>
          </w:tcPr>
          <w:p w14:paraId="09A397F9">
            <w:pPr>
              <w:spacing w:line="351" w:lineRule="auto"/>
              <w:rPr>
                <w:rFonts w:ascii="Arial"/>
                <w:sz w:val="21"/>
              </w:rPr>
            </w:pPr>
          </w:p>
          <w:p w14:paraId="26D393D4">
            <w:pPr>
              <w:pStyle w:val="19"/>
              <w:spacing w:before="78" w:line="180" w:lineRule="auto"/>
              <w:ind w:left="492"/>
            </w:pPr>
            <w:r>
              <w:t>9</w:t>
            </w:r>
          </w:p>
        </w:tc>
        <w:tc>
          <w:tcPr>
            <w:tcW w:w="2088" w:type="dxa"/>
            <w:vAlign w:val="top"/>
          </w:tcPr>
          <w:p w14:paraId="2A1FBDFF">
            <w:pPr>
              <w:spacing w:line="241" w:lineRule="auto"/>
              <w:rPr>
                <w:rFonts w:ascii="Arial"/>
                <w:sz w:val="21"/>
              </w:rPr>
            </w:pPr>
          </w:p>
          <w:p w14:paraId="22FB22BB">
            <w:pPr>
              <w:pStyle w:val="19"/>
              <w:spacing w:before="78" w:line="220" w:lineRule="auto"/>
              <w:ind w:left="184"/>
            </w:pPr>
            <w:r>
              <w:rPr>
                <w:spacing w:val="-6"/>
              </w:rPr>
              <w:t>响应实质性条款</w:t>
            </w:r>
          </w:p>
        </w:tc>
        <w:tc>
          <w:tcPr>
            <w:tcW w:w="5164" w:type="dxa"/>
            <w:vAlign w:val="top"/>
          </w:tcPr>
          <w:p w14:paraId="3F5DA510">
            <w:pPr>
              <w:spacing w:line="241" w:lineRule="auto"/>
              <w:rPr>
                <w:rFonts w:ascii="Arial"/>
                <w:sz w:val="21"/>
              </w:rPr>
            </w:pPr>
          </w:p>
          <w:p w14:paraId="3CA3CBFD">
            <w:pPr>
              <w:pStyle w:val="19"/>
              <w:spacing w:before="78" w:line="220" w:lineRule="auto"/>
              <w:ind w:left="15"/>
            </w:pPr>
            <w:r>
              <w:rPr>
                <w:spacing w:val="-3"/>
              </w:rPr>
              <w:t>对采购文件实质性条款作出响应</w:t>
            </w:r>
          </w:p>
        </w:tc>
        <w:tc>
          <w:tcPr>
            <w:tcW w:w="1388" w:type="dxa"/>
            <w:vAlign w:val="top"/>
          </w:tcPr>
          <w:p w14:paraId="46D37A2E">
            <w:pPr>
              <w:rPr>
                <w:rFonts w:ascii="Arial"/>
                <w:sz w:val="21"/>
              </w:rPr>
            </w:pPr>
          </w:p>
        </w:tc>
      </w:tr>
      <w:tr w14:paraId="117C9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349" w:type="dxa"/>
            <w:gridSpan w:val="3"/>
            <w:vAlign w:val="top"/>
          </w:tcPr>
          <w:p w14:paraId="1825AB0C">
            <w:pPr>
              <w:spacing w:line="243" w:lineRule="auto"/>
              <w:rPr>
                <w:rFonts w:ascii="Arial"/>
                <w:sz w:val="21"/>
              </w:rPr>
            </w:pPr>
          </w:p>
          <w:p w14:paraId="448AF5FE">
            <w:pPr>
              <w:pStyle w:val="19"/>
              <w:spacing w:before="78" w:line="220" w:lineRule="auto"/>
              <w:ind w:left="3188"/>
            </w:pPr>
            <w:r>
              <w:rPr>
                <w:spacing w:val="-7"/>
              </w:rPr>
              <w:t>检查结果</w:t>
            </w:r>
          </w:p>
        </w:tc>
        <w:tc>
          <w:tcPr>
            <w:tcW w:w="1388" w:type="dxa"/>
            <w:vAlign w:val="top"/>
          </w:tcPr>
          <w:p w14:paraId="4506679D">
            <w:pPr>
              <w:rPr>
                <w:rFonts w:ascii="Arial"/>
                <w:sz w:val="21"/>
              </w:rPr>
            </w:pPr>
          </w:p>
        </w:tc>
      </w:tr>
      <w:tr w14:paraId="1CEF5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737" w:type="dxa"/>
            <w:gridSpan w:val="4"/>
            <w:vAlign w:val="top"/>
          </w:tcPr>
          <w:p w14:paraId="70A62100">
            <w:pPr>
              <w:pStyle w:val="19"/>
              <w:spacing w:before="187" w:line="230" w:lineRule="auto"/>
              <w:ind w:left="150" w:right="131" w:hanging="2"/>
            </w:pPr>
            <w:r>
              <w:rPr>
                <w:spacing w:val="-8"/>
              </w:rPr>
              <w:t>注：投标文件有不符合上述情形之一的，作废标处理。出现偏差的标记“</w:t>
            </w:r>
            <w:r>
              <w:rPr>
                <w:spacing w:val="-82"/>
              </w:rPr>
              <w:t xml:space="preserve"> </w:t>
            </w:r>
            <w:r>
              <w:rPr>
                <w:spacing w:val="-8"/>
              </w:rPr>
              <w:t>×</w:t>
            </w:r>
            <w:r>
              <w:rPr>
                <w:spacing w:val="-93"/>
              </w:rPr>
              <w:t xml:space="preserve"> </w:t>
            </w:r>
            <w:r>
              <w:rPr>
                <w:spacing w:val="-8"/>
              </w:rPr>
              <w:t>”,</w:t>
            </w:r>
            <w:r>
              <w:rPr>
                <w:spacing w:val="-9"/>
              </w:rPr>
              <w:t>没有出现偏差</w:t>
            </w:r>
            <w:r>
              <w:t xml:space="preserve"> </w:t>
            </w:r>
            <w:r>
              <w:rPr>
                <w:spacing w:val="-19"/>
              </w:rPr>
              <w:t>的标记“</w:t>
            </w:r>
            <w:r>
              <w:rPr>
                <w:spacing w:val="-55"/>
              </w:rPr>
              <w:t xml:space="preserve"> </w:t>
            </w:r>
            <w:r>
              <w:rPr>
                <w:spacing w:val="-19"/>
              </w:rPr>
              <w:t>√</w:t>
            </w:r>
            <w:r>
              <w:rPr>
                <w:spacing w:val="-98"/>
              </w:rPr>
              <w:t xml:space="preserve"> </w:t>
            </w:r>
            <w:r>
              <w:rPr>
                <w:spacing w:val="-19"/>
              </w:rPr>
              <w:t>”。</w:t>
            </w:r>
          </w:p>
        </w:tc>
      </w:tr>
    </w:tbl>
    <w:p w14:paraId="32359E37">
      <w:pPr>
        <w:pStyle w:val="8"/>
      </w:pPr>
    </w:p>
    <w:p w14:paraId="0D564F13">
      <w:pPr>
        <w:sectPr>
          <w:footerReference r:id="rId47" w:type="default"/>
          <w:pgSz w:w="11907" w:h="16840"/>
          <w:pgMar w:top="1431" w:right="1075" w:bottom="1202" w:left="1088" w:header="0" w:footer="1033" w:gutter="0"/>
          <w:pgNumType w:fmt="decimal"/>
          <w:cols w:space="720" w:num="1"/>
        </w:sectPr>
      </w:pPr>
    </w:p>
    <w:p w14:paraId="093EC1F5">
      <w:pPr>
        <w:spacing w:before="127" w:line="220" w:lineRule="auto"/>
        <w:ind w:left="3951"/>
        <w:outlineLvl w:val="1"/>
        <w:rPr>
          <w:rFonts w:ascii="仿宋" w:hAnsi="仿宋" w:eastAsia="仿宋" w:cs="仿宋"/>
          <w:b/>
          <w:bCs/>
          <w:spacing w:val="-4"/>
          <w:sz w:val="24"/>
          <w:szCs w:val="24"/>
        </w:rPr>
      </w:pPr>
      <w:bookmarkStart w:id="143" w:name="bookmark67"/>
      <w:bookmarkEnd w:id="143"/>
      <w:bookmarkStart w:id="144" w:name="_Toc31602"/>
      <w:r>
        <w:rPr>
          <w:rFonts w:ascii="仿宋" w:hAnsi="仿宋" w:eastAsia="仿宋" w:cs="仿宋"/>
          <w:b/>
          <w:bCs/>
          <w:spacing w:val="-4"/>
          <w:sz w:val="24"/>
          <w:szCs w:val="24"/>
        </w:rPr>
        <w:t>详细评审表</w:t>
      </w:r>
      <w:bookmarkEnd w:id="144"/>
    </w:p>
    <w:p w14:paraId="794CF6C6">
      <w:pPr>
        <w:spacing w:before="198" w:line="222" w:lineRule="auto"/>
        <w:ind w:left="3781"/>
        <w:rPr>
          <w:rFonts w:ascii="仿宋" w:hAnsi="仿宋" w:eastAsia="仿宋" w:cs="仿宋"/>
          <w:sz w:val="24"/>
          <w:szCs w:val="24"/>
        </w:rPr>
      </w:pPr>
      <w:bookmarkStart w:id="145" w:name="bookmark69"/>
      <w:bookmarkEnd w:id="145"/>
      <w:r>
        <w:rPr>
          <w:rFonts w:ascii="仿宋" w:hAnsi="仿宋" w:eastAsia="仿宋" w:cs="仿宋"/>
          <w:b/>
          <w:bCs/>
          <w:spacing w:val="-10"/>
          <w:sz w:val="24"/>
          <w:szCs w:val="24"/>
        </w:rPr>
        <w:t>商务技术评分表</w:t>
      </w:r>
    </w:p>
    <w:p w14:paraId="1D330FB9">
      <w:pPr>
        <w:spacing w:line="144" w:lineRule="exact"/>
      </w:pPr>
    </w:p>
    <w:tbl>
      <w:tblPr>
        <w:tblStyle w:val="18"/>
        <w:tblW w:w="9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3"/>
        <w:gridCol w:w="1905"/>
        <w:gridCol w:w="5746"/>
      </w:tblGrid>
      <w:tr w14:paraId="52AB1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493" w:type="dxa"/>
            <w:vAlign w:val="top"/>
          </w:tcPr>
          <w:p w14:paraId="3DB7DD5F">
            <w:pPr>
              <w:pStyle w:val="19"/>
              <w:spacing w:before="34" w:line="219" w:lineRule="auto"/>
              <w:ind w:left="188"/>
              <w:rPr>
                <w:sz w:val="24"/>
                <w:szCs w:val="24"/>
              </w:rPr>
            </w:pPr>
            <w:r>
              <w:rPr>
                <w:b/>
                <w:bCs/>
                <w:spacing w:val="4"/>
                <w:sz w:val="24"/>
                <w:szCs w:val="24"/>
              </w:rPr>
              <w:t>评分因素</w:t>
            </w:r>
          </w:p>
        </w:tc>
        <w:tc>
          <w:tcPr>
            <w:tcW w:w="1905" w:type="dxa"/>
            <w:vAlign w:val="top"/>
          </w:tcPr>
          <w:p w14:paraId="0E992B50">
            <w:pPr>
              <w:pStyle w:val="19"/>
              <w:spacing w:before="34" w:line="219" w:lineRule="auto"/>
              <w:ind w:left="653"/>
              <w:rPr>
                <w:sz w:val="24"/>
                <w:szCs w:val="24"/>
              </w:rPr>
            </w:pPr>
            <w:r>
              <w:rPr>
                <w:b/>
                <w:bCs/>
                <w:spacing w:val="3"/>
                <w:sz w:val="24"/>
                <w:szCs w:val="24"/>
              </w:rPr>
              <w:t>评分点</w:t>
            </w:r>
          </w:p>
        </w:tc>
        <w:tc>
          <w:tcPr>
            <w:tcW w:w="5746" w:type="dxa"/>
            <w:vAlign w:val="top"/>
          </w:tcPr>
          <w:p w14:paraId="6B363E70">
            <w:pPr>
              <w:pStyle w:val="19"/>
              <w:spacing w:before="34" w:line="219" w:lineRule="auto"/>
              <w:ind w:left="2606"/>
              <w:rPr>
                <w:sz w:val="24"/>
                <w:szCs w:val="24"/>
              </w:rPr>
            </w:pPr>
            <w:r>
              <w:rPr>
                <w:b/>
                <w:bCs/>
                <w:spacing w:val="4"/>
                <w:sz w:val="24"/>
                <w:szCs w:val="24"/>
              </w:rPr>
              <w:t>评分标准</w:t>
            </w:r>
          </w:p>
        </w:tc>
      </w:tr>
      <w:tr w14:paraId="779D7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493" w:type="dxa"/>
            <w:vMerge w:val="restart"/>
            <w:tcBorders>
              <w:bottom w:val="nil"/>
            </w:tcBorders>
            <w:vAlign w:val="top"/>
          </w:tcPr>
          <w:p w14:paraId="05E24C78">
            <w:pPr>
              <w:rPr>
                <w:rFonts w:ascii="Arial"/>
                <w:sz w:val="24"/>
                <w:szCs w:val="24"/>
              </w:rPr>
            </w:pPr>
          </w:p>
          <w:p w14:paraId="2009034E">
            <w:pPr>
              <w:rPr>
                <w:rFonts w:ascii="Arial"/>
                <w:sz w:val="24"/>
                <w:szCs w:val="24"/>
              </w:rPr>
            </w:pPr>
          </w:p>
          <w:p w14:paraId="7CD6E93B">
            <w:pPr>
              <w:rPr>
                <w:rFonts w:ascii="Arial"/>
                <w:sz w:val="24"/>
                <w:szCs w:val="24"/>
              </w:rPr>
            </w:pPr>
          </w:p>
          <w:p w14:paraId="6FB75D8C">
            <w:pPr>
              <w:rPr>
                <w:rFonts w:ascii="Arial"/>
                <w:sz w:val="24"/>
                <w:szCs w:val="24"/>
              </w:rPr>
            </w:pPr>
          </w:p>
          <w:p w14:paraId="1951A287">
            <w:pPr>
              <w:rPr>
                <w:rFonts w:ascii="Arial"/>
                <w:sz w:val="24"/>
                <w:szCs w:val="24"/>
              </w:rPr>
            </w:pPr>
          </w:p>
          <w:p w14:paraId="0BF8DF52">
            <w:pPr>
              <w:rPr>
                <w:rFonts w:ascii="Arial"/>
                <w:sz w:val="24"/>
                <w:szCs w:val="24"/>
              </w:rPr>
            </w:pPr>
          </w:p>
          <w:p w14:paraId="0CE66B74">
            <w:pPr>
              <w:rPr>
                <w:rFonts w:ascii="Arial"/>
                <w:sz w:val="24"/>
                <w:szCs w:val="24"/>
              </w:rPr>
            </w:pPr>
          </w:p>
          <w:p w14:paraId="56724E4A">
            <w:pPr>
              <w:rPr>
                <w:rFonts w:ascii="Arial"/>
                <w:sz w:val="24"/>
                <w:szCs w:val="24"/>
              </w:rPr>
            </w:pPr>
          </w:p>
          <w:p w14:paraId="712690A9">
            <w:pPr>
              <w:rPr>
                <w:rFonts w:ascii="Arial"/>
                <w:sz w:val="24"/>
                <w:szCs w:val="24"/>
              </w:rPr>
            </w:pPr>
          </w:p>
          <w:p w14:paraId="7B9F0C92">
            <w:pPr>
              <w:rPr>
                <w:rFonts w:ascii="Arial"/>
                <w:sz w:val="24"/>
                <w:szCs w:val="24"/>
              </w:rPr>
            </w:pPr>
          </w:p>
          <w:p w14:paraId="5A9D2821">
            <w:pPr>
              <w:rPr>
                <w:rFonts w:ascii="Arial"/>
                <w:sz w:val="24"/>
                <w:szCs w:val="24"/>
              </w:rPr>
            </w:pPr>
          </w:p>
          <w:p w14:paraId="26F8A4AC">
            <w:pPr>
              <w:rPr>
                <w:rFonts w:ascii="Arial"/>
                <w:sz w:val="24"/>
                <w:szCs w:val="24"/>
              </w:rPr>
            </w:pPr>
          </w:p>
          <w:p w14:paraId="614F5919">
            <w:pPr>
              <w:rPr>
                <w:rFonts w:ascii="Arial"/>
                <w:sz w:val="24"/>
                <w:szCs w:val="24"/>
              </w:rPr>
            </w:pPr>
          </w:p>
          <w:p w14:paraId="3838BDE7">
            <w:pPr>
              <w:rPr>
                <w:rFonts w:ascii="Arial"/>
                <w:sz w:val="24"/>
                <w:szCs w:val="24"/>
              </w:rPr>
            </w:pPr>
          </w:p>
          <w:p w14:paraId="1B1D1BC7">
            <w:pPr>
              <w:spacing w:line="241" w:lineRule="auto"/>
              <w:rPr>
                <w:rFonts w:ascii="Arial"/>
                <w:sz w:val="24"/>
                <w:szCs w:val="24"/>
              </w:rPr>
            </w:pPr>
          </w:p>
          <w:p w14:paraId="5358E668">
            <w:pPr>
              <w:spacing w:line="241" w:lineRule="auto"/>
              <w:rPr>
                <w:rFonts w:ascii="Arial"/>
                <w:sz w:val="24"/>
                <w:szCs w:val="24"/>
              </w:rPr>
            </w:pPr>
          </w:p>
          <w:p w14:paraId="01A45C46">
            <w:pPr>
              <w:spacing w:line="241" w:lineRule="auto"/>
              <w:rPr>
                <w:rFonts w:ascii="Arial"/>
                <w:sz w:val="24"/>
                <w:szCs w:val="24"/>
              </w:rPr>
            </w:pPr>
          </w:p>
          <w:p w14:paraId="0EE087DF">
            <w:pPr>
              <w:spacing w:line="241" w:lineRule="auto"/>
              <w:rPr>
                <w:rFonts w:ascii="Arial"/>
                <w:sz w:val="24"/>
                <w:szCs w:val="24"/>
              </w:rPr>
            </w:pPr>
          </w:p>
          <w:p w14:paraId="4C05F75F">
            <w:pPr>
              <w:spacing w:line="241" w:lineRule="auto"/>
              <w:rPr>
                <w:rFonts w:ascii="Arial"/>
                <w:sz w:val="24"/>
                <w:szCs w:val="24"/>
              </w:rPr>
            </w:pPr>
          </w:p>
          <w:p w14:paraId="11E03E33">
            <w:pPr>
              <w:spacing w:line="241" w:lineRule="auto"/>
              <w:rPr>
                <w:rFonts w:ascii="Arial"/>
                <w:sz w:val="24"/>
                <w:szCs w:val="24"/>
              </w:rPr>
            </w:pPr>
          </w:p>
          <w:p w14:paraId="0C1604FE">
            <w:pPr>
              <w:spacing w:line="241" w:lineRule="auto"/>
              <w:rPr>
                <w:rFonts w:ascii="Arial"/>
                <w:sz w:val="24"/>
                <w:szCs w:val="24"/>
              </w:rPr>
            </w:pPr>
          </w:p>
          <w:p w14:paraId="7EA4172B">
            <w:pPr>
              <w:spacing w:line="241" w:lineRule="auto"/>
              <w:rPr>
                <w:rFonts w:ascii="Arial"/>
                <w:sz w:val="24"/>
                <w:szCs w:val="24"/>
              </w:rPr>
            </w:pPr>
          </w:p>
          <w:p w14:paraId="7D616302">
            <w:pPr>
              <w:pStyle w:val="19"/>
              <w:spacing w:before="65" w:line="245" w:lineRule="auto"/>
              <w:ind w:left="136" w:right="241" w:hanging="15"/>
              <w:jc w:val="both"/>
              <w:rPr>
                <w:b/>
                <w:bCs/>
                <w:sz w:val="24"/>
                <w:szCs w:val="24"/>
              </w:rPr>
            </w:pPr>
            <w:r>
              <w:rPr>
                <w:b/>
                <w:bCs/>
                <w:spacing w:val="4"/>
                <w:sz w:val="24"/>
                <w:szCs w:val="24"/>
              </w:rPr>
              <w:t>技术标评</w:t>
            </w:r>
            <w:r>
              <w:rPr>
                <w:b/>
                <w:bCs/>
                <w:sz w:val="24"/>
                <w:szCs w:val="24"/>
              </w:rPr>
              <w:t>审</w:t>
            </w:r>
          </w:p>
          <w:p w14:paraId="6E6DB69F">
            <w:pPr>
              <w:pStyle w:val="19"/>
              <w:spacing w:before="65" w:line="245" w:lineRule="auto"/>
              <w:ind w:left="136" w:right="241" w:hanging="15"/>
              <w:jc w:val="both"/>
              <w:rPr>
                <w:sz w:val="24"/>
                <w:szCs w:val="24"/>
              </w:rPr>
            </w:pPr>
            <w:r>
              <w:rPr>
                <w:b/>
                <w:bCs/>
                <w:sz w:val="24"/>
                <w:szCs w:val="24"/>
              </w:rPr>
              <w:t>（</w:t>
            </w:r>
            <w:r>
              <w:rPr>
                <w:rFonts w:hint="eastAsia"/>
                <w:b/>
                <w:bCs/>
                <w:sz w:val="24"/>
                <w:szCs w:val="24"/>
                <w:lang w:val="en-US" w:eastAsia="zh-CN"/>
              </w:rPr>
              <w:t>73</w:t>
            </w:r>
            <w:r>
              <w:rPr>
                <w:b/>
                <w:bCs/>
                <w:sz w:val="24"/>
                <w:szCs w:val="24"/>
              </w:rPr>
              <w:t>分</w:t>
            </w:r>
            <w:r>
              <w:rPr>
                <w:sz w:val="24"/>
                <w:szCs w:val="24"/>
              </w:rPr>
              <w:t xml:space="preserve"> </w:t>
            </w:r>
            <w:r>
              <w:rPr>
                <w:b/>
                <w:bCs/>
                <w:spacing w:val="-3"/>
                <w:sz w:val="24"/>
                <w:szCs w:val="24"/>
              </w:rPr>
              <w:t>)</w:t>
            </w:r>
          </w:p>
        </w:tc>
        <w:tc>
          <w:tcPr>
            <w:tcW w:w="1905" w:type="dxa"/>
            <w:vAlign w:val="top"/>
          </w:tcPr>
          <w:p w14:paraId="26956FE4">
            <w:pPr>
              <w:spacing w:line="371" w:lineRule="auto"/>
              <w:jc w:val="center"/>
              <w:rPr>
                <w:rFonts w:ascii="Arial"/>
                <w:sz w:val="24"/>
                <w:szCs w:val="24"/>
              </w:rPr>
            </w:pPr>
          </w:p>
          <w:p w14:paraId="038C4937">
            <w:pPr>
              <w:pStyle w:val="19"/>
              <w:spacing w:before="65" w:line="241" w:lineRule="auto"/>
              <w:ind w:left="284" w:right="120" w:hanging="132"/>
              <w:jc w:val="center"/>
              <w:rPr>
                <w:spacing w:val="4"/>
                <w:sz w:val="24"/>
                <w:szCs w:val="24"/>
              </w:rPr>
            </w:pPr>
          </w:p>
          <w:p w14:paraId="4CB33786">
            <w:pPr>
              <w:pStyle w:val="19"/>
              <w:spacing w:before="65" w:line="241" w:lineRule="auto"/>
              <w:ind w:left="284" w:right="120" w:hanging="132"/>
              <w:jc w:val="center"/>
              <w:rPr>
                <w:spacing w:val="4"/>
                <w:sz w:val="24"/>
                <w:szCs w:val="24"/>
              </w:rPr>
            </w:pPr>
          </w:p>
          <w:p w14:paraId="0D4510F9">
            <w:pPr>
              <w:pStyle w:val="19"/>
              <w:spacing w:before="65" w:line="241" w:lineRule="auto"/>
              <w:ind w:left="284" w:right="120" w:hanging="132"/>
              <w:jc w:val="center"/>
              <w:rPr>
                <w:spacing w:val="7"/>
                <w:sz w:val="24"/>
                <w:szCs w:val="24"/>
              </w:rPr>
            </w:pPr>
            <w:r>
              <w:rPr>
                <w:spacing w:val="4"/>
                <w:sz w:val="24"/>
                <w:szCs w:val="24"/>
              </w:rPr>
              <w:t>内容完整性和编制</w:t>
            </w:r>
            <w:r>
              <w:rPr>
                <w:spacing w:val="7"/>
                <w:sz w:val="24"/>
                <w:szCs w:val="24"/>
              </w:rPr>
              <w:t>水平</w:t>
            </w:r>
          </w:p>
          <w:p w14:paraId="1BA260CD">
            <w:pPr>
              <w:pStyle w:val="19"/>
              <w:spacing w:before="65" w:line="241" w:lineRule="auto"/>
              <w:ind w:left="284" w:right="120" w:hanging="132"/>
              <w:jc w:val="center"/>
              <w:rPr>
                <w:sz w:val="24"/>
                <w:szCs w:val="24"/>
              </w:rPr>
            </w:pPr>
            <w:r>
              <w:rPr>
                <w:spacing w:val="7"/>
                <w:sz w:val="24"/>
                <w:szCs w:val="24"/>
              </w:rPr>
              <w:t>（0-</w:t>
            </w:r>
            <w:r>
              <w:rPr>
                <w:rFonts w:hint="eastAsia"/>
                <w:spacing w:val="7"/>
                <w:sz w:val="24"/>
                <w:szCs w:val="24"/>
                <w:lang w:val="en-US" w:eastAsia="zh-CN"/>
              </w:rPr>
              <w:t>9</w:t>
            </w:r>
            <w:r>
              <w:rPr>
                <w:spacing w:val="7"/>
                <w:sz w:val="24"/>
                <w:szCs w:val="24"/>
              </w:rPr>
              <w:t>）分</w:t>
            </w:r>
          </w:p>
        </w:tc>
        <w:tc>
          <w:tcPr>
            <w:tcW w:w="5746" w:type="dxa"/>
            <w:vAlign w:val="top"/>
          </w:tcPr>
          <w:p w14:paraId="4C3080B3">
            <w:pPr>
              <w:pStyle w:val="19"/>
              <w:spacing w:before="28" w:line="245" w:lineRule="auto"/>
              <w:ind w:left="118" w:right="147"/>
              <w:jc w:val="both"/>
              <w:rPr>
                <w:rFonts w:hint="eastAsia"/>
                <w:spacing w:val="5"/>
                <w:sz w:val="24"/>
                <w:szCs w:val="24"/>
              </w:rPr>
            </w:pPr>
            <w:r>
              <w:rPr>
                <w:spacing w:val="8"/>
                <w:sz w:val="24"/>
                <w:szCs w:val="24"/>
              </w:rPr>
              <w:t>施工组织包含</w:t>
            </w:r>
            <w:r>
              <w:rPr>
                <w:rFonts w:hint="eastAsia"/>
                <w:spacing w:val="8"/>
                <w:sz w:val="24"/>
                <w:szCs w:val="24"/>
                <w:lang w:val="en-US" w:eastAsia="zh-CN"/>
              </w:rPr>
              <w:t>①</w:t>
            </w:r>
            <w:r>
              <w:rPr>
                <w:spacing w:val="8"/>
                <w:sz w:val="24"/>
                <w:szCs w:val="24"/>
              </w:rPr>
              <w:t>施工条件、</w:t>
            </w:r>
            <w:r>
              <w:rPr>
                <w:rFonts w:hint="eastAsia"/>
                <w:spacing w:val="8"/>
                <w:sz w:val="24"/>
                <w:szCs w:val="24"/>
                <w:lang w:val="en-US" w:eastAsia="zh-CN"/>
              </w:rPr>
              <w:t>②</w:t>
            </w:r>
            <w:r>
              <w:rPr>
                <w:spacing w:val="8"/>
                <w:sz w:val="24"/>
                <w:szCs w:val="24"/>
              </w:rPr>
              <w:t>施工导流</w:t>
            </w:r>
            <w:r>
              <w:rPr>
                <w:spacing w:val="-60"/>
                <w:sz w:val="24"/>
                <w:szCs w:val="24"/>
              </w:rPr>
              <w:t xml:space="preserve"> </w:t>
            </w:r>
            <w:r>
              <w:rPr>
                <w:spacing w:val="8"/>
                <w:sz w:val="24"/>
                <w:szCs w:val="24"/>
              </w:rPr>
              <w:t>、</w:t>
            </w:r>
            <w:r>
              <w:rPr>
                <w:rFonts w:hint="eastAsia"/>
                <w:spacing w:val="8"/>
                <w:sz w:val="24"/>
                <w:szCs w:val="24"/>
                <w:lang w:val="en-US" w:eastAsia="zh-CN"/>
              </w:rPr>
              <w:t>③</w:t>
            </w:r>
            <w:r>
              <w:rPr>
                <w:spacing w:val="8"/>
                <w:sz w:val="24"/>
                <w:szCs w:val="24"/>
              </w:rPr>
              <w:t>料场的选</w:t>
            </w:r>
            <w:r>
              <w:rPr>
                <w:spacing w:val="7"/>
                <w:sz w:val="24"/>
                <w:szCs w:val="24"/>
              </w:rPr>
              <w:t>择与</w:t>
            </w:r>
            <w:r>
              <w:rPr>
                <w:spacing w:val="8"/>
                <w:sz w:val="24"/>
                <w:szCs w:val="24"/>
              </w:rPr>
              <w:t>开采</w:t>
            </w:r>
            <w:r>
              <w:rPr>
                <w:spacing w:val="-60"/>
                <w:sz w:val="24"/>
                <w:szCs w:val="24"/>
              </w:rPr>
              <w:t xml:space="preserve"> </w:t>
            </w:r>
            <w:r>
              <w:rPr>
                <w:spacing w:val="8"/>
                <w:sz w:val="24"/>
                <w:szCs w:val="24"/>
              </w:rPr>
              <w:t>、</w:t>
            </w:r>
            <w:r>
              <w:rPr>
                <w:rFonts w:hint="eastAsia"/>
                <w:spacing w:val="8"/>
                <w:sz w:val="24"/>
                <w:szCs w:val="24"/>
                <w:lang w:val="en-US" w:eastAsia="zh-CN"/>
              </w:rPr>
              <w:t>④</w:t>
            </w:r>
            <w:r>
              <w:rPr>
                <w:spacing w:val="8"/>
                <w:sz w:val="24"/>
                <w:szCs w:val="24"/>
              </w:rPr>
              <w:t>主体工程施工、</w:t>
            </w:r>
            <w:r>
              <w:rPr>
                <w:rFonts w:hint="eastAsia"/>
                <w:spacing w:val="8"/>
                <w:sz w:val="24"/>
                <w:szCs w:val="24"/>
                <w:lang w:val="en-US" w:eastAsia="zh-CN"/>
              </w:rPr>
              <w:t>⑤</w:t>
            </w:r>
            <w:r>
              <w:rPr>
                <w:spacing w:val="8"/>
                <w:sz w:val="24"/>
                <w:szCs w:val="24"/>
              </w:rPr>
              <w:t>施工交通运输、</w:t>
            </w:r>
            <w:r>
              <w:rPr>
                <w:rFonts w:hint="eastAsia"/>
                <w:spacing w:val="8"/>
                <w:sz w:val="24"/>
                <w:szCs w:val="24"/>
                <w:lang w:val="en-US" w:eastAsia="zh-CN"/>
              </w:rPr>
              <w:t>⑥</w:t>
            </w:r>
            <w:r>
              <w:rPr>
                <w:spacing w:val="8"/>
                <w:sz w:val="24"/>
                <w:szCs w:val="24"/>
              </w:rPr>
              <w:t>施工工</w:t>
            </w:r>
            <w:r>
              <w:rPr>
                <w:spacing w:val="7"/>
                <w:sz w:val="24"/>
                <w:szCs w:val="24"/>
              </w:rPr>
              <w:t>厂设</w:t>
            </w:r>
            <w:r>
              <w:rPr>
                <w:spacing w:val="8"/>
                <w:sz w:val="24"/>
                <w:szCs w:val="24"/>
              </w:rPr>
              <w:t>施</w:t>
            </w:r>
            <w:r>
              <w:rPr>
                <w:spacing w:val="-60"/>
                <w:sz w:val="24"/>
                <w:szCs w:val="24"/>
              </w:rPr>
              <w:t xml:space="preserve"> </w:t>
            </w:r>
            <w:r>
              <w:rPr>
                <w:spacing w:val="8"/>
                <w:sz w:val="24"/>
                <w:szCs w:val="24"/>
              </w:rPr>
              <w:t>、</w:t>
            </w:r>
            <w:r>
              <w:rPr>
                <w:rFonts w:hint="eastAsia"/>
                <w:spacing w:val="8"/>
                <w:sz w:val="24"/>
                <w:szCs w:val="24"/>
                <w:lang w:val="en-US" w:eastAsia="zh-CN"/>
              </w:rPr>
              <w:t>⑦</w:t>
            </w:r>
            <w:r>
              <w:rPr>
                <w:spacing w:val="8"/>
                <w:sz w:val="24"/>
                <w:szCs w:val="24"/>
              </w:rPr>
              <w:t>施工总布置、</w:t>
            </w:r>
            <w:r>
              <w:rPr>
                <w:rFonts w:hint="eastAsia"/>
                <w:spacing w:val="8"/>
                <w:sz w:val="24"/>
                <w:szCs w:val="24"/>
                <w:lang w:val="en-US" w:eastAsia="zh-CN"/>
              </w:rPr>
              <w:t>⑧</w:t>
            </w:r>
            <w:r>
              <w:rPr>
                <w:spacing w:val="8"/>
                <w:sz w:val="24"/>
                <w:szCs w:val="24"/>
              </w:rPr>
              <w:t>施工总进度、</w:t>
            </w:r>
            <w:r>
              <w:rPr>
                <w:rFonts w:hint="eastAsia"/>
                <w:spacing w:val="8"/>
                <w:sz w:val="24"/>
                <w:szCs w:val="24"/>
                <w:lang w:val="en-US" w:eastAsia="zh-CN"/>
              </w:rPr>
              <w:t>⑨</w:t>
            </w:r>
            <w:r>
              <w:rPr>
                <w:spacing w:val="8"/>
                <w:sz w:val="24"/>
                <w:szCs w:val="24"/>
              </w:rPr>
              <w:t>主要技术供应</w:t>
            </w:r>
            <w:r>
              <w:rPr>
                <w:spacing w:val="7"/>
                <w:sz w:val="24"/>
                <w:szCs w:val="24"/>
              </w:rPr>
              <w:t>等章</w:t>
            </w:r>
            <w:r>
              <w:rPr>
                <w:spacing w:val="5"/>
                <w:sz w:val="24"/>
                <w:szCs w:val="24"/>
              </w:rPr>
              <w:t>节，</w:t>
            </w:r>
            <w:r>
              <w:rPr>
                <w:spacing w:val="-39"/>
                <w:sz w:val="24"/>
                <w:szCs w:val="24"/>
              </w:rPr>
              <w:t xml:space="preserve"> </w:t>
            </w:r>
            <w:r>
              <w:rPr>
                <w:spacing w:val="5"/>
                <w:sz w:val="24"/>
                <w:szCs w:val="24"/>
              </w:rPr>
              <w:t>内容完整、编制合理，</w:t>
            </w:r>
            <w:r>
              <w:rPr>
                <w:rFonts w:hint="eastAsia"/>
                <w:spacing w:val="5"/>
                <w:sz w:val="24"/>
                <w:szCs w:val="24"/>
              </w:rPr>
              <w:t>得</w:t>
            </w:r>
            <w:r>
              <w:rPr>
                <w:rFonts w:hint="eastAsia"/>
                <w:spacing w:val="5"/>
                <w:sz w:val="24"/>
                <w:szCs w:val="24"/>
                <w:lang w:val="en-US" w:eastAsia="zh-CN"/>
              </w:rPr>
              <w:t>9</w:t>
            </w:r>
            <w:r>
              <w:rPr>
                <w:rFonts w:hint="eastAsia"/>
                <w:spacing w:val="5"/>
                <w:sz w:val="24"/>
                <w:szCs w:val="24"/>
              </w:rPr>
              <w:t>分，每缺少一项内容扣</w:t>
            </w:r>
            <w:r>
              <w:rPr>
                <w:rFonts w:hint="eastAsia"/>
                <w:spacing w:val="5"/>
                <w:sz w:val="24"/>
                <w:szCs w:val="24"/>
                <w:lang w:val="en-US" w:eastAsia="zh-CN"/>
              </w:rPr>
              <w:t>1</w:t>
            </w:r>
            <w:r>
              <w:rPr>
                <w:rFonts w:hint="eastAsia"/>
                <w:spacing w:val="5"/>
                <w:sz w:val="24"/>
                <w:szCs w:val="24"/>
              </w:rPr>
              <w:t>分，每有一处内容存在缺陷扣</w:t>
            </w:r>
            <w:r>
              <w:rPr>
                <w:rFonts w:hint="eastAsia"/>
                <w:spacing w:val="5"/>
                <w:sz w:val="24"/>
                <w:szCs w:val="24"/>
                <w:lang w:val="en-US" w:eastAsia="zh-CN"/>
              </w:rPr>
              <w:t>0.5</w:t>
            </w:r>
            <w:r>
              <w:rPr>
                <w:rFonts w:hint="eastAsia"/>
                <w:spacing w:val="5"/>
                <w:sz w:val="24"/>
                <w:szCs w:val="24"/>
              </w:rPr>
              <w:t>分，扣完为止，未提供不得分；</w:t>
            </w:r>
          </w:p>
          <w:p w14:paraId="3B81E0C7">
            <w:pPr>
              <w:pStyle w:val="19"/>
              <w:spacing w:before="28" w:line="245" w:lineRule="auto"/>
              <w:ind w:left="118" w:right="147"/>
              <w:jc w:val="both"/>
              <w:rPr>
                <w:rFonts w:hint="eastAsia"/>
                <w:spacing w:val="5"/>
                <w:sz w:val="24"/>
                <w:szCs w:val="24"/>
              </w:rPr>
            </w:pPr>
            <w:r>
              <w:rPr>
                <w:rFonts w:hint="eastAsia"/>
                <w:spacing w:val="5"/>
                <w:sz w:val="24"/>
                <w:szCs w:val="24"/>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09971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1493" w:type="dxa"/>
            <w:vMerge w:val="continue"/>
            <w:tcBorders>
              <w:top w:val="nil"/>
              <w:bottom w:val="nil"/>
            </w:tcBorders>
            <w:vAlign w:val="top"/>
          </w:tcPr>
          <w:p w14:paraId="6C46A5B9">
            <w:pPr>
              <w:rPr>
                <w:rFonts w:ascii="Arial"/>
                <w:sz w:val="24"/>
                <w:szCs w:val="24"/>
              </w:rPr>
            </w:pPr>
          </w:p>
        </w:tc>
        <w:tc>
          <w:tcPr>
            <w:tcW w:w="1905" w:type="dxa"/>
            <w:vAlign w:val="top"/>
          </w:tcPr>
          <w:p w14:paraId="0F067139">
            <w:pPr>
              <w:spacing w:line="321" w:lineRule="auto"/>
              <w:jc w:val="center"/>
              <w:rPr>
                <w:rFonts w:ascii="Arial"/>
                <w:sz w:val="24"/>
                <w:szCs w:val="24"/>
              </w:rPr>
            </w:pPr>
          </w:p>
          <w:p w14:paraId="2AE61544">
            <w:pPr>
              <w:spacing w:line="322" w:lineRule="auto"/>
              <w:jc w:val="center"/>
              <w:rPr>
                <w:rFonts w:ascii="Arial"/>
                <w:sz w:val="24"/>
                <w:szCs w:val="24"/>
              </w:rPr>
            </w:pPr>
          </w:p>
          <w:p w14:paraId="249EB0FC">
            <w:pPr>
              <w:pStyle w:val="19"/>
              <w:spacing w:before="65" w:line="241" w:lineRule="auto"/>
              <w:ind w:left="337" w:right="120" w:hanging="211"/>
              <w:jc w:val="center"/>
              <w:rPr>
                <w:spacing w:val="6"/>
                <w:sz w:val="24"/>
                <w:szCs w:val="24"/>
              </w:rPr>
            </w:pPr>
            <w:r>
              <w:rPr>
                <w:spacing w:val="8"/>
                <w:sz w:val="24"/>
                <w:szCs w:val="24"/>
              </w:rPr>
              <w:t>施工方案与技术措</w:t>
            </w:r>
            <w:r>
              <w:rPr>
                <w:spacing w:val="6"/>
                <w:sz w:val="24"/>
                <w:szCs w:val="24"/>
              </w:rPr>
              <w:t>施</w:t>
            </w:r>
          </w:p>
          <w:p w14:paraId="617C5CA4">
            <w:pPr>
              <w:pStyle w:val="19"/>
              <w:spacing w:before="65" w:line="241" w:lineRule="auto"/>
              <w:ind w:left="337" w:right="120" w:hanging="211"/>
              <w:jc w:val="center"/>
              <w:rPr>
                <w:sz w:val="24"/>
                <w:szCs w:val="24"/>
              </w:rPr>
            </w:pPr>
            <w:r>
              <w:rPr>
                <w:spacing w:val="6"/>
                <w:sz w:val="24"/>
                <w:szCs w:val="24"/>
              </w:rPr>
              <w:t>（0-</w:t>
            </w:r>
            <w:r>
              <w:rPr>
                <w:rFonts w:hint="eastAsia"/>
                <w:spacing w:val="6"/>
                <w:sz w:val="24"/>
                <w:szCs w:val="24"/>
                <w:lang w:val="en-US" w:eastAsia="zh-CN"/>
              </w:rPr>
              <w:t>6</w:t>
            </w:r>
            <w:r>
              <w:rPr>
                <w:spacing w:val="6"/>
                <w:sz w:val="24"/>
                <w:szCs w:val="24"/>
              </w:rPr>
              <w:t>）分</w:t>
            </w:r>
          </w:p>
        </w:tc>
        <w:tc>
          <w:tcPr>
            <w:tcW w:w="5746" w:type="dxa"/>
            <w:vAlign w:val="top"/>
          </w:tcPr>
          <w:p w14:paraId="31CD101C">
            <w:pPr>
              <w:pStyle w:val="19"/>
              <w:spacing w:before="28" w:line="245" w:lineRule="auto"/>
              <w:ind w:left="118" w:right="147"/>
              <w:jc w:val="both"/>
              <w:rPr>
                <w:rFonts w:hint="eastAsia"/>
                <w:spacing w:val="5"/>
                <w:sz w:val="24"/>
                <w:szCs w:val="24"/>
              </w:rPr>
            </w:pPr>
            <w:r>
              <w:rPr>
                <w:rFonts w:hint="eastAsia"/>
                <w:spacing w:val="6"/>
                <w:sz w:val="24"/>
                <w:szCs w:val="24"/>
                <w:lang w:val="en-US" w:eastAsia="zh-CN"/>
              </w:rPr>
              <w:t>需提供①</w:t>
            </w:r>
            <w:r>
              <w:rPr>
                <w:spacing w:val="6"/>
                <w:sz w:val="24"/>
                <w:szCs w:val="24"/>
              </w:rPr>
              <w:t>工程特点及施工重点和难点分析准确、全面</w:t>
            </w:r>
            <w:r>
              <w:rPr>
                <w:rFonts w:hint="eastAsia"/>
                <w:spacing w:val="6"/>
                <w:sz w:val="24"/>
                <w:szCs w:val="24"/>
                <w:lang w:eastAsia="zh-CN"/>
              </w:rPr>
              <w:t>；</w:t>
            </w:r>
            <w:r>
              <w:rPr>
                <w:rFonts w:hint="eastAsia"/>
                <w:spacing w:val="6"/>
                <w:sz w:val="24"/>
                <w:szCs w:val="24"/>
                <w:lang w:val="en-US" w:eastAsia="zh-CN"/>
              </w:rPr>
              <w:t>②</w:t>
            </w:r>
            <w:r>
              <w:rPr>
                <w:spacing w:val="9"/>
                <w:sz w:val="24"/>
                <w:szCs w:val="24"/>
              </w:rPr>
              <w:t>施工程序、工艺符合工程实际和有关施工规程规范,且投入的</w:t>
            </w:r>
            <w:r>
              <w:rPr>
                <w:spacing w:val="7"/>
                <w:sz w:val="24"/>
                <w:szCs w:val="24"/>
              </w:rPr>
              <w:t>设备和人力计划安排合理</w:t>
            </w:r>
            <w:r>
              <w:rPr>
                <w:rFonts w:hint="eastAsia"/>
                <w:spacing w:val="7"/>
                <w:sz w:val="24"/>
                <w:szCs w:val="24"/>
                <w:lang w:eastAsia="zh-CN"/>
              </w:rPr>
              <w:t>；</w:t>
            </w:r>
            <w:r>
              <w:rPr>
                <w:rFonts w:hint="eastAsia"/>
                <w:spacing w:val="7"/>
                <w:sz w:val="24"/>
                <w:szCs w:val="24"/>
                <w:lang w:val="en-US" w:eastAsia="zh-CN"/>
              </w:rPr>
              <w:t>③</w:t>
            </w:r>
            <w:r>
              <w:rPr>
                <w:spacing w:val="7"/>
                <w:sz w:val="24"/>
                <w:szCs w:val="24"/>
              </w:rPr>
              <w:t>各工序工作历时安排合理且有详细计算说明</w:t>
            </w:r>
            <w:r>
              <w:rPr>
                <w:rFonts w:hint="eastAsia"/>
                <w:spacing w:val="7"/>
                <w:sz w:val="24"/>
                <w:szCs w:val="24"/>
                <w:lang w:val="en-US" w:eastAsia="zh-CN"/>
              </w:rPr>
              <w:t>得6分</w:t>
            </w:r>
            <w:r>
              <w:rPr>
                <w:rFonts w:hint="eastAsia"/>
                <w:spacing w:val="5"/>
                <w:sz w:val="24"/>
                <w:szCs w:val="24"/>
              </w:rPr>
              <w:t>，每缺少一项内容扣</w:t>
            </w:r>
            <w:r>
              <w:rPr>
                <w:rFonts w:hint="eastAsia"/>
                <w:spacing w:val="5"/>
                <w:sz w:val="24"/>
                <w:szCs w:val="24"/>
                <w:lang w:val="en-US" w:eastAsia="zh-CN"/>
              </w:rPr>
              <w:t>2</w:t>
            </w:r>
            <w:r>
              <w:rPr>
                <w:rFonts w:hint="eastAsia"/>
                <w:spacing w:val="5"/>
                <w:sz w:val="24"/>
                <w:szCs w:val="24"/>
              </w:rPr>
              <w:t>分，每有一处内容存在缺陷扣</w:t>
            </w:r>
            <w:r>
              <w:rPr>
                <w:rFonts w:hint="eastAsia"/>
                <w:spacing w:val="5"/>
                <w:sz w:val="24"/>
                <w:szCs w:val="24"/>
                <w:lang w:val="en-US" w:eastAsia="zh-CN"/>
              </w:rPr>
              <w:t>1</w:t>
            </w:r>
            <w:r>
              <w:rPr>
                <w:rFonts w:hint="eastAsia"/>
                <w:spacing w:val="5"/>
                <w:sz w:val="24"/>
                <w:szCs w:val="24"/>
              </w:rPr>
              <w:t>分，扣完为止，未提供不得分；</w:t>
            </w:r>
          </w:p>
          <w:p w14:paraId="59366F7A">
            <w:pPr>
              <w:pStyle w:val="19"/>
              <w:spacing w:before="20" w:line="235" w:lineRule="auto"/>
              <w:ind w:left="133" w:right="252" w:hanging="17"/>
              <w:rPr>
                <w:rFonts w:hint="default" w:eastAsia="仿宋"/>
                <w:sz w:val="24"/>
                <w:szCs w:val="24"/>
                <w:lang w:val="en-US" w:eastAsia="zh-CN"/>
              </w:rPr>
            </w:pPr>
            <w:r>
              <w:rPr>
                <w:rFonts w:hint="eastAsia"/>
                <w:spacing w:val="5"/>
                <w:sz w:val="24"/>
                <w:szCs w:val="24"/>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5D907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1493" w:type="dxa"/>
            <w:vMerge w:val="continue"/>
            <w:tcBorders>
              <w:top w:val="nil"/>
              <w:bottom w:val="nil"/>
            </w:tcBorders>
            <w:vAlign w:val="top"/>
          </w:tcPr>
          <w:p w14:paraId="032ACD10">
            <w:pPr>
              <w:rPr>
                <w:rFonts w:ascii="Arial"/>
                <w:sz w:val="24"/>
                <w:szCs w:val="24"/>
              </w:rPr>
            </w:pPr>
          </w:p>
        </w:tc>
        <w:tc>
          <w:tcPr>
            <w:tcW w:w="1905" w:type="dxa"/>
            <w:vAlign w:val="top"/>
          </w:tcPr>
          <w:p w14:paraId="5BCA0D0E">
            <w:pPr>
              <w:spacing w:line="322" w:lineRule="auto"/>
              <w:jc w:val="center"/>
              <w:rPr>
                <w:rFonts w:ascii="Arial"/>
                <w:sz w:val="24"/>
                <w:szCs w:val="24"/>
              </w:rPr>
            </w:pPr>
          </w:p>
          <w:p w14:paraId="0B7C3E22">
            <w:pPr>
              <w:spacing w:line="322" w:lineRule="auto"/>
              <w:jc w:val="center"/>
              <w:rPr>
                <w:rFonts w:ascii="Arial"/>
                <w:sz w:val="24"/>
                <w:szCs w:val="24"/>
              </w:rPr>
            </w:pPr>
          </w:p>
          <w:p w14:paraId="31F50BF2">
            <w:pPr>
              <w:pStyle w:val="19"/>
              <w:spacing w:before="65" w:line="242" w:lineRule="auto"/>
              <w:ind w:left="390" w:right="120" w:hanging="258"/>
              <w:jc w:val="center"/>
              <w:rPr>
                <w:spacing w:val="6"/>
                <w:sz w:val="24"/>
                <w:szCs w:val="24"/>
              </w:rPr>
            </w:pPr>
            <w:r>
              <w:rPr>
                <w:spacing w:val="7"/>
                <w:sz w:val="24"/>
                <w:szCs w:val="24"/>
              </w:rPr>
              <w:t>质量管理体系与措</w:t>
            </w:r>
            <w:r>
              <w:rPr>
                <w:spacing w:val="6"/>
                <w:sz w:val="24"/>
                <w:szCs w:val="24"/>
              </w:rPr>
              <w:t>施</w:t>
            </w:r>
          </w:p>
          <w:p w14:paraId="21AF7455">
            <w:pPr>
              <w:pStyle w:val="19"/>
              <w:spacing w:before="65" w:line="242" w:lineRule="auto"/>
              <w:ind w:left="390" w:right="120" w:hanging="258"/>
              <w:jc w:val="center"/>
              <w:rPr>
                <w:sz w:val="24"/>
                <w:szCs w:val="24"/>
              </w:rPr>
            </w:pPr>
            <w:r>
              <w:rPr>
                <w:spacing w:val="6"/>
                <w:sz w:val="24"/>
                <w:szCs w:val="24"/>
              </w:rPr>
              <w:t>（0-</w:t>
            </w:r>
            <w:r>
              <w:rPr>
                <w:rFonts w:hint="eastAsia"/>
                <w:spacing w:val="6"/>
                <w:sz w:val="24"/>
                <w:szCs w:val="24"/>
                <w:lang w:val="en-US" w:eastAsia="zh-CN"/>
              </w:rPr>
              <w:t>6</w:t>
            </w:r>
            <w:r>
              <w:rPr>
                <w:spacing w:val="6"/>
                <w:sz w:val="24"/>
                <w:szCs w:val="24"/>
              </w:rPr>
              <w:t>）分</w:t>
            </w:r>
          </w:p>
        </w:tc>
        <w:tc>
          <w:tcPr>
            <w:tcW w:w="5746" w:type="dxa"/>
            <w:vAlign w:val="top"/>
          </w:tcPr>
          <w:p w14:paraId="3F658B38">
            <w:pPr>
              <w:pStyle w:val="19"/>
              <w:spacing w:before="32" w:line="241" w:lineRule="auto"/>
              <w:ind w:left="119" w:right="149" w:firstLine="8"/>
              <w:rPr>
                <w:rFonts w:hint="eastAsia"/>
                <w:spacing w:val="5"/>
                <w:sz w:val="24"/>
                <w:szCs w:val="24"/>
              </w:rPr>
            </w:pPr>
            <w:r>
              <w:rPr>
                <w:rFonts w:hint="eastAsia"/>
                <w:spacing w:val="6"/>
                <w:sz w:val="24"/>
                <w:szCs w:val="24"/>
                <w:lang w:val="en-US" w:eastAsia="zh-CN"/>
              </w:rPr>
              <w:t>需提供①</w:t>
            </w:r>
            <w:r>
              <w:rPr>
                <w:spacing w:val="6"/>
                <w:sz w:val="24"/>
                <w:szCs w:val="24"/>
              </w:rPr>
              <w:t>质量保证体系健全、职责明确</w:t>
            </w:r>
            <w:r>
              <w:rPr>
                <w:spacing w:val="4"/>
                <w:sz w:val="24"/>
                <w:szCs w:val="24"/>
              </w:rPr>
              <w:t>；</w:t>
            </w:r>
            <w:r>
              <w:rPr>
                <w:rFonts w:hint="eastAsia"/>
                <w:spacing w:val="7"/>
                <w:sz w:val="24"/>
                <w:szCs w:val="24"/>
                <w:lang w:val="en-US" w:eastAsia="zh-CN"/>
              </w:rPr>
              <w:t>②</w:t>
            </w:r>
            <w:r>
              <w:rPr>
                <w:spacing w:val="7"/>
                <w:sz w:val="24"/>
                <w:szCs w:val="24"/>
              </w:rPr>
              <w:t>工程所用原材料、中间产品、金属结构等检测的种类、数量</w:t>
            </w:r>
            <w:r>
              <w:rPr>
                <w:spacing w:val="6"/>
                <w:sz w:val="24"/>
                <w:szCs w:val="24"/>
              </w:rPr>
              <w:t>符合相关规程规范的</w:t>
            </w:r>
            <w:r>
              <w:rPr>
                <w:position w:val="1"/>
                <w:sz w:val="24"/>
                <w:szCs w:val="24"/>
              </w:rPr>
              <w:t>;</w:t>
            </w:r>
            <w:r>
              <w:rPr>
                <w:rFonts w:hint="eastAsia"/>
                <w:spacing w:val="5"/>
                <w:sz w:val="24"/>
                <w:szCs w:val="24"/>
                <w:lang w:val="en-US" w:eastAsia="zh-CN"/>
              </w:rPr>
              <w:t>③</w:t>
            </w:r>
            <w:r>
              <w:rPr>
                <w:spacing w:val="5"/>
                <w:sz w:val="24"/>
                <w:szCs w:val="24"/>
              </w:rPr>
              <w:t>自设工地实验室或者委托符合要求的质量检测单位</w:t>
            </w:r>
            <w:r>
              <w:rPr>
                <w:rFonts w:hint="eastAsia"/>
                <w:spacing w:val="7"/>
                <w:sz w:val="24"/>
                <w:szCs w:val="24"/>
                <w:lang w:val="en-US" w:eastAsia="zh-CN"/>
              </w:rPr>
              <w:t>得6分</w:t>
            </w:r>
            <w:r>
              <w:rPr>
                <w:rFonts w:hint="eastAsia"/>
                <w:spacing w:val="5"/>
                <w:sz w:val="24"/>
                <w:szCs w:val="24"/>
              </w:rPr>
              <w:t>，每缺少一项内容扣</w:t>
            </w:r>
            <w:r>
              <w:rPr>
                <w:rFonts w:hint="eastAsia"/>
                <w:spacing w:val="5"/>
                <w:sz w:val="24"/>
                <w:szCs w:val="24"/>
                <w:lang w:val="en-US" w:eastAsia="zh-CN"/>
              </w:rPr>
              <w:t>2</w:t>
            </w:r>
            <w:r>
              <w:rPr>
                <w:rFonts w:hint="eastAsia"/>
                <w:spacing w:val="5"/>
                <w:sz w:val="24"/>
                <w:szCs w:val="24"/>
              </w:rPr>
              <w:t>分，每有一处内容存在缺陷扣</w:t>
            </w:r>
            <w:r>
              <w:rPr>
                <w:rFonts w:hint="eastAsia"/>
                <w:spacing w:val="5"/>
                <w:sz w:val="24"/>
                <w:szCs w:val="24"/>
                <w:lang w:val="en-US" w:eastAsia="zh-CN"/>
              </w:rPr>
              <w:t>1</w:t>
            </w:r>
            <w:r>
              <w:rPr>
                <w:rFonts w:hint="eastAsia"/>
                <w:spacing w:val="5"/>
                <w:sz w:val="24"/>
                <w:szCs w:val="24"/>
              </w:rPr>
              <w:t>分，扣完为止，未提供不得分；</w:t>
            </w:r>
          </w:p>
          <w:p w14:paraId="5B01D89F">
            <w:pPr>
              <w:pStyle w:val="19"/>
              <w:spacing w:before="27" w:line="234" w:lineRule="auto"/>
              <w:ind w:left="149" w:right="197" w:hanging="33"/>
              <w:rPr>
                <w:rFonts w:hint="default" w:eastAsia="仿宋"/>
                <w:sz w:val="24"/>
                <w:szCs w:val="24"/>
                <w:lang w:val="en-US" w:eastAsia="zh-CN"/>
              </w:rPr>
            </w:pPr>
            <w:r>
              <w:rPr>
                <w:rFonts w:hint="eastAsia"/>
                <w:spacing w:val="5"/>
                <w:sz w:val="24"/>
                <w:szCs w:val="24"/>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6BB18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493" w:type="dxa"/>
            <w:vMerge w:val="continue"/>
            <w:tcBorders>
              <w:top w:val="nil"/>
              <w:bottom w:val="nil"/>
            </w:tcBorders>
            <w:vAlign w:val="top"/>
          </w:tcPr>
          <w:p w14:paraId="2C49CF0C">
            <w:pPr>
              <w:rPr>
                <w:rFonts w:ascii="Arial"/>
                <w:sz w:val="24"/>
                <w:szCs w:val="24"/>
              </w:rPr>
            </w:pPr>
          </w:p>
        </w:tc>
        <w:tc>
          <w:tcPr>
            <w:tcW w:w="1905" w:type="dxa"/>
            <w:vAlign w:val="top"/>
          </w:tcPr>
          <w:p w14:paraId="73A9A23A">
            <w:pPr>
              <w:spacing w:line="254" w:lineRule="auto"/>
              <w:jc w:val="center"/>
              <w:rPr>
                <w:rFonts w:ascii="Arial"/>
                <w:sz w:val="24"/>
                <w:szCs w:val="24"/>
              </w:rPr>
            </w:pPr>
          </w:p>
          <w:p w14:paraId="1F39AFEF">
            <w:pPr>
              <w:spacing w:line="255" w:lineRule="auto"/>
              <w:jc w:val="center"/>
              <w:rPr>
                <w:rFonts w:ascii="Arial"/>
                <w:sz w:val="24"/>
                <w:szCs w:val="24"/>
              </w:rPr>
            </w:pPr>
          </w:p>
          <w:p w14:paraId="4E39EE03">
            <w:pPr>
              <w:pStyle w:val="19"/>
              <w:spacing w:before="65" w:line="241" w:lineRule="auto"/>
              <w:ind w:left="389" w:right="120" w:hanging="260"/>
              <w:jc w:val="center"/>
              <w:rPr>
                <w:spacing w:val="6"/>
                <w:sz w:val="24"/>
                <w:szCs w:val="24"/>
              </w:rPr>
            </w:pPr>
            <w:r>
              <w:rPr>
                <w:spacing w:val="7"/>
                <w:sz w:val="24"/>
                <w:szCs w:val="24"/>
              </w:rPr>
              <w:t>安全管理体系与措</w:t>
            </w:r>
            <w:r>
              <w:rPr>
                <w:spacing w:val="6"/>
                <w:sz w:val="24"/>
                <w:szCs w:val="24"/>
              </w:rPr>
              <w:t>施</w:t>
            </w:r>
          </w:p>
          <w:p w14:paraId="5778D7B6">
            <w:pPr>
              <w:pStyle w:val="19"/>
              <w:spacing w:before="65" w:line="241" w:lineRule="auto"/>
              <w:ind w:left="389" w:right="120" w:hanging="260"/>
              <w:jc w:val="center"/>
              <w:rPr>
                <w:sz w:val="24"/>
                <w:szCs w:val="24"/>
              </w:rPr>
            </w:pPr>
            <w:r>
              <w:rPr>
                <w:spacing w:val="6"/>
                <w:sz w:val="24"/>
                <w:szCs w:val="24"/>
              </w:rPr>
              <w:t>（0-</w:t>
            </w:r>
            <w:r>
              <w:rPr>
                <w:rFonts w:hint="eastAsia"/>
                <w:spacing w:val="6"/>
                <w:sz w:val="24"/>
                <w:szCs w:val="24"/>
                <w:lang w:val="en-US" w:eastAsia="zh-CN"/>
              </w:rPr>
              <w:t>6</w:t>
            </w:r>
            <w:r>
              <w:rPr>
                <w:spacing w:val="6"/>
                <w:sz w:val="24"/>
                <w:szCs w:val="24"/>
              </w:rPr>
              <w:t>）分</w:t>
            </w:r>
          </w:p>
        </w:tc>
        <w:tc>
          <w:tcPr>
            <w:tcW w:w="5746" w:type="dxa"/>
            <w:vAlign w:val="top"/>
          </w:tcPr>
          <w:p w14:paraId="2165D4BF">
            <w:pPr>
              <w:pStyle w:val="19"/>
              <w:spacing w:before="31" w:line="242" w:lineRule="auto"/>
              <w:ind w:left="132" w:right="147" w:hanging="5"/>
              <w:rPr>
                <w:rFonts w:hint="eastAsia"/>
                <w:spacing w:val="5"/>
                <w:sz w:val="24"/>
                <w:szCs w:val="24"/>
              </w:rPr>
            </w:pPr>
            <w:r>
              <w:rPr>
                <w:rFonts w:hint="eastAsia"/>
                <w:spacing w:val="6"/>
                <w:sz w:val="24"/>
                <w:szCs w:val="24"/>
                <w:lang w:val="en-US" w:eastAsia="zh-CN"/>
              </w:rPr>
              <w:t>需提供①</w:t>
            </w:r>
            <w:r>
              <w:rPr>
                <w:spacing w:val="6"/>
                <w:sz w:val="24"/>
                <w:szCs w:val="24"/>
              </w:rPr>
              <w:t>安全生产责任制健全、职责明确的</w:t>
            </w:r>
            <w:r>
              <w:rPr>
                <w:spacing w:val="-4"/>
                <w:sz w:val="24"/>
                <w:szCs w:val="24"/>
              </w:rPr>
              <w:t>；</w:t>
            </w:r>
            <w:r>
              <w:rPr>
                <w:rFonts w:hint="eastAsia"/>
                <w:spacing w:val="9"/>
                <w:sz w:val="24"/>
                <w:szCs w:val="24"/>
                <w:lang w:val="en-US" w:eastAsia="zh-CN"/>
              </w:rPr>
              <w:t>②</w:t>
            </w:r>
            <w:r>
              <w:rPr>
                <w:spacing w:val="9"/>
                <w:sz w:val="24"/>
                <w:szCs w:val="24"/>
              </w:rPr>
              <w:t>安全管理资源配置合理、措施符合相关安全技术（操作）规</w:t>
            </w:r>
            <w:r>
              <w:rPr>
                <w:spacing w:val="5"/>
                <w:sz w:val="24"/>
                <w:szCs w:val="24"/>
              </w:rPr>
              <w:t>程；</w:t>
            </w:r>
            <w:r>
              <w:rPr>
                <w:rFonts w:hint="eastAsia"/>
                <w:spacing w:val="7"/>
                <w:sz w:val="24"/>
                <w:szCs w:val="24"/>
                <w:lang w:val="en-US" w:eastAsia="zh-CN"/>
              </w:rPr>
              <w:t>③</w:t>
            </w:r>
            <w:r>
              <w:rPr>
                <w:spacing w:val="7"/>
                <w:sz w:val="24"/>
                <w:szCs w:val="24"/>
              </w:rPr>
              <w:t>配置的特种作业人员符合要求，具有相应上岗证书</w:t>
            </w:r>
            <w:r>
              <w:rPr>
                <w:rFonts w:hint="eastAsia"/>
                <w:spacing w:val="7"/>
                <w:sz w:val="24"/>
                <w:szCs w:val="24"/>
                <w:lang w:val="en-US" w:eastAsia="zh-CN"/>
              </w:rPr>
              <w:t>得6分</w:t>
            </w:r>
            <w:r>
              <w:rPr>
                <w:rFonts w:hint="eastAsia"/>
                <w:spacing w:val="5"/>
                <w:sz w:val="24"/>
                <w:szCs w:val="24"/>
              </w:rPr>
              <w:t>，每缺少一项内容扣</w:t>
            </w:r>
            <w:r>
              <w:rPr>
                <w:rFonts w:hint="eastAsia"/>
                <w:spacing w:val="5"/>
                <w:sz w:val="24"/>
                <w:szCs w:val="24"/>
                <w:lang w:val="en-US" w:eastAsia="zh-CN"/>
              </w:rPr>
              <w:t>2</w:t>
            </w:r>
            <w:r>
              <w:rPr>
                <w:rFonts w:hint="eastAsia"/>
                <w:spacing w:val="5"/>
                <w:sz w:val="24"/>
                <w:szCs w:val="24"/>
              </w:rPr>
              <w:t>分，每有一处内容存在缺陷扣</w:t>
            </w:r>
            <w:r>
              <w:rPr>
                <w:rFonts w:hint="eastAsia"/>
                <w:spacing w:val="5"/>
                <w:sz w:val="24"/>
                <w:szCs w:val="24"/>
                <w:lang w:val="en-US" w:eastAsia="zh-CN"/>
              </w:rPr>
              <w:t>1</w:t>
            </w:r>
            <w:r>
              <w:rPr>
                <w:rFonts w:hint="eastAsia"/>
                <w:spacing w:val="5"/>
                <w:sz w:val="24"/>
                <w:szCs w:val="24"/>
              </w:rPr>
              <w:t>分，扣完为止，未提供不得分；</w:t>
            </w:r>
          </w:p>
          <w:p w14:paraId="25282415">
            <w:pPr>
              <w:pStyle w:val="19"/>
              <w:spacing w:before="20" w:line="234" w:lineRule="auto"/>
              <w:ind w:left="149" w:right="197" w:hanging="33"/>
              <w:rPr>
                <w:sz w:val="24"/>
                <w:szCs w:val="24"/>
              </w:rPr>
            </w:pPr>
            <w:r>
              <w:rPr>
                <w:rFonts w:hint="eastAsia"/>
                <w:spacing w:val="5"/>
                <w:sz w:val="24"/>
                <w:szCs w:val="24"/>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1843A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93" w:type="dxa"/>
            <w:vMerge w:val="continue"/>
            <w:tcBorders>
              <w:top w:val="nil"/>
              <w:bottom w:val="nil"/>
            </w:tcBorders>
            <w:vAlign w:val="top"/>
          </w:tcPr>
          <w:p w14:paraId="3F725018">
            <w:pPr>
              <w:rPr>
                <w:rFonts w:ascii="Arial"/>
                <w:sz w:val="24"/>
                <w:szCs w:val="24"/>
              </w:rPr>
            </w:pPr>
          </w:p>
        </w:tc>
        <w:tc>
          <w:tcPr>
            <w:tcW w:w="1905" w:type="dxa"/>
            <w:vAlign w:val="top"/>
          </w:tcPr>
          <w:p w14:paraId="6E5160B8">
            <w:pPr>
              <w:pStyle w:val="19"/>
              <w:spacing w:before="34" w:line="233" w:lineRule="auto"/>
              <w:ind w:left="186" w:right="120" w:hanging="60"/>
              <w:jc w:val="center"/>
              <w:rPr>
                <w:rFonts w:hint="eastAsia"/>
                <w:spacing w:val="6"/>
                <w:sz w:val="24"/>
                <w:szCs w:val="24"/>
                <w:lang w:val="en-US" w:eastAsia="zh-CN"/>
              </w:rPr>
            </w:pPr>
          </w:p>
          <w:p w14:paraId="22162D7B">
            <w:pPr>
              <w:pStyle w:val="19"/>
              <w:spacing w:before="34" w:line="233" w:lineRule="auto"/>
              <w:ind w:left="186" w:right="120" w:hanging="60"/>
              <w:jc w:val="center"/>
              <w:rPr>
                <w:rFonts w:hint="eastAsia"/>
                <w:spacing w:val="6"/>
                <w:sz w:val="24"/>
                <w:szCs w:val="24"/>
                <w:lang w:val="en-US" w:eastAsia="zh-CN"/>
              </w:rPr>
            </w:pPr>
          </w:p>
          <w:p w14:paraId="09BBB7D5">
            <w:pPr>
              <w:pStyle w:val="19"/>
              <w:spacing w:before="34" w:line="233" w:lineRule="auto"/>
              <w:ind w:left="186" w:right="120" w:hanging="60"/>
              <w:jc w:val="center"/>
              <w:rPr>
                <w:rFonts w:hint="eastAsia"/>
                <w:spacing w:val="6"/>
                <w:sz w:val="24"/>
                <w:szCs w:val="24"/>
                <w:lang w:val="en-US" w:eastAsia="zh-CN"/>
              </w:rPr>
            </w:pPr>
          </w:p>
          <w:p w14:paraId="4320CCDB">
            <w:pPr>
              <w:pStyle w:val="19"/>
              <w:spacing w:before="34" w:line="233" w:lineRule="auto"/>
              <w:ind w:left="186" w:right="120" w:hanging="60"/>
              <w:jc w:val="center"/>
              <w:rPr>
                <w:rFonts w:hint="eastAsia"/>
                <w:spacing w:val="6"/>
                <w:sz w:val="24"/>
                <w:szCs w:val="24"/>
                <w:lang w:val="en-US" w:eastAsia="zh-CN"/>
              </w:rPr>
            </w:pPr>
          </w:p>
          <w:p w14:paraId="755E19C7">
            <w:pPr>
              <w:pStyle w:val="19"/>
              <w:spacing w:before="34" w:line="233" w:lineRule="auto"/>
              <w:ind w:left="186" w:right="120" w:hanging="60"/>
              <w:jc w:val="center"/>
              <w:rPr>
                <w:rFonts w:hint="eastAsia"/>
                <w:spacing w:val="6"/>
                <w:sz w:val="24"/>
                <w:szCs w:val="24"/>
                <w:lang w:val="en-US" w:eastAsia="zh-CN"/>
              </w:rPr>
            </w:pPr>
            <w:r>
              <w:rPr>
                <w:rFonts w:hint="eastAsia"/>
                <w:spacing w:val="6"/>
                <w:sz w:val="24"/>
                <w:szCs w:val="24"/>
                <w:lang w:val="en-US" w:eastAsia="zh-CN"/>
              </w:rPr>
              <w:t>服务方案</w:t>
            </w:r>
          </w:p>
          <w:p w14:paraId="02586E47">
            <w:pPr>
              <w:pStyle w:val="19"/>
              <w:spacing w:before="34" w:line="233" w:lineRule="auto"/>
              <w:ind w:left="186" w:right="120" w:hanging="60"/>
              <w:jc w:val="center"/>
              <w:rPr>
                <w:sz w:val="24"/>
                <w:szCs w:val="24"/>
              </w:rPr>
            </w:pPr>
            <w:r>
              <w:rPr>
                <w:spacing w:val="6"/>
                <w:sz w:val="24"/>
                <w:szCs w:val="24"/>
              </w:rPr>
              <w:t>（0-</w:t>
            </w:r>
            <w:r>
              <w:rPr>
                <w:rFonts w:hint="eastAsia"/>
                <w:spacing w:val="6"/>
                <w:sz w:val="24"/>
                <w:szCs w:val="24"/>
                <w:lang w:val="en-US" w:eastAsia="zh-CN"/>
              </w:rPr>
              <w:t>12</w:t>
            </w:r>
            <w:r>
              <w:rPr>
                <w:spacing w:val="6"/>
                <w:sz w:val="24"/>
                <w:szCs w:val="24"/>
              </w:rPr>
              <w:t>）分</w:t>
            </w:r>
          </w:p>
        </w:tc>
        <w:tc>
          <w:tcPr>
            <w:tcW w:w="5746" w:type="dxa"/>
            <w:vAlign w:val="top"/>
          </w:tcPr>
          <w:p w14:paraId="3CADB016">
            <w:pPr>
              <w:pStyle w:val="19"/>
              <w:spacing w:before="34" w:line="233" w:lineRule="auto"/>
              <w:ind w:left="120" w:right="148" w:hanging="2"/>
              <w:rPr>
                <w:rFonts w:hint="eastAsia"/>
                <w:sz w:val="24"/>
                <w:szCs w:val="24"/>
              </w:rPr>
            </w:pPr>
            <w:r>
              <w:rPr>
                <w:rFonts w:hint="eastAsia"/>
                <w:sz w:val="24"/>
                <w:szCs w:val="24"/>
              </w:rPr>
              <w:t>方案包含①项目的特点理解②工作流程③工作内容④服务要求⑤关键性技术的对策及措施；对本次招标项目的理解和总体思路具备科学性、先进性、合理性；得</w:t>
            </w:r>
            <w:r>
              <w:rPr>
                <w:rFonts w:hint="eastAsia"/>
                <w:sz w:val="24"/>
                <w:szCs w:val="24"/>
                <w:lang w:val="en-US" w:eastAsia="zh-CN"/>
              </w:rPr>
              <w:t>12</w:t>
            </w:r>
            <w:r>
              <w:rPr>
                <w:rFonts w:hint="eastAsia"/>
                <w:sz w:val="24"/>
                <w:szCs w:val="24"/>
              </w:rPr>
              <w:t>分，每缺少一项内容扣</w:t>
            </w:r>
            <w:r>
              <w:rPr>
                <w:rFonts w:hint="eastAsia"/>
                <w:sz w:val="24"/>
                <w:szCs w:val="24"/>
                <w:lang w:val="en-US" w:eastAsia="zh-CN"/>
              </w:rPr>
              <w:t>3</w:t>
            </w:r>
            <w:r>
              <w:rPr>
                <w:rFonts w:hint="eastAsia"/>
                <w:sz w:val="24"/>
                <w:szCs w:val="24"/>
              </w:rPr>
              <w:t xml:space="preserve">分，每有一处内容存在缺陷扣1分，扣完为止，未提供不得分； </w:t>
            </w:r>
          </w:p>
          <w:p w14:paraId="56536164">
            <w:pPr>
              <w:pStyle w:val="19"/>
              <w:spacing w:before="34" w:line="233" w:lineRule="auto"/>
              <w:ind w:left="120" w:right="148" w:hanging="2"/>
              <w:rPr>
                <w:rFonts w:hint="eastAsia"/>
                <w:sz w:val="24"/>
                <w:szCs w:val="24"/>
              </w:rPr>
            </w:pPr>
            <w:r>
              <w:rPr>
                <w:rFonts w:hint="eastAsia"/>
                <w:sz w:val="24"/>
                <w:szCs w:val="24"/>
              </w:rPr>
              <w:t>注：1.内容存在缺陷是指：①该项内容描述前后不一致；②该项内容所阐述的项目信息与本项目实际信息不一致；③该项内容引用的规定、规范错误；④该项内容描述不符合国家相关法律法规、政策</w:t>
            </w:r>
          </w:p>
          <w:p w14:paraId="7B5D7FFA">
            <w:pPr>
              <w:pStyle w:val="19"/>
              <w:spacing w:before="34" w:line="233" w:lineRule="auto"/>
              <w:ind w:left="120" w:right="148" w:hanging="2"/>
              <w:rPr>
                <w:sz w:val="24"/>
                <w:szCs w:val="24"/>
              </w:rPr>
            </w:pPr>
            <w:r>
              <w:rPr>
                <w:rFonts w:hint="eastAsia"/>
                <w:sz w:val="24"/>
                <w:szCs w:val="24"/>
              </w:rPr>
              <w:t>文件、规范标准要求；⑤该项内容阐述的方式方法明显不符合本项目实际情况；⑥该项内容描述与本项目实际情况不符；⑦该项内容套用其他项目内容。</w:t>
            </w:r>
          </w:p>
        </w:tc>
      </w:tr>
      <w:tr w14:paraId="62C3A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493" w:type="dxa"/>
            <w:vMerge w:val="continue"/>
            <w:tcBorders>
              <w:top w:val="nil"/>
              <w:bottom w:val="nil"/>
            </w:tcBorders>
            <w:vAlign w:val="top"/>
          </w:tcPr>
          <w:p w14:paraId="47FAAC4B">
            <w:pPr>
              <w:rPr>
                <w:rFonts w:ascii="Arial"/>
                <w:sz w:val="24"/>
                <w:szCs w:val="24"/>
              </w:rPr>
            </w:pPr>
          </w:p>
        </w:tc>
        <w:tc>
          <w:tcPr>
            <w:tcW w:w="1905" w:type="dxa"/>
            <w:vAlign w:val="top"/>
          </w:tcPr>
          <w:p w14:paraId="074F9D99">
            <w:pPr>
              <w:pStyle w:val="19"/>
              <w:spacing w:before="35" w:line="233" w:lineRule="auto"/>
              <w:ind w:left="390" w:right="120" w:hanging="258"/>
              <w:jc w:val="center"/>
              <w:rPr>
                <w:rFonts w:hint="eastAsia"/>
                <w:spacing w:val="6"/>
                <w:sz w:val="24"/>
                <w:szCs w:val="24"/>
              </w:rPr>
            </w:pPr>
          </w:p>
          <w:p w14:paraId="5E8945FA">
            <w:pPr>
              <w:pStyle w:val="19"/>
              <w:spacing w:before="35" w:line="233" w:lineRule="auto"/>
              <w:ind w:left="390" w:right="120" w:hanging="258"/>
              <w:jc w:val="center"/>
              <w:rPr>
                <w:rFonts w:hint="eastAsia"/>
                <w:spacing w:val="6"/>
                <w:sz w:val="24"/>
                <w:szCs w:val="24"/>
              </w:rPr>
            </w:pPr>
          </w:p>
          <w:p w14:paraId="46903923">
            <w:pPr>
              <w:pStyle w:val="19"/>
              <w:spacing w:before="35" w:line="233" w:lineRule="auto"/>
              <w:ind w:left="390" w:right="120" w:hanging="258"/>
              <w:jc w:val="center"/>
              <w:rPr>
                <w:rFonts w:hint="eastAsia"/>
                <w:spacing w:val="6"/>
                <w:sz w:val="24"/>
                <w:szCs w:val="24"/>
              </w:rPr>
            </w:pPr>
          </w:p>
          <w:p w14:paraId="134FDDA1">
            <w:pPr>
              <w:pStyle w:val="19"/>
              <w:spacing w:before="35" w:line="233" w:lineRule="auto"/>
              <w:ind w:left="390" w:right="120" w:hanging="258"/>
              <w:jc w:val="center"/>
              <w:rPr>
                <w:rFonts w:hint="eastAsia"/>
                <w:spacing w:val="6"/>
                <w:sz w:val="24"/>
                <w:szCs w:val="24"/>
              </w:rPr>
            </w:pPr>
          </w:p>
          <w:p w14:paraId="6A772A44">
            <w:pPr>
              <w:pStyle w:val="19"/>
              <w:spacing w:before="35" w:line="233" w:lineRule="auto"/>
              <w:ind w:left="390" w:right="120" w:hanging="258"/>
              <w:jc w:val="center"/>
              <w:rPr>
                <w:rFonts w:hint="eastAsia"/>
                <w:spacing w:val="6"/>
                <w:sz w:val="24"/>
                <w:szCs w:val="24"/>
              </w:rPr>
            </w:pPr>
          </w:p>
          <w:p w14:paraId="552C2385">
            <w:pPr>
              <w:pStyle w:val="19"/>
              <w:spacing w:before="35" w:line="233" w:lineRule="auto"/>
              <w:ind w:left="390" w:right="120" w:hanging="258"/>
              <w:jc w:val="center"/>
              <w:rPr>
                <w:rFonts w:hint="eastAsia"/>
                <w:spacing w:val="6"/>
                <w:sz w:val="24"/>
                <w:szCs w:val="24"/>
              </w:rPr>
            </w:pPr>
            <w:r>
              <w:rPr>
                <w:rFonts w:hint="eastAsia"/>
                <w:spacing w:val="6"/>
                <w:sz w:val="24"/>
                <w:szCs w:val="24"/>
              </w:rPr>
              <w:t>工作大纲</w:t>
            </w:r>
          </w:p>
          <w:p w14:paraId="7328EF1A">
            <w:pPr>
              <w:pStyle w:val="19"/>
              <w:spacing w:before="35" w:line="233" w:lineRule="auto"/>
              <w:ind w:left="390" w:right="120" w:hanging="258"/>
              <w:jc w:val="center"/>
              <w:rPr>
                <w:sz w:val="24"/>
                <w:szCs w:val="24"/>
              </w:rPr>
            </w:pPr>
            <w:r>
              <w:rPr>
                <w:spacing w:val="6"/>
                <w:sz w:val="24"/>
                <w:szCs w:val="24"/>
              </w:rPr>
              <w:t>（0-</w:t>
            </w:r>
            <w:r>
              <w:rPr>
                <w:rFonts w:hint="eastAsia"/>
                <w:spacing w:val="6"/>
                <w:sz w:val="24"/>
                <w:szCs w:val="24"/>
                <w:lang w:val="en-US" w:eastAsia="zh-CN"/>
              </w:rPr>
              <w:t>10</w:t>
            </w:r>
            <w:r>
              <w:rPr>
                <w:spacing w:val="6"/>
                <w:sz w:val="24"/>
                <w:szCs w:val="24"/>
              </w:rPr>
              <w:t>）分</w:t>
            </w:r>
          </w:p>
        </w:tc>
        <w:tc>
          <w:tcPr>
            <w:tcW w:w="5746" w:type="dxa"/>
            <w:vAlign w:val="top"/>
          </w:tcPr>
          <w:p w14:paraId="3ACFA579">
            <w:pPr>
              <w:pStyle w:val="19"/>
              <w:spacing w:before="35" w:line="233" w:lineRule="auto"/>
              <w:ind w:left="121" w:right="149" w:firstLine="2"/>
              <w:rPr>
                <w:rFonts w:hint="eastAsia"/>
                <w:sz w:val="24"/>
                <w:szCs w:val="24"/>
              </w:rPr>
            </w:pPr>
            <w:r>
              <w:rPr>
                <w:rFonts w:hint="eastAsia"/>
                <w:sz w:val="24"/>
                <w:szCs w:val="24"/>
              </w:rPr>
              <w:t>需提供①工作大纲需按照国家、地方有关规定及现有规划条件编制。指导思想正确，目的明确有针对性，②处理好建筑、结构、设备、市政、消防、节能、环保等方面关系。完全满足项目需求得1</w:t>
            </w:r>
            <w:r>
              <w:rPr>
                <w:rFonts w:hint="eastAsia"/>
                <w:sz w:val="24"/>
                <w:szCs w:val="24"/>
                <w:lang w:val="en-US" w:eastAsia="zh-CN"/>
              </w:rPr>
              <w:t>0</w:t>
            </w:r>
            <w:r>
              <w:rPr>
                <w:rFonts w:hint="eastAsia"/>
                <w:sz w:val="24"/>
                <w:szCs w:val="24"/>
              </w:rPr>
              <w:t>分，每缺少一项内容扣</w:t>
            </w:r>
            <w:r>
              <w:rPr>
                <w:rFonts w:hint="eastAsia"/>
                <w:sz w:val="24"/>
                <w:szCs w:val="24"/>
                <w:lang w:val="en-US" w:eastAsia="zh-CN"/>
              </w:rPr>
              <w:t xml:space="preserve"> 5 </w:t>
            </w:r>
            <w:r>
              <w:rPr>
                <w:rFonts w:hint="eastAsia"/>
                <w:sz w:val="24"/>
                <w:szCs w:val="24"/>
              </w:rPr>
              <w:t xml:space="preserve">分，每有一处内容存在缺陷扣 1 分，扣完为止，未提供不得分； </w:t>
            </w:r>
          </w:p>
          <w:p w14:paraId="616107F5">
            <w:pPr>
              <w:pStyle w:val="19"/>
              <w:spacing w:before="35" w:line="233" w:lineRule="auto"/>
              <w:ind w:left="121" w:right="149" w:firstLine="2"/>
              <w:rPr>
                <w:sz w:val="24"/>
                <w:szCs w:val="24"/>
              </w:rPr>
            </w:pPr>
            <w:r>
              <w:rPr>
                <w:rFonts w:hint="eastAsia"/>
                <w:sz w:val="24"/>
                <w:szCs w:val="24"/>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35E6E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3" w:type="dxa"/>
            <w:vMerge w:val="continue"/>
            <w:tcBorders>
              <w:top w:val="nil"/>
              <w:bottom w:val="nil"/>
            </w:tcBorders>
            <w:vAlign w:val="top"/>
          </w:tcPr>
          <w:p w14:paraId="67140F7D">
            <w:pPr>
              <w:rPr>
                <w:rFonts w:ascii="Arial"/>
                <w:sz w:val="24"/>
                <w:szCs w:val="24"/>
              </w:rPr>
            </w:pPr>
          </w:p>
        </w:tc>
        <w:tc>
          <w:tcPr>
            <w:tcW w:w="1905" w:type="dxa"/>
            <w:vAlign w:val="top"/>
          </w:tcPr>
          <w:p w14:paraId="444B9877">
            <w:pPr>
              <w:spacing w:line="255" w:lineRule="auto"/>
              <w:jc w:val="center"/>
              <w:rPr>
                <w:rFonts w:ascii="Arial"/>
                <w:sz w:val="24"/>
                <w:szCs w:val="24"/>
              </w:rPr>
            </w:pPr>
          </w:p>
          <w:p w14:paraId="321CCD0E">
            <w:pPr>
              <w:pStyle w:val="19"/>
              <w:spacing w:before="65" w:line="242" w:lineRule="auto"/>
              <w:ind w:left="500" w:right="328" w:hanging="152"/>
              <w:jc w:val="center"/>
              <w:rPr>
                <w:spacing w:val="2"/>
                <w:sz w:val="24"/>
                <w:szCs w:val="24"/>
              </w:rPr>
            </w:pPr>
            <w:r>
              <w:rPr>
                <w:spacing w:val="5"/>
                <w:sz w:val="24"/>
                <w:szCs w:val="24"/>
              </w:rPr>
              <w:t>资源配备计划</w:t>
            </w:r>
          </w:p>
          <w:p w14:paraId="1CC33D35">
            <w:pPr>
              <w:pStyle w:val="19"/>
              <w:spacing w:before="65" w:line="242" w:lineRule="auto"/>
              <w:ind w:left="500" w:right="328" w:hanging="152"/>
              <w:jc w:val="center"/>
              <w:rPr>
                <w:sz w:val="24"/>
                <w:szCs w:val="24"/>
              </w:rPr>
            </w:pPr>
            <w:r>
              <w:rPr>
                <w:spacing w:val="4"/>
                <w:sz w:val="24"/>
                <w:szCs w:val="24"/>
              </w:rPr>
              <w:t>（0-</w:t>
            </w:r>
            <w:r>
              <w:rPr>
                <w:rFonts w:hint="eastAsia"/>
                <w:spacing w:val="4"/>
                <w:sz w:val="24"/>
                <w:szCs w:val="24"/>
                <w:lang w:val="en-US" w:eastAsia="zh-CN"/>
              </w:rPr>
              <w:t>8）</w:t>
            </w:r>
            <w:r>
              <w:rPr>
                <w:spacing w:val="4"/>
                <w:sz w:val="24"/>
                <w:szCs w:val="24"/>
              </w:rPr>
              <w:t>分</w:t>
            </w:r>
          </w:p>
        </w:tc>
        <w:tc>
          <w:tcPr>
            <w:tcW w:w="5746" w:type="dxa"/>
            <w:vAlign w:val="top"/>
          </w:tcPr>
          <w:p w14:paraId="3C4CBB74">
            <w:pPr>
              <w:pStyle w:val="19"/>
              <w:spacing w:before="35" w:line="231" w:lineRule="auto"/>
              <w:ind w:left="127"/>
              <w:rPr>
                <w:rFonts w:hint="eastAsia"/>
                <w:sz w:val="24"/>
                <w:szCs w:val="24"/>
              </w:rPr>
            </w:pPr>
            <w:r>
              <w:rPr>
                <w:rFonts w:hint="eastAsia"/>
                <w:spacing w:val="7"/>
                <w:sz w:val="24"/>
                <w:szCs w:val="24"/>
              </w:rPr>
              <w:t>需提供</w:t>
            </w:r>
            <w:r>
              <w:rPr>
                <w:rFonts w:hint="eastAsia"/>
                <w:spacing w:val="7"/>
                <w:sz w:val="24"/>
                <w:szCs w:val="24"/>
                <w:lang w:val="en-US" w:eastAsia="zh-CN"/>
              </w:rPr>
              <w:t>①</w:t>
            </w:r>
            <w:r>
              <w:rPr>
                <w:spacing w:val="7"/>
                <w:sz w:val="24"/>
                <w:szCs w:val="24"/>
              </w:rPr>
              <w:t>资金使用计划安排合理；</w:t>
            </w:r>
            <w:r>
              <w:rPr>
                <w:rFonts w:hint="eastAsia"/>
                <w:spacing w:val="8"/>
                <w:sz w:val="24"/>
                <w:szCs w:val="24"/>
                <w:lang w:val="en-US" w:eastAsia="zh-CN"/>
              </w:rPr>
              <w:t>②</w:t>
            </w:r>
            <w:r>
              <w:rPr>
                <w:spacing w:val="8"/>
                <w:sz w:val="24"/>
                <w:szCs w:val="24"/>
              </w:rPr>
              <w:t>劳动力安排计划合理且有计算说明；</w:t>
            </w:r>
            <w:r>
              <w:rPr>
                <w:rFonts w:hint="eastAsia"/>
                <w:spacing w:val="9"/>
                <w:sz w:val="24"/>
                <w:szCs w:val="24"/>
                <w:lang w:val="en-US" w:eastAsia="zh-CN"/>
              </w:rPr>
              <w:t>③</w:t>
            </w:r>
            <w:r>
              <w:rPr>
                <w:spacing w:val="9"/>
                <w:sz w:val="24"/>
                <w:szCs w:val="24"/>
              </w:rPr>
              <w:t>主要材料用量计划安排合理且有计算说明</w:t>
            </w:r>
            <w:r>
              <w:rPr>
                <w:spacing w:val="-4"/>
                <w:sz w:val="24"/>
                <w:szCs w:val="24"/>
              </w:rPr>
              <w:t>；</w:t>
            </w:r>
            <w:r>
              <w:rPr>
                <w:rFonts w:hint="eastAsia"/>
                <w:spacing w:val="7"/>
                <w:sz w:val="24"/>
                <w:szCs w:val="24"/>
                <w:lang w:val="en-US" w:eastAsia="zh-CN"/>
              </w:rPr>
              <w:t>④</w:t>
            </w:r>
            <w:r>
              <w:rPr>
                <w:spacing w:val="7"/>
                <w:sz w:val="24"/>
                <w:szCs w:val="24"/>
              </w:rPr>
              <w:t>主要施工机械设备使用计划合理且有计算说明</w:t>
            </w:r>
            <w:r>
              <w:rPr>
                <w:rFonts w:hint="eastAsia"/>
                <w:sz w:val="24"/>
                <w:szCs w:val="24"/>
              </w:rPr>
              <w:t>得</w:t>
            </w:r>
            <w:r>
              <w:rPr>
                <w:rFonts w:hint="eastAsia"/>
                <w:sz w:val="24"/>
                <w:szCs w:val="24"/>
                <w:lang w:val="en-US" w:eastAsia="zh-CN"/>
              </w:rPr>
              <w:t>8</w:t>
            </w:r>
            <w:r>
              <w:rPr>
                <w:rFonts w:hint="eastAsia"/>
                <w:sz w:val="24"/>
                <w:szCs w:val="24"/>
              </w:rPr>
              <w:t>分，每缺少一项内容扣</w:t>
            </w:r>
            <w:r>
              <w:rPr>
                <w:rFonts w:hint="eastAsia"/>
                <w:sz w:val="24"/>
                <w:szCs w:val="24"/>
                <w:lang w:val="en-US" w:eastAsia="zh-CN"/>
              </w:rPr>
              <w:t xml:space="preserve"> 2 </w:t>
            </w:r>
            <w:r>
              <w:rPr>
                <w:rFonts w:hint="eastAsia"/>
                <w:sz w:val="24"/>
                <w:szCs w:val="24"/>
              </w:rPr>
              <w:t xml:space="preserve">分，每有一处内容存在缺陷扣 1 分，扣完为止，未提供不得分； </w:t>
            </w:r>
          </w:p>
          <w:p w14:paraId="7E857052">
            <w:pPr>
              <w:pStyle w:val="19"/>
              <w:spacing w:before="21" w:line="233" w:lineRule="auto"/>
              <w:ind w:left="114" w:right="147" w:hanging="3"/>
              <w:rPr>
                <w:sz w:val="24"/>
                <w:szCs w:val="24"/>
              </w:rPr>
            </w:pPr>
            <w:r>
              <w:rPr>
                <w:rFonts w:hint="eastAsia"/>
                <w:sz w:val="24"/>
                <w:szCs w:val="24"/>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7DC68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3" w:type="dxa"/>
            <w:vMerge w:val="continue"/>
            <w:tcBorders>
              <w:top w:val="nil"/>
              <w:bottom w:val="nil"/>
            </w:tcBorders>
            <w:vAlign w:val="top"/>
          </w:tcPr>
          <w:p w14:paraId="69498FE4">
            <w:pPr>
              <w:rPr>
                <w:rFonts w:ascii="Arial"/>
                <w:sz w:val="24"/>
                <w:szCs w:val="24"/>
              </w:rPr>
            </w:pPr>
          </w:p>
        </w:tc>
        <w:tc>
          <w:tcPr>
            <w:tcW w:w="1905" w:type="dxa"/>
            <w:vAlign w:val="top"/>
          </w:tcPr>
          <w:p w14:paraId="2D3F8A14">
            <w:pPr>
              <w:pStyle w:val="19"/>
              <w:spacing w:before="37" w:line="238" w:lineRule="auto"/>
              <w:ind w:left="123" w:right="129" w:hanging="5"/>
              <w:jc w:val="center"/>
              <w:rPr>
                <w:color w:val="auto"/>
                <w:spacing w:val="5"/>
                <w:sz w:val="24"/>
                <w:szCs w:val="24"/>
              </w:rPr>
            </w:pPr>
            <w:r>
              <w:rPr>
                <w:color w:val="auto"/>
                <w:spacing w:val="7"/>
                <w:sz w:val="24"/>
                <w:szCs w:val="24"/>
              </w:rPr>
              <w:t>项目负责人和技术负责人月驻工地时</w:t>
            </w:r>
            <w:r>
              <w:rPr>
                <w:color w:val="auto"/>
                <w:spacing w:val="5"/>
                <w:sz w:val="24"/>
                <w:szCs w:val="24"/>
              </w:rPr>
              <w:t>间</w:t>
            </w:r>
          </w:p>
          <w:p w14:paraId="50AA3ADF">
            <w:pPr>
              <w:pStyle w:val="19"/>
              <w:spacing w:before="37" w:line="238" w:lineRule="auto"/>
              <w:ind w:left="123" w:right="129" w:hanging="5"/>
              <w:jc w:val="center"/>
              <w:rPr>
                <w:color w:val="auto"/>
                <w:sz w:val="24"/>
                <w:szCs w:val="24"/>
              </w:rPr>
            </w:pPr>
            <w:r>
              <w:rPr>
                <w:color w:val="auto"/>
                <w:spacing w:val="5"/>
                <w:sz w:val="24"/>
                <w:szCs w:val="24"/>
              </w:rPr>
              <w:t>（0-</w:t>
            </w:r>
            <w:r>
              <w:rPr>
                <w:rFonts w:hint="eastAsia"/>
                <w:color w:val="auto"/>
                <w:spacing w:val="5"/>
                <w:sz w:val="24"/>
                <w:szCs w:val="24"/>
                <w:lang w:val="en-US" w:eastAsia="zh-CN"/>
              </w:rPr>
              <w:t>10</w:t>
            </w:r>
            <w:r>
              <w:rPr>
                <w:color w:val="auto"/>
                <w:spacing w:val="5"/>
                <w:sz w:val="24"/>
                <w:szCs w:val="24"/>
              </w:rPr>
              <w:t>）分</w:t>
            </w:r>
          </w:p>
        </w:tc>
        <w:tc>
          <w:tcPr>
            <w:tcW w:w="5746" w:type="dxa"/>
            <w:vAlign w:val="top"/>
          </w:tcPr>
          <w:p w14:paraId="02890C48">
            <w:pPr>
              <w:pStyle w:val="19"/>
              <w:spacing w:before="37" w:line="238" w:lineRule="auto"/>
              <w:ind w:left="120" w:right="251" w:hanging="1"/>
              <w:jc w:val="both"/>
              <w:rPr>
                <w:color w:val="auto"/>
                <w:sz w:val="24"/>
                <w:szCs w:val="24"/>
              </w:rPr>
            </w:pPr>
            <w:r>
              <w:rPr>
                <w:color w:val="auto"/>
                <w:spacing w:val="9"/>
                <w:sz w:val="24"/>
                <w:szCs w:val="24"/>
              </w:rPr>
              <w:t>项目负责人和技术负责人月驻工地时间不少于20天，保证</w:t>
            </w:r>
            <w:r>
              <w:rPr>
                <w:color w:val="auto"/>
                <w:spacing w:val="8"/>
                <w:sz w:val="24"/>
                <w:szCs w:val="24"/>
              </w:rPr>
              <w:t>服从</w:t>
            </w:r>
            <w:r>
              <w:rPr>
                <w:color w:val="auto"/>
                <w:spacing w:val="9"/>
                <w:sz w:val="24"/>
                <w:szCs w:val="24"/>
              </w:rPr>
              <w:t>工程施工需要，并有违约处罚承诺的，得</w:t>
            </w:r>
            <w:r>
              <w:rPr>
                <w:rFonts w:hint="eastAsia"/>
                <w:color w:val="auto"/>
                <w:spacing w:val="9"/>
                <w:sz w:val="24"/>
                <w:szCs w:val="24"/>
                <w:lang w:val="en-US" w:eastAsia="zh-CN"/>
              </w:rPr>
              <w:t>10</w:t>
            </w:r>
            <w:r>
              <w:rPr>
                <w:color w:val="auto"/>
                <w:spacing w:val="9"/>
                <w:sz w:val="24"/>
                <w:szCs w:val="24"/>
              </w:rPr>
              <w:t>分，每减少一天扣</w:t>
            </w:r>
            <w:r>
              <w:rPr>
                <w:rFonts w:hint="eastAsia"/>
                <w:color w:val="auto"/>
                <w:spacing w:val="9"/>
                <w:sz w:val="24"/>
                <w:szCs w:val="24"/>
                <w:lang w:val="en-US" w:eastAsia="zh-CN"/>
              </w:rPr>
              <w:t>2</w:t>
            </w:r>
            <w:r>
              <w:rPr>
                <w:color w:val="auto"/>
                <w:spacing w:val="8"/>
                <w:sz w:val="24"/>
                <w:szCs w:val="24"/>
              </w:rPr>
              <w:t>分，扣完为止，不提供不得分。</w:t>
            </w:r>
          </w:p>
        </w:tc>
      </w:tr>
      <w:tr w14:paraId="3374C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93" w:type="dxa"/>
            <w:vMerge w:val="continue"/>
            <w:tcBorders>
              <w:top w:val="nil"/>
              <w:bottom w:val="nil"/>
            </w:tcBorders>
            <w:vAlign w:val="top"/>
          </w:tcPr>
          <w:p w14:paraId="2525319C">
            <w:pPr>
              <w:rPr>
                <w:rFonts w:ascii="Arial"/>
                <w:sz w:val="24"/>
                <w:szCs w:val="24"/>
              </w:rPr>
            </w:pPr>
          </w:p>
        </w:tc>
        <w:tc>
          <w:tcPr>
            <w:tcW w:w="1905" w:type="dxa"/>
            <w:vAlign w:val="top"/>
          </w:tcPr>
          <w:p w14:paraId="2CBA2F90">
            <w:pPr>
              <w:pStyle w:val="19"/>
              <w:spacing w:before="38" w:line="231" w:lineRule="auto"/>
              <w:ind w:left="118"/>
              <w:jc w:val="center"/>
              <w:rPr>
                <w:rFonts w:hint="eastAsia"/>
                <w:spacing w:val="7"/>
                <w:sz w:val="24"/>
                <w:szCs w:val="24"/>
              </w:rPr>
            </w:pPr>
          </w:p>
          <w:p w14:paraId="34BC0C5F">
            <w:pPr>
              <w:pStyle w:val="19"/>
              <w:spacing w:before="38" w:line="231" w:lineRule="auto"/>
              <w:ind w:left="118"/>
              <w:jc w:val="center"/>
              <w:rPr>
                <w:rFonts w:hint="eastAsia"/>
                <w:spacing w:val="7"/>
                <w:sz w:val="24"/>
                <w:szCs w:val="24"/>
              </w:rPr>
            </w:pPr>
          </w:p>
          <w:p w14:paraId="11AECE2E">
            <w:pPr>
              <w:pStyle w:val="19"/>
              <w:spacing w:before="38" w:line="231" w:lineRule="auto"/>
              <w:ind w:left="118"/>
              <w:jc w:val="center"/>
              <w:rPr>
                <w:rFonts w:hint="eastAsia"/>
                <w:spacing w:val="7"/>
                <w:sz w:val="24"/>
                <w:szCs w:val="24"/>
              </w:rPr>
            </w:pPr>
          </w:p>
          <w:p w14:paraId="5790688F">
            <w:pPr>
              <w:pStyle w:val="19"/>
              <w:spacing w:before="38" w:line="231" w:lineRule="auto"/>
              <w:ind w:left="118"/>
              <w:jc w:val="center"/>
              <w:rPr>
                <w:rFonts w:hint="eastAsia"/>
                <w:spacing w:val="7"/>
                <w:sz w:val="24"/>
                <w:szCs w:val="24"/>
              </w:rPr>
            </w:pPr>
          </w:p>
          <w:p w14:paraId="0097339E">
            <w:pPr>
              <w:pStyle w:val="19"/>
              <w:spacing w:before="38" w:line="231" w:lineRule="auto"/>
              <w:ind w:left="118"/>
              <w:jc w:val="center"/>
              <w:rPr>
                <w:sz w:val="24"/>
                <w:szCs w:val="24"/>
              </w:rPr>
            </w:pPr>
            <w:r>
              <w:rPr>
                <w:rFonts w:hint="eastAsia"/>
                <w:spacing w:val="7"/>
                <w:sz w:val="24"/>
                <w:szCs w:val="24"/>
              </w:rPr>
              <w:t>针对本项目的特点和难点分析及解决措施、合理化建议</w:t>
            </w:r>
            <w:r>
              <w:rPr>
                <w:spacing w:val="7"/>
                <w:sz w:val="24"/>
                <w:szCs w:val="24"/>
              </w:rPr>
              <w:t>（0-</w:t>
            </w:r>
            <w:r>
              <w:rPr>
                <w:rFonts w:hint="eastAsia"/>
                <w:spacing w:val="7"/>
                <w:sz w:val="24"/>
                <w:szCs w:val="24"/>
                <w:lang w:val="en-US" w:eastAsia="zh-CN"/>
              </w:rPr>
              <w:t>4</w:t>
            </w:r>
            <w:r>
              <w:rPr>
                <w:spacing w:val="7"/>
                <w:sz w:val="24"/>
                <w:szCs w:val="24"/>
              </w:rPr>
              <w:t>）分</w:t>
            </w:r>
          </w:p>
        </w:tc>
        <w:tc>
          <w:tcPr>
            <w:tcW w:w="5746" w:type="dxa"/>
            <w:vAlign w:val="top"/>
          </w:tcPr>
          <w:p w14:paraId="7384DB0B">
            <w:pPr>
              <w:pStyle w:val="19"/>
              <w:spacing w:before="39" w:line="231" w:lineRule="auto"/>
              <w:ind w:left="118" w:right="252" w:firstLine="1"/>
              <w:rPr>
                <w:rFonts w:hint="eastAsia"/>
                <w:sz w:val="24"/>
                <w:szCs w:val="24"/>
              </w:rPr>
            </w:pPr>
            <w:r>
              <w:rPr>
                <w:rFonts w:hint="eastAsia"/>
                <w:sz w:val="24"/>
                <w:szCs w:val="24"/>
              </w:rPr>
              <w:t>根据投标人对项目现状、存在的问题和服务要求的难点、要点、应急管理措施等问题进行调查剖析，并针对性的提出克服难点和要点技术措施综合评分。①</w:t>
            </w:r>
            <w:r>
              <w:rPr>
                <w:rFonts w:hint="eastAsia"/>
                <w:sz w:val="24"/>
                <w:szCs w:val="24"/>
                <w:lang w:val="en-US" w:eastAsia="zh-CN"/>
              </w:rPr>
              <w:t>服务</w:t>
            </w:r>
            <w:r>
              <w:rPr>
                <w:rFonts w:hint="eastAsia"/>
                <w:sz w:val="24"/>
                <w:szCs w:val="24"/>
              </w:rPr>
              <w:t>工作重点、难点分析②对本</w:t>
            </w:r>
            <w:r>
              <w:rPr>
                <w:rFonts w:hint="eastAsia"/>
                <w:sz w:val="24"/>
                <w:szCs w:val="24"/>
                <w:lang w:val="en-US" w:eastAsia="zh-CN"/>
              </w:rPr>
              <w:t>项目</w:t>
            </w:r>
            <w:r>
              <w:rPr>
                <w:rFonts w:hint="eastAsia"/>
                <w:sz w:val="24"/>
                <w:szCs w:val="24"/>
              </w:rPr>
              <w:t xml:space="preserve">的合理化建议，提供措施及建议科学合理且全面，可执行性强，完全满足项目需求得 </w:t>
            </w:r>
            <w:r>
              <w:rPr>
                <w:rFonts w:hint="eastAsia"/>
                <w:sz w:val="24"/>
                <w:szCs w:val="24"/>
                <w:lang w:val="en-US" w:eastAsia="zh-CN"/>
              </w:rPr>
              <w:t>4</w:t>
            </w:r>
            <w:r>
              <w:rPr>
                <w:rFonts w:hint="eastAsia"/>
                <w:sz w:val="24"/>
                <w:szCs w:val="24"/>
              </w:rPr>
              <w:t xml:space="preserve"> 分，每缺少一项内容扣 </w:t>
            </w:r>
            <w:r>
              <w:rPr>
                <w:rFonts w:hint="eastAsia"/>
                <w:sz w:val="24"/>
                <w:szCs w:val="24"/>
                <w:lang w:val="en-US" w:eastAsia="zh-CN"/>
              </w:rPr>
              <w:t>2</w:t>
            </w:r>
            <w:r>
              <w:rPr>
                <w:rFonts w:hint="eastAsia"/>
                <w:sz w:val="24"/>
                <w:szCs w:val="24"/>
              </w:rPr>
              <w:t xml:space="preserve"> 分，每有一处内容存在缺陷扣 1 分，扣完为止，未提供不得分。</w:t>
            </w:r>
          </w:p>
          <w:p w14:paraId="75E5AD1F">
            <w:pPr>
              <w:pStyle w:val="19"/>
              <w:spacing w:before="39" w:line="231" w:lineRule="auto"/>
              <w:ind w:left="118" w:right="252" w:firstLine="1"/>
              <w:rPr>
                <w:rFonts w:hint="eastAsia"/>
                <w:sz w:val="24"/>
                <w:szCs w:val="24"/>
              </w:rPr>
            </w:pPr>
            <w:r>
              <w:rPr>
                <w:rFonts w:hint="eastAsia"/>
                <w:sz w:val="24"/>
                <w:szCs w:val="24"/>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3A020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1493" w:type="dxa"/>
            <w:vMerge w:val="continue"/>
            <w:tcBorders>
              <w:top w:val="nil"/>
            </w:tcBorders>
            <w:vAlign w:val="top"/>
          </w:tcPr>
          <w:p w14:paraId="407E412F">
            <w:pPr>
              <w:rPr>
                <w:rFonts w:ascii="Arial"/>
                <w:sz w:val="24"/>
                <w:szCs w:val="24"/>
              </w:rPr>
            </w:pPr>
          </w:p>
        </w:tc>
        <w:tc>
          <w:tcPr>
            <w:tcW w:w="1905" w:type="dxa"/>
            <w:vAlign w:val="top"/>
          </w:tcPr>
          <w:p w14:paraId="7B277A0C">
            <w:pPr>
              <w:pStyle w:val="19"/>
              <w:spacing w:before="35" w:line="239" w:lineRule="auto"/>
              <w:ind w:left="119" w:right="129" w:firstLine="3"/>
              <w:jc w:val="center"/>
              <w:rPr>
                <w:rFonts w:hint="eastAsia"/>
                <w:spacing w:val="7"/>
                <w:sz w:val="24"/>
                <w:szCs w:val="24"/>
              </w:rPr>
            </w:pPr>
          </w:p>
          <w:p w14:paraId="10D845B8">
            <w:pPr>
              <w:pStyle w:val="19"/>
              <w:spacing w:before="35" w:line="239" w:lineRule="auto"/>
              <w:ind w:left="119" w:right="129" w:firstLine="3"/>
              <w:jc w:val="center"/>
              <w:rPr>
                <w:rFonts w:hint="eastAsia"/>
                <w:spacing w:val="7"/>
                <w:sz w:val="24"/>
                <w:szCs w:val="24"/>
              </w:rPr>
            </w:pPr>
          </w:p>
          <w:p w14:paraId="5C7DC34F">
            <w:pPr>
              <w:pStyle w:val="19"/>
              <w:spacing w:before="35" w:line="239" w:lineRule="auto"/>
              <w:ind w:left="119" w:right="129" w:firstLine="3"/>
              <w:jc w:val="center"/>
              <w:rPr>
                <w:rFonts w:hint="eastAsia"/>
                <w:spacing w:val="7"/>
                <w:sz w:val="24"/>
                <w:szCs w:val="24"/>
              </w:rPr>
            </w:pPr>
          </w:p>
          <w:p w14:paraId="2C7BBC0C">
            <w:pPr>
              <w:pStyle w:val="19"/>
              <w:spacing w:before="35" w:line="239" w:lineRule="auto"/>
              <w:ind w:left="119" w:right="129" w:firstLine="3"/>
              <w:jc w:val="center"/>
              <w:rPr>
                <w:rFonts w:hint="eastAsia"/>
                <w:spacing w:val="7"/>
                <w:sz w:val="24"/>
                <w:szCs w:val="24"/>
              </w:rPr>
            </w:pPr>
            <w:r>
              <w:rPr>
                <w:rFonts w:hint="eastAsia"/>
                <w:spacing w:val="7"/>
                <w:sz w:val="24"/>
                <w:szCs w:val="24"/>
              </w:rPr>
              <w:t>服务承诺</w:t>
            </w:r>
          </w:p>
          <w:p w14:paraId="5471F972">
            <w:pPr>
              <w:pStyle w:val="19"/>
              <w:spacing w:before="35" w:line="239" w:lineRule="auto"/>
              <w:ind w:left="119" w:right="129" w:firstLine="3"/>
              <w:jc w:val="center"/>
              <w:rPr>
                <w:sz w:val="24"/>
                <w:szCs w:val="24"/>
              </w:rPr>
            </w:pPr>
            <w:r>
              <w:rPr>
                <w:spacing w:val="7"/>
                <w:sz w:val="24"/>
                <w:szCs w:val="24"/>
              </w:rPr>
              <w:t>（0-</w:t>
            </w:r>
            <w:r>
              <w:rPr>
                <w:rFonts w:hint="eastAsia"/>
                <w:spacing w:val="7"/>
                <w:sz w:val="24"/>
                <w:szCs w:val="24"/>
                <w:lang w:val="en-US" w:eastAsia="zh-CN"/>
              </w:rPr>
              <w:t>2</w:t>
            </w:r>
            <w:r>
              <w:rPr>
                <w:spacing w:val="7"/>
                <w:sz w:val="24"/>
                <w:szCs w:val="24"/>
              </w:rPr>
              <w:t>）分</w:t>
            </w:r>
          </w:p>
        </w:tc>
        <w:tc>
          <w:tcPr>
            <w:tcW w:w="5746" w:type="dxa"/>
            <w:vAlign w:val="top"/>
          </w:tcPr>
          <w:p w14:paraId="0E24340E">
            <w:pPr>
              <w:pStyle w:val="19"/>
              <w:spacing w:before="39" w:line="231" w:lineRule="auto"/>
              <w:ind w:left="118" w:right="252" w:firstLine="1"/>
              <w:rPr>
                <w:rFonts w:hint="eastAsia"/>
                <w:sz w:val="24"/>
                <w:szCs w:val="24"/>
              </w:rPr>
            </w:pPr>
            <w:r>
              <w:rPr>
                <w:rFonts w:hint="eastAsia"/>
                <w:sz w:val="24"/>
                <w:szCs w:val="24"/>
              </w:rPr>
              <w:t>根据各投标单位提供的服务承诺进行评审</w:t>
            </w:r>
          </w:p>
          <w:p w14:paraId="69D08CC0">
            <w:pPr>
              <w:pStyle w:val="19"/>
              <w:spacing w:before="39" w:line="231" w:lineRule="auto"/>
              <w:ind w:left="118" w:right="252" w:firstLine="1"/>
              <w:rPr>
                <w:rFonts w:hint="eastAsia"/>
                <w:sz w:val="24"/>
                <w:szCs w:val="24"/>
                <w:lang w:eastAsia="zh-CN"/>
              </w:rPr>
            </w:pPr>
            <w:r>
              <w:rPr>
                <w:rFonts w:hint="eastAsia"/>
                <w:sz w:val="24"/>
                <w:szCs w:val="24"/>
              </w:rPr>
              <w:t xml:space="preserve">①售后服务措施、响应时间、技术支撑能力②除报价以外的承诺、服务及实质性的优惠条件。完全满足项目需求得 </w:t>
            </w:r>
            <w:r>
              <w:rPr>
                <w:rFonts w:hint="eastAsia"/>
                <w:sz w:val="24"/>
                <w:szCs w:val="24"/>
                <w:lang w:val="en-US" w:eastAsia="zh-CN"/>
              </w:rPr>
              <w:t>2</w:t>
            </w:r>
            <w:r>
              <w:rPr>
                <w:rFonts w:hint="eastAsia"/>
                <w:sz w:val="24"/>
                <w:szCs w:val="24"/>
              </w:rPr>
              <w:t xml:space="preserve"> 分，每缺少一项内容扣 </w:t>
            </w:r>
            <w:r>
              <w:rPr>
                <w:rFonts w:hint="eastAsia"/>
                <w:sz w:val="24"/>
                <w:szCs w:val="24"/>
                <w:lang w:val="en-US" w:eastAsia="zh-CN"/>
              </w:rPr>
              <w:t>1</w:t>
            </w:r>
            <w:r>
              <w:rPr>
                <w:rFonts w:hint="eastAsia"/>
                <w:sz w:val="24"/>
                <w:szCs w:val="24"/>
              </w:rPr>
              <w:t xml:space="preserve"> 分，每有一处内容存在缺陷扣 </w:t>
            </w:r>
            <w:r>
              <w:rPr>
                <w:rFonts w:hint="eastAsia"/>
                <w:sz w:val="24"/>
                <w:szCs w:val="24"/>
                <w:lang w:val="en-US" w:eastAsia="zh-CN"/>
              </w:rPr>
              <w:t>0.5</w:t>
            </w:r>
            <w:r>
              <w:rPr>
                <w:rFonts w:hint="eastAsia"/>
                <w:sz w:val="24"/>
                <w:szCs w:val="24"/>
              </w:rPr>
              <w:t xml:space="preserve"> 分，扣完为止，未提供不得分</w:t>
            </w:r>
            <w:r>
              <w:rPr>
                <w:rFonts w:hint="eastAsia"/>
                <w:sz w:val="24"/>
                <w:szCs w:val="24"/>
                <w:lang w:eastAsia="zh-CN"/>
              </w:rPr>
              <w:t>。</w:t>
            </w:r>
          </w:p>
          <w:p w14:paraId="75790F08">
            <w:pPr>
              <w:pStyle w:val="19"/>
              <w:spacing w:before="39" w:line="231" w:lineRule="auto"/>
              <w:ind w:left="118" w:right="252" w:firstLine="1"/>
              <w:rPr>
                <w:rFonts w:hint="eastAsia"/>
                <w:sz w:val="24"/>
                <w:szCs w:val="24"/>
                <w:lang w:eastAsia="zh-CN"/>
              </w:rPr>
            </w:pPr>
            <w:r>
              <w:rPr>
                <w:rFonts w:hint="eastAsia"/>
                <w:sz w:val="24"/>
                <w:szCs w:val="24"/>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71EC5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493" w:type="dxa"/>
            <w:vMerge w:val="restart"/>
            <w:vAlign w:val="center"/>
          </w:tcPr>
          <w:p w14:paraId="7B658736">
            <w:pPr>
              <w:pStyle w:val="19"/>
              <w:spacing w:before="36" w:line="216" w:lineRule="auto"/>
              <w:ind w:left="128"/>
              <w:jc w:val="center"/>
              <w:rPr>
                <w:b/>
                <w:bCs/>
                <w:sz w:val="24"/>
                <w:szCs w:val="24"/>
              </w:rPr>
            </w:pPr>
            <w:r>
              <w:rPr>
                <w:b/>
                <w:bCs/>
                <w:spacing w:val="3"/>
                <w:sz w:val="24"/>
                <w:szCs w:val="24"/>
              </w:rPr>
              <w:t>商务标评</w:t>
            </w:r>
            <w:r>
              <w:rPr>
                <w:b/>
                <w:bCs/>
                <w:sz w:val="24"/>
                <w:szCs w:val="24"/>
              </w:rPr>
              <w:t>审</w:t>
            </w:r>
          </w:p>
          <w:p w14:paraId="14C08148">
            <w:pPr>
              <w:pStyle w:val="19"/>
              <w:spacing w:before="36" w:line="216" w:lineRule="auto"/>
              <w:ind w:left="128"/>
              <w:jc w:val="center"/>
              <w:rPr>
                <w:sz w:val="24"/>
                <w:szCs w:val="24"/>
              </w:rPr>
            </w:pPr>
            <w:r>
              <w:rPr>
                <w:b/>
                <w:bCs/>
                <w:sz w:val="24"/>
                <w:szCs w:val="24"/>
              </w:rPr>
              <w:t>（</w:t>
            </w:r>
            <w:r>
              <w:rPr>
                <w:rFonts w:hint="eastAsia"/>
                <w:b/>
                <w:bCs/>
                <w:sz w:val="24"/>
                <w:szCs w:val="24"/>
                <w:lang w:val="en-US" w:eastAsia="zh-CN"/>
              </w:rPr>
              <w:t>17</w:t>
            </w:r>
            <w:r>
              <w:rPr>
                <w:b/>
                <w:bCs/>
                <w:sz w:val="24"/>
                <w:szCs w:val="24"/>
              </w:rPr>
              <w:t>分</w:t>
            </w:r>
            <w:r>
              <w:rPr>
                <w:b/>
                <w:bCs/>
                <w:spacing w:val="-3"/>
                <w:sz w:val="24"/>
                <w:szCs w:val="24"/>
              </w:rPr>
              <w:t>)</w:t>
            </w:r>
          </w:p>
        </w:tc>
        <w:tc>
          <w:tcPr>
            <w:tcW w:w="1905" w:type="dxa"/>
            <w:vAlign w:val="top"/>
          </w:tcPr>
          <w:p w14:paraId="5763CDD4">
            <w:pPr>
              <w:pStyle w:val="19"/>
              <w:spacing w:before="36" w:line="216" w:lineRule="auto"/>
              <w:ind w:left="117"/>
              <w:jc w:val="center"/>
              <w:rPr>
                <w:spacing w:val="5"/>
                <w:sz w:val="24"/>
                <w:szCs w:val="24"/>
              </w:rPr>
            </w:pPr>
          </w:p>
          <w:p w14:paraId="7B3EB56A">
            <w:pPr>
              <w:pStyle w:val="19"/>
              <w:spacing w:before="36" w:line="216" w:lineRule="auto"/>
              <w:ind w:left="117"/>
              <w:jc w:val="center"/>
              <w:rPr>
                <w:spacing w:val="5"/>
                <w:sz w:val="24"/>
                <w:szCs w:val="24"/>
              </w:rPr>
            </w:pPr>
            <w:r>
              <w:rPr>
                <w:spacing w:val="5"/>
                <w:sz w:val="24"/>
                <w:szCs w:val="24"/>
              </w:rPr>
              <w:t>业绩要求</w:t>
            </w:r>
          </w:p>
          <w:p w14:paraId="05B75C2E">
            <w:pPr>
              <w:pStyle w:val="19"/>
              <w:spacing w:before="36" w:line="216" w:lineRule="auto"/>
              <w:ind w:left="117"/>
              <w:jc w:val="center"/>
              <w:rPr>
                <w:sz w:val="24"/>
                <w:szCs w:val="24"/>
              </w:rPr>
            </w:pPr>
            <w:r>
              <w:rPr>
                <w:spacing w:val="5"/>
                <w:sz w:val="24"/>
                <w:szCs w:val="24"/>
              </w:rPr>
              <w:t>（0-</w:t>
            </w:r>
            <w:r>
              <w:rPr>
                <w:rFonts w:hint="eastAsia"/>
                <w:spacing w:val="5"/>
                <w:sz w:val="24"/>
                <w:szCs w:val="24"/>
                <w:lang w:val="en-US" w:eastAsia="zh-CN"/>
              </w:rPr>
              <w:t>10</w:t>
            </w:r>
            <w:r>
              <w:rPr>
                <w:spacing w:val="5"/>
                <w:sz w:val="24"/>
                <w:szCs w:val="24"/>
              </w:rPr>
              <w:t>）</w:t>
            </w:r>
            <w:r>
              <w:rPr>
                <w:sz w:val="24"/>
                <w:szCs w:val="24"/>
              </w:rPr>
              <w:t>分</w:t>
            </w:r>
          </w:p>
        </w:tc>
        <w:tc>
          <w:tcPr>
            <w:tcW w:w="5746" w:type="dxa"/>
            <w:vAlign w:val="top"/>
          </w:tcPr>
          <w:p w14:paraId="3FBDF68A">
            <w:pPr>
              <w:pStyle w:val="19"/>
              <w:spacing w:before="36" w:line="216" w:lineRule="auto"/>
              <w:ind w:left="118"/>
              <w:rPr>
                <w:sz w:val="24"/>
                <w:szCs w:val="24"/>
              </w:rPr>
            </w:pPr>
            <w:r>
              <w:rPr>
                <w:spacing w:val="6"/>
                <w:sz w:val="24"/>
                <w:szCs w:val="24"/>
              </w:rPr>
              <w:t>投标人提供（2021年1月1</w:t>
            </w:r>
            <w:r>
              <w:rPr>
                <w:spacing w:val="-28"/>
                <w:sz w:val="24"/>
                <w:szCs w:val="24"/>
              </w:rPr>
              <w:t xml:space="preserve"> </w:t>
            </w:r>
            <w:r>
              <w:rPr>
                <w:spacing w:val="6"/>
                <w:sz w:val="24"/>
                <w:szCs w:val="24"/>
              </w:rPr>
              <w:t>日至投标截止时间）承接类似工程业</w:t>
            </w:r>
            <w:r>
              <w:rPr>
                <w:spacing w:val="9"/>
                <w:sz w:val="24"/>
                <w:szCs w:val="24"/>
              </w:rPr>
              <w:t>绩：每提供一个得2分，最高得</w:t>
            </w:r>
            <w:r>
              <w:rPr>
                <w:rFonts w:hint="eastAsia"/>
                <w:spacing w:val="9"/>
                <w:sz w:val="24"/>
                <w:szCs w:val="24"/>
                <w:lang w:val="en-US" w:eastAsia="zh-CN"/>
              </w:rPr>
              <w:t>10</w:t>
            </w:r>
            <w:r>
              <w:rPr>
                <w:spacing w:val="9"/>
                <w:sz w:val="24"/>
                <w:szCs w:val="24"/>
              </w:rPr>
              <w:t>分，没有则不得分</w:t>
            </w:r>
            <w:r>
              <w:rPr>
                <w:spacing w:val="8"/>
                <w:sz w:val="24"/>
                <w:szCs w:val="24"/>
              </w:rPr>
              <w:t>（提供施工</w:t>
            </w:r>
            <w:r>
              <w:rPr>
                <w:spacing w:val="6"/>
                <w:sz w:val="24"/>
                <w:szCs w:val="24"/>
              </w:rPr>
              <w:t>合同和中标通知书</w:t>
            </w:r>
            <w:r>
              <w:rPr>
                <w:rFonts w:hint="eastAsia"/>
                <w:spacing w:val="6"/>
                <w:sz w:val="24"/>
                <w:szCs w:val="24"/>
              </w:rPr>
              <w:t>及竣工验收表</w:t>
            </w:r>
            <w:r>
              <w:rPr>
                <w:spacing w:val="6"/>
                <w:sz w:val="24"/>
                <w:szCs w:val="24"/>
              </w:rPr>
              <w:t>证明材料，</w:t>
            </w:r>
            <w:r>
              <w:rPr>
                <w:spacing w:val="-47"/>
                <w:sz w:val="24"/>
                <w:szCs w:val="24"/>
              </w:rPr>
              <w:t xml:space="preserve"> </w:t>
            </w:r>
            <w:r>
              <w:rPr>
                <w:spacing w:val="6"/>
                <w:sz w:val="24"/>
                <w:szCs w:val="24"/>
              </w:rPr>
              <w:t>以合同签订时间为准）。</w:t>
            </w:r>
          </w:p>
        </w:tc>
      </w:tr>
      <w:tr w14:paraId="658FB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493" w:type="dxa"/>
            <w:vMerge w:val="continue"/>
            <w:vAlign w:val="top"/>
          </w:tcPr>
          <w:p w14:paraId="506E2923">
            <w:pPr>
              <w:pStyle w:val="19"/>
              <w:spacing w:before="36" w:line="216" w:lineRule="auto"/>
              <w:ind w:left="128"/>
              <w:rPr>
                <w:b/>
                <w:bCs/>
                <w:spacing w:val="3"/>
                <w:sz w:val="24"/>
                <w:szCs w:val="24"/>
              </w:rPr>
            </w:pPr>
          </w:p>
        </w:tc>
        <w:tc>
          <w:tcPr>
            <w:tcW w:w="1905" w:type="dxa"/>
            <w:shd w:val="clear" w:color="auto" w:fill="auto"/>
            <w:vAlign w:val="top"/>
          </w:tcPr>
          <w:p w14:paraId="7D7678FD">
            <w:pPr>
              <w:pStyle w:val="19"/>
              <w:spacing w:before="167" w:line="242" w:lineRule="auto"/>
              <w:ind w:left="133" w:right="231" w:hanging="15"/>
              <w:jc w:val="center"/>
              <w:rPr>
                <w:spacing w:val="6"/>
                <w:sz w:val="24"/>
                <w:szCs w:val="24"/>
              </w:rPr>
            </w:pPr>
            <w:r>
              <w:rPr>
                <w:spacing w:val="6"/>
                <w:sz w:val="24"/>
                <w:szCs w:val="24"/>
              </w:rPr>
              <w:t>项目负责人</w:t>
            </w:r>
          </w:p>
          <w:p w14:paraId="30AE9BA1">
            <w:pPr>
              <w:pStyle w:val="19"/>
              <w:spacing w:before="167" w:line="242" w:lineRule="auto"/>
              <w:ind w:left="133" w:leftChars="0" w:right="231" w:rightChars="0" w:hanging="15" w:firstLineChars="0"/>
              <w:jc w:val="center"/>
              <w:rPr>
                <w:rFonts w:ascii="仿宋" w:hAnsi="仿宋" w:eastAsia="仿宋" w:cs="仿宋"/>
                <w:snapToGrid w:val="0"/>
                <w:color w:val="000000"/>
                <w:kern w:val="0"/>
                <w:sz w:val="24"/>
                <w:szCs w:val="24"/>
                <w:lang w:val="en-US" w:eastAsia="en-US" w:bidi="ar-SA"/>
              </w:rPr>
            </w:pPr>
            <w:r>
              <w:rPr>
                <w:spacing w:val="6"/>
                <w:sz w:val="24"/>
                <w:szCs w:val="24"/>
              </w:rPr>
              <w:t>（0-</w:t>
            </w:r>
            <w:r>
              <w:rPr>
                <w:rFonts w:hint="eastAsia"/>
                <w:spacing w:val="6"/>
                <w:sz w:val="24"/>
                <w:szCs w:val="24"/>
                <w:lang w:val="en-US" w:eastAsia="zh-CN"/>
              </w:rPr>
              <w:t>5</w:t>
            </w:r>
            <w:r>
              <w:rPr>
                <w:spacing w:val="-20"/>
                <w:sz w:val="24"/>
                <w:szCs w:val="24"/>
              </w:rPr>
              <w:t>)分</w:t>
            </w:r>
          </w:p>
        </w:tc>
        <w:tc>
          <w:tcPr>
            <w:tcW w:w="5746" w:type="dxa"/>
            <w:shd w:val="clear" w:color="auto" w:fill="auto"/>
            <w:vAlign w:val="top"/>
          </w:tcPr>
          <w:p w14:paraId="67F60F21">
            <w:pPr>
              <w:pStyle w:val="19"/>
              <w:numPr>
                <w:ilvl w:val="0"/>
                <w:numId w:val="7"/>
              </w:numPr>
              <w:spacing w:before="33" w:line="239" w:lineRule="auto"/>
              <w:ind w:left="118" w:leftChars="0" w:right="147" w:rightChars="0" w:firstLine="3" w:firstLineChars="0"/>
              <w:rPr>
                <w:spacing w:val="7"/>
                <w:sz w:val="24"/>
                <w:szCs w:val="24"/>
              </w:rPr>
            </w:pPr>
            <w:r>
              <w:rPr>
                <w:spacing w:val="5"/>
                <w:sz w:val="24"/>
                <w:szCs w:val="24"/>
              </w:rPr>
              <w:t>具有从事地质灾害工程建设经历得</w:t>
            </w:r>
            <w:r>
              <w:rPr>
                <w:rFonts w:hint="eastAsia"/>
                <w:spacing w:val="5"/>
                <w:sz w:val="24"/>
                <w:szCs w:val="24"/>
                <w:lang w:val="en-US" w:eastAsia="zh-CN"/>
              </w:rPr>
              <w:t>3</w:t>
            </w:r>
            <w:r>
              <w:rPr>
                <w:spacing w:val="5"/>
                <w:sz w:val="24"/>
                <w:szCs w:val="24"/>
              </w:rPr>
              <w:t>分（自</w:t>
            </w:r>
            <w:r>
              <w:rPr>
                <w:spacing w:val="4"/>
                <w:sz w:val="24"/>
                <w:szCs w:val="24"/>
              </w:rPr>
              <w:t>行承诺，格式自拟）</w:t>
            </w:r>
            <w:r>
              <w:rPr>
                <w:spacing w:val="7"/>
                <w:sz w:val="24"/>
                <w:szCs w:val="24"/>
              </w:rPr>
              <w:t>,须提供项目负责人简历表、劳动合同、承诺书、至少1项业绩证明，提供不全不得分）。</w:t>
            </w:r>
          </w:p>
          <w:p w14:paraId="448021DE">
            <w:pPr>
              <w:pStyle w:val="19"/>
              <w:numPr>
                <w:ilvl w:val="0"/>
                <w:numId w:val="7"/>
              </w:numPr>
              <w:spacing w:before="33" w:line="239" w:lineRule="auto"/>
              <w:ind w:left="118" w:leftChars="0" w:right="147" w:rightChars="0" w:firstLine="3" w:firstLineChars="0"/>
              <w:rPr>
                <w:spacing w:val="7"/>
                <w:sz w:val="24"/>
                <w:szCs w:val="24"/>
                <w:lang w:val="en-US" w:eastAsia="en-US"/>
              </w:rPr>
            </w:pPr>
            <w:r>
              <w:rPr>
                <w:rFonts w:hint="eastAsia"/>
                <w:spacing w:val="7"/>
                <w:sz w:val="24"/>
                <w:szCs w:val="24"/>
                <w:lang w:val="en-US" w:eastAsia="zh-CN"/>
              </w:rPr>
              <w:t>拟派项目负责人每增加1项类似业绩加1分，最高2分，不提供不得分</w:t>
            </w:r>
            <w:r>
              <w:rPr>
                <w:spacing w:val="8"/>
                <w:sz w:val="24"/>
                <w:szCs w:val="24"/>
              </w:rPr>
              <w:t>（提供施工</w:t>
            </w:r>
            <w:r>
              <w:rPr>
                <w:spacing w:val="6"/>
                <w:sz w:val="24"/>
                <w:szCs w:val="24"/>
              </w:rPr>
              <w:t>合同</w:t>
            </w:r>
            <w:r>
              <w:rPr>
                <w:rFonts w:hint="eastAsia"/>
                <w:spacing w:val="6"/>
                <w:sz w:val="24"/>
                <w:szCs w:val="24"/>
                <w:lang w:eastAsia="zh-CN"/>
              </w:rPr>
              <w:t>，</w:t>
            </w:r>
            <w:r>
              <w:rPr>
                <w:rFonts w:hint="eastAsia"/>
                <w:spacing w:val="6"/>
                <w:sz w:val="24"/>
                <w:szCs w:val="24"/>
                <w:lang w:val="en-US" w:eastAsia="zh-CN"/>
              </w:rPr>
              <w:t>需体现项目负责人姓名及施工内容，未体现以上内容的视为无效业绩</w:t>
            </w:r>
            <w:r>
              <w:rPr>
                <w:spacing w:val="6"/>
                <w:sz w:val="24"/>
                <w:szCs w:val="24"/>
              </w:rPr>
              <w:t>）。</w:t>
            </w:r>
          </w:p>
        </w:tc>
      </w:tr>
      <w:tr w14:paraId="65033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493" w:type="dxa"/>
            <w:vMerge w:val="continue"/>
            <w:vAlign w:val="top"/>
          </w:tcPr>
          <w:p w14:paraId="7D6AEE02">
            <w:pPr>
              <w:pStyle w:val="19"/>
              <w:spacing w:before="36" w:line="216" w:lineRule="auto"/>
              <w:ind w:left="128"/>
              <w:rPr>
                <w:b/>
                <w:bCs/>
                <w:spacing w:val="3"/>
                <w:sz w:val="24"/>
                <w:szCs w:val="24"/>
              </w:rPr>
            </w:pPr>
          </w:p>
        </w:tc>
        <w:tc>
          <w:tcPr>
            <w:tcW w:w="1905" w:type="dxa"/>
            <w:vAlign w:val="top"/>
          </w:tcPr>
          <w:p w14:paraId="056F5BFA">
            <w:pPr>
              <w:pStyle w:val="19"/>
              <w:spacing w:before="170" w:line="241" w:lineRule="auto"/>
              <w:ind w:left="133" w:right="231" w:hanging="15"/>
              <w:jc w:val="center"/>
              <w:rPr>
                <w:spacing w:val="5"/>
                <w:sz w:val="24"/>
                <w:szCs w:val="24"/>
              </w:rPr>
            </w:pPr>
            <w:r>
              <w:rPr>
                <w:spacing w:val="6"/>
                <w:sz w:val="24"/>
                <w:szCs w:val="24"/>
              </w:rPr>
              <w:t>技术负责人（0-</w:t>
            </w:r>
            <w:r>
              <w:rPr>
                <w:rFonts w:hint="eastAsia"/>
                <w:spacing w:val="6"/>
                <w:sz w:val="24"/>
                <w:szCs w:val="24"/>
                <w:lang w:val="en-US" w:eastAsia="zh-CN"/>
              </w:rPr>
              <w:t>1</w:t>
            </w:r>
            <w:r>
              <w:rPr>
                <w:spacing w:val="6"/>
                <w:sz w:val="24"/>
                <w:szCs w:val="24"/>
              </w:rPr>
              <w:t xml:space="preserve"> </w:t>
            </w:r>
            <w:r>
              <w:rPr>
                <w:spacing w:val="-20"/>
                <w:sz w:val="24"/>
                <w:szCs w:val="24"/>
              </w:rPr>
              <w:t>)分</w:t>
            </w:r>
          </w:p>
        </w:tc>
        <w:tc>
          <w:tcPr>
            <w:tcW w:w="5746" w:type="dxa"/>
            <w:vAlign w:val="top"/>
          </w:tcPr>
          <w:p w14:paraId="0801FD5D">
            <w:pPr>
              <w:pStyle w:val="19"/>
              <w:spacing w:before="32" w:line="231" w:lineRule="auto"/>
              <w:ind w:left="127" w:leftChars="0"/>
              <w:rPr>
                <w:spacing w:val="6"/>
                <w:sz w:val="24"/>
                <w:szCs w:val="24"/>
              </w:rPr>
            </w:pPr>
            <w:r>
              <w:rPr>
                <w:spacing w:val="7"/>
                <w:sz w:val="24"/>
                <w:szCs w:val="24"/>
              </w:rPr>
              <w:t>具有从事地质灾害工程建设经历</w:t>
            </w:r>
            <w:r>
              <w:rPr>
                <w:rFonts w:hint="eastAsia"/>
                <w:spacing w:val="7"/>
                <w:sz w:val="24"/>
                <w:szCs w:val="24"/>
                <w:lang w:val="en-US" w:eastAsia="zh-CN"/>
              </w:rPr>
              <w:t>及</w:t>
            </w:r>
            <w:r>
              <w:rPr>
                <w:spacing w:val="9"/>
                <w:sz w:val="24"/>
                <w:szCs w:val="24"/>
              </w:rPr>
              <w:t>相关专业高级职称得</w:t>
            </w:r>
            <w:r>
              <w:rPr>
                <w:rFonts w:hint="eastAsia"/>
                <w:spacing w:val="9"/>
                <w:sz w:val="24"/>
                <w:szCs w:val="24"/>
                <w:lang w:val="en-US" w:eastAsia="zh-CN"/>
              </w:rPr>
              <w:t>1</w:t>
            </w:r>
            <w:r>
              <w:rPr>
                <w:spacing w:val="9"/>
                <w:sz w:val="24"/>
                <w:szCs w:val="24"/>
              </w:rPr>
              <w:t>分。（注：须提供技术负责人</w:t>
            </w:r>
            <w:r>
              <w:rPr>
                <w:spacing w:val="8"/>
                <w:sz w:val="24"/>
                <w:szCs w:val="24"/>
              </w:rPr>
              <w:t>简历表</w:t>
            </w:r>
            <w:r>
              <w:rPr>
                <w:spacing w:val="7"/>
                <w:sz w:val="24"/>
                <w:szCs w:val="24"/>
              </w:rPr>
              <w:t>、劳动合同、承诺书、至少1项业绩证明，提供不全不得分）。</w:t>
            </w:r>
          </w:p>
        </w:tc>
      </w:tr>
      <w:tr w14:paraId="35D92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493" w:type="dxa"/>
            <w:vMerge w:val="continue"/>
            <w:vAlign w:val="top"/>
          </w:tcPr>
          <w:p w14:paraId="0EE6AB1E">
            <w:pPr>
              <w:pStyle w:val="19"/>
              <w:spacing w:before="36" w:line="216" w:lineRule="auto"/>
              <w:ind w:left="128"/>
              <w:rPr>
                <w:b/>
                <w:bCs/>
                <w:spacing w:val="3"/>
                <w:sz w:val="24"/>
                <w:szCs w:val="24"/>
              </w:rPr>
            </w:pPr>
          </w:p>
        </w:tc>
        <w:tc>
          <w:tcPr>
            <w:tcW w:w="1905" w:type="dxa"/>
            <w:vAlign w:val="top"/>
          </w:tcPr>
          <w:p w14:paraId="25EEFA65">
            <w:pPr>
              <w:pStyle w:val="19"/>
              <w:spacing w:before="172" w:line="241" w:lineRule="auto"/>
              <w:ind w:left="192" w:right="120" w:hanging="60"/>
              <w:jc w:val="center"/>
              <w:rPr>
                <w:spacing w:val="5"/>
                <w:sz w:val="24"/>
                <w:szCs w:val="24"/>
              </w:rPr>
            </w:pPr>
            <w:r>
              <w:rPr>
                <w:spacing w:val="7"/>
                <w:sz w:val="24"/>
                <w:szCs w:val="24"/>
              </w:rPr>
              <w:t>不拖欠农民工工资</w:t>
            </w:r>
            <w:r>
              <w:rPr>
                <w:spacing w:val="6"/>
                <w:sz w:val="24"/>
                <w:szCs w:val="24"/>
              </w:rPr>
              <w:t>的承诺（0-</w:t>
            </w:r>
            <w:r>
              <w:rPr>
                <w:rFonts w:hint="eastAsia"/>
                <w:spacing w:val="6"/>
                <w:sz w:val="24"/>
                <w:szCs w:val="24"/>
                <w:lang w:val="en-US" w:eastAsia="zh-CN"/>
              </w:rPr>
              <w:t>1</w:t>
            </w:r>
            <w:r>
              <w:rPr>
                <w:spacing w:val="6"/>
                <w:sz w:val="24"/>
                <w:szCs w:val="24"/>
              </w:rPr>
              <w:t>）分</w:t>
            </w:r>
          </w:p>
        </w:tc>
        <w:tc>
          <w:tcPr>
            <w:tcW w:w="5746" w:type="dxa"/>
            <w:vAlign w:val="top"/>
          </w:tcPr>
          <w:p w14:paraId="34D7F236">
            <w:pPr>
              <w:pStyle w:val="19"/>
              <w:spacing w:before="35"/>
              <w:ind w:left="120" w:leftChars="0" w:right="148" w:rightChars="0" w:hanging="4" w:firstLineChars="0"/>
              <w:jc w:val="both"/>
              <w:rPr>
                <w:spacing w:val="6"/>
                <w:sz w:val="24"/>
                <w:szCs w:val="24"/>
              </w:rPr>
            </w:pPr>
            <w:r>
              <w:rPr>
                <w:spacing w:val="9"/>
                <w:sz w:val="24"/>
                <w:szCs w:val="24"/>
              </w:rPr>
              <w:t>有在该工程施工过程不拖欠农民工工资的承诺，且有违约愿按照拖欠的农民工工资的5倍及以上受到处罚的，得</w:t>
            </w:r>
            <w:r>
              <w:rPr>
                <w:rFonts w:hint="eastAsia"/>
                <w:spacing w:val="9"/>
                <w:sz w:val="24"/>
                <w:szCs w:val="24"/>
                <w:lang w:val="en-US" w:eastAsia="zh-CN"/>
              </w:rPr>
              <w:t>1</w:t>
            </w:r>
            <w:r>
              <w:rPr>
                <w:spacing w:val="8"/>
                <w:sz w:val="24"/>
                <w:szCs w:val="24"/>
              </w:rPr>
              <w:t>分，否则得0</w:t>
            </w:r>
            <w:r>
              <w:rPr>
                <w:spacing w:val="-4"/>
                <w:sz w:val="24"/>
                <w:szCs w:val="24"/>
              </w:rPr>
              <w:t>分。</w:t>
            </w:r>
          </w:p>
        </w:tc>
      </w:tr>
      <w:tr w14:paraId="03759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3398" w:type="dxa"/>
            <w:gridSpan w:val="2"/>
            <w:vAlign w:val="center"/>
          </w:tcPr>
          <w:p w14:paraId="56602369">
            <w:pPr>
              <w:pStyle w:val="19"/>
              <w:spacing w:before="241" w:line="349" w:lineRule="auto"/>
              <w:ind w:left="137" w:right="332" w:hanging="2"/>
              <w:jc w:val="center"/>
              <w:rPr>
                <w:spacing w:val="7"/>
                <w:sz w:val="24"/>
                <w:szCs w:val="24"/>
              </w:rPr>
            </w:pPr>
            <w:r>
              <w:rPr>
                <w:rFonts w:hint="eastAsia"/>
                <w:spacing w:val="7"/>
                <w:sz w:val="24"/>
                <w:szCs w:val="24"/>
                <w:lang w:eastAsia="zh-CN"/>
              </w:rPr>
              <w:t>商务及技术合计</w:t>
            </w:r>
          </w:p>
        </w:tc>
        <w:tc>
          <w:tcPr>
            <w:tcW w:w="5746" w:type="dxa"/>
            <w:vAlign w:val="center"/>
          </w:tcPr>
          <w:p w14:paraId="5FECD0F3">
            <w:pPr>
              <w:pStyle w:val="19"/>
              <w:spacing w:before="241" w:line="349" w:lineRule="auto"/>
              <w:ind w:left="137" w:right="332" w:hanging="2"/>
              <w:jc w:val="center"/>
              <w:rPr>
                <w:rFonts w:hint="default"/>
                <w:spacing w:val="7"/>
                <w:sz w:val="24"/>
                <w:szCs w:val="24"/>
                <w:lang w:val="en-US" w:eastAsia="zh-CN"/>
              </w:rPr>
            </w:pPr>
            <w:r>
              <w:rPr>
                <w:rFonts w:hint="eastAsia"/>
                <w:spacing w:val="7"/>
                <w:sz w:val="24"/>
                <w:szCs w:val="24"/>
                <w:lang w:val="en-US" w:eastAsia="zh-CN"/>
              </w:rPr>
              <w:t>90分</w:t>
            </w:r>
          </w:p>
        </w:tc>
      </w:tr>
    </w:tbl>
    <w:p w14:paraId="166DA803">
      <w:pPr>
        <w:pStyle w:val="8"/>
      </w:pPr>
    </w:p>
    <w:p w14:paraId="799845F5">
      <w:pPr>
        <w:pStyle w:val="8"/>
        <w:spacing w:line="344" w:lineRule="auto"/>
      </w:pPr>
      <w:bookmarkStart w:id="146" w:name="bookmark72"/>
      <w:bookmarkEnd w:id="146"/>
      <w:bookmarkStart w:id="147" w:name="bookmark71"/>
      <w:bookmarkEnd w:id="147"/>
    </w:p>
    <w:p w14:paraId="660F2762">
      <w:pPr>
        <w:rPr>
          <w:rFonts w:ascii="仿宋" w:hAnsi="仿宋" w:eastAsia="仿宋" w:cs="仿宋"/>
          <w:b/>
          <w:bCs/>
          <w:spacing w:val="-4"/>
          <w:sz w:val="24"/>
          <w:szCs w:val="24"/>
        </w:rPr>
      </w:pPr>
      <w:r>
        <w:rPr>
          <w:rFonts w:ascii="仿宋" w:hAnsi="仿宋" w:eastAsia="仿宋" w:cs="仿宋"/>
          <w:b/>
          <w:bCs/>
          <w:spacing w:val="-4"/>
          <w:sz w:val="24"/>
          <w:szCs w:val="24"/>
        </w:rPr>
        <w:br w:type="page"/>
      </w:r>
    </w:p>
    <w:p w14:paraId="209D1642">
      <w:pPr>
        <w:spacing w:before="127" w:line="220" w:lineRule="auto"/>
        <w:jc w:val="center"/>
        <w:outlineLvl w:val="1"/>
        <w:rPr>
          <w:rFonts w:ascii="仿宋" w:hAnsi="仿宋" w:eastAsia="仿宋" w:cs="仿宋"/>
          <w:b/>
          <w:bCs/>
          <w:spacing w:val="-4"/>
          <w:sz w:val="24"/>
          <w:szCs w:val="24"/>
        </w:rPr>
      </w:pPr>
      <w:r>
        <w:rPr>
          <w:rFonts w:ascii="仿宋" w:hAnsi="仿宋" w:eastAsia="仿宋" w:cs="仿宋"/>
          <w:b/>
          <w:bCs/>
          <w:spacing w:val="-4"/>
          <w:sz w:val="24"/>
          <w:szCs w:val="24"/>
        </w:rPr>
        <w:t>报价评分表（所有标项都适用）</w:t>
      </w:r>
    </w:p>
    <w:p w14:paraId="0B8BE248">
      <w:pPr>
        <w:spacing w:line="142" w:lineRule="exact"/>
      </w:pPr>
    </w:p>
    <w:tbl>
      <w:tblPr>
        <w:tblStyle w:val="18"/>
        <w:tblW w:w="9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6"/>
        <w:gridCol w:w="930"/>
        <w:gridCol w:w="6720"/>
      </w:tblGrid>
      <w:tr w14:paraId="54AE3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0" w:hRule="atLeast"/>
        </w:trPr>
        <w:tc>
          <w:tcPr>
            <w:tcW w:w="1496" w:type="dxa"/>
            <w:vAlign w:val="top"/>
          </w:tcPr>
          <w:p w14:paraId="099963C3">
            <w:pPr>
              <w:pStyle w:val="19"/>
              <w:spacing w:before="241" w:line="349" w:lineRule="auto"/>
              <w:ind w:left="137" w:right="332" w:hanging="2"/>
              <w:rPr>
                <w:spacing w:val="7"/>
                <w:sz w:val="24"/>
                <w:szCs w:val="24"/>
              </w:rPr>
            </w:pPr>
          </w:p>
          <w:p w14:paraId="2962BE14">
            <w:pPr>
              <w:pStyle w:val="19"/>
              <w:spacing w:before="241" w:line="349" w:lineRule="auto"/>
              <w:ind w:left="137" w:right="332" w:hanging="2"/>
              <w:jc w:val="center"/>
              <w:rPr>
                <w:rFonts w:hint="eastAsia"/>
                <w:b/>
                <w:bCs/>
                <w:sz w:val="24"/>
                <w:szCs w:val="24"/>
                <w:lang w:val="en-US" w:eastAsia="zh-CN"/>
              </w:rPr>
            </w:pPr>
            <w:r>
              <w:rPr>
                <w:rFonts w:hint="eastAsia"/>
                <w:b/>
                <w:bCs/>
                <w:sz w:val="24"/>
                <w:szCs w:val="24"/>
                <w:lang w:val="en-US" w:eastAsia="zh-CN"/>
              </w:rPr>
              <w:t>报价评审</w:t>
            </w:r>
          </w:p>
          <w:p w14:paraId="4F8D77D0">
            <w:pPr>
              <w:pStyle w:val="19"/>
              <w:spacing w:before="241" w:line="349" w:lineRule="auto"/>
              <w:ind w:left="137" w:right="332" w:hanging="2"/>
              <w:jc w:val="center"/>
              <w:rPr>
                <w:spacing w:val="7"/>
                <w:sz w:val="24"/>
                <w:szCs w:val="24"/>
              </w:rPr>
            </w:pPr>
            <w:r>
              <w:rPr>
                <w:rFonts w:hint="eastAsia"/>
                <w:b/>
                <w:bCs/>
                <w:sz w:val="24"/>
                <w:szCs w:val="24"/>
                <w:lang w:val="en-US" w:eastAsia="zh-CN"/>
              </w:rPr>
              <w:t>（10分）</w:t>
            </w:r>
          </w:p>
        </w:tc>
        <w:tc>
          <w:tcPr>
            <w:tcW w:w="7650" w:type="dxa"/>
            <w:gridSpan w:val="2"/>
            <w:vAlign w:val="top"/>
          </w:tcPr>
          <w:p w14:paraId="3438F9D7">
            <w:pPr>
              <w:pStyle w:val="19"/>
              <w:spacing w:before="241" w:line="349" w:lineRule="auto"/>
              <w:ind w:left="137" w:right="332" w:hanging="2"/>
              <w:rPr>
                <w:sz w:val="24"/>
                <w:szCs w:val="24"/>
              </w:rPr>
            </w:pPr>
            <w:r>
              <w:rPr>
                <w:spacing w:val="7"/>
                <w:sz w:val="24"/>
                <w:szCs w:val="24"/>
              </w:rPr>
              <w:t xml:space="preserve">各供应商的价格得分的计算公式：采用低价优先法计算，即 满足采购文件要求且投标价格最低的投标报价为评标基准价 , 其价格分为满分。其他供应商的价格分统一按照下列公式计算：投标报价得分=(评标  基准价／投标报价)×价格权值；计算分数时四舍五入取小数  点后两位。 由监标人员负责核准每个合格供应商的价格得分。 </w:t>
            </w:r>
          </w:p>
        </w:tc>
      </w:tr>
      <w:tr w14:paraId="706C9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426" w:type="dxa"/>
            <w:gridSpan w:val="2"/>
            <w:vAlign w:val="top"/>
          </w:tcPr>
          <w:p w14:paraId="60893069">
            <w:pPr>
              <w:pStyle w:val="19"/>
              <w:spacing w:before="241" w:line="349" w:lineRule="auto"/>
              <w:ind w:left="137" w:right="332" w:hanging="2"/>
              <w:jc w:val="center"/>
              <w:rPr>
                <w:spacing w:val="7"/>
                <w:sz w:val="24"/>
                <w:szCs w:val="24"/>
              </w:rPr>
            </w:pPr>
            <w:bookmarkStart w:id="148" w:name="bookmark73"/>
            <w:bookmarkEnd w:id="148"/>
            <w:bookmarkStart w:id="149" w:name="_Toc26026"/>
            <w:r>
              <w:rPr>
                <w:spacing w:val="7"/>
                <w:sz w:val="24"/>
                <w:szCs w:val="24"/>
              </w:rPr>
              <w:t>报价分合计</w:t>
            </w:r>
            <w:bookmarkEnd w:id="149"/>
          </w:p>
        </w:tc>
        <w:tc>
          <w:tcPr>
            <w:tcW w:w="6720" w:type="dxa"/>
            <w:vAlign w:val="top"/>
          </w:tcPr>
          <w:p w14:paraId="706535A6">
            <w:pPr>
              <w:pStyle w:val="19"/>
              <w:spacing w:before="241" w:line="349" w:lineRule="auto"/>
              <w:ind w:left="137" w:right="332" w:hanging="2"/>
              <w:jc w:val="center"/>
              <w:rPr>
                <w:rFonts w:hint="eastAsia"/>
                <w:spacing w:val="7"/>
                <w:sz w:val="24"/>
                <w:szCs w:val="24"/>
                <w:lang w:eastAsia="zh-CN"/>
              </w:rPr>
            </w:pPr>
            <w:r>
              <w:rPr>
                <w:rFonts w:hint="eastAsia"/>
                <w:spacing w:val="7"/>
                <w:sz w:val="24"/>
                <w:szCs w:val="24"/>
                <w:lang w:val="en-US" w:eastAsia="zh-CN"/>
              </w:rPr>
              <w:t>1</w:t>
            </w:r>
            <w:r>
              <w:rPr>
                <w:spacing w:val="7"/>
                <w:sz w:val="24"/>
                <w:szCs w:val="24"/>
              </w:rPr>
              <w:t>0</w:t>
            </w:r>
            <w:r>
              <w:rPr>
                <w:rFonts w:hint="eastAsia"/>
                <w:spacing w:val="7"/>
                <w:sz w:val="24"/>
                <w:szCs w:val="24"/>
                <w:lang w:eastAsia="zh-CN"/>
              </w:rPr>
              <w:t>分</w:t>
            </w:r>
          </w:p>
        </w:tc>
      </w:tr>
    </w:tbl>
    <w:p w14:paraId="573C8AD0">
      <w:pPr>
        <w:pStyle w:val="8"/>
      </w:pPr>
    </w:p>
    <w:p w14:paraId="282EC477">
      <w:pPr>
        <w:sectPr>
          <w:footerReference r:id="rId48" w:type="default"/>
          <w:pgSz w:w="11907" w:h="16840"/>
          <w:pgMar w:top="1431" w:right="1586" w:bottom="1202" w:left="1583" w:header="0" w:footer="1032" w:gutter="0"/>
          <w:pgNumType w:fmt="decimal"/>
          <w:cols w:space="720" w:num="1"/>
        </w:sectPr>
      </w:pPr>
    </w:p>
    <w:p w14:paraId="17CB70A9">
      <w:pPr>
        <w:spacing w:before="177" w:line="222" w:lineRule="auto"/>
        <w:ind w:left="2655"/>
        <w:outlineLvl w:val="0"/>
        <w:rPr>
          <w:rFonts w:ascii="仿宋" w:hAnsi="仿宋" w:eastAsia="仿宋" w:cs="仿宋"/>
          <w:sz w:val="30"/>
          <w:szCs w:val="30"/>
        </w:rPr>
      </w:pPr>
      <w:bookmarkStart w:id="150" w:name="bookmark75"/>
      <w:bookmarkEnd w:id="150"/>
      <w:bookmarkStart w:id="151" w:name="_Toc18652"/>
      <w:r>
        <w:rPr>
          <w:rFonts w:ascii="仿宋" w:hAnsi="仿宋" w:eastAsia="仿宋" w:cs="仿宋"/>
          <w:b/>
          <w:bCs/>
          <w:spacing w:val="-9"/>
          <w:sz w:val="30"/>
          <w:szCs w:val="30"/>
        </w:rPr>
        <w:t>第7章</w:t>
      </w:r>
      <w:r>
        <w:rPr>
          <w:rFonts w:ascii="仿宋" w:hAnsi="仿宋" w:eastAsia="仿宋" w:cs="仿宋"/>
          <w:spacing w:val="-9"/>
          <w:sz w:val="30"/>
          <w:szCs w:val="30"/>
        </w:rPr>
        <w:t xml:space="preserve">  </w:t>
      </w:r>
      <w:r>
        <w:rPr>
          <w:rFonts w:ascii="仿宋" w:hAnsi="仿宋" w:eastAsia="仿宋" w:cs="仿宋"/>
          <w:b/>
          <w:bCs/>
          <w:spacing w:val="-9"/>
          <w:sz w:val="30"/>
          <w:szCs w:val="30"/>
        </w:rPr>
        <w:t>政府采购合同</w:t>
      </w:r>
      <w:bookmarkEnd w:id="151"/>
    </w:p>
    <w:p w14:paraId="10F80CA8">
      <w:pPr>
        <w:pStyle w:val="20"/>
        <w:jc w:val="center"/>
        <w:rPr>
          <w:rFonts w:hint="eastAsia" w:ascii="仿宋" w:hAnsi="仿宋" w:eastAsia="仿宋" w:cs="仿宋"/>
          <w:b/>
          <w:color w:val="auto"/>
          <w:sz w:val="24"/>
          <w:szCs w:val="24"/>
          <w:lang w:eastAsia="zh-CN"/>
        </w:rPr>
      </w:pPr>
      <w:bookmarkStart w:id="152" w:name="_Toc22693"/>
      <w:r>
        <w:rPr>
          <w:rFonts w:hint="eastAsia" w:ascii="仿宋" w:hAnsi="仿宋" w:eastAsia="仿宋" w:cs="仿宋"/>
          <w:b/>
          <w:color w:val="auto"/>
          <w:sz w:val="24"/>
          <w:szCs w:val="24"/>
          <w:lang w:eastAsia="zh-CN"/>
        </w:rPr>
        <w:t>（具体内容以实际签订合同为准）</w:t>
      </w:r>
      <w:bookmarkEnd w:id="152"/>
    </w:p>
    <w:p w14:paraId="59446889">
      <w:pPr>
        <w:rPr>
          <w:rFonts w:hint="eastAsia" w:ascii="仿宋" w:hAnsi="仿宋" w:eastAsia="仿宋" w:cs="仿宋"/>
          <w:color w:val="auto"/>
          <w:sz w:val="24"/>
          <w:szCs w:val="24"/>
        </w:rPr>
      </w:pPr>
    </w:p>
    <w:p w14:paraId="0119C201">
      <w:pPr>
        <w:spacing w:before="0"/>
        <w:ind w:left="239" w:right="0" w:firstLine="480" w:firstLineChars="200"/>
        <w:jc w:val="center"/>
        <w:rPr>
          <w:rFonts w:hint="eastAsia" w:ascii="宋体" w:hAnsi="宋体" w:eastAsia="宋体" w:cs="宋体"/>
          <w:color w:val="auto"/>
          <w:sz w:val="24"/>
          <w:szCs w:val="24"/>
          <w:highlight w:val="none"/>
        </w:rPr>
      </w:pPr>
      <w:bookmarkStart w:id="153" w:name="_Toc54862164"/>
      <w:r>
        <w:rPr>
          <w:rFonts w:hint="eastAsia" w:ascii="仿宋" w:hAnsi="仿宋" w:eastAsia="仿宋" w:cs="仿宋"/>
          <w:b w:val="0"/>
          <w:bCs w:val="0"/>
          <w:color w:val="auto"/>
          <w:sz w:val="24"/>
          <w:szCs w:val="24"/>
        </w:rPr>
        <w:t xml:space="preserve">   </w:t>
      </w:r>
      <w:bookmarkEnd w:id="153"/>
      <w:r>
        <w:rPr>
          <w:rFonts w:hint="eastAsia" w:ascii="宋体" w:hAnsi="宋体" w:eastAsia="宋体" w:cs="宋体"/>
          <w:b/>
          <w:bCs/>
          <w:color w:val="auto"/>
          <w:sz w:val="24"/>
          <w:szCs w:val="24"/>
          <w:highlight w:val="none"/>
        </w:rPr>
        <w:t>合同特殊条款</w:t>
      </w:r>
    </w:p>
    <w:p w14:paraId="2A449658">
      <w:pPr>
        <w:pStyle w:val="8"/>
        <w:spacing w:before="184" w:line="355" w:lineRule="auto"/>
        <w:ind w:right="0" w:firstLine="47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合同特殊条款是合同一般条款的补充和修改。如果两者之间有抵触，应以特</w:t>
      </w:r>
      <w:r>
        <w:rPr>
          <w:rFonts w:hint="eastAsia" w:ascii="宋体" w:hAnsi="宋体" w:eastAsia="宋体" w:cs="宋体"/>
          <w:color w:val="auto"/>
          <w:sz w:val="24"/>
          <w:szCs w:val="24"/>
          <w:highlight w:val="none"/>
        </w:rPr>
        <w:t>殊条款为准。</w:t>
      </w:r>
    </w:p>
    <w:p w14:paraId="40F1FBA7">
      <w:pPr>
        <w:pStyle w:val="8"/>
        <w:numPr>
          <w:ilvl w:val="0"/>
          <w:numId w:val="0"/>
        </w:numPr>
        <w:tabs>
          <w:tab w:val="left" w:pos="9040"/>
        </w:tabs>
        <w:spacing w:before="38" w:line="348" w:lineRule="auto"/>
        <w:ind w:right="-90" w:rightChars="0" w:firstLine="482" w:firstLineChars="200"/>
        <w:jc w:val="both"/>
        <w:rPr>
          <w:rFonts w:hint="eastAsia" w:ascii="宋体" w:hAnsi="宋体" w:eastAsia="宋体" w:cs="宋体"/>
          <w:color w:val="auto"/>
          <w:sz w:val="24"/>
          <w:szCs w:val="24"/>
          <w:highlight w:val="none"/>
        </w:rPr>
      </w:pPr>
      <w:bookmarkStart w:id="154" w:name="一、定义"/>
      <w:bookmarkEnd w:id="154"/>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定义</w:t>
      </w:r>
    </w:p>
    <w:p w14:paraId="0B8A9363">
      <w:pPr>
        <w:pStyle w:val="8"/>
        <w:numPr>
          <w:ilvl w:val="0"/>
          <w:numId w:val="0"/>
        </w:numPr>
        <w:tabs>
          <w:tab w:val="left" w:pos="9040"/>
        </w:tabs>
        <w:spacing w:before="38" w:line="348" w:lineRule="auto"/>
        <w:ind w:right="-90"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1．甲方：系指与中标人签署合同的单位。 </w:t>
      </w:r>
      <w:r>
        <w:rPr>
          <w:rFonts w:hint="eastAsia" w:ascii="宋体" w:hAnsi="宋体" w:eastAsia="宋体" w:cs="宋体"/>
          <w:color w:val="auto"/>
          <w:spacing w:val="-1"/>
          <w:sz w:val="24"/>
          <w:szCs w:val="24"/>
          <w:highlight w:val="none"/>
        </w:rPr>
        <w:t>本合同甲方系指：</w:t>
      </w:r>
      <w:r>
        <w:rPr>
          <w:rFonts w:hint="eastAsia" w:ascii="宋体" w:hAnsi="宋体" w:eastAsia="宋体" w:cs="宋体"/>
          <w:color w:val="auto"/>
          <w:spacing w:val="-1"/>
          <w:sz w:val="24"/>
          <w:szCs w:val="24"/>
          <w:highlight w:val="none"/>
          <w:u w:val="single" w:color="000000"/>
        </w:rPr>
        <w:tab/>
      </w:r>
      <w:r>
        <w:rPr>
          <w:rFonts w:hint="eastAsia" w:ascii="宋体" w:hAnsi="宋体" w:eastAsia="宋体" w:cs="宋体"/>
          <w:color w:val="auto"/>
          <w:sz w:val="24"/>
          <w:szCs w:val="24"/>
          <w:highlight w:val="none"/>
        </w:rPr>
        <w:t>。</w:t>
      </w:r>
    </w:p>
    <w:p w14:paraId="14119541">
      <w:pPr>
        <w:pStyle w:val="8"/>
        <w:numPr>
          <w:ilvl w:val="0"/>
          <w:numId w:val="0"/>
        </w:numPr>
        <w:tabs>
          <w:tab w:val="left" w:pos="5597"/>
        </w:tabs>
        <w:spacing w:before="38" w:line="348" w:lineRule="auto"/>
        <w:ind w:right="-9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2．乙方：系指根据合同约定提供相关服务的中标人</w:t>
      </w:r>
      <w:r>
        <w:rPr>
          <w:rFonts w:hint="eastAsia" w:ascii="宋体" w:hAnsi="宋体" w:eastAsia="宋体" w:cs="宋体"/>
          <w:color w:val="auto"/>
          <w:spacing w:val="-1"/>
          <w:sz w:val="24"/>
          <w:szCs w:val="24"/>
          <w:highlight w:val="none"/>
        </w:rPr>
        <w:t>本合同乙方指：</w:t>
      </w:r>
      <w:r>
        <w:rPr>
          <w:rFonts w:hint="eastAsia" w:ascii="宋体" w:hAnsi="宋体" w:eastAsia="宋体" w:cs="宋体"/>
          <w:color w:val="auto"/>
          <w:spacing w:val="-1"/>
          <w:sz w:val="24"/>
          <w:szCs w:val="24"/>
          <w:highlight w:val="none"/>
          <w:u w:val="single" w:color="000000"/>
        </w:rPr>
        <w:tab/>
      </w:r>
      <w:r>
        <w:rPr>
          <w:rFonts w:hint="eastAsia" w:ascii="宋体" w:hAnsi="宋体" w:eastAsia="宋体" w:cs="宋体"/>
          <w:color w:val="auto"/>
          <w:spacing w:val="-1"/>
          <w:sz w:val="24"/>
          <w:szCs w:val="24"/>
          <w:highlight w:val="none"/>
          <w:u w:val="single" w:color="000000"/>
        </w:rPr>
        <w:tab/>
      </w:r>
      <w:r>
        <w:rPr>
          <w:rFonts w:hint="eastAsia" w:ascii="宋体" w:hAnsi="宋体" w:eastAsia="宋体" w:cs="宋体"/>
          <w:color w:val="auto"/>
          <w:sz w:val="24"/>
          <w:szCs w:val="24"/>
          <w:highlight w:val="none"/>
        </w:rPr>
        <w:t>。</w:t>
      </w:r>
    </w:p>
    <w:p w14:paraId="5597B6E2">
      <w:pPr>
        <w:pStyle w:val="8"/>
        <w:spacing w:before="43" w:line="343"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3．“合同”系指甲乙双方签署的、合同格式中载明的甲乙双方所达成的协议，</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z w:val="24"/>
          <w:szCs w:val="24"/>
          <w:highlight w:val="none"/>
        </w:rPr>
        <w:t>包 括所有的附件、附录和构成合同的其它文件。</w:t>
      </w:r>
    </w:p>
    <w:p w14:paraId="291D2EC9">
      <w:pPr>
        <w:pStyle w:val="8"/>
        <w:spacing w:before="43" w:line="343"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4．“合同价”系指根据合同约定，乙方在完全履行合同义务后甲方应付给乙方的</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z w:val="24"/>
          <w:szCs w:val="24"/>
          <w:highlight w:val="none"/>
        </w:rPr>
        <w:t>价格。</w:t>
      </w:r>
    </w:p>
    <w:p w14:paraId="0497D04D">
      <w:pPr>
        <w:pStyle w:val="5"/>
        <w:spacing w:before="50" w:line="240" w:lineRule="auto"/>
        <w:ind w:right="0" w:firstLine="482" w:firstLineChars="200"/>
        <w:jc w:val="left"/>
        <w:rPr>
          <w:rFonts w:hint="eastAsia" w:ascii="宋体" w:hAnsi="宋体" w:eastAsia="宋体" w:cs="宋体"/>
          <w:b w:val="0"/>
          <w:bCs w:val="0"/>
          <w:color w:val="auto"/>
          <w:sz w:val="24"/>
          <w:szCs w:val="24"/>
          <w:highlight w:val="none"/>
        </w:rPr>
      </w:pPr>
      <w:bookmarkStart w:id="155" w:name="二、主要服务内容"/>
      <w:bookmarkEnd w:id="155"/>
      <w:r>
        <w:rPr>
          <w:rFonts w:hint="eastAsia" w:ascii="宋体" w:hAnsi="宋体" w:eastAsia="宋体" w:cs="宋体"/>
          <w:color w:val="auto"/>
          <w:sz w:val="24"/>
          <w:szCs w:val="24"/>
          <w:highlight w:val="none"/>
        </w:rPr>
        <w:t>二、主要服务内容</w:t>
      </w:r>
    </w:p>
    <w:p w14:paraId="5EC170FE">
      <w:pPr>
        <w:tabs>
          <w:tab w:val="left" w:pos="3557"/>
        </w:tabs>
        <w:spacing w:before="151" w:line="357" w:lineRule="auto"/>
        <w:ind w:left="437" w:right="5147" w:hang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sz w:val="24"/>
          <w:szCs w:val="24"/>
          <w:highlight w:val="none"/>
          <w:u w:val="single" w:color="000000"/>
        </w:rPr>
        <w:t>。</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三、工作结果交付</w:t>
      </w:r>
    </w:p>
    <w:p w14:paraId="5060969A">
      <w:pPr>
        <w:tabs>
          <w:tab w:val="left" w:pos="3557"/>
        </w:tabs>
        <w:spacing w:before="34" w:line="355" w:lineRule="auto"/>
        <w:ind w:left="437" w:right="5147" w:hang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sz w:val="24"/>
          <w:szCs w:val="24"/>
          <w:highlight w:val="none"/>
          <w:u w:val="single" w:color="000000"/>
        </w:rPr>
        <w:t>。</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四、项目完成时间</w:t>
      </w:r>
    </w:p>
    <w:p w14:paraId="5EF8A9EB">
      <w:pPr>
        <w:tabs>
          <w:tab w:val="left" w:pos="3557"/>
        </w:tabs>
        <w:spacing w:before="38" w:line="357" w:lineRule="auto"/>
        <w:ind w:left="437" w:right="-90" w:rightChars="0" w:hanging="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sz w:val="24"/>
          <w:szCs w:val="24"/>
          <w:highlight w:val="none"/>
          <w:u w:val="single" w:color="000000"/>
        </w:rPr>
        <w:t>。</w:t>
      </w:r>
      <w:r>
        <w:rPr>
          <w:rFonts w:hint="eastAsia" w:ascii="宋体" w:hAnsi="宋体" w:eastAsia="宋体" w:cs="宋体"/>
          <w:color w:val="auto"/>
          <w:sz w:val="24"/>
          <w:szCs w:val="24"/>
          <w:highlight w:val="none"/>
        </w:rPr>
        <w:t xml:space="preserve"> </w:t>
      </w:r>
    </w:p>
    <w:p w14:paraId="528A1A68">
      <w:pPr>
        <w:tabs>
          <w:tab w:val="left" w:pos="3557"/>
        </w:tabs>
        <w:spacing w:before="38" w:line="357" w:lineRule="auto"/>
        <w:ind w:left="437" w:right="-90" w:rightChars="0" w:hanging="1"/>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rPr>
        <w:t>五、付款条件</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napToGrid w:val="0"/>
          <w:color w:val="auto"/>
          <w:spacing w:val="-3"/>
          <w:kern w:val="0"/>
          <w:sz w:val="24"/>
          <w:szCs w:val="24"/>
          <w:highlight w:val="none"/>
          <w:u w:val="single"/>
          <w:lang w:val="en-US" w:eastAsia="zh-CN" w:bidi="ar-SA"/>
        </w:rPr>
        <w:t>签订合同后支付合同金额的60%，完成工作量50%后支付合同金额的30%，完成工作量100%后经验收合格支付合同金额的10%</w:t>
      </w:r>
      <w:r>
        <w:rPr>
          <w:rFonts w:hint="eastAsia" w:ascii="宋体" w:hAnsi="宋体" w:eastAsia="宋体" w:cs="宋体"/>
          <w:b/>
          <w:bCs/>
          <w:color w:val="auto"/>
          <w:sz w:val="24"/>
          <w:szCs w:val="24"/>
          <w:highlight w:val="none"/>
          <w:u w:val="single"/>
          <w:lang w:val="en-US" w:eastAsia="zh-CN"/>
        </w:rPr>
        <w:t>。</w:t>
      </w:r>
    </w:p>
    <w:p w14:paraId="786BE4F9">
      <w:pPr>
        <w:pStyle w:val="8"/>
        <w:numPr>
          <w:ilvl w:val="0"/>
          <w:numId w:val="0"/>
        </w:numPr>
        <w:spacing w:before="53" w:line="357" w:lineRule="auto"/>
        <w:ind w:right="0" w:righ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监督与审核</w:t>
      </w:r>
      <w:r>
        <w:rPr>
          <w:rFonts w:hint="eastAsia" w:ascii="宋体" w:hAnsi="宋体" w:eastAsia="宋体" w:cs="宋体"/>
          <w:b/>
          <w:bCs/>
          <w:color w:val="auto"/>
          <w:w w:val="99"/>
          <w:sz w:val="24"/>
          <w:szCs w:val="24"/>
          <w:highlight w:val="none"/>
        </w:rPr>
        <w:t xml:space="preserve"> </w:t>
      </w:r>
      <w:r>
        <w:rPr>
          <w:rFonts w:hint="eastAsia" w:ascii="宋体" w:hAnsi="宋体" w:eastAsia="宋体" w:cs="宋体"/>
          <w:color w:val="auto"/>
          <w:spacing w:val="-3"/>
          <w:sz w:val="24"/>
          <w:szCs w:val="24"/>
          <w:highlight w:val="none"/>
        </w:rPr>
        <w:t>甲方有权对乙方的工作进行监督和审核，如在监督或审核的过程中发现乙方工作</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z w:val="24"/>
          <w:szCs w:val="24"/>
          <w:highlight w:val="none"/>
        </w:rPr>
        <w:t>有不当之处，甲方有权提出建议，乙方应予以适当考虑并采纳其中的合理建议。 甲方有权对乙方工作成果进行抽样检查，以检验其工作的真实性和合理性。</w:t>
      </w:r>
    </w:p>
    <w:p w14:paraId="51203A2C">
      <w:pPr>
        <w:pStyle w:val="5"/>
        <w:spacing w:before="15" w:line="240" w:lineRule="auto"/>
        <w:ind w:right="0"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七、违约责任</w:t>
      </w:r>
    </w:p>
    <w:p w14:paraId="3680254E">
      <w:pPr>
        <w:keepNext w:val="0"/>
        <w:keepLines w:val="0"/>
        <w:pageBreakBefore w:val="0"/>
        <w:widowControl w:val="0"/>
        <w:tabs>
          <w:tab w:val="left" w:pos="3557"/>
        </w:tabs>
        <w:kinsoku/>
        <w:wordWrap/>
        <w:overflowPunct/>
        <w:topLinePunct w:val="0"/>
        <w:autoSpaceDE/>
        <w:autoSpaceDN/>
        <w:bidi w:val="0"/>
        <w:adjustRightInd/>
        <w:snapToGrid/>
        <w:spacing w:before="151" w:line="356" w:lineRule="auto"/>
        <w:ind w:left="0" w:right="5068"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sz w:val="24"/>
          <w:szCs w:val="24"/>
          <w:highlight w:val="none"/>
          <w:u w:val="single" w:color="000000"/>
        </w:rPr>
        <w:t>。</w:t>
      </w:r>
      <w:r>
        <w:rPr>
          <w:rFonts w:hint="eastAsia" w:ascii="宋体" w:hAnsi="宋体" w:eastAsia="宋体" w:cs="宋体"/>
          <w:color w:val="auto"/>
          <w:sz w:val="24"/>
          <w:szCs w:val="24"/>
          <w:highlight w:val="none"/>
        </w:rPr>
        <w:t xml:space="preserve"> </w:t>
      </w:r>
    </w:p>
    <w:p w14:paraId="004DBD8A">
      <w:pPr>
        <w:tabs>
          <w:tab w:val="left" w:pos="3557"/>
        </w:tabs>
        <w:spacing w:before="151" w:line="355" w:lineRule="auto"/>
        <w:ind w:left="239" w:leftChars="114" w:right="5067" w:firstLine="241" w:firstLineChars="1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八、不可抗力</w:t>
      </w:r>
    </w:p>
    <w:p w14:paraId="6CCF459C">
      <w:pPr>
        <w:pStyle w:val="8"/>
        <w:numPr>
          <w:ilvl w:val="0"/>
          <w:numId w:val="0"/>
        </w:numPr>
        <w:spacing w:before="53" w:line="357" w:lineRule="auto"/>
        <w:ind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不可抗力通知送达时间：事故发生后</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天内。</w:t>
      </w:r>
    </w:p>
    <w:p w14:paraId="16D23637">
      <w:pPr>
        <w:spacing w:after="0" w:line="357" w:lineRule="auto"/>
        <w:jc w:val="left"/>
        <w:rPr>
          <w:rFonts w:hint="eastAsia" w:ascii="宋体" w:hAnsi="宋体" w:eastAsia="宋体" w:cs="宋体"/>
          <w:color w:val="auto"/>
          <w:sz w:val="24"/>
          <w:szCs w:val="24"/>
          <w:highlight w:val="none"/>
        </w:rPr>
        <w:sectPr>
          <w:headerReference r:id="rId49" w:type="default"/>
          <w:footerReference r:id="rId50" w:type="default"/>
          <w:pgSz w:w="11910" w:h="16840"/>
          <w:pgMar w:top="1300" w:right="1600" w:bottom="1160" w:left="1360" w:header="662" w:footer="977" w:gutter="0"/>
          <w:pgNumType w:fmt="decimal"/>
          <w:cols w:space="720" w:num="1"/>
        </w:sectPr>
      </w:pPr>
    </w:p>
    <w:p w14:paraId="473C856A">
      <w:pPr>
        <w:spacing w:before="10"/>
        <w:ind w:left="239" w:right="0"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合同一般条款</w:t>
      </w:r>
    </w:p>
    <w:p w14:paraId="3995CB15">
      <w:pPr>
        <w:ind w:firstLine="562" w:firstLineChars="200"/>
        <w:jc w:val="center"/>
        <w:outlineLvl w:val="0"/>
        <w:rPr>
          <w:rFonts w:ascii="仿宋_GB2312" w:hAnsi="宋体" w:eastAsia="仿宋_GB2312"/>
          <w:b/>
          <w:bCs/>
          <w:color w:val="auto"/>
          <w:sz w:val="28"/>
          <w:szCs w:val="28"/>
          <w:highlight w:val="none"/>
        </w:rPr>
      </w:pPr>
      <w:bookmarkStart w:id="156" w:name="_Toc22570_WPSOffice_Level2"/>
      <w:bookmarkStart w:id="157" w:name="_Toc22733"/>
      <w:bookmarkStart w:id="158" w:name="_Toc27319"/>
      <w:bookmarkStart w:id="159" w:name="_Toc26772_WPSOffice_Level1"/>
      <w:bookmarkStart w:id="160" w:name="_Toc32419_WPSOffice_Level1"/>
      <w:r>
        <w:rPr>
          <w:rFonts w:hint="eastAsia" w:ascii="仿宋_GB2312" w:hAnsi="宋体" w:eastAsia="仿宋_GB2312"/>
          <w:b/>
          <w:bCs/>
          <w:color w:val="auto"/>
          <w:sz w:val="28"/>
          <w:szCs w:val="28"/>
          <w:highlight w:val="none"/>
        </w:rPr>
        <w:t>（</w:t>
      </w:r>
      <w:r>
        <w:rPr>
          <w:rFonts w:hint="eastAsia" w:ascii="宋体" w:hAnsi="宋体" w:eastAsia="宋体" w:cs="宋体"/>
          <w:b/>
          <w:bCs/>
          <w:color w:val="auto"/>
          <w:sz w:val="28"/>
          <w:szCs w:val="28"/>
          <w:highlight w:val="none"/>
        </w:rPr>
        <w:t>以最终签订为准</w:t>
      </w:r>
      <w:r>
        <w:rPr>
          <w:rFonts w:hint="eastAsia" w:ascii="仿宋_GB2312" w:hAnsi="宋体" w:eastAsia="仿宋_GB2312"/>
          <w:b/>
          <w:bCs/>
          <w:color w:val="auto"/>
          <w:sz w:val="28"/>
          <w:szCs w:val="28"/>
          <w:highlight w:val="none"/>
        </w:rPr>
        <w:t>）</w:t>
      </w:r>
      <w:bookmarkEnd w:id="156"/>
      <w:bookmarkEnd w:id="157"/>
      <w:bookmarkEnd w:id="158"/>
      <w:bookmarkEnd w:id="159"/>
      <w:bookmarkEnd w:id="160"/>
    </w:p>
    <w:p w14:paraId="10E66E56">
      <w:pPr>
        <w:pStyle w:val="8"/>
        <w:spacing w:before="182" w:line="360" w:lineRule="auto"/>
        <w:ind w:right="0" w:firstLine="46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依据《中华人民共和国</w:t>
      </w:r>
      <w:r>
        <w:rPr>
          <w:rFonts w:hint="eastAsia" w:hAnsi="宋体" w:eastAsia="宋体" w:cs="宋体"/>
          <w:color w:val="auto"/>
          <w:spacing w:val="-3"/>
          <w:sz w:val="24"/>
          <w:szCs w:val="24"/>
          <w:highlight w:val="none"/>
          <w:lang w:eastAsia="zh-CN"/>
        </w:rPr>
        <w:t>民法典</w:t>
      </w:r>
      <w:r>
        <w:rPr>
          <w:rFonts w:hint="eastAsia" w:ascii="宋体" w:hAnsi="宋体" w:eastAsia="宋体" w:cs="宋体"/>
          <w:color w:val="auto"/>
          <w:spacing w:val="-3"/>
          <w:sz w:val="24"/>
          <w:szCs w:val="24"/>
          <w:highlight w:val="none"/>
        </w:rPr>
        <w:t>》及相关法律法规，经双方协商一致，签订本</w:t>
      </w:r>
      <w:r>
        <w:rPr>
          <w:rFonts w:hint="eastAsia" w:ascii="宋体" w:hAnsi="宋体" w:eastAsia="宋体" w:cs="宋体"/>
          <w:color w:val="auto"/>
          <w:sz w:val="24"/>
          <w:szCs w:val="24"/>
          <w:highlight w:val="none"/>
        </w:rPr>
        <w:t>合同，以资共同遵守。</w:t>
      </w:r>
    </w:p>
    <w:p w14:paraId="5D76D8A0">
      <w:pPr>
        <w:keepNext w:val="0"/>
        <w:keepLines w:val="0"/>
        <w:pageBreakBefore w:val="0"/>
        <w:widowControl w:val="0"/>
        <w:kinsoku/>
        <w:wordWrap/>
        <w:overflowPunct/>
        <w:topLinePunct w:val="0"/>
        <w:autoSpaceDE/>
        <w:autoSpaceDN/>
        <w:bidi w:val="0"/>
        <w:adjustRightInd/>
        <w:snapToGrid/>
        <w:spacing w:before="34" w:line="360" w:lineRule="auto"/>
        <w:ind w:right="130" w:rightChars="0" w:firstLine="482" w:firstLineChars="200"/>
        <w:jc w:val="left"/>
        <w:textAlignment w:val="auto"/>
        <w:rPr>
          <w:rFonts w:hint="eastAsia" w:ascii="宋体" w:hAnsi="宋体" w:eastAsia="宋体" w:cs="宋体"/>
          <w:color w:val="auto"/>
          <w:sz w:val="24"/>
          <w:szCs w:val="24"/>
          <w:highlight w:val="none"/>
        </w:rPr>
      </w:pPr>
      <w:bookmarkStart w:id="161" w:name="1、   定义"/>
      <w:bookmarkEnd w:id="161"/>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定义</w:t>
      </w:r>
      <w:r>
        <w:rPr>
          <w:rFonts w:hint="eastAsia" w:ascii="宋体" w:hAnsi="宋体" w:eastAsia="宋体" w:cs="宋体"/>
          <w:b/>
          <w:bCs/>
          <w:color w:val="auto"/>
          <w:w w:val="99"/>
          <w:sz w:val="24"/>
          <w:szCs w:val="24"/>
          <w:highlight w:val="none"/>
        </w:rPr>
        <w:t xml:space="preserve"> </w:t>
      </w:r>
      <w:r>
        <w:rPr>
          <w:rFonts w:hint="eastAsia" w:ascii="宋体" w:hAnsi="宋体" w:eastAsia="宋体" w:cs="宋体"/>
          <w:color w:val="auto"/>
          <w:sz w:val="24"/>
          <w:szCs w:val="24"/>
          <w:highlight w:val="none"/>
        </w:rPr>
        <w:t>本合同下列术语应解释为：</w:t>
      </w:r>
    </w:p>
    <w:p w14:paraId="3A870AE0">
      <w:pPr>
        <w:pStyle w:val="8"/>
        <w:keepNext w:val="0"/>
        <w:keepLines w:val="0"/>
        <w:pageBreakBefore w:val="0"/>
        <w:widowControl w:val="0"/>
        <w:kinsoku/>
        <w:wordWrap/>
        <w:overflowPunct/>
        <w:topLinePunct w:val="0"/>
        <w:autoSpaceDE/>
        <w:autoSpaceDN/>
        <w:bidi w:val="0"/>
        <w:adjustRightInd/>
        <w:snapToGrid/>
        <w:spacing w:before="55" w:line="360" w:lineRule="auto"/>
        <w:ind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“合同”系指甲乙双方签署的、合同格式中载明的甲乙双方所达成的协议， 包括所有的附件、附录和上述文件所提到的构成合同的所有文件。</w:t>
      </w:r>
    </w:p>
    <w:p w14:paraId="7BC3422F">
      <w:pPr>
        <w:pStyle w:val="8"/>
        <w:keepNext w:val="0"/>
        <w:keepLines w:val="0"/>
        <w:pageBreakBefore w:val="0"/>
        <w:widowControl w:val="0"/>
        <w:kinsoku/>
        <w:wordWrap/>
        <w:overflowPunct/>
        <w:topLinePunct w:val="0"/>
        <w:autoSpaceDE/>
        <w:autoSpaceDN/>
        <w:bidi w:val="0"/>
        <w:adjustRightInd/>
        <w:snapToGrid/>
        <w:spacing w:before="55" w:line="360" w:lineRule="auto"/>
        <w:ind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z w:val="24"/>
          <w:szCs w:val="24"/>
          <w:highlight w:val="none"/>
        </w:rPr>
        <w:t>“合同总价”系指根据合同规定乙方在正确地完全履行合同义务后甲方应支 付给乙方的价格。合同总价与报价价格一致。</w:t>
      </w:r>
    </w:p>
    <w:p w14:paraId="33EB7447">
      <w:pPr>
        <w:pStyle w:val="8"/>
        <w:spacing w:before="53"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3"/>
          <w:sz w:val="24"/>
          <w:szCs w:val="24"/>
          <w:highlight w:val="none"/>
        </w:rPr>
        <w:t>“服务”系指根据合同规定乙方承担有关的服务，详见合同条款及相关附件。</w:t>
      </w:r>
    </w:p>
    <w:p w14:paraId="735F18EA">
      <w:pPr>
        <w:pStyle w:val="8"/>
        <w:tabs>
          <w:tab w:val="left" w:pos="3711"/>
        </w:tabs>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rPr>
        <w:t>“甲方”指</w:t>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sz w:val="24"/>
          <w:szCs w:val="24"/>
          <w:highlight w:val="none"/>
        </w:rPr>
        <w:t>。</w:t>
      </w:r>
    </w:p>
    <w:p w14:paraId="0225B1CB">
      <w:pPr>
        <w:pStyle w:val="8"/>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“乙方”指为本合同提供服务的公司或实体。</w:t>
      </w:r>
    </w:p>
    <w:p w14:paraId="637E23A0">
      <w:pPr>
        <w:pStyle w:val="8"/>
        <w:spacing w:before="133"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“项目现场”指的是：甲方指定地点。</w:t>
      </w:r>
    </w:p>
    <w:p w14:paraId="0E6D5679">
      <w:pPr>
        <w:pStyle w:val="5"/>
        <w:tabs>
          <w:tab w:val="left" w:pos="1157"/>
        </w:tabs>
        <w:spacing w:before="135" w:line="360" w:lineRule="auto"/>
        <w:ind w:right="0" w:firstLine="482" w:firstLineChars="200"/>
        <w:jc w:val="left"/>
        <w:rPr>
          <w:rFonts w:hint="eastAsia" w:ascii="宋体" w:hAnsi="宋体" w:eastAsia="宋体" w:cs="宋体"/>
          <w:b w:val="0"/>
          <w:bCs w:val="0"/>
          <w:color w:val="auto"/>
          <w:sz w:val="24"/>
          <w:szCs w:val="24"/>
          <w:highlight w:val="none"/>
        </w:rPr>
      </w:pPr>
      <w:bookmarkStart w:id="162" w:name="2、   乙方合同义务"/>
      <w:bookmarkEnd w:id="162"/>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乙方合同义务</w:t>
      </w:r>
    </w:p>
    <w:p w14:paraId="54BB7ACD">
      <w:pPr>
        <w:pStyle w:val="5"/>
        <w:tabs>
          <w:tab w:val="left" w:pos="1097"/>
        </w:tabs>
        <w:spacing w:line="360" w:lineRule="auto"/>
        <w:ind w:right="0"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服务内容</w:t>
      </w:r>
    </w:p>
    <w:p w14:paraId="19746BC6">
      <w:pPr>
        <w:pStyle w:val="8"/>
        <w:tabs>
          <w:tab w:val="left" w:pos="1157"/>
        </w:tabs>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乙方服务内容见招标文件及被甲方接受的投标文件中的规定。</w:t>
      </w:r>
    </w:p>
    <w:p w14:paraId="785107F2">
      <w:pPr>
        <w:pStyle w:val="8"/>
        <w:spacing w:before="133" w:line="360" w:lineRule="auto"/>
        <w:ind w:right="474"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2.1.2</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2"/>
          <w:sz w:val="24"/>
          <w:szCs w:val="24"/>
          <w:highlight w:val="none"/>
        </w:rPr>
        <w:t>乙方提供的服务应与招标文件规定的服务内容、服务规范和规范附件</w:t>
      </w:r>
      <w:r>
        <w:rPr>
          <w:rFonts w:hint="eastAsia" w:ascii="宋体" w:hAnsi="宋体" w:eastAsia="宋体" w:cs="宋体"/>
          <w:color w:val="auto"/>
          <w:spacing w:val="-118"/>
          <w:sz w:val="24"/>
          <w:szCs w:val="24"/>
          <w:highlight w:val="none"/>
        </w:rPr>
        <w:t xml:space="preserve"> </w:t>
      </w:r>
      <w:r>
        <w:rPr>
          <w:rFonts w:hint="eastAsia" w:ascii="宋体" w:hAnsi="宋体" w:eastAsia="宋体" w:cs="宋体"/>
          <w:color w:val="auto"/>
          <w:spacing w:val="2"/>
          <w:sz w:val="24"/>
          <w:szCs w:val="24"/>
          <w:highlight w:val="none"/>
        </w:rPr>
        <w:t>(如果有的话)及其投标文件的服务内容、服务规范偏差表(如果被甲方</w:t>
      </w:r>
      <w:r>
        <w:rPr>
          <w:rFonts w:hint="eastAsia" w:ascii="宋体" w:hAnsi="宋体" w:eastAsia="宋体" w:cs="宋体"/>
          <w:color w:val="auto"/>
          <w:sz w:val="24"/>
          <w:szCs w:val="24"/>
          <w:highlight w:val="none"/>
        </w:rPr>
        <w:t xml:space="preserve"> 接受的话)相一致。若文件规范中无相应说明，则以国家有关部门最新 颁布的相应标准及规范为准。</w:t>
      </w:r>
    </w:p>
    <w:p w14:paraId="6011FE03">
      <w:pPr>
        <w:pStyle w:val="5"/>
        <w:tabs>
          <w:tab w:val="left" w:pos="1097"/>
        </w:tabs>
        <w:spacing w:before="53" w:line="360" w:lineRule="auto"/>
        <w:ind w:right="0"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合同资料</w:t>
      </w:r>
    </w:p>
    <w:p w14:paraId="5B989645">
      <w:pPr>
        <w:pStyle w:val="8"/>
        <w:tabs>
          <w:tab w:val="left" w:pos="1155"/>
        </w:tabs>
        <w:spacing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2.2.1合同项下文件资料(除合同特殊条款规定外)将以下列方式交付：接到对</w:t>
      </w:r>
    </w:p>
    <w:p w14:paraId="60DDB1CC">
      <w:pPr>
        <w:pStyle w:val="8"/>
        <w:spacing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方书面通知后 15</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3"/>
          <w:sz w:val="24"/>
          <w:szCs w:val="24"/>
          <w:highlight w:val="none"/>
        </w:rPr>
        <w:t>天之内，将完成服务或合同所需必要资料交付给对方。</w:t>
      </w:r>
    </w:p>
    <w:p w14:paraId="10EB5182">
      <w:pPr>
        <w:pStyle w:val="5"/>
        <w:tabs>
          <w:tab w:val="left" w:pos="1097"/>
        </w:tabs>
        <w:spacing w:line="360" w:lineRule="auto"/>
        <w:ind w:right="0"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工作结果交付</w:t>
      </w:r>
    </w:p>
    <w:p w14:paraId="75A9CDC6">
      <w:pPr>
        <w:pStyle w:val="8"/>
        <w:tabs>
          <w:tab w:val="left" w:pos="1157"/>
        </w:tabs>
        <w:spacing w:before="133"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2.3.1乙方应按照甲方要求的时间和进度交付相应的工作结果。</w:t>
      </w:r>
    </w:p>
    <w:p w14:paraId="5EC1FC58">
      <w:pPr>
        <w:pStyle w:val="5"/>
        <w:tabs>
          <w:tab w:val="left" w:pos="1097"/>
        </w:tabs>
        <w:spacing w:before="135" w:line="360" w:lineRule="auto"/>
        <w:ind w:right="0"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2.4保密</w:t>
      </w:r>
    </w:p>
    <w:p w14:paraId="5DB9B438">
      <w:pPr>
        <w:pStyle w:val="8"/>
        <w:spacing w:before="15"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2.4.1乙方保证对在谈判、签订、执行本协议过程中所获悉的属于无法自公开 </w:t>
      </w:r>
      <w:r>
        <w:rPr>
          <w:rFonts w:hint="eastAsia" w:ascii="宋体" w:hAnsi="宋体" w:eastAsia="宋体" w:cs="宋体"/>
          <w:color w:val="auto"/>
          <w:spacing w:val="3"/>
          <w:sz w:val="24"/>
          <w:szCs w:val="24"/>
          <w:highlight w:val="none"/>
        </w:rPr>
        <w:t>渠道获得的文件及资料（包括国家秘密、商业秘密、工作秘密、公司</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计划、运营活动、财务信息、技术信息、经营信息及其他有关信息）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予以保密。未经该资料和文件的原提供方同意，不得向任何第三方泄露该商业秘密或未公开工作信息的全部或部分内容。但法律、法规另</w:t>
      </w:r>
      <w:r>
        <w:rPr>
          <w:rFonts w:hint="eastAsia" w:ascii="宋体" w:hAnsi="宋体" w:eastAsia="宋体" w:cs="宋体"/>
          <w:color w:val="auto"/>
          <w:spacing w:val="-117"/>
          <w:sz w:val="24"/>
          <w:szCs w:val="24"/>
          <w:highlight w:val="none"/>
        </w:rPr>
        <w:t xml:space="preserve"> </w:t>
      </w:r>
      <w:r>
        <w:rPr>
          <w:rFonts w:hint="eastAsia" w:ascii="宋体" w:hAnsi="宋体" w:eastAsia="宋体" w:cs="宋体"/>
          <w:color w:val="auto"/>
          <w:sz w:val="24"/>
          <w:szCs w:val="24"/>
          <w:highlight w:val="none"/>
        </w:rPr>
        <w:t>有规定或双方另有约定的除外。</w:t>
      </w:r>
    </w:p>
    <w:p w14:paraId="5310E154">
      <w:pPr>
        <w:pStyle w:val="5"/>
        <w:tabs>
          <w:tab w:val="left" w:pos="977"/>
        </w:tabs>
        <w:spacing w:before="36" w:line="360" w:lineRule="auto"/>
        <w:ind w:right="0" w:firstLine="494" w:firstLineChars="200"/>
        <w:jc w:val="left"/>
        <w:rPr>
          <w:rFonts w:hint="eastAsia" w:ascii="宋体" w:hAnsi="宋体" w:eastAsia="宋体" w:cs="宋体"/>
          <w:b/>
          <w:bCs/>
          <w:color w:val="auto"/>
          <w:spacing w:val="3"/>
          <w:kern w:val="2"/>
          <w:sz w:val="24"/>
          <w:szCs w:val="24"/>
          <w:highlight w:val="none"/>
          <w:lang w:val="en-US" w:eastAsia="zh-CN" w:bidi="ar-SA"/>
        </w:rPr>
      </w:pPr>
      <w:r>
        <w:rPr>
          <w:rFonts w:hint="eastAsia" w:ascii="宋体" w:hAnsi="宋体" w:eastAsia="宋体" w:cs="宋体"/>
          <w:b/>
          <w:bCs/>
          <w:color w:val="auto"/>
          <w:spacing w:val="3"/>
          <w:kern w:val="2"/>
          <w:sz w:val="24"/>
          <w:szCs w:val="24"/>
          <w:highlight w:val="none"/>
          <w:lang w:val="en-US" w:eastAsia="zh-CN" w:bidi="ar-SA"/>
        </w:rPr>
        <w:t>2.5</w:t>
      </w:r>
      <w:r>
        <w:rPr>
          <w:rFonts w:hint="eastAsia" w:ascii="宋体" w:hAnsi="宋体" w:eastAsia="宋体" w:cs="宋体"/>
          <w:b/>
          <w:bCs/>
          <w:color w:val="auto"/>
          <w:spacing w:val="3"/>
          <w:kern w:val="2"/>
          <w:sz w:val="24"/>
          <w:szCs w:val="24"/>
          <w:highlight w:val="none"/>
          <w:lang w:val="en-US" w:eastAsia="zh-CN" w:bidi="ar-SA"/>
        </w:rPr>
        <w:tab/>
      </w:r>
      <w:r>
        <w:rPr>
          <w:rFonts w:hint="eastAsia" w:ascii="宋体" w:hAnsi="宋体" w:eastAsia="宋体" w:cs="宋体"/>
          <w:b/>
          <w:bCs/>
          <w:color w:val="auto"/>
          <w:spacing w:val="3"/>
          <w:kern w:val="2"/>
          <w:sz w:val="24"/>
          <w:szCs w:val="24"/>
          <w:highlight w:val="none"/>
          <w:lang w:val="en-US" w:eastAsia="zh-CN" w:bidi="ar-SA"/>
        </w:rPr>
        <w:t>知识产权</w:t>
      </w:r>
    </w:p>
    <w:p w14:paraId="03C7B7CE">
      <w:pPr>
        <w:pStyle w:val="8"/>
        <w:keepNext w:val="0"/>
        <w:keepLines w:val="0"/>
        <w:pageBreakBefore w:val="0"/>
        <w:widowControl w:val="0"/>
        <w:kinsoku/>
        <w:wordWrap/>
        <w:overflowPunct/>
        <w:topLinePunct w:val="0"/>
        <w:autoSpaceDE/>
        <w:autoSpaceDN/>
        <w:bidi w:val="0"/>
        <w:adjustRightInd/>
        <w:snapToGrid/>
        <w:spacing w:line="360" w:lineRule="auto"/>
        <w:ind w:left="0" w:leftChars="0" w:right="391" w:firstLine="492" w:firstLineChars="200"/>
        <w:jc w:val="both"/>
        <w:textAlignment w:val="auto"/>
        <w:rPr>
          <w:rFonts w:hint="eastAsia" w:ascii="宋体" w:hAnsi="宋体" w:eastAsia="宋体" w:cs="宋体"/>
          <w:b w:val="0"/>
          <w:bCs w:val="0"/>
          <w:color w:val="auto"/>
          <w:spacing w:val="3"/>
          <w:kern w:val="2"/>
          <w:sz w:val="24"/>
          <w:szCs w:val="24"/>
          <w:highlight w:val="none"/>
          <w:lang w:val="en-US" w:eastAsia="zh-CN" w:bidi="ar-SA"/>
        </w:rPr>
      </w:pPr>
      <w:r>
        <w:rPr>
          <w:rFonts w:hint="eastAsia" w:ascii="宋体" w:hAnsi="宋体" w:eastAsia="宋体" w:cs="宋体"/>
          <w:b w:val="0"/>
          <w:bCs w:val="0"/>
          <w:color w:val="auto"/>
          <w:spacing w:val="3"/>
          <w:kern w:val="2"/>
          <w:sz w:val="24"/>
          <w:szCs w:val="24"/>
          <w:highlight w:val="none"/>
          <w:lang w:val="en-US" w:eastAsia="zh-CN" w:bidi="ar-SA"/>
        </w:rPr>
        <w:t>2.5.1 乙方应保证甲方使用合同项下乙方工作成果的任何一部分时免受第三方 提出的侵犯其专利权、著作权、商标权或工业设计权等知识产权的起 诉。如果任何第三方对此提出起诉 ，乙方应负责与之交涉并承担由此 引起的一切法律责任及经济损失。</w:t>
      </w:r>
    </w:p>
    <w:p w14:paraId="1E461D2F">
      <w:pPr>
        <w:pStyle w:val="5"/>
        <w:tabs>
          <w:tab w:val="left" w:pos="1157"/>
        </w:tabs>
        <w:spacing w:before="41" w:line="360" w:lineRule="auto"/>
        <w:ind w:right="0" w:firstLine="458" w:firstLineChars="200"/>
        <w:jc w:val="left"/>
        <w:rPr>
          <w:rFonts w:hint="eastAsia" w:ascii="宋体" w:hAnsi="宋体" w:eastAsia="宋体" w:cs="宋体"/>
          <w:b w:val="0"/>
          <w:bCs w:val="0"/>
          <w:color w:val="auto"/>
          <w:sz w:val="24"/>
          <w:szCs w:val="24"/>
          <w:highlight w:val="none"/>
        </w:rPr>
      </w:pPr>
      <w:bookmarkStart w:id="163" w:name="3、   甲方合同义务"/>
      <w:bookmarkEnd w:id="163"/>
      <w:r>
        <w:rPr>
          <w:rFonts w:hint="eastAsia" w:ascii="宋体" w:hAnsi="宋体" w:eastAsia="宋体" w:cs="宋体"/>
          <w:color w:val="auto"/>
          <w:w w:val="95"/>
          <w:sz w:val="24"/>
          <w:szCs w:val="24"/>
          <w:highlight w:val="none"/>
        </w:rPr>
        <w:t>3、</w:t>
      </w:r>
      <w:r>
        <w:rPr>
          <w:rFonts w:hint="eastAsia" w:ascii="宋体" w:hAnsi="宋体" w:eastAsia="宋体" w:cs="宋体"/>
          <w:color w:val="auto"/>
          <w:sz w:val="24"/>
          <w:szCs w:val="24"/>
          <w:highlight w:val="none"/>
        </w:rPr>
        <w:t>甲方合同义务</w:t>
      </w:r>
    </w:p>
    <w:p w14:paraId="799FC59B">
      <w:pPr>
        <w:pStyle w:val="5"/>
        <w:tabs>
          <w:tab w:val="left" w:pos="1097"/>
        </w:tabs>
        <w:spacing w:before="135" w:line="360" w:lineRule="auto"/>
        <w:ind w:right="0"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3.1合同款支付</w:t>
      </w:r>
    </w:p>
    <w:p w14:paraId="75BD21D0">
      <w:pPr>
        <w:pStyle w:val="8"/>
        <w:tabs>
          <w:tab w:val="left" w:pos="1157"/>
        </w:tabs>
        <w:spacing w:before="133"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合同货币：人民币。</w:t>
      </w:r>
    </w:p>
    <w:p w14:paraId="7F3569F7">
      <w:pPr>
        <w:pStyle w:val="8"/>
        <w:tabs>
          <w:tab w:val="left" w:pos="1157"/>
        </w:tabs>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合同款支付进度见合同特殊条款规定。</w:t>
      </w:r>
    </w:p>
    <w:p w14:paraId="7EB08237">
      <w:pPr>
        <w:pStyle w:val="5"/>
        <w:tabs>
          <w:tab w:val="left" w:pos="1157"/>
        </w:tabs>
        <w:spacing w:line="360" w:lineRule="auto"/>
        <w:ind w:right="0" w:firstLine="458" w:firstLineChars="200"/>
        <w:jc w:val="left"/>
        <w:rPr>
          <w:rFonts w:hint="eastAsia" w:ascii="宋体" w:hAnsi="宋体" w:eastAsia="宋体" w:cs="宋体"/>
          <w:b w:val="0"/>
          <w:bCs w:val="0"/>
          <w:color w:val="auto"/>
          <w:sz w:val="24"/>
          <w:szCs w:val="24"/>
          <w:highlight w:val="none"/>
        </w:rPr>
      </w:pPr>
      <w:bookmarkStart w:id="164" w:name="4、   项目完成时间"/>
      <w:bookmarkEnd w:id="164"/>
      <w:r>
        <w:rPr>
          <w:rFonts w:hint="eastAsia" w:ascii="宋体" w:hAnsi="宋体" w:eastAsia="宋体" w:cs="宋体"/>
          <w:color w:val="auto"/>
          <w:w w:val="95"/>
          <w:sz w:val="24"/>
          <w:szCs w:val="24"/>
          <w:highlight w:val="none"/>
        </w:rPr>
        <w:t>4、</w:t>
      </w:r>
      <w:r>
        <w:rPr>
          <w:rFonts w:hint="eastAsia" w:ascii="宋体" w:hAnsi="宋体" w:eastAsia="宋体" w:cs="宋体"/>
          <w:color w:val="auto"/>
          <w:sz w:val="24"/>
          <w:szCs w:val="24"/>
          <w:highlight w:val="none"/>
        </w:rPr>
        <w:t>项目完成时间</w:t>
      </w:r>
    </w:p>
    <w:p w14:paraId="3203C175">
      <w:pPr>
        <w:pStyle w:val="8"/>
        <w:tabs>
          <w:tab w:val="left" w:pos="1217"/>
        </w:tabs>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4.1本合同项目完成时间见合同特殊条款规定。</w:t>
      </w:r>
    </w:p>
    <w:p w14:paraId="2E04EF09">
      <w:pPr>
        <w:pStyle w:val="5"/>
        <w:numPr>
          <w:ilvl w:val="0"/>
          <w:numId w:val="8"/>
        </w:numPr>
        <w:tabs>
          <w:tab w:val="left" w:pos="1157"/>
        </w:tabs>
        <w:spacing w:line="360" w:lineRule="auto"/>
        <w:ind w:right="0" w:firstLine="482" w:firstLineChars="200"/>
        <w:jc w:val="left"/>
        <w:rPr>
          <w:rFonts w:hint="eastAsia" w:ascii="宋体" w:hAnsi="宋体" w:eastAsia="宋体" w:cs="宋体"/>
          <w:color w:val="auto"/>
          <w:sz w:val="24"/>
          <w:szCs w:val="24"/>
          <w:highlight w:val="none"/>
        </w:rPr>
      </w:pPr>
      <w:bookmarkStart w:id="165" w:name="5、   监督与审核"/>
      <w:bookmarkEnd w:id="165"/>
      <w:r>
        <w:rPr>
          <w:rFonts w:hint="eastAsia" w:ascii="宋体" w:hAnsi="宋体" w:eastAsia="宋体" w:cs="宋体"/>
          <w:color w:val="auto"/>
          <w:sz w:val="24"/>
          <w:szCs w:val="24"/>
          <w:highlight w:val="none"/>
        </w:rPr>
        <w:t>监督与审核</w:t>
      </w:r>
    </w:p>
    <w:p w14:paraId="0429113D">
      <w:pPr>
        <w:pStyle w:val="5"/>
        <w:numPr>
          <w:ilvl w:val="0"/>
          <w:numId w:val="0"/>
        </w:numPr>
        <w:tabs>
          <w:tab w:val="left" w:pos="1157"/>
        </w:tabs>
        <w:spacing w:line="360" w:lineRule="auto"/>
        <w:ind w:right="0" w:rightChars="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w:t>
      </w:r>
      <w:r>
        <w:rPr>
          <w:rFonts w:hint="eastAsia" w:ascii="宋体" w:hAnsi="宋体" w:eastAsia="宋体" w:cs="宋体"/>
          <w:b w:val="0"/>
          <w:bCs w:val="0"/>
          <w:color w:val="auto"/>
          <w:spacing w:val="31"/>
          <w:sz w:val="24"/>
          <w:szCs w:val="24"/>
          <w:highlight w:val="none"/>
        </w:rPr>
        <w:t xml:space="preserve"> </w:t>
      </w:r>
      <w:r>
        <w:rPr>
          <w:rFonts w:hint="eastAsia" w:ascii="宋体" w:hAnsi="宋体" w:eastAsia="宋体" w:cs="宋体"/>
          <w:b w:val="0"/>
          <w:bCs w:val="0"/>
          <w:color w:val="auto"/>
          <w:sz w:val="24"/>
          <w:szCs w:val="24"/>
          <w:highlight w:val="none"/>
        </w:rPr>
        <w:t xml:space="preserve">甲方有权对乙方的工作进行监督和审核，如在监督或审核的过程中发现乙 </w:t>
      </w:r>
      <w:r>
        <w:rPr>
          <w:rFonts w:hint="eastAsia" w:ascii="宋体" w:hAnsi="宋体" w:eastAsia="宋体" w:cs="宋体"/>
          <w:b w:val="0"/>
          <w:bCs w:val="0"/>
          <w:color w:val="auto"/>
          <w:spacing w:val="-3"/>
          <w:sz w:val="24"/>
          <w:szCs w:val="24"/>
          <w:highlight w:val="none"/>
        </w:rPr>
        <w:t>方工作有不当之处，甲方有权提出建议，乙方应予以适当考虑并采纳其中</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3"/>
          <w:sz w:val="24"/>
          <w:szCs w:val="24"/>
          <w:highlight w:val="none"/>
        </w:rPr>
        <w:t>的合理建议。甲方有权对乙方工作成果进行抽样检查，以检验其工作的真</w:t>
      </w:r>
      <w:r>
        <w:rPr>
          <w:rFonts w:hint="eastAsia" w:ascii="宋体" w:hAnsi="宋体" w:eastAsia="宋体" w:cs="宋体"/>
          <w:b w:val="0"/>
          <w:bCs w:val="0"/>
          <w:color w:val="auto"/>
          <w:sz w:val="24"/>
          <w:szCs w:val="24"/>
          <w:highlight w:val="none"/>
        </w:rPr>
        <w:t xml:space="preserve"> 实性和合理性。</w:t>
      </w:r>
    </w:p>
    <w:p w14:paraId="1CD9B351">
      <w:pPr>
        <w:pStyle w:val="5"/>
        <w:tabs>
          <w:tab w:val="left" w:pos="1037"/>
        </w:tabs>
        <w:spacing w:before="43" w:line="360" w:lineRule="auto"/>
        <w:ind w:right="0" w:firstLine="458" w:firstLineChars="200"/>
        <w:jc w:val="left"/>
        <w:rPr>
          <w:rFonts w:hint="eastAsia" w:ascii="宋体" w:hAnsi="宋体" w:eastAsia="宋体" w:cs="宋体"/>
          <w:b w:val="0"/>
          <w:bCs w:val="0"/>
          <w:color w:val="auto"/>
          <w:sz w:val="24"/>
          <w:szCs w:val="24"/>
          <w:highlight w:val="none"/>
        </w:rPr>
      </w:pPr>
      <w:bookmarkStart w:id="166" w:name="6、  索赔"/>
      <w:bookmarkEnd w:id="166"/>
      <w:r>
        <w:rPr>
          <w:rFonts w:hint="eastAsia" w:ascii="宋体" w:hAnsi="宋体" w:eastAsia="宋体" w:cs="宋体"/>
          <w:color w:val="auto"/>
          <w:w w:val="95"/>
          <w:sz w:val="24"/>
          <w:szCs w:val="24"/>
          <w:highlight w:val="none"/>
        </w:rPr>
        <w:t>6、</w:t>
      </w:r>
      <w:r>
        <w:rPr>
          <w:rFonts w:hint="eastAsia" w:ascii="宋体" w:hAnsi="宋体" w:eastAsia="宋体" w:cs="宋体"/>
          <w:color w:val="auto"/>
          <w:sz w:val="24"/>
          <w:szCs w:val="24"/>
          <w:highlight w:val="none"/>
        </w:rPr>
        <w:t>索赔</w:t>
      </w:r>
    </w:p>
    <w:p w14:paraId="1995E8EB">
      <w:pPr>
        <w:pStyle w:val="8"/>
        <w:tabs>
          <w:tab w:val="left" w:pos="1097"/>
        </w:tabs>
        <w:spacing w:before="133" w:line="360" w:lineRule="auto"/>
        <w:ind w:right="158"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pacing w:val="-3"/>
          <w:sz w:val="24"/>
          <w:szCs w:val="24"/>
          <w:highlight w:val="none"/>
        </w:rPr>
        <w:t>如果在合同履行过程中，由于乙方违反合同规定义务导致甲方受到损失，</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z w:val="24"/>
          <w:szCs w:val="24"/>
          <w:highlight w:val="none"/>
        </w:rPr>
        <w:t>乙方应按照甲方的实际损失予以赔偿。</w:t>
      </w:r>
    </w:p>
    <w:p w14:paraId="22A47BEF">
      <w:pPr>
        <w:pStyle w:val="5"/>
        <w:tabs>
          <w:tab w:val="left" w:pos="1157"/>
        </w:tabs>
        <w:spacing w:before="55" w:line="360" w:lineRule="auto"/>
        <w:ind w:right="0" w:firstLine="458" w:firstLineChars="200"/>
        <w:jc w:val="left"/>
        <w:rPr>
          <w:rFonts w:hint="eastAsia" w:ascii="宋体" w:hAnsi="宋体" w:eastAsia="宋体" w:cs="宋体"/>
          <w:b w:val="0"/>
          <w:bCs w:val="0"/>
          <w:color w:val="auto"/>
          <w:sz w:val="24"/>
          <w:szCs w:val="24"/>
          <w:highlight w:val="none"/>
        </w:rPr>
      </w:pPr>
      <w:bookmarkStart w:id="167" w:name="7、   误期赔偿费"/>
      <w:bookmarkEnd w:id="167"/>
      <w:r>
        <w:rPr>
          <w:rFonts w:hint="eastAsia" w:ascii="宋体" w:hAnsi="宋体" w:eastAsia="宋体" w:cs="宋体"/>
          <w:color w:val="auto"/>
          <w:w w:val="95"/>
          <w:sz w:val="24"/>
          <w:szCs w:val="24"/>
          <w:highlight w:val="none"/>
        </w:rPr>
        <w:t>7、</w:t>
      </w:r>
      <w:r>
        <w:rPr>
          <w:rFonts w:hint="eastAsia" w:ascii="宋体" w:hAnsi="宋体" w:eastAsia="宋体" w:cs="宋体"/>
          <w:color w:val="auto"/>
          <w:sz w:val="24"/>
          <w:szCs w:val="24"/>
          <w:highlight w:val="none"/>
        </w:rPr>
        <w:t>误期赔偿费</w:t>
      </w:r>
    </w:p>
    <w:p w14:paraId="0E2A0EC3">
      <w:pPr>
        <w:pStyle w:val="8"/>
        <w:tabs>
          <w:tab w:val="left" w:pos="1224"/>
        </w:tabs>
        <w:spacing w:before="133" w:line="360" w:lineRule="auto"/>
        <w:ind w:right="308"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7.1除了本合同“不可抗力”规定的不可抗力事故外，如果乙方不能按合同</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规定时间准时提供服务，甲方在不影响合同项下的其它补救措施的情 况下，可从合同价款中扣除误期赔偿费。每延误一周的赔偿费按迟交 货物或未提供服务的服务费用的</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4"/>
          <w:sz w:val="24"/>
          <w:szCs w:val="24"/>
          <w:highlight w:val="none"/>
        </w:rPr>
        <w:t>0.5%计收，不足</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7 日者亦按</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7 日计算 直至交货或提供服务为止。误期赔偿费的最高限额为合同总价的</w:t>
      </w:r>
      <w:r>
        <w:rPr>
          <w:rFonts w:hint="eastAsia" w:ascii="宋体" w:hAnsi="宋体" w:eastAsia="宋体" w:cs="宋体"/>
          <w:color w:val="auto"/>
          <w:spacing w:val="-61"/>
          <w:sz w:val="24"/>
          <w:szCs w:val="24"/>
          <w:highlight w:val="none"/>
        </w:rPr>
        <w:t xml:space="preserve"> </w:t>
      </w:r>
      <w:r>
        <w:rPr>
          <w:rFonts w:hint="eastAsia" w:ascii="宋体" w:hAnsi="宋体" w:eastAsia="宋体" w:cs="宋体"/>
          <w:color w:val="auto"/>
          <w:sz w:val="24"/>
          <w:szCs w:val="24"/>
          <w:highlight w:val="none"/>
        </w:rPr>
        <w:t>5%。 一旦达到误期赔偿费的最高限额，甲方有权无需乙方同意终止合同。</w:t>
      </w:r>
    </w:p>
    <w:p w14:paraId="1291AEB3">
      <w:pPr>
        <w:pStyle w:val="5"/>
        <w:tabs>
          <w:tab w:val="left" w:pos="1157"/>
        </w:tabs>
        <w:spacing w:before="46" w:line="360" w:lineRule="auto"/>
        <w:ind w:right="0" w:firstLine="458" w:firstLineChars="200"/>
        <w:jc w:val="left"/>
        <w:rPr>
          <w:rFonts w:hint="eastAsia" w:ascii="宋体" w:hAnsi="宋体" w:eastAsia="宋体" w:cs="宋体"/>
          <w:b w:val="0"/>
          <w:bCs w:val="0"/>
          <w:color w:val="auto"/>
          <w:sz w:val="24"/>
          <w:szCs w:val="24"/>
          <w:highlight w:val="none"/>
        </w:rPr>
      </w:pPr>
      <w:bookmarkStart w:id="168" w:name="8、   不可抗力"/>
      <w:bookmarkEnd w:id="168"/>
      <w:r>
        <w:rPr>
          <w:rFonts w:hint="eastAsia" w:ascii="宋体" w:hAnsi="宋体" w:eastAsia="宋体" w:cs="宋体"/>
          <w:color w:val="auto"/>
          <w:w w:val="95"/>
          <w:sz w:val="24"/>
          <w:szCs w:val="24"/>
          <w:highlight w:val="none"/>
        </w:rPr>
        <w:t>8、</w:t>
      </w:r>
      <w:r>
        <w:rPr>
          <w:rFonts w:hint="eastAsia" w:ascii="宋体" w:hAnsi="宋体" w:eastAsia="宋体" w:cs="宋体"/>
          <w:color w:val="auto"/>
          <w:sz w:val="24"/>
          <w:szCs w:val="24"/>
          <w:highlight w:val="none"/>
        </w:rPr>
        <w:t>不可抗力</w:t>
      </w:r>
    </w:p>
    <w:p w14:paraId="54A267FA">
      <w:pPr>
        <w:pStyle w:val="8"/>
        <w:spacing w:before="151"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本条所述的“不可抗力”系指那些双方在订立合同时无法控制、不可预见的事件。这些事件包括：战争、水灾、地震以及双方同意的事件。当不可抗力事件发生时，执行合同的期限将相应延长。</w:t>
      </w:r>
    </w:p>
    <w:p w14:paraId="6C80F70E">
      <w:pPr>
        <w:pStyle w:val="8"/>
        <w:tabs>
          <w:tab w:val="left" w:pos="1107"/>
        </w:tabs>
        <w:spacing w:before="151"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pacing w:val="-3"/>
          <w:sz w:val="24"/>
          <w:szCs w:val="24"/>
          <w:highlight w:val="none"/>
        </w:rPr>
        <w:t>在不可抗力事件发生时，乙方应尽快以书面形式将不可抗力的情况和原</w:t>
      </w:r>
      <w:r>
        <w:rPr>
          <w:rFonts w:hint="eastAsia" w:ascii="宋体" w:hAnsi="宋体" w:eastAsia="宋体" w:cs="宋体"/>
          <w:color w:val="auto"/>
          <w:spacing w:val="2"/>
          <w:sz w:val="24"/>
          <w:szCs w:val="24"/>
          <w:highlight w:val="none"/>
        </w:rPr>
        <w:t>因通知甲方。同时必须在</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z w:val="24"/>
          <w:szCs w:val="24"/>
          <w:highlight w:val="none"/>
        </w:rPr>
        <w:t>7</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2"/>
          <w:sz w:val="24"/>
          <w:szCs w:val="24"/>
          <w:highlight w:val="none"/>
        </w:rPr>
        <w:t>日内，以挂号形式递交有关政府部门的证</w:t>
      </w:r>
      <w:r>
        <w:rPr>
          <w:rFonts w:hint="eastAsia" w:ascii="宋体" w:hAnsi="宋体" w:eastAsia="宋体" w:cs="宋体"/>
          <w:color w:val="auto"/>
          <w:sz w:val="24"/>
          <w:szCs w:val="24"/>
          <w:highlight w:val="none"/>
        </w:rPr>
        <w:t>明。如果不可抗力超过</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z w:val="24"/>
          <w:szCs w:val="24"/>
          <w:highlight w:val="none"/>
        </w:rPr>
        <w:t>15</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日，双方将通过友好协商就合同的执行达成 协议。</w:t>
      </w:r>
    </w:p>
    <w:p w14:paraId="5A6099CF">
      <w:pPr>
        <w:pStyle w:val="5"/>
        <w:tabs>
          <w:tab w:val="left" w:pos="1157"/>
        </w:tabs>
        <w:spacing w:before="55" w:line="360" w:lineRule="auto"/>
        <w:ind w:right="0" w:firstLine="458" w:firstLineChars="200"/>
        <w:jc w:val="left"/>
        <w:rPr>
          <w:rFonts w:hint="eastAsia" w:ascii="宋体" w:hAnsi="宋体" w:eastAsia="宋体" w:cs="宋体"/>
          <w:b w:val="0"/>
          <w:bCs w:val="0"/>
          <w:color w:val="auto"/>
          <w:sz w:val="24"/>
          <w:szCs w:val="24"/>
          <w:highlight w:val="none"/>
        </w:rPr>
      </w:pPr>
      <w:bookmarkStart w:id="169" w:name="9、   合同修改与终止"/>
      <w:bookmarkEnd w:id="169"/>
      <w:r>
        <w:rPr>
          <w:rFonts w:hint="eastAsia" w:ascii="宋体" w:hAnsi="宋体" w:eastAsia="宋体" w:cs="宋体"/>
          <w:color w:val="auto"/>
          <w:w w:val="95"/>
          <w:sz w:val="24"/>
          <w:szCs w:val="24"/>
          <w:highlight w:val="none"/>
        </w:rPr>
        <w:t>9、</w:t>
      </w:r>
      <w:r>
        <w:rPr>
          <w:rFonts w:hint="eastAsia" w:ascii="宋体" w:hAnsi="宋体" w:eastAsia="宋体" w:cs="宋体"/>
          <w:color w:val="auto"/>
          <w:sz w:val="24"/>
          <w:szCs w:val="24"/>
          <w:highlight w:val="none"/>
        </w:rPr>
        <w:t>合同修改与终止</w:t>
      </w:r>
    </w:p>
    <w:p w14:paraId="43EA013A">
      <w:pPr>
        <w:pStyle w:val="8"/>
        <w:tabs>
          <w:tab w:val="left" w:pos="1097"/>
        </w:tabs>
        <w:spacing w:before="133"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pacing w:val="-3"/>
          <w:sz w:val="24"/>
          <w:szCs w:val="24"/>
          <w:highlight w:val="none"/>
        </w:rPr>
        <w:t>任何对合同条件的变更或修改、补充或删减均须双方签订书面的修改书。</w:t>
      </w:r>
    </w:p>
    <w:p w14:paraId="7AA99B94">
      <w:pPr>
        <w:pStyle w:val="5"/>
        <w:tabs>
          <w:tab w:val="left" w:pos="1277"/>
        </w:tabs>
        <w:spacing w:before="135" w:line="360" w:lineRule="auto"/>
        <w:ind w:right="0" w:firstLine="458" w:firstLineChars="200"/>
        <w:jc w:val="left"/>
        <w:rPr>
          <w:rFonts w:hint="eastAsia" w:ascii="宋体" w:hAnsi="宋体" w:eastAsia="宋体" w:cs="宋体"/>
          <w:b w:val="0"/>
          <w:bCs w:val="0"/>
          <w:color w:val="auto"/>
          <w:sz w:val="24"/>
          <w:szCs w:val="24"/>
          <w:highlight w:val="none"/>
        </w:rPr>
      </w:pPr>
      <w:bookmarkStart w:id="170" w:name="10、   违约解除合同"/>
      <w:bookmarkEnd w:id="170"/>
      <w:r>
        <w:rPr>
          <w:rFonts w:hint="eastAsia" w:ascii="宋体" w:hAnsi="宋体" w:eastAsia="宋体" w:cs="宋体"/>
          <w:color w:val="auto"/>
          <w:w w:val="95"/>
          <w:sz w:val="24"/>
          <w:szCs w:val="24"/>
          <w:highlight w:val="none"/>
        </w:rPr>
        <w:t>10、</w:t>
      </w:r>
      <w:r>
        <w:rPr>
          <w:rFonts w:hint="eastAsia" w:ascii="宋体" w:hAnsi="宋体" w:eastAsia="宋体" w:cs="宋体"/>
          <w:color w:val="auto"/>
          <w:sz w:val="24"/>
          <w:szCs w:val="24"/>
          <w:highlight w:val="none"/>
        </w:rPr>
        <w:t>违约解除合同</w:t>
      </w:r>
    </w:p>
    <w:p w14:paraId="0E093DAD">
      <w:pPr>
        <w:pStyle w:val="8"/>
        <w:tabs>
          <w:tab w:val="left" w:pos="1219"/>
        </w:tabs>
        <w:spacing w:before="133" w:line="360" w:lineRule="auto"/>
        <w:ind w:right="398"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10.1在乙方违约的情况下，甲方可向乙方发出书面通知，部分或全部终止</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z w:val="24"/>
          <w:szCs w:val="24"/>
          <w:highlight w:val="none"/>
        </w:rPr>
        <w:t>合同。同时保留向乙方追诉的权利。</w:t>
      </w:r>
    </w:p>
    <w:p w14:paraId="42C9C0F6">
      <w:pPr>
        <w:pStyle w:val="8"/>
        <w:tabs>
          <w:tab w:val="left" w:pos="1277"/>
        </w:tabs>
        <w:spacing w:before="53" w:line="360" w:lineRule="auto"/>
        <w:ind w:right="398"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w:t>
      </w:r>
      <w:r>
        <w:rPr>
          <w:rFonts w:hint="eastAsia" w:ascii="宋体" w:hAnsi="宋体" w:eastAsia="宋体" w:cs="宋体"/>
          <w:color w:val="auto"/>
          <w:spacing w:val="-1"/>
          <w:sz w:val="24"/>
          <w:szCs w:val="24"/>
          <w:highlight w:val="none"/>
        </w:rPr>
        <w:t>乙方未能在合同规定的限期或甲方同意延长的限期内，提供全部或部</w:t>
      </w:r>
      <w:r>
        <w:rPr>
          <w:rFonts w:hint="eastAsia" w:ascii="宋体" w:hAnsi="宋体" w:eastAsia="宋体" w:cs="宋体"/>
          <w:color w:val="auto"/>
          <w:spacing w:val="-100"/>
          <w:sz w:val="24"/>
          <w:szCs w:val="24"/>
          <w:highlight w:val="none"/>
        </w:rPr>
        <w:t xml:space="preserve"> </w:t>
      </w:r>
      <w:r>
        <w:rPr>
          <w:rFonts w:hint="eastAsia" w:ascii="宋体" w:hAnsi="宋体" w:eastAsia="宋体" w:cs="宋体"/>
          <w:color w:val="auto"/>
          <w:sz w:val="24"/>
          <w:szCs w:val="24"/>
          <w:highlight w:val="none"/>
        </w:rPr>
        <w:t>分服务，按合同第7.1的规定可以解除合同的；</w:t>
      </w:r>
    </w:p>
    <w:p w14:paraId="144349E3">
      <w:pPr>
        <w:pStyle w:val="8"/>
        <w:tabs>
          <w:tab w:val="left" w:pos="1277"/>
        </w:tabs>
        <w:spacing w:before="24"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10.1.2乙方未能履行合同规定义务，导致甲方无法实现合同目的的；</w:t>
      </w:r>
    </w:p>
    <w:p w14:paraId="4D6D1585">
      <w:pPr>
        <w:pStyle w:val="8"/>
        <w:tabs>
          <w:tab w:val="left" w:pos="1397"/>
        </w:tabs>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10.1.3乙方未能履行合同规定的其它主要义务的；</w:t>
      </w:r>
    </w:p>
    <w:p w14:paraId="04820C28">
      <w:pPr>
        <w:pStyle w:val="8"/>
        <w:tabs>
          <w:tab w:val="left" w:pos="1397"/>
        </w:tabs>
        <w:spacing w:before="133"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10.1.4在本合同履行过程中有腐败和欺诈行为的。</w:t>
      </w:r>
    </w:p>
    <w:p w14:paraId="30DD3722">
      <w:pPr>
        <w:pStyle w:val="8"/>
        <w:tabs>
          <w:tab w:val="left" w:pos="1457"/>
        </w:tabs>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10.1.4.1“腐败行为”和“欺诈行为”定义如下:</w:t>
      </w:r>
    </w:p>
    <w:p w14:paraId="462B078D">
      <w:pPr>
        <w:pStyle w:val="8"/>
        <w:tabs>
          <w:tab w:val="left" w:pos="1637"/>
        </w:tabs>
        <w:spacing w:before="133" w:line="360" w:lineRule="auto"/>
        <w:ind w:right="392"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10.1.4.1.1“腐败行为”是指提供/给予/接受或索取任何有价值的东西来影响甲</w:t>
      </w:r>
      <w:r>
        <w:rPr>
          <w:rFonts w:hint="eastAsia" w:ascii="宋体" w:hAnsi="宋体" w:eastAsia="宋体" w:cs="宋体"/>
          <w:color w:val="auto"/>
          <w:spacing w:val="-115"/>
          <w:sz w:val="24"/>
          <w:szCs w:val="24"/>
          <w:highlight w:val="none"/>
        </w:rPr>
        <w:t xml:space="preserve"> </w:t>
      </w:r>
      <w:r>
        <w:rPr>
          <w:rFonts w:hint="eastAsia" w:ascii="宋体" w:hAnsi="宋体" w:eastAsia="宋体" w:cs="宋体"/>
          <w:color w:val="auto"/>
          <w:sz w:val="24"/>
          <w:szCs w:val="24"/>
          <w:highlight w:val="none"/>
        </w:rPr>
        <w:t>方在合同签订、履行过程中的行为。</w:t>
      </w:r>
    </w:p>
    <w:p w14:paraId="01921ABC">
      <w:pPr>
        <w:pStyle w:val="8"/>
        <w:tabs>
          <w:tab w:val="left" w:pos="1637"/>
        </w:tabs>
        <w:spacing w:before="53" w:line="360" w:lineRule="auto"/>
        <w:ind w:right="27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10.1.4.1.2</w:t>
      </w:r>
      <w:r>
        <w:rPr>
          <w:rFonts w:hint="eastAsia" w:ascii="宋体" w:hAnsi="宋体" w:eastAsia="宋体" w:cs="宋体"/>
          <w:color w:val="auto"/>
          <w:spacing w:val="-8"/>
          <w:sz w:val="24"/>
          <w:szCs w:val="24"/>
          <w:highlight w:val="none"/>
        </w:rPr>
        <w:t>“欺诈行为”是指为了影响合同签订、履行过程，以谎报事实的方法，</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z w:val="24"/>
          <w:szCs w:val="24"/>
          <w:highlight w:val="none"/>
        </w:rPr>
        <w:t>损害甲方的利益的行为。</w:t>
      </w:r>
    </w:p>
    <w:p w14:paraId="51636621">
      <w:pPr>
        <w:pStyle w:val="8"/>
        <w:spacing w:before="55" w:line="360" w:lineRule="auto"/>
        <w:ind w:right="394"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10.2在甲方根据上述第10.1条规定，全部或部分解除合同之后，应当遵循 </w:t>
      </w:r>
      <w:r>
        <w:rPr>
          <w:rFonts w:hint="eastAsia" w:ascii="宋体" w:hAnsi="宋体" w:eastAsia="宋体" w:cs="宋体"/>
          <w:color w:val="auto"/>
          <w:spacing w:val="3"/>
          <w:sz w:val="24"/>
          <w:szCs w:val="24"/>
          <w:highlight w:val="none"/>
        </w:rPr>
        <w:t>诚实信用原则，全部或部分购买与未交付的服务类似的服务，乙方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应承担甲方购买类似服务而产生的额外支出。部分解除合同的，乙</w:t>
      </w:r>
      <w:r>
        <w:rPr>
          <w:rFonts w:hint="eastAsia" w:ascii="宋体" w:hAnsi="宋体" w:eastAsia="宋体" w:cs="宋体"/>
          <w:color w:val="auto"/>
          <w:sz w:val="24"/>
          <w:szCs w:val="24"/>
          <w:highlight w:val="none"/>
        </w:rPr>
        <w:t xml:space="preserve"> 方应继续履行合同中未解除的部分。</w:t>
      </w:r>
    </w:p>
    <w:p w14:paraId="0459E881">
      <w:pPr>
        <w:pStyle w:val="5"/>
        <w:tabs>
          <w:tab w:val="left" w:pos="1263"/>
        </w:tabs>
        <w:spacing w:before="41" w:line="360" w:lineRule="auto"/>
        <w:ind w:right="0" w:firstLine="438" w:firstLineChars="200"/>
        <w:jc w:val="left"/>
        <w:rPr>
          <w:rFonts w:hint="eastAsia" w:ascii="宋体" w:hAnsi="宋体" w:eastAsia="宋体" w:cs="宋体"/>
          <w:b w:val="0"/>
          <w:bCs w:val="0"/>
          <w:color w:val="auto"/>
          <w:sz w:val="24"/>
          <w:szCs w:val="24"/>
          <w:highlight w:val="none"/>
        </w:rPr>
      </w:pPr>
      <w:bookmarkStart w:id="171" w:name="11、   破产终止合同"/>
      <w:bookmarkEnd w:id="171"/>
      <w:r>
        <w:rPr>
          <w:rFonts w:hint="eastAsia" w:ascii="宋体" w:hAnsi="宋体" w:eastAsia="宋体" w:cs="宋体"/>
          <w:color w:val="auto"/>
          <w:spacing w:val="-5"/>
          <w:w w:val="95"/>
          <w:sz w:val="24"/>
          <w:szCs w:val="24"/>
          <w:highlight w:val="none"/>
        </w:rPr>
        <w:t>11、</w:t>
      </w:r>
      <w:r>
        <w:rPr>
          <w:rFonts w:hint="eastAsia" w:ascii="宋体" w:hAnsi="宋体" w:eastAsia="宋体" w:cs="宋体"/>
          <w:color w:val="auto"/>
          <w:sz w:val="24"/>
          <w:szCs w:val="24"/>
          <w:highlight w:val="none"/>
        </w:rPr>
        <w:t>破产终止合同</w:t>
      </w:r>
    </w:p>
    <w:p w14:paraId="3096173B">
      <w:pPr>
        <w:pStyle w:val="8"/>
        <w:tabs>
          <w:tab w:val="left" w:pos="1327"/>
        </w:tabs>
        <w:spacing w:line="360" w:lineRule="auto"/>
        <w:ind w:right="158" w:firstLine="47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11.1如果乙方破产或无清偿能力，甲方可在任何时候以书面形式通知乙方，</w:t>
      </w:r>
      <w:r>
        <w:rPr>
          <w:rFonts w:hint="eastAsia" w:ascii="宋体" w:hAnsi="宋体" w:eastAsia="宋体" w:cs="宋体"/>
          <w:color w:val="auto"/>
          <w:spacing w:val="-118"/>
          <w:sz w:val="24"/>
          <w:szCs w:val="24"/>
          <w:highlight w:val="none"/>
        </w:rPr>
        <w:t xml:space="preserve"> </w:t>
      </w:r>
      <w:r>
        <w:rPr>
          <w:rFonts w:hint="eastAsia" w:ascii="宋体" w:hAnsi="宋体" w:eastAsia="宋体" w:cs="宋体"/>
          <w:color w:val="auto"/>
          <w:sz w:val="24"/>
          <w:szCs w:val="24"/>
          <w:highlight w:val="none"/>
        </w:rPr>
        <w:t>终止合同而不给乙方补偿，该终止合同将不损害或影响甲方已经采取 或将要采取的任何行动或补救措施的权力。</w:t>
      </w:r>
    </w:p>
    <w:p w14:paraId="7C518893">
      <w:pPr>
        <w:pStyle w:val="5"/>
        <w:tabs>
          <w:tab w:val="left" w:pos="1277"/>
        </w:tabs>
        <w:spacing w:before="0" w:line="360" w:lineRule="auto"/>
        <w:ind w:right="0" w:firstLine="458"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w w:val="95"/>
          <w:sz w:val="24"/>
          <w:szCs w:val="24"/>
          <w:highlight w:val="none"/>
        </w:rPr>
        <w:t>12、</w:t>
      </w:r>
      <w:r>
        <w:rPr>
          <w:rFonts w:hint="eastAsia" w:ascii="宋体" w:hAnsi="宋体" w:eastAsia="宋体" w:cs="宋体"/>
          <w:color w:val="auto"/>
          <w:sz w:val="24"/>
          <w:szCs w:val="24"/>
          <w:highlight w:val="none"/>
        </w:rPr>
        <w:t>争端的解决</w:t>
      </w:r>
    </w:p>
    <w:p w14:paraId="0C0DB9B6">
      <w:pPr>
        <w:pStyle w:val="8"/>
        <w:spacing w:before="133" w:line="360" w:lineRule="auto"/>
        <w:ind w:right="113"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12.1合同实施或与合同有关的一切争端应通过双方协商解决。如果协商后不能 解决，任何一方均可向北京仲裁委员会申请仲裁，或向甲方所在地人民法 院提起诉讼。</w:t>
      </w:r>
    </w:p>
    <w:p w14:paraId="283E26A0">
      <w:pPr>
        <w:pStyle w:val="8"/>
        <w:tabs>
          <w:tab w:val="left" w:pos="1097"/>
        </w:tabs>
        <w:spacing w:before="43"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12.2仲裁裁决应为最终裁决，对双方均具有约束力。</w:t>
      </w:r>
    </w:p>
    <w:p w14:paraId="01585D2D">
      <w:pPr>
        <w:pStyle w:val="8"/>
        <w:tabs>
          <w:tab w:val="left" w:pos="1097"/>
        </w:tabs>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12.3仲裁费除仲裁机关另有裁决外均应由败诉方负担。</w:t>
      </w:r>
    </w:p>
    <w:p w14:paraId="797B840D">
      <w:pPr>
        <w:pStyle w:val="8"/>
        <w:tabs>
          <w:tab w:val="left" w:pos="1097"/>
        </w:tabs>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12.4在争端解决期间，除争端涉及的部分外，本合同其它部分应继续执行。</w:t>
      </w:r>
    </w:p>
    <w:p w14:paraId="38DAFE98">
      <w:pPr>
        <w:pStyle w:val="5"/>
        <w:tabs>
          <w:tab w:val="left" w:pos="1157"/>
        </w:tabs>
        <w:spacing w:line="360" w:lineRule="auto"/>
        <w:ind w:right="0" w:firstLine="458" w:firstLineChars="200"/>
        <w:jc w:val="left"/>
        <w:rPr>
          <w:rFonts w:hint="eastAsia" w:ascii="宋体" w:hAnsi="宋体" w:eastAsia="宋体" w:cs="宋体"/>
          <w:b w:val="0"/>
          <w:bCs w:val="0"/>
          <w:color w:val="auto"/>
          <w:sz w:val="24"/>
          <w:szCs w:val="24"/>
          <w:highlight w:val="none"/>
        </w:rPr>
      </w:pPr>
      <w:bookmarkStart w:id="172" w:name="13、  通知"/>
      <w:bookmarkEnd w:id="172"/>
      <w:r>
        <w:rPr>
          <w:rFonts w:hint="eastAsia" w:ascii="宋体" w:hAnsi="宋体" w:eastAsia="宋体" w:cs="宋体"/>
          <w:color w:val="auto"/>
          <w:w w:val="95"/>
          <w:sz w:val="24"/>
          <w:szCs w:val="24"/>
          <w:highlight w:val="none"/>
        </w:rPr>
        <w:t>13、</w:t>
      </w:r>
      <w:r>
        <w:rPr>
          <w:rFonts w:hint="eastAsia" w:ascii="宋体" w:hAnsi="宋体" w:eastAsia="宋体" w:cs="宋体"/>
          <w:color w:val="auto"/>
          <w:sz w:val="24"/>
          <w:szCs w:val="24"/>
          <w:highlight w:val="none"/>
        </w:rPr>
        <w:t>通知</w:t>
      </w:r>
    </w:p>
    <w:p w14:paraId="068A0561">
      <w:pPr>
        <w:pStyle w:val="8"/>
        <w:tabs>
          <w:tab w:val="left" w:pos="1097"/>
        </w:tabs>
        <w:spacing w:line="360" w:lineRule="auto"/>
        <w:ind w:right="398"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13.1本合同任何一方给另一方的通知，都应以书面或电传/传真/电报的方式</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z w:val="24"/>
          <w:szCs w:val="24"/>
          <w:highlight w:val="none"/>
        </w:rPr>
        <w:t>发送，而另一方应以书面形式确认并发送到对方明确的地址。</w:t>
      </w:r>
    </w:p>
    <w:p w14:paraId="0A1168B3">
      <w:pPr>
        <w:pStyle w:val="5"/>
        <w:tabs>
          <w:tab w:val="left" w:pos="1277"/>
        </w:tabs>
        <w:spacing w:before="58" w:line="360" w:lineRule="auto"/>
        <w:ind w:right="0" w:firstLine="458" w:firstLineChars="200"/>
        <w:jc w:val="left"/>
        <w:rPr>
          <w:rFonts w:hint="eastAsia" w:ascii="宋体" w:hAnsi="宋体" w:eastAsia="宋体" w:cs="宋体"/>
          <w:b w:val="0"/>
          <w:bCs w:val="0"/>
          <w:color w:val="auto"/>
          <w:sz w:val="24"/>
          <w:szCs w:val="24"/>
          <w:highlight w:val="none"/>
        </w:rPr>
      </w:pPr>
      <w:bookmarkStart w:id="173" w:name="14、   计量单位"/>
      <w:bookmarkEnd w:id="173"/>
      <w:r>
        <w:rPr>
          <w:rFonts w:hint="eastAsia" w:ascii="宋体" w:hAnsi="宋体" w:eastAsia="宋体" w:cs="宋体"/>
          <w:color w:val="auto"/>
          <w:w w:val="95"/>
          <w:sz w:val="24"/>
          <w:szCs w:val="24"/>
          <w:highlight w:val="none"/>
        </w:rPr>
        <w:t>14、</w:t>
      </w:r>
      <w:r>
        <w:rPr>
          <w:rFonts w:hint="eastAsia" w:ascii="宋体" w:hAnsi="宋体" w:eastAsia="宋体" w:cs="宋体"/>
          <w:color w:val="auto"/>
          <w:sz w:val="24"/>
          <w:szCs w:val="24"/>
          <w:highlight w:val="none"/>
        </w:rPr>
        <w:t>计量单位</w:t>
      </w:r>
    </w:p>
    <w:p w14:paraId="3B966AD1">
      <w:pPr>
        <w:pStyle w:val="8"/>
        <w:tabs>
          <w:tab w:val="left" w:pos="1337"/>
        </w:tabs>
        <w:spacing w:before="133"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14.1除技术规范中另有规定外，计量单位均使用国家法定计量单位。</w:t>
      </w:r>
    </w:p>
    <w:p w14:paraId="371505D0">
      <w:pPr>
        <w:pStyle w:val="5"/>
        <w:tabs>
          <w:tab w:val="left" w:pos="1277"/>
        </w:tabs>
        <w:spacing w:before="135" w:line="360" w:lineRule="auto"/>
        <w:ind w:right="0" w:firstLine="458" w:firstLineChars="200"/>
        <w:jc w:val="left"/>
        <w:rPr>
          <w:rFonts w:hint="eastAsia" w:ascii="宋体" w:hAnsi="宋体" w:eastAsia="宋体" w:cs="宋体"/>
          <w:b w:val="0"/>
          <w:bCs w:val="0"/>
          <w:color w:val="auto"/>
          <w:sz w:val="24"/>
          <w:szCs w:val="24"/>
          <w:highlight w:val="none"/>
        </w:rPr>
      </w:pPr>
      <w:bookmarkStart w:id="174" w:name="15、   适用法律"/>
      <w:bookmarkEnd w:id="174"/>
      <w:r>
        <w:rPr>
          <w:rFonts w:hint="eastAsia" w:ascii="宋体" w:hAnsi="宋体" w:eastAsia="宋体" w:cs="宋体"/>
          <w:color w:val="auto"/>
          <w:w w:val="95"/>
          <w:sz w:val="24"/>
          <w:szCs w:val="24"/>
          <w:highlight w:val="none"/>
        </w:rPr>
        <w:t>15、</w:t>
      </w:r>
      <w:r>
        <w:rPr>
          <w:rFonts w:hint="eastAsia" w:ascii="宋体" w:hAnsi="宋体" w:eastAsia="宋体" w:cs="宋体"/>
          <w:color w:val="auto"/>
          <w:sz w:val="24"/>
          <w:szCs w:val="24"/>
          <w:highlight w:val="none"/>
        </w:rPr>
        <w:t>适用法律</w:t>
      </w:r>
    </w:p>
    <w:p w14:paraId="54E72A31">
      <w:pPr>
        <w:pStyle w:val="8"/>
        <w:tabs>
          <w:tab w:val="left" w:pos="1217"/>
        </w:tabs>
        <w:spacing w:before="133"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15.1本合同应按照中华人民共和国的法律进行解释。</w:t>
      </w:r>
    </w:p>
    <w:p w14:paraId="5C966602">
      <w:pPr>
        <w:pStyle w:val="5"/>
        <w:tabs>
          <w:tab w:val="left" w:pos="1277"/>
        </w:tabs>
        <w:spacing w:before="135" w:line="360" w:lineRule="auto"/>
        <w:ind w:right="0" w:firstLine="458" w:firstLineChars="200"/>
        <w:jc w:val="left"/>
        <w:rPr>
          <w:rFonts w:hint="eastAsia" w:ascii="宋体" w:hAnsi="宋体" w:eastAsia="宋体" w:cs="宋体"/>
          <w:b w:val="0"/>
          <w:bCs w:val="0"/>
          <w:color w:val="auto"/>
          <w:sz w:val="24"/>
          <w:szCs w:val="24"/>
          <w:highlight w:val="none"/>
        </w:rPr>
      </w:pPr>
      <w:bookmarkStart w:id="175" w:name="16、   合同未尽事宜"/>
      <w:bookmarkEnd w:id="175"/>
      <w:r>
        <w:rPr>
          <w:rFonts w:hint="eastAsia" w:ascii="宋体" w:hAnsi="宋体" w:eastAsia="宋体" w:cs="宋体"/>
          <w:color w:val="auto"/>
          <w:w w:val="95"/>
          <w:sz w:val="24"/>
          <w:szCs w:val="24"/>
          <w:highlight w:val="none"/>
        </w:rPr>
        <w:t>16、</w:t>
      </w:r>
      <w:r>
        <w:rPr>
          <w:rFonts w:hint="eastAsia" w:ascii="宋体" w:hAnsi="宋体" w:eastAsia="宋体" w:cs="宋体"/>
          <w:color w:val="auto"/>
          <w:sz w:val="24"/>
          <w:szCs w:val="24"/>
          <w:highlight w:val="none"/>
        </w:rPr>
        <w:t>合同未尽事宜</w:t>
      </w:r>
    </w:p>
    <w:p w14:paraId="0B455684">
      <w:pPr>
        <w:pStyle w:val="8"/>
        <w:tabs>
          <w:tab w:val="left" w:pos="1219"/>
        </w:tabs>
        <w:spacing w:before="133" w:line="360" w:lineRule="auto"/>
        <w:ind w:right="398"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16.1本合同未尽事宜按《中华人民共和国</w:t>
      </w:r>
      <w:r>
        <w:rPr>
          <w:rFonts w:hint="eastAsia" w:hAnsi="宋体" w:cs="宋体"/>
          <w:color w:val="auto"/>
          <w:sz w:val="24"/>
          <w:szCs w:val="24"/>
          <w:highlight w:val="none"/>
          <w:lang w:eastAsia="zh-CN"/>
        </w:rPr>
        <w:t>民法典</w:t>
      </w:r>
      <w:r>
        <w:rPr>
          <w:rFonts w:hint="eastAsia" w:ascii="宋体" w:hAnsi="宋体" w:eastAsia="宋体" w:cs="宋体"/>
          <w:color w:val="auto"/>
          <w:sz w:val="24"/>
          <w:szCs w:val="24"/>
          <w:highlight w:val="none"/>
        </w:rPr>
        <w:t>》执行，或由甲乙双方另</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z w:val="24"/>
          <w:szCs w:val="24"/>
          <w:highlight w:val="none"/>
        </w:rPr>
        <w:t>行协商签订书面补充协议。</w:t>
      </w:r>
    </w:p>
    <w:p w14:paraId="21A74A87">
      <w:pPr>
        <w:pStyle w:val="5"/>
        <w:tabs>
          <w:tab w:val="left" w:pos="1277"/>
        </w:tabs>
        <w:spacing w:before="53" w:line="360" w:lineRule="auto"/>
        <w:ind w:right="0" w:firstLine="458" w:firstLineChars="200"/>
        <w:jc w:val="left"/>
        <w:rPr>
          <w:rFonts w:hint="eastAsia" w:ascii="宋体" w:hAnsi="宋体" w:eastAsia="宋体" w:cs="宋体"/>
          <w:b w:val="0"/>
          <w:bCs w:val="0"/>
          <w:color w:val="auto"/>
          <w:sz w:val="24"/>
          <w:szCs w:val="24"/>
          <w:highlight w:val="none"/>
        </w:rPr>
      </w:pPr>
      <w:bookmarkStart w:id="176" w:name="17、   合同生效及其它"/>
      <w:bookmarkEnd w:id="176"/>
      <w:r>
        <w:rPr>
          <w:rFonts w:hint="eastAsia" w:ascii="宋体" w:hAnsi="宋体" w:eastAsia="宋体" w:cs="宋体"/>
          <w:color w:val="auto"/>
          <w:w w:val="95"/>
          <w:sz w:val="24"/>
          <w:szCs w:val="24"/>
          <w:highlight w:val="none"/>
        </w:rPr>
        <w:t>17、</w:t>
      </w:r>
      <w:r>
        <w:rPr>
          <w:rFonts w:hint="eastAsia" w:ascii="宋体" w:hAnsi="宋体" w:eastAsia="宋体" w:cs="宋体"/>
          <w:color w:val="auto"/>
          <w:sz w:val="24"/>
          <w:szCs w:val="24"/>
          <w:highlight w:val="none"/>
        </w:rPr>
        <w:t>合同生效及其它</w:t>
      </w:r>
    </w:p>
    <w:p w14:paraId="5681DE3A">
      <w:pPr>
        <w:pStyle w:val="8"/>
        <w:tabs>
          <w:tab w:val="left" w:pos="1097"/>
        </w:tabs>
        <w:spacing w:line="360" w:lineRule="auto"/>
        <w:ind w:right="262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17.1下列条件全部符合后，合同生效： 双方法定代表人或授权代表签字并加盖单位公章；</w:t>
      </w:r>
    </w:p>
    <w:p w14:paraId="5258CA51">
      <w:pPr>
        <w:pStyle w:val="8"/>
        <w:tabs>
          <w:tab w:val="left" w:pos="1097"/>
        </w:tabs>
        <w:spacing w:before="58"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17.2下述合同附件为本合同不可分割的部分并与本合同具有同等效力：</w:t>
      </w:r>
    </w:p>
    <w:p w14:paraId="57A8DF13">
      <w:pPr>
        <w:pStyle w:val="8"/>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w:t>
      </w:r>
    </w:p>
    <w:p w14:paraId="7705BFCB">
      <w:pPr>
        <w:pStyle w:val="8"/>
        <w:spacing w:before="133"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（2）中标文件（如被甲方接受）</w:t>
      </w:r>
    </w:p>
    <w:p w14:paraId="5F1E2FEE">
      <w:pPr>
        <w:pStyle w:val="8"/>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w:t>
      </w:r>
    </w:p>
    <w:p w14:paraId="52EC7562">
      <w:pPr>
        <w:pStyle w:val="8"/>
        <w:keepNext w:val="0"/>
        <w:keepLines w:val="0"/>
        <w:pageBreakBefore w:val="0"/>
        <w:widowControl w:val="0"/>
        <w:tabs>
          <w:tab w:val="left" w:pos="1877"/>
          <w:tab w:val="left" w:pos="3163"/>
          <w:tab w:val="left" w:pos="4623"/>
          <w:tab w:val="left" w:pos="6082"/>
          <w:tab w:val="left" w:pos="7539"/>
        </w:tabs>
        <w:kinsoku/>
        <w:wordWrap/>
        <w:overflowPunct/>
        <w:topLinePunct w:val="0"/>
        <w:autoSpaceDE/>
        <w:autoSpaceDN/>
        <w:bidi w:val="0"/>
        <w:adjustRightInd/>
        <w:snapToGrid/>
        <w:spacing w:before="133" w:line="360" w:lineRule="auto"/>
        <w:ind w:right="116"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本合同正本一式</w:t>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sz w:val="24"/>
          <w:szCs w:val="24"/>
          <w:highlight w:val="none"/>
        </w:rPr>
        <w:t>份，甲方</w:t>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sz w:val="24"/>
          <w:szCs w:val="24"/>
          <w:highlight w:val="none"/>
        </w:rPr>
        <w:t>份，乙方</w:t>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sz w:val="24"/>
          <w:szCs w:val="24"/>
          <w:highlight w:val="none"/>
        </w:rPr>
        <w:t>份，甲乙双</w:t>
      </w:r>
      <w:r>
        <w:rPr>
          <w:rFonts w:hint="eastAsia" w:ascii="宋体" w:hAnsi="宋体" w:eastAsia="宋体" w:cs="宋体"/>
          <w:color w:val="auto"/>
          <w:spacing w:val="-113"/>
          <w:sz w:val="24"/>
          <w:szCs w:val="24"/>
          <w:highlight w:val="none"/>
        </w:rPr>
        <w:t xml:space="preserve"> </w:t>
      </w:r>
      <w:r>
        <w:rPr>
          <w:rFonts w:hint="eastAsia" w:ascii="宋体" w:hAnsi="宋体" w:eastAsia="宋体" w:cs="宋体"/>
          <w:color w:val="auto"/>
          <w:spacing w:val="-1"/>
          <w:sz w:val="24"/>
          <w:szCs w:val="24"/>
          <w:highlight w:val="none"/>
        </w:rPr>
        <w:t>方各</w:t>
      </w:r>
      <w:r>
        <w:rPr>
          <w:rFonts w:hint="eastAsia" w:ascii="宋体" w:hAnsi="宋体" w:eastAsia="宋体" w:cs="宋体"/>
          <w:color w:val="auto"/>
          <w:spacing w:val="-1"/>
          <w:sz w:val="24"/>
          <w:szCs w:val="24"/>
          <w:highlight w:val="none"/>
          <w:u w:val="single" w:color="000000"/>
        </w:rPr>
        <w:tab/>
      </w:r>
      <w:r>
        <w:rPr>
          <w:rFonts w:hint="eastAsia" w:ascii="宋体" w:hAnsi="宋体" w:eastAsia="宋体" w:cs="宋体"/>
          <w:color w:val="auto"/>
          <w:sz w:val="24"/>
          <w:szCs w:val="24"/>
          <w:highlight w:val="none"/>
        </w:rPr>
        <w:t>份。</w:t>
      </w:r>
    </w:p>
    <w:p w14:paraId="4B4CA9E6">
      <w:pPr>
        <w:pStyle w:val="8"/>
        <w:keepNext w:val="0"/>
        <w:keepLines w:val="0"/>
        <w:pageBreakBefore w:val="0"/>
        <w:widowControl w:val="0"/>
        <w:kinsoku/>
        <w:wordWrap/>
        <w:overflowPunct/>
        <w:topLinePunct w:val="0"/>
        <w:autoSpaceDE/>
        <w:autoSpaceDN/>
        <w:bidi w:val="0"/>
        <w:adjustRightInd/>
        <w:snapToGrid/>
        <w:spacing w:before="58" w:line="360" w:lineRule="auto"/>
        <w:ind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3"/>
          <w:sz w:val="24"/>
          <w:szCs w:val="24"/>
          <w:highlight w:val="none"/>
        </w:rPr>
        <w:t>本合同满足条款规定的生效条件后即生效，至双方均履行完各自的合同义务</w:t>
      </w:r>
      <w:r>
        <w:rPr>
          <w:rFonts w:hint="eastAsia" w:ascii="宋体" w:hAnsi="宋体" w:eastAsia="宋体" w:cs="宋体"/>
          <w:color w:val="auto"/>
          <w:sz w:val="24"/>
          <w:szCs w:val="24"/>
          <w:highlight w:val="none"/>
        </w:rPr>
        <w:t xml:space="preserve"> 后终止。但有关违约、索赔及争端解决的条款除外。</w:t>
      </w:r>
    </w:p>
    <w:p w14:paraId="183CF2AF">
      <w:pPr>
        <w:spacing w:after="0" w:line="360" w:lineRule="auto"/>
        <w:jc w:val="left"/>
        <w:rPr>
          <w:rFonts w:hint="eastAsia" w:ascii="宋体" w:hAnsi="宋体" w:eastAsia="宋体" w:cs="宋体"/>
          <w:color w:val="auto"/>
          <w:sz w:val="24"/>
          <w:szCs w:val="24"/>
          <w:highlight w:val="none"/>
        </w:rPr>
        <w:sectPr>
          <w:headerReference r:id="rId51" w:type="default"/>
          <w:pgSz w:w="11910" w:h="16840"/>
          <w:pgMar w:top="1360" w:right="1680" w:bottom="1160" w:left="1360" w:header="662" w:footer="977" w:gutter="0"/>
          <w:pgNumType w:fmt="decimal"/>
          <w:cols w:space="720" w:num="1"/>
        </w:sectPr>
      </w:pPr>
    </w:p>
    <w:p w14:paraId="22FFB1E4">
      <w:pPr>
        <w:spacing w:before="175" w:line="360" w:lineRule="auto"/>
        <w:ind w:left="597" w:right="0"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合同书</w:t>
      </w:r>
    </w:p>
    <w:p w14:paraId="28AA3D8C">
      <w:pPr>
        <w:pStyle w:val="8"/>
        <w:tabs>
          <w:tab w:val="left" w:pos="2436"/>
          <w:tab w:val="left" w:pos="3336"/>
          <w:tab w:val="left" w:pos="4944"/>
          <w:tab w:val="left" w:pos="6315"/>
          <w:tab w:val="left" w:pos="7879"/>
        </w:tabs>
        <w:spacing w:before="26" w:line="360" w:lineRule="auto"/>
        <w:ind w:right="111" w:firstLine="488"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(甲方)</w:t>
      </w:r>
      <w:r>
        <w:rPr>
          <w:rFonts w:hint="eastAsia" w:ascii="宋体" w:hAnsi="宋体" w:eastAsia="宋体" w:cs="宋体"/>
          <w:color w:val="auto"/>
          <w:spacing w:val="2"/>
          <w:sz w:val="24"/>
          <w:szCs w:val="24"/>
          <w:highlight w:val="none"/>
          <w:u w:val="single" w:color="000000"/>
        </w:rPr>
        <w:tab/>
      </w:r>
      <w:r>
        <w:rPr>
          <w:rFonts w:hint="eastAsia" w:ascii="宋体" w:hAnsi="宋体" w:eastAsia="宋体" w:cs="宋体"/>
          <w:color w:val="auto"/>
          <w:spacing w:val="2"/>
          <w:sz w:val="24"/>
          <w:szCs w:val="24"/>
          <w:highlight w:val="none"/>
          <w:u w:val="single" w:color="000000"/>
        </w:rPr>
        <w:tab/>
      </w:r>
      <w:r>
        <w:rPr>
          <w:rFonts w:hint="eastAsia" w:ascii="宋体" w:hAnsi="宋体" w:eastAsia="宋体" w:cs="宋体"/>
          <w:color w:val="auto"/>
          <w:spacing w:val="2"/>
          <w:sz w:val="24"/>
          <w:szCs w:val="24"/>
          <w:highlight w:val="none"/>
        </w:rPr>
        <w:t>(项目名称)中所需(服务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名称)经</w:t>
      </w:r>
      <w:r>
        <w:rPr>
          <w:rFonts w:hint="eastAsia" w:ascii="宋体" w:hAnsi="宋体" w:eastAsia="宋体" w:cs="宋体"/>
          <w:color w:val="auto"/>
          <w:spacing w:val="-1"/>
          <w:sz w:val="24"/>
          <w:szCs w:val="24"/>
          <w:highlight w:val="none"/>
          <w:u w:val="single" w:color="000000"/>
        </w:rPr>
        <w:tab/>
      </w:r>
      <w:r>
        <w:rPr>
          <w:rFonts w:hint="eastAsia" w:ascii="宋体" w:hAnsi="宋体" w:eastAsia="宋体" w:cs="宋体"/>
          <w:color w:val="auto"/>
          <w:spacing w:val="-1"/>
          <w:sz w:val="24"/>
          <w:szCs w:val="24"/>
          <w:highlight w:val="none"/>
        </w:rPr>
        <w:t>(代理机构)以</w:t>
      </w:r>
      <w:r>
        <w:rPr>
          <w:rFonts w:hint="eastAsia" w:ascii="宋体" w:hAnsi="宋体" w:eastAsia="宋体" w:cs="宋体"/>
          <w:color w:val="auto"/>
          <w:spacing w:val="-1"/>
          <w:sz w:val="24"/>
          <w:szCs w:val="24"/>
          <w:highlight w:val="none"/>
          <w:u w:val="single" w:color="000000"/>
        </w:rPr>
        <w:tab/>
      </w:r>
      <w:r>
        <w:rPr>
          <w:rFonts w:hint="eastAsia" w:ascii="宋体" w:hAnsi="宋体" w:eastAsia="宋体" w:cs="宋体"/>
          <w:color w:val="auto"/>
          <w:sz w:val="24"/>
          <w:szCs w:val="24"/>
          <w:highlight w:val="none"/>
        </w:rPr>
        <w:t>号招标文件在国内</w:t>
      </w:r>
      <w:r>
        <w:rPr>
          <w:rFonts w:hint="eastAsia" w:ascii="宋体" w:hAnsi="宋体" w:eastAsia="宋体" w:cs="宋体"/>
          <w:color w:val="auto"/>
          <w:sz w:val="24"/>
          <w:szCs w:val="24"/>
          <w:highlight w:val="none"/>
          <w:u w:val="single" w:color="000000"/>
        </w:rPr>
        <w:tab/>
      </w:r>
      <w:r>
        <w:rPr>
          <w:rFonts w:hint="eastAsia" w:hAnsi="宋体" w:eastAsia="宋体" w:cs="宋体"/>
          <w:color w:val="auto"/>
          <w:spacing w:val="-22"/>
          <w:sz w:val="24"/>
          <w:szCs w:val="24"/>
          <w:highlight w:val="none"/>
          <w:lang w:eastAsia="zh-CN"/>
        </w:rPr>
        <w:t>招标</w:t>
      </w:r>
      <w:r>
        <w:rPr>
          <w:rFonts w:hint="eastAsia" w:ascii="宋体" w:hAnsi="宋体" w:eastAsia="宋体" w:cs="宋体"/>
          <w:color w:val="auto"/>
          <w:spacing w:val="-22"/>
          <w:sz w:val="24"/>
          <w:szCs w:val="24"/>
          <w:highlight w:val="none"/>
        </w:rPr>
        <w:t>。经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评标委员会评定，</w:t>
      </w:r>
      <w:r>
        <w:rPr>
          <w:rFonts w:hint="eastAsia" w:ascii="宋体" w:hAnsi="宋体" w:eastAsia="宋体" w:cs="宋体"/>
          <w:color w:val="auto"/>
          <w:spacing w:val="2"/>
          <w:sz w:val="24"/>
          <w:szCs w:val="24"/>
          <w:highlight w:val="none"/>
          <w:u w:val="single" w:color="000000"/>
        </w:rPr>
        <w:tab/>
      </w:r>
      <w:r>
        <w:rPr>
          <w:rFonts w:hint="eastAsia" w:ascii="宋体" w:hAnsi="宋体" w:eastAsia="宋体" w:cs="宋体"/>
          <w:color w:val="auto"/>
          <w:spacing w:val="2"/>
          <w:sz w:val="24"/>
          <w:szCs w:val="24"/>
          <w:highlight w:val="none"/>
          <w:u w:val="single" w:color="000000"/>
        </w:rPr>
        <w:tab/>
      </w:r>
      <w:r>
        <w:rPr>
          <w:rFonts w:hint="eastAsia" w:ascii="宋体" w:hAnsi="宋体" w:eastAsia="宋体" w:cs="宋体"/>
          <w:color w:val="auto"/>
          <w:spacing w:val="2"/>
          <w:sz w:val="24"/>
          <w:szCs w:val="24"/>
          <w:highlight w:val="none"/>
        </w:rPr>
        <w:t>(乙方)为中标人。甲乙双方同意按照</w:t>
      </w:r>
      <w:r>
        <w:rPr>
          <w:rFonts w:hint="eastAsia" w:ascii="宋体" w:hAnsi="宋体" w:eastAsia="宋体" w:cs="宋体"/>
          <w:color w:val="auto"/>
          <w:spacing w:val="-115"/>
          <w:sz w:val="24"/>
          <w:szCs w:val="24"/>
          <w:highlight w:val="none"/>
        </w:rPr>
        <w:t xml:space="preserve"> </w:t>
      </w:r>
      <w:r>
        <w:rPr>
          <w:rFonts w:hint="eastAsia" w:ascii="宋体" w:hAnsi="宋体" w:eastAsia="宋体" w:cs="宋体"/>
          <w:color w:val="auto"/>
          <w:sz w:val="24"/>
          <w:szCs w:val="24"/>
          <w:highlight w:val="none"/>
        </w:rPr>
        <w:t>下面的条款和条件，签署本合同。</w:t>
      </w:r>
    </w:p>
    <w:p w14:paraId="08EFEC56">
      <w:pPr>
        <w:pStyle w:val="5"/>
        <w:spacing w:before="58" w:line="360" w:lineRule="auto"/>
        <w:ind w:right="0"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1、合同文件</w:t>
      </w:r>
    </w:p>
    <w:p w14:paraId="5E7F6FBE">
      <w:pPr>
        <w:pStyle w:val="8"/>
        <w:spacing w:line="360" w:lineRule="auto"/>
        <w:ind w:right="113" w:firstLine="46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下列文件构成本合同的组成部分，应该认为是一个整体，彼此相互解释，相</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z w:val="24"/>
          <w:szCs w:val="24"/>
          <w:highlight w:val="none"/>
        </w:rPr>
        <w:t xml:space="preserve">互补充。为便于解释，组成合同的多个文件的优先支配地位的次序如下： </w:t>
      </w:r>
    </w:p>
    <w:p w14:paraId="3A1F7590">
      <w:pPr>
        <w:pStyle w:val="8"/>
        <w:spacing w:line="360" w:lineRule="auto"/>
        <w:ind w:left="915" w:right="113" w:firstLine="468" w:firstLineChars="200"/>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a.本合同书</w:t>
      </w:r>
    </w:p>
    <w:p w14:paraId="6102A80F">
      <w:pPr>
        <w:pStyle w:val="8"/>
        <w:spacing w:line="360" w:lineRule="auto"/>
        <w:ind w:left="915" w:right="113" w:firstLine="468" w:firstLineChars="200"/>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b.中标通知书</w:t>
      </w:r>
    </w:p>
    <w:p w14:paraId="3010222F">
      <w:pPr>
        <w:pStyle w:val="8"/>
        <w:spacing w:line="360" w:lineRule="auto"/>
        <w:ind w:left="915" w:right="113" w:firstLine="468" w:firstLineChars="200"/>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c.合同条款</w:t>
      </w:r>
    </w:p>
    <w:p w14:paraId="74A74BAF">
      <w:pPr>
        <w:pStyle w:val="8"/>
        <w:spacing w:line="360" w:lineRule="auto"/>
        <w:ind w:left="915" w:right="113" w:firstLine="468" w:firstLineChars="200"/>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d.中标文件</w:t>
      </w:r>
      <w:r>
        <w:rPr>
          <w:rFonts w:hint="eastAsia" w:ascii="宋体" w:hAnsi="宋体" w:eastAsia="宋体" w:cs="宋体"/>
          <w:color w:val="auto"/>
          <w:spacing w:val="-3"/>
          <w:sz w:val="24"/>
          <w:szCs w:val="24"/>
          <w:highlight w:val="none"/>
        </w:rPr>
        <w:tab/>
      </w:r>
      <w:r>
        <w:rPr>
          <w:rFonts w:hint="eastAsia" w:ascii="宋体" w:hAnsi="宋体" w:eastAsia="宋体" w:cs="宋体"/>
          <w:color w:val="auto"/>
          <w:spacing w:val="-3"/>
          <w:sz w:val="24"/>
          <w:szCs w:val="24"/>
          <w:highlight w:val="none"/>
        </w:rPr>
        <w:t>(含澄清文件)</w:t>
      </w:r>
    </w:p>
    <w:p w14:paraId="67D13F42">
      <w:pPr>
        <w:pStyle w:val="8"/>
        <w:spacing w:line="360" w:lineRule="auto"/>
        <w:ind w:left="915" w:right="113" w:firstLine="468" w:firstLineChars="200"/>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e.招标文件</w:t>
      </w:r>
      <w:r>
        <w:rPr>
          <w:rFonts w:hint="eastAsia" w:ascii="宋体" w:hAnsi="宋体" w:eastAsia="宋体" w:cs="宋体"/>
          <w:color w:val="auto"/>
          <w:spacing w:val="-3"/>
          <w:sz w:val="24"/>
          <w:szCs w:val="24"/>
          <w:highlight w:val="none"/>
        </w:rPr>
        <w:tab/>
      </w:r>
      <w:r>
        <w:rPr>
          <w:rFonts w:hint="eastAsia" w:ascii="宋体" w:hAnsi="宋体" w:eastAsia="宋体" w:cs="宋体"/>
          <w:color w:val="auto"/>
          <w:spacing w:val="-3"/>
          <w:sz w:val="24"/>
          <w:szCs w:val="24"/>
          <w:highlight w:val="none"/>
        </w:rPr>
        <w:t>(含补充通知)</w:t>
      </w:r>
    </w:p>
    <w:p w14:paraId="0407DD66">
      <w:pPr>
        <w:pStyle w:val="5"/>
        <w:spacing w:line="360" w:lineRule="auto"/>
        <w:ind w:right="0"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2、合同总价</w:t>
      </w:r>
    </w:p>
    <w:p w14:paraId="002110BE">
      <w:pPr>
        <w:tabs>
          <w:tab w:val="left" w:pos="3197"/>
          <w:tab w:val="left" w:pos="4559"/>
        </w:tabs>
        <w:spacing w:before="135" w:line="360" w:lineRule="auto"/>
        <w:ind w:left="437" w:right="4288" w:firstLine="47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本合同总价为</w:t>
      </w:r>
      <w:r>
        <w:rPr>
          <w:rFonts w:hint="eastAsia" w:ascii="宋体" w:hAnsi="宋体" w:eastAsia="宋体" w:cs="宋体"/>
          <w:color w:val="auto"/>
          <w:spacing w:val="-1"/>
          <w:sz w:val="24"/>
          <w:szCs w:val="24"/>
          <w:highlight w:val="none"/>
          <w:u w:val="single" w:color="000000"/>
        </w:rPr>
        <w:tab/>
      </w:r>
      <w:r>
        <w:rPr>
          <w:rFonts w:hint="eastAsia" w:ascii="宋体" w:hAnsi="宋体" w:eastAsia="宋体" w:cs="宋体"/>
          <w:color w:val="auto"/>
          <w:sz w:val="24"/>
          <w:szCs w:val="24"/>
          <w:highlight w:val="none"/>
        </w:rPr>
        <w:t>元人民币。 分项价格：</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w w:val="28"/>
          <w:sz w:val="24"/>
          <w:szCs w:val="24"/>
          <w:highlight w:val="none"/>
          <w:u w:val="single" w:color="000000"/>
        </w:rPr>
        <w:t xml:space="preserve"> </w:t>
      </w:r>
      <w:r>
        <w:rPr>
          <w:rFonts w:hint="eastAsia" w:ascii="宋体" w:hAnsi="宋体" w:eastAsia="宋体" w:cs="宋体"/>
          <w:color w:val="auto"/>
          <w:sz w:val="24"/>
          <w:szCs w:val="24"/>
          <w:highlight w:val="none"/>
        </w:rPr>
        <w:t xml:space="preserve"> </w:t>
      </w:r>
    </w:p>
    <w:p w14:paraId="4375EEAB">
      <w:pPr>
        <w:tabs>
          <w:tab w:val="left" w:pos="3197"/>
          <w:tab w:val="left" w:pos="4559"/>
        </w:tabs>
        <w:spacing w:before="135" w:line="360" w:lineRule="auto"/>
        <w:ind w:right="4288"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3、付款方式</w:t>
      </w:r>
    </w:p>
    <w:p w14:paraId="6C8BE20B">
      <w:pPr>
        <w:pStyle w:val="8"/>
        <w:tabs>
          <w:tab w:val="left" w:pos="6736"/>
        </w:tabs>
        <w:spacing w:before="5"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本合同的付款方式为：</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rPr>
        <w:tab/>
      </w:r>
    </w:p>
    <w:p w14:paraId="24A1BD24">
      <w:pPr>
        <w:pStyle w:val="5"/>
        <w:spacing w:before="151" w:line="360" w:lineRule="auto"/>
        <w:ind w:right="0"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4、本合同的项目完成时间及地点</w:t>
      </w:r>
    </w:p>
    <w:p w14:paraId="4304ECB6">
      <w:pPr>
        <w:tabs>
          <w:tab w:val="left" w:pos="5056"/>
          <w:tab w:val="left" w:pos="5999"/>
        </w:tabs>
        <w:spacing w:before="133" w:line="360" w:lineRule="auto"/>
        <w:ind w:left="437" w:right="2848"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项目完成时间：</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w w:val="28"/>
          <w:sz w:val="24"/>
          <w:szCs w:val="24"/>
          <w:highlight w:val="none"/>
          <w:u w:val="single" w:color="000000"/>
        </w:rPr>
        <w:t xml:space="preserve"> </w:t>
      </w:r>
      <w:r>
        <w:rPr>
          <w:rFonts w:hint="eastAsia" w:ascii="宋体" w:hAnsi="宋体" w:eastAsia="宋体" w:cs="宋体"/>
          <w:color w:val="auto"/>
          <w:sz w:val="24"/>
          <w:szCs w:val="24"/>
          <w:highlight w:val="none"/>
        </w:rPr>
        <w:t xml:space="preserve"> 地点：</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rPr>
        <w:tab/>
      </w:r>
      <w:r>
        <w:rPr>
          <w:rFonts w:hint="eastAsia" w:ascii="宋体" w:hAnsi="宋体" w:eastAsia="宋体" w:cs="宋体"/>
          <w:color w:val="auto"/>
          <w:sz w:val="24"/>
          <w:szCs w:val="24"/>
          <w:highlight w:val="none"/>
        </w:rPr>
        <w:t xml:space="preserve"> </w:t>
      </w:r>
    </w:p>
    <w:p w14:paraId="75D49D1C">
      <w:pPr>
        <w:tabs>
          <w:tab w:val="left" w:pos="5056"/>
          <w:tab w:val="left" w:pos="5999"/>
        </w:tabs>
        <w:spacing w:before="133" w:line="360" w:lineRule="auto"/>
        <w:ind w:right="2848"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5、合同的生效</w:t>
      </w:r>
    </w:p>
    <w:p w14:paraId="39A40E74">
      <w:pPr>
        <w:pStyle w:val="8"/>
        <w:spacing w:before="5"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本合同经双方全权代表签署、加盖单位公章后生效。</w:t>
      </w:r>
    </w:p>
    <w:p w14:paraId="771FDDDD">
      <w:pPr>
        <w:pStyle w:val="8"/>
        <w:tabs>
          <w:tab w:val="left" w:pos="1397"/>
          <w:tab w:val="left" w:pos="3616"/>
          <w:tab w:val="left" w:pos="4637"/>
          <w:tab w:val="left" w:pos="5117"/>
          <w:tab w:val="left" w:pos="7456"/>
        </w:tabs>
        <w:spacing w:before="154"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pacing w:val="-1"/>
          <w:sz w:val="24"/>
          <w:szCs w:val="24"/>
          <w:highlight w:val="none"/>
        </w:rPr>
        <w:t>方：</w:t>
      </w:r>
      <w:r>
        <w:rPr>
          <w:rFonts w:hint="eastAsia" w:ascii="宋体" w:hAnsi="宋体" w:eastAsia="宋体" w:cs="宋体"/>
          <w:color w:val="auto"/>
          <w:spacing w:val="-1"/>
          <w:sz w:val="24"/>
          <w:szCs w:val="24"/>
          <w:highlight w:val="none"/>
          <w:u w:val="single" w:color="000000"/>
        </w:rPr>
        <w:tab/>
      </w:r>
      <w:r>
        <w:rPr>
          <w:rFonts w:hint="eastAsia" w:ascii="宋体" w:hAnsi="宋体" w:eastAsia="宋体" w:cs="宋体"/>
          <w:color w:val="auto"/>
          <w:spacing w:val="-1"/>
          <w:sz w:val="24"/>
          <w:szCs w:val="24"/>
          <w:highlight w:val="none"/>
        </w:rPr>
        <w:tab/>
      </w: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rPr>
        <w:tab/>
      </w:r>
      <w:r>
        <w:rPr>
          <w:rFonts w:hint="eastAsia" w:ascii="宋体" w:hAnsi="宋体" w:eastAsia="宋体" w:cs="宋体"/>
          <w:color w:val="auto"/>
          <w:spacing w:val="-1"/>
          <w:sz w:val="24"/>
          <w:szCs w:val="24"/>
          <w:highlight w:val="none"/>
        </w:rPr>
        <w:t>方：</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rPr>
        <w:tab/>
      </w:r>
    </w:p>
    <w:p w14:paraId="657B7758">
      <w:pPr>
        <w:pStyle w:val="8"/>
        <w:tabs>
          <w:tab w:val="left" w:pos="1397"/>
          <w:tab w:val="left" w:pos="4675"/>
          <w:tab w:val="left" w:pos="5155"/>
        </w:tabs>
        <w:spacing w:before="26"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pacing w:val="-1"/>
          <w:sz w:val="24"/>
          <w:szCs w:val="24"/>
          <w:highlight w:val="none"/>
        </w:rPr>
        <w:t>称：(公章)</w:t>
      </w:r>
      <w:r>
        <w:rPr>
          <w:rFonts w:hint="eastAsia" w:ascii="宋体" w:hAnsi="宋体" w:eastAsia="宋体" w:cs="宋体"/>
          <w:color w:val="auto"/>
          <w:spacing w:val="-1"/>
          <w:sz w:val="24"/>
          <w:szCs w:val="24"/>
          <w:highlight w:val="none"/>
        </w:rPr>
        <w:tab/>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rPr>
        <w:tab/>
      </w:r>
      <w:r>
        <w:rPr>
          <w:rFonts w:hint="eastAsia" w:ascii="宋体" w:hAnsi="宋体" w:eastAsia="宋体" w:cs="宋体"/>
          <w:color w:val="auto"/>
          <w:spacing w:val="-1"/>
          <w:sz w:val="24"/>
          <w:szCs w:val="24"/>
          <w:highlight w:val="none"/>
        </w:rPr>
        <w:t>称：(公章)</w:t>
      </w:r>
    </w:p>
    <w:p w14:paraId="555ED274">
      <w:pPr>
        <w:pStyle w:val="8"/>
        <w:tabs>
          <w:tab w:val="left" w:pos="3535"/>
          <w:tab w:val="left" w:pos="5057"/>
          <w:tab w:val="left" w:pos="7795"/>
        </w:tabs>
        <w:spacing w:before="26"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授权代表(签字)：</w:t>
      </w:r>
      <w:r>
        <w:rPr>
          <w:rFonts w:hint="eastAsia" w:ascii="宋体" w:hAnsi="宋体" w:eastAsia="宋体" w:cs="宋体"/>
          <w:color w:val="auto"/>
          <w:spacing w:val="-1"/>
          <w:sz w:val="24"/>
          <w:szCs w:val="24"/>
          <w:highlight w:val="none"/>
          <w:u w:val="single" w:color="000000"/>
        </w:rPr>
        <w:tab/>
      </w:r>
      <w:r>
        <w:rPr>
          <w:rFonts w:hint="eastAsia" w:hAnsi="宋体" w:eastAsia="宋体" w:cs="宋体"/>
          <w:color w:val="auto"/>
          <w:spacing w:val="-1"/>
          <w:sz w:val="24"/>
          <w:szCs w:val="24"/>
          <w:highlight w:val="none"/>
          <w:u w:val="none" w:color="auto"/>
          <w:lang w:val="en-US" w:eastAsia="zh-CN"/>
        </w:rPr>
        <w:t xml:space="preserve">         </w:t>
      </w:r>
      <w:r>
        <w:rPr>
          <w:rFonts w:hint="eastAsia" w:ascii="宋体" w:hAnsi="宋体" w:eastAsia="宋体" w:cs="宋体"/>
          <w:color w:val="auto"/>
          <w:spacing w:val="-1"/>
          <w:sz w:val="24"/>
          <w:szCs w:val="24"/>
          <w:highlight w:val="none"/>
        </w:rPr>
        <w:t>授权代表(签字)：</w:t>
      </w:r>
      <w:r>
        <w:rPr>
          <w:rFonts w:hint="eastAsia" w:ascii="宋体" w:hAnsi="宋体" w:eastAsia="宋体" w:cs="宋体"/>
          <w:color w:val="auto"/>
          <w:spacing w:val="-1"/>
          <w:sz w:val="24"/>
          <w:szCs w:val="24"/>
          <w:highlight w:val="none"/>
          <w:u w:val="single" w:color="000000"/>
        </w:rPr>
        <w:t xml:space="preserve"> </w:t>
      </w:r>
      <w:r>
        <w:rPr>
          <w:rFonts w:hint="eastAsia" w:ascii="宋体" w:hAnsi="宋体" w:eastAsia="宋体" w:cs="宋体"/>
          <w:color w:val="auto"/>
          <w:spacing w:val="-1"/>
          <w:sz w:val="24"/>
          <w:szCs w:val="24"/>
          <w:highlight w:val="none"/>
          <w:u w:val="single" w:color="000000"/>
        </w:rPr>
        <w:tab/>
      </w:r>
    </w:p>
    <w:p w14:paraId="10B209B2">
      <w:pPr>
        <w:pStyle w:val="8"/>
        <w:tabs>
          <w:tab w:val="left" w:pos="1637"/>
          <w:tab w:val="left" w:pos="3856"/>
          <w:tab w:val="left" w:pos="5057"/>
          <w:tab w:val="left" w:pos="5777"/>
          <w:tab w:val="left" w:pos="7636"/>
        </w:tabs>
        <w:spacing w:before="26"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rPr>
        <w:tab/>
      </w:r>
      <w:r>
        <w:rPr>
          <w:rFonts w:hint="eastAsia" w:ascii="宋体" w:hAnsi="宋体" w:eastAsia="宋体" w:cs="宋体"/>
          <w:color w:val="auto"/>
          <w:spacing w:val="-1"/>
          <w:sz w:val="24"/>
          <w:szCs w:val="24"/>
          <w:highlight w:val="none"/>
        </w:rPr>
        <w:t>址：</w:t>
      </w:r>
      <w:r>
        <w:rPr>
          <w:rFonts w:hint="eastAsia" w:ascii="宋体" w:hAnsi="宋体" w:eastAsia="宋体" w:cs="宋体"/>
          <w:color w:val="auto"/>
          <w:spacing w:val="-1"/>
          <w:sz w:val="24"/>
          <w:szCs w:val="24"/>
          <w:highlight w:val="none"/>
          <w:u w:val="single" w:color="000000"/>
        </w:rPr>
        <w:tab/>
      </w:r>
      <w:r>
        <w:rPr>
          <w:rFonts w:hint="eastAsia" w:ascii="宋体" w:hAnsi="宋体" w:eastAsia="宋体" w:cs="宋体"/>
          <w:color w:val="auto"/>
          <w:spacing w:val="-1"/>
          <w:sz w:val="24"/>
          <w:szCs w:val="24"/>
          <w:highlight w:val="none"/>
        </w:rPr>
        <w:tab/>
      </w: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rPr>
        <w:tab/>
      </w:r>
      <w:r>
        <w:rPr>
          <w:rFonts w:hint="eastAsia" w:ascii="宋体" w:hAnsi="宋体" w:eastAsia="宋体" w:cs="宋体"/>
          <w:color w:val="auto"/>
          <w:spacing w:val="-1"/>
          <w:sz w:val="24"/>
          <w:szCs w:val="24"/>
          <w:highlight w:val="none"/>
        </w:rPr>
        <w:t>址：</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rPr>
        <w:tab/>
      </w:r>
    </w:p>
    <w:p w14:paraId="2233593B">
      <w:pPr>
        <w:pStyle w:val="8"/>
        <w:tabs>
          <w:tab w:val="left" w:pos="3856"/>
          <w:tab w:val="left" w:pos="5057"/>
          <w:tab w:val="left" w:pos="7636"/>
        </w:tabs>
        <w:spacing w:before="26"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邮政编码：</w:t>
      </w:r>
      <w:r>
        <w:rPr>
          <w:rFonts w:hint="eastAsia" w:ascii="宋体" w:hAnsi="宋体" w:eastAsia="宋体" w:cs="宋体"/>
          <w:color w:val="auto"/>
          <w:spacing w:val="-1"/>
          <w:sz w:val="24"/>
          <w:szCs w:val="24"/>
          <w:highlight w:val="none"/>
          <w:u w:val="single" w:color="000000"/>
        </w:rPr>
        <w:tab/>
      </w:r>
      <w:r>
        <w:rPr>
          <w:rFonts w:hint="eastAsia" w:ascii="宋体" w:hAnsi="宋体" w:eastAsia="宋体" w:cs="宋体"/>
          <w:color w:val="auto"/>
          <w:spacing w:val="-1"/>
          <w:sz w:val="24"/>
          <w:szCs w:val="24"/>
          <w:highlight w:val="none"/>
        </w:rPr>
        <w:tab/>
      </w:r>
      <w:r>
        <w:rPr>
          <w:rFonts w:hint="eastAsia" w:ascii="宋体" w:hAnsi="宋体" w:eastAsia="宋体" w:cs="宋体"/>
          <w:color w:val="auto"/>
          <w:spacing w:val="-1"/>
          <w:sz w:val="24"/>
          <w:szCs w:val="24"/>
          <w:highlight w:val="none"/>
        </w:rPr>
        <w:t>邮政编码：</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rPr>
        <w:tab/>
      </w:r>
    </w:p>
    <w:p w14:paraId="7D9EE4A2">
      <w:pPr>
        <w:pStyle w:val="8"/>
        <w:tabs>
          <w:tab w:val="left" w:pos="1637"/>
          <w:tab w:val="left" w:pos="3856"/>
          <w:tab w:val="left" w:pos="5057"/>
          <w:tab w:val="left" w:pos="5777"/>
          <w:tab w:val="left" w:pos="7636"/>
        </w:tabs>
        <w:spacing w:before="26"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rPr>
        <w:tab/>
      </w:r>
      <w:r>
        <w:rPr>
          <w:rFonts w:hint="eastAsia" w:ascii="宋体" w:hAnsi="宋体" w:eastAsia="宋体" w:cs="宋体"/>
          <w:color w:val="auto"/>
          <w:spacing w:val="-1"/>
          <w:sz w:val="24"/>
          <w:szCs w:val="24"/>
          <w:highlight w:val="none"/>
        </w:rPr>
        <w:t>话：</w:t>
      </w:r>
      <w:r>
        <w:rPr>
          <w:rFonts w:hint="eastAsia" w:ascii="宋体" w:hAnsi="宋体" w:eastAsia="宋体" w:cs="宋体"/>
          <w:color w:val="auto"/>
          <w:spacing w:val="-1"/>
          <w:sz w:val="24"/>
          <w:szCs w:val="24"/>
          <w:highlight w:val="none"/>
          <w:u w:val="single" w:color="000000"/>
        </w:rPr>
        <w:tab/>
      </w:r>
      <w:r>
        <w:rPr>
          <w:rFonts w:hint="eastAsia" w:ascii="宋体" w:hAnsi="宋体" w:eastAsia="宋体" w:cs="宋体"/>
          <w:color w:val="auto"/>
          <w:spacing w:val="-1"/>
          <w:sz w:val="24"/>
          <w:szCs w:val="24"/>
          <w:highlight w:val="none"/>
        </w:rPr>
        <w:tab/>
      </w: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rPr>
        <w:tab/>
      </w:r>
      <w:r>
        <w:rPr>
          <w:rFonts w:hint="eastAsia" w:ascii="宋体" w:hAnsi="宋体" w:eastAsia="宋体" w:cs="宋体"/>
          <w:color w:val="auto"/>
          <w:spacing w:val="-1"/>
          <w:sz w:val="24"/>
          <w:szCs w:val="24"/>
          <w:highlight w:val="none"/>
        </w:rPr>
        <w:t>话：</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rPr>
        <w:tab/>
      </w:r>
    </w:p>
    <w:p w14:paraId="06A19254">
      <w:pPr>
        <w:pStyle w:val="8"/>
        <w:tabs>
          <w:tab w:val="left" w:pos="3856"/>
          <w:tab w:val="left" w:pos="5057"/>
          <w:tab w:val="left" w:pos="7636"/>
        </w:tabs>
        <w:spacing w:before="26"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开户银行：</w:t>
      </w:r>
      <w:r>
        <w:rPr>
          <w:rFonts w:hint="eastAsia" w:ascii="宋体" w:hAnsi="宋体" w:eastAsia="宋体" w:cs="宋体"/>
          <w:color w:val="auto"/>
          <w:spacing w:val="-1"/>
          <w:sz w:val="24"/>
          <w:szCs w:val="24"/>
          <w:highlight w:val="none"/>
          <w:u w:val="single" w:color="000000"/>
        </w:rPr>
        <w:tab/>
      </w:r>
      <w:r>
        <w:rPr>
          <w:rFonts w:hint="eastAsia" w:ascii="宋体" w:hAnsi="宋体" w:eastAsia="宋体" w:cs="宋体"/>
          <w:color w:val="auto"/>
          <w:spacing w:val="-1"/>
          <w:sz w:val="24"/>
          <w:szCs w:val="24"/>
          <w:highlight w:val="none"/>
        </w:rPr>
        <w:t>开户银行：</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rPr>
        <w:tab/>
      </w:r>
    </w:p>
    <w:p w14:paraId="55AE976A">
      <w:pPr>
        <w:pStyle w:val="8"/>
        <w:tabs>
          <w:tab w:val="left" w:pos="1637"/>
          <w:tab w:val="left" w:pos="5057"/>
          <w:tab w:val="left" w:pos="5777"/>
        </w:tabs>
        <w:spacing w:before="26"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号：</w:t>
      </w:r>
    </w:p>
    <w:p w14:paraId="42108628">
      <w:pPr>
        <w:pStyle w:val="8"/>
        <w:tabs>
          <w:tab w:val="left" w:pos="1397"/>
          <w:tab w:val="left" w:pos="1877"/>
          <w:tab w:val="left" w:pos="4757"/>
          <w:tab w:val="left" w:pos="5237"/>
          <w:tab w:val="left" w:pos="5717"/>
        </w:tabs>
        <w:spacing w:before="0"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A26914F">
      <w:pPr>
        <w:rPr>
          <w:rFonts w:hint="eastAsia" w:ascii="宋体"/>
          <w:color w:val="auto"/>
          <w:sz w:val="32"/>
          <w:szCs w:val="32"/>
          <w:highlight w:val="none"/>
        </w:rPr>
      </w:pPr>
    </w:p>
    <w:p w14:paraId="3A74EA5B">
      <w:pPr>
        <w:pStyle w:val="7"/>
        <w:rPr>
          <w:rFonts w:hint="eastAsia" w:ascii="宋体"/>
          <w:color w:val="auto"/>
          <w:sz w:val="32"/>
          <w:szCs w:val="32"/>
          <w:highlight w:val="none"/>
        </w:rPr>
      </w:pPr>
    </w:p>
    <w:p w14:paraId="563FB782">
      <w:pPr>
        <w:spacing w:line="360" w:lineRule="auto"/>
        <w:ind w:firstLine="600"/>
        <w:rPr>
          <w:rFonts w:hint="default" w:eastAsia="宋体"/>
          <w:lang w:val="en-US" w:eastAsia="zh-CN"/>
        </w:rPr>
      </w:pPr>
    </w:p>
    <w:sectPr>
      <w:headerReference r:id="rId52" w:type="default"/>
      <w:footerReference r:id="rId53" w:type="default"/>
      <w:pgSz w:w="11907" w:h="16840"/>
      <w:pgMar w:top="400" w:right="1421" w:bottom="1200" w:left="1382" w:header="0" w:footer="103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D9C1">
    <w:pPr>
      <w:pStyle w:val="8"/>
      <w:spacing w:line="184" w:lineRule="auto"/>
      <w:ind w:left="4164"/>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F7F37">
    <w:pPr>
      <w:pStyle w:val="8"/>
      <w:spacing w:line="184" w:lineRule="auto"/>
      <w:ind w:left="4087"/>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6710B">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96710B">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4FF04">
    <w:pPr>
      <w:pStyle w:val="8"/>
      <w:spacing w:line="184" w:lineRule="auto"/>
      <w:ind w:left="4087"/>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4B2C0">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B14B2C0">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83212">
    <w:pPr>
      <w:pStyle w:val="8"/>
      <w:spacing w:line="184" w:lineRule="auto"/>
      <w:ind w:left="4087"/>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E2BF9">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D4E2BF9">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62EB">
    <w:pPr>
      <w:pStyle w:val="8"/>
      <w:spacing w:line="184" w:lineRule="auto"/>
      <w:ind w:left="4087"/>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9193B">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F29193B">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F6823">
    <w:pPr>
      <w:pStyle w:val="8"/>
      <w:spacing w:line="184" w:lineRule="auto"/>
      <w:ind w:left="4072"/>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84386">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5884386">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52A72">
    <w:pPr>
      <w:pStyle w:val="8"/>
      <w:spacing w:line="184" w:lineRule="auto"/>
      <w:ind w:left="4072"/>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0CF82">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10CF82">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C3EFF">
    <w:pPr>
      <w:spacing w:line="184" w:lineRule="auto"/>
      <w:ind w:left="4590"/>
      <w:rPr>
        <w:rFonts w:ascii="Times New Roman" w:hAnsi="Times New Roman" w:eastAsia="Times New Roman" w:cs="Times New Roman"/>
        <w:sz w:val="17"/>
        <w:szCs w:val="17"/>
      </w:rPr>
    </w:pPr>
    <w:r>
      <w:rPr>
        <w:rFonts w:ascii="Times New Roman" w:hAnsi="Times New Roman" w:eastAsia="Times New Roman" w:cs="Times New Roman"/>
        <w:spacing w:val="29"/>
        <w:w w:val="111"/>
        <w:sz w:val="17"/>
        <w:szCs w:val="17"/>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55D39">
    <w:pPr>
      <w:spacing w:line="184" w:lineRule="auto"/>
      <w:ind w:left="4590"/>
      <w:rPr>
        <w:rFonts w:ascii="Times New Roman" w:hAnsi="Times New Roman" w:eastAsia="Times New Roman" w:cs="Times New Roman"/>
        <w:sz w:val="17"/>
        <w:szCs w:val="17"/>
      </w:rPr>
    </w:pPr>
    <w:r>
      <w:rPr>
        <w:rFonts w:ascii="Times New Roman" w:hAnsi="Times New Roman" w:eastAsia="Times New Roman" w:cs="Times New Roman"/>
        <w:spacing w:val="26"/>
        <w:w w:val="115"/>
        <w:sz w:val="17"/>
        <w:szCs w:val="17"/>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D351">
    <w:pPr>
      <w:pStyle w:val="8"/>
      <w:spacing w:line="184" w:lineRule="auto"/>
      <w:ind w:left="4072"/>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C9992">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A0C9992">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A8D23">
    <w:pPr>
      <w:pStyle w:val="8"/>
      <w:spacing w:line="184" w:lineRule="auto"/>
      <w:ind w:left="4072"/>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60BAD">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F060BAD">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9764A">
    <w:pPr>
      <w:pStyle w:val="8"/>
      <w:spacing w:line="184" w:lineRule="auto"/>
      <w:ind w:left="4123"/>
      <w:rPr>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F55EB">
    <w:pPr>
      <w:pStyle w:val="8"/>
      <w:spacing w:line="184" w:lineRule="auto"/>
      <w:ind w:left="4490"/>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BBBCF">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06BBBCF">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3D630">
    <w:pPr>
      <w:pStyle w:val="8"/>
      <w:spacing w:line="184" w:lineRule="auto"/>
      <w:ind w:left="4072"/>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937CE">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58937CE">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A1618">
    <w:pPr>
      <w:pStyle w:val="8"/>
      <w:spacing w:line="184" w:lineRule="auto"/>
      <w:ind w:left="4106"/>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90BC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5690BC2">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0843B">
    <w:pPr>
      <w:pStyle w:val="8"/>
      <w:spacing w:line="184" w:lineRule="auto"/>
      <w:ind w:left="4108"/>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4181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AB4181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656C5">
    <w:pPr>
      <w:pStyle w:val="8"/>
      <w:spacing w:line="184" w:lineRule="auto"/>
      <w:ind w:left="4075"/>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D1980">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E2D1980">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866AC">
    <w:pPr>
      <w:pStyle w:val="8"/>
      <w:spacing w:line="184" w:lineRule="auto"/>
      <w:ind w:left="4075"/>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5A9B3">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975A9B3">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3B94B">
    <w:pPr>
      <w:pStyle w:val="8"/>
      <w:spacing w:line="184" w:lineRule="auto"/>
      <w:ind w:left="4075"/>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364F8">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AD364F8">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E815">
    <w:pPr>
      <w:pStyle w:val="8"/>
      <w:spacing w:line="184" w:lineRule="auto"/>
      <w:ind w:left="4287"/>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D1CFA">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C9D1CFA">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EC252">
    <w:pPr>
      <w:pStyle w:val="8"/>
      <w:spacing w:line="184" w:lineRule="auto"/>
      <w:ind w:left="4377"/>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D3673">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D3D3673">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AA756">
    <w:pPr>
      <w:pStyle w:val="8"/>
      <w:spacing w:line="184" w:lineRule="auto"/>
      <w:ind w:left="4118"/>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6A995">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246A995">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7D69C">
    <w:pPr>
      <w:pStyle w:val="8"/>
      <w:spacing w:line="182" w:lineRule="auto"/>
      <w:ind w:left="4126"/>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33309">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933309">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E595E">
    <w:pPr>
      <w:pStyle w:val="8"/>
      <w:spacing w:line="184" w:lineRule="auto"/>
      <w:ind w:left="4075"/>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C6020">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40C6020">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2F1C9">
    <w:pPr>
      <w:pStyle w:val="8"/>
      <w:spacing w:line="184" w:lineRule="auto"/>
      <w:ind w:left="4075"/>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B16CB">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37B16CB">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C4BA5">
    <w:pPr>
      <w:pStyle w:val="8"/>
      <w:spacing w:line="184" w:lineRule="auto"/>
      <w:ind w:left="4075"/>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40998">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B40998">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1B2F4">
    <w:pPr>
      <w:pStyle w:val="8"/>
      <w:spacing w:line="184" w:lineRule="auto"/>
      <w:ind w:left="4069"/>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07859">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FF07859">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E4E58">
    <w:pPr>
      <w:pStyle w:val="8"/>
      <w:spacing w:line="184" w:lineRule="auto"/>
      <w:ind w:left="4283"/>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8A452">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F68A452">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78E8">
    <w:pPr>
      <w:pStyle w:val="8"/>
      <w:spacing w:line="184" w:lineRule="auto"/>
      <w:ind w:left="4283"/>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4DEE8">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A44DEE8">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696D8">
    <w:pPr>
      <w:pStyle w:val="8"/>
      <w:spacing w:line="184" w:lineRule="auto"/>
      <w:ind w:left="4283"/>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3FFD7">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823FFD7">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E9C8">
    <w:pPr>
      <w:pStyle w:val="8"/>
      <w:spacing w:line="184" w:lineRule="auto"/>
      <w:ind w:left="4283"/>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F048B">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73F048B">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0DEB">
    <w:pPr>
      <w:pStyle w:val="8"/>
      <w:spacing w:line="184" w:lineRule="auto"/>
      <w:ind w:left="4283"/>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D4525">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81D4525">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5BF94">
    <w:pPr>
      <w:pStyle w:val="8"/>
      <w:spacing w:line="182" w:lineRule="auto"/>
      <w:ind w:left="4283"/>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AACF3">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69AACF3">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E8DF">
    <w:pPr>
      <w:pStyle w:val="8"/>
      <w:spacing w:line="184" w:lineRule="auto"/>
      <w:ind w:left="4939"/>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EADB7">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DEADB7">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2AE0C">
    <w:pPr>
      <w:pStyle w:val="8"/>
      <w:spacing w:line="184" w:lineRule="auto"/>
      <w:ind w:left="4283"/>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2D951">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F02D951">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32F6">
    <w:pPr>
      <w:pStyle w:val="8"/>
      <w:spacing w:line="182" w:lineRule="auto"/>
      <w:ind w:left="4696"/>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EA6FB">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48EA6FB">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E60E">
    <w:pPr>
      <w:pStyle w:val="8"/>
      <w:spacing w:line="184" w:lineRule="auto"/>
      <w:ind w:left="4772"/>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82BE0">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9082BE0">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64E5E">
    <w:pPr>
      <w:pStyle w:val="8"/>
      <w:spacing w:line="184" w:lineRule="auto"/>
      <w:ind w:left="4356"/>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A66CE">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51A66CE">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D385">
    <w:pPr>
      <w:pStyle w:val="11"/>
      <w:rPr>
        <w:rFonts w:hint="eastAsia"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18F1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218F1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8EF5">
    <w:pPr>
      <w:pStyle w:val="8"/>
      <w:spacing w:line="182" w:lineRule="auto"/>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B3120">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B9B3120">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F7883">
    <w:pPr>
      <w:pStyle w:val="8"/>
      <w:spacing w:line="184" w:lineRule="auto"/>
      <w:ind w:left="4087"/>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7CDE2">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097CDE2">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94A9">
    <w:pPr>
      <w:pStyle w:val="8"/>
      <w:spacing w:line="184" w:lineRule="auto"/>
      <w:ind w:left="4087"/>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847C7">
                          <w:pPr>
                            <w:pStyle w:val="1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9847C7">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F015">
    <w:pPr>
      <w:pStyle w:val="8"/>
      <w:spacing w:line="184" w:lineRule="auto"/>
      <w:ind w:left="4087"/>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E9656">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B4E9656">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C4F34">
    <w:pPr>
      <w:pStyle w:val="8"/>
      <w:spacing w:line="184" w:lineRule="auto"/>
      <w:ind w:left="4087"/>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57ACE">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A57ACE">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0929">
    <w:pPr>
      <w:pStyle w:val="8"/>
      <w:spacing w:line="184" w:lineRule="auto"/>
      <w:ind w:left="4087"/>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1EEE7">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671EEE7">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1DF05">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5B4D">
    <w:pPr>
      <w:pStyle w:val="12"/>
      <w:rPr>
        <w:rFonts w:hint="eastAsia" w:eastAsia="宋体"/>
        <w:i/>
        <w:lang w:eastAsia="zh-CN"/>
      </w:rPr>
    </w:pPr>
    <w:r>
      <w:rPr>
        <w:rFonts w:hint="eastAsia" w:eastAsia="宋体"/>
        <w:i/>
        <w:lang w:eastAsia="zh-CN"/>
      </w:rPr>
      <w:t>新疆星耀天都项目管理有限责任公司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3FEE4">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C9BB2">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4BC1B"/>
    <w:multiLevelType w:val="singleLevel"/>
    <w:tmpl w:val="B734BC1B"/>
    <w:lvl w:ilvl="0" w:tentative="0">
      <w:start w:val="5"/>
      <w:numFmt w:val="decimal"/>
      <w:suff w:val="nothing"/>
      <w:lvlText w:val="%1、"/>
      <w:lvlJc w:val="left"/>
    </w:lvl>
  </w:abstractNum>
  <w:abstractNum w:abstractNumId="1">
    <w:nsid w:val="F7B09D51"/>
    <w:multiLevelType w:val="singleLevel"/>
    <w:tmpl w:val="F7B09D51"/>
    <w:lvl w:ilvl="0" w:tentative="0">
      <w:start w:val="8"/>
      <w:numFmt w:val="chineseCounting"/>
      <w:suff w:val="nothing"/>
      <w:lvlText w:val="%1、"/>
      <w:lvlJc w:val="left"/>
      <w:rPr>
        <w:rFonts w:hint="eastAsia"/>
      </w:rPr>
    </w:lvl>
  </w:abstractNum>
  <w:abstractNum w:abstractNumId="2">
    <w:nsid w:val="0D8C6054"/>
    <w:multiLevelType w:val="multilevel"/>
    <w:tmpl w:val="0D8C6054"/>
    <w:lvl w:ilvl="0" w:tentative="0">
      <w:start w:val="1"/>
      <w:numFmt w:val="decimal"/>
      <w:lvlText w:val="%1."/>
      <w:lvlJc w:val="left"/>
      <w:pPr>
        <w:ind w:left="78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pStyle w:val="27"/>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4A1E0478"/>
    <w:multiLevelType w:val="singleLevel"/>
    <w:tmpl w:val="4A1E0478"/>
    <w:lvl w:ilvl="0" w:tentative="0">
      <w:start w:val="1"/>
      <w:numFmt w:val="decimal"/>
      <w:suff w:val="nothing"/>
      <w:lvlText w:val="%1、"/>
      <w:lvlJc w:val="left"/>
    </w:lvl>
  </w:abstractNum>
  <w:abstractNum w:abstractNumId="5">
    <w:nsid w:val="5A066C4E"/>
    <w:multiLevelType w:val="singleLevel"/>
    <w:tmpl w:val="5A066C4E"/>
    <w:lvl w:ilvl="0" w:tentative="0">
      <w:start w:val="1"/>
      <w:numFmt w:val="chineseCounting"/>
      <w:suff w:val="space"/>
      <w:lvlText w:val="第%1章"/>
      <w:lvlJc w:val="left"/>
    </w:lvl>
  </w:abstractNum>
  <w:abstractNum w:abstractNumId="6">
    <w:nsid w:val="62687BB6"/>
    <w:multiLevelType w:val="multilevel"/>
    <w:tmpl w:val="62687BB6"/>
    <w:lvl w:ilvl="0" w:tentative="0">
      <w:start w:val="1"/>
      <w:numFmt w:val="decimal"/>
      <w:pStyle w:val="2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7">
    <w:nsid w:val="651A5837"/>
    <w:multiLevelType w:val="singleLevel"/>
    <w:tmpl w:val="651A5837"/>
    <w:lvl w:ilvl="0" w:tentative="0">
      <w:start w:val="1"/>
      <w:numFmt w:val="decimal"/>
      <w:pStyle w:val="23"/>
      <w:suff w:val="nothing"/>
      <w:lvlText w:val="%1、"/>
      <w:lvlJc w:val="left"/>
      <w:rPr>
        <w:rFonts w:ascii="宋体" w:hAnsi="宋体" w:eastAsia="宋体" w:cs="宋体"/>
      </w:rPr>
    </w:lvl>
  </w:abstractNum>
  <w:num w:numId="1">
    <w:abstractNumId w:val="6"/>
  </w:num>
  <w:num w:numId="2">
    <w:abstractNumId w:val="7"/>
  </w:num>
  <w:num w:numId="3">
    <w:abstractNumId w:val="5"/>
  </w:num>
  <w:num w:numId="4">
    <w:abstractNumId w:val="3"/>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1843" w:firstLine="0"/>
        </w:pPr>
      </w:lvl>
    </w:lvlOverride>
    <w:lvlOverride w:ilvl="2">
      <w:lvl w:ilvl="2" w:tentative="1">
        <w:start w:val="1"/>
        <w:numFmt w:val="decimal"/>
        <w:pStyle w:val="25"/>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NjMDcxNTc2N2I0YTJhN2VlMTJlMWNjMjA1Mjg5MjkifQ=="/>
  </w:docVars>
  <w:rsids>
    <w:rsidRoot w:val="00000000"/>
    <w:rsid w:val="00CD7B52"/>
    <w:rsid w:val="01D8219E"/>
    <w:rsid w:val="026B4DCF"/>
    <w:rsid w:val="03B22EB7"/>
    <w:rsid w:val="0449082F"/>
    <w:rsid w:val="083A5835"/>
    <w:rsid w:val="09820C67"/>
    <w:rsid w:val="0B7078E0"/>
    <w:rsid w:val="0BA7670B"/>
    <w:rsid w:val="0BC65752"/>
    <w:rsid w:val="0BE030D1"/>
    <w:rsid w:val="0E4126BB"/>
    <w:rsid w:val="11765524"/>
    <w:rsid w:val="13FB7F63"/>
    <w:rsid w:val="143D31B4"/>
    <w:rsid w:val="14B539C3"/>
    <w:rsid w:val="15B62DB1"/>
    <w:rsid w:val="16946B78"/>
    <w:rsid w:val="176302F9"/>
    <w:rsid w:val="17F17FFA"/>
    <w:rsid w:val="18A02EA1"/>
    <w:rsid w:val="18B90B18"/>
    <w:rsid w:val="1B4A3CA9"/>
    <w:rsid w:val="1C0606F7"/>
    <w:rsid w:val="1D921938"/>
    <w:rsid w:val="1E2549D1"/>
    <w:rsid w:val="1E3F76B2"/>
    <w:rsid w:val="1E566E09"/>
    <w:rsid w:val="215238B8"/>
    <w:rsid w:val="22047305"/>
    <w:rsid w:val="22254D33"/>
    <w:rsid w:val="22407BB4"/>
    <w:rsid w:val="22431452"/>
    <w:rsid w:val="230706D2"/>
    <w:rsid w:val="24DD5B8E"/>
    <w:rsid w:val="25206252"/>
    <w:rsid w:val="259D3396"/>
    <w:rsid w:val="26597496"/>
    <w:rsid w:val="26884D10"/>
    <w:rsid w:val="26CA3EF0"/>
    <w:rsid w:val="277B51EB"/>
    <w:rsid w:val="27D112BA"/>
    <w:rsid w:val="2815563F"/>
    <w:rsid w:val="29E21551"/>
    <w:rsid w:val="2B7E174D"/>
    <w:rsid w:val="2C0437B0"/>
    <w:rsid w:val="2C2056CF"/>
    <w:rsid w:val="2CB52F4D"/>
    <w:rsid w:val="2D2307FE"/>
    <w:rsid w:val="302046B8"/>
    <w:rsid w:val="31B9012B"/>
    <w:rsid w:val="36056CF3"/>
    <w:rsid w:val="366972C9"/>
    <w:rsid w:val="36713EDD"/>
    <w:rsid w:val="37040D59"/>
    <w:rsid w:val="371E2613"/>
    <w:rsid w:val="37977E1F"/>
    <w:rsid w:val="379F4F25"/>
    <w:rsid w:val="39227BBC"/>
    <w:rsid w:val="3A672512"/>
    <w:rsid w:val="3C0D17AA"/>
    <w:rsid w:val="3C2B4FD9"/>
    <w:rsid w:val="40B82BB4"/>
    <w:rsid w:val="410D680E"/>
    <w:rsid w:val="41A956FF"/>
    <w:rsid w:val="423142A7"/>
    <w:rsid w:val="42CE4911"/>
    <w:rsid w:val="42EF6D61"/>
    <w:rsid w:val="43670FED"/>
    <w:rsid w:val="457479F1"/>
    <w:rsid w:val="465A0995"/>
    <w:rsid w:val="475A02D2"/>
    <w:rsid w:val="47EB76FB"/>
    <w:rsid w:val="497A3FDE"/>
    <w:rsid w:val="4A993A56"/>
    <w:rsid w:val="4BC30D8B"/>
    <w:rsid w:val="4BEF692B"/>
    <w:rsid w:val="4C025E93"/>
    <w:rsid w:val="4CE53FD4"/>
    <w:rsid w:val="4D4952BF"/>
    <w:rsid w:val="4DF160CB"/>
    <w:rsid w:val="4E7A2F09"/>
    <w:rsid w:val="4F48760A"/>
    <w:rsid w:val="50342F85"/>
    <w:rsid w:val="51C07B1A"/>
    <w:rsid w:val="51E657D3"/>
    <w:rsid w:val="52734B8D"/>
    <w:rsid w:val="53F474C1"/>
    <w:rsid w:val="54012415"/>
    <w:rsid w:val="55D23167"/>
    <w:rsid w:val="59745DBA"/>
    <w:rsid w:val="5B4A5394"/>
    <w:rsid w:val="5DCB485B"/>
    <w:rsid w:val="5DD0759C"/>
    <w:rsid w:val="5E316028"/>
    <w:rsid w:val="5EDF5355"/>
    <w:rsid w:val="60EE6452"/>
    <w:rsid w:val="654140A9"/>
    <w:rsid w:val="65C21C5B"/>
    <w:rsid w:val="662F4077"/>
    <w:rsid w:val="667F6C62"/>
    <w:rsid w:val="66A7557A"/>
    <w:rsid w:val="68282249"/>
    <w:rsid w:val="685C1EF3"/>
    <w:rsid w:val="6BB868A5"/>
    <w:rsid w:val="6E2A5433"/>
    <w:rsid w:val="6EB1667F"/>
    <w:rsid w:val="6FC8354B"/>
    <w:rsid w:val="70154F2A"/>
    <w:rsid w:val="713145F0"/>
    <w:rsid w:val="72AB5F51"/>
    <w:rsid w:val="76C23869"/>
    <w:rsid w:val="77291B3A"/>
    <w:rsid w:val="775C0B8E"/>
    <w:rsid w:val="783C4970"/>
    <w:rsid w:val="78DB2989"/>
    <w:rsid w:val="7A293BFF"/>
    <w:rsid w:val="7B681D3B"/>
    <w:rsid w:val="7B696661"/>
    <w:rsid w:val="7B6C0247"/>
    <w:rsid w:val="7CAF0836"/>
    <w:rsid w:val="7DE467BB"/>
    <w:rsid w:val="7ECC2E68"/>
    <w:rsid w:val="7FA53D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3"/>
    <w:qFormat/>
    <w:uiPriority w:val="0"/>
    <w:pPr>
      <w:keepNext/>
      <w:keepLines/>
      <w:spacing w:before="260" w:beforeLines="0" w:after="260" w:afterLines="0" w:line="415" w:lineRule="auto"/>
      <w:outlineLvl w:val="1"/>
    </w:pPr>
    <w:rPr>
      <w:rFonts w:ascii="Arial" w:hAnsi="Arial" w:eastAsia="黑体" w:cs="Times New Roman"/>
      <w:b/>
      <w:bCs/>
      <w:sz w:val="32"/>
      <w:szCs w:val="32"/>
    </w:rPr>
  </w:style>
  <w:style w:type="paragraph" w:styleId="6">
    <w:name w:val="heading 3"/>
    <w:basedOn w:val="1"/>
    <w:next w:val="1"/>
    <w:qFormat/>
    <w:uiPriority w:val="0"/>
    <w:pPr>
      <w:keepNext/>
      <w:keepLines/>
      <w:spacing w:before="156" w:beforeLines="50" w:after="156" w:afterLines="50" w:line="500" w:lineRule="exact"/>
      <w:ind w:firstLine="561"/>
      <w:outlineLvl w:val="2"/>
    </w:pPr>
    <w:rPr>
      <w:b/>
      <w:bCs/>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0"/>
      <w:ind w:left="0" w:leftChars="0" w:firstLine="200" w:firstLineChars="200"/>
    </w:pPr>
    <w:rPr>
      <w:sz w:val="28"/>
    </w:rPr>
  </w:style>
  <w:style w:type="paragraph" w:styleId="3">
    <w:name w:val="Body Text Indent"/>
    <w:basedOn w:val="1"/>
    <w:next w:val="4"/>
    <w:qFormat/>
    <w:uiPriority w:val="0"/>
    <w:pPr>
      <w:spacing w:line="360" w:lineRule="auto"/>
      <w:ind w:firstLine="570"/>
    </w:pPr>
    <w:rPr>
      <w:rFonts w:ascii="宋体" w:hAnsi="宋体" w:eastAsia="宋体"/>
      <w:i/>
      <w:iCs/>
      <w:sz w:val="28"/>
    </w:rPr>
  </w:style>
  <w:style w:type="paragraph" w:customStyle="1" w:styleId="4">
    <w:name w:val="样式 正文文本缩进 + 左  0 字符"/>
    <w:basedOn w:val="1"/>
    <w:autoRedefine/>
    <w:qFormat/>
    <w:uiPriority w:val="0"/>
    <w:pPr>
      <w:spacing w:line="360" w:lineRule="auto"/>
      <w:ind w:firstLine="250" w:firstLineChars="250"/>
    </w:pPr>
    <w:rPr>
      <w:rFonts w:cs="宋体"/>
      <w:sz w:val="24"/>
      <w:szCs w:val="20"/>
    </w:rPr>
  </w:style>
  <w:style w:type="paragraph" w:styleId="7">
    <w:name w:val="toa heading"/>
    <w:basedOn w:val="1"/>
    <w:next w:val="1"/>
    <w:qFormat/>
    <w:uiPriority w:val="99"/>
    <w:pPr>
      <w:spacing w:before="120"/>
    </w:pPr>
    <w:rPr>
      <w:rFonts w:ascii="Arial" w:hAnsi="Arial" w:eastAsia="仿宋"/>
      <w:sz w:val="24"/>
      <w:szCs w:val="20"/>
    </w:rPr>
  </w:style>
  <w:style w:type="paragraph" w:styleId="8">
    <w:name w:val="Body Text"/>
    <w:basedOn w:val="1"/>
    <w:next w:val="9"/>
    <w:semiHidden/>
    <w:qFormat/>
    <w:uiPriority w:val="0"/>
    <w:rPr>
      <w:rFonts w:ascii="Arial" w:hAnsi="Arial" w:eastAsia="Arial" w:cs="Arial"/>
      <w:sz w:val="21"/>
      <w:szCs w:val="21"/>
      <w:lang w:val="en-US" w:eastAsia="en-US" w:bidi="ar-SA"/>
    </w:rPr>
  </w:style>
  <w:style w:type="paragraph" w:styleId="9">
    <w:name w:val="Body Text First Indent"/>
    <w:basedOn w:val="8"/>
    <w:next w:val="10"/>
    <w:qFormat/>
    <w:uiPriority w:val="0"/>
    <w:pPr>
      <w:spacing w:after="120"/>
      <w:ind w:firstLine="420" w:firstLineChars="100"/>
      <w:jc w:val="both"/>
    </w:pPr>
    <w:rPr>
      <w:sz w:val="21"/>
    </w:rPr>
  </w:style>
  <w:style w:type="paragraph" w:styleId="10">
    <w:name w:val="toc 6"/>
    <w:basedOn w:val="1"/>
    <w:next w:val="1"/>
    <w:qFormat/>
    <w:uiPriority w:val="99"/>
    <w:pPr>
      <w:ind w:left="2100" w:leftChars="10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彩色网格1"/>
    <w:basedOn w:val="1"/>
    <w:next w:val="1"/>
    <w:autoRedefine/>
    <w:qFormat/>
    <w:uiPriority w:val="99"/>
    <w:pPr>
      <w:widowControl/>
      <w:wordWrap w:val="0"/>
      <w:spacing w:before="200" w:after="160"/>
      <w:ind w:left="864" w:right="864"/>
      <w:jc w:val="center"/>
    </w:pPr>
    <w:rPr>
      <w:rFonts w:ascii="宋体"/>
      <w:i/>
      <w:color w:val="404040"/>
    </w:rPr>
  </w:style>
  <w:style w:type="paragraph" w:styleId="14">
    <w:name w:val="Normal (Web)"/>
    <w:basedOn w:val="1"/>
    <w:qFormat/>
    <w:uiPriority w:val="0"/>
    <w:pPr>
      <w:widowControl/>
      <w:jc w:val="left"/>
    </w:pPr>
    <w:rPr>
      <w:rFonts w:ascii="宋体" w:hAnsi="Calibri" w:eastAsia="宋体" w:cs="宋体"/>
      <w:kern w:val="0"/>
      <w:sz w:val="24"/>
      <w:lang w:bidi="ar-SA"/>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仿宋" w:hAnsi="仿宋" w:eastAsia="仿宋" w:cs="仿宋"/>
      <w:sz w:val="24"/>
      <w:szCs w:val="24"/>
      <w:lang w:val="en-US" w:eastAsia="en-US" w:bidi="ar-SA"/>
    </w:rPr>
  </w:style>
  <w:style w:type="paragraph" w:customStyle="1" w:styleId="20">
    <w:name w:val="样式 标题 2 + Times New Roman 四号 非加粗 段前: 5 磅 段后: 0 磅 行距: 固定值 20..."/>
    <w:basedOn w:val="5"/>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21">
    <w:name w:val="协议书标题2"/>
    <w:basedOn w:val="5"/>
    <w:next w:val="1"/>
    <w:qFormat/>
    <w:uiPriority w:val="0"/>
    <w:pPr>
      <w:keepNext w:val="0"/>
      <w:keepLines w:val="0"/>
      <w:widowControl/>
      <w:numPr>
        <w:ilvl w:val="0"/>
        <w:numId w:val="1"/>
      </w:numPr>
      <w:tabs>
        <w:tab w:val="left" w:pos="567"/>
      </w:tabs>
      <w:wordWrap w:val="0"/>
      <w:topLinePunct/>
      <w:adjustRightInd w:val="0"/>
      <w:snapToGrid w:val="0"/>
      <w:spacing w:before="0" w:after="120" w:afterLines="50" w:line="360" w:lineRule="auto"/>
      <w:ind w:firstLine="0"/>
      <w:jc w:val="left"/>
    </w:pPr>
    <w:rPr>
      <w:rFonts w:ascii="宋体" w:hAnsi="宋体" w:eastAsia="宋体"/>
      <w:bCs w:val="0"/>
      <w:kern w:val="0"/>
      <w:sz w:val="24"/>
      <w:szCs w:val="20"/>
    </w:rPr>
  </w:style>
  <w:style w:type="paragraph" w:customStyle="1" w:styleId="22">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23">
    <w:name w:val="通用标题2"/>
    <w:basedOn w:val="5"/>
    <w:next w:val="1"/>
    <w:qFormat/>
    <w:uiPriority w:val="0"/>
    <w:pPr>
      <w:keepNext w:val="0"/>
      <w:keepLines w:val="0"/>
      <w:widowControl/>
      <w:numPr>
        <w:ilvl w:val="0"/>
        <w:numId w:val="2"/>
      </w:numPr>
      <w:tabs>
        <w:tab w:val="left" w:pos="993"/>
      </w:tabs>
      <w:wordWrap w:val="0"/>
      <w:topLinePunct/>
      <w:adjustRightInd w:val="0"/>
      <w:snapToGrid w:val="0"/>
      <w:spacing w:before="0" w:after="120" w:afterLines="50" w:line="360" w:lineRule="auto"/>
    </w:pPr>
    <w:rPr>
      <w:rFonts w:ascii="黑体" w:hAnsi="黑体"/>
      <w:bCs w:val="0"/>
      <w:kern w:val="0"/>
      <w:sz w:val="28"/>
      <w:szCs w:val="20"/>
    </w:rPr>
  </w:style>
  <w:style w:type="paragraph" w:customStyle="1" w:styleId="24">
    <w:name w:val="通用标题3"/>
    <w:next w:val="1"/>
    <w:qFormat/>
    <w:uiPriority w:val="0"/>
    <w:pPr>
      <w:widowControl w:val="0"/>
      <w:numPr>
        <w:ilvl w:val="1"/>
        <w:numId w:val="3"/>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25">
    <w:name w:val="通用标题4"/>
    <w:next w:val="1"/>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6">
    <w:name w:val="通用标题5"/>
    <w:qFormat/>
    <w:uiPriority w:val="0"/>
    <w:pPr>
      <w:widowControl w:val="0"/>
      <w:numPr>
        <w:ilvl w:val="3"/>
        <w:numId w:val="3"/>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27">
    <w:name w:val="通用标题6"/>
    <w:basedOn w:val="1"/>
    <w:qFormat/>
    <w:uiPriority w:val="0"/>
    <w:pPr>
      <w:widowControl/>
      <w:numPr>
        <w:ilvl w:val="4"/>
        <w:numId w:val="5"/>
      </w:numPr>
      <w:tabs>
        <w:tab w:val="left" w:pos="993"/>
      </w:tabs>
      <w:adjustRightInd w:val="0"/>
      <w:snapToGrid w:val="0"/>
      <w:spacing w:after="120" w:afterLines="50" w:line="360" w:lineRule="auto"/>
      <w:ind w:firstLine="0"/>
    </w:pPr>
    <w:rPr>
      <w:rFonts w:ascii="宋体" w:hAnsi="宋体"/>
      <w:kern w:val="0"/>
      <w:sz w:val="24"/>
      <w:szCs w:val="20"/>
    </w:rPr>
  </w:style>
  <w:style w:type="paragraph" w:customStyle="1" w:styleId="28">
    <w:name w:val="专用标题2"/>
    <w:basedOn w:val="5"/>
    <w:next w:val="1"/>
    <w:qFormat/>
    <w:uiPriority w:val="0"/>
    <w:pPr>
      <w:keepNext w:val="0"/>
      <w:keepLines w:val="0"/>
      <w:widowControl/>
      <w:tabs>
        <w:tab w:val="left" w:pos="993"/>
      </w:tabs>
      <w:adjustRightInd w:val="0"/>
      <w:snapToGrid w:val="0"/>
      <w:spacing w:before="0" w:after="120" w:afterLines="50" w:line="360" w:lineRule="auto"/>
    </w:pPr>
    <w:rPr>
      <w:rFonts w:ascii="宋体" w:hAnsi="宋体" w:eastAsia="宋体" w:cs="Times"/>
      <w:bCs w:val="0"/>
      <w:kern w:val="0"/>
      <w:sz w:val="28"/>
      <w:szCs w:val="20"/>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WPSOffice手动目录 3"/>
    <w:qFormat/>
    <w:uiPriority w:val="0"/>
    <w:pPr>
      <w:ind w:leftChars="400"/>
    </w:pPr>
    <w:rPr>
      <w:rFonts w:ascii="Times New Roman" w:hAnsi="Times New Roman" w:eastAsia="宋体" w:cs="Times New Roman"/>
      <w:sz w:val="20"/>
      <w:szCs w:val="20"/>
    </w:rPr>
  </w:style>
  <w:style w:type="paragraph" w:styleId="3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18.png"/><Relationship Id="rId71" Type="http://schemas.openxmlformats.org/officeDocument/2006/relationships/image" Target="media/image17.png"/><Relationship Id="rId70" Type="http://schemas.openxmlformats.org/officeDocument/2006/relationships/image" Target="media/image16.png"/><Relationship Id="rId7" Type="http://schemas.openxmlformats.org/officeDocument/2006/relationships/footer" Target="footer3.xml"/><Relationship Id="rId69" Type="http://schemas.openxmlformats.org/officeDocument/2006/relationships/image" Target="media/image15.png"/><Relationship Id="rId68" Type="http://schemas.openxmlformats.org/officeDocument/2006/relationships/image" Target="media/image14.png"/><Relationship Id="rId67" Type="http://schemas.openxmlformats.org/officeDocument/2006/relationships/image" Target="media/image13.png"/><Relationship Id="rId66" Type="http://schemas.openxmlformats.org/officeDocument/2006/relationships/image" Target="media/image12.png"/><Relationship Id="rId65" Type="http://schemas.openxmlformats.org/officeDocument/2006/relationships/image" Target="media/image11.png"/><Relationship Id="rId64" Type="http://schemas.openxmlformats.org/officeDocument/2006/relationships/image" Target="media/image10.png"/><Relationship Id="rId63" Type="http://schemas.openxmlformats.org/officeDocument/2006/relationships/image" Target="media/image9.png"/><Relationship Id="rId62" Type="http://schemas.openxmlformats.org/officeDocument/2006/relationships/image" Target="media/image8.png"/><Relationship Id="rId61" Type="http://schemas.openxmlformats.org/officeDocument/2006/relationships/image" Target="media/image7.png"/><Relationship Id="rId60" Type="http://schemas.openxmlformats.org/officeDocument/2006/relationships/image" Target="media/image6.png"/><Relationship Id="rId6" Type="http://schemas.openxmlformats.org/officeDocument/2006/relationships/footer" Target="footer2.xml"/><Relationship Id="rId59" Type="http://schemas.openxmlformats.org/officeDocument/2006/relationships/image" Target="media/image5.png"/><Relationship Id="rId58" Type="http://schemas.openxmlformats.org/officeDocument/2006/relationships/image" Target="media/image4.png"/><Relationship Id="rId57" Type="http://schemas.openxmlformats.org/officeDocument/2006/relationships/image" Target="media/image3.png"/><Relationship Id="rId56" Type="http://schemas.openxmlformats.org/officeDocument/2006/relationships/image" Target="media/image2.png"/><Relationship Id="rId55" Type="http://schemas.openxmlformats.org/officeDocument/2006/relationships/image" Target="media/image1.png"/><Relationship Id="rId54" Type="http://schemas.openxmlformats.org/officeDocument/2006/relationships/theme" Target="theme/theme1.xml"/><Relationship Id="rId53" Type="http://schemas.openxmlformats.org/officeDocument/2006/relationships/footer" Target="footer45.xml"/><Relationship Id="rId52" Type="http://schemas.openxmlformats.org/officeDocument/2006/relationships/header" Target="header4.xml"/><Relationship Id="rId51" Type="http://schemas.openxmlformats.org/officeDocument/2006/relationships/header" Target="header3.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header" Target="header2.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1743</Words>
  <Characters>2015</Characters>
  <TotalTime>77</TotalTime>
  <ScaleCrop>false</ScaleCrop>
  <LinksUpToDate>false</LinksUpToDate>
  <CharactersWithSpaces>2151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2024-07-25T16:31:00Z</dcterms:created>
  <dc:creator>USER-</dc:creator>
  <cp:lastModifiedBy>紫诺</cp:lastModifiedBy>
  <dcterms:modified xsi:type="dcterms:W3CDTF">2025-01-15T08:45:15Z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2024-11-08T13:18:48Z</vt:filetime>
  </property>
  <property fmtid="{D5CDD505-2E9C-101B-9397-08002B2CF9AE}" pid="4" name="KSOProductBuildVer">
    <vt:lpwstr>2052-12.1.0.19770</vt:lpwstr>
  </property>
  <property fmtid="{D5CDD505-2E9C-101B-9397-08002B2CF9AE}" pid="5" name="ICV">
    <vt:lpwstr>828A52BDC9A14A4BA817FFAB7B13A806_13</vt:lpwstr>
  </property>
  <property fmtid="{D5CDD505-2E9C-101B-9397-08002B2CF9AE}" pid="6" name="KSOTemplateDocerSaveRecord">
    <vt:lpwstr>eyJoZGlkIjoiN2E0N2NlMTY2YjNkZGRhNjBlMTRhYzNhZmY3ZjAzYjEiLCJ1c2VySWQiOiIzMTM2MjAzMDQifQ==</vt:lpwstr>
  </property>
</Properties>
</file>