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6ED10">
      <w:pPr>
        <w:rPr>
          <w:rFonts w:ascii="宋体" w:cs="宋体"/>
          <w:sz w:val="20"/>
          <w:szCs w:val="22"/>
        </w:rPr>
      </w:pPr>
    </w:p>
    <w:p w14:paraId="7EF9DD1C">
      <w:pPr>
        <w:jc w:val="both"/>
        <w:rPr>
          <w:rFonts w:hint="eastAsia" w:ascii="宋体" w:cs="宋体"/>
          <w:b/>
          <w:sz w:val="44"/>
          <w:szCs w:val="44"/>
          <w:lang w:eastAsia="zh-CN"/>
        </w:rPr>
      </w:pPr>
    </w:p>
    <w:p w14:paraId="4DD0F246">
      <w:pPr>
        <w:jc w:val="center"/>
        <w:rPr>
          <w:rFonts w:hint="eastAsia" w:ascii="宋体" w:eastAsia="宋体" w:cs="宋体"/>
          <w:sz w:val="20"/>
          <w:szCs w:val="22"/>
          <w:lang w:eastAsia="zh-CN"/>
        </w:rPr>
      </w:pPr>
      <w:r>
        <w:rPr>
          <w:rFonts w:hint="eastAsia" w:ascii="宋体" w:cs="宋体"/>
          <w:b/>
          <w:sz w:val="44"/>
          <w:szCs w:val="44"/>
          <w:lang w:eastAsia="zh-CN"/>
        </w:rPr>
        <w:t>长春市交警支队机关采购酒精检测仪项目(二次）</w:t>
      </w:r>
    </w:p>
    <w:p w14:paraId="44BDDDE2">
      <w:pPr>
        <w:rPr>
          <w:rFonts w:ascii="宋体" w:cs="宋体"/>
        </w:rPr>
      </w:pPr>
    </w:p>
    <w:p w14:paraId="284E852F">
      <w:pPr>
        <w:pStyle w:val="27"/>
        <w:rPr>
          <w:rFonts w:ascii="宋体" w:eastAsia="宋体" w:cs="宋体"/>
        </w:rPr>
      </w:pPr>
    </w:p>
    <w:p w14:paraId="7E4B02DB">
      <w:pPr>
        <w:jc w:val="center"/>
        <w:rPr>
          <w:rFonts w:ascii="宋体" w:cs="宋体"/>
          <w:b/>
          <w:sz w:val="96"/>
          <w:szCs w:val="72"/>
        </w:rPr>
      </w:pPr>
    </w:p>
    <w:p w14:paraId="0D11588D">
      <w:pPr>
        <w:jc w:val="center"/>
        <w:rPr>
          <w:rFonts w:ascii="宋体" w:cs="宋体"/>
          <w:b/>
          <w:sz w:val="96"/>
          <w:szCs w:val="72"/>
        </w:rPr>
      </w:pPr>
    </w:p>
    <w:p w14:paraId="0E6F3B15">
      <w:pPr>
        <w:jc w:val="center"/>
        <w:rPr>
          <w:rFonts w:ascii="宋体" w:cs="宋体"/>
          <w:b/>
          <w:sz w:val="28"/>
          <w:szCs w:val="28"/>
        </w:rPr>
      </w:pPr>
      <w:r>
        <w:rPr>
          <w:rFonts w:hint="eastAsia" w:ascii="宋体" w:cs="宋体"/>
          <w:b/>
          <w:sz w:val="96"/>
          <w:szCs w:val="72"/>
        </w:rPr>
        <w:t>竞争性磋商文件</w:t>
      </w:r>
    </w:p>
    <w:p w14:paraId="478033DF">
      <w:pPr>
        <w:rPr>
          <w:rFonts w:ascii="宋体" w:cs="宋体"/>
          <w:b/>
          <w:bCs/>
          <w:sz w:val="30"/>
          <w:szCs w:val="30"/>
        </w:rPr>
      </w:pPr>
    </w:p>
    <w:p w14:paraId="11F34B30">
      <w:pPr>
        <w:jc w:val="center"/>
        <w:rPr>
          <w:rFonts w:hint="default" w:ascii="宋体" w:eastAsia="宋体" w:cs="宋体"/>
          <w:b/>
          <w:bCs/>
          <w:sz w:val="144"/>
          <w:szCs w:val="144"/>
          <w:highlight w:val="none"/>
          <w:lang w:val="en-US" w:eastAsia="zh-CN"/>
        </w:rPr>
      </w:pPr>
      <w:r>
        <w:rPr>
          <w:rFonts w:hint="eastAsia" w:ascii="宋体" w:cs="宋体"/>
          <w:b/>
          <w:bCs/>
          <w:sz w:val="36"/>
          <w:szCs w:val="36"/>
          <w:highlight w:val="none"/>
        </w:rPr>
        <w:t xml:space="preserve">项目编号: </w:t>
      </w:r>
      <w:r>
        <w:rPr>
          <w:rFonts w:hint="eastAsia" w:ascii="宋体" w:cs="宋体"/>
          <w:b/>
          <w:bCs/>
          <w:sz w:val="36"/>
          <w:szCs w:val="36"/>
          <w:highlight w:val="none"/>
          <w:lang w:val="en-US" w:eastAsia="zh-CN"/>
        </w:rPr>
        <w:t xml:space="preserve"> </w:t>
      </w:r>
      <w:bookmarkStart w:id="128" w:name="_GoBack"/>
      <w:bookmarkEnd w:id="128"/>
      <w:r>
        <w:rPr>
          <w:rFonts w:hint="eastAsia" w:ascii="宋体" w:cs="宋体"/>
          <w:b/>
          <w:bCs/>
          <w:sz w:val="36"/>
          <w:szCs w:val="36"/>
          <w:highlight w:val="none"/>
          <w:lang w:val="en-US" w:eastAsia="zh-CN"/>
        </w:rPr>
        <w:t>JM-2024-09-01118-2</w:t>
      </w:r>
    </w:p>
    <w:p w14:paraId="43671AD7">
      <w:pPr>
        <w:pStyle w:val="27"/>
        <w:rPr>
          <w:rFonts w:ascii="宋体" w:eastAsia="宋体" w:cs="宋体"/>
        </w:rPr>
      </w:pPr>
    </w:p>
    <w:p w14:paraId="1BC399BF">
      <w:pPr>
        <w:pStyle w:val="27"/>
        <w:rPr>
          <w:rFonts w:ascii="宋体" w:eastAsia="宋体" w:cs="宋体"/>
        </w:rPr>
      </w:pPr>
    </w:p>
    <w:p w14:paraId="07CF9C7D">
      <w:pPr>
        <w:rPr>
          <w:rFonts w:ascii="宋体" w:cs="宋体"/>
        </w:rPr>
      </w:pPr>
    </w:p>
    <w:p w14:paraId="5BAB15EE">
      <w:pPr>
        <w:pStyle w:val="27"/>
        <w:rPr>
          <w:rFonts w:ascii="宋体" w:eastAsia="宋体" w:cs="宋体"/>
        </w:rPr>
      </w:pPr>
    </w:p>
    <w:p w14:paraId="44C50DA3">
      <w:pPr>
        <w:rPr>
          <w:rFonts w:ascii="宋体" w:cs="宋体"/>
        </w:rPr>
      </w:pPr>
    </w:p>
    <w:p w14:paraId="126820E8">
      <w:pPr>
        <w:pStyle w:val="27"/>
        <w:rPr>
          <w:rFonts w:ascii="宋体" w:eastAsia="宋体" w:cs="宋体"/>
        </w:rPr>
      </w:pPr>
    </w:p>
    <w:p w14:paraId="23D677C8">
      <w:pPr>
        <w:spacing w:line="640" w:lineRule="exact"/>
        <w:rPr>
          <w:rFonts w:ascii="宋体" w:cs="宋体"/>
          <w:b/>
          <w:sz w:val="36"/>
          <w:szCs w:val="36"/>
        </w:rPr>
      </w:pPr>
    </w:p>
    <w:p w14:paraId="3F3D1D08">
      <w:pPr>
        <w:rPr>
          <w:rFonts w:ascii="宋体" w:cs="宋体"/>
          <w:b/>
          <w:sz w:val="36"/>
          <w:szCs w:val="36"/>
        </w:rPr>
      </w:pPr>
    </w:p>
    <w:p w14:paraId="6E48C8D0">
      <w:pPr>
        <w:pStyle w:val="27"/>
        <w:rPr>
          <w:rFonts w:ascii="宋体" w:eastAsia="宋体" w:cs="宋体"/>
        </w:rPr>
      </w:pPr>
    </w:p>
    <w:p w14:paraId="30E8BF8C">
      <w:pPr>
        <w:spacing w:line="360" w:lineRule="auto"/>
        <w:ind w:firstLine="562"/>
        <w:rPr>
          <w:rFonts w:ascii="宋体" w:cs="宋体"/>
          <w:b/>
          <w:kern w:val="0"/>
          <w:sz w:val="36"/>
          <w:szCs w:val="28"/>
        </w:rPr>
      </w:pPr>
    </w:p>
    <w:p w14:paraId="79E80A74">
      <w:pPr>
        <w:spacing w:line="360" w:lineRule="auto"/>
        <w:ind w:firstLine="562"/>
        <w:rPr>
          <w:rFonts w:ascii="宋体" w:cs="宋体"/>
          <w:b/>
          <w:kern w:val="0"/>
          <w:sz w:val="36"/>
          <w:szCs w:val="28"/>
        </w:rPr>
      </w:pPr>
      <w:r>
        <w:rPr>
          <w:rFonts w:hint="eastAsia" w:ascii="宋体" w:cs="宋体"/>
          <w:b/>
          <w:kern w:val="0"/>
          <w:sz w:val="36"/>
          <w:szCs w:val="28"/>
        </w:rPr>
        <w:t>采   购   人：长春市公安局交通警察支队</w:t>
      </w:r>
    </w:p>
    <w:p w14:paraId="4EC689B0">
      <w:pPr>
        <w:pStyle w:val="7"/>
      </w:pPr>
    </w:p>
    <w:p w14:paraId="7D6CA0C0">
      <w:pPr>
        <w:spacing w:line="360" w:lineRule="auto"/>
        <w:ind w:firstLine="562"/>
        <w:rPr>
          <w:rFonts w:hint="eastAsia" w:ascii="宋体" w:eastAsia="宋体" w:cs="宋体"/>
          <w:b/>
          <w:kern w:val="0"/>
          <w:sz w:val="28"/>
          <w:szCs w:val="28"/>
          <w:lang w:eastAsia="zh-CN"/>
        </w:rPr>
      </w:pPr>
      <w:r>
        <w:rPr>
          <w:rFonts w:hint="eastAsia" w:ascii="宋体" w:cs="宋体"/>
          <w:b/>
          <w:kern w:val="0"/>
          <w:sz w:val="36"/>
          <w:szCs w:val="28"/>
        </w:rPr>
        <w:t>采购代理机构</w:t>
      </w:r>
      <w:r>
        <w:rPr>
          <w:rFonts w:hint="eastAsia" w:ascii="宋体" w:cs="宋体"/>
          <w:b/>
          <w:kern w:val="0"/>
          <w:sz w:val="36"/>
          <w:szCs w:val="28"/>
          <w:lang w:val="en-US" w:eastAsia="zh-CN"/>
        </w:rPr>
        <w:t>:中经国际工程咨询集团有限公司</w:t>
      </w:r>
    </w:p>
    <w:p w14:paraId="798B2DB0">
      <w:pPr>
        <w:spacing w:line="360" w:lineRule="auto"/>
        <w:ind w:firstLine="562"/>
        <w:jc w:val="center"/>
        <w:rPr>
          <w:rFonts w:ascii="宋体" w:cs="宋体"/>
          <w:b/>
          <w:kern w:val="0"/>
          <w:sz w:val="28"/>
          <w:szCs w:val="28"/>
        </w:rPr>
      </w:pPr>
    </w:p>
    <w:p w14:paraId="40EA4CE1">
      <w:pPr>
        <w:spacing w:line="360" w:lineRule="auto"/>
        <w:ind w:firstLine="562"/>
        <w:jc w:val="center"/>
        <w:rPr>
          <w:rFonts w:ascii="宋体" w:cs="宋体"/>
          <w:b/>
          <w:kern w:val="0"/>
          <w:sz w:val="40"/>
          <w:szCs w:val="40"/>
        </w:rPr>
      </w:pPr>
      <w:r>
        <w:rPr>
          <w:rFonts w:hint="eastAsia" w:ascii="宋体" w:cs="宋体"/>
          <w:b/>
          <w:kern w:val="0"/>
          <w:sz w:val="40"/>
          <w:szCs w:val="40"/>
        </w:rPr>
        <w:t>二〇二四年</w:t>
      </w:r>
      <w:r>
        <w:rPr>
          <w:rFonts w:hint="eastAsia" w:ascii="宋体" w:cs="宋体"/>
          <w:b/>
          <w:kern w:val="0"/>
          <w:sz w:val="40"/>
          <w:szCs w:val="40"/>
          <w:lang w:val="en-US" w:eastAsia="zh-CN"/>
        </w:rPr>
        <w:t>十二</w:t>
      </w:r>
      <w:r>
        <w:rPr>
          <w:rFonts w:hint="eastAsia" w:ascii="宋体" w:cs="宋体"/>
          <w:b/>
          <w:kern w:val="0"/>
          <w:sz w:val="40"/>
          <w:szCs w:val="40"/>
        </w:rPr>
        <w:t>月</w:t>
      </w:r>
    </w:p>
    <w:p w14:paraId="6B02A664">
      <w:pPr>
        <w:spacing w:line="360" w:lineRule="auto"/>
        <w:jc w:val="center"/>
        <w:rPr>
          <w:rFonts w:ascii="宋体" w:cs="宋体"/>
          <w:b/>
          <w:kern w:val="0"/>
          <w:sz w:val="44"/>
          <w:szCs w:val="44"/>
        </w:rPr>
        <w:sectPr>
          <w:footerReference r:id="rId3" w:type="even"/>
          <w:pgSz w:w="11906" w:h="16838"/>
          <w:pgMar w:top="1361" w:right="1304" w:bottom="1247" w:left="1304" w:header="680" w:footer="680" w:gutter="0"/>
          <w:cols w:space="720" w:num="1"/>
          <w:docGrid w:linePitch="312" w:charSpace="0"/>
        </w:sectPr>
      </w:pPr>
    </w:p>
    <w:p w14:paraId="58CE9121">
      <w:pPr>
        <w:spacing w:line="360" w:lineRule="auto"/>
        <w:jc w:val="center"/>
        <w:rPr>
          <w:rFonts w:ascii="宋体" w:cs="宋体"/>
          <w:b/>
          <w:kern w:val="0"/>
          <w:sz w:val="44"/>
          <w:szCs w:val="44"/>
        </w:rPr>
      </w:pPr>
      <w:r>
        <w:rPr>
          <w:rFonts w:hint="eastAsia" w:ascii="宋体" w:cs="宋体"/>
          <w:b/>
          <w:kern w:val="0"/>
          <w:sz w:val="44"/>
          <w:szCs w:val="44"/>
        </w:rPr>
        <w:t>目录</w:t>
      </w:r>
    </w:p>
    <w:p w14:paraId="04BE48E1">
      <w:pPr>
        <w:pStyle w:val="22"/>
        <w:tabs>
          <w:tab w:val="right" w:leader="dot" w:pos="9528"/>
        </w:tabs>
        <w:spacing w:line="480" w:lineRule="auto"/>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fldChar w:fldCharType="begin"/>
      </w:r>
      <w:r>
        <w:instrText xml:space="preserve"> HYPERLINK \l "_Toc16645" </w:instrText>
      </w:r>
      <w:r>
        <w:fldChar w:fldCharType="separate"/>
      </w:r>
      <w:r>
        <w:rPr>
          <w:rFonts w:hint="eastAsia" w:ascii="宋体" w:hAnsi="宋体" w:eastAsia="宋体" w:cs="宋体"/>
        </w:rPr>
        <w:t>第一章 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_Toc16645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A2E91DF">
      <w:pPr>
        <w:pStyle w:val="22"/>
        <w:tabs>
          <w:tab w:val="right" w:leader="dot" w:pos="9528"/>
        </w:tabs>
        <w:spacing w:line="480" w:lineRule="auto"/>
        <w:rPr>
          <w:rFonts w:ascii="宋体" w:hAnsi="宋体" w:eastAsia="宋体" w:cs="宋体"/>
        </w:rPr>
      </w:pPr>
      <w:r>
        <w:fldChar w:fldCharType="begin"/>
      </w:r>
      <w:r>
        <w:instrText xml:space="preserve"> HYPERLINK \l "_Toc21882" </w:instrText>
      </w:r>
      <w: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_Toc21882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7B41BAD2">
      <w:pPr>
        <w:pStyle w:val="22"/>
        <w:tabs>
          <w:tab w:val="right" w:leader="dot" w:pos="9528"/>
        </w:tabs>
        <w:spacing w:line="480" w:lineRule="auto"/>
        <w:rPr>
          <w:rFonts w:ascii="宋体" w:hAnsi="宋体" w:eastAsia="宋体" w:cs="宋体"/>
        </w:rPr>
      </w:pPr>
      <w:r>
        <w:fldChar w:fldCharType="begin"/>
      </w:r>
      <w:r>
        <w:instrText xml:space="preserve"> HYPERLINK \l "_Toc19840" </w:instrText>
      </w:r>
      <w:r>
        <w:fldChar w:fldCharType="separate"/>
      </w:r>
      <w:r>
        <w:rPr>
          <w:rFonts w:hint="eastAsia" w:ascii="宋体" w:hAnsi="宋体" w:eastAsia="宋体" w:cs="宋体"/>
        </w:rPr>
        <w:t>第三章 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_Toc19840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34468103">
      <w:pPr>
        <w:pStyle w:val="22"/>
        <w:tabs>
          <w:tab w:val="right" w:leader="dot" w:pos="9528"/>
        </w:tabs>
        <w:spacing w:line="480" w:lineRule="auto"/>
        <w:rPr>
          <w:rFonts w:ascii="宋体" w:hAnsi="宋体" w:eastAsia="宋体" w:cs="宋体"/>
        </w:rPr>
      </w:pPr>
      <w:r>
        <w:fldChar w:fldCharType="begin"/>
      </w:r>
      <w:r>
        <w:instrText xml:space="preserve"> HYPERLINK \l "_Toc19824" </w:instrText>
      </w:r>
      <w:r>
        <w:fldChar w:fldCharType="separate"/>
      </w:r>
      <w:r>
        <w:rPr>
          <w:rFonts w:hint="eastAsia" w:ascii="宋体" w:hAnsi="宋体" w:eastAsia="宋体" w:cs="宋体"/>
        </w:rPr>
        <w:t>第四章 合同条款（参考格式）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_Toc19824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52BD0EA9">
      <w:pPr>
        <w:pStyle w:val="22"/>
        <w:tabs>
          <w:tab w:val="right" w:leader="dot" w:pos="9528"/>
        </w:tabs>
        <w:spacing w:line="480" w:lineRule="auto"/>
        <w:rPr>
          <w:rFonts w:ascii="宋体" w:hAnsi="宋体" w:eastAsia="宋体" w:cs="宋体"/>
        </w:rPr>
      </w:pPr>
      <w:r>
        <w:fldChar w:fldCharType="begin"/>
      </w:r>
      <w:r>
        <w:instrText xml:space="preserve"> HYPERLINK \l "_Toc15624" </w:instrText>
      </w:r>
      <w:r>
        <w:fldChar w:fldCharType="separate"/>
      </w:r>
      <w:r>
        <w:rPr>
          <w:rFonts w:hint="eastAsia" w:ascii="宋体" w:hAnsi="宋体" w:eastAsia="宋体" w:cs="宋体"/>
        </w:rPr>
        <w:t>第五章 货物需求及技术规格要求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_Toc15624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24134BD3">
      <w:pPr>
        <w:pStyle w:val="22"/>
        <w:tabs>
          <w:tab w:val="right" w:leader="dot" w:pos="9528"/>
        </w:tabs>
        <w:spacing w:line="480" w:lineRule="auto"/>
        <w:rPr>
          <w:rFonts w:ascii="宋体" w:hAnsi="宋体" w:eastAsia="宋体" w:cs="宋体"/>
        </w:rPr>
      </w:pPr>
      <w:r>
        <w:fldChar w:fldCharType="begin"/>
      </w:r>
      <w:r>
        <w:instrText xml:space="preserve"> HYPERLINK \l "_Toc27067" </w:instrText>
      </w:r>
      <w:r>
        <w:fldChar w:fldCharType="separate"/>
      </w:r>
      <w:r>
        <w:rPr>
          <w:rFonts w:hint="eastAsia" w:ascii="宋体" w:hAnsi="宋体" w:eastAsia="宋体" w:cs="宋体"/>
        </w:rPr>
        <w:t>第六章 磋商响应文件构成及格式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_Toc27067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61B985BD">
      <w:pPr>
        <w:pStyle w:val="10"/>
        <w:spacing w:line="480" w:lineRule="auto"/>
        <w:rPr>
          <w:rFonts w:ascii="宋体" w:hAnsi="宋体" w:eastAsia="宋体" w:cs="宋体"/>
          <w:sz w:val="28"/>
          <w:szCs w:val="28"/>
        </w:rPr>
      </w:pPr>
      <w:r>
        <w:rPr>
          <w:rFonts w:hint="eastAsia" w:ascii="宋体" w:hAnsi="宋体" w:eastAsia="宋体" w:cs="宋体"/>
          <w:bCs/>
          <w:sz w:val="28"/>
          <w:szCs w:val="28"/>
        </w:rPr>
        <w:fldChar w:fldCharType="end"/>
      </w:r>
    </w:p>
    <w:p w14:paraId="387887C2">
      <w:pPr>
        <w:pStyle w:val="10"/>
        <w:rPr>
          <w:rFonts w:ascii="宋体" w:eastAsia="宋体" w:cs="宋体"/>
        </w:rPr>
      </w:pPr>
    </w:p>
    <w:p w14:paraId="2543F18C">
      <w:pPr>
        <w:pStyle w:val="10"/>
        <w:rPr>
          <w:rFonts w:ascii="宋体" w:eastAsia="宋体" w:cs="宋体"/>
        </w:rPr>
      </w:pPr>
    </w:p>
    <w:p w14:paraId="5127FC69">
      <w:pPr>
        <w:pStyle w:val="10"/>
        <w:rPr>
          <w:rFonts w:ascii="宋体" w:eastAsia="宋体" w:cs="宋体"/>
        </w:rPr>
      </w:pPr>
    </w:p>
    <w:p w14:paraId="47CD1A1C">
      <w:pPr>
        <w:pStyle w:val="10"/>
        <w:rPr>
          <w:rFonts w:ascii="宋体" w:eastAsia="宋体" w:cs="宋体"/>
        </w:rPr>
      </w:pPr>
    </w:p>
    <w:p w14:paraId="0E3F30C1">
      <w:pPr>
        <w:pStyle w:val="10"/>
        <w:rPr>
          <w:rFonts w:ascii="宋体" w:eastAsia="宋体" w:cs="宋体"/>
        </w:rPr>
      </w:pPr>
    </w:p>
    <w:p w14:paraId="1E583FF1">
      <w:pPr>
        <w:pStyle w:val="10"/>
        <w:rPr>
          <w:rFonts w:ascii="宋体" w:eastAsia="宋体" w:cs="宋体"/>
        </w:rPr>
      </w:pPr>
    </w:p>
    <w:p w14:paraId="296110E9">
      <w:pPr>
        <w:pStyle w:val="10"/>
        <w:rPr>
          <w:rFonts w:ascii="宋体" w:eastAsia="宋体" w:cs="宋体"/>
        </w:rPr>
      </w:pPr>
    </w:p>
    <w:p w14:paraId="6D7881B8">
      <w:pPr>
        <w:pStyle w:val="10"/>
        <w:rPr>
          <w:rFonts w:ascii="宋体" w:eastAsia="宋体" w:cs="宋体"/>
        </w:rPr>
      </w:pPr>
    </w:p>
    <w:p w14:paraId="7BA5C8CC">
      <w:pPr>
        <w:pStyle w:val="10"/>
        <w:rPr>
          <w:rFonts w:ascii="宋体" w:eastAsia="宋体" w:cs="宋体"/>
        </w:rPr>
      </w:pPr>
    </w:p>
    <w:p w14:paraId="61EA28A9">
      <w:pPr>
        <w:pStyle w:val="10"/>
        <w:rPr>
          <w:rFonts w:ascii="宋体" w:eastAsia="宋体" w:cs="宋体"/>
        </w:rPr>
      </w:pPr>
    </w:p>
    <w:p w14:paraId="271F2533">
      <w:pPr>
        <w:pStyle w:val="10"/>
        <w:rPr>
          <w:rFonts w:ascii="宋体" w:eastAsia="宋体" w:cs="宋体"/>
        </w:rPr>
      </w:pPr>
    </w:p>
    <w:p w14:paraId="6456EB04">
      <w:pPr>
        <w:pStyle w:val="10"/>
        <w:rPr>
          <w:rFonts w:ascii="宋体" w:eastAsia="宋体" w:cs="宋体"/>
        </w:rPr>
      </w:pPr>
    </w:p>
    <w:p w14:paraId="559349A3">
      <w:pPr>
        <w:pStyle w:val="10"/>
        <w:rPr>
          <w:rFonts w:ascii="宋体" w:eastAsia="宋体" w:cs="宋体"/>
        </w:rPr>
      </w:pPr>
    </w:p>
    <w:p w14:paraId="543516A3">
      <w:pPr>
        <w:pStyle w:val="10"/>
        <w:rPr>
          <w:rFonts w:ascii="宋体" w:eastAsia="宋体" w:cs="宋体"/>
        </w:rPr>
      </w:pPr>
    </w:p>
    <w:p w14:paraId="1C609089">
      <w:pPr>
        <w:pStyle w:val="10"/>
        <w:rPr>
          <w:rFonts w:ascii="宋体" w:eastAsia="宋体" w:cs="宋体"/>
        </w:rPr>
      </w:pPr>
    </w:p>
    <w:p w14:paraId="09D62674">
      <w:pPr>
        <w:pStyle w:val="10"/>
        <w:rPr>
          <w:rFonts w:ascii="宋体" w:eastAsia="宋体" w:cs="宋体"/>
        </w:rPr>
      </w:pPr>
    </w:p>
    <w:p w14:paraId="588B0DAD">
      <w:pPr>
        <w:pStyle w:val="10"/>
        <w:rPr>
          <w:rFonts w:ascii="宋体" w:eastAsia="宋体" w:cs="宋体"/>
        </w:rPr>
      </w:pPr>
    </w:p>
    <w:p w14:paraId="7B60C920">
      <w:pPr>
        <w:pStyle w:val="2"/>
        <w:rPr>
          <w:rFonts w:ascii="宋体" w:cs="宋体"/>
        </w:rPr>
        <w:sectPr>
          <w:footerReference r:id="rId4" w:type="default"/>
          <w:pgSz w:w="11910" w:h="16840"/>
          <w:pgMar w:top="1134" w:right="1191" w:bottom="1134" w:left="1191" w:header="0" w:footer="663" w:gutter="0"/>
          <w:pgNumType w:start="1"/>
          <w:cols w:space="720" w:num="1"/>
          <w:docGrid w:linePitch="312" w:charSpace="0"/>
        </w:sectPr>
      </w:pPr>
      <w:bookmarkStart w:id="0" w:name="_Toc394054341"/>
      <w:bookmarkStart w:id="1" w:name="_Toc333483359"/>
    </w:p>
    <w:p w14:paraId="47E6B1ED">
      <w:pPr>
        <w:pStyle w:val="2"/>
        <w:rPr>
          <w:rFonts w:ascii="宋体" w:cs="宋体"/>
        </w:rPr>
      </w:pPr>
      <w:bookmarkStart w:id="2" w:name="_Toc16645"/>
      <w:r>
        <w:rPr>
          <w:rFonts w:hint="eastAsia" w:ascii="宋体" w:cs="宋体"/>
        </w:rPr>
        <w:t xml:space="preserve">第一章 </w:t>
      </w:r>
      <w:bookmarkEnd w:id="0"/>
      <w:bookmarkEnd w:id="1"/>
      <w:r>
        <w:rPr>
          <w:rFonts w:hint="eastAsia" w:ascii="宋体" w:cs="宋体"/>
        </w:rPr>
        <w:t>竞争性磋商公告</w:t>
      </w:r>
      <w:bookmarkEnd w:id="2"/>
    </w:p>
    <w:p w14:paraId="52E8AFA7">
      <w:pPr>
        <w:rPr>
          <w:rFonts w:hint="eastAsia" w:ascii="宋体" w:hAnsi="宋体" w:eastAsia="宋体" w:cs="宋体"/>
          <w:sz w:val="24"/>
          <w:szCs w:val="24"/>
        </w:rPr>
      </w:pPr>
    </w:p>
    <w:p w14:paraId="1708E0E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14:paraId="26A07927">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eastAsia="zh-CN"/>
        </w:rPr>
        <w:t>长春市交警支队机关采购酒精检测仪项目(二次）</w:t>
      </w:r>
      <w:r>
        <w:rPr>
          <w:rFonts w:hint="eastAsia" w:ascii="宋体" w:hAnsi="宋体" w:eastAsia="宋体" w:cs="宋体"/>
          <w:b w:val="0"/>
          <w:bCs w:val="0"/>
          <w:sz w:val="24"/>
          <w:szCs w:val="24"/>
        </w:rPr>
        <w:t>的潜在供应商应在政采云”平台（https://www.zcygov.cn/）获取竞争性磋商文件，并于</w:t>
      </w:r>
      <w:r>
        <w:rPr>
          <w:rFonts w:hint="eastAsia" w:ascii="宋体" w:hAnsi="宋体" w:cs="宋体"/>
          <w:b w:val="0"/>
          <w:bCs w:val="0"/>
          <w:sz w:val="24"/>
          <w:szCs w:val="24"/>
          <w:lang w:eastAsia="zh-CN"/>
        </w:rPr>
        <w:t>2025年1月9日13时30分</w:t>
      </w:r>
      <w:r>
        <w:rPr>
          <w:rFonts w:hint="eastAsia" w:ascii="宋体" w:hAnsi="宋体" w:eastAsia="宋体" w:cs="宋体"/>
          <w:b w:val="0"/>
          <w:bCs w:val="0"/>
          <w:sz w:val="24"/>
          <w:szCs w:val="24"/>
        </w:rPr>
        <w:t>（北京时间）前提交响应文件。</w:t>
      </w:r>
    </w:p>
    <w:p w14:paraId="0C6BB559">
      <w:pPr>
        <w:spacing w:line="360" w:lineRule="auto"/>
        <w:rPr>
          <w:rFonts w:hint="eastAsia" w:ascii="宋体" w:hAnsi="宋体" w:eastAsia="宋体" w:cs="宋体"/>
          <w:b/>
          <w:bCs/>
          <w:sz w:val="24"/>
          <w:szCs w:val="24"/>
        </w:rPr>
      </w:pPr>
      <w:bookmarkStart w:id="3" w:name="_Toc35393790"/>
      <w:bookmarkStart w:id="4" w:name="_Toc28359079"/>
      <w:bookmarkStart w:id="5" w:name="_Toc35393621"/>
      <w:bookmarkStart w:id="6" w:name="_Toc28359002"/>
      <w:bookmarkStart w:id="7" w:name="_Hlk24379207"/>
      <w:r>
        <w:rPr>
          <w:rFonts w:hint="eastAsia" w:ascii="宋体" w:hAnsi="宋体" w:eastAsia="宋体" w:cs="宋体"/>
          <w:b/>
          <w:bCs/>
          <w:sz w:val="24"/>
          <w:szCs w:val="24"/>
        </w:rPr>
        <w:t>一、项目基本情况</w:t>
      </w:r>
      <w:bookmarkEnd w:id="3"/>
      <w:bookmarkEnd w:id="4"/>
      <w:bookmarkEnd w:id="5"/>
      <w:bookmarkEnd w:id="6"/>
    </w:p>
    <w:p w14:paraId="54D0C8F6">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JM-2024-09-01118</w:t>
      </w:r>
      <w:r>
        <w:rPr>
          <w:rFonts w:hint="eastAsia" w:ascii="宋体" w:hAnsi="宋体" w:cs="宋体"/>
          <w:color w:val="auto"/>
          <w:sz w:val="24"/>
          <w:szCs w:val="24"/>
          <w:highlight w:val="none"/>
          <w:lang w:val="en-US" w:eastAsia="zh-CN"/>
        </w:rPr>
        <w:t>-2</w:t>
      </w:r>
    </w:p>
    <w:p w14:paraId="09E973DD">
      <w:p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cs="宋体"/>
          <w:color w:val="auto"/>
          <w:sz w:val="24"/>
          <w:szCs w:val="24"/>
          <w:highlight w:val="none"/>
          <w:lang w:eastAsia="zh-CN"/>
        </w:rPr>
        <w:t>长春市交警支队机关采购酒精检测仪项目(二次）</w:t>
      </w:r>
    </w:p>
    <w:p w14:paraId="0FC76541">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bookmarkEnd w:id="7"/>
    <w:p w14:paraId="53565325">
      <w:pPr>
        <w:pStyle w:val="7"/>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hAnsi="宋体" w:cs="宋体"/>
          <w:color w:val="auto"/>
          <w:sz w:val="24"/>
          <w:szCs w:val="24"/>
          <w:highlight w:val="none"/>
          <w:lang w:val="en-US" w:eastAsia="zh-CN"/>
        </w:rPr>
        <w:t>148万</w:t>
      </w:r>
      <w:r>
        <w:rPr>
          <w:rFonts w:hint="eastAsia" w:ascii="宋体" w:hAnsi="宋体" w:eastAsia="宋体" w:cs="宋体"/>
          <w:color w:val="auto"/>
          <w:sz w:val="24"/>
          <w:szCs w:val="24"/>
          <w:highlight w:val="none"/>
        </w:rPr>
        <w:t>元</w:t>
      </w:r>
    </w:p>
    <w:p w14:paraId="4EA0CFC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5、最高限价：</w:t>
      </w:r>
      <w:r>
        <w:rPr>
          <w:rFonts w:hint="eastAsia" w:ascii="宋体" w:hAnsi="宋体" w:cs="宋体"/>
          <w:bCs/>
          <w:color w:val="auto"/>
          <w:kern w:val="0"/>
          <w:sz w:val="24"/>
          <w:szCs w:val="24"/>
          <w:highlight w:val="none"/>
          <w:lang w:val="en-US" w:eastAsia="zh-CN"/>
        </w:rPr>
        <w:t>148万元</w:t>
      </w:r>
    </w:p>
    <w:p w14:paraId="0798C9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6、采购需求：</w:t>
      </w:r>
      <w:r>
        <w:rPr>
          <w:rFonts w:hint="eastAsia" w:ascii="宋体" w:hAnsi="宋体" w:cs="宋体"/>
          <w:color w:val="auto"/>
          <w:sz w:val="24"/>
          <w:szCs w:val="24"/>
          <w:highlight w:val="none"/>
          <w:lang w:val="en-US" w:eastAsia="zh-CN"/>
        </w:rPr>
        <w:t>购买酒精检测仪，详见竞争性磋商文件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w:t>
      </w:r>
    </w:p>
    <w:p w14:paraId="28C8610E">
      <w:pPr>
        <w:pStyle w:val="7"/>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7、合同履行期限：</w:t>
      </w:r>
      <w:r>
        <w:rPr>
          <w:rFonts w:hint="eastAsia" w:ascii="宋体" w:hAnsi="宋体" w:cs="宋体"/>
          <w:bCs/>
          <w:kern w:val="0"/>
          <w:sz w:val="24"/>
          <w:highlight w:val="none"/>
        </w:rPr>
        <w:t>采购合同签订之日</w:t>
      </w:r>
      <w:r>
        <w:rPr>
          <w:rFonts w:hint="eastAsia" w:ascii="宋体" w:hAnsi="宋体" w:cs="宋体"/>
          <w:bCs/>
          <w:kern w:val="0"/>
          <w:sz w:val="24"/>
          <w:highlight w:val="none"/>
          <w:lang w:val="en-US" w:eastAsia="zh-CN"/>
        </w:rPr>
        <w:t>起</w:t>
      </w:r>
      <w:r>
        <w:rPr>
          <w:rFonts w:hint="eastAsia" w:ascii="宋体" w:hAnsi="宋体" w:eastAsia="宋体" w:cs="宋体"/>
          <w:bCs/>
          <w:kern w:val="0"/>
          <w:sz w:val="24"/>
          <w:highlight w:val="none"/>
          <w:lang w:val="en-US" w:eastAsia="zh-CN"/>
        </w:rPr>
        <w:t>15</w:t>
      </w:r>
      <w:r>
        <w:rPr>
          <w:rFonts w:hint="eastAsia" w:ascii="宋体" w:hAnsi="宋体" w:cs="宋体"/>
          <w:bCs/>
          <w:kern w:val="0"/>
          <w:sz w:val="24"/>
          <w:highlight w:val="none"/>
        </w:rPr>
        <w:t>天内</w:t>
      </w:r>
      <w:r>
        <w:rPr>
          <w:rFonts w:hint="eastAsia" w:ascii="宋体" w:hAnsi="宋体" w:cs="宋体"/>
          <w:bCs/>
          <w:kern w:val="0"/>
          <w:sz w:val="24"/>
          <w:highlight w:val="none"/>
          <w:lang w:val="en-US" w:eastAsia="zh-CN"/>
        </w:rPr>
        <w:t>完成供货</w:t>
      </w:r>
      <w:r>
        <w:rPr>
          <w:rFonts w:hint="eastAsia" w:ascii="宋体" w:hAnsi="宋体" w:cs="宋体"/>
          <w:bCs/>
          <w:kern w:val="0"/>
          <w:sz w:val="24"/>
          <w:highlight w:val="none"/>
        </w:rPr>
        <w:t>。</w:t>
      </w:r>
    </w:p>
    <w:p w14:paraId="273B176B">
      <w:pPr>
        <w:pStyle w:val="7"/>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8、本项目不接受联合体投标。</w:t>
      </w:r>
    </w:p>
    <w:p w14:paraId="6F00F840">
      <w:pPr>
        <w:spacing w:line="360" w:lineRule="auto"/>
        <w:rPr>
          <w:rFonts w:hint="eastAsia" w:ascii="宋体" w:hAnsi="宋体" w:eastAsia="宋体" w:cs="宋体"/>
          <w:b/>
          <w:bCs/>
          <w:color w:val="auto"/>
          <w:sz w:val="24"/>
          <w:szCs w:val="24"/>
        </w:rPr>
      </w:pPr>
      <w:bookmarkStart w:id="8" w:name="_Toc28359080"/>
      <w:bookmarkStart w:id="9" w:name="_Toc35393622"/>
      <w:bookmarkStart w:id="10" w:name="_Toc28359003"/>
      <w:bookmarkStart w:id="11" w:name="_Toc35393791"/>
      <w:r>
        <w:rPr>
          <w:rFonts w:hint="eastAsia" w:ascii="宋体" w:hAnsi="宋体" w:eastAsia="宋体" w:cs="宋体"/>
          <w:b/>
          <w:bCs/>
          <w:color w:val="auto"/>
          <w:sz w:val="24"/>
          <w:szCs w:val="24"/>
        </w:rPr>
        <w:t>二、申请人的资格要求：</w:t>
      </w:r>
      <w:bookmarkEnd w:id="8"/>
      <w:bookmarkEnd w:id="9"/>
      <w:bookmarkEnd w:id="10"/>
      <w:bookmarkEnd w:id="11"/>
    </w:p>
    <w:p w14:paraId="4707874F">
      <w:pPr>
        <w:spacing w:line="360" w:lineRule="auto"/>
        <w:ind w:firstLine="480" w:firstLineChars="200"/>
        <w:rPr>
          <w:rFonts w:hint="eastAsia" w:ascii="宋体" w:hAnsi="宋体" w:eastAsia="宋体" w:cs="宋体"/>
          <w:color w:val="auto"/>
          <w:sz w:val="24"/>
          <w:szCs w:val="24"/>
        </w:rPr>
      </w:pPr>
      <w:bookmarkStart w:id="12" w:name="_Toc28359004"/>
      <w:bookmarkStart w:id="13" w:name="_Toc28359081"/>
      <w:r>
        <w:rPr>
          <w:rFonts w:hint="eastAsia" w:ascii="宋体" w:hAnsi="宋体" w:eastAsia="宋体" w:cs="宋体"/>
          <w:color w:val="auto"/>
          <w:sz w:val="24"/>
          <w:szCs w:val="24"/>
        </w:rPr>
        <w:t>1.满足《中华人民共和国政府采购法》第二十二条规定；</w:t>
      </w:r>
    </w:p>
    <w:p w14:paraId="795AB04C">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highlight w:val="none"/>
        </w:rPr>
        <w:t>本项目专门面</w:t>
      </w:r>
      <w:r>
        <w:rPr>
          <w:rFonts w:hint="eastAsia" w:ascii="宋体" w:hAnsi="宋体" w:eastAsia="宋体" w:cs="宋体"/>
          <w:color w:val="auto"/>
          <w:sz w:val="24"/>
          <w:szCs w:val="24"/>
        </w:rPr>
        <w:t>向中小企业采购，按《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文件要求；</w:t>
      </w:r>
    </w:p>
    <w:p w14:paraId="0C3555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76DC70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（1）供应商必须具有独立法人资格，</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并在人员、设备、资金等方面具有相应的能力；</w:t>
      </w:r>
    </w:p>
    <w:p w14:paraId="7E9584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）供应商参加采购活动应当依据长财采购【2022】2066号文件规定提交反映其财务状况、依法缴纳税收和社会保障资金情况的资格条件承诺函；</w:t>
      </w:r>
    </w:p>
    <w:p w14:paraId="51521E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EFC18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331925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（5）供应商需提供企业无行贿犯罪记录证明，供应商自行登录中国裁判文书网（http://wenshu.court.gov.cn./）查询官网截图。</w:t>
      </w:r>
    </w:p>
    <w:p w14:paraId="7F6E60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（6）与采购人存在利害关系可能影响招标公正性的法人、其他组织或者个人，不得参加投标。单位负责人为同一人或者存在控股、管理关系的不同单位，不得参加同一标段投标或者</w:t>
      </w:r>
      <w:r>
        <w:rPr>
          <w:rFonts w:hint="eastAsia" w:ascii="宋体" w:hAnsi="宋体" w:eastAsia="宋体" w:cs="宋体"/>
          <w:sz w:val="24"/>
          <w:szCs w:val="24"/>
          <w:highlight w:val="none"/>
        </w:rPr>
        <w:t>未划分标段的同一招标项目投标。违反规定的，相关投标均无效。</w:t>
      </w:r>
    </w:p>
    <w:p w14:paraId="76D64FF9">
      <w:pPr>
        <w:spacing w:line="360" w:lineRule="auto"/>
        <w:rPr>
          <w:rFonts w:hint="eastAsia" w:ascii="宋体" w:hAnsi="宋体" w:eastAsia="宋体" w:cs="宋体"/>
          <w:b/>
          <w:bCs/>
          <w:sz w:val="24"/>
          <w:szCs w:val="24"/>
          <w:highlight w:val="none"/>
        </w:rPr>
      </w:pPr>
      <w:bookmarkStart w:id="14" w:name="_Toc35393623"/>
      <w:bookmarkStart w:id="15" w:name="_Toc35393792"/>
      <w:r>
        <w:rPr>
          <w:rFonts w:hint="eastAsia" w:ascii="宋体" w:hAnsi="宋体" w:eastAsia="宋体" w:cs="宋体"/>
          <w:b/>
          <w:bCs/>
          <w:sz w:val="24"/>
          <w:szCs w:val="24"/>
          <w:highlight w:val="none"/>
        </w:rPr>
        <w:t>三、获取竞争性磋商文件</w:t>
      </w:r>
      <w:bookmarkEnd w:id="12"/>
      <w:bookmarkEnd w:id="13"/>
      <w:bookmarkEnd w:id="14"/>
      <w:bookmarkEnd w:id="15"/>
    </w:p>
    <w:p w14:paraId="6325FF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bookmarkStart w:id="16" w:name="_Toc35393801"/>
      <w:bookmarkStart w:id="17" w:name="_Toc28359092"/>
      <w:bookmarkStart w:id="18" w:name="_Toc35393632"/>
      <w:bookmarkStart w:id="19" w:name="_Toc28359015"/>
      <w:r>
        <w:rPr>
          <w:rFonts w:hint="eastAsia" w:ascii="宋体" w:hAnsi="宋体" w:eastAsia="宋体" w:cs="宋体"/>
          <w:b w:val="0"/>
          <w:bCs w:val="0"/>
          <w:sz w:val="24"/>
          <w:szCs w:val="24"/>
          <w:highlight w:val="none"/>
        </w:rPr>
        <w:t>1.时间：</w:t>
      </w:r>
      <w:r>
        <w:rPr>
          <w:rFonts w:hint="eastAsia" w:ascii="宋体" w:hAnsi="宋体" w:cs="宋体"/>
          <w:b w:val="0"/>
          <w:bCs w:val="0"/>
          <w:sz w:val="24"/>
          <w:szCs w:val="24"/>
          <w:highlight w:val="none"/>
          <w:lang w:eastAsia="zh-CN"/>
        </w:rPr>
        <w:t>2024年12月30日至2025年1月7日下午16：00止</w:t>
      </w:r>
      <w:r>
        <w:rPr>
          <w:rFonts w:hint="eastAsia" w:ascii="宋体" w:hAnsi="宋体" w:eastAsia="宋体" w:cs="宋体"/>
          <w:b w:val="0"/>
          <w:bCs w:val="0"/>
          <w:sz w:val="24"/>
          <w:szCs w:val="24"/>
          <w:highlight w:val="none"/>
        </w:rPr>
        <w:t>。</w:t>
      </w:r>
    </w:p>
    <w:p w14:paraId="1E40C2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获取方式:网上下载，本项目不发放纸质版采购文件。投标人可自行在“政采云”平台（https://www.zcygov.cn/）下载采购文件（操作路径：登录“政采云”平台-项目采购-获取采购文件-找到本项目-点击“申请获取采购文件”），电子投标文件制作需要基于“政采云”平台获取的采购文件编制。</w:t>
      </w:r>
    </w:p>
    <w:p w14:paraId="0FD57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3.未进行网上注册的投标人将无法参与本次采购活动。</w:t>
      </w:r>
    </w:p>
    <w:p w14:paraId="02D87D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4.投标人不足三家时，采购人另行组织采购。</w:t>
      </w:r>
    </w:p>
    <w:p w14:paraId="544559B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bookmarkEnd w:id="16"/>
      <w:bookmarkEnd w:id="17"/>
      <w:bookmarkEnd w:id="18"/>
      <w:bookmarkEnd w:id="19"/>
    </w:p>
    <w:p w14:paraId="4DEC026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highlight w:val="none"/>
          <w:lang w:val="zh-CN"/>
        </w:rPr>
      </w:pPr>
      <w:bookmarkStart w:id="20" w:name="_Toc35393625"/>
      <w:bookmarkStart w:id="21" w:name="_Toc28359007"/>
      <w:bookmarkStart w:id="22" w:name="_Toc35393794"/>
      <w:bookmarkStart w:id="23" w:name="_Toc28359084"/>
      <w:r>
        <w:rPr>
          <w:rFonts w:hint="eastAsia" w:ascii="宋体" w:hAnsi="宋体" w:eastAsia="宋体" w:cs="宋体"/>
          <w:bCs/>
          <w:color w:val="auto"/>
          <w:sz w:val="24"/>
          <w:szCs w:val="24"/>
          <w:highlight w:val="none"/>
          <w:lang w:val="zh-CN"/>
        </w:rPr>
        <w:t>1.提交</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文件截止时间、开标时间：</w:t>
      </w:r>
      <w:r>
        <w:rPr>
          <w:rFonts w:hint="eastAsia" w:ascii="宋体" w:hAnsi="宋体" w:cs="宋体"/>
          <w:bCs/>
          <w:color w:val="auto"/>
          <w:sz w:val="24"/>
          <w:szCs w:val="24"/>
          <w:highlight w:val="none"/>
          <w:lang w:val="zh-CN"/>
        </w:rPr>
        <w:t>2025年1月9日13时30分</w:t>
      </w:r>
      <w:r>
        <w:rPr>
          <w:rFonts w:hint="eastAsia" w:ascii="宋体" w:hAnsi="宋体" w:eastAsia="宋体" w:cs="宋体"/>
          <w:bCs/>
          <w:color w:val="auto"/>
          <w:sz w:val="24"/>
          <w:szCs w:val="24"/>
          <w:highlight w:val="none"/>
          <w:lang w:val="zh-CN"/>
        </w:rPr>
        <w:t>。</w:t>
      </w:r>
    </w:p>
    <w:p w14:paraId="3D2263DC">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地点：</w:t>
      </w:r>
      <w:r>
        <w:rPr>
          <w:rFonts w:hint="eastAsia" w:ascii="宋体" w:hAnsi="宋体" w:cs="宋体"/>
          <w:bCs/>
          <w:color w:val="auto"/>
          <w:sz w:val="24"/>
          <w:szCs w:val="24"/>
          <w:highlight w:val="none"/>
          <w:lang w:val="zh-CN"/>
        </w:rPr>
        <w:t>长春市二道区洋浦大街6999号凯利中心AB栋二楼第二开标室</w:t>
      </w:r>
      <w:r>
        <w:rPr>
          <w:rFonts w:hint="eastAsia" w:ascii="宋体" w:hAnsi="宋体" w:eastAsia="宋体" w:cs="宋体"/>
          <w:bCs/>
          <w:color w:val="auto"/>
          <w:sz w:val="24"/>
          <w:szCs w:val="24"/>
          <w:highlight w:val="none"/>
          <w:lang w:val="zh-CN"/>
        </w:rPr>
        <w:t>。</w:t>
      </w:r>
      <w:r>
        <w:rPr>
          <w:rFonts w:hint="eastAsia" w:ascii="宋体" w:hAnsi="宋体" w:cs="宋体"/>
          <w:bCs/>
          <w:color w:val="auto"/>
          <w:sz w:val="24"/>
          <w:szCs w:val="24"/>
          <w:highlight w:val="none"/>
          <w:lang w:val="en-US" w:eastAsia="zh-CN"/>
        </w:rPr>
        <w:t xml:space="preserve"> </w:t>
      </w:r>
    </w:p>
    <w:p w14:paraId="1103F40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3.逾期送达的或者未送达指定地点的投标文件，采购人不予受理。</w:t>
      </w:r>
    </w:p>
    <w:p w14:paraId="08A6D32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4.本项目采用全流程电子化采购，需通过政府采购云平台（https://www.zcygov.cn/）递交电子投标文件。</w:t>
      </w:r>
    </w:p>
    <w:p w14:paraId="7846AC5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rPr>
        <w:t>5.</w:t>
      </w:r>
      <w:r>
        <w:rPr>
          <w:rFonts w:hint="eastAsia" w:ascii="宋体" w:hAnsi="宋体" w:eastAsia="宋体" w:cs="宋体"/>
          <w:bCs/>
          <w:color w:val="000000"/>
          <w:sz w:val="24"/>
          <w:szCs w:val="24"/>
          <w:lang w:val="zh-CN"/>
        </w:rPr>
        <w:t>操作流程：投标人在政府采购云平台注册入库成为正式投标人后，在平台按《政府采购项目电子交易管理操作指南-投标人》进行操作。由于投标人自身原因在递交投标文件截止时间前无法完成办理的，后果自负。</w:t>
      </w:r>
    </w:p>
    <w:p w14:paraId="612A19D8">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、公告期限</w:t>
      </w:r>
      <w:bookmarkEnd w:id="20"/>
      <w:bookmarkEnd w:id="21"/>
      <w:bookmarkEnd w:id="22"/>
      <w:bookmarkEnd w:id="23"/>
    </w:p>
    <w:p w14:paraId="5F281B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14:paraId="7A8B627E">
      <w:pPr>
        <w:spacing w:line="360" w:lineRule="auto"/>
        <w:rPr>
          <w:rFonts w:hint="eastAsia" w:ascii="宋体" w:hAnsi="宋体" w:eastAsia="宋体" w:cs="宋体"/>
          <w:b/>
          <w:bCs/>
          <w:sz w:val="24"/>
          <w:szCs w:val="24"/>
        </w:rPr>
      </w:pPr>
      <w:bookmarkStart w:id="24" w:name="_Toc35393626"/>
      <w:bookmarkStart w:id="25" w:name="_Toc35393795"/>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4"/>
      <w:bookmarkEnd w:id="25"/>
    </w:p>
    <w:p w14:paraId="54867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bookmarkStart w:id="26" w:name="_Toc28359008"/>
      <w:bookmarkStart w:id="27" w:name="_Toc35393796"/>
      <w:bookmarkStart w:id="28" w:name="_Toc28359085"/>
      <w:bookmarkStart w:id="29" w:name="_Toc35393627"/>
      <w:r>
        <w:rPr>
          <w:rFonts w:hint="eastAsia" w:ascii="宋体" w:hAnsi="宋体" w:eastAsia="宋体" w:cs="宋体"/>
          <w:b w:val="0"/>
          <w:bCs w:val="0"/>
          <w:sz w:val="24"/>
          <w:szCs w:val="24"/>
        </w:rPr>
        <w:t>本次公告在“</w:t>
      </w:r>
      <w:r>
        <w:rPr>
          <w:rFonts w:hint="eastAsia" w:ascii="宋体" w:hAnsi="宋体" w:eastAsia="宋体" w:cs="宋体"/>
          <w:b w:val="0"/>
          <w:bCs w:val="0"/>
          <w:sz w:val="24"/>
          <w:szCs w:val="24"/>
          <w:lang w:val="zh-CN"/>
        </w:rPr>
        <w:t>政采云</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zh-CN"/>
        </w:rPr>
        <w:t>平台</w:t>
      </w:r>
      <w:r>
        <w:rPr>
          <w:rFonts w:hint="eastAsia" w:ascii="宋体" w:hAnsi="宋体" w:eastAsia="宋体" w:cs="宋体"/>
          <w:b w:val="0"/>
          <w:bCs w:val="0"/>
          <w:sz w:val="24"/>
          <w:szCs w:val="24"/>
        </w:rPr>
        <w:t>（http:// www.zcygov.cn）发布，</w:t>
      </w:r>
      <w:r>
        <w:rPr>
          <w:rFonts w:hint="eastAsia" w:ascii="宋体" w:hAnsi="宋体" w:eastAsia="宋体" w:cs="宋体"/>
          <w:b w:val="0"/>
          <w:bCs w:val="0"/>
          <w:sz w:val="24"/>
          <w:szCs w:val="24"/>
          <w:lang w:val="zh-CN"/>
        </w:rPr>
        <w:t>同步推送到吉林省政府采购网</w:t>
      </w:r>
      <w:r>
        <w:rPr>
          <w:rFonts w:hint="eastAsia" w:ascii="宋体" w:hAnsi="宋体" w:eastAsia="宋体" w:cs="宋体"/>
          <w:b w:val="0"/>
          <w:bCs w:val="0"/>
          <w:sz w:val="24"/>
          <w:szCs w:val="24"/>
        </w:rPr>
        <w:t>（http://www.ccgp-jilin.gov.cn/），</w:t>
      </w:r>
      <w:r>
        <w:rPr>
          <w:rFonts w:hint="eastAsia" w:ascii="宋体" w:hAnsi="宋体" w:eastAsia="宋体" w:cs="宋体"/>
          <w:b w:val="0"/>
          <w:bCs w:val="0"/>
          <w:sz w:val="24"/>
          <w:szCs w:val="24"/>
          <w:lang w:val="zh-CN"/>
        </w:rPr>
        <w:t>并同时在长春市公共资源交易网、</w:t>
      </w:r>
      <w:r>
        <w:rPr>
          <w:rFonts w:hint="eastAsia" w:ascii="宋体" w:hAnsi="宋体" w:eastAsia="宋体" w:cs="宋体"/>
          <w:b w:val="0"/>
          <w:bCs w:val="0"/>
          <w:sz w:val="24"/>
          <w:szCs w:val="24"/>
        </w:rPr>
        <w:t>中国政府采购网</w:t>
      </w:r>
      <w:r>
        <w:rPr>
          <w:rFonts w:hint="eastAsia" w:ascii="宋体" w:hAnsi="宋体" w:eastAsia="宋体" w:cs="宋体"/>
          <w:b w:val="0"/>
          <w:bCs w:val="0"/>
          <w:sz w:val="24"/>
          <w:szCs w:val="24"/>
          <w:lang w:val="zh-CN"/>
        </w:rPr>
        <w:t>发布</w:t>
      </w:r>
      <w:r>
        <w:rPr>
          <w:rFonts w:hint="eastAsia" w:ascii="宋体" w:hAnsi="宋体" w:eastAsia="宋体" w:cs="宋体"/>
          <w:b w:val="0"/>
          <w:bCs w:val="0"/>
          <w:sz w:val="24"/>
          <w:szCs w:val="24"/>
        </w:rPr>
        <w:t>，潜在投标人若因通过其他途径获取招标信息造成损失，与本次采购人及采购代理机构无关。</w:t>
      </w:r>
    </w:p>
    <w:p w14:paraId="7A95CB19">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、对本次采购提出询问，请按以下方式联系</w:t>
      </w:r>
      <w:bookmarkEnd w:id="26"/>
      <w:bookmarkEnd w:id="27"/>
      <w:bookmarkEnd w:id="28"/>
      <w:bookmarkEnd w:id="29"/>
    </w:p>
    <w:p w14:paraId="27A48AFC">
      <w:pPr>
        <w:spacing w:line="360" w:lineRule="auto"/>
        <w:rPr>
          <w:rFonts w:hint="eastAsia" w:ascii="宋体" w:hAnsi="宋体" w:eastAsia="宋体" w:cs="宋体"/>
          <w:sz w:val="24"/>
          <w:szCs w:val="24"/>
        </w:rPr>
      </w:pPr>
      <w:bookmarkStart w:id="30" w:name="_Toc24347"/>
      <w:bookmarkStart w:id="31" w:name="_Toc10559"/>
      <w:bookmarkStart w:id="32" w:name="_Toc31883"/>
      <w:bookmarkStart w:id="33" w:name="_Toc21882"/>
      <w:bookmarkStart w:id="34" w:name="_Toc2247"/>
      <w:bookmarkStart w:id="35" w:name="_Toc11749"/>
      <w:bookmarkStart w:id="36" w:name="_Toc11998"/>
      <w:r>
        <w:rPr>
          <w:rFonts w:hint="eastAsia" w:ascii="宋体" w:hAnsi="宋体" w:eastAsia="宋体" w:cs="宋体"/>
          <w:sz w:val="24"/>
          <w:szCs w:val="24"/>
        </w:rPr>
        <w:t>1.采购人信息</w:t>
      </w:r>
    </w:p>
    <w:p w14:paraId="6983C624">
      <w:pPr>
        <w:spacing w:line="360" w:lineRule="auto"/>
        <w:rPr>
          <w:rFonts w:hint="eastAsia" w:ascii="宋体" w:hAnsi="宋体" w:eastAsia="宋体" w:cs="宋体"/>
          <w:sz w:val="24"/>
          <w:szCs w:val="24"/>
        </w:rPr>
      </w:pPr>
      <w:r>
        <w:rPr>
          <w:rFonts w:hint="eastAsia" w:ascii="宋体" w:hAnsi="宋体" w:eastAsia="宋体" w:cs="宋体"/>
          <w:sz w:val="24"/>
          <w:szCs w:val="24"/>
        </w:rPr>
        <w:t>名    称：长春市公安局交通警察支队</w:t>
      </w:r>
    </w:p>
    <w:p w14:paraId="73EC9C73">
      <w:pPr>
        <w:spacing w:line="360" w:lineRule="auto"/>
        <w:rPr>
          <w:rFonts w:hint="eastAsia" w:ascii="宋体" w:hAnsi="宋体" w:eastAsia="宋体" w:cs="宋体"/>
          <w:sz w:val="24"/>
          <w:szCs w:val="24"/>
        </w:rPr>
      </w:pPr>
      <w:r>
        <w:rPr>
          <w:rFonts w:hint="eastAsia" w:ascii="宋体" w:hAnsi="宋体" w:eastAsia="宋体" w:cs="宋体"/>
          <w:sz w:val="24"/>
          <w:szCs w:val="24"/>
        </w:rPr>
        <w:t>地    址：吉林省长春市南关区金宇南路159号</w:t>
      </w:r>
    </w:p>
    <w:p w14:paraId="2C953073">
      <w:pPr>
        <w:spacing w:line="360" w:lineRule="auto"/>
        <w:rPr>
          <w:rFonts w:hint="eastAsia" w:ascii="宋体" w:hAnsi="宋体" w:eastAsia="宋体" w:cs="宋体"/>
          <w:sz w:val="24"/>
          <w:szCs w:val="24"/>
        </w:rPr>
      </w:pPr>
      <w:r>
        <w:rPr>
          <w:rFonts w:hint="eastAsia" w:ascii="宋体" w:hAnsi="宋体" w:eastAsia="宋体" w:cs="宋体"/>
          <w:sz w:val="24"/>
          <w:szCs w:val="24"/>
        </w:rPr>
        <w:t>联系方式：0431-89137514（贡警官）</w:t>
      </w:r>
    </w:p>
    <w:p w14:paraId="1EB1668B">
      <w:pPr>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53A2803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名    称：</w:t>
      </w:r>
      <w:bookmarkStart w:id="37" w:name="sendDeptName_copy_1620032170000"/>
      <w:r>
        <w:rPr>
          <w:rFonts w:hint="eastAsia" w:ascii="宋体" w:hAnsi="宋体" w:eastAsia="宋体" w:cs="宋体"/>
          <w:sz w:val="24"/>
          <w:szCs w:val="24"/>
          <w:lang w:val="zh-CN"/>
        </w:rPr>
        <w:t>中经国际工程咨询集团有限公司</w:t>
      </w:r>
      <w:bookmarkEnd w:id="37"/>
    </w:p>
    <w:p w14:paraId="315F6A93">
      <w:pPr>
        <w:spacing w:line="360" w:lineRule="auto"/>
        <w:rPr>
          <w:rFonts w:hint="eastAsia" w:ascii="宋体" w:hAnsi="宋体" w:eastAsia="宋体" w:cs="宋体"/>
          <w:sz w:val="24"/>
          <w:szCs w:val="24"/>
        </w:rPr>
      </w:pPr>
      <w:r>
        <w:rPr>
          <w:rFonts w:hint="eastAsia" w:ascii="宋体" w:hAnsi="宋体" w:eastAsia="宋体" w:cs="宋体"/>
          <w:sz w:val="24"/>
          <w:szCs w:val="24"/>
          <w:lang w:val="zh-CN"/>
        </w:rPr>
        <w:t>地　　址：长春市南关区恒丰国际大厦</w:t>
      </w:r>
      <w:r>
        <w:rPr>
          <w:rFonts w:hint="eastAsia" w:ascii="宋体" w:hAnsi="宋体" w:eastAsia="宋体" w:cs="宋体"/>
          <w:sz w:val="24"/>
          <w:szCs w:val="24"/>
        </w:rPr>
        <w:t>A座</w:t>
      </w:r>
    </w:p>
    <w:p w14:paraId="077FCA9D">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联系方式：13843108382（高健）</w:t>
      </w:r>
    </w:p>
    <w:p w14:paraId="50491BB7">
      <w:pPr>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14:paraId="576BE3F8">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项目联系人：</w:t>
      </w:r>
      <w:bookmarkStart w:id="38" w:name="blank8"/>
      <w:r>
        <w:rPr>
          <w:rFonts w:hint="eastAsia" w:ascii="宋体" w:hAnsi="宋体" w:eastAsia="宋体" w:cs="宋体"/>
          <w:sz w:val="24"/>
          <w:szCs w:val="24"/>
          <w:lang w:val="zh-CN"/>
        </w:rPr>
        <w:t>高健</w:t>
      </w:r>
      <w:bookmarkEnd w:id="38"/>
    </w:p>
    <w:p w14:paraId="2D133B09">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　　 话：</w:t>
      </w:r>
      <w:bookmarkStart w:id="39" w:name="blank9"/>
      <w:r>
        <w:rPr>
          <w:rFonts w:hint="eastAsia" w:ascii="宋体" w:hAnsi="宋体" w:eastAsia="宋体" w:cs="宋体"/>
          <w:sz w:val="24"/>
          <w:szCs w:val="24"/>
          <w:lang w:val="zh-CN"/>
        </w:rPr>
        <w:t>13843108382</w:t>
      </w:r>
      <w:bookmarkEnd w:id="39"/>
    </w:p>
    <w:p w14:paraId="3FD5DBFB">
      <w:pPr>
        <w:spacing w:line="360" w:lineRule="auto"/>
        <w:rPr>
          <w:rFonts w:hint="eastAsia" w:ascii="宋体" w:hAnsi="宋体" w:eastAsia="宋体" w:cs="宋体"/>
          <w:sz w:val="24"/>
          <w:szCs w:val="24"/>
        </w:rPr>
      </w:pPr>
      <w:r>
        <w:rPr>
          <w:rFonts w:hint="eastAsia" w:ascii="宋体" w:hAnsi="宋体" w:eastAsia="宋体" w:cs="宋体"/>
          <w:sz w:val="24"/>
          <w:szCs w:val="24"/>
        </w:rPr>
        <w:t>监督机构及投诉受理部门：长春市财政局政府采购管理工作办公室</w:t>
      </w:r>
    </w:p>
    <w:p w14:paraId="43CCA202">
      <w:pPr>
        <w:spacing w:line="360" w:lineRule="auto"/>
        <w:rPr>
          <w:rFonts w:hint="eastAsia" w:ascii="宋体" w:hAnsi="宋体" w:eastAsia="宋体" w:cs="宋体"/>
          <w:sz w:val="24"/>
          <w:szCs w:val="24"/>
        </w:rPr>
      </w:pPr>
      <w:r>
        <w:rPr>
          <w:rFonts w:hint="eastAsia" w:ascii="宋体" w:hAnsi="宋体" w:eastAsia="宋体" w:cs="宋体"/>
          <w:sz w:val="24"/>
          <w:szCs w:val="24"/>
        </w:rPr>
        <w:t>联系方式：0431-87605030</w:t>
      </w:r>
    </w:p>
    <w:p w14:paraId="001FD565">
      <w:pPr>
        <w:pStyle w:val="2"/>
        <w:jc w:val="left"/>
        <w:rPr>
          <w:rFonts w:hint="eastAsia" w:ascii="宋体" w:hAnsi="宋体" w:cs="宋体"/>
          <w:bCs/>
          <w:sz w:val="24"/>
          <w:szCs w:val="24"/>
          <w:lang w:val="en-US" w:eastAsia="zh-CN"/>
        </w:rPr>
        <w:sectPr>
          <w:footerReference r:id="rId5" w:type="default"/>
          <w:pgSz w:w="11910" w:h="16840"/>
          <w:pgMar w:top="1020" w:right="1134" w:bottom="1020" w:left="1134" w:header="0" w:footer="663" w:gutter="0"/>
          <w:pgNumType w:start="1"/>
          <w:cols w:space="720" w:num="1"/>
          <w:docGrid w:linePitch="312" w:charSpace="0"/>
        </w:sectPr>
      </w:pPr>
      <w:r>
        <w:rPr>
          <w:rFonts w:hint="eastAsia" w:ascii="宋体" w:hAnsi="宋体" w:cs="宋体"/>
          <w:bCs/>
          <w:sz w:val="24"/>
          <w:szCs w:val="24"/>
          <w:lang w:val="en-US" w:eastAsia="zh-CN"/>
        </w:rPr>
        <w:t xml:space="preserve"> </w:t>
      </w:r>
    </w:p>
    <w:p w14:paraId="1FFAF604">
      <w:pPr>
        <w:pStyle w:val="2"/>
        <w:rPr>
          <w:rFonts w:ascii="宋体" w:cs="宋体"/>
        </w:rPr>
      </w:pPr>
      <w:r>
        <w:rPr>
          <w:rFonts w:hint="eastAsia" w:ascii="宋体" w:cs="宋体"/>
        </w:rPr>
        <w:t>第二章 供应商须知</w:t>
      </w:r>
      <w:bookmarkEnd w:id="30"/>
      <w:bookmarkEnd w:id="31"/>
      <w:bookmarkEnd w:id="32"/>
      <w:bookmarkEnd w:id="33"/>
      <w:bookmarkEnd w:id="34"/>
      <w:bookmarkEnd w:id="35"/>
      <w:bookmarkEnd w:id="36"/>
    </w:p>
    <w:p w14:paraId="275C1B38">
      <w:pPr>
        <w:jc w:val="center"/>
        <w:rPr>
          <w:rFonts w:ascii="宋体" w:cs="宋体"/>
          <w:b/>
          <w:bCs/>
          <w:sz w:val="28"/>
          <w:szCs w:val="36"/>
        </w:rPr>
      </w:pPr>
      <w:bookmarkStart w:id="40" w:name="_Toc25757"/>
      <w:r>
        <w:rPr>
          <w:rFonts w:hint="eastAsia" w:ascii="宋体" w:cs="宋体"/>
          <w:b/>
          <w:bCs/>
          <w:sz w:val="28"/>
          <w:szCs w:val="36"/>
        </w:rPr>
        <w:t>（一）供应商须知前附表</w:t>
      </w:r>
      <w:bookmarkEnd w:id="40"/>
    </w:p>
    <w:tbl>
      <w:tblPr>
        <w:tblStyle w:val="28"/>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147"/>
        <w:gridCol w:w="6737"/>
      </w:tblGrid>
      <w:tr w14:paraId="57BD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5" w:type="dxa"/>
            <w:vAlign w:val="center"/>
          </w:tcPr>
          <w:p w14:paraId="0DD4851B">
            <w:pPr>
              <w:jc w:val="center"/>
              <w:rPr>
                <w:rFonts w:ascii="宋体" w:cs="宋体"/>
                <w:color w:val="auto"/>
                <w:sz w:val="24"/>
              </w:rPr>
            </w:pPr>
            <w:r>
              <w:rPr>
                <w:rFonts w:hint="eastAsia" w:ascii="宋体" w:cs="宋体"/>
                <w:color w:val="auto"/>
                <w:sz w:val="24"/>
              </w:rPr>
              <w:t>条款号</w:t>
            </w:r>
          </w:p>
        </w:tc>
        <w:tc>
          <w:tcPr>
            <w:tcW w:w="2147" w:type="dxa"/>
            <w:vAlign w:val="center"/>
          </w:tcPr>
          <w:p w14:paraId="7FA706A1">
            <w:pPr>
              <w:jc w:val="center"/>
              <w:rPr>
                <w:rFonts w:ascii="宋体" w:cs="宋体"/>
                <w:color w:val="auto"/>
                <w:sz w:val="24"/>
              </w:rPr>
            </w:pPr>
            <w:r>
              <w:rPr>
                <w:rFonts w:hint="eastAsia" w:ascii="宋体" w:cs="宋体"/>
                <w:color w:val="auto"/>
                <w:sz w:val="24"/>
              </w:rPr>
              <w:t>条 款 名 称</w:t>
            </w:r>
          </w:p>
        </w:tc>
        <w:tc>
          <w:tcPr>
            <w:tcW w:w="6737" w:type="dxa"/>
            <w:vAlign w:val="center"/>
          </w:tcPr>
          <w:p w14:paraId="6C8801CC">
            <w:pPr>
              <w:jc w:val="center"/>
              <w:rPr>
                <w:rFonts w:ascii="宋体" w:cs="宋体"/>
                <w:color w:val="auto"/>
                <w:sz w:val="24"/>
              </w:rPr>
            </w:pPr>
            <w:r>
              <w:rPr>
                <w:rFonts w:hint="eastAsia" w:ascii="宋体" w:cs="宋体"/>
                <w:color w:val="auto"/>
                <w:sz w:val="24"/>
              </w:rPr>
              <w:t>编  列  内  容</w:t>
            </w:r>
          </w:p>
        </w:tc>
      </w:tr>
      <w:tr w14:paraId="2B55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75" w:type="dxa"/>
            <w:vAlign w:val="center"/>
          </w:tcPr>
          <w:p w14:paraId="23AEBE6E">
            <w:pPr>
              <w:rPr>
                <w:rFonts w:ascii="宋体" w:cs="宋体"/>
                <w:color w:val="auto"/>
                <w:sz w:val="24"/>
              </w:rPr>
            </w:pPr>
            <w:r>
              <w:rPr>
                <w:rFonts w:hint="eastAsia" w:ascii="宋体" w:cs="宋体"/>
                <w:color w:val="auto"/>
                <w:sz w:val="24"/>
              </w:rPr>
              <w:t>1.1.2</w:t>
            </w:r>
          </w:p>
        </w:tc>
        <w:tc>
          <w:tcPr>
            <w:tcW w:w="2147" w:type="dxa"/>
            <w:vAlign w:val="center"/>
          </w:tcPr>
          <w:p w14:paraId="6D73FA61">
            <w:pPr>
              <w:jc w:val="center"/>
              <w:rPr>
                <w:rFonts w:ascii="宋体" w:cs="宋体"/>
                <w:color w:val="auto"/>
                <w:sz w:val="24"/>
              </w:rPr>
            </w:pPr>
            <w:r>
              <w:rPr>
                <w:rFonts w:hint="eastAsia" w:ascii="宋体" w:cs="宋体"/>
                <w:color w:val="auto"/>
                <w:sz w:val="24"/>
              </w:rPr>
              <w:t>采购人</w:t>
            </w:r>
          </w:p>
        </w:tc>
        <w:tc>
          <w:tcPr>
            <w:tcW w:w="6737" w:type="dxa"/>
            <w:vAlign w:val="center"/>
          </w:tcPr>
          <w:p w14:paraId="5FDCD4FD">
            <w:pPr>
              <w:rPr>
                <w:rFonts w:hint="eastAsia" w:ascii="宋体" w:hAnsi="宋体" w:cs="宋体"/>
                <w:color w:val="auto"/>
                <w:sz w:val="24"/>
                <w:lang w:val="en-US" w:eastAsia="zh-CN"/>
              </w:rPr>
            </w:pPr>
            <w:r>
              <w:rPr>
                <w:rFonts w:hint="eastAsia" w:ascii="宋体" w:hAnsi="宋体" w:cs="宋体"/>
                <w:color w:val="auto"/>
                <w:sz w:val="24"/>
                <w:lang w:val="en-US" w:eastAsia="zh-CN"/>
              </w:rPr>
              <w:t>采 购 人：长春市公安局交通警察支队</w:t>
            </w:r>
          </w:p>
          <w:p w14:paraId="0FB25EF6">
            <w:pPr>
              <w:rPr>
                <w:rFonts w:hint="eastAsia" w:ascii="宋体" w:hAnsi="宋体" w:cs="宋体"/>
                <w:color w:val="auto"/>
                <w:sz w:val="24"/>
                <w:lang w:val="en-US" w:eastAsia="zh-CN"/>
              </w:rPr>
            </w:pPr>
            <w:r>
              <w:rPr>
                <w:rFonts w:hint="eastAsia" w:ascii="宋体" w:hAnsi="宋体" w:cs="宋体"/>
                <w:color w:val="auto"/>
                <w:sz w:val="24"/>
                <w:lang w:val="en-US" w:eastAsia="zh-CN"/>
              </w:rPr>
              <w:t>地    址：吉林省长春市南关区金宇南路159号</w:t>
            </w:r>
          </w:p>
          <w:p w14:paraId="4EA14301">
            <w:pPr>
              <w:rPr>
                <w:rFonts w:hint="eastAsia" w:ascii="宋体" w:eastAsia="宋体" w:cs="宋体"/>
                <w:bCs/>
                <w:color w:val="auto"/>
                <w:sz w:val="24"/>
                <w:lang w:eastAsia="zh-CN"/>
              </w:rPr>
            </w:pPr>
            <w:r>
              <w:rPr>
                <w:rFonts w:hint="eastAsia" w:ascii="宋体" w:hAnsi="宋体" w:cs="宋体"/>
                <w:color w:val="auto"/>
                <w:sz w:val="24"/>
                <w:lang w:val="en-US" w:eastAsia="zh-CN"/>
              </w:rPr>
              <w:t>联系方式：0431-89137514（贡警官）</w:t>
            </w:r>
          </w:p>
        </w:tc>
      </w:tr>
      <w:tr w14:paraId="1009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5" w:type="dxa"/>
            <w:vAlign w:val="center"/>
          </w:tcPr>
          <w:p w14:paraId="41BC5B44">
            <w:pPr>
              <w:rPr>
                <w:rFonts w:ascii="宋体" w:cs="宋体"/>
                <w:color w:val="auto"/>
                <w:sz w:val="24"/>
              </w:rPr>
            </w:pPr>
            <w:r>
              <w:rPr>
                <w:rFonts w:hint="eastAsia" w:ascii="宋体" w:cs="宋体"/>
                <w:color w:val="auto"/>
                <w:sz w:val="24"/>
              </w:rPr>
              <w:t>1.1.3</w:t>
            </w:r>
          </w:p>
        </w:tc>
        <w:tc>
          <w:tcPr>
            <w:tcW w:w="2147" w:type="dxa"/>
            <w:vAlign w:val="center"/>
          </w:tcPr>
          <w:p w14:paraId="0CC666B2">
            <w:pPr>
              <w:jc w:val="center"/>
              <w:rPr>
                <w:rFonts w:ascii="宋体" w:cs="宋体"/>
                <w:color w:val="auto"/>
                <w:sz w:val="24"/>
              </w:rPr>
            </w:pPr>
            <w:r>
              <w:rPr>
                <w:rFonts w:hint="eastAsia" w:ascii="宋体" w:cs="宋体"/>
                <w:color w:val="auto"/>
                <w:sz w:val="24"/>
              </w:rPr>
              <w:t>采购代理机构</w:t>
            </w:r>
          </w:p>
        </w:tc>
        <w:tc>
          <w:tcPr>
            <w:tcW w:w="6737" w:type="dxa"/>
            <w:vAlign w:val="center"/>
          </w:tcPr>
          <w:p w14:paraId="34F64931">
            <w:pPr>
              <w:rPr>
                <w:rFonts w:hint="eastAsia" w:ascii="宋体" w:hAnsi="宋体" w:cs="宋体"/>
                <w:color w:val="auto"/>
                <w:sz w:val="24"/>
                <w:lang w:val="en-US" w:eastAsia="zh-CN"/>
              </w:rPr>
            </w:pPr>
            <w:bookmarkStart w:id="41" w:name="sendDeptName_copy_1620032296000"/>
            <w:r>
              <w:rPr>
                <w:rFonts w:hint="eastAsia" w:ascii="宋体" w:hAnsi="宋体" w:cs="宋体"/>
                <w:color w:val="auto"/>
                <w:sz w:val="24"/>
                <w:lang w:val="en-US" w:eastAsia="zh-CN"/>
              </w:rPr>
              <w:t>采购代理机构：中经国际工程咨询集团有限公司</w:t>
            </w:r>
          </w:p>
          <w:bookmarkEnd w:id="41"/>
          <w:p w14:paraId="42ECEFF0">
            <w:pPr>
              <w:rPr>
                <w:rFonts w:hint="eastAsia" w:ascii="宋体" w:hAnsi="宋体" w:cs="宋体"/>
                <w:color w:val="auto"/>
                <w:sz w:val="24"/>
                <w:lang w:val="en-US" w:eastAsia="zh-CN"/>
              </w:rPr>
            </w:pPr>
            <w:r>
              <w:rPr>
                <w:rFonts w:hint="eastAsia" w:ascii="宋体" w:hAnsi="宋体" w:cs="宋体"/>
                <w:color w:val="auto"/>
                <w:sz w:val="24"/>
                <w:lang w:val="en-US" w:eastAsia="zh-CN"/>
              </w:rPr>
              <w:t>地　　址：长春市南关区恒丰国际大厦A座</w:t>
            </w:r>
          </w:p>
          <w:p w14:paraId="4F35D5AC">
            <w:pPr>
              <w:rPr>
                <w:rFonts w:hint="eastAsia" w:ascii="宋体" w:eastAsia="宋体" w:cs="宋体"/>
                <w:color w:val="auto"/>
                <w:sz w:val="24"/>
                <w:lang w:eastAsia="zh-CN"/>
              </w:rPr>
            </w:pPr>
            <w:r>
              <w:rPr>
                <w:rFonts w:hint="eastAsia" w:ascii="宋体" w:hAnsi="宋体" w:cs="宋体"/>
                <w:color w:val="auto"/>
                <w:sz w:val="24"/>
                <w:lang w:val="en-US" w:eastAsia="zh-CN"/>
              </w:rPr>
              <w:t>联系方式：13843108382（高健）</w:t>
            </w:r>
          </w:p>
        </w:tc>
      </w:tr>
      <w:tr w14:paraId="06D6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75" w:type="dxa"/>
            <w:vAlign w:val="center"/>
          </w:tcPr>
          <w:p w14:paraId="2845A1AD">
            <w:pPr>
              <w:rPr>
                <w:rFonts w:ascii="宋体" w:cs="宋体"/>
                <w:color w:val="auto"/>
                <w:sz w:val="24"/>
              </w:rPr>
            </w:pPr>
            <w:r>
              <w:rPr>
                <w:rFonts w:hint="eastAsia" w:ascii="宋体" w:cs="宋体"/>
                <w:color w:val="auto"/>
                <w:sz w:val="24"/>
              </w:rPr>
              <w:t>1.1.4</w:t>
            </w:r>
          </w:p>
        </w:tc>
        <w:tc>
          <w:tcPr>
            <w:tcW w:w="2147" w:type="dxa"/>
            <w:vAlign w:val="center"/>
          </w:tcPr>
          <w:p w14:paraId="22B9C6AC">
            <w:pPr>
              <w:jc w:val="center"/>
              <w:rPr>
                <w:rFonts w:ascii="宋体" w:cs="宋体"/>
                <w:color w:val="auto"/>
                <w:sz w:val="24"/>
                <w:highlight w:val="none"/>
              </w:rPr>
            </w:pPr>
            <w:r>
              <w:rPr>
                <w:rFonts w:hint="eastAsia" w:ascii="宋体" w:cs="宋体"/>
                <w:color w:val="auto"/>
                <w:sz w:val="24"/>
                <w:highlight w:val="none"/>
              </w:rPr>
              <w:t>项目名称、编号</w:t>
            </w:r>
          </w:p>
        </w:tc>
        <w:tc>
          <w:tcPr>
            <w:tcW w:w="6737" w:type="dxa"/>
            <w:vAlign w:val="center"/>
          </w:tcPr>
          <w:p w14:paraId="1BF00645">
            <w:pPr>
              <w:rPr>
                <w:rFonts w:hint="eastAsia" w:ascii="宋体" w:eastAsia="宋体" w:cs="宋体"/>
                <w:color w:val="auto"/>
                <w:sz w:val="24"/>
                <w:highlight w:val="none"/>
                <w:lang w:eastAsia="zh-CN"/>
              </w:rPr>
            </w:pPr>
            <w:r>
              <w:rPr>
                <w:rFonts w:hint="eastAsia" w:ascii="宋体" w:cs="宋体"/>
                <w:color w:val="auto"/>
                <w:sz w:val="24"/>
                <w:highlight w:val="none"/>
              </w:rPr>
              <w:t>名称：</w:t>
            </w:r>
            <w:r>
              <w:rPr>
                <w:rFonts w:hint="eastAsia" w:ascii="宋体" w:cs="宋体"/>
                <w:color w:val="auto"/>
                <w:sz w:val="24"/>
                <w:highlight w:val="none"/>
                <w:lang w:eastAsia="zh-CN"/>
              </w:rPr>
              <w:t>长春市交警支队机关采购酒精检测仪项目(二次）</w:t>
            </w:r>
          </w:p>
          <w:p w14:paraId="68F2B57F">
            <w:pPr>
              <w:rPr>
                <w:rFonts w:hint="default" w:ascii="宋体" w:eastAsia="宋体" w:cs="宋体"/>
                <w:color w:val="auto"/>
                <w:sz w:val="24"/>
                <w:highlight w:val="none"/>
                <w:lang w:val="en-US" w:eastAsia="zh-CN"/>
              </w:rPr>
            </w:pPr>
            <w:r>
              <w:rPr>
                <w:rFonts w:hint="eastAsia" w:ascii="宋体" w:cs="宋体"/>
                <w:color w:val="auto"/>
                <w:sz w:val="24"/>
                <w:highlight w:val="none"/>
                <w:lang w:val="zh-CN"/>
              </w:rPr>
              <w:t>编号</w:t>
            </w:r>
            <w:r>
              <w:rPr>
                <w:rFonts w:hint="eastAsia" w:ascii="宋体" w:cs="宋体"/>
                <w:color w:val="auto"/>
                <w:sz w:val="24"/>
                <w:highlight w:val="none"/>
              </w:rPr>
              <w:t>：</w:t>
            </w:r>
            <w:r>
              <w:rPr>
                <w:rFonts w:hint="eastAsia" w:ascii="宋体" w:cs="宋体"/>
                <w:color w:val="auto"/>
                <w:sz w:val="24"/>
                <w:highlight w:val="none"/>
                <w:lang w:val="en-US" w:eastAsia="zh-CN"/>
              </w:rPr>
              <w:t xml:space="preserve"> JM-2024-09-01118-2</w:t>
            </w:r>
          </w:p>
        </w:tc>
      </w:tr>
      <w:tr w14:paraId="2BE5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75" w:type="dxa"/>
            <w:vAlign w:val="center"/>
          </w:tcPr>
          <w:p w14:paraId="7AFAB763">
            <w:pPr>
              <w:rPr>
                <w:rFonts w:ascii="宋体" w:cs="宋体"/>
                <w:color w:val="auto"/>
                <w:sz w:val="24"/>
              </w:rPr>
            </w:pPr>
            <w:r>
              <w:rPr>
                <w:rFonts w:hint="eastAsia" w:ascii="宋体" w:cs="宋体"/>
                <w:color w:val="auto"/>
                <w:sz w:val="24"/>
              </w:rPr>
              <w:t>1.1.5</w:t>
            </w:r>
          </w:p>
        </w:tc>
        <w:tc>
          <w:tcPr>
            <w:tcW w:w="2147" w:type="dxa"/>
            <w:vAlign w:val="center"/>
          </w:tcPr>
          <w:p w14:paraId="6BE606D9">
            <w:pPr>
              <w:jc w:val="center"/>
              <w:rPr>
                <w:rFonts w:ascii="宋体" w:cs="宋体"/>
                <w:color w:val="auto"/>
                <w:sz w:val="24"/>
              </w:rPr>
            </w:pPr>
            <w:r>
              <w:rPr>
                <w:rFonts w:hint="eastAsia" w:ascii="宋体" w:cs="宋体"/>
                <w:color w:val="auto"/>
                <w:sz w:val="24"/>
              </w:rPr>
              <w:t>合同履约地点</w:t>
            </w:r>
          </w:p>
        </w:tc>
        <w:tc>
          <w:tcPr>
            <w:tcW w:w="6737" w:type="dxa"/>
            <w:vAlign w:val="center"/>
          </w:tcPr>
          <w:p w14:paraId="34CC6A3C">
            <w:pPr>
              <w:rPr>
                <w:rFonts w:ascii="宋体" w:cs="宋体"/>
                <w:color w:val="auto"/>
                <w:sz w:val="24"/>
              </w:rPr>
            </w:pPr>
            <w:r>
              <w:rPr>
                <w:rFonts w:hint="eastAsia" w:ascii="宋体" w:cs="宋体"/>
                <w:color w:val="auto"/>
                <w:sz w:val="24"/>
              </w:rPr>
              <w:t>采购人指定地点</w:t>
            </w:r>
          </w:p>
        </w:tc>
      </w:tr>
      <w:tr w14:paraId="1569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75" w:type="dxa"/>
            <w:vAlign w:val="center"/>
          </w:tcPr>
          <w:p w14:paraId="0BCE9E92">
            <w:pPr>
              <w:rPr>
                <w:rFonts w:ascii="宋体" w:cs="宋体"/>
                <w:color w:val="auto"/>
                <w:sz w:val="24"/>
              </w:rPr>
            </w:pPr>
            <w:r>
              <w:rPr>
                <w:rFonts w:hint="eastAsia" w:ascii="宋体" w:cs="宋体"/>
                <w:color w:val="auto"/>
                <w:sz w:val="24"/>
              </w:rPr>
              <w:t>1.2.1</w:t>
            </w:r>
          </w:p>
        </w:tc>
        <w:tc>
          <w:tcPr>
            <w:tcW w:w="2147" w:type="dxa"/>
            <w:vAlign w:val="center"/>
          </w:tcPr>
          <w:p w14:paraId="55D5F60C">
            <w:pPr>
              <w:jc w:val="center"/>
              <w:rPr>
                <w:rFonts w:ascii="宋体" w:cs="宋体"/>
                <w:color w:val="auto"/>
                <w:sz w:val="24"/>
              </w:rPr>
            </w:pPr>
            <w:r>
              <w:rPr>
                <w:rFonts w:hint="eastAsia" w:ascii="宋体" w:cs="宋体"/>
                <w:color w:val="auto"/>
                <w:sz w:val="24"/>
              </w:rPr>
              <w:t>资金来源</w:t>
            </w:r>
          </w:p>
        </w:tc>
        <w:tc>
          <w:tcPr>
            <w:tcW w:w="6737" w:type="dxa"/>
            <w:vAlign w:val="center"/>
          </w:tcPr>
          <w:p w14:paraId="13F04A44">
            <w:pPr>
              <w:rPr>
                <w:rFonts w:ascii="宋体" w:cs="宋体"/>
                <w:color w:val="auto"/>
                <w:sz w:val="24"/>
              </w:rPr>
            </w:pPr>
            <w:r>
              <w:rPr>
                <w:rFonts w:hint="eastAsia" w:ascii="宋体" w:cs="宋体"/>
                <w:color w:val="auto"/>
                <w:sz w:val="24"/>
              </w:rPr>
              <w:t>财政资金</w:t>
            </w:r>
          </w:p>
        </w:tc>
      </w:tr>
      <w:tr w14:paraId="1790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975" w:type="dxa"/>
            <w:vAlign w:val="center"/>
          </w:tcPr>
          <w:p w14:paraId="49D779F5">
            <w:pPr>
              <w:rPr>
                <w:rFonts w:ascii="宋体" w:cs="宋体"/>
                <w:color w:val="auto"/>
                <w:sz w:val="24"/>
              </w:rPr>
            </w:pPr>
            <w:r>
              <w:rPr>
                <w:rFonts w:hint="eastAsia" w:ascii="宋体" w:cs="宋体"/>
                <w:color w:val="auto"/>
                <w:sz w:val="24"/>
              </w:rPr>
              <w:t>1.2.2</w:t>
            </w:r>
          </w:p>
        </w:tc>
        <w:tc>
          <w:tcPr>
            <w:tcW w:w="2147" w:type="dxa"/>
            <w:vAlign w:val="center"/>
          </w:tcPr>
          <w:p w14:paraId="69B1CB23">
            <w:pPr>
              <w:jc w:val="center"/>
              <w:rPr>
                <w:rFonts w:ascii="宋体" w:cs="宋体"/>
                <w:color w:val="auto"/>
                <w:sz w:val="24"/>
              </w:rPr>
            </w:pPr>
            <w:r>
              <w:rPr>
                <w:rFonts w:hint="eastAsia" w:ascii="宋体" w:cs="宋体"/>
                <w:color w:val="auto"/>
                <w:sz w:val="24"/>
              </w:rPr>
              <w:t>出资比例</w:t>
            </w:r>
          </w:p>
        </w:tc>
        <w:tc>
          <w:tcPr>
            <w:tcW w:w="6737" w:type="dxa"/>
            <w:vAlign w:val="center"/>
          </w:tcPr>
          <w:p w14:paraId="4786BFAA">
            <w:pPr>
              <w:rPr>
                <w:rFonts w:ascii="宋体" w:cs="宋体"/>
                <w:color w:val="auto"/>
                <w:sz w:val="24"/>
              </w:rPr>
            </w:pPr>
            <w:r>
              <w:rPr>
                <w:rFonts w:hint="eastAsia" w:ascii="宋体" w:cs="宋体"/>
                <w:color w:val="auto"/>
                <w:sz w:val="24"/>
              </w:rPr>
              <w:t>100%</w:t>
            </w:r>
          </w:p>
        </w:tc>
      </w:tr>
      <w:tr w14:paraId="65FD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975" w:type="dxa"/>
            <w:vAlign w:val="center"/>
          </w:tcPr>
          <w:p w14:paraId="7A7FA803">
            <w:pPr>
              <w:rPr>
                <w:rFonts w:ascii="宋体" w:cs="宋体"/>
                <w:color w:val="auto"/>
                <w:sz w:val="24"/>
              </w:rPr>
            </w:pPr>
            <w:r>
              <w:rPr>
                <w:rFonts w:hint="eastAsia" w:ascii="宋体" w:cs="宋体"/>
                <w:color w:val="auto"/>
                <w:sz w:val="24"/>
              </w:rPr>
              <w:t>1.2.3</w:t>
            </w:r>
          </w:p>
        </w:tc>
        <w:tc>
          <w:tcPr>
            <w:tcW w:w="2147" w:type="dxa"/>
            <w:vAlign w:val="center"/>
          </w:tcPr>
          <w:p w14:paraId="63D2E388">
            <w:pPr>
              <w:jc w:val="center"/>
              <w:rPr>
                <w:rFonts w:ascii="宋体" w:cs="宋体"/>
                <w:color w:val="auto"/>
                <w:sz w:val="24"/>
              </w:rPr>
            </w:pPr>
            <w:r>
              <w:rPr>
                <w:rFonts w:hint="eastAsia" w:ascii="宋体" w:cs="宋体"/>
                <w:color w:val="auto"/>
                <w:sz w:val="24"/>
              </w:rPr>
              <w:t>资金落实情况</w:t>
            </w:r>
          </w:p>
        </w:tc>
        <w:tc>
          <w:tcPr>
            <w:tcW w:w="6737" w:type="dxa"/>
            <w:vAlign w:val="center"/>
          </w:tcPr>
          <w:p w14:paraId="4371A5E6">
            <w:pPr>
              <w:rPr>
                <w:rFonts w:ascii="宋体" w:cs="宋体"/>
                <w:color w:val="auto"/>
                <w:sz w:val="24"/>
              </w:rPr>
            </w:pPr>
            <w:r>
              <w:rPr>
                <w:rFonts w:hint="eastAsia" w:ascii="宋体" w:cs="宋体"/>
                <w:color w:val="auto"/>
                <w:sz w:val="24"/>
              </w:rPr>
              <w:t>已落实</w:t>
            </w:r>
          </w:p>
        </w:tc>
      </w:tr>
      <w:tr w14:paraId="5A3F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975" w:type="dxa"/>
            <w:vAlign w:val="center"/>
          </w:tcPr>
          <w:p w14:paraId="1B01EB9C">
            <w:pPr>
              <w:rPr>
                <w:rFonts w:ascii="宋体" w:cs="宋体"/>
                <w:color w:val="auto"/>
                <w:sz w:val="24"/>
                <w:highlight w:val="none"/>
              </w:rPr>
            </w:pPr>
            <w:r>
              <w:rPr>
                <w:rFonts w:hint="eastAsia" w:ascii="宋体" w:cs="宋体"/>
                <w:color w:val="auto"/>
                <w:sz w:val="24"/>
                <w:highlight w:val="none"/>
              </w:rPr>
              <w:t>1.3.1</w:t>
            </w:r>
          </w:p>
        </w:tc>
        <w:tc>
          <w:tcPr>
            <w:tcW w:w="2147" w:type="dxa"/>
            <w:vAlign w:val="center"/>
          </w:tcPr>
          <w:p w14:paraId="3560AA83">
            <w:pPr>
              <w:jc w:val="center"/>
              <w:rPr>
                <w:rFonts w:ascii="宋体" w:cs="宋体"/>
                <w:color w:val="auto"/>
                <w:sz w:val="24"/>
                <w:highlight w:val="none"/>
              </w:rPr>
            </w:pPr>
            <w:r>
              <w:rPr>
                <w:rFonts w:hint="eastAsia" w:ascii="宋体" w:cs="宋体"/>
                <w:color w:val="auto"/>
                <w:sz w:val="24"/>
                <w:highlight w:val="none"/>
              </w:rPr>
              <w:t>采购需求</w:t>
            </w:r>
          </w:p>
        </w:tc>
        <w:tc>
          <w:tcPr>
            <w:tcW w:w="6737" w:type="dxa"/>
            <w:vAlign w:val="center"/>
          </w:tcPr>
          <w:p w14:paraId="70F15DE8">
            <w:pPr>
              <w:spacing w:line="360" w:lineRule="auto"/>
              <w:rPr>
                <w:rFonts w:hint="eastAsia" w:ascii="宋体" w:hAnsi="宋体" w:cs="宋体"/>
                <w:color w:val="auto"/>
                <w:sz w:val="24"/>
                <w:szCs w:val="24"/>
                <w:highlight w:val="none"/>
                <w:lang w:val="en-US" w:eastAsia="zh-CN"/>
              </w:rPr>
            </w:pPr>
            <w:r>
              <w:rPr>
                <w:rFonts w:hint="eastAsia" w:ascii="宋体" w:cs="宋体"/>
                <w:color w:val="auto"/>
                <w:sz w:val="24"/>
                <w:highlight w:val="none"/>
                <w:lang w:val="en-US" w:eastAsia="zh-CN"/>
              </w:rPr>
              <w:t xml:space="preserve"> 购买酒精检测仪，详见竞争性磋商文件。 </w:t>
            </w:r>
            <w:r>
              <w:rPr>
                <w:rFonts w:hint="eastAsia" w:ascii="宋体" w:hAnsi="宋体" w:cs="宋体"/>
                <w:color w:val="auto"/>
                <w:sz w:val="24"/>
                <w:szCs w:val="24"/>
                <w:highlight w:val="none"/>
                <w:lang w:val="en-US" w:eastAsia="zh-CN"/>
              </w:rPr>
              <w:t xml:space="preserve"> </w:t>
            </w:r>
          </w:p>
          <w:p w14:paraId="0B1443ED">
            <w:pPr>
              <w:spacing w:line="360" w:lineRule="auto"/>
              <w:rPr>
                <w:rFonts w:hint="eastAsia" w:ascii="宋体" w:eastAsia="宋体" w:cs="宋体"/>
                <w:color w:val="auto"/>
                <w:highlight w:val="none"/>
                <w:shd w:val="clear" w:color="auto" w:fill="FFFFFF"/>
                <w:lang w:val="en-US" w:eastAsia="zh-CN"/>
              </w:rPr>
            </w:pPr>
            <w:r>
              <w:rPr>
                <w:rFonts w:hint="eastAsia" w:ascii="宋体" w:hAnsi="宋体" w:cs="宋体"/>
                <w:color w:val="auto"/>
                <w:sz w:val="24"/>
                <w:highlight w:val="none"/>
              </w:rPr>
              <w:t>（详见竞争性磋商文件）</w:t>
            </w:r>
            <w:r>
              <w:rPr>
                <w:rFonts w:hint="eastAsia" w:ascii="宋体" w:hAnsi="宋体" w:cs="宋体"/>
                <w:color w:val="auto"/>
                <w:sz w:val="24"/>
                <w:highlight w:val="none"/>
                <w:lang w:eastAsia="zh-CN"/>
              </w:rPr>
              <w:t>。</w:t>
            </w:r>
          </w:p>
        </w:tc>
      </w:tr>
      <w:tr w14:paraId="79BD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975" w:type="dxa"/>
            <w:vAlign w:val="center"/>
          </w:tcPr>
          <w:p w14:paraId="78F6E09E">
            <w:pPr>
              <w:rPr>
                <w:rFonts w:ascii="宋体" w:cs="宋体"/>
                <w:color w:val="auto"/>
                <w:sz w:val="24"/>
              </w:rPr>
            </w:pPr>
            <w:r>
              <w:rPr>
                <w:rFonts w:hint="eastAsia" w:ascii="宋体" w:cs="宋体"/>
                <w:color w:val="auto"/>
                <w:sz w:val="24"/>
              </w:rPr>
              <w:t>1.3.2</w:t>
            </w:r>
          </w:p>
        </w:tc>
        <w:tc>
          <w:tcPr>
            <w:tcW w:w="2147" w:type="dxa"/>
            <w:vAlign w:val="center"/>
          </w:tcPr>
          <w:p w14:paraId="0FB80C9D">
            <w:pPr>
              <w:rPr>
                <w:rFonts w:ascii="宋体" w:cs="宋体"/>
                <w:color w:val="auto"/>
                <w:sz w:val="24"/>
                <w:highlight w:val="none"/>
              </w:rPr>
            </w:pPr>
            <w:r>
              <w:rPr>
                <w:rFonts w:hint="eastAsia" w:ascii="宋体" w:cs="宋体"/>
                <w:color w:val="auto"/>
                <w:sz w:val="24"/>
                <w:highlight w:val="none"/>
              </w:rPr>
              <w:t>合同履行期限</w:t>
            </w:r>
          </w:p>
        </w:tc>
        <w:tc>
          <w:tcPr>
            <w:tcW w:w="6737" w:type="dxa"/>
            <w:vAlign w:val="center"/>
          </w:tcPr>
          <w:p w14:paraId="49EAA781">
            <w:pPr>
              <w:rPr>
                <w:rFonts w:ascii="宋体" w:cs="宋体"/>
                <w:bCs/>
                <w:color w:val="auto"/>
                <w:sz w:val="24"/>
                <w:highlight w:val="none"/>
              </w:rPr>
            </w:pPr>
            <w:r>
              <w:rPr>
                <w:rFonts w:hint="eastAsia" w:ascii="宋体" w:cs="宋体"/>
                <w:bCs/>
                <w:color w:val="auto"/>
                <w:sz w:val="24"/>
                <w:highlight w:val="none"/>
              </w:rPr>
              <w:t>采购合同签订之日</w:t>
            </w:r>
            <w:r>
              <w:rPr>
                <w:rFonts w:hint="eastAsia" w:ascii="宋体" w:cs="宋体"/>
                <w:bCs/>
                <w:color w:val="auto"/>
                <w:sz w:val="24"/>
                <w:highlight w:val="none"/>
                <w:lang w:val="en-US" w:eastAsia="zh-CN"/>
              </w:rPr>
              <w:t>起15</w:t>
            </w:r>
            <w:r>
              <w:rPr>
                <w:rFonts w:hint="eastAsia" w:ascii="宋体" w:cs="宋体"/>
                <w:bCs/>
                <w:color w:val="auto"/>
                <w:sz w:val="24"/>
                <w:highlight w:val="none"/>
              </w:rPr>
              <w:t>天内</w:t>
            </w:r>
            <w:r>
              <w:rPr>
                <w:rFonts w:hint="eastAsia" w:ascii="宋体" w:cs="宋体"/>
                <w:bCs/>
                <w:color w:val="auto"/>
                <w:sz w:val="24"/>
                <w:highlight w:val="none"/>
                <w:lang w:val="en-US" w:eastAsia="zh-CN"/>
              </w:rPr>
              <w:t>完成供货</w:t>
            </w:r>
          </w:p>
        </w:tc>
      </w:tr>
      <w:tr w14:paraId="27B1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975" w:type="dxa"/>
            <w:vAlign w:val="center"/>
          </w:tcPr>
          <w:p w14:paraId="2643F6F5">
            <w:pPr>
              <w:rPr>
                <w:rFonts w:ascii="宋体" w:cs="宋体"/>
                <w:color w:val="auto"/>
                <w:sz w:val="24"/>
              </w:rPr>
            </w:pPr>
            <w:r>
              <w:rPr>
                <w:rFonts w:hint="eastAsia" w:ascii="宋体" w:cs="宋体"/>
                <w:color w:val="auto"/>
                <w:sz w:val="24"/>
              </w:rPr>
              <w:t>1.3.3</w:t>
            </w:r>
          </w:p>
        </w:tc>
        <w:tc>
          <w:tcPr>
            <w:tcW w:w="2147" w:type="dxa"/>
            <w:vAlign w:val="center"/>
          </w:tcPr>
          <w:p w14:paraId="62936181">
            <w:pPr>
              <w:rPr>
                <w:rFonts w:ascii="宋体" w:cs="宋体"/>
                <w:color w:val="auto"/>
                <w:sz w:val="24"/>
              </w:rPr>
            </w:pPr>
            <w:r>
              <w:rPr>
                <w:rFonts w:hint="eastAsia" w:ascii="宋体" w:cs="宋体"/>
                <w:color w:val="auto"/>
                <w:sz w:val="24"/>
              </w:rPr>
              <w:t>质量标准</w:t>
            </w:r>
          </w:p>
        </w:tc>
        <w:tc>
          <w:tcPr>
            <w:tcW w:w="6737" w:type="dxa"/>
            <w:vAlign w:val="center"/>
          </w:tcPr>
          <w:p w14:paraId="6C2A881C">
            <w:pPr>
              <w:rPr>
                <w:rFonts w:ascii="宋体" w:cs="宋体"/>
                <w:color w:val="auto"/>
                <w:sz w:val="24"/>
              </w:rPr>
            </w:pPr>
            <w:r>
              <w:rPr>
                <w:rFonts w:hint="eastAsia" w:ascii="宋体" w:hAnsi="宋体" w:cs="宋体"/>
                <w:bCs/>
                <w:color w:val="auto"/>
                <w:kern w:val="0"/>
                <w:sz w:val="24"/>
              </w:rPr>
              <w:t>执行的国家相关标准、行业标准、地方标准或者企业标准</w:t>
            </w:r>
          </w:p>
        </w:tc>
      </w:tr>
      <w:tr w14:paraId="5FEB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75" w:type="dxa"/>
            <w:vAlign w:val="center"/>
          </w:tcPr>
          <w:p w14:paraId="5B90F086">
            <w:pPr>
              <w:rPr>
                <w:rFonts w:ascii="宋体" w:cs="宋体"/>
                <w:color w:val="auto"/>
                <w:sz w:val="24"/>
              </w:rPr>
            </w:pPr>
            <w:r>
              <w:rPr>
                <w:rFonts w:hint="eastAsia" w:ascii="宋体" w:cs="宋体"/>
                <w:color w:val="auto"/>
                <w:sz w:val="24"/>
              </w:rPr>
              <w:t>1.4.1</w:t>
            </w:r>
          </w:p>
        </w:tc>
        <w:tc>
          <w:tcPr>
            <w:tcW w:w="2147" w:type="dxa"/>
            <w:vAlign w:val="center"/>
          </w:tcPr>
          <w:p w14:paraId="451B1341">
            <w:pPr>
              <w:rPr>
                <w:rFonts w:ascii="宋体" w:cs="宋体"/>
                <w:color w:val="auto"/>
                <w:sz w:val="24"/>
              </w:rPr>
            </w:pPr>
            <w:r>
              <w:rPr>
                <w:rFonts w:hint="eastAsia" w:ascii="宋体" w:cs="宋体"/>
                <w:color w:val="auto"/>
                <w:sz w:val="24"/>
              </w:rPr>
              <w:t>供应商资质条件、能力和信誉</w:t>
            </w:r>
          </w:p>
        </w:tc>
        <w:tc>
          <w:tcPr>
            <w:tcW w:w="6737" w:type="dxa"/>
            <w:vAlign w:val="center"/>
          </w:tcPr>
          <w:p w14:paraId="64AEB3F4">
            <w:pPr>
              <w:ind w:firstLine="480" w:firstLineChars="200"/>
              <w:rPr>
                <w:rFonts w:ascii="宋体" w:cs="宋体"/>
                <w:color w:val="auto"/>
                <w:sz w:val="24"/>
              </w:rPr>
            </w:pPr>
            <w:r>
              <w:rPr>
                <w:rFonts w:hint="eastAsia" w:ascii="宋体" w:cs="宋体"/>
                <w:color w:val="auto"/>
                <w:sz w:val="24"/>
              </w:rPr>
              <w:t>1、满足《中华人民共和国政府采购法》第二十二条规定；</w:t>
            </w:r>
          </w:p>
          <w:p w14:paraId="492EE05B">
            <w:pPr>
              <w:spacing w:line="360" w:lineRule="auto"/>
              <w:ind w:firstLine="480" w:firstLineChars="200"/>
              <w:rPr>
                <w:rFonts w:ascii="宋体" w:cs="宋体"/>
                <w:color w:val="auto"/>
                <w:sz w:val="24"/>
              </w:rPr>
            </w:pPr>
            <w:r>
              <w:rPr>
                <w:rFonts w:hint="eastAsia" w:ascii="宋体" w:cs="宋体"/>
                <w:color w:val="auto"/>
                <w:sz w:val="24"/>
              </w:rPr>
              <w:t>2、落实政府采购政策需满足的资格要求：本项目为专门面向中小企业采购项目,供应商应为中小微企业或监狱企业或残疾人福利性单位。</w:t>
            </w:r>
          </w:p>
          <w:p w14:paraId="69BFBFCA">
            <w:pPr>
              <w:spacing w:line="360" w:lineRule="auto"/>
              <w:ind w:firstLine="480" w:firstLineChars="200"/>
              <w:rPr>
                <w:rFonts w:ascii="宋体" w:cs="宋体"/>
                <w:color w:val="auto"/>
                <w:sz w:val="24"/>
              </w:rPr>
            </w:pPr>
            <w:r>
              <w:rPr>
                <w:rFonts w:hint="eastAsia" w:ascii="宋体" w:cs="宋体"/>
                <w:color w:val="auto"/>
                <w:sz w:val="24"/>
              </w:rPr>
              <w:t>（1）供应商提供的服务应符合《政府采购促进中小企业发展管理办法》(财库〔2020〕46号) 第四条规定的情形，且应当提供《政府采购促进中小企业发展管理办法》(财库〔2020〕46号)规定的《中小企业声明函》，格式见竞争性磋商文件相关附件。</w:t>
            </w:r>
          </w:p>
          <w:p w14:paraId="664CED38">
            <w:pPr>
              <w:spacing w:line="360" w:lineRule="auto"/>
              <w:ind w:firstLine="480" w:firstLineChars="200"/>
              <w:rPr>
                <w:rFonts w:ascii="宋体" w:cs="宋体"/>
                <w:color w:val="auto"/>
                <w:sz w:val="24"/>
              </w:rPr>
            </w:pPr>
            <w:r>
              <w:rPr>
                <w:rFonts w:hint="eastAsia" w:ascii="宋体" w:cs="宋体"/>
                <w:color w:val="auto"/>
                <w:sz w:val="24"/>
              </w:rPr>
              <w:t>（2）供应商为监狱企业的视同小型和微型企业，可不提供上述（1）材料，但应当提供由省级以上监狱管理局、戒毒管理局(含新疆生产建设兵团)出具的属于监狱企业的证明文件。</w:t>
            </w:r>
          </w:p>
          <w:p w14:paraId="78198A0D">
            <w:pPr>
              <w:spacing w:line="360" w:lineRule="auto"/>
              <w:ind w:firstLine="480" w:firstLineChars="200"/>
              <w:rPr>
                <w:rFonts w:ascii="宋体" w:cs="宋体"/>
                <w:color w:val="auto"/>
                <w:sz w:val="24"/>
              </w:rPr>
            </w:pPr>
            <w:r>
              <w:rPr>
                <w:rFonts w:hint="eastAsia" w:ascii="宋体" w:cs="宋体"/>
                <w:color w:val="auto"/>
                <w:sz w:val="24"/>
              </w:rPr>
              <w:t>（3）供应商为残疾人福利性单位的视同小型和微型企业，可不提供上述（1）材料，但应当提供《残疾人福利性单位声明函》，格式见第六章《磋商响应文件构成及格式》。</w:t>
            </w:r>
          </w:p>
          <w:p w14:paraId="36CB6E66">
            <w:pPr>
              <w:ind w:firstLine="480" w:firstLineChars="200"/>
              <w:rPr>
                <w:rFonts w:ascii="宋体" w:cs="宋体"/>
                <w:color w:val="auto"/>
                <w:sz w:val="24"/>
              </w:rPr>
            </w:pPr>
            <w:r>
              <w:rPr>
                <w:rFonts w:hint="eastAsia" w:ascii="宋体" w:cs="宋体"/>
                <w:color w:val="auto"/>
                <w:sz w:val="24"/>
              </w:rPr>
              <w:t>（4）本项目采购标的对应的企业划分标准所属行业为</w:t>
            </w:r>
            <w:r>
              <w:rPr>
                <w:rFonts w:hint="eastAsia" w:ascii="宋体" w:cs="宋体"/>
                <w:color w:val="auto"/>
                <w:sz w:val="24"/>
                <w:lang w:val="en-US" w:eastAsia="zh-CN"/>
              </w:rPr>
              <w:t>制造业</w:t>
            </w:r>
            <w:r>
              <w:rPr>
                <w:rFonts w:hint="eastAsia" w:ascii="宋体" w:cs="宋体"/>
                <w:color w:val="auto"/>
                <w:sz w:val="24"/>
              </w:rPr>
              <w:t>。</w:t>
            </w:r>
          </w:p>
          <w:p w14:paraId="14B9DA2A">
            <w:pPr>
              <w:ind w:firstLine="480" w:firstLineChars="200"/>
              <w:rPr>
                <w:rFonts w:ascii="宋体" w:cs="宋体"/>
                <w:color w:val="auto"/>
                <w:sz w:val="24"/>
              </w:rPr>
            </w:pPr>
            <w:r>
              <w:rPr>
                <w:rFonts w:hint="eastAsia" w:ascii="宋体" w:cs="宋体"/>
                <w:color w:val="auto"/>
                <w:sz w:val="24"/>
              </w:rPr>
              <w:t>3、本项目的特定资格要求：</w:t>
            </w:r>
          </w:p>
          <w:p w14:paraId="0EEDFEAA">
            <w:pPr>
              <w:spacing w:line="360" w:lineRule="auto"/>
              <w:ind w:firstLine="480" w:firstLineChars="200"/>
              <w:rPr>
                <w:rFonts w:ascii="宋体" w:cs="宋体"/>
                <w:color w:val="auto"/>
                <w:sz w:val="24"/>
              </w:rPr>
            </w:pPr>
            <w:r>
              <w:rPr>
                <w:rFonts w:hint="eastAsia" w:ascii="宋体" w:cs="宋体"/>
                <w:color w:val="auto"/>
                <w:sz w:val="24"/>
              </w:rPr>
              <w:t>（1）供应商必须具有独立法人资格，并在人员、设备、资金等方面具有相应的能力；</w:t>
            </w:r>
          </w:p>
          <w:p w14:paraId="6E58DED3">
            <w:pPr>
              <w:spacing w:line="360" w:lineRule="auto"/>
              <w:ind w:firstLine="480" w:firstLineChars="200"/>
              <w:rPr>
                <w:rFonts w:ascii="宋体" w:cs="宋体"/>
                <w:color w:val="auto"/>
                <w:sz w:val="24"/>
                <w:lang w:val="zh-CN"/>
              </w:rPr>
            </w:pPr>
            <w:r>
              <w:rPr>
                <w:rFonts w:hint="eastAsia" w:ascii="宋体" w:cs="宋体"/>
                <w:color w:val="auto"/>
                <w:sz w:val="24"/>
                <w:lang w:val="zh-CN"/>
              </w:rPr>
              <w:t>（</w:t>
            </w:r>
            <w:r>
              <w:rPr>
                <w:rFonts w:hint="eastAsia" w:ascii="宋体" w:cs="宋体"/>
                <w:color w:val="auto"/>
                <w:sz w:val="24"/>
              </w:rPr>
              <w:t>2</w:t>
            </w:r>
            <w:r>
              <w:rPr>
                <w:rFonts w:hint="eastAsia" w:ascii="宋体" w:cs="宋体"/>
                <w:color w:val="auto"/>
                <w:sz w:val="24"/>
                <w:lang w:val="zh-CN"/>
              </w:rPr>
              <w:t>）供应商参加采购活动应当依据长财采购【2022】2066号文件规定提交反映其财务状况、依法缴纳税收和社会保障资金情况的资格条件承诺函；</w:t>
            </w:r>
          </w:p>
          <w:p w14:paraId="1E3BDEF2">
            <w:pPr>
              <w:spacing w:line="360" w:lineRule="auto"/>
              <w:ind w:firstLine="480" w:firstLineChars="200"/>
              <w:rPr>
                <w:rFonts w:ascii="宋体" w:cs="宋体"/>
                <w:color w:val="auto"/>
                <w:sz w:val="24"/>
              </w:rPr>
            </w:pPr>
            <w:r>
              <w:rPr>
                <w:rFonts w:hint="eastAsia" w:ascii="宋体" w:cs="宋体"/>
                <w:color w:val="auto"/>
                <w:sz w:val="24"/>
              </w:rPr>
              <w:t>（3）不接受被政府列入取消投标资格期限内的企业或个人参加投标。参加政府采购活动前3年内在经营活动中没有重大违法记录（注：重大违法记录，是指供应商因违法经营</w:t>
            </w:r>
            <w:r>
              <w:rPr>
                <w:rFonts w:ascii="宋体" w:cs="宋体"/>
                <w:color w:val="auto"/>
                <w:sz w:val="24"/>
              </w:rPr>
              <w:t>6</w:t>
            </w:r>
            <w:r>
              <w:rPr>
                <w:rFonts w:hint="eastAsia" w:ascii="宋体" w:cs="宋体"/>
                <w:color w:val="auto"/>
                <w:sz w:val="24"/>
              </w:rPr>
              <w:t>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6F5A9C1">
            <w:pPr>
              <w:spacing w:line="360" w:lineRule="auto"/>
              <w:ind w:firstLine="480" w:firstLineChars="200"/>
              <w:rPr>
                <w:rFonts w:ascii="宋体" w:cs="宋体"/>
                <w:color w:val="auto"/>
                <w:sz w:val="24"/>
              </w:rPr>
            </w:pPr>
            <w:r>
              <w:rPr>
                <w:rFonts w:hint="eastAsia" w:ascii="宋体" w:cs="宋体"/>
                <w:color w:val="auto"/>
                <w:sz w:val="24"/>
              </w:rPr>
              <w:t>（4）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2433DC22">
            <w:pPr>
              <w:spacing w:line="360" w:lineRule="auto"/>
              <w:ind w:firstLine="480" w:firstLineChars="200"/>
              <w:rPr>
                <w:rFonts w:ascii="宋体" w:cs="宋体"/>
                <w:color w:val="auto"/>
                <w:sz w:val="24"/>
              </w:rPr>
            </w:pPr>
            <w:r>
              <w:rPr>
                <w:rFonts w:hint="eastAsia" w:ascii="宋体" w:cs="宋体"/>
                <w:color w:val="auto"/>
                <w:sz w:val="24"/>
              </w:rPr>
              <w:t>（5）供应商需提供企业无行贿犯罪记录证明，供应商自行登录中国裁判文书网（http://wenshu.court.gov.cn./）查询官网截图。</w:t>
            </w:r>
          </w:p>
          <w:p w14:paraId="3810FE2D">
            <w:pPr>
              <w:ind w:firstLine="480" w:firstLineChars="200"/>
              <w:rPr>
                <w:color w:val="auto"/>
              </w:rPr>
            </w:pPr>
            <w:r>
              <w:rPr>
                <w:rFonts w:hint="eastAsia" w:ascii="宋体" w:cs="宋体"/>
                <w:color w:val="auto"/>
                <w:sz w:val="24"/>
              </w:rPr>
              <w:t>（6）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tc>
      </w:tr>
      <w:tr w14:paraId="3C93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75" w:type="dxa"/>
            <w:vAlign w:val="center"/>
          </w:tcPr>
          <w:p w14:paraId="3235B8CB">
            <w:pPr>
              <w:rPr>
                <w:rFonts w:ascii="宋体" w:cs="宋体"/>
                <w:color w:val="auto"/>
                <w:sz w:val="24"/>
              </w:rPr>
            </w:pPr>
            <w:r>
              <w:rPr>
                <w:rFonts w:hint="eastAsia" w:ascii="宋体" w:cs="宋体"/>
                <w:color w:val="auto"/>
                <w:sz w:val="24"/>
              </w:rPr>
              <w:t>1.4.2</w:t>
            </w:r>
          </w:p>
        </w:tc>
        <w:tc>
          <w:tcPr>
            <w:tcW w:w="2147" w:type="dxa"/>
            <w:vAlign w:val="center"/>
          </w:tcPr>
          <w:p w14:paraId="1734C5D4">
            <w:pPr>
              <w:rPr>
                <w:rFonts w:ascii="宋体" w:cs="宋体"/>
                <w:color w:val="auto"/>
                <w:sz w:val="24"/>
              </w:rPr>
            </w:pPr>
            <w:r>
              <w:rPr>
                <w:rFonts w:hint="eastAsia" w:ascii="宋体" w:cs="宋体"/>
                <w:color w:val="auto"/>
                <w:sz w:val="24"/>
              </w:rPr>
              <w:t>是否接受联合体参加</w:t>
            </w:r>
          </w:p>
        </w:tc>
        <w:tc>
          <w:tcPr>
            <w:tcW w:w="6737" w:type="dxa"/>
            <w:vAlign w:val="center"/>
          </w:tcPr>
          <w:p w14:paraId="05AE1091">
            <w:pPr>
              <w:rPr>
                <w:rFonts w:ascii="宋体" w:cs="宋体"/>
                <w:color w:val="auto"/>
                <w:sz w:val="24"/>
              </w:rPr>
            </w:pPr>
            <w:r>
              <w:rPr>
                <w:rFonts w:hint="eastAsia" w:ascii="宋体" w:cs="宋体"/>
                <w:color w:val="auto"/>
                <w:sz w:val="24"/>
              </w:rPr>
              <w:t xml:space="preserve">口接受 </w:t>
            </w: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不接受</w:t>
            </w:r>
          </w:p>
        </w:tc>
      </w:tr>
      <w:tr w14:paraId="7E14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jc w:val="center"/>
        </w:trPr>
        <w:tc>
          <w:tcPr>
            <w:tcW w:w="975" w:type="dxa"/>
            <w:vAlign w:val="center"/>
          </w:tcPr>
          <w:p w14:paraId="222E11BD">
            <w:pPr>
              <w:rPr>
                <w:rFonts w:ascii="宋体" w:cs="宋体"/>
                <w:color w:val="auto"/>
                <w:sz w:val="24"/>
              </w:rPr>
            </w:pPr>
            <w:r>
              <w:rPr>
                <w:rFonts w:hint="eastAsia" w:ascii="宋体" w:cs="宋体"/>
                <w:color w:val="auto"/>
                <w:sz w:val="24"/>
              </w:rPr>
              <w:t>1.5.1</w:t>
            </w:r>
          </w:p>
        </w:tc>
        <w:tc>
          <w:tcPr>
            <w:tcW w:w="2147" w:type="dxa"/>
            <w:vAlign w:val="center"/>
          </w:tcPr>
          <w:p w14:paraId="0E0E54AD">
            <w:pPr>
              <w:rPr>
                <w:rFonts w:ascii="宋体" w:cs="宋体"/>
                <w:color w:val="auto"/>
                <w:sz w:val="24"/>
              </w:rPr>
            </w:pPr>
            <w:r>
              <w:rPr>
                <w:rFonts w:hint="eastAsia" w:ascii="宋体" w:cs="宋体"/>
                <w:color w:val="auto"/>
                <w:sz w:val="24"/>
              </w:rPr>
              <w:t>踏勘现场</w:t>
            </w:r>
          </w:p>
        </w:tc>
        <w:tc>
          <w:tcPr>
            <w:tcW w:w="6737" w:type="dxa"/>
            <w:vAlign w:val="center"/>
          </w:tcPr>
          <w:p w14:paraId="336DD59C">
            <w:pPr>
              <w:rPr>
                <w:rFonts w:ascii="宋体" w:cs="宋体"/>
                <w:color w:val="auto"/>
                <w:sz w:val="24"/>
              </w:rPr>
            </w:pPr>
            <w:r>
              <w:rPr>
                <w:rFonts w:hint="eastAsia" w:ascii="宋体" w:cs="宋体"/>
                <w:color w:val="auto"/>
                <w:sz w:val="24"/>
              </w:rPr>
              <w:t>不组织</w:t>
            </w:r>
          </w:p>
        </w:tc>
      </w:tr>
      <w:tr w14:paraId="5386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975" w:type="dxa"/>
            <w:vAlign w:val="center"/>
          </w:tcPr>
          <w:p w14:paraId="181EEBE2">
            <w:pPr>
              <w:rPr>
                <w:rFonts w:ascii="宋体" w:cs="宋体"/>
                <w:color w:val="auto"/>
                <w:sz w:val="24"/>
              </w:rPr>
            </w:pPr>
            <w:r>
              <w:rPr>
                <w:rFonts w:hint="eastAsia" w:ascii="宋体" w:cs="宋体"/>
                <w:color w:val="auto"/>
                <w:sz w:val="24"/>
              </w:rPr>
              <w:t>1.6.1</w:t>
            </w:r>
          </w:p>
        </w:tc>
        <w:tc>
          <w:tcPr>
            <w:tcW w:w="2147" w:type="dxa"/>
            <w:vAlign w:val="center"/>
          </w:tcPr>
          <w:p w14:paraId="5D3F8D39">
            <w:pPr>
              <w:rPr>
                <w:rFonts w:ascii="宋体" w:cs="宋体"/>
                <w:color w:val="auto"/>
                <w:sz w:val="24"/>
              </w:rPr>
            </w:pPr>
            <w:r>
              <w:rPr>
                <w:rFonts w:hint="eastAsia" w:ascii="宋体" w:cs="宋体"/>
                <w:color w:val="auto"/>
                <w:sz w:val="24"/>
              </w:rPr>
              <w:t>会议前预备会</w:t>
            </w:r>
          </w:p>
        </w:tc>
        <w:tc>
          <w:tcPr>
            <w:tcW w:w="6737" w:type="dxa"/>
            <w:vAlign w:val="center"/>
          </w:tcPr>
          <w:p w14:paraId="4BE10181">
            <w:pPr>
              <w:rPr>
                <w:rFonts w:ascii="宋体" w:cs="宋体"/>
                <w:color w:val="auto"/>
                <w:sz w:val="24"/>
              </w:rPr>
            </w:pP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不召开，供应商可将问题以书面或邮件的方式发送给采购公司。</w:t>
            </w:r>
          </w:p>
        </w:tc>
      </w:tr>
      <w:tr w14:paraId="739C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75" w:type="dxa"/>
            <w:vAlign w:val="center"/>
          </w:tcPr>
          <w:p w14:paraId="4A7D1189">
            <w:pPr>
              <w:rPr>
                <w:rFonts w:ascii="宋体" w:cs="宋体"/>
                <w:color w:val="auto"/>
                <w:sz w:val="24"/>
              </w:rPr>
            </w:pPr>
            <w:r>
              <w:rPr>
                <w:rFonts w:hint="eastAsia" w:ascii="宋体" w:cs="宋体"/>
                <w:color w:val="auto"/>
                <w:sz w:val="24"/>
              </w:rPr>
              <w:t>1.6.2</w:t>
            </w:r>
          </w:p>
        </w:tc>
        <w:tc>
          <w:tcPr>
            <w:tcW w:w="2147" w:type="dxa"/>
            <w:vAlign w:val="center"/>
          </w:tcPr>
          <w:p w14:paraId="7E198663">
            <w:pPr>
              <w:rPr>
                <w:rFonts w:ascii="宋体" w:cs="宋体"/>
                <w:color w:val="auto"/>
                <w:sz w:val="24"/>
              </w:rPr>
            </w:pPr>
            <w:r>
              <w:rPr>
                <w:rFonts w:hint="eastAsia" w:ascii="宋体" w:cs="宋体"/>
                <w:color w:val="auto"/>
                <w:sz w:val="24"/>
              </w:rPr>
              <w:t>供应商提出问题的截止时间</w:t>
            </w:r>
          </w:p>
        </w:tc>
        <w:tc>
          <w:tcPr>
            <w:tcW w:w="6737" w:type="dxa"/>
            <w:vAlign w:val="center"/>
          </w:tcPr>
          <w:p w14:paraId="3CC2DA74">
            <w:pPr>
              <w:wordWrap w:val="0"/>
              <w:adjustRightInd w:val="0"/>
              <w:snapToGrid w:val="0"/>
              <w:spacing w:line="360" w:lineRule="exact"/>
              <w:rPr>
                <w:rFonts w:hint="eastAsia" w:ascii="宋体" w:hAnsi="宋体" w:cs="宋体"/>
                <w:color w:val="auto"/>
                <w:sz w:val="24"/>
                <w:szCs w:val="24"/>
              </w:rPr>
            </w:pPr>
            <w:r>
              <w:rPr>
                <w:rFonts w:hint="eastAsia" w:ascii="宋体" w:hAnsi="宋体" w:cs="宋体"/>
                <w:color w:val="auto"/>
                <w:sz w:val="24"/>
                <w:szCs w:val="24"/>
                <w:lang w:val="zh-CN"/>
              </w:rPr>
              <w:t>投标截止时间5天前</w:t>
            </w:r>
            <w:r>
              <w:rPr>
                <w:rFonts w:hint="eastAsia" w:ascii="宋体" w:hAnsi="宋体" w:cs="宋体"/>
                <w:color w:val="auto"/>
                <w:sz w:val="24"/>
                <w:szCs w:val="24"/>
              </w:rPr>
              <w:t xml:space="preserve"> </w:t>
            </w:r>
          </w:p>
          <w:p w14:paraId="73EDA8A1">
            <w:pPr>
              <w:wordWrap w:val="0"/>
              <w:adjustRightInd w:val="0"/>
              <w:snapToGrid w:val="0"/>
              <w:spacing w:line="360" w:lineRule="exact"/>
              <w:rPr>
                <w:rFonts w:hint="eastAsia" w:ascii="宋体" w:hAnsi="宋体" w:cs="宋体"/>
                <w:color w:val="auto"/>
                <w:sz w:val="24"/>
                <w:szCs w:val="24"/>
                <w:lang w:val="zh-CN"/>
              </w:rPr>
            </w:pPr>
            <w:r>
              <w:rPr>
                <w:rFonts w:hint="eastAsia" w:ascii="宋体" w:hAnsi="宋体" w:cs="宋体"/>
                <w:color w:val="auto"/>
                <w:sz w:val="24"/>
                <w:szCs w:val="24"/>
                <w:lang w:val="zh-CN"/>
              </w:rPr>
              <w:t>用A4纸打印，一式</w:t>
            </w:r>
            <w:r>
              <w:rPr>
                <w:rFonts w:hint="eastAsia" w:ascii="宋体" w:hAnsi="宋体" w:cs="宋体"/>
                <w:color w:val="auto"/>
                <w:sz w:val="24"/>
                <w:szCs w:val="24"/>
              </w:rPr>
              <w:t>三</w:t>
            </w:r>
            <w:r>
              <w:rPr>
                <w:rFonts w:hint="eastAsia" w:ascii="宋体" w:hAnsi="宋体" w:cs="宋体"/>
                <w:color w:val="auto"/>
                <w:sz w:val="24"/>
                <w:szCs w:val="24"/>
                <w:lang w:val="zh-CN"/>
              </w:rPr>
              <w:t>份，并加盖公章。</w:t>
            </w:r>
          </w:p>
          <w:p w14:paraId="0FB2BCC8">
            <w:pPr>
              <w:wordWrap w:val="0"/>
              <w:adjustRightInd w:val="0"/>
              <w:snapToGrid w:val="0"/>
              <w:spacing w:line="360" w:lineRule="exact"/>
              <w:rPr>
                <w:rFonts w:ascii="宋体" w:cs="宋体"/>
                <w:color w:val="auto"/>
                <w:sz w:val="24"/>
              </w:rPr>
            </w:pPr>
            <w:r>
              <w:rPr>
                <w:rFonts w:hint="eastAsia" w:ascii="宋体" w:hAnsi="宋体" w:cs="宋体"/>
                <w:color w:val="auto"/>
                <w:sz w:val="24"/>
                <w:szCs w:val="24"/>
                <w:lang w:val="zh-CN"/>
              </w:rPr>
              <w:t>若供应商未按规定提交投标疑问，则视为其无疑问。</w:t>
            </w:r>
            <w:r>
              <w:rPr>
                <w:rFonts w:hint="eastAsia" w:ascii="宋体" w:hAnsi="宋体" w:cs="宋体"/>
                <w:color w:val="auto"/>
                <w:sz w:val="24"/>
                <w:szCs w:val="24"/>
              </w:rPr>
              <w:t xml:space="preserve">   </w:t>
            </w:r>
          </w:p>
        </w:tc>
      </w:tr>
      <w:tr w14:paraId="5FAC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75" w:type="dxa"/>
            <w:vAlign w:val="center"/>
          </w:tcPr>
          <w:p w14:paraId="159BFFB9">
            <w:pPr>
              <w:rPr>
                <w:rFonts w:ascii="宋体" w:cs="宋体"/>
                <w:color w:val="auto"/>
                <w:sz w:val="24"/>
              </w:rPr>
            </w:pPr>
            <w:r>
              <w:rPr>
                <w:rFonts w:hint="eastAsia" w:ascii="宋体" w:cs="宋体"/>
                <w:color w:val="auto"/>
                <w:sz w:val="24"/>
              </w:rPr>
              <w:t>1.6.3</w:t>
            </w:r>
          </w:p>
        </w:tc>
        <w:tc>
          <w:tcPr>
            <w:tcW w:w="2147" w:type="dxa"/>
            <w:vAlign w:val="center"/>
          </w:tcPr>
          <w:p w14:paraId="2FFEB004">
            <w:pPr>
              <w:rPr>
                <w:rFonts w:ascii="宋体" w:cs="宋体"/>
                <w:color w:val="auto"/>
                <w:sz w:val="24"/>
              </w:rPr>
            </w:pPr>
            <w:r>
              <w:rPr>
                <w:rFonts w:hint="eastAsia" w:ascii="宋体" w:cs="宋体"/>
                <w:color w:val="auto"/>
                <w:sz w:val="24"/>
              </w:rPr>
              <w:t>采购人书面澄清的时间</w:t>
            </w:r>
          </w:p>
        </w:tc>
        <w:tc>
          <w:tcPr>
            <w:tcW w:w="6737" w:type="dxa"/>
            <w:vAlign w:val="center"/>
          </w:tcPr>
          <w:p w14:paraId="556ADD9D">
            <w:pPr>
              <w:rPr>
                <w:rFonts w:ascii="宋体" w:cs="宋体"/>
                <w:color w:val="auto"/>
                <w:sz w:val="24"/>
              </w:rPr>
            </w:pPr>
            <w:r>
              <w:rPr>
                <w:rFonts w:hint="eastAsia" w:ascii="宋体" w:cs="宋体"/>
                <w:color w:val="auto"/>
                <w:sz w:val="24"/>
              </w:rPr>
              <w:t>磋商响应文件递交截止时间前5天</w:t>
            </w:r>
          </w:p>
        </w:tc>
      </w:tr>
      <w:tr w14:paraId="113A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5" w:type="dxa"/>
            <w:vAlign w:val="center"/>
          </w:tcPr>
          <w:p w14:paraId="2DDB976C">
            <w:pPr>
              <w:rPr>
                <w:rFonts w:ascii="宋体" w:cs="宋体"/>
                <w:color w:val="auto"/>
                <w:sz w:val="24"/>
              </w:rPr>
            </w:pPr>
            <w:r>
              <w:rPr>
                <w:rFonts w:hint="eastAsia" w:ascii="宋体" w:cs="宋体"/>
                <w:color w:val="auto"/>
                <w:sz w:val="24"/>
              </w:rPr>
              <w:t>1.7.1</w:t>
            </w:r>
          </w:p>
        </w:tc>
        <w:tc>
          <w:tcPr>
            <w:tcW w:w="2147" w:type="dxa"/>
            <w:vAlign w:val="center"/>
          </w:tcPr>
          <w:p w14:paraId="46395942">
            <w:pPr>
              <w:rPr>
                <w:rFonts w:ascii="宋体" w:cs="宋体"/>
                <w:color w:val="auto"/>
                <w:sz w:val="24"/>
              </w:rPr>
            </w:pPr>
            <w:r>
              <w:rPr>
                <w:rFonts w:hint="eastAsia" w:ascii="宋体" w:cs="宋体"/>
                <w:color w:val="auto"/>
                <w:sz w:val="24"/>
              </w:rPr>
              <w:t>分  包</w:t>
            </w:r>
          </w:p>
        </w:tc>
        <w:tc>
          <w:tcPr>
            <w:tcW w:w="6737" w:type="dxa"/>
            <w:vAlign w:val="center"/>
          </w:tcPr>
          <w:p w14:paraId="68482220">
            <w:pPr>
              <w:rPr>
                <w:rFonts w:ascii="宋体" w:cs="宋体"/>
                <w:color w:val="auto"/>
                <w:sz w:val="24"/>
              </w:rPr>
            </w:pP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不允许</w:t>
            </w:r>
          </w:p>
        </w:tc>
      </w:tr>
      <w:tr w14:paraId="24C7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75" w:type="dxa"/>
            <w:vAlign w:val="center"/>
          </w:tcPr>
          <w:p w14:paraId="1FB23928">
            <w:pPr>
              <w:rPr>
                <w:rFonts w:ascii="宋体" w:cs="宋体"/>
                <w:color w:val="auto"/>
                <w:sz w:val="24"/>
              </w:rPr>
            </w:pPr>
            <w:r>
              <w:rPr>
                <w:rFonts w:hint="eastAsia" w:ascii="宋体" w:cs="宋体"/>
                <w:color w:val="auto"/>
                <w:sz w:val="24"/>
              </w:rPr>
              <w:t>1.8.1</w:t>
            </w:r>
          </w:p>
        </w:tc>
        <w:tc>
          <w:tcPr>
            <w:tcW w:w="2147" w:type="dxa"/>
            <w:vAlign w:val="center"/>
          </w:tcPr>
          <w:p w14:paraId="39E30C51">
            <w:pPr>
              <w:rPr>
                <w:rFonts w:ascii="宋体" w:cs="宋体"/>
                <w:color w:val="auto"/>
                <w:sz w:val="24"/>
              </w:rPr>
            </w:pPr>
            <w:r>
              <w:rPr>
                <w:rFonts w:hint="eastAsia" w:ascii="宋体" w:cs="宋体"/>
                <w:color w:val="auto"/>
                <w:sz w:val="24"/>
              </w:rPr>
              <w:t>偏  离</w:t>
            </w:r>
          </w:p>
        </w:tc>
        <w:tc>
          <w:tcPr>
            <w:tcW w:w="6737" w:type="dxa"/>
            <w:vAlign w:val="center"/>
          </w:tcPr>
          <w:p w14:paraId="4B7E0488">
            <w:pPr>
              <w:rPr>
                <w:rFonts w:ascii="宋体" w:cs="宋体"/>
                <w:color w:val="auto"/>
                <w:sz w:val="24"/>
              </w:rPr>
            </w:pP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不允许</w:t>
            </w:r>
          </w:p>
        </w:tc>
      </w:tr>
      <w:tr w14:paraId="5033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5" w:type="dxa"/>
            <w:vAlign w:val="center"/>
          </w:tcPr>
          <w:p w14:paraId="62724BA2">
            <w:pPr>
              <w:rPr>
                <w:rFonts w:ascii="宋体" w:cs="宋体"/>
                <w:color w:val="auto"/>
                <w:sz w:val="24"/>
              </w:rPr>
            </w:pPr>
            <w:r>
              <w:rPr>
                <w:rFonts w:hint="eastAsia" w:ascii="宋体" w:cs="宋体"/>
                <w:color w:val="auto"/>
                <w:sz w:val="24"/>
              </w:rPr>
              <w:t>2.1</w:t>
            </w:r>
          </w:p>
        </w:tc>
        <w:tc>
          <w:tcPr>
            <w:tcW w:w="2147" w:type="dxa"/>
            <w:vAlign w:val="center"/>
          </w:tcPr>
          <w:p w14:paraId="260DE601">
            <w:pPr>
              <w:rPr>
                <w:rFonts w:ascii="宋体" w:cs="宋体"/>
                <w:color w:val="auto"/>
                <w:sz w:val="24"/>
              </w:rPr>
            </w:pPr>
            <w:r>
              <w:rPr>
                <w:rFonts w:hint="eastAsia" w:ascii="宋体" w:cs="宋体"/>
                <w:color w:val="auto"/>
                <w:sz w:val="24"/>
              </w:rPr>
              <w:t>构成竞争性磋商文件的其他材料</w:t>
            </w:r>
          </w:p>
        </w:tc>
        <w:tc>
          <w:tcPr>
            <w:tcW w:w="6737" w:type="dxa"/>
            <w:vAlign w:val="center"/>
          </w:tcPr>
          <w:p w14:paraId="31E73FA7">
            <w:pPr>
              <w:rPr>
                <w:rFonts w:ascii="宋体" w:cs="宋体"/>
                <w:color w:val="auto"/>
                <w:sz w:val="24"/>
              </w:rPr>
            </w:pPr>
            <w:r>
              <w:rPr>
                <w:rFonts w:hint="eastAsia" w:ascii="宋体" w:cs="宋体"/>
                <w:color w:val="auto"/>
                <w:sz w:val="24"/>
              </w:rPr>
              <w:t xml:space="preserve"> 无</w:t>
            </w:r>
          </w:p>
        </w:tc>
      </w:tr>
      <w:tr w14:paraId="7858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5" w:type="dxa"/>
            <w:vAlign w:val="center"/>
          </w:tcPr>
          <w:p w14:paraId="1F75E4E6">
            <w:pPr>
              <w:rPr>
                <w:rFonts w:ascii="宋体" w:cs="宋体"/>
                <w:color w:val="auto"/>
                <w:sz w:val="24"/>
              </w:rPr>
            </w:pPr>
            <w:r>
              <w:rPr>
                <w:rFonts w:hint="eastAsia" w:ascii="宋体" w:cs="宋体"/>
                <w:color w:val="auto"/>
                <w:sz w:val="24"/>
              </w:rPr>
              <w:t>2.2.1</w:t>
            </w:r>
          </w:p>
        </w:tc>
        <w:tc>
          <w:tcPr>
            <w:tcW w:w="2147" w:type="dxa"/>
            <w:vAlign w:val="center"/>
          </w:tcPr>
          <w:p w14:paraId="6829AE18">
            <w:pPr>
              <w:rPr>
                <w:rFonts w:ascii="宋体" w:cs="宋体"/>
                <w:color w:val="auto"/>
                <w:sz w:val="24"/>
              </w:rPr>
            </w:pPr>
            <w:r>
              <w:rPr>
                <w:rFonts w:hint="eastAsia" w:ascii="宋体" w:cs="宋体"/>
                <w:color w:val="auto"/>
                <w:sz w:val="24"/>
              </w:rPr>
              <w:t>供应商要求澄清竞争性磋商文件的截止时间</w:t>
            </w:r>
          </w:p>
        </w:tc>
        <w:tc>
          <w:tcPr>
            <w:tcW w:w="6737" w:type="dxa"/>
            <w:vAlign w:val="center"/>
          </w:tcPr>
          <w:p w14:paraId="0A619C58">
            <w:pPr>
              <w:adjustRightInd w:val="0"/>
              <w:jc w:val="left"/>
              <w:rPr>
                <w:rFonts w:ascii="宋体" w:cs="宋体"/>
                <w:color w:val="auto"/>
                <w:sz w:val="24"/>
              </w:rPr>
            </w:pPr>
            <w:r>
              <w:rPr>
                <w:rFonts w:hint="eastAsia" w:ascii="宋体" w:cs="宋体"/>
                <w:color w:val="auto"/>
                <w:sz w:val="24"/>
              </w:rPr>
              <w:t>磋商响应文件递交截止时间前5天</w:t>
            </w:r>
          </w:p>
        </w:tc>
      </w:tr>
      <w:tr w14:paraId="1A71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75" w:type="dxa"/>
            <w:vAlign w:val="center"/>
          </w:tcPr>
          <w:p w14:paraId="7EF4451F">
            <w:pPr>
              <w:rPr>
                <w:rFonts w:ascii="宋体" w:cs="宋体"/>
                <w:color w:val="auto"/>
                <w:sz w:val="24"/>
              </w:rPr>
            </w:pPr>
            <w:r>
              <w:rPr>
                <w:rFonts w:hint="eastAsia" w:ascii="宋体" w:cs="宋体"/>
                <w:color w:val="auto"/>
                <w:sz w:val="24"/>
              </w:rPr>
              <w:t>2.2.2</w:t>
            </w:r>
          </w:p>
        </w:tc>
        <w:tc>
          <w:tcPr>
            <w:tcW w:w="2147" w:type="dxa"/>
            <w:vAlign w:val="center"/>
          </w:tcPr>
          <w:p w14:paraId="52B4E6F0">
            <w:pPr>
              <w:rPr>
                <w:rFonts w:ascii="宋体" w:cs="宋体"/>
                <w:color w:val="auto"/>
                <w:sz w:val="24"/>
                <w:highlight w:val="none"/>
              </w:rPr>
            </w:pPr>
            <w:r>
              <w:rPr>
                <w:rFonts w:hint="eastAsia" w:ascii="宋体" w:cs="宋体"/>
                <w:color w:val="auto"/>
                <w:sz w:val="24"/>
                <w:highlight w:val="none"/>
              </w:rPr>
              <w:t>递交磋商响应文件截止时间</w:t>
            </w:r>
          </w:p>
        </w:tc>
        <w:tc>
          <w:tcPr>
            <w:tcW w:w="6737" w:type="dxa"/>
            <w:vAlign w:val="center"/>
          </w:tcPr>
          <w:p w14:paraId="17968CCD">
            <w:pPr>
              <w:adjustRightInd w:val="0"/>
              <w:jc w:val="left"/>
              <w:rPr>
                <w:rFonts w:ascii="宋体" w:cs="宋体"/>
                <w:color w:val="auto"/>
                <w:sz w:val="24"/>
                <w:highlight w:val="none"/>
              </w:rPr>
            </w:pPr>
            <w:r>
              <w:rPr>
                <w:rFonts w:hint="eastAsia" w:ascii="宋体" w:cs="宋体"/>
                <w:color w:val="auto"/>
                <w:sz w:val="24"/>
                <w:highlight w:val="none"/>
                <w:u w:val="single"/>
              </w:rPr>
              <w:t>202</w:t>
            </w:r>
            <w:r>
              <w:rPr>
                <w:rFonts w:hint="eastAsia" w:ascii="宋体" w:cs="宋体"/>
                <w:color w:val="auto"/>
                <w:sz w:val="24"/>
                <w:highlight w:val="none"/>
                <w:u w:val="single"/>
                <w:lang w:val="en-US" w:eastAsia="zh-CN"/>
              </w:rPr>
              <w:t>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 xml:space="preserve"> 1</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 xml:space="preserve"> 7 </w:t>
            </w:r>
            <w:r>
              <w:rPr>
                <w:rFonts w:hint="eastAsia" w:ascii="宋体" w:cs="宋体"/>
                <w:color w:val="auto"/>
                <w:sz w:val="24"/>
                <w:highlight w:val="none"/>
                <w:u w:val="single"/>
              </w:rPr>
              <w:t>日</w:t>
            </w:r>
            <w:r>
              <w:rPr>
                <w:rFonts w:hint="eastAsia" w:ascii="宋体" w:cs="宋体"/>
                <w:color w:val="auto"/>
                <w:sz w:val="24"/>
                <w:highlight w:val="none"/>
                <w:u w:val="single"/>
                <w:lang w:val="en-US" w:eastAsia="zh-CN"/>
              </w:rPr>
              <w:t>14</w:t>
            </w:r>
            <w:r>
              <w:rPr>
                <w:rFonts w:hint="eastAsia" w:ascii="宋体" w:cs="宋体"/>
                <w:color w:val="auto"/>
                <w:sz w:val="24"/>
                <w:highlight w:val="none"/>
                <w:u w:val="single"/>
              </w:rPr>
              <w:t>时</w:t>
            </w:r>
            <w:r>
              <w:rPr>
                <w:rFonts w:hint="eastAsia" w:ascii="宋体" w:cs="宋体"/>
                <w:color w:val="auto"/>
                <w:sz w:val="24"/>
                <w:highlight w:val="none"/>
                <w:u w:val="single"/>
                <w:lang w:val="en-US" w:eastAsia="zh-CN"/>
              </w:rPr>
              <w:t>30</w:t>
            </w:r>
            <w:r>
              <w:rPr>
                <w:rFonts w:hint="eastAsia" w:ascii="宋体" w:cs="宋体"/>
                <w:color w:val="auto"/>
                <w:sz w:val="24"/>
                <w:highlight w:val="none"/>
                <w:u w:val="single"/>
              </w:rPr>
              <w:t>分</w:t>
            </w:r>
          </w:p>
        </w:tc>
      </w:tr>
      <w:tr w14:paraId="1FDB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5" w:type="dxa"/>
            <w:vAlign w:val="center"/>
          </w:tcPr>
          <w:p w14:paraId="436FAF75">
            <w:pPr>
              <w:rPr>
                <w:rFonts w:ascii="宋体" w:cs="宋体"/>
                <w:color w:val="auto"/>
                <w:sz w:val="24"/>
              </w:rPr>
            </w:pPr>
            <w:r>
              <w:rPr>
                <w:rFonts w:hint="eastAsia" w:ascii="宋体" w:cs="宋体"/>
                <w:color w:val="auto"/>
                <w:sz w:val="24"/>
              </w:rPr>
              <w:t>2.2.3</w:t>
            </w:r>
          </w:p>
        </w:tc>
        <w:tc>
          <w:tcPr>
            <w:tcW w:w="2147" w:type="dxa"/>
            <w:vAlign w:val="center"/>
          </w:tcPr>
          <w:p w14:paraId="755E4EE5">
            <w:pPr>
              <w:rPr>
                <w:rFonts w:ascii="宋体" w:cs="宋体"/>
                <w:color w:val="auto"/>
                <w:sz w:val="24"/>
              </w:rPr>
            </w:pPr>
            <w:r>
              <w:rPr>
                <w:rFonts w:hint="eastAsia" w:ascii="宋体" w:cs="宋体"/>
                <w:color w:val="auto"/>
                <w:sz w:val="24"/>
              </w:rPr>
              <w:t>供应商确认收到竞争性磋商文件澄清的时间</w:t>
            </w:r>
          </w:p>
        </w:tc>
        <w:tc>
          <w:tcPr>
            <w:tcW w:w="6737" w:type="dxa"/>
            <w:vAlign w:val="center"/>
          </w:tcPr>
          <w:p w14:paraId="30BA46CE">
            <w:pPr>
              <w:rPr>
                <w:rFonts w:ascii="宋体" w:cs="宋体"/>
                <w:color w:val="auto"/>
                <w:sz w:val="24"/>
                <w:u w:val="single"/>
              </w:rPr>
            </w:pPr>
            <w:r>
              <w:rPr>
                <w:rFonts w:hint="eastAsia" w:ascii="宋体" w:cs="宋体"/>
                <w:color w:val="auto"/>
                <w:sz w:val="24"/>
              </w:rPr>
              <w:t>在收到相应澄清文件后</w:t>
            </w:r>
            <w:r>
              <w:rPr>
                <w:rFonts w:hint="eastAsia" w:ascii="宋体" w:cs="宋体"/>
                <w:color w:val="auto"/>
                <w:sz w:val="24"/>
                <w:u w:val="single"/>
              </w:rPr>
              <w:t>24</w:t>
            </w:r>
            <w:r>
              <w:rPr>
                <w:rFonts w:hint="eastAsia" w:ascii="宋体" w:cs="宋体"/>
                <w:color w:val="auto"/>
                <w:sz w:val="24"/>
              </w:rPr>
              <w:t>小时内</w:t>
            </w:r>
          </w:p>
        </w:tc>
      </w:tr>
      <w:tr w14:paraId="4E90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75" w:type="dxa"/>
            <w:vAlign w:val="center"/>
          </w:tcPr>
          <w:p w14:paraId="3B283883">
            <w:pPr>
              <w:rPr>
                <w:rFonts w:ascii="宋体" w:cs="宋体"/>
                <w:color w:val="auto"/>
                <w:sz w:val="24"/>
              </w:rPr>
            </w:pPr>
            <w:r>
              <w:rPr>
                <w:rFonts w:hint="eastAsia" w:ascii="宋体" w:cs="宋体"/>
                <w:color w:val="auto"/>
                <w:sz w:val="24"/>
              </w:rPr>
              <w:t>2.3.1</w:t>
            </w:r>
          </w:p>
        </w:tc>
        <w:tc>
          <w:tcPr>
            <w:tcW w:w="2147" w:type="dxa"/>
            <w:vAlign w:val="center"/>
          </w:tcPr>
          <w:p w14:paraId="3B6582AA">
            <w:pPr>
              <w:rPr>
                <w:rFonts w:ascii="宋体" w:cs="宋体"/>
                <w:color w:val="auto"/>
                <w:sz w:val="24"/>
              </w:rPr>
            </w:pPr>
            <w:r>
              <w:rPr>
                <w:rFonts w:hint="eastAsia" w:ascii="宋体" w:cs="宋体"/>
                <w:color w:val="auto"/>
                <w:sz w:val="24"/>
              </w:rPr>
              <w:t>供应商确认收到竞争性磋商文件修改的时间</w:t>
            </w:r>
          </w:p>
        </w:tc>
        <w:tc>
          <w:tcPr>
            <w:tcW w:w="6737" w:type="dxa"/>
            <w:vAlign w:val="center"/>
          </w:tcPr>
          <w:p w14:paraId="296550B6">
            <w:pPr>
              <w:rPr>
                <w:rFonts w:ascii="宋体" w:cs="宋体"/>
                <w:color w:val="auto"/>
                <w:sz w:val="24"/>
              </w:rPr>
            </w:pPr>
            <w:r>
              <w:rPr>
                <w:rFonts w:hint="eastAsia" w:ascii="宋体" w:cs="宋体"/>
                <w:color w:val="auto"/>
                <w:sz w:val="24"/>
              </w:rPr>
              <w:t>在收到相应修改文件后</w:t>
            </w:r>
            <w:r>
              <w:rPr>
                <w:rFonts w:hint="eastAsia" w:ascii="宋体" w:cs="宋体"/>
                <w:color w:val="auto"/>
                <w:sz w:val="24"/>
                <w:u w:val="single"/>
              </w:rPr>
              <w:t>24</w:t>
            </w:r>
            <w:r>
              <w:rPr>
                <w:rFonts w:hint="eastAsia" w:ascii="宋体" w:cs="宋体"/>
                <w:color w:val="auto"/>
                <w:sz w:val="24"/>
              </w:rPr>
              <w:t>小时内</w:t>
            </w:r>
          </w:p>
        </w:tc>
      </w:tr>
      <w:tr w14:paraId="5ACF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75" w:type="dxa"/>
            <w:vAlign w:val="center"/>
          </w:tcPr>
          <w:p w14:paraId="5B6BF7DC">
            <w:pPr>
              <w:rPr>
                <w:rFonts w:ascii="宋体" w:cs="宋体"/>
                <w:color w:val="auto"/>
                <w:sz w:val="24"/>
              </w:rPr>
            </w:pPr>
            <w:r>
              <w:rPr>
                <w:rFonts w:hint="eastAsia" w:ascii="宋体" w:cs="宋体"/>
                <w:color w:val="auto"/>
                <w:sz w:val="24"/>
              </w:rPr>
              <w:t>3.3.1</w:t>
            </w:r>
          </w:p>
        </w:tc>
        <w:tc>
          <w:tcPr>
            <w:tcW w:w="2147" w:type="dxa"/>
            <w:vAlign w:val="center"/>
          </w:tcPr>
          <w:p w14:paraId="08D75CD2">
            <w:pPr>
              <w:rPr>
                <w:rFonts w:ascii="宋体" w:cs="宋体"/>
                <w:color w:val="auto"/>
                <w:sz w:val="24"/>
              </w:rPr>
            </w:pPr>
            <w:r>
              <w:rPr>
                <w:rFonts w:hint="eastAsia" w:ascii="宋体" w:cs="宋体"/>
                <w:color w:val="auto"/>
                <w:sz w:val="24"/>
              </w:rPr>
              <w:t>磋商响应有效期</w:t>
            </w:r>
          </w:p>
        </w:tc>
        <w:tc>
          <w:tcPr>
            <w:tcW w:w="6737" w:type="dxa"/>
            <w:vAlign w:val="center"/>
          </w:tcPr>
          <w:p w14:paraId="322BCBD8">
            <w:pPr>
              <w:rPr>
                <w:rFonts w:ascii="宋体" w:cs="宋体"/>
                <w:color w:val="auto"/>
                <w:sz w:val="24"/>
              </w:rPr>
            </w:pPr>
            <w:r>
              <w:rPr>
                <w:rFonts w:hint="eastAsia" w:ascii="宋体" w:cs="宋体"/>
                <w:color w:val="auto"/>
                <w:sz w:val="24"/>
              </w:rPr>
              <w:t>递交磋商响应文件截止之日起</w:t>
            </w:r>
            <w:r>
              <w:rPr>
                <w:rFonts w:hint="eastAsia" w:ascii="宋体" w:cs="宋体"/>
                <w:color w:val="auto"/>
                <w:sz w:val="24"/>
                <w:lang w:val="en-US" w:eastAsia="zh-CN"/>
              </w:rPr>
              <w:t>60</w:t>
            </w:r>
            <w:r>
              <w:rPr>
                <w:rFonts w:hint="eastAsia" w:ascii="宋体" w:cs="宋体"/>
                <w:color w:val="auto"/>
                <w:sz w:val="24"/>
              </w:rPr>
              <w:t>天（日历天）。</w:t>
            </w:r>
          </w:p>
        </w:tc>
      </w:tr>
      <w:tr w14:paraId="4BE5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75" w:type="dxa"/>
            <w:vAlign w:val="center"/>
          </w:tcPr>
          <w:p w14:paraId="0FB1D7F1">
            <w:pPr>
              <w:rPr>
                <w:rFonts w:ascii="宋体" w:cs="宋体"/>
                <w:color w:val="auto"/>
                <w:sz w:val="24"/>
              </w:rPr>
            </w:pPr>
            <w:r>
              <w:rPr>
                <w:rFonts w:hint="eastAsia" w:ascii="宋体" w:cs="宋体"/>
                <w:color w:val="auto"/>
                <w:sz w:val="24"/>
              </w:rPr>
              <w:t>3.4.1</w:t>
            </w:r>
          </w:p>
        </w:tc>
        <w:tc>
          <w:tcPr>
            <w:tcW w:w="2147" w:type="dxa"/>
            <w:vAlign w:val="center"/>
          </w:tcPr>
          <w:p w14:paraId="7B90356E">
            <w:pPr>
              <w:rPr>
                <w:rFonts w:ascii="宋体" w:cs="宋体"/>
                <w:color w:val="auto"/>
                <w:sz w:val="24"/>
              </w:rPr>
            </w:pPr>
            <w:r>
              <w:rPr>
                <w:rFonts w:hint="eastAsia" w:ascii="宋体" w:cs="宋体"/>
                <w:color w:val="auto"/>
                <w:sz w:val="24"/>
              </w:rPr>
              <w:t>磋商保证金</w:t>
            </w:r>
          </w:p>
        </w:tc>
        <w:tc>
          <w:tcPr>
            <w:tcW w:w="6737" w:type="dxa"/>
            <w:vAlign w:val="center"/>
          </w:tcPr>
          <w:p w14:paraId="630D0CC8">
            <w:pPr>
              <w:adjustRightInd w:val="0"/>
              <w:snapToGrid w:val="0"/>
              <w:spacing w:line="288" w:lineRule="auto"/>
              <w:rPr>
                <w:rFonts w:ascii="宋体" w:cs="宋体"/>
                <w:bCs/>
                <w:color w:val="auto"/>
                <w:kern w:val="15"/>
                <w:sz w:val="24"/>
              </w:rPr>
            </w:pPr>
            <w:r>
              <w:rPr>
                <w:rFonts w:hint="eastAsia" w:ascii="宋体" w:cs="宋体"/>
                <w:bCs/>
                <w:color w:val="auto"/>
                <w:kern w:val="15"/>
                <w:sz w:val="24"/>
              </w:rPr>
              <w:t>1、</w:t>
            </w:r>
            <w:r>
              <w:rPr>
                <w:rFonts w:hint="eastAsia" w:ascii="宋体" w:cs="宋体"/>
                <w:b/>
                <w:color w:val="auto"/>
                <w:kern w:val="15"/>
                <w:sz w:val="24"/>
              </w:rPr>
              <w:t>依据长财采购【2021】695号文件规定，对于诚信良好的供应商可免收磋商保证金</w:t>
            </w:r>
            <w:r>
              <w:rPr>
                <w:rFonts w:hint="eastAsia" w:ascii="宋体" w:cs="宋体"/>
                <w:bCs/>
                <w:color w:val="auto"/>
                <w:kern w:val="15"/>
                <w:sz w:val="24"/>
              </w:rPr>
              <w:t>；但对于满足《中华人民共和国政府采购法》第二十二条有关规定，经“信用中国”网站查询存在行政处罚信息的供应商，须按规定提交磋商保证金。</w:t>
            </w:r>
          </w:p>
          <w:p w14:paraId="3AAD6935">
            <w:pPr>
              <w:adjustRightInd w:val="0"/>
              <w:snapToGrid w:val="0"/>
              <w:spacing w:line="288" w:lineRule="auto"/>
              <w:rPr>
                <w:rFonts w:ascii="宋体" w:cs="宋体"/>
                <w:bCs/>
                <w:color w:val="auto"/>
                <w:kern w:val="15"/>
                <w:sz w:val="24"/>
              </w:rPr>
            </w:pPr>
            <w:r>
              <w:rPr>
                <w:rFonts w:hint="eastAsia" w:ascii="宋体" w:cs="宋体"/>
                <w:bCs/>
                <w:color w:val="auto"/>
                <w:kern w:val="15"/>
                <w:sz w:val="24"/>
              </w:rPr>
              <w:t>2、磋商保证金形式：磋商保证金应当以支票、汇票、本票或者金融机构、担保机构出具的保函等非现金形式提交或转账、电汇（转账、电汇须从供应商的基本账户转出）。供应商未按照竞争性磋商文件要求提交磋商保证金的，响应无效。</w:t>
            </w:r>
          </w:p>
          <w:p w14:paraId="4760725B">
            <w:pPr>
              <w:adjustRightInd w:val="0"/>
              <w:snapToGrid w:val="0"/>
              <w:spacing w:line="288" w:lineRule="auto"/>
              <w:rPr>
                <w:rFonts w:hint="eastAsia" w:ascii="宋体" w:eastAsia="宋体" w:cs="宋体"/>
                <w:color w:val="auto"/>
                <w:sz w:val="24"/>
                <w:lang w:eastAsia="zh-CN"/>
              </w:rPr>
            </w:pPr>
            <w:r>
              <w:rPr>
                <w:rFonts w:hint="eastAsia" w:ascii="宋体" w:cs="宋体"/>
                <w:bCs/>
                <w:color w:val="auto"/>
                <w:kern w:val="15"/>
                <w:sz w:val="24"/>
              </w:rPr>
              <w:t>3、递交时间和要求：应在开标前（银行到账时间，如遇开标前一日为休息日，顺应提前）将磋商保证金存入采购代理机构指定账户，银行进账单或电汇凭证等凭证上应明确用途、采购项目名称、供应商名称、联系人及电话，以便核对查实。供应商缴纳完磋商保证金后须将银行的存款回单复印件装入到响应文件中，否则响应文件无效；磋商保证金若以保函形式提交，开标前一个工作日将保函原件递交至采购代理机构，复印件装入到响应文件中，否则响应文件无效。磋商保证金的确认以最终到账日期为准。</w:t>
            </w:r>
          </w:p>
        </w:tc>
      </w:tr>
      <w:tr w14:paraId="03B4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5" w:type="dxa"/>
            <w:vAlign w:val="center"/>
          </w:tcPr>
          <w:p w14:paraId="402D9E80">
            <w:pPr>
              <w:rPr>
                <w:rFonts w:ascii="宋体" w:cs="宋体"/>
                <w:color w:val="auto"/>
                <w:sz w:val="24"/>
              </w:rPr>
            </w:pPr>
            <w:r>
              <w:rPr>
                <w:rFonts w:hint="eastAsia" w:ascii="宋体" w:cs="宋体"/>
                <w:color w:val="auto"/>
                <w:sz w:val="24"/>
              </w:rPr>
              <w:t>3.5.1</w:t>
            </w:r>
          </w:p>
        </w:tc>
        <w:tc>
          <w:tcPr>
            <w:tcW w:w="2147" w:type="dxa"/>
            <w:vAlign w:val="center"/>
          </w:tcPr>
          <w:p w14:paraId="1FC8D117">
            <w:pPr>
              <w:rPr>
                <w:rFonts w:ascii="宋体" w:cs="宋体"/>
                <w:color w:val="auto"/>
                <w:sz w:val="24"/>
              </w:rPr>
            </w:pPr>
            <w:r>
              <w:rPr>
                <w:rFonts w:hint="eastAsia" w:ascii="宋体" w:cs="宋体"/>
                <w:color w:val="auto"/>
                <w:sz w:val="24"/>
              </w:rPr>
              <w:t>是否允许递交备选磋商方案</w:t>
            </w:r>
          </w:p>
        </w:tc>
        <w:tc>
          <w:tcPr>
            <w:tcW w:w="6737" w:type="dxa"/>
            <w:vAlign w:val="center"/>
          </w:tcPr>
          <w:p w14:paraId="7AEE6786">
            <w:pPr>
              <w:rPr>
                <w:rFonts w:ascii="宋体" w:cs="宋体"/>
                <w:color w:val="auto"/>
                <w:sz w:val="24"/>
              </w:rPr>
            </w:pPr>
            <w:r>
              <w:rPr>
                <w:rFonts w:hint="eastAsia" w:ascii="宋体" w:cs="宋体"/>
                <w:color w:val="auto"/>
                <w:sz w:val="24"/>
              </w:rPr>
              <w:fldChar w:fldCharType="begin"/>
            </w:r>
            <w:r>
              <w:rPr>
                <w:rFonts w:hint="eastAsia" w:ascii="宋体" w:cs="宋体"/>
                <w:color w:val="auto"/>
                <w:sz w:val="24"/>
              </w:rPr>
              <w:instrText xml:space="preserve">eq \o\ac(□,√)</w:instrText>
            </w:r>
            <w:r>
              <w:rPr>
                <w:rFonts w:hint="eastAsia" w:ascii="宋体" w:cs="宋体"/>
                <w:color w:val="auto"/>
                <w:sz w:val="24"/>
              </w:rPr>
              <w:fldChar w:fldCharType="end"/>
            </w:r>
            <w:r>
              <w:rPr>
                <w:rFonts w:hint="eastAsia" w:ascii="宋体" w:cs="宋体"/>
                <w:color w:val="auto"/>
                <w:sz w:val="24"/>
              </w:rPr>
              <w:t>不允许</w:t>
            </w:r>
          </w:p>
        </w:tc>
      </w:tr>
      <w:tr w14:paraId="2965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975" w:type="dxa"/>
            <w:vAlign w:val="center"/>
          </w:tcPr>
          <w:p w14:paraId="6EE5C4CF">
            <w:pPr>
              <w:rPr>
                <w:rFonts w:ascii="宋体" w:cs="宋体"/>
                <w:color w:val="auto"/>
                <w:sz w:val="24"/>
              </w:rPr>
            </w:pPr>
            <w:r>
              <w:rPr>
                <w:rFonts w:hint="eastAsia" w:ascii="宋体" w:cs="宋体"/>
                <w:color w:val="auto"/>
                <w:sz w:val="24"/>
              </w:rPr>
              <w:t>3.6.1</w:t>
            </w:r>
          </w:p>
        </w:tc>
        <w:tc>
          <w:tcPr>
            <w:tcW w:w="2147" w:type="dxa"/>
            <w:vAlign w:val="center"/>
          </w:tcPr>
          <w:p w14:paraId="6B47FCEA">
            <w:pPr>
              <w:rPr>
                <w:rFonts w:ascii="宋体" w:cs="宋体"/>
                <w:color w:val="auto"/>
                <w:sz w:val="24"/>
              </w:rPr>
            </w:pPr>
            <w:r>
              <w:rPr>
                <w:rFonts w:hint="eastAsia" w:ascii="宋体" w:cs="宋体"/>
                <w:color w:val="auto"/>
                <w:sz w:val="24"/>
              </w:rPr>
              <w:t>签字和（或）盖章要求</w:t>
            </w:r>
          </w:p>
        </w:tc>
        <w:tc>
          <w:tcPr>
            <w:tcW w:w="6737" w:type="dxa"/>
            <w:vAlign w:val="center"/>
          </w:tcPr>
          <w:p w14:paraId="6DB6F714">
            <w:pPr>
              <w:rPr>
                <w:rFonts w:hint="eastAsia" w:ascii="宋体" w:cs="宋体"/>
                <w:color w:val="auto"/>
                <w:sz w:val="24"/>
              </w:rPr>
            </w:pPr>
            <w:r>
              <w:rPr>
                <w:rFonts w:hint="eastAsia" w:ascii="宋体" w:cs="宋体"/>
                <w:color w:val="auto"/>
                <w:sz w:val="24"/>
              </w:rPr>
              <w:t xml:space="preserve">（1）所有要求签字的地方都应用不褪色的墨水或签字笔由本人亲笔手写签字（包括姓和名），不得用盖章（如签名章、签字章等）代替，也不得由他人代签。 </w:t>
            </w:r>
          </w:p>
          <w:p w14:paraId="473A0964">
            <w:pPr>
              <w:rPr>
                <w:rFonts w:hint="eastAsia" w:ascii="宋体" w:cs="宋体"/>
                <w:color w:val="auto"/>
                <w:sz w:val="24"/>
              </w:rPr>
            </w:pPr>
            <w:r>
              <w:rPr>
                <w:rFonts w:hint="eastAsia" w:ascii="宋体" w:cs="宋体"/>
                <w:color w:val="auto"/>
                <w:sz w:val="24"/>
              </w:rPr>
              <w:t xml:space="preserve">（2）所有要求盖章的地方都应按照竞争性磋商文件的规定加盖与供应商名称全称相一致的标准公章，不得使用彩喷或者彩印的印章、可使用专用章（如合同专用章、投标专用章等）代替。 </w:t>
            </w:r>
          </w:p>
          <w:p w14:paraId="3A1E9B87">
            <w:pPr>
              <w:rPr>
                <w:rFonts w:ascii="宋体" w:cs="宋体"/>
                <w:color w:val="auto"/>
                <w:sz w:val="24"/>
              </w:rPr>
            </w:pPr>
            <w:r>
              <w:rPr>
                <w:rFonts w:hint="eastAsia" w:ascii="宋体" w:cs="宋体"/>
                <w:color w:val="auto"/>
                <w:sz w:val="24"/>
              </w:rPr>
              <w:t>（3）响应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20A7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975" w:type="dxa"/>
            <w:vAlign w:val="center"/>
          </w:tcPr>
          <w:p w14:paraId="514183ED">
            <w:pPr>
              <w:rPr>
                <w:rFonts w:ascii="宋体" w:cs="宋体"/>
                <w:color w:val="auto"/>
                <w:sz w:val="24"/>
              </w:rPr>
            </w:pPr>
            <w:r>
              <w:rPr>
                <w:rFonts w:hint="eastAsia" w:ascii="宋体" w:cs="宋体"/>
                <w:color w:val="auto"/>
                <w:sz w:val="24"/>
              </w:rPr>
              <w:t>3.6.2</w:t>
            </w:r>
          </w:p>
        </w:tc>
        <w:tc>
          <w:tcPr>
            <w:tcW w:w="2147" w:type="dxa"/>
            <w:vAlign w:val="center"/>
          </w:tcPr>
          <w:p w14:paraId="5A2F1F8D">
            <w:pPr>
              <w:rPr>
                <w:rFonts w:ascii="宋体" w:cs="宋体"/>
                <w:color w:val="auto"/>
                <w:sz w:val="24"/>
              </w:rPr>
            </w:pPr>
            <w:r>
              <w:rPr>
                <w:rFonts w:hint="eastAsia" w:ascii="宋体" w:hAnsi="宋体" w:cs="宋体"/>
                <w:color w:val="auto"/>
                <w:sz w:val="24"/>
                <w:szCs w:val="24"/>
              </w:rPr>
              <w:t>响应文件副本份数</w:t>
            </w:r>
          </w:p>
        </w:tc>
        <w:tc>
          <w:tcPr>
            <w:tcW w:w="6737" w:type="dxa"/>
            <w:vAlign w:val="center"/>
          </w:tcPr>
          <w:p w14:paraId="584D20D7">
            <w:pPr>
              <w:numPr>
                <w:ilvl w:val="0"/>
                <w:numId w:val="2"/>
              </w:numPr>
              <w:wordWrap w:val="0"/>
              <w:adjustRightInd w:val="0"/>
              <w:snapToGrid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供应商在“政采云”平台（https://www.zcygov.cn/）上制作响应文件一份（此响应文件须上传至“政采云”平台）。</w:t>
            </w:r>
          </w:p>
          <w:p w14:paraId="33AD0A6D">
            <w:pPr>
              <w:rPr>
                <w:rFonts w:ascii="宋体" w:cs="宋体"/>
                <w:color w:val="auto"/>
                <w:sz w:val="24"/>
              </w:rPr>
            </w:pPr>
            <w:r>
              <w:rPr>
                <w:rFonts w:hint="eastAsia" w:ascii="宋体" w:hAnsi="宋体" w:eastAsia="宋体" w:cs="宋体"/>
                <w:color w:val="auto"/>
                <w:sz w:val="24"/>
                <w:szCs w:val="24"/>
              </w:rPr>
              <w:t>2、纸质版响应文件份数要求：纸质版响应文件（1 正 2 副）及电子版文件 U 盘 2 份（word 版及签字盖章后的 PDF 版）。纸质版响应文件为上传至“政采云”平台的电子打印版。</w:t>
            </w:r>
          </w:p>
        </w:tc>
      </w:tr>
      <w:tr w14:paraId="2CFE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5" w:type="dxa"/>
            <w:vAlign w:val="center"/>
          </w:tcPr>
          <w:p w14:paraId="781ED8C7">
            <w:pPr>
              <w:rPr>
                <w:rFonts w:ascii="宋体" w:cs="宋体"/>
                <w:color w:val="auto"/>
                <w:sz w:val="24"/>
              </w:rPr>
            </w:pPr>
            <w:r>
              <w:rPr>
                <w:rFonts w:hint="eastAsia" w:ascii="宋体" w:cs="宋体"/>
                <w:color w:val="auto"/>
                <w:sz w:val="24"/>
              </w:rPr>
              <w:t>3.6.3</w:t>
            </w:r>
          </w:p>
        </w:tc>
        <w:tc>
          <w:tcPr>
            <w:tcW w:w="2147" w:type="dxa"/>
            <w:shd w:val="clear" w:color="auto" w:fill="auto"/>
            <w:vAlign w:val="center"/>
          </w:tcPr>
          <w:p w14:paraId="529074AE">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装订要求</w:t>
            </w:r>
          </w:p>
        </w:tc>
        <w:tc>
          <w:tcPr>
            <w:tcW w:w="6737" w:type="dxa"/>
            <w:shd w:val="clear" w:color="auto" w:fill="auto"/>
            <w:vAlign w:val="center"/>
          </w:tcPr>
          <w:p w14:paraId="47D51AF6">
            <w:pPr>
              <w:wordWrap w:val="0"/>
              <w:adjustRightInd w:val="0"/>
              <w:snapToGrid w:val="0"/>
              <w:spacing w:line="360" w:lineRule="exact"/>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左侧纵向装订成固定不可拆分的书册形式，建议胶装。</w:t>
            </w:r>
          </w:p>
        </w:tc>
      </w:tr>
      <w:tr w14:paraId="0274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975" w:type="dxa"/>
            <w:vAlign w:val="center"/>
          </w:tcPr>
          <w:p w14:paraId="3BA0F034">
            <w:pPr>
              <w:rPr>
                <w:rFonts w:ascii="宋体" w:cs="宋体"/>
                <w:color w:val="auto"/>
                <w:sz w:val="24"/>
              </w:rPr>
            </w:pPr>
            <w:r>
              <w:rPr>
                <w:rFonts w:hint="eastAsia" w:ascii="宋体" w:cs="宋体"/>
                <w:color w:val="auto"/>
                <w:sz w:val="24"/>
              </w:rPr>
              <w:t>4.1.1</w:t>
            </w:r>
          </w:p>
        </w:tc>
        <w:tc>
          <w:tcPr>
            <w:tcW w:w="2147" w:type="dxa"/>
            <w:shd w:val="clear" w:color="auto" w:fill="auto"/>
            <w:vAlign w:val="center"/>
          </w:tcPr>
          <w:p w14:paraId="6EAEDB72">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封套上应载明的信息</w:t>
            </w:r>
          </w:p>
        </w:tc>
        <w:tc>
          <w:tcPr>
            <w:tcW w:w="6737" w:type="dxa"/>
            <w:shd w:val="clear" w:color="auto" w:fill="auto"/>
            <w:vAlign w:val="center"/>
          </w:tcPr>
          <w:p w14:paraId="328A2607">
            <w:pPr>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（封口处加盖供应商公章）</w:t>
            </w:r>
          </w:p>
          <w:p w14:paraId="217055F3">
            <w:pPr>
              <w:wordWrap w:val="0"/>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密封内容：响应文件</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2AC1D701">
            <w:pPr>
              <w:wordWrap w:val="0"/>
              <w:adjustRightInd w:val="0"/>
              <w:snapToGrid w:val="0"/>
              <w:spacing w:line="360" w:lineRule="auto"/>
              <w:rPr>
                <w:rFonts w:hint="eastAsia" w:ascii="宋体" w:hAnsi="宋体" w:cs="宋体"/>
                <w:color w:val="auto"/>
                <w:sz w:val="24"/>
                <w:szCs w:val="24"/>
                <w:u w:val="single"/>
              </w:rPr>
            </w:pPr>
            <w:r>
              <w:rPr>
                <w:rFonts w:hint="eastAsia" w:ascii="宋体" w:hAnsi="宋体" w:cs="宋体"/>
                <w:color w:val="auto"/>
                <w:sz w:val="24"/>
                <w:szCs w:val="24"/>
              </w:rPr>
              <w:t>采购人名称：</w:t>
            </w:r>
            <w:r>
              <w:rPr>
                <w:rFonts w:hint="eastAsia" w:ascii="宋体" w:hAnsi="宋体" w:cs="宋体"/>
                <w:color w:val="auto"/>
                <w:sz w:val="24"/>
                <w:szCs w:val="24"/>
                <w:u w:val="single"/>
              </w:rPr>
              <w:t xml:space="preserve">                               </w:t>
            </w:r>
          </w:p>
          <w:p w14:paraId="24B3B559">
            <w:pPr>
              <w:wordWrap w:val="0"/>
              <w:adjustRightInd w:val="0"/>
              <w:snapToGrid w:val="0"/>
              <w:spacing w:line="360" w:lineRule="auto"/>
              <w:rPr>
                <w:rFonts w:hint="eastAsia" w:ascii="宋体" w:hAnsi="宋体" w:cs="宋体"/>
                <w:color w:val="auto"/>
                <w:sz w:val="24"/>
                <w:szCs w:val="24"/>
                <w:u w:val="single"/>
              </w:rPr>
            </w:pPr>
            <w:r>
              <w:rPr>
                <w:rFonts w:hint="eastAsia" w:ascii="宋体" w:hAnsi="宋体" w:cs="宋体"/>
                <w:color w:val="auto"/>
                <w:sz w:val="24"/>
                <w:szCs w:val="24"/>
              </w:rPr>
              <w:t>投 标 人：</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fldChar w:fldCharType="begin"/>
            </w:r>
            <w:r>
              <w:rPr>
                <w:rFonts w:hint="eastAsia" w:ascii="宋体" w:hAnsi="宋体" w:cs="宋体"/>
                <w:color w:val="auto"/>
                <w:sz w:val="24"/>
                <w:szCs w:val="24"/>
                <w:u w:val="single"/>
              </w:rPr>
              <w:instrText xml:space="preserve"> DOCVARIABLE  项目名称  \* MERGEFORMAT </w:instrText>
            </w:r>
            <w:r>
              <w:rPr>
                <w:rFonts w:hint="eastAsia" w:ascii="宋体" w:hAnsi="宋体" w:cs="宋体"/>
                <w:color w:val="auto"/>
                <w:sz w:val="24"/>
                <w:szCs w:val="24"/>
                <w:u w:val="single"/>
              </w:rPr>
              <w:fldChar w:fldCharType="separate"/>
            </w:r>
            <w:r>
              <w:rPr>
                <w:rFonts w:hint="eastAsia" w:ascii="宋体" w:hAnsi="宋体" w:cs="宋体"/>
                <w:color w:val="auto"/>
                <w:sz w:val="24"/>
                <w:szCs w:val="24"/>
              </w:rPr>
              <w:fldChar w:fldCharType="end"/>
            </w:r>
            <w:r>
              <w:rPr>
                <w:rFonts w:hint="eastAsia" w:ascii="宋体" w:hAnsi="宋体" w:cs="宋体"/>
                <w:color w:val="auto"/>
                <w:sz w:val="24"/>
                <w:szCs w:val="24"/>
                <w:u w:val="single"/>
              </w:rPr>
              <w:t xml:space="preserve">   </w:t>
            </w:r>
          </w:p>
          <w:p w14:paraId="2AEF293C">
            <w:pPr>
              <w:wordWrap w:val="0"/>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供应商地址：</w:t>
            </w:r>
            <w:r>
              <w:rPr>
                <w:rFonts w:hint="eastAsia" w:ascii="宋体" w:hAnsi="宋体" w:cs="宋体"/>
                <w:color w:val="auto"/>
                <w:sz w:val="24"/>
                <w:szCs w:val="24"/>
                <w:u w:val="single"/>
              </w:rPr>
              <w:t xml:space="preserve">                               </w:t>
            </w:r>
          </w:p>
          <w:p w14:paraId="1AAB1851">
            <w:pPr>
              <w:wordWrap w:val="0"/>
              <w:adjustRightInd w:val="0"/>
              <w:snapToGrid w:val="0"/>
              <w:spacing w:line="360" w:lineRule="auto"/>
              <w:rPr>
                <w:rFonts w:hint="eastAsia" w:ascii="宋体" w:hAnsi="宋体" w:cs="宋体"/>
                <w:color w:val="auto"/>
                <w:sz w:val="24"/>
                <w:szCs w:val="24"/>
                <w:u w:val="single"/>
              </w:rPr>
            </w:pPr>
            <w:r>
              <w:rPr>
                <w:rFonts w:hint="eastAsia" w:ascii="宋体" w:hAnsi="宋体" w:cs="宋体"/>
                <w:color w:val="auto"/>
                <w:sz w:val="24"/>
                <w:szCs w:val="24"/>
              </w:rPr>
              <w:t>联系人：</w:t>
            </w:r>
            <w:r>
              <w:rPr>
                <w:rFonts w:hint="eastAsia" w:ascii="宋体" w:hAnsi="宋体" w:cs="宋体"/>
                <w:color w:val="auto"/>
                <w:sz w:val="24"/>
                <w:szCs w:val="24"/>
                <w:u w:val="single"/>
              </w:rPr>
              <w:t xml:space="preserve">          </w:t>
            </w:r>
            <w:r>
              <w:rPr>
                <w:rFonts w:hint="eastAsia" w:ascii="宋体" w:hAnsi="宋体" w:cs="宋体"/>
                <w:color w:val="auto"/>
                <w:sz w:val="24"/>
                <w:szCs w:val="24"/>
              </w:rPr>
              <w:t>联系电话：</w:t>
            </w:r>
            <w:r>
              <w:rPr>
                <w:rFonts w:hint="eastAsia" w:ascii="宋体" w:hAnsi="宋体" w:cs="宋体"/>
                <w:color w:val="auto"/>
                <w:sz w:val="24"/>
                <w:szCs w:val="24"/>
                <w:u w:val="single"/>
              </w:rPr>
              <w:t xml:space="preserve">            （手机）   </w:t>
            </w:r>
          </w:p>
          <w:p w14:paraId="5AE5D05B">
            <w:pPr>
              <w:wordWrap w:val="0"/>
              <w:adjustRightInd w:val="0"/>
              <w:snapToGrid w:val="0"/>
              <w:spacing w:line="360" w:lineRule="auto"/>
              <w:rPr>
                <w:rFonts w:hint="eastAsia"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2D8F816F">
            <w:pPr>
              <w:wordWrap w:val="0"/>
              <w:adjustRightInd w:val="0"/>
              <w:snapToGrid w:val="0"/>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 xml:space="preserve">响应文件在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rPr>
              <w:t>时前不得启封</w:t>
            </w:r>
          </w:p>
        </w:tc>
      </w:tr>
      <w:tr w14:paraId="5B53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75" w:type="dxa"/>
            <w:vAlign w:val="center"/>
          </w:tcPr>
          <w:p w14:paraId="1EB48904">
            <w:pPr>
              <w:rPr>
                <w:rFonts w:ascii="宋体" w:cs="宋体"/>
                <w:color w:val="auto"/>
                <w:sz w:val="24"/>
              </w:rPr>
            </w:pPr>
            <w:r>
              <w:rPr>
                <w:rFonts w:hint="eastAsia" w:ascii="宋体" w:cs="宋体"/>
                <w:color w:val="auto"/>
                <w:sz w:val="24"/>
              </w:rPr>
              <w:t>4.2.1</w:t>
            </w:r>
          </w:p>
        </w:tc>
        <w:tc>
          <w:tcPr>
            <w:tcW w:w="2147" w:type="dxa"/>
            <w:vAlign w:val="center"/>
          </w:tcPr>
          <w:p w14:paraId="73E9CFB5">
            <w:pPr>
              <w:rPr>
                <w:rFonts w:ascii="宋体" w:cs="宋体"/>
                <w:color w:val="auto"/>
                <w:sz w:val="24"/>
              </w:rPr>
            </w:pPr>
            <w:r>
              <w:rPr>
                <w:rFonts w:hint="eastAsia" w:ascii="宋体" w:cs="宋体"/>
                <w:color w:val="auto"/>
                <w:sz w:val="24"/>
              </w:rPr>
              <w:t>是否退还磋商响应文件</w:t>
            </w:r>
          </w:p>
        </w:tc>
        <w:tc>
          <w:tcPr>
            <w:tcW w:w="6737" w:type="dxa"/>
            <w:vAlign w:val="center"/>
          </w:tcPr>
          <w:p w14:paraId="391228C0">
            <w:pPr>
              <w:rPr>
                <w:rFonts w:ascii="宋体" w:cs="宋体"/>
                <w:color w:val="auto"/>
                <w:sz w:val="24"/>
              </w:rPr>
            </w:pPr>
            <w:r>
              <w:rPr>
                <w:rFonts w:hint="eastAsia" w:ascii="宋体" w:cs="宋体"/>
                <w:color w:val="auto"/>
                <w:sz w:val="24"/>
              </w:rPr>
              <w:t>否</w:t>
            </w:r>
          </w:p>
        </w:tc>
      </w:tr>
      <w:tr w14:paraId="3EAB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75" w:type="dxa"/>
            <w:vAlign w:val="center"/>
          </w:tcPr>
          <w:p w14:paraId="5F723F5E">
            <w:pPr>
              <w:rPr>
                <w:rFonts w:ascii="宋体" w:cs="宋体"/>
                <w:color w:val="auto"/>
                <w:sz w:val="24"/>
              </w:rPr>
            </w:pPr>
            <w:r>
              <w:rPr>
                <w:rFonts w:hint="eastAsia" w:ascii="宋体" w:cs="宋体"/>
                <w:color w:val="auto"/>
                <w:sz w:val="24"/>
              </w:rPr>
              <w:t>5.1.1</w:t>
            </w:r>
          </w:p>
        </w:tc>
        <w:tc>
          <w:tcPr>
            <w:tcW w:w="2147" w:type="dxa"/>
            <w:vAlign w:val="center"/>
          </w:tcPr>
          <w:p w14:paraId="4D634D3C">
            <w:pPr>
              <w:rPr>
                <w:rFonts w:ascii="宋体" w:cs="宋体"/>
                <w:color w:val="auto"/>
                <w:sz w:val="24"/>
              </w:rPr>
            </w:pPr>
            <w:r>
              <w:rPr>
                <w:rFonts w:hint="eastAsia" w:ascii="宋体" w:cs="宋体"/>
                <w:color w:val="auto"/>
                <w:sz w:val="24"/>
              </w:rPr>
              <w:t>磋商时间和地点</w:t>
            </w:r>
          </w:p>
        </w:tc>
        <w:tc>
          <w:tcPr>
            <w:tcW w:w="6737" w:type="dxa"/>
            <w:vAlign w:val="center"/>
          </w:tcPr>
          <w:p w14:paraId="3E46023B">
            <w:pPr>
              <w:rPr>
                <w:rFonts w:ascii="宋体" w:cs="宋体"/>
                <w:color w:val="auto"/>
                <w:sz w:val="24"/>
              </w:rPr>
            </w:pPr>
            <w:r>
              <w:rPr>
                <w:rFonts w:hint="eastAsia" w:ascii="宋体" w:cs="宋体"/>
                <w:color w:val="auto"/>
                <w:sz w:val="24"/>
              </w:rPr>
              <w:t>全流程电子招标项目交易平台系统支持响应文件远程解密；</w:t>
            </w:r>
          </w:p>
          <w:p w14:paraId="4A39711B">
            <w:pPr>
              <w:rPr>
                <w:rFonts w:ascii="宋体" w:cs="宋体"/>
                <w:color w:val="auto"/>
                <w:sz w:val="24"/>
              </w:rPr>
            </w:pPr>
            <w:r>
              <w:rPr>
                <w:rFonts w:hint="eastAsia" w:ascii="宋体" w:cs="宋体"/>
                <w:color w:val="auto"/>
                <w:sz w:val="24"/>
              </w:rPr>
              <w:t>解密方式:响应文件递交截止时间后 30 分钟内完成解密工作，供应商开标时，需使用制作响应文件时用来加密的有效数字证书登录“政采云”平台电子开标大厅，按规定时间对加密的响应文件进行解密。因供应商自身原因未能按时完成解密的，视为逾期未提交响应文件，其响应无效。</w:t>
            </w:r>
          </w:p>
          <w:p w14:paraId="2D73C3D1">
            <w:pPr>
              <w:rPr>
                <w:rFonts w:ascii="宋体" w:cs="宋体"/>
                <w:color w:val="auto"/>
                <w:sz w:val="24"/>
              </w:rPr>
            </w:pPr>
            <w:r>
              <w:rPr>
                <w:rFonts w:hint="eastAsia" w:ascii="宋体" w:cs="宋体"/>
                <w:color w:val="auto"/>
                <w:sz w:val="24"/>
              </w:rPr>
              <w:t>如无故离开远程开标会议室，后果自负。</w:t>
            </w:r>
          </w:p>
        </w:tc>
      </w:tr>
      <w:tr w14:paraId="1ADD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75" w:type="dxa"/>
            <w:vAlign w:val="center"/>
          </w:tcPr>
          <w:p w14:paraId="04A6AF32">
            <w:pPr>
              <w:rPr>
                <w:rFonts w:ascii="宋体" w:cs="宋体"/>
                <w:color w:val="auto"/>
                <w:sz w:val="24"/>
              </w:rPr>
            </w:pPr>
            <w:r>
              <w:rPr>
                <w:rFonts w:hint="eastAsia" w:ascii="宋体" w:cs="宋体"/>
                <w:color w:val="auto"/>
                <w:sz w:val="24"/>
              </w:rPr>
              <w:t>6.1.1</w:t>
            </w:r>
          </w:p>
        </w:tc>
        <w:tc>
          <w:tcPr>
            <w:tcW w:w="2147" w:type="dxa"/>
            <w:vAlign w:val="center"/>
          </w:tcPr>
          <w:p w14:paraId="2A3634F6">
            <w:pPr>
              <w:rPr>
                <w:rFonts w:ascii="宋体" w:cs="宋体"/>
                <w:color w:val="auto"/>
                <w:sz w:val="24"/>
              </w:rPr>
            </w:pPr>
            <w:r>
              <w:rPr>
                <w:rFonts w:hint="eastAsia" w:ascii="宋体" w:cs="宋体"/>
                <w:color w:val="auto"/>
                <w:sz w:val="24"/>
              </w:rPr>
              <w:t>磋商小组的组建</w:t>
            </w:r>
          </w:p>
        </w:tc>
        <w:tc>
          <w:tcPr>
            <w:tcW w:w="6737" w:type="dxa"/>
            <w:vAlign w:val="center"/>
          </w:tcPr>
          <w:p w14:paraId="070C9A75">
            <w:pPr>
              <w:wordWrap w:val="0"/>
              <w:adjustRightInd w:val="0"/>
              <w:snapToGrid w:val="0"/>
              <w:spacing w:line="360" w:lineRule="exact"/>
              <w:rPr>
                <w:rFonts w:hint="eastAsia" w:ascii="宋体" w:hAnsi="宋体" w:cs="宋体"/>
                <w:color w:val="auto"/>
                <w:sz w:val="24"/>
                <w:szCs w:val="24"/>
              </w:rPr>
            </w:pPr>
            <w:r>
              <w:rPr>
                <w:rFonts w:hint="eastAsia" w:ascii="宋体" w:hAnsi="宋体" w:cs="宋体"/>
                <w:color w:val="auto"/>
                <w:sz w:val="24"/>
                <w:szCs w:val="24"/>
              </w:rPr>
              <w:t>磋商小组构成：由技术、经济等方面的专家3人组成。</w:t>
            </w:r>
          </w:p>
          <w:p w14:paraId="1919D0C8">
            <w:pPr>
              <w:rPr>
                <w:rFonts w:ascii="宋体" w:cs="宋体"/>
                <w:color w:val="auto"/>
                <w:sz w:val="24"/>
              </w:rPr>
            </w:pPr>
            <w:r>
              <w:rPr>
                <w:rFonts w:hint="eastAsia" w:ascii="宋体" w:hAnsi="宋体" w:cs="宋体"/>
                <w:color w:val="auto"/>
                <w:sz w:val="24"/>
                <w:szCs w:val="24"/>
              </w:rPr>
              <w:t>评标专家确定方式：经济及技术方面专家在政采云评标专家库中随机抽取。</w:t>
            </w:r>
          </w:p>
        </w:tc>
      </w:tr>
      <w:tr w14:paraId="52E7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5" w:type="dxa"/>
            <w:vAlign w:val="center"/>
          </w:tcPr>
          <w:p w14:paraId="096941E3">
            <w:pPr>
              <w:rPr>
                <w:rFonts w:ascii="宋体" w:cs="宋体"/>
                <w:color w:val="auto"/>
                <w:sz w:val="24"/>
              </w:rPr>
            </w:pPr>
            <w:r>
              <w:rPr>
                <w:rFonts w:hint="eastAsia" w:ascii="宋体" w:cs="宋体"/>
                <w:color w:val="auto"/>
                <w:sz w:val="24"/>
              </w:rPr>
              <w:t>7.1.1</w:t>
            </w:r>
          </w:p>
        </w:tc>
        <w:tc>
          <w:tcPr>
            <w:tcW w:w="2147" w:type="dxa"/>
            <w:vAlign w:val="center"/>
          </w:tcPr>
          <w:p w14:paraId="1B8666D6">
            <w:pPr>
              <w:rPr>
                <w:rFonts w:ascii="宋体" w:cs="宋体"/>
                <w:color w:val="auto"/>
                <w:sz w:val="24"/>
              </w:rPr>
            </w:pPr>
            <w:r>
              <w:rPr>
                <w:rFonts w:hint="eastAsia" w:ascii="宋体" w:cs="宋体"/>
                <w:color w:val="auto"/>
                <w:sz w:val="24"/>
              </w:rPr>
              <w:t>是否授权磋商小组确定中选供应商</w:t>
            </w:r>
          </w:p>
        </w:tc>
        <w:tc>
          <w:tcPr>
            <w:tcW w:w="6737" w:type="dxa"/>
            <w:vAlign w:val="center"/>
          </w:tcPr>
          <w:p w14:paraId="4738BA45">
            <w:pPr>
              <w:wordWrap w:val="0"/>
              <w:adjustRightInd w:val="0"/>
              <w:snapToGrid w:val="0"/>
              <w:spacing w:line="360" w:lineRule="exact"/>
              <w:rPr>
                <w:rFonts w:hint="eastAsia" w:ascii="宋体" w:hAnsi="宋体" w:cs="宋体"/>
                <w:bCs/>
                <w:color w:val="auto"/>
                <w:sz w:val="24"/>
                <w:szCs w:val="24"/>
              </w:rPr>
            </w:pPr>
            <w:r>
              <w:rPr>
                <w:rFonts w:hint="eastAsia" w:ascii="宋体" w:hAnsi="宋体" w:cs="宋体"/>
                <w:color w:val="auto"/>
                <w:sz w:val="24"/>
                <w:szCs w:val="24"/>
              </w:rPr>
              <w:t>■</w:t>
            </w:r>
            <w:r>
              <w:rPr>
                <w:rFonts w:hint="eastAsia" w:ascii="宋体" w:hAnsi="宋体" w:cs="宋体"/>
                <w:bCs/>
                <w:color w:val="auto"/>
                <w:sz w:val="24"/>
                <w:szCs w:val="24"/>
              </w:rPr>
              <w:t xml:space="preserve">是 </w:t>
            </w:r>
          </w:p>
          <w:p w14:paraId="52AAB68B">
            <w:pPr>
              <w:rPr>
                <w:rFonts w:ascii="宋体" w:cs="宋体"/>
                <w:color w:val="auto"/>
                <w:sz w:val="24"/>
              </w:rPr>
            </w:pPr>
            <w:r>
              <w:rPr>
                <w:rFonts w:hint="eastAsia" w:ascii="宋体" w:hAnsi="宋体" w:cs="宋体"/>
                <w:color w:val="auto"/>
                <w:sz w:val="24"/>
                <w:szCs w:val="24"/>
              </w:rPr>
              <w:t>□</w:t>
            </w:r>
            <w:r>
              <w:rPr>
                <w:rFonts w:hint="eastAsia" w:ascii="宋体" w:hAnsi="宋体" w:cs="宋体"/>
                <w:bCs/>
                <w:color w:val="auto"/>
                <w:sz w:val="24"/>
                <w:szCs w:val="24"/>
              </w:rPr>
              <w:t>否, 推荐的成交候选人人数：</w:t>
            </w:r>
            <w:r>
              <w:rPr>
                <w:rFonts w:hint="eastAsia" w:ascii="宋体" w:hAnsi="宋体" w:cs="宋体"/>
                <w:bCs/>
                <w:color w:val="auto"/>
                <w:sz w:val="24"/>
                <w:szCs w:val="24"/>
                <w:u w:val="single"/>
              </w:rPr>
              <w:t>3名</w:t>
            </w:r>
          </w:p>
        </w:tc>
      </w:tr>
      <w:tr w14:paraId="3E08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5" w:type="dxa"/>
            <w:shd w:val="clear" w:color="auto" w:fill="auto"/>
            <w:vAlign w:val="center"/>
          </w:tcPr>
          <w:p w14:paraId="546DDC9B">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7.2</w:t>
            </w:r>
          </w:p>
        </w:tc>
        <w:tc>
          <w:tcPr>
            <w:tcW w:w="2147" w:type="dxa"/>
            <w:shd w:val="clear" w:color="auto" w:fill="auto"/>
            <w:vAlign w:val="center"/>
          </w:tcPr>
          <w:p w14:paraId="50AA233F">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结果公告媒介及期限</w:t>
            </w:r>
          </w:p>
        </w:tc>
        <w:tc>
          <w:tcPr>
            <w:tcW w:w="6737" w:type="dxa"/>
            <w:shd w:val="clear" w:color="auto" w:fill="auto"/>
            <w:vAlign w:val="center"/>
          </w:tcPr>
          <w:p w14:paraId="5C3055F3">
            <w:pPr>
              <w:wordWrap w:val="0"/>
              <w:adjustRightInd w:val="0"/>
              <w:snapToGrid w:val="0"/>
              <w:spacing w:line="360" w:lineRule="exact"/>
              <w:rPr>
                <w:rFonts w:hint="eastAsia" w:ascii="宋体" w:hAnsi="宋体" w:cs="宋体"/>
                <w:color w:val="auto"/>
                <w:sz w:val="24"/>
                <w:szCs w:val="24"/>
              </w:rPr>
            </w:pPr>
            <w:r>
              <w:rPr>
                <w:rFonts w:hint="eastAsia" w:ascii="宋体" w:hAnsi="宋体" w:cs="宋体"/>
                <w:color w:val="auto"/>
                <w:sz w:val="24"/>
                <w:szCs w:val="24"/>
              </w:rPr>
              <w:t>《政采云平台（https://www.zcygov.cn/）》、《中国政府采购网》、《长春市公共资源交易网》。</w:t>
            </w:r>
          </w:p>
          <w:p w14:paraId="1B6C69A8">
            <w:pPr>
              <w:wordWrap w:val="0"/>
              <w:adjustRightInd w:val="0"/>
              <w:snapToGrid w:val="0"/>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公示期：一个工作日。</w:t>
            </w:r>
          </w:p>
        </w:tc>
      </w:tr>
      <w:tr w14:paraId="61BD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5" w:type="dxa"/>
            <w:shd w:val="clear" w:color="auto" w:fill="auto"/>
            <w:vAlign w:val="center"/>
          </w:tcPr>
          <w:p w14:paraId="7DE279A4">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8</w:t>
            </w:r>
          </w:p>
        </w:tc>
        <w:tc>
          <w:tcPr>
            <w:tcW w:w="2147" w:type="dxa"/>
            <w:shd w:val="clear" w:color="auto" w:fill="auto"/>
            <w:vAlign w:val="center"/>
          </w:tcPr>
          <w:p w14:paraId="240BF046">
            <w:pPr>
              <w:wordWrap w:val="0"/>
              <w:adjustRightInd w:val="0"/>
              <w:snapToGrid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评标办法</w:t>
            </w:r>
          </w:p>
        </w:tc>
        <w:tc>
          <w:tcPr>
            <w:tcW w:w="6737" w:type="dxa"/>
            <w:shd w:val="clear" w:color="auto" w:fill="auto"/>
            <w:vAlign w:val="center"/>
          </w:tcPr>
          <w:p w14:paraId="680711A3">
            <w:pPr>
              <w:wordWrap w:val="0"/>
              <w:adjustRightInd w:val="0"/>
              <w:snapToGrid w:val="0"/>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综合评分法</w:t>
            </w:r>
          </w:p>
        </w:tc>
      </w:tr>
      <w:tr w14:paraId="1D2E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859" w:type="dxa"/>
            <w:gridSpan w:val="3"/>
            <w:vAlign w:val="center"/>
          </w:tcPr>
          <w:p w14:paraId="0FFBDAAB">
            <w:pPr>
              <w:rPr>
                <w:rFonts w:ascii="宋体" w:cs="宋体"/>
                <w:color w:val="auto"/>
                <w:sz w:val="24"/>
              </w:rPr>
            </w:pPr>
            <w:r>
              <w:rPr>
                <w:rFonts w:hint="eastAsia" w:ascii="宋体" w:cs="宋体"/>
                <w:color w:val="auto"/>
                <w:sz w:val="24"/>
              </w:rPr>
              <w:t>10.  需要补充的其他内容</w:t>
            </w:r>
          </w:p>
        </w:tc>
      </w:tr>
      <w:tr w14:paraId="30EC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75" w:type="dxa"/>
            <w:vAlign w:val="center"/>
          </w:tcPr>
          <w:p w14:paraId="49FE71D9">
            <w:pPr>
              <w:rPr>
                <w:rFonts w:ascii="宋体" w:cs="宋体"/>
                <w:color w:val="auto"/>
                <w:sz w:val="24"/>
              </w:rPr>
            </w:pPr>
            <w:r>
              <w:rPr>
                <w:rFonts w:hint="eastAsia" w:ascii="宋体" w:cs="宋体"/>
                <w:color w:val="auto"/>
                <w:sz w:val="24"/>
              </w:rPr>
              <w:t xml:space="preserve">10.1.1 </w:t>
            </w:r>
          </w:p>
        </w:tc>
        <w:tc>
          <w:tcPr>
            <w:tcW w:w="2147" w:type="dxa"/>
            <w:vAlign w:val="center"/>
          </w:tcPr>
          <w:p w14:paraId="5F142672">
            <w:pPr>
              <w:jc w:val="center"/>
              <w:rPr>
                <w:rFonts w:ascii="宋体" w:cs="宋体"/>
                <w:color w:val="auto"/>
                <w:sz w:val="24"/>
              </w:rPr>
            </w:pPr>
            <w:r>
              <w:rPr>
                <w:rFonts w:hint="eastAsia" w:ascii="宋体" w:cs="宋体"/>
                <w:color w:val="auto"/>
                <w:sz w:val="24"/>
              </w:rPr>
              <w:t>代理服务费</w:t>
            </w:r>
          </w:p>
        </w:tc>
        <w:tc>
          <w:tcPr>
            <w:tcW w:w="6737" w:type="dxa"/>
            <w:vAlign w:val="center"/>
          </w:tcPr>
          <w:p w14:paraId="77F8A5BB">
            <w:pPr>
              <w:rPr>
                <w:rFonts w:ascii="宋体" w:cs="宋体"/>
                <w:color w:val="auto"/>
              </w:rPr>
            </w:pPr>
            <w:r>
              <w:rPr>
                <w:rFonts w:hint="eastAsia" w:ascii="宋体" w:cs="宋体"/>
                <w:color w:val="auto"/>
                <w:sz w:val="24"/>
              </w:rPr>
              <w:t>参照国家发展计划委员会文件（计价格【2002】1980号）、国家发展改革委办公厅关于招标代理服务收费有关问题的通知（发改办价格【2003】857号）及国家发改委关于进一步放开建设项目专业服务价格的通知（发改价格【2015】299号）的收费标准向中标人收取。</w:t>
            </w:r>
          </w:p>
        </w:tc>
      </w:tr>
      <w:tr w14:paraId="6FF6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75" w:type="dxa"/>
            <w:vAlign w:val="center"/>
          </w:tcPr>
          <w:p w14:paraId="0554EEA7">
            <w:pPr>
              <w:rPr>
                <w:rFonts w:ascii="宋体" w:cs="宋体"/>
                <w:color w:val="auto"/>
                <w:sz w:val="24"/>
              </w:rPr>
            </w:pPr>
            <w:r>
              <w:rPr>
                <w:rFonts w:hint="eastAsia" w:ascii="宋体" w:cs="宋体"/>
                <w:color w:val="auto"/>
                <w:sz w:val="24"/>
              </w:rPr>
              <w:t>10.1.2</w:t>
            </w:r>
          </w:p>
        </w:tc>
        <w:tc>
          <w:tcPr>
            <w:tcW w:w="2147" w:type="dxa"/>
            <w:vAlign w:val="center"/>
          </w:tcPr>
          <w:p w14:paraId="714F3C59">
            <w:pPr>
              <w:jc w:val="center"/>
              <w:rPr>
                <w:rFonts w:ascii="宋体" w:cs="宋体"/>
                <w:color w:val="auto"/>
                <w:sz w:val="24"/>
                <w:highlight w:val="none"/>
              </w:rPr>
            </w:pPr>
            <w:r>
              <w:rPr>
                <w:rFonts w:hint="eastAsia" w:ascii="宋体" w:cs="宋体"/>
                <w:color w:val="auto"/>
                <w:sz w:val="24"/>
                <w:highlight w:val="none"/>
              </w:rPr>
              <w:t>报价</w:t>
            </w:r>
          </w:p>
        </w:tc>
        <w:tc>
          <w:tcPr>
            <w:tcW w:w="6737" w:type="dxa"/>
            <w:vAlign w:val="center"/>
          </w:tcPr>
          <w:p w14:paraId="4CBF53EB">
            <w:pPr>
              <w:rPr>
                <w:rFonts w:ascii="宋体" w:cs="宋体"/>
                <w:color w:val="auto"/>
                <w:sz w:val="24"/>
                <w:highlight w:val="none"/>
              </w:rPr>
            </w:pPr>
            <w:r>
              <w:rPr>
                <w:rFonts w:hint="eastAsia" w:ascii="宋体" w:cs="宋体"/>
                <w:color w:val="auto"/>
                <w:sz w:val="24"/>
                <w:highlight w:val="none"/>
              </w:rPr>
              <w:t>供应商的报价应当包含为完成本项目全部工作所需的一切费用，包括成本、利润、税金等。投标报价不得超过预算金额（最高限价），否则将否决其投标。</w:t>
            </w:r>
          </w:p>
        </w:tc>
      </w:tr>
      <w:tr w14:paraId="29D8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5" w:type="dxa"/>
            <w:vAlign w:val="center"/>
          </w:tcPr>
          <w:p w14:paraId="07661445">
            <w:pPr>
              <w:rPr>
                <w:rFonts w:ascii="宋体" w:cs="宋体"/>
                <w:color w:val="auto"/>
                <w:sz w:val="24"/>
              </w:rPr>
            </w:pPr>
            <w:r>
              <w:rPr>
                <w:rFonts w:hint="eastAsia" w:ascii="宋体" w:cs="宋体"/>
                <w:color w:val="auto"/>
                <w:sz w:val="24"/>
              </w:rPr>
              <w:t xml:space="preserve">10.1.3 </w:t>
            </w:r>
          </w:p>
        </w:tc>
        <w:tc>
          <w:tcPr>
            <w:tcW w:w="2147" w:type="dxa"/>
            <w:vAlign w:val="center"/>
          </w:tcPr>
          <w:p w14:paraId="0F2906DC">
            <w:pPr>
              <w:jc w:val="center"/>
              <w:rPr>
                <w:rFonts w:ascii="宋体" w:cs="宋体"/>
                <w:color w:val="auto"/>
                <w:sz w:val="24"/>
              </w:rPr>
            </w:pPr>
            <w:r>
              <w:rPr>
                <w:rFonts w:hint="eastAsia" w:ascii="宋体" w:cs="宋体"/>
                <w:color w:val="auto"/>
                <w:sz w:val="24"/>
              </w:rPr>
              <w:t>付款方式</w:t>
            </w:r>
          </w:p>
        </w:tc>
        <w:tc>
          <w:tcPr>
            <w:tcW w:w="6737" w:type="dxa"/>
            <w:vAlign w:val="center"/>
          </w:tcPr>
          <w:p w14:paraId="2ED650E1">
            <w:pPr>
              <w:rPr>
                <w:rFonts w:ascii="宋体" w:cs="宋体"/>
                <w:color w:val="auto"/>
              </w:rPr>
            </w:pPr>
            <w:r>
              <w:rPr>
                <w:rFonts w:hint="eastAsia" w:ascii="宋体" w:hAnsi="宋体"/>
                <w:color w:val="auto"/>
                <w:sz w:val="24"/>
              </w:rPr>
              <w:t>采购人收到全部货物并</w:t>
            </w:r>
            <w:r>
              <w:rPr>
                <w:rFonts w:hint="eastAsia" w:ascii="宋体" w:hAnsi="宋体" w:cs="宋体"/>
                <w:bCs/>
                <w:color w:val="auto"/>
                <w:sz w:val="24"/>
              </w:rPr>
              <w:t>验收合格后向乙方支付</w:t>
            </w:r>
            <w:r>
              <w:rPr>
                <w:rFonts w:hint="eastAsia" w:ascii="宋体" w:hAnsi="宋体" w:cs="宋体"/>
                <w:bCs/>
                <w:color w:val="auto"/>
                <w:sz w:val="24"/>
                <w:lang w:val="en-US" w:eastAsia="zh-CN"/>
              </w:rPr>
              <w:t>全部</w:t>
            </w:r>
            <w:r>
              <w:rPr>
                <w:rFonts w:hint="eastAsia" w:ascii="宋体" w:hAnsi="宋体" w:cs="宋体"/>
                <w:bCs/>
                <w:color w:val="auto"/>
                <w:sz w:val="24"/>
              </w:rPr>
              <w:t>合同</w:t>
            </w:r>
            <w:r>
              <w:rPr>
                <w:rFonts w:hint="eastAsia" w:ascii="宋体" w:hAnsi="宋体" w:cs="宋体"/>
                <w:bCs/>
                <w:color w:val="auto"/>
                <w:sz w:val="24"/>
                <w:lang w:val="en-US" w:eastAsia="zh-CN"/>
              </w:rPr>
              <w:t>价款</w:t>
            </w:r>
            <w:r>
              <w:rPr>
                <w:rFonts w:hint="eastAsia" w:ascii="宋体" w:hAnsi="宋体" w:cs="宋体"/>
                <w:bCs/>
                <w:color w:val="auto"/>
                <w:sz w:val="24"/>
              </w:rPr>
              <w:t>。</w:t>
            </w:r>
          </w:p>
        </w:tc>
      </w:tr>
      <w:tr w14:paraId="4220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5" w:type="dxa"/>
            <w:vAlign w:val="center"/>
          </w:tcPr>
          <w:p w14:paraId="05126559">
            <w:pPr>
              <w:rPr>
                <w:rFonts w:ascii="宋体" w:cs="宋体"/>
                <w:color w:val="auto"/>
                <w:sz w:val="24"/>
              </w:rPr>
            </w:pPr>
            <w:r>
              <w:rPr>
                <w:rFonts w:hint="eastAsia" w:ascii="宋体" w:cs="宋体"/>
                <w:color w:val="auto"/>
                <w:sz w:val="24"/>
              </w:rPr>
              <w:t>10.1.4</w:t>
            </w:r>
          </w:p>
        </w:tc>
        <w:tc>
          <w:tcPr>
            <w:tcW w:w="2147" w:type="dxa"/>
            <w:vAlign w:val="center"/>
          </w:tcPr>
          <w:p w14:paraId="49056AF4">
            <w:pPr>
              <w:jc w:val="center"/>
              <w:rPr>
                <w:rFonts w:ascii="宋体" w:cs="宋体"/>
                <w:color w:val="auto"/>
                <w:sz w:val="24"/>
              </w:rPr>
            </w:pPr>
            <w:r>
              <w:rPr>
                <w:rFonts w:hint="eastAsia" w:ascii="宋体" w:cs="宋体"/>
                <w:color w:val="auto"/>
                <w:sz w:val="24"/>
              </w:rPr>
              <w:t>包装和运输要求</w:t>
            </w:r>
          </w:p>
        </w:tc>
        <w:tc>
          <w:tcPr>
            <w:tcW w:w="6737" w:type="dxa"/>
            <w:vAlign w:val="center"/>
          </w:tcPr>
          <w:p w14:paraId="72CF80C6">
            <w:pPr>
              <w:rPr>
                <w:rFonts w:ascii="宋体" w:cs="宋体"/>
                <w:color w:val="auto"/>
                <w:sz w:val="24"/>
              </w:rPr>
            </w:pPr>
            <w:r>
              <w:rPr>
                <w:rFonts w:hint="eastAsia" w:ascii="宋体" w:hAnsi="宋体" w:cs="宋体"/>
                <w:bCs/>
                <w:sz w:val="24"/>
              </w:rPr>
              <w:t>符合《商品包装政府采购需求标准（试行）》和《快递包装政府采购需求标准（试行）》</w:t>
            </w:r>
          </w:p>
        </w:tc>
      </w:tr>
      <w:tr w14:paraId="7B25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5" w:type="dxa"/>
            <w:vAlign w:val="center"/>
          </w:tcPr>
          <w:p w14:paraId="03F9A2FD">
            <w:pPr>
              <w:rPr>
                <w:rFonts w:ascii="宋体" w:cs="宋体"/>
                <w:color w:val="auto"/>
                <w:sz w:val="24"/>
              </w:rPr>
            </w:pPr>
            <w:r>
              <w:rPr>
                <w:rFonts w:hint="eastAsia" w:ascii="宋体" w:cs="宋体"/>
                <w:color w:val="auto"/>
                <w:sz w:val="24"/>
              </w:rPr>
              <w:t>10.1.5</w:t>
            </w:r>
          </w:p>
        </w:tc>
        <w:tc>
          <w:tcPr>
            <w:tcW w:w="2147" w:type="dxa"/>
            <w:vAlign w:val="center"/>
          </w:tcPr>
          <w:p w14:paraId="50F5F9B6">
            <w:pPr>
              <w:jc w:val="center"/>
              <w:rPr>
                <w:rFonts w:ascii="宋体" w:cs="宋体"/>
                <w:color w:val="auto"/>
                <w:sz w:val="24"/>
              </w:rPr>
            </w:pPr>
            <w:r>
              <w:rPr>
                <w:rFonts w:hint="eastAsia" w:ascii="宋体" w:cs="宋体"/>
                <w:color w:val="auto"/>
                <w:sz w:val="24"/>
              </w:rPr>
              <w:t>保险要求</w:t>
            </w:r>
          </w:p>
        </w:tc>
        <w:tc>
          <w:tcPr>
            <w:tcW w:w="6737" w:type="dxa"/>
            <w:vAlign w:val="center"/>
          </w:tcPr>
          <w:p w14:paraId="5794FABD">
            <w:pPr>
              <w:rPr>
                <w:rFonts w:ascii="宋体" w:cs="宋体"/>
                <w:color w:val="auto"/>
                <w:sz w:val="24"/>
              </w:rPr>
            </w:pPr>
            <w:r>
              <w:rPr>
                <w:rFonts w:hint="eastAsia" w:ascii="宋体" w:cs="宋体"/>
                <w:color w:val="auto"/>
                <w:sz w:val="24"/>
              </w:rPr>
              <w:t>供应商承担</w:t>
            </w:r>
          </w:p>
        </w:tc>
      </w:tr>
      <w:tr w14:paraId="1221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5" w:type="dxa"/>
            <w:vAlign w:val="center"/>
          </w:tcPr>
          <w:p w14:paraId="318D6CCD">
            <w:pPr>
              <w:rPr>
                <w:rFonts w:ascii="宋体" w:cs="宋体"/>
                <w:color w:val="auto"/>
                <w:sz w:val="24"/>
              </w:rPr>
            </w:pPr>
            <w:r>
              <w:rPr>
                <w:rFonts w:hint="eastAsia" w:ascii="宋体" w:cs="宋体"/>
                <w:color w:val="auto"/>
                <w:sz w:val="24"/>
              </w:rPr>
              <w:t>10.1.6</w:t>
            </w:r>
          </w:p>
        </w:tc>
        <w:tc>
          <w:tcPr>
            <w:tcW w:w="2147" w:type="dxa"/>
            <w:vAlign w:val="center"/>
          </w:tcPr>
          <w:p w14:paraId="48B30EC9">
            <w:pPr>
              <w:jc w:val="center"/>
              <w:rPr>
                <w:rFonts w:ascii="宋体" w:cs="宋体"/>
                <w:b w:val="0"/>
                <w:bCs w:val="0"/>
                <w:color w:val="auto"/>
                <w:sz w:val="24"/>
                <w:highlight w:val="none"/>
              </w:rPr>
            </w:pPr>
            <w:r>
              <w:rPr>
                <w:rFonts w:hint="eastAsia" w:ascii="宋体" w:cs="宋体"/>
                <w:b w:val="0"/>
                <w:bCs w:val="0"/>
                <w:color w:val="auto"/>
                <w:sz w:val="24"/>
                <w:highlight w:val="none"/>
              </w:rPr>
              <w:t>售后服务</w:t>
            </w:r>
          </w:p>
        </w:tc>
        <w:tc>
          <w:tcPr>
            <w:tcW w:w="6737" w:type="dxa"/>
            <w:vAlign w:val="center"/>
          </w:tcPr>
          <w:p w14:paraId="0E2E6815">
            <w:pPr>
              <w:numPr>
                <w:ilvl w:val="0"/>
                <w:numId w:val="0"/>
              </w:numPr>
              <w:ind w:leftChars="0"/>
              <w:jc w:val="left"/>
              <w:rPr>
                <w:rFonts w:ascii="宋体" w:cs="宋体"/>
                <w:b w:val="0"/>
                <w:bCs w:val="0"/>
                <w:color w:val="auto"/>
                <w:sz w:val="24"/>
                <w:highlight w:val="none"/>
              </w:rPr>
            </w:pPr>
            <w:r>
              <w:rPr>
                <w:rFonts w:hint="eastAsia" w:ascii="宋体" w:hAnsi="宋体" w:cs="宋体"/>
                <w:b w:val="0"/>
                <w:bCs w:val="0"/>
                <w:color w:val="auto"/>
                <w:sz w:val="24"/>
                <w:highlight w:val="none"/>
                <w:lang w:val="en-US" w:eastAsia="zh-CN"/>
              </w:rPr>
              <w:t>本次招标涉及的所有产品硬件及管理平台，整机质保期三年。中标供应商负责免费运维期限内设备的回收、检定工作，采购人不再支付运维期限内的流量资费、软件升级费、标定等其他费用。</w:t>
            </w:r>
          </w:p>
        </w:tc>
      </w:tr>
      <w:tr w14:paraId="4775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75" w:type="dxa"/>
            <w:vAlign w:val="center"/>
          </w:tcPr>
          <w:p w14:paraId="0BA2AE26">
            <w:pPr>
              <w:rPr>
                <w:rFonts w:ascii="宋体" w:cs="宋体"/>
                <w:color w:val="auto"/>
                <w:sz w:val="24"/>
              </w:rPr>
            </w:pPr>
            <w:r>
              <w:rPr>
                <w:rFonts w:hint="eastAsia" w:ascii="宋体" w:cs="宋体"/>
                <w:color w:val="auto"/>
                <w:sz w:val="24"/>
              </w:rPr>
              <w:t>10.1.7</w:t>
            </w:r>
          </w:p>
        </w:tc>
        <w:tc>
          <w:tcPr>
            <w:tcW w:w="2147" w:type="dxa"/>
            <w:vAlign w:val="center"/>
          </w:tcPr>
          <w:p w14:paraId="7BBAA8CC">
            <w:pPr>
              <w:pStyle w:val="17"/>
              <w:widowControl/>
              <w:jc w:val="center"/>
              <w:rPr>
                <w:rFonts w:ascii="宋体" w:cs="宋体"/>
                <w:color w:val="auto"/>
                <w:sz w:val="24"/>
              </w:rPr>
            </w:pPr>
            <w:r>
              <w:rPr>
                <w:rFonts w:hint="eastAsia" w:ascii="宋体" w:hAnsi="宋体" w:cs="宋体"/>
                <w:bCs/>
                <w:color w:val="auto"/>
                <w:kern w:val="0"/>
                <w:sz w:val="24"/>
              </w:rPr>
              <w:t>知识产权的归属和处理方式</w:t>
            </w:r>
          </w:p>
        </w:tc>
        <w:tc>
          <w:tcPr>
            <w:tcW w:w="6737" w:type="dxa"/>
            <w:vAlign w:val="center"/>
          </w:tcPr>
          <w:p w14:paraId="78EEFEE3">
            <w:pPr>
              <w:pStyle w:val="17"/>
              <w:widowControl/>
              <w:rPr>
                <w:color w:val="auto"/>
              </w:rPr>
            </w:pPr>
            <w:r>
              <w:rPr>
                <w:rFonts w:hint="eastAsia" w:ascii="宋体" w:hAnsi="宋体" w:cs="宋体"/>
                <w:bCs/>
                <w:color w:val="auto"/>
                <w:sz w:val="24"/>
              </w:rPr>
              <w:t>供方应保证需方在使用本合同项下的货物或其任何一部分时免受第三方提出侵犯其知识产权、商标权或工业设计权的起诉。如果发生此类问题，供方应负责交涉并承担一切费用和责任。</w:t>
            </w:r>
          </w:p>
        </w:tc>
      </w:tr>
      <w:tr w14:paraId="4B5E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75" w:type="dxa"/>
            <w:vAlign w:val="center"/>
          </w:tcPr>
          <w:p w14:paraId="3483B5E9">
            <w:pPr>
              <w:rPr>
                <w:rFonts w:ascii="宋体" w:cs="宋体"/>
                <w:color w:val="auto"/>
                <w:sz w:val="24"/>
              </w:rPr>
            </w:pPr>
            <w:r>
              <w:rPr>
                <w:rFonts w:hint="eastAsia" w:ascii="宋体" w:cs="宋体"/>
                <w:color w:val="auto"/>
                <w:sz w:val="24"/>
              </w:rPr>
              <w:t>10.1.8</w:t>
            </w:r>
          </w:p>
        </w:tc>
        <w:tc>
          <w:tcPr>
            <w:tcW w:w="2147" w:type="dxa"/>
            <w:vAlign w:val="center"/>
          </w:tcPr>
          <w:p w14:paraId="3773E920">
            <w:pPr>
              <w:pStyle w:val="17"/>
              <w:widowControl/>
              <w:spacing w:line="360" w:lineRule="auto"/>
              <w:jc w:val="center"/>
              <w:rPr>
                <w:rFonts w:ascii="宋体" w:cs="宋体"/>
                <w:color w:val="auto"/>
                <w:sz w:val="24"/>
              </w:rPr>
            </w:pPr>
            <w:r>
              <w:rPr>
                <w:rFonts w:hint="eastAsia" w:ascii="宋体" w:hAnsi="宋体" w:cs="宋体"/>
                <w:bCs/>
                <w:color w:val="auto"/>
                <w:sz w:val="24"/>
                <w:lang w:val="zh-CN"/>
              </w:rPr>
              <w:t>履约验收要求</w:t>
            </w:r>
          </w:p>
        </w:tc>
        <w:tc>
          <w:tcPr>
            <w:tcW w:w="6737" w:type="dxa"/>
            <w:vAlign w:val="center"/>
          </w:tcPr>
          <w:p w14:paraId="4C1A3334">
            <w:pPr>
              <w:pStyle w:val="17"/>
              <w:widowControl/>
              <w:spacing w:line="360" w:lineRule="exact"/>
              <w:rPr>
                <w:color w:val="auto"/>
                <w:sz w:val="24"/>
              </w:rPr>
            </w:pPr>
            <w:r>
              <w:rPr>
                <w:rFonts w:hint="eastAsia" w:ascii="宋体" w:hAnsi="宋体" w:cs="宋体"/>
                <w:bCs/>
                <w:sz w:val="24"/>
              </w:rPr>
              <w:t>（包括履约验收的主体、时间、方式、程序、内容和验收标准等事项）</w:t>
            </w:r>
          </w:p>
        </w:tc>
      </w:tr>
      <w:tr w14:paraId="6EC2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noWrap/>
            <w:vAlign w:val="center"/>
          </w:tcPr>
          <w:p w14:paraId="134FA852">
            <w:pPr>
              <w:jc w:val="center"/>
              <w:rPr>
                <w:rFonts w:hint="eastAsia" w:ascii="宋体" w:eastAsia="宋体" w:cs="宋体"/>
                <w:color w:val="auto"/>
                <w:sz w:val="24"/>
                <w:lang w:eastAsia="zh-CN"/>
              </w:rPr>
            </w:pPr>
            <w:r>
              <w:rPr>
                <w:rFonts w:hint="eastAsia" w:ascii="宋体" w:cs="宋体"/>
                <w:color w:val="auto"/>
                <w:sz w:val="24"/>
              </w:rPr>
              <w:t>10.1.</w:t>
            </w:r>
            <w:r>
              <w:rPr>
                <w:rFonts w:hint="eastAsia" w:ascii="宋体" w:cs="宋体"/>
                <w:color w:val="auto"/>
                <w:sz w:val="24"/>
                <w:lang w:val="en-US" w:eastAsia="zh-CN"/>
              </w:rPr>
              <w:t>9</w:t>
            </w:r>
          </w:p>
        </w:tc>
        <w:tc>
          <w:tcPr>
            <w:tcW w:w="2147" w:type="dxa"/>
            <w:noWrap/>
            <w:vAlign w:val="center"/>
          </w:tcPr>
          <w:p w14:paraId="6B95119D">
            <w:pPr>
              <w:jc w:val="center"/>
              <w:rPr>
                <w:rFonts w:ascii="宋体" w:cs="宋体"/>
                <w:color w:val="auto"/>
                <w:sz w:val="24"/>
              </w:rPr>
            </w:pPr>
            <w:r>
              <w:rPr>
                <w:rFonts w:hint="eastAsia" w:ascii="宋体" w:cs="宋体"/>
                <w:color w:val="auto"/>
                <w:sz w:val="24"/>
              </w:rPr>
              <w:t>低于成本价不正当竞争预防措施</w:t>
            </w:r>
          </w:p>
          <w:p w14:paraId="137765BE">
            <w:pPr>
              <w:jc w:val="center"/>
              <w:rPr>
                <w:rFonts w:ascii="宋体" w:cs="宋体"/>
                <w:color w:val="auto"/>
                <w:sz w:val="24"/>
              </w:rPr>
            </w:pPr>
            <w:r>
              <w:rPr>
                <w:rFonts w:hint="eastAsia" w:ascii="宋体" w:cs="宋体"/>
                <w:color w:val="auto"/>
                <w:sz w:val="24"/>
              </w:rPr>
              <w:t>（实质性要求）</w:t>
            </w:r>
          </w:p>
        </w:tc>
        <w:tc>
          <w:tcPr>
            <w:tcW w:w="6737" w:type="dxa"/>
            <w:noWrap/>
          </w:tcPr>
          <w:p w14:paraId="58C90263">
            <w:pPr>
              <w:rPr>
                <w:rFonts w:ascii="宋体" w:cs="宋体"/>
                <w:color w:val="auto"/>
                <w:sz w:val="24"/>
              </w:rPr>
            </w:pPr>
            <w:r>
              <w:rPr>
                <w:rFonts w:hint="eastAsia" w:ascii="宋体" w:cs="宋体"/>
                <w:color w:val="auto"/>
                <w:sz w:val="24"/>
              </w:rPr>
              <w:t xml:space="preserve">1、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 </w:t>
            </w:r>
          </w:p>
          <w:p w14:paraId="3F55C504">
            <w:pPr>
              <w:rPr>
                <w:rFonts w:ascii="宋体" w:cs="宋体"/>
                <w:color w:val="auto"/>
                <w:sz w:val="24"/>
              </w:rPr>
            </w:pPr>
            <w:r>
              <w:rPr>
                <w:rFonts w:hint="eastAsia" w:ascii="宋体" w:cs="宋体"/>
                <w:color w:val="auto"/>
                <w:sz w:val="24"/>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1C7C8EB7">
            <w:pPr>
              <w:rPr>
                <w:rFonts w:ascii="宋体" w:cs="宋体"/>
                <w:color w:val="auto"/>
                <w:sz w:val="24"/>
              </w:rPr>
            </w:pPr>
            <w:r>
              <w:rPr>
                <w:rFonts w:hint="eastAsia" w:ascii="宋体" w:cs="宋体"/>
                <w:color w:val="auto"/>
                <w:sz w:val="24"/>
              </w:rPr>
              <w:t xml:space="preserve">2、供应商书面说明应当签字确认或者加盖公章，否则无效。 </w:t>
            </w:r>
          </w:p>
          <w:p w14:paraId="5DC4BD07">
            <w:pPr>
              <w:rPr>
                <w:rFonts w:ascii="宋体" w:cs="宋体"/>
                <w:color w:val="auto"/>
                <w:sz w:val="24"/>
              </w:rPr>
            </w:pPr>
            <w:r>
              <w:rPr>
                <w:rFonts w:hint="eastAsia" w:ascii="宋体" w:cs="宋体"/>
                <w:color w:val="auto"/>
                <w:sz w:val="24"/>
              </w:rPr>
              <w:t xml:space="preserve">书面说明的签字确认，由其法定代表人/主要负责人/本人或者其授权代表签字确认。 </w:t>
            </w:r>
          </w:p>
          <w:p w14:paraId="280C6598">
            <w:pPr>
              <w:rPr>
                <w:rFonts w:ascii="宋体" w:cs="宋体"/>
                <w:color w:val="auto"/>
                <w:sz w:val="24"/>
              </w:rPr>
            </w:pPr>
            <w:r>
              <w:rPr>
                <w:rFonts w:hint="eastAsia" w:ascii="宋体" w:cs="宋体"/>
                <w:color w:val="auto"/>
                <w:sz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4C22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restart"/>
            <w:noWrap/>
            <w:vAlign w:val="center"/>
          </w:tcPr>
          <w:p w14:paraId="087062F1">
            <w:pPr>
              <w:jc w:val="center"/>
              <w:rPr>
                <w:rFonts w:hint="eastAsia" w:ascii="宋体" w:eastAsia="宋体" w:cs="宋体"/>
                <w:color w:val="auto"/>
                <w:sz w:val="24"/>
                <w:lang w:val="en-US" w:eastAsia="zh-CN"/>
              </w:rPr>
            </w:pPr>
            <w:r>
              <w:rPr>
                <w:rFonts w:hint="eastAsia" w:ascii="宋体" w:cs="宋体"/>
                <w:color w:val="auto"/>
                <w:sz w:val="24"/>
              </w:rPr>
              <w:t>10.1.1</w:t>
            </w:r>
            <w:r>
              <w:rPr>
                <w:rFonts w:hint="eastAsia" w:ascii="宋体" w:cs="宋体"/>
                <w:color w:val="auto"/>
                <w:sz w:val="24"/>
                <w:lang w:val="en-US" w:eastAsia="zh-CN"/>
              </w:rPr>
              <w:t>0</w:t>
            </w:r>
          </w:p>
        </w:tc>
        <w:tc>
          <w:tcPr>
            <w:tcW w:w="2147" w:type="dxa"/>
            <w:vMerge w:val="restart"/>
            <w:noWrap/>
            <w:vAlign w:val="center"/>
          </w:tcPr>
          <w:p w14:paraId="0313EDA7">
            <w:pPr>
              <w:jc w:val="left"/>
              <w:rPr>
                <w:rFonts w:ascii="宋体" w:cs="宋体"/>
                <w:color w:val="auto"/>
                <w:sz w:val="24"/>
              </w:rPr>
            </w:pPr>
            <w:r>
              <w:rPr>
                <w:rFonts w:hint="eastAsia" w:ascii="宋体" w:cs="宋体"/>
                <w:color w:val="auto"/>
                <w:sz w:val="24"/>
              </w:rPr>
              <w:t>需要落实的政府采购政策</w:t>
            </w:r>
          </w:p>
        </w:tc>
        <w:tc>
          <w:tcPr>
            <w:tcW w:w="6737" w:type="dxa"/>
            <w:noWrap/>
            <w:vAlign w:val="center"/>
          </w:tcPr>
          <w:p w14:paraId="58469909">
            <w:pPr>
              <w:tabs>
                <w:tab w:val="left" w:pos="3675"/>
              </w:tabs>
              <w:adjustRightInd w:val="0"/>
              <w:snapToGrid w:val="0"/>
              <w:rPr>
                <w:rFonts w:ascii="宋体" w:cs="宋体"/>
                <w:color w:val="auto"/>
                <w:sz w:val="24"/>
              </w:rPr>
            </w:pPr>
            <w:r>
              <w:rPr>
                <w:rFonts w:hint="eastAsia" w:ascii="宋体" w:cs="宋体"/>
                <w:color w:val="auto"/>
                <w:sz w:val="24"/>
              </w:rPr>
              <w:t>政府采购进口产品的规定：</w:t>
            </w:r>
          </w:p>
          <w:p w14:paraId="09E77FCC">
            <w:pPr>
              <w:adjustRightInd w:val="0"/>
              <w:snapToGrid w:val="0"/>
              <w:rPr>
                <w:rFonts w:ascii="宋体" w:cs="宋体"/>
                <w:color w:val="auto"/>
                <w:sz w:val="24"/>
              </w:rPr>
            </w:pPr>
            <w:r>
              <w:rPr>
                <w:rFonts w:hint="eastAsia" w:ascii="宋体" w:cs="宋体"/>
                <w:color w:val="auto"/>
                <w:sz w:val="24"/>
                <w:lang w:val="zh-CN"/>
              </w:rPr>
              <w:t>按照财政部《政府采购进口产品管理办法》第一章第四条关于“政府采购应当采购本国产品，确需采购进口产品（指通过中国海关报关验放进入中国境内且产自关境外的产品）的，实行审核管理”的规定，竞争性磋商文件中凡未明确标明采购进口产品的，均为采购本国产品，投标供应商必须投标本国产品，投标进口产品的为无效投标。</w:t>
            </w:r>
          </w:p>
          <w:p w14:paraId="2447D450">
            <w:pPr>
              <w:adjustRightInd w:val="0"/>
              <w:snapToGrid w:val="0"/>
              <w:rPr>
                <w:rFonts w:ascii="宋体" w:cs="宋体"/>
                <w:bCs/>
                <w:color w:val="auto"/>
                <w:sz w:val="24"/>
                <w:lang w:val="zh-CN"/>
              </w:rPr>
            </w:pPr>
            <w:r>
              <w:rPr>
                <w:rFonts w:hint="eastAsia" w:ascii="宋体" w:cs="宋体"/>
                <w:bCs/>
                <w:color w:val="auto"/>
                <w:sz w:val="24"/>
                <w:lang w:val="zh-CN"/>
              </w:rPr>
              <w:t>在中国境内生产或组装的外国品牌产品须标明该产品在中国国内制造厂商名称。</w:t>
            </w:r>
          </w:p>
          <w:p w14:paraId="729BF72D">
            <w:pPr>
              <w:adjustRightInd w:val="0"/>
              <w:snapToGrid w:val="0"/>
              <w:rPr>
                <w:rFonts w:ascii="宋体" w:cs="宋体"/>
                <w:color w:val="auto"/>
                <w:sz w:val="24"/>
              </w:rPr>
            </w:pPr>
            <w:r>
              <w:rPr>
                <w:rFonts w:hint="eastAsia" w:ascii="宋体" w:cs="宋体"/>
                <w:color w:val="auto"/>
                <w:sz w:val="24"/>
              </w:rPr>
              <w:sym w:font="Wingdings" w:char="F0FE"/>
            </w:r>
            <w:r>
              <w:rPr>
                <w:rFonts w:hint="eastAsia" w:ascii="宋体" w:cs="宋体"/>
                <w:color w:val="auto"/>
                <w:sz w:val="24"/>
              </w:rPr>
              <w:t xml:space="preserve"> 本项目拒绝进口产品</w:t>
            </w:r>
          </w:p>
          <w:p w14:paraId="27851659">
            <w:pPr>
              <w:rPr>
                <w:rFonts w:ascii="宋体" w:cs="宋体"/>
                <w:color w:val="auto"/>
                <w:sz w:val="24"/>
              </w:rPr>
            </w:pPr>
            <w:r>
              <w:rPr>
                <w:rFonts w:hint="eastAsia" w:ascii="宋体" w:cs="宋体"/>
                <w:color w:val="auto"/>
                <w:sz w:val="24"/>
              </w:rPr>
              <w:t>□本项目已经财政部门审核同意购买进口产品</w:t>
            </w:r>
          </w:p>
        </w:tc>
      </w:tr>
      <w:tr w14:paraId="4E55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75" w:type="dxa"/>
            <w:vMerge w:val="continue"/>
            <w:noWrap/>
            <w:vAlign w:val="center"/>
          </w:tcPr>
          <w:p w14:paraId="36E77BB1">
            <w:pPr>
              <w:rPr>
                <w:color w:val="auto"/>
              </w:rPr>
            </w:pPr>
          </w:p>
        </w:tc>
        <w:tc>
          <w:tcPr>
            <w:tcW w:w="2147" w:type="dxa"/>
            <w:vMerge w:val="continue"/>
            <w:noWrap/>
            <w:vAlign w:val="center"/>
          </w:tcPr>
          <w:p w14:paraId="6C2CF8EA">
            <w:pPr>
              <w:rPr>
                <w:color w:val="auto"/>
              </w:rPr>
            </w:pPr>
          </w:p>
        </w:tc>
        <w:tc>
          <w:tcPr>
            <w:tcW w:w="6737" w:type="dxa"/>
            <w:noWrap/>
            <w:vAlign w:val="center"/>
          </w:tcPr>
          <w:p w14:paraId="6DB89EF5">
            <w:pPr>
              <w:rPr>
                <w:rFonts w:ascii="宋体" w:cs="宋体"/>
                <w:color w:val="auto"/>
                <w:sz w:val="24"/>
              </w:rPr>
            </w:pPr>
            <w:r>
              <w:rPr>
                <w:rFonts w:hint="eastAsia" w:ascii="宋体" w:cs="宋体"/>
                <w:color w:val="auto"/>
                <w:sz w:val="24"/>
              </w:rPr>
              <w:t xml:space="preserve">强制、优先采购节能产品、环境标志产品政策 </w:t>
            </w:r>
          </w:p>
          <w:p w14:paraId="7365E64D">
            <w:pPr>
              <w:rPr>
                <w:rFonts w:ascii="宋体" w:cs="宋体"/>
                <w:color w:val="auto"/>
                <w:sz w:val="24"/>
              </w:rPr>
            </w:pPr>
            <w:r>
              <w:rPr>
                <w:rFonts w:hint="eastAsia" w:ascii="宋体" w:cs="宋体"/>
                <w:color w:val="auto"/>
                <w:sz w:val="24"/>
              </w:rPr>
              <w:t xml:space="preserve">（一）政策依据 </w:t>
            </w:r>
          </w:p>
          <w:p w14:paraId="284BE83C">
            <w:pPr>
              <w:rPr>
                <w:rFonts w:ascii="宋体" w:cs="宋体"/>
                <w:color w:val="auto"/>
                <w:sz w:val="24"/>
              </w:rPr>
            </w:pPr>
            <w:r>
              <w:rPr>
                <w:rFonts w:hint="eastAsia" w:ascii="宋体" w:cs="宋体"/>
                <w:color w:val="auto"/>
                <w:sz w:val="24"/>
              </w:rPr>
              <w:t>1、财政部 发展改革委 生态环境部 市场监管总局《关于调整优化节能产品、环境标志产品政府采购执行机制的通知》（财库〔2019〕9 号）。</w:t>
            </w:r>
          </w:p>
          <w:p w14:paraId="35371EE0">
            <w:pPr>
              <w:rPr>
                <w:rFonts w:ascii="宋体" w:cs="宋体"/>
                <w:color w:val="auto"/>
                <w:sz w:val="24"/>
              </w:rPr>
            </w:pPr>
            <w:r>
              <w:rPr>
                <w:rFonts w:hint="eastAsia" w:ascii="宋体" w:cs="宋体"/>
                <w:color w:val="auto"/>
                <w:sz w:val="24"/>
              </w:rPr>
              <w:t>2、财政部 生态环境部《关于印发环境标志产品政府采购品目清单的通知》（财库〔2019〕18 号）。</w:t>
            </w:r>
          </w:p>
          <w:p w14:paraId="570718C9">
            <w:pPr>
              <w:rPr>
                <w:rFonts w:ascii="宋体" w:cs="宋体"/>
                <w:color w:val="auto"/>
                <w:sz w:val="24"/>
              </w:rPr>
            </w:pPr>
            <w:r>
              <w:rPr>
                <w:rFonts w:hint="eastAsia" w:ascii="宋体" w:cs="宋体"/>
                <w:color w:val="auto"/>
                <w:sz w:val="24"/>
              </w:rPr>
              <w:t>3、财政部 发展改革委《关于印发节能产品政府采购品目清单的通知》（财库〔2019〕19 号）。</w:t>
            </w:r>
          </w:p>
          <w:p w14:paraId="237D68AC">
            <w:pPr>
              <w:rPr>
                <w:rFonts w:ascii="宋体" w:cs="宋体"/>
                <w:color w:val="auto"/>
                <w:sz w:val="24"/>
              </w:rPr>
            </w:pPr>
            <w:r>
              <w:rPr>
                <w:rFonts w:hint="eastAsia" w:ascii="宋体" w:cs="宋体"/>
                <w:color w:val="auto"/>
                <w:sz w:val="24"/>
              </w:rPr>
              <w:t>（二）节能产品、环境标志产品的品目政府采购节能产品、环境标志产品实施品目清单管理，详见《节能产品政府采购品目清单》、《环境标志产品政府采购品目清单》。</w:t>
            </w:r>
          </w:p>
          <w:p w14:paraId="4BD542AC">
            <w:pPr>
              <w:rPr>
                <w:rFonts w:ascii="宋体" w:cs="宋体"/>
                <w:color w:val="auto"/>
                <w:sz w:val="24"/>
              </w:rPr>
            </w:pPr>
            <w:r>
              <w:rPr>
                <w:rFonts w:hint="eastAsia" w:ascii="宋体" w:cs="宋体"/>
                <w:color w:val="auto"/>
                <w:sz w:val="24"/>
              </w:rPr>
              <w:t xml:space="preserve">（三）节能产品、环境标志产品需提供的证明材料 </w:t>
            </w:r>
          </w:p>
          <w:p w14:paraId="4FAA948A">
            <w:pPr>
              <w:rPr>
                <w:rFonts w:ascii="宋体" w:cs="宋体"/>
                <w:color w:val="auto"/>
                <w:sz w:val="24"/>
              </w:rPr>
            </w:pPr>
            <w:r>
              <w:rPr>
                <w:rFonts w:hint="eastAsia" w:ascii="宋体" w:cs="宋体"/>
                <w:color w:val="auto"/>
                <w:sz w:val="24"/>
              </w:rPr>
              <w:t>采购人拟采购的产品属于品目清单范围的，供应商应当提供本采购文件规定的</w:t>
            </w:r>
          </w:p>
          <w:p w14:paraId="7D1A9DBE">
            <w:pPr>
              <w:rPr>
                <w:rFonts w:ascii="宋体" w:cs="宋体"/>
                <w:color w:val="auto"/>
                <w:sz w:val="24"/>
              </w:rPr>
            </w:pPr>
            <w:r>
              <w:rPr>
                <w:rFonts w:hint="eastAsia" w:ascii="宋体" w:cs="宋体"/>
                <w:color w:val="auto"/>
                <w:sz w:val="24"/>
              </w:rPr>
              <w:t>《节能产品、环境标志产品强制采购认证证书一览表》和《节能产品、环境标志产品优先采购认证证书一览表》，填写获得国家确定的认证机构出具的、处于有效期之内的节能产品、环境标志产品认证证书相关信息。</w:t>
            </w:r>
          </w:p>
          <w:p w14:paraId="3360EB2D">
            <w:pPr>
              <w:rPr>
                <w:rFonts w:ascii="宋体" w:cs="宋体"/>
                <w:color w:val="auto"/>
                <w:sz w:val="24"/>
              </w:rPr>
            </w:pPr>
            <w:r>
              <w:rPr>
                <w:rFonts w:hint="eastAsia" w:ascii="宋体" w:cs="宋体"/>
                <w:color w:val="auto"/>
                <w:sz w:val="24"/>
              </w:rPr>
              <w:t xml:space="preserve">（四）节能产品、环境标志产品采购政策 </w:t>
            </w:r>
          </w:p>
          <w:p w14:paraId="590C3EAE">
            <w:pPr>
              <w:rPr>
                <w:rFonts w:ascii="宋体" w:cs="宋体"/>
                <w:color w:val="auto"/>
                <w:sz w:val="24"/>
              </w:rPr>
            </w:pPr>
            <w:r>
              <w:rPr>
                <w:rFonts w:hint="eastAsia" w:ascii="宋体" w:cs="宋体"/>
                <w:color w:val="auto"/>
                <w:sz w:val="24"/>
              </w:rPr>
              <w:t>采购人拟采购的产品属于品目清单范围，且属于强制采购品目的，实行强制采购。</w:t>
            </w:r>
          </w:p>
          <w:p w14:paraId="5671AD69">
            <w:pPr>
              <w:rPr>
                <w:rFonts w:ascii="宋体" w:cs="宋体"/>
                <w:color w:val="auto"/>
                <w:sz w:val="24"/>
              </w:rPr>
            </w:pPr>
            <w:r>
              <w:rPr>
                <w:rFonts w:hint="eastAsia" w:ascii="宋体" w:cs="宋体"/>
                <w:color w:val="auto"/>
                <w:sz w:val="24"/>
              </w:rPr>
              <w:t>本采购文件第五章要求具有强制采购认证证书的产品，供应商必须在《节能产品、环境标志产品强制采购认证证书一览表》中，填写所投产品获得的、有效的认证证书相关信息并在相应表格后提供对应的认证证书扫描件，否则投标、响应无效。</w:t>
            </w:r>
          </w:p>
          <w:p w14:paraId="6ADF8D6B">
            <w:pPr>
              <w:rPr>
                <w:rFonts w:ascii="宋体" w:cs="宋体"/>
                <w:color w:val="auto"/>
                <w:sz w:val="24"/>
              </w:rPr>
            </w:pPr>
            <w:r>
              <w:rPr>
                <w:rFonts w:hint="eastAsia" w:ascii="宋体" w:cs="宋体"/>
                <w:color w:val="auto"/>
                <w:sz w:val="24"/>
              </w:rPr>
              <w:t>采购人拟采购的产品属于品目清单范围，但不属于强制采购品目的，实行优先采购。供应商应当在《节能产品、环境标志产品优先采购认证证书一览表》中，填写所投产品获得的、有效的认证证书相关信息并在相应表格后提供对应的认证证书扫描</w:t>
            </w:r>
          </w:p>
          <w:p w14:paraId="00AAA2F5">
            <w:pPr>
              <w:rPr>
                <w:rFonts w:ascii="宋体" w:cs="宋体"/>
                <w:color w:val="auto"/>
                <w:sz w:val="24"/>
              </w:rPr>
            </w:pPr>
            <w:r>
              <w:rPr>
                <w:rFonts w:hint="eastAsia" w:ascii="宋体" w:cs="宋体"/>
                <w:color w:val="auto"/>
                <w:sz w:val="24"/>
              </w:rPr>
              <w:t>件，优先采购的具体办法详见本采购文件第三章。</w:t>
            </w:r>
          </w:p>
        </w:tc>
      </w:tr>
      <w:tr w14:paraId="68BD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75" w:type="dxa"/>
            <w:vMerge w:val="continue"/>
            <w:noWrap/>
            <w:vAlign w:val="center"/>
          </w:tcPr>
          <w:p w14:paraId="047AC133">
            <w:pPr>
              <w:rPr>
                <w:color w:val="auto"/>
              </w:rPr>
            </w:pPr>
          </w:p>
        </w:tc>
        <w:tc>
          <w:tcPr>
            <w:tcW w:w="2147" w:type="dxa"/>
            <w:vMerge w:val="continue"/>
            <w:noWrap/>
            <w:vAlign w:val="center"/>
          </w:tcPr>
          <w:p w14:paraId="466E640D">
            <w:pPr>
              <w:rPr>
                <w:color w:val="auto"/>
              </w:rPr>
            </w:pPr>
          </w:p>
        </w:tc>
        <w:tc>
          <w:tcPr>
            <w:tcW w:w="6737" w:type="dxa"/>
            <w:noWrap/>
            <w:vAlign w:val="center"/>
          </w:tcPr>
          <w:p w14:paraId="2CFCB6A4">
            <w:pPr>
              <w:adjustRightInd w:val="0"/>
              <w:snapToGrid w:val="0"/>
              <w:rPr>
                <w:rFonts w:ascii="宋体" w:cs="宋体"/>
                <w:color w:val="auto"/>
                <w:sz w:val="24"/>
              </w:rPr>
            </w:pPr>
            <w:r>
              <w:rPr>
                <w:rFonts w:hint="eastAsia" w:ascii="宋体" w:cs="宋体"/>
                <w:color w:val="auto"/>
                <w:sz w:val="24"/>
              </w:rPr>
              <w:t>政府采购支持中小企业（含监狱企业）发展：</w:t>
            </w:r>
          </w:p>
          <w:p w14:paraId="05BBC61D">
            <w:pPr>
              <w:adjustRightInd w:val="0"/>
              <w:snapToGrid w:val="0"/>
              <w:rPr>
                <w:rFonts w:ascii="宋体" w:cs="宋体"/>
                <w:color w:val="auto"/>
                <w:sz w:val="24"/>
              </w:rPr>
            </w:pPr>
            <w:r>
              <w:rPr>
                <w:rFonts w:hint="eastAsia" w:ascii="宋体" w:cs="宋体"/>
                <w:color w:val="auto"/>
                <w:sz w:val="24"/>
              </w:rPr>
              <w:t>☑专门面向中小企业采购（应同时在竞争性磋商公告中注明）。</w:t>
            </w:r>
          </w:p>
          <w:p w14:paraId="34D09F67">
            <w:pPr>
              <w:adjustRightInd w:val="0"/>
              <w:snapToGrid w:val="0"/>
              <w:rPr>
                <w:rFonts w:ascii="宋体" w:cs="宋体"/>
                <w:color w:val="auto"/>
                <w:sz w:val="24"/>
              </w:rPr>
            </w:pPr>
            <w:r>
              <w:rPr>
                <w:rFonts w:hint="eastAsia" w:ascii="宋体" w:cs="宋体"/>
                <w:color w:val="auto"/>
                <w:sz w:val="24"/>
              </w:rPr>
              <w:sym w:font="Wingdings" w:char="00A8"/>
            </w:r>
            <w:r>
              <w:rPr>
                <w:rFonts w:hint="eastAsia" w:ascii="宋体" w:cs="宋体"/>
                <w:color w:val="auto"/>
                <w:sz w:val="24"/>
              </w:rPr>
              <w:t xml:space="preserve"> 非专门面向中小企业采购：</w:t>
            </w:r>
          </w:p>
          <w:p w14:paraId="5E2E3C27">
            <w:pPr>
              <w:adjustRightInd w:val="0"/>
              <w:snapToGrid w:val="0"/>
              <w:rPr>
                <w:rFonts w:ascii="宋体" w:cs="宋体"/>
                <w:color w:val="auto"/>
                <w:sz w:val="24"/>
              </w:rPr>
            </w:pPr>
            <w:r>
              <w:rPr>
                <w:rFonts w:hint="eastAsia" w:ascii="宋体" w:cs="宋体"/>
                <w:color w:val="auto"/>
                <w:sz w:val="24"/>
              </w:rPr>
              <w:t>对于小型或微型企业（含监狱企业）参与本项目投标的，给予10%的价格扣除。</w:t>
            </w:r>
          </w:p>
          <w:p w14:paraId="39C12634">
            <w:pPr>
              <w:adjustRightInd w:val="0"/>
              <w:snapToGrid w:val="0"/>
              <w:rPr>
                <w:rFonts w:ascii="宋体" w:cs="宋体"/>
                <w:color w:val="auto"/>
                <w:sz w:val="24"/>
              </w:rPr>
            </w:pPr>
            <w:r>
              <w:rPr>
                <w:rFonts w:hint="eastAsia" w:ascii="宋体" w:cs="宋体"/>
                <w:color w:val="auto"/>
                <w:sz w:val="24"/>
              </w:rPr>
              <w:t>注</w:t>
            </w:r>
          </w:p>
          <w:p w14:paraId="173A22B5">
            <w:pPr>
              <w:adjustRightInd w:val="0"/>
              <w:snapToGrid w:val="0"/>
              <w:rPr>
                <w:rFonts w:ascii="宋体" w:cs="宋体"/>
                <w:color w:val="auto"/>
                <w:sz w:val="24"/>
              </w:rPr>
            </w:pPr>
            <w:r>
              <w:rPr>
                <w:rFonts w:hint="eastAsia" w:ascii="宋体" w:cs="宋体"/>
                <w:color w:val="auto"/>
                <w:sz w:val="24"/>
              </w:rPr>
              <w:t>1）提供《中小企业声明函》；</w:t>
            </w:r>
          </w:p>
          <w:p w14:paraId="0F19E0AA">
            <w:pPr>
              <w:adjustRightInd w:val="0"/>
              <w:snapToGrid w:val="0"/>
              <w:rPr>
                <w:rFonts w:ascii="宋体" w:cs="宋体"/>
                <w:color w:val="auto"/>
                <w:sz w:val="24"/>
              </w:rPr>
            </w:pPr>
            <w:r>
              <w:rPr>
                <w:rFonts w:hint="eastAsia" w:ascii="宋体" w:cs="宋体"/>
                <w:color w:val="auto"/>
                <w:sz w:val="24"/>
              </w:rPr>
              <w:t>2）监狱企业参加政府采购活动时，应当提供由省级以上监狱管理局、戒毒管理局（含新疆生产建设兵团）出具的属于监狱企业的证明文件。</w:t>
            </w:r>
          </w:p>
          <w:p w14:paraId="50848E70">
            <w:pPr>
              <w:pStyle w:val="27"/>
              <w:ind w:firstLine="0"/>
              <w:rPr>
                <w:rFonts w:ascii="宋体" w:eastAsia="宋体" w:cs="宋体"/>
                <w:color w:val="auto"/>
              </w:rPr>
            </w:pPr>
            <w:r>
              <w:rPr>
                <w:rFonts w:hint="eastAsia" w:ascii="宋体" w:eastAsia="宋体" w:cs="宋体"/>
                <w:color w:val="auto"/>
              </w:rPr>
              <w:t>3）供应商为残疾人福利性单位的视同小型和微型企业，应当提供《残疾人福利性单位声明函》</w:t>
            </w:r>
          </w:p>
          <w:p w14:paraId="5D6C4555">
            <w:pPr>
              <w:adjustRightInd w:val="0"/>
              <w:snapToGrid w:val="0"/>
              <w:rPr>
                <w:rFonts w:hint="eastAsia" w:ascii="宋体" w:cs="宋体"/>
                <w:color w:val="auto"/>
                <w:sz w:val="24"/>
              </w:rPr>
            </w:pPr>
            <w:r>
              <w:rPr>
                <w:rFonts w:hint="eastAsia" w:ascii="宋体" w:cs="宋体"/>
                <w:color w:val="auto"/>
                <w:sz w:val="24"/>
              </w:rPr>
              <w:t>4）根据工信部等部位发布的《关于印发中小企业划型标准规定的通知》（工信部联企业【2011】300号），符合相关条件的为中小微型企业。</w:t>
            </w:r>
          </w:p>
          <w:p w14:paraId="7392ED7B">
            <w:pPr>
              <w:adjustRightInd w:val="0"/>
              <w:snapToGrid w:val="0"/>
              <w:rPr>
                <w:rFonts w:ascii="宋体" w:cs="宋体"/>
                <w:color w:val="auto"/>
              </w:rPr>
            </w:pPr>
            <w:r>
              <w:rPr>
                <w:rFonts w:hint="eastAsia" w:ascii="宋体" w:cs="宋体"/>
                <w:color w:val="auto"/>
                <w:sz w:val="24"/>
              </w:rPr>
              <w:t>本项目所属行业为：</w:t>
            </w:r>
            <w:r>
              <w:rPr>
                <w:rFonts w:hint="eastAsia" w:ascii="宋体" w:cs="宋体"/>
                <w:color w:val="auto"/>
                <w:spacing w:val="-12"/>
                <w:sz w:val="24"/>
                <w:lang w:val="en-US" w:eastAsia="zh-CN"/>
              </w:rPr>
              <w:t>制造业</w:t>
            </w:r>
            <w:r>
              <w:rPr>
                <w:rFonts w:hint="eastAsia" w:ascii="宋体" w:cs="宋体"/>
                <w:color w:val="auto"/>
                <w:sz w:val="24"/>
              </w:rPr>
              <w:t>。</w:t>
            </w:r>
          </w:p>
        </w:tc>
      </w:tr>
      <w:tr w14:paraId="5599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75" w:type="dxa"/>
            <w:noWrap/>
            <w:vAlign w:val="center"/>
          </w:tcPr>
          <w:p w14:paraId="7C0EDE0C">
            <w:pPr>
              <w:jc w:val="center"/>
              <w:rPr>
                <w:rFonts w:hint="eastAsia" w:ascii="宋体" w:eastAsia="宋体" w:cs="宋体"/>
                <w:color w:val="auto"/>
                <w:sz w:val="24"/>
                <w:lang w:val="en-US" w:eastAsia="zh-CN"/>
              </w:rPr>
            </w:pPr>
            <w:r>
              <w:rPr>
                <w:rFonts w:hint="eastAsia" w:ascii="宋体" w:cs="宋体"/>
                <w:color w:val="auto"/>
                <w:sz w:val="24"/>
              </w:rPr>
              <w:t>10.1.1</w:t>
            </w:r>
            <w:r>
              <w:rPr>
                <w:rFonts w:hint="eastAsia" w:ascii="宋体" w:cs="宋体"/>
                <w:color w:val="auto"/>
                <w:sz w:val="24"/>
                <w:lang w:val="en-US" w:eastAsia="zh-CN"/>
              </w:rPr>
              <w:t>1</w:t>
            </w:r>
          </w:p>
        </w:tc>
        <w:tc>
          <w:tcPr>
            <w:tcW w:w="2147" w:type="dxa"/>
            <w:noWrap/>
            <w:vAlign w:val="center"/>
          </w:tcPr>
          <w:p w14:paraId="13E01B01">
            <w:pPr>
              <w:jc w:val="left"/>
              <w:rPr>
                <w:rFonts w:ascii="宋体" w:cs="宋体"/>
                <w:color w:val="auto"/>
                <w:sz w:val="24"/>
              </w:rPr>
            </w:pPr>
            <w:r>
              <w:rPr>
                <w:rFonts w:hint="eastAsia" w:ascii="宋体" w:cs="宋体"/>
                <w:color w:val="auto"/>
                <w:sz w:val="24"/>
              </w:rPr>
              <w:t>信用信息查询</w:t>
            </w:r>
          </w:p>
        </w:tc>
        <w:tc>
          <w:tcPr>
            <w:tcW w:w="6737" w:type="dxa"/>
            <w:noWrap/>
            <w:vAlign w:val="center"/>
          </w:tcPr>
          <w:p w14:paraId="40D11D38">
            <w:pPr>
              <w:adjustRightInd w:val="0"/>
              <w:snapToGrid w:val="0"/>
              <w:rPr>
                <w:rFonts w:ascii="宋体" w:cs="宋体"/>
                <w:color w:val="auto"/>
                <w:sz w:val="24"/>
              </w:rPr>
            </w:pPr>
            <w:r>
              <w:rPr>
                <w:rFonts w:hint="eastAsia" w:ascii="宋体" w:cs="宋体"/>
                <w:color w:val="auto"/>
                <w:sz w:val="24"/>
              </w:rPr>
              <w:t>对供应商信用信息的查询：</w:t>
            </w:r>
          </w:p>
          <w:p w14:paraId="5E4DE15C">
            <w:pPr>
              <w:adjustRightInd w:val="0"/>
              <w:snapToGrid w:val="0"/>
              <w:rPr>
                <w:rFonts w:ascii="宋体" w:cs="宋体"/>
                <w:color w:val="auto"/>
                <w:sz w:val="24"/>
              </w:rPr>
            </w:pPr>
            <w:r>
              <w:rPr>
                <w:rFonts w:hint="eastAsia" w:ascii="宋体" w:cs="宋体"/>
                <w:color w:val="auto"/>
                <w:sz w:val="24"/>
              </w:rPr>
              <w:t>查询渠道：①“信用中国”网站（www.creditchina.gov.cn）：失信被执行人、企业经营异常名录、重大税收违法案件当事人名单、政府采购严重违法失信名单。</w:t>
            </w:r>
          </w:p>
          <w:p w14:paraId="56144509">
            <w:pPr>
              <w:adjustRightInd w:val="0"/>
              <w:snapToGrid w:val="0"/>
              <w:rPr>
                <w:rFonts w:ascii="宋体" w:cs="宋体"/>
                <w:color w:val="auto"/>
                <w:sz w:val="24"/>
              </w:rPr>
            </w:pPr>
            <w:r>
              <w:rPr>
                <w:rFonts w:hint="eastAsia" w:ascii="宋体" w:cs="宋体"/>
                <w:color w:val="auto"/>
                <w:sz w:val="24"/>
              </w:rPr>
              <w:t>②中国政府采购网(www.ccgp.gov.cn)：政府采购严重违法失信行为信息记录。</w:t>
            </w:r>
          </w:p>
          <w:p w14:paraId="652B2A1A">
            <w:pPr>
              <w:adjustRightInd w:val="0"/>
              <w:snapToGrid w:val="0"/>
              <w:rPr>
                <w:rFonts w:ascii="宋体" w:cs="宋体"/>
                <w:color w:val="auto"/>
                <w:sz w:val="24"/>
              </w:rPr>
            </w:pPr>
            <w:r>
              <w:rPr>
                <w:rFonts w:hint="eastAsia" w:ascii="宋体" w:cs="宋体"/>
                <w:color w:val="auto"/>
                <w:sz w:val="24"/>
              </w:rPr>
              <w:t>查询截止时点：投标截止时间。</w:t>
            </w:r>
          </w:p>
          <w:p w14:paraId="463C904D">
            <w:pPr>
              <w:adjustRightInd w:val="0"/>
              <w:snapToGrid w:val="0"/>
              <w:rPr>
                <w:rFonts w:ascii="宋体" w:cs="宋体"/>
                <w:color w:val="auto"/>
                <w:sz w:val="24"/>
              </w:rPr>
            </w:pPr>
            <w:r>
              <w:rPr>
                <w:rFonts w:hint="eastAsia" w:ascii="宋体" w:cs="宋体"/>
                <w:color w:val="auto"/>
                <w:sz w:val="24"/>
              </w:rPr>
              <w:t>信用信息查询记录和证据留存的具体方式：</w:t>
            </w:r>
          </w:p>
          <w:p w14:paraId="005D88D5">
            <w:pPr>
              <w:adjustRightInd w:val="0"/>
              <w:snapToGrid w:val="0"/>
              <w:rPr>
                <w:rFonts w:ascii="宋体" w:cs="宋体"/>
                <w:color w:val="auto"/>
                <w:sz w:val="24"/>
              </w:rPr>
            </w:pPr>
            <w:r>
              <w:rPr>
                <w:rFonts w:hint="eastAsia" w:ascii="宋体" w:cs="宋体"/>
                <w:color w:val="auto"/>
                <w:sz w:val="24"/>
              </w:rPr>
              <w:t>采购人或采购代理机构将按查询截止时点对所有供应商的信用信息进行查询，网站查询记录作为采购活动存档备案材料的组成部分进行留存。</w:t>
            </w:r>
          </w:p>
          <w:p w14:paraId="7AE53867">
            <w:pPr>
              <w:adjustRightInd w:val="0"/>
              <w:snapToGrid w:val="0"/>
              <w:rPr>
                <w:rFonts w:ascii="宋体" w:cs="宋体"/>
                <w:color w:val="auto"/>
                <w:sz w:val="24"/>
              </w:rPr>
            </w:pPr>
            <w:r>
              <w:rPr>
                <w:rFonts w:hint="eastAsia" w:ascii="宋体" w:cs="宋体"/>
                <w:color w:val="auto"/>
                <w:sz w:val="24"/>
              </w:rPr>
              <w:t>信用信息的使用规则：</w:t>
            </w:r>
          </w:p>
          <w:p w14:paraId="74995BAC">
            <w:pPr>
              <w:adjustRightInd w:val="0"/>
              <w:snapToGrid w:val="0"/>
              <w:rPr>
                <w:rFonts w:ascii="宋体" w:cs="宋体"/>
                <w:color w:val="auto"/>
                <w:sz w:val="24"/>
              </w:rPr>
            </w:pPr>
            <w:r>
              <w:rPr>
                <w:rFonts w:hint="eastAsia" w:ascii="宋体" w:cs="宋体"/>
                <w:color w:val="auto"/>
                <w:sz w:val="24"/>
              </w:rPr>
              <w:t>采购人或采购代理机构将按查询截止时点对所有供应商的信用信息进行查询，查询结果作为是否接受投标报名的依据之一，被列入失信被执行人、重大税收违法案件当事人名单、政府采购严重违法失信行为记录名单的供应商将不接受其参加政府采购活动。</w:t>
            </w:r>
          </w:p>
        </w:tc>
      </w:tr>
      <w:tr w14:paraId="03B9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75" w:type="dxa"/>
            <w:noWrap/>
            <w:vAlign w:val="center"/>
          </w:tcPr>
          <w:p w14:paraId="507D0CE0">
            <w:pPr>
              <w:jc w:val="center"/>
              <w:rPr>
                <w:rFonts w:hint="eastAsia" w:ascii="宋体" w:eastAsia="宋体" w:cs="宋体"/>
                <w:color w:val="auto"/>
                <w:sz w:val="24"/>
                <w:lang w:val="en-US" w:eastAsia="zh-CN"/>
              </w:rPr>
            </w:pPr>
            <w:r>
              <w:rPr>
                <w:rFonts w:hint="eastAsia" w:ascii="宋体" w:cs="宋体"/>
                <w:color w:val="auto"/>
                <w:sz w:val="24"/>
              </w:rPr>
              <w:t>10.1.1</w:t>
            </w:r>
            <w:r>
              <w:rPr>
                <w:rFonts w:hint="eastAsia" w:ascii="宋体" w:cs="宋体"/>
                <w:color w:val="auto"/>
                <w:sz w:val="24"/>
                <w:lang w:val="en-US" w:eastAsia="zh-CN"/>
              </w:rPr>
              <w:t>2</w:t>
            </w:r>
          </w:p>
        </w:tc>
        <w:tc>
          <w:tcPr>
            <w:tcW w:w="2147" w:type="dxa"/>
            <w:noWrap/>
            <w:vAlign w:val="center"/>
          </w:tcPr>
          <w:p w14:paraId="44C69226">
            <w:pPr>
              <w:adjustRightInd w:val="0"/>
              <w:snapToGrid w:val="0"/>
              <w:jc w:val="left"/>
              <w:rPr>
                <w:rFonts w:ascii="宋体" w:cs="宋体"/>
                <w:color w:val="auto"/>
                <w:sz w:val="24"/>
              </w:rPr>
            </w:pPr>
            <w:r>
              <w:rPr>
                <w:rFonts w:hint="eastAsia" w:ascii="宋体" w:cs="宋体"/>
                <w:color w:val="auto"/>
                <w:sz w:val="24"/>
              </w:rPr>
              <w:t>电子响应文件编制及报送要求</w:t>
            </w:r>
          </w:p>
          <w:p w14:paraId="2DDBEFE2">
            <w:pPr>
              <w:adjustRightInd w:val="0"/>
              <w:snapToGrid w:val="0"/>
              <w:jc w:val="left"/>
              <w:rPr>
                <w:rFonts w:ascii="宋体" w:cs="宋体"/>
                <w:color w:val="auto"/>
                <w:sz w:val="24"/>
              </w:rPr>
            </w:pPr>
          </w:p>
        </w:tc>
        <w:tc>
          <w:tcPr>
            <w:tcW w:w="6737" w:type="dxa"/>
            <w:noWrap/>
            <w:vAlign w:val="center"/>
          </w:tcPr>
          <w:p w14:paraId="0D12E326">
            <w:pPr>
              <w:adjustRightInd w:val="0"/>
              <w:snapToGrid w:val="0"/>
              <w:rPr>
                <w:rFonts w:ascii="宋体" w:cs="宋体"/>
                <w:color w:val="auto"/>
                <w:sz w:val="24"/>
              </w:rPr>
            </w:pPr>
            <w:r>
              <w:rPr>
                <w:rFonts w:hint="eastAsia" w:ascii="宋体" w:cs="宋体"/>
                <w:color w:val="auto"/>
                <w:sz w:val="24"/>
              </w:rPr>
              <w:t>一、供应商应按磋商文件要求编制响应文件，将所有响应文件内容上传至“政采云”平台，并在规定时间持制作响应文件时用来加密的有效数字证书（CA认证）</w:t>
            </w:r>
            <w:r>
              <w:rPr>
                <w:rFonts w:hint="eastAsia" w:ascii="宋体" w:cs="宋体"/>
                <w:color w:val="auto"/>
                <w:sz w:val="24"/>
                <w:lang w:val="zh-CN"/>
              </w:rPr>
              <w:t>对</w:t>
            </w:r>
            <w:r>
              <w:rPr>
                <w:rFonts w:hint="eastAsia" w:ascii="宋体" w:cs="宋体"/>
                <w:color w:val="auto"/>
                <w:sz w:val="24"/>
              </w:rPr>
              <w:t>响应文件进行解密。</w:t>
            </w:r>
          </w:p>
          <w:p w14:paraId="1A7A4A45">
            <w:pPr>
              <w:adjustRightInd w:val="0"/>
              <w:snapToGrid w:val="0"/>
              <w:rPr>
                <w:rFonts w:ascii="宋体" w:cs="宋体"/>
                <w:color w:val="auto"/>
                <w:sz w:val="24"/>
              </w:rPr>
            </w:pPr>
            <w:r>
              <w:rPr>
                <w:rFonts w:hint="eastAsia" w:ascii="宋体" w:cs="宋体"/>
                <w:color w:val="auto"/>
                <w:sz w:val="24"/>
              </w:rPr>
              <w:t>二、电子响应文件中反映供应商资格审查的图片、扫描件、文字描述等，必须清晰可见。其中所有证书和执照必须为原件扫描。</w:t>
            </w:r>
          </w:p>
          <w:p w14:paraId="1986DFA9">
            <w:pPr>
              <w:adjustRightInd w:val="0"/>
              <w:snapToGrid w:val="0"/>
              <w:rPr>
                <w:rFonts w:ascii="宋体" w:cs="宋体"/>
                <w:color w:val="auto"/>
                <w:sz w:val="24"/>
              </w:rPr>
            </w:pPr>
            <w:r>
              <w:rPr>
                <w:rFonts w:hint="eastAsia" w:ascii="宋体" w:cs="宋体"/>
                <w:color w:val="auto"/>
                <w:sz w:val="24"/>
              </w:rPr>
              <w:t>三、若供应商上传的电子响应文件因无法解密而对响应文件无法进行评价的，采购人可以拒绝该供应商投标。</w:t>
            </w:r>
          </w:p>
        </w:tc>
      </w:tr>
      <w:tr w14:paraId="7498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59" w:type="dxa"/>
            <w:gridSpan w:val="3"/>
            <w:noWrap/>
            <w:vAlign w:val="center"/>
          </w:tcPr>
          <w:p w14:paraId="5F889D2C">
            <w:pPr>
              <w:widowControl/>
              <w:jc w:val="left"/>
              <w:rPr>
                <w:rFonts w:ascii="宋体" w:cs="宋体"/>
                <w:bCs/>
                <w:color w:val="auto"/>
                <w:sz w:val="24"/>
                <w:lang w:val="zh-CN"/>
              </w:rPr>
            </w:pPr>
            <w:r>
              <w:rPr>
                <w:rFonts w:hint="eastAsia" w:ascii="宋体" w:cs="宋体"/>
                <w:bCs/>
                <w:color w:val="auto"/>
                <w:sz w:val="24"/>
                <w:lang w:val="zh-CN"/>
              </w:rPr>
              <w:t>本项目</w:t>
            </w:r>
            <w:r>
              <w:rPr>
                <w:rFonts w:hint="eastAsia" w:ascii="宋体" w:cs="宋体"/>
                <w:color w:val="auto"/>
                <w:sz w:val="24"/>
              </w:rPr>
              <w:t>竞争性磋商</w:t>
            </w:r>
            <w:r>
              <w:rPr>
                <w:rFonts w:hint="eastAsia" w:ascii="宋体" w:cs="宋体"/>
                <w:bCs/>
                <w:color w:val="auto"/>
                <w:sz w:val="24"/>
                <w:lang w:val="zh-CN"/>
              </w:rPr>
              <w:t>公告与</w:t>
            </w:r>
            <w:r>
              <w:rPr>
                <w:rFonts w:hint="eastAsia" w:ascii="宋体" w:cs="宋体"/>
                <w:color w:val="auto"/>
                <w:sz w:val="24"/>
              </w:rPr>
              <w:t>竞争性磋商</w:t>
            </w:r>
            <w:r>
              <w:rPr>
                <w:rFonts w:hint="eastAsia" w:ascii="宋体" w:cs="宋体"/>
                <w:bCs/>
                <w:color w:val="auto"/>
                <w:sz w:val="24"/>
                <w:lang w:val="zh-CN"/>
              </w:rPr>
              <w:t>文件供应商须知内容有不一致之处，以</w:t>
            </w:r>
            <w:r>
              <w:rPr>
                <w:rFonts w:hint="eastAsia" w:ascii="宋体" w:cs="宋体"/>
                <w:color w:val="auto"/>
                <w:sz w:val="24"/>
              </w:rPr>
              <w:t>竞争性磋商</w:t>
            </w:r>
            <w:r>
              <w:rPr>
                <w:rFonts w:hint="eastAsia" w:ascii="宋体" w:cs="宋体"/>
                <w:bCs/>
                <w:color w:val="auto"/>
                <w:sz w:val="24"/>
                <w:lang w:val="zh-CN"/>
              </w:rPr>
              <w:t>文件供应商须知内容为准。</w:t>
            </w:r>
          </w:p>
        </w:tc>
      </w:tr>
    </w:tbl>
    <w:p w14:paraId="1704349F">
      <w:pPr>
        <w:spacing w:line="360" w:lineRule="auto"/>
        <w:ind w:firstLine="482" w:firstLineChars="200"/>
        <w:jc w:val="center"/>
        <w:rPr>
          <w:rFonts w:ascii="宋体" w:cs="宋体"/>
          <w:b/>
          <w:bCs/>
          <w:sz w:val="24"/>
        </w:rPr>
        <w:sectPr>
          <w:pgSz w:w="11910" w:h="16840"/>
          <w:pgMar w:top="1020" w:right="1134" w:bottom="1020" w:left="1134" w:header="0" w:footer="663" w:gutter="0"/>
          <w:pgNumType w:start="1"/>
          <w:cols w:space="720" w:num="1"/>
          <w:docGrid w:linePitch="312" w:charSpace="0"/>
        </w:sectPr>
      </w:pPr>
    </w:p>
    <w:p w14:paraId="2F7DA3B5">
      <w:pPr>
        <w:jc w:val="center"/>
        <w:rPr>
          <w:rFonts w:ascii="宋体" w:cs="宋体"/>
          <w:b/>
          <w:bCs/>
          <w:sz w:val="24"/>
        </w:rPr>
      </w:pPr>
      <w:r>
        <w:rPr>
          <w:rFonts w:hint="eastAsia" w:ascii="宋体" w:cs="宋体"/>
          <w:b/>
          <w:bCs/>
          <w:sz w:val="24"/>
        </w:rPr>
        <w:t>（二）供应商须知</w:t>
      </w:r>
    </w:p>
    <w:p w14:paraId="1ECE04CA">
      <w:pPr>
        <w:spacing w:line="360" w:lineRule="auto"/>
        <w:ind w:firstLine="482" w:firstLineChars="200"/>
        <w:jc w:val="center"/>
        <w:rPr>
          <w:rFonts w:ascii="宋体" w:cs="宋体"/>
          <w:b/>
          <w:bCs/>
          <w:sz w:val="24"/>
        </w:rPr>
      </w:pPr>
      <w:r>
        <w:rPr>
          <w:rFonts w:hint="eastAsia" w:ascii="宋体" w:cs="宋体"/>
          <w:b/>
          <w:bCs/>
          <w:sz w:val="24"/>
        </w:rPr>
        <w:t>1. 总则</w:t>
      </w:r>
    </w:p>
    <w:p w14:paraId="692B63D0">
      <w:pPr>
        <w:spacing w:line="360" w:lineRule="auto"/>
        <w:ind w:firstLine="480" w:firstLineChars="200"/>
        <w:rPr>
          <w:rFonts w:ascii="宋体" w:cs="宋体"/>
          <w:sz w:val="24"/>
        </w:rPr>
      </w:pPr>
      <w:r>
        <w:rPr>
          <w:rFonts w:hint="eastAsia" w:ascii="宋体" w:cs="宋体"/>
          <w:sz w:val="24"/>
        </w:rPr>
        <w:t>1.1 项目概况</w:t>
      </w:r>
    </w:p>
    <w:p w14:paraId="2E933CC0">
      <w:pPr>
        <w:spacing w:line="360" w:lineRule="auto"/>
        <w:ind w:firstLine="480" w:firstLineChars="200"/>
        <w:rPr>
          <w:rFonts w:ascii="宋体" w:cs="宋体"/>
          <w:sz w:val="24"/>
        </w:rPr>
      </w:pPr>
      <w:r>
        <w:rPr>
          <w:rFonts w:hint="eastAsia" w:ascii="宋体" w:cs="宋体"/>
          <w:sz w:val="24"/>
        </w:rPr>
        <w:t>1.1.1根据《中华人民共和国政府采购法》、《政府采购竞争性磋商采购方式管理暂行办法》等有关法律、法规和规章的规定，本采购项目已具备采购条件，现对本项目进行采购。</w:t>
      </w:r>
    </w:p>
    <w:p w14:paraId="2402CC36">
      <w:pPr>
        <w:spacing w:line="360" w:lineRule="auto"/>
        <w:ind w:firstLine="480" w:firstLineChars="200"/>
        <w:rPr>
          <w:rFonts w:ascii="宋体" w:cs="宋体"/>
          <w:sz w:val="24"/>
        </w:rPr>
      </w:pPr>
      <w:r>
        <w:rPr>
          <w:rFonts w:hint="eastAsia" w:ascii="宋体" w:cs="宋体"/>
          <w:sz w:val="24"/>
        </w:rPr>
        <w:t>1.1.2 本采购项目采购人：见供应商须知前附表。</w:t>
      </w:r>
    </w:p>
    <w:p w14:paraId="38B61061">
      <w:pPr>
        <w:spacing w:line="360" w:lineRule="auto"/>
        <w:ind w:firstLine="480" w:firstLineChars="200"/>
        <w:rPr>
          <w:rFonts w:ascii="宋体" w:cs="宋体"/>
          <w:sz w:val="24"/>
        </w:rPr>
      </w:pPr>
      <w:r>
        <w:rPr>
          <w:rFonts w:hint="eastAsia" w:ascii="宋体" w:cs="宋体"/>
          <w:sz w:val="24"/>
        </w:rPr>
        <w:t>1.1.3 本项目采购代理机构：见供应商须知前附表。</w:t>
      </w:r>
    </w:p>
    <w:p w14:paraId="2E756213">
      <w:pPr>
        <w:spacing w:line="360" w:lineRule="auto"/>
        <w:ind w:firstLine="480" w:firstLineChars="200"/>
        <w:rPr>
          <w:rFonts w:ascii="宋体" w:cs="宋体"/>
          <w:sz w:val="24"/>
        </w:rPr>
      </w:pPr>
      <w:r>
        <w:rPr>
          <w:rFonts w:hint="eastAsia" w:ascii="宋体" w:cs="宋体"/>
          <w:sz w:val="24"/>
        </w:rPr>
        <w:t>1.1.4 本采购项目名称：见供应商须知前附表。</w:t>
      </w:r>
    </w:p>
    <w:p w14:paraId="75252C8D">
      <w:pPr>
        <w:spacing w:line="360" w:lineRule="auto"/>
        <w:ind w:firstLine="480" w:firstLineChars="200"/>
        <w:rPr>
          <w:rFonts w:ascii="宋体" w:cs="宋体"/>
          <w:sz w:val="24"/>
        </w:rPr>
      </w:pPr>
      <w:r>
        <w:rPr>
          <w:rFonts w:hint="eastAsia" w:ascii="宋体" w:cs="宋体"/>
          <w:sz w:val="24"/>
        </w:rPr>
        <w:t>1.1.5 本项目交货地点：见供应商须知前附表。</w:t>
      </w:r>
    </w:p>
    <w:p w14:paraId="2870B0FB">
      <w:pPr>
        <w:spacing w:line="360" w:lineRule="auto"/>
        <w:ind w:firstLine="480" w:firstLineChars="200"/>
        <w:rPr>
          <w:rFonts w:ascii="宋体" w:cs="宋体"/>
          <w:sz w:val="24"/>
        </w:rPr>
      </w:pPr>
      <w:r>
        <w:rPr>
          <w:rFonts w:hint="eastAsia" w:ascii="宋体" w:cs="宋体"/>
          <w:sz w:val="24"/>
        </w:rPr>
        <w:t>1.2 资金来源和落实情况</w:t>
      </w:r>
    </w:p>
    <w:p w14:paraId="748A5C29">
      <w:pPr>
        <w:spacing w:line="360" w:lineRule="auto"/>
        <w:ind w:firstLine="480" w:firstLineChars="200"/>
        <w:rPr>
          <w:rFonts w:ascii="宋体" w:cs="宋体"/>
          <w:sz w:val="24"/>
        </w:rPr>
      </w:pPr>
      <w:r>
        <w:rPr>
          <w:rFonts w:hint="eastAsia" w:ascii="宋体" w:cs="宋体"/>
          <w:sz w:val="24"/>
        </w:rPr>
        <w:t>1.2.1 本采购项目的资金来源：见供应商须知前附表。</w:t>
      </w:r>
    </w:p>
    <w:p w14:paraId="7206C1A8">
      <w:pPr>
        <w:spacing w:line="360" w:lineRule="auto"/>
        <w:ind w:firstLine="480" w:firstLineChars="200"/>
        <w:rPr>
          <w:rFonts w:ascii="宋体" w:cs="宋体"/>
          <w:sz w:val="24"/>
        </w:rPr>
      </w:pPr>
      <w:r>
        <w:rPr>
          <w:rFonts w:hint="eastAsia" w:ascii="宋体" w:cs="宋体"/>
          <w:sz w:val="24"/>
        </w:rPr>
        <w:t>1.2.2 本采购项目的出资比例：见供应商须知前附表。</w:t>
      </w:r>
    </w:p>
    <w:p w14:paraId="21F39DF7">
      <w:pPr>
        <w:spacing w:line="360" w:lineRule="auto"/>
        <w:ind w:firstLine="480" w:firstLineChars="200"/>
        <w:rPr>
          <w:rFonts w:ascii="宋体" w:cs="宋体"/>
          <w:sz w:val="24"/>
        </w:rPr>
      </w:pPr>
      <w:r>
        <w:rPr>
          <w:rFonts w:hint="eastAsia" w:ascii="宋体" w:cs="宋体"/>
          <w:sz w:val="24"/>
        </w:rPr>
        <w:t>1.2.3 本采购项目的资金落实情况：见供应商须知前附表。</w:t>
      </w:r>
    </w:p>
    <w:p w14:paraId="01FEF6DE">
      <w:pPr>
        <w:spacing w:line="360" w:lineRule="auto"/>
        <w:ind w:firstLine="480" w:firstLineChars="200"/>
        <w:rPr>
          <w:rFonts w:ascii="宋体" w:cs="宋体"/>
          <w:sz w:val="24"/>
        </w:rPr>
      </w:pPr>
      <w:r>
        <w:rPr>
          <w:rFonts w:hint="eastAsia" w:ascii="宋体" w:cs="宋体"/>
          <w:sz w:val="24"/>
        </w:rPr>
        <w:t>1.3 采购需求、合同履行期限和质量标准</w:t>
      </w:r>
    </w:p>
    <w:p w14:paraId="65C2A846">
      <w:pPr>
        <w:spacing w:line="360" w:lineRule="auto"/>
        <w:ind w:firstLine="480" w:firstLineChars="200"/>
        <w:rPr>
          <w:rFonts w:ascii="宋体" w:cs="宋体"/>
          <w:sz w:val="24"/>
        </w:rPr>
      </w:pPr>
      <w:r>
        <w:rPr>
          <w:rFonts w:hint="eastAsia" w:ascii="宋体" w:cs="宋体"/>
          <w:sz w:val="24"/>
        </w:rPr>
        <w:t>1.3.1 采购需求：见供应商须知前附表。</w:t>
      </w:r>
    </w:p>
    <w:p w14:paraId="54C5B0F0">
      <w:pPr>
        <w:spacing w:line="360" w:lineRule="auto"/>
        <w:ind w:firstLine="480" w:firstLineChars="200"/>
        <w:rPr>
          <w:rFonts w:ascii="宋体" w:cs="宋体"/>
          <w:sz w:val="24"/>
        </w:rPr>
      </w:pPr>
      <w:r>
        <w:rPr>
          <w:rFonts w:hint="eastAsia" w:ascii="宋体" w:cs="宋体"/>
          <w:sz w:val="24"/>
        </w:rPr>
        <w:t>1.3.2 合同履行期限：见供应商须知前附表。</w:t>
      </w:r>
    </w:p>
    <w:p w14:paraId="4A5E6BD3">
      <w:pPr>
        <w:spacing w:line="360" w:lineRule="auto"/>
        <w:ind w:firstLine="480" w:firstLineChars="200"/>
        <w:rPr>
          <w:rFonts w:ascii="宋体" w:cs="宋体"/>
          <w:sz w:val="24"/>
        </w:rPr>
      </w:pPr>
      <w:r>
        <w:rPr>
          <w:rFonts w:hint="eastAsia" w:ascii="宋体" w:cs="宋体"/>
          <w:sz w:val="24"/>
        </w:rPr>
        <w:t>1.3.3 质量标准：见供应商须知前附表。</w:t>
      </w:r>
    </w:p>
    <w:p w14:paraId="1E3A4D66">
      <w:pPr>
        <w:spacing w:line="360" w:lineRule="auto"/>
        <w:ind w:firstLine="480" w:firstLineChars="200"/>
        <w:rPr>
          <w:rFonts w:ascii="宋体" w:cs="宋体"/>
          <w:sz w:val="24"/>
        </w:rPr>
      </w:pPr>
      <w:r>
        <w:rPr>
          <w:rFonts w:hint="eastAsia" w:ascii="宋体" w:cs="宋体"/>
          <w:sz w:val="24"/>
        </w:rPr>
        <w:t>1.4 供应商资格要求</w:t>
      </w:r>
    </w:p>
    <w:p w14:paraId="18FCEE77">
      <w:pPr>
        <w:spacing w:line="360" w:lineRule="auto"/>
        <w:ind w:firstLine="480" w:firstLineChars="200"/>
        <w:rPr>
          <w:rFonts w:ascii="宋体" w:cs="宋体"/>
          <w:sz w:val="24"/>
        </w:rPr>
      </w:pPr>
      <w:r>
        <w:rPr>
          <w:rFonts w:hint="eastAsia" w:ascii="宋体" w:cs="宋体"/>
          <w:sz w:val="24"/>
        </w:rPr>
        <w:t>1.4.1 供应商应具备承担本项目的资质条件、能力和信誉。</w:t>
      </w:r>
    </w:p>
    <w:p w14:paraId="22C2B849">
      <w:pPr>
        <w:spacing w:line="360" w:lineRule="auto"/>
        <w:ind w:firstLine="480" w:firstLineChars="200"/>
        <w:rPr>
          <w:rFonts w:ascii="宋体" w:cs="宋体"/>
          <w:sz w:val="24"/>
        </w:rPr>
      </w:pPr>
      <w:r>
        <w:rPr>
          <w:rFonts w:hint="eastAsia" w:ascii="宋体" w:cs="宋体"/>
          <w:sz w:val="24"/>
        </w:rPr>
        <w:t>（1）资质条件：见供应商须知前附表；</w:t>
      </w:r>
    </w:p>
    <w:p w14:paraId="4721F940">
      <w:pPr>
        <w:spacing w:line="360" w:lineRule="auto"/>
        <w:ind w:firstLine="480" w:firstLineChars="200"/>
        <w:rPr>
          <w:rFonts w:ascii="宋体" w:cs="宋体"/>
          <w:sz w:val="24"/>
        </w:rPr>
      </w:pPr>
      <w:r>
        <w:rPr>
          <w:rFonts w:hint="eastAsia" w:ascii="宋体" w:cs="宋体"/>
          <w:sz w:val="24"/>
        </w:rPr>
        <w:t>（2）财务要求：见供应商须知前附表；</w:t>
      </w:r>
    </w:p>
    <w:p w14:paraId="5A22EB0B">
      <w:pPr>
        <w:spacing w:line="360" w:lineRule="auto"/>
        <w:ind w:firstLine="480" w:firstLineChars="200"/>
        <w:rPr>
          <w:rFonts w:ascii="宋体" w:cs="宋体"/>
          <w:sz w:val="24"/>
        </w:rPr>
      </w:pPr>
      <w:r>
        <w:rPr>
          <w:rFonts w:hint="eastAsia" w:ascii="宋体" w:cs="宋体"/>
          <w:sz w:val="24"/>
        </w:rPr>
        <w:t>（3）业绩要求：见供应商须知前附表；</w:t>
      </w:r>
    </w:p>
    <w:p w14:paraId="15CF7793">
      <w:pPr>
        <w:spacing w:line="360" w:lineRule="auto"/>
        <w:ind w:firstLine="480" w:firstLineChars="200"/>
        <w:rPr>
          <w:rFonts w:ascii="宋体" w:cs="宋体"/>
          <w:sz w:val="24"/>
        </w:rPr>
      </w:pPr>
      <w:r>
        <w:rPr>
          <w:rFonts w:hint="eastAsia" w:ascii="宋体" w:cs="宋体"/>
          <w:sz w:val="24"/>
        </w:rPr>
        <w:t>（4）信誉要求：见供应商须知前附表；</w:t>
      </w:r>
    </w:p>
    <w:p w14:paraId="70C185E2">
      <w:pPr>
        <w:spacing w:line="360" w:lineRule="auto"/>
        <w:ind w:firstLine="480" w:firstLineChars="200"/>
        <w:rPr>
          <w:rFonts w:ascii="宋体" w:cs="宋体"/>
          <w:sz w:val="24"/>
        </w:rPr>
      </w:pPr>
      <w:r>
        <w:rPr>
          <w:rFonts w:hint="eastAsia" w:ascii="宋体" w:cs="宋体"/>
          <w:sz w:val="24"/>
        </w:rPr>
        <w:t>（5）其他要求：见供应商须知前附表。</w:t>
      </w:r>
    </w:p>
    <w:p w14:paraId="5617A59F">
      <w:pPr>
        <w:spacing w:line="360" w:lineRule="auto"/>
        <w:ind w:firstLine="480" w:firstLineChars="200"/>
        <w:rPr>
          <w:rFonts w:ascii="宋体" w:cs="宋体"/>
          <w:sz w:val="24"/>
        </w:rPr>
      </w:pPr>
      <w:r>
        <w:rPr>
          <w:rFonts w:hint="eastAsia" w:ascii="宋体" w:cs="宋体"/>
          <w:sz w:val="24"/>
        </w:rPr>
        <w:t>1.4.2 供应商须知前附表规定接受联合体参加的，除应符合本章第1.4.1项和供应商须知前附表的要求外，还应遵守下列规定：</w:t>
      </w:r>
    </w:p>
    <w:p w14:paraId="2805B2A2">
      <w:pPr>
        <w:spacing w:line="360" w:lineRule="auto"/>
        <w:ind w:firstLine="480" w:firstLineChars="200"/>
        <w:rPr>
          <w:rFonts w:ascii="宋体" w:cs="宋体"/>
          <w:sz w:val="24"/>
        </w:rPr>
      </w:pPr>
      <w:r>
        <w:rPr>
          <w:rFonts w:hint="eastAsia" w:ascii="宋体" w:cs="宋体"/>
          <w:sz w:val="24"/>
        </w:rPr>
        <w:t>（1）联合体各方应按照竞争性磋商文件提供的格式签订联合体协议书，明确联合体牵头人和各方权利义务；</w:t>
      </w:r>
    </w:p>
    <w:p w14:paraId="149715AA">
      <w:pPr>
        <w:spacing w:line="360" w:lineRule="auto"/>
        <w:ind w:firstLine="480" w:firstLineChars="200"/>
        <w:rPr>
          <w:rFonts w:ascii="宋体" w:cs="宋体"/>
          <w:sz w:val="24"/>
        </w:rPr>
      </w:pPr>
      <w:r>
        <w:rPr>
          <w:rFonts w:hint="eastAsia" w:ascii="宋体" w:cs="宋体"/>
          <w:sz w:val="24"/>
        </w:rPr>
        <w:t>（2）由同一专业的单位组成的联合体，按照资质等级较低的单位确定资质等级；</w:t>
      </w:r>
    </w:p>
    <w:p w14:paraId="3B1FE757">
      <w:pPr>
        <w:spacing w:line="360" w:lineRule="auto"/>
        <w:ind w:firstLine="480" w:firstLineChars="200"/>
        <w:rPr>
          <w:rFonts w:ascii="宋体" w:cs="宋体"/>
          <w:sz w:val="24"/>
        </w:rPr>
      </w:pPr>
      <w:r>
        <w:rPr>
          <w:rFonts w:hint="eastAsia" w:ascii="宋体" w:cs="宋体"/>
          <w:sz w:val="24"/>
        </w:rPr>
        <w:t>（3）联合体各方不得再以自己的名义单独或参加其他联合体在同一标段中参加。</w:t>
      </w:r>
    </w:p>
    <w:p w14:paraId="4E260864">
      <w:pPr>
        <w:spacing w:line="360" w:lineRule="auto"/>
        <w:ind w:firstLine="480" w:firstLineChars="200"/>
        <w:rPr>
          <w:rFonts w:ascii="宋体" w:cs="宋体"/>
          <w:sz w:val="24"/>
        </w:rPr>
      </w:pPr>
      <w:r>
        <w:rPr>
          <w:rFonts w:hint="eastAsia" w:ascii="宋体" w:cs="宋体"/>
          <w:sz w:val="24"/>
        </w:rPr>
        <w:t>1.4.3 供应商不得存在下列情形之一：</w:t>
      </w:r>
    </w:p>
    <w:p w14:paraId="46DC4438">
      <w:pPr>
        <w:spacing w:line="360" w:lineRule="auto"/>
        <w:ind w:firstLine="480" w:firstLineChars="200"/>
        <w:rPr>
          <w:rFonts w:ascii="宋体" w:cs="宋体"/>
          <w:sz w:val="24"/>
        </w:rPr>
      </w:pPr>
      <w:r>
        <w:rPr>
          <w:rFonts w:hint="eastAsia" w:ascii="宋体" w:cs="宋体"/>
          <w:sz w:val="24"/>
        </w:rPr>
        <w:t xml:space="preserve">（1）为采购人不具有独立法人资格的附属机构（单位）； </w:t>
      </w:r>
    </w:p>
    <w:p w14:paraId="2C60B0FA">
      <w:pPr>
        <w:spacing w:line="360" w:lineRule="auto"/>
        <w:ind w:firstLine="480" w:firstLineChars="200"/>
        <w:rPr>
          <w:rFonts w:ascii="宋体" w:cs="宋体"/>
          <w:sz w:val="24"/>
        </w:rPr>
      </w:pPr>
      <w:r>
        <w:rPr>
          <w:rFonts w:hint="eastAsia" w:ascii="宋体" w:cs="宋体"/>
          <w:sz w:val="24"/>
        </w:rPr>
        <w:t xml:space="preserve">（2）被责令停业的； </w:t>
      </w:r>
    </w:p>
    <w:p w14:paraId="208C1E55">
      <w:pPr>
        <w:spacing w:line="360" w:lineRule="auto"/>
        <w:ind w:firstLine="480" w:firstLineChars="200"/>
        <w:rPr>
          <w:rFonts w:ascii="宋体" w:cs="宋体"/>
          <w:sz w:val="24"/>
        </w:rPr>
      </w:pPr>
      <w:r>
        <w:rPr>
          <w:rFonts w:hint="eastAsia" w:ascii="宋体" w:cs="宋体"/>
          <w:sz w:val="24"/>
        </w:rPr>
        <w:t xml:space="preserve">（3）被暂停或取消投标资格的； </w:t>
      </w:r>
    </w:p>
    <w:p w14:paraId="29B31A17">
      <w:pPr>
        <w:spacing w:line="360" w:lineRule="auto"/>
        <w:ind w:firstLine="480" w:firstLineChars="200"/>
        <w:rPr>
          <w:rFonts w:ascii="宋体" w:cs="宋体"/>
          <w:sz w:val="24"/>
        </w:rPr>
      </w:pPr>
      <w:r>
        <w:rPr>
          <w:rFonts w:hint="eastAsia" w:ascii="宋体" w:cs="宋体"/>
          <w:sz w:val="24"/>
        </w:rPr>
        <w:t>（4）财产被接管或冻结的；</w:t>
      </w:r>
    </w:p>
    <w:p w14:paraId="4E2A1C2B">
      <w:pPr>
        <w:spacing w:line="360" w:lineRule="auto"/>
        <w:ind w:firstLine="480" w:firstLineChars="200"/>
        <w:rPr>
          <w:rFonts w:ascii="宋体" w:cs="宋体"/>
          <w:sz w:val="24"/>
        </w:rPr>
      </w:pPr>
      <w:r>
        <w:rPr>
          <w:rFonts w:hint="eastAsia" w:ascii="宋体" w:cs="宋体"/>
          <w:sz w:val="24"/>
        </w:rPr>
        <w:t>（5）在最近三年内有骗取中标或严重违约或重大履约质量问题的。</w:t>
      </w:r>
    </w:p>
    <w:p w14:paraId="2438637C">
      <w:pPr>
        <w:spacing w:line="360" w:lineRule="auto"/>
        <w:ind w:firstLine="480" w:firstLineChars="200"/>
        <w:rPr>
          <w:rFonts w:ascii="宋体" w:cs="宋体"/>
          <w:sz w:val="24"/>
        </w:rPr>
      </w:pPr>
      <w:r>
        <w:rPr>
          <w:rFonts w:hint="eastAsia" w:ascii="宋体" w:cs="宋体"/>
          <w:sz w:val="24"/>
        </w:rPr>
        <w:t>1.5 费用承担</w:t>
      </w:r>
    </w:p>
    <w:p w14:paraId="65ECD56F">
      <w:pPr>
        <w:spacing w:line="360" w:lineRule="auto"/>
        <w:ind w:firstLine="480" w:firstLineChars="200"/>
        <w:rPr>
          <w:rFonts w:ascii="宋体" w:cs="宋体"/>
          <w:sz w:val="24"/>
        </w:rPr>
      </w:pPr>
      <w:r>
        <w:rPr>
          <w:rFonts w:hint="eastAsia" w:ascii="宋体" w:cs="宋体"/>
          <w:sz w:val="24"/>
        </w:rPr>
        <w:t>供应商准备和参加磋商活动发生的费用自理。</w:t>
      </w:r>
    </w:p>
    <w:p w14:paraId="4CD3351E">
      <w:pPr>
        <w:spacing w:line="360" w:lineRule="auto"/>
        <w:ind w:firstLine="480" w:firstLineChars="200"/>
        <w:rPr>
          <w:rFonts w:ascii="宋体" w:cs="宋体"/>
          <w:sz w:val="24"/>
        </w:rPr>
      </w:pPr>
      <w:r>
        <w:rPr>
          <w:rFonts w:hint="eastAsia" w:ascii="宋体" w:cs="宋体"/>
          <w:sz w:val="24"/>
        </w:rPr>
        <w:t>1.6 保密</w:t>
      </w:r>
    </w:p>
    <w:p w14:paraId="688A1118">
      <w:pPr>
        <w:spacing w:line="360" w:lineRule="auto"/>
        <w:ind w:firstLine="480" w:firstLineChars="200"/>
        <w:rPr>
          <w:rFonts w:ascii="宋体" w:cs="宋体"/>
          <w:sz w:val="24"/>
        </w:rPr>
      </w:pPr>
      <w:r>
        <w:rPr>
          <w:rFonts w:hint="eastAsia" w:ascii="宋体" w:cs="宋体"/>
          <w:sz w:val="24"/>
        </w:rPr>
        <w:t xml:space="preserve">参与采购投标活动的各方应对竞争性磋商文件和磋商响应文件中的商业和技术等秘密保密，违者应对由此造成的后果承担法律责任。 </w:t>
      </w:r>
    </w:p>
    <w:p w14:paraId="6F00925E">
      <w:pPr>
        <w:spacing w:line="360" w:lineRule="auto"/>
        <w:ind w:firstLine="480" w:firstLineChars="200"/>
        <w:rPr>
          <w:rFonts w:ascii="宋体" w:cs="宋体"/>
          <w:sz w:val="24"/>
        </w:rPr>
      </w:pPr>
      <w:r>
        <w:rPr>
          <w:rFonts w:hint="eastAsia" w:ascii="宋体" w:cs="宋体"/>
          <w:sz w:val="24"/>
        </w:rPr>
        <w:t>1.7 语言文字</w:t>
      </w:r>
    </w:p>
    <w:p w14:paraId="49A71789">
      <w:pPr>
        <w:spacing w:line="360" w:lineRule="auto"/>
        <w:ind w:firstLine="480" w:firstLineChars="200"/>
        <w:rPr>
          <w:rFonts w:ascii="宋体" w:cs="宋体"/>
          <w:sz w:val="24"/>
        </w:rPr>
      </w:pPr>
      <w:r>
        <w:rPr>
          <w:rFonts w:hint="eastAsia" w:ascii="宋体" w:cs="宋体"/>
          <w:sz w:val="24"/>
        </w:rPr>
        <w:t>除专用术语外，与采购投标有关的语言均使用中文。必要时专用术语应附有中文注释。</w:t>
      </w:r>
    </w:p>
    <w:p w14:paraId="53227D42">
      <w:pPr>
        <w:spacing w:line="360" w:lineRule="auto"/>
        <w:ind w:firstLine="480" w:firstLineChars="200"/>
        <w:rPr>
          <w:rFonts w:ascii="宋体" w:cs="宋体"/>
          <w:sz w:val="24"/>
        </w:rPr>
      </w:pPr>
      <w:r>
        <w:rPr>
          <w:rFonts w:hint="eastAsia" w:ascii="宋体" w:cs="宋体"/>
          <w:sz w:val="24"/>
        </w:rPr>
        <w:t>1.8 计量单位</w:t>
      </w:r>
    </w:p>
    <w:p w14:paraId="252F7613">
      <w:pPr>
        <w:spacing w:line="360" w:lineRule="auto"/>
        <w:ind w:firstLine="480" w:firstLineChars="200"/>
        <w:rPr>
          <w:rFonts w:ascii="宋体" w:cs="宋体"/>
          <w:sz w:val="24"/>
        </w:rPr>
      </w:pPr>
      <w:r>
        <w:rPr>
          <w:rFonts w:hint="eastAsia" w:ascii="宋体" w:cs="宋体"/>
          <w:sz w:val="24"/>
        </w:rPr>
        <w:t>所有计量均采用中华人民共和国法定计量单位。</w:t>
      </w:r>
    </w:p>
    <w:p w14:paraId="174647F1">
      <w:pPr>
        <w:spacing w:line="360" w:lineRule="auto"/>
        <w:ind w:firstLine="480" w:firstLineChars="200"/>
        <w:rPr>
          <w:rFonts w:ascii="宋体" w:cs="宋体"/>
          <w:sz w:val="24"/>
        </w:rPr>
      </w:pPr>
      <w:r>
        <w:rPr>
          <w:rFonts w:hint="eastAsia" w:ascii="宋体" w:cs="宋体"/>
          <w:sz w:val="24"/>
        </w:rPr>
        <w:t>1.9 踏勘现场</w:t>
      </w:r>
    </w:p>
    <w:p w14:paraId="691FAC97">
      <w:pPr>
        <w:spacing w:line="360" w:lineRule="auto"/>
        <w:ind w:firstLine="480" w:firstLineChars="200"/>
        <w:rPr>
          <w:rFonts w:ascii="宋体" w:cs="宋体"/>
          <w:sz w:val="24"/>
        </w:rPr>
      </w:pPr>
      <w:r>
        <w:rPr>
          <w:rFonts w:hint="eastAsia" w:ascii="宋体" w:cs="宋体"/>
          <w:sz w:val="24"/>
        </w:rPr>
        <w:t xml:space="preserve">1.9.1供应商须知前附表规定组织踏勘现场的，采购人按供应商须知前附表规定的时间、地点组织供应商踏勘项目现场。 </w:t>
      </w:r>
    </w:p>
    <w:p w14:paraId="749ED130">
      <w:pPr>
        <w:spacing w:line="360" w:lineRule="auto"/>
        <w:ind w:firstLine="480" w:firstLineChars="200"/>
        <w:rPr>
          <w:rFonts w:ascii="宋体" w:cs="宋体"/>
          <w:sz w:val="24"/>
        </w:rPr>
      </w:pPr>
      <w:r>
        <w:rPr>
          <w:rFonts w:hint="eastAsia" w:ascii="宋体" w:cs="宋体"/>
          <w:sz w:val="24"/>
        </w:rPr>
        <w:t>1.9.2 供应商踏勘现场发生的费用自理。</w:t>
      </w:r>
    </w:p>
    <w:p w14:paraId="186BF4B4">
      <w:pPr>
        <w:spacing w:line="360" w:lineRule="auto"/>
        <w:ind w:firstLine="480" w:firstLineChars="200"/>
        <w:rPr>
          <w:rFonts w:ascii="宋体" w:cs="宋体"/>
          <w:sz w:val="24"/>
        </w:rPr>
      </w:pPr>
      <w:r>
        <w:rPr>
          <w:rFonts w:hint="eastAsia" w:ascii="宋体" w:cs="宋体"/>
          <w:sz w:val="24"/>
        </w:rPr>
        <w:t>1.9.3 除采购人的原因外，供应商自行负责在踏勘现场中所发生的人员伤亡和财产损失。</w:t>
      </w:r>
    </w:p>
    <w:p w14:paraId="361C2E23">
      <w:pPr>
        <w:spacing w:line="360" w:lineRule="auto"/>
        <w:ind w:firstLine="480" w:firstLineChars="200"/>
        <w:rPr>
          <w:rFonts w:ascii="宋体" w:cs="宋体"/>
          <w:sz w:val="24"/>
        </w:rPr>
      </w:pPr>
      <w:r>
        <w:rPr>
          <w:rFonts w:hint="eastAsia" w:ascii="宋体" w:cs="宋体"/>
          <w:sz w:val="24"/>
        </w:rPr>
        <w:t>1.9.4 采购人在踏勘现场中介绍的工程场地和相关的周边环境情况，供应商在编制响应文件时参考，采购人不对供应商据此作出的判断和决策负责。</w:t>
      </w:r>
    </w:p>
    <w:p w14:paraId="7D32AF7F">
      <w:pPr>
        <w:spacing w:line="360" w:lineRule="auto"/>
        <w:ind w:firstLine="480" w:firstLineChars="200"/>
        <w:rPr>
          <w:rFonts w:ascii="宋体" w:cs="宋体"/>
          <w:sz w:val="24"/>
        </w:rPr>
      </w:pPr>
      <w:r>
        <w:rPr>
          <w:rFonts w:hint="eastAsia" w:ascii="宋体" w:cs="宋体"/>
          <w:sz w:val="24"/>
        </w:rPr>
        <w:t>1.10 答疑会</w:t>
      </w:r>
    </w:p>
    <w:p w14:paraId="21A50633">
      <w:pPr>
        <w:spacing w:line="360" w:lineRule="auto"/>
        <w:ind w:firstLine="480" w:firstLineChars="200"/>
        <w:rPr>
          <w:rFonts w:ascii="宋体" w:cs="宋体"/>
          <w:sz w:val="24"/>
        </w:rPr>
      </w:pPr>
      <w:r>
        <w:rPr>
          <w:rFonts w:hint="eastAsia" w:ascii="宋体" w:cs="宋体"/>
          <w:sz w:val="24"/>
        </w:rPr>
        <w:t>1.10.1 供应商须知前附表规定召开磋商预备会的，采购人按供应商须知前附表规定的时间和地点召开磋商。预备会，澄清供应商提出的问题。</w:t>
      </w:r>
    </w:p>
    <w:p w14:paraId="7AA983F2">
      <w:pPr>
        <w:spacing w:line="360" w:lineRule="auto"/>
        <w:ind w:firstLine="480" w:firstLineChars="200"/>
        <w:rPr>
          <w:rFonts w:ascii="宋体" w:cs="宋体"/>
          <w:sz w:val="24"/>
        </w:rPr>
      </w:pPr>
      <w:r>
        <w:rPr>
          <w:rFonts w:hint="eastAsia" w:ascii="宋体" w:cs="宋体"/>
          <w:sz w:val="24"/>
        </w:rPr>
        <w:t>1.10.2 供应商应在供应商须知前附表规定的时间前，以书面和电子邮件形式将提出的问题送达采购代理机构，以便采购人和采购代理机构在会议期间澄清。</w:t>
      </w:r>
    </w:p>
    <w:p w14:paraId="6FDAE7A4">
      <w:pPr>
        <w:spacing w:line="360" w:lineRule="auto"/>
        <w:ind w:firstLine="480" w:firstLineChars="200"/>
        <w:rPr>
          <w:rFonts w:ascii="宋体" w:cs="宋体"/>
          <w:sz w:val="24"/>
        </w:rPr>
      </w:pPr>
      <w:r>
        <w:rPr>
          <w:rFonts w:hint="eastAsia" w:ascii="宋体" w:cs="宋体"/>
          <w:sz w:val="24"/>
        </w:rPr>
        <w:t>1.10.3 采购人、采购代理机构在供应商须知前附表规定的时间内，将对供应商所提问题的澄清，以书面方式通知所有购买竞争性磋商文件的供应商。该澄清内容为竞争性磋商文件的组成部分。</w:t>
      </w:r>
    </w:p>
    <w:p w14:paraId="691D5E5E">
      <w:pPr>
        <w:spacing w:line="360" w:lineRule="auto"/>
        <w:ind w:firstLine="480" w:firstLineChars="200"/>
        <w:rPr>
          <w:rFonts w:ascii="宋体" w:cs="宋体"/>
          <w:sz w:val="24"/>
        </w:rPr>
      </w:pPr>
      <w:r>
        <w:rPr>
          <w:rFonts w:hint="eastAsia" w:ascii="宋体" w:cs="宋体"/>
          <w:sz w:val="24"/>
        </w:rPr>
        <w:t>1.11 分包</w:t>
      </w:r>
    </w:p>
    <w:p w14:paraId="6EBF91BD">
      <w:pPr>
        <w:spacing w:line="360" w:lineRule="auto"/>
        <w:ind w:firstLine="480" w:firstLineChars="200"/>
        <w:rPr>
          <w:rFonts w:ascii="宋体" w:cs="宋体"/>
          <w:sz w:val="24"/>
        </w:rPr>
      </w:pPr>
      <w:r>
        <w:rPr>
          <w:rFonts w:hint="eastAsia" w:ascii="宋体" w:cs="宋体"/>
          <w:sz w:val="24"/>
        </w:rPr>
        <w:t>供应商拟在中选后将中选项目的部分非主体、非关键性工作进行分包的，应符合供应商须知前附表规定的分包内容、分包金额和接受分包的第三人资质要求等限制性条件。</w:t>
      </w:r>
    </w:p>
    <w:p w14:paraId="4030BB3B">
      <w:pPr>
        <w:spacing w:line="360" w:lineRule="auto"/>
        <w:ind w:firstLine="480" w:firstLineChars="200"/>
        <w:rPr>
          <w:rFonts w:ascii="宋体" w:cs="宋体"/>
          <w:sz w:val="24"/>
        </w:rPr>
      </w:pPr>
      <w:r>
        <w:rPr>
          <w:rFonts w:hint="eastAsia" w:ascii="宋体" w:cs="宋体"/>
          <w:sz w:val="24"/>
        </w:rPr>
        <w:t>1.12 偏离</w:t>
      </w:r>
    </w:p>
    <w:p w14:paraId="7073FCFE">
      <w:pPr>
        <w:spacing w:line="360" w:lineRule="auto"/>
        <w:ind w:firstLine="480" w:firstLineChars="200"/>
        <w:rPr>
          <w:rFonts w:ascii="宋体" w:cs="宋体"/>
          <w:sz w:val="24"/>
        </w:rPr>
      </w:pPr>
      <w:r>
        <w:rPr>
          <w:rFonts w:hint="eastAsia" w:ascii="宋体" w:cs="宋体"/>
          <w:sz w:val="24"/>
        </w:rPr>
        <w:t>供应商须知前附表允许磋商响应文件偏离竞争性磋商文件某些要求的，偏离应当符合竞争性磋商文件规定的偏离范围和幅度。</w:t>
      </w:r>
    </w:p>
    <w:p w14:paraId="4E5EBC99">
      <w:pPr>
        <w:spacing w:line="360" w:lineRule="auto"/>
        <w:ind w:firstLine="482" w:firstLineChars="200"/>
        <w:jc w:val="center"/>
        <w:rPr>
          <w:rFonts w:ascii="宋体" w:cs="宋体"/>
          <w:sz w:val="24"/>
        </w:rPr>
      </w:pPr>
      <w:r>
        <w:rPr>
          <w:rFonts w:hint="eastAsia" w:ascii="宋体" w:cs="宋体"/>
          <w:b/>
          <w:bCs/>
          <w:sz w:val="24"/>
        </w:rPr>
        <w:t>2. 竞争性磋商文件</w:t>
      </w:r>
    </w:p>
    <w:p w14:paraId="736A9165">
      <w:pPr>
        <w:spacing w:line="360" w:lineRule="auto"/>
        <w:ind w:firstLine="480" w:firstLineChars="200"/>
        <w:rPr>
          <w:rFonts w:ascii="宋体" w:cs="宋体"/>
          <w:sz w:val="24"/>
        </w:rPr>
      </w:pPr>
      <w:r>
        <w:rPr>
          <w:rFonts w:hint="eastAsia" w:ascii="宋体" w:cs="宋体"/>
          <w:sz w:val="24"/>
        </w:rPr>
        <w:t>2.1 竞争性磋商文件的组成</w:t>
      </w:r>
    </w:p>
    <w:p w14:paraId="2F437B99">
      <w:pPr>
        <w:spacing w:line="360" w:lineRule="auto"/>
        <w:ind w:firstLine="480" w:firstLineChars="200"/>
        <w:rPr>
          <w:rFonts w:ascii="宋体" w:cs="宋体"/>
          <w:sz w:val="24"/>
        </w:rPr>
      </w:pPr>
      <w:r>
        <w:rPr>
          <w:rFonts w:hint="eastAsia" w:ascii="宋体" w:cs="宋体"/>
          <w:sz w:val="24"/>
        </w:rPr>
        <w:t>磋商文件除以下内容外，采购人在采购期间发出的答疑纪要和其他补充修改函件，均是磋商文件的组成部分，对供应商起约束作用。磋商文件包括下列内容：</w:t>
      </w:r>
    </w:p>
    <w:p w14:paraId="22FA5D83">
      <w:pPr>
        <w:spacing w:line="360" w:lineRule="auto"/>
        <w:ind w:firstLine="480" w:firstLineChars="200"/>
        <w:rPr>
          <w:rFonts w:ascii="宋体" w:cs="宋体"/>
          <w:sz w:val="24"/>
        </w:rPr>
      </w:pPr>
      <w:r>
        <w:rPr>
          <w:rFonts w:hint="eastAsia" w:ascii="宋体" w:cs="宋体"/>
          <w:sz w:val="24"/>
        </w:rPr>
        <w:t>（1）竞争性磋商公告；</w:t>
      </w:r>
    </w:p>
    <w:p w14:paraId="58981B32">
      <w:pPr>
        <w:spacing w:line="360" w:lineRule="auto"/>
        <w:ind w:firstLine="480" w:firstLineChars="200"/>
        <w:rPr>
          <w:rFonts w:ascii="宋体" w:cs="宋体"/>
          <w:sz w:val="24"/>
        </w:rPr>
      </w:pPr>
      <w:r>
        <w:rPr>
          <w:rFonts w:hint="eastAsia" w:ascii="宋体" w:cs="宋体"/>
          <w:sz w:val="24"/>
        </w:rPr>
        <w:t>（2）供应商须知；</w:t>
      </w:r>
    </w:p>
    <w:p w14:paraId="4DBE6752">
      <w:pPr>
        <w:spacing w:line="360" w:lineRule="auto"/>
        <w:ind w:firstLine="480" w:firstLineChars="200"/>
        <w:rPr>
          <w:rFonts w:ascii="宋体" w:cs="宋体"/>
          <w:sz w:val="24"/>
        </w:rPr>
      </w:pPr>
      <w:r>
        <w:rPr>
          <w:rFonts w:hint="eastAsia" w:ascii="宋体" w:cs="宋体"/>
          <w:sz w:val="24"/>
        </w:rPr>
        <w:t>（3）评分办法；</w:t>
      </w:r>
    </w:p>
    <w:p w14:paraId="1A740606">
      <w:pPr>
        <w:spacing w:line="360" w:lineRule="auto"/>
        <w:ind w:firstLine="480" w:firstLineChars="200"/>
        <w:rPr>
          <w:rFonts w:ascii="宋体" w:cs="宋体"/>
          <w:sz w:val="24"/>
        </w:rPr>
      </w:pPr>
      <w:r>
        <w:rPr>
          <w:rFonts w:hint="eastAsia" w:ascii="宋体" w:cs="宋体"/>
          <w:sz w:val="24"/>
        </w:rPr>
        <w:t xml:space="preserve">（4）合同条款（合同参考格式） </w:t>
      </w:r>
    </w:p>
    <w:p w14:paraId="3ECE2D16">
      <w:pPr>
        <w:spacing w:line="360" w:lineRule="auto"/>
        <w:ind w:firstLine="480" w:firstLineChars="200"/>
        <w:rPr>
          <w:rFonts w:ascii="宋体" w:cs="宋体"/>
          <w:sz w:val="24"/>
        </w:rPr>
      </w:pPr>
      <w:r>
        <w:rPr>
          <w:rFonts w:hint="eastAsia" w:ascii="宋体" w:cs="宋体"/>
          <w:sz w:val="24"/>
        </w:rPr>
        <w:t xml:space="preserve">（5）货物需求及技术规格要求； </w:t>
      </w:r>
    </w:p>
    <w:p w14:paraId="4AE9DC74">
      <w:pPr>
        <w:spacing w:line="360" w:lineRule="auto"/>
        <w:ind w:firstLine="480" w:firstLineChars="200"/>
        <w:rPr>
          <w:rFonts w:ascii="宋体" w:cs="宋体"/>
          <w:sz w:val="24"/>
        </w:rPr>
      </w:pPr>
      <w:r>
        <w:rPr>
          <w:rFonts w:hint="eastAsia" w:ascii="宋体" w:cs="宋体"/>
          <w:sz w:val="24"/>
        </w:rPr>
        <w:t>（6）磋商响应文件格式；</w:t>
      </w:r>
    </w:p>
    <w:p w14:paraId="6A029255">
      <w:pPr>
        <w:spacing w:line="360" w:lineRule="auto"/>
        <w:ind w:firstLine="480" w:firstLineChars="200"/>
        <w:rPr>
          <w:rFonts w:ascii="宋体" w:cs="宋体"/>
          <w:sz w:val="24"/>
        </w:rPr>
      </w:pPr>
      <w:r>
        <w:rPr>
          <w:rFonts w:hint="eastAsia" w:ascii="宋体" w:cs="宋体"/>
          <w:sz w:val="24"/>
        </w:rPr>
        <w:t>根据本章第1.10款、第2.2款和第2.3款对竞争性磋商文件所作的澄清、修改，构成竞争性磋商文件的组成部分。</w:t>
      </w:r>
    </w:p>
    <w:p w14:paraId="7DE00817">
      <w:pPr>
        <w:spacing w:line="360" w:lineRule="auto"/>
        <w:ind w:firstLine="480" w:firstLineChars="200"/>
        <w:rPr>
          <w:rFonts w:ascii="宋体" w:cs="宋体"/>
          <w:sz w:val="24"/>
        </w:rPr>
      </w:pPr>
      <w:r>
        <w:rPr>
          <w:rFonts w:hint="eastAsia" w:ascii="宋体" w:cs="宋体"/>
          <w:sz w:val="24"/>
        </w:rPr>
        <w:t>2.2 竞争性磋商文件的澄清</w:t>
      </w:r>
    </w:p>
    <w:p w14:paraId="75906228">
      <w:pPr>
        <w:spacing w:line="360" w:lineRule="auto"/>
        <w:ind w:firstLine="480" w:firstLineChars="200"/>
        <w:rPr>
          <w:rFonts w:ascii="宋体" w:cs="宋体"/>
          <w:sz w:val="24"/>
        </w:rPr>
      </w:pPr>
      <w:r>
        <w:rPr>
          <w:rFonts w:hint="eastAsia" w:ascii="宋体" w:cs="宋体"/>
          <w:sz w:val="24"/>
        </w:rPr>
        <w:t>2.2.1供应商在收到磋商文件后，对磋商文件任何部分若有任何疑问，任何要求澄清磋商文件的供应商，均应按照本须知前附表规定的时间及方式以书面形式向采购人或代理公司提交。不论是采购人根据需要主动对磋商文件进行必要的澄清或是根据供应商的要求对磋商文件做出澄清，采购人都将在响应文件截止日期前以书面形式予以答复，同时将书面答复发给所有供应商。投标的澄清作为磋商文件的组成部分，对供应商起约束作用。</w:t>
      </w:r>
    </w:p>
    <w:p w14:paraId="17B6EBA5">
      <w:pPr>
        <w:spacing w:line="360" w:lineRule="auto"/>
        <w:ind w:firstLine="480" w:firstLineChars="200"/>
        <w:rPr>
          <w:rFonts w:ascii="宋体" w:cs="宋体"/>
          <w:sz w:val="24"/>
        </w:rPr>
      </w:pPr>
      <w:r>
        <w:rPr>
          <w:rFonts w:hint="eastAsia" w:ascii="宋体" w:cs="宋体"/>
          <w:sz w:val="24"/>
        </w:rPr>
        <w:t>2.3 竞争性磋商文件的修改</w:t>
      </w:r>
    </w:p>
    <w:p w14:paraId="7E1ED1CA">
      <w:pPr>
        <w:spacing w:line="360" w:lineRule="auto"/>
        <w:ind w:firstLine="480" w:firstLineChars="200"/>
        <w:rPr>
          <w:rFonts w:ascii="宋体" w:cs="宋体"/>
          <w:sz w:val="24"/>
        </w:rPr>
      </w:pPr>
      <w:r>
        <w:rPr>
          <w:rFonts w:hint="eastAsia" w:ascii="宋体" w:cs="宋体"/>
          <w:sz w:val="24"/>
        </w:rPr>
        <w:t>磋商文件发出后，在响应文件截止日期前，无论出于何种原因，采购人可主动地或在解答供应商提出的澄清问题时对磋商文件进行修改。</w:t>
      </w:r>
    </w:p>
    <w:p w14:paraId="7F6239EC">
      <w:pPr>
        <w:spacing w:line="360" w:lineRule="auto"/>
        <w:ind w:firstLine="480" w:firstLineChars="200"/>
        <w:rPr>
          <w:rFonts w:ascii="宋体" w:cs="宋体"/>
          <w:sz w:val="24"/>
        </w:rPr>
      </w:pPr>
      <w:r>
        <w:rPr>
          <w:rFonts w:hint="eastAsia" w:ascii="宋体" w:cs="宋体"/>
          <w:sz w:val="24"/>
        </w:rPr>
        <w:t>2.3.1磋商文件的修改将以书面形式发给所有供应商，磋商文件的修改作为磋商文件的组成部分，并具有约束力。供应商应尽快以书面形式通知采购人确定已收到修改文件。</w:t>
      </w:r>
    </w:p>
    <w:p w14:paraId="1B7ADACE">
      <w:pPr>
        <w:spacing w:line="360" w:lineRule="auto"/>
        <w:ind w:firstLine="480" w:firstLineChars="200"/>
        <w:rPr>
          <w:rFonts w:ascii="宋体" w:cs="宋体"/>
          <w:sz w:val="24"/>
        </w:rPr>
      </w:pPr>
      <w:r>
        <w:rPr>
          <w:rFonts w:hint="eastAsia" w:ascii="宋体" w:cs="宋体"/>
          <w:sz w:val="24"/>
        </w:rPr>
        <w:t>2.3.2磋商文件、磋商文件澄清（答疑）纪要、磋商文件修改补充通知内容均以书面明确的内容为准。当磋商文件、修改补充通知、澄清（答疑）纪要内容相互矛盾时，以最后发出的通知（或纪要）或修改文件为准。</w:t>
      </w:r>
    </w:p>
    <w:p w14:paraId="46580E2E">
      <w:pPr>
        <w:spacing w:line="360" w:lineRule="auto"/>
        <w:ind w:firstLine="480" w:firstLineChars="200"/>
        <w:rPr>
          <w:rFonts w:ascii="宋体" w:cs="宋体"/>
          <w:sz w:val="24"/>
        </w:rPr>
      </w:pPr>
      <w:r>
        <w:rPr>
          <w:rFonts w:hint="eastAsia" w:ascii="宋体" w:cs="宋体"/>
          <w:sz w:val="24"/>
        </w:rPr>
        <w:t>2.3.3 采购人保证磋商文件澄清（答疑）纪要和磋商文件修改补充通知在响应文件截止时间前以书面形式发给所有供应商。为使供应商在编写响应文件时有充分时间对磋商文件的修改部分进行研究，采购人可以酌情延长递交响应文件的截止日期，具体时间将在修改补充通知中明确。</w:t>
      </w:r>
    </w:p>
    <w:p w14:paraId="61C48DAB">
      <w:pPr>
        <w:spacing w:line="360" w:lineRule="auto"/>
        <w:ind w:firstLine="480" w:firstLineChars="200"/>
        <w:rPr>
          <w:rFonts w:ascii="宋体" w:cs="宋体"/>
          <w:sz w:val="24"/>
        </w:rPr>
      </w:pPr>
    </w:p>
    <w:p w14:paraId="0D3A50C8">
      <w:pPr>
        <w:spacing w:line="360" w:lineRule="auto"/>
        <w:ind w:firstLine="482" w:firstLineChars="200"/>
        <w:jc w:val="center"/>
        <w:rPr>
          <w:rFonts w:ascii="宋体" w:cs="宋体"/>
          <w:b/>
          <w:bCs/>
          <w:sz w:val="24"/>
        </w:rPr>
      </w:pPr>
      <w:r>
        <w:rPr>
          <w:rFonts w:hint="eastAsia" w:ascii="宋体" w:cs="宋体"/>
          <w:b/>
          <w:bCs/>
          <w:sz w:val="24"/>
        </w:rPr>
        <w:t>3. 磋商响应文件</w:t>
      </w:r>
    </w:p>
    <w:p w14:paraId="1DD4009B">
      <w:pPr>
        <w:spacing w:line="360" w:lineRule="auto"/>
        <w:ind w:firstLine="480" w:firstLineChars="200"/>
        <w:rPr>
          <w:rFonts w:ascii="宋体" w:cs="宋体"/>
          <w:sz w:val="24"/>
        </w:rPr>
      </w:pPr>
      <w:r>
        <w:rPr>
          <w:rFonts w:hint="eastAsia" w:ascii="宋体" w:cs="宋体"/>
          <w:sz w:val="24"/>
        </w:rPr>
        <w:t>3.1 磋商响应文件的组成</w:t>
      </w:r>
    </w:p>
    <w:p w14:paraId="2EA47004">
      <w:pPr>
        <w:tabs>
          <w:tab w:val="left" w:pos="1365"/>
        </w:tabs>
        <w:spacing w:line="360" w:lineRule="auto"/>
        <w:ind w:firstLine="480" w:firstLineChars="200"/>
        <w:rPr>
          <w:rFonts w:ascii="宋体" w:cs="宋体"/>
          <w:sz w:val="24"/>
        </w:rPr>
      </w:pPr>
      <w:r>
        <w:rPr>
          <w:rFonts w:hint="eastAsia" w:ascii="宋体" w:cs="宋体"/>
          <w:sz w:val="24"/>
        </w:rPr>
        <w:t>1、磋商响应函</w:t>
      </w:r>
    </w:p>
    <w:p w14:paraId="3B1762A8">
      <w:pPr>
        <w:tabs>
          <w:tab w:val="left" w:pos="1365"/>
        </w:tabs>
        <w:spacing w:line="360" w:lineRule="auto"/>
        <w:ind w:firstLine="480" w:firstLineChars="200"/>
        <w:rPr>
          <w:rFonts w:ascii="宋体" w:cs="宋体"/>
          <w:sz w:val="24"/>
        </w:rPr>
      </w:pPr>
      <w:r>
        <w:rPr>
          <w:rFonts w:hint="eastAsia" w:ascii="宋体" w:cs="宋体"/>
          <w:sz w:val="24"/>
        </w:rPr>
        <w:t>2、法定代表人身份证明</w:t>
      </w:r>
    </w:p>
    <w:p w14:paraId="2831C1E0">
      <w:pPr>
        <w:tabs>
          <w:tab w:val="left" w:pos="1365"/>
        </w:tabs>
        <w:spacing w:line="360" w:lineRule="auto"/>
        <w:ind w:left="-4" w:leftChars="-2" w:firstLine="480" w:firstLineChars="200"/>
        <w:rPr>
          <w:rFonts w:ascii="宋体" w:cs="宋体"/>
          <w:sz w:val="24"/>
        </w:rPr>
      </w:pPr>
      <w:r>
        <w:rPr>
          <w:rFonts w:hint="eastAsia" w:ascii="宋体" w:cs="宋体"/>
          <w:sz w:val="24"/>
        </w:rPr>
        <w:t>3、授权委托书</w:t>
      </w:r>
    </w:p>
    <w:p w14:paraId="75C40277">
      <w:pPr>
        <w:tabs>
          <w:tab w:val="left" w:pos="1365"/>
        </w:tabs>
        <w:spacing w:line="360" w:lineRule="auto"/>
        <w:ind w:left="-4" w:leftChars="-2" w:firstLine="480" w:firstLineChars="200"/>
        <w:rPr>
          <w:rFonts w:ascii="宋体" w:cs="宋体"/>
          <w:sz w:val="24"/>
        </w:rPr>
      </w:pPr>
      <w:r>
        <w:rPr>
          <w:rFonts w:hint="eastAsia" w:ascii="宋体" w:cs="宋体"/>
          <w:sz w:val="24"/>
        </w:rPr>
        <w:t>4、磋商报价表</w:t>
      </w:r>
    </w:p>
    <w:p w14:paraId="18E19C58">
      <w:pPr>
        <w:tabs>
          <w:tab w:val="left" w:pos="1365"/>
        </w:tabs>
        <w:spacing w:line="360" w:lineRule="auto"/>
        <w:ind w:left="-4" w:leftChars="-2" w:firstLine="480" w:firstLineChars="200"/>
        <w:rPr>
          <w:rFonts w:ascii="宋体" w:cs="宋体"/>
          <w:sz w:val="24"/>
        </w:rPr>
      </w:pPr>
      <w:r>
        <w:rPr>
          <w:rFonts w:hint="eastAsia" w:ascii="宋体" w:cs="宋体"/>
          <w:sz w:val="24"/>
        </w:rPr>
        <w:t>5、磋商报价明细表</w:t>
      </w:r>
    </w:p>
    <w:p w14:paraId="7AC0F629">
      <w:pPr>
        <w:tabs>
          <w:tab w:val="left" w:pos="1365"/>
        </w:tabs>
        <w:spacing w:line="360" w:lineRule="auto"/>
        <w:ind w:left="-4" w:leftChars="-2" w:firstLine="480" w:firstLineChars="200"/>
        <w:rPr>
          <w:rFonts w:ascii="宋体" w:cs="宋体"/>
          <w:sz w:val="24"/>
        </w:rPr>
      </w:pPr>
      <w:r>
        <w:rPr>
          <w:rFonts w:hint="eastAsia" w:ascii="宋体" w:cs="宋体"/>
          <w:sz w:val="24"/>
        </w:rPr>
        <w:t>6、商务条款偏离表</w:t>
      </w:r>
    </w:p>
    <w:p w14:paraId="10B8ADF1">
      <w:pPr>
        <w:tabs>
          <w:tab w:val="left" w:pos="1365"/>
        </w:tabs>
        <w:spacing w:line="360" w:lineRule="auto"/>
        <w:ind w:left="-4" w:leftChars="-2" w:firstLine="480" w:firstLineChars="200"/>
        <w:rPr>
          <w:rFonts w:ascii="宋体" w:cs="宋体"/>
          <w:sz w:val="24"/>
        </w:rPr>
      </w:pPr>
      <w:r>
        <w:rPr>
          <w:rFonts w:hint="eastAsia" w:ascii="宋体" w:cs="宋体"/>
          <w:sz w:val="24"/>
        </w:rPr>
        <w:t>7、投标货物及技术规格偏离表</w:t>
      </w:r>
    </w:p>
    <w:p w14:paraId="769E9493">
      <w:pPr>
        <w:tabs>
          <w:tab w:val="left" w:pos="1365"/>
        </w:tabs>
        <w:spacing w:line="360" w:lineRule="auto"/>
        <w:ind w:left="-4" w:leftChars="-2" w:firstLine="480" w:firstLineChars="200"/>
        <w:rPr>
          <w:rFonts w:ascii="宋体" w:cs="宋体"/>
          <w:sz w:val="24"/>
        </w:rPr>
      </w:pPr>
      <w:r>
        <w:rPr>
          <w:rFonts w:hint="eastAsia" w:ascii="宋体" w:cs="宋体"/>
          <w:sz w:val="24"/>
        </w:rPr>
        <w:t>8、供应商资格声明</w:t>
      </w:r>
    </w:p>
    <w:p w14:paraId="4877967F">
      <w:pPr>
        <w:tabs>
          <w:tab w:val="left" w:pos="1365"/>
        </w:tabs>
        <w:spacing w:line="360" w:lineRule="auto"/>
        <w:ind w:left="-4" w:leftChars="-2" w:firstLine="480" w:firstLineChars="200"/>
        <w:rPr>
          <w:rFonts w:ascii="宋体" w:cs="宋体"/>
          <w:sz w:val="24"/>
        </w:rPr>
      </w:pPr>
      <w:r>
        <w:rPr>
          <w:rFonts w:hint="eastAsia" w:ascii="宋体" w:cs="宋体"/>
          <w:sz w:val="24"/>
        </w:rPr>
        <w:t>9、供应商基本情况</w:t>
      </w:r>
    </w:p>
    <w:p w14:paraId="0F9D97D7">
      <w:pPr>
        <w:tabs>
          <w:tab w:val="left" w:pos="1365"/>
        </w:tabs>
        <w:spacing w:line="360" w:lineRule="auto"/>
        <w:ind w:left="-4" w:leftChars="-2" w:firstLine="480" w:firstLineChars="200"/>
        <w:rPr>
          <w:rFonts w:ascii="宋体" w:cs="宋体"/>
          <w:sz w:val="24"/>
        </w:rPr>
      </w:pPr>
      <w:r>
        <w:rPr>
          <w:rFonts w:hint="eastAsia" w:ascii="宋体" w:cs="宋体"/>
          <w:sz w:val="24"/>
        </w:rPr>
        <w:t>10、供应商类似项目业绩一览表</w:t>
      </w:r>
    </w:p>
    <w:p w14:paraId="615465B4">
      <w:pPr>
        <w:tabs>
          <w:tab w:val="left" w:pos="1365"/>
        </w:tabs>
        <w:spacing w:line="360" w:lineRule="auto"/>
        <w:ind w:left="-4" w:leftChars="-2" w:firstLine="480" w:firstLineChars="200"/>
        <w:rPr>
          <w:rFonts w:ascii="宋体" w:cs="宋体"/>
          <w:sz w:val="24"/>
        </w:rPr>
      </w:pPr>
      <w:r>
        <w:rPr>
          <w:rFonts w:hint="eastAsia" w:ascii="宋体" w:cs="宋体"/>
          <w:sz w:val="24"/>
        </w:rPr>
        <w:t>11、供应商拟派于本项目管理、技术、服务人员情况表</w:t>
      </w:r>
    </w:p>
    <w:p w14:paraId="296812CC">
      <w:pPr>
        <w:tabs>
          <w:tab w:val="left" w:pos="1365"/>
        </w:tabs>
        <w:spacing w:line="360" w:lineRule="auto"/>
        <w:ind w:left="-4" w:leftChars="-2" w:firstLine="480" w:firstLineChars="200"/>
        <w:rPr>
          <w:rFonts w:ascii="宋体" w:cs="宋体"/>
          <w:sz w:val="24"/>
        </w:rPr>
      </w:pPr>
      <w:r>
        <w:rPr>
          <w:rFonts w:hint="eastAsia" w:ascii="宋体" w:cs="宋体"/>
          <w:sz w:val="24"/>
        </w:rPr>
        <w:t>12、信誉承诺书</w:t>
      </w:r>
    </w:p>
    <w:p w14:paraId="0576384E">
      <w:pPr>
        <w:pStyle w:val="27"/>
        <w:ind w:firstLine="480" w:firstLineChars="200"/>
        <w:rPr>
          <w:rFonts w:ascii="宋体" w:eastAsia="宋体" w:cs="宋体"/>
        </w:rPr>
      </w:pPr>
      <w:r>
        <w:rPr>
          <w:rFonts w:hint="eastAsia" w:ascii="宋体" w:eastAsia="宋体" w:cs="宋体"/>
        </w:rPr>
        <w:t>13、磋商保证金</w:t>
      </w:r>
    </w:p>
    <w:p w14:paraId="5C8A5DC7">
      <w:pPr>
        <w:tabs>
          <w:tab w:val="left" w:pos="1365"/>
        </w:tabs>
        <w:spacing w:line="360" w:lineRule="auto"/>
        <w:ind w:left="-4" w:leftChars="-2" w:firstLine="480" w:firstLineChars="200"/>
        <w:rPr>
          <w:rFonts w:ascii="宋体" w:cs="宋体"/>
          <w:sz w:val="24"/>
        </w:rPr>
      </w:pPr>
      <w:r>
        <w:rPr>
          <w:rFonts w:hint="eastAsia" w:ascii="宋体" w:cs="宋体"/>
          <w:sz w:val="24"/>
        </w:rPr>
        <w:t>14、售后服务承诺书</w:t>
      </w:r>
    </w:p>
    <w:p w14:paraId="5FECAA1A">
      <w:pPr>
        <w:tabs>
          <w:tab w:val="left" w:pos="1365"/>
        </w:tabs>
        <w:spacing w:line="360" w:lineRule="auto"/>
        <w:ind w:left="-4" w:leftChars="-2" w:firstLine="480" w:firstLineChars="200"/>
        <w:rPr>
          <w:rFonts w:ascii="宋体" w:cs="宋体"/>
          <w:sz w:val="24"/>
        </w:rPr>
      </w:pPr>
      <w:r>
        <w:rPr>
          <w:rFonts w:hint="eastAsia" w:ascii="宋体" w:cs="宋体"/>
          <w:sz w:val="24"/>
        </w:rPr>
        <w:t>15、实施方案</w:t>
      </w:r>
    </w:p>
    <w:p w14:paraId="73AD6FBA">
      <w:pPr>
        <w:tabs>
          <w:tab w:val="left" w:pos="1365"/>
        </w:tabs>
        <w:spacing w:line="360" w:lineRule="auto"/>
        <w:ind w:firstLine="482" w:firstLineChars="201"/>
        <w:rPr>
          <w:rFonts w:ascii="宋体" w:cs="宋体"/>
          <w:sz w:val="24"/>
        </w:rPr>
      </w:pPr>
      <w:r>
        <w:rPr>
          <w:rFonts w:hint="eastAsia" w:ascii="宋体" w:cs="宋体"/>
          <w:sz w:val="24"/>
        </w:rPr>
        <w:t>16、供应商认为需要提供的其他材料</w:t>
      </w:r>
    </w:p>
    <w:p w14:paraId="6BE9E042">
      <w:pPr>
        <w:spacing w:line="360" w:lineRule="auto"/>
        <w:ind w:firstLine="480" w:firstLineChars="200"/>
        <w:rPr>
          <w:rFonts w:ascii="宋体" w:cs="宋体"/>
          <w:sz w:val="24"/>
        </w:rPr>
      </w:pPr>
      <w:r>
        <w:rPr>
          <w:rFonts w:hint="eastAsia" w:ascii="宋体" w:cs="宋体"/>
          <w:sz w:val="24"/>
        </w:rPr>
        <w:t>3.2 取费报价</w:t>
      </w:r>
    </w:p>
    <w:p w14:paraId="26E1343E">
      <w:pPr>
        <w:spacing w:line="360" w:lineRule="auto"/>
        <w:ind w:firstLine="480" w:firstLineChars="200"/>
        <w:rPr>
          <w:rFonts w:ascii="宋体" w:cs="宋体"/>
          <w:sz w:val="24"/>
        </w:rPr>
      </w:pPr>
      <w:r>
        <w:rPr>
          <w:rFonts w:hint="eastAsia" w:ascii="宋体" w:cs="宋体"/>
          <w:sz w:val="24"/>
        </w:rPr>
        <w:t>3.2.1 除非竞争性磋商文件中另有规定，服务取费报价应包括完成本项目过程中提供的所有服务，所需采购人支付的全部服务费。</w:t>
      </w:r>
    </w:p>
    <w:p w14:paraId="0F81810A">
      <w:pPr>
        <w:spacing w:line="360" w:lineRule="auto"/>
        <w:ind w:firstLine="480" w:firstLineChars="200"/>
        <w:rPr>
          <w:rFonts w:ascii="宋体" w:cs="宋体"/>
          <w:sz w:val="24"/>
        </w:rPr>
      </w:pPr>
      <w:r>
        <w:rPr>
          <w:rFonts w:hint="eastAsia" w:ascii="宋体" w:cs="宋体"/>
          <w:sz w:val="24"/>
        </w:rPr>
        <w:t>3.2.2 设计费用在合同实施期间固定不变。</w:t>
      </w:r>
    </w:p>
    <w:p w14:paraId="057F0D46">
      <w:pPr>
        <w:spacing w:line="360" w:lineRule="auto"/>
        <w:ind w:firstLine="480" w:firstLineChars="200"/>
        <w:rPr>
          <w:rFonts w:ascii="宋体" w:cs="宋体"/>
          <w:sz w:val="24"/>
        </w:rPr>
      </w:pPr>
      <w:r>
        <w:rPr>
          <w:rFonts w:hint="eastAsia" w:ascii="宋体" w:cs="宋体"/>
          <w:sz w:val="24"/>
        </w:rPr>
        <w:t>3.3 磋商响应有效期</w:t>
      </w:r>
    </w:p>
    <w:p w14:paraId="0CA89103">
      <w:pPr>
        <w:spacing w:line="360" w:lineRule="auto"/>
        <w:ind w:firstLine="480" w:firstLineChars="200"/>
        <w:rPr>
          <w:rFonts w:ascii="宋体" w:cs="宋体"/>
          <w:sz w:val="24"/>
        </w:rPr>
      </w:pPr>
      <w:r>
        <w:rPr>
          <w:rFonts w:hint="eastAsia" w:ascii="宋体" w:cs="宋体"/>
          <w:sz w:val="24"/>
        </w:rPr>
        <w:t>3.3.1 在供应商须知前附表规定的磋商响应有效期内，供应商不得要求撤销或修改其磋商响应文件。</w:t>
      </w:r>
    </w:p>
    <w:p w14:paraId="55959546">
      <w:pPr>
        <w:spacing w:line="360" w:lineRule="auto"/>
        <w:ind w:firstLine="480" w:firstLineChars="200"/>
        <w:rPr>
          <w:rFonts w:ascii="宋体" w:cs="宋体"/>
          <w:sz w:val="24"/>
        </w:rPr>
      </w:pPr>
      <w:r>
        <w:rPr>
          <w:rFonts w:hint="eastAsia" w:ascii="宋体" w:cs="宋体"/>
          <w:sz w:val="24"/>
        </w:rPr>
        <w:t xml:space="preserve">3.3.2出现特殊情况需要延长磋商响应有效期的，采购人以书面形式通知所有供应商延长磋商响应有效期。供应商同意延长的，应相应延长其磋商保证金的有效期，但不得要求或被允许修改或撤销其磋商响应文件；供应商拒绝延长的，其响应失效，但供应商有权收回其磋商保证金。 </w:t>
      </w:r>
    </w:p>
    <w:p w14:paraId="60C2DE5A">
      <w:pPr>
        <w:spacing w:line="360" w:lineRule="auto"/>
        <w:ind w:firstLine="480" w:firstLineChars="200"/>
        <w:rPr>
          <w:rFonts w:ascii="宋体" w:cs="宋体"/>
          <w:sz w:val="24"/>
        </w:rPr>
      </w:pPr>
      <w:r>
        <w:rPr>
          <w:rFonts w:hint="eastAsia" w:ascii="宋体" w:cs="宋体"/>
          <w:sz w:val="24"/>
        </w:rPr>
        <w:t>3.4 磋商保证金</w:t>
      </w:r>
    </w:p>
    <w:p w14:paraId="01001AEE">
      <w:pPr>
        <w:spacing w:line="360" w:lineRule="auto"/>
        <w:ind w:firstLine="480" w:firstLineChars="200"/>
        <w:rPr>
          <w:rFonts w:ascii="宋体" w:cs="宋体"/>
          <w:sz w:val="24"/>
        </w:rPr>
      </w:pPr>
      <w:r>
        <w:rPr>
          <w:rFonts w:hint="eastAsia" w:ascii="宋体" w:cs="宋体"/>
          <w:sz w:val="24"/>
        </w:rPr>
        <w:t>3.4.1 供应商在递交磋商响应文件的同时，应按供应商须知前附表规定的金额、担保形式和第六章“磋商响应文件格式”规定的磋商保证金格式递交磋商保证金，并作为其磋商响应文件的组成部分。联合体参加的，其磋商保证金由牵头人递交，并应符合供应商须知前附表的规定。</w:t>
      </w:r>
    </w:p>
    <w:p w14:paraId="5990CC01">
      <w:pPr>
        <w:spacing w:line="360" w:lineRule="auto"/>
        <w:ind w:firstLine="480" w:firstLineChars="200"/>
        <w:rPr>
          <w:rFonts w:ascii="宋体" w:cs="宋体"/>
          <w:sz w:val="24"/>
        </w:rPr>
      </w:pPr>
      <w:r>
        <w:rPr>
          <w:rFonts w:hint="eastAsia" w:ascii="宋体" w:cs="宋体"/>
          <w:sz w:val="24"/>
        </w:rPr>
        <w:t>3.4.2 供应商不按本章第3.4.1项要求提交磋商保证金的，将导致磋商响应文件被否决。</w:t>
      </w:r>
    </w:p>
    <w:p w14:paraId="00E40EDE">
      <w:pPr>
        <w:spacing w:line="360" w:lineRule="auto"/>
        <w:ind w:firstLine="480" w:firstLineChars="200"/>
        <w:rPr>
          <w:rFonts w:ascii="宋体" w:cs="宋体"/>
          <w:sz w:val="24"/>
        </w:rPr>
      </w:pPr>
      <w:r>
        <w:rPr>
          <w:rFonts w:hint="eastAsia" w:ascii="宋体" w:cs="宋体"/>
          <w:sz w:val="24"/>
        </w:rPr>
        <w:t>3.4.3 采购人与中选人签订合同后5个工作日内，向未中选的供应商和中选人退还磋商保证金。</w:t>
      </w:r>
    </w:p>
    <w:p w14:paraId="1D607851">
      <w:pPr>
        <w:spacing w:line="360" w:lineRule="auto"/>
        <w:ind w:firstLine="480" w:firstLineChars="200"/>
        <w:rPr>
          <w:rFonts w:ascii="宋体" w:cs="宋体"/>
          <w:sz w:val="24"/>
        </w:rPr>
      </w:pPr>
      <w:r>
        <w:rPr>
          <w:rFonts w:hint="eastAsia" w:ascii="宋体" w:cs="宋体"/>
          <w:sz w:val="24"/>
        </w:rPr>
        <w:t>3.4.4 有下列情形之一的，磋商保证金将不予退还：</w:t>
      </w:r>
    </w:p>
    <w:p w14:paraId="7611DB68">
      <w:pPr>
        <w:spacing w:line="360" w:lineRule="auto"/>
        <w:ind w:firstLine="480" w:firstLineChars="200"/>
        <w:rPr>
          <w:rFonts w:ascii="宋体" w:cs="宋体"/>
          <w:sz w:val="24"/>
        </w:rPr>
      </w:pPr>
      <w:r>
        <w:rPr>
          <w:rFonts w:hint="eastAsia" w:ascii="宋体" w:cs="宋体"/>
          <w:sz w:val="24"/>
        </w:rPr>
        <w:t>（1）供应商在规定的磋商有效期内撤销或修改其磋商响应文件；</w:t>
      </w:r>
    </w:p>
    <w:p w14:paraId="67D4A1E7">
      <w:pPr>
        <w:spacing w:line="360" w:lineRule="auto"/>
        <w:ind w:firstLine="480" w:firstLineChars="200"/>
        <w:rPr>
          <w:rFonts w:ascii="宋体" w:cs="宋体"/>
          <w:sz w:val="24"/>
        </w:rPr>
      </w:pPr>
      <w:r>
        <w:rPr>
          <w:rFonts w:hint="eastAsia" w:ascii="宋体" w:cs="宋体"/>
          <w:sz w:val="24"/>
        </w:rPr>
        <w:t>（2）中选人在收到成交通知书后，无正当理由拒签合同协议书或未按竞争性磋商文件规定提交履约担保。</w:t>
      </w:r>
    </w:p>
    <w:p w14:paraId="08FD2511">
      <w:pPr>
        <w:spacing w:line="360" w:lineRule="auto"/>
        <w:ind w:firstLine="480" w:firstLineChars="200"/>
        <w:rPr>
          <w:rFonts w:ascii="宋体" w:cs="宋体"/>
          <w:sz w:val="24"/>
        </w:rPr>
      </w:pPr>
      <w:r>
        <w:rPr>
          <w:rFonts w:hint="eastAsia" w:ascii="宋体" w:cs="宋体"/>
          <w:sz w:val="24"/>
        </w:rPr>
        <w:t>3.5 资格审查资料</w:t>
      </w:r>
    </w:p>
    <w:p w14:paraId="5F3B8D2A">
      <w:pPr>
        <w:spacing w:line="360" w:lineRule="auto"/>
        <w:ind w:firstLine="480" w:firstLineChars="200"/>
        <w:rPr>
          <w:rFonts w:ascii="宋体" w:cs="宋体"/>
          <w:sz w:val="24"/>
        </w:rPr>
      </w:pPr>
      <w:r>
        <w:rPr>
          <w:rFonts w:hint="eastAsia" w:ascii="宋体" w:cs="宋体"/>
          <w:sz w:val="24"/>
        </w:rPr>
        <w:t>3.5.1 “供应商基本情况表”应附企业营业执照副本、税务登记证副本、组织机构代码证副本（五证合一的除外）、财务状况良好证明资料、依法缴纳税后和社会保障资金证明材料等资料复印件加盖公章。</w:t>
      </w:r>
    </w:p>
    <w:p w14:paraId="2EB7F288">
      <w:pPr>
        <w:spacing w:line="360" w:lineRule="auto"/>
        <w:ind w:firstLine="480" w:firstLineChars="200"/>
        <w:rPr>
          <w:rFonts w:ascii="宋体" w:cs="宋体"/>
          <w:sz w:val="24"/>
        </w:rPr>
      </w:pPr>
      <w:r>
        <w:rPr>
          <w:rFonts w:hint="eastAsia" w:ascii="宋体" w:cs="宋体"/>
          <w:sz w:val="24"/>
        </w:rPr>
        <w:t>3.5.2 “供应商类似项目业绩一览表”应附中标通知书和（或）合同协议书的复印件加盖公章，具体年份要求见供应商须知前附表。</w:t>
      </w:r>
    </w:p>
    <w:p w14:paraId="5C15C2A6">
      <w:pPr>
        <w:spacing w:line="360" w:lineRule="auto"/>
        <w:ind w:firstLine="480" w:firstLineChars="200"/>
        <w:rPr>
          <w:rFonts w:ascii="宋体" w:cs="宋体"/>
          <w:sz w:val="24"/>
        </w:rPr>
      </w:pPr>
      <w:r>
        <w:rPr>
          <w:rFonts w:hint="eastAsia" w:ascii="宋体" w:cs="宋体"/>
          <w:sz w:val="24"/>
        </w:rPr>
        <w:t>3.5.3 供应商须知前附表规定接受联合体参加的，本章第3.5.1项至第3.5.2项规定的表格和资料应包括联合体各方相关情况。</w:t>
      </w:r>
    </w:p>
    <w:p w14:paraId="3F8D5E69">
      <w:pPr>
        <w:spacing w:line="360" w:lineRule="auto"/>
        <w:ind w:firstLine="480" w:firstLineChars="200"/>
        <w:rPr>
          <w:rFonts w:ascii="宋体" w:cs="宋体"/>
          <w:sz w:val="24"/>
        </w:rPr>
      </w:pPr>
      <w:r>
        <w:rPr>
          <w:rFonts w:hint="eastAsia" w:ascii="宋体" w:cs="宋体"/>
          <w:sz w:val="24"/>
        </w:rPr>
        <w:t>3.6 备选投标方案</w:t>
      </w:r>
    </w:p>
    <w:p w14:paraId="661CC3CB">
      <w:pPr>
        <w:spacing w:line="360" w:lineRule="auto"/>
        <w:ind w:firstLine="480" w:firstLineChars="200"/>
        <w:rPr>
          <w:rFonts w:ascii="宋体" w:cs="宋体"/>
          <w:sz w:val="24"/>
        </w:rPr>
      </w:pPr>
      <w:r>
        <w:rPr>
          <w:rFonts w:hint="eastAsia" w:ascii="宋体" w:cs="宋体"/>
          <w:sz w:val="24"/>
        </w:rPr>
        <w:t>除供应商须知前附表另有规定外，供应商不得递交备选磋商响应方案。</w:t>
      </w:r>
    </w:p>
    <w:p w14:paraId="513C17D7">
      <w:pPr>
        <w:spacing w:line="360" w:lineRule="auto"/>
        <w:ind w:firstLine="480" w:firstLineChars="200"/>
        <w:rPr>
          <w:rFonts w:ascii="宋体" w:cs="宋体"/>
          <w:sz w:val="24"/>
        </w:rPr>
      </w:pPr>
      <w:r>
        <w:rPr>
          <w:rFonts w:hint="eastAsia" w:ascii="宋体" w:cs="宋体"/>
          <w:sz w:val="24"/>
        </w:rPr>
        <w:t>3.7 磋商响应文件的编制</w:t>
      </w:r>
    </w:p>
    <w:p w14:paraId="178EF637">
      <w:pPr>
        <w:spacing w:line="360" w:lineRule="auto"/>
        <w:ind w:firstLine="480" w:firstLineChars="200"/>
        <w:rPr>
          <w:rFonts w:ascii="宋体" w:cs="宋体"/>
          <w:sz w:val="24"/>
        </w:rPr>
      </w:pPr>
      <w:r>
        <w:rPr>
          <w:rFonts w:hint="eastAsia" w:ascii="宋体" w:cs="宋体"/>
          <w:sz w:val="24"/>
        </w:rPr>
        <w:t>3.7.1磋商响应文件应按第六章“磋商响应文件格式”进行编写，如有必要，可以增加附页，作为磋商响应文件的组成部分。其中，磋商响应函附录在满足竞争性磋商文件实质性要求的基础上，可以提出比竞争性磋商文件要求更有利于采购人的承诺。</w:t>
      </w:r>
    </w:p>
    <w:p w14:paraId="37A003A6">
      <w:pPr>
        <w:spacing w:line="360" w:lineRule="auto"/>
        <w:ind w:firstLine="480" w:firstLineChars="200"/>
        <w:rPr>
          <w:rFonts w:ascii="宋体" w:cs="宋体"/>
          <w:sz w:val="24"/>
        </w:rPr>
      </w:pPr>
      <w:r>
        <w:rPr>
          <w:rFonts w:hint="eastAsia" w:ascii="宋体" w:cs="宋体"/>
          <w:sz w:val="24"/>
        </w:rPr>
        <w:t>3.7.2 磋商响应文件应当对竞争性磋商文件有关合同履行期限、磋商响应有效期、质量要求、技术标准和要求、采购范围等实质性内容作出响应。</w:t>
      </w:r>
    </w:p>
    <w:p w14:paraId="1C81F33D">
      <w:pPr>
        <w:spacing w:line="360" w:lineRule="auto"/>
        <w:ind w:firstLine="480" w:firstLineChars="200"/>
        <w:rPr>
          <w:rFonts w:ascii="宋体" w:cs="宋体"/>
          <w:sz w:val="24"/>
        </w:rPr>
      </w:pPr>
      <w:r>
        <w:rPr>
          <w:rFonts w:hint="eastAsia" w:ascii="宋体" w:cs="宋体"/>
          <w:sz w:val="24"/>
        </w:rPr>
        <w:t>3.7.3 磋商响应文件应用不褪色的材料书写或打印，并由供应商的法定代表人或其委托代理人签字或盖单位章。委托代理人签字的，磋商响应文件应附法定代表人签署的授权委托书。所有要求签字的地方都应用不褪色的墨水或签字笔由本人亲笔手写签字（包括姓和名），不得用盖章（如签名章、签字章等）代替，也不得由他人代签。所有要求盖章的地方都应加盖供应商单位（法定名称）章（鲜章），不得使用专用章（如经济合同章、投标专用章等）或下属单位印章代替。</w:t>
      </w:r>
    </w:p>
    <w:p w14:paraId="2EFC656D">
      <w:pPr>
        <w:spacing w:line="360" w:lineRule="auto"/>
        <w:ind w:firstLine="480" w:firstLineChars="200"/>
        <w:rPr>
          <w:rFonts w:ascii="宋体" w:cs="宋体"/>
          <w:sz w:val="24"/>
        </w:rPr>
      </w:pPr>
      <w:r>
        <w:rPr>
          <w:rFonts w:hint="eastAsia" w:ascii="宋体" w:cs="宋体"/>
          <w:sz w:val="24"/>
        </w:rPr>
        <w:t xml:space="preserve">磋商响应文件应尽量避免涂改、行间插字或删除。如果出现上述情况，改动之处应加盖单位章或由供应商的法定代表人或其授权的代理人签字确认。签字或盖章的具体要求见供应商须知前附表。 </w:t>
      </w:r>
    </w:p>
    <w:p w14:paraId="7CB95914">
      <w:pPr>
        <w:spacing w:line="360" w:lineRule="auto"/>
        <w:ind w:firstLine="480" w:firstLineChars="200"/>
        <w:rPr>
          <w:rFonts w:ascii="宋体" w:cs="宋体"/>
          <w:sz w:val="24"/>
        </w:rPr>
      </w:pPr>
      <w:r>
        <w:rPr>
          <w:rFonts w:hint="eastAsia" w:ascii="宋体" w:cs="宋体"/>
          <w:sz w:val="24"/>
        </w:rPr>
        <w:t>3.7.4 磋商响应文件正本一份, 副本份数见供应商须知前附表。正本和副本的封面上应清楚地标记“正本”或“副本”的字样。当副本和正本不一致时，以正本为准。</w:t>
      </w:r>
    </w:p>
    <w:p w14:paraId="7F00777A">
      <w:pPr>
        <w:spacing w:line="360" w:lineRule="auto"/>
        <w:ind w:firstLine="480" w:firstLineChars="200"/>
        <w:rPr>
          <w:rFonts w:ascii="宋体" w:cs="宋体"/>
          <w:sz w:val="24"/>
        </w:rPr>
      </w:pPr>
      <w:r>
        <w:rPr>
          <w:rFonts w:hint="eastAsia" w:ascii="宋体" w:cs="宋体"/>
          <w:sz w:val="24"/>
        </w:rPr>
        <w:t>3.7.5 磋商响应文件的正本与副本应分别装订成册，装订应牢固、整齐便于保管和利用，不易拆散和换页，并编制目录及页码。不得采用活页装订。</w:t>
      </w:r>
    </w:p>
    <w:p w14:paraId="0B273CEA">
      <w:pPr>
        <w:spacing w:line="360" w:lineRule="auto"/>
        <w:ind w:firstLine="480" w:firstLineChars="200"/>
        <w:rPr>
          <w:rFonts w:ascii="宋体" w:cs="宋体"/>
          <w:sz w:val="24"/>
        </w:rPr>
      </w:pPr>
      <w:r>
        <w:rPr>
          <w:rFonts w:hint="eastAsia" w:ascii="宋体" w:cs="宋体"/>
          <w:sz w:val="24"/>
        </w:rPr>
        <w:t>3.7.6 磋商响应文件与样品须加盖骑缝章。</w:t>
      </w:r>
    </w:p>
    <w:p w14:paraId="37A08B6B">
      <w:pPr>
        <w:spacing w:line="360" w:lineRule="auto"/>
        <w:ind w:firstLine="480" w:firstLineChars="200"/>
        <w:rPr>
          <w:rFonts w:ascii="宋体" w:cs="宋体"/>
          <w:sz w:val="24"/>
        </w:rPr>
      </w:pPr>
      <w:r>
        <w:rPr>
          <w:rFonts w:hint="eastAsia" w:ascii="宋体" w:cs="宋体"/>
          <w:sz w:val="24"/>
        </w:rPr>
        <w:t>3.7.7为确保网上操作合法、有效和安全，供应商应当在截止时间前完成在“政采云”平台的身份认证，确保在电子投标过程中能够对相关数据电文进行加密和使用电子签名。</w:t>
      </w:r>
    </w:p>
    <w:p w14:paraId="1563A363">
      <w:pPr>
        <w:spacing w:line="360" w:lineRule="auto"/>
        <w:ind w:firstLine="482" w:firstLineChars="200"/>
        <w:jc w:val="center"/>
        <w:rPr>
          <w:rFonts w:ascii="宋体" w:cs="宋体"/>
          <w:b/>
          <w:bCs/>
          <w:sz w:val="24"/>
        </w:rPr>
      </w:pPr>
      <w:r>
        <w:rPr>
          <w:rFonts w:hint="eastAsia" w:ascii="宋体" w:cs="宋体"/>
          <w:b/>
          <w:bCs/>
          <w:sz w:val="24"/>
        </w:rPr>
        <w:t>4. 磋商前</w:t>
      </w:r>
    </w:p>
    <w:p w14:paraId="6FBE7294">
      <w:pPr>
        <w:spacing w:line="360" w:lineRule="auto"/>
        <w:ind w:firstLine="480" w:firstLineChars="200"/>
        <w:rPr>
          <w:rFonts w:ascii="宋体" w:cs="宋体"/>
          <w:sz w:val="24"/>
        </w:rPr>
      </w:pPr>
      <w:r>
        <w:rPr>
          <w:rFonts w:hint="eastAsia" w:ascii="宋体" w:cs="宋体"/>
          <w:sz w:val="24"/>
        </w:rPr>
        <w:t>4.1 磋商响应文件的密封和标记</w:t>
      </w:r>
    </w:p>
    <w:p w14:paraId="45E1A052">
      <w:pPr>
        <w:spacing w:line="360" w:lineRule="auto"/>
        <w:ind w:firstLine="480" w:firstLineChars="200"/>
        <w:rPr>
          <w:rFonts w:ascii="宋体" w:cs="宋体"/>
          <w:sz w:val="24"/>
        </w:rPr>
      </w:pPr>
      <w:r>
        <w:rPr>
          <w:rFonts w:hint="eastAsia" w:ascii="宋体" w:cs="宋体"/>
          <w:sz w:val="24"/>
        </w:rPr>
        <w:t xml:space="preserve">4.1.1 供应商必须在“供应商须知前附表”规定的响应文件接收时间和地点提交电子版响应文件。电子响应文件应在制作完成后，在投标截止时间前通过有效数字证书（CA认证锁）进行电子签章、加密，然后通过网络将加密的电子响应文件递交至“政采云”平台。  </w:t>
      </w:r>
    </w:p>
    <w:p w14:paraId="6ADAAA65">
      <w:pPr>
        <w:spacing w:line="360" w:lineRule="auto"/>
        <w:ind w:firstLine="480" w:firstLineChars="200"/>
        <w:rPr>
          <w:rFonts w:ascii="宋体" w:cs="宋体"/>
          <w:sz w:val="24"/>
        </w:rPr>
      </w:pPr>
      <w:r>
        <w:rPr>
          <w:rFonts w:hint="eastAsia" w:ascii="宋体" w:cs="宋体"/>
          <w:sz w:val="24"/>
        </w:rPr>
        <w:t xml:space="preserve">4.1.2 未在规定时间内提交或者未按照招标文件要求密封或者标记的电子响应文件，“政采云”平台将拒收。 </w:t>
      </w:r>
    </w:p>
    <w:p w14:paraId="6876324C">
      <w:pPr>
        <w:spacing w:line="360" w:lineRule="auto"/>
        <w:ind w:firstLine="480" w:firstLineChars="200"/>
        <w:rPr>
          <w:rFonts w:ascii="宋体" w:cs="宋体"/>
          <w:sz w:val="24"/>
        </w:rPr>
      </w:pPr>
      <w:r>
        <w:rPr>
          <w:rFonts w:hint="eastAsia" w:ascii="宋体" w:cs="宋体"/>
          <w:sz w:val="24"/>
        </w:rPr>
        <w:t>4.1.3 未按本章第4.1.1项或第4.1.2项要求密封和加写标记的磋商响应文件，采购人不予受理。</w:t>
      </w:r>
    </w:p>
    <w:p w14:paraId="407AFCED">
      <w:pPr>
        <w:spacing w:line="360" w:lineRule="auto"/>
        <w:ind w:firstLine="480" w:firstLineChars="200"/>
        <w:rPr>
          <w:rFonts w:ascii="宋体" w:cs="宋体"/>
          <w:sz w:val="24"/>
        </w:rPr>
      </w:pPr>
      <w:r>
        <w:rPr>
          <w:rFonts w:hint="eastAsia" w:ascii="宋体" w:cs="宋体"/>
          <w:sz w:val="24"/>
        </w:rPr>
        <w:t>4.2 磋商响应文件的递交</w:t>
      </w:r>
    </w:p>
    <w:p w14:paraId="7C5FC62E">
      <w:pPr>
        <w:spacing w:line="360" w:lineRule="auto"/>
        <w:ind w:firstLine="480" w:firstLineChars="200"/>
        <w:rPr>
          <w:rFonts w:ascii="宋体" w:cs="宋体"/>
          <w:sz w:val="24"/>
        </w:rPr>
      </w:pPr>
      <w:r>
        <w:rPr>
          <w:rFonts w:hint="eastAsia" w:ascii="宋体" w:cs="宋体"/>
          <w:sz w:val="24"/>
        </w:rPr>
        <w:t>4.2.1 供应商应在本章第2.2.2项规定的递交磋商响应文件截止时间前递交。</w:t>
      </w:r>
    </w:p>
    <w:p w14:paraId="39BCA283">
      <w:pPr>
        <w:spacing w:line="360" w:lineRule="auto"/>
        <w:ind w:firstLine="480" w:firstLineChars="200"/>
        <w:rPr>
          <w:rFonts w:ascii="宋体" w:cs="宋体"/>
          <w:sz w:val="24"/>
        </w:rPr>
      </w:pPr>
      <w:r>
        <w:rPr>
          <w:rFonts w:hint="eastAsia" w:ascii="宋体" w:cs="宋体"/>
          <w:sz w:val="24"/>
        </w:rPr>
        <w:t>4.2.2 供应商递交磋商响应文件的地点：见供应商须知前附表。</w:t>
      </w:r>
    </w:p>
    <w:p w14:paraId="64C2E46F">
      <w:pPr>
        <w:spacing w:line="360" w:lineRule="auto"/>
        <w:ind w:firstLine="480" w:firstLineChars="200"/>
        <w:rPr>
          <w:rFonts w:ascii="宋体" w:cs="宋体"/>
          <w:sz w:val="24"/>
        </w:rPr>
      </w:pPr>
      <w:r>
        <w:rPr>
          <w:rFonts w:hint="eastAsia" w:ascii="宋体" w:cs="宋体"/>
          <w:sz w:val="24"/>
        </w:rPr>
        <w:t>4.2.3 除供应商须知前附表另有规定外，供应商所递交的磋商响应文件不予退还。</w:t>
      </w:r>
    </w:p>
    <w:p w14:paraId="3CBEEF3B">
      <w:pPr>
        <w:spacing w:line="360" w:lineRule="auto"/>
        <w:ind w:firstLine="480" w:firstLineChars="200"/>
        <w:rPr>
          <w:rFonts w:ascii="宋体" w:cs="宋体"/>
          <w:sz w:val="24"/>
        </w:rPr>
      </w:pPr>
      <w:r>
        <w:rPr>
          <w:rFonts w:hint="eastAsia" w:ascii="宋体" w:cs="宋体"/>
          <w:sz w:val="24"/>
        </w:rPr>
        <w:t>4.2.4 逾期送达的或者未送达指定地点的磋商响应文件，采购人不予受理。</w:t>
      </w:r>
    </w:p>
    <w:p w14:paraId="7B13FC2A">
      <w:pPr>
        <w:spacing w:line="360" w:lineRule="auto"/>
        <w:ind w:firstLine="480" w:firstLineChars="200"/>
        <w:rPr>
          <w:rFonts w:ascii="宋体" w:cs="宋体"/>
          <w:sz w:val="24"/>
        </w:rPr>
      </w:pPr>
      <w:r>
        <w:rPr>
          <w:rFonts w:hint="eastAsia" w:ascii="宋体" w:cs="宋体"/>
          <w:sz w:val="24"/>
        </w:rPr>
        <w:t>4.3 磋商响应文件的修改与撤回</w:t>
      </w:r>
    </w:p>
    <w:p w14:paraId="0FB20141">
      <w:pPr>
        <w:spacing w:line="360" w:lineRule="auto"/>
        <w:ind w:firstLine="480" w:firstLineChars="200"/>
        <w:rPr>
          <w:rFonts w:ascii="宋体" w:cs="宋体"/>
          <w:sz w:val="24"/>
        </w:rPr>
      </w:pPr>
      <w:r>
        <w:rPr>
          <w:rFonts w:hint="eastAsia" w:ascii="宋体" w:cs="宋体"/>
          <w:sz w:val="24"/>
        </w:rPr>
        <w:t>4.3.1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政采云”平台将拒收。</w:t>
      </w:r>
    </w:p>
    <w:p w14:paraId="74019868">
      <w:pPr>
        <w:spacing w:line="360" w:lineRule="auto"/>
        <w:ind w:firstLine="480" w:firstLineChars="200"/>
        <w:rPr>
          <w:rFonts w:ascii="宋体" w:cs="宋体"/>
          <w:sz w:val="24"/>
        </w:rPr>
      </w:pPr>
      <w:r>
        <w:rPr>
          <w:rFonts w:hint="eastAsia" w:ascii="宋体" w:cs="宋体"/>
          <w:sz w:val="24"/>
        </w:rPr>
        <w:t>4.3.2 “政采云”平台收到响应文件，在投标截止时间前，除供应商补充、修改或者撤回响应文件外，任何单位和个人不得解密或提取响应文件。</w:t>
      </w:r>
    </w:p>
    <w:p w14:paraId="6D2A3C99">
      <w:pPr>
        <w:spacing w:line="360" w:lineRule="auto"/>
        <w:ind w:firstLine="480" w:firstLineChars="200"/>
        <w:rPr>
          <w:rFonts w:ascii="宋体" w:cs="宋体"/>
          <w:sz w:val="24"/>
        </w:rPr>
      </w:pPr>
      <w:r>
        <w:rPr>
          <w:rFonts w:hint="eastAsia" w:ascii="宋体" w:cs="宋体"/>
          <w:sz w:val="24"/>
        </w:rPr>
        <w:t>4.3.3 在投标截止时间止提交电子版响应文件的供应商不足3家时，电子版响应文件由代理机构在“政采云”平台操作退回，除此之外采购人和采购代理机构对已提交的协议文件概不退回。</w:t>
      </w:r>
    </w:p>
    <w:p w14:paraId="3E2C9913">
      <w:pPr>
        <w:spacing w:line="360" w:lineRule="auto"/>
        <w:ind w:firstLine="482" w:firstLineChars="200"/>
        <w:jc w:val="center"/>
        <w:rPr>
          <w:rFonts w:ascii="宋体" w:cs="宋体"/>
          <w:b/>
          <w:bCs/>
          <w:sz w:val="24"/>
        </w:rPr>
      </w:pPr>
      <w:r>
        <w:rPr>
          <w:rFonts w:hint="eastAsia" w:ascii="宋体" w:cs="宋体"/>
          <w:b/>
          <w:bCs/>
          <w:sz w:val="24"/>
        </w:rPr>
        <w:t>5. 磋商</w:t>
      </w:r>
    </w:p>
    <w:p w14:paraId="7E5A6506">
      <w:pPr>
        <w:spacing w:line="360" w:lineRule="auto"/>
        <w:ind w:firstLine="480" w:firstLineChars="200"/>
        <w:rPr>
          <w:rFonts w:ascii="宋体" w:cs="宋体"/>
          <w:sz w:val="24"/>
        </w:rPr>
      </w:pPr>
      <w:r>
        <w:rPr>
          <w:rFonts w:hint="eastAsia" w:ascii="宋体" w:cs="宋体"/>
          <w:sz w:val="24"/>
        </w:rPr>
        <w:t>5.1 磋商时间和地点</w:t>
      </w:r>
    </w:p>
    <w:p w14:paraId="34BB7BD9">
      <w:pPr>
        <w:spacing w:line="360" w:lineRule="auto"/>
        <w:ind w:firstLine="480" w:firstLineChars="200"/>
        <w:rPr>
          <w:rFonts w:ascii="宋体" w:cs="宋体"/>
          <w:sz w:val="24"/>
        </w:rPr>
      </w:pPr>
      <w:r>
        <w:rPr>
          <w:rFonts w:hint="eastAsia" w:ascii="宋体" w:cs="宋体"/>
          <w:sz w:val="24"/>
        </w:rPr>
        <w:t>采购人在本章第2.2.2项规定的递交磋商响应文件截止时间（磋商时间）和供应商须知前附表规定的地点磋商，并邀请所有供应商的法定代表人或其委托代理人准时参加。</w:t>
      </w:r>
    </w:p>
    <w:p w14:paraId="43A1B647">
      <w:pPr>
        <w:spacing w:line="360" w:lineRule="auto"/>
        <w:ind w:firstLine="480" w:firstLineChars="200"/>
        <w:rPr>
          <w:rFonts w:ascii="宋体" w:cs="宋体"/>
          <w:sz w:val="24"/>
        </w:rPr>
      </w:pPr>
      <w:r>
        <w:rPr>
          <w:rFonts w:hint="eastAsia" w:ascii="宋体" w:cs="宋体"/>
          <w:sz w:val="24"/>
        </w:rPr>
        <w:t>5.2 磋商程序</w:t>
      </w:r>
    </w:p>
    <w:p w14:paraId="637206D5">
      <w:pPr>
        <w:spacing w:line="360" w:lineRule="auto"/>
        <w:ind w:firstLine="480" w:firstLineChars="200"/>
        <w:rPr>
          <w:rFonts w:ascii="宋体" w:cs="宋体"/>
          <w:sz w:val="24"/>
        </w:rPr>
      </w:pPr>
      <w:r>
        <w:rPr>
          <w:rFonts w:hint="eastAsia" w:ascii="宋体" w:cs="宋体"/>
          <w:sz w:val="24"/>
        </w:rPr>
        <w:t>解密电子响应文件。“政采云”平台按开标时间自动提取所有响应文件。采购代理机构依托“政采云”平台开始向各供应商上传的加密响应文件逐一进行解密。供应商的法定代表人或其委托代理人须携带加密时所用的CA锁准时远程对电子响应文件解密。</w:t>
      </w:r>
    </w:p>
    <w:p w14:paraId="34131899">
      <w:pPr>
        <w:spacing w:line="360" w:lineRule="auto"/>
        <w:ind w:firstLine="480" w:firstLineChars="200"/>
        <w:rPr>
          <w:rFonts w:ascii="宋体" w:cs="宋体"/>
          <w:sz w:val="24"/>
        </w:rPr>
      </w:pPr>
      <w:r>
        <w:rPr>
          <w:rFonts w:hint="eastAsia" w:ascii="宋体" w:cs="宋体"/>
          <w:sz w:val="24"/>
        </w:rPr>
        <w:t>第一步：磋商小组对响应文件的有效性、完整性和响应程度进行资格审查，具体内容详见评标办法前附表（一）</w:t>
      </w:r>
    </w:p>
    <w:p w14:paraId="202FBA8F">
      <w:pPr>
        <w:spacing w:line="360" w:lineRule="auto"/>
        <w:ind w:firstLine="480" w:firstLineChars="200"/>
        <w:rPr>
          <w:rFonts w:ascii="宋体" w:cs="宋体"/>
          <w:sz w:val="24"/>
        </w:rPr>
      </w:pPr>
      <w:r>
        <w:rPr>
          <w:rFonts w:hint="eastAsia" w:ascii="宋体" w:cs="宋体"/>
          <w:sz w:val="24"/>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F04E92">
      <w:pPr>
        <w:spacing w:line="360" w:lineRule="auto"/>
        <w:ind w:firstLine="480" w:firstLineChars="200"/>
        <w:rPr>
          <w:rFonts w:ascii="宋体" w:cs="宋体"/>
          <w:sz w:val="24"/>
        </w:rPr>
      </w:pPr>
      <w:r>
        <w:rPr>
          <w:rFonts w:hint="eastAsia" w:ascii="宋体" w:cs="宋体"/>
          <w:sz w:val="24"/>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1039AF06">
      <w:pPr>
        <w:spacing w:line="360" w:lineRule="auto"/>
        <w:ind w:firstLine="480" w:firstLineChars="200"/>
        <w:rPr>
          <w:rFonts w:ascii="宋体" w:cs="宋体"/>
          <w:sz w:val="24"/>
        </w:rPr>
      </w:pPr>
      <w:r>
        <w:rPr>
          <w:rFonts w:hint="eastAsia" w:ascii="宋体" w:cs="宋体"/>
          <w:sz w:val="24"/>
        </w:rPr>
        <w:t>有下列情况之一者，磋商小组认定其为不合格供应商，并取消其磋商资格：</w:t>
      </w:r>
    </w:p>
    <w:p w14:paraId="3A4C9BFA">
      <w:pPr>
        <w:spacing w:line="360" w:lineRule="auto"/>
        <w:ind w:firstLine="480" w:firstLineChars="200"/>
        <w:rPr>
          <w:rFonts w:ascii="宋体" w:cs="宋体"/>
          <w:sz w:val="24"/>
        </w:rPr>
      </w:pPr>
      <w:r>
        <w:rPr>
          <w:rFonts w:hint="eastAsia" w:ascii="宋体" w:cs="宋体"/>
          <w:sz w:val="24"/>
        </w:rPr>
        <w:t>（1）法定代表人或法定代表人委托人未参加磋商仪式的；</w:t>
      </w:r>
    </w:p>
    <w:p w14:paraId="039A1B7E">
      <w:pPr>
        <w:spacing w:line="360" w:lineRule="auto"/>
        <w:ind w:firstLine="480" w:firstLineChars="200"/>
        <w:rPr>
          <w:rFonts w:ascii="宋体" w:cs="宋体"/>
          <w:sz w:val="24"/>
        </w:rPr>
      </w:pPr>
      <w:r>
        <w:rPr>
          <w:rFonts w:hint="eastAsia" w:ascii="宋体" w:cs="宋体"/>
          <w:sz w:val="24"/>
        </w:rPr>
        <w:t>（2）未加盖供应商公章，也未经法定代表人签章或其授权代理人签字的；</w:t>
      </w:r>
    </w:p>
    <w:p w14:paraId="21C82257">
      <w:pPr>
        <w:spacing w:line="360" w:lineRule="auto"/>
        <w:ind w:firstLine="480" w:firstLineChars="200"/>
        <w:rPr>
          <w:rFonts w:ascii="宋体" w:cs="宋体"/>
          <w:sz w:val="24"/>
        </w:rPr>
      </w:pPr>
      <w:r>
        <w:rPr>
          <w:rFonts w:hint="eastAsia" w:ascii="宋体" w:cs="宋体"/>
          <w:sz w:val="24"/>
        </w:rPr>
        <w:t>（3）响应文件未按竞争性磋商文件的要求制作的；响应文件内容字迹模糊、无法辨认的；</w:t>
      </w:r>
    </w:p>
    <w:p w14:paraId="4B2C978F">
      <w:pPr>
        <w:spacing w:line="360" w:lineRule="auto"/>
        <w:ind w:firstLine="480" w:firstLineChars="200"/>
        <w:rPr>
          <w:rFonts w:ascii="宋体" w:cs="宋体"/>
          <w:sz w:val="24"/>
        </w:rPr>
      </w:pPr>
      <w:r>
        <w:rPr>
          <w:rFonts w:hint="eastAsia" w:ascii="宋体" w:cs="宋体"/>
          <w:sz w:val="24"/>
        </w:rPr>
        <w:t>（4）供应商资格不符合供应商须知规定的合格条件的；</w:t>
      </w:r>
    </w:p>
    <w:p w14:paraId="64FB1B27">
      <w:pPr>
        <w:spacing w:line="360" w:lineRule="auto"/>
        <w:ind w:firstLine="480" w:firstLineChars="200"/>
        <w:rPr>
          <w:rFonts w:ascii="宋体" w:cs="宋体"/>
          <w:sz w:val="24"/>
        </w:rPr>
      </w:pPr>
      <w:r>
        <w:rPr>
          <w:rFonts w:hint="eastAsia" w:ascii="宋体" w:cs="宋体"/>
          <w:sz w:val="24"/>
        </w:rPr>
        <w:t>（5）技术文件不符合响应文件规定合格性标准的；</w:t>
      </w:r>
    </w:p>
    <w:p w14:paraId="7E52E64E">
      <w:pPr>
        <w:spacing w:line="360" w:lineRule="auto"/>
        <w:ind w:firstLine="480" w:firstLineChars="200"/>
        <w:rPr>
          <w:rFonts w:ascii="宋体" w:cs="宋体"/>
          <w:sz w:val="24"/>
        </w:rPr>
      </w:pPr>
      <w:r>
        <w:rPr>
          <w:rFonts w:hint="eastAsia" w:ascii="宋体" w:cs="宋体"/>
          <w:sz w:val="24"/>
        </w:rPr>
        <w:t>（6）响应文件附有采购人不能接受的条件；</w:t>
      </w:r>
    </w:p>
    <w:p w14:paraId="795A0951">
      <w:pPr>
        <w:spacing w:line="360" w:lineRule="auto"/>
        <w:ind w:firstLine="480" w:firstLineChars="200"/>
        <w:rPr>
          <w:rFonts w:ascii="宋体" w:cs="宋体"/>
          <w:sz w:val="24"/>
        </w:rPr>
      </w:pPr>
      <w:r>
        <w:rPr>
          <w:rFonts w:hint="eastAsia" w:ascii="宋体" w:cs="宋体"/>
          <w:sz w:val="24"/>
        </w:rPr>
        <w:t>（7）未响应竞争性磋商文件的实质性要求和条件的；</w:t>
      </w:r>
    </w:p>
    <w:p w14:paraId="471DC004">
      <w:pPr>
        <w:spacing w:line="360" w:lineRule="auto"/>
        <w:ind w:firstLine="480" w:firstLineChars="200"/>
        <w:rPr>
          <w:rFonts w:ascii="宋体" w:cs="宋体"/>
          <w:sz w:val="24"/>
        </w:rPr>
      </w:pPr>
      <w:r>
        <w:rPr>
          <w:rFonts w:hint="eastAsia" w:ascii="宋体" w:cs="宋体"/>
          <w:sz w:val="24"/>
        </w:rPr>
        <w:t>（8）供应商未按照竞争性磋商文件的要求提供磋商保证金的；</w:t>
      </w:r>
    </w:p>
    <w:p w14:paraId="3F970A66">
      <w:pPr>
        <w:spacing w:line="360" w:lineRule="auto"/>
        <w:ind w:firstLine="480" w:firstLineChars="200"/>
        <w:rPr>
          <w:rFonts w:ascii="宋体" w:cs="宋体"/>
          <w:sz w:val="24"/>
        </w:rPr>
      </w:pPr>
      <w:r>
        <w:rPr>
          <w:rFonts w:hint="eastAsia" w:ascii="宋体" w:cs="宋体"/>
          <w:sz w:val="24"/>
        </w:rPr>
        <w:t>（9）扰乱磋商仪式会场秩序的；</w:t>
      </w:r>
    </w:p>
    <w:p w14:paraId="0ED749A0">
      <w:pPr>
        <w:spacing w:line="360" w:lineRule="auto"/>
        <w:ind w:firstLine="480" w:firstLineChars="200"/>
        <w:rPr>
          <w:rFonts w:ascii="宋体" w:cs="宋体"/>
          <w:sz w:val="24"/>
        </w:rPr>
      </w:pPr>
      <w:r>
        <w:rPr>
          <w:rFonts w:hint="eastAsia" w:ascii="宋体" w:cs="宋体"/>
          <w:sz w:val="24"/>
        </w:rPr>
        <w:t>（10）在本项目响应活动中违反相关法律、法规的；</w:t>
      </w:r>
    </w:p>
    <w:p w14:paraId="19A8689D">
      <w:pPr>
        <w:spacing w:line="360" w:lineRule="auto"/>
        <w:ind w:firstLine="480" w:firstLineChars="200"/>
        <w:rPr>
          <w:rFonts w:ascii="宋体" w:cs="宋体"/>
          <w:sz w:val="24"/>
        </w:rPr>
      </w:pPr>
      <w:r>
        <w:rPr>
          <w:rFonts w:hint="eastAsia" w:ascii="宋体" w:cs="宋体"/>
          <w:sz w:val="24"/>
        </w:rPr>
        <w:t>（11）所提供有关证书、证明涂改、转让或提供虚假材料的。</w:t>
      </w:r>
    </w:p>
    <w:p w14:paraId="2327B62B">
      <w:pPr>
        <w:spacing w:line="360" w:lineRule="auto"/>
        <w:ind w:firstLine="480" w:firstLineChars="200"/>
        <w:rPr>
          <w:rFonts w:ascii="宋体" w:cs="宋体"/>
          <w:sz w:val="24"/>
        </w:rPr>
      </w:pPr>
      <w:r>
        <w:rPr>
          <w:rFonts w:hint="eastAsia" w:ascii="宋体" w:cs="宋体"/>
          <w:sz w:val="24"/>
        </w:rPr>
        <w:t>（12）不符合评标办法前附表（一）规定的任意情况</w:t>
      </w:r>
    </w:p>
    <w:p w14:paraId="53001EAB">
      <w:pPr>
        <w:spacing w:line="360" w:lineRule="auto"/>
        <w:ind w:firstLine="480" w:firstLineChars="200"/>
        <w:rPr>
          <w:rFonts w:ascii="宋体" w:cs="宋体"/>
          <w:sz w:val="24"/>
        </w:rPr>
      </w:pPr>
      <w:r>
        <w:rPr>
          <w:rFonts w:hint="eastAsia" w:ascii="宋体" w:cs="宋体"/>
          <w:sz w:val="24"/>
        </w:rPr>
        <w:t>响应文件的评审和比较工作由磋商小组负责，评审、比较过程、结果对外不作任何解释。</w:t>
      </w:r>
    </w:p>
    <w:p w14:paraId="2F47CEAC">
      <w:pPr>
        <w:spacing w:line="360" w:lineRule="auto"/>
        <w:ind w:firstLine="480" w:firstLineChars="200"/>
        <w:rPr>
          <w:rFonts w:ascii="宋体" w:cs="宋体"/>
          <w:sz w:val="24"/>
        </w:rPr>
      </w:pPr>
      <w:r>
        <w:rPr>
          <w:rFonts w:hint="eastAsia" w:ascii="宋体" w:cs="宋体"/>
          <w:sz w:val="24"/>
        </w:rPr>
        <w:t>磋商小组将仅对认定资格审查合格，确定为可以进入详细评审的供应商进行评价与比较，未通过资格审查的不参与后续磋商。</w:t>
      </w:r>
    </w:p>
    <w:p w14:paraId="0C592C77">
      <w:pPr>
        <w:spacing w:line="360" w:lineRule="auto"/>
        <w:ind w:firstLine="480" w:firstLineChars="200"/>
        <w:rPr>
          <w:rFonts w:ascii="宋体" w:cs="宋体"/>
          <w:sz w:val="24"/>
        </w:rPr>
      </w:pPr>
      <w:r>
        <w:rPr>
          <w:rFonts w:hint="eastAsia" w:ascii="宋体" w:cs="宋体"/>
          <w:sz w:val="24"/>
        </w:rPr>
        <w:t>第二步：磋商小组所有成员集中与单一供应商分别进行磋商。</w:t>
      </w:r>
    </w:p>
    <w:p w14:paraId="725AB693">
      <w:pPr>
        <w:spacing w:line="360" w:lineRule="auto"/>
        <w:ind w:firstLine="480" w:firstLineChars="200"/>
        <w:rPr>
          <w:rFonts w:ascii="宋体" w:cs="宋体"/>
          <w:sz w:val="24"/>
        </w:rPr>
      </w:pPr>
      <w:r>
        <w:rPr>
          <w:rFonts w:hint="eastAsia" w:ascii="宋体" w:cs="宋体"/>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F552A1E">
      <w:pPr>
        <w:spacing w:line="360" w:lineRule="auto"/>
        <w:ind w:firstLine="480" w:firstLineChars="200"/>
        <w:rPr>
          <w:rFonts w:ascii="宋体" w:cs="宋体"/>
          <w:sz w:val="24"/>
        </w:rPr>
      </w:pPr>
      <w:r>
        <w:rPr>
          <w:rFonts w:hint="eastAsia" w:ascii="宋体" w:cs="宋体"/>
          <w:sz w:val="24"/>
        </w:rPr>
        <w:t>对磋商文件作出的实质性变动是磋商文件的有效组成部分，磋商小组应当及时以书面形式同时通知所有参加磋商的供应商。</w:t>
      </w:r>
    </w:p>
    <w:p w14:paraId="289582C2">
      <w:pPr>
        <w:spacing w:line="360" w:lineRule="auto"/>
        <w:ind w:firstLine="480" w:firstLineChars="200"/>
        <w:rPr>
          <w:rFonts w:ascii="宋体" w:cs="宋体"/>
          <w:sz w:val="24"/>
        </w:rPr>
      </w:pPr>
      <w:r>
        <w:rPr>
          <w:rFonts w:hint="eastAsia" w:ascii="宋体" w:cs="宋体"/>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ED9E12E">
      <w:pPr>
        <w:spacing w:line="360" w:lineRule="auto"/>
        <w:ind w:firstLine="480" w:firstLineChars="200"/>
        <w:rPr>
          <w:rFonts w:ascii="宋体" w:cs="宋体"/>
          <w:sz w:val="24"/>
        </w:rPr>
      </w:pPr>
      <w:r>
        <w:rPr>
          <w:rFonts w:hint="eastAsia" w:ascii="宋体" w:cs="宋体"/>
          <w:sz w:val="24"/>
        </w:rPr>
        <w:t>未实质性响应磋商文件的响应文件按无效响应处理，磋商小组应当告知提交响应文件的供应商。</w:t>
      </w:r>
    </w:p>
    <w:p w14:paraId="6A3B8D33">
      <w:pPr>
        <w:spacing w:line="360" w:lineRule="auto"/>
        <w:ind w:firstLine="480" w:firstLineChars="200"/>
        <w:rPr>
          <w:rFonts w:ascii="宋体" w:cs="宋体"/>
          <w:sz w:val="24"/>
        </w:rPr>
      </w:pPr>
      <w:r>
        <w:rPr>
          <w:rFonts w:hint="eastAsia" w:ascii="宋体" w:cs="宋体"/>
          <w:sz w:val="24"/>
        </w:rPr>
        <w:t>第三步：提交最后报价。</w:t>
      </w:r>
    </w:p>
    <w:p w14:paraId="5555895F">
      <w:pPr>
        <w:spacing w:line="360" w:lineRule="auto"/>
        <w:ind w:firstLine="480" w:firstLineChars="200"/>
        <w:rPr>
          <w:rFonts w:ascii="宋体" w:cs="宋体"/>
          <w:sz w:val="24"/>
        </w:rPr>
      </w:pPr>
      <w:r>
        <w:rPr>
          <w:rFonts w:hint="eastAsia" w:ascii="宋体" w:cs="宋体"/>
          <w:sz w:val="24"/>
        </w:rPr>
        <w:t>经磋商确定实质性响应的供应商后，磋商小组要求所有实质性相应的供应商在规定时间内提交最后报价。</w:t>
      </w:r>
    </w:p>
    <w:p w14:paraId="0E3BE0F7">
      <w:pPr>
        <w:spacing w:line="360" w:lineRule="auto"/>
        <w:ind w:firstLine="480" w:firstLineChars="200"/>
        <w:rPr>
          <w:rFonts w:ascii="宋体" w:cs="宋体"/>
          <w:sz w:val="24"/>
        </w:rPr>
      </w:pPr>
      <w:r>
        <w:rPr>
          <w:rFonts w:hint="eastAsia" w:ascii="宋体" w:cs="宋体"/>
          <w:sz w:val="24"/>
        </w:rPr>
        <w:t>第四步：采用综合评分法对供应商的响应文件进行综合评分，具体内容详见评标办法前附表（二）。</w:t>
      </w:r>
    </w:p>
    <w:p w14:paraId="0DB66C81">
      <w:pPr>
        <w:spacing w:line="360" w:lineRule="auto"/>
        <w:ind w:firstLine="480" w:firstLineChars="200"/>
        <w:rPr>
          <w:rFonts w:ascii="宋体" w:cs="宋体"/>
          <w:sz w:val="24"/>
        </w:rPr>
      </w:pPr>
      <w:r>
        <w:rPr>
          <w:rFonts w:hint="eastAsia" w:ascii="宋体" w:cs="宋体"/>
          <w:sz w:val="24"/>
        </w:rPr>
        <w:t>经磋商确定最终采购需求和提交最后报价的供应商后，由磋商小组采用综合评分法对提交最后报价的供应商的响应文件和最后报价进行综合评分。</w:t>
      </w:r>
    </w:p>
    <w:p w14:paraId="5A1EFADC">
      <w:pPr>
        <w:spacing w:line="360" w:lineRule="auto"/>
        <w:ind w:firstLine="480" w:firstLineChars="200"/>
        <w:rPr>
          <w:rFonts w:ascii="宋体" w:cs="宋体"/>
          <w:sz w:val="24"/>
        </w:rPr>
      </w:pPr>
      <w:r>
        <w:rPr>
          <w:rFonts w:hint="eastAsia" w:ascii="宋体" w:cs="宋体"/>
          <w:sz w:val="24"/>
        </w:rPr>
        <w:t>第五步：磋商小组应当根据综合评分情况，按照评审得分由高到低顺序推荐成交候选供应商，确定排名第一的候选供应商为成交供应商，并编写评审报告。</w:t>
      </w:r>
    </w:p>
    <w:p w14:paraId="639D6577">
      <w:pPr>
        <w:spacing w:line="360" w:lineRule="auto"/>
        <w:ind w:firstLine="480" w:firstLineChars="200"/>
        <w:rPr>
          <w:rFonts w:ascii="宋体" w:cs="宋体"/>
          <w:sz w:val="24"/>
        </w:rPr>
      </w:pPr>
      <w:r>
        <w:rPr>
          <w:rFonts w:hint="eastAsia" w:ascii="宋体" w:cs="宋体"/>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59081D9">
      <w:pPr>
        <w:spacing w:line="360" w:lineRule="auto"/>
        <w:ind w:firstLine="480" w:firstLineChars="200"/>
        <w:rPr>
          <w:rFonts w:ascii="宋体" w:cs="宋体"/>
          <w:sz w:val="24"/>
        </w:rPr>
      </w:pPr>
      <w:r>
        <w:rPr>
          <w:rFonts w:hint="eastAsia" w:ascii="宋体" w:cs="宋体"/>
          <w:sz w:val="24"/>
        </w:rPr>
        <w:t>第六步：采购人确认评审报告及成交供应商，并公告成交结果。</w:t>
      </w:r>
    </w:p>
    <w:p w14:paraId="3DC30474">
      <w:pPr>
        <w:spacing w:line="360" w:lineRule="auto"/>
        <w:ind w:firstLine="480" w:firstLineChars="200"/>
        <w:rPr>
          <w:rFonts w:ascii="宋体" w:cs="宋体"/>
          <w:sz w:val="24"/>
        </w:rPr>
      </w:pPr>
      <w:r>
        <w:rPr>
          <w:rFonts w:hint="eastAsia" w:ascii="宋体" w:cs="宋体"/>
          <w:sz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EC23739">
      <w:pPr>
        <w:spacing w:line="360" w:lineRule="auto"/>
        <w:ind w:firstLine="480" w:firstLineChars="200"/>
        <w:rPr>
          <w:rFonts w:ascii="宋体" w:cs="宋体"/>
          <w:sz w:val="24"/>
        </w:rPr>
      </w:pPr>
      <w:r>
        <w:rPr>
          <w:rFonts w:hint="eastAsia" w:ascii="宋体" w:cs="宋体"/>
          <w:sz w:val="24"/>
        </w:rPr>
        <w:t>不保证最低报价的供应商最终成交，也没有义务对未成交的供应商作任何解释和说明。</w:t>
      </w:r>
    </w:p>
    <w:p w14:paraId="5C9E5D70">
      <w:pPr>
        <w:spacing w:line="360" w:lineRule="auto"/>
        <w:ind w:firstLine="480" w:firstLineChars="200"/>
        <w:rPr>
          <w:rFonts w:ascii="宋体" w:cs="宋体"/>
          <w:sz w:val="24"/>
        </w:rPr>
      </w:pPr>
      <w:r>
        <w:rPr>
          <w:rFonts w:hint="eastAsia" w:ascii="宋体" w:cs="宋体"/>
          <w:sz w:val="24"/>
        </w:rPr>
        <w:t>采购人或者采购代理机构应当在成交供应商确定后2个工作日内，在财政部门指定的政府采购信息发布媒体上公告成交结果，同时向成交供应商发出成交通知书。</w:t>
      </w:r>
    </w:p>
    <w:p w14:paraId="3D2C8E6D">
      <w:pPr>
        <w:spacing w:line="360" w:lineRule="auto"/>
        <w:ind w:firstLine="480" w:firstLineChars="200"/>
        <w:rPr>
          <w:rFonts w:ascii="宋体" w:cs="宋体"/>
          <w:sz w:val="24"/>
        </w:rPr>
      </w:pPr>
      <w:r>
        <w:rPr>
          <w:rFonts w:hint="eastAsia" w:ascii="宋体" w:cs="宋体"/>
          <w:sz w:val="24"/>
        </w:rPr>
        <w:t>为维护国家的利益，采购人在授予合同之前仍有选择和拒绝任何或全部谈判的权力，并对所采取的行为不做任何解释。</w:t>
      </w:r>
    </w:p>
    <w:p w14:paraId="133052F2">
      <w:pPr>
        <w:spacing w:line="360" w:lineRule="auto"/>
        <w:ind w:firstLine="480" w:firstLineChars="200"/>
        <w:rPr>
          <w:rFonts w:ascii="宋体" w:cs="宋体"/>
          <w:sz w:val="24"/>
        </w:rPr>
      </w:pPr>
      <w:r>
        <w:rPr>
          <w:rFonts w:hint="eastAsia" w:ascii="宋体" w:cs="宋体"/>
          <w:sz w:val="24"/>
        </w:rPr>
        <w:t>采购人有权利根据供应商响应文件对竞争性磋商文件实质性响应的程度决定接受其全部或部分的谈判。</w:t>
      </w:r>
    </w:p>
    <w:p w14:paraId="157DCE0E">
      <w:pPr>
        <w:spacing w:line="360" w:lineRule="auto"/>
        <w:ind w:firstLine="480" w:firstLineChars="200"/>
        <w:rPr>
          <w:rFonts w:ascii="宋体" w:cs="宋体"/>
          <w:sz w:val="24"/>
        </w:rPr>
      </w:pPr>
      <w:r>
        <w:rPr>
          <w:rFonts w:hint="eastAsia" w:ascii="宋体" w:cs="宋体"/>
          <w:sz w:val="24"/>
        </w:rPr>
        <w:t>第七步：签订政府采购合同。</w:t>
      </w:r>
    </w:p>
    <w:p w14:paraId="6661AA56">
      <w:pPr>
        <w:spacing w:line="360" w:lineRule="auto"/>
        <w:ind w:firstLine="480" w:firstLineChars="200"/>
        <w:rPr>
          <w:rFonts w:ascii="宋体" w:cs="宋体"/>
          <w:sz w:val="24"/>
        </w:rPr>
      </w:pPr>
      <w:r>
        <w:rPr>
          <w:rFonts w:hint="eastAsia" w:ascii="宋体" w:cs="宋体"/>
          <w:sz w:val="24"/>
        </w:rPr>
        <w:t>采购人与成交供应商应当在成交通知书发出之日起30日内，按照磋商文件确定的合同文本以及采购标的、采购金额、技术和服务要求等事项签订政府采购合同。</w:t>
      </w:r>
    </w:p>
    <w:p w14:paraId="35E6F3C8">
      <w:pPr>
        <w:spacing w:line="360" w:lineRule="auto"/>
        <w:ind w:firstLine="480" w:firstLineChars="200"/>
        <w:rPr>
          <w:rFonts w:ascii="宋体" w:cs="宋体"/>
          <w:sz w:val="24"/>
        </w:rPr>
      </w:pPr>
    </w:p>
    <w:p w14:paraId="53C492C0">
      <w:pPr>
        <w:spacing w:line="360" w:lineRule="auto"/>
        <w:ind w:firstLine="482" w:firstLineChars="200"/>
        <w:jc w:val="center"/>
        <w:rPr>
          <w:rFonts w:ascii="宋体" w:cs="宋体"/>
          <w:sz w:val="24"/>
        </w:rPr>
      </w:pPr>
      <w:r>
        <w:rPr>
          <w:rFonts w:hint="eastAsia" w:ascii="宋体" w:cs="宋体"/>
          <w:b/>
          <w:bCs/>
          <w:sz w:val="24"/>
        </w:rPr>
        <w:t>6. 评审</w:t>
      </w:r>
    </w:p>
    <w:p w14:paraId="7F954716">
      <w:pPr>
        <w:spacing w:line="360" w:lineRule="auto"/>
        <w:ind w:firstLine="480" w:firstLineChars="200"/>
        <w:rPr>
          <w:rFonts w:ascii="宋体" w:cs="宋体"/>
          <w:sz w:val="24"/>
        </w:rPr>
      </w:pPr>
      <w:r>
        <w:rPr>
          <w:rFonts w:hint="eastAsia" w:ascii="宋体" w:cs="宋体"/>
          <w:sz w:val="24"/>
        </w:rPr>
        <w:t>6.1 磋商小组</w:t>
      </w:r>
    </w:p>
    <w:p w14:paraId="761C7B4E">
      <w:pPr>
        <w:spacing w:line="360" w:lineRule="auto"/>
        <w:ind w:firstLine="480" w:firstLineChars="200"/>
        <w:rPr>
          <w:rFonts w:ascii="宋体" w:cs="宋体"/>
          <w:sz w:val="24"/>
        </w:rPr>
      </w:pPr>
      <w:r>
        <w:rPr>
          <w:rFonts w:hint="eastAsia" w:ascii="宋体" w:cs="宋体"/>
          <w:sz w:val="24"/>
        </w:rPr>
        <w:t>6.1.1 评标由采购人依法组建的磋商小组负责。磋商小组由有关技术、经济等方面的专家组成。磋商小组成员人数以及技术、经济等方面专家的确定方式见供应商须知前附表。</w:t>
      </w:r>
    </w:p>
    <w:p w14:paraId="2DD8A6D0">
      <w:pPr>
        <w:spacing w:line="360" w:lineRule="auto"/>
        <w:ind w:firstLine="480" w:firstLineChars="200"/>
        <w:rPr>
          <w:rFonts w:ascii="宋体" w:cs="宋体"/>
          <w:sz w:val="24"/>
        </w:rPr>
      </w:pPr>
      <w:r>
        <w:rPr>
          <w:rFonts w:hint="eastAsia" w:ascii="宋体" w:cs="宋体"/>
          <w:sz w:val="24"/>
        </w:rPr>
        <w:t>6.1.2 磋商小组成员有下列情形之一的，应当回避：</w:t>
      </w:r>
    </w:p>
    <w:p w14:paraId="0A914501">
      <w:pPr>
        <w:spacing w:line="360" w:lineRule="auto"/>
        <w:ind w:firstLine="480" w:firstLineChars="200"/>
        <w:rPr>
          <w:rFonts w:ascii="宋体" w:cs="宋体"/>
          <w:sz w:val="24"/>
        </w:rPr>
      </w:pPr>
      <w:r>
        <w:rPr>
          <w:rFonts w:hint="eastAsia" w:ascii="宋体" w:cs="宋体"/>
          <w:sz w:val="24"/>
        </w:rPr>
        <w:t>（1）采购人或供应商的主要负责人的近亲属；</w:t>
      </w:r>
    </w:p>
    <w:p w14:paraId="342A5999">
      <w:pPr>
        <w:spacing w:line="360" w:lineRule="auto"/>
        <w:ind w:firstLine="480" w:firstLineChars="200"/>
        <w:rPr>
          <w:rFonts w:ascii="宋体" w:cs="宋体"/>
          <w:sz w:val="24"/>
        </w:rPr>
      </w:pPr>
      <w:r>
        <w:rPr>
          <w:rFonts w:hint="eastAsia" w:ascii="宋体" w:cs="宋体"/>
          <w:sz w:val="24"/>
        </w:rPr>
        <w:t>（2）项目主管部门或者行政监督部门的人员；</w:t>
      </w:r>
    </w:p>
    <w:p w14:paraId="6036AE43">
      <w:pPr>
        <w:spacing w:line="360" w:lineRule="auto"/>
        <w:ind w:firstLine="480" w:firstLineChars="200"/>
        <w:rPr>
          <w:rFonts w:ascii="宋体" w:cs="宋体"/>
          <w:sz w:val="24"/>
        </w:rPr>
      </w:pPr>
      <w:r>
        <w:rPr>
          <w:rFonts w:hint="eastAsia" w:ascii="宋体" w:cs="宋体"/>
          <w:sz w:val="24"/>
        </w:rPr>
        <w:t>（3）与供应商有经济利益关系，可能影响对投标公正评审的；</w:t>
      </w:r>
    </w:p>
    <w:p w14:paraId="02843B65">
      <w:pPr>
        <w:spacing w:line="360" w:lineRule="auto"/>
        <w:ind w:firstLine="480" w:firstLineChars="200"/>
        <w:rPr>
          <w:rFonts w:ascii="宋体" w:cs="宋体"/>
          <w:sz w:val="24"/>
        </w:rPr>
      </w:pPr>
      <w:r>
        <w:rPr>
          <w:rFonts w:hint="eastAsia" w:ascii="宋体" w:cs="宋体"/>
          <w:sz w:val="24"/>
        </w:rPr>
        <w:t>（4）曾因在采购、评标以及其他与采购投标有关活动中从事违法行为而受过行政处罚或刑事处罚的。</w:t>
      </w:r>
    </w:p>
    <w:p w14:paraId="165B43C4">
      <w:pPr>
        <w:spacing w:line="360" w:lineRule="auto"/>
        <w:ind w:firstLine="480" w:firstLineChars="200"/>
        <w:rPr>
          <w:rFonts w:ascii="宋体" w:cs="宋体"/>
          <w:sz w:val="24"/>
        </w:rPr>
      </w:pPr>
      <w:r>
        <w:rPr>
          <w:rFonts w:hint="eastAsia" w:ascii="宋体" w:cs="宋体"/>
          <w:sz w:val="24"/>
        </w:rPr>
        <w:t>6.2 评审原则</w:t>
      </w:r>
      <w:r>
        <w:rPr>
          <w:rFonts w:hint="eastAsia" w:ascii="宋体" w:cs="宋体"/>
          <w:sz w:val="24"/>
        </w:rPr>
        <w:tab/>
      </w:r>
    </w:p>
    <w:p w14:paraId="6D4FB69D">
      <w:pPr>
        <w:spacing w:line="360" w:lineRule="auto"/>
        <w:ind w:firstLine="480" w:firstLineChars="200"/>
        <w:rPr>
          <w:rFonts w:ascii="宋体" w:cs="宋体"/>
          <w:sz w:val="24"/>
        </w:rPr>
      </w:pPr>
      <w:r>
        <w:rPr>
          <w:rFonts w:hint="eastAsia" w:ascii="宋体" w:cs="宋体"/>
          <w:sz w:val="24"/>
        </w:rPr>
        <w:t>评审活动遵循公平、公正、科学和择优的原则。</w:t>
      </w:r>
    </w:p>
    <w:p w14:paraId="21BF7516">
      <w:pPr>
        <w:spacing w:line="360" w:lineRule="auto"/>
        <w:ind w:firstLine="480" w:firstLineChars="200"/>
        <w:rPr>
          <w:rFonts w:ascii="宋体" w:cs="宋体"/>
          <w:sz w:val="24"/>
        </w:rPr>
      </w:pPr>
      <w:r>
        <w:rPr>
          <w:rFonts w:hint="eastAsia" w:ascii="宋体" w:cs="宋体"/>
          <w:sz w:val="24"/>
        </w:rPr>
        <w:t>6.3 评审</w:t>
      </w:r>
    </w:p>
    <w:p w14:paraId="321D2D71">
      <w:pPr>
        <w:spacing w:line="360" w:lineRule="auto"/>
        <w:ind w:firstLine="480" w:firstLineChars="200"/>
        <w:rPr>
          <w:rFonts w:ascii="宋体" w:cs="宋体"/>
          <w:sz w:val="24"/>
        </w:rPr>
      </w:pPr>
      <w:r>
        <w:rPr>
          <w:rFonts w:hint="eastAsia" w:ascii="宋体" w:cs="宋体"/>
          <w:sz w:val="24"/>
        </w:rPr>
        <w:t>6.3.1磋商小组按照第三章“评标办法”规定的方法、评审因素、标准和程序对磋商响应文件进行评审。第三章“评审办法”没有规定的方法、评审因素和标准，不作为评审依据。</w:t>
      </w:r>
    </w:p>
    <w:p w14:paraId="5517F7C5">
      <w:pPr>
        <w:spacing w:line="360" w:lineRule="auto"/>
        <w:ind w:firstLine="480" w:firstLineChars="200"/>
        <w:rPr>
          <w:rFonts w:ascii="宋体" w:cs="宋体"/>
          <w:sz w:val="24"/>
        </w:rPr>
      </w:pPr>
      <w:r>
        <w:rPr>
          <w:rFonts w:hint="eastAsia" w:ascii="宋体" w:cs="宋体"/>
          <w:sz w:val="24"/>
        </w:rPr>
        <w:t>6.3.2电子交易活动的中止。招标过程中出现以下情形，导致电子交易平台无法正常运行，或者无法保证电子交易的公平、公正和安全时，招标机构可中止电子交易活动：</w:t>
      </w:r>
    </w:p>
    <w:p w14:paraId="67B5B684">
      <w:pPr>
        <w:spacing w:line="360" w:lineRule="auto"/>
        <w:ind w:firstLine="480" w:firstLineChars="200"/>
        <w:rPr>
          <w:rFonts w:ascii="宋体" w:cs="宋体"/>
          <w:sz w:val="24"/>
        </w:rPr>
      </w:pPr>
      <w:r>
        <w:rPr>
          <w:rFonts w:hint="eastAsia" w:ascii="宋体" w:cs="宋体"/>
          <w:sz w:val="24"/>
        </w:rPr>
        <w:t xml:space="preserve">（1）电子交易平台发生故障而无法登录访问的； </w:t>
      </w:r>
    </w:p>
    <w:p w14:paraId="20684D88">
      <w:pPr>
        <w:spacing w:line="360" w:lineRule="auto"/>
        <w:ind w:firstLine="480" w:firstLineChars="200"/>
        <w:rPr>
          <w:rFonts w:ascii="宋体" w:cs="宋体"/>
          <w:sz w:val="24"/>
        </w:rPr>
      </w:pPr>
      <w:r>
        <w:rPr>
          <w:rFonts w:hint="eastAsia" w:ascii="宋体" w:cs="宋体"/>
          <w:sz w:val="24"/>
        </w:rPr>
        <w:t>（2）电子交易平台应用或数据库出现错误，不能进行正常操作的；</w:t>
      </w:r>
    </w:p>
    <w:p w14:paraId="26E073CD">
      <w:pPr>
        <w:spacing w:line="360" w:lineRule="auto"/>
        <w:ind w:firstLine="480" w:firstLineChars="200"/>
        <w:rPr>
          <w:rFonts w:ascii="宋体" w:cs="宋体"/>
          <w:sz w:val="24"/>
        </w:rPr>
      </w:pPr>
      <w:r>
        <w:rPr>
          <w:rFonts w:hint="eastAsia" w:ascii="宋体" w:cs="宋体"/>
          <w:sz w:val="24"/>
        </w:rPr>
        <w:t>（3）电子交易平台发现严重安全漏洞，有潜在泄密危险的；</w:t>
      </w:r>
    </w:p>
    <w:p w14:paraId="467DB653">
      <w:pPr>
        <w:spacing w:line="360" w:lineRule="auto"/>
        <w:ind w:firstLine="480" w:firstLineChars="200"/>
        <w:rPr>
          <w:rFonts w:ascii="宋体" w:cs="宋体"/>
          <w:sz w:val="24"/>
        </w:rPr>
      </w:pPr>
      <w:r>
        <w:rPr>
          <w:rFonts w:hint="eastAsia" w:ascii="宋体" w:cs="宋体"/>
          <w:sz w:val="24"/>
        </w:rPr>
        <w:t xml:space="preserve">（4）病毒发作导致不能进行正常操作的； </w:t>
      </w:r>
    </w:p>
    <w:p w14:paraId="2274BC1E">
      <w:pPr>
        <w:spacing w:line="360" w:lineRule="auto"/>
        <w:ind w:firstLine="480" w:firstLineChars="200"/>
        <w:rPr>
          <w:rFonts w:ascii="宋体" w:cs="宋体"/>
          <w:sz w:val="24"/>
        </w:rPr>
      </w:pPr>
      <w:r>
        <w:rPr>
          <w:rFonts w:hint="eastAsia" w:ascii="宋体" w:cs="宋体"/>
          <w:sz w:val="24"/>
        </w:rPr>
        <w:t>（4）其他无法保证电子交易的公平、公正和安全的情况。</w:t>
      </w:r>
    </w:p>
    <w:p w14:paraId="39F4500E">
      <w:pPr>
        <w:spacing w:line="360" w:lineRule="auto"/>
        <w:ind w:firstLine="480" w:firstLineChars="200"/>
        <w:rPr>
          <w:rFonts w:ascii="宋体" w:cs="宋体"/>
          <w:sz w:val="24"/>
        </w:rPr>
      </w:pPr>
      <w:r>
        <w:rPr>
          <w:rFonts w:hint="eastAsia" w:ascii="宋体" w:cs="宋体"/>
          <w:sz w:val="24"/>
        </w:rPr>
        <w:t>6.3.3出现以上情形，不影响采购公平、公正性的，招标组织机构可以待上述情形消除后继续组织电子交易活动；影响或可能影响采购公平、公正性的，经招标代理机构确认后，应当重新招标。招标代理机构必须对原有的资料及信息作出妥善保密处理，并报财政部门备案。</w:t>
      </w:r>
    </w:p>
    <w:p w14:paraId="324F50C6">
      <w:pPr>
        <w:spacing w:line="360" w:lineRule="auto"/>
        <w:ind w:firstLine="482" w:firstLineChars="200"/>
        <w:jc w:val="center"/>
        <w:rPr>
          <w:rFonts w:ascii="宋体" w:cs="宋体"/>
          <w:b/>
          <w:bCs/>
          <w:sz w:val="24"/>
        </w:rPr>
      </w:pPr>
      <w:r>
        <w:rPr>
          <w:rFonts w:hint="eastAsia" w:ascii="宋体" w:cs="宋体"/>
          <w:b/>
          <w:bCs/>
          <w:sz w:val="24"/>
        </w:rPr>
        <w:t>7. 合同授予</w:t>
      </w:r>
    </w:p>
    <w:p w14:paraId="45951B3C">
      <w:pPr>
        <w:spacing w:line="360" w:lineRule="auto"/>
        <w:ind w:firstLine="480" w:firstLineChars="200"/>
        <w:rPr>
          <w:rFonts w:ascii="宋体" w:cs="宋体"/>
          <w:sz w:val="24"/>
        </w:rPr>
      </w:pPr>
      <w:r>
        <w:rPr>
          <w:rFonts w:hint="eastAsia" w:ascii="宋体" w:cs="宋体"/>
          <w:sz w:val="24"/>
        </w:rPr>
        <w:t>7.1 确定方式</w:t>
      </w:r>
    </w:p>
    <w:p w14:paraId="65FAEE7D">
      <w:pPr>
        <w:spacing w:line="360" w:lineRule="auto"/>
        <w:ind w:firstLine="480" w:firstLineChars="200"/>
        <w:rPr>
          <w:rFonts w:ascii="宋体" w:cs="宋体"/>
          <w:sz w:val="24"/>
        </w:rPr>
      </w:pPr>
      <w:r>
        <w:rPr>
          <w:rFonts w:hint="eastAsia" w:ascii="宋体" w:cs="宋体"/>
          <w:sz w:val="24"/>
        </w:rPr>
        <w:t>采购人依据磋商小组推荐的中选候选供应商确定中选人，磋商小组推荐中选候选供应商的人数见供应商须知前附表。</w:t>
      </w:r>
    </w:p>
    <w:p w14:paraId="6AB26E2B">
      <w:pPr>
        <w:spacing w:line="360" w:lineRule="auto"/>
        <w:ind w:firstLine="480" w:firstLineChars="200"/>
        <w:rPr>
          <w:rFonts w:ascii="宋体" w:cs="宋体"/>
          <w:sz w:val="24"/>
        </w:rPr>
      </w:pPr>
      <w:r>
        <w:rPr>
          <w:rFonts w:hint="eastAsia" w:ascii="宋体" w:cs="宋体"/>
          <w:sz w:val="24"/>
        </w:rPr>
        <w:t>7.2 成交通知</w:t>
      </w:r>
    </w:p>
    <w:p w14:paraId="19D813C3">
      <w:pPr>
        <w:spacing w:line="360" w:lineRule="auto"/>
        <w:ind w:firstLine="480" w:firstLineChars="200"/>
        <w:rPr>
          <w:rFonts w:ascii="宋体" w:cs="宋体"/>
          <w:sz w:val="24"/>
        </w:rPr>
      </w:pPr>
      <w:r>
        <w:rPr>
          <w:rFonts w:hint="eastAsia" w:ascii="宋体" w:cs="宋体"/>
          <w:sz w:val="24"/>
        </w:rPr>
        <w:t>在本章第3.3款规定的磋商响应有效期内，采购人以书面形式向中选供应商发出成交通知书，同时将成交结果通知未中选的供应商。</w:t>
      </w:r>
    </w:p>
    <w:p w14:paraId="1F24F614">
      <w:pPr>
        <w:spacing w:line="360" w:lineRule="auto"/>
        <w:ind w:firstLine="480" w:firstLineChars="200"/>
        <w:rPr>
          <w:rFonts w:ascii="宋体" w:cs="宋体"/>
          <w:sz w:val="24"/>
        </w:rPr>
      </w:pPr>
      <w:r>
        <w:rPr>
          <w:rFonts w:hint="eastAsia" w:ascii="宋体" w:cs="宋体"/>
          <w:sz w:val="24"/>
        </w:rPr>
        <w:t>7.3 签订合同</w:t>
      </w:r>
    </w:p>
    <w:p w14:paraId="17C59B27">
      <w:pPr>
        <w:spacing w:line="360" w:lineRule="auto"/>
        <w:ind w:firstLine="480" w:firstLineChars="200"/>
        <w:rPr>
          <w:rFonts w:ascii="宋体" w:cs="宋体"/>
          <w:sz w:val="24"/>
        </w:rPr>
      </w:pPr>
      <w:r>
        <w:rPr>
          <w:rFonts w:hint="eastAsia" w:ascii="宋体" w:cs="宋体"/>
          <w:sz w:val="24"/>
        </w:rPr>
        <w:t xml:space="preserve">7.3.1 采购人和中选供应商应当自成交通知书发出之日起30天内，根据竞争性磋商文件和中选供应商的磋商响应文件订立书面合同。中选供应商无正当理由拒签合同的，采购人取消其中选资格，其磋商保证金不予退还；给采购人造成的损失超过磋商保证金数额的，中选供应商还应当对超过部分予以赔偿。 </w:t>
      </w:r>
    </w:p>
    <w:p w14:paraId="1B39A3A9">
      <w:pPr>
        <w:spacing w:line="360" w:lineRule="auto"/>
        <w:ind w:firstLine="480" w:firstLineChars="200"/>
        <w:rPr>
          <w:rFonts w:ascii="宋体" w:cs="宋体"/>
          <w:sz w:val="24"/>
        </w:rPr>
      </w:pPr>
      <w:r>
        <w:rPr>
          <w:rFonts w:hint="eastAsia" w:ascii="宋体" w:cs="宋体"/>
          <w:sz w:val="24"/>
        </w:rPr>
        <w:t>7.3.2 发出成交通知书后，采购人无正当理由拒签合同的，采购人向中选供应商退还磋商保证金；给中选供应商造成损失的，还应当赔偿损失。</w:t>
      </w:r>
    </w:p>
    <w:p w14:paraId="0DA4C496">
      <w:pPr>
        <w:spacing w:line="360" w:lineRule="auto"/>
        <w:ind w:firstLine="482" w:firstLineChars="200"/>
        <w:jc w:val="center"/>
        <w:rPr>
          <w:rFonts w:ascii="宋体" w:cs="宋体"/>
          <w:b/>
          <w:bCs/>
          <w:sz w:val="24"/>
        </w:rPr>
      </w:pPr>
      <w:r>
        <w:rPr>
          <w:rFonts w:hint="eastAsia" w:ascii="宋体" w:cs="宋体"/>
          <w:b/>
          <w:bCs/>
          <w:sz w:val="24"/>
        </w:rPr>
        <w:t>8. 重新采购和不再采购</w:t>
      </w:r>
    </w:p>
    <w:p w14:paraId="542F260C">
      <w:pPr>
        <w:spacing w:line="360" w:lineRule="auto"/>
        <w:ind w:firstLine="480" w:firstLineChars="200"/>
        <w:rPr>
          <w:rFonts w:ascii="宋体" w:cs="宋体"/>
          <w:sz w:val="24"/>
        </w:rPr>
      </w:pPr>
      <w:r>
        <w:rPr>
          <w:rFonts w:hint="eastAsia" w:ascii="宋体" w:cs="宋体"/>
          <w:sz w:val="24"/>
        </w:rPr>
        <w:t>8.1 重新采购</w:t>
      </w:r>
    </w:p>
    <w:p w14:paraId="5A05616C">
      <w:pPr>
        <w:spacing w:line="360" w:lineRule="auto"/>
        <w:ind w:firstLine="480" w:firstLineChars="200"/>
        <w:rPr>
          <w:rFonts w:ascii="宋体" w:cs="宋体"/>
          <w:sz w:val="24"/>
        </w:rPr>
      </w:pPr>
      <w:r>
        <w:rPr>
          <w:rFonts w:hint="eastAsia" w:ascii="宋体" w:cs="宋体"/>
          <w:sz w:val="24"/>
        </w:rPr>
        <w:t>有下列情形之一的，采购人将重新采购：</w:t>
      </w:r>
    </w:p>
    <w:p w14:paraId="277EDE58">
      <w:pPr>
        <w:spacing w:line="360" w:lineRule="auto"/>
        <w:ind w:firstLine="480" w:firstLineChars="200"/>
        <w:rPr>
          <w:rFonts w:ascii="宋体" w:cs="宋体"/>
          <w:sz w:val="24"/>
        </w:rPr>
      </w:pPr>
      <w:r>
        <w:rPr>
          <w:rFonts w:hint="eastAsia" w:ascii="宋体" w:cs="宋体"/>
          <w:sz w:val="24"/>
        </w:rPr>
        <w:t>（1）递交磋商响应文件截止时间止，供应商少于3个的；</w:t>
      </w:r>
    </w:p>
    <w:p w14:paraId="138C69DB">
      <w:pPr>
        <w:spacing w:line="360" w:lineRule="auto"/>
        <w:ind w:firstLine="480" w:firstLineChars="200"/>
        <w:rPr>
          <w:rFonts w:ascii="宋体" w:cs="宋体"/>
          <w:sz w:val="24"/>
        </w:rPr>
      </w:pPr>
      <w:r>
        <w:rPr>
          <w:rFonts w:hint="eastAsia" w:ascii="宋体" w:cs="宋体"/>
          <w:sz w:val="24"/>
        </w:rPr>
        <w:t>（2）经磋商小组评审后否决所有响应供应商的。</w:t>
      </w:r>
    </w:p>
    <w:p w14:paraId="1DBB7A43">
      <w:pPr>
        <w:spacing w:line="360" w:lineRule="auto"/>
        <w:ind w:firstLine="480" w:firstLineChars="200"/>
        <w:rPr>
          <w:rFonts w:ascii="宋体" w:cs="宋体"/>
          <w:sz w:val="24"/>
        </w:rPr>
      </w:pPr>
      <w:r>
        <w:rPr>
          <w:rFonts w:hint="eastAsia" w:ascii="宋体" w:cs="宋体"/>
          <w:sz w:val="24"/>
        </w:rPr>
        <w:t>8.2 不再采购</w:t>
      </w:r>
    </w:p>
    <w:p w14:paraId="1E070BF1">
      <w:pPr>
        <w:spacing w:line="360" w:lineRule="auto"/>
        <w:ind w:firstLine="480" w:firstLineChars="200"/>
        <w:rPr>
          <w:rFonts w:ascii="宋体" w:cs="宋体"/>
          <w:sz w:val="24"/>
        </w:rPr>
      </w:pPr>
      <w:r>
        <w:rPr>
          <w:rFonts w:hint="eastAsia" w:ascii="宋体" w:cs="宋体"/>
          <w:sz w:val="24"/>
        </w:rPr>
        <w:t>重新采购后供应商仍少于3个或者所有响应被否决的，属于必须审批或核准的项目，经原审批或核准部门批准后不再进行采购。</w:t>
      </w:r>
    </w:p>
    <w:p w14:paraId="4CDE2D6F">
      <w:pPr>
        <w:spacing w:line="360" w:lineRule="auto"/>
        <w:ind w:firstLine="482" w:firstLineChars="200"/>
        <w:jc w:val="center"/>
        <w:rPr>
          <w:rFonts w:ascii="宋体" w:cs="宋体"/>
          <w:b/>
          <w:bCs/>
          <w:sz w:val="24"/>
        </w:rPr>
      </w:pPr>
      <w:r>
        <w:rPr>
          <w:rFonts w:hint="eastAsia" w:ascii="宋体" w:cs="宋体"/>
          <w:b/>
          <w:bCs/>
          <w:sz w:val="24"/>
        </w:rPr>
        <w:t>9. 纪律和监督</w:t>
      </w:r>
    </w:p>
    <w:p w14:paraId="687E3347">
      <w:pPr>
        <w:spacing w:line="360" w:lineRule="auto"/>
        <w:ind w:firstLine="480" w:firstLineChars="200"/>
        <w:rPr>
          <w:rFonts w:ascii="宋体" w:cs="宋体"/>
          <w:sz w:val="24"/>
        </w:rPr>
      </w:pPr>
      <w:r>
        <w:rPr>
          <w:rFonts w:hint="eastAsia" w:ascii="宋体" w:cs="宋体"/>
          <w:sz w:val="24"/>
        </w:rPr>
        <w:t>9.1 对采购人的纪律要求</w:t>
      </w:r>
    </w:p>
    <w:p w14:paraId="57E7395D">
      <w:pPr>
        <w:spacing w:line="360" w:lineRule="auto"/>
        <w:ind w:firstLine="480" w:firstLineChars="200"/>
        <w:rPr>
          <w:rFonts w:ascii="宋体" w:cs="宋体"/>
          <w:sz w:val="24"/>
        </w:rPr>
      </w:pPr>
      <w:r>
        <w:rPr>
          <w:rFonts w:hint="eastAsia" w:ascii="宋体" w:cs="宋体"/>
          <w:sz w:val="24"/>
        </w:rPr>
        <w:t>采购人不得泄漏采购活动中应当保密的情况和资料，不得与供应商串通损害国家利益、社会公共利益或者他人合法权益。</w:t>
      </w:r>
    </w:p>
    <w:p w14:paraId="5AAD42E5">
      <w:pPr>
        <w:spacing w:line="360" w:lineRule="auto"/>
        <w:ind w:firstLine="480" w:firstLineChars="200"/>
        <w:rPr>
          <w:rFonts w:ascii="宋体" w:cs="宋体"/>
          <w:sz w:val="24"/>
        </w:rPr>
      </w:pPr>
      <w:r>
        <w:rPr>
          <w:rFonts w:hint="eastAsia" w:ascii="宋体" w:cs="宋体"/>
          <w:sz w:val="24"/>
        </w:rPr>
        <w:t>9.2 对供应商的纪律要求</w:t>
      </w:r>
    </w:p>
    <w:p w14:paraId="61740820">
      <w:pPr>
        <w:spacing w:line="360" w:lineRule="auto"/>
        <w:ind w:firstLine="480" w:firstLineChars="200"/>
        <w:rPr>
          <w:rFonts w:ascii="宋体" w:cs="宋体"/>
          <w:sz w:val="24"/>
        </w:rPr>
      </w:pPr>
      <w:r>
        <w:rPr>
          <w:rFonts w:hint="eastAsia" w:ascii="宋体" w:cs="宋体"/>
          <w:sz w:val="24"/>
        </w:rPr>
        <w:t>供应商不得相互串通或者与采购人串通，不得向采购人或者磋商小组成员行贿谋取中选，不得以他人名义响应或者以其他方式弄虚作假骗取中选；供应商不得以任何方式干扰、影响评审工作。</w:t>
      </w:r>
    </w:p>
    <w:p w14:paraId="104AB9C8">
      <w:pPr>
        <w:spacing w:line="360" w:lineRule="auto"/>
        <w:ind w:firstLine="480" w:firstLineChars="200"/>
        <w:rPr>
          <w:rFonts w:ascii="宋体" w:cs="宋体"/>
          <w:sz w:val="24"/>
        </w:rPr>
      </w:pPr>
      <w:r>
        <w:rPr>
          <w:rFonts w:hint="eastAsia" w:ascii="宋体" w:cs="宋体"/>
          <w:sz w:val="24"/>
        </w:rPr>
        <w:t>9.3 对磋商小组成员的纪律要求</w:t>
      </w:r>
    </w:p>
    <w:p w14:paraId="53D3EAF2">
      <w:pPr>
        <w:spacing w:line="360" w:lineRule="auto"/>
        <w:ind w:firstLine="480" w:firstLineChars="200"/>
        <w:rPr>
          <w:rFonts w:ascii="宋体" w:cs="宋体"/>
          <w:sz w:val="24"/>
        </w:rPr>
      </w:pPr>
      <w:r>
        <w:rPr>
          <w:rFonts w:hint="eastAsia" w:ascii="宋体" w:cs="宋体"/>
          <w:sz w:val="24"/>
        </w:rPr>
        <w:t>磋商小组成员不得收受他人的财物或者其他好处，不得向他人透漏对磋商响应文件的评审和比较、中选候选供应商的推荐情况以及评审有关的其他情况。在评审活动中，磋商小组成员不得擅离职守，影响评审程序正常进行，不得使用第三章“评标办法”没有规定的评审因素和标准进行评审。</w:t>
      </w:r>
    </w:p>
    <w:p w14:paraId="26F67297">
      <w:pPr>
        <w:spacing w:line="360" w:lineRule="auto"/>
        <w:ind w:firstLine="480" w:firstLineChars="200"/>
        <w:rPr>
          <w:rFonts w:ascii="宋体" w:cs="宋体"/>
          <w:sz w:val="24"/>
        </w:rPr>
      </w:pPr>
      <w:r>
        <w:rPr>
          <w:rFonts w:hint="eastAsia" w:ascii="宋体" w:cs="宋体"/>
          <w:sz w:val="24"/>
        </w:rPr>
        <w:t>9.4 对与评审活动有关的工作人员的纪律要求</w:t>
      </w:r>
    </w:p>
    <w:p w14:paraId="24E80202">
      <w:pPr>
        <w:spacing w:line="360" w:lineRule="auto"/>
        <w:ind w:firstLine="480" w:firstLineChars="200"/>
        <w:rPr>
          <w:rFonts w:ascii="宋体" w:cs="宋体"/>
          <w:sz w:val="24"/>
        </w:rPr>
      </w:pPr>
      <w:r>
        <w:rPr>
          <w:rFonts w:hint="eastAsia" w:ascii="宋体" w:cs="宋体"/>
          <w:sz w:val="24"/>
        </w:rPr>
        <w:t>与评审活动有关的工作人员不得收受他人的财物或者其他好处，不得向他人透漏对磋商响应文件的评审和比较、中选候选供应商的推荐情况以及评审有关的其他情况。在评审活动中，与评审活动有关的工作人员不得擅离职守，影响评审程序正常进行。</w:t>
      </w:r>
    </w:p>
    <w:p w14:paraId="2D1CF59C">
      <w:pPr>
        <w:spacing w:line="360" w:lineRule="auto"/>
        <w:ind w:firstLine="480" w:firstLineChars="200"/>
        <w:rPr>
          <w:rFonts w:ascii="宋体" w:cs="宋体"/>
          <w:sz w:val="24"/>
        </w:rPr>
      </w:pPr>
      <w:r>
        <w:rPr>
          <w:rFonts w:hint="eastAsia" w:ascii="宋体" w:cs="宋体"/>
          <w:sz w:val="24"/>
        </w:rPr>
        <w:t>9.5 投诉</w:t>
      </w:r>
    </w:p>
    <w:p w14:paraId="548BB432">
      <w:pPr>
        <w:spacing w:line="360" w:lineRule="auto"/>
        <w:ind w:firstLine="480" w:firstLineChars="200"/>
        <w:rPr>
          <w:rFonts w:ascii="宋体" w:cs="宋体"/>
          <w:sz w:val="24"/>
        </w:rPr>
      </w:pPr>
      <w:r>
        <w:rPr>
          <w:rFonts w:hint="eastAsia" w:ascii="宋体" w:cs="宋体"/>
          <w:sz w:val="24"/>
        </w:rPr>
        <w:t>供应商和其他利害关系人认为本次采购活动违反法律、法规和规章规定的，有权向有关行政监督部门投诉。</w:t>
      </w:r>
    </w:p>
    <w:p w14:paraId="776F49FA">
      <w:pPr>
        <w:spacing w:line="360" w:lineRule="auto"/>
        <w:ind w:firstLine="480" w:firstLineChars="200"/>
        <w:rPr>
          <w:rFonts w:ascii="宋体" w:cs="宋体"/>
          <w:sz w:val="24"/>
        </w:rPr>
      </w:pPr>
    </w:p>
    <w:p w14:paraId="29755871">
      <w:pPr>
        <w:spacing w:line="360" w:lineRule="auto"/>
        <w:ind w:firstLine="482" w:firstLineChars="200"/>
        <w:jc w:val="center"/>
        <w:rPr>
          <w:rFonts w:ascii="宋体" w:cs="宋体"/>
          <w:sz w:val="24"/>
        </w:rPr>
      </w:pPr>
      <w:r>
        <w:rPr>
          <w:rFonts w:hint="eastAsia" w:ascii="宋体" w:cs="宋体"/>
          <w:b/>
          <w:bCs/>
          <w:sz w:val="24"/>
        </w:rPr>
        <w:t>10. 需要补充的其他内容</w:t>
      </w:r>
    </w:p>
    <w:p w14:paraId="3178671D">
      <w:pPr>
        <w:spacing w:line="360" w:lineRule="auto"/>
        <w:ind w:firstLine="480" w:firstLineChars="200"/>
        <w:rPr>
          <w:rFonts w:ascii="宋体" w:cs="宋体"/>
          <w:sz w:val="24"/>
        </w:rPr>
      </w:pPr>
      <w:r>
        <w:rPr>
          <w:rFonts w:hint="eastAsia" w:ascii="宋体" w:cs="宋体"/>
          <w:sz w:val="24"/>
        </w:rPr>
        <w:t>需要补充的其他内容：见供应商须知前附表。</w:t>
      </w:r>
    </w:p>
    <w:p w14:paraId="1210BF03">
      <w:pPr>
        <w:rPr>
          <w:rFonts w:ascii="宋体" w:cs="宋体"/>
          <w:b/>
          <w:kern w:val="44"/>
          <w:sz w:val="44"/>
        </w:rPr>
      </w:pPr>
      <w:bookmarkStart w:id="42" w:name="_Toc17916"/>
      <w:bookmarkStart w:id="43" w:name="_Toc24879"/>
      <w:bookmarkStart w:id="44" w:name="_Toc26141"/>
      <w:bookmarkStart w:id="45" w:name="_Toc24464"/>
      <w:bookmarkStart w:id="46" w:name="_Toc12796"/>
      <w:bookmarkStart w:id="47" w:name="_Toc16246"/>
      <w:r>
        <w:rPr>
          <w:rFonts w:hint="eastAsia" w:ascii="宋体" w:cs="宋体"/>
          <w:b/>
          <w:kern w:val="44"/>
          <w:sz w:val="44"/>
        </w:rPr>
        <w:br w:type="page"/>
      </w:r>
    </w:p>
    <w:p w14:paraId="51E72E56">
      <w:pPr>
        <w:pStyle w:val="2"/>
        <w:rPr>
          <w:rFonts w:ascii="宋体" w:cs="宋体"/>
        </w:rPr>
      </w:pPr>
      <w:bookmarkStart w:id="48" w:name="_Toc19840"/>
      <w:r>
        <w:rPr>
          <w:rFonts w:hint="eastAsia" w:ascii="宋体" w:cs="宋体"/>
        </w:rPr>
        <w:t>第三章 评标办法</w:t>
      </w:r>
      <w:bookmarkEnd w:id="42"/>
      <w:bookmarkEnd w:id="43"/>
      <w:bookmarkEnd w:id="44"/>
      <w:bookmarkEnd w:id="45"/>
      <w:bookmarkEnd w:id="46"/>
      <w:bookmarkEnd w:id="47"/>
      <w:bookmarkEnd w:id="48"/>
    </w:p>
    <w:p w14:paraId="65C83FE8">
      <w:pPr>
        <w:spacing w:line="360" w:lineRule="auto"/>
        <w:ind w:firstLine="480" w:firstLineChars="200"/>
        <w:rPr>
          <w:rFonts w:ascii="宋体" w:cs="宋体"/>
          <w:sz w:val="24"/>
        </w:rPr>
      </w:pPr>
      <w:r>
        <w:rPr>
          <w:rFonts w:hint="eastAsia" w:ascii="宋体" w:cs="宋体"/>
          <w:sz w:val="24"/>
        </w:rPr>
        <w:t>评标应当遵循下列工作程序：</w:t>
      </w:r>
    </w:p>
    <w:p w14:paraId="74076A3F">
      <w:pPr>
        <w:spacing w:line="360" w:lineRule="auto"/>
        <w:ind w:firstLine="482" w:firstLineChars="200"/>
        <w:rPr>
          <w:rFonts w:ascii="宋体" w:cs="宋体"/>
          <w:b/>
          <w:bCs/>
          <w:sz w:val="24"/>
        </w:rPr>
      </w:pPr>
      <w:r>
        <w:rPr>
          <w:rFonts w:hint="eastAsia" w:ascii="宋体" w:cs="宋体"/>
          <w:b/>
          <w:bCs/>
          <w:sz w:val="24"/>
        </w:rPr>
        <w:t>1.1磋商响应文件初审：分为资格性检查和符合性检查。</w:t>
      </w:r>
    </w:p>
    <w:p w14:paraId="5D749428">
      <w:pPr>
        <w:spacing w:line="360" w:lineRule="auto"/>
        <w:ind w:firstLine="480" w:firstLineChars="200"/>
        <w:rPr>
          <w:rFonts w:ascii="宋体" w:cs="宋体"/>
          <w:sz w:val="24"/>
        </w:rPr>
      </w:pPr>
      <w:r>
        <w:rPr>
          <w:rFonts w:hint="eastAsia" w:ascii="宋体" w:cs="宋体"/>
          <w:sz w:val="24"/>
        </w:rPr>
        <w:t>1.1.1磋商小组对供应商的资格进行审查，并详细填写下表。合格供应商不足3家的，不进行后续磋商。</w:t>
      </w:r>
    </w:p>
    <w:p w14:paraId="6ADC483D">
      <w:pPr>
        <w:spacing w:line="360" w:lineRule="auto"/>
        <w:jc w:val="center"/>
        <w:rPr>
          <w:rFonts w:ascii="宋体" w:cs="宋体"/>
          <w:b/>
          <w:bCs/>
          <w:sz w:val="24"/>
        </w:rPr>
      </w:pPr>
      <w:r>
        <w:rPr>
          <w:rFonts w:hint="eastAsia" w:ascii="宋体" w:cs="宋体"/>
          <w:b/>
          <w:bCs/>
          <w:sz w:val="24"/>
        </w:rPr>
        <w:t>资格性审查表</w:t>
      </w:r>
    </w:p>
    <w:tbl>
      <w:tblPr>
        <w:tblStyle w:val="28"/>
        <w:tblW w:w="9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1180"/>
        <w:gridCol w:w="6550"/>
        <w:gridCol w:w="1203"/>
      </w:tblGrid>
      <w:tr w14:paraId="5E8BF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18" w:type="dxa"/>
            <w:tcMar>
              <w:top w:w="57" w:type="dxa"/>
              <w:left w:w="57" w:type="dxa"/>
              <w:bottom w:w="57" w:type="dxa"/>
              <w:right w:w="57" w:type="dxa"/>
            </w:tcMar>
            <w:vAlign w:val="center"/>
          </w:tcPr>
          <w:p w14:paraId="1F58709B">
            <w:pPr>
              <w:pStyle w:val="48"/>
              <w:spacing w:before="22"/>
              <w:jc w:val="center"/>
              <w:rPr>
                <w:rFonts w:ascii="宋体" w:cs="宋体"/>
                <w:b/>
                <w:sz w:val="24"/>
              </w:rPr>
            </w:pPr>
            <w:r>
              <w:rPr>
                <w:rFonts w:hint="eastAsia" w:ascii="宋体" w:cs="宋体"/>
                <w:b/>
                <w:sz w:val="24"/>
              </w:rPr>
              <w:t>序号</w:t>
            </w:r>
          </w:p>
        </w:tc>
        <w:tc>
          <w:tcPr>
            <w:tcW w:w="1180" w:type="dxa"/>
            <w:tcMar>
              <w:top w:w="57" w:type="dxa"/>
              <w:left w:w="57" w:type="dxa"/>
              <w:bottom w:w="57" w:type="dxa"/>
              <w:right w:w="57" w:type="dxa"/>
            </w:tcMar>
            <w:vAlign w:val="center"/>
          </w:tcPr>
          <w:p w14:paraId="459EA389">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rPr>
            </w:pPr>
            <w:r>
              <w:rPr>
                <w:rFonts w:hint="eastAsia" w:ascii="宋体" w:cs="宋体"/>
                <w:b/>
                <w:sz w:val="24"/>
              </w:rPr>
              <w:t>资格审查内容</w:t>
            </w:r>
          </w:p>
        </w:tc>
        <w:tc>
          <w:tcPr>
            <w:tcW w:w="6550" w:type="dxa"/>
            <w:tcMar>
              <w:top w:w="57" w:type="dxa"/>
              <w:left w:w="57" w:type="dxa"/>
              <w:bottom w:w="57" w:type="dxa"/>
              <w:right w:w="57" w:type="dxa"/>
            </w:tcMar>
            <w:vAlign w:val="center"/>
          </w:tcPr>
          <w:p w14:paraId="5EDC3CEB">
            <w:pPr>
              <w:pStyle w:val="48"/>
              <w:spacing w:before="22"/>
              <w:ind w:right="2529"/>
              <w:jc w:val="center"/>
              <w:rPr>
                <w:rFonts w:ascii="宋体" w:cs="宋体"/>
                <w:b/>
                <w:sz w:val="24"/>
              </w:rPr>
            </w:pPr>
            <w:r>
              <w:rPr>
                <w:rFonts w:hint="eastAsia" w:ascii="宋体" w:cs="宋体"/>
                <w:b/>
                <w:sz w:val="24"/>
              </w:rPr>
              <w:t>评审标准</w:t>
            </w:r>
          </w:p>
        </w:tc>
        <w:tc>
          <w:tcPr>
            <w:tcW w:w="1203" w:type="dxa"/>
            <w:tcMar>
              <w:top w:w="57" w:type="dxa"/>
              <w:left w:w="57" w:type="dxa"/>
              <w:bottom w:w="57" w:type="dxa"/>
              <w:right w:w="57" w:type="dxa"/>
            </w:tcMar>
            <w:vAlign w:val="center"/>
          </w:tcPr>
          <w:p w14:paraId="35111747">
            <w:pPr>
              <w:pStyle w:val="48"/>
              <w:spacing w:before="1"/>
              <w:jc w:val="center"/>
              <w:rPr>
                <w:rFonts w:ascii="宋体" w:cs="宋体"/>
                <w:b/>
                <w:sz w:val="24"/>
              </w:rPr>
            </w:pPr>
            <w:r>
              <w:rPr>
                <w:rFonts w:hint="eastAsia" w:ascii="宋体" w:cs="宋体"/>
                <w:b/>
                <w:sz w:val="24"/>
              </w:rPr>
              <w:t>评审结论（√/×）</w:t>
            </w:r>
          </w:p>
        </w:tc>
      </w:tr>
      <w:tr w14:paraId="5F40A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18" w:type="dxa"/>
            <w:tcMar>
              <w:top w:w="57" w:type="dxa"/>
              <w:left w:w="57" w:type="dxa"/>
              <w:bottom w:w="57" w:type="dxa"/>
              <w:right w:w="57" w:type="dxa"/>
            </w:tcMar>
            <w:vAlign w:val="center"/>
          </w:tcPr>
          <w:p w14:paraId="24DF1520">
            <w:pPr>
              <w:pStyle w:val="48"/>
              <w:spacing w:before="22"/>
              <w:ind w:left="112"/>
              <w:jc w:val="center"/>
              <w:rPr>
                <w:rFonts w:ascii="宋体" w:cs="宋体"/>
                <w:sz w:val="24"/>
              </w:rPr>
            </w:pPr>
            <w:r>
              <w:rPr>
                <w:rFonts w:hint="eastAsia" w:ascii="宋体" w:cs="宋体"/>
                <w:w w:val="99"/>
                <w:sz w:val="24"/>
              </w:rPr>
              <w:t>1</w:t>
            </w:r>
          </w:p>
        </w:tc>
        <w:tc>
          <w:tcPr>
            <w:tcW w:w="1180" w:type="dxa"/>
            <w:tcMar>
              <w:top w:w="57" w:type="dxa"/>
              <w:left w:w="57" w:type="dxa"/>
              <w:bottom w:w="57" w:type="dxa"/>
              <w:right w:w="57" w:type="dxa"/>
            </w:tcMar>
            <w:vAlign w:val="center"/>
          </w:tcPr>
          <w:p w14:paraId="5C4B82B6">
            <w:pPr>
              <w:pStyle w:val="48"/>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独立法人资格</w:t>
            </w:r>
          </w:p>
        </w:tc>
        <w:tc>
          <w:tcPr>
            <w:tcW w:w="6550" w:type="dxa"/>
            <w:tcMar>
              <w:top w:w="57" w:type="dxa"/>
              <w:left w:w="57" w:type="dxa"/>
              <w:bottom w:w="57" w:type="dxa"/>
              <w:right w:w="57" w:type="dxa"/>
            </w:tcMar>
            <w:vAlign w:val="center"/>
          </w:tcPr>
          <w:p w14:paraId="61B619F9">
            <w:pPr>
              <w:pStyle w:val="48"/>
              <w:rPr>
                <w:rFonts w:ascii="宋体" w:cs="宋体"/>
                <w:sz w:val="24"/>
              </w:rPr>
            </w:pPr>
            <w:r>
              <w:rPr>
                <w:rFonts w:hint="eastAsia" w:ascii="宋体" w:hAnsi="宋体" w:cs="宋体"/>
                <w:color w:val="auto"/>
                <w:sz w:val="24"/>
                <w:highlight w:val="none"/>
              </w:rPr>
              <w:t>供应商具有独立法人资格，</w:t>
            </w:r>
            <w:r>
              <w:rPr>
                <w:rFonts w:hint="eastAsia" w:ascii="宋体" w:hAnsi="宋体" w:cs="宋体"/>
                <w:sz w:val="24"/>
                <w:highlight w:val="none"/>
              </w:rPr>
              <w:t>响应文件内附复营业执照（或其他独立法人资格证明文件）复印件加盖公章。</w:t>
            </w:r>
          </w:p>
        </w:tc>
        <w:tc>
          <w:tcPr>
            <w:tcW w:w="1203" w:type="dxa"/>
            <w:tcMar>
              <w:top w:w="57" w:type="dxa"/>
              <w:left w:w="57" w:type="dxa"/>
              <w:bottom w:w="57" w:type="dxa"/>
              <w:right w:w="57" w:type="dxa"/>
            </w:tcMar>
            <w:vAlign w:val="center"/>
          </w:tcPr>
          <w:p w14:paraId="3F88B2A2">
            <w:pPr>
              <w:pStyle w:val="48"/>
              <w:spacing w:before="22"/>
              <w:ind w:left="107"/>
              <w:rPr>
                <w:rFonts w:ascii="宋体" w:cs="宋体"/>
                <w:sz w:val="24"/>
              </w:rPr>
            </w:pPr>
          </w:p>
        </w:tc>
      </w:tr>
      <w:tr w14:paraId="6811B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18" w:type="dxa"/>
            <w:tcMar>
              <w:top w:w="57" w:type="dxa"/>
              <w:left w:w="57" w:type="dxa"/>
              <w:bottom w:w="57" w:type="dxa"/>
              <w:right w:w="57" w:type="dxa"/>
            </w:tcMar>
            <w:vAlign w:val="center"/>
          </w:tcPr>
          <w:p w14:paraId="10A9C174">
            <w:pPr>
              <w:pStyle w:val="48"/>
              <w:spacing w:before="22"/>
              <w:ind w:left="112"/>
              <w:jc w:val="center"/>
              <w:rPr>
                <w:rFonts w:ascii="宋体" w:cs="宋体"/>
                <w:w w:val="99"/>
                <w:sz w:val="24"/>
              </w:rPr>
            </w:pPr>
            <w:r>
              <w:rPr>
                <w:rFonts w:hint="eastAsia" w:ascii="宋体" w:cs="宋体"/>
                <w:w w:val="99"/>
                <w:sz w:val="24"/>
              </w:rPr>
              <w:t>2</w:t>
            </w:r>
          </w:p>
        </w:tc>
        <w:tc>
          <w:tcPr>
            <w:tcW w:w="1180" w:type="dxa"/>
            <w:tcMar>
              <w:top w:w="57" w:type="dxa"/>
              <w:left w:w="57" w:type="dxa"/>
              <w:bottom w:w="57" w:type="dxa"/>
              <w:right w:w="57" w:type="dxa"/>
            </w:tcMar>
            <w:vAlign w:val="center"/>
          </w:tcPr>
          <w:p w14:paraId="6AF68637">
            <w:pPr>
              <w:pStyle w:val="48"/>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财务状况</w:t>
            </w:r>
          </w:p>
        </w:tc>
        <w:tc>
          <w:tcPr>
            <w:tcW w:w="6550" w:type="dxa"/>
            <w:tcMar>
              <w:top w:w="57" w:type="dxa"/>
              <w:left w:w="57" w:type="dxa"/>
              <w:bottom w:w="57" w:type="dxa"/>
              <w:right w:w="57" w:type="dxa"/>
            </w:tcMar>
            <w:vAlign w:val="center"/>
          </w:tcPr>
          <w:p w14:paraId="4376CA09">
            <w:pPr>
              <w:pStyle w:val="48"/>
              <w:ind w:right="96"/>
              <w:rPr>
                <w:rFonts w:ascii="宋体" w:cs="宋体"/>
                <w:sz w:val="24"/>
              </w:rPr>
            </w:pPr>
            <w:r>
              <w:rPr>
                <w:rFonts w:hint="eastAsia" w:ascii="宋体" w:cs="宋体"/>
                <w:sz w:val="24"/>
              </w:rPr>
              <w:t>响应文件内附反映供应商财务状况、依法缴纳税收和社会保障资金情况的资格条件承诺函加盖公章，并由法定代表人签字。</w:t>
            </w:r>
          </w:p>
        </w:tc>
        <w:tc>
          <w:tcPr>
            <w:tcW w:w="1203" w:type="dxa"/>
            <w:tcMar>
              <w:top w:w="57" w:type="dxa"/>
              <w:left w:w="57" w:type="dxa"/>
              <w:bottom w:w="57" w:type="dxa"/>
              <w:right w:w="57" w:type="dxa"/>
            </w:tcMar>
            <w:vAlign w:val="center"/>
          </w:tcPr>
          <w:p w14:paraId="5B03D9BE">
            <w:pPr>
              <w:pStyle w:val="48"/>
              <w:spacing w:before="22"/>
              <w:ind w:left="107"/>
              <w:rPr>
                <w:rFonts w:ascii="宋体" w:cs="宋体"/>
                <w:sz w:val="24"/>
              </w:rPr>
            </w:pPr>
          </w:p>
        </w:tc>
      </w:tr>
      <w:tr w14:paraId="456C7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18" w:type="dxa"/>
            <w:tcMar>
              <w:top w:w="57" w:type="dxa"/>
              <w:left w:w="57" w:type="dxa"/>
              <w:bottom w:w="57" w:type="dxa"/>
              <w:right w:w="57" w:type="dxa"/>
            </w:tcMar>
            <w:vAlign w:val="center"/>
          </w:tcPr>
          <w:p w14:paraId="2BD50640">
            <w:pPr>
              <w:pStyle w:val="48"/>
              <w:spacing w:before="22"/>
              <w:ind w:left="112"/>
              <w:jc w:val="center"/>
              <w:rPr>
                <w:rFonts w:ascii="宋体" w:cs="宋体"/>
                <w:w w:val="99"/>
                <w:sz w:val="24"/>
              </w:rPr>
            </w:pPr>
            <w:r>
              <w:rPr>
                <w:rFonts w:hint="eastAsia" w:ascii="宋体" w:cs="宋体"/>
                <w:w w:val="99"/>
                <w:sz w:val="24"/>
              </w:rPr>
              <w:t>3</w:t>
            </w:r>
          </w:p>
        </w:tc>
        <w:tc>
          <w:tcPr>
            <w:tcW w:w="1180" w:type="dxa"/>
            <w:tcMar>
              <w:top w:w="57" w:type="dxa"/>
              <w:left w:w="57" w:type="dxa"/>
              <w:bottom w:w="57" w:type="dxa"/>
              <w:right w:w="57" w:type="dxa"/>
            </w:tcMar>
            <w:vAlign w:val="center"/>
          </w:tcPr>
          <w:p w14:paraId="720408A9">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cs="宋体"/>
                <w:sz w:val="24"/>
              </w:rPr>
              <w:t>供应商中小企业类型</w:t>
            </w:r>
          </w:p>
        </w:tc>
        <w:tc>
          <w:tcPr>
            <w:tcW w:w="6550" w:type="dxa"/>
            <w:tcMar>
              <w:top w:w="57" w:type="dxa"/>
              <w:left w:w="57" w:type="dxa"/>
              <w:bottom w:w="57" w:type="dxa"/>
              <w:right w:w="57" w:type="dxa"/>
            </w:tcMar>
            <w:vAlign w:val="center"/>
          </w:tcPr>
          <w:p w14:paraId="2ECD4C0D">
            <w:pPr>
              <w:pStyle w:val="48"/>
              <w:ind w:right="96"/>
              <w:rPr>
                <w:rFonts w:ascii="宋体" w:cs="宋体"/>
                <w:sz w:val="24"/>
              </w:rPr>
            </w:pPr>
            <w:r>
              <w:rPr>
                <w:rFonts w:hint="eastAsia" w:ascii="宋体" w:cs="宋体"/>
                <w:sz w:val="24"/>
              </w:rPr>
              <w:t>本项目为专门面向中小企业采购项目,供应商应为中小企业或监狱企业或残疾人福利性单位。</w:t>
            </w:r>
          </w:p>
          <w:p w14:paraId="1B61C21A">
            <w:pPr>
              <w:pStyle w:val="48"/>
              <w:ind w:right="96"/>
              <w:rPr>
                <w:rFonts w:ascii="宋体" w:cs="宋体"/>
                <w:sz w:val="24"/>
              </w:rPr>
            </w:pPr>
            <w:r>
              <w:rPr>
                <w:rFonts w:hint="eastAsia" w:ascii="宋体" w:cs="宋体"/>
                <w:sz w:val="24"/>
              </w:rPr>
              <w:t>磋商响应文件内附符合要求的中小企业声明函，监狱企业或残疾人福利性单位附相关证明材料</w:t>
            </w:r>
          </w:p>
        </w:tc>
        <w:tc>
          <w:tcPr>
            <w:tcW w:w="1203" w:type="dxa"/>
            <w:tcMar>
              <w:top w:w="57" w:type="dxa"/>
              <w:left w:w="57" w:type="dxa"/>
              <w:bottom w:w="57" w:type="dxa"/>
              <w:right w:w="57" w:type="dxa"/>
            </w:tcMar>
            <w:vAlign w:val="center"/>
          </w:tcPr>
          <w:p w14:paraId="38EE1433">
            <w:pPr>
              <w:pStyle w:val="48"/>
              <w:spacing w:before="22"/>
              <w:ind w:left="107"/>
              <w:rPr>
                <w:rFonts w:ascii="宋体" w:cs="宋体"/>
                <w:sz w:val="24"/>
              </w:rPr>
            </w:pPr>
          </w:p>
        </w:tc>
      </w:tr>
      <w:tr w14:paraId="2F344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618" w:type="dxa"/>
            <w:tcMar>
              <w:top w:w="57" w:type="dxa"/>
              <w:left w:w="57" w:type="dxa"/>
              <w:bottom w:w="57" w:type="dxa"/>
              <w:right w:w="57" w:type="dxa"/>
            </w:tcMar>
            <w:vAlign w:val="center"/>
          </w:tcPr>
          <w:p w14:paraId="02F87437">
            <w:pPr>
              <w:pStyle w:val="48"/>
              <w:spacing w:before="22"/>
              <w:ind w:left="112"/>
              <w:jc w:val="center"/>
              <w:rPr>
                <w:rFonts w:ascii="宋体" w:cs="宋体"/>
                <w:sz w:val="24"/>
              </w:rPr>
            </w:pPr>
            <w:r>
              <w:rPr>
                <w:rFonts w:hint="eastAsia" w:ascii="宋体" w:cs="宋体"/>
                <w:sz w:val="24"/>
              </w:rPr>
              <w:t>4</w:t>
            </w:r>
          </w:p>
        </w:tc>
        <w:tc>
          <w:tcPr>
            <w:tcW w:w="1180" w:type="dxa"/>
            <w:tcMar>
              <w:top w:w="57" w:type="dxa"/>
              <w:left w:w="57" w:type="dxa"/>
              <w:bottom w:w="57" w:type="dxa"/>
              <w:right w:w="57" w:type="dxa"/>
            </w:tcMar>
            <w:vAlign w:val="center"/>
          </w:tcPr>
          <w:p w14:paraId="7E5D62B6">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cs="宋体"/>
                <w:sz w:val="24"/>
              </w:rPr>
              <w:t>法人授权委托书</w:t>
            </w:r>
          </w:p>
        </w:tc>
        <w:tc>
          <w:tcPr>
            <w:tcW w:w="6550" w:type="dxa"/>
            <w:tcMar>
              <w:top w:w="57" w:type="dxa"/>
              <w:left w:w="57" w:type="dxa"/>
              <w:bottom w:w="57" w:type="dxa"/>
              <w:right w:w="57" w:type="dxa"/>
            </w:tcMar>
            <w:vAlign w:val="center"/>
          </w:tcPr>
          <w:p w14:paraId="5A385C6B">
            <w:pPr>
              <w:pStyle w:val="48"/>
              <w:spacing w:before="5"/>
              <w:ind w:left="107"/>
              <w:rPr>
                <w:rFonts w:ascii="宋体" w:cs="宋体"/>
                <w:sz w:val="24"/>
              </w:rPr>
            </w:pPr>
            <w:r>
              <w:rPr>
                <w:rFonts w:hint="eastAsia" w:ascii="宋体" w:cs="宋体"/>
                <w:sz w:val="24"/>
              </w:rPr>
              <w:t>磋商响应文件内附由法定代表人及委托代理人签字（或盖章）并加盖公章的授权委托书。</w:t>
            </w:r>
          </w:p>
        </w:tc>
        <w:tc>
          <w:tcPr>
            <w:tcW w:w="1203" w:type="dxa"/>
            <w:tcMar>
              <w:top w:w="57" w:type="dxa"/>
              <w:left w:w="57" w:type="dxa"/>
              <w:bottom w:w="57" w:type="dxa"/>
              <w:right w:w="57" w:type="dxa"/>
            </w:tcMar>
            <w:vAlign w:val="center"/>
          </w:tcPr>
          <w:p w14:paraId="2F5EF5AB">
            <w:pPr>
              <w:pStyle w:val="48"/>
              <w:spacing w:before="22"/>
              <w:ind w:left="107"/>
              <w:rPr>
                <w:rFonts w:ascii="宋体" w:cs="宋体"/>
                <w:sz w:val="24"/>
              </w:rPr>
            </w:pPr>
          </w:p>
        </w:tc>
      </w:tr>
      <w:tr w14:paraId="2C14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618" w:type="dxa"/>
            <w:tcMar>
              <w:top w:w="57" w:type="dxa"/>
              <w:left w:w="57" w:type="dxa"/>
              <w:bottom w:w="57" w:type="dxa"/>
              <w:right w:w="57" w:type="dxa"/>
            </w:tcMar>
            <w:vAlign w:val="center"/>
          </w:tcPr>
          <w:p w14:paraId="6DC6397A">
            <w:pPr>
              <w:pStyle w:val="48"/>
              <w:spacing w:before="151"/>
              <w:ind w:left="112"/>
              <w:jc w:val="center"/>
              <w:rPr>
                <w:rFonts w:ascii="宋体" w:cs="宋体"/>
                <w:w w:val="99"/>
                <w:sz w:val="24"/>
                <w:highlight w:val="none"/>
              </w:rPr>
            </w:pPr>
            <w:r>
              <w:rPr>
                <w:rFonts w:hint="eastAsia" w:ascii="宋体" w:cs="宋体"/>
                <w:w w:val="99"/>
                <w:sz w:val="24"/>
                <w:highlight w:val="none"/>
              </w:rPr>
              <w:t>5</w:t>
            </w:r>
          </w:p>
        </w:tc>
        <w:tc>
          <w:tcPr>
            <w:tcW w:w="1180" w:type="dxa"/>
            <w:tcMar>
              <w:top w:w="57" w:type="dxa"/>
              <w:left w:w="57" w:type="dxa"/>
              <w:bottom w:w="57" w:type="dxa"/>
              <w:right w:w="57" w:type="dxa"/>
            </w:tcMar>
            <w:vAlign w:val="center"/>
          </w:tcPr>
          <w:p w14:paraId="5C916DCC">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highlight w:val="none"/>
              </w:rPr>
            </w:pPr>
          </w:p>
          <w:p w14:paraId="64A81741">
            <w:pPr>
              <w:pStyle w:val="48"/>
              <w:keepNext w:val="0"/>
              <w:keepLines w:val="0"/>
              <w:pageBreakBefore w:val="0"/>
              <w:widowControl w:val="0"/>
              <w:kinsoku/>
              <w:wordWrap/>
              <w:overflowPunct/>
              <w:topLinePunct w:val="0"/>
              <w:autoSpaceDE/>
              <w:autoSpaceDN/>
              <w:bidi w:val="0"/>
              <w:adjustRightInd/>
              <w:snapToGrid/>
              <w:ind w:left="0" w:right="0"/>
              <w:jc w:val="both"/>
              <w:textAlignment w:val="auto"/>
              <w:rPr>
                <w:rFonts w:ascii="宋体" w:cs="宋体"/>
                <w:sz w:val="24"/>
                <w:highlight w:val="none"/>
              </w:rPr>
            </w:pPr>
            <w:r>
              <w:rPr>
                <w:rFonts w:hint="eastAsia" w:ascii="宋体" w:cs="宋体"/>
                <w:sz w:val="24"/>
                <w:highlight w:val="none"/>
              </w:rPr>
              <w:t>信誉要求</w:t>
            </w:r>
          </w:p>
        </w:tc>
        <w:tc>
          <w:tcPr>
            <w:tcW w:w="6550" w:type="dxa"/>
            <w:tcMar>
              <w:top w:w="57" w:type="dxa"/>
              <w:left w:w="57" w:type="dxa"/>
              <w:bottom w:w="57" w:type="dxa"/>
              <w:right w:w="57" w:type="dxa"/>
            </w:tcMar>
            <w:vAlign w:val="center"/>
          </w:tcPr>
          <w:p w14:paraId="087F459C">
            <w:pPr>
              <w:rPr>
                <w:rFonts w:ascii="宋体" w:cs="宋体"/>
                <w:sz w:val="24"/>
                <w:highlight w:val="none"/>
              </w:rPr>
            </w:pPr>
            <w:r>
              <w:rPr>
                <w:rFonts w:hint="eastAsia" w:ascii="宋体" w:cs="宋体"/>
                <w:sz w:val="24"/>
                <w:highlight w:val="none"/>
              </w:rPr>
              <w:t>（1）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CC1C0CC">
            <w:pPr>
              <w:rPr>
                <w:rFonts w:ascii="宋体" w:cs="宋体"/>
                <w:sz w:val="24"/>
                <w:highlight w:val="none"/>
              </w:rPr>
            </w:pPr>
            <w:r>
              <w:rPr>
                <w:rFonts w:hint="eastAsia" w:ascii="宋体" w:cs="宋体"/>
                <w:sz w:val="24"/>
                <w:highlight w:val="none"/>
              </w:rPr>
              <w:t>（2）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61F15191">
            <w:pPr>
              <w:rPr>
                <w:rFonts w:ascii="宋体" w:cs="宋体"/>
                <w:sz w:val="24"/>
                <w:highlight w:val="none"/>
              </w:rPr>
            </w:pPr>
            <w:r>
              <w:rPr>
                <w:rFonts w:hint="eastAsia" w:ascii="宋体" w:cs="宋体"/>
                <w:sz w:val="24"/>
                <w:highlight w:val="none"/>
              </w:rPr>
              <w:t>（3）供应商需提供企业无行贿犯罪记录证明，供应商自行登录中国裁判文书网（http://wenshu.court.gov.cn./）查询官网截图</w:t>
            </w:r>
          </w:p>
          <w:p w14:paraId="7260B75D">
            <w:pPr>
              <w:pStyle w:val="27"/>
              <w:ind w:firstLine="0"/>
              <w:rPr>
                <w:rFonts w:ascii="宋体" w:eastAsia="宋体" w:cs="宋体"/>
                <w:highlight w:val="none"/>
              </w:rPr>
            </w:pPr>
            <w:r>
              <w:rPr>
                <w:rFonts w:hint="eastAsia" w:ascii="宋体" w:eastAsia="宋体" w:cs="宋体"/>
                <w:highlight w:val="none"/>
              </w:rPr>
              <w:t>（4）</w:t>
            </w:r>
            <w:r>
              <w:rPr>
                <w:rFonts w:hint="eastAsia" w:ascii="宋体" w:eastAsia="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14:paraId="44A329C4">
            <w:pPr>
              <w:pStyle w:val="18"/>
              <w:spacing w:line="240" w:lineRule="auto"/>
              <w:ind w:left="0" w:leftChars="0"/>
              <w:rPr>
                <w:rFonts w:ascii="宋体" w:cs="宋体"/>
                <w:sz w:val="24"/>
                <w:highlight w:val="none"/>
              </w:rPr>
            </w:pPr>
            <w:r>
              <w:rPr>
                <w:rFonts w:hint="eastAsia" w:ascii="宋体" w:cs="宋体"/>
                <w:b/>
                <w:bCs/>
                <w:sz w:val="24"/>
                <w:highlight w:val="none"/>
              </w:rPr>
              <w:t>第（1）、（4）项提供有法定代表人及被授权人签字并加盖供应商公章的承诺书。</w:t>
            </w:r>
          </w:p>
        </w:tc>
        <w:tc>
          <w:tcPr>
            <w:tcW w:w="1203" w:type="dxa"/>
            <w:tcMar>
              <w:top w:w="57" w:type="dxa"/>
              <w:left w:w="57" w:type="dxa"/>
              <w:bottom w:w="57" w:type="dxa"/>
              <w:right w:w="57" w:type="dxa"/>
            </w:tcMar>
            <w:vAlign w:val="center"/>
          </w:tcPr>
          <w:p w14:paraId="759940F0">
            <w:pPr>
              <w:pStyle w:val="48"/>
              <w:ind w:right="96"/>
              <w:rPr>
                <w:rFonts w:ascii="宋体" w:cs="宋体"/>
                <w:sz w:val="24"/>
                <w:highlight w:val="none"/>
              </w:rPr>
            </w:pPr>
          </w:p>
        </w:tc>
      </w:tr>
      <w:tr w14:paraId="55560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jc w:val="center"/>
        </w:trPr>
        <w:tc>
          <w:tcPr>
            <w:tcW w:w="618" w:type="dxa"/>
            <w:tcMar>
              <w:top w:w="57" w:type="dxa"/>
              <w:left w:w="57" w:type="dxa"/>
              <w:bottom w:w="57" w:type="dxa"/>
              <w:right w:w="57" w:type="dxa"/>
            </w:tcMar>
            <w:vAlign w:val="center"/>
          </w:tcPr>
          <w:p w14:paraId="4FC39D98">
            <w:pPr>
              <w:pStyle w:val="48"/>
              <w:ind w:left="112"/>
              <w:jc w:val="center"/>
              <w:rPr>
                <w:rFonts w:ascii="宋体" w:cs="宋体"/>
                <w:sz w:val="24"/>
                <w:highlight w:val="none"/>
              </w:rPr>
            </w:pPr>
            <w:r>
              <w:rPr>
                <w:rFonts w:hint="eastAsia" w:ascii="宋体" w:cs="宋体"/>
                <w:sz w:val="24"/>
                <w:highlight w:val="none"/>
              </w:rPr>
              <w:t>6</w:t>
            </w:r>
          </w:p>
        </w:tc>
        <w:tc>
          <w:tcPr>
            <w:tcW w:w="1180" w:type="dxa"/>
            <w:tcMar>
              <w:top w:w="57" w:type="dxa"/>
              <w:left w:w="57" w:type="dxa"/>
              <w:bottom w:w="57" w:type="dxa"/>
              <w:right w:w="57" w:type="dxa"/>
            </w:tcMar>
            <w:vAlign w:val="center"/>
          </w:tcPr>
          <w:p w14:paraId="7D8CA634">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其他要求</w:t>
            </w:r>
          </w:p>
        </w:tc>
        <w:tc>
          <w:tcPr>
            <w:tcW w:w="6550" w:type="dxa"/>
            <w:tcMar>
              <w:top w:w="57" w:type="dxa"/>
              <w:left w:w="57" w:type="dxa"/>
              <w:bottom w:w="57" w:type="dxa"/>
              <w:right w:w="57" w:type="dxa"/>
            </w:tcMar>
            <w:vAlign w:val="center"/>
          </w:tcPr>
          <w:p w14:paraId="4A3D0903">
            <w:pPr>
              <w:rPr>
                <w:rFonts w:ascii="宋体" w:cs="宋体"/>
                <w:sz w:val="24"/>
                <w:highlight w:val="none"/>
              </w:rPr>
            </w:pPr>
            <w:r>
              <w:rPr>
                <w:rFonts w:hint="eastAsia" w:ascii="宋体" w:cs="宋体"/>
                <w:sz w:val="24"/>
                <w:highlight w:val="none"/>
              </w:rPr>
              <w:t>供应商不得存在下列情形之一：</w:t>
            </w:r>
          </w:p>
          <w:p w14:paraId="6A9F335C">
            <w:pPr>
              <w:rPr>
                <w:rFonts w:ascii="宋体" w:cs="宋体"/>
                <w:sz w:val="24"/>
                <w:highlight w:val="none"/>
              </w:rPr>
            </w:pPr>
            <w:r>
              <w:rPr>
                <w:rFonts w:hint="eastAsia" w:ascii="宋体" w:cs="宋体"/>
                <w:sz w:val="24"/>
                <w:highlight w:val="none"/>
              </w:rPr>
              <w:t xml:space="preserve">（1）为采购人不具有独立法人资格的附属机构(单位)； </w:t>
            </w:r>
          </w:p>
          <w:p w14:paraId="27CE5EB1">
            <w:pPr>
              <w:rPr>
                <w:rFonts w:ascii="宋体" w:cs="宋体"/>
                <w:sz w:val="24"/>
                <w:highlight w:val="none"/>
              </w:rPr>
            </w:pPr>
            <w:r>
              <w:rPr>
                <w:rFonts w:hint="eastAsia" w:ascii="宋体" w:cs="宋体"/>
                <w:sz w:val="24"/>
                <w:highlight w:val="none"/>
              </w:rPr>
              <w:t>（2）为本项目提供采购代理服务的；</w:t>
            </w:r>
          </w:p>
          <w:p w14:paraId="19D4F38D">
            <w:pPr>
              <w:rPr>
                <w:rFonts w:ascii="宋体" w:cs="宋体"/>
                <w:sz w:val="24"/>
                <w:highlight w:val="none"/>
              </w:rPr>
            </w:pPr>
            <w:r>
              <w:rPr>
                <w:rFonts w:hint="eastAsia" w:ascii="宋体" w:cs="宋体"/>
                <w:sz w:val="24"/>
                <w:highlight w:val="none"/>
              </w:rPr>
              <w:t>（3）被责令停业的；</w:t>
            </w:r>
          </w:p>
          <w:p w14:paraId="35E03287">
            <w:pPr>
              <w:rPr>
                <w:rFonts w:ascii="宋体" w:cs="宋体"/>
                <w:sz w:val="24"/>
                <w:highlight w:val="none"/>
              </w:rPr>
            </w:pPr>
            <w:r>
              <w:rPr>
                <w:rFonts w:hint="eastAsia" w:ascii="宋体" w:cs="宋体"/>
                <w:sz w:val="24"/>
                <w:highlight w:val="none"/>
              </w:rPr>
              <w:t>（4）被暂停或取消投标资格的；</w:t>
            </w:r>
          </w:p>
          <w:p w14:paraId="01202B72">
            <w:pPr>
              <w:rPr>
                <w:rFonts w:ascii="宋体" w:cs="宋体"/>
                <w:sz w:val="24"/>
                <w:highlight w:val="none"/>
              </w:rPr>
            </w:pPr>
            <w:r>
              <w:rPr>
                <w:rFonts w:hint="eastAsia" w:ascii="宋体" w:cs="宋体"/>
                <w:sz w:val="24"/>
                <w:highlight w:val="none"/>
              </w:rPr>
              <w:t>（5）财产被接管或冻结的；</w:t>
            </w:r>
          </w:p>
          <w:p w14:paraId="3192D934">
            <w:pPr>
              <w:rPr>
                <w:rFonts w:ascii="宋体" w:cs="宋体"/>
                <w:sz w:val="24"/>
                <w:highlight w:val="none"/>
              </w:rPr>
            </w:pPr>
            <w:r>
              <w:rPr>
                <w:rFonts w:hint="eastAsia" w:ascii="宋体" w:cs="宋体"/>
                <w:sz w:val="24"/>
                <w:highlight w:val="none"/>
              </w:rPr>
              <w:t>（6）在最近三年内有骗取中标或严重违约或重大项目质量问题的。</w:t>
            </w:r>
          </w:p>
          <w:p w14:paraId="63A73918">
            <w:pPr>
              <w:pStyle w:val="48"/>
              <w:rPr>
                <w:rFonts w:ascii="宋体" w:cs="宋体"/>
                <w:highlight w:val="none"/>
              </w:rPr>
            </w:pPr>
            <w:r>
              <w:rPr>
                <w:rFonts w:hint="eastAsia" w:ascii="宋体" w:cs="宋体"/>
                <w:b/>
                <w:sz w:val="24"/>
                <w:highlight w:val="none"/>
              </w:rPr>
              <w:t>磋商响应文件内附</w:t>
            </w:r>
            <w:r>
              <w:rPr>
                <w:rFonts w:hint="eastAsia" w:ascii="宋体" w:cs="宋体"/>
                <w:b/>
                <w:bCs/>
                <w:sz w:val="24"/>
                <w:highlight w:val="none"/>
              </w:rPr>
              <w:t>法定代表人及被授权人签字</w:t>
            </w:r>
            <w:r>
              <w:rPr>
                <w:rFonts w:hint="eastAsia" w:ascii="宋体" w:cs="宋体"/>
                <w:b/>
                <w:sz w:val="24"/>
                <w:highlight w:val="none"/>
              </w:rPr>
              <w:t>并加盖公章的承诺书。</w:t>
            </w:r>
          </w:p>
        </w:tc>
        <w:tc>
          <w:tcPr>
            <w:tcW w:w="1203" w:type="dxa"/>
            <w:tcMar>
              <w:top w:w="57" w:type="dxa"/>
              <w:left w:w="57" w:type="dxa"/>
              <w:bottom w:w="57" w:type="dxa"/>
              <w:right w:w="57" w:type="dxa"/>
            </w:tcMar>
            <w:vAlign w:val="center"/>
          </w:tcPr>
          <w:p w14:paraId="67F80CA0">
            <w:pPr>
              <w:pStyle w:val="48"/>
              <w:spacing w:before="5"/>
              <w:ind w:left="107"/>
              <w:rPr>
                <w:rFonts w:ascii="宋体" w:cs="宋体"/>
                <w:sz w:val="24"/>
                <w:highlight w:val="none"/>
              </w:rPr>
            </w:pPr>
          </w:p>
        </w:tc>
      </w:tr>
      <w:tr w14:paraId="2107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798" w:type="dxa"/>
            <w:gridSpan w:val="2"/>
            <w:tcMar>
              <w:top w:w="57" w:type="dxa"/>
              <w:left w:w="57" w:type="dxa"/>
              <w:bottom w:w="57" w:type="dxa"/>
              <w:right w:w="57" w:type="dxa"/>
            </w:tcMar>
            <w:vAlign w:val="center"/>
          </w:tcPr>
          <w:p w14:paraId="6BFBD0FB">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评审结论（合格/不合格）</w:t>
            </w:r>
          </w:p>
        </w:tc>
        <w:tc>
          <w:tcPr>
            <w:tcW w:w="7753" w:type="dxa"/>
            <w:gridSpan w:val="2"/>
            <w:tcMar>
              <w:top w:w="57" w:type="dxa"/>
              <w:left w:w="57" w:type="dxa"/>
              <w:bottom w:w="57" w:type="dxa"/>
              <w:right w:w="57" w:type="dxa"/>
            </w:tcMar>
            <w:vAlign w:val="center"/>
          </w:tcPr>
          <w:p w14:paraId="17260050">
            <w:pPr>
              <w:pStyle w:val="48"/>
              <w:ind w:left="107"/>
              <w:rPr>
                <w:rFonts w:ascii="宋体" w:cs="宋体"/>
                <w:b/>
                <w:sz w:val="24"/>
                <w:highlight w:val="none"/>
              </w:rPr>
            </w:pPr>
          </w:p>
        </w:tc>
      </w:tr>
    </w:tbl>
    <w:p w14:paraId="42D771C4">
      <w:pPr>
        <w:spacing w:line="360" w:lineRule="auto"/>
        <w:ind w:firstLine="480" w:firstLineChars="200"/>
        <w:rPr>
          <w:rFonts w:ascii="宋体" w:cs="宋体"/>
          <w:sz w:val="24"/>
          <w:highlight w:val="none"/>
        </w:rPr>
      </w:pPr>
      <w:r>
        <w:rPr>
          <w:rFonts w:hint="eastAsia" w:ascii="宋体" w:cs="宋体"/>
          <w:sz w:val="24"/>
          <w:highlight w:val="none"/>
        </w:rPr>
        <w:t>注：本表中符合评审内容要求的写“√”，不符合评审内容要求的写“×”。结论为“合格”或“不合格。结论不合格的不进入符合性审查阶段。</w:t>
      </w:r>
    </w:p>
    <w:p w14:paraId="317204C9">
      <w:pPr>
        <w:pStyle w:val="25"/>
        <w:spacing w:beforeAutospacing="0" w:afterAutospacing="0" w:line="360" w:lineRule="auto"/>
        <w:ind w:firstLine="480" w:firstLineChars="200"/>
        <w:jc w:val="both"/>
        <w:rPr>
          <w:kern w:val="2"/>
          <w:highlight w:val="none"/>
        </w:rPr>
      </w:pPr>
      <w:r>
        <w:rPr>
          <w:rFonts w:hint="eastAsia"/>
          <w:kern w:val="2"/>
          <w:highlight w:val="none"/>
        </w:rPr>
        <w:t>1.1.2 磋商小组将对符合资格的供应商的</w:t>
      </w:r>
      <w:r>
        <w:rPr>
          <w:rFonts w:hint="eastAsia"/>
          <w:highlight w:val="none"/>
        </w:rPr>
        <w:t>磋商响应文件</w:t>
      </w:r>
      <w:r>
        <w:rPr>
          <w:rFonts w:hint="eastAsia"/>
          <w:kern w:val="2"/>
          <w:highlight w:val="none"/>
        </w:rPr>
        <w:t>进行符合性审查，以确定其是否满足竞争性磋商文件的实质性要求。</w:t>
      </w:r>
    </w:p>
    <w:p w14:paraId="391528EC">
      <w:pPr>
        <w:pStyle w:val="25"/>
        <w:spacing w:beforeAutospacing="0" w:afterAutospacing="0" w:line="360" w:lineRule="auto"/>
        <w:jc w:val="center"/>
        <w:rPr>
          <w:b/>
          <w:bCs/>
          <w:highlight w:val="none"/>
        </w:rPr>
      </w:pPr>
      <w:r>
        <w:rPr>
          <w:rFonts w:hint="eastAsia"/>
          <w:b/>
          <w:bCs/>
          <w:kern w:val="2"/>
          <w:highlight w:val="none"/>
        </w:rPr>
        <w:t>符合性审查表</w:t>
      </w:r>
    </w:p>
    <w:tbl>
      <w:tblPr>
        <w:tblStyle w:val="28"/>
        <w:tblW w:w="92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407"/>
        <w:gridCol w:w="6040"/>
        <w:gridCol w:w="1123"/>
      </w:tblGrid>
      <w:tr w14:paraId="6514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26" w:type="dxa"/>
            <w:tcMar>
              <w:top w:w="57" w:type="dxa"/>
              <w:left w:w="57" w:type="dxa"/>
              <w:bottom w:w="57" w:type="dxa"/>
              <w:right w:w="57" w:type="dxa"/>
            </w:tcMar>
            <w:vAlign w:val="center"/>
          </w:tcPr>
          <w:p w14:paraId="70AAB2B6">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highlight w:val="none"/>
              </w:rPr>
            </w:pPr>
            <w:r>
              <w:rPr>
                <w:rFonts w:hint="eastAsia" w:ascii="宋体" w:cs="宋体"/>
                <w:b/>
                <w:sz w:val="24"/>
                <w:highlight w:val="none"/>
              </w:rPr>
              <w:t>序号</w:t>
            </w:r>
          </w:p>
        </w:tc>
        <w:tc>
          <w:tcPr>
            <w:tcW w:w="1407" w:type="dxa"/>
            <w:tcMar>
              <w:top w:w="57" w:type="dxa"/>
              <w:left w:w="57" w:type="dxa"/>
              <w:bottom w:w="57" w:type="dxa"/>
              <w:right w:w="57" w:type="dxa"/>
            </w:tcMar>
            <w:vAlign w:val="center"/>
          </w:tcPr>
          <w:p w14:paraId="1CA57B82">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highlight w:val="none"/>
              </w:rPr>
            </w:pPr>
            <w:r>
              <w:rPr>
                <w:rFonts w:hint="eastAsia" w:ascii="宋体" w:cs="宋体"/>
                <w:b/>
                <w:sz w:val="24"/>
                <w:highlight w:val="none"/>
              </w:rPr>
              <w:t>评审项目</w:t>
            </w:r>
          </w:p>
        </w:tc>
        <w:tc>
          <w:tcPr>
            <w:tcW w:w="6040" w:type="dxa"/>
            <w:tcMar>
              <w:top w:w="57" w:type="dxa"/>
              <w:left w:w="57" w:type="dxa"/>
              <w:bottom w:w="57" w:type="dxa"/>
              <w:right w:w="57" w:type="dxa"/>
            </w:tcMar>
            <w:vAlign w:val="center"/>
          </w:tcPr>
          <w:p w14:paraId="2339FAF3">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highlight w:val="none"/>
              </w:rPr>
            </w:pPr>
            <w:r>
              <w:rPr>
                <w:rFonts w:hint="eastAsia" w:ascii="宋体" w:cs="宋体"/>
                <w:b/>
                <w:sz w:val="24"/>
                <w:highlight w:val="none"/>
              </w:rPr>
              <w:t xml:space="preserve">                评审标准</w:t>
            </w:r>
          </w:p>
        </w:tc>
        <w:tc>
          <w:tcPr>
            <w:tcW w:w="1123" w:type="dxa"/>
            <w:tcMar>
              <w:top w:w="57" w:type="dxa"/>
              <w:left w:w="57" w:type="dxa"/>
              <w:bottom w:w="57" w:type="dxa"/>
              <w:right w:w="57" w:type="dxa"/>
            </w:tcMar>
            <w:vAlign w:val="center"/>
          </w:tcPr>
          <w:p w14:paraId="6A425978">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b/>
                <w:sz w:val="24"/>
                <w:highlight w:val="none"/>
              </w:rPr>
            </w:pPr>
            <w:r>
              <w:rPr>
                <w:rFonts w:hint="eastAsia" w:ascii="宋体" w:cs="宋体"/>
                <w:b/>
                <w:sz w:val="24"/>
                <w:highlight w:val="none"/>
              </w:rPr>
              <w:t>评审结论（√/×）</w:t>
            </w:r>
          </w:p>
        </w:tc>
      </w:tr>
      <w:tr w14:paraId="1BCFD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6" w:type="dxa"/>
            <w:tcMar>
              <w:top w:w="57" w:type="dxa"/>
              <w:left w:w="57" w:type="dxa"/>
              <w:bottom w:w="57" w:type="dxa"/>
              <w:right w:w="57" w:type="dxa"/>
            </w:tcMar>
            <w:vAlign w:val="center"/>
          </w:tcPr>
          <w:p w14:paraId="73BEBF98">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1</w:t>
            </w:r>
          </w:p>
        </w:tc>
        <w:tc>
          <w:tcPr>
            <w:tcW w:w="1407" w:type="dxa"/>
            <w:tcMar>
              <w:top w:w="57" w:type="dxa"/>
              <w:left w:w="57" w:type="dxa"/>
              <w:bottom w:w="57" w:type="dxa"/>
              <w:right w:w="57" w:type="dxa"/>
            </w:tcMar>
            <w:vAlign w:val="center"/>
          </w:tcPr>
          <w:p w14:paraId="7636CE7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磋商响应文件签署盖章</w:t>
            </w:r>
          </w:p>
        </w:tc>
        <w:tc>
          <w:tcPr>
            <w:tcW w:w="6040" w:type="dxa"/>
            <w:tcMar>
              <w:top w:w="57" w:type="dxa"/>
              <w:left w:w="57" w:type="dxa"/>
              <w:bottom w:w="57" w:type="dxa"/>
              <w:right w:w="57" w:type="dxa"/>
            </w:tcMar>
            <w:vAlign w:val="center"/>
          </w:tcPr>
          <w:p w14:paraId="2070779D">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按竞争性磋商文件要求在规定位置加盖供应商公章和（或）有法定代表人或其授权代表签字加盖人名章的；</w:t>
            </w:r>
          </w:p>
        </w:tc>
        <w:tc>
          <w:tcPr>
            <w:tcW w:w="1123" w:type="dxa"/>
            <w:tcMar>
              <w:top w:w="57" w:type="dxa"/>
              <w:left w:w="57" w:type="dxa"/>
              <w:bottom w:w="57" w:type="dxa"/>
              <w:right w:w="57" w:type="dxa"/>
            </w:tcMar>
            <w:vAlign w:val="center"/>
          </w:tcPr>
          <w:p w14:paraId="0B980E0B">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453DD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726" w:type="dxa"/>
            <w:tcMar>
              <w:top w:w="57" w:type="dxa"/>
              <w:left w:w="57" w:type="dxa"/>
              <w:bottom w:w="57" w:type="dxa"/>
              <w:right w:w="57" w:type="dxa"/>
            </w:tcMar>
            <w:vAlign w:val="center"/>
          </w:tcPr>
          <w:p w14:paraId="165CB89C">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2</w:t>
            </w:r>
          </w:p>
        </w:tc>
        <w:tc>
          <w:tcPr>
            <w:tcW w:w="1407" w:type="dxa"/>
            <w:tcMar>
              <w:top w:w="57" w:type="dxa"/>
              <w:left w:w="57" w:type="dxa"/>
              <w:bottom w:w="57" w:type="dxa"/>
              <w:right w:w="57" w:type="dxa"/>
            </w:tcMar>
            <w:vAlign w:val="center"/>
          </w:tcPr>
          <w:p w14:paraId="55A91ED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报价</w:t>
            </w:r>
          </w:p>
        </w:tc>
        <w:tc>
          <w:tcPr>
            <w:tcW w:w="6040" w:type="dxa"/>
            <w:tcMar>
              <w:top w:w="57" w:type="dxa"/>
              <w:left w:w="57" w:type="dxa"/>
              <w:bottom w:w="57" w:type="dxa"/>
              <w:right w:w="57" w:type="dxa"/>
            </w:tcMar>
            <w:vAlign w:val="center"/>
          </w:tcPr>
          <w:p w14:paraId="21881733">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报价是固定价且未超过预算金额（竞争性磋商文件有最高限价的，报价未超过最高限价）</w:t>
            </w:r>
          </w:p>
        </w:tc>
        <w:tc>
          <w:tcPr>
            <w:tcW w:w="1123" w:type="dxa"/>
            <w:tcMar>
              <w:top w:w="57" w:type="dxa"/>
              <w:left w:w="57" w:type="dxa"/>
              <w:bottom w:w="57" w:type="dxa"/>
              <w:right w:w="57" w:type="dxa"/>
            </w:tcMar>
            <w:vAlign w:val="center"/>
          </w:tcPr>
          <w:p w14:paraId="586B6AFE">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3176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tcMar>
              <w:top w:w="57" w:type="dxa"/>
              <w:left w:w="57" w:type="dxa"/>
              <w:bottom w:w="57" w:type="dxa"/>
              <w:right w:w="57" w:type="dxa"/>
            </w:tcMar>
            <w:vAlign w:val="center"/>
          </w:tcPr>
          <w:p w14:paraId="3CA9B8F9">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highlight w:val="none"/>
                <w:lang w:eastAsia="zh-CN"/>
              </w:rPr>
            </w:pPr>
            <w:r>
              <w:rPr>
                <w:rFonts w:hint="eastAsia" w:ascii="宋体" w:cs="宋体"/>
                <w:sz w:val="24"/>
                <w:highlight w:val="none"/>
                <w:lang w:val="en-US" w:eastAsia="zh-CN"/>
              </w:rPr>
              <w:t>3</w:t>
            </w:r>
          </w:p>
        </w:tc>
        <w:tc>
          <w:tcPr>
            <w:tcW w:w="1407" w:type="dxa"/>
            <w:tcMar>
              <w:top w:w="57" w:type="dxa"/>
              <w:left w:w="57" w:type="dxa"/>
              <w:bottom w:w="57" w:type="dxa"/>
              <w:right w:w="57" w:type="dxa"/>
            </w:tcMar>
            <w:vAlign w:val="center"/>
          </w:tcPr>
          <w:p w14:paraId="6C0524F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磋商有效期</w:t>
            </w:r>
          </w:p>
        </w:tc>
        <w:tc>
          <w:tcPr>
            <w:tcW w:w="6040" w:type="dxa"/>
            <w:tcMar>
              <w:top w:w="57" w:type="dxa"/>
              <w:left w:w="57" w:type="dxa"/>
              <w:bottom w:w="57" w:type="dxa"/>
              <w:right w:w="57" w:type="dxa"/>
            </w:tcMar>
            <w:vAlign w:val="center"/>
          </w:tcPr>
          <w:p w14:paraId="756A3152">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磋商有效期满足竞争性磋商文件要求</w:t>
            </w:r>
          </w:p>
        </w:tc>
        <w:tc>
          <w:tcPr>
            <w:tcW w:w="1123" w:type="dxa"/>
            <w:tcMar>
              <w:top w:w="57" w:type="dxa"/>
              <w:left w:w="57" w:type="dxa"/>
              <w:bottom w:w="57" w:type="dxa"/>
              <w:right w:w="57" w:type="dxa"/>
            </w:tcMar>
            <w:vAlign w:val="center"/>
          </w:tcPr>
          <w:p w14:paraId="679C7704">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0F07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tcMar>
              <w:top w:w="57" w:type="dxa"/>
              <w:left w:w="57" w:type="dxa"/>
              <w:bottom w:w="57" w:type="dxa"/>
              <w:right w:w="57" w:type="dxa"/>
            </w:tcMar>
            <w:vAlign w:val="center"/>
          </w:tcPr>
          <w:p w14:paraId="6E97D0C0">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highlight w:val="none"/>
                <w:lang w:eastAsia="zh-CN"/>
              </w:rPr>
            </w:pPr>
            <w:r>
              <w:rPr>
                <w:rFonts w:hint="eastAsia" w:ascii="宋体" w:cs="宋体"/>
                <w:sz w:val="24"/>
                <w:highlight w:val="none"/>
                <w:lang w:val="en-US" w:eastAsia="zh-CN"/>
              </w:rPr>
              <w:t>4</w:t>
            </w:r>
          </w:p>
        </w:tc>
        <w:tc>
          <w:tcPr>
            <w:tcW w:w="1407" w:type="dxa"/>
            <w:tcMar>
              <w:top w:w="57" w:type="dxa"/>
              <w:left w:w="57" w:type="dxa"/>
              <w:bottom w:w="57" w:type="dxa"/>
              <w:right w:w="57" w:type="dxa"/>
            </w:tcMar>
            <w:vAlign w:val="center"/>
          </w:tcPr>
          <w:p w14:paraId="17FF1D9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hAnsi="宋体" w:cs="宋体"/>
                <w:sz w:val="24"/>
                <w:highlight w:val="none"/>
              </w:rPr>
              <w:t>磋商响应文件格式</w:t>
            </w:r>
          </w:p>
        </w:tc>
        <w:tc>
          <w:tcPr>
            <w:tcW w:w="6040" w:type="dxa"/>
            <w:tcMar>
              <w:top w:w="57" w:type="dxa"/>
              <w:left w:w="57" w:type="dxa"/>
              <w:bottom w:w="57" w:type="dxa"/>
              <w:right w:w="57" w:type="dxa"/>
            </w:tcMar>
            <w:vAlign w:val="center"/>
          </w:tcPr>
          <w:p w14:paraId="45376639">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hAnsi="宋体" w:cs="宋体"/>
                <w:sz w:val="24"/>
                <w:highlight w:val="none"/>
              </w:rPr>
              <w:t>磋商响应文件按规定的格式填写，内容完整且关键字迹清晰；</w:t>
            </w:r>
          </w:p>
        </w:tc>
        <w:tc>
          <w:tcPr>
            <w:tcW w:w="1123" w:type="dxa"/>
            <w:tcMar>
              <w:top w:w="57" w:type="dxa"/>
              <w:left w:w="57" w:type="dxa"/>
              <w:bottom w:w="57" w:type="dxa"/>
              <w:right w:w="57" w:type="dxa"/>
            </w:tcMar>
            <w:vAlign w:val="center"/>
          </w:tcPr>
          <w:p w14:paraId="3ECE6DDC">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3EF2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26" w:type="dxa"/>
            <w:tcMar>
              <w:top w:w="57" w:type="dxa"/>
              <w:left w:w="57" w:type="dxa"/>
              <w:bottom w:w="57" w:type="dxa"/>
              <w:right w:w="57" w:type="dxa"/>
            </w:tcMar>
            <w:vAlign w:val="center"/>
          </w:tcPr>
          <w:p w14:paraId="5C756085">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highlight w:val="none"/>
                <w:lang w:eastAsia="zh-CN"/>
              </w:rPr>
            </w:pPr>
            <w:r>
              <w:rPr>
                <w:rFonts w:hint="eastAsia" w:ascii="宋体" w:cs="宋体"/>
                <w:sz w:val="24"/>
                <w:highlight w:val="none"/>
                <w:lang w:val="en-US" w:eastAsia="zh-CN"/>
              </w:rPr>
              <w:t>5</w:t>
            </w:r>
          </w:p>
        </w:tc>
        <w:tc>
          <w:tcPr>
            <w:tcW w:w="1407" w:type="dxa"/>
            <w:tcMar>
              <w:top w:w="57" w:type="dxa"/>
              <w:left w:w="57" w:type="dxa"/>
              <w:bottom w:w="57" w:type="dxa"/>
              <w:right w:w="57" w:type="dxa"/>
            </w:tcMar>
            <w:vAlign w:val="center"/>
          </w:tcPr>
          <w:p w14:paraId="53D5226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highlight w:val="none"/>
              </w:rPr>
            </w:pPr>
            <w:r>
              <w:rPr>
                <w:rFonts w:hint="eastAsia" w:ascii="宋体" w:cs="宋体"/>
                <w:sz w:val="24"/>
                <w:highlight w:val="none"/>
              </w:rPr>
              <w:t>磋商内容</w:t>
            </w:r>
          </w:p>
        </w:tc>
        <w:tc>
          <w:tcPr>
            <w:tcW w:w="6040" w:type="dxa"/>
            <w:tcMar>
              <w:top w:w="57" w:type="dxa"/>
              <w:left w:w="57" w:type="dxa"/>
              <w:bottom w:w="57" w:type="dxa"/>
              <w:right w:w="57" w:type="dxa"/>
            </w:tcMar>
            <w:vAlign w:val="center"/>
          </w:tcPr>
          <w:p w14:paraId="479CB112">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满足竞争性磋商文件要求；</w:t>
            </w:r>
          </w:p>
        </w:tc>
        <w:tc>
          <w:tcPr>
            <w:tcW w:w="1123" w:type="dxa"/>
            <w:tcMar>
              <w:top w:w="57" w:type="dxa"/>
              <w:left w:w="57" w:type="dxa"/>
              <w:bottom w:w="57" w:type="dxa"/>
              <w:right w:w="57" w:type="dxa"/>
            </w:tcMar>
            <w:vAlign w:val="center"/>
          </w:tcPr>
          <w:p w14:paraId="19BC2C52">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03D04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6" w:type="dxa"/>
            <w:tcMar>
              <w:top w:w="57" w:type="dxa"/>
              <w:left w:w="57" w:type="dxa"/>
              <w:bottom w:w="57" w:type="dxa"/>
              <w:right w:w="57" w:type="dxa"/>
            </w:tcMar>
            <w:vAlign w:val="center"/>
          </w:tcPr>
          <w:p w14:paraId="62814FB3">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highlight w:val="none"/>
                <w:lang w:eastAsia="zh-CN"/>
              </w:rPr>
            </w:pPr>
            <w:r>
              <w:rPr>
                <w:rFonts w:hint="eastAsia" w:ascii="宋体" w:cs="宋体"/>
                <w:sz w:val="24"/>
                <w:highlight w:val="none"/>
                <w:lang w:val="en-US" w:eastAsia="zh-CN"/>
              </w:rPr>
              <w:t>6</w:t>
            </w:r>
          </w:p>
        </w:tc>
        <w:tc>
          <w:tcPr>
            <w:tcW w:w="1407" w:type="dxa"/>
            <w:tcMar>
              <w:top w:w="57" w:type="dxa"/>
              <w:left w:w="57" w:type="dxa"/>
              <w:bottom w:w="57" w:type="dxa"/>
              <w:right w:w="57" w:type="dxa"/>
            </w:tcMar>
            <w:vAlign w:val="center"/>
          </w:tcPr>
          <w:p w14:paraId="1C5F1D30">
            <w:pPr>
              <w:keepNext w:val="0"/>
              <w:keepLines w:val="0"/>
              <w:pageBreakBefore w:val="0"/>
              <w:widowControl w:val="0"/>
              <w:kinsoku/>
              <w:wordWrap/>
              <w:overflowPunct/>
              <w:topLinePunct w:val="0"/>
              <w:autoSpaceDE/>
              <w:autoSpaceDN/>
              <w:bidi w:val="0"/>
              <w:adjustRightInd/>
              <w:snapToGrid/>
              <w:ind w:left="0" w:right="0"/>
              <w:jc w:val="both"/>
              <w:textAlignment w:val="auto"/>
              <w:rPr>
                <w:rFonts w:ascii="宋体" w:cs="宋体"/>
                <w:sz w:val="24"/>
                <w:highlight w:val="none"/>
              </w:rPr>
            </w:pPr>
            <w:r>
              <w:rPr>
                <w:rFonts w:hint="eastAsia" w:ascii="宋体" w:cs="宋体"/>
                <w:sz w:val="24"/>
                <w:highlight w:val="none"/>
              </w:rPr>
              <w:t>技术磋商（质量标准）</w:t>
            </w:r>
          </w:p>
        </w:tc>
        <w:tc>
          <w:tcPr>
            <w:tcW w:w="6040" w:type="dxa"/>
            <w:tcMar>
              <w:top w:w="57" w:type="dxa"/>
              <w:left w:w="57" w:type="dxa"/>
              <w:bottom w:w="57" w:type="dxa"/>
              <w:right w:w="57" w:type="dxa"/>
            </w:tcMar>
            <w:vAlign w:val="center"/>
          </w:tcPr>
          <w:p w14:paraId="61375994">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r>
              <w:rPr>
                <w:rFonts w:hint="eastAsia" w:ascii="宋体" w:cs="宋体"/>
                <w:sz w:val="24"/>
                <w:highlight w:val="none"/>
              </w:rPr>
              <w:t>符合“采购需求”要求，无</w:t>
            </w:r>
            <w:r>
              <w:rPr>
                <w:rFonts w:hint="eastAsia" w:ascii="宋体" w:cs="宋体"/>
                <w:sz w:val="24"/>
                <w:highlight w:val="none"/>
                <w:lang w:val="en-US" w:eastAsia="zh-CN"/>
              </w:rPr>
              <w:t>实质性偏离</w:t>
            </w:r>
            <w:r>
              <w:rPr>
                <w:rFonts w:hint="eastAsia" w:ascii="宋体" w:cs="宋体"/>
                <w:sz w:val="24"/>
                <w:highlight w:val="none"/>
              </w:rPr>
              <w:t>；</w:t>
            </w:r>
          </w:p>
        </w:tc>
        <w:tc>
          <w:tcPr>
            <w:tcW w:w="1123" w:type="dxa"/>
            <w:tcMar>
              <w:top w:w="57" w:type="dxa"/>
              <w:left w:w="57" w:type="dxa"/>
              <w:bottom w:w="57" w:type="dxa"/>
              <w:right w:w="57" w:type="dxa"/>
            </w:tcMar>
            <w:vAlign w:val="center"/>
          </w:tcPr>
          <w:p w14:paraId="7FFBE4DA">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highlight w:val="none"/>
              </w:rPr>
            </w:pPr>
          </w:p>
        </w:tc>
      </w:tr>
      <w:tr w14:paraId="3038E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726" w:type="dxa"/>
            <w:tcMar>
              <w:top w:w="57" w:type="dxa"/>
              <w:left w:w="57" w:type="dxa"/>
              <w:bottom w:w="57" w:type="dxa"/>
              <w:right w:w="57" w:type="dxa"/>
            </w:tcMar>
            <w:vAlign w:val="center"/>
          </w:tcPr>
          <w:p w14:paraId="630BB9F2">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lang w:eastAsia="zh-CN"/>
              </w:rPr>
            </w:pPr>
            <w:r>
              <w:rPr>
                <w:rFonts w:hint="eastAsia" w:ascii="宋体" w:cs="宋体"/>
                <w:sz w:val="24"/>
                <w:lang w:val="en-US" w:eastAsia="zh-CN"/>
              </w:rPr>
              <w:t>7</w:t>
            </w:r>
          </w:p>
        </w:tc>
        <w:tc>
          <w:tcPr>
            <w:tcW w:w="1407" w:type="dxa"/>
            <w:tcMar>
              <w:top w:w="57" w:type="dxa"/>
              <w:left w:w="57" w:type="dxa"/>
              <w:bottom w:w="57" w:type="dxa"/>
              <w:right w:w="57" w:type="dxa"/>
            </w:tcMar>
            <w:vAlign w:val="center"/>
          </w:tcPr>
          <w:p w14:paraId="5BACBFB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cs="宋体"/>
                <w:sz w:val="24"/>
              </w:rPr>
              <w:t>质量标准</w:t>
            </w:r>
          </w:p>
        </w:tc>
        <w:tc>
          <w:tcPr>
            <w:tcW w:w="6040" w:type="dxa"/>
            <w:tcMar>
              <w:top w:w="57" w:type="dxa"/>
              <w:left w:w="57" w:type="dxa"/>
              <w:bottom w:w="57" w:type="dxa"/>
              <w:right w:w="57" w:type="dxa"/>
            </w:tcMar>
            <w:vAlign w:val="center"/>
          </w:tcPr>
          <w:p w14:paraId="3785FF64">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r>
              <w:rPr>
                <w:rFonts w:hint="eastAsia" w:ascii="宋体" w:cs="宋体"/>
                <w:sz w:val="24"/>
              </w:rPr>
              <w:t>满足竞争性磋商文件要求；</w:t>
            </w:r>
          </w:p>
        </w:tc>
        <w:tc>
          <w:tcPr>
            <w:tcW w:w="1123" w:type="dxa"/>
            <w:tcMar>
              <w:top w:w="57" w:type="dxa"/>
              <w:left w:w="57" w:type="dxa"/>
              <w:bottom w:w="57" w:type="dxa"/>
              <w:right w:w="57" w:type="dxa"/>
            </w:tcMar>
            <w:vAlign w:val="center"/>
          </w:tcPr>
          <w:p w14:paraId="0258E6DF">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p>
        </w:tc>
      </w:tr>
      <w:tr w14:paraId="04F3D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26" w:type="dxa"/>
            <w:tcMar>
              <w:top w:w="57" w:type="dxa"/>
              <w:left w:w="57" w:type="dxa"/>
              <w:bottom w:w="57" w:type="dxa"/>
              <w:right w:w="57" w:type="dxa"/>
            </w:tcMar>
            <w:vAlign w:val="center"/>
          </w:tcPr>
          <w:p w14:paraId="44222591">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lang w:eastAsia="zh-CN"/>
              </w:rPr>
            </w:pPr>
            <w:r>
              <w:rPr>
                <w:rFonts w:hint="eastAsia" w:ascii="宋体" w:cs="宋体"/>
                <w:sz w:val="24"/>
                <w:lang w:val="en-US" w:eastAsia="zh-CN"/>
              </w:rPr>
              <w:t>8</w:t>
            </w:r>
          </w:p>
        </w:tc>
        <w:tc>
          <w:tcPr>
            <w:tcW w:w="1407" w:type="dxa"/>
            <w:tcMar>
              <w:top w:w="57" w:type="dxa"/>
              <w:left w:w="57" w:type="dxa"/>
              <w:bottom w:w="57" w:type="dxa"/>
              <w:right w:w="57" w:type="dxa"/>
            </w:tcMar>
            <w:vAlign w:val="center"/>
          </w:tcPr>
          <w:p w14:paraId="3AB56AE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cs="宋体"/>
                <w:sz w:val="24"/>
              </w:rPr>
              <w:t>质量保修范围和保修期</w:t>
            </w:r>
          </w:p>
        </w:tc>
        <w:tc>
          <w:tcPr>
            <w:tcW w:w="6040" w:type="dxa"/>
            <w:tcMar>
              <w:top w:w="57" w:type="dxa"/>
              <w:left w:w="57" w:type="dxa"/>
              <w:bottom w:w="57" w:type="dxa"/>
              <w:right w:w="57" w:type="dxa"/>
            </w:tcMar>
            <w:vAlign w:val="center"/>
          </w:tcPr>
          <w:p w14:paraId="615F2CCE">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r>
              <w:rPr>
                <w:rFonts w:hint="eastAsia" w:ascii="宋体" w:hAnsi="宋体" w:cs="宋体"/>
                <w:bCs/>
                <w:color w:val="000000"/>
                <w:sz w:val="24"/>
              </w:rPr>
              <w:t>符合竞争性磋商文件要求；</w:t>
            </w:r>
          </w:p>
        </w:tc>
        <w:tc>
          <w:tcPr>
            <w:tcW w:w="1123" w:type="dxa"/>
            <w:tcMar>
              <w:top w:w="57" w:type="dxa"/>
              <w:left w:w="57" w:type="dxa"/>
              <w:bottom w:w="57" w:type="dxa"/>
              <w:right w:w="57" w:type="dxa"/>
            </w:tcMar>
            <w:vAlign w:val="center"/>
          </w:tcPr>
          <w:p w14:paraId="482E7B31">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p>
        </w:tc>
      </w:tr>
      <w:tr w14:paraId="767C4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726" w:type="dxa"/>
            <w:tcMar>
              <w:top w:w="57" w:type="dxa"/>
              <w:left w:w="57" w:type="dxa"/>
              <w:bottom w:w="57" w:type="dxa"/>
              <w:right w:w="57" w:type="dxa"/>
            </w:tcMar>
            <w:vAlign w:val="center"/>
          </w:tcPr>
          <w:p w14:paraId="69AFDCB4">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eastAsia="宋体" w:cs="宋体"/>
                <w:sz w:val="24"/>
                <w:lang w:eastAsia="zh-CN"/>
              </w:rPr>
            </w:pPr>
            <w:r>
              <w:rPr>
                <w:rFonts w:hint="eastAsia" w:ascii="宋体" w:cs="宋体"/>
                <w:sz w:val="24"/>
                <w:lang w:val="en-US" w:eastAsia="zh-CN"/>
              </w:rPr>
              <w:t>9</w:t>
            </w:r>
          </w:p>
        </w:tc>
        <w:tc>
          <w:tcPr>
            <w:tcW w:w="1407" w:type="dxa"/>
            <w:tcMar>
              <w:top w:w="57" w:type="dxa"/>
              <w:left w:w="57" w:type="dxa"/>
              <w:bottom w:w="57" w:type="dxa"/>
              <w:right w:w="57" w:type="dxa"/>
            </w:tcMar>
            <w:vAlign w:val="center"/>
          </w:tcPr>
          <w:p w14:paraId="0FF2B1C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sz w:val="24"/>
              </w:rPr>
            </w:pPr>
            <w:r>
              <w:rPr>
                <w:rFonts w:hint="eastAsia" w:ascii="宋体" w:hAnsi="宋体" w:cs="宋体"/>
                <w:sz w:val="24"/>
              </w:rPr>
              <w:t>其他无效情形</w:t>
            </w:r>
          </w:p>
        </w:tc>
        <w:tc>
          <w:tcPr>
            <w:tcW w:w="6040" w:type="dxa"/>
            <w:tcMar>
              <w:top w:w="57" w:type="dxa"/>
              <w:left w:w="57" w:type="dxa"/>
              <w:bottom w:w="57" w:type="dxa"/>
              <w:right w:w="57" w:type="dxa"/>
            </w:tcMar>
            <w:vAlign w:val="center"/>
          </w:tcPr>
          <w:p w14:paraId="66060189">
            <w:pPr>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r>
              <w:rPr>
                <w:rFonts w:hint="eastAsia" w:ascii="宋体" w:hAnsi="宋体" w:cs="宋体"/>
                <w:sz w:val="24"/>
              </w:rPr>
              <w:t>法律、法规和竞争性磋商文件规定的其他无效情形；</w:t>
            </w:r>
          </w:p>
        </w:tc>
        <w:tc>
          <w:tcPr>
            <w:tcW w:w="1123" w:type="dxa"/>
            <w:tcMar>
              <w:top w:w="57" w:type="dxa"/>
              <w:left w:w="57" w:type="dxa"/>
              <w:bottom w:w="57" w:type="dxa"/>
              <w:right w:w="57" w:type="dxa"/>
            </w:tcMar>
            <w:vAlign w:val="center"/>
          </w:tcPr>
          <w:p w14:paraId="5CA22FF0">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p>
        </w:tc>
      </w:tr>
      <w:tr w14:paraId="3A0BE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133" w:type="dxa"/>
            <w:gridSpan w:val="2"/>
            <w:tcMar>
              <w:top w:w="57" w:type="dxa"/>
              <w:left w:w="57" w:type="dxa"/>
              <w:bottom w:w="57" w:type="dxa"/>
              <w:right w:w="57" w:type="dxa"/>
            </w:tcMar>
            <w:vAlign w:val="center"/>
          </w:tcPr>
          <w:p w14:paraId="1950F6B4">
            <w:pPr>
              <w:pStyle w:val="48"/>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cs="宋体"/>
                <w:b/>
                <w:sz w:val="24"/>
              </w:rPr>
            </w:pPr>
            <w:r>
              <w:rPr>
                <w:rFonts w:hint="eastAsia" w:ascii="宋体" w:cs="宋体"/>
                <w:sz w:val="24"/>
              </w:rPr>
              <w:t>评审结论（合格/不合格）</w:t>
            </w:r>
          </w:p>
        </w:tc>
        <w:tc>
          <w:tcPr>
            <w:tcW w:w="7163" w:type="dxa"/>
            <w:gridSpan w:val="2"/>
            <w:tcMar>
              <w:top w:w="57" w:type="dxa"/>
              <w:left w:w="57" w:type="dxa"/>
              <w:bottom w:w="57" w:type="dxa"/>
              <w:right w:w="57" w:type="dxa"/>
            </w:tcMar>
            <w:vAlign w:val="center"/>
          </w:tcPr>
          <w:p w14:paraId="4BD5EFA9">
            <w:pPr>
              <w:pStyle w:val="48"/>
              <w:keepNext w:val="0"/>
              <w:keepLines w:val="0"/>
              <w:pageBreakBefore w:val="0"/>
              <w:widowControl w:val="0"/>
              <w:kinsoku/>
              <w:wordWrap/>
              <w:overflowPunct/>
              <w:topLinePunct w:val="0"/>
              <w:autoSpaceDE/>
              <w:autoSpaceDN/>
              <w:bidi w:val="0"/>
              <w:adjustRightInd/>
              <w:snapToGrid/>
              <w:ind w:left="0" w:right="0"/>
              <w:textAlignment w:val="auto"/>
              <w:rPr>
                <w:rFonts w:ascii="宋体" w:cs="宋体"/>
                <w:sz w:val="24"/>
              </w:rPr>
            </w:pPr>
          </w:p>
        </w:tc>
      </w:tr>
    </w:tbl>
    <w:p w14:paraId="6C346F61">
      <w:pPr>
        <w:spacing w:line="360" w:lineRule="auto"/>
        <w:ind w:firstLine="480" w:firstLineChars="200"/>
        <w:rPr>
          <w:rFonts w:ascii="宋体" w:cs="宋体"/>
          <w:sz w:val="24"/>
        </w:rPr>
      </w:pPr>
      <w:r>
        <w:rPr>
          <w:rFonts w:hint="eastAsia" w:ascii="宋体" w:cs="宋体"/>
          <w:sz w:val="24"/>
        </w:rPr>
        <w:t>注：本表中符合评审内容要求的写“√”，不符合评审内容要求的写“×”。结论为“合格”或“不合格。结论不合格的不进入综合评审阶段。</w:t>
      </w:r>
    </w:p>
    <w:p w14:paraId="5BF16874">
      <w:pPr>
        <w:spacing w:line="360" w:lineRule="auto"/>
        <w:ind w:firstLine="480" w:firstLineChars="200"/>
        <w:rPr>
          <w:rFonts w:ascii="宋体" w:cs="宋体"/>
          <w:sz w:val="24"/>
        </w:rPr>
      </w:pPr>
      <w:r>
        <w:rPr>
          <w:rFonts w:hint="eastAsia" w:ascii="宋体" w:cs="宋体"/>
          <w:sz w:val="24"/>
        </w:rPr>
        <w:t>磋商响应文件属下列情况之一的，应当在资格性、符合性检查时按照无效投标处理：</w:t>
      </w:r>
    </w:p>
    <w:p w14:paraId="5264BE3A">
      <w:pPr>
        <w:spacing w:line="360" w:lineRule="auto"/>
        <w:ind w:firstLine="480" w:firstLineChars="200"/>
        <w:rPr>
          <w:rFonts w:ascii="宋体" w:cs="宋体"/>
          <w:sz w:val="24"/>
        </w:rPr>
      </w:pPr>
      <w:r>
        <w:rPr>
          <w:rFonts w:hint="eastAsia" w:ascii="宋体" w:cs="宋体"/>
          <w:sz w:val="24"/>
        </w:rPr>
        <w:t>（一）未按照规定递交磋商保证金的；</w:t>
      </w:r>
    </w:p>
    <w:p w14:paraId="06E92676">
      <w:pPr>
        <w:spacing w:line="360" w:lineRule="auto"/>
        <w:ind w:firstLine="480" w:firstLineChars="200"/>
        <w:rPr>
          <w:rFonts w:ascii="宋体" w:cs="宋体"/>
          <w:sz w:val="24"/>
        </w:rPr>
      </w:pPr>
      <w:r>
        <w:rPr>
          <w:rFonts w:hint="eastAsia" w:ascii="宋体" w:cs="宋体"/>
          <w:sz w:val="24"/>
        </w:rPr>
        <w:t>（二）未按照竞争性磋商文件规定要求签署、盖章的；</w:t>
      </w:r>
    </w:p>
    <w:p w14:paraId="3721F928">
      <w:pPr>
        <w:spacing w:line="360" w:lineRule="auto"/>
        <w:ind w:firstLine="480" w:firstLineChars="200"/>
        <w:rPr>
          <w:rFonts w:ascii="宋体" w:cs="宋体"/>
          <w:sz w:val="24"/>
        </w:rPr>
      </w:pPr>
      <w:r>
        <w:rPr>
          <w:rFonts w:hint="eastAsia" w:ascii="宋体" w:cs="宋体"/>
          <w:sz w:val="24"/>
        </w:rPr>
        <w:t>（三）不具备竞争性磋商文件中规定资格要求的；</w:t>
      </w:r>
    </w:p>
    <w:p w14:paraId="629A0925">
      <w:pPr>
        <w:numPr>
          <w:ilvl w:val="0"/>
          <w:numId w:val="3"/>
        </w:numPr>
        <w:spacing w:line="360" w:lineRule="auto"/>
        <w:ind w:firstLine="480" w:firstLineChars="200"/>
        <w:rPr>
          <w:rFonts w:ascii="宋体" w:cs="宋体"/>
          <w:sz w:val="24"/>
        </w:rPr>
      </w:pPr>
      <w:r>
        <w:rPr>
          <w:rFonts w:hint="eastAsia" w:ascii="宋体" w:cs="宋体"/>
          <w:sz w:val="24"/>
        </w:rPr>
        <w:t>报价超过竞争性磋商文件中规定的预算金额或者最高限价的；</w:t>
      </w:r>
    </w:p>
    <w:p w14:paraId="72170E55">
      <w:pPr>
        <w:numPr>
          <w:ilvl w:val="0"/>
          <w:numId w:val="3"/>
        </w:numPr>
        <w:spacing w:line="360" w:lineRule="auto"/>
        <w:ind w:firstLine="480" w:firstLineChars="200"/>
        <w:rPr>
          <w:rFonts w:ascii="宋体" w:cs="宋体"/>
          <w:sz w:val="24"/>
        </w:rPr>
      </w:pPr>
      <w:r>
        <w:rPr>
          <w:rFonts w:hint="eastAsia" w:ascii="宋体" w:cs="宋体"/>
          <w:sz w:val="24"/>
        </w:rPr>
        <w:t>磋商响应文件含有采购人不能接受的附加条件的；</w:t>
      </w:r>
    </w:p>
    <w:p w14:paraId="33685A9D">
      <w:pPr>
        <w:numPr>
          <w:ilvl w:val="0"/>
          <w:numId w:val="3"/>
        </w:numPr>
        <w:spacing w:line="360" w:lineRule="auto"/>
        <w:ind w:firstLine="480" w:firstLineChars="200"/>
        <w:rPr>
          <w:rFonts w:ascii="宋体" w:cs="宋体"/>
          <w:sz w:val="24"/>
        </w:rPr>
      </w:pPr>
      <w:r>
        <w:rPr>
          <w:rFonts w:hint="eastAsia" w:ascii="宋体" w:cs="宋体"/>
          <w:sz w:val="24"/>
        </w:rPr>
        <w:t>不符合法律、法规和竞争性磋商文件中规定的其他实质性要求的。</w:t>
      </w:r>
    </w:p>
    <w:p w14:paraId="16E022E8">
      <w:pPr>
        <w:spacing w:line="360" w:lineRule="auto"/>
        <w:ind w:firstLine="480" w:firstLineChars="200"/>
        <w:rPr>
          <w:rFonts w:ascii="宋体" w:cs="宋体"/>
          <w:sz w:val="24"/>
        </w:rPr>
      </w:pPr>
      <w:r>
        <w:rPr>
          <w:rFonts w:hint="eastAsia" w:ascii="宋体" w:cs="宋体"/>
          <w:sz w:val="24"/>
        </w:rPr>
        <w:t>审查供应商是否存在串通投标行为：磋商小组发现有下列情形之一的，视为供应商串通投标，其投标无效：</w:t>
      </w:r>
    </w:p>
    <w:p w14:paraId="5C20F522">
      <w:pPr>
        <w:spacing w:line="360" w:lineRule="auto"/>
        <w:ind w:firstLine="480" w:firstLineChars="200"/>
        <w:rPr>
          <w:rFonts w:ascii="宋体" w:cs="宋体"/>
          <w:sz w:val="24"/>
        </w:rPr>
      </w:pPr>
      <w:r>
        <w:rPr>
          <w:rFonts w:hint="eastAsia" w:ascii="宋体" w:cs="宋体"/>
          <w:sz w:val="24"/>
        </w:rPr>
        <w:t>（一）不同供应商的磋商响应文件由同一单位或者个人编制；</w:t>
      </w:r>
    </w:p>
    <w:p w14:paraId="470BCD3A">
      <w:pPr>
        <w:spacing w:line="360" w:lineRule="auto"/>
        <w:ind w:firstLine="480" w:firstLineChars="200"/>
        <w:rPr>
          <w:rFonts w:ascii="宋体" w:cs="宋体"/>
          <w:sz w:val="24"/>
        </w:rPr>
      </w:pPr>
      <w:r>
        <w:rPr>
          <w:rFonts w:hint="eastAsia" w:ascii="宋体" w:cs="宋体"/>
          <w:sz w:val="24"/>
        </w:rPr>
        <w:t>（二）不同供应商委托同一单位或者个人办理磋商事宜；</w:t>
      </w:r>
    </w:p>
    <w:p w14:paraId="6E3AD98A">
      <w:pPr>
        <w:spacing w:line="360" w:lineRule="auto"/>
        <w:ind w:firstLine="480" w:firstLineChars="200"/>
        <w:rPr>
          <w:rFonts w:ascii="宋体" w:cs="宋体"/>
          <w:sz w:val="24"/>
        </w:rPr>
      </w:pPr>
      <w:r>
        <w:rPr>
          <w:rFonts w:hint="eastAsia" w:ascii="宋体" w:cs="宋体"/>
          <w:sz w:val="24"/>
        </w:rPr>
        <w:t>（三）不同供应商的磋商响应文件载明的项目管理成员或者联系人员为同一人；</w:t>
      </w:r>
    </w:p>
    <w:p w14:paraId="4DE8A6C8">
      <w:pPr>
        <w:spacing w:line="360" w:lineRule="auto"/>
        <w:ind w:firstLine="480" w:firstLineChars="200"/>
        <w:rPr>
          <w:rFonts w:ascii="宋体" w:cs="宋体"/>
          <w:sz w:val="24"/>
        </w:rPr>
      </w:pPr>
      <w:r>
        <w:rPr>
          <w:rFonts w:hint="eastAsia" w:ascii="宋体" w:cs="宋体"/>
          <w:sz w:val="24"/>
        </w:rPr>
        <w:t>（四）不同供应商的磋商响应文件异常一致或者报价呈规律性差异；</w:t>
      </w:r>
    </w:p>
    <w:p w14:paraId="0A0EA6D6">
      <w:pPr>
        <w:spacing w:line="360" w:lineRule="auto"/>
        <w:ind w:firstLine="480" w:firstLineChars="200"/>
        <w:rPr>
          <w:rFonts w:ascii="宋体" w:cs="宋体"/>
          <w:sz w:val="24"/>
        </w:rPr>
      </w:pPr>
      <w:r>
        <w:rPr>
          <w:rFonts w:hint="eastAsia" w:ascii="宋体" w:cs="宋体"/>
          <w:sz w:val="24"/>
        </w:rPr>
        <w:t>（五）不同供应商的磋商响应文件相互混装；</w:t>
      </w:r>
    </w:p>
    <w:p w14:paraId="1AF75C0B">
      <w:pPr>
        <w:spacing w:line="360" w:lineRule="auto"/>
        <w:ind w:firstLine="480" w:firstLineChars="200"/>
        <w:rPr>
          <w:rFonts w:ascii="宋体" w:cs="宋体"/>
          <w:sz w:val="24"/>
        </w:rPr>
      </w:pPr>
      <w:r>
        <w:rPr>
          <w:rFonts w:hint="eastAsia" w:ascii="宋体" w:cs="宋体"/>
          <w:sz w:val="24"/>
        </w:rPr>
        <w:t>（六）不同供应商的磋商保证金从同一单位或者个人的账户转出。</w:t>
      </w:r>
    </w:p>
    <w:p w14:paraId="35671B2D">
      <w:pPr>
        <w:spacing w:line="360" w:lineRule="auto"/>
        <w:ind w:firstLine="480" w:firstLineChars="200"/>
        <w:rPr>
          <w:rFonts w:ascii="宋体" w:cs="宋体"/>
          <w:sz w:val="24"/>
        </w:rPr>
      </w:pPr>
      <w:r>
        <w:rPr>
          <w:rFonts w:hint="eastAsia" w:ascii="宋体" w:cs="宋体"/>
          <w:bCs/>
          <w:sz w:val="24"/>
        </w:rPr>
        <w:t>注：经磋商小组评审合格供应商的家数不足三家，该项目废标，采购人有权委托采购代理机构重新组织采购。</w:t>
      </w:r>
    </w:p>
    <w:p w14:paraId="2EF0D9AB">
      <w:pPr>
        <w:spacing w:line="360" w:lineRule="auto"/>
        <w:ind w:firstLine="482" w:firstLineChars="200"/>
        <w:rPr>
          <w:rFonts w:ascii="宋体" w:cs="宋体"/>
          <w:sz w:val="24"/>
        </w:rPr>
      </w:pPr>
      <w:r>
        <w:rPr>
          <w:rFonts w:hint="eastAsia" w:ascii="宋体" w:cs="宋体"/>
          <w:b/>
          <w:bCs/>
          <w:sz w:val="24"/>
        </w:rPr>
        <w:t>1.2澄清有关问题。</w:t>
      </w:r>
      <w:r>
        <w:rPr>
          <w:rFonts w:hint="eastAsia" w:ascii="宋体" w:cs="宋体"/>
          <w:sz w:val="24"/>
        </w:rPr>
        <w:t>对磋商响应文件中含义不明确、同类问题表述不一致或者有明显文字和计算错误的内容，磋商小组可以书面形式要求供应商做出必要的澄清、说明或者纠正。供应商的澄清、说明或者补正不得超出磋商响应文件的范围或者改变磋商响应文件的实质性内容。</w:t>
      </w:r>
    </w:p>
    <w:p w14:paraId="541B6064">
      <w:pPr>
        <w:spacing w:line="360" w:lineRule="auto"/>
        <w:ind w:firstLine="480" w:firstLineChars="200"/>
        <w:rPr>
          <w:rFonts w:ascii="宋体" w:cs="宋体"/>
          <w:sz w:val="24"/>
        </w:rPr>
      </w:pPr>
      <w:r>
        <w:rPr>
          <w:rFonts w:hint="eastAsia" w:ascii="宋体" w:cs="宋体"/>
          <w:sz w:val="24"/>
        </w:rPr>
        <w:t>1.2.1磋商小组将允许修正磋商响应文件中不构成重大偏离的细微偏离，但这些修正应不会对实质上响应竞争性磋商文件要求的供应商的竞争地位（相互排序）产生不公正的影响。</w:t>
      </w:r>
    </w:p>
    <w:p w14:paraId="0A565317">
      <w:pPr>
        <w:spacing w:line="360" w:lineRule="auto"/>
        <w:ind w:firstLine="480" w:firstLineChars="200"/>
        <w:rPr>
          <w:rFonts w:ascii="宋体" w:cs="宋体"/>
          <w:sz w:val="24"/>
        </w:rPr>
      </w:pPr>
      <w:r>
        <w:rPr>
          <w:rFonts w:hint="eastAsia" w:ascii="宋体" w:cs="宋体"/>
          <w:sz w:val="24"/>
        </w:rPr>
        <w:t>1.2.2磋商响应文件报价出现前后不一致的，除竞争性磋商文件另有规定外，按照下列规定修正：</w:t>
      </w:r>
    </w:p>
    <w:p w14:paraId="33C8AE34">
      <w:pPr>
        <w:numPr>
          <w:ilvl w:val="0"/>
          <w:numId w:val="4"/>
        </w:numPr>
        <w:spacing w:line="360" w:lineRule="auto"/>
        <w:ind w:firstLine="480" w:firstLineChars="200"/>
        <w:rPr>
          <w:rFonts w:ascii="宋体" w:cs="宋体"/>
          <w:sz w:val="24"/>
        </w:rPr>
      </w:pPr>
      <w:r>
        <w:rPr>
          <w:rFonts w:hint="eastAsia" w:ascii="宋体" w:cs="宋体"/>
          <w:sz w:val="24"/>
        </w:rPr>
        <w:t>磋商响应文件中磋商（报价表）内容与磋商响应文件中相应内容不一致的，以报价一览表（报价表）为准；</w:t>
      </w:r>
    </w:p>
    <w:p w14:paraId="071114F2">
      <w:pPr>
        <w:numPr>
          <w:ilvl w:val="0"/>
          <w:numId w:val="4"/>
        </w:numPr>
        <w:spacing w:line="360" w:lineRule="auto"/>
        <w:ind w:firstLine="480" w:firstLineChars="200"/>
        <w:rPr>
          <w:rFonts w:ascii="宋体" w:cs="宋体"/>
          <w:sz w:val="24"/>
        </w:rPr>
      </w:pPr>
      <w:r>
        <w:rPr>
          <w:rFonts w:hint="eastAsia" w:ascii="宋体" w:cs="宋体"/>
          <w:sz w:val="24"/>
        </w:rPr>
        <w:t>大写金额和小写金额不一致的，以大写金额为准；</w:t>
      </w:r>
    </w:p>
    <w:p w14:paraId="28D0A6E4">
      <w:pPr>
        <w:numPr>
          <w:ilvl w:val="0"/>
          <w:numId w:val="4"/>
        </w:numPr>
        <w:spacing w:line="360" w:lineRule="auto"/>
        <w:ind w:firstLine="480" w:firstLineChars="200"/>
        <w:rPr>
          <w:rFonts w:ascii="宋体" w:cs="宋体"/>
          <w:sz w:val="24"/>
        </w:rPr>
      </w:pPr>
      <w:r>
        <w:rPr>
          <w:rFonts w:hint="eastAsia" w:ascii="宋体" w:cs="宋体"/>
          <w:sz w:val="24"/>
        </w:rPr>
        <w:t>单价金额小数点或者百分比有明显错位的，以报价一览表的总价为准，并修改单价；</w:t>
      </w:r>
    </w:p>
    <w:p w14:paraId="0B8FD1AF">
      <w:pPr>
        <w:numPr>
          <w:ilvl w:val="0"/>
          <w:numId w:val="4"/>
        </w:numPr>
        <w:spacing w:line="360" w:lineRule="auto"/>
        <w:ind w:firstLine="480" w:firstLineChars="200"/>
        <w:rPr>
          <w:rFonts w:ascii="宋体" w:cs="宋体"/>
          <w:sz w:val="24"/>
        </w:rPr>
      </w:pPr>
      <w:r>
        <w:rPr>
          <w:rFonts w:hint="eastAsia" w:ascii="宋体" w:cs="宋体"/>
          <w:sz w:val="24"/>
        </w:rPr>
        <w:t>总价金额与按单价汇总金额不一致的，以单价金额计算结果为准。</w:t>
      </w:r>
    </w:p>
    <w:p w14:paraId="13790C77">
      <w:pPr>
        <w:spacing w:line="360" w:lineRule="auto"/>
        <w:ind w:firstLine="480" w:firstLineChars="200"/>
        <w:rPr>
          <w:rFonts w:ascii="宋体" w:cs="宋体"/>
          <w:sz w:val="24"/>
        </w:rPr>
      </w:pPr>
      <w:r>
        <w:rPr>
          <w:rFonts w:hint="eastAsia" w:ascii="宋体" w:cs="宋体"/>
          <w:sz w:val="24"/>
        </w:rPr>
        <w:t>同时出现两种以上不一致的，按照规定的顺序修正。修正后的报价经供应商确认后产生约束力，供应商不确认的，其投标无效。</w:t>
      </w:r>
    </w:p>
    <w:p w14:paraId="0F9A0C5E">
      <w:pPr>
        <w:spacing w:line="360" w:lineRule="auto"/>
        <w:ind w:firstLine="482" w:firstLineChars="200"/>
        <w:rPr>
          <w:rFonts w:ascii="宋体" w:cs="宋体"/>
          <w:b/>
          <w:bCs/>
          <w:sz w:val="24"/>
        </w:rPr>
      </w:pPr>
      <w:r>
        <w:rPr>
          <w:rFonts w:hint="eastAsia" w:ascii="宋体" w:cs="宋体"/>
          <w:b/>
          <w:bCs/>
          <w:sz w:val="24"/>
        </w:rPr>
        <w:t>1.2.3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p w14:paraId="10AF0C5A">
      <w:pPr>
        <w:pStyle w:val="25"/>
        <w:spacing w:beforeAutospacing="0" w:afterAutospacing="0" w:line="360" w:lineRule="auto"/>
        <w:ind w:firstLine="482" w:firstLineChars="200"/>
        <w:jc w:val="both"/>
        <w:rPr>
          <w:b/>
          <w:bCs/>
          <w:kern w:val="2"/>
        </w:rPr>
      </w:pPr>
      <w:r>
        <w:rPr>
          <w:rFonts w:hint="eastAsia"/>
          <w:b/>
          <w:bCs/>
          <w:kern w:val="2"/>
        </w:rPr>
        <w:t>1.3磋商小组应当按照竞争性磋商文件中规定的评标方法和标准，对符合性审查合格的磋商响应文件进行商务和技术评估，综合比较与评价。</w:t>
      </w:r>
    </w:p>
    <w:p w14:paraId="636A0038">
      <w:pPr>
        <w:spacing w:line="360" w:lineRule="auto"/>
        <w:ind w:firstLine="480" w:firstLineChars="200"/>
        <w:rPr>
          <w:rFonts w:ascii="宋体" w:cs="宋体"/>
          <w:sz w:val="24"/>
        </w:rPr>
      </w:pPr>
      <w:r>
        <w:rPr>
          <w:rFonts w:hint="eastAsia" w:ascii="宋体" w:cs="宋体"/>
          <w:sz w:val="24"/>
        </w:rPr>
        <w:t>1.3.1 本项目采用综合评分法评标，磋商小组将按下述标准评定成交供应商：独立对每个供应商的响应文件进行评价，并汇总每个供应商的得分。按评审后得分由高到低顺序排列。得分相同的，按磋商报价由低到高顺序排列。得分且磋商报价相同的并列。响应文件满足竞争性磋商文件全部实质性要求，且按照评审因素的量化指标评审得分最高的供应商为排名第一的为成交供应商。</w:t>
      </w:r>
    </w:p>
    <w:p w14:paraId="6FECFB48">
      <w:pPr>
        <w:spacing w:line="360" w:lineRule="auto"/>
        <w:ind w:firstLine="480" w:firstLineChars="200"/>
        <w:rPr>
          <w:rFonts w:ascii="宋体" w:cs="宋体"/>
          <w:sz w:val="24"/>
        </w:rPr>
      </w:pPr>
      <w:r>
        <w:rPr>
          <w:rFonts w:hint="eastAsia" w:ascii="宋体" w:cs="宋体"/>
          <w:sz w:val="24"/>
        </w:rPr>
        <w:t>使用综合评分法的采购项目，提供相同品牌产品且通过资格审查、符合性审查的不同供应商参加同一合同项下投标的，按一家供应商计算，评审后得分最高的同品牌供应商获得成交供应商推荐资格；评审得分相同的，由磋商小组采取随机抽取方式确定，其他同品牌供应商不作为成交候选人。</w:t>
      </w:r>
    </w:p>
    <w:p w14:paraId="7F52236E">
      <w:pPr>
        <w:spacing w:line="360" w:lineRule="auto"/>
        <w:ind w:firstLine="480" w:firstLineChars="200"/>
        <w:rPr>
          <w:rFonts w:ascii="宋体" w:cs="宋体"/>
          <w:sz w:val="24"/>
        </w:rPr>
      </w:pPr>
      <w:r>
        <w:rPr>
          <w:rFonts w:hint="eastAsia" w:ascii="宋体" w:cs="宋体"/>
          <w:sz w:val="24"/>
        </w:rPr>
        <w:t>非单一产品采购项目，采购人根据采购项目技术构成、产品价格比重等合理确定核心产品，并在竞争性磋商文件第五章中载明。多家供应商提供的核心产品品牌相同的，按前款规定处理。</w:t>
      </w:r>
    </w:p>
    <w:p w14:paraId="27E2F620">
      <w:pPr>
        <w:rPr>
          <w:rFonts w:ascii="宋体" w:cs="宋体"/>
          <w:sz w:val="24"/>
        </w:rPr>
      </w:pPr>
      <w:r>
        <w:rPr>
          <w:rFonts w:hint="eastAsia" w:ascii="宋体" w:cs="宋体"/>
          <w:sz w:val="24"/>
        </w:rPr>
        <w:br w:type="page"/>
      </w:r>
    </w:p>
    <w:p w14:paraId="188953FA">
      <w:pPr>
        <w:spacing w:line="360" w:lineRule="auto"/>
        <w:ind w:firstLine="480" w:firstLineChars="200"/>
        <w:rPr>
          <w:rFonts w:ascii="宋体" w:cs="宋体"/>
          <w:sz w:val="24"/>
        </w:rPr>
      </w:pPr>
      <w:r>
        <w:rPr>
          <w:rFonts w:hint="eastAsia" w:ascii="宋体" w:cs="宋体"/>
          <w:sz w:val="24"/>
        </w:rPr>
        <w:t>1.3.1.1综合评分法评分细则（计算结果精确到小数点后两位）：</w:t>
      </w:r>
    </w:p>
    <w:tbl>
      <w:tblPr>
        <w:tblStyle w:val="2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129"/>
        <w:gridCol w:w="869"/>
      </w:tblGrid>
      <w:tr w14:paraId="1514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3296975B">
            <w:pPr>
              <w:widowControl/>
              <w:spacing w:line="480" w:lineRule="auto"/>
              <w:jc w:val="center"/>
              <w:rPr>
                <w:rFonts w:hint="eastAsia" w:ascii="宋体" w:hAnsi="宋体" w:eastAsia="Calibri" w:cs="宋体"/>
                <w:bCs/>
                <w:sz w:val="24"/>
              </w:rPr>
            </w:pPr>
            <w:r>
              <w:rPr>
                <w:rFonts w:hint="eastAsia" w:ascii="宋体" w:hAnsi="宋体" w:eastAsia="Calibri" w:cs="宋体"/>
                <w:bCs/>
                <w:sz w:val="24"/>
              </w:rPr>
              <w:t>（一）价格部分（</w:t>
            </w:r>
            <w:r>
              <w:rPr>
                <w:rFonts w:hint="eastAsia" w:ascii="宋体" w:hAnsi="宋体" w:eastAsia="Calibri" w:cs="宋体"/>
                <w:bCs/>
                <w:sz w:val="24"/>
                <w:lang w:val="en-US" w:eastAsia="zh-CN"/>
              </w:rPr>
              <w:t>30</w:t>
            </w:r>
            <w:r>
              <w:rPr>
                <w:rFonts w:hint="eastAsia" w:ascii="宋体" w:hAnsi="宋体" w:eastAsia="Calibri" w:cs="宋体"/>
                <w:bCs/>
                <w:sz w:val="24"/>
              </w:rPr>
              <w:t>分）</w:t>
            </w:r>
          </w:p>
        </w:tc>
      </w:tr>
      <w:tr w14:paraId="6B69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015BA3CD">
            <w:pPr>
              <w:widowControl/>
              <w:spacing w:line="480" w:lineRule="auto"/>
              <w:rPr>
                <w:rFonts w:hint="eastAsia" w:ascii="宋体" w:hAnsi="宋体" w:eastAsia="Calibri" w:cs="宋体"/>
                <w:bCs/>
                <w:sz w:val="24"/>
              </w:rPr>
            </w:pPr>
            <w:r>
              <w:rPr>
                <w:rFonts w:hint="eastAsia" w:ascii="宋体" w:hAnsi="宋体" w:eastAsia="Calibri" w:cs="宋体"/>
                <w:bCs/>
                <w:sz w:val="24"/>
              </w:rPr>
              <w:t>评分点</w:t>
            </w:r>
          </w:p>
        </w:tc>
        <w:tc>
          <w:tcPr>
            <w:tcW w:w="3866" w:type="pct"/>
            <w:tcBorders>
              <w:top w:val="single" w:color="auto" w:sz="4" w:space="0"/>
              <w:left w:val="single" w:color="auto" w:sz="4" w:space="0"/>
              <w:bottom w:val="single" w:color="auto" w:sz="4" w:space="0"/>
              <w:right w:val="single" w:color="auto" w:sz="4" w:space="0"/>
            </w:tcBorders>
            <w:noWrap/>
            <w:vAlign w:val="center"/>
          </w:tcPr>
          <w:p w14:paraId="17E209F0">
            <w:pPr>
              <w:widowControl/>
              <w:spacing w:line="480" w:lineRule="auto"/>
              <w:rPr>
                <w:rFonts w:hint="eastAsia" w:ascii="宋体" w:hAnsi="宋体" w:eastAsia="Calibri" w:cs="宋体"/>
                <w:bCs/>
                <w:sz w:val="24"/>
              </w:rPr>
            </w:pPr>
            <w:r>
              <w:rPr>
                <w:rFonts w:hint="eastAsia" w:ascii="宋体" w:hAnsi="宋体" w:eastAsia="Calibri" w:cs="宋体"/>
                <w:bCs/>
                <w:sz w:val="24"/>
              </w:rPr>
              <w:t>评审内容</w:t>
            </w:r>
          </w:p>
        </w:tc>
        <w:tc>
          <w:tcPr>
            <w:tcW w:w="471" w:type="pct"/>
            <w:tcBorders>
              <w:top w:val="single" w:color="auto" w:sz="4" w:space="0"/>
              <w:left w:val="single" w:color="auto" w:sz="4" w:space="0"/>
              <w:bottom w:val="single" w:color="auto" w:sz="4" w:space="0"/>
              <w:right w:val="single" w:color="auto" w:sz="4" w:space="0"/>
            </w:tcBorders>
            <w:noWrap/>
            <w:vAlign w:val="center"/>
          </w:tcPr>
          <w:p w14:paraId="5C31BE4E">
            <w:pPr>
              <w:widowControl/>
              <w:spacing w:line="480" w:lineRule="auto"/>
              <w:rPr>
                <w:rFonts w:hint="eastAsia" w:ascii="宋体" w:hAnsi="宋体" w:eastAsia="Calibri" w:cs="宋体"/>
                <w:bCs/>
                <w:sz w:val="24"/>
              </w:rPr>
            </w:pPr>
            <w:r>
              <w:rPr>
                <w:rFonts w:hint="eastAsia" w:ascii="宋体" w:hAnsi="宋体" w:eastAsia="Calibri" w:cs="宋体"/>
                <w:bCs/>
                <w:sz w:val="24"/>
              </w:rPr>
              <w:t>分值</w:t>
            </w:r>
          </w:p>
        </w:tc>
      </w:tr>
      <w:tr w14:paraId="231B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43354DE0">
            <w:pPr>
              <w:widowControl/>
              <w:spacing w:line="480" w:lineRule="auto"/>
              <w:rPr>
                <w:rFonts w:hint="eastAsia" w:ascii="宋体" w:hAnsi="宋体" w:eastAsia="Calibri" w:cs="宋体"/>
                <w:bCs/>
                <w:sz w:val="24"/>
              </w:rPr>
            </w:pPr>
            <w:r>
              <w:rPr>
                <w:rFonts w:hint="eastAsia" w:ascii="宋体" w:hAnsi="宋体" w:eastAsia="Calibri" w:cs="宋体"/>
                <w:bCs/>
                <w:sz w:val="24"/>
              </w:rPr>
              <w:t>报价</w:t>
            </w:r>
          </w:p>
        </w:tc>
        <w:tc>
          <w:tcPr>
            <w:tcW w:w="3866" w:type="pct"/>
            <w:tcBorders>
              <w:top w:val="single" w:color="auto" w:sz="4" w:space="0"/>
              <w:left w:val="single" w:color="auto" w:sz="4" w:space="0"/>
              <w:bottom w:val="single" w:color="auto" w:sz="4" w:space="0"/>
              <w:right w:val="single" w:color="auto" w:sz="4" w:space="0"/>
            </w:tcBorders>
            <w:noWrap/>
            <w:vAlign w:val="center"/>
          </w:tcPr>
          <w:p w14:paraId="60453EAA">
            <w:pPr>
              <w:widowControl/>
              <w:spacing w:line="480" w:lineRule="auto"/>
              <w:rPr>
                <w:rFonts w:hint="eastAsia" w:ascii="宋体" w:hAnsi="宋体" w:eastAsia="Calibri" w:cs="宋体"/>
                <w:bCs/>
                <w:sz w:val="24"/>
              </w:rPr>
            </w:pPr>
            <w:r>
              <w:rPr>
                <w:rFonts w:hint="eastAsia" w:ascii="宋体" w:hAnsi="宋体" w:eastAsia="Calibri" w:cs="宋体"/>
                <w:bCs/>
                <w:sz w:val="24"/>
              </w:rPr>
              <w:t>价格分采用低价优先法计算，即满足招标文件要求且投标价格最低的投标报价为评标基准价，其价格分为满分。其他投标人的价格分统一按下列公式计算：</w:t>
            </w:r>
          </w:p>
          <w:p w14:paraId="5E7B06A3">
            <w:pPr>
              <w:widowControl/>
              <w:spacing w:line="480" w:lineRule="auto"/>
              <w:rPr>
                <w:rFonts w:hint="default" w:ascii="宋体" w:hAnsi="宋体" w:eastAsia="Calibri" w:cs="宋体"/>
                <w:bCs/>
                <w:sz w:val="24"/>
                <w:lang w:val="en-US"/>
              </w:rPr>
            </w:pPr>
            <w:r>
              <w:rPr>
                <w:rFonts w:hint="eastAsia" w:ascii="宋体" w:hAnsi="宋体" w:eastAsia="Calibri" w:cs="宋体"/>
                <w:bCs/>
                <w:sz w:val="24"/>
              </w:rPr>
              <w:t>投标报价得分=（评标基准价/投标报价）×</w:t>
            </w:r>
            <w:r>
              <w:rPr>
                <w:rFonts w:hint="eastAsia" w:ascii="宋体" w:hAnsi="宋体" w:eastAsia="Calibri" w:cs="宋体"/>
                <w:bCs/>
                <w:sz w:val="24"/>
                <w:lang w:val="en-US" w:eastAsia="zh-CN"/>
              </w:rPr>
              <w:t>30</w:t>
            </w:r>
          </w:p>
          <w:p w14:paraId="0B6FE639">
            <w:pPr>
              <w:widowControl/>
              <w:spacing w:line="480" w:lineRule="auto"/>
              <w:rPr>
                <w:rFonts w:hint="eastAsia" w:ascii="宋体" w:hAnsi="宋体" w:eastAsia="Calibri" w:cs="宋体"/>
                <w:bCs/>
                <w:sz w:val="24"/>
              </w:rPr>
            </w:pPr>
            <w:r>
              <w:rPr>
                <w:rFonts w:hint="eastAsia" w:ascii="宋体" w:hAnsi="宋体" w:eastAsia="Calibri" w:cs="宋体"/>
                <w:bCs/>
                <w:sz w:val="24"/>
              </w:rPr>
              <w:t>注：</w:t>
            </w:r>
            <w:r>
              <w:rPr>
                <w:rFonts w:hint="eastAsia" w:ascii="宋体" w:hAnsi="宋体" w:eastAsia="Calibri" w:cs="宋体"/>
                <w:bCs/>
                <w:sz w:val="24"/>
                <w:lang w:eastAsia="zh-CN"/>
              </w:rPr>
              <w:t>对小型、微型企业和监狱企业、残疾人福利性单位产品的价格给予</w:t>
            </w:r>
            <w:r>
              <w:rPr>
                <w:rFonts w:hint="eastAsia" w:ascii="宋体" w:hAnsi="宋体" w:eastAsia="Calibri" w:cs="宋体"/>
                <w:bCs/>
                <w:sz w:val="24"/>
                <w:lang w:val="en-US" w:eastAsia="zh-CN"/>
              </w:rPr>
              <w:t>10%</w:t>
            </w:r>
            <w:r>
              <w:rPr>
                <w:rFonts w:hint="eastAsia" w:ascii="宋体" w:hAnsi="宋体" w:eastAsia="Calibri" w:cs="宋体"/>
                <w:bCs/>
                <w:sz w:val="24"/>
                <w:lang w:eastAsia="zh-CN"/>
              </w:rPr>
              <w:t>比例的扣除，用扣除后的价格参与评审</w:t>
            </w:r>
            <w:r>
              <w:rPr>
                <w:rFonts w:hint="eastAsia" w:ascii="宋体" w:hAnsi="宋体" w:eastAsia="Calibri" w:cs="宋体"/>
                <w:bCs/>
                <w:sz w:val="24"/>
              </w:rPr>
              <w:t>，投标人同属以上优惠类型企业的，不重复享受政策优惠。</w:t>
            </w:r>
          </w:p>
          <w:p w14:paraId="0E880E63">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评审依据：开标一览表。</w:t>
            </w:r>
          </w:p>
        </w:tc>
        <w:tc>
          <w:tcPr>
            <w:tcW w:w="471" w:type="pct"/>
            <w:tcBorders>
              <w:top w:val="single" w:color="auto" w:sz="4" w:space="0"/>
              <w:left w:val="single" w:color="auto" w:sz="4" w:space="0"/>
              <w:bottom w:val="single" w:color="auto" w:sz="4" w:space="0"/>
              <w:right w:val="single" w:color="auto" w:sz="4" w:space="0"/>
            </w:tcBorders>
            <w:noWrap/>
            <w:vAlign w:val="center"/>
          </w:tcPr>
          <w:p w14:paraId="2230DFEE">
            <w:pPr>
              <w:widowControl/>
              <w:spacing w:line="480" w:lineRule="auto"/>
              <w:rPr>
                <w:rFonts w:hint="eastAsia" w:ascii="宋体" w:hAnsi="宋体" w:eastAsia="Calibri" w:cs="宋体"/>
                <w:bCs/>
                <w:sz w:val="24"/>
              </w:rPr>
            </w:pPr>
            <w:r>
              <w:rPr>
                <w:rFonts w:hint="eastAsia" w:ascii="宋体" w:hAnsi="宋体" w:eastAsia="Calibri" w:cs="宋体"/>
                <w:bCs/>
                <w:sz w:val="24"/>
                <w:lang w:val="en-US" w:eastAsia="zh-CN"/>
              </w:rPr>
              <w:t>30</w:t>
            </w:r>
            <w:r>
              <w:rPr>
                <w:rFonts w:hint="eastAsia" w:ascii="宋体" w:hAnsi="宋体" w:eastAsia="Calibri" w:cs="宋体"/>
                <w:bCs/>
                <w:sz w:val="24"/>
              </w:rPr>
              <w:t>分</w:t>
            </w:r>
          </w:p>
        </w:tc>
      </w:tr>
      <w:tr w14:paraId="7D7C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4BC5EBFC">
            <w:pPr>
              <w:widowControl/>
              <w:spacing w:line="480" w:lineRule="auto"/>
              <w:jc w:val="center"/>
              <w:rPr>
                <w:rFonts w:hint="eastAsia" w:ascii="宋体" w:hAnsi="宋体" w:eastAsia="Calibri" w:cs="宋体"/>
                <w:bCs/>
                <w:sz w:val="24"/>
              </w:rPr>
            </w:pPr>
            <w:r>
              <w:rPr>
                <w:rFonts w:hint="eastAsia" w:ascii="宋体" w:hAnsi="宋体" w:eastAsia="Calibri" w:cs="宋体"/>
                <w:bCs/>
                <w:sz w:val="24"/>
              </w:rPr>
              <w:t>（二）技术部分（</w:t>
            </w:r>
            <w:r>
              <w:rPr>
                <w:rFonts w:hint="eastAsia" w:ascii="宋体" w:hAnsi="宋体" w:eastAsia="Calibri" w:cs="宋体"/>
                <w:bCs/>
                <w:sz w:val="24"/>
                <w:lang w:val="en-US" w:eastAsia="zh-CN"/>
              </w:rPr>
              <w:t>66</w:t>
            </w:r>
            <w:r>
              <w:rPr>
                <w:rFonts w:hint="eastAsia" w:ascii="宋体" w:hAnsi="宋体" w:eastAsia="Calibri" w:cs="宋体"/>
                <w:bCs/>
                <w:sz w:val="24"/>
              </w:rPr>
              <w:t>分）</w:t>
            </w:r>
          </w:p>
        </w:tc>
      </w:tr>
      <w:tr w14:paraId="5516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7966BE81">
            <w:pPr>
              <w:widowControl/>
              <w:spacing w:line="480" w:lineRule="auto"/>
              <w:rPr>
                <w:rFonts w:hint="eastAsia" w:ascii="宋体" w:hAnsi="宋体" w:eastAsia="Calibri" w:cs="宋体"/>
                <w:bCs/>
                <w:sz w:val="24"/>
              </w:rPr>
            </w:pPr>
            <w:r>
              <w:rPr>
                <w:rFonts w:hint="eastAsia" w:ascii="宋体" w:hAnsi="宋体" w:eastAsia="Calibri" w:cs="宋体"/>
                <w:bCs/>
                <w:sz w:val="24"/>
              </w:rPr>
              <w:t>评分点</w:t>
            </w:r>
          </w:p>
        </w:tc>
        <w:tc>
          <w:tcPr>
            <w:tcW w:w="3866" w:type="pct"/>
            <w:tcBorders>
              <w:top w:val="single" w:color="auto" w:sz="4" w:space="0"/>
              <w:left w:val="single" w:color="auto" w:sz="4" w:space="0"/>
              <w:bottom w:val="single" w:color="auto" w:sz="4" w:space="0"/>
              <w:right w:val="single" w:color="auto" w:sz="4" w:space="0"/>
            </w:tcBorders>
            <w:noWrap/>
            <w:vAlign w:val="center"/>
          </w:tcPr>
          <w:p w14:paraId="0E32A5A9">
            <w:pPr>
              <w:widowControl/>
              <w:spacing w:line="480" w:lineRule="auto"/>
              <w:rPr>
                <w:rFonts w:hint="eastAsia" w:ascii="宋体" w:hAnsi="宋体" w:eastAsia="Calibri" w:cs="宋体"/>
                <w:bCs/>
                <w:sz w:val="24"/>
              </w:rPr>
            </w:pPr>
            <w:r>
              <w:rPr>
                <w:rFonts w:hint="eastAsia" w:ascii="宋体" w:hAnsi="宋体" w:eastAsia="Calibri" w:cs="宋体"/>
                <w:bCs/>
                <w:sz w:val="24"/>
              </w:rPr>
              <w:t>评审内容</w:t>
            </w:r>
          </w:p>
        </w:tc>
        <w:tc>
          <w:tcPr>
            <w:tcW w:w="471" w:type="pct"/>
            <w:tcBorders>
              <w:top w:val="single" w:color="auto" w:sz="4" w:space="0"/>
              <w:left w:val="single" w:color="auto" w:sz="4" w:space="0"/>
              <w:bottom w:val="single" w:color="auto" w:sz="4" w:space="0"/>
              <w:right w:val="single" w:color="auto" w:sz="4" w:space="0"/>
            </w:tcBorders>
            <w:noWrap/>
            <w:vAlign w:val="center"/>
          </w:tcPr>
          <w:p w14:paraId="58A9909E">
            <w:pPr>
              <w:widowControl/>
              <w:spacing w:line="480" w:lineRule="auto"/>
              <w:rPr>
                <w:rFonts w:hint="eastAsia" w:ascii="宋体" w:hAnsi="宋体" w:eastAsia="Calibri" w:cs="宋体"/>
                <w:bCs/>
                <w:sz w:val="24"/>
              </w:rPr>
            </w:pPr>
            <w:r>
              <w:rPr>
                <w:rFonts w:hint="eastAsia" w:ascii="宋体" w:hAnsi="宋体" w:eastAsia="Calibri" w:cs="宋体"/>
                <w:bCs/>
                <w:sz w:val="24"/>
              </w:rPr>
              <w:t>分值</w:t>
            </w:r>
          </w:p>
        </w:tc>
      </w:tr>
      <w:tr w14:paraId="0699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06605A6F">
            <w:pPr>
              <w:widowControl/>
              <w:spacing w:line="480" w:lineRule="auto"/>
              <w:rPr>
                <w:rFonts w:hint="eastAsia" w:ascii="宋体" w:hAnsi="宋体" w:eastAsia="Calibri" w:cs="宋体"/>
                <w:bCs/>
                <w:sz w:val="24"/>
              </w:rPr>
            </w:pPr>
            <w:r>
              <w:rPr>
                <w:rFonts w:hint="eastAsia" w:ascii="宋体" w:hAnsi="宋体" w:eastAsia="Calibri" w:cs="宋体"/>
                <w:bCs/>
                <w:sz w:val="24"/>
                <w:lang w:eastAsia="zh-CN"/>
              </w:rPr>
              <w:t>技术要求</w:t>
            </w:r>
          </w:p>
        </w:tc>
        <w:tc>
          <w:tcPr>
            <w:tcW w:w="3866" w:type="pct"/>
            <w:tcBorders>
              <w:top w:val="single" w:color="auto" w:sz="4" w:space="0"/>
              <w:left w:val="single" w:color="auto" w:sz="4" w:space="0"/>
              <w:bottom w:val="single" w:color="auto" w:sz="4" w:space="0"/>
              <w:right w:val="single" w:color="auto" w:sz="4" w:space="0"/>
            </w:tcBorders>
            <w:noWrap/>
            <w:vAlign w:val="top"/>
          </w:tcPr>
          <w:p w14:paraId="60052828">
            <w:pPr>
              <w:spacing w:line="360" w:lineRule="auto"/>
              <w:jc w:val="both"/>
              <w:rPr>
                <w:rFonts w:hint="eastAsia" w:ascii="宋体" w:hAnsi="宋体" w:eastAsia="宋体" w:cs="宋体"/>
                <w:bCs/>
                <w:sz w:val="24"/>
                <w:highlight w:val="none"/>
                <w:lang w:eastAsia="zh-CN"/>
              </w:rPr>
            </w:pPr>
            <w:r>
              <w:rPr>
                <w:rFonts w:hint="eastAsia" w:ascii="宋体" w:hAnsi="宋体" w:eastAsia="Calibri" w:cs="宋体"/>
                <w:bCs/>
                <w:sz w:val="24"/>
                <w:highlight w:val="none"/>
              </w:rPr>
              <w:t>投标人必须完全满足招标文件采购需求“技术要求”</w:t>
            </w:r>
            <w:r>
              <w:rPr>
                <w:rFonts w:hint="eastAsia" w:ascii="宋体" w:hAnsi="宋体" w:eastAsia="宋体" w:cs="宋体"/>
                <w:bCs/>
                <w:sz w:val="24"/>
                <w:highlight w:val="none"/>
                <w:lang w:val="en-US" w:eastAsia="zh-CN"/>
              </w:rPr>
              <w:t>的</w:t>
            </w:r>
            <w:r>
              <w:rPr>
                <w:rFonts w:hint="eastAsia" w:ascii="宋体" w:hAnsi="宋体" w:cs="宋体"/>
                <w:color w:val="000000"/>
                <w:kern w:val="0"/>
                <w:sz w:val="24"/>
                <w:szCs w:val="24"/>
                <w:highlight w:val="none"/>
                <w:lang w:val="en-US" w:eastAsia="zh-CN"/>
              </w:rPr>
              <w:t>★项</w:t>
            </w:r>
            <w:r>
              <w:rPr>
                <w:rFonts w:hint="eastAsia" w:ascii="宋体" w:hAnsi="宋体" w:eastAsia="Calibri" w:cs="宋体"/>
                <w:bCs/>
                <w:sz w:val="24"/>
                <w:highlight w:val="none"/>
              </w:rPr>
              <w:t>条款</w:t>
            </w:r>
            <w:r>
              <w:rPr>
                <w:rFonts w:hint="eastAsia" w:ascii="宋体" w:hAnsi="宋体" w:eastAsia="宋体" w:cs="宋体"/>
                <w:bCs/>
                <w:sz w:val="24"/>
                <w:highlight w:val="none"/>
                <w:lang w:eastAsia="zh-CN"/>
              </w:rPr>
              <w:t>。</w:t>
            </w:r>
          </w:p>
          <w:p w14:paraId="54DDCF0A">
            <w:pPr>
              <w:pStyle w:val="61"/>
              <w:numPr>
                <w:ilvl w:val="0"/>
                <w:numId w:val="0"/>
              </w:numPr>
              <w:adjustRightInd w:val="0"/>
              <w:snapToGrid w:val="0"/>
              <w:spacing w:line="360" w:lineRule="auto"/>
              <w:ind w:leftChars="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投标人所投酒精检测仪产品：</w:t>
            </w:r>
          </w:p>
          <w:p w14:paraId="0029BB90">
            <w:pPr>
              <w:spacing w:line="360" w:lineRule="auto"/>
              <w:jc w:val="both"/>
              <w:rPr>
                <w:rFonts w:hint="eastAsia" w:cs="宋体"/>
                <w:b w:val="0"/>
                <w:bCs w:val="0"/>
                <w:color w:val="auto"/>
              </w:rPr>
            </w:pPr>
            <w:r>
              <w:rPr>
                <w:rFonts w:hint="eastAsia" w:ascii="宋体" w:hAnsi="宋体" w:cs="宋体"/>
                <w:b w:val="0"/>
                <w:bCs w:val="0"/>
                <w:color w:val="auto"/>
                <w:kern w:val="0"/>
                <w:sz w:val="24"/>
                <w:szCs w:val="24"/>
                <w:lang w:val="en-US" w:eastAsia="zh-CN"/>
              </w:rPr>
              <w:t>2.吹管结构：</w:t>
            </w:r>
            <w:r>
              <w:rPr>
                <w:b w:val="0"/>
                <w:bCs w:val="0"/>
                <w:color w:val="auto"/>
                <w:spacing w:val="8"/>
                <w:sz w:val="24"/>
              </w:rPr>
              <w:t>酒检仪应使用符合卫生条件的一次性吹管，吹管应单独封装，每次测量前应更换吹管</w:t>
            </w:r>
            <w:r>
              <w:rPr>
                <w:rFonts w:hint="eastAsia"/>
                <w:b w:val="0"/>
                <w:bCs w:val="0"/>
                <w:color w:val="auto"/>
                <w:spacing w:val="8"/>
                <w:sz w:val="24"/>
              </w:rPr>
              <w:t>；</w:t>
            </w:r>
            <w:r>
              <w:rPr>
                <w:b w:val="0"/>
                <w:bCs w:val="0"/>
                <w:color w:val="auto"/>
                <w:spacing w:val="8"/>
                <w:sz w:val="24"/>
              </w:rPr>
              <w:t>酒检仪应采用单向吹管，以确保测试者不会吸入测量系统中的残留物</w:t>
            </w:r>
            <w:r>
              <w:rPr>
                <w:rFonts w:hint="eastAsia"/>
                <w:b w:val="0"/>
                <w:bCs w:val="0"/>
                <w:color w:val="auto"/>
                <w:spacing w:val="8"/>
                <w:sz w:val="24"/>
                <w:lang w:eastAsia="zh-CN"/>
              </w:rPr>
              <w:t>。</w:t>
            </w:r>
            <w:r>
              <w:rPr>
                <w:rFonts w:hint="eastAsia" w:ascii="宋体" w:hAnsi="宋体" w:cs="宋体"/>
                <w:b w:val="0"/>
                <w:bCs w:val="0"/>
                <w:color w:val="auto"/>
                <w:kern w:val="0"/>
                <w:sz w:val="24"/>
                <w:szCs w:val="24"/>
                <w:lang w:val="en-US" w:eastAsia="zh-CN"/>
              </w:rPr>
              <w:t>具有自动弹出式设计，测试结束可弹出无需手接触吹管。</w:t>
            </w:r>
            <w:r>
              <w:rPr>
                <w:rFonts w:hint="eastAsia" w:eastAsia="宋体" w:cs="Times New Roman"/>
                <w:b w:val="0"/>
                <w:bCs w:val="0"/>
                <w:color w:val="auto"/>
                <w:spacing w:val="8"/>
                <w:sz w:val="24"/>
                <w:lang w:val="en-US" w:eastAsia="zh-CN"/>
              </w:rPr>
              <w:t>（供货查验）</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1</w:t>
            </w:r>
            <w:r>
              <w:rPr>
                <w:rFonts w:hint="eastAsia" w:ascii="宋体" w:hAnsi="宋体" w:eastAsia="宋体" w:cs="宋体"/>
                <w:bCs/>
                <w:sz w:val="24"/>
                <w:highlight w:val="none"/>
                <w:lang w:val="en-US" w:eastAsia="zh-CN"/>
              </w:rPr>
              <w:t>分，不符合得0分；</w:t>
            </w:r>
          </w:p>
          <w:p w14:paraId="01141F41">
            <w:pPr>
              <w:pStyle w:val="61"/>
              <w:numPr>
                <w:ilvl w:val="0"/>
                <w:numId w:val="0"/>
              </w:numPr>
              <w:adjustRightInd w:val="0"/>
              <w:snapToGrid w:val="0"/>
              <w:spacing w:line="360" w:lineRule="auto"/>
              <w:ind w:leftChars="0"/>
              <w:rPr>
                <w:rFonts w:hint="eastAsia" w:cs="宋体"/>
                <w:b w:val="0"/>
                <w:bCs w:val="0"/>
                <w:color w:val="auto"/>
                <w:highlight w:val="none"/>
              </w:rPr>
            </w:pPr>
            <w:r>
              <w:rPr>
                <w:rFonts w:hint="eastAsia" w:ascii="宋体" w:hAnsi="宋体" w:cs="宋体"/>
                <w:b w:val="0"/>
                <w:bCs w:val="0"/>
                <w:color w:val="auto"/>
                <w:sz w:val="24"/>
                <w:szCs w:val="24"/>
                <w:lang w:val="en-US" w:eastAsia="zh-CN"/>
              </w:rPr>
              <w:t>3.定位功能：</w:t>
            </w:r>
            <w:r>
              <w:rPr>
                <w:b w:val="0"/>
                <w:bCs w:val="0"/>
                <w:color w:val="auto"/>
                <w:spacing w:val="8"/>
                <w:sz w:val="24"/>
              </w:rPr>
              <w:t>仪器应具有</w:t>
            </w:r>
            <w:r>
              <w:rPr>
                <w:rFonts w:hint="eastAsia"/>
                <w:b w:val="0"/>
                <w:bCs w:val="0"/>
                <w:color w:val="auto"/>
                <w:spacing w:val="8"/>
                <w:sz w:val="24"/>
                <w:lang w:val="en-US" w:eastAsia="zh-CN"/>
              </w:rPr>
              <w:t>单</w:t>
            </w:r>
            <w:r>
              <w:rPr>
                <w:rFonts w:hint="eastAsia"/>
                <w:b w:val="0"/>
                <w:bCs w:val="0"/>
                <w:color w:val="auto"/>
                <w:spacing w:val="8"/>
                <w:sz w:val="24"/>
              </w:rPr>
              <w:t>北斗</w:t>
            </w:r>
            <w:r>
              <w:rPr>
                <w:b w:val="0"/>
                <w:bCs w:val="0"/>
                <w:color w:val="auto"/>
                <w:spacing w:val="8"/>
                <w:sz w:val="24"/>
              </w:rPr>
              <w:t>定位功能</w:t>
            </w:r>
            <w:r>
              <w:rPr>
                <w:rFonts w:hint="eastAsia"/>
                <w:b w:val="0"/>
                <w:bCs w:val="0"/>
                <w:color w:val="auto"/>
                <w:spacing w:val="8"/>
                <w:sz w:val="24"/>
                <w:lang w:val="en-US" w:eastAsia="zh-CN"/>
              </w:rPr>
              <w:t>。</w:t>
            </w:r>
            <w:r>
              <w:rPr>
                <w:rFonts w:hint="eastAsia"/>
                <w:b w:val="0"/>
                <w:bCs w:val="0"/>
                <w:color w:val="auto"/>
                <w:spacing w:val="8"/>
                <w:sz w:val="24"/>
                <w:highlight w:val="none"/>
                <w:lang w:val="en-US" w:eastAsia="zh-CN"/>
              </w:rPr>
              <w:t>仪器开机后，一定自动修正同步仪器的时间，确保仪器时间与北京时间同步</w:t>
            </w:r>
            <w:r>
              <w:rPr>
                <w:rFonts w:hint="eastAsia"/>
                <w:b w:val="0"/>
                <w:bCs w:val="0"/>
                <w:color w:val="auto"/>
                <w:spacing w:val="8"/>
                <w:sz w:val="24"/>
                <w:highlight w:val="none"/>
                <w:lang w:eastAsia="zh-CN"/>
              </w:rPr>
              <w:t>。</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526E65DD">
            <w:pPr>
              <w:pStyle w:val="61"/>
              <w:numPr>
                <w:ilvl w:val="0"/>
                <w:numId w:val="0"/>
              </w:numPr>
              <w:adjustRightInd w:val="0"/>
              <w:snapToGrid w:val="0"/>
              <w:spacing w:line="360" w:lineRule="auto"/>
              <w:ind w:leftChars="0"/>
              <w:rPr>
                <w:rFonts w:hint="eastAsia" w:ascii="Times New Roman" w:hAnsi="Times New Roman" w:eastAsia="宋体" w:cs="Times New Roman"/>
                <w:b w:val="0"/>
                <w:bCs w:val="0"/>
                <w:color w:val="auto"/>
                <w:spacing w:val="8"/>
                <w:kern w:val="2"/>
                <w:sz w:val="24"/>
                <w:szCs w:val="24"/>
                <w:lang w:val="en-US" w:eastAsia="zh-CN" w:bidi="ar-SA"/>
              </w:rPr>
            </w:pPr>
            <w:r>
              <w:rPr>
                <w:rFonts w:hint="eastAsia" w:eastAsia="宋体" w:cs="Times New Roman"/>
                <w:b w:val="0"/>
                <w:bCs w:val="0"/>
                <w:color w:val="auto"/>
                <w:spacing w:val="8"/>
                <w:sz w:val="24"/>
                <w:highlight w:val="none"/>
                <w:lang w:val="en-US" w:eastAsia="zh-CN"/>
              </w:rPr>
              <w:t>4</w:t>
            </w:r>
            <w:r>
              <w:rPr>
                <w:rFonts w:hint="eastAsia" w:ascii="Times New Roman" w:hAnsi="Times New Roman" w:eastAsia="宋体" w:cs="Times New Roman"/>
                <w:b w:val="0"/>
                <w:bCs w:val="0"/>
                <w:color w:val="auto"/>
                <w:spacing w:val="8"/>
                <w:kern w:val="2"/>
                <w:sz w:val="24"/>
                <w:szCs w:val="24"/>
                <w:lang w:val="en-US" w:eastAsia="zh-CN" w:bidi="ar-SA"/>
              </w:rPr>
              <w:t>.仪器屏幕尺寸：≥4英寸多点电容式触摸屏，分辨率≥480P,全中文操作界面，可手动输入资料信息。（供货查验）符合得</w:t>
            </w:r>
            <w:r>
              <w:rPr>
                <w:rFonts w:hint="eastAsia" w:ascii="Times New Roman" w:hAnsi="Times New Roman" w:cs="Times New Roman"/>
                <w:b w:val="0"/>
                <w:bCs w:val="0"/>
                <w:color w:val="auto"/>
                <w:spacing w:val="8"/>
                <w:kern w:val="2"/>
                <w:sz w:val="24"/>
                <w:szCs w:val="24"/>
                <w:lang w:val="en-US" w:eastAsia="zh-CN" w:bidi="ar-SA"/>
              </w:rPr>
              <w:t>0.5</w:t>
            </w:r>
            <w:r>
              <w:rPr>
                <w:rFonts w:hint="eastAsia" w:ascii="Times New Roman" w:hAnsi="Times New Roman" w:eastAsia="宋体" w:cs="Times New Roman"/>
                <w:b w:val="0"/>
                <w:bCs w:val="0"/>
                <w:color w:val="auto"/>
                <w:spacing w:val="8"/>
                <w:kern w:val="2"/>
                <w:sz w:val="24"/>
                <w:szCs w:val="24"/>
                <w:lang w:val="en-US" w:eastAsia="zh-CN" w:bidi="ar-SA"/>
              </w:rPr>
              <w:t>分，不符合得0分；</w:t>
            </w:r>
          </w:p>
          <w:p w14:paraId="7BAD925C">
            <w:pPr>
              <w:pStyle w:val="61"/>
              <w:numPr>
                <w:ilvl w:val="0"/>
                <w:numId w:val="0"/>
              </w:numPr>
              <w:adjustRightInd w:val="0"/>
              <w:snapToGrid w:val="0"/>
              <w:spacing w:line="360" w:lineRule="auto"/>
              <w:ind w:leftChars="0"/>
              <w:rPr>
                <w:rFonts w:hint="eastAsia" w:ascii="Times New Roman" w:hAnsi="Times New Roman" w:eastAsia="宋体" w:cs="Times New Roman"/>
                <w:b w:val="0"/>
                <w:bCs w:val="0"/>
                <w:color w:val="auto"/>
                <w:spacing w:val="8"/>
                <w:kern w:val="2"/>
                <w:sz w:val="24"/>
                <w:szCs w:val="24"/>
                <w:lang w:val="en-US" w:eastAsia="zh-CN" w:bidi="ar-SA"/>
              </w:rPr>
            </w:pPr>
            <w:r>
              <w:rPr>
                <w:rFonts w:hint="eastAsia" w:ascii="Times New Roman" w:hAnsi="Times New Roman" w:eastAsia="宋体" w:cs="Times New Roman"/>
                <w:b w:val="0"/>
                <w:bCs w:val="0"/>
                <w:color w:val="auto"/>
                <w:spacing w:val="8"/>
                <w:kern w:val="2"/>
                <w:sz w:val="24"/>
                <w:szCs w:val="24"/>
                <w:lang w:val="en-US" w:eastAsia="zh-CN" w:bidi="ar-SA"/>
              </w:rPr>
              <w:t>5.仪器电池：采用可拆卸电池，无需螺丝刀等工具即可拆卸更换。</w:t>
            </w:r>
            <w:r>
              <w:rPr>
                <w:rFonts w:hint="eastAsia" w:ascii="Times New Roman" w:hAnsi="Times New Roman" w:eastAsia="宋体" w:cs="Times New Roman"/>
                <w:b w:val="0"/>
                <w:bCs w:val="0"/>
                <w:color w:val="auto"/>
                <w:spacing w:val="8"/>
                <w:kern w:val="2"/>
                <w:sz w:val="24"/>
                <w:szCs w:val="24"/>
                <w:lang w:val="zh-CN" w:eastAsia="zh-CN" w:bidi="ar-SA"/>
              </w:rPr>
              <w:t>电池容量应≥</w:t>
            </w:r>
            <w:r>
              <w:rPr>
                <w:rFonts w:hint="eastAsia" w:ascii="Times New Roman" w:hAnsi="Times New Roman" w:eastAsia="宋体" w:cs="Times New Roman"/>
                <w:b w:val="0"/>
                <w:bCs w:val="0"/>
                <w:color w:val="auto"/>
                <w:spacing w:val="8"/>
                <w:kern w:val="2"/>
                <w:sz w:val="24"/>
                <w:szCs w:val="24"/>
                <w:lang w:val="en-US" w:eastAsia="zh-CN" w:bidi="ar-SA"/>
              </w:rPr>
              <w:t>7.4V 25</w:t>
            </w:r>
            <w:r>
              <w:rPr>
                <w:rFonts w:hint="eastAsia" w:ascii="Times New Roman" w:hAnsi="Times New Roman" w:eastAsia="宋体" w:cs="Times New Roman"/>
                <w:b w:val="0"/>
                <w:bCs w:val="0"/>
                <w:color w:val="auto"/>
                <w:spacing w:val="8"/>
                <w:kern w:val="2"/>
                <w:sz w:val="24"/>
                <w:szCs w:val="24"/>
                <w:lang w:val="zh-CN" w:eastAsia="zh-CN" w:bidi="ar-SA"/>
              </w:rPr>
              <w:t>00mAh，</w:t>
            </w:r>
            <w:r>
              <w:rPr>
                <w:rFonts w:hint="eastAsia" w:ascii="Times New Roman" w:hAnsi="Times New Roman" w:eastAsia="宋体" w:cs="Times New Roman"/>
                <w:b w:val="0"/>
                <w:bCs w:val="0"/>
                <w:color w:val="auto"/>
                <w:spacing w:val="8"/>
                <w:kern w:val="2"/>
                <w:sz w:val="24"/>
                <w:szCs w:val="24"/>
                <w:lang w:val="en-US" w:eastAsia="zh-CN" w:bidi="ar-SA"/>
              </w:rPr>
              <w:t>电池可在-20°至+55°之间正常运行工作。</w:t>
            </w:r>
            <w:r>
              <w:rPr>
                <w:rFonts w:hint="eastAsia" w:ascii="Times New Roman" w:hAnsi="Times New Roman" w:eastAsia="宋体" w:cs="Times New Roman"/>
                <w:b w:val="0"/>
                <w:bCs w:val="0"/>
                <w:color w:val="auto"/>
                <w:spacing w:val="8"/>
                <w:kern w:val="2"/>
                <w:sz w:val="24"/>
                <w:szCs w:val="24"/>
                <w:lang w:val="zh-CN" w:eastAsia="zh-CN" w:bidi="ar-SA"/>
              </w:rPr>
              <w:t>满电状态下，连续</w:t>
            </w:r>
            <w:r>
              <w:rPr>
                <w:rFonts w:hint="eastAsia" w:ascii="Times New Roman" w:hAnsi="Times New Roman" w:eastAsia="宋体" w:cs="Times New Roman"/>
                <w:b w:val="0"/>
                <w:bCs w:val="0"/>
                <w:color w:val="auto"/>
                <w:spacing w:val="8"/>
                <w:kern w:val="2"/>
                <w:sz w:val="24"/>
                <w:szCs w:val="24"/>
                <w:lang w:val="en-US" w:eastAsia="zh-CN" w:bidi="ar-SA"/>
              </w:rPr>
              <w:t>主动测试</w:t>
            </w:r>
            <w:r>
              <w:rPr>
                <w:rFonts w:hint="eastAsia" w:ascii="Times New Roman" w:hAnsi="Times New Roman" w:eastAsia="宋体" w:cs="Times New Roman"/>
                <w:b w:val="0"/>
                <w:bCs w:val="0"/>
                <w:color w:val="auto"/>
                <w:spacing w:val="8"/>
                <w:kern w:val="2"/>
                <w:sz w:val="24"/>
                <w:szCs w:val="24"/>
                <w:lang w:val="zh-CN" w:eastAsia="zh-CN" w:bidi="ar-SA"/>
              </w:rPr>
              <w:t>次数应≥</w:t>
            </w:r>
            <w:r>
              <w:rPr>
                <w:rFonts w:hint="eastAsia" w:ascii="Times New Roman" w:hAnsi="Times New Roman" w:eastAsia="宋体" w:cs="Times New Roman"/>
                <w:b w:val="0"/>
                <w:bCs w:val="0"/>
                <w:color w:val="auto"/>
                <w:spacing w:val="8"/>
                <w:kern w:val="2"/>
                <w:sz w:val="24"/>
                <w:szCs w:val="24"/>
                <w:lang w:val="en-US" w:eastAsia="zh-CN" w:bidi="ar-SA"/>
              </w:rPr>
              <w:t>2</w:t>
            </w:r>
            <w:r>
              <w:rPr>
                <w:rFonts w:hint="eastAsia" w:ascii="Times New Roman" w:hAnsi="Times New Roman" w:eastAsia="宋体" w:cs="Times New Roman"/>
                <w:b w:val="0"/>
                <w:bCs w:val="0"/>
                <w:color w:val="auto"/>
                <w:spacing w:val="8"/>
                <w:kern w:val="2"/>
                <w:sz w:val="24"/>
                <w:szCs w:val="24"/>
                <w:lang w:val="zh-CN" w:eastAsia="zh-CN" w:bidi="ar-SA"/>
              </w:rPr>
              <w:t>00次。</w:t>
            </w:r>
            <w:r>
              <w:rPr>
                <w:rFonts w:hint="eastAsia" w:ascii="Times New Roman" w:hAnsi="Times New Roman" w:eastAsia="宋体" w:cs="Times New Roman"/>
                <w:b w:val="0"/>
                <w:bCs w:val="0"/>
                <w:color w:val="auto"/>
                <w:spacing w:val="8"/>
                <w:kern w:val="2"/>
                <w:sz w:val="24"/>
                <w:szCs w:val="24"/>
                <w:lang w:val="en-US" w:eastAsia="zh-CN" w:bidi="ar-SA"/>
              </w:rPr>
              <w:t>电池在开机状态下被拆卸时可在后台生成系统日志，记录拆卸时的登录民警警号，电量比例等信息。符合得</w:t>
            </w:r>
            <w:r>
              <w:rPr>
                <w:rFonts w:hint="eastAsia" w:ascii="Times New Roman" w:hAnsi="Times New Roman" w:cs="Times New Roman"/>
                <w:b w:val="0"/>
                <w:bCs w:val="0"/>
                <w:color w:val="auto"/>
                <w:spacing w:val="8"/>
                <w:kern w:val="2"/>
                <w:sz w:val="24"/>
                <w:szCs w:val="24"/>
                <w:lang w:val="en-US" w:eastAsia="zh-CN" w:bidi="ar-SA"/>
              </w:rPr>
              <w:t>0.5</w:t>
            </w:r>
            <w:r>
              <w:rPr>
                <w:rFonts w:hint="eastAsia" w:ascii="Times New Roman" w:hAnsi="Times New Roman" w:eastAsia="宋体" w:cs="Times New Roman"/>
                <w:b w:val="0"/>
                <w:bCs w:val="0"/>
                <w:color w:val="auto"/>
                <w:spacing w:val="8"/>
                <w:kern w:val="2"/>
                <w:sz w:val="24"/>
                <w:szCs w:val="24"/>
                <w:lang w:val="en-US" w:eastAsia="zh-CN" w:bidi="ar-SA"/>
              </w:rPr>
              <w:t>分，不符合得0分；</w:t>
            </w:r>
          </w:p>
          <w:p w14:paraId="15326D6F">
            <w:pPr>
              <w:spacing w:line="360" w:lineRule="auto"/>
              <w:jc w:val="both"/>
              <w:rPr>
                <w:rFonts w:hint="default" w:ascii="宋体" w:hAnsi="宋体" w:eastAsia="宋体" w:cs="宋体"/>
                <w:bCs/>
                <w:sz w:val="24"/>
                <w:highlight w:val="none"/>
                <w:lang w:val="en-US" w:eastAsia="zh-CN"/>
              </w:rPr>
            </w:pPr>
            <w:r>
              <w:rPr>
                <w:rFonts w:hint="eastAsia" w:ascii="宋体" w:hAnsi="宋体" w:cs="宋体"/>
                <w:b w:val="0"/>
                <w:bCs w:val="0"/>
                <w:color w:val="auto"/>
                <w:sz w:val="24"/>
                <w:szCs w:val="24"/>
                <w:highlight w:val="none"/>
                <w:lang w:val="en-US" w:eastAsia="zh-CN"/>
              </w:rPr>
              <w:t>6.拍照录像功能：仪器需配置像素≥500万的前后双摄像头。检测过程中自动开启前置摄像头，对被测人进行录像及拍照并保存(图片分辨率≥480P)。仪器应能通过后置摄像头拍照并识别录入车牌号和身份证号。夜间还应自动开启补光灯。</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632297B6">
            <w:pPr>
              <w:pStyle w:val="61"/>
              <w:numPr>
                <w:ilvl w:val="0"/>
                <w:numId w:val="0"/>
              </w:numPr>
              <w:adjustRightInd w:val="0"/>
              <w:snapToGrid w:val="0"/>
              <w:spacing w:line="360" w:lineRule="auto"/>
              <w:ind w:leftChars="0"/>
              <w:rPr>
                <w:rFonts w:hint="eastAsia" w:cs="宋体"/>
                <w:b/>
                <w:color w:val="auto"/>
                <w:highlight w:val="none"/>
              </w:rPr>
            </w:pPr>
            <w:r>
              <w:rPr>
                <w:rFonts w:hint="eastAsia" w:ascii="宋体" w:hAnsi="宋体" w:cs="宋体"/>
                <w:color w:val="auto"/>
                <w:sz w:val="24"/>
                <w:szCs w:val="24"/>
                <w:highlight w:val="none"/>
                <w:lang w:val="en-US" w:eastAsia="zh-CN"/>
              </w:rPr>
              <w:t>7.登录方式：</w:t>
            </w:r>
            <w:r>
              <w:rPr>
                <w:rFonts w:hint="eastAsia"/>
                <w:color w:val="auto"/>
                <w:sz w:val="24"/>
                <w:szCs w:val="32"/>
                <w:highlight w:val="none"/>
              </w:rPr>
              <w:t>仪器应支持指纹识别和密码登录等登录方式</w:t>
            </w:r>
            <w:r>
              <w:rPr>
                <w:rFonts w:hint="eastAsia"/>
                <w:color w:val="auto"/>
                <w:sz w:val="24"/>
                <w:szCs w:val="32"/>
                <w:highlight w:val="none"/>
                <w:lang w:eastAsia="zh-CN"/>
              </w:rPr>
              <w:t>，</w:t>
            </w:r>
            <w:r>
              <w:rPr>
                <w:rFonts w:hint="eastAsia"/>
                <w:color w:val="auto"/>
                <w:sz w:val="24"/>
                <w:szCs w:val="32"/>
                <w:highlight w:val="none"/>
              </w:rPr>
              <w:t>仪器应能将指纹与警号绑定，登录同时实现身份验证。</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5328C124">
            <w:pPr>
              <w:pStyle w:val="61"/>
              <w:numPr>
                <w:ilvl w:val="0"/>
                <w:numId w:val="0"/>
              </w:numPr>
              <w:adjustRightInd w:val="0"/>
              <w:snapToGrid w:val="0"/>
              <w:spacing w:line="360" w:lineRule="auto"/>
              <w:ind w:leftChars="0"/>
              <w:rPr>
                <w:rFonts w:hint="eastAsia" w:cs="宋体"/>
                <w:b/>
                <w:color w:val="auto"/>
                <w:highlight w:val="none"/>
              </w:rPr>
            </w:pPr>
            <w:r>
              <w:rPr>
                <w:rFonts w:hint="eastAsia" w:ascii="宋体" w:hAnsi="宋体" w:cs="宋体"/>
                <w:color w:val="auto"/>
                <w:sz w:val="24"/>
                <w:szCs w:val="24"/>
                <w:highlight w:val="none"/>
                <w:lang w:val="en-US" w:eastAsia="zh-CN"/>
              </w:rPr>
              <w:t>8.数据传输功能：</w:t>
            </w:r>
            <w:r>
              <w:rPr>
                <w:color w:val="auto"/>
                <w:spacing w:val="8"/>
                <w:sz w:val="24"/>
                <w:highlight w:val="none"/>
              </w:rPr>
              <w:t>仪器应能通过4G</w:t>
            </w:r>
            <w:r>
              <w:rPr>
                <w:rFonts w:hint="eastAsia"/>
                <w:color w:val="auto"/>
                <w:spacing w:val="8"/>
                <w:sz w:val="24"/>
                <w:highlight w:val="none"/>
                <w:lang w:val="en-US" w:eastAsia="zh-CN"/>
              </w:rPr>
              <w:t>/5G网络</w:t>
            </w:r>
            <w:r>
              <w:rPr>
                <w:rFonts w:hint="eastAsia"/>
                <w:color w:val="auto"/>
                <w:spacing w:val="8"/>
                <w:sz w:val="24"/>
                <w:highlight w:val="none"/>
              </w:rPr>
              <w:t>和蓝牙</w:t>
            </w:r>
            <w:r>
              <w:rPr>
                <w:color w:val="auto"/>
                <w:spacing w:val="8"/>
                <w:sz w:val="24"/>
                <w:highlight w:val="none"/>
              </w:rPr>
              <w:t>方式进行数据传输，自动将检测结果、照片等信息实时上传至后台服务器</w:t>
            </w:r>
            <w:r>
              <w:rPr>
                <w:rFonts w:hint="eastAsia"/>
                <w:color w:val="auto"/>
                <w:spacing w:val="8"/>
                <w:sz w:val="24"/>
                <w:highlight w:val="none"/>
                <w:lang w:eastAsia="zh-CN"/>
              </w:rPr>
              <w:t>，</w:t>
            </w:r>
            <w:r>
              <w:rPr>
                <w:color w:val="auto"/>
                <w:spacing w:val="8"/>
                <w:sz w:val="24"/>
                <w:highlight w:val="none"/>
              </w:rPr>
              <w:t>仪器应能</w:t>
            </w:r>
            <w:r>
              <w:rPr>
                <w:rFonts w:hint="eastAsia"/>
                <w:color w:val="auto"/>
                <w:spacing w:val="8"/>
                <w:sz w:val="24"/>
                <w:highlight w:val="none"/>
              </w:rPr>
              <w:t>自动检测数据是否上传，未上传的数据在连接网络后会自动上传。</w:t>
            </w:r>
            <w:r>
              <w:rPr>
                <w:rFonts w:hint="eastAsia"/>
                <w:color w:val="auto"/>
                <w:spacing w:val="8"/>
                <w:sz w:val="24"/>
                <w:highlight w:val="none"/>
                <w:lang w:val="en-US" w:eastAsia="zh-CN"/>
              </w:rPr>
              <w:t>单机及后台的数据仅能通过专用软件复制下载，无法删除。可以通过智能酒驾管理平台实时监测前端酒精检测仪从开机到关机的全过程运行数据，并在后台生成系统日志。</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3C7B77D6">
            <w:pPr>
              <w:pStyle w:val="61"/>
              <w:numPr>
                <w:ilvl w:val="0"/>
                <w:numId w:val="0"/>
              </w:numPr>
              <w:adjustRightInd w:val="0"/>
              <w:snapToGrid w:val="0"/>
              <w:spacing w:line="360" w:lineRule="auto"/>
              <w:ind w:leftChars="0"/>
              <w:rPr>
                <w:rFonts w:hint="eastAsia" w:cs="宋体"/>
                <w:b/>
                <w:color w:val="auto"/>
                <w:highlight w:val="none"/>
              </w:rPr>
            </w:pPr>
            <w:r>
              <w:rPr>
                <w:rFonts w:hint="eastAsia"/>
                <w:color w:val="auto"/>
                <w:spacing w:val="8"/>
                <w:sz w:val="24"/>
                <w:highlight w:val="none"/>
                <w:lang w:val="en-US" w:eastAsia="zh-CN"/>
              </w:rPr>
              <w:t>9.</w:t>
            </w:r>
            <w:r>
              <w:rPr>
                <w:color w:val="auto"/>
                <w:spacing w:val="8"/>
                <w:sz w:val="24"/>
                <w:highlight w:val="none"/>
                <w:lang w:val="zh-CN"/>
              </w:rPr>
              <w:t>测量联动功能</w:t>
            </w:r>
            <w:r>
              <w:rPr>
                <w:rFonts w:hint="eastAsia" w:ascii="宋体" w:hAnsi="宋体" w:cs="宋体"/>
                <w:color w:val="auto"/>
                <w:kern w:val="0"/>
                <w:sz w:val="24"/>
                <w:szCs w:val="24"/>
                <w:highlight w:val="none"/>
                <w:lang w:val="en-US" w:eastAsia="zh-CN"/>
              </w:rPr>
              <w:t>：</w:t>
            </w:r>
            <w:r>
              <w:rPr>
                <w:color w:val="auto"/>
                <w:spacing w:val="8"/>
                <w:sz w:val="24"/>
                <w:highlight w:val="none"/>
              </w:rPr>
              <w:t>酒精检测仪具备主动模式及连续快速排查模式，快速排查下检测有酒后再用主动模式进行测试取证，保证测量的关联性。</w:t>
            </w:r>
            <w:r>
              <w:rPr>
                <w:rFonts w:hint="eastAsia"/>
                <w:color w:val="auto"/>
                <w:spacing w:val="8"/>
                <w:sz w:val="24"/>
                <w:highlight w:val="none"/>
                <w:lang w:val="en-US" w:eastAsia="zh-CN"/>
              </w:rPr>
              <w:t>快速排查吹气时长≤2秒，3秒≥主动测试连续吹气时长≤5秒。</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720CC67A">
            <w:pPr>
              <w:pStyle w:val="61"/>
              <w:numPr>
                <w:ilvl w:val="0"/>
                <w:numId w:val="0"/>
              </w:numPr>
              <w:adjustRightInd w:val="0"/>
              <w:snapToGrid w:val="0"/>
              <w:spacing w:line="360" w:lineRule="auto"/>
              <w:ind w:leftChars="0"/>
              <w:rPr>
                <w:rFonts w:hint="eastAsia" w:cs="宋体"/>
                <w:b/>
                <w:color w:val="auto"/>
                <w:highlight w:val="none"/>
              </w:rPr>
            </w:pPr>
            <w:r>
              <w:rPr>
                <w:rFonts w:hint="eastAsia" w:ascii="宋体" w:hAnsi="宋体" w:cs="宋体"/>
                <w:color w:val="auto"/>
                <w:sz w:val="24"/>
                <w:szCs w:val="24"/>
                <w:highlight w:val="none"/>
                <w:lang w:val="en-US" w:eastAsia="zh-CN"/>
              </w:rPr>
              <w:t>10.记忆残留：</w:t>
            </w:r>
            <w:r>
              <w:rPr>
                <w:rFonts w:ascii="Times New Roman" w:hAnsi="Times New Roman" w:eastAsia="宋体" w:cs="Times New Roman"/>
                <w:color w:val="auto"/>
                <w:kern w:val="2"/>
                <w:sz w:val="24"/>
                <w:szCs w:val="21"/>
                <w:highlight w:val="none"/>
              </w:rPr>
              <w:t>在对某一给定低浓度乙醇气体进行两次测试之间，注入一次比原浓度高0.400 mg/L的乙醇气体，两次低浓度气体测量的差值应不大于0.0</w:t>
            </w:r>
            <w:r>
              <w:rPr>
                <w:rFonts w:hint="eastAsia" w:ascii="Times New Roman" w:hAnsi="Times New Roman" w:cs="Times New Roman"/>
                <w:color w:val="auto"/>
                <w:kern w:val="2"/>
                <w:sz w:val="24"/>
                <w:szCs w:val="21"/>
                <w:highlight w:val="none"/>
                <w:lang w:val="en-US" w:eastAsia="zh-CN"/>
              </w:rPr>
              <w:t>05</w:t>
            </w:r>
            <w:r>
              <w:rPr>
                <w:rFonts w:ascii="Times New Roman" w:hAnsi="Times New Roman" w:eastAsia="宋体" w:cs="Times New Roman"/>
                <w:color w:val="auto"/>
                <w:kern w:val="2"/>
                <w:sz w:val="24"/>
                <w:szCs w:val="21"/>
                <w:highlight w:val="none"/>
              </w:rPr>
              <w:t>mg/L</w:t>
            </w:r>
            <w:r>
              <w:rPr>
                <w:rFonts w:hint="eastAsia" w:ascii="Times New Roman" w:hAnsi="Times New Roman" w:eastAsia="宋体" w:cs="Times New Roman"/>
                <w:color w:val="auto"/>
                <w:kern w:val="2"/>
                <w:sz w:val="24"/>
                <w:szCs w:val="21"/>
                <w:highlight w:val="none"/>
                <w:lang w:eastAsia="zh-CN"/>
              </w:rPr>
              <w:t>。</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4CF234A8">
            <w:pPr>
              <w:pStyle w:val="61"/>
              <w:numPr>
                <w:ilvl w:val="0"/>
                <w:numId w:val="0"/>
              </w:numPr>
              <w:adjustRightInd w:val="0"/>
              <w:snapToGrid w:val="0"/>
              <w:spacing w:line="360" w:lineRule="auto"/>
              <w:ind w:leftChars="0"/>
              <w:rPr>
                <w:rFonts w:hint="eastAsia" w:cs="宋体"/>
                <w:b/>
                <w:color w:val="auto"/>
                <w:highlight w:val="none"/>
              </w:rPr>
            </w:pPr>
            <w:r>
              <w:rPr>
                <w:rFonts w:hint="eastAsia"/>
                <w:color w:val="auto"/>
                <w:spacing w:val="8"/>
                <w:sz w:val="24"/>
                <w:highlight w:val="none"/>
                <w:lang w:val="en-US" w:eastAsia="zh-CN"/>
              </w:rPr>
              <w:t>11.</w:t>
            </w:r>
            <w:r>
              <w:rPr>
                <w:color w:val="auto"/>
                <w:spacing w:val="8"/>
                <w:sz w:val="24"/>
                <w:highlight w:val="none"/>
              </w:rPr>
              <w:t>现场打印执法单据功能</w:t>
            </w:r>
            <w:r>
              <w:rPr>
                <w:rFonts w:hint="eastAsia"/>
                <w:color w:val="auto"/>
                <w:spacing w:val="8"/>
                <w:sz w:val="24"/>
                <w:highlight w:val="none"/>
                <w:lang w:eastAsia="zh-CN"/>
              </w:rPr>
              <w:t>：</w:t>
            </w:r>
            <w:r>
              <w:rPr>
                <w:color w:val="auto"/>
                <w:spacing w:val="8"/>
                <w:sz w:val="24"/>
                <w:highlight w:val="none"/>
              </w:rPr>
              <w:t>仪器应内置打印机，能现场打印酒检执法单据，打印信息应包含被测人信息</w:t>
            </w:r>
            <w:r>
              <w:rPr>
                <w:rFonts w:hint="eastAsia"/>
                <w:color w:val="auto"/>
                <w:spacing w:val="8"/>
                <w:sz w:val="24"/>
                <w:highlight w:val="none"/>
              </w:rPr>
              <w:t>（</w:t>
            </w:r>
            <w:r>
              <w:rPr>
                <w:color w:val="auto"/>
                <w:spacing w:val="8"/>
                <w:sz w:val="24"/>
                <w:highlight w:val="none"/>
              </w:rPr>
              <w:t>姓名、身份证、驾驶证、车牌号等</w:t>
            </w:r>
            <w:r>
              <w:rPr>
                <w:rFonts w:hint="eastAsia"/>
                <w:color w:val="auto"/>
                <w:spacing w:val="8"/>
                <w:sz w:val="24"/>
                <w:highlight w:val="none"/>
              </w:rPr>
              <w:t>）</w:t>
            </w:r>
            <w:r>
              <w:rPr>
                <w:color w:val="auto"/>
                <w:spacing w:val="8"/>
                <w:sz w:val="24"/>
                <w:highlight w:val="none"/>
              </w:rPr>
              <w:t>、测试人信息</w:t>
            </w:r>
            <w:r>
              <w:rPr>
                <w:rFonts w:hint="eastAsia"/>
                <w:color w:val="auto"/>
                <w:spacing w:val="8"/>
                <w:sz w:val="24"/>
                <w:highlight w:val="none"/>
              </w:rPr>
              <w:t>（</w:t>
            </w:r>
            <w:r>
              <w:rPr>
                <w:color w:val="auto"/>
                <w:spacing w:val="8"/>
                <w:sz w:val="24"/>
                <w:highlight w:val="none"/>
              </w:rPr>
              <w:t>姓名、</w:t>
            </w:r>
            <w:r>
              <w:rPr>
                <w:rFonts w:hint="eastAsia"/>
                <w:color w:val="auto"/>
                <w:spacing w:val="8"/>
                <w:sz w:val="24"/>
                <w:highlight w:val="none"/>
              </w:rPr>
              <w:t>警号</w:t>
            </w:r>
            <w:r>
              <w:rPr>
                <w:color w:val="auto"/>
                <w:spacing w:val="8"/>
                <w:sz w:val="24"/>
                <w:highlight w:val="none"/>
              </w:rPr>
              <w:t>、</w:t>
            </w:r>
            <w:r>
              <w:rPr>
                <w:rFonts w:hint="eastAsia"/>
                <w:color w:val="auto"/>
                <w:spacing w:val="8"/>
                <w:sz w:val="24"/>
                <w:highlight w:val="none"/>
              </w:rPr>
              <w:t>单位等）</w:t>
            </w:r>
            <w:r>
              <w:rPr>
                <w:color w:val="auto"/>
                <w:spacing w:val="8"/>
                <w:sz w:val="24"/>
                <w:highlight w:val="none"/>
              </w:rPr>
              <w:t>、设备编号、酒检测试数值及结果信息、时间及定位信息、现场照片等。</w:t>
            </w:r>
            <w:r>
              <w:rPr>
                <w:rFonts w:hint="eastAsia"/>
                <w:color w:val="auto"/>
                <w:spacing w:val="8"/>
                <w:sz w:val="24"/>
                <w:highlight w:val="none"/>
                <w:lang w:val="en-US" w:eastAsia="zh-CN"/>
              </w:rPr>
              <w:t>打印纸宽度≥56毫米、打印速度≥50毫米/秒，打印结果避光情况下保存时间≥2年。</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2394C597">
            <w:pPr>
              <w:pStyle w:val="61"/>
              <w:numPr>
                <w:ilvl w:val="0"/>
                <w:numId w:val="0"/>
              </w:numPr>
              <w:adjustRightInd w:val="0"/>
              <w:snapToGrid w:val="0"/>
              <w:spacing w:line="360" w:lineRule="auto"/>
              <w:ind w:leftChars="0"/>
              <w:rPr>
                <w:rFonts w:hint="eastAsia" w:cs="宋体"/>
                <w:b/>
                <w:color w:val="auto"/>
              </w:rPr>
            </w:pPr>
            <w:r>
              <w:rPr>
                <w:rFonts w:hint="eastAsia"/>
                <w:color w:val="auto"/>
                <w:spacing w:val="8"/>
                <w:sz w:val="24"/>
                <w:lang w:val="en-US" w:eastAsia="zh-CN"/>
              </w:rPr>
              <w:t>12.</w:t>
            </w:r>
            <w:r>
              <w:rPr>
                <w:color w:val="auto"/>
                <w:spacing w:val="8"/>
                <w:sz w:val="24"/>
              </w:rPr>
              <w:t>年检提醒功能</w:t>
            </w:r>
            <w:r>
              <w:rPr>
                <w:rFonts w:hint="eastAsia"/>
                <w:color w:val="auto"/>
                <w:spacing w:val="8"/>
                <w:sz w:val="24"/>
                <w:lang w:eastAsia="zh-CN"/>
              </w:rPr>
              <w:t>：</w:t>
            </w:r>
            <w:r>
              <w:rPr>
                <w:rFonts w:hint="eastAsia"/>
                <w:color w:val="auto"/>
                <w:spacing w:val="8"/>
                <w:sz w:val="24"/>
              </w:rPr>
              <w:t>仪器应具有年检提醒功能</w:t>
            </w:r>
            <w:r>
              <w:rPr>
                <w:rFonts w:hint="eastAsia"/>
                <w:color w:val="auto"/>
                <w:spacing w:val="8"/>
                <w:sz w:val="24"/>
                <w:lang w:eastAsia="zh-CN"/>
              </w:rPr>
              <w:t>，</w:t>
            </w:r>
            <w:r>
              <w:rPr>
                <w:rFonts w:hint="eastAsia"/>
                <w:color w:val="auto"/>
                <w:spacing w:val="8"/>
                <w:sz w:val="24"/>
                <w:lang w:val="en-US" w:eastAsia="zh-CN"/>
              </w:rPr>
              <w:t>提前一个月预警</w:t>
            </w:r>
            <w:r>
              <w:rPr>
                <w:rFonts w:hint="eastAsia"/>
                <w:color w:val="auto"/>
                <w:spacing w:val="8"/>
                <w:sz w:val="24"/>
              </w:rPr>
              <w:t>。</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52163572">
            <w:pPr>
              <w:pStyle w:val="61"/>
              <w:numPr>
                <w:ilvl w:val="0"/>
                <w:numId w:val="0"/>
              </w:numPr>
              <w:adjustRightInd w:val="0"/>
              <w:snapToGrid w:val="0"/>
              <w:spacing w:line="360" w:lineRule="auto"/>
              <w:ind w:leftChars="0"/>
              <w:rPr>
                <w:rFonts w:hint="eastAsia" w:cs="宋体"/>
                <w:b/>
                <w:color w:val="auto"/>
              </w:rPr>
            </w:pPr>
            <w:r>
              <w:rPr>
                <w:rFonts w:hint="eastAsia" w:ascii="宋体" w:hAnsi="宋体" w:eastAsia="宋体" w:cs="宋体"/>
                <w:bCs/>
                <w:color w:val="000000"/>
                <w:sz w:val="24"/>
                <w:szCs w:val="24"/>
                <w:highlight w:val="none"/>
                <w:lang w:val="en-US" w:eastAsia="zh-CN"/>
              </w:rPr>
              <w:t>13.</w:t>
            </w:r>
            <w:r>
              <w:rPr>
                <w:rFonts w:hint="eastAsia" w:ascii="宋体" w:hAnsi="宋体" w:eastAsia="宋体" w:cs="宋体"/>
                <w:bCs/>
                <w:color w:val="000000"/>
                <w:sz w:val="24"/>
                <w:szCs w:val="24"/>
                <w:highlight w:val="none"/>
                <w:lang w:val="zh-CN"/>
              </w:rPr>
              <w:t>接口：酒精检测仪具有Type-C</w:t>
            </w:r>
            <w:r>
              <w:rPr>
                <w:rFonts w:hint="eastAsia" w:ascii="宋体" w:hAnsi="宋体" w:eastAsia="宋体" w:cs="宋体"/>
                <w:bCs/>
                <w:color w:val="000000"/>
                <w:sz w:val="24"/>
                <w:szCs w:val="24"/>
                <w:highlight w:val="none"/>
                <w:lang w:val="en-US" w:eastAsia="zh-CN"/>
              </w:rPr>
              <w:t>数据</w:t>
            </w:r>
            <w:r>
              <w:rPr>
                <w:rFonts w:hint="eastAsia" w:ascii="宋体" w:hAnsi="宋体" w:eastAsia="宋体" w:cs="宋体"/>
                <w:bCs/>
                <w:color w:val="000000"/>
                <w:sz w:val="24"/>
                <w:szCs w:val="24"/>
                <w:highlight w:val="none"/>
                <w:lang w:val="zh-CN"/>
              </w:rPr>
              <w:t>接口。</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6518CD15">
            <w:pPr>
              <w:pStyle w:val="61"/>
              <w:numPr>
                <w:ilvl w:val="0"/>
                <w:numId w:val="0"/>
              </w:numPr>
              <w:adjustRightInd w:val="0"/>
              <w:snapToGrid w:val="0"/>
              <w:spacing w:line="360" w:lineRule="auto"/>
              <w:ind w:leftChars="0"/>
              <w:rPr>
                <w:rFonts w:hint="eastAsia" w:cs="宋体"/>
                <w:b/>
                <w:bCs/>
                <w:color w:val="auto"/>
                <w:highlight w:val="none"/>
              </w:rPr>
            </w:pPr>
            <w:r>
              <w:rPr>
                <w:rFonts w:hint="eastAsia" w:ascii="宋体" w:hAnsi="宋体" w:cs="宋体"/>
                <w:color w:val="auto"/>
                <w:sz w:val="24"/>
                <w:szCs w:val="24"/>
                <w:lang w:val="en-US" w:eastAsia="zh-CN"/>
              </w:rPr>
              <w:t>14.语</w:t>
            </w:r>
            <w:r>
              <w:rPr>
                <w:rFonts w:hint="eastAsia" w:eastAsia="宋体" w:cs="Times New Roman"/>
                <w:color w:val="auto"/>
                <w:spacing w:val="8"/>
                <w:sz w:val="24"/>
                <w:lang w:val="en-US" w:eastAsia="zh-CN"/>
              </w:rPr>
              <w:t>音播报功能：</w:t>
            </w:r>
            <w:r>
              <w:rPr>
                <w:rFonts w:eastAsia="宋体" w:cs="Times New Roman"/>
                <w:color w:val="auto"/>
                <w:spacing w:val="8"/>
                <w:sz w:val="24"/>
              </w:rPr>
              <w:t>仪器应具有语音播报功能，</w:t>
            </w:r>
            <w:r>
              <w:rPr>
                <w:rFonts w:hint="eastAsia" w:eastAsia="宋体" w:cs="Times New Roman"/>
                <w:color w:val="auto"/>
                <w:spacing w:val="8"/>
                <w:sz w:val="24"/>
                <w:lang w:val="en-US" w:eastAsia="zh-CN"/>
              </w:rPr>
              <w:t>在检测过程中全程语音操作提示，在检测过程中需要有提示词和警示语</w:t>
            </w:r>
            <w:r>
              <w:rPr>
                <w:rFonts w:eastAsia="宋体" w:cs="Times New Roman"/>
                <w:color w:val="auto"/>
                <w:spacing w:val="8"/>
                <w:sz w:val="24"/>
                <w:highlight w:val="none"/>
              </w:rPr>
              <w:t>。</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25D0EB6B">
            <w:pPr>
              <w:pStyle w:val="61"/>
              <w:numPr>
                <w:ilvl w:val="0"/>
                <w:numId w:val="0"/>
              </w:numPr>
              <w:adjustRightInd w:val="0"/>
              <w:snapToGrid w:val="0"/>
              <w:spacing w:line="360" w:lineRule="auto"/>
              <w:ind w:leftChars="0"/>
              <w:rPr>
                <w:rFonts w:hint="eastAsia" w:ascii="宋体" w:hAnsi="宋体" w:eastAsia="宋体" w:cs="宋体"/>
                <w:bCs/>
                <w:sz w:val="24"/>
                <w:highlight w:val="none"/>
                <w:lang w:val="en-US" w:eastAsia="zh-CN"/>
              </w:rPr>
            </w:pPr>
            <w:r>
              <w:rPr>
                <w:rFonts w:hint="eastAsia" w:eastAsia="宋体" w:cs="Times New Roman"/>
                <w:color w:val="auto"/>
                <w:spacing w:val="8"/>
                <w:sz w:val="24"/>
                <w:highlight w:val="none"/>
                <w:lang w:val="en-US" w:eastAsia="zh-CN"/>
              </w:rPr>
              <w:t>15.数据存储：酒精检测仪数据存储≥100000条。</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169DF91D">
            <w:pPr>
              <w:pStyle w:val="61"/>
              <w:numPr>
                <w:ilvl w:val="0"/>
                <w:numId w:val="0"/>
              </w:numPr>
              <w:adjustRightInd w:val="0"/>
              <w:snapToGrid w:val="0"/>
              <w:spacing w:line="360" w:lineRule="auto"/>
              <w:ind w:leftChars="0"/>
              <w:rPr>
                <w:rFonts w:hint="eastAsia" w:eastAsia="宋体" w:cs="Times New Roman"/>
                <w:color w:val="auto"/>
                <w:spacing w:val="8"/>
                <w:sz w:val="24"/>
              </w:rPr>
            </w:pPr>
            <w:r>
              <w:rPr>
                <w:rFonts w:hint="eastAsia" w:eastAsia="宋体" w:cs="Times New Roman"/>
                <w:color w:val="auto"/>
                <w:spacing w:val="8"/>
                <w:sz w:val="24"/>
                <w:lang w:val="en-US" w:eastAsia="zh-CN"/>
              </w:rPr>
              <w:t>16.配件</w:t>
            </w:r>
            <w:r>
              <w:rPr>
                <w:rFonts w:hint="eastAsia" w:cs="Times New Roman"/>
                <w:color w:val="auto"/>
                <w:spacing w:val="8"/>
                <w:sz w:val="24"/>
                <w:highlight w:val="none"/>
                <w:lang w:val="en-US" w:eastAsia="zh-CN"/>
              </w:rPr>
              <w:t>（每台机器配备）</w:t>
            </w:r>
            <w:r>
              <w:rPr>
                <w:rFonts w:hint="eastAsia" w:eastAsia="宋体" w:cs="Times New Roman"/>
                <w:color w:val="auto"/>
                <w:spacing w:val="8"/>
                <w:sz w:val="24"/>
                <w:highlight w:val="none"/>
                <w:lang w:val="en-US" w:eastAsia="zh-CN"/>
              </w:rPr>
              <w:t>：</w:t>
            </w:r>
            <w:r>
              <w:rPr>
                <w:rFonts w:hint="eastAsia" w:eastAsia="宋体" w:cs="Times New Roman"/>
                <w:color w:val="auto"/>
                <w:spacing w:val="8"/>
                <w:sz w:val="24"/>
                <w:highlight w:val="none"/>
              </w:rPr>
              <w:t>源适配器，车载充电器，USB数据线、一次性吹管</w:t>
            </w:r>
            <w:r>
              <w:rPr>
                <w:rFonts w:hint="eastAsia" w:cs="Times New Roman"/>
                <w:color w:val="auto"/>
                <w:spacing w:val="8"/>
                <w:sz w:val="24"/>
                <w:highlight w:val="none"/>
                <w:lang w:val="en-US" w:eastAsia="zh-CN"/>
              </w:rPr>
              <w:t>200</w:t>
            </w:r>
            <w:r>
              <w:rPr>
                <w:rFonts w:hint="eastAsia" w:eastAsia="宋体" w:cs="Times New Roman"/>
                <w:color w:val="auto"/>
                <w:spacing w:val="8"/>
                <w:sz w:val="24"/>
              </w:rPr>
              <w:t>支、热敏打印纸</w:t>
            </w:r>
            <w:r>
              <w:rPr>
                <w:rFonts w:hint="eastAsia" w:cs="Times New Roman"/>
                <w:color w:val="auto"/>
                <w:spacing w:val="8"/>
                <w:sz w:val="24"/>
                <w:lang w:val="en-US" w:eastAsia="zh-CN"/>
              </w:rPr>
              <w:t>6</w:t>
            </w:r>
            <w:r>
              <w:rPr>
                <w:rFonts w:hint="eastAsia" w:eastAsia="宋体" w:cs="Times New Roman"/>
                <w:color w:val="auto"/>
                <w:spacing w:val="8"/>
                <w:sz w:val="24"/>
              </w:rPr>
              <w:t>卷、主机皮套、仪器箱、说明书。</w:t>
            </w:r>
            <w:r>
              <w:rPr>
                <w:rFonts w:hint="eastAsia" w:ascii="宋体" w:hAnsi="宋体" w:eastAsia="宋体" w:cs="宋体"/>
                <w:bCs/>
                <w:sz w:val="24"/>
                <w:highlight w:val="none"/>
                <w:lang w:val="en-US" w:eastAsia="zh-CN"/>
              </w:rPr>
              <w:t>符合得</w:t>
            </w:r>
            <w:r>
              <w:rPr>
                <w:rFonts w:hint="eastAsia" w:ascii="宋体" w:hAnsi="宋体" w:cs="宋体"/>
                <w:bCs/>
                <w:sz w:val="24"/>
                <w:highlight w:val="none"/>
                <w:lang w:val="en-US" w:eastAsia="zh-CN"/>
              </w:rPr>
              <w:t>0.5</w:t>
            </w:r>
            <w:r>
              <w:rPr>
                <w:rFonts w:hint="eastAsia" w:ascii="宋体" w:hAnsi="宋体" w:eastAsia="宋体" w:cs="宋体"/>
                <w:bCs/>
                <w:sz w:val="24"/>
                <w:highlight w:val="none"/>
                <w:lang w:val="en-US" w:eastAsia="zh-CN"/>
              </w:rPr>
              <w:t>分，不符合得0分；</w:t>
            </w:r>
          </w:p>
          <w:p w14:paraId="33FB1359">
            <w:pPr>
              <w:pStyle w:val="61"/>
              <w:numPr>
                <w:ilvl w:val="0"/>
                <w:numId w:val="0"/>
              </w:numPr>
              <w:adjustRightInd w:val="0"/>
              <w:snapToGrid w:val="0"/>
              <w:spacing w:line="360" w:lineRule="auto"/>
              <w:ind w:leftChars="0"/>
              <w:rPr>
                <w:rFonts w:hint="eastAsia" w:cs="宋体"/>
                <w:b/>
                <w:color w:val="auto"/>
              </w:rPr>
            </w:pPr>
          </w:p>
          <w:p w14:paraId="3428E7EB">
            <w:pPr>
              <w:pStyle w:val="61"/>
              <w:numPr>
                <w:ilvl w:val="0"/>
                <w:numId w:val="0"/>
              </w:numPr>
              <w:adjustRightInd w:val="0"/>
              <w:snapToGrid w:val="0"/>
              <w:spacing w:line="360" w:lineRule="auto"/>
              <w:ind w:leftChars="0"/>
              <w:rPr>
                <w:rFonts w:hint="default" w:ascii="宋体" w:hAnsi="宋体" w:eastAsia="宋体" w:cs="宋体"/>
                <w:bCs/>
                <w:sz w:val="24"/>
                <w:highlight w:val="none"/>
                <w:lang w:val="en-US" w:eastAsia="zh-CN"/>
              </w:rPr>
            </w:pPr>
            <w:r>
              <w:rPr>
                <w:rFonts w:hint="eastAsia" w:ascii="宋体" w:hAnsi="宋体" w:eastAsia="Calibri" w:cs="宋体"/>
                <w:bCs/>
                <w:sz w:val="24"/>
                <w:lang w:eastAsia="zh-CN"/>
              </w:rPr>
              <w:t>评审依据：</w:t>
            </w:r>
            <w:r>
              <w:rPr>
                <w:rFonts w:hint="eastAsia" w:ascii="宋体" w:hAnsi="宋体" w:eastAsia="Calibri" w:cs="宋体"/>
                <w:bCs/>
                <w:sz w:val="24"/>
                <w:lang w:val="en-US" w:eastAsia="zh-CN"/>
              </w:rPr>
              <w:t>技术偏离表及供应商提供的检测报告、彩页、说明书等书面文字资料。</w:t>
            </w:r>
          </w:p>
          <w:p w14:paraId="086E2FB3">
            <w:pPr>
              <w:spacing w:line="360" w:lineRule="auto"/>
              <w:jc w:val="both"/>
              <w:rPr>
                <w:rFonts w:hint="eastAsia" w:ascii="宋体" w:hAnsi="宋体" w:eastAsia="Calibri" w:cs="宋体"/>
                <w:bCs/>
                <w:sz w:val="24"/>
              </w:rPr>
            </w:pPr>
          </w:p>
        </w:tc>
        <w:tc>
          <w:tcPr>
            <w:tcW w:w="471" w:type="pct"/>
            <w:tcBorders>
              <w:top w:val="single" w:color="auto" w:sz="4" w:space="0"/>
              <w:left w:val="single" w:color="auto" w:sz="4" w:space="0"/>
              <w:bottom w:val="single" w:color="auto" w:sz="4" w:space="0"/>
              <w:right w:val="single" w:color="auto" w:sz="4" w:space="0"/>
            </w:tcBorders>
            <w:noWrap/>
            <w:vAlign w:val="center"/>
          </w:tcPr>
          <w:p w14:paraId="488FD53F">
            <w:pPr>
              <w:widowControl/>
              <w:spacing w:line="480" w:lineRule="auto"/>
              <w:rPr>
                <w:rFonts w:hint="default" w:ascii="宋体" w:hAnsi="宋体" w:eastAsia="宋体" w:cs="宋体"/>
                <w:bCs/>
                <w:sz w:val="24"/>
                <w:lang w:val="en-US" w:eastAsia="zh-CN"/>
              </w:rPr>
            </w:pPr>
            <w:r>
              <w:rPr>
                <w:rFonts w:hint="eastAsia" w:ascii="宋体" w:hAnsi="宋体" w:cs="宋体"/>
                <w:bCs/>
                <w:sz w:val="24"/>
                <w:lang w:val="en-US" w:eastAsia="zh-CN"/>
              </w:rPr>
              <w:t>8</w:t>
            </w:r>
            <w:r>
              <w:rPr>
                <w:rFonts w:hint="eastAsia" w:ascii="宋体" w:hAnsi="宋体" w:eastAsia="宋体" w:cs="宋体"/>
                <w:bCs/>
                <w:sz w:val="24"/>
                <w:lang w:val="en-US" w:eastAsia="zh-CN"/>
              </w:rPr>
              <w:t>分</w:t>
            </w:r>
          </w:p>
        </w:tc>
      </w:tr>
      <w:tr w14:paraId="0E0A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6D10994F">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呼气酒精测试仪</w:t>
            </w:r>
          </w:p>
        </w:tc>
        <w:tc>
          <w:tcPr>
            <w:tcW w:w="3866" w:type="pct"/>
            <w:tcBorders>
              <w:top w:val="single" w:color="auto" w:sz="4" w:space="0"/>
              <w:left w:val="single" w:color="auto" w:sz="4" w:space="0"/>
              <w:bottom w:val="single" w:color="auto" w:sz="4" w:space="0"/>
              <w:right w:val="single" w:color="auto" w:sz="4" w:space="0"/>
            </w:tcBorders>
            <w:noWrap/>
            <w:vAlign w:val="top"/>
          </w:tcPr>
          <w:p w14:paraId="4DCE0639">
            <w:pPr>
              <w:widowControl/>
              <w:spacing w:line="480" w:lineRule="auto"/>
              <w:rPr>
                <w:rFonts w:hint="default" w:ascii="宋体" w:hAnsi="宋体" w:eastAsia="宋体" w:cs="宋体"/>
                <w:bCs/>
                <w:sz w:val="24"/>
                <w:lang w:val="en-US" w:eastAsia="zh-CN"/>
              </w:rPr>
            </w:pPr>
            <w:r>
              <w:rPr>
                <w:rFonts w:hint="eastAsia" w:ascii="宋体" w:hAnsi="宋体" w:eastAsia="Calibri" w:cs="宋体"/>
                <w:bCs/>
                <w:sz w:val="24"/>
                <w:lang w:val="en-US" w:eastAsia="zh-CN"/>
              </w:rPr>
              <w:t>1、</w:t>
            </w:r>
            <w:r>
              <w:rPr>
                <w:rFonts w:hint="eastAsia" w:ascii="宋体" w:hAnsi="宋体" w:eastAsia="宋体" w:cs="宋体"/>
                <w:bCs/>
                <w:sz w:val="24"/>
                <w:lang w:val="en-US" w:eastAsia="zh-CN"/>
              </w:rPr>
              <w:t>预热时间：预热时间≤5秒得</w:t>
            </w:r>
            <w:r>
              <w:rPr>
                <w:rFonts w:hint="eastAsia" w:ascii="宋体" w:hAnsi="宋体" w:cs="宋体"/>
                <w:bCs/>
                <w:sz w:val="24"/>
                <w:lang w:val="en-US" w:eastAsia="zh-CN"/>
              </w:rPr>
              <w:t>2</w:t>
            </w:r>
            <w:r>
              <w:rPr>
                <w:rFonts w:hint="eastAsia" w:ascii="宋体" w:hAnsi="宋体" w:eastAsia="宋体" w:cs="宋体"/>
                <w:bCs/>
                <w:sz w:val="24"/>
                <w:lang w:val="en-US" w:eastAsia="zh-CN"/>
              </w:rPr>
              <w:t>分；5秒＜预热时间≤20秒得</w:t>
            </w:r>
            <w:r>
              <w:rPr>
                <w:rFonts w:hint="eastAsia" w:ascii="宋体" w:hAnsi="宋体" w:cs="宋体"/>
                <w:bCs/>
                <w:sz w:val="24"/>
                <w:lang w:val="en-US" w:eastAsia="zh-CN"/>
              </w:rPr>
              <w:t>1</w:t>
            </w:r>
            <w:r>
              <w:rPr>
                <w:rFonts w:hint="eastAsia" w:ascii="宋体" w:hAnsi="宋体" w:eastAsia="宋体" w:cs="宋体"/>
                <w:bCs/>
                <w:sz w:val="24"/>
                <w:lang w:val="en-US" w:eastAsia="zh-CN"/>
              </w:rPr>
              <w:t>分，20秒＜预热时间≤50秒得</w:t>
            </w:r>
            <w:r>
              <w:rPr>
                <w:rFonts w:hint="eastAsia" w:ascii="宋体" w:hAnsi="宋体" w:cs="宋体"/>
                <w:bCs/>
                <w:sz w:val="24"/>
                <w:lang w:val="en-US" w:eastAsia="zh-CN"/>
              </w:rPr>
              <w:t>0.5</w:t>
            </w:r>
            <w:r>
              <w:rPr>
                <w:rFonts w:hint="eastAsia" w:ascii="宋体" w:hAnsi="宋体" w:eastAsia="宋体" w:cs="宋体"/>
                <w:bCs/>
                <w:sz w:val="24"/>
                <w:lang w:val="en-US" w:eastAsia="zh-CN"/>
              </w:rPr>
              <w:t>分；</w:t>
            </w:r>
          </w:p>
          <w:p w14:paraId="1654DB15">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2、最大允许误差：</w:t>
            </w:r>
            <w:r>
              <w:rPr>
                <w:rFonts w:hint="eastAsia" w:ascii="宋体" w:hAnsi="宋体" w:eastAsia="Calibri" w:cs="宋体"/>
                <w:bCs/>
                <w:sz w:val="24"/>
              </w:rPr>
              <w:t>0.070 mg/L＜C≤0.100 mg/L 时，0mg/L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04</w:t>
            </w:r>
            <w:r>
              <w:rPr>
                <w:rFonts w:hint="eastAsia" w:ascii="宋体" w:hAnsi="宋体" w:eastAsia="Calibri" w:cs="宋体"/>
                <w:bCs/>
                <w:sz w:val="24"/>
              </w:rPr>
              <w:t xml:space="preserve"> mg/L</w:t>
            </w:r>
            <w:r>
              <w:rPr>
                <w:rFonts w:hint="eastAsia" w:ascii="宋体" w:hAnsi="宋体" w:eastAsia="Calibri" w:cs="宋体"/>
                <w:bCs/>
                <w:sz w:val="24"/>
                <w:lang w:val="en-US" w:eastAsia="zh-CN"/>
              </w:rPr>
              <w:t>得2分；</w:t>
            </w:r>
            <w:r>
              <w:rPr>
                <w:rFonts w:hint="eastAsia" w:ascii="宋体" w:hAnsi="宋体" w:eastAsia="Calibri" w:cs="宋体"/>
                <w:bCs/>
                <w:sz w:val="24"/>
              </w:rPr>
              <w:t>-0.0</w:t>
            </w:r>
            <w:r>
              <w:rPr>
                <w:rFonts w:hint="eastAsia" w:ascii="宋体" w:hAnsi="宋体" w:eastAsia="Calibri" w:cs="宋体"/>
                <w:bCs/>
                <w:sz w:val="24"/>
                <w:lang w:val="en-US" w:eastAsia="zh-CN"/>
              </w:rPr>
              <w:t>04</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10</w:t>
            </w:r>
            <w:r>
              <w:rPr>
                <w:rFonts w:hint="eastAsia" w:ascii="宋体" w:hAnsi="宋体" w:eastAsia="Calibri" w:cs="宋体"/>
                <w:bCs/>
                <w:sz w:val="24"/>
              </w:rPr>
              <w:t>mg/L</w:t>
            </w:r>
            <w:r>
              <w:rPr>
                <w:rFonts w:hint="eastAsia" w:ascii="宋体" w:hAnsi="宋体" w:eastAsia="Calibri" w:cs="宋体"/>
                <w:bCs/>
                <w:sz w:val="24"/>
                <w:lang w:val="en-US" w:eastAsia="zh-CN"/>
              </w:rPr>
              <w:t>得1分；</w:t>
            </w:r>
            <w:r>
              <w:rPr>
                <w:rFonts w:hint="eastAsia" w:ascii="宋体" w:hAnsi="宋体" w:eastAsia="Calibri" w:cs="宋体"/>
                <w:bCs/>
                <w:sz w:val="24"/>
              </w:rPr>
              <w:t>-0.0</w:t>
            </w:r>
            <w:r>
              <w:rPr>
                <w:rFonts w:hint="eastAsia" w:ascii="宋体" w:hAnsi="宋体" w:eastAsia="Calibri" w:cs="宋体"/>
                <w:bCs/>
                <w:sz w:val="24"/>
                <w:lang w:val="en-US" w:eastAsia="zh-CN"/>
              </w:rPr>
              <w:t>10</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40</w:t>
            </w:r>
            <w:r>
              <w:rPr>
                <w:rFonts w:hint="eastAsia" w:ascii="宋体" w:hAnsi="宋体" w:eastAsia="Calibri" w:cs="宋体"/>
                <w:bCs/>
                <w:sz w:val="24"/>
              </w:rPr>
              <w:t>mg/L</w:t>
            </w:r>
            <w:r>
              <w:rPr>
                <w:rFonts w:hint="eastAsia" w:ascii="宋体" w:hAnsi="宋体" w:eastAsia="Calibri" w:cs="宋体"/>
                <w:bCs/>
                <w:sz w:val="24"/>
                <w:lang w:val="en-US" w:eastAsia="zh-CN"/>
              </w:rPr>
              <w:t>得0.5分</w:t>
            </w:r>
            <w:r>
              <w:rPr>
                <w:rFonts w:hint="eastAsia" w:ascii="宋体" w:hAnsi="宋体" w:eastAsia="Calibri" w:cs="宋体"/>
                <w:bCs/>
                <w:sz w:val="24"/>
                <w:lang w:eastAsia="zh-CN"/>
              </w:rPr>
              <w:t>；</w:t>
            </w:r>
          </w:p>
          <w:p w14:paraId="17CDE437">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rPr>
              <w:t>0.100 mg/L＜C≤0.400 mg/L时，</w:t>
            </w:r>
            <w:r>
              <w:rPr>
                <w:rFonts w:hint="eastAsia" w:ascii="宋体" w:hAnsi="宋体" w:eastAsia="Calibri" w:cs="宋体"/>
                <w:bCs/>
                <w:sz w:val="24"/>
                <w:lang w:val="en-US" w:eastAsia="zh-CN"/>
              </w:rPr>
              <w:t>0</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05</w:t>
            </w:r>
            <w:r>
              <w:rPr>
                <w:rFonts w:hint="eastAsia" w:ascii="宋体" w:hAnsi="宋体" w:eastAsia="Calibri" w:cs="宋体"/>
                <w:bCs/>
                <w:sz w:val="24"/>
              </w:rPr>
              <w:t>mg/L</w:t>
            </w:r>
            <w:r>
              <w:rPr>
                <w:rFonts w:hint="eastAsia" w:ascii="宋体" w:hAnsi="宋体" w:eastAsia="Calibri" w:cs="宋体"/>
                <w:bCs/>
                <w:sz w:val="24"/>
                <w:lang w:val="en-US" w:eastAsia="zh-CN"/>
              </w:rPr>
              <w:t>得2分；</w:t>
            </w:r>
            <w:r>
              <w:rPr>
                <w:rFonts w:hint="eastAsia" w:ascii="宋体" w:hAnsi="宋体" w:eastAsia="Calibri" w:cs="宋体"/>
                <w:bCs/>
                <w:sz w:val="24"/>
              </w:rPr>
              <w:t>-0.0</w:t>
            </w:r>
            <w:r>
              <w:rPr>
                <w:rFonts w:hint="eastAsia" w:ascii="宋体" w:hAnsi="宋体" w:eastAsia="Calibri" w:cs="宋体"/>
                <w:bCs/>
                <w:sz w:val="24"/>
                <w:lang w:val="en-US" w:eastAsia="zh-CN"/>
              </w:rPr>
              <w:t>05</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20</w:t>
            </w:r>
            <w:r>
              <w:rPr>
                <w:rFonts w:hint="eastAsia" w:ascii="宋体" w:hAnsi="宋体" w:eastAsia="Calibri" w:cs="宋体"/>
                <w:bCs/>
                <w:sz w:val="24"/>
              </w:rPr>
              <w:t>mg/L</w:t>
            </w:r>
            <w:r>
              <w:rPr>
                <w:rFonts w:hint="eastAsia" w:ascii="宋体" w:hAnsi="宋体" w:eastAsia="Calibri" w:cs="宋体"/>
                <w:bCs/>
                <w:sz w:val="24"/>
                <w:lang w:val="en-US" w:eastAsia="zh-CN"/>
              </w:rPr>
              <w:t>得1分</w:t>
            </w:r>
            <w:r>
              <w:rPr>
                <w:rFonts w:hint="eastAsia" w:ascii="宋体" w:hAnsi="宋体" w:eastAsia="Calibri" w:cs="宋体"/>
                <w:bCs/>
                <w:sz w:val="24"/>
              </w:rPr>
              <w:t>。-0.0</w:t>
            </w:r>
            <w:r>
              <w:rPr>
                <w:rFonts w:hint="eastAsia" w:ascii="宋体" w:hAnsi="宋体" w:eastAsia="Calibri" w:cs="宋体"/>
                <w:bCs/>
                <w:sz w:val="24"/>
                <w:lang w:val="en-US" w:eastAsia="zh-CN"/>
              </w:rPr>
              <w:t>20</w:t>
            </w:r>
            <w:r>
              <w:rPr>
                <w:rFonts w:hint="eastAsia" w:ascii="宋体" w:hAnsi="宋体" w:eastAsia="Calibri" w:cs="宋体"/>
                <w:bCs/>
                <w:sz w:val="24"/>
              </w:rPr>
              <w:t>mg/L</w:t>
            </w:r>
            <w:r>
              <w:rPr>
                <w:rFonts w:hint="eastAsia" w:ascii="宋体" w:hAnsi="宋体" w:eastAsia="Calibri" w:cs="宋体"/>
                <w:bCs/>
                <w:sz w:val="24"/>
                <w:lang w:val="en-US" w:eastAsia="zh-CN"/>
              </w:rPr>
              <w:t>＜</w:t>
            </w:r>
            <w:r>
              <w:rPr>
                <w:rFonts w:hint="eastAsia" w:ascii="宋体" w:hAnsi="宋体" w:eastAsia="Calibri" w:cs="宋体"/>
                <w:bCs/>
                <w:sz w:val="24"/>
              </w:rPr>
              <w:t>最大允许误差</w:t>
            </w:r>
            <w:r>
              <w:rPr>
                <w:rFonts w:hint="eastAsia" w:ascii="宋体" w:hAnsi="宋体" w:eastAsia="Calibri" w:cs="宋体"/>
                <w:bCs/>
                <w:sz w:val="24"/>
                <w:lang w:val="en-US" w:eastAsia="zh-CN"/>
              </w:rPr>
              <w:t>≤</w:t>
            </w:r>
            <w:r>
              <w:rPr>
                <w:rFonts w:hint="eastAsia" w:ascii="宋体" w:hAnsi="宋体" w:eastAsia="Calibri" w:cs="宋体"/>
                <w:bCs/>
                <w:sz w:val="24"/>
              </w:rPr>
              <w:t>-0.0</w:t>
            </w:r>
            <w:r>
              <w:rPr>
                <w:rFonts w:hint="eastAsia" w:ascii="宋体" w:hAnsi="宋体" w:eastAsia="Calibri" w:cs="宋体"/>
                <w:bCs/>
                <w:sz w:val="24"/>
                <w:lang w:val="en-US" w:eastAsia="zh-CN"/>
              </w:rPr>
              <w:t>40</w:t>
            </w:r>
            <w:r>
              <w:rPr>
                <w:rFonts w:hint="eastAsia" w:ascii="宋体" w:hAnsi="宋体" w:eastAsia="Calibri" w:cs="宋体"/>
                <w:bCs/>
                <w:sz w:val="24"/>
              </w:rPr>
              <w:t>mg/L</w:t>
            </w:r>
            <w:r>
              <w:rPr>
                <w:rFonts w:hint="eastAsia" w:ascii="宋体" w:hAnsi="宋体" w:eastAsia="Calibri" w:cs="宋体"/>
                <w:bCs/>
                <w:sz w:val="24"/>
                <w:lang w:val="en-US" w:eastAsia="zh-CN"/>
              </w:rPr>
              <w:t>得0.5分；</w:t>
            </w:r>
          </w:p>
          <w:p w14:paraId="2FEBE445">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rPr>
              <w:t>0.400 mg/L＜C≤1.000 mg/L时，</w:t>
            </w:r>
            <w:r>
              <w:rPr>
                <w:rFonts w:hint="eastAsia" w:ascii="宋体" w:hAnsi="宋体" w:eastAsia="Calibri" w:cs="宋体"/>
                <w:bCs/>
                <w:sz w:val="24"/>
                <w:lang w:val="en-US" w:eastAsia="zh-CN"/>
              </w:rPr>
              <w:t>0＜</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2</w:t>
            </w:r>
            <w:r>
              <w:rPr>
                <w:rFonts w:hint="eastAsia" w:ascii="宋体" w:hAnsi="宋体" w:eastAsia="Calibri" w:cs="宋体"/>
                <w:bCs/>
                <w:sz w:val="24"/>
              </w:rPr>
              <w:t>%</w:t>
            </w:r>
            <w:r>
              <w:rPr>
                <w:rFonts w:hint="eastAsia" w:ascii="宋体" w:hAnsi="宋体" w:eastAsia="Calibri" w:cs="宋体"/>
                <w:bCs/>
                <w:sz w:val="24"/>
                <w:lang w:val="en-US" w:eastAsia="zh-CN"/>
              </w:rPr>
              <w:t>得2分；</w:t>
            </w:r>
            <w:r>
              <w:rPr>
                <w:rFonts w:hint="eastAsia" w:ascii="宋体" w:hAnsi="宋体" w:eastAsia="Calibri" w:cs="宋体"/>
                <w:bCs/>
                <w:sz w:val="24"/>
              </w:rPr>
              <w:t>-</w:t>
            </w:r>
            <w:r>
              <w:rPr>
                <w:rFonts w:hint="eastAsia" w:ascii="宋体" w:hAnsi="宋体" w:eastAsia="Calibri" w:cs="宋体"/>
                <w:bCs/>
                <w:sz w:val="24"/>
                <w:lang w:val="en-US" w:eastAsia="zh-CN"/>
              </w:rPr>
              <w:t>2%＜</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5</w:t>
            </w:r>
            <w:r>
              <w:rPr>
                <w:rFonts w:hint="eastAsia" w:ascii="宋体" w:hAnsi="宋体" w:eastAsia="Calibri" w:cs="宋体"/>
                <w:bCs/>
                <w:sz w:val="24"/>
              </w:rPr>
              <w:t>%</w:t>
            </w:r>
            <w:r>
              <w:rPr>
                <w:rFonts w:hint="eastAsia" w:ascii="宋体" w:hAnsi="宋体" w:eastAsia="Calibri" w:cs="宋体"/>
                <w:bCs/>
                <w:sz w:val="24"/>
                <w:lang w:val="en-US" w:eastAsia="zh-CN"/>
              </w:rPr>
              <w:t>得1分</w:t>
            </w:r>
            <w:r>
              <w:rPr>
                <w:rFonts w:hint="eastAsia" w:ascii="宋体" w:hAnsi="宋体" w:eastAsia="Calibri" w:cs="宋体"/>
                <w:bCs/>
                <w:sz w:val="24"/>
                <w:lang w:eastAsia="zh-CN"/>
              </w:rPr>
              <w:t>；</w:t>
            </w:r>
            <w:r>
              <w:rPr>
                <w:rFonts w:hint="eastAsia" w:ascii="宋体" w:hAnsi="宋体" w:eastAsia="Calibri" w:cs="宋体"/>
                <w:bCs/>
                <w:sz w:val="24"/>
              </w:rPr>
              <w:t>-</w:t>
            </w:r>
            <w:r>
              <w:rPr>
                <w:rFonts w:hint="eastAsia" w:ascii="宋体" w:hAnsi="宋体" w:eastAsia="Calibri" w:cs="宋体"/>
                <w:bCs/>
                <w:sz w:val="24"/>
                <w:lang w:val="en-US" w:eastAsia="zh-CN"/>
              </w:rPr>
              <w:t>5%＜</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10</w:t>
            </w:r>
            <w:r>
              <w:rPr>
                <w:rFonts w:hint="eastAsia" w:ascii="宋体" w:hAnsi="宋体" w:eastAsia="Calibri" w:cs="宋体"/>
                <w:bCs/>
                <w:sz w:val="24"/>
              </w:rPr>
              <w:t>%</w:t>
            </w:r>
            <w:r>
              <w:rPr>
                <w:rFonts w:hint="eastAsia" w:ascii="宋体" w:hAnsi="宋体" w:eastAsia="Calibri" w:cs="宋体"/>
                <w:bCs/>
                <w:sz w:val="24"/>
                <w:lang w:val="en-US" w:eastAsia="zh-CN"/>
              </w:rPr>
              <w:t>得0.5分；</w:t>
            </w:r>
          </w:p>
          <w:p w14:paraId="34925263">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 xml:space="preserve"> </w:t>
            </w:r>
            <w:r>
              <w:rPr>
                <w:rFonts w:hint="eastAsia" w:ascii="宋体" w:hAnsi="宋体" w:eastAsia="Calibri" w:cs="宋体"/>
                <w:bCs/>
                <w:sz w:val="24"/>
              </w:rPr>
              <w:t>1.000 mg/L＜C≤1.500 mg/L时，</w:t>
            </w:r>
            <w:r>
              <w:rPr>
                <w:rFonts w:hint="eastAsia" w:ascii="宋体" w:hAnsi="宋体" w:eastAsia="Calibri" w:cs="宋体"/>
                <w:bCs/>
                <w:sz w:val="24"/>
                <w:lang w:val="en-US" w:eastAsia="zh-CN"/>
              </w:rPr>
              <w:t>0＜</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2</w:t>
            </w:r>
            <w:r>
              <w:rPr>
                <w:rFonts w:hint="eastAsia" w:ascii="宋体" w:hAnsi="宋体" w:eastAsia="Calibri" w:cs="宋体"/>
                <w:bCs/>
                <w:sz w:val="24"/>
              </w:rPr>
              <w:t>%</w:t>
            </w:r>
            <w:r>
              <w:rPr>
                <w:rFonts w:hint="eastAsia" w:ascii="宋体" w:hAnsi="宋体" w:eastAsia="Calibri" w:cs="宋体"/>
                <w:bCs/>
                <w:sz w:val="24"/>
                <w:lang w:val="en-US" w:eastAsia="zh-CN"/>
              </w:rPr>
              <w:t>得2分；</w:t>
            </w:r>
            <w:r>
              <w:rPr>
                <w:rFonts w:hint="eastAsia" w:ascii="宋体" w:hAnsi="宋体" w:eastAsia="Calibri" w:cs="宋体"/>
                <w:bCs/>
                <w:sz w:val="24"/>
              </w:rPr>
              <w:t>-</w:t>
            </w:r>
            <w:r>
              <w:rPr>
                <w:rFonts w:hint="eastAsia" w:ascii="宋体" w:hAnsi="宋体" w:eastAsia="Calibri" w:cs="宋体"/>
                <w:bCs/>
                <w:sz w:val="24"/>
                <w:lang w:val="en-US" w:eastAsia="zh-CN"/>
              </w:rPr>
              <w:t>2</w:t>
            </w:r>
            <w:r>
              <w:rPr>
                <w:rFonts w:hint="eastAsia" w:ascii="宋体" w:hAnsi="宋体" w:eastAsia="Calibri" w:cs="宋体"/>
                <w:bCs/>
                <w:sz w:val="24"/>
              </w:rPr>
              <w:t>%</w:t>
            </w:r>
            <w:r>
              <w:rPr>
                <w:rFonts w:hint="eastAsia" w:ascii="宋体" w:hAnsi="宋体" w:eastAsia="Calibri" w:cs="宋体"/>
                <w:bCs/>
                <w:sz w:val="24"/>
                <w:lang w:val="en-US" w:eastAsia="zh-CN"/>
              </w:rPr>
              <w:t>＜</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5</w:t>
            </w:r>
            <w:r>
              <w:rPr>
                <w:rFonts w:hint="eastAsia" w:ascii="宋体" w:hAnsi="宋体" w:eastAsia="Calibri" w:cs="宋体"/>
                <w:bCs/>
                <w:sz w:val="24"/>
              </w:rPr>
              <w:t>%</w:t>
            </w:r>
            <w:r>
              <w:rPr>
                <w:rFonts w:hint="eastAsia" w:ascii="宋体" w:hAnsi="宋体" w:eastAsia="Calibri" w:cs="宋体"/>
                <w:bCs/>
                <w:sz w:val="24"/>
                <w:lang w:val="en-US" w:eastAsia="zh-CN"/>
              </w:rPr>
              <w:t>得1分；</w:t>
            </w:r>
            <w:r>
              <w:rPr>
                <w:rFonts w:hint="eastAsia" w:ascii="宋体" w:hAnsi="宋体" w:eastAsia="Calibri" w:cs="宋体"/>
                <w:bCs/>
                <w:sz w:val="24"/>
              </w:rPr>
              <w:t>-</w:t>
            </w:r>
            <w:r>
              <w:rPr>
                <w:rFonts w:hint="eastAsia" w:ascii="宋体" w:hAnsi="宋体" w:eastAsia="Calibri" w:cs="宋体"/>
                <w:bCs/>
                <w:sz w:val="24"/>
                <w:lang w:val="en-US" w:eastAsia="zh-CN"/>
              </w:rPr>
              <w:t>5</w:t>
            </w:r>
            <w:r>
              <w:rPr>
                <w:rFonts w:hint="eastAsia" w:ascii="宋体" w:hAnsi="宋体" w:eastAsia="Calibri" w:cs="宋体"/>
                <w:bCs/>
                <w:sz w:val="24"/>
              </w:rPr>
              <w:t>%</w:t>
            </w:r>
            <w:r>
              <w:rPr>
                <w:rFonts w:hint="eastAsia" w:ascii="宋体" w:hAnsi="宋体" w:eastAsia="Calibri" w:cs="宋体"/>
                <w:bCs/>
                <w:sz w:val="24"/>
                <w:lang w:val="en-US" w:eastAsia="zh-CN"/>
              </w:rPr>
              <w:t>＜</w:t>
            </w:r>
            <w:r>
              <w:rPr>
                <w:rFonts w:hint="eastAsia" w:ascii="宋体" w:hAnsi="宋体" w:eastAsia="Calibri" w:cs="宋体"/>
                <w:bCs/>
                <w:sz w:val="24"/>
              </w:rPr>
              <w:t>仪器最大允许误差</w:t>
            </w:r>
            <w:r>
              <w:rPr>
                <w:rFonts w:hint="eastAsia" w:ascii="宋体" w:hAnsi="宋体" w:eastAsia="Calibri" w:cs="宋体"/>
                <w:bCs/>
                <w:sz w:val="24"/>
                <w:lang w:val="en-US" w:eastAsia="zh-CN"/>
              </w:rPr>
              <w:t>≤</w:t>
            </w:r>
            <w:r>
              <w:rPr>
                <w:rFonts w:hint="eastAsia" w:ascii="宋体" w:hAnsi="宋体" w:eastAsia="Calibri" w:cs="宋体"/>
                <w:bCs/>
                <w:sz w:val="24"/>
              </w:rPr>
              <w:t>-</w:t>
            </w:r>
            <w:r>
              <w:rPr>
                <w:rFonts w:hint="eastAsia" w:ascii="宋体" w:hAnsi="宋体" w:eastAsia="Calibri" w:cs="宋体"/>
                <w:bCs/>
                <w:sz w:val="24"/>
                <w:lang w:val="en-US" w:eastAsia="zh-CN"/>
              </w:rPr>
              <w:t>10</w:t>
            </w:r>
            <w:r>
              <w:rPr>
                <w:rFonts w:hint="eastAsia" w:ascii="宋体" w:hAnsi="宋体" w:eastAsia="Calibri" w:cs="宋体"/>
                <w:bCs/>
                <w:sz w:val="24"/>
              </w:rPr>
              <w:t>%</w:t>
            </w:r>
            <w:r>
              <w:rPr>
                <w:rFonts w:hint="eastAsia" w:ascii="宋体" w:hAnsi="宋体" w:eastAsia="Calibri" w:cs="宋体"/>
                <w:bCs/>
                <w:sz w:val="24"/>
                <w:lang w:val="en-US" w:eastAsia="zh-CN"/>
              </w:rPr>
              <w:t>得0.5分</w:t>
            </w:r>
            <w:r>
              <w:rPr>
                <w:rFonts w:hint="eastAsia" w:ascii="宋体" w:hAnsi="宋体" w:eastAsia="Calibri" w:cs="宋体"/>
                <w:bCs/>
                <w:sz w:val="24"/>
                <w:lang w:eastAsia="zh-CN"/>
              </w:rPr>
              <w:t>；</w:t>
            </w:r>
          </w:p>
          <w:p w14:paraId="6B8BCE79">
            <w:pPr>
              <w:widowControl/>
              <w:spacing w:line="480" w:lineRule="auto"/>
              <w:rPr>
                <w:rFonts w:hint="eastAsia" w:ascii="宋体" w:hAnsi="宋体" w:eastAsia="Calibri" w:cs="宋体"/>
                <w:bCs/>
                <w:sz w:val="24"/>
                <w:lang w:val="en-US" w:eastAsia="zh-CN"/>
              </w:rPr>
            </w:pPr>
            <w:r>
              <w:rPr>
                <w:rFonts w:hint="eastAsia" w:ascii="宋体" w:hAnsi="宋体" w:eastAsia="宋体" w:cs="宋体"/>
                <w:bCs/>
                <w:sz w:val="24"/>
                <w:lang w:val="en-US" w:eastAsia="zh-CN"/>
              </w:rPr>
              <w:t>3、</w:t>
            </w:r>
            <w:r>
              <w:rPr>
                <w:rFonts w:hint="eastAsia" w:ascii="宋体" w:hAnsi="宋体" w:cs="宋体"/>
                <w:color w:val="auto"/>
                <w:sz w:val="24"/>
                <w:szCs w:val="24"/>
                <w:lang w:val="en-US" w:eastAsia="zh-CN"/>
              </w:rPr>
              <w:t>重复性：</w:t>
            </w:r>
            <w:r>
              <w:rPr>
                <w:color w:val="auto"/>
                <w:sz w:val="24"/>
                <w:szCs w:val="32"/>
              </w:rPr>
              <w:t>0.070 mg/L＜C≤0.100 mg/L 时</w:t>
            </w:r>
            <w:r>
              <w:rPr>
                <w:color w:val="auto"/>
                <w:sz w:val="24"/>
                <w:szCs w:val="24"/>
              </w:rPr>
              <w:t>，仪器的重复性</w:t>
            </w:r>
            <w:r>
              <w:rPr>
                <w:rFonts w:hint="eastAsia"/>
                <w:color w:val="auto"/>
                <w:sz w:val="24"/>
                <w:szCs w:val="24"/>
                <w:lang w:val="en-US" w:eastAsia="zh-CN"/>
              </w:rPr>
              <w:t>≤</w:t>
            </w:r>
            <w:r>
              <w:rPr>
                <w:color w:val="auto"/>
                <w:sz w:val="24"/>
                <w:szCs w:val="24"/>
              </w:rPr>
              <w:t>0.00</w:t>
            </w:r>
            <w:r>
              <w:rPr>
                <w:rFonts w:hint="eastAsia"/>
                <w:color w:val="auto"/>
                <w:sz w:val="24"/>
                <w:szCs w:val="24"/>
                <w:lang w:val="en-US" w:eastAsia="zh-CN"/>
              </w:rPr>
              <w:t>2</w:t>
            </w:r>
            <w:r>
              <w:rPr>
                <w:color w:val="auto"/>
                <w:sz w:val="24"/>
                <w:szCs w:val="24"/>
              </w:rPr>
              <w:t>mg/L</w:t>
            </w:r>
            <w:r>
              <w:rPr>
                <w:rFonts w:hint="eastAsia"/>
                <w:color w:val="auto"/>
                <w:sz w:val="24"/>
                <w:szCs w:val="24"/>
                <w:lang w:val="en-US" w:eastAsia="zh-CN"/>
              </w:rPr>
              <w:t>得2分；</w:t>
            </w:r>
            <w:r>
              <w:rPr>
                <w:color w:val="auto"/>
                <w:sz w:val="24"/>
                <w:szCs w:val="24"/>
              </w:rPr>
              <w:t>0.00</w:t>
            </w:r>
            <w:r>
              <w:rPr>
                <w:rFonts w:hint="eastAsia"/>
                <w:color w:val="auto"/>
                <w:sz w:val="24"/>
                <w:szCs w:val="24"/>
                <w:lang w:val="en-US" w:eastAsia="zh-CN"/>
              </w:rPr>
              <w:t>2</w:t>
            </w:r>
            <w:r>
              <w:rPr>
                <w:color w:val="auto"/>
                <w:sz w:val="24"/>
                <w:szCs w:val="24"/>
              </w:rPr>
              <w:t>mg/L</w:t>
            </w:r>
            <w:r>
              <w:rPr>
                <w:rFonts w:hint="eastAsia"/>
                <w:color w:val="auto"/>
                <w:sz w:val="24"/>
                <w:szCs w:val="24"/>
                <w:lang w:val="en-US" w:eastAsia="zh-CN"/>
              </w:rPr>
              <w:t>＜</w:t>
            </w:r>
            <w:r>
              <w:rPr>
                <w:color w:val="auto"/>
                <w:sz w:val="24"/>
                <w:szCs w:val="24"/>
              </w:rPr>
              <w:t>仪器的重复性</w:t>
            </w:r>
            <w:r>
              <w:rPr>
                <w:rFonts w:hint="eastAsia"/>
                <w:color w:val="auto"/>
                <w:sz w:val="24"/>
                <w:szCs w:val="24"/>
                <w:lang w:val="en-US" w:eastAsia="zh-CN"/>
              </w:rPr>
              <w:t>≤0.005mg/L得1分；0.005mg/L＜</w:t>
            </w:r>
            <w:r>
              <w:rPr>
                <w:rFonts w:hint="eastAsia" w:ascii="宋体" w:hAnsi="宋体" w:eastAsia="Calibri" w:cs="宋体"/>
                <w:bCs/>
                <w:sz w:val="24"/>
                <w:lang w:val="en-US" w:eastAsia="zh-CN"/>
              </w:rPr>
              <w:t>仪器的重复性≤0.007mg/L得0.5分。</w:t>
            </w:r>
          </w:p>
          <w:p w14:paraId="3BB54CC5">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0.100 mg/L＜C≤0.400 mg/L时，仪器的重复性≤0.005mg/L得2分；0.005mg/L＜仪器的重复性≤0.006mg/L得1分；0.006mg/L＜仪器的重复性≤0.007mg/L得0.5分。</w:t>
            </w:r>
          </w:p>
          <w:p w14:paraId="51390DF3">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0.400 mg/L＜C≤1.000 mg/L时，仪器的重复性≤0.9%得2分；0.9%＜仪器的重复性≤1.2%得1分；1.2%＜仪器的重复性≤1.67%得0.5分。</w:t>
            </w:r>
          </w:p>
          <w:p w14:paraId="6141CC07">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1.000 mg/L＜C≤1.500 mg/L时，仪器的重复性≤0.9%得2分；0.9%＜仪器的重复性≤1.2%得1分；1.2%＜仪器的重复性≤1.67%得0.5分。</w:t>
            </w:r>
          </w:p>
          <w:p w14:paraId="10A62CFA">
            <w:pPr>
              <w:widowControl/>
              <w:spacing w:line="480" w:lineRule="auto"/>
              <w:rPr>
                <w:rFonts w:hint="eastAsia" w:ascii="宋体" w:hAnsi="宋体" w:eastAsia="Calibri" w:cs="宋体"/>
                <w:bCs/>
                <w:sz w:val="24"/>
              </w:rPr>
            </w:pPr>
            <w:r>
              <w:rPr>
                <w:rFonts w:hint="eastAsia" w:ascii="宋体" w:hAnsi="宋体" w:eastAsia="Calibri" w:cs="宋体"/>
                <w:bCs/>
                <w:sz w:val="24"/>
                <w:lang w:eastAsia="zh-CN"/>
              </w:rPr>
              <w:t>评审依据：</w:t>
            </w:r>
            <w:r>
              <w:rPr>
                <w:rFonts w:hint="eastAsia" w:ascii="宋体" w:hAnsi="宋体" w:cs="宋体"/>
                <w:b w:val="0"/>
                <w:bCs w:val="0"/>
                <w:color w:val="000000"/>
                <w:kern w:val="0"/>
                <w:sz w:val="24"/>
                <w:szCs w:val="24"/>
                <w:lang w:val="en-US" w:eastAsia="zh-CN"/>
              </w:rPr>
              <w:t>公安部安全与警用电子产品质量检测中心的检验报告或公安部交通安全产品质量监督检测中心检测报告或国家安全防范报警系统产品质量监督检验中心（上海）公安部安全防范报警系统产品质量监督检验中心的检测报告为依据。</w:t>
            </w:r>
          </w:p>
        </w:tc>
        <w:tc>
          <w:tcPr>
            <w:tcW w:w="471" w:type="pct"/>
            <w:tcBorders>
              <w:top w:val="single" w:color="auto" w:sz="4" w:space="0"/>
              <w:left w:val="single" w:color="auto" w:sz="4" w:space="0"/>
              <w:bottom w:val="single" w:color="auto" w:sz="4" w:space="0"/>
              <w:right w:val="single" w:color="auto" w:sz="4" w:space="0"/>
            </w:tcBorders>
            <w:noWrap/>
            <w:vAlign w:val="center"/>
          </w:tcPr>
          <w:p w14:paraId="11C22040">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18分</w:t>
            </w:r>
          </w:p>
        </w:tc>
      </w:tr>
      <w:tr w14:paraId="5924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7A4AF404">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项目实施方案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2A47E322">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供应商具有详细、全面、切实可行的项目实施技术力量、实施方案和计划，方案完整合理、可行性强得 8分，方案完整，可行性一般得 5 分，方案完整有可行性得 3 分，方案不完整、可行性一般得 2 分，内容不合理，不完整的得 1 分，未针对本项目描述的得 0分。</w:t>
            </w:r>
          </w:p>
        </w:tc>
        <w:tc>
          <w:tcPr>
            <w:tcW w:w="471" w:type="pct"/>
            <w:tcBorders>
              <w:top w:val="single" w:color="auto" w:sz="4" w:space="0"/>
              <w:left w:val="single" w:color="auto" w:sz="4" w:space="0"/>
              <w:bottom w:val="single" w:color="auto" w:sz="4" w:space="0"/>
              <w:right w:val="single" w:color="auto" w:sz="4" w:space="0"/>
            </w:tcBorders>
            <w:noWrap/>
            <w:vAlign w:val="center"/>
          </w:tcPr>
          <w:p w14:paraId="6226D52A">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8分</w:t>
            </w:r>
          </w:p>
        </w:tc>
      </w:tr>
      <w:tr w14:paraId="2F34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0663B946">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zh-CN" w:eastAsia="zh-CN"/>
              </w:rPr>
              <w:t>供货时间、供货保证措施、</w:t>
            </w:r>
            <w:r>
              <w:rPr>
                <w:rFonts w:hint="eastAsia" w:ascii="宋体" w:hAnsi="宋体" w:eastAsia="Calibri" w:cs="宋体"/>
                <w:bCs/>
                <w:sz w:val="24"/>
                <w:lang w:val="en-US" w:eastAsia="zh-CN"/>
              </w:rPr>
              <w:t>安装调试方案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5D70D6D8">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依据供应商的服务承诺、供货方案、质量保证等内容评分，有明确实质性的承诺、内容具体、全面、切实可行得3分；较全面、较可行的得1分；不全面、不合理、不可行的得0分；</w:t>
            </w:r>
          </w:p>
        </w:tc>
        <w:tc>
          <w:tcPr>
            <w:tcW w:w="471" w:type="pct"/>
            <w:tcBorders>
              <w:top w:val="single" w:color="auto" w:sz="4" w:space="0"/>
              <w:left w:val="single" w:color="auto" w:sz="4" w:space="0"/>
              <w:bottom w:val="single" w:color="auto" w:sz="4" w:space="0"/>
              <w:right w:val="single" w:color="auto" w:sz="4" w:space="0"/>
            </w:tcBorders>
            <w:noWrap/>
            <w:vAlign w:val="center"/>
          </w:tcPr>
          <w:p w14:paraId="7DC8F2A0">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3分</w:t>
            </w:r>
          </w:p>
        </w:tc>
      </w:tr>
      <w:tr w14:paraId="7C60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0E74986D">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售后服务方案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17AC6855">
            <w:pPr>
              <w:widowControl/>
              <w:spacing w:line="480" w:lineRule="auto"/>
              <w:rPr>
                <w:rFonts w:hint="eastAsia" w:ascii="宋体" w:hAnsi="宋体" w:eastAsia="Calibri" w:cs="宋体"/>
                <w:bCs/>
                <w:color w:val="auto"/>
                <w:sz w:val="24"/>
                <w:lang w:val="en-US" w:eastAsia="zh-CN"/>
              </w:rPr>
            </w:pPr>
            <w:r>
              <w:rPr>
                <w:rFonts w:hint="eastAsia" w:ascii="宋体" w:hAnsi="宋体" w:eastAsia="Calibri" w:cs="宋体"/>
                <w:bCs/>
                <w:sz w:val="24"/>
                <w:lang w:val="en-US" w:eastAsia="zh-CN"/>
              </w:rPr>
              <w:t>1)、</w:t>
            </w:r>
            <w:r>
              <w:rPr>
                <w:rFonts w:hint="eastAsia" w:ascii="宋体" w:hAnsi="宋体" w:eastAsia="Calibri" w:cs="宋体"/>
                <w:bCs/>
                <w:color w:val="auto"/>
                <w:sz w:val="24"/>
                <w:lang w:val="en-US" w:eastAsia="zh-CN"/>
              </w:rPr>
              <w:t>为保护被测人及执勤民警的安全预防传染性疾病传播，所投酒精检测仪产品需按10:1配备可以现场使用的消毒设备，该设备必须安全有效，可在酒驾现场使用：</w:t>
            </w:r>
          </w:p>
          <w:p w14:paraId="453F1D05">
            <w:pPr>
              <w:widowControl/>
              <w:spacing w:line="480" w:lineRule="auto"/>
              <w:rPr>
                <w:rFonts w:hint="eastAsia" w:ascii="宋体" w:hAnsi="宋体" w:eastAsia="Calibri" w:cs="宋体"/>
                <w:bCs/>
                <w:color w:val="auto"/>
                <w:sz w:val="24"/>
                <w:lang w:val="en-US" w:eastAsia="zh-CN"/>
              </w:rPr>
            </w:pPr>
            <w:r>
              <w:rPr>
                <w:rFonts w:hint="eastAsia" w:ascii="宋体" w:hAnsi="宋体" w:eastAsia="Calibri" w:cs="宋体"/>
                <w:bCs/>
                <w:color w:val="auto"/>
                <w:sz w:val="24"/>
                <w:lang w:val="en-US" w:eastAsia="zh-CN"/>
              </w:rPr>
              <w:t>1、臭氧+紫外线双重消毒灭菌快速破坏菌体、病毒DNA结构不损伤仪器，符合得4分；仅臭氧或者紫外线消毒灭菌的，得2分；不提供的，得0分；</w:t>
            </w:r>
          </w:p>
          <w:p w14:paraId="59D7767D">
            <w:pPr>
              <w:widowControl/>
              <w:spacing w:line="480" w:lineRule="auto"/>
              <w:rPr>
                <w:rFonts w:hint="eastAsia" w:ascii="宋体" w:hAnsi="宋体" w:eastAsia="Calibri" w:cs="宋体"/>
                <w:bCs/>
                <w:color w:val="auto"/>
                <w:sz w:val="24"/>
                <w:lang w:val="en-US" w:eastAsia="zh-CN"/>
              </w:rPr>
            </w:pPr>
            <w:r>
              <w:rPr>
                <w:rFonts w:hint="eastAsia" w:ascii="宋体" w:hAnsi="宋体" w:eastAsia="Calibri" w:cs="宋体"/>
                <w:bCs/>
                <w:color w:val="auto"/>
                <w:sz w:val="24"/>
                <w:lang w:val="en-US" w:eastAsia="zh-CN"/>
              </w:rPr>
              <w:t>2、消毒箱采用全金属内壳，消毒时长可在5分钟，15分钟，30分钟，60分钟四挡选择.符合得3分；消毒箱采用非金属外壳，消毒时长可在5分钟，15分钟，30分钟，60分钟四挡选择，得1分；不提供的，得0分；</w:t>
            </w:r>
          </w:p>
          <w:p w14:paraId="34741D45">
            <w:pPr>
              <w:widowControl/>
              <w:spacing w:line="480" w:lineRule="auto"/>
              <w:rPr>
                <w:rFonts w:hint="eastAsia" w:ascii="宋体" w:hAnsi="宋体" w:eastAsia="Calibri" w:cs="宋体"/>
                <w:bCs/>
                <w:color w:val="auto"/>
                <w:sz w:val="24"/>
                <w:lang w:val="en-US" w:eastAsia="zh-CN"/>
              </w:rPr>
            </w:pPr>
            <w:r>
              <w:rPr>
                <w:rFonts w:hint="eastAsia" w:ascii="宋体" w:hAnsi="宋体" w:eastAsia="Calibri" w:cs="宋体"/>
                <w:bCs/>
                <w:color w:val="auto"/>
                <w:sz w:val="24"/>
                <w:lang w:val="en-US" w:eastAsia="zh-CN"/>
              </w:rPr>
              <w:t>3、消毒箱尺寸：≥350mm（长）*250mm（宽）*100mm（高），符合得3分，尺寸＜350mm（长）*250mm（宽）*100mm（高），得1分；不提供的，得0分；</w:t>
            </w:r>
          </w:p>
          <w:p w14:paraId="122E369B">
            <w:pPr>
              <w:widowControl/>
              <w:spacing w:line="480" w:lineRule="auto"/>
              <w:rPr>
                <w:rFonts w:hint="default" w:ascii="宋体" w:hAnsi="宋体" w:eastAsia="Calibri" w:cs="宋体"/>
                <w:bCs/>
                <w:color w:val="auto"/>
                <w:sz w:val="24"/>
                <w:lang w:val="en-US" w:eastAsia="zh-CN"/>
              </w:rPr>
            </w:pPr>
            <w:r>
              <w:rPr>
                <w:rFonts w:hint="eastAsia" w:ascii="宋体" w:hAnsi="宋体" w:eastAsia="Calibri" w:cs="宋体"/>
                <w:bCs/>
                <w:color w:val="auto"/>
                <w:sz w:val="24"/>
                <w:lang w:val="en-US" w:eastAsia="zh-CN"/>
              </w:rPr>
              <w:t>评审依据：具有CMA资质的检测机构出具的检测报告为依据。</w:t>
            </w:r>
          </w:p>
          <w:p w14:paraId="46EB5194">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2)根据供应商售后服务方案（至少包括服务保证、服务范围、技术服务人员能力、服务人员资质水平、售后响应时间、本地化服务支持能力、服务保障措施、备品备件及时供应措施、质保期内和质保期外的服务方案等）的合理性。内容完整，针对性强得 9分；内容基本完整，针对性较强得 6 分；内容基本完整，针对性一般得 3 分；内容基本完整描述，描述简略得 1分；未针对本项目描述的得 0 分。由评标委员会成员横向比较打分。</w:t>
            </w:r>
          </w:p>
        </w:tc>
        <w:tc>
          <w:tcPr>
            <w:tcW w:w="471" w:type="pct"/>
            <w:tcBorders>
              <w:top w:val="single" w:color="auto" w:sz="4" w:space="0"/>
              <w:left w:val="single" w:color="auto" w:sz="4" w:space="0"/>
              <w:bottom w:val="single" w:color="auto" w:sz="4" w:space="0"/>
              <w:right w:val="single" w:color="auto" w:sz="4" w:space="0"/>
            </w:tcBorders>
            <w:noWrap/>
            <w:vAlign w:val="center"/>
          </w:tcPr>
          <w:p w14:paraId="10A7CD34">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19分</w:t>
            </w:r>
          </w:p>
        </w:tc>
      </w:tr>
      <w:tr w14:paraId="3753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3714141C">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培训方案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71C5BCE3">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根据供应商提供培训方案进行评价：内容完整，针对性强得 5分；内容基本完整，针对性一般得 2分；未针对本项目描述的得 0 分。由评标委员会成员横向比较打分。</w:t>
            </w:r>
          </w:p>
        </w:tc>
        <w:tc>
          <w:tcPr>
            <w:tcW w:w="471" w:type="pct"/>
            <w:tcBorders>
              <w:top w:val="single" w:color="auto" w:sz="4" w:space="0"/>
              <w:left w:val="single" w:color="auto" w:sz="4" w:space="0"/>
              <w:bottom w:val="single" w:color="auto" w:sz="4" w:space="0"/>
              <w:right w:val="single" w:color="auto" w:sz="4" w:space="0"/>
            </w:tcBorders>
            <w:noWrap/>
            <w:vAlign w:val="center"/>
          </w:tcPr>
          <w:p w14:paraId="55D5F03C">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5分</w:t>
            </w:r>
          </w:p>
        </w:tc>
      </w:tr>
      <w:tr w14:paraId="3784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671E753B">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应急方案</w:t>
            </w:r>
          </w:p>
        </w:tc>
        <w:tc>
          <w:tcPr>
            <w:tcW w:w="3866" w:type="pct"/>
            <w:tcBorders>
              <w:top w:val="single" w:color="auto" w:sz="4" w:space="0"/>
              <w:left w:val="single" w:color="auto" w:sz="4" w:space="0"/>
              <w:bottom w:val="single" w:color="auto" w:sz="4" w:space="0"/>
              <w:right w:val="single" w:color="auto" w:sz="4" w:space="0"/>
            </w:tcBorders>
            <w:noWrap/>
            <w:vAlign w:val="center"/>
          </w:tcPr>
          <w:p w14:paraId="71E211C5">
            <w:pPr>
              <w:widowControl/>
              <w:spacing w:line="480" w:lineRule="auto"/>
              <w:rPr>
                <w:rFonts w:hint="eastAsia" w:ascii="宋体" w:hAnsi="宋体" w:eastAsia="Calibri" w:cs="宋体"/>
                <w:bCs/>
                <w:sz w:val="24"/>
                <w:lang w:val="en-US" w:eastAsia="zh-CN"/>
              </w:rPr>
            </w:pPr>
            <w:r>
              <w:rPr>
                <w:rFonts w:hint="eastAsia" w:ascii="宋体" w:hAnsi="宋体" w:eastAsia="Calibri" w:cs="宋体"/>
                <w:bCs/>
                <w:sz w:val="24"/>
                <w:lang w:val="en-US" w:eastAsia="zh-CN"/>
              </w:rPr>
              <w:t>设备在遇到紧急情况的应急方案（合理性、完善性及快速响应等）内容全面、切实可行、服务明晰的得 5分；内容较全面、基本可行、针对性一般的得2分；未针对本项目描述的得 0 分。</w:t>
            </w:r>
          </w:p>
        </w:tc>
        <w:tc>
          <w:tcPr>
            <w:tcW w:w="471" w:type="pct"/>
            <w:tcBorders>
              <w:top w:val="single" w:color="auto" w:sz="4" w:space="0"/>
              <w:left w:val="single" w:color="auto" w:sz="4" w:space="0"/>
              <w:bottom w:val="single" w:color="auto" w:sz="4" w:space="0"/>
              <w:right w:val="single" w:color="auto" w:sz="4" w:space="0"/>
            </w:tcBorders>
            <w:noWrap/>
            <w:vAlign w:val="center"/>
          </w:tcPr>
          <w:p w14:paraId="37A5760E">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5分</w:t>
            </w:r>
          </w:p>
        </w:tc>
      </w:tr>
      <w:tr w14:paraId="0410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349582EE">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（三）商务部分（</w:t>
            </w:r>
            <w:r>
              <w:rPr>
                <w:rFonts w:hint="eastAsia" w:ascii="宋体" w:hAnsi="宋体" w:eastAsia="Calibri" w:cs="宋体"/>
                <w:bCs/>
                <w:sz w:val="24"/>
                <w:lang w:val="en-US" w:eastAsia="zh-CN"/>
              </w:rPr>
              <w:t>4</w:t>
            </w:r>
            <w:r>
              <w:rPr>
                <w:rFonts w:hint="eastAsia" w:ascii="宋体" w:hAnsi="宋体" w:eastAsia="Calibri" w:cs="宋体"/>
                <w:bCs/>
                <w:sz w:val="24"/>
                <w:lang w:eastAsia="zh-CN"/>
              </w:rPr>
              <w:t>分）</w:t>
            </w:r>
          </w:p>
        </w:tc>
      </w:tr>
      <w:tr w14:paraId="486D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6305B23A">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评分点</w:t>
            </w:r>
          </w:p>
        </w:tc>
        <w:tc>
          <w:tcPr>
            <w:tcW w:w="3866" w:type="pct"/>
            <w:tcBorders>
              <w:top w:val="single" w:color="auto" w:sz="4" w:space="0"/>
              <w:left w:val="single" w:color="auto" w:sz="4" w:space="0"/>
              <w:bottom w:val="single" w:color="auto" w:sz="4" w:space="0"/>
              <w:right w:val="single" w:color="auto" w:sz="4" w:space="0"/>
            </w:tcBorders>
            <w:noWrap/>
            <w:vAlign w:val="center"/>
          </w:tcPr>
          <w:p w14:paraId="6B6DEBEF">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评审内容</w:t>
            </w:r>
          </w:p>
        </w:tc>
        <w:tc>
          <w:tcPr>
            <w:tcW w:w="471" w:type="pct"/>
            <w:tcBorders>
              <w:top w:val="single" w:color="auto" w:sz="4" w:space="0"/>
              <w:left w:val="single" w:color="auto" w:sz="4" w:space="0"/>
              <w:bottom w:val="single" w:color="auto" w:sz="4" w:space="0"/>
              <w:right w:val="single" w:color="auto" w:sz="4" w:space="0"/>
            </w:tcBorders>
            <w:noWrap/>
            <w:vAlign w:val="center"/>
          </w:tcPr>
          <w:p w14:paraId="5A66D76D">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eastAsia="zh-CN"/>
              </w:rPr>
              <w:t>分值</w:t>
            </w:r>
          </w:p>
        </w:tc>
      </w:tr>
      <w:tr w14:paraId="7C37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2" w:type="pct"/>
            <w:tcBorders>
              <w:top w:val="single" w:color="auto" w:sz="4" w:space="0"/>
              <w:left w:val="single" w:color="auto" w:sz="4" w:space="0"/>
              <w:bottom w:val="single" w:color="auto" w:sz="4" w:space="0"/>
              <w:right w:val="single" w:color="auto" w:sz="4" w:space="0"/>
            </w:tcBorders>
            <w:noWrap/>
            <w:vAlign w:val="center"/>
          </w:tcPr>
          <w:p w14:paraId="69B8730D">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制造商资质</w:t>
            </w:r>
          </w:p>
        </w:tc>
        <w:tc>
          <w:tcPr>
            <w:tcW w:w="3866" w:type="pct"/>
            <w:tcBorders>
              <w:top w:val="single" w:color="auto" w:sz="4" w:space="0"/>
              <w:left w:val="single" w:color="auto" w:sz="4" w:space="0"/>
              <w:bottom w:val="single" w:color="auto" w:sz="4" w:space="0"/>
              <w:right w:val="single" w:color="auto" w:sz="4" w:space="0"/>
            </w:tcBorders>
            <w:noWrap/>
            <w:vAlign w:val="center"/>
          </w:tcPr>
          <w:p w14:paraId="2B393901">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val="en-US" w:eastAsia="zh-CN"/>
              </w:rPr>
              <w:t>1.投标产品制造商具备有效期内国家标准《商品售后服务评价体系》五星级标准认证证书，证书范围需涵盖酒精检测仪，须提供有效期内的证书复印件并加盖制造商公章，得2分。</w:t>
            </w:r>
          </w:p>
          <w:p w14:paraId="597ACE84">
            <w:pPr>
              <w:widowControl/>
              <w:spacing w:line="480" w:lineRule="auto"/>
              <w:rPr>
                <w:rFonts w:hint="eastAsia" w:ascii="宋体" w:hAnsi="宋体" w:eastAsia="Calibri" w:cs="宋体"/>
                <w:bCs/>
                <w:sz w:val="24"/>
                <w:lang w:eastAsia="zh-CN"/>
              </w:rPr>
            </w:pPr>
            <w:r>
              <w:rPr>
                <w:rFonts w:hint="eastAsia" w:ascii="宋体" w:hAnsi="宋体" w:eastAsia="Calibri" w:cs="宋体"/>
                <w:bCs/>
                <w:sz w:val="24"/>
                <w:lang w:val="en-US" w:eastAsia="zh-CN"/>
              </w:rPr>
              <w:t>2.投标产品制造商具备有效期内的质量管理体系认证证书，职业健康安全管理体系认证证书，环境管理体系认证证书，证书范围需涵盖酒精检测仪，须提供有效期内的证书复印件并加盖制造商公章，得2分。</w:t>
            </w:r>
          </w:p>
        </w:tc>
        <w:tc>
          <w:tcPr>
            <w:tcW w:w="471" w:type="pct"/>
            <w:tcBorders>
              <w:top w:val="single" w:color="auto" w:sz="4" w:space="0"/>
              <w:left w:val="single" w:color="auto" w:sz="4" w:space="0"/>
              <w:bottom w:val="single" w:color="auto" w:sz="4" w:space="0"/>
              <w:right w:val="single" w:color="auto" w:sz="4" w:space="0"/>
            </w:tcBorders>
            <w:noWrap/>
            <w:vAlign w:val="center"/>
          </w:tcPr>
          <w:p w14:paraId="1FAE563B">
            <w:pPr>
              <w:widowControl/>
              <w:spacing w:line="480" w:lineRule="auto"/>
              <w:rPr>
                <w:rFonts w:hint="default" w:ascii="宋体" w:hAnsi="宋体" w:eastAsia="Calibri" w:cs="宋体"/>
                <w:bCs/>
                <w:sz w:val="24"/>
                <w:lang w:val="en-US" w:eastAsia="zh-CN"/>
              </w:rPr>
            </w:pPr>
            <w:r>
              <w:rPr>
                <w:rFonts w:hint="eastAsia" w:ascii="宋体" w:hAnsi="宋体" w:eastAsia="Calibri" w:cs="宋体"/>
                <w:bCs/>
                <w:sz w:val="24"/>
                <w:lang w:val="en-US" w:eastAsia="zh-CN"/>
              </w:rPr>
              <w:t>4分</w:t>
            </w:r>
          </w:p>
        </w:tc>
      </w:tr>
    </w:tbl>
    <w:p w14:paraId="4FCDCC4A">
      <w:pPr>
        <w:pStyle w:val="25"/>
        <w:widowControl w:val="0"/>
        <w:spacing w:beforeAutospacing="0" w:afterAutospacing="0"/>
        <w:ind w:firstLine="480" w:firstLineChars="200"/>
        <w:jc w:val="both"/>
        <w:rPr>
          <w:kern w:val="2"/>
        </w:rPr>
      </w:pPr>
      <w:r>
        <w:rPr>
          <w:rFonts w:hint="eastAsia"/>
          <w:kern w:val="2"/>
        </w:rPr>
        <w:t>说明：</w:t>
      </w:r>
    </w:p>
    <w:p w14:paraId="0713B856">
      <w:pPr>
        <w:pStyle w:val="25"/>
        <w:widowControl w:val="0"/>
        <w:spacing w:beforeAutospacing="0" w:afterAutospacing="0"/>
        <w:ind w:firstLine="480" w:firstLineChars="200"/>
        <w:jc w:val="both"/>
        <w:rPr>
          <w:kern w:val="2"/>
        </w:rPr>
      </w:pPr>
      <w:r>
        <w:rPr>
          <w:rFonts w:hint="eastAsia"/>
          <w:kern w:val="2"/>
        </w:rPr>
        <w:t>1、评分标准中有分值区间的，包含区间上限本数，不含下限本数。</w:t>
      </w:r>
    </w:p>
    <w:p w14:paraId="678212DA">
      <w:pPr>
        <w:pStyle w:val="25"/>
        <w:widowControl w:val="0"/>
        <w:spacing w:beforeAutospacing="0" w:afterAutospacing="0"/>
        <w:ind w:firstLine="480" w:firstLineChars="200"/>
        <w:jc w:val="both"/>
        <w:rPr>
          <w:kern w:val="2"/>
        </w:rPr>
      </w:pPr>
      <w:r>
        <w:rPr>
          <w:rFonts w:hint="eastAsia"/>
          <w:kern w:val="2"/>
        </w:rPr>
        <w:t>2、评分因素有时间限制（如投标截止日前三年内）的，所提供的合同、证书、证明等材料的时间，以签署日期、颁发日期或出具日期为准。</w:t>
      </w:r>
    </w:p>
    <w:p w14:paraId="68F3771B">
      <w:pPr>
        <w:ind w:firstLine="480" w:firstLineChars="200"/>
        <w:rPr>
          <w:rFonts w:ascii="宋体" w:cs="宋体"/>
          <w:color w:val="0C0C0C"/>
          <w:sz w:val="24"/>
        </w:rPr>
      </w:pPr>
    </w:p>
    <w:p w14:paraId="1879D725">
      <w:pPr>
        <w:ind w:firstLine="480" w:firstLineChars="200"/>
        <w:rPr>
          <w:rFonts w:ascii="宋体" w:cs="宋体"/>
          <w:sz w:val="24"/>
        </w:rPr>
      </w:pPr>
      <w:r>
        <w:rPr>
          <w:rFonts w:hint="eastAsia" w:ascii="宋体" w:cs="宋体"/>
          <w:color w:val="0C0C0C"/>
          <w:sz w:val="24"/>
        </w:rPr>
        <w:t>注：供应商在投标时应在响应文件第一页加注得分索引，未加注的视为非</w:t>
      </w:r>
      <w:r>
        <w:rPr>
          <w:rFonts w:hint="eastAsia" w:ascii="宋体" w:cs="宋体"/>
          <w:sz w:val="24"/>
        </w:rPr>
        <w:t>响应，其响应文件将被否决。</w:t>
      </w:r>
    </w:p>
    <w:p w14:paraId="62935E41">
      <w:pPr>
        <w:pStyle w:val="25"/>
        <w:widowControl w:val="0"/>
        <w:spacing w:beforeAutospacing="0" w:afterAutospacing="0"/>
        <w:ind w:firstLine="480" w:firstLineChars="200"/>
        <w:jc w:val="both"/>
        <w:rPr>
          <w:kern w:val="2"/>
        </w:rPr>
      </w:pPr>
    </w:p>
    <w:p w14:paraId="31317C46">
      <w:pPr>
        <w:pStyle w:val="25"/>
        <w:widowControl w:val="0"/>
        <w:spacing w:beforeAutospacing="0" w:afterAutospacing="0"/>
        <w:ind w:firstLine="480" w:firstLineChars="200"/>
        <w:jc w:val="both"/>
        <w:rPr>
          <w:kern w:val="2"/>
        </w:rPr>
      </w:pPr>
      <w:r>
        <w:rPr>
          <w:rFonts w:hint="eastAsia"/>
          <w:kern w:val="2"/>
        </w:rPr>
        <w:t>1.4编写评标报告，授权磋商小组确定综合得分排名第一的供应商为成交供应商。</w:t>
      </w:r>
    </w:p>
    <w:p w14:paraId="3A59CB02">
      <w:pPr>
        <w:ind w:left="420" w:firstLine="420"/>
        <w:rPr>
          <w:rFonts w:ascii="宋体" w:cs="宋体"/>
          <w:sz w:val="24"/>
        </w:rPr>
      </w:pPr>
      <w:r>
        <w:rPr>
          <w:rFonts w:hint="eastAsia" w:ascii="宋体" w:cs="宋体"/>
          <w:sz w:val="24"/>
        </w:rPr>
        <w:br w:type="page"/>
      </w:r>
    </w:p>
    <w:p w14:paraId="34F2CF31">
      <w:pPr>
        <w:pStyle w:val="2"/>
        <w:rPr>
          <w:rFonts w:ascii="宋体" w:cs="宋体"/>
        </w:rPr>
      </w:pPr>
      <w:bookmarkStart w:id="49" w:name="_Toc8439"/>
      <w:bookmarkStart w:id="50" w:name="_Toc6167"/>
      <w:bookmarkStart w:id="51" w:name="_Toc15349"/>
      <w:bookmarkStart w:id="52" w:name="_Toc25668"/>
      <w:bookmarkStart w:id="53" w:name="_Toc1684"/>
      <w:bookmarkStart w:id="54" w:name="_Toc12680"/>
      <w:bookmarkStart w:id="55" w:name="_Toc19824"/>
      <w:r>
        <w:rPr>
          <w:rFonts w:hint="eastAsia" w:ascii="宋体" w:cs="宋体"/>
        </w:rPr>
        <w:t>第四章 合同条款（参考格式）</w:t>
      </w:r>
      <w:bookmarkEnd w:id="49"/>
      <w:bookmarkEnd w:id="50"/>
      <w:bookmarkEnd w:id="51"/>
      <w:bookmarkEnd w:id="52"/>
      <w:bookmarkEnd w:id="53"/>
      <w:bookmarkEnd w:id="54"/>
      <w:bookmarkEnd w:id="55"/>
    </w:p>
    <w:p w14:paraId="0BE9F535">
      <w:pPr>
        <w:spacing w:line="360" w:lineRule="auto"/>
        <w:jc w:val="center"/>
        <w:rPr>
          <w:rFonts w:ascii="宋体" w:cs="宋体"/>
          <w:b/>
          <w:color w:val="000000"/>
          <w:kern w:val="44"/>
          <w:sz w:val="24"/>
        </w:rPr>
      </w:pPr>
      <w:bookmarkStart w:id="56" w:name="_Toc15831"/>
      <w:bookmarkStart w:id="57" w:name="_Toc8877"/>
      <w:bookmarkStart w:id="58" w:name="_Toc376"/>
      <w:bookmarkStart w:id="59" w:name="_Toc30857"/>
      <w:bookmarkStart w:id="60" w:name="_Toc6431"/>
      <w:bookmarkStart w:id="61" w:name="_Toc999"/>
      <w:r>
        <w:rPr>
          <w:rFonts w:hint="eastAsia" w:ascii="宋体" w:cs="宋体"/>
          <w:b/>
          <w:color w:val="000000"/>
          <w:kern w:val="44"/>
          <w:sz w:val="24"/>
        </w:rPr>
        <w:t>供应商成交后由甲乙双方自行协商签订</w:t>
      </w:r>
    </w:p>
    <w:p w14:paraId="6FDAD814">
      <w:pPr>
        <w:spacing w:line="360" w:lineRule="auto"/>
        <w:rPr>
          <w:rFonts w:ascii="宋体" w:cs="宋体"/>
          <w:sz w:val="24"/>
        </w:rPr>
      </w:pPr>
    </w:p>
    <w:bookmarkEnd w:id="56"/>
    <w:bookmarkEnd w:id="57"/>
    <w:bookmarkEnd w:id="58"/>
    <w:bookmarkEnd w:id="59"/>
    <w:bookmarkEnd w:id="60"/>
    <w:bookmarkEnd w:id="61"/>
    <w:p w14:paraId="7387CF43">
      <w:pPr>
        <w:rPr>
          <w:rFonts w:ascii="宋体" w:cs="宋体"/>
        </w:rPr>
      </w:pPr>
      <w:bookmarkStart w:id="62" w:name="_Toc29506"/>
      <w:bookmarkStart w:id="63" w:name="_Toc3073"/>
      <w:bookmarkStart w:id="64" w:name="_Toc4746"/>
      <w:bookmarkStart w:id="65" w:name="_Toc5796"/>
      <w:bookmarkStart w:id="66" w:name="_Toc22112"/>
      <w:bookmarkStart w:id="67" w:name="_Toc317"/>
      <w:r>
        <w:rPr>
          <w:rFonts w:hint="eastAsia" w:ascii="宋体" w:cs="宋体"/>
        </w:rPr>
        <w:br w:type="page"/>
      </w:r>
    </w:p>
    <w:p w14:paraId="23E671F9">
      <w:pPr>
        <w:pStyle w:val="2"/>
      </w:pPr>
      <w:bookmarkStart w:id="68" w:name="_Toc15624"/>
      <w:r>
        <w:rPr>
          <w:rFonts w:hint="eastAsia"/>
        </w:rPr>
        <w:t>第五章 货物需求及技术规格要求</w:t>
      </w:r>
      <w:bookmarkEnd w:id="68"/>
    </w:p>
    <w:p w14:paraId="41DC6FE7">
      <w:pPr>
        <w:spacing w:line="360" w:lineRule="auto"/>
        <w:ind w:firstLine="480" w:firstLineChars="200"/>
        <w:rPr>
          <w:rFonts w:ascii="宋体" w:cs="宋体"/>
          <w:sz w:val="24"/>
        </w:rPr>
      </w:pPr>
    </w:p>
    <w:p w14:paraId="3128989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eastAsia="zh-CN"/>
        </w:rPr>
        <w:t>一、项目概述</w:t>
      </w:r>
    </w:p>
    <w:p w14:paraId="38B31058">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（一）采购标的需实现的功能或者目标：</w:t>
      </w:r>
    </w:p>
    <w:p w14:paraId="6C5576A0">
      <w:pPr>
        <w:keepNext w:val="0"/>
        <w:keepLines w:val="0"/>
        <w:pageBreakBefore w:val="0"/>
        <w:widowControl/>
        <w:numPr>
          <w:ilvl w:val="0"/>
          <w:numId w:val="5"/>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采购标的需执行的国家相关标准、行业标准、地方标准或者其他标准、规范</w:t>
      </w:r>
      <w:r>
        <w:rPr>
          <w:rFonts w:hint="eastAsia" w:ascii="宋体" w:hAnsi="宋体" w:eastAsia="宋体" w:cs="宋体"/>
          <w:b w:val="0"/>
          <w:bCs/>
          <w:color w:val="auto"/>
          <w:kern w:val="0"/>
          <w:sz w:val="24"/>
          <w:szCs w:val="24"/>
          <w:lang w:eastAsia="zh-CN"/>
        </w:rPr>
        <w:t>：</w:t>
      </w:r>
    </w:p>
    <w:p w14:paraId="07316C1F">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（三）</w:t>
      </w:r>
      <w:r>
        <w:rPr>
          <w:rFonts w:hint="eastAsia" w:ascii="宋体" w:hAnsi="宋体" w:eastAsia="宋体" w:cs="宋体"/>
          <w:color w:val="000000"/>
          <w:spacing w:val="-3"/>
          <w:sz w:val="24"/>
          <w:szCs w:val="24"/>
        </w:rPr>
        <w:t>采购标的对应的中小企业划分标准所属行业</w:t>
      </w:r>
      <w:r>
        <w:rPr>
          <w:rFonts w:hint="eastAsia" w:ascii="宋体" w:hAnsi="宋体" w:eastAsia="宋体" w:cs="宋体"/>
          <w:color w:val="000000"/>
          <w:spacing w:val="-3"/>
          <w:sz w:val="24"/>
          <w:szCs w:val="24"/>
          <w:lang w:eastAsia="zh-CN"/>
        </w:rPr>
        <w:t>（</w:t>
      </w:r>
      <w:r>
        <w:rPr>
          <w:rFonts w:hint="eastAsia" w:ascii="宋体" w:hAnsi="宋体" w:eastAsia="宋体" w:cs="宋体"/>
          <w:color w:val="000000"/>
          <w:spacing w:val="-3"/>
          <w:sz w:val="24"/>
          <w:szCs w:val="24"/>
          <w:lang w:val="en-US" w:eastAsia="zh-CN"/>
        </w:rPr>
        <w:t>投标文件中《中小企业声明函》中填写的“</w:t>
      </w:r>
      <w:r>
        <w:rPr>
          <w:rFonts w:ascii="仿宋" w:hAnsi="仿宋" w:cs="仿宋"/>
          <w:color w:val="000000"/>
          <w:spacing w:val="0"/>
          <w:sz w:val="24"/>
          <w:szCs w:val="24"/>
          <w:u w:val="none"/>
        </w:rPr>
        <w:t>采购文件中明确的所属行业</w:t>
      </w:r>
      <w:r>
        <w:rPr>
          <w:rFonts w:hint="eastAsia" w:ascii="宋体" w:hAnsi="宋体" w:eastAsia="宋体" w:cs="宋体"/>
          <w:color w:val="000000"/>
          <w:spacing w:val="-3"/>
          <w:sz w:val="24"/>
          <w:szCs w:val="24"/>
          <w:lang w:val="en-US" w:eastAsia="zh-CN"/>
        </w:rPr>
        <w:t>”应与下述行业一致</w:t>
      </w:r>
      <w:r>
        <w:rPr>
          <w:rFonts w:hint="eastAsia" w:ascii="宋体" w:hAnsi="宋体" w:eastAsia="宋体" w:cs="宋体"/>
          <w:color w:val="000000"/>
          <w:spacing w:val="-3"/>
          <w:sz w:val="24"/>
          <w:szCs w:val="24"/>
          <w:lang w:eastAsia="zh-CN"/>
        </w:rPr>
        <w:t>）：</w:t>
      </w:r>
    </w:p>
    <w:p w14:paraId="4536006D">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宋体" w:hAnsi="宋体" w:eastAsia="宋体" w:cs="宋体"/>
          <w:b/>
          <w:bCs w:val="0"/>
          <w:kern w:val="0"/>
          <w:sz w:val="24"/>
          <w:szCs w:val="24"/>
          <w:lang w:eastAsia="zh-CN"/>
        </w:rPr>
      </w:pPr>
      <w:r>
        <w:rPr>
          <w:rFonts w:hint="eastAsia" w:ascii="宋体" w:hAnsi="宋体" w:eastAsia="宋体" w:cs="宋体"/>
          <w:b/>
          <w:bCs w:val="0"/>
          <w:kern w:val="0"/>
          <w:sz w:val="24"/>
          <w:szCs w:val="24"/>
          <w:lang w:eastAsia="zh-CN"/>
        </w:rPr>
        <w:t>二、技术要求</w:t>
      </w:r>
    </w:p>
    <w:p w14:paraId="3DC61B6B">
      <w:pPr>
        <w:pStyle w:val="25"/>
        <w:wordWrap w:val="0"/>
        <w:spacing w:before="0" w:beforeAutospacing="0" w:after="2" w:afterAutospacing="0" w:line="480" w:lineRule="auto"/>
        <w:rPr>
          <w:rFonts w:hint="eastAsia" w:cs="宋体"/>
          <w:bCs/>
        </w:rPr>
      </w:pPr>
      <w:r>
        <w:rPr>
          <w:rFonts w:hint="eastAsia" w:cs="宋体"/>
          <w:bCs/>
        </w:rPr>
        <w:t>（一）技术条款（</w:t>
      </w:r>
      <w:r>
        <w:rPr>
          <w:rFonts w:hint="eastAsia" w:cs="宋体"/>
          <w:bCs/>
          <w:lang w:val="zh-CN"/>
        </w:rPr>
        <w:t>采购标的的功能和质量要求，包括性能、材料、结构、外观、安全、</w:t>
      </w:r>
      <w:r>
        <w:rPr>
          <w:rFonts w:hint="eastAsia" w:cs="宋体"/>
          <w:bCs/>
        </w:rPr>
        <w:t>服务内容和标准</w:t>
      </w:r>
      <w:r>
        <w:rPr>
          <w:rFonts w:hint="eastAsia" w:cs="宋体"/>
          <w:bCs/>
          <w:lang w:val="zh-CN"/>
        </w:rPr>
        <w:t>等</w:t>
      </w:r>
      <w:r>
        <w:rPr>
          <w:rFonts w:hint="eastAsia" w:cs="宋体"/>
          <w:bCs/>
        </w:rPr>
        <w:t>）：</w:t>
      </w:r>
    </w:p>
    <w:p w14:paraId="395F7AD4">
      <w:pPr>
        <w:pStyle w:val="25"/>
        <w:wordWrap w:val="0"/>
        <w:spacing w:before="0" w:beforeAutospacing="0" w:after="2" w:afterAutospacing="0" w:line="480" w:lineRule="auto"/>
        <w:rPr>
          <w:rFonts w:cs="宋体"/>
          <w:bCs/>
        </w:rPr>
      </w:pPr>
      <w:r>
        <w:rPr>
          <w:rFonts w:hint="eastAsia" w:cs="宋体"/>
          <w:bCs/>
          <w:lang w:val="zh-CN"/>
        </w:rPr>
        <w:t>注：</w:t>
      </w:r>
      <w:r>
        <w:rPr>
          <w:rFonts w:hint="eastAsia" w:cs="宋体"/>
          <w:bCs/>
        </w:rPr>
        <w:t>投标人</w:t>
      </w:r>
      <w:r>
        <w:rPr>
          <w:rFonts w:hint="eastAsia" w:cs="宋体"/>
          <w:bCs/>
          <w:lang w:val="zh-CN"/>
        </w:rPr>
        <w:t>应在投标文件《技术条款偏离表》中对本部分技术条款逐条说明响应和偏离情况，</w:t>
      </w:r>
      <w:r>
        <w:rPr>
          <w:rFonts w:hint="eastAsia" w:cs="宋体"/>
          <w:bCs/>
        </w:rPr>
        <w:t>技术条款</w:t>
      </w:r>
      <w:r>
        <w:rPr>
          <w:rFonts w:hint="eastAsia" w:cs="宋体"/>
          <w:bCs/>
          <w:lang w:val="zh-CN"/>
        </w:rPr>
        <w:t>中的“</w:t>
      </w:r>
      <w:r>
        <w:rPr>
          <w:rFonts w:hint="eastAsia" w:cs="宋体"/>
          <w:bCs/>
        </w:rPr>
        <w:t>具体参数值或功能要求表述</w:t>
      </w:r>
      <w:r>
        <w:rPr>
          <w:rFonts w:hint="eastAsia" w:cs="宋体"/>
          <w:bCs/>
          <w:lang w:val="zh-CN"/>
        </w:rPr>
        <w:t>”中“</w:t>
      </w:r>
      <w:r>
        <w:rPr>
          <w:rFonts w:hint="eastAsia" w:ascii="宋体" w:hAnsi="宋体" w:cs="宋体"/>
          <w:color w:val="000000"/>
          <w:kern w:val="0"/>
          <w:sz w:val="24"/>
          <w:szCs w:val="24"/>
          <w:highlight w:val="none"/>
          <w:lang w:val="en-US" w:eastAsia="zh-CN"/>
        </w:rPr>
        <w:t>★</w:t>
      </w:r>
      <w:r>
        <w:rPr>
          <w:rFonts w:hint="eastAsia" w:cs="宋体"/>
          <w:bCs/>
          <w:lang w:val="zh-CN"/>
        </w:rPr>
        <w:t>”条款</w:t>
      </w:r>
      <w:r>
        <w:rPr>
          <w:rFonts w:hint="eastAsia" w:cs="宋体"/>
          <w:bCs/>
        </w:rPr>
        <w:t>为实质性条款，</w:t>
      </w:r>
      <w:r>
        <w:rPr>
          <w:rFonts w:hint="eastAsia" w:cs="宋体"/>
          <w:bCs/>
          <w:lang w:val="zh-CN"/>
        </w:rPr>
        <w:t>投标人的投标必须完全满足或者正偏离，否则投标无效。</w:t>
      </w:r>
    </w:p>
    <w:tbl>
      <w:tblPr>
        <w:tblStyle w:val="28"/>
        <w:tblW w:w="967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05"/>
        <w:gridCol w:w="6265"/>
        <w:gridCol w:w="1450"/>
      </w:tblGrid>
      <w:tr w14:paraId="6AF29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Borders>
              <w:tl2br w:val="nil"/>
              <w:tr2bl w:val="nil"/>
            </w:tcBorders>
            <w:noWrap w:val="0"/>
            <w:tcMar>
              <w:top w:w="57" w:type="dxa"/>
              <w:left w:w="108" w:type="dxa"/>
              <w:bottom w:w="57" w:type="dxa"/>
              <w:right w:w="108" w:type="dxa"/>
            </w:tcMar>
            <w:vAlign w:val="top"/>
          </w:tcPr>
          <w:p w14:paraId="61F1348C">
            <w:pPr>
              <w:pStyle w:val="25"/>
              <w:wordWrap w:val="0"/>
              <w:spacing w:before="0" w:beforeAutospacing="0" w:after="2" w:afterAutospacing="0" w:line="480" w:lineRule="auto"/>
              <w:jc w:val="center"/>
              <w:rPr>
                <w:rFonts w:hint="eastAsia" w:cs="宋体"/>
                <w:bCs/>
              </w:rPr>
            </w:pPr>
            <w:r>
              <w:rPr>
                <w:rFonts w:hint="eastAsia" w:cs="宋体"/>
                <w:bCs/>
              </w:rPr>
              <w:t>序号</w:t>
            </w:r>
          </w:p>
        </w:tc>
        <w:tc>
          <w:tcPr>
            <w:tcW w:w="1205" w:type="dxa"/>
            <w:tcBorders>
              <w:tl2br w:val="nil"/>
              <w:tr2bl w:val="nil"/>
            </w:tcBorders>
            <w:noWrap w:val="0"/>
            <w:tcMar>
              <w:top w:w="57" w:type="dxa"/>
              <w:left w:w="108" w:type="dxa"/>
              <w:bottom w:w="57" w:type="dxa"/>
              <w:right w:w="108" w:type="dxa"/>
            </w:tcMar>
            <w:vAlign w:val="top"/>
          </w:tcPr>
          <w:p w14:paraId="187AF4BA">
            <w:pPr>
              <w:pStyle w:val="25"/>
              <w:wordWrap w:val="0"/>
              <w:spacing w:before="0" w:beforeAutospacing="0" w:after="2" w:afterAutospacing="0" w:line="480" w:lineRule="auto"/>
              <w:jc w:val="center"/>
              <w:rPr>
                <w:rFonts w:cs="宋体"/>
                <w:bCs/>
              </w:rPr>
            </w:pPr>
            <w:r>
              <w:rPr>
                <w:rFonts w:hint="eastAsia" w:cs="宋体"/>
                <w:bCs/>
              </w:rPr>
              <w:t>标的名称</w:t>
            </w:r>
          </w:p>
        </w:tc>
        <w:tc>
          <w:tcPr>
            <w:tcW w:w="6265" w:type="dxa"/>
            <w:tcBorders>
              <w:tl2br w:val="nil"/>
              <w:tr2bl w:val="nil"/>
            </w:tcBorders>
            <w:noWrap w:val="0"/>
            <w:tcMar>
              <w:top w:w="57" w:type="dxa"/>
              <w:left w:w="108" w:type="dxa"/>
              <w:bottom w:w="57" w:type="dxa"/>
              <w:right w:w="108" w:type="dxa"/>
            </w:tcMar>
            <w:vAlign w:val="top"/>
          </w:tcPr>
          <w:p w14:paraId="4905C1BB">
            <w:pPr>
              <w:pStyle w:val="25"/>
              <w:wordWrap w:val="0"/>
              <w:spacing w:before="0" w:beforeAutospacing="0" w:after="2" w:afterAutospacing="0" w:line="480" w:lineRule="auto"/>
              <w:jc w:val="center"/>
              <w:rPr>
                <w:rFonts w:hint="eastAsia" w:cs="宋体"/>
                <w:bCs/>
              </w:rPr>
            </w:pPr>
            <w:r>
              <w:rPr>
                <w:rFonts w:hint="eastAsia" w:cs="宋体"/>
                <w:bCs/>
              </w:rPr>
              <w:t>具体参数值或功能要求表述</w:t>
            </w:r>
          </w:p>
        </w:tc>
        <w:tc>
          <w:tcPr>
            <w:tcW w:w="1450" w:type="dxa"/>
            <w:tcBorders>
              <w:tl2br w:val="nil"/>
              <w:tr2bl w:val="nil"/>
            </w:tcBorders>
            <w:noWrap w:val="0"/>
            <w:tcMar>
              <w:top w:w="57" w:type="dxa"/>
              <w:left w:w="108" w:type="dxa"/>
              <w:bottom w:w="57" w:type="dxa"/>
              <w:right w:w="108" w:type="dxa"/>
            </w:tcMar>
            <w:vAlign w:val="top"/>
          </w:tcPr>
          <w:p w14:paraId="4ACC9EB0">
            <w:pPr>
              <w:pStyle w:val="25"/>
              <w:wordWrap w:val="0"/>
              <w:spacing w:before="0" w:beforeAutospacing="0" w:after="2" w:afterAutospacing="0" w:line="480" w:lineRule="auto"/>
              <w:jc w:val="center"/>
              <w:rPr>
                <w:rFonts w:hint="eastAsia" w:cs="宋体"/>
                <w:bCs/>
              </w:rPr>
            </w:pPr>
            <w:r>
              <w:rPr>
                <w:rFonts w:hint="eastAsia" w:cs="宋体"/>
                <w:bCs/>
              </w:rPr>
              <w:t>数量及单位</w:t>
            </w:r>
          </w:p>
        </w:tc>
      </w:tr>
      <w:tr w14:paraId="4E7AE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90" w:hRule="atLeast"/>
        </w:trPr>
        <w:tc>
          <w:tcPr>
            <w:tcW w:w="750" w:type="dxa"/>
            <w:tcBorders>
              <w:tl2br w:val="nil"/>
              <w:tr2bl w:val="nil"/>
            </w:tcBorders>
            <w:noWrap w:val="0"/>
            <w:tcMar>
              <w:top w:w="57" w:type="dxa"/>
              <w:left w:w="108" w:type="dxa"/>
              <w:bottom w:w="57" w:type="dxa"/>
              <w:right w:w="108" w:type="dxa"/>
            </w:tcMar>
            <w:vAlign w:val="top"/>
          </w:tcPr>
          <w:p w14:paraId="54ABC6C1">
            <w:pPr>
              <w:pStyle w:val="25"/>
              <w:wordWrap w:val="0"/>
              <w:spacing w:before="0" w:beforeAutospacing="0" w:after="2" w:afterAutospacing="0" w:line="480" w:lineRule="auto"/>
              <w:jc w:val="center"/>
              <w:rPr>
                <w:rFonts w:hint="eastAsia" w:cs="宋体"/>
                <w:bCs/>
              </w:rPr>
            </w:pPr>
            <w:r>
              <w:rPr>
                <w:rFonts w:hint="eastAsia" w:cs="宋体"/>
                <w:bCs/>
              </w:rPr>
              <w:t>1</w:t>
            </w:r>
          </w:p>
          <w:p w14:paraId="532199AA">
            <w:pPr>
              <w:pStyle w:val="25"/>
              <w:wordWrap w:val="0"/>
              <w:spacing w:before="0" w:beforeAutospacing="0" w:after="2" w:afterAutospacing="0" w:line="480" w:lineRule="auto"/>
              <w:jc w:val="center"/>
              <w:rPr>
                <w:rFonts w:hint="eastAsia" w:cs="宋体"/>
              </w:rPr>
            </w:pPr>
          </w:p>
        </w:tc>
        <w:tc>
          <w:tcPr>
            <w:tcW w:w="1205" w:type="dxa"/>
            <w:tcBorders>
              <w:tl2br w:val="nil"/>
              <w:tr2bl w:val="nil"/>
            </w:tcBorders>
            <w:noWrap w:val="0"/>
            <w:tcMar>
              <w:top w:w="57" w:type="dxa"/>
              <w:left w:w="108" w:type="dxa"/>
              <w:bottom w:w="57" w:type="dxa"/>
              <w:right w:w="108" w:type="dxa"/>
            </w:tcMar>
            <w:vAlign w:val="top"/>
          </w:tcPr>
          <w:p w14:paraId="4B651551">
            <w:pPr>
              <w:pStyle w:val="25"/>
              <w:wordWrap w:val="0"/>
              <w:spacing w:before="0" w:beforeAutospacing="0" w:after="2" w:afterAutospacing="0" w:line="480" w:lineRule="auto"/>
              <w:rPr>
                <w:rFonts w:hint="default" w:eastAsia="宋体" w:cs="宋体"/>
                <w:b/>
                <w:lang w:val="en-US" w:eastAsia="zh-CN"/>
              </w:rPr>
            </w:pPr>
            <w:r>
              <w:rPr>
                <w:rFonts w:hint="eastAsia" w:eastAsia="宋体" w:cs="宋体"/>
                <w:b/>
                <w:lang w:val="en-US" w:eastAsia="zh-CN"/>
              </w:rPr>
              <w:t>呼出气体酒精检测仪</w:t>
            </w:r>
          </w:p>
        </w:tc>
        <w:tc>
          <w:tcPr>
            <w:tcW w:w="6265" w:type="dxa"/>
            <w:tcBorders>
              <w:tl2br w:val="nil"/>
              <w:tr2bl w:val="nil"/>
            </w:tcBorders>
            <w:noWrap w:val="0"/>
            <w:tcMar>
              <w:top w:w="57" w:type="dxa"/>
              <w:left w:w="108" w:type="dxa"/>
              <w:bottom w:w="57" w:type="dxa"/>
              <w:right w:w="108" w:type="dxa"/>
            </w:tcMar>
            <w:vAlign w:val="top"/>
          </w:tcPr>
          <w:p w14:paraId="7A2031D2">
            <w:pPr>
              <w:pStyle w:val="61"/>
              <w:numPr>
                <w:ilvl w:val="0"/>
                <w:numId w:val="6"/>
              </w:numPr>
              <w:adjustRightInd w:val="0"/>
              <w:snapToGrid w:val="0"/>
              <w:spacing w:line="360" w:lineRule="auto"/>
              <w:ind w:firstLineChars="0"/>
              <w:rPr>
                <w:rFonts w:hint="eastAsia" w:cs="宋体"/>
                <w:b/>
                <w:color w:val="auto"/>
              </w:rPr>
            </w:pPr>
            <w:r>
              <w:rPr>
                <w:rFonts w:hint="eastAsia" w:ascii="宋体" w:hAnsi="宋体" w:cs="宋体"/>
                <w:color w:val="000000"/>
                <w:kern w:val="0"/>
                <w:sz w:val="24"/>
                <w:szCs w:val="24"/>
                <w:highlight w:val="none"/>
                <w:lang w:val="en-US" w:eastAsia="zh-CN"/>
              </w:rPr>
              <w:t>★要求投标产品符合中国国家标准化委员会颁布的GB/T21254-2017《呼出气体酒精含量检测仪》国家标准。</w:t>
            </w:r>
            <w:r>
              <w:rPr>
                <w:rFonts w:hint="eastAsia" w:ascii="宋体" w:hAnsi="宋体" w:cs="宋体"/>
                <w:color w:val="auto"/>
                <w:kern w:val="0"/>
                <w:sz w:val="24"/>
                <w:szCs w:val="24"/>
                <w:highlight w:val="none"/>
                <w:lang w:val="en-US" w:eastAsia="zh-CN"/>
              </w:rPr>
              <w:t>具有该</w:t>
            </w:r>
            <w:r>
              <w:rPr>
                <w:rFonts w:hint="eastAsia" w:ascii="宋体" w:hAnsi="宋体" w:cs="宋体"/>
                <w:color w:val="auto"/>
                <w:kern w:val="0"/>
                <w:sz w:val="24"/>
                <w:szCs w:val="24"/>
                <w:lang w:val="en-US" w:eastAsia="zh-CN"/>
              </w:rPr>
              <w:t>供应产品的计量器具型式批准证书。</w:t>
            </w:r>
          </w:p>
          <w:p w14:paraId="17AFB538">
            <w:pPr>
              <w:pStyle w:val="61"/>
              <w:numPr>
                <w:ilvl w:val="0"/>
                <w:numId w:val="6"/>
              </w:numPr>
              <w:adjustRightInd w:val="0"/>
              <w:snapToGrid w:val="0"/>
              <w:spacing w:line="360" w:lineRule="auto"/>
              <w:ind w:firstLineChars="0"/>
              <w:rPr>
                <w:rFonts w:hint="eastAsia" w:cs="宋体"/>
                <w:b w:val="0"/>
                <w:bCs w:val="0"/>
                <w:color w:val="auto"/>
              </w:rPr>
            </w:pPr>
            <w:r>
              <w:rPr>
                <w:rFonts w:hint="eastAsia" w:ascii="宋体" w:hAnsi="宋体" w:cs="宋体"/>
                <w:b w:val="0"/>
                <w:bCs w:val="0"/>
                <w:color w:val="auto"/>
                <w:kern w:val="0"/>
                <w:sz w:val="24"/>
                <w:szCs w:val="24"/>
                <w:lang w:val="en-US" w:eastAsia="zh-CN"/>
              </w:rPr>
              <w:t>吹管结构：</w:t>
            </w:r>
            <w:r>
              <w:rPr>
                <w:b w:val="0"/>
                <w:bCs w:val="0"/>
                <w:color w:val="auto"/>
                <w:spacing w:val="8"/>
                <w:sz w:val="24"/>
              </w:rPr>
              <w:t>酒检仪应使用符合卫生条件的一次性吹管，吹管应单独封装，每次测量前应更换吹管</w:t>
            </w:r>
            <w:r>
              <w:rPr>
                <w:rFonts w:hint="eastAsia"/>
                <w:b w:val="0"/>
                <w:bCs w:val="0"/>
                <w:color w:val="auto"/>
                <w:spacing w:val="8"/>
                <w:sz w:val="24"/>
              </w:rPr>
              <w:t>；</w:t>
            </w:r>
            <w:r>
              <w:rPr>
                <w:b w:val="0"/>
                <w:bCs w:val="0"/>
                <w:color w:val="auto"/>
                <w:spacing w:val="8"/>
                <w:sz w:val="24"/>
              </w:rPr>
              <w:t>酒检仪应采用单向吹管，以确保测试者不会吸入测量系统中的残留物</w:t>
            </w:r>
            <w:r>
              <w:rPr>
                <w:rFonts w:hint="eastAsia"/>
                <w:b w:val="0"/>
                <w:bCs w:val="0"/>
                <w:color w:val="auto"/>
                <w:spacing w:val="8"/>
                <w:sz w:val="24"/>
                <w:lang w:eastAsia="zh-CN"/>
              </w:rPr>
              <w:t>。</w:t>
            </w:r>
            <w:r>
              <w:rPr>
                <w:rFonts w:hint="eastAsia" w:ascii="宋体" w:hAnsi="宋体" w:cs="宋体"/>
                <w:b w:val="0"/>
                <w:bCs w:val="0"/>
                <w:color w:val="auto"/>
                <w:kern w:val="0"/>
                <w:sz w:val="24"/>
                <w:szCs w:val="24"/>
                <w:lang w:val="en-US" w:eastAsia="zh-CN"/>
              </w:rPr>
              <w:t>具有自动弹出式设计，测试结束可弹出无需手接触吹管。</w:t>
            </w:r>
            <w:r>
              <w:rPr>
                <w:rFonts w:hint="eastAsia" w:eastAsia="宋体" w:cs="Times New Roman"/>
                <w:b w:val="0"/>
                <w:bCs w:val="0"/>
                <w:color w:val="auto"/>
                <w:spacing w:val="8"/>
                <w:sz w:val="24"/>
                <w:lang w:val="en-US" w:eastAsia="zh-CN"/>
              </w:rPr>
              <w:t>（供货查验）</w:t>
            </w:r>
          </w:p>
          <w:p w14:paraId="6CB56C4C">
            <w:pPr>
              <w:pStyle w:val="61"/>
              <w:numPr>
                <w:ilvl w:val="0"/>
                <w:numId w:val="6"/>
              </w:numPr>
              <w:adjustRightInd w:val="0"/>
              <w:snapToGrid w:val="0"/>
              <w:spacing w:line="360" w:lineRule="auto"/>
              <w:ind w:firstLineChars="0"/>
              <w:rPr>
                <w:rFonts w:hint="eastAsia" w:cs="宋体"/>
                <w:b w:val="0"/>
                <w:bCs w:val="0"/>
                <w:color w:val="auto"/>
                <w:highlight w:val="none"/>
              </w:rPr>
            </w:pPr>
            <w:r>
              <w:rPr>
                <w:rFonts w:hint="eastAsia" w:ascii="宋体" w:hAnsi="宋体" w:cs="宋体"/>
                <w:b w:val="0"/>
                <w:bCs w:val="0"/>
                <w:color w:val="auto"/>
                <w:sz w:val="24"/>
                <w:szCs w:val="24"/>
                <w:lang w:val="en-US" w:eastAsia="zh-CN"/>
              </w:rPr>
              <w:t>定位功能：</w:t>
            </w:r>
            <w:r>
              <w:rPr>
                <w:b w:val="0"/>
                <w:bCs w:val="0"/>
                <w:color w:val="auto"/>
                <w:spacing w:val="8"/>
                <w:sz w:val="24"/>
              </w:rPr>
              <w:t>仪器应具有</w:t>
            </w:r>
            <w:r>
              <w:rPr>
                <w:rFonts w:hint="eastAsia"/>
                <w:b w:val="0"/>
                <w:bCs w:val="0"/>
                <w:color w:val="auto"/>
                <w:spacing w:val="8"/>
                <w:sz w:val="24"/>
                <w:lang w:val="en-US" w:eastAsia="zh-CN"/>
              </w:rPr>
              <w:t>单</w:t>
            </w:r>
            <w:r>
              <w:rPr>
                <w:rFonts w:hint="eastAsia"/>
                <w:b w:val="0"/>
                <w:bCs w:val="0"/>
                <w:color w:val="auto"/>
                <w:spacing w:val="8"/>
                <w:sz w:val="24"/>
              </w:rPr>
              <w:t>北斗</w:t>
            </w:r>
            <w:r>
              <w:rPr>
                <w:b w:val="0"/>
                <w:bCs w:val="0"/>
                <w:color w:val="auto"/>
                <w:spacing w:val="8"/>
                <w:sz w:val="24"/>
              </w:rPr>
              <w:t>定位功能</w:t>
            </w:r>
            <w:r>
              <w:rPr>
                <w:rFonts w:hint="eastAsia"/>
                <w:b w:val="0"/>
                <w:bCs w:val="0"/>
                <w:color w:val="auto"/>
                <w:spacing w:val="8"/>
                <w:sz w:val="24"/>
                <w:lang w:val="en-US" w:eastAsia="zh-CN"/>
              </w:rPr>
              <w:t>。</w:t>
            </w:r>
            <w:r>
              <w:rPr>
                <w:rFonts w:hint="eastAsia"/>
                <w:b w:val="0"/>
                <w:bCs w:val="0"/>
                <w:color w:val="auto"/>
                <w:spacing w:val="8"/>
                <w:sz w:val="24"/>
                <w:highlight w:val="none"/>
                <w:lang w:val="en-US" w:eastAsia="zh-CN"/>
              </w:rPr>
              <w:t>仪器开机后，一定自动修正同步仪器的时间，确保仪器时间与北京时间同步</w:t>
            </w:r>
            <w:r>
              <w:rPr>
                <w:rFonts w:hint="eastAsia"/>
                <w:b w:val="0"/>
                <w:bCs w:val="0"/>
                <w:color w:val="auto"/>
                <w:spacing w:val="8"/>
                <w:sz w:val="24"/>
                <w:highlight w:val="none"/>
                <w:lang w:eastAsia="zh-CN"/>
              </w:rPr>
              <w:t>。</w:t>
            </w:r>
          </w:p>
          <w:p w14:paraId="2ADA03DE">
            <w:pPr>
              <w:pStyle w:val="61"/>
              <w:numPr>
                <w:ilvl w:val="0"/>
                <w:numId w:val="6"/>
              </w:numPr>
              <w:adjustRightInd w:val="0"/>
              <w:snapToGrid w:val="0"/>
              <w:spacing w:line="360" w:lineRule="auto"/>
              <w:ind w:firstLineChars="0"/>
              <w:rPr>
                <w:rFonts w:hint="eastAsia" w:eastAsia="宋体" w:cs="Times New Roman"/>
                <w:b w:val="0"/>
                <w:bCs w:val="0"/>
                <w:color w:val="auto"/>
                <w:spacing w:val="8"/>
                <w:sz w:val="24"/>
                <w:highlight w:val="none"/>
                <w:lang w:val="en-US" w:eastAsia="zh-CN"/>
              </w:rPr>
            </w:pPr>
            <w:r>
              <w:rPr>
                <w:rFonts w:hint="eastAsia" w:eastAsia="宋体" w:cs="Times New Roman"/>
                <w:b w:val="0"/>
                <w:bCs w:val="0"/>
                <w:color w:val="auto"/>
                <w:spacing w:val="8"/>
                <w:sz w:val="24"/>
                <w:highlight w:val="none"/>
                <w:lang w:eastAsia="zh-CN"/>
              </w:rPr>
              <w:t>仪器屏幕尺寸：</w:t>
            </w:r>
            <w:r>
              <w:rPr>
                <w:rFonts w:hint="eastAsia" w:eastAsia="宋体" w:cs="Times New Roman"/>
                <w:b w:val="0"/>
                <w:bCs w:val="0"/>
                <w:color w:val="auto"/>
                <w:spacing w:val="8"/>
                <w:sz w:val="24"/>
                <w:highlight w:val="none"/>
                <w:lang w:val="en-US" w:eastAsia="zh-CN"/>
              </w:rPr>
              <w:t>≥</w:t>
            </w:r>
            <w:r>
              <w:rPr>
                <w:rFonts w:hint="eastAsia" w:eastAsia="宋体" w:cs="Times New Roman"/>
                <w:b w:val="0"/>
                <w:bCs w:val="0"/>
                <w:color w:val="auto"/>
                <w:spacing w:val="8"/>
                <w:sz w:val="24"/>
                <w:highlight w:val="none"/>
              </w:rPr>
              <w:t>4英寸多点电容式触摸屏</w:t>
            </w:r>
            <w:r>
              <w:rPr>
                <w:rFonts w:hint="eastAsia" w:eastAsia="宋体" w:cs="Times New Roman"/>
                <w:b w:val="0"/>
                <w:bCs w:val="0"/>
                <w:color w:val="auto"/>
                <w:spacing w:val="8"/>
                <w:sz w:val="24"/>
                <w:highlight w:val="none"/>
                <w:lang w:eastAsia="zh-CN"/>
              </w:rPr>
              <w:t>，</w:t>
            </w:r>
            <w:r>
              <w:rPr>
                <w:rFonts w:hint="eastAsia" w:ascii="宋体" w:hAnsi="宋体" w:eastAsia="宋体" w:cs="宋体"/>
                <w:b w:val="0"/>
                <w:bCs w:val="0"/>
                <w:color w:val="auto"/>
                <w:spacing w:val="8"/>
                <w:sz w:val="24"/>
                <w:highlight w:val="none"/>
                <w:lang w:val="en-US" w:eastAsia="zh-CN"/>
              </w:rPr>
              <w:t>分辨率480P,</w:t>
            </w:r>
            <w:r>
              <w:rPr>
                <w:rFonts w:hint="eastAsia" w:eastAsia="宋体" w:cs="Times New Roman"/>
                <w:b w:val="0"/>
                <w:bCs w:val="0"/>
                <w:color w:val="auto"/>
                <w:spacing w:val="8"/>
                <w:sz w:val="24"/>
                <w:highlight w:val="none"/>
              </w:rPr>
              <w:t>全中文操作界面，可手动输入资料信息</w:t>
            </w:r>
            <w:r>
              <w:rPr>
                <w:rFonts w:hint="eastAsia" w:eastAsia="宋体" w:cs="Times New Roman"/>
                <w:b w:val="0"/>
                <w:bCs w:val="0"/>
                <w:color w:val="auto"/>
                <w:spacing w:val="8"/>
                <w:sz w:val="24"/>
                <w:highlight w:val="none"/>
                <w:lang w:eastAsia="zh-CN"/>
              </w:rPr>
              <w:t>。</w:t>
            </w:r>
            <w:r>
              <w:rPr>
                <w:rFonts w:hint="eastAsia" w:eastAsia="宋体" w:cs="Times New Roman"/>
                <w:b w:val="0"/>
                <w:bCs w:val="0"/>
                <w:color w:val="auto"/>
                <w:spacing w:val="8"/>
                <w:sz w:val="24"/>
                <w:highlight w:val="none"/>
                <w:lang w:val="en-US" w:eastAsia="zh-CN"/>
              </w:rPr>
              <w:t>（供货查验）</w:t>
            </w:r>
          </w:p>
          <w:p w14:paraId="30DD15D3">
            <w:pPr>
              <w:pStyle w:val="61"/>
              <w:numPr>
                <w:ilvl w:val="0"/>
                <w:numId w:val="6"/>
              </w:numPr>
              <w:adjustRightInd w:val="0"/>
              <w:snapToGrid w:val="0"/>
              <w:spacing w:line="360" w:lineRule="auto"/>
              <w:ind w:firstLineChars="0"/>
              <w:rPr>
                <w:rFonts w:hint="eastAsia" w:cs="宋体"/>
                <w:b w:val="0"/>
                <w:bCs w:val="0"/>
                <w:color w:val="auto"/>
                <w:sz w:val="24"/>
                <w:szCs w:val="24"/>
                <w:highlight w:val="none"/>
              </w:rPr>
            </w:pPr>
            <w:r>
              <w:rPr>
                <w:rFonts w:hint="eastAsia" w:eastAsia="宋体" w:cs="Times New Roman"/>
                <w:b w:val="0"/>
                <w:bCs w:val="0"/>
                <w:color w:val="auto"/>
                <w:spacing w:val="8"/>
                <w:sz w:val="24"/>
                <w:szCs w:val="24"/>
                <w:highlight w:val="none"/>
                <w:lang w:val="en-US" w:eastAsia="zh-CN"/>
              </w:rPr>
              <w:t>仪器电池：采用可拆卸电池，无需螺丝刀等工具即可拆卸更换。</w:t>
            </w:r>
            <w:r>
              <w:rPr>
                <w:rFonts w:hint="eastAsia" w:ascii="宋体" w:hAnsi="宋体" w:eastAsia="宋体" w:cs="宋体"/>
                <w:b w:val="0"/>
                <w:bCs w:val="0"/>
                <w:color w:val="000000"/>
                <w:sz w:val="24"/>
                <w:szCs w:val="24"/>
                <w:highlight w:val="none"/>
                <w:lang w:val="zh-CN"/>
              </w:rPr>
              <w:t>电池容量应≥</w:t>
            </w:r>
            <w:r>
              <w:rPr>
                <w:rFonts w:hint="eastAsia" w:ascii="宋体" w:hAnsi="宋体" w:eastAsia="宋体" w:cs="宋体"/>
                <w:b w:val="0"/>
                <w:bCs w:val="0"/>
                <w:color w:val="000000"/>
                <w:sz w:val="24"/>
                <w:szCs w:val="24"/>
                <w:highlight w:val="none"/>
                <w:lang w:val="en-US" w:eastAsia="zh-CN"/>
              </w:rPr>
              <w:t>7.4V 25</w:t>
            </w:r>
            <w:r>
              <w:rPr>
                <w:rFonts w:hint="eastAsia" w:ascii="宋体" w:hAnsi="宋体" w:eastAsia="宋体" w:cs="宋体"/>
                <w:b w:val="0"/>
                <w:bCs w:val="0"/>
                <w:color w:val="000000"/>
                <w:sz w:val="24"/>
                <w:szCs w:val="24"/>
                <w:highlight w:val="none"/>
                <w:lang w:val="zh-CN"/>
              </w:rPr>
              <w:t>00mAh，</w:t>
            </w:r>
            <w:r>
              <w:rPr>
                <w:rFonts w:hint="eastAsia" w:ascii="宋体" w:hAnsi="宋体" w:eastAsia="宋体" w:cs="宋体"/>
                <w:b w:val="0"/>
                <w:bCs w:val="0"/>
                <w:color w:val="000000"/>
                <w:sz w:val="24"/>
                <w:szCs w:val="24"/>
                <w:highlight w:val="none"/>
                <w:lang w:val="en-US" w:eastAsia="zh-CN"/>
              </w:rPr>
              <w:t>电池可在-20°至+55°之间正常运行工作。</w:t>
            </w:r>
            <w:r>
              <w:rPr>
                <w:rFonts w:hint="eastAsia" w:ascii="宋体" w:hAnsi="宋体" w:eastAsia="宋体" w:cs="宋体"/>
                <w:b w:val="0"/>
                <w:bCs w:val="0"/>
                <w:color w:val="000000"/>
                <w:sz w:val="24"/>
                <w:szCs w:val="24"/>
                <w:highlight w:val="none"/>
                <w:lang w:val="zh-CN"/>
              </w:rPr>
              <w:t>满电状态下，连续</w:t>
            </w:r>
            <w:r>
              <w:rPr>
                <w:rFonts w:hint="eastAsia" w:ascii="宋体" w:hAnsi="宋体" w:eastAsia="宋体" w:cs="宋体"/>
                <w:b w:val="0"/>
                <w:bCs w:val="0"/>
                <w:color w:val="000000"/>
                <w:sz w:val="24"/>
                <w:szCs w:val="24"/>
                <w:highlight w:val="none"/>
                <w:lang w:val="en-US" w:eastAsia="zh-CN"/>
              </w:rPr>
              <w:t>主动测试</w:t>
            </w:r>
            <w:r>
              <w:rPr>
                <w:rFonts w:hint="eastAsia" w:ascii="宋体" w:hAnsi="宋体" w:eastAsia="宋体" w:cs="宋体"/>
                <w:b w:val="0"/>
                <w:bCs w:val="0"/>
                <w:color w:val="000000"/>
                <w:sz w:val="24"/>
                <w:szCs w:val="24"/>
                <w:highlight w:val="none"/>
                <w:lang w:val="zh-CN"/>
              </w:rPr>
              <w:t>次数应≥</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lang w:val="zh-CN"/>
              </w:rPr>
              <w:t>00次。</w:t>
            </w:r>
            <w:r>
              <w:rPr>
                <w:rFonts w:hint="eastAsia" w:ascii="宋体" w:hAnsi="宋体" w:eastAsia="宋体" w:cs="宋体"/>
                <w:b w:val="0"/>
                <w:bCs w:val="0"/>
                <w:color w:val="000000"/>
                <w:sz w:val="24"/>
                <w:szCs w:val="24"/>
                <w:highlight w:val="none"/>
                <w:lang w:val="en-US" w:eastAsia="zh-CN"/>
              </w:rPr>
              <w:t>电池在开机状态下被拆卸时候可后台生成系统日志，记录拆卸时的登录民警警号，电量比例等信息。</w:t>
            </w:r>
          </w:p>
          <w:p w14:paraId="4551704D">
            <w:pPr>
              <w:pStyle w:val="61"/>
              <w:numPr>
                <w:ilvl w:val="0"/>
                <w:numId w:val="6"/>
              </w:numPr>
              <w:adjustRightInd w:val="0"/>
              <w:snapToGrid w:val="0"/>
              <w:spacing w:line="360" w:lineRule="auto"/>
              <w:ind w:firstLineChars="0"/>
              <w:rPr>
                <w:rFonts w:hint="eastAsia" w:cs="宋体"/>
                <w:b w:val="0"/>
                <w:bCs w:val="0"/>
                <w:color w:val="auto"/>
                <w:highlight w:val="none"/>
              </w:rPr>
            </w:pPr>
            <w:r>
              <w:rPr>
                <w:rFonts w:hint="eastAsia" w:ascii="宋体" w:hAnsi="宋体" w:cs="宋体"/>
                <w:b w:val="0"/>
                <w:bCs w:val="0"/>
                <w:color w:val="auto"/>
                <w:sz w:val="24"/>
                <w:szCs w:val="24"/>
                <w:highlight w:val="none"/>
                <w:lang w:val="en-US" w:eastAsia="zh-CN"/>
              </w:rPr>
              <w:t>拍照录像功能：仪器需配置像素≥500万的前后双摄像头。检测过程中自动开启前置摄像头，对被测人进行录像及拍照并保存(图片分辨率≥480P)。仪器应能通过后置摄像头拍照并识别录入车牌号和身份证号。夜间还应自动开启补光灯。</w:t>
            </w:r>
          </w:p>
          <w:p w14:paraId="1B2240E5">
            <w:pPr>
              <w:pStyle w:val="61"/>
              <w:numPr>
                <w:ilvl w:val="0"/>
                <w:numId w:val="6"/>
              </w:numPr>
              <w:adjustRightInd w:val="0"/>
              <w:snapToGrid w:val="0"/>
              <w:spacing w:line="360" w:lineRule="auto"/>
              <w:ind w:firstLineChars="0"/>
              <w:rPr>
                <w:rFonts w:hint="eastAsia" w:cs="宋体"/>
                <w:b/>
                <w:color w:val="auto"/>
                <w:highlight w:val="none"/>
              </w:rPr>
            </w:pPr>
            <w:r>
              <w:rPr>
                <w:rFonts w:hint="eastAsia" w:ascii="宋体" w:hAnsi="宋体" w:cs="宋体"/>
                <w:color w:val="auto"/>
                <w:sz w:val="24"/>
                <w:szCs w:val="24"/>
                <w:highlight w:val="none"/>
                <w:lang w:val="en-US" w:eastAsia="zh-CN"/>
              </w:rPr>
              <w:t>登录方式：</w:t>
            </w:r>
            <w:r>
              <w:rPr>
                <w:rFonts w:hint="eastAsia"/>
                <w:color w:val="auto"/>
                <w:sz w:val="24"/>
                <w:szCs w:val="32"/>
                <w:highlight w:val="none"/>
              </w:rPr>
              <w:t>仪器应支持指纹识别和密码登录等登录方式</w:t>
            </w:r>
            <w:r>
              <w:rPr>
                <w:rFonts w:hint="eastAsia"/>
                <w:color w:val="auto"/>
                <w:sz w:val="24"/>
                <w:szCs w:val="32"/>
                <w:highlight w:val="none"/>
                <w:lang w:eastAsia="zh-CN"/>
              </w:rPr>
              <w:t>，</w:t>
            </w:r>
            <w:r>
              <w:rPr>
                <w:rFonts w:hint="eastAsia"/>
                <w:color w:val="auto"/>
                <w:sz w:val="24"/>
                <w:szCs w:val="32"/>
                <w:highlight w:val="none"/>
              </w:rPr>
              <w:t>仪器应能将指纹与警号绑定，登录同时实现身份验证。</w:t>
            </w:r>
          </w:p>
          <w:p w14:paraId="7B55395A">
            <w:pPr>
              <w:pStyle w:val="61"/>
              <w:numPr>
                <w:ilvl w:val="0"/>
                <w:numId w:val="6"/>
              </w:numPr>
              <w:adjustRightInd w:val="0"/>
              <w:snapToGrid w:val="0"/>
              <w:spacing w:line="360" w:lineRule="auto"/>
              <w:ind w:firstLineChars="0"/>
              <w:rPr>
                <w:rFonts w:hint="eastAsia" w:cs="宋体"/>
                <w:b/>
                <w:color w:val="auto"/>
                <w:highlight w:val="none"/>
              </w:rPr>
            </w:pPr>
            <w:r>
              <w:rPr>
                <w:rFonts w:hint="eastAsia" w:ascii="宋体" w:hAnsi="宋体" w:cs="宋体"/>
                <w:color w:val="auto"/>
                <w:sz w:val="24"/>
                <w:szCs w:val="24"/>
                <w:highlight w:val="none"/>
                <w:lang w:val="en-US" w:eastAsia="zh-CN"/>
              </w:rPr>
              <w:t>数据传输功能：</w:t>
            </w:r>
            <w:r>
              <w:rPr>
                <w:color w:val="auto"/>
                <w:spacing w:val="8"/>
                <w:sz w:val="24"/>
                <w:highlight w:val="none"/>
              </w:rPr>
              <w:t>仪器应能通过4G</w:t>
            </w:r>
            <w:r>
              <w:rPr>
                <w:rFonts w:hint="eastAsia"/>
                <w:color w:val="auto"/>
                <w:spacing w:val="8"/>
                <w:sz w:val="24"/>
                <w:highlight w:val="none"/>
                <w:lang w:val="en-US" w:eastAsia="zh-CN"/>
              </w:rPr>
              <w:t>/5G网络</w:t>
            </w:r>
            <w:r>
              <w:rPr>
                <w:rFonts w:hint="eastAsia"/>
                <w:color w:val="auto"/>
                <w:spacing w:val="8"/>
                <w:sz w:val="24"/>
                <w:highlight w:val="none"/>
              </w:rPr>
              <w:t>和蓝牙</w:t>
            </w:r>
            <w:r>
              <w:rPr>
                <w:color w:val="auto"/>
                <w:spacing w:val="8"/>
                <w:sz w:val="24"/>
                <w:highlight w:val="none"/>
              </w:rPr>
              <w:t>方式进行数据传输，自动将检测结果、照片等信息实时上传至后台服务器</w:t>
            </w:r>
            <w:r>
              <w:rPr>
                <w:rFonts w:hint="eastAsia"/>
                <w:color w:val="auto"/>
                <w:spacing w:val="8"/>
                <w:sz w:val="24"/>
                <w:highlight w:val="none"/>
                <w:lang w:eastAsia="zh-CN"/>
              </w:rPr>
              <w:t>，</w:t>
            </w:r>
            <w:r>
              <w:rPr>
                <w:color w:val="auto"/>
                <w:spacing w:val="8"/>
                <w:sz w:val="24"/>
                <w:highlight w:val="none"/>
              </w:rPr>
              <w:t>仪器应能</w:t>
            </w:r>
            <w:r>
              <w:rPr>
                <w:rFonts w:hint="eastAsia"/>
                <w:color w:val="auto"/>
                <w:spacing w:val="8"/>
                <w:sz w:val="24"/>
                <w:highlight w:val="none"/>
              </w:rPr>
              <w:t>自动检测数据是否上传，未上传的数据在连接网络后会自动上传。</w:t>
            </w:r>
            <w:r>
              <w:rPr>
                <w:rFonts w:hint="eastAsia"/>
                <w:color w:val="auto"/>
                <w:spacing w:val="8"/>
                <w:sz w:val="24"/>
                <w:highlight w:val="none"/>
                <w:lang w:val="en-US" w:eastAsia="zh-CN"/>
              </w:rPr>
              <w:t>单机及后台的数据仅能通过专用软件复制下载，无法删除。可以通过智能酒驾管理平台实时监测前端酒精检测仪从开机到关机的全过程运行数据，并在后台生成系统日志。</w:t>
            </w:r>
          </w:p>
          <w:p w14:paraId="6FBAACB4">
            <w:pPr>
              <w:pStyle w:val="61"/>
              <w:numPr>
                <w:ilvl w:val="0"/>
                <w:numId w:val="6"/>
              </w:numPr>
              <w:adjustRightInd w:val="0"/>
              <w:snapToGrid w:val="0"/>
              <w:spacing w:line="360" w:lineRule="auto"/>
              <w:ind w:firstLineChars="0"/>
              <w:rPr>
                <w:rFonts w:hint="eastAsia" w:cs="宋体"/>
                <w:b/>
                <w:color w:val="auto"/>
                <w:highlight w:val="none"/>
              </w:rPr>
            </w:pPr>
            <w:r>
              <w:rPr>
                <w:color w:val="auto"/>
                <w:spacing w:val="8"/>
                <w:sz w:val="24"/>
                <w:highlight w:val="none"/>
                <w:lang w:val="zh-CN"/>
              </w:rPr>
              <w:t>测量联动功能</w:t>
            </w:r>
            <w:r>
              <w:rPr>
                <w:rFonts w:hint="eastAsia" w:ascii="宋体" w:hAnsi="宋体" w:cs="宋体"/>
                <w:color w:val="auto"/>
                <w:kern w:val="0"/>
                <w:sz w:val="24"/>
                <w:szCs w:val="24"/>
                <w:highlight w:val="none"/>
                <w:lang w:val="en-US" w:eastAsia="zh-CN"/>
              </w:rPr>
              <w:t>：</w:t>
            </w:r>
            <w:r>
              <w:rPr>
                <w:color w:val="auto"/>
                <w:spacing w:val="8"/>
                <w:sz w:val="24"/>
                <w:highlight w:val="none"/>
              </w:rPr>
              <w:t>酒精检测仪具备主动模式及连续快速排查模式</w:t>
            </w:r>
            <w:r>
              <w:rPr>
                <w:rFonts w:hint="eastAsia"/>
                <w:color w:val="auto"/>
                <w:spacing w:val="8"/>
                <w:sz w:val="24"/>
                <w:highlight w:val="none"/>
                <w:lang w:eastAsia="zh-CN"/>
              </w:rPr>
              <w:t>。</w:t>
            </w:r>
            <w:r>
              <w:rPr>
                <w:color w:val="auto"/>
                <w:spacing w:val="8"/>
                <w:sz w:val="24"/>
                <w:highlight w:val="none"/>
              </w:rPr>
              <w:t>快速排查下检测有酒后再用主动模式进行测试取证，保证测量的关联性。</w:t>
            </w:r>
            <w:r>
              <w:rPr>
                <w:rFonts w:hint="eastAsia"/>
                <w:color w:val="auto"/>
                <w:spacing w:val="8"/>
                <w:sz w:val="24"/>
                <w:highlight w:val="none"/>
                <w:lang w:val="en-US" w:eastAsia="zh-CN"/>
              </w:rPr>
              <w:t>快速排查吹气时长≤2秒，3秒≥主动测试连续吹气时长≤5秒。</w:t>
            </w:r>
          </w:p>
          <w:p w14:paraId="47B5E84E">
            <w:pPr>
              <w:pStyle w:val="61"/>
              <w:numPr>
                <w:ilvl w:val="0"/>
                <w:numId w:val="6"/>
              </w:numPr>
              <w:adjustRightInd w:val="0"/>
              <w:snapToGrid w:val="0"/>
              <w:spacing w:line="360" w:lineRule="auto"/>
              <w:ind w:firstLineChars="0"/>
              <w:rPr>
                <w:rFonts w:hint="eastAsia" w:cs="宋体"/>
                <w:b/>
                <w:color w:val="auto"/>
                <w:highlight w:val="none"/>
              </w:rPr>
            </w:pPr>
            <w:r>
              <w:rPr>
                <w:rFonts w:hint="eastAsia" w:ascii="宋体" w:hAnsi="宋体" w:cs="宋体"/>
                <w:color w:val="auto"/>
                <w:sz w:val="24"/>
                <w:szCs w:val="24"/>
                <w:highlight w:val="none"/>
                <w:lang w:val="en-US" w:eastAsia="zh-CN"/>
              </w:rPr>
              <w:t>记忆残留：</w:t>
            </w:r>
            <w:r>
              <w:rPr>
                <w:rFonts w:ascii="Times New Roman" w:hAnsi="Times New Roman" w:eastAsia="宋体" w:cs="Times New Roman"/>
                <w:color w:val="auto"/>
                <w:kern w:val="2"/>
                <w:sz w:val="24"/>
                <w:szCs w:val="21"/>
                <w:highlight w:val="none"/>
              </w:rPr>
              <w:t>在对某一给定低浓度乙醇气体进行两次测试之间，注入一次比原浓度高0.400 mg/L的乙醇气体，两次低浓度气体测量的差值应不大于0.0</w:t>
            </w:r>
            <w:r>
              <w:rPr>
                <w:rFonts w:hint="eastAsia" w:ascii="Times New Roman" w:hAnsi="Times New Roman" w:cs="Times New Roman"/>
                <w:color w:val="auto"/>
                <w:kern w:val="2"/>
                <w:sz w:val="24"/>
                <w:szCs w:val="21"/>
                <w:highlight w:val="none"/>
                <w:lang w:val="en-US" w:eastAsia="zh-CN"/>
              </w:rPr>
              <w:t>05</w:t>
            </w:r>
            <w:r>
              <w:rPr>
                <w:rFonts w:ascii="Times New Roman" w:hAnsi="Times New Roman" w:eastAsia="宋体" w:cs="Times New Roman"/>
                <w:color w:val="auto"/>
                <w:kern w:val="2"/>
                <w:sz w:val="24"/>
                <w:szCs w:val="21"/>
                <w:highlight w:val="none"/>
              </w:rPr>
              <w:t>mg/L</w:t>
            </w:r>
            <w:r>
              <w:rPr>
                <w:rFonts w:hint="eastAsia" w:ascii="Times New Roman" w:hAnsi="Times New Roman" w:eastAsia="宋体" w:cs="Times New Roman"/>
                <w:color w:val="auto"/>
                <w:kern w:val="2"/>
                <w:sz w:val="24"/>
                <w:szCs w:val="21"/>
                <w:highlight w:val="none"/>
                <w:lang w:eastAsia="zh-CN"/>
              </w:rPr>
              <w:t>。</w:t>
            </w:r>
          </w:p>
          <w:p w14:paraId="7362FAF8">
            <w:pPr>
              <w:pStyle w:val="61"/>
              <w:numPr>
                <w:ilvl w:val="0"/>
                <w:numId w:val="6"/>
              </w:numPr>
              <w:adjustRightInd w:val="0"/>
              <w:snapToGrid w:val="0"/>
              <w:spacing w:line="360" w:lineRule="auto"/>
              <w:ind w:firstLineChars="0"/>
              <w:rPr>
                <w:rFonts w:hint="eastAsia" w:eastAsia="宋体" w:cs="Times New Roman"/>
                <w:color w:val="auto"/>
                <w:spacing w:val="8"/>
                <w:sz w:val="24"/>
              </w:rPr>
            </w:pPr>
            <w:r>
              <w:rPr>
                <w:color w:val="auto"/>
                <w:spacing w:val="8"/>
                <w:sz w:val="24"/>
                <w:highlight w:val="none"/>
              </w:rPr>
              <w:t>现场打印执法单据功能</w:t>
            </w:r>
            <w:r>
              <w:rPr>
                <w:rFonts w:hint="eastAsia"/>
                <w:color w:val="auto"/>
                <w:spacing w:val="8"/>
                <w:sz w:val="24"/>
                <w:highlight w:val="none"/>
                <w:lang w:eastAsia="zh-CN"/>
              </w:rPr>
              <w:t>：</w:t>
            </w:r>
            <w:r>
              <w:rPr>
                <w:color w:val="auto"/>
                <w:spacing w:val="8"/>
                <w:sz w:val="24"/>
                <w:highlight w:val="none"/>
              </w:rPr>
              <w:t>仪器应内置</w:t>
            </w:r>
            <w:r>
              <w:rPr>
                <w:rFonts w:hint="eastAsia"/>
                <w:color w:val="auto"/>
                <w:spacing w:val="8"/>
                <w:sz w:val="24"/>
                <w:highlight w:val="none"/>
                <w:lang w:val="en-US" w:eastAsia="zh-CN"/>
              </w:rPr>
              <w:t>热敏</w:t>
            </w:r>
            <w:r>
              <w:rPr>
                <w:color w:val="auto"/>
                <w:spacing w:val="8"/>
                <w:sz w:val="24"/>
                <w:highlight w:val="none"/>
              </w:rPr>
              <w:t>打印机，能现场打印酒检执法单据，打印信息应包含被测人信息</w:t>
            </w:r>
            <w:r>
              <w:rPr>
                <w:rFonts w:hint="eastAsia"/>
                <w:color w:val="auto"/>
                <w:spacing w:val="8"/>
                <w:sz w:val="24"/>
                <w:highlight w:val="none"/>
              </w:rPr>
              <w:t>（</w:t>
            </w:r>
            <w:r>
              <w:rPr>
                <w:color w:val="auto"/>
                <w:spacing w:val="8"/>
                <w:sz w:val="24"/>
                <w:highlight w:val="none"/>
              </w:rPr>
              <w:t>姓名、身份证、驾驶证、车牌号等</w:t>
            </w:r>
            <w:r>
              <w:rPr>
                <w:rFonts w:hint="eastAsia"/>
                <w:color w:val="auto"/>
                <w:spacing w:val="8"/>
                <w:sz w:val="24"/>
                <w:highlight w:val="none"/>
              </w:rPr>
              <w:t>）</w:t>
            </w:r>
            <w:r>
              <w:rPr>
                <w:color w:val="auto"/>
                <w:spacing w:val="8"/>
                <w:sz w:val="24"/>
                <w:highlight w:val="none"/>
              </w:rPr>
              <w:t>、测试人信息</w:t>
            </w:r>
            <w:r>
              <w:rPr>
                <w:rFonts w:hint="eastAsia"/>
                <w:color w:val="auto"/>
                <w:spacing w:val="8"/>
                <w:sz w:val="24"/>
                <w:highlight w:val="none"/>
              </w:rPr>
              <w:t>（</w:t>
            </w:r>
            <w:r>
              <w:rPr>
                <w:color w:val="auto"/>
                <w:spacing w:val="8"/>
                <w:sz w:val="24"/>
                <w:highlight w:val="none"/>
              </w:rPr>
              <w:t>姓名、</w:t>
            </w:r>
            <w:r>
              <w:rPr>
                <w:rFonts w:hint="eastAsia"/>
                <w:color w:val="auto"/>
                <w:spacing w:val="8"/>
                <w:sz w:val="24"/>
                <w:highlight w:val="none"/>
              </w:rPr>
              <w:t>警号</w:t>
            </w:r>
            <w:r>
              <w:rPr>
                <w:color w:val="auto"/>
                <w:spacing w:val="8"/>
                <w:sz w:val="24"/>
                <w:highlight w:val="none"/>
              </w:rPr>
              <w:t>、</w:t>
            </w:r>
            <w:r>
              <w:rPr>
                <w:rFonts w:hint="eastAsia"/>
                <w:color w:val="auto"/>
                <w:spacing w:val="8"/>
                <w:sz w:val="24"/>
                <w:highlight w:val="none"/>
              </w:rPr>
              <w:t>单位等）</w:t>
            </w:r>
            <w:r>
              <w:rPr>
                <w:color w:val="auto"/>
                <w:spacing w:val="8"/>
                <w:sz w:val="24"/>
                <w:highlight w:val="none"/>
              </w:rPr>
              <w:t>、设备编号、酒检测试数值及结果信息、时间及定位信息、现场照片等。</w:t>
            </w:r>
            <w:r>
              <w:rPr>
                <w:rFonts w:hint="eastAsia"/>
                <w:color w:val="auto"/>
                <w:spacing w:val="8"/>
                <w:sz w:val="24"/>
                <w:highlight w:val="none"/>
                <w:lang w:val="en-US" w:eastAsia="zh-CN"/>
              </w:rPr>
              <w:t>打印纸宽度≥56毫米、打印速度≥50毫米/秒，打印结果避光情况下保存</w:t>
            </w:r>
            <w:r>
              <w:rPr>
                <w:rFonts w:hint="eastAsia" w:eastAsia="宋体" w:cs="Times New Roman"/>
                <w:color w:val="auto"/>
                <w:spacing w:val="8"/>
                <w:sz w:val="24"/>
                <w:lang w:val="en-US" w:eastAsia="zh-CN"/>
              </w:rPr>
              <w:t>时间≥2年。</w:t>
            </w:r>
          </w:p>
          <w:p w14:paraId="1A28716B">
            <w:pPr>
              <w:pStyle w:val="61"/>
              <w:numPr>
                <w:ilvl w:val="0"/>
                <w:numId w:val="6"/>
              </w:numPr>
              <w:adjustRightInd w:val="0"/>
              <w:snapToGrid w:val="0"/>
              <w:spacing w:line="360" w:lineRule="auto"/>
              <w:ind w:firstLineChars="0"/>
              <w:rPr>
                <w:rFonts w:hint="eastAsia" w:cs="宋体"/>
                <w:b/>
                <w:color w:val="auto"/>
              </w:rPr>
            </w:pPr>
            <w:r>
              <w:rPr>
                <w:color w:val="auto"/>
                <w:spacing w:val="8"/>
                <w:sz w:val="24"/>
              </w:rPr>
              <w:t>年检提醒功能</w:t>
            </w:r>
            <w:r>
              <w:rPr>
                <w:rFonts w:hint="eastAsia"/>
                <w:color w:val="auto"/>
                <w:spacing w:val="8"/>
                <w:sz w:val="24"/>
                <w:lang w:eastAsia="zh-CN"/>
              </w:rPr>
              <w:t>：</w:t>
            </w:r>
            <w:r>
              <w:rPr>
                <w:rFonts w:hint="eastAsia"/>
                <w:color w:val="auto"/>
                <w:spacing w:val="8"/>
                <w:sz w:val="24"/>
              </w:rPr>
              <w:t>仪器应具有年检提醒功能</w:t>
            </w:r>
            <w:r>
              <w:rPr>
                <w:rFonts w:hint="eastAsia"/>
                <w:color w:val="auto"/>
                <w:spacing w:val="8"/>
                <w:sz w:val="24"/>
                <w:lang w:eastAsia="zh-CN"/>
              </w:rPr>
              <w:t>，</w:t>
            </w:r>
            <w:r>
              <w:rPr>
                <w:rFonts w:hint="eastAsia"/>
                <w:color w:val="auto"/>
                <w:spacing w:val="8"/>
                <w:sz w:val="24"/>
                <w:lang w:val="en-US" w:eastAsia="zh-CN"/>
              </w:rPr>
              <w:t>提前一个月预警</w:t>
            </w:r>
            <w:r>
              <w:rPr>
                <w:rFonts w:hint="eastAsia"/>
                <w:color w:val="auto"/>
                <w:spacing w:val="8"/>
                <w:sz w:val="24"/>
              </w:rPr>
              <w:t>。</w:t>
            </w:r>
          </w:p>
          <w:p w14:paraId="4D7A2277">
            <w:pPr>
              <w:pStyle w:val="61"/>
              <w:numPr>
                <w:ilvl w:val="0"/>
                <w:numId w:val="6"/>
              </w:numPr>
              <w:adjustRightInd w:val="0"/>
              <w:snapToGrid w:val="0"/>
              <w:spacing w:line="360" w:lineRule="auto"/>
              <w:ind w:firstLineChars="0"/>
              <w:rPr>
                <w:rFonts w:hint="eastAsia" w:cs="宋体"/>
                <w:b/>
                <w:color w:val="auto"/>
              </w:rPr>
            </w:pPr>
            <w:r>
              <w:rPr>
                <w:rFonts w:hint="eastAsia" w:ascii="宋体" w:hAnsi="宋体" w:eastAsia="宋体" w:cs="宋体"/>
                <w:bCs/>
                <w:color w:val="000000"/>
                <w:sz w:val="24"/>
                <w:szCs w:val="24"/>
                <w:highlight w:val="none"/>
                <w:lang w:val="zh-CN"/>
              </w:rPr>
              <w:t>接口：酒精检测仪具有Type-C</w:t>
            </w:r>
            <w:r>
              <w:rPr>
                <w:rFonts w:hint="eastAsia" w:ascii="宋体" w:hAnsi="宋体" w:eastAsia="宋体" w:cs="宋体"/>
                <w:bCs/>
                <w:color w:val="000000"/>
                <w:sz w:val="24"/>
                <w:szCs w:val="24"/>
                <w:highlight w:val="none"/>
                <w:lang w:val="en-US" w:eastAsia="zh-CN"/>
              </w:rPr>
              <w:t>数据</w:t>
            </w:r>
            <w:r>
              <w:rPr>
                <w:rFonts w:hint="eastAsia" w:ascii="宋体" w:hAnsi="宋体" w:eastAsia="宋体" w:cs="宋体"/>
                <w:bCs/>
                <w:color w:val="000000"/>
                <w:sz w:val="24"/>
                <w:szCs w:val="24"/>
                <w:highlight w:val="none"/>
                <w:lang w:val="zh-CN"/>
              </w:rPr>
              <w:t>接口。</w:t>
            </w:r>
          </w:p>
          <w:p w14:paraId="53F654EC">
            <w:pPr>
              <w:pStyle w:val="61"/>
              <w:numPr>
                <w:ilvl w:val="0"/>
                <w:numId w:val="6"/>
              </w:numPr>
              <w:adjustRightInd w:val="0"/>
              <w:snapToGrid w:val="0"/>
              <w:spacing w:line="360" w:lineRule="auto"/>
              <w:ind w:firstLineChars="0"/>
              <w:rPr>
                <w:rFonts w:hint="eastAsia" w:cs="宋体"/>
                <w:b/>
                <w:color w:val="auto"/>
              </w:rPr>
            </w:pPr>
            <w:r>
              <w:rPr>
                <w:rFonts w:hint="eastAsia" w:ascii="宋体" w:hAnsi="宋体" w:cs="宋体"/>
                <w:color w:val="auto"/>
                <w:sz w:val="24"/>
                <w:szCs w:val="24"/>
                <w:lang w:val="en-US" w:eastAsia="zh-CN"/>
              </w:rPr>
              <w:t>语</w:t>
            </w:r>
            <w:r>
              <w:rPr>
                <w:rFonts w:hint="eastAsia" w:eastAsia="宋体" w:cs="Times New Roman"/>
                <w:color w:val="auto"/>
                <w:spacing w:val="8"/>
                <w:sz w:val="24"/>
                <w:lang w:val="en-US" w:eastAsia="zh-CN"/>
              </w:rPr>
              <w:t>音播报功能：</w:t>
            </w:r>
            <w:r>
              <w:rPr>
                <w:rFonts w:eastAsia="宋体" w:cs="Times New Roman"/>
                <w:color w:val="auto"/>
                <w:spacing w:val="8"/>
                <w:sz w:val="24"/>
              </w:rPr>
              <w:t>仪器应具有语音播报功能，</w:t>
            </w:r>
            <w:r>
              <w:rPr>
                <w:rFonts w:hint="eastAsia" w:eastAsia="宋体" w:cs="Times New Roman"/>
                <w:color w:val="auto"/>
                <w:spacing w:val="8"/>
                <w:sz w:val="24"/>
                <w:lang w:val="en-US" w:eastAsia="zh-CN"/>
              </w:rPr>
              <w:t>在检测过程中全程语音操作提示，在检测过程中需要有提示词和警示语</w:t>
            </w:r>
            <w:r>
              <w:rPr>
                <w:rFonts w:eastAsia="宋体" w:cs="Times New Roman"/>
                <w:color w:val="auto"/>
                <w:spacing w:val="8"/>
                <w:sz w:val="24"/>
              </w:rPr>
              <w:t>。</w:t>
            </w:r>
          </w:p>
          <w:p w14:paraId="09A927D0">
            <w:pPr>
              <w:pStyle w:val="61"/>
              <w:numPr>
                <w:ilvl w:val="0"/>
                <w:numId w:val="6"/>
              </w:numPr>
              <w:adjustRightInd w:val="0"/>
              <w:snapToGrid w:val="0"/>
              <w:spacing w:line="360" w:lineRule="auto"/>
              <w:ind w:firstLineChars="0"/>
              <w:rPr>
                <w:rFonts w:hint="eastAsia" w:cs="宋体"/>
                <w:b/>
                <w:color w:val="auto"/>
              </w:rPr>
            </w:pPr>
            <w:r>
              <w:rPr>
                <w:rFonts w:hint="eastAsia" w:eastAsia="宋体" w:cs="Times New Roman"/>
                <w:color w:val="auto"/>
                <w:spacing w:val="8"/>
                <w:sz w:val="24"/>
                <w:lang w:val="en-US" w:eastAsia="zh-CN"/>
              </w:rPr>
              <w:t>数据存储：酒精检测仪数据存储≥100000条。</w:t>
            </w:r>
          </w:p>
          <w:p w14:paraId="29B11FE2">
            <w:pPr>
              <w:pStyle w:val="61"/>
              <w:numPr>
                <w:ilvl w:val="0"/>
                <w:numId w:val="6"/>
              </w:numPr>
              <w:adjustRightInd w:val="0"/>
              <w:snapToGrid w:val="0"/>
              <w:spacing w:line="360" w:lineRule="auto"/>
              <w:ind w:firstLineChars="0"/>
              <w:rPr>
                <w:rFonts w:hint="eastAsia" w:eastAsia="宋体" w:cs="Times New Roman"/>
                <w:color w:val="auto"/>
                <w:spacing w:val="8"/>
                <w:sz w:val="24"/>
              </w:rPr>
            </w:pPr>
            <w:r>
              <w:rPr>
                <w:rFonts w:hint="eastAsia" w:eastAsia="宋体" w:cs="Times New Roman"/>
                <w:color w:val="auto"/>
                <w:spacing w:val="8"/>
                <w:sz w:val="24"/>
                <w:lang w:val="en-US" w:eastAsia="zh-CN"/>
              </w:rPr>
              <w:t>配件</w:t>
            </w:r>
            <w:r>
              <w:rPr>
                <w:rFonts w:hint="eastAsia" w:cs="Times New Roman"/>
                <w:color w:val="auto"/>
                <w:spacing w:val="8"/>
                <w:sz w:val="24"/>
                <w:highlight w:val="none"/>
                <w:lang w:val="en-US" w:eastAsia="zh-CN"/>
              </w:rPr>
              <w:t>（每台机器配备）</w:t>
            </w:r>
            <w:r>
              <w:rPr>
                <w:rFonts w:hint="eastAsia" w:eastAsia="宋体" w:cs="Times New Roman"/>
                <w:color w:val="auto"/>
                <w:spacing w:val="8"/>
                <w:sz w:val="24"/>
                <w:highlight w:val="none"/>
                <w:lang w:val="en-US" w:eastAsia="zh-CN"/>
              </w:rPr>
              <w:t>：</w:t>
            </w:r>
            <w:r>
              <w:rPr>
                <w:rFonts w:hint="eastAsia" w:eastAsia="宋体" w:cs="Times New Roman"/>
                <w:color w:val="auto"/>
                <w:spacing w:val="8"/>
                <w:sz w:val="24"/>
                <w:highlight w:val="none"/>
              </w:rPr>
              <w:t>源适配器，车载充电器，USB数据线、一次性吹管</w:t>
            </w:r>
            <w:r>
              <w:rPr>
                <w:rFonts w:hint="eastAsia" w:cs="Times New Roman"/>
                <w:color w:val="auto"/>
                <w:spacing w:val="8"/>
                <w:sz w:val="24"/>
                <w:highlight w:val="none"/>
                <w:lang w:val="en-US" w:eastAsia="zh-CN"/>
              </w:rPr>
              <w:t>200</w:t>
            </w:r>
            <w:r>
              <w:rPr>
                <w:rFonts w:hint="eastAsia" w:eastAsia="宋体" w:cs="Times New Roman"/>
                <w:color w:val="auto"/>
                <w:spacing w:val="8"/>
                <w:sz w:val="24"/>
              </w:rPr>
              <w:t>支、热敏打印纸</w:t>
            </w:r>
            <w:r>
              <w:rPr>
                <w:rFonts w:hint="eastAsia" w:cs="Times New Roman"/>
                <w:color w:val="auto"/>
                <w:spacing w:val="8"/>
                <w:sz w:val="24"/>
                <w:lang w:val="en-US" w:eastAsia="zh-CN"/>
              </w:rPr>
              <w:t>6</w:t>
            </w:r>
            <w:r>
              <w:rPr>
                <w:rFonts w:hint="eastAsia" w:eastAsia="宋体" w:cs="Times New Roman"/>
                <w:color w:val="auto"/>
                <w:spacing w:val="8"/>
                <w:sz w:val="24"/>
              </w:rPr>
              <w:t>卷、主机皮套、仪器箱、说明书。</w:t>
            </w:r>
          </w:p>
          <w:p w14:paraId="3C56F6DF">
            <w:pPr>
              <w:pStyle w:val="61"/>
              <w:numPr>
                <w:ilvl w:val="0"/>
                <w:numId w:val="6"/>
              </w:numPr>
              <w:adjustRightInd w:val="0"/>
              <w:snapToGrid w:val="0"/>
              <w:spacing w:line="360" w:lineRule="auto"/>
              <w:ind w:firstLineChars="0"/>
              <w:rPr>
                <w:rFonts w:hint="eastAsia" w:cs="宋体"/>
                <w:b/>
                <w:color w:val="auto"/>
                <w:highlight w:val="none"/>
              </w:rPr>
            </w:pPr>
            <w:r>
              <w:rPr>
                <w:rFonts w:hint="eastAsia" w:ascii="宋体" w:hAnsi="宋体" w:cs="宋体"/>
                <w:color w:val="auto"/>
                <w:sz w:val="24"/>
                <w:szCs w:val="24"/>
                <w:highlight w:val="none"/>
                <w:lang w:val="en-US" w:eastAsia="zh-CN"/>
              </w:rPr>
              <w:t>预热时间：</w:t>
            </w:r>
            <w:r>
              <w:rPr>
                <w:rFonts w:hint="eastAsia" w:ascii="Times New Roman" w:hAnsi="Times New Roman" w:eastAsia="宋体" w:cs="Times New Roman"/>
                <w:color w:val="auto"/>
                <w:kern w:val="2"/>
                <w:sz w:val="24"/>
                <w:szCs w:val="24"/>
                <w:highlight w:val="none"/>
                <w:lang w:val="en-US" w:eastAsia="zh-CN"/>
              </w:rPr>
              <w:t>从开机到完成预热正常测试的</w:t>
            </w:r>
            <w:r>
              <w:rPr>
                <w:rFonts w:ascii="Times New Roman" w:hAnsi="Times New Roman" w:eastAsia="宋体" w:cs="Times New Roman"/>
                <w:color w:val="auto"/>
                <w:kern w:val="2"/>
                <w:sz w:val="24"/>
                <w:szCs w:val="24"/>
                <w:highlight w:val="none"/>
              </w:rPr>
              <w:t>时间应不超过</w:t>
            </w:r>
            <w:r>
              <w:rPr>
                <w:rFonts w:hint="eastAsia" w:ascii="Times New Roman" w:hAnsi="Times New Roman" w:cs="Times New Roman"/>
                <w:color w:val="auto"/>
                <w:kern w:val="2"/>
                <w:sz w:val="24"/>
                <w:szCs w:val="24"/>
                <w:highlight w:val="none"/>
                <w:lang w:val="en-US" w:eastAsia="zh-CN"/>
              </w:rPr>
              <w:t>50秒</w:t>
            </w:r>
            <w:r>
              <w:rPr>
                <w:rFonts w:ascii="Times New Roman" w:hAnsi="Times New Roman" w:eastAsia="宋体" w:cs="Times New Roman"/>
                <w:color w:val="auto"/>
                <w:kern w:val="2"/>
                <w:sz w:val="24"/>
                <w:szCs w:val="24"/>
                <w:highlight w:val="none"/>
              </w:rPr>
              <w:t>。</w:t>
            </w:r>
          </w:p>
          <w:p w14:paraId="4F9FE901">
            <w:pPr>
              <w:pStyle w:val="61"/>
              <w:numPr>
                <w:ilvl w:val="0"/>
                <w:numId w:val="6"/>
              </w:numPr>
              <w:adjustRightInd w:val="0"/>
              <w:snapToGrid w:val="0"/>
              <w:spacing w:line="360" w:lineRule="auto"/>
              <w:ind w:firstLineChars="0"/>
              <w:rPr>
                <w:rFonts w:hint="eastAsia" w:cs="宋体"/>
                <w:b/>
                <w:color w:val="auto"/>
              </w:rPr>
            </w:pPr>
            <w:r>
              <w:rPr>
                <w:rFonts w:hint="eastAsia" w:ascii="宋体" w:hAnsi="宋体" w:cs="宋体"/>
                <w:color w:val="auto"/>
                <w:sz w:val="24"/>
                <w:szCs w:val="24"/>
                <w:highlight w:val="none"/>
                <w:lang w:val="en-US" w:eastAsia="zh-CN"/>
              </w:rPr>
              <w:t>最大允许误差：</w:t>
            </w:r>
            <w:r>
              <w:rPr>
                <w:rFonts w:ascii="Times New Roman" w:hAnsi="Times New Roman" w:eastAsia="宋体" w:cs="Times New Roman"/>
                <w:color w:val="auto"/>
                <w:kern w:val="2"/>
                <w:sz w:val="24"/>
                <w:szCs w:val="32"/>
                <w:highlight w:val="none"/>
              </w:rPr>
              <w:t>0.070 mg/L＜C≤0.100 mg/L 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0mg/L~ -0.0</w:t>
            </w:r>
            <w:r>
              <w:rPr>
                <w:rFonts w:hint="eastAsia" w:ascii="Times New Roman" w:hAnsi="Times New Roman" w:eastAsia="宋体" w:cs="Times New Roman"/>
                <w:color w:val="auto"/>
                <w:kern w:val="2"/>
                <w:sz w:val="24"/>
                <w:szCs w:val="32"/>
                <w:highlight w:val="none"/>
                <w:lang w:val="en-US" w:eastAsia="zh-CN"/>
              </w:rPr>
              <w:t>40</w:t>
            </w:r>
            <w:r>
              <w:rPr>
                <w:rFonts w:ascii="Times New Roman" w:hAnsi="Times New Roman" w:eastAsia="宋体" w:cs="Times New Roman"/>
                <w:color w:val="auto"/>
                <w:kern w:val="2"/>
                <w:sz w:val="24"/>
                <w:szCs w:val="32"/>
                <w:highlight w:val="none"/>
              </w:rPr>
              <w:t>mg/L</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highlight w:val="none"/>
              </w:rPr>
              <w:t>。0.100 mg/L＜C≤0.400 mg/L时，仪器最大允许误差应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0mg/L~ -0.0</w:t>
            </w:r>
            <w:r>
              <w:rPr>
                <w:rFonts w:hint="eastAsia" w:ascii="Times New Roman" w:hAnsi="Times New Roman" w:cs="Times New Roman"/>
                <w:color w:val="auto"/>
                <w:kern w:val="2"/>
                <w:sz w:val="24"/>
                <w:szCs w:val="32"/>
                <w:highlight w:val="none"/>
                <w:lang w:val="en-US" w:eastAsia="zh-CN"/>
              </w:rPr>
              <w:t>40</w:t>
            </w:r>
            <w:r>
              <w:rPr>
                <w:rFonts w:ascii="Times New Roman" w:hAnsi="Times New Roman" w:eastAsia="宋体" w:cs="Times New Roman"/>
                <w:color w:val="auto"/>
                <w:kern w:val="2"/>
                <w:sz w:val="24"/>
                <w:szCs w:val="32"/>
                <w:highlight w:val="none"/>
              </w:rPr>
              <w:t xml:space="preserve"> mg/L</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highlight w:val="none"/>
              </w:rPr>
              <w:t>。0.400 mg/L＜C≤1.000 mg/L时，仪器最大允许误差应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 -</w:t>
            </w:r>
            <w:r>
              <w:rPr>
                <w:rFonts w:hint="eastAsia" w:ascii="Times New Roman" w:hAnsi="Times New Roman" w:cs="Times New Roman"/>
                <w:color w:val="auto"/>
                <w:kern w:val="2"/>
                <w:sz w:val="24"/>
                <w:szCs w:val="32"/>
                <w:highlight w:val="none"/>
                <w:lang w:val="en-US" w:eastAsia="zh-CN"/>
              </w:rPr>
              <w:t>10</w:t>
            </w:r>
            <w:r>
              <w:rPr>
                <w:rFonts w:ascii="Times New Roman" w:hAnsi="Times New Roman" w:eastAsia="宋体" w:cs="Times New Roman"/>
                <w:color w:val="auto"/>
                <w:kern w:val="2"/>
                <w:sz w:val="24"/>
                <w:szCs w:val="32"/>
                <w:highlight w:val="none"/>
              </w:rPr>
              <w:t>%</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highlight w:val="none"/>
              </w:rPr>
              <w:t>。1.000 mg/L＜C≤1.500 mg/L时，仪器最大允许误差应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 -</w:t>
            </w:r>
            <w:r>
              <w:rPr>
                <w:rFonts w:hint="eastAsia" w:ascii="Times New Roman" w:hAnsi="Times New Roman" w:cs="Times New Roman"/>
                <w:color w:val="auto"/>
                <w:kern w:val="2"/>
                <w:sz w:val="24"/>
                <w:szCs w:val="32"/>
                <w:highlight w:val="none"/>
                <w:lang w:val="en-US" w:eastAsia="zh-CN"/>
              </w:rPr>
              <w:t>10</w:t>
            </w:r>
            <w:r>
              <w:rPr>
                <w:rFonts w:ascii="Times New Roman" w:hAnsi="Times New Roman" w:eastAsia="宋体" w:cs="Times New Roman"/>
                <w:color w:val="auto"/>
                <w:kern w:val="2"/>
                <w:sz w:val="24"/>
                <w:szCs w:val="32"/>
                <w:highlight w:val="none"/>
              </w:rPr>
              <w:t>%</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highlight w:val="none"/>
              </w:rPr>
              <w:t>。C＞2.000mg/L时，仪器最大允许误差应</w:t>
            </w:r>
            <w:r>
              <w:rPr>
                <w:rFonts w:hint="eastAsia" w:ascii="Times New Roman" w:hAnsi="Times New Roman" w:eastAsia="宋体" w:cs="Times New Roman"/>
                <w:color w:val="auto"/>
                <w:kern w:val="2"/>
                <w:sz w:val="24"/>
                <w:szCs w:val="32"/>
                <w:highlight w:val="none"/>
              </w:rPr>
              <w:t>在</w:t>
            </w:r>
            <w:r>
              <w:rPr>
                <w:rFonts w:ascii="Times New Roman" w:hAnsi="Times New Roman" w:eastAsia="宋体" w:cs="Times New Roman"/>
                <w:color w:val="auto"/>
                <w:kern w:val="2"/>
                <w:sz w:val="24"/>
                <w:szCs w:val="32"/>
                <w:highlight w:val="none"/>
              </w:rPr>
              <w:t>0~ -2×（</w:t>
            </w:r>
            <w:r>
              <w:rPr>
                <w:rFonts w:ascii="Times New Roman" w:hAnsi="Times New Roman" w:cs="Times New Roman"/>
                <w:color w:val="auto"/>
                <w:sz w:val="24"/>
                <w:szCs w:val="32"/>
                <w:highlight w:val="none"/>
              </w:rPr>
              <w:t>C</w:t>
            </w:r>
            <w:r>
              <w:rPr>
                <w:rFonts w:ascii="Times New Roman" w:hAnsi="Times New Roman" w:eastAsia="宋体" w:cs="Times New Roman"/>
                <w:color w:val="auto"/>
                <w:kern w:val="2"/>
                <w:sz w:val="24"/>
                <w:szCs w:val="32"/>
                <w:highlight w:val="none"/>
              </w:rPr>
              <w:t>/2－0.9）mg/L</w:t>
            </w:r>
            <w:r>
              <w:rPr>
                <w:rFonts w:hint="eastAsia" w:ascii="Times New Roman" w:hAnsi="Times New Roman" w:eastAsia="宋体" w:cs="Times New Roman"/>
                <w:color w:val="auto"/>
                <w:kern w:val="2"/>
                <w:sz w:val="24"/>
                <w:szCs w:val="32"/>
                <w:highlight w:val="none"/>
              </w:rPr>
              <w:t>范围内</w:t>
            </w:r>
            <w:r>
              <w:rPr>
                <w:rFonts w:ascii="Times New Roman" w:hAnsi="Times New Roman" w:eastAsia="宋体" w:cs="Times New Roman"/>
                <w:color w:val="auto"/>
                <w:kern w:val="2"/>
                <w:sz w:val="24"/>
                <w:szCs w:val="32"/>
              </w:rPr>
              <w:t>。</w:t>
            </w:r>
            <w:r>
              <w:rPr>
                <w:rFonts w:hint="eastAsia" w:ascii="Times New Roman" w:hAnsi="Times New Roman" w:eastAsia="宋体" w:cs="Times New Roman"/>
                <w:color w:val="auto"/>
                <w:kern w:val="2"/>
                <w:sz w:val="24"/>
                <w:szCs w:val="32"/>
                <w:lang w:val="en-US" w:eastAsia="zh-CN"/>
              </w:rPr>
              <w:t>C指的是乙醇气体浓度范围。</w:t>
            </w:r>
          </w:p>
          <w:p w14:paraId="7840006F">
            <w:pPr>
              <w:pStyle w:val="61"/>
              <w:numPr>
                <w:ilvl w:val="0"/>
                <w:numId w:val="6"/>
              </w:numPr>
              <w:adjustRightInd w:val="0"/>
              <w:snapToGrid w:val="0"/>
              <w:spacing w:line="360" w:lineRule="auto"/>
              <w:ind w:firstLineChars="0"/>
              <w:rPr>
                <w:rFonts w:hint="eastAsia" w:ascii="宋体" w:hAnsi="宋体" w:cs="宋体"/>
                <w:b/>
                <w:bCs/>
                <w:color w:val="000000"/>
                <w:kern w:val="0"/>
                <w:sz w:val="24"/>
                <w:szCs w:val="24"/>
                <w:lang w:val="en-US" w:eastAsia="zh-CN"/>
              </w:rPr>
            </w:pPr>
            <w:r>
              <w:rPr>
                <w:rFonts w:hint="eastAsia" w:ascii="宋体" w:hAnsi="宋体" w:cs="宋体"/>
                <w:color w:val="auto"/>
                <w:sz w:val="24"/>
                <w:szCs w:val="24"/>
                <w:lang w:val="en-US" w:eastAsia="zh-CN"/>
              </w:rPr>
              <w:t>重复性：</w:t>
            </w:r>
            <w:r>
              <w:rPr>
                <w:color w:val="auto"/>
                <w:sz w:val="24"/>
                <w:szCs w:val="32"/>
              </w:rPr>
              <w:t>0.070 mg/L＜C≤0.100 mg/L 时</w:t>
            </w:r>
            <w:r>
              <w:rPr>
                <w:color w:val="auto"/>
                <w:sz w:val="24"/>
                <w:szCs w:val="24"/>
              </w:rPr>
              <w:t>，仪器的重复性应小于等于0.00</w:t>
            </w:r>
            <w:r>
              <w:rPr>
                <w:rFonts w:hint="eastAsia"/>
                <w:color w:val="auto"/>
                <w:sz w:val="24"/>
                <w:szCs w:val="24"/>
                <w:lang w:val="en-US" w:eastAsia="zh-CN"/>
              </w:rPr>
              <w:t>7</w:t>
            </w:r>
            <w:r>
              <w:rPr>
                <w:color w:val="auto"/>
                <w:sz w:val="24"/>
                <w:szCs w:val="24"/>
              </w:rPr>
              <w:t>mg/L。</w:t>
            </w:r>
            <w:r>
              <w:rPr>
                <w:color w:val="auto"/>
                <w:sz w:val="24"/>
                <w:szCs w:val="32"/>
              </w:rPr>
              <w:t>0.100 mg/L＜C≤0.400 mg/L时，</w:t>
            </w:r>
            <w:r>
              <w:rPr>
                <w:color w:val="auto"/>
                <w:sz w:val="24"/>
                <w:szCs w:val="24"/>
              </w:rPr>
              <w:t>仪器的重复性应小于等于0.00</w:t>
            </w:r>
            <w:r>
              <w:rPr>
                <w:rFonts w:hint="eastAsia"/>
                <w:color w:val="auto"/>
                <w:sz w:val="24"/>
                <w:szCs w:val="24"/>
                <w:lang w:val="en-US" w:eastAsia="zh-CN"/>
              </w:rPr>
              <w:t>7</w:t>
            </w:r>
            <w:r>
              <w:rPr>
                <w:color w:val="auto"/>
                <w:sz w:val="24"/>
                <w:szCs w:val="24"/>
              </w:rPr>
              <w:t>mg/L。</w:t>
            </w:r>
            <w:r>
              <w:rPr>
                <w:color w:val="auto"/>
                <w:sz w:val="24"/>
                <w:szCs w:val="32"/>
              </w:rPr>
              <w:t>0.400 mg/L＜C≤1.000 mg/L时，</w:t>
            </w:r>
            <w:r>
              <w:rPr>
                <w:color w:val="auto"/>
                <w:sz w:val="24"/>
                <w:szCs w:val="24"/>
              </w:rPr>
              <w:t>仪器的重复性应小于等于</w:t>
            </w:r>
            <w:r>
              <w:rPr>
                <w:rFonts w:hint="eastAsia"/>
                <w:color w:val="auto"/>
                <w:sz w:val="24"/>
                <w:szCs w:val="24"/>
                <w:lang w:val="en-US" w:eastAsia="zh-CN"/>
              </w:rPr>
              <w:t>1.67</w:t>
            </w:r>
            <w:r>
              <w:rPr>
                <w:color w:val="auto"/>
                <w:sz w:val="24"/>
                <w:szCs w:val="24"/>
              </w:rPr>
              <w:t>%。</w:t>
            </w:r>
            <w:r>
              <w:rPr>
                <w:color w:val="auto"/>
                <w:sz w:val="24"/>
                <w:szCs w:val="32"/>
              </w:rPr>
              <w:t>1.000 mg/L＜C≤1.500 mg/L时，</w:t>
            </w:r>
            <w:r>
              <w:rPr>
                <w:color w:val="auto"/>
                <w:sz w:val="24"/>
                <w:szCs w:val="24"/>
              </w:rPr>
              <w:t>仪器的重复性应小于等于</w:t>
            </w:r>
            <w:r>
              <w:rPr>
                <w:rFonts w:hint="eastAsia"/>
                <w:color w:val="auto"/>
                <w:sz w:val="24"/>
                <w:szCs w:val="24"/>
                <w:lang w:val="en-US" w:eastAsia="zh-CN"/>
              </w:rPr>
              <w:t>1.67</w:t>
            </w:r>
            <w:r>
              <w:rPr>
                <w:color w:val="auto"/>
                <w:sz w:val="24"/>
                <w:szCs w:val="24"/>
              </w:rPr>
              <w:t>%。</w:t>
            </w:r>
            <w:r>
              <w:rPr>
                <w:color w:val="auto"/>
                <w:sz w:val="24"/>
                <w:szCs w:val="32"/>
              </w:rPr>
              <w:t>C＞2.000mg/L时，</w:t>
            </w:r>
            <w:r>
              <w:rPr>
                <w:color w:val="auto"/>
                <w:sz w:val="24"/>
                <w:szCs w:val="24"/>
              </w:rPr>
              <w:t>仪器的重复性应为0～0.33×（</w:t>
            </w:r>
            <w:r>
              <w:rPr>
                <w:color w:val="auto"/>
                <w:sz w:val="24"/>
                <w:szCs w:val="32"/>
              </w:rPr>
              <w:t>C</w:t>
            </w:r>
            <w:r>
              <w:rPr>
                <w:color w:val="auto"/>
                <w:sz w:val="24"/>
                <w:szCs w:val="24"/>
              </w:rPr>
              <w:t>/2-0.9）mg/L。</w:t>
            </w:r>
            <w:r>
              <w:rPr>
                <w:rFonts w:hint="eastAsia" w:ascii="Times New Roman" w:hAnsi="Times New Roman" w:eastAsia="宋体" w:cs="Times New Roman"/>
                <w:color w:val="auto"/>
                <w:kern w:val="2"/>
                <w:sz w:val="24"/>
                <w:szCs w:val="32"/>
                <w:lang w:val="en-US" w:eastAsia="zh-CN"/>
              </w:rPr>
              <w:t>C指的是乙醇气体浓度范围。</w:t>
            </w:r>
          </w:p>
          <w:p w14:paraId="7B8A88E2">
            <w:pPr>
              <w:pStyle w:val="61"/>
              <w:numPr>
                <w:ilvl w:val="0"/>
                <w:numId w:val="6"/>
              </w:numPr>
              <w:adjustRightInd w:val="0"/>
              <w:snapToGrid w:val="0"/>
              <w:spacing w:line="360" w:lineRule="auto"/>
              <w:ind w:firstLineChars="0"/>
              <w:rPr>
                <w:rFonts w:hint="eastAsia" w:eastAsia="宋体" w:cs="Times New Roman"/>
                <w:b w:val="0"/>
                <w:bCs w:val="0"/>
                <w:spacing w:val="8"/>
                <w:sz w:val="24"/>
                <w:lang w:val="en-US" w:eastAsia="zh-CN"/>
              </w:rPr>
            </w:pPr>
            <w:r>
              <w:rPr>
                <w:rFonts w:hint="eastAsia"/>
                <w:b w:val="0"/>
                <w:bCs w:val="0"/>
                <w:color w:val="000000"/>
                <w:spacing w:val="8"/>
                <w:sz w:val="24"/>
                <w:lang w:val="en-US" w:eastAsia="zh-CN"/>
              </w:rPr>
              <w:t>所供酒精检测仪</w:t>
            </w:r>
            <w:r>
              <w:rPr>
                <w:rFonts w:hint="eastAsia" w:ascii="宋体" w:hAnsi="宋体" w:cs="宋体"/>
                <w:b w:val="0"/>
                <w:bCs w:val="0"/>
                <w:color w:val="000000"/>
                <w:kern w:val="0"/>
                <w:sz w:val="24"/>
                <w:szCs w:val="24"/>
                <w:lang w:val="en-US" w:eastAsia="zh-CN"/>
              </w:rPr>
              <w:t>取得公安部安全与警用电子产品质量检测中心的检验报告或公安部交通安全产品质量监督检测中心检测报告或国家安全防范报警系统产品质量监督检验中心（上海）公安部安全防范报警系统产品质量监督检验中心的检测报告为依据。</w:t>
            </w:r>
          </w:p>
          <w:p w14:paraId="229DA041">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21F5DF9A">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6F980BE1">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0715CBE0">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19D33E94">
            <w:pPr>
              <w:pStyle w:val="61"/>
              <w:widowControl w:val="0"/>
              <w:numPr>
                <w:ilvl w:val="0"/>
                <w:numId w:val="0"/>
              </w:numPr>
              <w:adjustRightInd w:val="0"/>
              <w:snapToGrid w:val="0"/>
              <w:spacing w:line="360" w:lineRule="auto"/>
              <w:jc w:val="both"/>
              <w:rPr>
                <w:rFonts w:hint="eastAsia" w:ascii="宋体" w:hAnsi="宋体" w:cs="宋体"/>
                <w:b w:val="0"/>
                <w:bCs w:val="0"/>
                <w:color w:val="000000"/>
                <w:kern w:val="0"/>
                <w:sz w:val="24"/>
                <w:szCs w:val="24"/>
                <w:lang w:val="en-US" w:eastAsia="zh-CN"/>
              </w:rPr>
            </w:pPr>
          </w:p>
          <w:p w14:paraId="67FAB4AD">
            <w:pPr>
              <w:pStyle w:val="61"/>
              <w:numPr>
                <w:ilvl w:val="0"/>
                <w:numId w:val="0"/>
              </w:numPr>
              <w:adjustRightInd w:val="0"/>
              <w:snapToGrid w:val="0"/>
              <w:spacing w:line="360" w:lineRule="auto"/>
              <w:ind w:leftChars="0"/>
              <w:rPr>
                <w:rFonts w:hint="default" w:ascii="宋体" w:hAnsi="宋体" w:cs="宋体"/>
                <w:b/>
                <w:bCs/>
                <w:color w:val="000000"/>
                <w:kern w:val="0"/>
                <w:sz w:val="24"/>
                <w:szCs w:val="24"/>
                <w:lang w:val="en-US" w:eastAsia="zh-CN"/>
              </w:rPr>
            </w:pPr>
          </w:p>
        </w:tc>
        <w:tc>
          <w:tcPr>
            <w:tcW w:w="1450" w:type="dxa"/>
            <w:tcBorders>
              <w:tl2br w:val="nil"/>
              <w:tr2bl w:val="nil"/>
            </w:tcBorders>
            <w:noWrap w:val="0"/>
            <w:tcMar>
              <w:top w:w="57" w:type="dxa"/>
              <w:left w:w="108" w:type="dxa"/>
              <w:bottom w:w="57" w:type="dxa"/>
              <w:right w:w="108" w:type="dxa"/>
            </w:tcMar>
            <w:vAlign w:val="top"/>
          </w:tcPr>
          <w:p w14:paraId="7CC5CAC7">
            <w:pPr>
              <w:pStyle w:val="25"/>
              <w:wordWrap w:val="0"/>
              <w:spacing w:before="0" w:beforeAutospacing="0" w:after="2" w:afterAutospacing="0" w:line="480" w:lineRule="auto"/>
              <w:rPr>
                <w:rFonts w:hint="default" w:eastAsia="宋体" w:cs="宋体"/>
                <w:b/>
                <w:lang w:val="en-US" w:eastAsia="zh-CN"/>
              </w:rPr>
            </w:pPr>
            <w:r>
              <w:rPr>
                <w:rFonts w:hint="eastAsia" w:eastAsia="宋体" w:cs="宋体"/>
                <w:b/>
                <w:lang w:val="en-US" w:eastAsia="zh-CN"/>
              </w:rPr>
              <w:t>200台</w:t>
            </w:r>
          </w:p>
        </w:tc>
      </w:tr>
      <w:tr w14:paraId="1E8AF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50" w:type="dxa"/>
            <w:tcBorders>
              <w:tl2br w:val="nil"/>
              <w:tr2bl w:val="nil"/>
            </w:tcBorders>
            <w:noWrap w:val="0"/>
            <w:tcMar>
              <w:top w:w="57" w:type="dxa"/>
              <w:left w:w="108" w:type="dxa"/>
              <w:bottom w:w="57" w:type="dxa"/>
              <w:right w:w="108" w:type="dxa"/>
            </w:tcMar>
            <w:vAlign w:val="top"/>
          </w:tcPr>
          <w:p w14:paraId="12BA126A">
            <w:pPr>
              <w:pStyle w:val="25"/>
              <w:wordWrap w:val="0"/>
              <w:spacing w:before="0" w:beforeAutospacing="0" w:after="2" w:afterAutospacing="0" w:line="480" w:lineRule="auto"/>
              <w:jc w:val="center"/>
              <w:rPr>
                <w:rFonts w:hint="eastAsia" w:ascii="宋体" w:hAnsi="宋体" w:cs="宋体"/>
                <w:bCs/>
                <w:kern w:val="0"/>
                <w:sz w:val="24"/>
                <w:szCs w:val="24"/>
                <w:lang w:val="en-US" w:eastAsia="zh-CN" w:bidi="ar-SA"/>
              </w:rPr>
            </w:pPr>
            <w:r>
              <w:rPr>
                <w:rFonts w:hint="eastAsia" w:cs="宋体"/>
                <w:bCs/>
              </w:rPr>
              <w:t>序号</w:t>
            </w:r>
          </w:p>
        </w:tc>
        <w:tc>
          <w:tcPr>
            <w:tcW w:w="1205" w:type="dxa"/>
            <w:tcBorders>
              <w:tl2br w:val="nil"/>
              <w:tr2bl w:val="nil"/>
            </w:tcBorders>
            <w:noWrap w:val="0"/>
            <w:tcMar>
              <w:top w:w="57" w:type="dxa"/>
              <w:left w:w="108" w:type="dxa"/>
              <w:bottom w:w="57" w:type="dxa"/>
              <w:right w:w="108" w:type="dxa"/>
            </w:tcMar>
            <w:vAlign w:val="top"/>
          </w:tcPr>
          <w:p w14:paraId="56A0FA99">
            <w:pPr>
              <w:pStyle w:val="25"/>
              <w:wordWrap w:val="0"/>
              <w:spacing w:before="0" w:beforeAutospacing="0" w:after="2" w:afterAutospacing="0" w:line="480" w:lineRule="auto"/>
              <w:jc w:val="center"/>
              <w:rPr>
                <w:rFonts w:hint="eastAsia" w:ascii="宋体" w:hAnsi="宋体" w:cs="宋体"/>
                <w:bCs/>
                <w:kern w:val="0"/>
                <w:sz w:val="24"/>
                <w:szCs w:val="24"/>
                <w:lang w:val="en-US" w:eastAsia="zh-CN" w:bidi="ar-SA"/>
              </w:rPr>
            </w:pPr>
            <w:r>
              <w:rPr>
                <w:rFonts w:hint="eastAsia" w:cs="宋体"/>
                <w:bCs/>
              </w:rPr>
              <w:t>标的名称</w:t>
            </w:r>
          </w:p>
        </w:tc>
        <w:tc>
          <w:tcPr>
            <w:tcW w:w="6265" w:type="dxa"/>
            <w:tcBorders>
              <w:tl2br w:val="nil"/>
              <w:tr2bl w:val="nil"/>
            </w:tcBorders>
            <w:noWrap w:val="0"/>
            <w:tcMar>
              <w:top w:w="57" w:type="dxa"/>
              <w:left w:w="108" w:type="dxa"/>
              <w:bottom w:w="57" w:type="dxa"/>
              <w:right w:w="108" w:type="dxa"/>
            </w:tcMar>
            <w:vAlign w:val="top"/>
          </w:tcPr>
          <w:p w14:paraId="1DF136AA">
            <w:pPr>
              <w:pStyle w:val="25"/>
              <w:wordWrap w:val="0"/>
              <w:spacing w:before="0" w:beforeAutospacing="0" w:after="2" w:afterAutospacing="0" w:line="480" w:lineRule="auto"/>
              <w:jc w:val="center"/>
              <w:rPr>
                <w:rFonts w:hint="eastAsia" w:ascii="宋体" w:hAnsi="宋体" w:cs="宋体"/>
                <w:bCs/>
                <w:kern w:val="0"/>
                <w:sz w:val="24"/>
                <w:szCs w:val="24"/>
                <w:lang w:val="en-US" w:eastAsia="zh-CN" w:bidi="ar-SA"/>
              </w:rPr>
            </w:pPr>
            <w:r>
              <w:rPr>
                <w:rFonts w:hint="eastAsia" w:cs="宋体"/>
                <w:bCs/>
              </w:rPr>
              <w:t>具体参数值或功能要求表述</w:t>
            </w:r>
          </w:p>
        </w:tc>
        <w:tc>
          <w:tcPr>
            <w:tcW w:w="1450" w:type="dxa"/>
            <w:tcBorders>
              <w:tl2br w:val="nil"/>
              <w:tr2bl w:val="nil"/>
            </w:tcBorders>
            <w:noWrap w:val="0"/>
            <w:tcMar>
              <w:top w:w="57" w:type="dxa"/>
              <w:left w:w="108" w:type="dxa"/>
              <w:bottom w:w="57" w:type="dxa"/>
              <w:right w:w="108" w:type="dxa"/>
            </w:tcMar>
            <w:vAlign w:val="top"/>
          </w:tcPr>
          <w:p w14:paraId="1104A678">
            <w:pPr>
              <w:pStyle w:val="25"/>
              <w:wordWrap w:val="0"/>
              <w:spacing w:before="0" w:beforeAutospacing="0" w:after="2" w:afterAutospacing="0" w:line="480" w:lineRule="auto"/>
              <w:jc w:val="center"/>
              <w:rPr>
                <w:rFonts w:hint="eastAsia" w:ascii="宋体" w:hAnsi="宋体" w:cs="宋体"/>
                <w:bCs/>
                <w:kern w:val="0"/>
                <w:sz w:val="24"/>
                <w:szCs w:val="24"/>
                <w:lang w:val="en-US" w:eastAsia="zh-CN" w:bidi="ar-SA"/>
              </w:rPr>
            </w:pPr>
            <w:r>
              <w:rPr>
                <w:rFonts w:hint="eastAsia" w:cs="宋体"/>
                <w:bCs/>
              </w:rPr>
              <w:t>数量及单位</w:t>
            </w:r>
          </w:p>
        </w:tc>
      </w:tr>
      <w:tr w14:paraId="54A5F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11" w:hRule="atLeast"/>
        </w:trPr>
        <w:tc>
          <w:tcPr>
            <w:tcW w:w="750" w:type="dxa"/>
            <w:tcBorders>
              <w:tl2br w:val="nil"/>
              <w:tr2bl w:val="nil"/>
            </w:tcBorders>
            <w:noWrap w:val="0"/>
            <w:tcMar>
              <w:top w:w="57" w:type="dxa"/>
              <w:left w:w="108" w:type="dxa"/>
              <w:bottom w:w="57" w:type="dxa"/>
              <w:right w:w="108" w:type="dxa"/>
            </w:tcMar>
            <w:vAlign w:val="top"/>
          </w:tcPr>
          <w:p w14:paraId="0CBDF312">
            <w:pPr>
              <w:pStyle w:val="25"/>
              <w:wordWrap w:val="0"/>
              <w:spacing w:before="0" w:beforeAutospacing="0" w:after="2" w:afterAutospacing="0" w:line="480" w:lineRule="auto"/>
              <w:jc w:val="center"/>
              <w:rPr>
                <w:rFonts w:hint="eastAsia" w:eastAsia="宋体" w:cs="宋体"/>
                <w:bCs/>
                <w:lang w:val="en-US" w:eastAsia="zh-CN"/>
              </w:rPr>
            </w:pPr>
            <w:r>
              <w:rPr>
                <w:rFonts w:hint="eastAsia" w:cs="宋体"/>
                <w:bCs/>
                <w:lang w:val="en-US" w:eastAsia="zh-CN"/>
              </w:rPr>
              <w:t>2</w:t>
            </w:r>
          </w:p>
        </w:tc>
        <w:tc>
          <w:tcPr>
            <w:tcW w:w="1205" w:type="dxa"/>
            <w:tcBorders>
              <w:tl2br w:val="nil"/>
              <w:tr2bl w:val="nil"/>
            </w:tcBorders>
            <w:noWrap w:val="0"/>
            <w:tcMar>
              <w:top w:w="57" w:type="dxa"/>
              <w:left w:w="108" w:type="dxa"/>
              <w:bottom w:w="57" w:type="dxa"/>
              <w:right w:w="108" w:type="dxa"/>
            </w:tcMar>
            <w:vAlign w:val="top"/>
          </w:tcPr>
          <w:p w14:paraId="4EA18FA0">
            <w:pPr>
              <w:pStyle w:val="25"/>
              <w:wordWrap w:val="0"/>
              <w:spacing w:before="0" w:beforeAutospacing="0" w:after="2" w:afterAutospacing="0" w:line="480" w:lineRule="auto"/>
              <w:jc w:val="center"/>
              <w:rPr>
                <w:rFonts w:hint="default" w:eastAsia="宋体" w:cs="宋体"/>
                <w:bCs/>
                <w:lang w:val="en-US" w:eastAsia="zh-CN"/>
              </w:rPr>
            </w:pPr>
            <w:r>
              <w:rPr>
                <w:rFonts w:hint="eastAsia" w:ascii="宋体" w:hAnsi="宋体" w:cs="宋体"/>
                <w:color w:val="000000"/>
                <w:kern w:val="0"/>
                <w:sz w:val="24"/>
                <w:szCs w:val="24"/>
                <w:highlight w:val="none"/>
                <w:lang w:val="en-US" w:eastAsia="zh-CN"/>
              </w:rPr>
              <w:t>★</w:t>
            </w:r>
            <w:r>
              <w:rPr>
                <w:rFonts w:hint="eastAsia" w:cs="宋体"/>
                <w:bCs/>
                <w:lang w:val="en-US" w:eastAsia="zh-CN"/>
              </w:rPr>
              <w:t>智能酒驾管理平台</w:t>
            </w:r>
          </w:p>
        </w:tc>
        <w:tc>
          <w:tcPr>
            <w:tcW w:w="6265" w:type="dxa"/>
            <w:tcBorders>
              <w:tl2br w:val="nil"/>
              <w:tr2bl w:val="nil"/>
            </w:tcBorders>
            <w:noWrap w:val="0"/>
            <w:tcMar>
              <w:top w:w="57" w:type="dxa"/>
              <w:left w:w="108" w:type="dxa"/>
              <w:bottom w:w="57" w:type="dxa"/>
              <w:right w:w="108" w:type="dxa"/>
            </w:tcMar>
            <w:vAlign w:val="top"/>
          </w:tcPr>
          <w:p w14:paraId="0843B265">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酒检管理：系统支持数据实时预览与归总，显示测试编号、测试类型、测试含量、被测人信息、时间等信息功能。</w:t>
            </w:r>
          </w:p>
          <w:p w14:paraId="460C1B25">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设备管理：系统支持服务器管理、酒精测试仪管理、报障管理功能。</w:t>
            </w:r>
          </w:p>
          <w:p w14:paraId="6B91FB1C">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服务器管理：系统支持添加和修改服务器配置信息功能。</w:t>
            </w:r>
          </w:p>
          <w:p w14:paraId="38057B7E">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故障管理：系统支持对酒精检测仪的故障管理功能；</w:t>
            </w:r>
          </w:p>
          <w:p w14:paraId="3C8489AF">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用户管理：系统支持平台用户权限分配，根据各单位对平台的人员给予管理权限，并可以管理对用户的信息进行编辑，密码重置，管理范围进行限制，停用与起用以及删除账号功能。</w:t>
            </w:r>
          </w:p>
          <w:p w14:paraId="1C1E8DBB">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单位管理：系统支持添加与编辑单位信息，批量导入单位信息功能。</w:t>
            </w:r>
          </w:p>
          <w:p w14:paraId="6F0DCAEE">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系统日志：系统支持对平台各用户的操作记录进行查看，界面信息包括序号、所属单位、警员姓名、操作类型、操作IP、操作时间、操作的详细描述、查看的文件信息功能。</w:t>
            </w:r>
          </w:p>
          <w:p w14:paraId="6FE10FFC">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安全日志：系统支持安全日志包括操作账号、操作模块、访问IP、核心功能、非常规业务、操作行为、操作结果、操作时间等功能。</w:t>
            </w:r>
          </w:p>
          <w:p w14:paraId="2E053381">
            <w:pPr>
              <w:pStyle w:val="46"/>
              <w:numPr>
                <w:ilvl w:val="0"/>
                <w:numId w:val="7"/>
              </w:numPr>
              <w:adjustRightInd w:val="0"/>
              <w:snapToGrid w:val="0"/>
              <w:spacing w:line="360" w:lineRule="auto"/>
              <w:ind w:left="425" w:leftChars="0" w:hanging="425"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密码重置：系统支持密码重置功能。</w:t>
            </w:r>
          </w:p>
          <w:p w14:paraId="16BB22BE">
            <w:pPr>
              <w:pStyle w:val="25"/>
              <w:wordWrap w:val="0"/>
              <w:spacing w:before="0" w:beforeAutospacing="0" w:after="2" w:afterAutospacing="0" w:line="480" w:lineRule="auto"/>
              <w:jc w:val="center"/>
              <w:rPr>
                <w:rFonts w:hint="eastAsia" w:cs="宋体"/>
                <w:bCs/>
              </w:rPr>
            </w:pPr>
            <w:r>
              <w:rPr>
                <w:rFonts w:hint="eastAsia" w:ascii="宋体" w:hAnsi="宋体" w:eastAsia="宋体" w:cs="宋体"/>
                <w:bCs/>
                <w:kern w:val="0"/>
                <w:sz w:val="24"/>
                <w:szCs w:val="24"/>
                <w:lang w:val="en-US" w:eastAsia="zh-CN" w:bidi="ar-SA"/>
              </w:rPr>
              <w:t>酒精检测仪数据管理系统需支持与全国公安交警队伍管理系统对接。</w:t>
            </w:r>
          </w:p>
        </w:tc>
        <w:tc>
          <w:tcPr>
            <w:tcW w:w="1450" w:type="dxa"/>
            <w:tcBorders>
              <w:tl2br w:val="nil"/>
              <w:tr2bl w:val="nil"/>
            </w:tcBorders>
            <w:noWrap w:val="0"/>
            <w:tcMar>
              <w:top w:w="57" w:type="dxa"/>
              <w:left w:w="108" w:type="dxa"/>
              <w:bottom w:w="57" w:type="dxa"/>
              <w:right w:w="108" w:type="dxa"/>
            </w:tcMar>
            <w:vAlign w:val="top"/>
          </w:tcPr>
          <w:p w14:paraId="67C8D297">
            <w:pPr>
              <w:pStyle w:val="25"/>
              <w:wordWrap w:val="0"/>
              <w:spacing w:before="0" w:beforeAutospacing="0" w:after="2" w:afterAutospacing="0" w:line="480" w:lineRule="auto"/>
              <w:jc w:val="center"/>
              <w:rPr>
                <w:rFonts w:hint="default" w:eastAsia="宋体" w:cs="宋体"/>
                <w:bCs/>
                <w:lang w:val="en-US" w:eastAsia="zh-CN"/>
              </w:rPr>
            </w:pPr>
            <w:r>
              <w:rPr>
                <w:rFonts w:hint="eastAsia" w:cs="宋体"/>
                <w:bCs/>
                <w:lang w:val="en-US" w:eastAsia="zh-CN"/>
              </w:rPr>
              <w:t>1套</w:t>
            </w:r>
          </w:p>
        </w:tc>
      </w:tr>
    </w:tbl>
    <w:p w14:paraId="5495BBB3">
      <w:pPr>
        <w:widowControl/>
        <w:spacing w:line="480" w:lineRule="auto"/>
        <w:jc w:val="left"/>
        <w:rPr>
          <w:rFonts w:hint="eastAsia" w:ascii="宋体" w:hAnsi="宋体" w:cs="宋体"/>
          <w:bCs/>
          <w:kern w:val="0"/>
          <w:sz w:val="24"/>
        </w:rPr>
      </w:pPr>
      <w:r>
        <w:rPr>
          <w:rFonts w:hint="eastAsia" w:ascii="宋体" w:hAnsi="宋体" w:cs="宋体"/>
          <w:bCs/>
          <w:sz w:val="24"/>
        </w:rPr>
        <w:t>（二）需具有</w:t>
      </w:r>
      <w:r>
        <w:rPr>
          <w:rFonts w:hint="eastAsia" w:ascii="宋体" w:hAnsi="宋体" w:cs="宋体"/>
          <w:bCs/>
          <w:sz w:val="24"/>
          <w:lang w:val="zh-CN"/>
        </w:rPr>
        <w:t>强制</w:t>
      </w:r>
      <w:r>
        <w:rPr>
          <w:rFonts w:hint="eastAsia" w:ascii="宋体" w:hAnsi="宋体" w:cs="宋体"/>
          <w:bCs/>
          <w:kern w:val="0"/>
          <w:sz w:val="24"/>
        </w:rPr>
        <w:t>采购节能产品、环境标志产品认证证书的标的名称：</w:t>
      </w:r>
    </w:p>
    <w:p w14:paraId="5B0D8054">
      <w:pPr>
        <w:widowControl/>
        <w:spacing w:line="480" w:lineRule="auto"/>
        <w:jc w:val="left"/>
        <w:rPr>
          <w:rFonts w:hint="eastAsia" w:ascii="宋体" w:hAnsi="宋体" w:cs="宋体"/>
          <w:bCs/>
          <w:kern w:val="0"/>
          <w:sz w:val="24"/>
        </w:rPr>
      </w:pPr>
      <w:r>
        <w:rPr>
          <w:rFonts w:hint="eastAsia" w:ascii="宋体" w:hAnsi="宋体" w:cs="宋体"/>
          <w:bCs/>
          <w:kern w:val="0"/>
          <w:sz w:val="24"/>
        </w:rPr>
        <w:t>注：</w:t>
      </w:r>
      <w:r>
        <w:rPr>
          <w:rFonts w:hint="eastAsia" w:ascii="宋体" w:hAnsi="宋体" w:cs="宋体"/>
          <w:bCs/>
          <w:sz w:val="24"/>
        </w:rPr>
        <w:t>投标人</w:t>
      </w:r>
      <w:r>
        <w:rPr>
          <w:rFonts w:hint="eastAsia" w:ascii="宋体" w:hAnsi="宋体" w:cs="宋体"/>
          <w:bCs/>
          <w:sz w:val="24"/>
          <w:lang w:val="zh-CN"/>
        </w:rPr>
        <w:t>应在投标文件《节能产品、环境标志产品政府强制采购认证证书一览表》</w:t>
      </w:r>
      <w:r>
        <w:rPr>
          <w:rFonts w:hint="eastAsia" w:ascii="宋体" w:hAnsi="宋体" w:cs="宋体"/>
          <w:bCs/>
          <w:sz w:val="24"/>
        </w:rPr>
        <w:t>后附</w:t>
      </w:r>
      <w:r>
        <w:rPr>
          <w:rFonts w:hint="eastAsia" w:ascii="宋体" w:hAnsi="宋体" w:cs="宋体"/>
          <w:bCs/>
          <w:sz w:val="24"/>
          <w:lang w:val="zh-CN"/>
        </w:rPr>
        <w:t>本部分要求的证书</w:t>
      </w:r>
      <w:r>
        <w:rPr>
          <w:rFonts w:hint="eastAsia" w:ascii="宋体" w:hAnsi="宋体" w:cs="宋体"/>
          <w:bCs/>
          <w:sz w:val="24"/>
        </w:rPr>
        <w:t>扫描件</w:t>
      </w:r>
      <w:r>
        <w:rPr>
          <w:rFonts w:hint="eastAsia" w:ascii="宋体" w:hAnsi="宋体" w:cs="宋体"/>
          <w:bCs/>
          <w:sz w:val="24"/>
          <w:lang w:val="zh-CN"/>
        </w:rPr>
        <w:t>，否则投标无效。</w:t>
      </w:r>
    </w:p>
    <w:p w14:paraId="4D3919CF">
      <w:pPr>
        <w:widowControl/>
        <w:spacing w:line="480" w:lineRule="auto"/>
        <w:jc w:val="left"/>
        <w:rPr>
          <w:rFonts w:hint="eastAsia" w:ascii="宋体" w:hAnsi="宋体" w:cs="宋体"/>
          <w:bCs/>
          <w:sz w:val="24"/>
          <w:lang w:val="zh-CN"/>
        </w:rPr>
      </w:pPr>
      <w:r>
        <w:rPr>
          <w:rFonts w:hint="eastAsia" w:ascii="宋体" w:hAnsi="宋体" w:cs="宋体"/>
          <w:bCs/>
          <w:kern w:val="0"/>
          <w:sz w:val="24"/>
        </w:rPr>
        <w:t>（三）采</w:t>
      </w:r>
      <w:r>
        <w:rPr>
          <w:rFonts w:hint="eastAsia" w:ascii="宋体" w:hAnsi="宋体" w:cs="宋体"/>
          <w:bCs/>
          <w:sz w:val="24"/>
          <w:lang w:val="zh-CN"/>
        </w:rPr>
        <w:t>购标的的强制性产品认证等其他要求：</w:t>
      </w:r>
    </w:p>
    <w:p w14:paraId="1EEF4EAA">
      <w:pPr>
        <w:widowControl/>
        <w:spacing w:line="360" w:lineRule="auto"/>
        <w:jc w:val="left"/>
        <w:rPr>
          <w:rFonts w:hint="eastAsia" w:ascii="宋体" w:hAnsi="宋体" w:cs="宋体"/>
          <w:bCs/>
          <w:sz w:val="24"/>
          <w:lang w:val="zh-CN"/>
        </w:rPr>
      </w:pPr>
      <w:r>
        <w:rPr>
          <w:rFonts w:hint="eastAsia" w:ascii="宋体" w:hAnsi="宋体" w:cs="宋体"/>
          <w:bCs/>
          <w:sz w:val="24"/>
          <w:lang w:val="zh-CN"/>
        </w:rPr>
        <w:t>注：</w:t>
      </w:r>
      <w:r>
        <w:rPr>
          <w:rFonts w:hint="eastAsia" w:ascii="宋体" w:hAnsi="宋体" w:cs="宋体"/>
          <w:bCs/>
          <w:sz w:val="24"/>
        </w:rPr>
        <w:t>投标人应在</w:t>
      </w:r>
      <w:r>
        <w:rPr>
          <w:rFonts w:hint="eastAsia" w:ascii="宋体" w:hAnsi="宋体" w:cs="宋体"/>
          <w:bCs/>
          <w:sz w:val="24"/>
          <w:lang w:val="zh-CN"/>
        </w:rPr>
        <w:t>投标文件《招标文件要求提供或投标人认为需要提供的其他技术资料》中对本部分逐条说明响应和偏离情况，否则投标无效。</w:t>
      </w:r>
    </w:p>
    <w:p w14:paraId="40E8701F">
      <w:pPr>
        <w:pStyle w:val="17"/>
        <w:widowControl/>
        <w:spacing w:line="480" w:lineRule="auto"/>
        <w:jc w:val="left"/>
        <w:rPr>
          <w:rFonts w:ascii="宋体" w:hAnsi="宋体" w:cs="宋体"/>
          <w:b/>
          <w:kern w:val="0"/>
          <w:sz w:val="24"/>
        </w:rPr>
      </w:pPr>
      <w:r>
        <w:rPr>
          <w:rFonts w:hint="eastAsia" w:ascii="宋体" w:hAnsi="宋体" w:cs="宋体"/>
          <w:b/>
          <w:color w:val="000000"/>
          <w:kern w:val="0"/>
          <w:sz w:val="24"/>
        </w:rPr>
        <w:t>三、商务要求</w:t>
      </w:r>
    </w:p>
    <w:p w14:paraId="06CFB2FE">
      <w:pPr>
        <w:pStyle w:val="17"/>
        <w:widowControl/>
        <w:spacing w:line="360" w:lineRule="auto"/>
        <w:jc w:val="left"/>
        <w:rPr>
          <w:rFonts w:ascii="宋体" w:hAnsi="宋体" w:cs="宋体"/>
          <w:bCs/>
          <w:sz w:val="24"/>
          <w:lang w:val="zh-CN"/>
        </w:rPr>
      </w:pPr>
      <w:r>
        <w:rPr>
          <w:rFonts w:hint="eastAsia" w:ascii="宋体" w:hAnsi="宋体" w:cs="宋体"/>
          <w:bCs/>
          <w:color w:val="000000"/>
          <w:sz w:val="24"/>
          <w:lang w:val="zh-CN"/>
        </w:rPr>
        <w:t>注：</w:t>
      </w:r>
      <w:r>
        <w:rPr>
          <w:rFonts w:hint="eastAsia" w:ascii="宋体" w:hAnsi="宋体" w:cs="宋体"/>
          <w:bCs/>
          <w:color w:val="000000"/>
          <w:sz w:val="24"/>
        </w:rPr>
        <w:t>1.</w:t>
      </w:r>
      <w:r>
        <w:rPr>
          <w:rFonts w:ascii="宋体" w:hAnsi="宋体" w:cs="宋体"/>
          <w:bCs/>
          <w:color w:val="000000"/>
          <w:sz w:val="24"/>
          <w:lang w:val="en"/>
        </w:rPr>
        <w:t>供应商</w:t>
      </w:r>
      <w:r>
        <w:rPr>
          <w:rFonts w:hint="eastAsia" w:ascii="宋体" w:hAnsi="宋体" w:cs="宋体"/>
          <w:bCs/>
          <w:color w:val="000000"/>
          <w:sz w:val="24"/>
          <w:lang w:val="zh-CN"/>
        </w:rPr>
        <w:t>应在</w:t>
      </w:r>
      <w:r>
        <w:rPr>
          <w:rFonts w:ascii="宋体" w:hAnsi="宋体" w:cs="宋体"/>
          <w:bCs/>
          <w:color w:val="000000"/>
          <w:sz w:val="24"/>
          <w:lang w:val="en"/>
        </w:rPr>
        <w:t>响应文件</w:t>
      </w:r>
      <w:r>
        <w:rPr>
          <w:rFonts w:hint="eastAsia" w:ascii="宋体" w:hAnsi="宋体" w:cs="宋体"/>
          <w:bCs/>
          <w:color w:val="000000"/>
          <w:sz w:val="24"/>
          <w:lang w:val="zh-CN"/>
        </w:rPr>
        <w:t>《</w:t>
      </w:r>
      <w:r>
        <w:rPr>
          <w:rFonts w:hint="eastAsia" w:ascii="宋体" w:hAnsi="宋体" w:cs="宋体"/>
          <w:bCs/>
          <w:color w:val="000000"/>
          <w:sz w:val="24"/>
        </w:rPr>
        <w:t>商务条款偏离表</w:t>
      </w:r>
      <w:r>
        <w:rPr>
          <w:rFonts w:hint="eastAsia" w:ascii="宋体" w:hAnsi="宋体" w:cs="宋体"/>
          <w:bCs/>
          <w:color w:val="000000"/>
          <w:sz w:val="24"/>
          <w:lang w:val="zh-CN"/>
        </w:rPr>
        <w:t>》中对本部分所有条款逐条说明响应和偏离情况，否则响应无效。</w:t>
      </w:r>
    </w:p>
    <w:p w14:paraId="2D7224E1">
      <w:pPr>
        <w:pStyle w:val="17"/>
        <w:widowControl/>
        <w:numPr>
          <w:ilvl w:val="0"/>
          <w:numId w:val="8"/>
        </w:numPr>
        <w:spacing w:line="360" w:lineRule="auto"/>
        <w:ind w:firstLine="480" w:firstLineChars="200"/>
        <w:jc w:val="left"/>
        <w:rPr>
          <w:rFonts w:ascii="宋体" w:hAnsi="宋体" w:cs="宋体"/>
          <w:bCs/>
          <w:sz w:val="24"/>
          <w:lang w:val="zh-CN"/>
        </w:rPr>
      </w:pPr>
      <w:r>
        <w:rPr>
          <w:rFonts w:hint="eastAsia" w:ascii="宋体" w:hAnsi="宋体" w:cs="宋体"/>
          <w:bCs/>
          <w:color w:val="000000"/>
          <w:sz w:val="24"/>
          <w:lang w:val="zh-CN"/>
        </w:rPr>
        <w:t>本部分内容均为实质性条款，</w:t>
      </w:r>
      <w:r>
        <w:rPr>
          <w:rFonts w:ascii="宋体" w:hAnsi="宋体" w:cs="宋体"/>
          <w:bCs/>
          <w:color w:val="000000"/>
          <w:sz w:val="24"/>
          <w:lang w:val="en"/>
        </w:rPr>
        <w:t>供应商</w:t>
      </w:r>
      <w:r>
        <w:rPr>
          <w:rFonts w:hint="eastAsia" w:ascii="宋体" w:hAnsi="宋体" w:cs="宋体"/>
          <w:bCs/>
          <w:color w:val="000000"/>
          <w:sz w:val="24"/>
          <w:lang w:val="zh-CN"/>
        </w:rPr>
        <w:t>的</w:t>
      </w:r>
      <w:r>
        <w:rPr>
          <w:rFonts w:hint="eastAsia" w:cs="宋体"/>
          <w:bCs/>
          <w:color w:val="000000"/>
          <w:lang w:val="zh-CN"/>
        </w:rPr>
        <w:t>响应</w:t>
      </w:r>
      <w:r>
        <w:rPr>
          <w:rFonts w:hint="eastAsia" w:ascii="宋体" w:hAnsi="宋体" w:cs="宋体"/>
          <w:bCs/>
          <w:color w:val="000000"/>
          <w:sz w:val="24"/>
          <w:lang w:val="zh-CN"/>
        </w:rPr>
        <w:t>必须完全满足或者正偏离，否则响应无效。</w:t>
      </w:r>
    </w:p>
    <w:p w14:paraId="248B0CE9">
      <w:pPr>
        <w:pStyle w:val="60"/>
        <w:keepNext w:val="0"/>
        <w:keepLines w:val="0"/>
        <w:spacing w:before="0" w:after="0" w:line="240" w:lineRule="auto"/>
        <w:jc w:val="left"/>
        <w:rPr>
          <w:rFonts w:ascii="宋体" w:hAnsi="宋体" w:eastAsia="黑体"/>
          <w:bCs w:val="0"/>
          <w:color w:val="auto"/>
          <w:sz w:val="24"/>
          <w:szCs w:val="30"/>
        </w:rPr>
      </w:pPr>
    </w:p>
    <w:p w14:paraId="29A894D5">
      <w:pPr>
        <w:pStyle w:val="46"/>
        <w:spacing w:line="360" w:lineRule="auto"/>
        <w:ind w:firstLine="480"/>
        <w:rPr>
          <w:rFonts w:ascii="宋体" w:cs="宋体"/>
          <w:sz w:val="24"/>
        </w:rPr>
      </w:pPr>
    </w:p>
    <w:p w14:paraId="1DB51F7C">
      <w:pPr>
        <w:spacing w:line="360" w:lineRule="auto"/>
        <w:ind w:firstLine="480" w:firstLineChars="200"/>
        <w:rPr>
          <w:rFonts w:ascii="宋体" w:cs="宋体"/>
          <w:sz w:val="24"/>
        </w:rPr>
      </w:pPr>
    </w:p>
    <w:p w14:paraId="5382CC78">
      <w:pPr>
        <w:pStyle w:val="45"/>
        <w:rPr>
          <w:rFonts w:ascii="宋体" w:cs="宋体"/>
        </w:rPr>
        <w:sectPr>
          <w:footerReference r:id="rId7" w:type="first"/>
          <w:footerReference r:id="rId6" w:type="default"/>
          <w:pgSz w:w="11907" w:h="16840"/>
          <w:pgMar w:top="1162" w:right="1418" w:bottom="1418" w:left="1474" w:header="851" w:footer="573" w:gutter="0"/>
          <w:cols w:space="720" w:num="1"/>
          <w:titlePg/>
          <w:docGrid w:type="lines" w:linePitch="312" w:charSpace="0"/>
        </w:sectPr>
      </w:pPr>
    </w:p>
    <w:p w14:paraId="01C7CB06">
      <w:pPr>
        <w:pStyle w:val="45"/>
        <w:rPr>
          <w:rFonts w:ascii="宋体" w:cs="宋体"/>
        </w:rPr>
      </w:pPr>
    </w:p>
    <w:p w14:paraId="3D60BD65">
      <w:pPr>
        <w:rPr>
          <w:rFonts w:ascii="宋体" w:cs="宋体"/>
        </w:rPr>
      </w:pPr>
    </w:p>
    <w:p w14:paraId="66B3557E">
      <w:pPr>
        <w:rPr>
          <w:rFonts w:ascii="宋体" w:cs="宋体"/>
        </w:rPr>
      </w:pPr>
    </w:p>
    <w:p w14:paraId="48921C2D">
      <w:pPr>
        <w:pStyle w:val="2"/>
        <w:rPr>
          <w:rFonts w:ascii="宋体" w:cs="宋体"/>
        </w:rPr>
      </w:pPr>
      <w:bookmarkStart w:id="69" w:name="_Toc27067"/>
      <w:r>
        <w:rPr>
          <w:rFonts w:hint="eastAsia" w:ascii="宋体" w:cs="宋体"/>
        </w:rPr>
        <w:t>第六章 磋商响应文件构成及格式</w:t>
      </w:r>
      <w:bookmarkEnd w:id="62"/>
      <w:bookmarkEnd w:id="63"/>
      <w:bookmarkEnd w:id="64"/>
      <w:bookmarkEnd w:id="65"/>
      <w:bookmarkEnd w:id="66"/>
      <w:bookmarkEnd w:id="67"/>
      <w:bookmarkEnd w:id="69"/>
    </w:p>
    <w:p w14:paraId="160A517F">
      <w:pPr>
        <w:spacing w:line="360" w:lineRule="auto"/>
        <w:ind w:left="420"/>
        <w:jc w:val="center"/>
        <w:rPr>
          <w:rFonts w:ascii="宋体" w:cs="宋体"/>
          <w:sz w:val="24"/>
        </w:rPr>
      </w:pPr>
    </w:p>
    <w:p w14:paraId="7769BBCB">
      <w:pPr>
        <w:pStyle w:val="16"/>
        <w:spacing w:line="360" w:lineRule="auto"/>
        <w:rPr>
          <w:rFonts w:ascii="宋体" w:cs="宋体"/>
          <w:bCs/>
          <w:szCs w:val="24"/>
        </w:rPr>
      </w:pPr>
      <w:bookmarkStart w:id="70" w:name="_Toc21796"/>
      <w:bookmarkStart w:id="71" w:name="_Toc7468"/>
      <w:bookmarkStart w:id="72" w:name="_Toc9535"/>
      <w:bookmarkStart w:id="73" w:name="_Toc25392"/>
      <w:bookmarkStart w:id="74" w:name="_Toc24749"/>
      <w:bookmarkStart w:id="75" w:name="_Toc21335"/>
      <w:r>
        <w:rPr>
          <w:rFonts w:hint="eastAsia" w:ascii="宋体" w:cs="宋体"/>
          <w:bCs/>
          <w:szCs w:val="24"/>
        </w:rPr>
        <w:t>采购人特别声明：</w:t>
      </w:r>
      <w:bookmarkEnd w:id="70"/>
      <w:bookmarkEnd w:id="71"/>
      <w:bookmarkEnd w:id="72"/>
      <w:bookmarkEnd w:id="73"/>
      <w:bookmarkEnd w:id="74"/>
      <w:bookmarkEnd w:id="75"/>
    </w:p>
    <w:p w14:paraId="53D41617">
      <w:pPr>
        <w:pStyle w:val="47"/>
        <w:ind w:firstLine="480"/>
        <w:rPr>
          <w:rFonts w:ascii="宋体" w:cs="宋体"/>
          <w:sz w:val="24"/>
        </w:rPr>
      </w:pPr>
      <w:r>
        <w:rPr>
          <w:rFonts w:hint="eastAsia" w:ascii="宋体" w:cs="宋体"/>
          <w:sz w:val="24"/>
        </w:rPr>
        <w:t>供应商应提交本“磋商响应文件文件格式”所列举和要求的全部磋商响应文件，并且所提交的磋商响应文件都是真实有效的，否则，将是供应商的风险。</w:t>
      </w:r>
    </w:p>
    <w:p w14:paraId="55CC330D">
      <w:pPr>
        <w:rPr>
          <w:rFonts w:ascii="宋体" w:cs="宋体"/>
          <w:b/>
          <w:kern w:val="0"/>
          <w:sz w:val="28"/>
          <w:szCs w:val="28"/>
          <w:shd w:val="clear" w:color="auto" w:fill="FFFFFF"/>
        </w:rPr>
      </w:pPr>
      <w:r>
        <w:rPr>
          <w:rFonts w:hint="eastAsia" w:ascii="宋体" w:cs="宋体"/>
          <w:b/>
          <w:kern w:val="0"/>
          <w:sz w:val="28"/>
          <w:szCs w:val="28"/>
          <w:shd w:val="clear" w:color="auto" w:fill="FFFFFF"/>
        </w:rPr>
        <w:br w:type="page"/>
      </w:r>
    </w:p>
    <w:p w14:paraId="706B8EE2">
      <w:pPr>
        <w:jc w:val="right"/>
        <w:rPr>
          <w:rFonts w:ascii="宋体" w:cs="宋体"/>
          <w:sz w:val="48"/>
        </w:rPr>
      </w:pPr>
      <w:r>
        <w:rPr>
          <w:rFonts w:hint="eastAsia" w:ascii="宋体" w:cs="宋体"/>
          <w:b/>
          <w:sz w:val="44"/>
          <w:szCs w:val="44"/>
        </w:rPr>
        <w:t>【正本或副本】</w:t>
      </w:r>
    </w:p>
    <w:p w14:paraId="726E2578">
      <w:pPr>
        <w:rPr>
          <w:rFonts w:ascii="宋体" w:cs="宋体"/>
          <w:b/>
          <w:sz w:val="36"/>
          <w:szCs w:val="36"/>
        </w:rPr>
      </w:pPr>
    </w:p>
    <w:p w14:paraId="4F40002C">
      <w:pPr>
        <w:rPr>
          <w:rFonts w:ascii="宋体" w:cs="宋体"/>
          <w:b/>
          <w:sz w:val="36"/>
          <w:szCs w:val="36"/>
        </w:rPr>
      </w:pPr>
    </w:p>
    <w:p w14:paraId="18618FA5">
      <w:pPr>
        <w:jc w:val="center"/>
        <w:rPr>
          <w:rFonts w:ascii="宋体" w:cs="宋体"/>
        </w:rPr>
      </w:pPr>
      <w:r>
        <w:rPr>
          <w:rFonts w:hint="eastAsia" w:ascii="宋体" w:cs="宋体"/>
          <w:b/>
          <w:bCs/>
          <w:sz w:val="52"/>
          <w:szCs w:val="72"/>
          <w:u w:val="single"/>
        </w:rPr>
        <w:t xml:space="preserve">               </w:t>
      </w:r>
      <w:r>
        <w:rPr>
          <w:rFonts w:hint="eastAsia" w:ascii="宋体" w:cs="宋体"/>
          <w:b/>
          <w:bCs/>
          <w:sz w:val="52"/>
          <w:szCs w:val="72"/>
        </w:rPr>
        <w:t>项目</w:t>
      </w:r>
    </w:p>
    <w:p w14:paraId="018D78E7">
      <w:pPr>
        <w:rPr>
          <w:rFonts w:ascii="宋体" w:cs="宋体"/>
        </w:rPr>
      </w:pPr>
    </w:p>
    <w:p w14:paraId="687255C5">
      <w:pPr>
        <w:rPr>
          <w:rFonts w:ascii="宋体" w:cs="宋体"/>
        </w:rPr>
      </w:pPr>
    </w:p>
    <w:p w14:paraId="5C79C677">
      <w:pPr>
        <w:spacing w:line="480" w:lineRule="auto"/>
        <w:ind w:right="105"/>
        <w:jc w:val="center"/>
        <w:rPr>
          <w:rFonts w:ascii="宋体" w:cs="宋体"/>
          <w:b/>
          <w:color w:val="000000"/>
          <w:sz w:val="84"/>
          <w:szCs w:val="84"/>
        </w:rPr>
      </w:pPr>
    </w:p>
    <w:p w14:paraId="41451D06">
      <w:pPr>
        <w:spacing w:line="480" w:lineRule="auto"/>
        <w:ind w:right="105"/>
        <w:jc w:val="center"/>
        <w:rPr>
          <w:rFonts w:ascii="宋体" w:cs="宋体"/>
          <w:b/>
          <w:color w:val="000000"/>
          <w:sz w:val="84"/>
          <w:szCs w:val="84"/>
        </w:rPr>
      </w:pPr>
      <w:r>
        <w:rPr>
          <w:rFonts w:hint="eastAsia" w:ascii="宋体" w:cs="宋体"/>
          <w:b/>
          <w:color w:val="000000"/>
          <w:sz w:val="84"/>
          <w:szCs w:val="84"/>
        </w:rPr>
        <w:t>磋 商 响 应 文 件</w:t>
      </w:r>
    </w:p>
    <w:p w14:paraId="0D9895A9">
      <w:pPr>
        <w:rPr>
          <w:rFonts w:ascii="宋体" w:cs="宋体"/>
          <w:sz w:val="36"/>
        </w:rPr>
      </w:pPr>
    </w:p>
    <w:p w14:paraId="28DC592E">
      <w:pPr>
        <w:jc w:val="center"/>
        <w:rPr>
          <w:rFonts w:ascii="宋体" w:cs="宋体"/>
          <w:b/>
          <w:sz w:val="28"/>
          <w:szCs w:val="28"/>
        </w:rPr>
      </w:pPr>
      <w:r>
        <w:rPr>
          <w:rFonts w:hint="eastAsia" w:ascii="宋体" w:cs="宋体"/>
          <w:b/>
          <w:sz w:val="28"/>
          <w:szCs w:val="28"/>
        </w:rPr>
        <w:t>项目编号：</w:t>
      </w:r>
    </w:p>
    <w:p w14:paraId="09A4E50A">
      <w:pPr>
        <w:ind w:firstLine="321" w:firstLineChars="100"/>
        <w:jc w:val="center"/>
        <w:rPr>
          <w:rFonts w:ascii="宋体" w:cs="宋体"/>
          <w:b/>
          <w:sz w:val="32"/>
          <w:szCs w:val="32"/>
        </w:rPr>
      </w:pPr>
    </w:p>
    <w:p w14:paraId="4F7F1D53">
      <w:pPr>
        <w:rPr>
          <w:rFonts w:ascii="宋体" w:cs="宋体"/>
          <w:sz w:val="30"/>
          <w:szCs w:val="30"/>
        </w:rPr>
      </w:pPr>
    </w:p>
    <w:p w14:paraId="3B4B88D1">
      <w:pPr>
        <w:rPr>
          <w:rFonts w:ascii="宋体" w:cs="宋体"/>
          <w:sz w:val="32"/>
        </w:rPr>
      </w:pPr>
    </w:p>
    <w:p w14:paraId="20F681AF">
      <w:pPr>
        <w:ind w:firstLine="643" w:firstLineChars="200"/>
        <w:rPr>
          <w:rFonts w:ascii="宋体" w:cs="宋体"/>
          <w:b/>
          <w:sz w:val="32"/>
          <w:szCs w:val="32"/>
        </w:rPr>
      </w:pPr>
    </w:p>
    <w:p w14:paraId="3F425CB6">
      <w:pPr>
        <w:ind w:firstLine="643" w:firstLineChars="200"/>
        <w:rPr>
          <w:rFonts w:ascii="宋体" w:cs="宋体"/>
          <w:b/>
          <w:sz w:val="32"/>
          <w:szCs w:val="32"/>
        </w:rPr>
      </w:pPr>
    </w:p>
    <w:p w14:paraId="0071CA87">
      <w:pPr>
        <w:ind w:firstLine="643" w:firstLineChars="200"/>
        <w:rPr>
          <w:rFonts w:ascii="宋体" w:cs="宋体"/>
          <w:b/>
          <w:sz w:val="32"/>
          <w:szCs w:val="32"/>
        </w:rPr>
      </w:pPr>
    </w:p>
    <w:p w14:paraId="6CC50D38">
      <w:pPr>
        <w:ind w:firstLine="643" w:firstLineChars="200"/>
        <w:rPr>
          <w:rFonts w:ascii="宋体" w:cs="宋体"/>
          <w:b/>
          <w:sz w:val="32"/>
          <w:szCs w:val="32"/>
          <w:u w:val="single"/>
        </w:rPr>
      </w:pPr>
      <w:r>
        <w:rPr>
          <w:rFonts w:hint="eastAsia" w:ascii="宋体" w:cs="宋体"/>
          <w:b/>
          <w:sz w:val="32"/>
          <w:szCs w:val="32"/>
        </w:rPr>
        <w:t>供应商：</w:t>
      </w:r>
      <w:r>
        <w:rPr>
          <w:rFonts w:hint="eastAsia" w:ascii="宋体" w:cs="宋体"/>
          <w:b/>
          <w:sz w:val="32"/>
          <w:szCs w:val="32"/>
          <w:u w:val="single"/>
        </w:rPr>
        <w:t xml:space="preserve">                       （盖章）</w:t>
      </w:r>
    </w:p>
    <w:p w14:paraId="3A3208D5">
      <w:pPr>
        <w:ind w:firstLine="643" w:firstLineChars="200"/>
        <w:rPr>
          <w:rFonts w:ascii="宋体" w:cs="宋体"/>
          <w:b/>
          <w:sz w:val="32"/>
          <w:szCs w:val="32"/>
          <w:u w:val="single"/>
        </w:rPr>
      </w:pPr>
      <w:r>
        <w:rPr>
          <w:rFonts w:hint="eastAsia" w:ascii="宋体" w:cs="宋体"/>
          <w:b/>
          <w:sz w:val="32"/>
          <w:szCs w:val="32"/>
        </w:rPr>
        <w:t>法定代表人或其授权委托代理人：</w:t>
      </w:r>
      <w:r>
        <w:rPr>
          <w:rFonts w:hint="eastAsia" w:ascii="宋体" w:cs="宋体"/>
          <w:b/>
          <w:sz w:val="32"/>
          <w:szCs w:val="32"/>
          <w:u w:val="single"/>
        </w:rPr>
        <w:t xml:space="preserve">  （签字或盖章）       </w:t>
      </w:r>
    </w:p>
    <w:p w14:paraId="09E9AE10">
      <w:pPr>
        <w:ind w:firstLine="643" w:firstLineChars="200"/>
        <w:rPr>
          <w:rFonts w:ascii="宋体" w:cs="宋体"/>
          <w:b/>
          <w:sz w:val="32"/>
          <w:szCs w:val="32"/>
          <w:u w:val="single"/>
        </w:rPr>
      </w:pPr>
      <w:r>
        <w:rPr>
          <w:rFonts w:hint="eastAsia" w:ascii="宋体" w:cs="宋体"/>
          <w:b/>
          <w:sz w:val="32"/>
          <w:szCs w:val="32"/>
        </w:rPr>
        <w:t>日期：</w:t>
      </w:r>
      <w:r>
        <w:rPr>
          <w:rFonts w:hint="eastAsia" w:ascii="宋体" w:cs="宋体"/>
          <w:b/>
          <w:sz w:val="32"/>
          <w:szCs w:val="32"/>
          <w:u w:val="single"/>
        </w:rPr>
        <w:t xml:space="preserve">    年   月   日</w:t>
      </w:r>
    </w:p>
    <w:p w14:paraId="77367A43">
      <w:pPr>
        <w:tabs>
          <w:tab w:val="left" w:pos="1365"/>
        </w:tabs>
        <w:spacing w:line="360" w:lineRule="auto"/>
        <w:rPr>
          <w:rFonts w:ascii="宋体" w:cs="宋体"/>
          <w:b/>
          <w:sz w:val="36"/>
          <w:szCs w:val="36"/>
        </w:rPr>
      </w:pPr>
    </w:p>
    <w:p w14:paraId="499BF54D">
      <w:pPr>
        <w:tabs>
          <w:tab w:val="left" w:pos="1365"/>
        </w:tabs>
        <w:spacing w:line="360" w:lineRule="auto"/>
        <w:jc w:val="center"/>
        <w:rPr>
          <w:rFonts w:ascii="宋体" w:cs="宋体"/>
          <w:b/>
          <w:sz w:val="36"/>
          <w:szCs w:val="36"/>
        </w:rPr>
      </w:pPr>
    </w:p>
    <w:p w14:paraId="1BBCADF9">
      <w:pPr>
        <w:tabs>
          <w:tab w:val="left" w:pos="1365"/>
        </w:tabs>
        <w:spacing w:line="360" w:lineRule="auto"/>
        <w:jc w:val="center"/>
        <w:rPr>
          <w:rFonts w:ascii="宋体" w:cs="宋体"/>
          <w:b/>
          <w:sz w:val="36"/>
          <w:szCs w:val="36"/>
        </w:rPr>
      </w:pPr>
      <w:r>
        <w:rPr>
          <w:rFonts w:hint="eastAsia" w:ascii="宋体" w:cs="宋体"/>
          <w:b/>
          <w:sz w:val="36"/>
          <w:szCs w:val="36"/>
        </w:rPr>
        <w:t>目  录</w:t>
      </w:r>
    </w:p>
    <w:p w14:paraId="37EA6F9C">
      <w:pPr>
        <w:tabs>
          <w:tab w:val="left" w:pos="1365"/>
        </w:tabs>
        <w:spacing w:line="360" w:lineRule="auto"/>
        <w:ind w:firstLine="480" w:firstLineChars="200"/>
        <w:rPr>
          <w:rFonts w:ascii="宋体" w:cs="宋体"/>
          <w:sz w:val="24"/>
        </w:rPr>
      </w:pPr>
      <w:r>
        <w:rPr>
          <w:rFonts w:hint="eastAsia" w:ascii="宋体" w:cs="宋体"/>
          <w:sz w:val="24"/>
        </w:rPr>
        <w:t>1、磋商响应函</w:t>
      </w:r>
    </w:p>
    <w:p w14:paraId="42112BAB">
      <w:pPr>
        <w:tabs>
          <w:tab w:val="left" w:pos="1365"/>
        </w:tabs>
        <w:spacing w:line="360" w:lineRule="auto"/>
        <w:ind w:firstLine="480" w:firstLineChars="200"/>
        <w:rPr>
          <w:rFonts w:ascii="宋体" w:cs="宋体"/>
          <w:sz w:val="24"/>
        </w:rPr>
      </w:pPr>
      <w:r>
        <w:rPr>
          <w:rFonts w:hint="eastAsia" w:ascii="宋体" w:cs="宋体"/>
          <w:sz w:val="24"/>
        </w:rPr>
        <w:t>2、法定代表人身份证明</w:t>
      </w:r>
    </w:p>
    <w:p w14:paraId="60C42B5F">
      <w:pPr>
        <w:tabs>
          <w:tab w:val="left" w:pos="1365"/>
        </w:tabs>
        <w:spacing w:line="360" w:lineRule="auto"/>
        <w:ind w:left="-4" w:leftChars="-2" w:firstLine="480" w:firstLineChars="200"/>
        <w:rPr>
          <w:rFonts w:ascii="宋体" w:cs="宋体"/>
          <w:sz w:val="24"/>
        </w:rPr>
      </w:pPr>
      <w:r>
        <w:rPr>
          <w:rFonts w:hint="eastAsia" w:ascii="宋体" w:cs="宋体"/>
          <w:sz w:val="24"/>
        </w:rPr>
        <w:t>3、授权委托书</w:t>
      </w:r>
    </w:p>
    <w:p w14:paraId="024B85C7">
      <w:pPr>
        <w:tabs>
          <w:tab w:val="left" w:pos="1365"/>
        </w:tabs>
        <w:spacing w:line="360" w:lineRule="auto"/>
        <w:ind w:left="-4" w:leftChars="-2" w:firstLine="480" w:firstLineChars="200"/>
        <w:rPr>
          <w:rFonts w:ascii="宋体" w:cs="宋体"/>
          <w:sz w:val="24"/>
        </w:rPr>
      </w:pPr>
      <w:r>
        <w:rPr>
          <w:rFonts w:hint="eastAsia" w:ascii="宋体" w:cs="宋体"/>
          <w:sz w:val="24"/>
        </w:rPr>
        <w:t>4、磋商报价表</w:t>
      </w:r>
    </w:p>
    <w:p w14:paraId="21077187">
      <w:pPr>
        <w:tabs>
          <w:tab w:val="left" w:pos="1365"/>
        </w:tabs>
        <w:spacing w:line="360" w:lineRule="auto"/>
        <w:ind w:left="-4" w:leftChars="-2" w:firstLine="480" w:firstLineChars="200"/>
        <w:rPr>
          <w:rFonts w:ascii="宋体" w:cs="宋体"/>
          <w:sz w:val="24"/>
        </w:rPr>
      </w:pPr>
      <w:r>
        <w:rPr>
          <w:rFonts w:hint="eastAsia" w:ascii="宋体" w:cs="宋体"/>
          <w:sz w:val="24"/>
        </w:rPr>
        <w:t>5、磋商报价明细表</w:t>
      </w:r>
    </w:p>
    <w:p w14:paraId="7754A0BB">
      <w:pPr>
        <w:tabs>
          <w:tab w:val="left" w:pos="1365"/>
        </w:tabs>
        <w:spacing w:line="360" w:lineRule="auto"/>
        <w:ind w:left="-4" w:leftChars="-2" w:firstLine="480" w:firstLineChars="200"/>
        <w:rPr>
          <w:rFonts w:ascii="宋体" w:cs="宋体"/>
          <w:sz w:val="24"/>
        </w:rPr>
      </w:pPr>
      <w:r>
        <w:rPr>
          <w:rFonts w:hint="eastAsia" w:ascii="宋体" w:cs="宋体"/>
          <w:sz w:val="24"/>
        </w:rPr>
        <w:t>6、商务条款偏离表</w:t>
      </w:r>
    </w:p>
    <w:p w14:paraId="79EDDE3F">
      <w:pPr>
        <w:tabs>
          <w:tab w:val="left" w:pos="1365"/>
        </w:tabs>
        <w:spacing w:line="360" w:lineRule="auto"/>
        <w:ind w:left="-4" w:leftChars="-2" w:firstLine="480" w:firstLineChars="200"/>
        <w:rPr>
          <w:rFonts w:ascii="宋体" w:cs="宋体"/>
          <w:sz w:val="24"/>
        </w:rPr>
      </w:pPr>
      <w:r>
        <w:rPr>
          <w:rFonts w:hint="eastAsia" w:ascii="宋体" w:cs="宋体"/>
          <w:sz w:val="24"/>
        </w:rPr>
        <w:t>7、投标货物及技术规格偏离表</w:t>
      </w:r>
    </w:p>
    <w:p w14:paraId="15FDEE0C">
      <w:pPr>
        <w:tabs>
          <w:tab w:val="left" w:pos="1365"/>
        </w:tabs>
        <w:spacing w:line="360" w:lineRule="auto"/>
        <w:ind w:left="-4" w:leftChars="-2" w:firstLine="480" w:firstLineChars="200"/>
        <w:rPr>
          <w:rFonts w:ascii="宋体" w:cs="宋体"/>
          <w:sz w:val="24"/>
        </w:rPr>
      </w:pPr>
      <w:r>
        <w:rPr>
          <w:rFonts w:hint="eastAsia" w:ascii="宋体" w:cs="宋体"/>
          <w:sz w:val="24"/>
        </w:rPr>
        <w:t>8、供应商资格声明</w:t>
      </w:r>
    </w:p>
    <w:p w14:paraId="4DE7FC3B">
      <w:pPr>
        <w:tabs>
          <w:tab w:val="left" w:pos="1365"/>
        </w:tabs>
        <w:spacing w:line="360" w:lineRule="auto"/>
        <w:ind w:left="-4" w:leftChars="-2" w:firstLine="480" w:firstLineChars="200"/>
        <w:rPr>
          <w:rFonts w:ascii="宋体" w:cs="宋体"/>
          <w:sz w:val="24"/>
        </w:rPr>
      </w:pPr>
      <w:r>
        <w:rPr>
          <w:rFonts w:hint="eastAsia" w:ascii="宋体" w:cs="宋体"/>
          <w:sz w:val="24"/>
        </w:rPr>
        <w:t>9、供应商基本情况</w:t>
      </w:r>
    </w:p>
    <w:p w14:paraId="03C0FB18">
      <w:pPr>
        <w:tabs>
          <w:tab w:val="left" w:pos="1365"/>
        </w:tabs>
        <w:spacing w:line="360" w:lineRule="auto"/>
        <w:ind w:left="-4" w:leftChars="-2" w:firstLine="480" w:firstLineChars="200"/>
        <w:rPr>
          <w:rFonts w:ascii="宋体" w:cs="宋体"/>
          <w:sz w:val="24"/>
        </w:rPr>
      </w:pPr>
      <w:r>
        <w:rPr>
          <w:rFonts w:hint="eastAsia" w:ascii="宋体" w:cs="宋体"/>
          <w:sz w:val="24"/>
        </w:rPr>
        <w:t>10、供应商类似项目业绩一览表</w:t>
      </w:r>
    </w:p>
    <w:p w14:paraId="6A19A91E">
      <w:pPr>
        <w:tabs>
          <w:tab w:val="left" w:pos="1365"/>
        </w:tabs>
        <w:spacing w:line="360" w:lineRule="auto"/>
        <w:ind w:left="-4" w:leftChars="-2" w:firstLine="480" w:firstLineChars="200"/>
        <w:rPr>
          <w:rFonts w:ascii="宋体" w:cs="宋体"/>
          <w:sz w:val="24"/>
        </w:rPr>
      </w:pPr>
      <w:r>
        <w:rPr>
          <w:rFonts w:hint="eastAsia" w:ascii="宋体" w:cs="宋体"/>
          <w:sz w:val="24"/>
        </w:rPr>
        <w:t>11、供应商拟派于本项目管理、技术、服务人员情况表（如有）</w:t>
      </w:r>
    </w:p>
    <w:p w14:paraId="0D7296CA">
      <w:pPr>
        <w:tabs>
          <w:tab w:val="left" w:pos="1365"/>
        </w:tabs>
        <w:spacing w:line="360" w:lineRule="auto"/>
        <w:ind w:left="-4" w:leftChars="-2" w:firstLine="480" w:firstLineChars="200"/>
        <w:rPr>
          <w:rFonts w:ascii="宋体" w:cs="宋体"/>
          <w:sz w:val="24"/>
        </w:rPr>
      </w:pPr>
      <w:r>
        <w:rPr>
          <w:rFonts w:hint="eastAsia" w:ascii="宋体" w:cs="宋体"/>
          <w:sz w:val="24"/>
        </w:rPr>
        <w:t>12、信誉承诺书</w:t>
      </w:r>
    </w:p>
    <w:p w14:paraId="130AA350">
      <w:pPr>
        <w:pStyle w:val="27"/>
        <w:ind w:firstLine="480" w:firstLineChars="200"/>
        <w:rPr>
          <w:rFonts w:ascii="宋体" w:eastAsia="宋体" w:cs="宋体"/>
        </w:rPr>
      </w:pPr>
      <w:r>
        <w:rPr>
          <w:rFonts w:hint="eastAsia" w:ascii="宋体" w:eastAsia="宋体" w:cs="宋体"/>
        </w:rPr>
        <w:t>13、磋商保证金</w:t>
      </w:r>
    </w:p>
    <w:p w14:paraId="275314D1">
      <w:pPr>
        <w:tabs>
          <w:tab w:val="left" w:pos="1365"/>
        </w:tabs>
        <w:spacing w:line="360" w:lineRule="auto"/>
        <w:ind w:left="-4" w:leftChars="-2" w:firstLine="480" w:firstLineChars="200"/>
        <w:rPr>
          <w:rFonts w:ascii="宋体" w:cs="宋体"/>
          <w:sz w:val="24"/>
        </w:rPr>
      </w:pPr>
      <w:r>
        <w:rPr>
          <w:rFonts w:hint="eastAsia" w:ascii="宋体" w:cs="宋体"/>
          <w:sz w:val="24"/>
        </w:rPr>
        <w:t>14、服务承诺</w:t>
      </w:r>
    </w:p>
    <w:p w14:paraId="35027344">
      <w:pPr>
        <w:tabs>
          <w:tab w:val="left" w:pos="1365"/>
        </w:tabs>
        <w:spacing w:line="360" w:lineRule="auto"/>
        <w:ind w:left="-4" w:leftChars="-2" w:firstLine="480" w:firstLineChars="200"/>
        <w:rPr>
          <w:rFonts w:ascii="宋体" w:cs="宋体"/>
          <w:sz w:val="24"/>
        </w:rPr>
      </w:pPr>
      <w:r>
        <w:rPr>
          <w:rFonts w:hint="eastAsia" w:ascii="宋体" w:cs="宋体"/>
          <w:sz w:val="24"/>
        </w:rPr>
        <w:t>15、实施方案</w:t>
      </w:r>
    </w:p>
    <w:p w14:paraId="07B44554">
      <w:pPr>
        <w:tabs>
          <w:tab w:val="left" w:pos="1365"/>
        </w:tabs>
        <w:spacing w:line="360" w:lineRule="auto"/>
        <w:ind w:firstLine="482" w:firstLineChars="201"/>
        <w:rPr>
          <w:rFonts w:ascii="宋体" w:cs="宋体"/>
          <w:sz w:val="24"/>
        </w:rPr>
      </w:pPr>
      <w:r>
        <w:rPr>
          <w:rFonts w:hint="eastAsia" w:ascii="宋体" w:cs="宋体"/>
          <w:sz w:val="24"/>
        </w:rPr>
        <w:t>16、供应商认为需要提供的其他材料</w:t>
      </w:r>
    </w:p>
    <w:p w14:paraId="6ADDE4D2">
      <w:pPr>
        <w:rPr>
          <w:rFonts w:ascii="宋体" w:cs="宋体"/>
        </w:rPr>
      </w:pPr>
    </w:p>
    <w:p w14:paraId="39793052">
      <w:pPr>
        <w:rPr>
          <w:rFonts w:ascii="宋体" w:cs="宋体"/>
        </w:rPr>
      </w:pPr>
    </w:p>
    <w:p w14:paraId="55161360">
      <w:pPr>
        <w:widowControl/>
        <w:jc w:val="center"/>
        <w:rPr>
          <w:rFonts w:ascii="宋体" w:cs="宋体"/>
          <w:b/>
          <w:kern w:val="0"/>
          <w:sz w:val="24"/>
        </w:rPr>
      </w:pPr>
      <w:r>
        <w:rPr>
          <w:rFonts w:hint="eastAsia" w:ascii="宋体" w:cs="宋体"/>
          <w:b/>
          <w:kern w:val="0"/>
          <w:sz w:val="24"/>
        </w:rPr>
        <w:t>注：供应商可自行编制目录，并标注对应页码。所有复印件需清晰可辩。</w:t>
      </w:r>
    </w:p>
    <w:p w14:paraId="6B9B7B77">
      <w:pPr>
        <w:tabs>
          <w:tab w:val="left" w:pos="1365"/>
        </w:tabs>
        <w:spacing w:line="360" w:lineRule="auto"/>
        <w:jc w:val="center"/>
        <w:rPr>
          <w:rFonts w:ascii="宋体" w:cs="宋体"/>
          <w:b/>
          <w:sz w:val="32"/>
          <w:szCs w:val="32"/>
        </w:rPr>
      </w:pPr>
    </w:p>
    <w:p w14:paraId="50F3D66A">
      <w:pPr>
        <w:tabs>
          <w:tab w:val="left" w:pos="1365"/>
        </w:tabs>
        <w:spacing w:line="360" w:lineRule="auto"/>
        <w:jc w:val="center"/>
        <w:rPr>
          <w:rFonts w:ascii="宋体" w:cs="宋体"/>
          <w:b/>
          <w:sz w:val="32"/>
          <w:szCs w:val="32"/>
        </w:rPr>
      </w:pPr>
    </w:p>
    <w:p w14:paraId="1252358B">
      <w:pPr>
        <w:tabs>
          <w:tab w:val="left" w:pos="1365"/>
        </w:tabs>
        <w:spacing w:line="360" w:lineRule="auto"/>
        <w:rPr>
          <w:rFonts w:ascii="宋体" w:cs="宋体"/>
          <w:b/>
          <w:sz w:val="32"/>
          <w:szCs w:val="32"/>
        </w:rPr>
      </w:pPr>
    </w:p>
    <w:p w14:paraId="67700113">
      <w:pPr>
        <w:tabs>
          <w:tab w:val="left" w:pos="1365"/>
        </w:tabs>
        <w:spacing w:line="360" w:lineRule="auto"/>
        <w:rPr>
          <w:rFonts w:ascii="宋体" w:cs="宋体"/>
          <w:b/>
          <w:sz w:val="32"/>
          <w:szCs w:val="32"/>
        </w:rPr>
      </w:pPr>
    </w:p>
    <w:p w14:paraId="51E68140">
      <w:pPr>
        <w:tabs>
          <w:tab w:val="left" w:pos="1365"/>
        </w:tabs>
        <w:spacing w:line="360" w:lineRule="auto"/>
        <w:rPr>
          <w:rFonts w:ascii="宋体" w:cs="宋体"/>
          <w:b/>
          <w:sz w:val="32"/>
          <w:szCs w:val="32"/>
        </w:rPr>
      </w:pPr>
    </w:p>
    <w:p w14:paraId="161A2CDB">
      <w:pPr>
        <w:rPr>
          <w:rFonts w:ascii="宋体" w:cs="宋体"/>
          <w:b/>
          <w:sz w:val="32"/>
          <w:szCs w:val="32"/>
        </w:rPr>
      </w:pPr>
      <w:r>
        <w:rPr>
          <w:rFonts w:hint="eastAsia" w:ascii="宋体" w:cs="宋体"/>
          <w:b/>
          <w:sz w:val="32"/>
          <w:szCs w:val="32"/>
        </w:rPr>
        <w:br w:type="page"/>
      </w:r>
    </w:p>
    <w:p w14:paraId="1C7E4625">
      <w:pPr>
        <w:spacing w:before="156" w:beforeLines="50" w:after="156" w:afterLines="50" w:line="420" w:lineRule="exact"/>
        <w:jc w:val="center"/>
        <w:rPr>
          <w:rFonts w:ascii="宋体" w:cs="宋体"/>
          <w:b/>
          <w:bCs/>
          <w:sz w:val="28"/>
          <w:szCs w:val="28"/>
        </w:rPr>
      </w:pPr>
      <w:r>
        <w:rPr>
          <w:rFonts w:hint="eastAsia" w:ascii="宋体" w:cs="宋体"/>
          <w:b/>
          <w:bCs/>
          <w:sz w:val="28"/>
          <w:szCs w:val="28"/>
        </w:rPr>
        <w:t>1、磋商响应函</w:t>
      </w:r>
    </w:p>
    <w:p w14:paraId="64EB160C">
      <w:pPr>
        <w:tabs>
          <w:tab w:val="left" w:pos="2790"/>
        </w:tabs>
        <w:wordWrap w:val="0"/>
        <w:spacing w:line="360" w:lineRule="auto"/>
        <w:rPr>
          <w:rFonts w:ascii="宋体" w:cs="宋体"/>
          <w:bCs/>
          <w:sz w:val="24"/>
        </w:rPr>
      </w:pPr>
      <w:r>
        <w:rPr>
          <w:rFonts w:hint="eastAsia" w:ascii="宋体" w:cs="宋体"/>
          <w:bCs/>
          <w:sz w:val="24"/>
        </w:rPr>
        <w:tab/>
      </w:r>
    </w:p>
    <w:p w14:paraId="6F719661">
      <w:pPr>
        <w:wordWrap w:val="0"/>
        <w:spacing w:line="360" w:lineRule="auto"/>
        <w:ind w:firstLine="480" w:firstLineChars="200"/>
        <w:rPr>
          <w:rFonts w:ascii="宋体" w:cs="宋体"/>
          <w:bCs/>
          <w:sz w:val="24"/>
        </w:rPr>
      </w:pPr>
      <w:r>
        <w:rPr>
          <w:rFonts w:hint="eastAsia" w:ascii="宋体" w:cs="宋体"/>
          <w:bCs/>
          <w:sz w:val="24"/>
          <w:u w:val="single"/>
        </w:rPr>
        <w:t>（采购人名称）</w:t>
      </w:r>
      <w:r>
        <w:rPr>
          <w:rFonts w:hint="eastAsia" w:ascii="宋体" w:cs="宋体"/>
          <w:bCs/>
          <w:sz w:val="24"/>
        </w:rPr>
        <w:t>：</w:t>
      </w:r>
    </w:p>
    <w:p w14:paraId="51AB436B">
      <w:pPr>
        <w:wordWrap w:val="0"/>
        <w:spacing w:line="360" w:lineRule="auto"/>
        <w:ind w:firstLine="480" w:firstLineChars="200"/>
        <w:rPr>
          <w:rFonts w:ascii="宋体" w:cs="宋体"/>
          <w:bCs/>
          <w:sz w:val="24"/>
        </w:rPr>
      </w:pPr>
      <w:r>
        <w:rPr>
          <w:rFonts w:hint="eastAsia" w:ascii="宋体" w:cs="宋体"/>
          <w:bCs/>
          <w:sz w:val="24"/>
        </w:rPr>
        <w:t>1、根据已收到的采购项目编号为（</w:t>
      </w:r>
      <w:r>
        <w:rPr>
          <w:rFonts w:hint="eastAsia" w:ascii="宋体" w:cs="宋体"/>
          <w:bCs/>
          <w:sz w:val="24"/>
          <w:u w:val="single"/>
        </w:rPr>
        <w:t>采购项目编号</w:t>
      </w:r>
      <w:r>
        <w:rPr>
          <w:rFonts w:hint="eastAsia" w:ascii="宋体" w:cs="宋体"/>
          <w:bCs/>
          <w:sz w:val="24"/>
        </w:rPr>
        <w:t>）的（</w:t>
      </w:r>
      <w:r>
        <w:rPr>
          <w:rFonts w:hint="eastAsia" w:ascii="宋体" w:cs="宋体"/>
          <w:bCs/>
          <w:sz w:val="24"/>
          <w:u w:val="single"/>
        </w:rPr>
        <w:t>项目名称</w:t>
      </w:r>
      <w:r>
        <w:rPr>
          <w:rFonts w:hint="eastAsia" w:ascii="宋体" w:cs="宋体"/>
          <w:bCs/>
          <w:sz w:val="24"/>
        </w:rPr>
        <w:t>）的竞争性磋商文件，遵照</w:t>
      </w:r>
      <w:r>
        <w:rPr>
          <w:rFonts w:hint="eastAsia" w:ascii="宋体" w:cs="宋体"/>
          <w:sz w:val="24"/>
        </w:rPr>
        <w:t>《中华人民共和国政府采购法》、《政府采购竞争性磋商采购方式管理暂行办法》</w:t>
      </w:r>
      <w:r>
        <w:rPr>
          <w:rFonts w:hint="eastAsia" w:ascii="宋体" w:cs="宋体"/>
          <w:bCs/>
          <w:sz w:val="24"/>
        </w:rPr>
        <w:t>的有关规定，我方经和研究上述竞争性磋商文件的供应商须知、合同条件、服务需求和其他有关文件后</w:t>
      </w:r>
      <w:r>
        <w:rPr>
          <w:rFonts w:hint="eastAsia" w:ascii="宋体" w:cs="宋体"/>
          <w:bCs/>
          <w:color w:val="000000"/>
          <w:sz w:val="24"/>
        </w:rPr>
        <w:t>，我方愿以</w:t>
      </w:r>
      <w:r>
        <w:rPr>
          <w:rFonts w:hint="eastAsia" w:ascii="宋体" w:cs="宋体"/>
          <w:bCs/>
          <w:color w:val="000000"/>
          <w:sz w:val="24"/>
          <w:u w:val="single"/>
        </w:rPr>
        <w:t xml:space="preserve">       </w:t>
      </w:r>
      <w:r>
        <w:rPr>
          <w:rFonts w:hint="eastAsia" w:ascii="宋体" w:cs="宋体"/>
          <w:bCs/>
          <w:color w:val="000000"/>
          <w:sz w:val="24"/>
        </w:rPr>
        <w:t>元的报价，</w:t>
      </w:r>
      <w:r>
        <w:rPr>
          <w:rFonts w:hint="eastAsia" w:ascii="宋体" w:cs="宋体"/>
          <w:bCs/>
          <w:sz w:val="24"/>
        </w:rPr>
        <w:t>按上述合同条件、要求完成采购人要求的全部货物、服务内容。</w:t>
      </w:r>
    </w:p>
    <w:p w14:paraId="2DFD25CA">
      <w:pPr>
        <w:wordWrap w:val="0"/>
        <w:spacing w:line="360" w:lineRule="auto"/>
        <w:ind w:firstLine="480" w:firstLineChars="200"/>
        <w:rPr>
          <w:rFonts w:ascii="宋体" w:cs="宋体"/>
          <w:bCs/>
          <w:sz w:val="24"/>
        </w:rPr>
      </w:pPr>
      <w:r>
        <w:rPr>
          <w:rFonts w:hint="eastAsia" w:ascii="宋体" w:cs="宋体"/>
          <w:bCs/>
          <w:sz w:val="24"/>
        </w:rPr>
        <w:t>2、一旦我方成交，我方保证在约定时间内提供的货物（或服务）符合国家、行业规定的合格标准及采购人要求。</w:t>
      </w:r>
    </w:p>
    <w:p w14:paraId="16D8B383">
      <w:pPr>
        <w:wordWrap w:val="0"/>
        <w:spacing w:line="360" w:lineRule="auto"/>
        <w:ind w:firstLine="480" w:firstLineChars="200"/>
        <w:rPr>
          <w:rFonts w:ascii="宋体" w:cs="宋体"/>
          <w:bCs/>
          <w:sz w:val="24"/>
        </w:rPr>
      </w:pPr>
      <w:r>
        <w:rPr>
          <w:rFonts w:hint="eastAsia" w:ascii="宋体" w:cs="宋体"/>
          <w:bCs/>
          <w:sz w:val="24"/>
        </w:rPr>
        <w:t>3、我方同意所递交的磋商响应文件在“供应商须知”规定的磋商响应有效期内有效，在此期间内我方的投标有可能中标（成交），我方将受此约束。</w:t>
      </w:r>
    </w:p>
    <w:p w14:paraId="14A0BE3F">
      <w:pPr>
        <w:wordWrap w:val="0"/>
        <w:spacing w:line="360" w:lineRule="auto"/>
        <w:ind w:firstLine="480" w:firstLineChars="200"/>
        <w:rPr>
          <w:rFonts w:ascii="宋体" w:cs="宋体"/>
          <w:bCs/>
          <w:sz w:val="24"/>
        </w:rPr>
      </w:pPr>
      <w:r>
        <w:rPr>
          <w:rFonts w:hint="eastAsia" w:ascii="宋体" w:cs="宋体"/>
          <w:bCs/>
          <w:sz w:val="24"/>
        </w:rPr>
        <w:t>4、除非另外达成协议并生效，你方的中标（成交）通知书和本磋商响应文件将构成约束我们双方的合同。</w:t>
      </w:r>
    </w:p>
    <w:p w14:paraId="2F0CAEE0">
      <w:pPr>
        <w:wordWrap w:val="0"/>
        <w:spacing w:line="360" w:lineRule="auto"/>
        <w:ind w:firstLine="480" w:firstLineChars="200"/>
        <w:rPr>
          <w:rFonts w:ascii="宋体" w:cs="宋体"/>
          <w:bCs/>
          <w:sz w:val="24"/>
        </w:rPr>
      </w:pPr>
      <w:r>
        <w:rPr>
          <w:rFonts w:hint="eastAsia" w:ascii="宋体" w:cs="宋体"/>
          <w:bCs/>
          <w:sz w:val="24"/>
        </w:rPr>
        <w:t>5、我方递交人民币</w:t>
      </w:r>
      <w:r>
        <w:rPr>
          <w:rFonts w:hint="eastAsia" w:ascii="宋体" w:cs="宋体"/>
          <w:bCs/>
          <w:sz w:val="24"/>
          <w:u w:val="single"/>
        </w:rPr>
        <w:t xml:space="preserve">      </w:t>
      </w:r>
      <w:r>
        <w:rPr>
          <w:rFonts w:hint="eastAsia" w:ascii="宋体" w:cs="宋体"/>
          <w:bCs/>
          <w:sz w:val="24"/>
        </w:rPr>
        <w:t>元作为磋商保证金。</w:t>
      </w:r>
    </w:p>
    <w:p w14:paraId="32F4AE69">
      <w:pPr>
        <w:wordWrap w:val="0"/>
        <w:spacing w:line="360" w:lineRule="auto"/>
        <w:ind w:firstLine="480" w:firstLineChars="200"/>
        <w:rPr>
          <w:rFonts w:ascii="宋体" w:cs="宋体"/>
          <w:bCs/>
          <w:sz w:val="24"/>
        </w:rPr>
      </w:pPr>
      <w:r>
        <w:rPr>
          <w:rFonts w:hint="eastAsia" w:ascii="宋体" w:cs="宋体"/>
          <w:bCs/>
          <w:sz w:val="24"/>
        </w:rPr>
        <w:t>6、磋商响应有效期为：递交磋商响应文件截止之日后60天。</w:t>
      </w:r>
    </w:p>
    <w:p w14:paraId="298D954D">
      <w:pPr>
        <w:wordWrap w:val="0"/>
        <w:spacing w:line="360" w:lineRule="auto"/>
        <w:ind w:firstLine="480" w:firstLineChars="200"/>
        <w:rPr>
          <w:rFonts w:cs="宋体"/>
          <w:color w:val="000000"/>
          <w:sz w:val="24"/>
        </w:rPr>
      </w:pPr>
      <w:r>
        <w:rPr>
          <w:rFonts w:hint="eastAsia" w:ascii="宋体" w:cs="宋体"/>
          <w:bCs/>
          <w:sz w:val="24"/>
        </w:rPr>
        <w:t>7、我方已充分了解采购人不对供应商参加本磋商项目过程中发生的费用进行任何经济补偿。</w:t>
      </w:r>
    </w:p>
    <w:p w14:paraId="001FE221">
      <w:pPr>
        <w:pStyle w:val="14"/>
        <w:spacing w:line="360" w:lineRule="auto"/>
        <w:rPr>
          <w:rFonts w:cs="宋体"/>
          <w:color w:val="000000"/>
          <w:sz w:val="24"/>
          <w:szCs w:val="24"/>
        </w:rPr>
      </w:pPr>
    </w:p>
    <w:p w14:paraId="219EE51A">
      <w:pPr>
        <w:wordWrap w:val="0"/>
        <w:spacing w:line="360" w:lineRule="auto"/>
        <w:ind w:firstLine="480" w:firstLineChars="200"/>
        <w:rPr>
          <w:rFonts w:ascii="宋体" w:cs="宋体"/>
          <w:bCs/>
          <w:sz w:val="24"/>
        </w:rPr>
      </w:pPr>
      <w:r>
        <w:rPr>
          <w:rFonts w:hint="eastAsia" w:ascii="宋体" w:cs="宋体"/>
          <w:bCs/>
          <w:sz w:val="24"/>
        </w:rPr>
        <w:t>供应商：（盖章）</w:t>
      </w:r>
    </w:p>
    <w:p w14:paraId="6ACFB8FC">
      <w:pPr>
        <w:wordWrap w:val="0"/>
        <w:spacing w:line="360" w:lineRule="auto"/>
        <w:ind w:firstLine="480" w:firstLineChars="200"/>
        <w:rPr>
          <w:rFonts w:ascii="宋体" w:cs="宋体"/>
          <w:bCs/>
          <w:sz w:val="24"/>
          <w:u w:val="single"/>
        </w:rPr>
      </w:pPr>
      <w:r>
        <w:rPr>
          <w:rFonts w:hint="eastAsia" w:ascii="宋体" w:cs="宋体"/>
          <w:bCs/>
          <w:sz w:val="24"/>
        </w:rPr>
        <w:t>单位地址：</w:t>
      </w:r>
    </w:p>
    <w:p w14:paraId="7F9DCBE3">
      <w:pPr>
        <w:wordWrap w:val="0"/>
        <w:spacing w:line="360" w:lineRule="auto"/>
        <w:ind w:firstLine="480" w:firstLineChars="200"/>
        <w:rPr>
          <w:rFonts w:ascii="宋体" w:cs="宋体"/>
          <w:bCs/>
          <w:sz w:val="24"/>
        </w:rPr>
      </w:pPr>
      <w:r>
        <w:rPr>
          <w:rFonts w:hint="eastAsia" w:ascii="宋体" w:cs="宋体"/>
          <w:bCs/>
          <w:sz w:val="24"/>
        </w:rPr>
        <w:t>法定代表人或委托代理人：（签字或盖章）</w:t>
      </w:r>
    </w:p>
    <w:p w14:paraId="3A13A3C4">
      <w:pPr>
        <w:wordWrap w:val="0"/>
        <w:spacing w:line="360" w:lineRule="auto"/>
        <w:ind w:firstLine="480" w:firstLineChars="200"/>
        <w:rPr>
          <w:rFonts w:ascii="宋体" w:cs="宋体"/>
          <w:bCs/>
          <w:sz w:val="24"/>
          <w:u w:val="single"/>
        </w:rPr>
      </w:pPr>
      <w:r>
        <w:rPr>
          <w:rFonts w:hint="eastAsia" w:ascii="宋体" w:cs="宋体"/>
          <w:bCs/>
          <w:sz w:val="24"/>
        </w:rPr>
        <w:t>邮政编码：</w:t>
      </w:r>
    </w:p>
    <w:p w14:paraId="15866507">
      <w:pPr>
        <w:wordWrap w:val="0"/>
        <w:spacing w:line="360" w:lineRule="auto"/>
        <w:ind w:firstLine="480" w:firstLineChars="200"/>
        <w:rPr>
          <w:rFonts w:ascii="宋体" w:cs="宋体"/>
          <w:bCs/>
          <w:sz w:val="24"/>
          <w:u w:val="single"/>
        </w:rPr>
      </w:pPr>
      <w:r>
        <w:rPr>
          <w:rFonts w:hint="eastAsia" w:ascii="宋体" w:cs="宋体"/>
          <w:bCs/>
          <w:sz w:val="24"/>
        </w:rPr>
        <w:t>电话：</w:t>
      </w:r>
    </w:p>
    <w:p w14:paraId="1F68C58A">
      <w:pPr>
        <w:wordWrap w:val="0"/>
        <w:spacing w:line="360" w:lineRule="auto"/>
        <w:ind w:firstLine="480" w:firstLineChars="200"/>
        <w:rPr>
          <w:rFonts w:ascii="宋体" w:cs="宋体"/>
          <w:bCs/>
          <w:sz w:val="24"/>
        </w:rPr>
      </w:pPr>
      <w:r>
        <w:rPr>
          <w:rFonts w:hint="eastAsia" w:ascii="宋体" w:cs="宋体"/>
          <w:bCs/>
          <w:sz w:val="24"/>
        </w:rPr>
        <w:t>传真：</w:t>
      </w:r>
    </w:p>
    <w:p w14:paraId="477B4C6B">
      <w:pPr>
        <w:wordWrap w:val="0"/>
        <w:spacing w:line="360" w:lineRule="auto"/>
        <w:ind w:firstLine="480" w:firstLineChars="200"/>
        <w:rPr>
          <w:rFonts w:ascii="宋体" w:cs="宋体"/>
          <w:bCs/>
          <w:sz w:val="24"/>
        </w:rPr>
      </w:pPr>
      <w:r>
        <w:rPr>
          <w:rFonts w:hint="eastAsia" w:ascii="宋体" w:cs="宋体"/>
          <w:bCs/>
          <w:sz w:val="24"/>
        </w:rPr>
        <w:t>开户银行名称：</w:t>
      </w:r>
    </w:p>
    <w:p w14:paraId="7A4686A4">
      <w:pPr>
        <w:wordWrap w:val="0"/>
        <w:spacing w:line="360" w:lineRule="auto"/>
        <w:ind w:firstLine="480" w:firstLineChars="200"/>
        <w:rPr>
          <w:rFonts w:ascii="宋体" w:cs="宋体"/>
          <w:bCs/>
          <w:sz w:val="24"/>
        </w:rPr>
      </w:pPr>
      <w:r>
        <w:rPr>
          <w:rFonts w:hint="eastAsia" w:ascii="宋体" w:cs="宋体"/>
          <w:bCs/>
          <w:sz w:val="24"/>
        </w:rPr>
        <w:t>银行帐号：</w:t>
      </w:r>
    </w:p>
    <w:p w14:paraId="2DC0724E">
      <w:pPr>
        <w:wordWrap w:val="0"/>
        <w:spacing w:line="360" w:lineRule="auto"/>
        <w:ind w:firstLine="480" w:firstLineChars="200"/>
        <w:rPr>
          <w:rFonts w:ascii="宋体" w:cs="宋体"/>
          <w:bCs/>
          <w:sz w:val="24"/>
          <w:u w:val="single"/>
        </w:rPr>
      </w:pPr>
      <w:r>
        <w:rPr>
          <w:rFonts w:hint="eastAsia" w:ascii="宋体" w:cs="宋体"/>
          <w:bCs/>
          <w:sz w:val="24"/>
        </w:rPr>
        <w:t>开户行地址：</w:t>
      </w:r>
    </w:p>
    <w:p w14:paraId="31BDE979">
      <w:pPr>
        <w:spacing w:line="360" w:lineRule="auto"/>
        <w:ind w:right="105" w:firstLine="480" w:firstLineChars="200"/>
        <w:rPr>
          <w:rFonts w:ascii="宋体" w:cs="宋体"/>
          <w:bCs/>
          <w:sz w:val="24"/>
        </w:rPr>
      </w:pPr>
      <w:r>
        <w:rPr>
          <w:rFonts w:hint="eastAsia" w:ascii="宋体" w:cs="宋体"/>
          <w:bCs/>
          <w:sz w:val="24"/>
        </w:rPr>
        <w:t>日期：年月日</w:t>
      </w:r>
    </w:p>
    <w:p w14:paraId="23AADEE3">
      <w:pPr>
        <w:wordWrap w:val="0"/>
        <w:spacing w:line="360" w:lineRule="auto"/>
        <w:rPr>
          <w:rFonts w:ascii="宋体" w:cs="宋体"/>
          <w:bCs/>
          <w:sz w:val="24"/>
        </w:rPr>
      </w:pPr>
    </w:p>
    <w:p w14:paraId="705D02F2">
      <w:pPr>
        <w:spacing w:line="480" w:lineRule="exact"/>
        <w:ind w:right="420"/>
        <w:jc w:val="center"/>
        <w:rPr>
          <w:rFonts w:ascii="宋体" w:cs="宋体"/>
          <w:b/>
          <w:sz w:val="32"/>
          <w:szCs w:val="32"/>
        </w:rPr>
      </w:pPr>
      <w:bookmarkStart w:id="76" w:name="_Toc107393598"/>
      <w:bookmarkStart w:id="77" w:name="_Toc30577828"/>
      <w:bookmarkStart w:id="78" w:name="_Toc139773320"/>
      <w:bookmarkStart w:id="79" w:name="_Toc45511005"/>
      <w:bookmarkStart w:id="80" w:name="_Toc112237131"/>
      <w:bookmarkStart w:id="81" w:name="_Toc107716842"/>
      <w:bookmarkStart w:id="82" w:name="_Toc45942979"/>
      <w:r>
        <w:rPr>
          <w:rFonts w:hint="eastAsia" w:ascii="宋体" w:cs="宋体"/>
          <w:b/>
          <w:sz w:val="32"/>
          <w:szCs w:val="32"/>
        </w:rPr>
        <w:t>2、法定代表人身份证明</w:t>
      </w:r>
    </w:p>
    <w:p w14:paraId="6505D5D4">
      <w:pPr>
        <w:pStyle w:val="45"/>
        <w:jc w:val="center"/>
        <w:rPr>
          <w:rFonts w:ascii="宋体" w:cs="宋体"/>
          <w:b/>
          <w:sz w:val="32"/>
          <w:szCs w:val="32"/>
        </w:rPr>
      </w:pPr>
    </w:p>
    <w:p w14:paraId="528B280A">
      <w:pPr>
        <w:pStyle w:val="45"/>
        <w:jc w:val="center"/>
        <w:rPr>
          <w:rFonts w:ascii="宋体" w:cs="宋体"/>
          <w:sz w:val="21"/>
          <w:szCs w:val="21"/>
        </w:rPr>
      </w:pPr>
    </w:p>
    <w:p w14:paraId="25CF9AE3">
      <w:pPr>
        <w:spacing w:line="500" w:lineRule="exact"/>
        <w:rPr>
          <w:rFonts w:ascii="宋体" w:cs="宋体"/>
          <w:sz w:val="24"/>
        </w:rPr>
      </w:pPr>
      <w:r>
        <w:rPr>
          <w:rFonts w:hint="eastAsia" w:ascii="宋体" w:cs="宋体"/>
          <w:sz w:val="24"/>
        </w:rPr>
        <w:t xml:space="preserve">供应商名称：______________________________ </w:t>
      </w:r>
    </w:p>
    <w:p w14:paraId="36325246">
      <w:pPr>
        <w:spacing w:line="500" w:lineRule="exact"/>
        <w:rPr>
          <w:rFonts w:ascii="宋体" w:cs="宋体"/>
          <w:sz w:val="24"/>
        </w:rPr>
      </w:pPr>
      <w:r>
        <w:rPr>
          <w:rFonts w:hint="eastAsia" w:ascii="宋体" w:cs="宋体"/>
          <w:sz w:val="24"/>
        </w:rPr>
        <w:t>单位性质：_______________________________</w:t>
      </w:r>
    </w:p>
    <w:p w14:paraId="78410573">
      <w:pPr>
        <w:spacing w:line="500" w:lineRule="exact"/>
        <w:rPr>
          <w:rFonts w:ascii="宋体" w:cs="宋体"/>
          <w:sz w:val="24"/>
        </w:rPr>
      </w:pPr>
      <w:r>
        <w:rPr>
          <w:rFonts w:hint="eastAsia" w:ascii="宋体" w:cs="宋体"/>
          <w:sz w:val="24"/>
        </w:rPr>
        <w:t xml:space="preserve">地址：___________________________________ </w:t>
      </w:r>
    </w:p>
    <w:p w14:paraId="2EE0D796">
      <w:pPr>
        <w:spacing w:line="500" w:lineRule="exact"/>
        <w:rPr>
          <w:rFonts w:ascii="宋体" w:cs="宋体"/>
          <w:sz w:val="24"/>
        </w:rPr>
      </w:pPr>
      <w:r>
        <w:rPr>
          <w:rFonts w:hint="eastAsia" w:ascii="宋体" w:cs="宋体"/>
          <w:sz w:val="24"/>
        </w:rPr>
        <w:t>成立时间： 年  月  日</w:t>
      </w:r>
    </w:p>
    <w:p w14:paraId="6D1C9CE5">
      <w:pPr>
        <w:spacing w:line="500" w:lineRule="exact"/>
        <w:rPr>
          <w:rFonts w:ascii="宋体" w:cs="宋体"/>
          <w:sz w:val="24"/>
        </w:rPr>
      </w:pPr>
      <w:r>
        <w:rPr>
          <w:rFonts w:hint="eastAsia" w:ascii="宋体" w:cs="宋体"/>
          <w:sz w:val="24"/>
        </w:rPr>
        <w:t xml:space="preserve">经营期限：_______________________________ </w:t>
      </w:r>
    </w:p>
    <w:p w14:paraId="7599481A">
      <w:pPr>
        <w:spacing w:line="500" w:lineRule="exact"/>
        <w:rPr>
          <w:rFonts w:ascii="宋体" w:cs="宋体"/>
          <w:sz w:val="24"/>
        </w:rPr>
      </w:pPr>
      <w:r>
        <w:rPr>
          <w:rFonts w:hint="eastAsia" w:ascii="宋体" w:cs="宋体"/>
          <w:sz w:val="24"/>
        </w:rPr>
        <w:t xml:space="preserve">姓名： 性别： 年龄：职务：________ </w:t>
      </w:r>
    </w:p>
    <w:p w14:paraId="6449A83C">
      <w:pPr>
        <w:spacing w:line="500" w:lineRule="exact"/>
        <w:rPr>
          <w:rFonts w:ascii="宋体" w:cs="宋体"/>
          <w:sz w:val="24"/>
        </w:rPr>
      </w:pPr>
      <w:r>
        <w:rPr>
          <w:rFonts w:hint="eastAsia" w:ascii="宋体" w:cs="宋体"/>
          <w:sz w:val="24"/>
        </w:rPr>
        <w:t>系 （供应商名称）的法定代表人。</w:t>
      </w:r>
    </w:p>
    <w:p w14:paraId="0DDA16EE">
      <w:pPr>
        <w:spacing w:line="500" w:lineRule="exact"/>
        <w:ind w:firstLine="480" w:firstLineChars="200"/>
        <w:rPr>
          <w:rFonts w:ascii="宋体" w:cs="宋体"/>
          <w:sz w:val="24"/>
        </w:rPr>
      </w:pPr>
      <w:r>
        <w:rPr>
          <w:rFonts w:hint="eastAsia" w:ascii="宋体" w:cs="宋体"/>
          <w:sz w:val="24"/>
        </w:rPr>
        <w:t>特此证明。</w:t>
      </w:r>
    </w:p>
    <w:p w14:paraId="20388877">
      <w:pPr>
        <w:spacing w:line="360" w:lineRule="auto"/>
        <w:rPr>
          <w:rFonts w:ascii="宋体" w:cs="宋体"/>
          <w:b/>
          <w:bCs/>
          <w:sz w:val="24"/>
          <w:u w:val="single"/>
        </w:rPr>
      </w:pPr>
    </w:p>
    <w:tbl>
      <w:tblPr>
        <w:tblStyle w:val="2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84"/>
      </w:tblGrid>
      <w:tr w14:paraId="6F602E0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31" w:hRule="atLeast"/>
        </w:trPr>
        <w:tc>
          <w:tcPr>
            <w:tcW w:w="5684" w:type="dxa"/>
            <w:noWrap/>
            <w:vAlign w:val="center"/>
          </w:tcPr>
          <w:p w14:paraId="41B778F9">
            <w:pPr>
              <w:spacing w:line="360" w:lineRule="auto"/>
              <w:jc w:val="center"/>
              <w:rPr>
                <w:rFonts w:ascii="宋体" w:cs="宋体"/>
                <w:b/>
                <w:sz w:val="24"/>
              </w:rPr>
            </w:pPr>
            <w:r>
              <w:rPr>
                <w:rFonts w:hint="eastAsia" w:ascii="宋体" w:cs="宋体"/>
                <w:b/>
                <w:sz w:val="24"/>
              </w:rPr>
              <w:t>法定代表人</w:t>
            </w:r>
          </w:p>
          <w:p w14:paraId="5F4A687E">
            <w:pPr>
              <w:spacing w:line="360" w:lineRule="auto"/>
              <w:jc w:val="center"/>
              <w:rPr>
                <w:rFonts w:ascii="宋体" w:cs="宋体"/>
                <w:sz w:val="24"/>
              </w:rPr>
            </w:pPr>
            <w:r>
              <w:rPr>
                <w:rFonts w:hint="eastAsia" w:ascii="宋体" w:cs="宋体"/>
                <w:b/>
                <w:sz w:val="24"/>
              </w:rPr>
              <w:t>居民身份证复印件（正、反面）</w:t>
            </w:r>
          </w:p>
        </w:tc>
      </w:tr>
    </w:tbl>
    <w:p w14:paraId="00983141">
      <w:pPr>
        <w:spacing w:line="360" w:lineRule="auto"/>
        <w:rPr>
          <w:rFonts w:ascii="宋体" w:cs="宋体"/>
          <w:sz w:val="24"/>
        </w:rPr>
      </w:pPr>
    </w:p>
    <w:p w14:paraId="71DE6FAB">
      <w:pPr>
        <w:spacing w:line="360" w:lineRule="auto"/>
        <w:rPr>
          <w:rFonts w:ascii="宋体" w:cs="宋体"/>
          <w:sz w:val="24"/>
        </w:rPr>
      </w:pPr>
    </w:p>
    <w:p w14:paraId="799540BA">
      <w:pPr>
        <w:rPr>
          <w:rFonts w:ascii="宋体" w:cs="宋体"/>
          <w:sz w:val="24"/>
        </w:rPr>
      </w:pPr>
      <w:bookmarkStart w:id="83" w:name="_Toc492451835"/>
      <w:r>
        <w:rPr>
          <w:rFonts w:hint="eastAsia" w:ascii="宋体" w:cs="宋体"/>
          <w:b/>
          <w:sz w:val="24"/>
        </w:rPr>
        <w:t>注：法定代表人参加磋商时必须按照以上格式填写并在磋商时单独打印一份签字并盖章</w:t>
      </w:r>
      <w:r>
        <w:rPr>
          <w:rFonts w:hint="eastAsia" w:ascii="宋体" w:cs="宋体"/>
          <w:sz w:val="24"/>
        </w:rPr>
        <w:t>。</w:t>
      </w:r>
      <w:bookmarkEnd w:id="83"/>
    </w:p>
    <w:p w14:paraId="0EBB03DD">
      <w:pPr>
        <w:rPr>
          <w:rFonts w:ascii="宋体" w:cs="宋体"/>
        </w:rPr>
      </w:pPr>
    </w:p>
    <w:p w14:paraId="7BBFE7FF">
      <w:pPr>
        <w:spacing w:line="360" w:lineRule="auto"/>
        <w:jc w:val="center"/>
        <w:rPr>
          <w:rFonts w:ascii="宋体" w:cs="宋体"/>
          <w:sz w:val="24"/>
        </w:rPr>
      </w:pPr>
      <w:r>
        <w:rPr>
          <w:rFonts w:hint="eastAsia" w:ascii="宋体" w:cs="宋体"/>
          <w:sz w:val="24"/>
        </w:rPr>
        <w:br w:type="page"/>
      </w:r>
      <w:bookmarkStart w:id="84" w:name="_Toc7795"/>
      <w:bookmarkStart w:id="85" w:name="_Toc492451836"/>
    </w:p>
    <w:p w14:paraId="4137F8FB">
      <w:pPr>
        <w:jc w:val="center"/>
        <w:rPr>
          <w:rFonts w:ascii="宋体" w:cs="宋体"/>
          <w:b/>
          <w:sz w:val="32"/>
          <w:szCs w:val="32"/>
        </w:rPr>
      </w:pPr>
      <w:r>
        <w:rPr>
          <w:rFonts w:hint="eastAsia" w:ascii="宋体" w:cs="宋体"/>
          <w:b/>
          <w:sz w:val="32"/>
          <w:szCs w:val="32"/>
        </w:rPr>
        <w:t>3、授权委托书</w:t>
      </w:r>
      <w:bookmarkEnd w:id="84"/>
      <w:bookmarkEnd w:id="85"/>
    </w:p>
    <w:p w14:paraId="5CC013A3">
      <w:pPr>
        <w:spacing w:line="360" w:lineRule="auto"/>
        <w:ind w:firstLine="480" w:firstLineChars="200"/>
        <w:rPr>
          <w:rFonts w:ascii="宋体" w:cs="宋体"/>
          <w:sz w:val="24"/>
        </w:rPr>
      </w:pPr>
    </w:p>
    <w:p w14:paraId="3C22129E">
      <w:pPr>
        <w:spacing w:line="360" w:lineRule="auto"/>
        <w:ind w:firstLine="480" w:firstLineChars="200"/>
        <w:rPr>
          <w:rFonts w:ascii="宋体" w:cs="宋体"/>
          <w:sz w:val="24"/>
          <w:u w:val="single"/>
        </w:rPr>
      </w:pPr>
      <w:r>
        <w:rPr>
          <w:rFonts w:hint="eastAsia" w:ascii="宋体" w:cs="宋体"/>
          <w:sz w:val="24"/>
        </w:rPr>
        <w:t>本授权书声明：（公司）的</w:t>
      </w:r>
      <w:r>
        <w:rPr>
          <w:rFonts w:hint="eastAsia" w:ascii="宋体" w:cs="宋体"/>
          <w:sz w:val="24"/>
          <w:u w:val="single"/>
        </w:rPr>
        <w:t xml:space="preserve">（法人代表姓名、职务）   </w:t>
      </w:r>
      <w:r>
        <w:rPr>
          <w:rFonts w:hint="eastAsia" w:ascii="宋体" w:cs="宋体"/>
          <w:sz w:val="24"/>
        </w:rPr>
        <w:t>代表本公司授权</w:t>
      </w:r>
      <w:r>
        <w:rPr>
          <w:rFonts w:hint="eastAsia" w:ascii="宋体" w:cs="宋体"/>
          <w:sz w:val="24"/>
          <w:u w:val="single"/>
        </w:rPr>
        <w:t xml:space="preserve"> （被授权人姓名、职务）</w:t>
      </w:r>
      <w:r>
        <w:rPr>
          <w:rFonts w:hint="eastAsia" w:ascii="宋体" w:cs="宋体"/>
          <w:sz w:val="24"/>
        </w:rPr>
        <w:t>为本公司的合法代理人，代理人根据授权，以我方名义签署、澄清、说明、补正、递交、撤回、修改项目编号为：</w:t>
      </w:r>
      <w:r>
        <w:rPr>
          <w:rFonts w:hint="eastAsia" w:ascii="宋体" w:cs="宋体"/>
          <w:sz w:val="24"/>
          <w:u w:val="single"/>
        </w:rPr>
        <w:t xml:space="preserve">       </w:t>
      </w:r>
      <w:r>
        <w:rPr>
          <w:rFonts w:hint="eastAsia" w:ascii="宋体" w:cs="宋体"/>
          <w:sz w:val="24"/>
        </w:rPr>
        <w:t>的</w:t>
      </w:r>
      <w:r>
        <w:rPr>
          <w:rFonts w:hint="eastAsia" w:ascii="宋体" w:cs="宋体"/>
          <w:sz w:val="24"/>
          <w:u w:val="single"/>
        </w:rPr>
        <w:t xml:space="preserve">         （项目名称</w:t>
      </w:r>
      <w:r>
        <w:rPr>
          <w:rFonts w:hint="eastAsia" w:ascii="宋体" w:cs="宋体"/>
          <w:sz w:val="24"/>
        </w:rPr>
        <w:t>）响应文件、签定合同和处理有关事宜，其法律后果由我方承担。</w:t>
      </w:r>
    </w:p>
    <w:p w14:paraId="49B24345">
      <w:pPr>
        <w:spacing w:line="480" w:lineRule="auto"/>
        <w:ind w:firstLine="480" w:firstLineChars="200"/>
        <w:rPr>
          <w:rFonts w:ascii="宋体" w:cs="宋体"/>
          <w:sz w:val="24"/>
        </w:rPr>
      </w:pPr>
      <w:r>
        <w:rPr>
          <w:rFonts w:hint="eastAsia" w:ascii="宋体" w:cs="宋体"/>
          <w:sz w:val="24"/>
        </w:rPr>
        <w:t>委托期限：</w:t>
      </w:r>
    </w:p>
    <w:p w14:paraId="6EEB1E9C">
      <w:pPr>
        <w:spacing w:line="480" w:lineRule="auto"/>
        <w:ind w:firstLine="480" w:firstLineChars="200"/>
        <w:rPr>
          <w:rFonts w:ascii="宋体" w:cs="宋体"/>
          <w:sz w:val="24"/>
        </w:rPr>
      </w:pPr>
      <w:r>
        <w:rPr>
          <w:rFonts w:hint="eastAsia" w:ascii="宋体" w:cs="宋体"/>
          <w:sz w:val="24"/>
        </w:rPr>
        <w:t>代理人无转委托权。</w:t>
      </w:r>
    </w:p>
    <w:p w14:paraId="6F7F1E34">
      <w:pPr>
        <w:spacing w:line="480" w:lineRule="auto"/>
        <w:ind w:firstLine="480" w:firstLineChars="200"/>
        <w:rPr>
          <w:rFonts w:ascii="宋体" w:cs="宋体"/>
          <w:sz w:val="24"/>
        </w:rPr>
      </w:pPr>
      <w:r>
        <w:rPr>
          <w:rFonts w:hint="eastAsia" w:ascii="宋体" w:cs="宋体"/>
          <w:sz w:val="24"/>
        </w:rPr>
        <w:t>附：法定代表人身份证明</w:t>
      </w:r>
    </w:p>
    <w:p w14:paraId="454D09D1">
      <w:pPr>
        <w:spacing w:line="360" w:lineRule="auto"/>
        <w:jc w:val="left"/>
        <w:rPr>
          <w:rFonts w:ascii="宋体" w:cs="宋体"/>
          <w:sz w:val="24"/>
        </w:rPr>
      </w:pP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
        <w:gridCol w:w="4111"/>
      </w:tblGrid>
      <w:tr w14:paraId="5529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3969" w:type="dxa"/>
            <w:noWrap/>
            <w:vAlign w:val="center"/>
          </w:tcPr>
          <w:p w14:paraId="479F9203">
            <w:pPr>
              <w:spacing w:line="360" w:lineRule="auto"/>
              <w:jc w:val="center"/>
              <w:rPr>
                <w:rFonts w:ascii="宋体" w:cs="宋体"/>
                <w:b/>
                <w:sz w:val="24"/>
              </w:rPr>
            </w:pPr>
            <w:r>
              <w:rPr>
                <w:rFonts w:hint="eastAsia" w:ascii="宋体" w:cs="宋体"/>
                <w:b/>
                <w:sz w:val="24"/>
              </w:rPr>
              <w:t>法定代表人</w:t>
            </w:r>
          </w:p>
          <w:p w14:paraId="649F474F">
            <w:pPr>
              <w:spacing w:line="360" w:lineRule="auto"/>
              <w:jc w:val="center"/>
              <w:rPr>
                <w:rFonts w:ascii="宋体" w:cs="宋体"/>
                <w:sz w:val="24"/>
              </w:rPr>
            </w:pPr>
            <w:r>
              <w:rPr>
                <w:rFonts w:hint="eastAsia" w:ascii="宋体" w:cs="宋体"/>
                <w:b/>
                <w:sz w:val="24"/>
              </w:rPr>
              <w:t>居民身份证复印件 （正、反面）</w:t>
            </w:r>
          </w:p>
        </w:tc>
        <w:tc>
          <w:tcPr>
            <w:tcW w:w="567" w:type="dxa"/>
            <w:tcBorders>
              <w:top w:val="nil"/>
              <w:bottom w:val="nil"/>
            </w:tcBorders>
            <w:noWrap/>
          </w:tcPr>
          <w:p w14:paraId="5226D1F6">
            <w:pPr>
              <w:widowControl/>
              <w:jc w:val="left"/>
              <w:rPr>
                <w:rFonts w:ascii="宋体" w:cs="宋体"/>
                <w:sz w:val="24"/>
              </w:rPr>
            </w:pPr>
          </w:p>
        </w:tc>
        <w:tc>
          <w:tcPr>
            <w:tcW w:w="4111" w:type="dxa"/>
            <w:noWrap/>
            <w:vAlign w:val="center"/>
          </w:tcPr>
          <w:p w14:paraId="0E3231E3">
            <w:pPr>
              <w:pStyle w:val="49"/>
              <w:ind w:left="105"/>
              <w:jc w:val="center"/>
              <w:rPr>
                <w:rFonts w:cs="宋体"/>
                <w:b/>
                <w:szCs w:val="24"/>
              </w:rPr>
            </w:pPr>
            <w:r>
              <w:rPr>
                <w:rFonts w:hint="eastAsia" w:cs="宋体"/>
                <w:b/>
                <w:szCs w:val="24"/>
              </w:rPr>
              <w:t>被授权人（授权代表）</w:t>
            </w:r>
          </w:p>
          <w:p w14:paraId="5D1264D1">
            <w:pPr>
              <w:widowControl/>
              <w:jc w:val="center"/>
              <w:rPr>
                <w:rFonts w:ascii="宋体" w:cs="宋体"/>
                <w:sz w:val="24"/>
              </w:rPr>
            </w:pPr>
            <w:r>
              <w:rPr>
                <w:rFonts w:hint="eastAsia" w:ascii="宋体" w:cs="宋体"/>
                <w:b/>
                <w:sz w:val="24"/>
              </w:rPr>
              <w:t>居民身份证复印件 （正、反面）</w:t>
            </w:r>
          </w:p>
        </w:tc>
      </w:tr>
    </w:tbl>
    <w:p w14:paraId="3CD0383F">
      <w:pPr>
        <w:spacing w:line="360" w:lineRule="auto"/>
        <w:jc w:val="left"/>
        <w:rPr>
          <w:rFonts w:ascii="宋体" w:cs="宋体"/>
          <w:sz w:val="24"/>
        </w:rPr>
      </w:pPr>
    </w:p>
    <w:p w14:paraId="0BC4025A">
      <w:pPr>
        <w:spacing w:line="360" w:lineRule="auto"/>
        <w:jc w:val="left"/>
        <w:rPr>
          <w:rFonts w:ascii="宋体" w:cs="宋体"/>
          <w:sz w:val="24"/>
        </w:rPr>
      </w:pPr>
    </w:p>
    <w:p w14:paraId="3B10D90B">
      <w:pPr>
        <w:snapToGrid w:val="0"/>
        <w:spacing w:line="360" w:lineRule="auto"/>
        <w:ind w:firstLine="3840" w:firstLineChars="1600"/>
        <w:rPr>
          <w:rFonts w:ascii="宋体" w:cs="宋体"/>
          <w:sz w:val="24"/>
          <w:u w:val="single"/>
        </w:rPr>
      </w:pPr>
      <w:r>
        <w:rPr>
          <w:rFonts w:hint="eastAsia" w:ascii="宋体" w:cs="宋体"/>
          <w:sz w:val="24"/>
        </w:rPr>
        <w:t>供应商（单位盖章）：______________________</w:t>
      </w:r>
    </w:p>
    <w:p w14:paraId="227BB825">
      <w:pPr>
        <w:snapToGrid w:val="0"/>
        <w:spacing w:line="360" w:lineRule="auto"/>
        <w:ind w:firstLine="3840" w:firstLineChars="1600"/>
        <w:jc w:val="left"/>
        <w:rPr>
          <w:rFonts w:ascii="宋体" w:cs="宋体"/>
          <w:sz w:val="24"/>
          <w:u w:val="single"/>
        </w:rPr>
      </w:pPr>
      <w:r>
        <w:rPr>
          <w:rFonts w:hint="eastAsia" w:ascii="宋体" w:cs="宋体"/>
          <w:sz w:val="24"/>
        </w:rPr>
        <w:t>法定代表人（签字或盖章）：___________________</w:t>
      </w:r>
    </w:p>
    <w:p w14:paraId="190B83F4">
      <w:pPr>
        <w:snapToGrid w:val="0"/>
        <w:spacing w:line="360" w:lineRule="auto"/>
        <w:ind w:firstLine="3840" w:firstLineChars="1600"/>
        <w:rPr>
          <w:rFonts w:ascii="宋体" w:cs="宋体"/>
          <w:sz w:val="24"/>
          <w:u w:val="single"/>
        </w:rPr>
      </w:pPr>
      <w:r>
        <w:rPr>
          <w:rFonts w:hint="eastAsia" w:ascii="宋体" w:cs="宋体"/>
          <w:sz w:val="24"/>
        </w:rPr>
        <w:t>法定代表人身份证号码：______________________</w:t>
      </w:r>
    </w:p>
    <w:p w14:paraId="592DA8D1">
      <w:pPr>
        <w:snapToGrid w:val="0"/>
        <w:spacing w:line="360" w:lineRule="auto"/>
        <w:ind w:firstLine="3840" w:firstLineChars="1600"/>
        <w:rPr>
          <w:rFonts w:ascii="宋体" w:cs="宋体"/>
          <w:sz w:val="24"/>
          <w:u w:val="single"/>
        </w:rPr>
      </w:pPr>
      <w:r>
        <w:rPr>
          <w:rFonts w:hint="eastAsia" w:ascii="宋体" w:cs="宋体"/>
          <w:sz w:val="24"/>
        </w:rPr>
        <w:t>授权代理人（签字或盖章）：________________</w:t>
      </w:r>
    </w:p>
    <w:p w14:paraId="64F81D81">
      <w:pPr>
        <w:snapToGrid w:val="0"/>
        <w:spacing w:line="360" w:lineRule="auto"/>
        <w:ind w:firstLine="3840" w:firstLineChars="1600"/>
        <w:rPr>
          <w:rFonts w:ascii="宋体" w:cs="宋体"/>
          <w:sz w:val="24"/>
          <w:u w:val="single"/>
        </w:rPr>
      </w:pPr>
      <w:r>
        <w:rPr>
          <w:rFonts w:hint="eastAsia" w:ascii="宋体" w:cs="宋体"/>
          <w:sz w:val="24"/>
        </w:rPr>
        <w:t>授权代理人身份证号码：______________________</w:t>
      </w:r>
    </w:p>
    <w:p w14:paraId="2E72A51B">
      <w:pPr>
        <w:spacing w:line="360" w:lineRule="auto"/>
        <w:ind w:firstLine="3840" w:firstLineChars="1600"/>
        <w:rPr>
          <w:rFonts w:ascii="宋体" w:cs="宋体"/>
          <w:sz w:val="24"/>
        </w:rPr>
      </w:pPr>
      <w:r>
        <w:rPr>
          <w:rFonts w:hint="eastAsia" w:ascii="宋体" w:cs="宋体"/>
          <w:sz w:val="24"/>
        </w:rPr>
        <w:t>日         期：年月日</w:t>
      </w:r>
    </w:p>
    <w:p w14:paraId="1CF07990">
      <w:pPr>
        <w:tabs>
          <w:tab w:val="left" w:pos="0"/>
        </w:tabs>
        <w:spacing w:line="360" w:lineRule="auto"/>
        <w:rPr>
          <w:rFonts w:ascii="宋体" w:cs="宋体"/>
          <w:sz w:val="24"/>
        </w:rPr>
      </w:pPr>
    </w:p>
    <w:p w14:paraId="6F69E67B">
      <w:pPr>
        <w:rPr>
          <w:rFonts w:ascii="宋体" w:cs="宋体"/>
          <w:b/>
        </w:rPr>
      </w:pPr>
      <w:r>
        <w:rPr>
          <w:rFonts w:hint="eastAsia" w:ascii="宋体" w:cs="宋体"/>
          <w:b/>
        </w:rPr>
        <w:t xml:space="preserve"> </w:t>
      </w:r>
      <w:r>
        <w:rPr>
          <w:rFonts w:hint="eastAsia" w:ascii="宋体" w:cs="宋体"/>
          <w:b/>
        </w:rPr>
        <w:br w:type="page"/>
      </w:r>
    </w:p>
    <w:p w14:paraId="6033DE77">
      <w:pPr>
        <w:jc w:val="center"/>
        <w:rPr>
          <w:rFonts w:ascii="宋体" w:cs="宋体"/>
          <w:b/>
          <w:sz w:val="32"/>
          <w:szCs w:val="32"/>
        </w:rPr>
      </w:pPr>
      <w:bookmarkStart w:id="86" w:name="_Toc32146"/>
      <w:r>
        <w:rPr>
          <w:rFonts w:hint="eastAsia" w:ascii="宋体" w:cs="宋体"/>
          <w:b/>
          <w:sz w:val="32"/>
          <w:szCs w:val="32"/>
        </w:rPr>
        <w:t>4、</w:t>
      </w:r>
      <w:bookmarkEnd w:id="76"/>
      <w:bookmarkEnd w:id="77"/>
      <w:bookmarkEnd w:id="78"/>
      <w:bookmarkEnd w:id="79"/>
      <w:bookmarkEnd w:id="80"/>
      <w:bookmarkEnd w:id="81"/>
      <w:bookmarkEnd w:id="82"/>
      <w:bookmarkEnd w:id="86"/>
      <w:r>
        <w:rPr>
          <w:rFonts w:hint="eastAsia" w:ascii="宋体" w:cs="宋体"/>
          <w:b/>
          <w:sz w:val="32"/>
          <w:szCs w:val="32"/>
        </w:rPr>
        <w:t>磋商报价表</w:t>
      </w:r>
    </w:p>
    <w:p w14:paraId="00673E52">
      <w:pPr>
        <w:spacing w:line="360" w:lineRule="auto"/>
        <w:ind w:left="211"/>
        <w:rPr>
          <w:rFonts w:ascii="宋体" w:cs="宋体"/>
          <w:sz w:val="24"/>
          <w:u w:val="single"/>
        </w:rPr>
      </w:pPr>
      <w:r>
        <w:rPr>
          <w:rFonts w:hint="eastAsia" w:ascii="宋体" w:cs="宋体"/>
          <w:sz w:val="24"/>
        </w:rPr>
        <w:t xml:space="preserve">项目名称：             </w:t>
      </w:r>
    </w:p>
    <w:p w14:paraId="2BBD6D9C">
      <w:pPr>
        <w:spacing w:line="360" w:lineRule="auto"/>
        <w:ind w:left="211"/>
        <w:rPr>
          <w:rFonts w:ascii="宋体" w:cs="宋体"/>
          <w:sz w:val="24"/>
          <w:u w:val="single"/>
        </w:rPr>
      </w:pPr>
      <w:r>
        <w:rPr>
          <w:rFonts w:hint="eastAsia" w:ascii="宋体" w:cs="宋体"/>
          <w:sz w:val="24"/>
        </w:rPr>
        <w:t>项目编号：</w:t>
      </w:r>
    </w:p>
    <w:p w14:paraId="3747BD4B">
      <w:pPr>
        <w:spacing w:line="360" w:lineRule="auto"/>
        <w:ind w:left="211"/>
        <w:rPr>
          <w:rFonts w:ascii="宋体" w:cs="宋体"/>
          <w:sz w:val="24"/>
          <w:u w:val="single"/>
        </w:rPr>
      </w:pPr>
    </w:p>
    <w:tbl>
      <w:tblPr>
        <w:tblStyle w:val="28"/>
        <w:tblW w:w="1007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989"/>
        <w:gridCol w:w="1672"/>
        <w:gridCol w:w="1418"/>
        <w:gridCol w:w="1418"/>
        <w:gridCol w:w="938"/>
      </w:tblGrid>
      <w:tr w14:paraId="12C2C7F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609D246C">
            <w:pPr>
              <w:spacing w:line="400" w:lineRule="exact"/>
              <w:jc w:val="center"/>
              <w:rPr>
                <w:rFonts w:ascii="宋体" w:cs="宋体"/>
                <w:sz w:val="24"/>
              </w:rPr>
            </w:pPr>
            <w:r>
              <w:rPr>
                <w:rFonts w:hint="eastAsia" w:ascii="宋体" w:cs="宋体"/>
                <w:sz w:val="24"/>
              </w:rPr>
              <w:t>供应商名称</w:t>
            </w:r>
          </w:p>
        </w:tc>
        <w:tc>
          <w:tcPr>
            <w:tcW w:w="1989" w:type="dxa"/>
            <w:tcBorders>
              <w:top w:val="single" w:color="auto" w:sz="4" w:space="0"/>
              <w:left w:val="single" w:color="auto" w:sz="4" w:space="0"/>
              <w:bottom w:val="single" w:color="auto" w:sz="4" w:space="0"/>
              <w:right w:val="single" w:color="auto" w:sz="4" w:space="0"/>
            </w:tcBorders>
            <w:noWrap/>
            <w:vAlign w:val="center"/>
          </w:tcPr>
          <w:p w14:paraId="4B7F8A4B">
            <w:pPr>
              <w:spacing w:line="400" w:lineRule="exact"/>
              <w:jc w:val="center"/>
              <w:rPr>
                <w:rFonts w:ascii="宋体" w:cs="宋体"/>
                <w:sz w:val="24"/>
              </w:rPr>
            </w:pPr>
            <w:r>
              <w:rPr>
                <w:rFonts w:hint="eastAsia" w:ascii="宋体" w:cs="宋体"/>
                <w:sz w:val="24"/>
              </w:rPr>
              <w:t xml:space="preserve"> 报价（元）</w:t>
            </w:r>
          </w:p>
        </w:tc>
        <w:tc>
          <w:tcPr>
            <w:tcW w:w="1672" w:type="dxa"/>
            <w:tcBorders>
              <w:top w:val="single" w:color="auto" w:sz="4" w:space="0"/>
              <w:left w:val="single" w:color="auto" w:sz="4" w:space="0"/>
              <w:bottom w:val="single" w:color="auto" w:sz="4" w:space="0"/>
              <w:right w:val="single" w:color="auto" w:sz="4" w:space="0"/>
            </w:tcBorders>
            <w:noWrap/>
            <w:vAlign w:val="center"/>
          </w:tcPr>
          <w:p w14:paraId="6A421009">
            <w:pPr>
              <w:spacing w:line="400" w:lineRule="exact"/>
              <w:jc w:val="center"/>
              <w:rPr>
                <w:rFonts w:ascii="宋体" w:cs="宋体"/>
                <w:sz w:val="24"/>
              </w:rPr>
            </w:pPr>
            <w:r>
              <w:rPr>
                <w:rFonts w:hint="eastAsia" w:ascii="宋体" w:cs="宋体"/>
                <w:sz w:val="24"/>
              </w:rPr>
              <w:t xml:space="preserve">合同履行期限 </w:t>
            </w:r>
          </w:p>
        </w:tc>
        <w:tc>
          <w:tcPr>
            <w:tcW w:w="1418" w:type="dxa"/>
            <w:tcBorders>
              <w:top w:val="single" w:color="auto" w:sz="4" w:space="0"/>
              <w:left w:val="single" w:color="auto" w:sz="4" w:space="0"/>
              <w:bottom w:val="single" w:color="auto" w:sz="4" w:space="0"/>
              <w:right w:val="single" w:color="auto" w:sz="4" w:space="0"/>
            </w:tcBorders>
            <w:noWrap/>
            <w:vAlign w:val="center"/>
          </w:tcPr>
          <w:p w14:paraId="4B4AB120">
            <w:pPr>
              <w:spacing w:line="400" w:lineRule="exact"/>
              <w:jc w:val="center"/>
              <w:rPr>
                <w:rFonts w:ascii="宋体" w:cs="宋体"/>
                <w:sz w:val="24"/>
              </w:rPr>
            </w:pPr>
            <w:r>
              <w:rPr>
                <w:rFonts w:hint="eastAsia" w:ascii="宋体" w:cs="宋体"/>
                <w:sz w:val="24"/>
              </w:rPr>
              <w:t>质保期</w:t>
            </w:r>
          </w:p>
        </w:tc>
        <w:tc>
          <w:tcPr>
            <w:tcW w:w="1418" w:type="dxa"/>
            <w:tcBorders>
              <w:top w:val="single" w:color="auto" w:sz="4" w:space="0"/>
              <w:left w:val="single" w:color="auto" w:sz="4" w:space="0"/>
              <w:bottom w:val="single" w:color="auto" w:sz="4" w:space="0"/>
              <w:right w:val="single" w:color="auto" w:sz="4" w:space="0"/>
            </w:tcBorders>
            <w:noWrap/>
            <w:vAlign w:val="center"/>
          </w:tcPr>
          <w:p w14:paraId="483FB242">
            <w:pPr>
              <w:spacing w:line="400" w:lineRule="exact"/>
              <w:jc w:val="center"/>
              <w:rPr>
                <w:rFonts w:ascii="宋体" w:cs="宋体"/>
                <w:sz w:val="24"/>
              </w:rPr>
            </w:pPr>
            <w:r>
              <w:rPr>
                <w:rFonts w:hint="eastAsia" w:ascii="宋体" w:cs="宋体"/>
                <w:sz w:val="24"/>
              </w:rPr>
              <w:t>质量标准</w:t>
            </w:r>
          </w:p>
        </w:tc>
        <w:tc>
          <w:tcPr>
            <w:tcW w:w="938" w:type="dxa"/>
            <w:tcBorders>
              <w:top w:val="single" w:color="auto" w:sz="4" w:space="0"/>
              <w:left w:val="single" w:color="auto" w:sz="4" w:space="0"/>
              <w:bottom w:val="single" w:color="auto" w:sz="4" w:space="0"/>
              <w:right w:val="single" w:color="auto" w:sz="4" w:space="0"/>
            </w:tcBorders>
            <w:noWrap/>
            <w:vAlign w:val="center"/>
          </w:tcPr>
          <w:p w14:paraId="4FC243A4">
            <w:pPr>
              <w:spacing w:line="400" w:lineRule="exact"/>
              <w:jc w:val="center"/>
              <w:rPr>
                <w:rFonts w:ascii="宋体" w:cs="宋体"/>
                <w:sz w:val="24"/>
              </w:rPr>
            </w:pPr>
            <w:r>
              <w:rPr>
                <w:rFonts w:hint="eastAsia" w:ascii="宋体" w:cs="宋体"/>
                <w:sz w:val="24"/>
              </w:rPr>
              <w:t>备注</w:t>
            </w:r>
          </w:p>
        </w:tc>
      </w:tr>
      <w:tr w14:paraId="2F10920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067F7DCF">
            <w:pPr>
              <w:jc w:val="center"/>
              <w:rPr>
                <w:rFonts w:ascii="宋体" w:cs="宋体"/>
                <w:sz w:val="24"/>
              </w:rPr>
            </w:pPr>
          </w:p>
        </w:tc>
        <w:tc>
          <w:tcPr>
            <w:tcW w:w="1989" w:type="dxa"/>
            <w:tcBorders>
              <w:top w:val="single" w:color="auto" w:sz="4" w:space="0"/>
              <w:left w:val="single" w:color="auto" w:sz="4" w:space="0"/>
              <w:bottom w:val="single" w:color="auto" w:sz="4" w:space="0"/>
              <w:right w:val="single" w:color="auto" w:sz="4" w:space="0"/>
            </w:tcBorders>
            <w:noWrap/>
            <w:vAlign w:val="center"/>
          </w:tcPr>
          <w:p w14:paraId="68B9E25A">
            <w:pPr>
              <w:jc w:val="left"/>
              <w:rPr>
                <w:rFonts w:ascii="宋体" w:cs="宋体"/>
                <w:sz w:val="24"/>
              </w:rPr>
            </w:pPr>
            <w:r>
              <w:rPr>
                <w:rFonts w:hint="eastAsia" w:ascii="宋体" w:cs="宋体"/>
                <w:sz w:val="24"/>
              </w:rPr>
              <w:t>大写：</w:t>
            </w:r>
          </w:p>
          <w:p w14:paraId="755654F9">
            <w:pPr>
              <w:jc w:val="left"/>
              <w:rPr>
                <w:rFonts w:ascii="宋体" w:cs="宋体"/>
                <w:sz w:val="24"/>
              </w:rPr>
            </w:pPr>
            <w:r>
              <w:rPr>
                <w:rFonts w:hint="eastAsia" w:ascii="宋体" w:cs="宋体"/>
                <w:sz w:val="24"/>
              </w:rPr>
              <w:t>小写：</w:t>
            </w:r>
          </w:p>
        </w:tc>
        <w:tc>
          <w:tcPr>
            <w:tcW w:w="1672" w:type="dxa"/>
            <w:tcBorders>
              <w:top w:val="single" w:color="auto" w:sz="4" w:space="0"/>
              <w:left w:val="single" w:color="auto" w:sz="4" w:space="0"/>
              <w:bottom w:val="single" w:color="auto" w:sz="4" w:space="0"/>
              <w:right w:val="single" w:color="auto" w:sz="4" w:space="0"/>
            </w:tcBorders>
            <w:noWrap/>
            <w:vAlign w:val="center"/>
          </w:tcPr>
          <w:p w14:paraId="0CB8A1CE">
            <w:pPr>
              <w:jc w:val="center"/>
              <w:rPr>
                <w:rFonts w:asci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E403087">
            <w:pPr>
              <w:jc w:val="center"/>
              <w:rPr>
                <w:rFonts w:asci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A8A67CE">
            <w:pPr>
              <w:jc w:val="center"/>
              <w:rPr>
                <w:rFonts w:ascii="宋体" w:cs="宋体"/>
                <w:sz w:val="24"/>
              </w:rPr>
            </w:pPr>
          </w:p>
        </w:tc>
        <w:tc>
          <w:tcPr>
            <w:tcW w:w="938" w:type="dxa"/>
            <w:tcBorders>
              <w:top w:val="single" w:color="auto" w:sz="4" w:space="0"/>
              <w:left w:val="single" w:color="auto" w:sz="4" w:space="0"/>
              <w:bottom w:val="single" w:color="auto" w:sz="4" w:space="0"/>
              <w:right w:val="single" w:color="auto" w:sz="4" w:space="0"/>
            </w:tcBorders>
            <w:noWrap/>
            <w:vAlign w:val="center"/>
          </w:tcPr>
          <w:p w14:paraId="3E42E988">
            <w:pPr>
              <w:jc w:val="center"/>
              <w:rPr>
                <w:rFonts w:ascii="宋体" w:cs="宋体"/>
                <w:sz w:val="24"/>
              </w:rPr>
            </w:pPr>
          </w:p>
        </w:tc>
      </w:tr>
    </w:tbl>
    <w:p w14:paraId="118FA6C4">
      <w:pPr>
        <w:autoSpaceDE w:val="0"/>
        <w:autoSpaceDN w:val="0"/>
        <w:adjustRightInd w:val="0"/>
        <w:spacing w:line="360" w:lineRule="auto"/>
        <w:rPr>
          <w:rFonts w:ascii="宋体" w:cs="宋体"/>
          <w:kern w:val="0"/>
          <w:sz w:val="24"/>
        </w:rPr>
      </w:pPr>
    </w:p>
    <w:p w14:paraId="1E200B61">
      <w:pPr>
        <w:autoSpaceDE w:val="0"/>
        <w:autoSpaceDN w:val="0"/>
        <w:adjustRightInd w:val="0"/>
        <w:spacing w:line="360" w:lineRule="auto"/>
        <w:rPr>
          <w:rFonts w:ascii="宋体" w:cs="宋体"/>
          <w:bCs/>
          <w:sz w:val="24"/>
          <w:lang w:val="zh-CN"/>
        </w:rPr>
      </w:pPr>
      <w:r>
        <w:rPr>
          <w:rFonts w:hint="eastAsia" w:ascii="宋体" w:cs="宋体"/>
          <w:bCs/>
          <w:sz w:val="24"/>
          <w:lang w:val="zh-CN"/>
        </w:rPr>
        <w:t>注：</w:t>
      </w:r>
    </w:p>
    <w:p w14:paraId="62C006CD">
      <w:pPr>
        <w:autoSpaceDE w:val="0"/>
        <w:autoSpaceDN w:val="0"/>
        <w:adjustRightInd w:val="0"/>
        <w:spacing w:line="360" w:lineRule="auto"/>
        <w:rPr>
          <w:rFonts w:ascii="宋体" w:cs="宋体"/>
          <w:bCs/>
          <w:sz w:val="24"/>
          <w:lang w:val="zh-CN"/>
        </w:rPr>
      </w:pPr>
      <w:r>
        <w:rPr>
          <w:rFonts w:hint="eastAsia" w:ascii="宋体" w:cs="宋体"/>
          <w:bCs/>
          <w:sz w:val="24"/>
          <w:lang w:val="zh-CN"/>
        </w:rPr>
        <w:t>1、填报的内容必须和磋商文件中的内容相一致；须单独打印一份密封；</w:t>
      </w:r>
    </w:p>
    <w:p w14:paraId="180F9BA1">
      <w:pPr>
        <w:autoSpaceDE w:val="0"/>
        <w:autoSpaceDN w:val="0"/>
        <w:adjustRightInd w:val="0"/>
        <w:spacing w:line="360" w:lineRule="auto"/>
        <w:rPr>
          <w:rFonts w:ascii="宋体" w:cs="宋体"/>
          <w:bCs/>
          <w:sz w:val="24"/>
          <w:lang w:val="zh-CN"/>
        </w:rPr>
      </w:pPr>
      <w:r>
        <w:rPr>
          <w:rFonts w:hint="eastAsia" w:ascii="宋体" w:cs="宋体"/>
          <w:bCs/>
          <w:sz w:val="24"/>
          <w:lang w:val="zh-CN"/>
        </w:rPr>
        <w:t>2、填报的内容必须和磋商响应函中的内容一致；如不一致，以磋商响应函中相关内容为准；</w:t>
      </w:r>
    </w:p>
    <w:p w14:paraId="2AA6D9C2">
      <w:pPr>
        <w:autoSpaceDE w:val="0"/>
        <w:autoSpaceDN w:val="0"/>
        <w:adjustRightInd w:val="0"/>
        <w:spacing w:line="360" w:lineRule="auto"/>
        <w:rPr>
          <w:rFonts w:ascii="宋体" w:cs="宋体"/>
          <w:bCs/>
          <w:sz w:val="24"/>
          <w:lang w:val="zh-CN"/>
        </w:rPr>
      </w:pPr>
      <w:r>
        <w:rPr>
          <w:rFonts w:hint="eastAsia" w:ascii="宋体" w:cs="宋体"/>
          <w:bCs/>
          <w:sz w:val="24"/>
          <w:lang w:val="zh-CN"/>
        </w:rPr>
        <w:t>3、磋商响应函中大写金额报价与磋商响应函、磋商报价表中的小写金额报价不一致时，以磋商响应函中的大写金额报价为准，保留小数点后两位。</w:t>
      </w:r>
    </w:p>
    <w:p w14:paraId="01D16F66">
      <w:pPr>
        <w:spacing w:line="360" w:lineRule="auto"/>
        <w:ind w:firstLine="480"/>
        <w:rPr>
          <w:rFonts w:ascii="宋体" w:cs="宋体"/>
          <w:sz w:val="24"/>
        </w:rPr>
      </w:pPr>
    </w:p>
    <w:p w14:paraId="01F8A99D">
      <w:pPr>
        <w:autoSpaceDE w:val="0"/>
        <w:autoSpaceDN w:val="0"/>
        <w:adjustRightInd w:val="0"/>
        <w:spacing w:line="360" w:lineRule="auto"/>
        <w:ind w:right="480" w:firstLine="4920" w:firstLineChars="2050"/>
        <w:rPr>
          <w:rFonts w:ascii="宋体" w:cs="宋体"/>
          <w:sz w:val="24"/>
          <w:lang w:val="zh-CN"/>
        </w:rPr>
      </w:pPr>
    </w:p>
    <w:p w14:paraId="46B51F90">
      <w:pPr>
        <w:autoSpaceDE w:val="0"/>
        <w:autoSpaceDN w:val="0"/>
        <w:adjustRightInd w:val="0"/>
        <w:spacing w:line="360" w:lineRule="auto"/>
        <w:ind w:right="480" w:firstLine="6360" w:firstLineChars="2650"/>
        <w:rPr>
          <w:rFonts w:ascii="宋体" w:cs="宋体"/>
          <w:sz w:val="24"/>
          <w:lang w:val="zh-CN"/>
        </w:rPr>
      </w:pPr>
      <w:r>
        <w:rPr>
          <w:rFonts w:hint="eastAsia" w:ascii="宋体" w:cs="宋体"/>
          <w:sz w:val="24"/>
          <w:lang w:val="zh-CN"/>
        </w:rPr>
        <w:t>供应商名称（盖章）：</w:t>
      </w:r>
    </w:p>
    <w:p w14:paraId="680E1327">
      <w:pPr>
        <w:autoSpaceDE w:val="0"/>
        <w:autoSpaceDN w:val="0"/>
        <w:adjustRightInd w:val="0"/>
        <w:spacing w:line="360" w:lineRule="auto"/>
        <w:ind w:right="480" w:firstLine="4920" w:firstLineChars="2050"/>
        <w:rPr>
          <w:rFonts w:ascii="宋体" w:cs="宋体"/>
          <w:sz w:val="24"/>
          <w:lang w:val="zh-CN"/>
        </w:rPr>
      </w:pPr>
    </w:p>
    <w:p w14:paraId="013EAE9F">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21B76522">
      <w:pPr>
        <w:autoSpaceDE w:val="0"/>
        <w:autoSpaceDN w:val="0"/>
        <w:adjustRightInd w:val="0"/>
        <w:spacing w:line="360" w:lineRule="auto"/>
        <w:ind w:firstLine="480"/>
        <w:jc w:val="right"/>
        <w:rPr>
          <w:rFonts w:ascii="宋体" w:cs="宋体"/>
          <w:sz w:val="24"/>
          <w:lang w:val="zh-CN"/>
        </w:rPr>
      </w:pPr>
    </w:p>
    <w:p w14:paraId="09DCFE13">
      <w:pPr>
        <w:spacing w:line="360" w:lineRule="auto"/>
        <w:jc w:val="right"/>
        <w:rPr>
          <w:rFonts w:ascii="宋体" w:cs="宋体"/>
          <w:sz w:val="24"/>
        </w:rPr>
      </w:pPr>
      <w:r>
        <w:rPr>
          <w:rFonts w:hint="eastAsia" w:ascii="宋体" w:cs="宋体"/>
          <w:sz w:val="24"/>
          <w:lang w:val="zh-CN"/>
        </w:rPr>
        <w:t>日期：</w:t>
      </w:r>
      <w:r>
        <w:rPr>
          <w:rFonts w:hint="eastAsia" w:ascii="宋体" w:cs="宋体"/>
          <w:sz w:val="24"/>
        </w:rPr>
        <w:t xml:space="preserve">  </w:t>
      </w:r>
      <w:r>
        <w:rPr>
          <w:rFonts w:hint="eastAsia" w:ascii="宋体" w:cs="宋体"/>
          <w:sz w:val="24"/>
          <w:lang w:val="zh-CN"/>
        </w:rPr>
        <w:t>年</w:t>
      </w:r>
      <w:r>
        <w:rPr>
          <w:rFonts w:hint="eastAsia" w:ascii="宋体" w:cs="宋体"/>
          <w:sz w:val="24"/>
        </w:rPr>
        <w:t xml:space="preserve">  </w:t>
      </w:r>
      <w:r>
        <w:rPr>
          <w:rFonts w:hint="eastAsia" w:ascii="宋体" w:cs="宋体"/>
          <w:sz w:val="24"/>
          <w:lang w:val="zh-CN"/>
        </w:rPr>
        <w:t>月</w:t>
      </w:r>
      <w:r>
        <w:rPr>
          <w:rFonts w:hint="eastAsia" w:ascii="宋体" w:cs="宋体"/>
          <w:sz w:val="24"/>
        </w:rPr>
        <w:t xml:space="preserve">  </w:t>
      </w:r>
      <w:r>
        <w:rPr>
          <w:rFonts w:hint="eastAsia" w:ascii="宋体" w:cs="宋体"/>
          <w:sz w:val="24"/>
          <w:lang w:val="zh-CN"/>
        </w:rPr>
        <w:t>日</w:t>
      </w:r>
    </w:p>
    <w:p w14:paraId="675C4671">
      <w:pPr>
        <w:spacing w:line="360" w:lineRule="auto"/>
        <w:rPr>
          <w:rFonts w:ascii="宋体" w:cs="宋体"/>
          <w:sz w:val="24"/>
        </w:rPr>
      </w:pPr>
    </w:p>
    <w:p w14:paraId="5B87303B">
      <w:pPr>
        <w:spacing w:line="360" w:lineRule="auto"/>
        <w:rPr>
          <w:rFonts w:ascii="宋体" w:cs="宋体"/>
          <w:sz w:val="24"/>
        </w:rPr>
      </w:pPr>
    </w:p>
    <w:p w14:paraId="5C6DDAA2">
      <w:pPr>
        <w:spacing w:line="360" w:lineRule="auto"/>
        <w:jc w:val="left"/>
        <w:rPr>
          <w:rFonts w:ascii="宋体" w:cs="宋体"/>
          <w:b/>
          <w:sz w:val="24"/>
        </w:rPr>
      </w:pPr>
    </w:p>
    <w:p w14:paraId="0D2B8EF9">
      <w:pPr>
        <w:tabs>
          <w:tab w:val="left" w:pos="1365"/>
        </w:tabs>
        <w:jc w:val="center"/>
        <w:rPr>
          <w:rFonts w:ascii="宋体" w:cs="宋体"/>
          <w:b/>
          <w:sz w:val="32"/>
          <w:szCs w:val="32"/>
        </w:rPr>
      </w:pPr>
    </w:p>
    <w:p w14:paraId="69D50D28">
      <w:pPr>
        <w:rPr>
          <w:rFonts w:ascii="宋体" w:cs="宋体"/>
          <w:b/>
          <w:sz w:val="32"/>
          <w:szCs w:val="32"/>
        </w:rPr>
      </w:pPr>
      <w:r>
        <w:rPr>
          <w:rFonts w:hint="eastAsia" w:ascii="宋体" w:cs="宋体"/>
          <w:b/>
          <w:sz w:val="32"/>
          <w:szCs w:val="32"/>
        </w:rPr>
        <w:br w:type="page"/>
      </w:r>
    </w:p>
    <w:p w14:paraId="2C24BF3C">
      <w:pPr>
        <w:numPr>
          <w:ilvl w:val="0"/>
          <w:numId w:val="9"/>
        </w:numPr>
        <w:tabs>
          <w:tab w:val="left" w:pos="1365"/>
        </w:tabs>
        <w:jc w:val="center"/>
        <w:rPr>
          <w:rFonts w:ascii="宋体" w:cs="宋体"/>
          <w:b/>
          <w:sz w:val="32"/>
          <w:szCs w:val="32"/>
        </w:rPr>
      </w:pPr>
      <w:r>
        <w:rPr>
          <w:rFonts w:hint="eastAsia" w:ascii="宋体" w:cs="宋体"/>
          <w:b/>
          <w:sz w:val="32"/>
          <w:szCs w:val="32"/>
        </w:rPr>
        <w:t>磋商报价明细表</w:t>
      </w:r>
    </w:p>
    <w:p w14:paraId="432EEA6A">
      <w:pPr>
        <w:autoSpaceDE w:val="0"/>
        <w:autoSpaceDN w:val="0"/>
        <w:adjustRightInd w:val="0"/>
        <w:spacing w:line="360" w:lineRule="auto"/>
        <w:ind w:left="-706" w:leftChars="-336" w:firstLine="420"/>
        <w:jc w:val="left"/>
        <w:rPr>
          <w:rFonts w:ascii="宋体" w:hAnsi="宋体" w:cs="宋体"/>
          <w:b/>
          <w:bCs/>
          <w:sz w:val="24"/>
        </w:rPr>
      </w:pPr>
      <w:r>
        <w:rPr>
          <w:rFonts w:hint="eastAsia" w:ascii="宋体" w:hAnsi="宋体" w:cs="宋体"/>
          <w:b/>
          <w:bCs/>
          <w:sz w:val="24"/>
        </w:rPr>
        <w:t>说明：</w:t>
      </w:r>
    </w:p>
    <w:p w14:paraId="5CBEDDD0">
      <w:pPr>
        <w:spacing w:line="360" w:lineRule="auto"/>
        <w:rPr>
          <w:rFonts w:ascii="宋体" w:hAnsi="宋体" w:cs="宋体"/>
          <w:sz w:val="24"/>
        </w:rPr>
      </w:pPr>
      <w:r>
        <w:rPr>
          <w:rFonts w:hint="eastAsia" w:ascii="宋体" w:hAnsi="宋体" w:cs="宋体"/>
          <w:b/>
          <w:bCs/>
          <w:sz w:val="24"/>
        </w:rPr>
        <w:t>1、报价方式</w:t>
      </w:r>
    </w:p>
    <w:p w14:paraId="629037E7">
      <w:pPr>
        <w:spacing w:line="360" w:lineRule="auto"/>
        <w:ind w:firstLine="480" w:firstLineChars="200"/>
        <w:rPr>
          <w:rFonts w:ascii="宋体" w:hAnsi="宋体" w:cs="宋体"/>
          <w:sz w:val="24"/>
        </w:rPr>
      </w:pPr>
      <w:r>
        <w:rPr>
          <w:rFonts w:hint="eastAsia" w:ascii="宋体" w:hAnsi="宋体" w:cs="宋体"/>
          <w:sz w:val="24"/>
        </w:rPr>
        <w:t>本采购项目采用固定总价方式计价。</w:t>
      </w:r>
    </w:p>
    <w:p w14:paraId="44C4A996">
      <w:pPr>
        <w:spacing w:line="360" w:lineRule="auto"/>
        <w:rPr>
          <w:rFonts w:ascii="宋体" w:hAnsi="宋体" w:cs="宋体"/>
          <w:b/>
          <w:bCs/>
          <w:sz w:val="24"/>
        </w:rPr>
      </w:pPr>
      <w:r>
        <w:rPr>
          <w:rFonts w:hint="eastAsia" w:ascii="宋体" w:hAnsi="宋体" w:cs="宋体"/>
          <w:b/>
          <w:bCs/>
          <w:sz w:val="24"/>
        </w:rPr>
        <w:t>2、报价说明</w:t>
      </w:r>
    </w:p>
    <w:p w14:paraId="3F1686B9">
      <w:pPr>
        <w:spacing w:line="360" w:lineRule="auto"/>
        <w:ind w:firstLine="480" w:firstLineChars="200"/>
        <w:rPr>
          <w:rFonts w:ascii="宋体" w:hAnsi="宋体" w:cs="宋体"/>
          <w:sz w:val="24"/>
        </w:rPr>
      </w:pPr>
      <w:r>
        <w:rPr>
          <w:rFonts w:hint="eastAsia" w:ascii="宋体" w:hAnsi="宋体" w:cs="宋体"/>
          <w:sz w:val="24"/>
        </w:rPr>
        <w:t>磋商报价应是货物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如果有)、现场安装调试、设备调试费和质保期内保修等完成本合同工作所需的一切费用，除合同条件另有说明外，金额不得以任何方法调整或变更。任何计算承包金额的错误皆由供应商承担并视为已被双方接受。磋商货物的总价计入投标总价。</w:t>
      </w:r>
    </w:p>
    <w:p w14:paraId="5C6751D1">
      <w:pPr>
        <w:spacing w:line="360" w:lineRule="auto"/>
        <w:rPr>
          <w:rFonts w:ascii="宋体" w:hAnsi="宋体" w:cs="宋体"/>
          <w:sz w:val="24"/>
        </w:rPr>
      </w:pPr>
    </w:p>
    <w:p w14:paraId="55290C15">
      <w:pPr>
        <w:spacing w:line="360" w:lineRule="auto"/>
        <w:ind w:left="25" w:leftChars="12"/>
        <w:jc w:val="left"/>
        <w:rPr>
          <w:rFonts w:ascii="宋体" w:hAnsi="宋体" w:cs="宋体"/>
          <w:sz w:val="24"/>
        </w:rPr>
      </w:pPr>
      <w:r>
        <w:rPr>
          <w:rFonts w:hint="eastAsia" w:ascii="宋体" w:hAnsi="宋体" w:cs="宋体"/>
          <w:sz w:val="24"/>
        </w:rPr>
        <w:t xml:space="preserve">供应商名称：____________ </w:t>
      </w:r>
    </w:p>
    <w:p w14:paraId="37D20D80">
      <w:pPr>
        <w:spacing w:line="360" w:lineRule="auto"/>
        <w:ind w:left="25" w:leftChars="12"/>
        <w:jc w:val="left"/>
        <w:rPr>
          <w:rFonts w:ascii="宋体" w:hAnsi="宋体" w:cs="宋体"/>
          <w:sz w:val="24"/>
        </w:rPr>
      </w:pPr>
      <w:r>
        <w:rPr>
          <w:rFonts w:hint="eastAsia" w:ascii="宋体" w:hAnsi="宋体" w:cs="宋体"/>
          <w:sz w:val="24"/>
        </w:rPr>
        <w:t>货币单位：人民币</w:t>
      </w:r>
    </w:p>
    <w:p w14:paraId="60664115">
      <w:pPr>
        <w:ind w:left="-395" w:leftChars="-188"/>
        <w:jc w:val="left"/>
        <w:rPr>
          <w:rFonts w:ascii="宋体" w:hAnsi="宋体" w:cs="宋体"/>
          <w:sz w:val="24"/>
        </w:rPr>
      </w:pPr>
    </w:p>
    <w:tbl>
      <w:tblPr>
        <w:tblStyle w:val="28"/>
        <w:tblW w:w="9940" w:type="dxa"/>
        <w:jc w:val="center"/>
        <w:tblLayout w:type="fixed"/>
        <w:tblCellMar>
          <w:top w:w="0" w:type="dxa"/>
          <w:left w:w="108" w:type="dxa"/>
          <w:bottom w:w="0" w:type="dxa"/>
          <w:right w:w="108" w:type="dxa"/>
        </w:tblCellMar>
      </w:tblPr>
      <w:tblGrid>
        <w:gridCol w:w="517"/>
        <w:gridCol w:w="832"/>
        <w:gridCol w:w="743"/>
        <w:gridCol w:w="1137"/>
        <w:gridCol w:w="1215"/>
        <w:gridCol w:w="1071"/>
        <w:gridCol w:w="762"/>
        <w:gridCol w:w="795"/>
        <w:gridCol w:w="885"/>
        <w:gridCol w:w="900"/>
        <w:gridCol w:w="1083"/>
      </w:tblGrid>
      <w:tr w14:paraId="70A5482A">
        <w:tblPrEx>
          <w:tblCellMar>
            <w:top w:w="0" w:type="dxa"/>
            <w:left w:w="108" w:type="dxa"/>
            <w:bottom w:w="0" w:type="dxa"/>
            <w:right w:w="108" w:type="dxa"/>
          </w:tblCellMar>
        </w:tblPrEx>
        <w:trPr>
          <w:trHeight w:val="1131" w:hRule="atLeast"/>
          <w:jc w:val="center"/>
        </w:trPr>
        <w:tc>
          <w:tcPr>
            <w:tcW w:w="517" w:type="dxa"/>
            <w:tcBorders>
              <w:top w:val="single" w:color="auto" w:sz="6" w:space="0"/>
              <w:left w:val="single" w:color="auto" w:sz="6" w:space="0"/>
              <w:bottom w:val="single" w:color="auto" w:sz="6" w:space="0"/>
              <w:right w:val="single" w:color="auto" w:sz="6" w:space="0"/>
            </w:tcBorders>
            <w:noWrap/>
            <w:vAlign w:val="center"/>
          </w:tcPr>
          <w:p w14:paraId="018F1C51">
            <w:pPr>
              <w:autoSpaceDE w:val="0"/>
              <w:autoSpaceDN w:val="0"/>
              <w:adjustRightInd w:val="0"/>
              <w:jc w:val="center"/>
              <w:rPr>
                <w:rFonts w:ascii="宋体" w:hAnsi="宋体" w:cs="宋体"/>
                <w:bCs/>
                <w:sz w:val="24"/>
                <w:lang w:val="zh-CN"/>
              </w:rPr>
            </w:pPr>
            <w:r>
              <w:rPr>
                <w:rFonts w:hint="eastAsia" w:ascii="宋体" w:hAnsi="宋体" w:cs="宋体"/>
                <w:bCs/>
                <w:sz w:val="24"/>
                <w:lang w:val="zh-CN"/>
              </w:rPr>
              <w:t>序号</w:t>
            </w:r>
          </w:p>
        </w:tc>
        <w:tc>
          <w:tcPr>
            <w:tcW w:w="832" w:type="dxa"/>
            <w:tcBorders>
              <w:top w:val="single" w:color="auto" w:sz="6" w:space="0"/>
              <w:left w:val="single" w:color="auto" w:sz="6" w:space="0"/>
              <w:bottom w:val="single" w:color="auto" w:sz="6" w:space="0"/>
              <w:right w:val="single" w:color="auto" w:sz="6" w:space="0"/>
            </w:tcBorders>
            <w:noWrap/>
            <w:vAlign w:val="center"/>
          </w:tcPr>
          <w:p w14:paraId="702CA199">
            <w:pPr>
              <w:autoSpaceDE w:val="0"/>
              <w:autoSpaceDN w:val="0"/>
              <w:adjustRightInd w:val="0"/>
              <w:jc w:val="center"/>
              <w:rPr>
                <w:rFonts w:ascii="宋体" w:hAnsi="宋体" w:cs="宋体"/>
                <w:bCs/>
                <w:sz w:val="24"/>
                <w:lang w:val="zh-CN"/>
              </w:rPr>
            </w:pPr>
            <w:r>
              <w:rPr>
                <w:rFonts w:hint="eastAsia" w:ascii="宋体" w:hAnsi="宋体" w:cs="宋体"/>
                <w:bCs/>
                <w:sz w:val="24"/>
                <w:lang w:val="zh-CN"/>
              </w:rPr>
              <w:t>货物名称</w:t>
            </w:r>
          </w:p>
        </w:tc>
        <w:tc>
          <w:tcPr>
            <w:tcW w:w="743" w:type="dxa"/>
            <w:tcBorders>
              <w:top w:val="single" w:color="auto" w:sz="6" w:space="0"/>
              <w:left w:val="single" w:color="auto" w:sz="6" w:space="0"/>
              <w:bottom w:val="single" w:color="auto" w:sz="6" w:space="0"/>
              <w:right w:val="single" w:color="auto" w:sz="6" w:space="0"/>
            </w:tcBorders>
            <w:noWrap/>
            <w:vAlign w:val="center"/>
          </w:tcPr>
          <w:p w14:paraId="735212B0">
            <w:pPr>
              <w:autoSpaceDE w:val="0"/>
              <w:autoSpaceDN w:val="0"/>
              <w:adjustRightInd w:val="0"/>
              <w:jc w:val="center"/>
              <w:rPr>
                <w:rFonts w:ascii="宋体" w:hAnsi="宋体" w:cs="宋体"/>
                <w:bCs/>
                <w:sz w:val="24"/>
                <w:lang w:val="zh-CN"/>
              </w:rPr>
            </w:pPr>
            <w:r>
              <w:rPr>
                <w:rFonts w:hint="eastAsia" w:ascii="宋体" w:hAnsi="宋体" w:cs="宋体"/>
                <w:bCs/>
                <w:sz w:val="24"/>
                <w:lang w:val="zh-CN"/>
              </w:rPr>
              <w:t>品牌型号</w:t>
            </w:r>
          </w:p>
        </w:tc>
        <w:tc>
          <w:tcPr>
            <w:tcW w:w="1137" w:type="dxa"/>
            <w:tcBorders>
              <w:top w:val="single" w:color="auto" w:sz="6" w:space="0"/>
              <w:left w:val="single" w:color="auto" w:sz="6" w:space="0"/>
              <w:bottom w:val="single" w:color="auto" w:sz="6" w:space="0"/>
              <w:right w:val="single" w:color="auto" w:sz="6" w:space="0"/>
            </w:tcBorders>
            <w:noWrap/>
            <w:vAlign w:val="center"/>
          </w:tcPr>
          <w:p w14:paraId="3DD993EC">
            <w:pPr>
              <w:autoSpaceDE w:val="0"/>
              <w:autoSpaceDN w:val="0"/>
              <w:adjustRightInd w:val="0"/>
              <w:jc w:val="center"/>
              <w:rPr>
                <w:rFonts w:ascii="宋体" w:hAnsi="宋体" w:cs="宋体"/>
                <w:bCs/>
                <w:sz w:val="24"/>
                <w:lang w:val="zh-CN"/>
              </w:rPr>
            </w:pPr>
            <w:r>
              <w:rPr>
                <w:rFonts w:hint="eastAsia" w:ascii="宋体" w:hAnsi="宋体" w:cs="宋体"/>
                <w:bCs/>
                <w:sz w:val="24"/>
                <w:lang w:val="zh-CN"/>
              </w:rPr>
              <w:t>主要功能配置和技术参数</w:t>
            </w:r>
          </w:p>
        </w:tc>
        <w:tc>
          <w:tcPr>
            <w:tcW w:w="1215" w:type="dxa"/>
            <w:tcBorders>
              <w:top w:val="single" w:color="auto" w:sz="6" w:space="0"/>
              <w:left w:val="single" w:color="auto" w:sz="6" w:space="0"/>
              <w:bottom w:val="single" w:color="auto" w:sz="6" w:space="0"/>
              <w:right w:val="single" w:color="auto" w:sz="6" w:space="0"/>
            </w:tcBorders>
            <w:noWrap/>
            <w:vAlign w:val="center"/>
          </w:tcPr>
          <w:p w14:paraId="7A29A246">
            <w:pPr>
              <w:autoSpaceDE w:val="0"/>
              <w:autoSpaceDN w:val="0"/>
              <w:adjustRightInd w:val="0"/>
              <w:jc w:val="center"/>
              <w:rPr>
                <w:rFonts w:ascii="宋体" w:hAnsi="宋体" w:cs="宋体"/>
                <w:bCs/>
                <w:sz w:val="24"/>
                <w:lang w:val="zh-CN"/>
              </w:rPr>
            </w:pPr>
            <w:r>
              <w:rPr>
                <w:rFonts w:hint="eastAsia" w:ascii="宋体" w:hAnsi="宋体" w:cs="宋体"/>
                <w:bCs/>
                <w:sz w:val="24"/>
                <w:lang w:val="zh-CN"/>
              </w:rPr>
              <w:t>功能配置和技术参数偏离情况</w:t>
            </w:r>
          </w:p>
        </w:tc>
        <w:tc>
          <w:tcPr>
            <w:tcW w:w="1071" w:type="dxa"/>
            <w:tcBorders>
              <w:top w:val="single" w:color="auto" w:sz="6" w:space="0"/>
              <w:left w:val="single" w:color="auto" w:sz="6" w:space="0"/>
              <w:bottom w:val="single" w:color="auto" w:sz="6" w:space="0"/>
              <w:right w:val="single" w:color="auto" w:sz="6" w:space="0"/>
            </w:tcBorders>
            <w:noWrap/>
            <w:vAlign w:val="center"/>
          </w:tcPr>
          <w:p w14:paraId="3B482624">
            <w:pPr>
              <w:autoSpaceDE w:val="0"/>
              <w:autoSpaceDN w:val="0"/>
              <w:adjustRightInd w:val="0"/>
              <w:jc w:val="center"/>
              <w:rPr>
                <w:rFonts w:ascii="宋体" w:hAnsi="宋体" w:cs="宋体"/>
                <w:bCs/>
                <w:sz w:val="24"/>
                <w:lang w:val="zh-CN"/>
              </w:rPr>
            </w:pPr>
            <w:r>
              <w:rPr>
                <w:rFonts w:hint="eastAsia" w:ascii="宋体" w:hAnsi="宋体" w:cs="宋体"/>
                <w:bCs/>
                <w:sz w:val="24"/>
                <w:lang w:val="zh-CN"/>
              </w:rPr>
              <w:t>原产地及制造厂商</w:t>
            </w:r>
          </w:p>
        </w:tc>
        <w:tc>
          <w:tcPr>
            <w:tcW w:w="762" w:type="dxa"/>
            <w:tcBorders>
              <w:top w:val="single" w:color="auto" w:sz="6" w:space="0"/>
              <w:left w:val="single" w:color="auto" w:sz="6" w:space="0"/>
              <w:bottom w:val="single" w:color="auto" w:sz="6" w:space="0"/>
              <w:right w:val="single" w:color="auto" w:sz="6" w:space="0"/>
            </w:tcBorders>
            <w:noWrap/>
            <w:vAlign w:val="center"/>
          </w:tcPr>
          <w:p w14:paraId="5A93377E">
            <w:pPr>
              <w:autoSpaceDE w:val="0"/>
              <w:autoSpaceDN w:val="0"/>
              <w:adjustRightInd w:val="0"/>
              <w:jc w:val="center"/>
              <w:rPr>
                <w:rFonts w:ascii="宋体" w:hAnsi="宋体" w:cs="宋体"/>
                <w:bCs/>
                <w:sz w:val="24"/>
                <w:lang w:val="zh-CN"/>
              </w:rPr>
            </w:pPr>
            <w:r>
              <w:rPr>
                <w:rFonts w:hint="eastAsia" w:ascii="宋体" w:hAnsi="宋体" w:cs="宋体"/>
                <w:bCs/>
                <w:sz w:val="24"/>
                <w:lang w:val="zh-CN"/>
              </w:rPr>
              <w:t>数量</w:t>
            </w:r>
          </w:p>
        </w:tc>
        <w:tc>
          <w:tcPr>
            <w:tcW w:w="795" w:type="dxa"/>
            <w:tcBorders>
              <w:top w:val="single" w:color="auto" w:sz="6" w:space="0"/>
              <w:left w:val="single" w:color="auto" w:sz="6" w:space="0"/>
              <w:bottom w:val="single" w:color="auto" w:sz="6" w:space="0"/>
              <w:right w:val="single" w:color="auto" w:sz="6" w:space="0"/>
            </w:tcBorders>
            <w:noWrap/>
            <w:vAlign w:val="center"/>
          </w:tcPr>
          <w:p w14:paraId="41037277">
            <w:pPr>
              <w:autoSpaceDE w:val="0"/>
              <w:autoSpaceDN w:val="0"/>
              <w:adjustRightInd w:val="0"/>
              <w:jc w:val="center"/>
              <w:rPr>
                <w:rFonts w:ascii="宋体" w:hAnsi="宋体" w:cs="宋体"/>
                <w:bCs/>
                <w:sz w:val="24"/>
                <w:lang w:val="zh-CN"/>
              </w:rPr>
            </w:pPr>
            <w:r>
              <w:rPr>
                <w:rFonts w:hint="eastAsia" w:ascii="宋体" w:hAnsi="宋体" w:cs="宋体"/>
                <w:bCs/>
                <w:sz w:val="24"/>
                <w:lang w:val="zh-CN"/>
              </w:rPr>
              <w:t>数量单位</w:t>
            </w:r>
          </w:p>
        </w:tc>
        <w:tc>
          <w:tcPr>
            <w:tcW w:w="885" w:type="dxa"/>
            <w:tcBorders>
              <w:top w:val="single" w:color="auto" w:sz="6" w:space="0"/>
              <w:left w:val="single" w:color="auto" w:sz="6" w:space="0"/>
              <w:bottom w:val="single" w:color="auto" w:sz="6" w:space="0"/>
              <w:right w:val="single" w:color="auto" w:sz="6" w:space="0"/>
            </w:tcBorders>
            <w:noWrap/>
            <w:vAlign w:val="center"/>
          </w:tcPr>
          <w:p w14:paraId="4BAED309">
            <w:pPr>
              <w:autoSpaceDE w:val="0"/>
              <w:autoSpaceDN w:val="0"/>
              <w:adjustRightInd w:val="0"/>
              <w:jc w:val="center"/>
              <w:rPr>
                <w:rFonts w:ascii="宋体" w:hAnsi="宋体" w:cs="宋体"/>
                <w:bCs/>
                <w:sz w:val="24"/>
                <w:lang w:val="zh-CN"/>
              </w:rPr>
            </w:pPr>
            <w:r>
              <w:rPr>
                <w:rFonts w:hint="eastAsia" w:ascii="宋体" w:hAnsi="宋体" w:cs="宋体"/>
                <w:bCs/>
                <w:sz w:val="24"/>
                <w:lang w:val="zh-CN"/>
              </w:rPr>
              <w:t>单价（元）</w:t>
            </w:r>
          </w:p>
        </w:tc>
        <w:tc>
          <w:tcPr>
            <w:tcW w:w="900" w:type="dxa"/>
            <w:tcBorders>
              <w:top w:val="single" w:color="auto" w:sz="6" w:space="0"/>
              <w:left w:val="single" w:color="auto" w:sz="6" w:space="0"/>
              <w:bottom w:val="single" w:color="auto" w:sz="6" w:space="0"/>
              <w:right w:val="single" w:color="auto" w:sz="4" w:space="0"/>
            </w:tcBorders>
            <w:noWrap/>
            <w:vAlign w:val="center"/>
          </w:tcPr>
          <w:p w14:paraId="480F63CC">
            <w:pPr>
              <w:autoSpaceDE w:val="0"/>
              <w:autoSpaceDN w:val="0"/>
              <w:adjustRightInd w:val="0"/>
              <w:jc w:val="center"/>
              <w:rPr>
                <w:rFonts w:ascii="宋体" w:hAnsi="宋体" w:cs="宋体"/>
                <w:bCs/>
                <w:sz w:val="24"/>
                <w:lang w:val="zh-CN"/>
              </w:rPr>
            </w:pPr>
            <w:r>
              <w:rPr>
                <w:rFonts w:hint="eastAsia" w:ascii="宋体" w:hAnsi="宋体" w:cs="宋体"/>
                <w:bCs/>
                <w:sz w:val="24"/>
                <w:lang w:val="zh-CN"/>
              </w:rPr>
              <w:t>合计（元）</w:t>
            </w:r>
          </w:p>
        </w:tc>
        <w:tc>
          <w:tcPr>
            <w:tcW w:w="1083" w:type="dxa"/>
            <w:tcBorders>
              <w:top w:val="single" w:color="auto" w:sz="6" w:space="0"/>
              <w:left w:val="single" w:color="auto" w:sz="6" w:space="0"/>
              <w:bottom w:val="single" w:color="auto" w:sz="6" w:space="0"/>
              <w:right w:val="single" w:color="auto" w:sz="4" w:space="0"/>
            </w:tcBorders>
            <w:noWrap/>
            <w:vAlign w:val="center"/>
          </w:tcPr>
          <w:p w14:paraId="21F1E2AA">
            <w:pPr>
              <w:autoSpaceDE w:val="0"/>
              <w:autoSpaceDN w:val="0"/>
              <w:adjustRightInd w:val="0"/>
              <w:jc w:val="center"/>
              <w:rPr>
                <w:rFonts w:ascii="宋体" w:hAnsi="宋体" w:cs="宋体"/>
                <w:bCs/>
                <w:sz w:val="24"/>
                <w:lang w:val="zh-CN"/>
              </w:rPr>
            </w:pPr>
            <w:r>
              <w:rPr>
                <w:rFonts w:hint="eastAsia" w:ascii="宋体" w:hAnsi="宋体" w:cs="宋体"/>
                <w:bCs/>
                <w:sz w:val="24"/>
                <w:lang w:val="zh-CN"/>
              </w:rPr>
              <w:t>质保期</w:t>
            </w:r>
          </w:p>
        </w:tc>
      </w:tr>
      <w:tr w14:paraId="2CCBFE0D">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742B7CE6">
            <w:pPr>
              <w:autoSpaceDE w:val="0"/>
              <w:autoSpaceDN w:val="0"/>
              <w:adjustRightInd w:val="0"/>
              <w:rPr>
                <w:rFonts w:ascii="宋体" w:hAnsi="宋体" w:cs="宋体"/>
                <w:bCs/>
                <w:sz w:val="24"/>
                <w:lang w:val="zh-CN"/>
              </w:rPr>
            </w:pPr>
          </w:p>
        </w:tc>
        <w:tc>
          <w:tcPr>
            <w:tcW w:w="832" w:type="dxa"/>
            <w:tcBorders>
              <w:top w:val="single" w:color="auto" w:sz="6" w:space="0"/>
              <w:left w:val="single" w:color="auto" w:sz="6" w:space="0"/>
              <w:bottom w:val="single" w:color="auto" w:sz="6" w:space="0"/>
              <w:right w:val="single" w:color="auto" w:sz="6" w:space="0"/>
            </w:tcBorders>
            <w:noWrap/>
          </w:tcPr>
          <w:p w14:paraId="28CADFB5">
            <w:pPr>
              <w:autoSpaceDE w:val="0"/>
              <w:autoSpaceDN w:val="0"/>
              <w:adjustRightInd w:val="0"/>
              <w:rPr>
                <w:rFonts w:ascii="宋体" w:hAnsi="宋体" w:cs="宋体"/>
                <w:bCs/>
                <w:sz w:val="24"/>
                <w:lang w:val="zh-CN"/>
              </w:rPr>
            </w:pPr>
          </w:p>
        </w:tc>
        <w:tc>
          <w:tcPr>
            <w:tcW w:w="743" w:type="dxa"/>
            <w:tcBorders>
              <w:top w:val="single" w:color="auto" w:sz="6" w:space="0"/>
              <w:left w:val="single" w:color="auto" w:sz="6" w:space="0"/>
              <w:bottom w:val="single" w:color="auto" w:sz="6" w:space="0"/>
              <w:right w:val="single" w:color="auto" w:sz="6" w:space="0"/>
            </w:tcBorders>
            <w:noWrap/>
          </w:tcPr>
          <w:p w14:paraId="7AB50511">
            <w:pPr>
              <w:autoSpaceDE w:val="0"/>
              <w:autoSpaceDN w:val="0"/>
              <w:adjustRightInd w:val="0"/>
              <w:rPr>
                <w:rFonts w:ascii="宋体" w:hAnsi="宋体" w:cs="宋体"/>
                <w:bCs/>
                <w:sz w:val="24"/>
                <w:lang w:val="zh-CN"/>
              </w:rPr>
            </w:pPr>
          </w:p>
        </w:tc>
        <w:tc>
          <w:tcPr>
            <w:tcW w:w="1137" w:type="dxa"/>
            <w:tcBorders>
              <w:top w:val="single" w:color="auto" w:sz="6" w:space="0"/>
              <w:left w:val="single" w:color="auto" w:sz="6" w:space="0"/>
              <w:bottom w:val="single" w:color="auto" w:sz="6" w:space="0"/>
              <w:right w:val="single" w:color="auto" w:sz="6" w:space="0"/>
            </w:tcBorders>
            <w:noWrap/>
          </w:tcPr>
          <w:p w14:paraId="6C489402">
            <w:pPr>
              <w:autoSpaceDE w:val="0"/>
              <w:autoSpaceDN w:val="0"/>
              <w:adjustRightInd w:val="0"/>
              <w:rPr>
                <w:rFonts w:ascii="宋体" w:hAnsi="宋体" w:cs="宋体"/>
                <w:bCs/>
                <w:sz w:val="24"/>
                <w:lang w:val="zh-CN"/>
              </w:rPr>
            </w:pPr>
          </w:p>
        </w:tc>
        <w:tc>
          <w:tcPr>
            <w:tcW w:w="1215" w:type="dxa"/>
            <w:tcBorders>
              <w:top w:val="single" w:color="auto" w:sz="6" w:space="0"/>
              <w:left w:val="single" w:color="auto" w:sz="6" w:space="0"/>
              <w:bottom w:val="single" w:color="auto" w:sz="6" w:space="0"/>
              <w:right w:val="single" w:color="auto" w:sz="6" w:space="0"/>
            </w:tcBorders>
            <w:noWrap/>
          </w:tcPr>
          <w:p w14:paraId="2200B923">
            <w:pPr>
              <w:autoSpaceDE w:val="0"/>
              <w:autoSpaceDN w:val="0"/>
              <w:adjustRightInd w:val="0"/>
              <w:rPr>
                <w:rFonts w:ascii="宋体" w:hAnsi="宋体" w:cs="宋体"/>
                <w:bCs/>
                <w:sz w:val="24"/>
                <w:lang w:val="zh-CN"/>
              </w:rPr>
            </w:pPr>
          </w:p>
        </w:tc>
        <w:tc>
          <w:tcPr>
            <w:tcW w:w="1071" w:type="dxa"/>
            <w:tcBorders>
              <w:top w:val="single" w:color="auto" w:sz="6" w:space="0"/>
              <w:left w:val="single" w:color="auto" w:sz="6" w:space="0"/>
              <w:bottom w:val="single" w:color="auto" w:sz="6" w:space="0"/>
              <w:right w:val="single" w:color="auto" w:sz="6" w:space="0"/>
            </w:tcBorders>
            <w:noWrap/>
          </w:tcPr>
          <w:p w14:paraId="3B7F6251">
            <w:pPr>
              <w:autoSpaceDE w:val="0"/>
              <w:autoSpaceDN w:val="0"/>
              <w:adjustRightInd w:val="0"/>
              <w:rPr>
                <w:rFonts w:ascii="宋体" w:hAnsi="宋体" w:cs="宋体"/>
                <w:bCs/>
                <w:sz w:val="24"/>
                <w:lang w:val="zh-CN"/>
              </w:rPr>
            </w:pPr>
          </w:p>
        </w:tc>
        <w:tc>
          <w:tcPr>
            <w:tcW w:w="762" w:type="dxa"/>
            <w:tcBorders>
              <w:top w:val="single" w:color="auto" w:sz="6" w:space="0"/>
              <w:left w:val="single" w:color="auto" w:sz="6" w:space="0"/>
              <w:bottom w:val="single" w:color="auto" w:sz="6" w:space="0"/>
              <w:right w:val="single" w:color="auto" w:sz="6" w:space="0"/>
            </w:tcBorders>
            <w:noWrap/>
          </w:tcPr>
          <w:p w14:paraId="22939EF4">
            <w:pPr>
              <w:autoSpaceDE w:val="0"/>
              <w:autoSpaceDN w:val="0"/>
              <w:adjustRightInd w:val="0"/>
              <w:rPr>
                <w:rFonts w:ascii="宋体" w:hAnsi="宋体" w:cs="宋体"/>
                <w:bCs/>
                <w:sz w:val="24"/>
                <w:lang w:val="zh-CN"/>
              </w:rPr>
            </w:pPr>
          </w:p>
        </w:tc>
        <w:tc>
          <w:tcPr>
            <w:tcW w:w="795" w:type="dxa"/>
            <w:tcBorders>
              <w:top w:val="single" w:color="auto" w:sz="6" w:space="0"/>
              <w:left w:val="single" w:color="auto" w:sz="6" w:space="0"/>
              <w:bottom w:val="single" w:color="auto" w:sz="6" w:space="0"/>
              <w:right w:val="single" w:color="auto" w:sz="6" w:space="0"/>
            </w:tcBorders>
            <w:noWrap/>
          </w:tcPr>
          <w:p w14:paraId="60CB04DB">
            <w:pPr>
              <w:autoSpaceDE w:val="0"/>
              <w:autoSpaceDN w:val="0"/>
              <w:adjustRightInd w:val="0"/>
              <w:rPr>
                <w:rFonts w:ascii="宋体" w:hAnsi="宋体" w:cs="宋体"/>
                <w:bCs/>
                <w:sz w:val="24"/>
                <w:lang w:val="zh-CN"/>
              </w:rPr>
            </w:pPr>
          </w:p>
        </w:tc>
        <w:tc>
          <w:tcPr>
            <w:tcW w:w="885" w:type="dxa"/>
            <w:tcBorders>
              <w:top w:val="single" w:color="auto" w:sz="6" w:space="0"/>
              <w:left w:val="single" w:color="auto" w:sz="6" w:space="0"/>
              <w:bottom w:val="single" w:color="auto" w:sz="6" w:space="0"/>
              <w:right w:val="single" w:color="auto" w:sz="6" w:space="0"/>
            </w:tcBorders>
            <w:noWrap/>
          </w:tcPr>
          <w:p w14:paraId="3F055C3A">
            <w:pPr>
              <w:autoSpaceDE w:val="0"/>
              <w:autoSpaceDN w:val="0"/>
              <w:adjustRightInd w:val="0"/>
              <w:rPr>
                <w:rFonts w:ascii="宋体" w:hAnsi="宋体" w:cs="宋体"/>
                <w:bCs/>
                <w:sz w:val="24"/>
                <w:lang w:val="zh-CN"/>
              </w:rPr>
            </w:pPr>
          </w:p>
        </w:tc>
        <w:tc>
          <w:tcPr>
            <w:tcW w:w="900" w:type="dxa"/>
            <w:tcBorders>
              <w:top w:val="single" w:color="auto" w:sz="6" w:space="0"/>
              <w:left w:val="single" w:color="auto" w:sz="6" w:space="0"/>
              <w:bottom w:val="single" w:color="auto" w:sz="6" w:space="0"/>
              <w:right w:val="single" w:color="auto" w:sz="4" w:space="0"/>
            </w:tcBorders>
            <w:noWrap/>
          </w:tcPr>
          <w:p w14:paraId="60466363">
            <w:pPr>
              <w:autoSpaceDE w:val="0"/>
              <w:autoSpaceDN w:val="0"/>
              <w:adjustRightInd w:val="0"/>
              <w:rPr>
                <w:rFonts w:ascii="宋体" w:hAnsi="宋体" w:cs="宋体"/>
                <w:bCs/>
                <w:sz w:val="24"/>
                <w:lang w:val="zh-CN"/>
              </w:rPr>
            </w:pPr>
          </w:p>
        </w:tc>
        <w:tc>
          <w:tcPr>
            <w:tcW w:w="1083" w:type="dxa"/>
            <w:tcBorders>
              <w:top w:val="single" w:color="auto" w:sz="6" w:space="0"/>
              <w:left w:val="single" w:color="auto" w:sz="6" w:space="0"/>
              <w:bottom w:val="single" w:color="auto" w:sz="6" w:space="0"/>
              <w:right w:val="single" w:color="auto" w:sz="4" w:space="0"/>
            </w:tcBorders>
            <w:noWrap/>
          </w:tcPr>
          <w:p w14:paraId="6E721F75">
            <w:pPr>
              <w:autoSpaceDE w:val="0"/>
              <w:autoSpaceDN w:val="0"/>
              <w:adjustRightInd w:val="0"/>
              <w:rPr>
                <w:rFonts w:ascii="宋体" w:hAnsi="宋体" w:cs="宋体"/>
                <w:bCs/>
                <w:sz w:val="24"/>
                <w:lang w:val="zh-CN"/>
              </w:rPr>
            </w:pPr>
          </w:p>
        </w:tc>
      </w:tr>
      <w:tr w14:paraId="51EDA629">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083E2406">
            <w:pPr>
              <w:autoSpaceDE w:val="0"/>
              <w:autoSpaceDN w:val="0"/>
              <w:adjustRightInd w:val="0"/>
              <w:rPr>
                <w:rFonts w:ascii="宋体" w:hAnsi="宋体" w:cs="宋体"/>
                <w:bCs/>
                <w:sz w:val="24"/>
              </w:rPr>
            </w:pPr>
          </w:p>
        </w:tc>
        <w:tc>
          <w:tcPr>
            <w:tcW w:w="832" w:type="dxa"/>
            <w:tcBorders>
              <w:top w:val="single" w:color="auto" w:sz="6" w:space="0"/>
              <w:left w:val="single" w:color="auto" w:sz="6" w:space="0"/>
              <w:bottom w:val="single" w:color="auto" w:sz="6" w:space="0"/>
              <w:right w:val="single" w:color="auto" w:sz="6" w:space="0"/>
            </w:tcBorders>
            <w:noWrap/>
          </w:tcPr>
          <w:p w14:paraId="1A62BCAC">
            <w:pPr>
              <w:autoSpaceDE w:val="0"/>
              <w:autoSpaceDN w:val="0"/>
              <w:adjustRightInd w:val="0"/>
              <w:rPr>
                <w:rFonts w:ascii="宋体" w:hAnsi="宋体" w:cs="宋体"/>
                <w:bCs/>
                <w:sz w:val="24"/>
              </w:rPr>
            </w:pPr>
          </w:p>
        </w:tc>
        <w:tc>
          <w:tcPr>
            <w:tcW w:w="743" w:type="dxa"/>
            <w:tcBorders>
              <w:top w:val="single" w:color="auto" w:sz="6" w:space="0"/>
              <w:left w:val="single" w:color="auto" w:sz="6" w:space="0"/>
              <w:bottom w:val="single" w:color="auto" w:sz="6" w:space="0"/>
              <w:right w:val="single" w:color="auto" w:sz="6" w:space="0"/>
            </w:tcBorders>
            <w:noWrap/>
          </w:tcPr>
          <w:p w14:paraId="4472C57A">
            <w:pPr>
              <w:autoSpaceDE w:val="0"/>
              <w:autoSpaceDN w:val="0"/>
              <w:adjustRightInd w:val="0"/>
              <w:rPr>
                <w:rFonts w:ascii="宋体" w:hAnsi="宋体" w:cs="宋体"/>
                <w:bCs/>
                <w:sz w:val="24"/>
              </w:rPr>
            </w:pPr>
          </w:p>
        </w:tc>
        <w:tc>
          <w:tcPr>
            <w:tcW w:w="1137" w:type="dxa"/>
            <w:tcBorders>
              <w:top w:val="single" w:color="auto" w:sz="6" w:space="0"/>
              <w:left w:val="single" w:color="auto" w:sz="6" w:space="0"/>
              <w:bottom w:val="single" w:color="auto" w:sz="6" w:space="0"/>
              <w:right w:val="single" w:color="auto" w:sz="6" w:space="0"/>
            </w:tcBorders>
            <w:noWrap/>
          </w:tcPr>
          <w:p w14:paraId="3FF83BF2">
            <w:pPr>
              <w:autoSpaceDE w:val="0"/>
              <w:autoSpaceDN w:val="0"/>
              <w:adjustRightInd w:val="0"/>
              <w:rPr>
                <w:rFonts w:ascii="宋体" w:hAnsi="宋体" w:cs="宋体"/>
                <w:bCs/>
                <w:sz w:val="24"/>
              </w:rPr>
            </w:pPr>
          </w:p>
        </w:tc>
        <w:tc>
          <w:tcPr>
            <w:tcW w:w="1215" w:type="dxa"/>
            <w:tcBorders>
              <w:top w:val="single" w:color="auto" w:sz="6" w:space="0"/>
              <w:left w:val="single" w:color="auto" w:sz="6" w:space="0"/>
              <w:bottom w:val="single" w:color="auto" w:sz="6" w:space="0"/>
              <w:right w:val="single" w:color="auto" w:sz="6" w:space="0"/>
            </w:tcBorders>
            <w:noWrap/>
          </w:tcPr>
          <w:p w14:paraId="281A4A68">
            <w:pPr>
              <w:autoSpaceDE w:val="0"/>
              <w:autoSpaceDN w:val="0"/>
              <w:adjustRightInd w:val="0"/>
              <w:rPr>
                <w:rFonts w:ascii="宋体" w:hAnsi="宋体" w:cs="宋体"/>
                <w:bCs/>
                <w:sz w:val="24"/>
              </w:rPr>
            </w:pPr>
          </w:p>
        </w:tc>
        <w:tc>
          <w:tcPr>
            <w:tcW w:w="1071" w:type="dxa"/>
            <w:tcBorders>
              <w:top w:val="single" w:color="auto" w:sz="6" w:space="0"/>
              <w:left w:val="single" w:color="auto" w:sz="6" w:space="0"/>
              <w:bottom w:val="single" w:color="auto" w:sz="6" w:space="0"/>
              <w:right w:val="single" w:color="auto" w:sz="6" w:space="0"/>
            </w:tcBorders>
            <w:noWrap/>
          </w:tcPr>
          <w:p w14:paraId="750275AA">
            <w:pPr>
              <w:autoSpaceDE w:val="0"/>
              <w:autoSpaceDN w:val="0"/>
              <w:adjustRightInd w:val="0"/>
              <w:rPr>
                <w:rFonts w:ascii="宋体" w:hAnsi="宋体" w:cs="宋体"/>
                <w:bCs/>
                <w:sz w:val="24"/>
              </w:rPr>
            </w:pPr>
          </w:p>
        </w:tc>
        <w:tc>
          <w:tcPr>
            <w:tcW w:w="762" w:type="dxa"/>
            <w:tcBorders>
              <w:top w:val="single" w:color="auto" w:sz="6" w:space="0"/>
              <w:left w:val="single" w:color="auto" w:sz="6" w:space="0"/>
              <w:bottom w:val="single" w:color="auto" w:sz="6" w:space="0"/>
              <w:right w:val="single" w:color="auto" w:sz="6" w:space="0"/>
            </w:tcBorders>
            <w:noWrap/>
          </w:tcPr>
          <w:p w14:paraId="600A79E2">
            <w:pPr>
              <w:autoSpaceDE w:val="0"/>
              <w:autoSpaceDN w:val="0"/>
              <w:adjustRightInd w:val="0"/>
              <w:rPr>
                <w:rFonts w:ascii="宋体" w:hAnsi="宋体" w:cs="宋体"/>
                <w:bCs/>
                <w:sz w:val="24"/>
              </w:rPr>
            </w:pPr>
          </w:p>
        </w:tc>
        <w:tc>
          <w:tcPr>
            <w:tcW w:w="795" w:type="dxa"/>
            <w:tcBorders>
              <w:top w:val="single" w:color="auto" w:sz="6" w:space="0"/>
              <w:left w:val="single" w:color="auto" w:sz="6" w:space="0"/>
              <w:bottom w:val="single" w:color="auto" w:sz="6" w:space="0"/>
              <w:right w:val="single" w:color="auto" w:sz="6" w:space="0"/>
            </w:tcBorders>
            <w:noWrap/>
          </w:tcPr>
          <w:p w14:paraId="503756FE">
            <w:pPr>
              <w:autoSpaceDE w:val="0"/>
              <w:autoSpaceDN w:val="0"/>
              <w:adjustRightInd w:val="0"/>
              <w:rPr>
                <w:rFonts w:ascii="宋体" w:hAnsi="宋体" w:cs="宋体"/>
                <w:bCs/>
                <w:sz w:val="24"/>
              </w:rPr>
            </w:pPr>
          </w:p>
        </w:tc>
        <w:tc>
          <w:tcPr>
            <w:tcW w:w="885" w:type="dxa"/>
            <w:tcBorders>
              <w:top w:val="single" w:color="auto" w:sz="6" w:space="0"/>
              <w:left w:val="single" w:color="auto" w:sz="6" w:space="0"/>
              <w:bottom w:val="single" w:color="auto" w:sz="6" w:space="0"/>
              <w:right w:val="single" w:color="auto" w:sz="6" w:space="0"/>
            </w:tcBorders>
            <w:noWrap/>
          </w:tcPr>
          <w:p w14:paraId="6BF4DD29">
            <w:pPr>
              <w:autoSpaceDE w:val="0"/>
              <w:autoSpaceDN w:val="0"/>
              <w:adjustRightInd w:val="0"/>
              <w:rPr>
                <w:rFonts w:ascii="宋体" w:hAnsi="宋体" w:cs="宋体"/>
                <w:bCs/>
                <w:sz w:val="24"/>
              </w:rPr>
            </w:pPr>
          </w:p>
        </w:tc>
        <w:tc>
          <w:tcPr>
            <w:tcW w:w="900" w:type="dxa"/>
            <w:tcBorders>
              <w:top w:val="single" w:color="auto" w:sz="6" w:space="0"/>
              <w:left w:val="single" w:color="auto" w:sz="6" w:space="0"/>
              <w:bottom w:val="single" w:color="auto" w:sz="6" w:space="0"/>
              <w:right w:val="single" w:color="auto" w:sz="4" w:space="0"/>
            </w:tcBorders>
            <w:noWrap/>
          </w:tcPr>
          <w:p w14:paraId="2F9E5650">
            <w:pPr>
              <w:autoSpaceDE w:val="0"/>
              <w:autoSpaceDN w:val="0"/>
              <w:adjustRightInd w:val="0"/>
              <w:rPr>
                <w:rFonts w:ascii="宋体" w:hAnsi="宋体" w:cs="宋体"/>
                <w:bCs/>
                <w:sz w:val="24"/>
              </w:rPr>
            </w:pPr>
          </w:p>
        </w:tc>
        <w:tc>
          <w:tcPr>
            <w:tcW w:w="1083" w:type="dxa"/>
            <w:tcBorders>
              <w:top w:val="single" w:color="auto" w:sz="6" w:space="0"/>
              <w:left w:val="single" w:color="auto" w:sz="6" w:space="0"/>
              <w:bottom w:val="single" w:color="auto" w:sz="6" w:space="0"/>
              <w:right w:val="single" w:color="auto" w:sz="4" w:space="0"/>
            </w:tcBorders>
            <w:noWrap/>
          </w:tcPr>
          <w:p w14:paraId="58392921">
            <w:pPr>
              <w:autoSpaceDE w:val="0"/>
              <w:autoSpaceDN w:val="0"/>
              <w:adjustRightInd w:val="0"/>
              <w:rPr>
                <w:rFonts w:ascii="宋体" w:hAnsi="宋体" w:cs="宋体"/>
                <w:bCs/>
                <w:sz w:val="24"/>
              </w:rPr>
            </w:pPr>
          </w:p>
        </w:tc>
      </w:tr>
      <w:tr w14:paraId="6C497A57">
        <w:tblPrEx>
          <w:tblCellMar>
            <w:top w:w="0" w:type="dxa"/>
            <w:left w:w="108" w:type="dxa"/>
            <w:bottom w:w="0" w:type="dxa"/>
            <w:right w:w="108" w:type="dxa"/>
          </w:tblCellMar>
        </w:tblPrEx>
        <w:trPr>
          <w:trHeight w:val="586" w:hRule="atLeast"/>
          <w:jc w:val="center"/>
        </w:trPr>
        <w:tc>
          <w:tcPr>
            <w:tcW w:w="1349" w:type="dxa"/>
            <w:gridSpan w:val="2"/>
            <w:tcBorders>
              <w:top w:val="single" w:color="auto" w:sz="6" w:space="0"/>
              <w:left w:val="single" w:color="auto" w:sz="6" w:space="0"/>
              <w:bottom w:val="single" w:color="auto" w:sz="6" w:space="0"/>
              <w:right w:val="single" w:color="auto" w:sz="6" w:space="0"/>
            </w:tcBorders>
            <w:noWrap/>
            <w:vAlign w:val="center"/>
          </w:tcPr>
          <w:p w14:paraId="04D2BF5D">
            <w:pPr>
              <w:autoSpaceDE w:val="0"/>
              <w:autoSpaceDN w:val="0"/>
              <w:adjustRightInd w:val="0"/>
              <w:jc w:val="center"/>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zh-CN"/>
              </w:rPr>
              <w:t>总价（元）</w:t>
            </w:r>
          </w:p>
        </w:tc>
        <w:tc>
          <w:tcPr>
            <w:tcW w:w="8591" w:type="dxa"/>
            <w:gridSpan w:val="9"/>
            <w:tcBorders>
              <w:top w:val="single" w:color="auto" w:sz="6" w:space="0"/>
              <w:left w:val="single" w:color="auto" w:sz="6" w:space="0"/>
              <w:bottom w:val="single" w:color="auto" w:sz="6" w:space="0"/>
              <w:right w:val="single" w:color="auto" w:sz="4" w:space="0"/>
            </w:tcBorders>
            <w:noWrap/>
          </w:tcPr>
          <w:p w14:paraId="35356737">
            <w:pPr>
              <w:autoSpaceDE w:val="0"/>
              <w:autoSpaceDN w:val="0"/>
              <w:adjustRightInd w:val="0"/>
              <w:rPr>
                <w:rFonts w:ascii="宋体" w:hAnsi="宋体" w:cs="宋体"/>
                <w:bCs/>
                <w:sz w:val="24"/>
              </w:rPr>
            </w:pPr>
          </w:p>
        </w:tc>
      </w:tr>
    </w:tbl>
    <w:p w14:paraId="43C4818A">
      <w:pPr>
        <w:spacing w:line="360" w:lineRule="auto"/>
        <w:ind w:left="-708" w:leftChars="-337" w:firstLine="482" w:firstLineChars="200"/>
        <w:rPr>
          <w:rFonts w:ascii="宋体" w:hAnsi="宋体" w:cs="宋体"/>
          <w:sz w:val="24"/>
        </w:rPr>
      </w:pPr>
      <w:r>
        <w:rPr>
          <w:rFonts w:hint="eastAsia" w:ascii="宋体" w:hAnsi="宋体" w:cs="宋体"/>
          <w:b/>
          <w:bCs/>
          <w:sz w:val="24"/>
        </w:rPr>
        <w:t>注：</w:t>
      </w:r>
      <w:r>
        <w:rPr>
          <w:rFonts w:hint="eastAsia" w:ascii="宋体" w:hAnsi="宋体" w:cs="宋体"/>
          <w:sz w:val="24"/>
        </w:rPr>
        <w:t xml:space="preserve">1. 如果按单价计算的结果与总价不一致，以单价为准修正总价。 </w:t>
      </w:r>
    </w:p>
    <w:p w14:paraId="3E8D4F36">
      <w:pPr>
        <w:spacing w:line="360" w:lineRule="auto"/>
        <w:ind w:left="-708" w:leftChars="-337" w:firstLine="960" w:firstLineChars="400"/>
        <w:rPr>
          <w:rFonts w:ascii="宋体" w:hAnsi="宋体" w:cs="宋体"/>
          <w:sz w:val="24"/>
        </w:rPr>
      </w:pPr>
      <w:r>
        <w:rPr>
          <w:rFonts w:hint="eastAsia" w:ascii="宋体" w:hAnsi="宋体" w:cs="宋体"/>
          <w:sz w:val="24"/>
        </w:rPr>
        <w:t>2. 如果不提供详细分项报价将视为没有实质性响应竞争性磋商文件。</w:t>
      </w:r>
    </w:p>
    <w:p w14:paraId="3D2CA7E1">
      <w:pPr>
        <w:spacing w:line="360" w:lineRule="auto"/>
        <w:ind w:left="-708" w:leftChars="-337" w:firstLine="960" w:firstLineChars="400"/>
        <w:rPr>
          <w:rFonts w:ascii="宋体" w:hAnsi="宋体" w:cs="宋体"/>
          <w:sz w:val="24"/>
        </w:rPr>
      </w:pPr>
      <w:r>
        <w:rPr>
          <w:rFonts w:hint="eastAsia" w:ascii="宋体" w:hAnsi="宋体" w:cs="宋体"/>
          <w:sz w:val="24"/>
        </w:rPr>
        <w:t>3. 本表包括标准件和专用工具。</w:t>
      </w:r>
    </w:p>
    <w:p w14:paraId="77135FC0">
      <w:pPr>
        <w:spacing w:line="360" w:lineRule="auto"/>
        <w:ind w:left="-708" w:leftChars="-337" w:firstLine="482" w:firstLineChars="200"/>
        <w:rPr>
          <w:rFonts w:ascii="宋体" w:hAnsi="宋体" w:cs="宋体"/>
          <w:b/>
          <w:bCs/>
          <w:sz w:val="24"/>
        </w:rPr>
      </w:pPr>
      <w:r>
        <w:rPr>
          <w:rFonts w:hint="eastAsia" w:ascii="宋体" w:hAnsi="宋体" w:cs="宋体"/>
          <w:b/>
          <w:bCs/>
          <w:sz w:val="24"/>
        </w:rPr>
        <w:t>要求：</w:t>
      </w:r>
    </w:p>
    <w:p w14:paraId="234097EB">
      <w:pPr>
        <w:spacing w:line="360" w:lineRule="auto"/>
        <w:ind w:left="-708" w:leftChars="-337" w:firstLine="480" w:firstLineChars="200"/>
        <w:rPr>
          <w:rFonts w:ascii="宋体" w:hAnsi="宋体" w:cs="宋体"/>
          <w:sz w:val="24"/>
        </w:rPr>
      </w:pPr>
      <w:r>
        <w:rPr>
          <w:rFonts w:hint="eastAsia" w:ascii="宋体" w:hAnsi="宋体" w:cs="宋体"/>
          <w:sz w:val="24"/>
        </w:rPr>
        <w:t>1.与完成本项目有关的各种费用均应包含在总报价中 ，数量单位须写明台(套)。如果提供价格折扣应明确标明。</w:t>
      </w:r>
    </w:p>
    <w:p w14:paraId="15320D82">
      <w:pPr>
        <w:spacing w:line="360" w:lineRule="auto"/>
        <w:ind w:left="-708" w:leftChars="-337" w:firstLine="480" w:firstLineChars="200"/>
        <w:rPr>
          <w:rFonts w:ascii="宋体" w:hAnsi="宋体" w:cs="宋体"/>
          <w:sz w:val="24"/>
        </w:rPr>
      </w:pPr>
      <w:r>
        <w:rPr>
          <w:rFonts w:hint="eastAsia" w:ascii="宋体" w:hAnsi="宋体" w:cs="宋体"/>
          <w:sz w:val="24"/>
        </w:rPr>
        <w:t>2.所有货物均应标明品牌型号、详细功能配置、主要技术参数、功能配置及技术指标偏离情况、原产地及制造厂商等。</w:t>
      </w:r>
    </w:p>
    <w:p w14:paraId="767A4908">
      <w:pPr>
        <w:pStyle w:val="11"/>
        <w:ind w:firstLine="0" w:firstLineChars="0"/>
      </w:pPr>
      <w:r>
        <w:rPr>
          <w:rFonts w:hint="eastAsia" w:ascii="宋体" w:hAnsi="宋体" w:cs="宋体"/>
          <w:sz w:val="24"/>
        </w:rPr>
        <w:t>3.没有填报功能配置和技术参数偏离情况的，均视为完全符合竞争性磋商文件要求，在成交后按照无偏离订立采购合同。</w:t>
      </w:r>
    </w:p>
    <w:p w14:paraId="570CBAAE">
      <w:pPr>
        <w:autoSpaceDE w:val="0"/>
        <w:autoSpaceDN w:val="0"/>
        <w:adjustRightInd w:val="0"/>
        <w:spacing w:line="360" w:lineRule="auto"/>
        <w:ind w:right="480" w:firstLine="4920" w:firstLineChars="2050"/>
        <w:rPr>
          <w:rFonts w:ascii="宋体" w:hAnsi="宋体" w:cs="宋体"/>
          <w:sz w:val="24"/>
        </w:rPr>
      </w:pPr>
    </w:p>
    <w:p w14:paraId="75C9F2CC">
      <w:pPr>
        <w:autoSpaceDE w:val="0"/>
        <w:autoSpaceDN w:val="0"/>
        <w:adjustRightInd w:val="0"/>
        <w:spacing w:line="360" w:lineRule="auto"/>
        <w:ind w:right="480" w:firstLine="4920" w:firstLineChars="2050"/>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供应商名称（盖章）：</w:t>
      </w:r>
    </w:p>
    <w:p w14:paraId="03284176">
      <w:pPr>
        <w:autoSpaceDE w:val="0"/>
        <w:autoSpaceDN w:val="0"/>
        <w:adjustRightInd w:val="0"/>
        <w:spacing w:line="360" w:lineRule="auto"/>
        <w:ind w:right="480" w:firstLine="4920" w:firstLineChars="2050"/>
        <w:rPr>
          <w:rFonts w:ascii="宋体" w:hAnsi="宋体" w:cs="宋体"/>
          <w:sz w:val="24"/>
          <w:lang w:val="zh-CN"/>
        </w:rPr>
      </w:pPr>
    </w:p>
    <w:p w14:paraId="7D6784A2">
      <w:pPr>
        <w:autoSpaceDE w:val="0"/>
        <w:autoSpaceDN w:val="0"/>
        <w:adjustRightInd w:val="0"/>
        <w:spacing w:line="360" w:lineRule="auto"/>
        <w:ind w:firstLine="480"/>
        <w:jc w:val="center"/>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法定代表人或其委托代理人（签字）：</w:t>
      </w:r>
    </w:p>
    <w:p w14:paraId="493D9982">
      <w:pPr>
        <w:autoSpaceDE w:val="0"/>
        <w:autoSpaceDN w:val="0"/>
        <w:adjustRightInd w:val="0"/>
        <w:spacing w:line="360" w:lineRule="auto"/>
        <w:ind w:firstLine="480"/>
        <w:jc w:val="right"/>
        <w:rPr>
          <w:rFonts w:ascii="宋体" w:hAnsi="宋体" w:cs="宋体"/>
          <w:sz w:val="24"/>
          <w:lang w:val="zh-CN"/>
        </w:rPr>
      </w:pPr>
    </w:p>
    <w:p w14:paraId="74094621">
      <w:pPr>
        <w:spacing w:line="360" w:lineRule="auto"/>
        <w:ind w:firstLine="5040" w:firstLineChars="2100"/>
        <w:jc w:val="left"/>
        <w:rPr>
          <w:rFonts w:ascii="宋体" w:hAnsi="宋体" w:cs="宋体"/>
          <w:sz w:val="24"/>
        </w:rPr>
      </w:pPr>
      <w:r>
        <w:rPr>
          <w:rFonts w:hint="eastAsia" w:ascii="宋体" w:hAnsi="宋体" w:cs="宋体"/>
          <w:sz w:val="24"/>
          <w:lang w:val="zh-CN"/>
        </w:rPr>
        <w:t>日期：年月日</w:t>
      </w:r>
    </w:p>
    <w:p w14:paraId="07EE9270">
      <w:pPr>
        <w:tabs>
          <w:tab w:val="left" w:pos="0"/>
        </w:tabs>
        <w:spacing w:line="360" w:lineRule="auto"/>
        <w:jc w:val="center"/>
        <w:rPr>
          <w:rFonts w:ascii="宋体" w:cs="宋体"/>
          <w:sz w:val="24"/>
        </w:rPr>
      </w:pPr>
      <w:r>
        <w:rPr>
          <w:rFonts w:hint="eastAsia" w:ascii="宋体" w:cs="宋体"/>
          <w:sz w:val="24"/>
        </w:rPr>
        <w:br w:type="page"/>
      </w:r>
    </w:p>
    <w:p w14:paraId="047DFC21">
      <w:pPr>
        <w:tabs>
          <w:tab w:val="left" w:pos="1365"/>
        </w:tabs>
        <w:jc w:val="center"/>
        <w:rPr>
          <w:rFonts w:ascii="宋体" w:cs="宋体"/>
          <w:b/>
          <w:sz w:val="32"/>
          <w:szCs w:val="32"/>
        </w:rPr>
      </w:pPr>
      <w:r>
        <w:rPr>
          <w:rFonts w:hint="eastAsia" w:ascii="宋体" w:cs="宋体"/>
          <w:b/>
          <w:sz w:val="32"/>
          <w:szCs w:val="32"/>
        </w:rPr>
        <w:t>6、商务条款偏离表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3EEF3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D27C89">
            <w:pPr>
              <w:rPr>
                <w:rFonts w:ascii="宋体" w:cs="宋体"/>
                <w:sz w:val="24"/>
              </w:rPr>
            </w:pPr>
            <w:bookmarkStart w:id="87" w:name="_Toc492451841"/>
            <w:bookmarkStart w:id="88" w:name="_Toc9156"/>
            <w:r>
              <w:rPr>
                <w:rFonts w:hint="eastAsia" w:ascii="宋体" w:cs="宋体"/>
                <w:sz w:val="24"/>
              </w:rPr>
              <w:t>序号</w:t>
            </w:r>
            <w:bookmarkEnd w:id="87"/>
            <w:bookmarkEnd w:id="88"/>
          </w:p>
        </w:tc>
        <w:tc>
          <w:tcPr>
            <w:tcW w:w="1899" w:type="dxa"/>
            <w:tcBorders>
              <w:top w:val="single" w:color="auto" w:sz="4" w:space="0"/>
              <w:left w:val="single" w:color="auto" w:sz="4" w:space="0"/>
              <w:bottom w:val="single" w:color="auto" w:sz="4" w:space="0"/>
              <w:right w:val="single" w:color="auto" w:sz="4" w:space="0"/>
            </w:tcBorders>
            <w:noWrap/>
            <w:vAlign w:val="center"/>
          </w:tcPr>
          <w:p w14:paraId="619C5B0F">
            <w:pPr>
              <w:rPr>
                <w:rFonts w:ascii="宋体" w:cs="宋体"/>
                <w:sz w:val="24"/>
              </w:rPr>
            </w:pPr>
            <w:r>
              <w:rPr>
                <w:rFonts w:hint="eastAsia" w:ascii="宋体" w:cs="宋体"/>
                <w:sz w:val="24"/>
              </w:rPr>
              <w:t>竞争性磋商文件条款号</w:t>
            </w:r>
          </w:p>
        </w:tc>
        <w:tc>
          <w:tcPr>
            <w:tcW w:w="2979" w:type="dxa"/>
            <w:tcBorders>
              <w:top w:val="single" w:color="auto" w:sz="4" w:space="0"/>
              <w:left w:val="single" w:color="auto" w:sz="4" w:space="0"/>
              <w:bottom w:val="single" w:color="auto" w:sz="4" w:space="0"/>
              <w:right w:val="single" w:color="auto" w:sz="4" w:space="0"/>
            </w:tcBorders>
            <w:noWrap/>
            <w:vAlign w:val="center"/>
          </w:tcPr>
          <w:p w14:paraId="288FEA91">
            <w:pPr>
              <w:rPr>
                <w:rFonts w:ascii="宋体" w:cs="宋体"/>
                <w:sz w:val="24"/>
              </w:rPr>
            </w:pPr>
            <w:bookmarkStart w:id="89" w:name="_Toc492451843"/>
            <w:bookmarkStart w:id="90" w:name="_Toc6174"/>
            <w:r>
              <w:rPr>
                <w:rFonts w:hint="eastAsia" w:ascii="宋体" w:cs="宋体"/>
                <w:sz w:val="24"/>
              </w:rPr>
              <w:t>竞争性磋商文件规定的商务条款</w:t>
            </w:r>
            <w:bookmarkEnd w:id="89"/>
            <w:bookmarkEnd w:id="90"/>
          </w:p>
        </w:tc>
        <w:tc>
          <w:tcPr>
            <w:tcW w:w="2976" w:type="dxa"/>
            <w:tcBorders>
              <w:top w:val="single" w:color="auto" w:sz="4" w:space="0"/>
              <w:left w:val="single" w:color="auto" w:sz="4" w:space="0"/>
              <w:bottom w:val="single" w:color="auto" w:sz="4" w:space="0"/>
              <w:right w:val="single" w:color="auto" w:sz="4" w:space="0"/>
            </w:tcBorders>
            <w:noWrap/>
            <w:vAlign w:val="center"/>
          </w:tcPr>
          <w:p w14:paraId="27E31354">
            <w:pPr>
              <w:rPr>
                <w:rFonts w:ascii="宋体" w:cs="宋体"/>
                <w:sz w:val="24"/>
              </w:rPr>
            </w:pPr>
            <w:bookmarkStart w:id="91" w:name="_Toc30914"/>
            <w:bookmarkStart w:id="92" w:name="_Toc492451844"/>
            <w:r>
              <w:rPr>
                <w:rFonts w:hint="eastAsia" w:ascii="宋体" w:cs="宋体"/>
                <w:sz w:val="24"/>
              </w:rPr>
              <w:t>磋商响应文件对应的商务条款</w:t>
            </w:r>
            <w:bookmarkEnd w:id="91"/>
            <w:bookmarkEnd w:id="92"/>
          </w:p>
        </w:tc>
        <w:tc>
          <w:tcPr>
            <w:tcW w:w="851" w:type="dxa"/>
            <w:tcBorders>
              <w:top w:val="single" w:color="auto" w:sz="4" w:space="0"/>
              <w:left w:val="single" w:color="auto" w:sz="4" w:space="0"/>
              <w:bottom w:val="single" w:color="auto" w:sz="4" w:space="0"/>
              <w:right w:val="single" w:color="auto" w:sz="4" w:space="0"/>
            </w:tcBorders>
            <w:noWrap/>
            <w:vAlign w:val="center"/>
          </w:tcPr>
          <w:p w14:paraId="3DAFFC62">
            <w:pPr>
              <w:rPr>
                <w:rFonts w:ascii="宋体" w:cs="宋体"/>
                <w:sz w:val="24"/>
              </w:rPr>
            </w:pPr>
            <w:bookmarkStart w:id="93" w:name="_Toc492451845"/>
            <w:bookmarkStart w:id="94" w:name="_Toc3453"/>
            <w:r>
              <w:rPr>
                <w:rFonts w:hint="eastAsia" w:ascii="宋体" w:cs="宋体"/>
                <w:sz w:val="24"/>
              </w:rPr>
              <w:t>备注</w:t>
            </w:r>
            <w:bookmarkEnd w:id="93"/>
            <w:bookmarkEnd w:id="94"/>
          </w:p>
        </w:tc>
      </w:tr>
      <w:tr w14:paraId="0E4DC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4411488">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7101D563">
            <w:pPr>
              <w:pStyle w:val="16"/>
              <w:jc w:val="center"/>
              <w:outlineLvl w:val="0"/>
              <w:rPr>
                <w:rFonts w:ascii="宋体" w:cs="宋体"/>
                <w:szCs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0B7099D9">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2BDBA2EC">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BB710D0">
            <w:pPr>
              <w:jc w:val="center"/>
              <w:outlineLvl w:val="0"/>
              <w:rPr>
                <w:rFonts w:ascii="宋体" w:cs="宋体"/>
                <w:sz w:val="24"/>
              </w:rPr>
            </w:pPr>
          </w:p>
        </w:tc>
      </w:tr>
      <w:tr w14:paraId="63C84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BD6EAF9">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2AD5C82E">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65FA5E7">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D7F47A6">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61ED357">
            <w:pPr>
              <w:jc w:val="center"/>
              <w:outlineLvl w:val="0"/>
              <w:rPr>
                <w:rFonts w:ascii="宋体" w:cs="宋体"/>
                <w:sz w:val="24"/>
              </w:rPr>
            </w:pPr>
          </w:p>
        </w:tc>
      </w:tr>
      <w:tr w14:paraId="00682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C93C63E">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E05D88A">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0FF3E4F">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365182F8">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0387265">
            <w:pPr>
              <w:jc w:val="center"/>
              <w:outlineLvl w:val="0"/>
              <w:rPr>
                <w:rFonts w:ascii="宋体" w:cs="宋体"/>
                <w:sz w:val="24"/>
              </w:rPr>
            </w:pPr>
          </w:p>
        </w:tc>
      </w:tr>
      <w:tr w14:paraId="7EA45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A61DC1A">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3722888C">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F94D6B5">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306E5E0">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1FB4343">
            <w:pPr>
              <w:jc w:val="center"/>
              <w:outlineLvl w:val="0"/>
              <w:rPr>
                <w:rFonts w:ascii="宋体" w:cs="宋体"/>
                <w:sz w:val="24"/>
              </w:rPr>
            </w:pPr>
          </w:p>
        </w:tc>
      </w:tr>
      <w:tr w14:paraId="6CAF8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8DCC40B">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EB67517">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7CD04D9">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0FFF491">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EF8E2BC">
            <w:pPr>
              <w:jc w:val="center"/>
              <w:outlineLvl w:val="0"/>
              <w:rPr>
                <w:rFonts w:ascii="宋体" w:cs="宋体"/>
                <w:sz w:val="24"/>
              </w:rPr>
            </w:pPr>
          </w:p>
        </w:tc>
      </w:tr>
      <w:tr w14:paraId="0DF40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15667FE">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01D6BC8">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23AB8C5">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379B7504">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17FD8D4">
            <w:pPr>
              <w:jc w:val="center"/>
              <w:outlineLvl w:val="0"/>
              <w:rPr>
                <w:rFonts w:ascii="宋体" w:cs="宋体"/>
                <w:sz w:val="24"/>
              </w:rPr>
            </w:pPr>
          </w:p>
        </w:tc>
      </w:tr>
      <w:tr w14:paraId="10B83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968589C">
            <w:pPr>
              <w:jc w:val="center"/>
              <w:outlineLvl w:val="0"/>
              <w:rPr>
                <w:rFonts w:ascii="宋体" w:cs="宋体"/>
                <w:sz w:val="24"/>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212F619">
            <w:pPr>
              <w:jc w:val="center"/>
              <w:outlineLvl w:val="0"/>
              <w:rPr>
                <w:rFonts w:ascii="宋体" w:cs="宋体"/>
                <w:sz w:val="24"/>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D743635">
            <w:pPr>
              <w:jc w:val="center"/>
              <w:outlineLvl w:val="0"/>
              <w:rPr>
                <w:rFonts w:ascii="宋体" w:cs="宋体"/>
                <w:sz w:val="24"/>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00C3726">
            <w:pPr>
              <w:jc w:val="center"/>
              <w:outlineLvl w:val="0"/>
              <w:rPr>
                <w:rFonts w:ascii="宋体" w:cs="宋体"/>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41C43E6">
            <w:pPr>
              <w:jc w:val="center"/>
              <w:outlineLvl w:val="0"/>
              <w:rPr>
                <w:rFonts w:ascii="宋体" w:cs="宋体"/>
                <w:sz w:val="24"/>
              </w:rPr>
            </w:pPr>
          </w:p>
        </w:tc>
      </w:tr>
    </w:tbl>
    <w:p w14:paraId="44AC749A">
      <w:pPr>
        <w:rPr>
          <w:rFonts w:ascii="宋体" w:cs="宋体"/>
          <w:sz w:val="24"/>
        </w:rPr>
      </w:pPr>
    </w:p>
    <w:p w14:paraId="768A33B2">
      <w:pPr>
        <w:spacing w:line="360" w:lineRule="auto"/>
        <w:rPr>
          <w:rFonts w:ascii="宋体" w:cs="宋体"/>
          <w:sz w:val="24"/>
        </w:rPr>
      </w:pPr>
      <w:r>
        <w:rPr>
          <w:rFonts w:hint="eastAsia" w:ascii="宋体" w:cs="宋体"/>
          <w:sz w:val="24"/>
        </w:rPr>
        <w:t>注：</w:t>
      </w:r>
    </w:p>
    <w:p w14:paraId="5E4CFED9">
      <w:pPr>
        <w:spacing w:line="360" w:lineRule="auto"/>
        <w:ind w:firstLine="480" w:firstLineChars="200"/>
        <w:rPr>
          <w:rFonts w:ascii="宋体" w:cs="宋体"/>
          <w:sz w:val="24"/>
        </w:rPr>
      </w:pPr>
      <w:r>
        <w:rPr>
          <w:rFonts w:hint="eastAsia" w:ascii="宋体" w:cs="宋体"/>
          <w:sz w:val="24"/>
        </w:rPr>
        <w:t>1、 供应商应对照竞争性磋商文件商务要求，逐条说明已对竞争性磋商文件的商务内容做出了实质性的响应，并申明与竞争性磋商文件的偏差和例外。若供应商完全响应竞争性磋商文件商务要求，填写“完全响应”即可，无需填写竞争性磋商文件商务要求中的条文。</w:t>
      </w:r>
    </w:p>
    <w:p w14:paraId="635038D9">
      <w:pPr>
        <w:spacing w:line="360" w:lineRule="auto"/>
        <w:ind w:firstLine="480" w:firstLineChars="200"/>
        <w:rPr>
          <w:rFonts w:ascii="宋体" w:cs="宋体"/>
          <w:sz w:val="24"/>
        </w:rPr>
      </w:pPr>
      <w:r>
        <w:rPr>
          <w:rFonts w:hint="eastAsia" w:ascii="宋体" w:cs="宋体"/>
          <w:sz w:val="24"/>
        </w:rPr>
        <w:t>2、商务条款主要填列付款方式、合同履行期限 、合同履约地点、售后服务、服务质量保证、违约责任等重要条款方面的偏离情况。</w:t>
      </w:r>
    </w:p>
    <w:p w14:paraId="78FD4C2B">
      <w:pPr>
        <w:spacing w:line="360" w:lineRule="auto"/>
        <w:ind w:firstLine="480" w:firstLineChars="200"/>
        <w:rPr>
          <w:rFonts w:ascii="宋体" w:cs="宋体"/>
          <w:sz w:val="24"/>
        </w:rPr>
      </w:pPr>
      <w:r>
        <w:rPr>
          <w:rFonts w:hint="eastAsia" w:ascii="宋体" w:cs="宋体"/>
          <w:sz w:val="24"/>
        </w:rPr>
        <w:t>3、“磋商服务商务条款偏离表”是评审的重要依据，无论所提供的服务与竞争性磋商文件的要求是否有偏离，供应商均须详细填报“商务条款偏离表”。</w:t>
      </w:r>
    </w:p>
    <w:p w14:paraId="51CAEA60">
      <w:pPr>
        <w:spacing w:line="360" w:lineRule="auto"/>
        <w:ind w:firstLine="480" w:firstLineChars="200"/>
        <w:rPr>
          <w:rFonts w:ascii="宋体" w:cs="宋体"/>
          <w:sz w:val="24"/>
        </w:rPr>
      </w:pPr>
      <w:r>
        <w:rPr>
          <w:rFonts w:hint="eastAsia" w:ascii="宋体" w:cs="宋体"/>
          <w:sz w:val="24"/>
        </w:rPr>
        <w:t xml:space="preserve">4、表内如果填列不全，可另外附页说明并按规定签字和加盖公章。             </w:t>
      </w:r>
    </w:p>
    <w:p w14:paraId="63C8700B">
      <w:pPr>
        <w:spacing w:line="360" w:lineRule="auto"/>
        <w:ind w:firstLine="480" w:firstLineChars="200"/>
        <w:rPr>
          <w:rFonts w:ascii="宋体" w:cs="宋体"/>
          <w:sz w:val="24"/>
        </w:rPr>
      </w:pPr>
      <w:bookmarkStart w:id="95" w:name="_Toc492451846"/>
      <w:bookmarkStart w:id="96" w:name="_Toc25931"/>
      <w:r>
        <w:rPr>
          <w:rFonts w:hint="eastAsia" w:ascii="宋体" w:cs="宋体"/>
          <w:sz w:val="24"/>
        </w:rPr>
        <w:t>5、此表可根据需要自行拉长加宽。</w:t>
      </w:r>
      <w:bookmarkEnd w:id="95"/>
      <w:bookmarkEnd w:id="96"/>
    </w:p>
    <w:p w14:paraId="45D00F44">
      <w:pPr>
        <w:rPr>
          <w:rFonts w:ascii="宋体" w:cs="宋体"/>
        </w:rPr>
      </w:pPr>
    </w:p>
    <w:p w14:paraId="26F07921">
      <w:pPr>
        <w:rPr>
          <w:rFonts w:ascii="宋体" w:cs="宋体"/>
        </w:rPr>
      </w:pPr>
    </w:p>
    <w:p w14:paraId="57F27075">
      <w:pPr>
        <w:autoSpaceDE w:val="0"/>
        <w:autoSpaceDN w:val="0"/>
        <w:adjustRightInd w:val="0"/>
        <w:spacing w:line="360" w:lineRule="auto"/>
        <w:ind w:right="480" w:firstLine="6240" w:firstLineChars="2600"/>
        <w:rPr>
          <w:rFonts w:ascii="宋体" w:cs="宋体"/>
          <w:sz w:val="24"/>
          <w:lang w:val="zh-CN"/>
        </w:rPr>
      </w:pPr>
      <w:r>
        <w:rPr>
          <w:rFonts w:hint="eastAsia" w:ascii="宋体" w:cs="宋体"/>
          <w:sz w:val="24"/>
          <w:lang w:val="zh-CN"/>
        </w:rPr>
        <w:t>供应商名称（盖章）：</w:t>
      </w:r>
    </w:p>
    <w:p w14:paraId="6B71CFB1">
      <w:pPr>
        <w:autoSpaceDE w:val="0"/>
        <w:autoSpaceDN w:val="0"/>
        <w:adjustRightInd w:val="0"/>
        <w:spacing w:line="360" w:lineRule="auto"/>
        <w:ind w:right="480" w:firstLine="4920" w:firstLineChars="2050"/>
        <w:rPr>
          <w:rFonts w:ascii="宋体" w:cs="宋体"/>
          <w:sz w:val="24"/>
          <w:lang w:val="zh-CN"/>
        </w:rPr>
      </w:pPr>
    </w:p>
    <w:p w14:paraId="0D280D75">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5C492D74">
      <w:pPr>
        <w:autoSpaceDE w:val="0"/>
        <w:autoSpaceDN w:val="0"/>
        <w:adjustRightInd w:val="0"/>
        <w:spacing w:line="360" w:lineRule="auto"/>
        <w:ind w:firstLine="480"/>
        <w:jc w:val="right"/>
        <w:rPr>
          <w:rFonts w:ascii="宋体" w:cs="宋体"/>
          <w:sz w:val="24"/>
          <w:lang w:val="zh-CN"/>
        </w:rPr>
      </w:pPr>
    </w:p>
    <w:p w14:paraId="7A91A9A0">
      <w:pPr>
        <w:autoSpaceDE w:val="0"/>
        <w:autoSpaceDN w:val="0"/>
        <w:adjustRightInd w:val="0"/>
        <w:ind w:right="480"/>
        <w:jc w:val="right"/>
        <w:rPr>
          <w:rFonts w:ascii="宋体" w:cs="宋体"/>
          <w:sz w:val="24"/>
          <w:lang w:val="zh-CN"/>
        </w:rPr>
      </w:pPr>
      <w:r>
        <w:rPr>
          <w:rFonts w:hint="eastAsia" w:ascii="宋体" w:cs="宋体"/>
          <w:sz w:val="24"/>
          <w:lang w:val="zh-CN"/>
        </w:rPr>
        <w:t>日期：年月日</w:t>
      </w:r>
    </w:p>
    <w:p w14:paraId="67BE4B4E">
      <w:pPr>
        <w:rPr>
          <w:rFonts w:ascii="宋体" w:cs="宋体"/>
        </w:rPr>
      </w:pPr>
    </w:p>
    <w:p w14:paraId="383C5E95">
      <w:pPr>
        <w:rPr>
          <w:rFonts w:ascii="宋体" w:cs="宋体"/>
        </w:rPr>
      </w:pPr>
    </w:p>
    <w:p w14:paraId="42730FAD">
      <w:pPr>
        <w:tabs>
          <w:tab w:val="left" w:pos="1365"/>
        </w:tabs>
        <w:jc w:val="center"/>
        <w:rPr>
          <w:rFonts w:ascii="宋体" w:cs="宋体"/>
          <w:b/>
          <w:sz w:val="24"/>
        </w:rPr>
      </w:pPr>
      <w:r>
        <w:rPr>
          <w:rFonts w:hint="eastAsia" w:ascii="宋体" w:cs="宋体"/>
          <w:b/>
          <w:sz w:val="32"/>
          <w:szCs w:val="32"/>
        </w:rPr>
        <w:t>7、投标货物及技术规格偏离表</w:t>
      </w:r>
    </w:p>
    <w:p w14:paraId="4EF2076A">
      <w:pPr>
        <w:rPr>
          <w:rFonts w:ascii="宋体" w:cs="宋体"/>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3CF55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B6B1F0B">
            <w:pPr>
              <w:rPr>
                <w:rFonts w:ascii="宋体" w:cs="宋体"/>
                <w:sz w:val="24"/>
              </w:rPr>
            </w:pPr>
            <w:bookmarkStart w:id="97" w:name="_Toc11797"/>
            <w:bookmarkStart w:id="98" w:name="_Toc492451847"/>
            <w:bookmarkStart w:id="99" w:name="_Toc420593292"/>
            <w:r>
              <w:rPr>
                <w:rFonts w:hint="eastAsia" w:ascii="宋体" w:cs="宋体"/>
                <w:sz w:val="24"/>
              </w:rPr>
              <w:t>序号</w:t>
            </w:r>
            <w:bookmarkEnd w:id="97"/>
            <w:bookmarkEnd w:id="98"/>
            <w:bookmarkEnd w:id="99"/>
          </w:p>
        </w:tc>
        <w:tc>
          <w:tcPr>
            <w:tcW w:w="1466" w:type="dxa"/>
            <w:tcBorders>
              <w:top w:val="single" w:color="auto" w:sz="4" w:space="0"/>
              <w:left w:val="single" w:color="auto" w:sz="4" w:space="0"/>
              <w:bottom w:val="single" w:color="auto" w:sz="4" w:space="0"/>
              <w:right w:val="single" w:color="auto" w:sz="4" w:space="0"/>
            </w:tcBorders>
            <w:noWrap/>
            <w:vAlign w:val="center"/>
          </w:tcPr>
          <w:p w14:paraId="10F21AF6">
            <w:pPr>
              <w:jc w:val="center"/>
              <w:rPr>
                <w:rFonts w:ascii="宋体" w:cs="宋体"/>
                <w:sz w:val="24"/>
              </w:rPr>
            </w:pPr>
            <w:r>
              <w:rPr>
                <w:rFonts w:hint="eastAsia" w:ascii="宋体" w:cs="宋体"/>
                <w:sz w:val="24"/>
              </w:rPr>
              <w:t>货物名称</w:t>
            </w:r>
          </w:p>
        </w:tc>
        <w:tc>
          <w:tcPr>
            <w:tcW w:w="2559" w:type="dxa"/>
            <w:tcBorders>
              <w:top w:val="single" w:color="auto" w:sz="4" w:space="0"/>
              <w:left w:val="single" w:color="auto" w:sz="4" w:space="0"/>
              <w:bottom w:val="single" w:color="auto" w:sz="4" w:space="0"/>
              <w:right w:val="single" w:color="auto" w:sz="4" w:space="0"/>
            </w:tcBorders>
            <w:noWrap/>
            <w:vAlign w:val="center"/>
          </w:tcPr>
          <w:p w14:paraId="260540FB">
            <w:pPr>
              <w:jc w:val="center"/>
              <w:rPr>
                <w:rFonts w:ascii="宋体" w:cs="宋体"/>
                <w:sz w:val="24"/>
              </w:rPr>
            </w:pPr>
            <w:bookmarkStart w:id="100" w:name="_Toc420593294"/>
            <w:bookmarkStart w:id="101" w:name="_Toc2647"/>
            <w:bookmarkStart w:id="102" w:name="_Toc492451849"/>
            <w:r>
              <w:rPr>
                <w:rFonts w:hint="eastAsia" w:ascii="宋体" w:cs="宋体"/>
                <w:sz w:val="24"/>
              </w:rPr>
              <w:t>竞争性磋商文件规定的技术服务条款</w:t>
            </w:r>
            <w:bookmarkEnd w:id="100"/>
            <w:bookmarkEnd w:id="101"/>
            <w:bookmarkEnd w:id="102"/>
          </w:p>
        </w:tc>
        <w:tc>
          <w:tcPr>
            <w:tcW w:w="2126" w:type="dxa"/>
            <w:tcBorders>
              <w:top w:val="single" w:color="auto" w:sz="4" w:space="0"/>
              <w:left w:val="single" w:color="auto" w:sz="4" w:space="0"/>
              <w:bottom w:val="single" w:color="auto" w:sz="4" w:space="0"/>
              <w:right w:val="single" w:color="auto" w:sz="4" w:space="0"/>
            </w:tcBorders>
            <w:noWrap/>
            <w:vAlign w:val="center"/>
          </w:tcPr>
          <w:p w14:paraId="4CE2515E">
            <w:pPr>
              <w:rPr>
                <w:rFonts w:ascii="宋体" w:cs="宋体"/>
                <w:sz w:val="24"/>
              </w:rPr>
            </w:pPr>
            <w:bookmarkStart w:id="103" w:name="_Toc492451850"/>
            <w:bookmarkStart w:id="104" w:name="_Toc420593295"/>
            <w:bookmarkStart w:id="105" w:name="_Toc31317"/>
            <w:r>
              <w:rPr>
                <w:rFonts w:hint="eastAsia" w:ascii="宋体" w:cs="宋体"/>
                <w:sz w:val="24"/>
              </w:rPr>
              <w:t>磋商响应文件响应的内容</w:t>
            </w:r>
            <w:bookmarkEnd w:id="103"/>
            <w:bookmarkEnd w:id="104"/>
            <w:bookmarkEnd w:id="105"/>
          </w:p>
        </w:tc>
        <w:tc>
          <w:tcPr>
            <w:tcW w:w="1363" w:type="dxa"/>
            <w:tcBorders>
              <w:top w:val="single" w:color="auto" w:sz="4" w:space="0"/>
              <w:left w:val="single" w:color="auto" w:sz="4" w:space="0"/>
              <w:bottom w:val="single" w:color="auto" w:sz="4" w:space="0"/>
              <w:right w:val="single" w:color="auto" w:sz="4" w:space="0"/>
            </w:tcBorders>
            <w:noWrap/>
            <w:vAlign w:val="center"/>
          </w:tcPr>
          <w:p w14:paraId="455DDE3C">
            <w:pPr>
              <w:jc w:val="center"/>
              <w:rPr>
                <w:rFonts w:ascii="宋体" w:cs="宋体"/>
                <w:sz w:val="24"/>
              </w:rPr>
            </w:pPr>
            <w:bookmarkStart w:id="106" w:name="_Toc420593296"/>
            <w:bookmarkStart w:id="107" w:name="_Toc492451851"/>
            <w:bookmarkStart w:id="108" w:name="_Toc3951"/>
            <w:r>
              <w:rPr>
                <w:rFonts w:hint="eastAsia" w:ascii="宋体" w:cs="宋体"/>
                <w:sz w:val="24"/>
              </w:rPr>
              <w:t>偏离</w:t>
            </w:r>
            <w:bookmarkEnd w:id="106"/>
            <w:bookmarkEnd w:id="107"/>
            <w:bookmarkEnd w:id="108"/>
          </w:p>
        </w:tc>
        <w:tc>
          <w:tcPr>
            <w:tcW w:w="940" w:type="dxa"/>
            <w:tcBorders>
              <w:top w:val="single" w:color="auto" w:sz="4" w:space="0"/>
              <w:left w:val="single" w:color="auto" w:sz="4" w:space="0"/>
              <w:bottom w:val="single" w:color="auto" w:sz="4" w:space="0"/>
              <w:right w:val="single" w:color="auto" w:sz="4" w:space="0"/>
            </w:tcBorders>
            <w:noWrap/>
            <w:vAlign w:val="center"/>
          </w:tcPr>
          <w:p w14:paraId="63A794B4">
            <w:pPr>
              <w:jc w:val="center"/>
              <w:rPr>
                <w:rFonts w:ascii="宋体" w:cs="宋体"/>
                <w:sz w:val="24"/>
              </w:rPr>
            </w:pPr>
            <w:bookmarkStart w:id="109" w:name="_Toc7508"/>
            <w:bookmarkStart w:id="110" w:name="_Toc492451852"/>
            <w:bookmarkStart w:id="111" w:name="_Toc420593297"/>
            <w:r>
              <w:rPr>
                <w:rFonts w:hint="eastAsia" w:ascii="宋体" w:cs="宋体"/>
                <w:sz w:val="24"/>
              </w:rPr>
              <w:t>备注</w:t>
            </w:r>
            <w:bookmarkEnd w:id="109"/>
            <w:bookmarkEnd w:id="110"/>
            <w:bookmarkEnd w:id="111"/>
          </w:p>
        </w:tc>
      </w:tr>
      <w:tr w14:paraId="528DB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E44AD7B">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FC6BA0">
            <w:pPr>
              <w:pStyle w:val="16"/>
              <w:ind w:left="5250"/>
              <w:jc w:val="center"/>
              <w:outlineLvl w:val="0"/>
              <w:rPr>
                <w:rFonts w:ascii="宋体" w:cs="宋体"/>
                <w:szCs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B6080C1">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5ED58402">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21DDFFC">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F3D6537">
            <w:pPr>
              <w:jc w:val="center"/>
              <w:outlineLvl w:val="0"/>
              <w:rPr>
                <w:rFonts w:ascii="宋体" w:cs="宋体"/>
                <w:sz w:val="24"/>
              </w:rPr>
            </w:pPr>
          </w:p>
        </w:tc>
      </w:tr>
      <w:tr w14:paraId="6D5EB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0731E9D">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C98122">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F9B9664">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A61D7DE">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3F6E3914">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BF7BCCE">
            <w:pPr>
              <w:jc w:val="center"/>
              <w:outlineLvl w:val="0"/>
              <w:rPr>
                <w:rFonts w:ascii="宋体" w:cs="宋体"/>
                <w:sz w:val="24"/>
              </w:rPr>
            </w:pPr>
          </w:p>
        </w:tc>
      </w:tr>
      <w:tr w14:paraId="1993E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94ECD51">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D2E3DCA">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369D52E">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030DB4F">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C331F84">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3D647E96">
            <w:pPr>
              <w:jc w:val="center"/>
              <w:outlineLvl w:val="0"/>
              <w:rPr>
                <w:rFonts w:ascii="宋体" w:cs="宋体"/>
                <w:sz w:val="24"/>
              </w:rPr>
            </w:pPr>
          </w:p>
        </w:tc>
      </w:tr>
      <w:tr w14:paraId="7A9B1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DB99493">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079DF77">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A41B176">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0C7D26AD">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22451BE">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354AE947">
            <w:pPr>
              <w:jc w:val="center"/>
              <w:outlineLvl w:val="0"/>
              <w:rPr>
                <w:rFonts w:ascii="宋体" w:cs="宋体"/>
                <w:sz w:val="24"/>
              </w:rPr>
            </w:pPr>
          </w:p>
        </w:tc>
      </w:tr>
      <w:tr w14:paraId="2FC0D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F88F0B5">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3E709C0">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3C403E3">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3FB955A7">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645668E9">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04A9037">
            <w:pPr>
              <w:jc w:val="center"/>
              <w:outlineLvl w:val="0"/>
              <w:rPr>
                <w:rFonts w:ascii="宋体" w:cs="宋体"/>
                <w:sz w:val="24"/>
              </w:rPr>
            </w:pPr>
          </w:p>
        </w:tc>
      </w:tr>
      <w:tr w14:paraId="6B037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BB9F2DC">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B78B986">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3677AB63">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B9602E9">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098EA63C">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7BA3CF1">
            <w:pPr>
              <w:jc w:val="center"/>
              <w:outlineLvl w:val="0"/>
              <w:rPr>
                <w:rFonts w:ascii="宋体" w:cs="宋体"/>
                <w:sz w:val="24"/>
              </w:rPr>
            </w:pPr>
          </w:p>
        </w:tc>
      </w:tr>
      <w:tr w14:paraId="26569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B8A7409">
            <w:pPr>
              <w:jc w:val="center"/>
              <w:outlineLvl w:val="0"/>
              <w:rPr>
                <w:rFonts w:ascii="宋体" w:cs="宋体"/>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F8FCDCE">
            <w:pPr>
              <w:jc w:val="center"/>
              <w:outlineLvl w:val="0"/>
              <w:rPr>
                <w:rFonts w:ascii="宋体" w:cs="宋体"/>
                <w:sz w:val="24"/>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4B02096E">
            <w:pPr>
              <w:jc w:val="center"/>
              <w:outlineLvl w:val="0"/>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E4F8852">
            <w:pPr>
              <w:jc w:val="center"/>
              <w:outlineLvl w:val="0"/>
              <w:rPr>
                <w:rFonts w:ascii="宋体" w:cs="宋体"/>
                <w:sz w:val="24"/>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9432DDF">
            <w:pPr>
              <w:jc w:val="center"/>
              <w:outlineLvl w:val="0"/>
              <w:rPr>
                <w:rFonts w:ascii="宋体" w:cs="宋体"/>
                <w:sz w:val="24"/>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768A4016">
            <w:pPr>
              <w:jc w:val="center"/>
              <w:outlineLvl w:val="0"/>
              <w:rPr>
                <w:rFonts w:ascii="宋体" w:cs="宋体"/>
                <w:sz w:val="24"/>
              </w:rPr>
            </w:pPr>
          </w:p>
        </w:tc>
      </w:tr>
    </w:tbl>
    <w:p w14:paraId="5271A43E">
      <w:pPr>
        <w:rPr>
          <w:rFonts w:ascii="宋体" w:cs="宋体"/>
          <w:sz w:val="24"/>
        </w:rPr>
      </w:pPr>
    </w:p>
    <w:p w14:paraId="530DD824">
      <w:pPr>
        <w:spacing w:line="360" w:lineRule="auto"/>
        <w:ind w:firstLine="240" w:firstLineChars="100"/>
        <w:rPr>
          <w:rFonts w:ascii="宋体" w:cs="宋体"/>
          <w:sz w:val="24"/>
        </w:rPr>
      </w:pPr>
      <w:r>
        <w:rPr>
          <w:rFonts w:hint="eastAsia" w:ascii="宋体" w:cs="宋体"/>
          <w:sz w:val="24"/>
        </w:rPr>
        <w:t>注：</w:t>
      </w:r>
    </w:p>
    <w:p w14:paraId="5338C9E1">
      <w:pPr>
        <w:spacing w:line="360" w:lineRule="auto"/>
        <w:ind w:firstLine="600" w:firstLineChars="250"/>
        <w:rPr>
          <w:rFonts w:ascii="宋体" w:cs="宋体"/>
          <w:sz w:val="24"/>
        </w:rPr>
      </w:pPr>
      <w:r>
        <w:rPr>
          <w:rFonts w:hint="eastAsia" w:ascii="宋体" w:cs="宋体"/>
          <w:sz w:val="24"/>
        </w:rPr>
        <w:t>1、供应商应对照竞争性磋商文件技术要求，逐条说明所提供服务技术标准已对竞争性磋商文件的技术要求做出了实质性的响应，并申明与技术要求条文的偏差和例外。若供应商完全响应竞争性磋商文件技术要求，填写“完全响应”即可，无需填写竞争性磋商文件商务要求中的条文。</w:t>
      </w:r>
    </w:p>
    <w:p w14:paraId="23AD9107">
      <w:pPr>
        <w:spacing w:line="360" w:lineRule="auto"/>
        <w:ind w:firstLine="600" w:firstLineChars="250"/>
        <w:rPr>
          <w:rFonts w:ascii="宋体" w:cs="宋体"/>
          <w:sz w:val="24"/>
        </w:rPr>
      </w:pPr>
      <w:r>
        <w:rPr>
          <w:rFonts w:hint="eastAsia" w:ascii="宋体" w:cs="宋体"/>
          <w:sz w:val="24"/>
        </w:rPr>
        <w:t xml:space="preserve">2、表内如果填列不全，可另外附页说明并按规定签字和加盖公章。             </w:t>
      </w:r>
    </w:p>
    <w:p w14:paraId="334F85CB">
      <w:pPr>
        <w:spacing w:line="360" w:lineRule="auto"/>
        <w:ind w:firstLine="600" w:firstLineChars="250"/>
        <w:rPr>
          <w:rFonts w:ascii="宋体" w:cs="宋体"/>
          <w:sz w:val="24"/>
        </w:rPr>
      </w:pPr>
      <w:bookmarkStart w:id="112" w:name="_Toc22204"/>
      <w:bookmarkStart w:id="113" w:name="_Toc420593298"/>
      <w:bookmarkStart w:id="114" w:name="_Toc492451853"/>
      <w:r>
        <w:rPr>
          <w:rFonts w:hint="eastAsia" w:ascii="宋体" w:cs="宋体"/>
          <w:sz w:val="24"/>
        </w:rPr>
        <w:t>3、此表可根据需要自行拉长加宽（或格式自拟）。</w:t>
      </w:r>
      <w:bookmarkEnd w:id="112"/>
      <w:bookmarkEnd w:id="113"/>
      <w:bookmarkEnd w:id="114"/>
    </w:p>
    <w:p w14:paraId="726E92EC">
      <w:pPr>
        <w:rPr>
          <w:rFonts w:ascii="宋体" w:cs="宋体"/>
        </w:rPr>
      </w:pPr>
    </w:p>
    <w:p w14:paraId="15C50E69">
      <w:pPr>
        <w:autoSpaceDE w:val="0"/>
        <w:autoSpaceDN w:val="0"/>
        <w:adjustRightInd w:val="0"/>
        <w:spacing w:line="360" w:lineRule="auto"/>
        <w:ind w:right="480" w:firstLine="4920" w:firstLineChars="2050"/>
        <w:rPr>
          <w:rFonts w:ascii="宋体" w:cs="宋体"/>
          <w:sz w:val="24"/>
          <w:lang w:val="zh-CN"/>
        </w:rPr>
      </w:pPr>
      <w:r>
        <w:rPr>
          <w:rFonts w:hint="eastAsia" w:ascii="宋体" w:cs="宋体"/>
          <w:sz w:val="24"/>
          <w:lang w:val="zh-CN"/>
        </w:rPr>
        <w:t>供应商名称（盖章）：</w:t>
      </w:r>
    </w:p>
    <w:p w14:paraId="50F852D7">
      <w:pPr>
        <w:autoSpaceDE w:val="0"/>
        <w:autoSpaceDN w:val="0"/>
        <w:adjustRightInd w:val="0"/>
        <w:spacing w:line="360" w:lineRule="auto"/>
        <w:ind w:right="480" w:firstLine="4920" w:firstLineChars="2050"/>
        <w:rPr>
          <w:rFonts w:ascii="宋体" w:cs="宋体"/>
          <w:sz w:val="24"/>
          <w:lang w:val="zh-CN"/>
        </w:rPr>
      </w:pPr>
    </w:p>
    <w:p w14:paraId="2D407D47">
      <w:pPr>
        <w:autoSpaceDE w:val="0"/>
        <w:autoSpaceDN w:val="0"/>
        <w:adjustRightInd w:val="0"/>
        <w:spacing w:line="360" w:lineRule="auto"/>
        <w:ind w:firstLine="480"/>
        <w:jc w:val="center"/>
        <w:rPr>
          <w:rFonts w:ascii="宋体" w:cs="宋体"/>
          <w:sz w:val="24"/>
          <w:lang w:val="zh-CN"/>
        </w:rPr>
      </w:pPr>
      <w:r>
        <w:rPr>
          <w:rFonts w:hint="eastAsia" w:ascii="宋体" w:cs="宋体"/>
          <w:sz w:val="24"/>
          <w:lang w:val="zh-CN"/>
        </w:rPr>
        <w:t>法定代表人或其委托代理人（签字）：</w:t>
      </w:r>
    </w:p>
    <w:p w14:paraId="4BB63A88">
      <w:pPr>
        <w:autoSpaceDE w:val="0"/>
        <w:autoSpaceDN w:val="0"/>
        <w:adjustRightInd w:val="0"/>
        <w:spacing w:line="360" w:lineRule="auto"/>
        <w:ind w:firstLine="480"/>
        <w:jc w:val="right"/>
        <w:rPr>
          <w:rFonts w:ascii="宋体" w:cs="宋体"/>
          <w:sz w:val="24"/>
          <w:lang w:val="zh-CN"/>
        </w:rPr>
      </w:pPr>
    </w:p>
    <w:p w14:paraId="1F78408E">
      <w:pPr>
        <w:autoSpaceDE w:val="0"/>
        <w:autoSpaceDN w:val="0"/>
        <w:adjustRightInd w:val="0"/>
        <w:ind w:right="480" w:firstLine="4920" w:firstLineChars="2050"/>
        <w:rPr>
          <w:rFonts w:ascii="宋体" w:cs="宋体"/>
          <w:sz w:val="24"/>
          <w:lang w:val="zh-CN"/>
        </w:rPr>
      </w:pPr>
      <w:r>
        <w:rPr>
          <w:rFonts w:hint="eastAsia" w:ascii="宋体" w:cs="宋体"/>
          <w:sz w:val="24"/>
          <w:lang w:val="zh-CN"/>
        </w:rPr>
        <w:t>日期：年月日</w:t>
      </w:r>
    </w:p>
    <w:p w14:paraId="737611B4">
      <w:pPr>
        <w:tabs>
          <w:tab w:val="left" w:pos="1365"/>
        </w:tabs>
        <w:spacing w:line="360" w:lineRule="auto"/>
        <w:jc w:val="center"/>
        <w:rPr>
          <w:rFonts w:ascii="宋体" w:cs="宋体"/>
          <w:sz w:val="24"/>
        </w:rPr>
      </w:pPr>
    </w:p>
    <w:p w14:paraId="4E40B5B3">
      <w:pPr>
        <w:tabs>
          <w:tab w:val="left" w:pos="1365"/>
        </w:tabs>
        <w:spacing w:line="360" w:lineRule="auto"/>
        <w:jc w:val="center"/>
        <w:rPr>
          <w:rFonts w:ascii="宋体" w:cs="宋体"/>
          <w:sz w:val="24"/>
        </w:rPr>
      </w:pPr>
    </w:p>
    <w:p w14:paraId="58251047">
      <w:pPr>
        <w:rPr>
          <w:rFonts w:ascii="宋体" w:cs="宋体"/>
          <w:b/>
          <w:sz w:val="32"/>
          <w:szCs w:val="32"/>
        </w:rPr>
      </w:pPr>
      <w:r>
        <w:rPr>
          <w:rFonts w:hint="eastAsia" w:ascii="宋体" w:cs="宋体"/>
          <w:b/>
          <w:sz w:val="32"/>
          <w:szCs w:val="32"/>
        </w:rPr>
        <w:br w:type="page"/>
      </w:r>
    </w:p>
    <w:p w14:paraId="54B7DF7E">
      <w:pPr>
        <w:tabs>
          <w:tab w:val="left" w:pos="1365"/>
        </w:tabs>
        <w:spacing w:line="360" w:lineRule="auto"/>
        <w:jc w:val="center"/>
        <w:rPr>
          <w:rFonts w:ascii="宋体" w:cs="宋体"/>
          <w:b/>
          <w:sz w:val="32"/>
          <w:szCs w:val="32"/>
        </w:rPr>
      </w:pPr>
      <w:r>
        <w:rPr>
          <w:rFonts w:hint="eastAsia" w:ascii="宋体" w:cs="宋体"/>
          <w:b/>
          <w:sz w:val="32"/>
          <w:szCs w:val="32"/>
        </w:rPr>
        <w:t>8、供应商资格声明</w:t>
      </w:r>
    </w:p>
    <w:p w14:paraId="367BE658">
      <w:pPr>
        <w:autoSpaceDE w:val="0"/>
        <w:autoSpaceDN w:val="0"/>
        <w:adjustRightInd w:val="0"/>
        <w:spacing w:line="360" w:lineRule="auto"/>
        <w:rPr>
          <w:rFonts w:ascii="宋体" w:cs="宋体"/>
          <w:sz w:val="24"/>
        </w:rPr>
      </w:pPr>
      <w:r>
        <w:rPr>
          <w:rFonts w:hint="eastAsia" w:ascii="宋体" w:cs="宋体"/>
          <w:sz w:val="24"/>
          <w:lang w:val="zh-CN"/>
        </w:rPr>
        <w:t>致：（采购人、采购代理机构）</w:t>
      </w:r>
    </w:p>
    <w:p w14:paraId="2533A9BF">
      <w:pPr>
        <w:autoSpaceDE w:val="0"/>
        <w:autoSpaceDN w:val="0"/>
        <w:adjustRightInd w:val="0"/>
        <w:spacing w:line="360" w:lineRule="auto"/>
        <w:ind w:firstLine="480"/>
        <w:rPr>
          <w:rFonts w:ascii="宋体" w:cs="宋体"/>
          <w:sz w:val="24"/>
        </w:rPr>
      </w:pPr>
      <w:r>
        <w:rPr>
          <w:rFonts w:hint="eastAsia" w:ascii="宋体" w:cs="宋体"/>
          <w:sz w:val="24"/>
        </w:rPr>
        <w:t>一、</w:t>
      </w:r>
      <w:r>
        <w:rPr>
          <w:rFonts w:hint="eastAsia" w:ascii="宋体" w:cs="宋体"/>
          <w:sz w:val="24"/>
          <w:lang w:val="zh-CN"/>
        </w:rPr>
        <w:t>按照《中华人民共和国政府采购法》第</w:t>
      </w:r>
      <w:r>
        <w:rPr>
          <w:rFonts w:hint="eastAsia" w:ascii="宋体" w:cs="宋体"/>
          <w:sz w:val="24"/>
        </w:rPr>
        <w:t>二十二</w:t>
      </w:r>
      <w:r>
        <w:rPr>
          <w:rFonts w:hint="eastAsia" w:ascii="宋体" w:cs="宋体"/>
          <w:sz w:val="24"/>
          <w:lang w:val="zh-CN"/>
        </w:rPr>
        <w:t>条和你公司发布的《</w:t>
      </w:r>
      <w:r>
        <w:rPr>
          <w:rFonts w:hint="eastAsia" w:ascii="宋体" w:cs="宋体"/>
          <w:sz w:val="24"/>
          <w:u w:val="single"/>
          <w:lang w:val="zh-CN"/>
        </w:rPr>
        <w:t xml:space="preserve">项目名称、项目编号 </w:t>
      </w:r>
      <w:r>
        <w:rPr>
          <w:rFonts w:hint="eastAsia" w:ascii="宋体" w:cs="宋体"/>
          <w:sz w:val="24"/>
          <w:lang w:val="zh-CN"/>
        </w:rPr>
        <w:t>竞争性磋商文件》的规定，我公司郑重声明如下：</w:t>
      </w:r>
    </w:p>
    <w:p w14:paraId="4B072D9D">
      <w:pPr>
        <w:autoSpaceDE w:val="0"/>
        <w:autoSpaceDN w:val="0"/>
        <w:adjustRightInd w:val="0"/>
        <w:spacing w:line="360" w:lineRule="auto"/>
        <w:ind w:firstLine="480"/>
        <w:jc w:val="left"/>
        <w:rPr>
          <w:rFonts w:ascii="宋体" w:cs="宋体"/>
          <w:sz w:val="24"/>
        </w:rPr>
      </w:pPr>
      <w:r>
        <w:rPr>
          <w:rFonts w:hint="eastAsia" w:ascii="宋体" w:cs="宋体"/>
          <w:sz w:val="24"/>
        </w:rPr>
        <w:t>1</w:t>
      </w:r>
      <w:r>
        <w:rPr>
          <w:rFonts w:hint="eastAsia" w:ascii="宋体" w:cs="宋体"/>
          <w:sz w:val="24"/>
          <w:lang w:val="zh-CN"/>
        </w:rPr>
        <w:t>、我公司是按照中华人民共和国法律在工商管理机关登记注册的企业法人，注册地点为</w:t>
      </w:r>
      <w:r>
        <w:rPr>
          <w:rFonts w:hint="eastAsia" w:ascii="宋体" w:cs="宋体"/>
          <w:sz w:val="24"/>
          <w:u w:val="single"/>
        </w:rPr>
        <w:t xml:space="preserve">           </w:t>
      </w:r>
      <w:r>
        <w:rPr>
          <w:rFonts w:hint="eastAsia" w:ascii="宋体" w:cs="宋体"/>
          <w:sz w:val="24"/>
          <w:lang w:val="zh-CN"/>
        </w:rPr>
        <w:t>，公司全称为</w:t>
      </w:r>
      <w:r>
        <w:rPr>
          <w:rFonts w:hint="eastAsia" w:ascii="宋体" w:cs="宋体"/>
          <w:sz w:val="24"/>
          <w:u w:val="single"/>
        </w:rPr>
        <w:t xml:space="preserve">           </w:t>
      </w:r>
      <w:r>
        <w:rPr>
          <w:rFonts w:hint="eastAsia" w:ascii="宋体" w:cs="宋体"/>
          <w:sz w:val="24"/>
          <w:lang w:val="zh-CN"/>
        </w:rPr>
        <w:t>，法定代表人为</w:t>
      </w:r>
      <w:r>
        <w:rPr>
          <w:rFonts w:hint="eastAsia" w:ascii="宋体" w:cs="宋体"/>
          <w:sz w:val="24"/>
          <w:u w:val="single"/>
        </w:rPr>
        <w:t xml:space="preserve">           </w:t>
      </w:r>
      <w:r>
        <w:rPr>
          <w:rFonts w:hint="eastAsia" w:ascii="宋体" w:cs="宋体"/>
          <w:sz w:val="24"/>
          <w:lang w:val="zh-CN"/>
        </w:rPr>
        <w:t>，具有独立承担民事责任的能力。</w:t>
      </w:r>
    </w:p>
    <w:p w14:paraId="73B95F80">
      <w:pPr>
        <w:autoSpaceDE w:val="0"/>
        <w:autoSpaceDN w:val="0"/>
        <w:adjustRightInd w:val="0"/>
        <w:spacing w:line="360" w:lineRule="auto"/>
        <w:ind w:firstLine="480"/>
        <w:rPr>
          <w:rFonts w:ascii="宋体" w:cs="宋体"/>
          <w:sz w:val="24"/>
        </w:rPr>
      </w:pPr>
      <w:r>
        <w:rPr>
          <w:rFonts w:hint="eastAsia" w:ascii="宋体" w:cs="宋体"/>
          <w:sz w:val="24"/>
        </w:rPr>
        <w:t>2</w:t>
      </w:r>
      <w:r>
        <w:rPr>
          <w:rFonts w:hint="eastAsia" w:ascii="宋体" w:cs="宋体"/>
          <w:sz w:val="24"/>
          <w:lang w:val="zh-CN"/>
        </w:rPr>
        <w:t>、我公司具有良好的商业信誉和健全的财务会计制度。</w:t>
      </w:r>
    </w:p>
    <w:p w14:paraId="5B7680B1">
      <w:pPr>
        <w:autoSpaceDE w:val="0"/>
        <w:autoSpaceDN w:val="0"/>
        <w:adjustRightInd w:val="0"/>
        <w:spacing w:line="360" w:lineRule="auto"/>
        <w:ind w:firstLine="480"/>
        <w:rPr>
          <w:rFonts w:ascii="宋体" w:cs="宋体"/>
          <w:sz w:val="24"/>
        </w:rPr>
      </w:pPr>
      <w:r>
        <w:rPr>
          <w:rFonts w:hint="eastAsia" w:ascii="宋体" w:cs="宋体"/>
          <w:sz w:val="24"/>
        </w:rPr>
        <w:t>3</w:t>
      </w:r>
      <w:r>
        <w:rPr>
          <w:rFonts w:hint="eastAsia" w:ascii="宋体" w:cs="宋体"/>
          <w:sz w:val="24"/>
          <w:lang w:val="zh-CN"/>
        </w:rPr>
        <w:t>、我公司具有履行本项目采购合同所必需的设备和专业技术能力。</w:t>
      </w:r>
    </w:p>
    <w:p w14:paraId="730DFB7C">
      <w:pPr>
        <w:autoSpaceDE w:val="0"/>
        <w:autoSpaceDN w:val="0"/>
        <w:adjustRightInd w:val="0"/>
        <w:spacing w:line="360" w:lineRule="auto"/>
        <w:ind w:firstLine="480"/>
        <w:rPr>
          <w:rFonts w:ascii="宋体" w:cs="宋体"/>
          <w:sz w:val="24"/>
        </w:rPr>
      </w:pPr>
      <w:r>
        <w:rPr>
          <w:rFonts w:hint="eastAsia" w:ascii="宋体" w:cs="宋体"/>
          <w:sz w:val="24"/>
        </w:rPr>
        <w:t>4</w:t>
      </w:r>
      <w:r>
        <w:rPr>
          <w:rFonts w:hint="eastAsia" w:ascii="宋体" w:cs="宋体"/>
          <w:sz w:val="24"/>
          <w:lang w:val="zh-CN"/>
        </w:rPr>
        <w:t>、我公司具有依法缴纳税收和社会保障资金的良好记录。</w:t>
      </w:r>
    </w:p>
    <w:p w14:paraId="74BCB431">
      <w:pPr>
        <w:autoSpaceDE w:val="0"/>
        <w:autoSpaceDN w:val="0"/>
        <w:adjustRightInd w:val="0"/>
        <w:spacing w:line="360" w:lineRule="auto"/>
        <w:ind w:firstLine="480"/>
        <w:rPr>
          <w:rFonts w:ascii="宋体" w:cs="宋体"/>
          <w:sz w:val="24"/>
        </w:rPr>
      </w:pPr>
      <w:r>
        <w:rPr>
          <w:rFonts w:hint="eastAsia" w:ascii="宋体" w:cs="宋体"/>
          <w:sz w:val="24"/>
        </w:rPr>
        <w:t>5</w:t>
      </w:r>
      <w:r>
        <w:rPr>
          <w:rFonts w:hint="eastAsia" w:ascii="宋体" w:cs="宋体"/>
          <w:sz w:val="24"/>
          <w:lang w:val="zh-CN"/>
        </w:rPr>
        <w:t>、我公司在参与本次政府采购活动之前三年内，在经营活动中无重大违法记录。</w:t>
      </w:r>
    </w:p>
    <w:p w14:paraId="077F34D2">
      <w:pPr>
        <w:autoSpaceDE w:val="0"/>
        <w:autoSpaceDN w:val="0"/>
        <w:adjustRightInd w:val="0"/>
        <w:spacing w:line="360" w:lineRule="auto"/>
        <w:ind w:firstLine="480"/>
        <w:rPr>
          <w:rFonts w:ascii="宋体" w:cs="宋体"/>
          <w:sz w:val="24"/>
        </w:rPr>
      </w:pPr>
      <w:r>
        <w:rPr>
          <w:rFonts w:hint="eastAsia" w:ascii="宋体" w:cs="宋体"/>
          <w:sz w:val="24"/>
        </w:rPr>
        <w:t>6</w:t>
      </w:r>
      <w:r>
        <w:rPr>
          <w:rFonts w:hint="eastAsia" w:ascii="宋体" w:cs="宋体"/>
          <w:sz w:val="24"/>
          <w:lang w:val="zh-CN"/>
        </w:rPr>
        <w:t>、我公司在参与本次政府采购活动时未受到任何地方政府采购部门作出的暂停参加政府采购活动的处罚。</w:t>
      </w:r>
    </w:p>
    <w:p w14:paraId="6C98D759">
      <w:pPr>
        <w:autoSpaceDE w:val="0"/>
        <w:autoSpaceDN w:val="0"/>
        <w:adjustRightInd w:val="0"/>
        <w:spacing w:line="360" w:lineRule="auto"/>
        <w:ind w:firstLine="480"/>
        <w:rPr>
          <w:rFonts w:ascii="宋体" w:cs="宋体"/>
          <w:sz w:val="24"/>
        </w:rPr>
      </w:pPr>
      <w:r>
        <w:rPr>
          <w:rFonts w:hint="eastAsia" w:ascii="宋体" w:cs="宋体"/>
          <w:sz w:val="24"/>
          <w:lang w:val="zh-CN"/>
        </w:rPr>
        <w:t>二、我公司保证上述声明的事项都是真实的，如有虚假，我公司承担相应的法律责任，并承担因此给你公司以及本项目采购人所造成的损失。</w:t>
      </w:r>
    </w:p>
    <w:p w14:paraId="702432D8">
      <w:pPr>
        <w:autoSpaceDE w:val="0"/>
        <w:autoSpaceDN w:val="0"/>
        <w:adjustRightInd w:val="0"/>
        <w:spacing w:line="360" w:lineRule="auto"/>
        <w:ind w:firstLine="480"/>
        <w:rPr>
          <w:rFonts w:ascii="宋体" w:cs="宋体"/>
          <w:sz w:val="24"/>
          <w:lang w:val="zh-CN"/>
        </w:rPr>
      </w:pPr>
      <w:r>
        <w:rPr>
          <w:rFonts w:hint="eastAsia" w:ascii="宋体" w:cs="宋体"/>
          <w:sz w:val="24"/>
        </w:rPr>
        <w:t>三、</w:t>
      </w:r>
      <w:r>
        <w:rPr>
          <w:rFonts w:hint="eastAsia" w:ascii="宋体" w:cs="宋体"/>
          <w:sz w:val="24"/>
          <w:lang w:val="zh-CN"/>
        </w:rPr>
        <w:t>我公司已经按照你公司</w:t>
      </w:r>
      <w:r>
        <w:rPr>
          <w:rFonts w:hint="eastAsia" w:ascii="宋体" w:cs="宋体"/>
          <w:sz w:val="24"/>
        </w:rPr>
        <w:t>竞争性磋商</w:t>
      </w:r>
      <w:r>
        <w:rPr>
          <w:rFonts w:hint="eastAsia" w:ascii="宋体" w:cs="宋体"/>
          <w:sz w:val="24"/>
          <w:lang w:val="zh-CN"/>
        </w:rPr>
        <w:t>文件的要求提交了所要求提交的能够证明上述声明事项真实性的全部文件材料，并保证随时按照你公司的要求提供能够证明上述声明事项真实性的任何有效文件。</w:t>
      </w:r>
    </w:p>
    <w:p w14:paraId="3515DB1C">
      <w:pPr>
        <w:autoSpaceDE w:val="0"/>
        <w:autoSpaceDN w:val="0"/>
        <w:adjustRightInd w:val="0"/>
        <w:spacing w:line="360" w:lineRule="auto"/>
        <w:ind w:firstLine="480"/>
        <w:rPr>
          <w:rFonts w:ascii="宋体" w:cs="宋体"/>
          <w:sz w:val="24"/>
          <w:lang w:val="zh-CN"/>
        </w:rPr>
      </w:pPr>
    </w:p>
    <w:p w14:paraId="411704A9">
      <w:pPr>
        <w:autoSpaceDE w:val="0"/>
        <w:autoSpaceDN w:val="0"/>
        <w:adjustRightInd w:val="0"/>
        <w:spacing w:line="360" w:lineRule="auto"/>
        <w:ind w:firstLine="480"/>
        <w:rPr>
          <w:rFonts w:ascii="宋体" w:cs="宋体"/>
          <w:sz w:val="24"/>
          <w:lang w:val="zh-CN"/>
        </w:rPr>
      </w:pPr>
    </w:p>
    <w:p w14:paraId="726A2EE0">
      <w:pPr>
        <w:autoSpaceDE w:val="0"/>
        <w:autoSpaceDN w:val="0"/>
        <w:adjustRightInd w:val="0"/>
        <w:spacing w:line="360" w:lineRule="auto"/>
        <w:ind w:firstLine="480"/>
        <w:jc w:val="right"/>
        <w:rPr>
          <w:rFonts w:ascii="宋体" w:cs="宋体"/>
          <w:sz w:val="24"/>
          <w:lang w:val="zh-CN"/>
        </w:rPr>
      </w:pPr>
    </w:p>
    <w:p w14:paraId="47CD10C7">
      <w:pPr>
        <w:autoSpaceDE w:val="0"/>
        <w:autoSpaceDN w:val="0"/>
        <w:adjustRightInd w:val="0"/>
        <w:spacing w:line="360" w:lineRule="auto"/>
        <w:ind w:right="480" w:firstLine="6240" w:firstLineChars="2600"/>
        <w:rPr>
          <w:rFonts w:ascii="宋体" w:cs="宋体"/>
          <w:sz w:val="24"/>
          <w:lang w:val="zh-CN"/>
        </w:rPr>
      </w:pPr>
      <w:r>
        <w:rPr>
          <w:rFonts w:hint="eastAsia" w:ascii="宋体" w:cs="宋体"/>
          <w:sz w:val="24"/>
          <w:lang w:val="zh-CN"/>
        </w:rPr>
        <w:t>供应商名称（盖章）：</w:t>
      </w:r>
    </w:p>
    <w:p w14:paraId="55129B69">
      <w:pPr>
        <w:autoSpaceDE w:val="0"/>
        <w:autoSpaceDN w:val="0"/>
        <w:adjustRightInd w:val="0"/>
        <w:spacing w:line="360" w:lineRule="auto"/>
        <w:ind w:right="480" w:firstLine="4920" w:firstLineChars="2050"/>
        <w:rPr>
          <w:rFonts w:ascii="宋体" w:cs="宋体"/>
          <w:sz w:val="24"/>
          <w:lang w:val="zh-CN"/>
        </w:rPr>
      </w:pPr>
    </w:p>
    <w:p w14:paraId="1CFCE6BD">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26C20C17">
      <w:pPr>
        <w:autoSpaceDE w:val="0"/>
        <w:autoSpaceDN w:val="0"/>
        <w:adjustRightInd w:val="0"/>
        <w:spacing w:line="360" w:lineRule="auto"/>
        <w:ind w:firstLine="480"/>
        <w:jc w:val="right"/>
        <w:rPr>
          <w:rFonts w:ascii="宋体" w:cs="宋体"/>
          <w:sz w:val="24"/>
          <w:lang w:val="zh-CN"/>
        </w:rPr>
      </w:pPr>
    </w:p>
    <w:p w14:paraId="60EDE281">
      <w:pPr>
        <w:autoSpaceDE w:val="0"/>
        <w:autoSpaceDN w:val="0"/>
        <w:adjustRightInd w:val="0"/>
        <w:ind w:right="480" w:firstLine="5280" w:firstLineChars="2200"/>
        <w:rPr>
          <w:rFonts w:ascii="宋体" w:cs="宋体"/>
          <w:sz w:val="24"/>
          <w:lang w:val="zh-CN"/>
        </w:rPr>
      </w:pPr>
      <w:r>
        <w:rPr>
          <w:rFonts w:hint="eastAsia" w:ascii="宋体" w:cs="宋体"/>
          <w:sz w:val="24"/>
          <w:lang w:val="zh-CN"/>
        </w:rPr>
        <w:t>日期：年月日</w:t>
      </w:r>
    </w:p>
    <w:p w14:paraId="3007879B">
      <w:pPr>
        <w:tabs>
          <w:tab w:val="left" w:pos="0"/>
        </w:tabs>
        <w:spacing w:line="360" w:lineRule="auto"/>
        <w:ind w:left="315" w:leftChars="150" w:firstLine="120" w:firstLineChars="50"/>
        <w:jc w:val="right"/>
        <w:rPr>
          <w:rFonts w:ascii="宋体" w:cs="宋体"/>
          <w:sz w:val="24"/>
          <w:lang w:val="zh-CN"/>
        </w:rPr>
      </w:pPr>
    </w:p>
    <w:p w14:paraId="039032BB">
      <w:pPr>
        <w:tabs>
          <w:tab w:val="left" w:pos="0"/>
        </w:tabs>
        <w:spacing w:line="360" w:lineRule="auto"/>
        <w:ind w:left="315" w:leftChars="150" w:firstLine="120" w:firstLineChars="50"/>
        <w:jc w:val="left"/>
        <w:rPr>
          <w:rFonts w:ascii="宋体" w:cs="宋体"/>
          <w:sz w:val="24"/>
          <w:lang w:val="zh-CN"/>
        </w:rPr>
      </w:pPr>
    </w:p>
    <w:p w14:paraId="58A47EC7">
      <w:pPr>
        <w:tabs>
          <w:tab w:val="left" w:pos="0"/>
        </w:tabs>
        <w:spacing w:line="360" w:lineRule="auto"/>
        <w:ind w:left="315" w:leftChars="150" w:firstLine="120" w:firstLineChars="50"/>
        <w:jc w:val="left"/>
        <w:rPr>
          <w:rFonts w:ascii="宋体" w:cs="宋体"/>
          <w:sz w:val="24"/>
          <w:lang w:val="zh-CN"/>
        </w:rPr>
      </w:pPr>
    </w:p>
    <w:p w14:paraId="6A897963">
      <w:pPr>
        <w:tabs>
          <w:tab w:val="left" w:pos="0"/>
        </w:tabs>
        <w:spacing w:line="360" w:lineRule="auto"/>
        <w:jc w:val="center"/>
        <w:rPr>
          <w:rFonts w:ascii="宋体" w:cs="宋体"/>
          <w:b/>
          <w:sz w:val="32"/>
          <w:szCs w:val="32"/>
        </w:rPr>
      </w:pPr>
      <w:r>
        <w:rPr>
          <w:rFonts w:hint="eastAsia" w:ascii="宋体" w:cs="宋体"/>
          <w:b/>
          <w:sz w:val="32"/>
          <w:szCs w:val="32"/>
        </w:rPr>
        <w:br w:type="page"/>
      </w:r>
      <w:r>
        <w:rPr>
          <w:rFonts w:hint="eastAsia" w:ascii="宋体" w:cs="宋体"/>
          <w:b/>
          <w:sz w:val="32"/>
          <w:szCs w:val="32"/>
        </w:rPr>
        <w:t>9、供应商基本情况</w:t>
      </w:r>
    </w:p>
    <w:p w14:paraId="4CD8BC95">
      <w:pPr>
        <w:widowControl/>
        <w:spacing w:line="360" w:lineRule="auto"/>
        <w:jc w:val="left"/>
        <w:rPr>
          <w:rFonts w:ascii="宋体" w:cs="宋体"/>
          <w:b/>
          <w:bCs/>
          <w:kern w:val="0"/>
          <w:sz w:val="24"/>
        </w:rPr>
      </w:pPr>
      <w:r>
        <w:rPr>
          <w:rFonts w:hint="eastAsia" w:ascii="宋体" w:cs="宋体"/>
          <w:b/>
          <w:bCs/>
          <w:kern w:val="0"/>
          <w:sz w:val="24"/>
        </w:rPr>
        <w:t>单位名称：(公章）</w:t>
      </w:r>
    </w:p>
    <w:tbl>
      <w:tblPr>
        <w:tblStyle w:val="28"/>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53"/>
        <w:gridCol w:w="1313"/>
        <w:gridCol w:w="2056"/>
        <w:gridCol w:w="1236"/>
      </w:tblGrid>
      <w:tr w14:paraId="18DEF3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535665CC">
            <w:pPr>
              <w:autoSpaceDE w:val="0"/>
              <w:autoSpaceDN w:val="0"/>
              <w:adjustRightInd w:val="0"/>
              <w:spacing w:line="360" w:lineRule="auto"/>
              <w:jc w:val="center"/>
              <w:rPr>
                <w:rFonts w:ascii="宋体" w:cs="宋体"/>
                <w:sz w:val="24"/>
              </w:rPr>
            </w:pPr>
            <w:r>
              <w:rPr>
                <w:rFonts w:hint="eastAsia" w:ascii="宋体" w:cs="宋体"/>
                <w:sz w:val="24"/>
              </w:rPr>
              <w:t>供应商全称</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E85FFF1">
            <w:pPr>
              <w:autoSpaceDE w:val="0"/>
              <w:autoSpaceDN w:val="0"/>
              <w:adjustRightInd w:val="0"/>
              <w:spacing w:line="360" w:lineRule="auto"/>
              <w:jc w:val="center"/>
              <w:rPr>
                <w:rFonts w:ascii="宋体" w:cs="宋体"/>
                <w:sz w:val="24"/>
              </w:rPr>
            </w:pPr>
          </w:p>
        </w:tc>
      </w:tr>
      <w:tr w14:paraId="43282E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7BB239E">
            <w:pPr>
              <w:autoSpaceDE w:val="0"/>
              <w:autoSpaceDN w:val="0"/>
              <w:adjustRightInd w:val="0"/>
              <w:spacing w:line="360" w:lineRule="auto"/>
              <w:jc w:val="center"/>
              <w:rPr>
                <w:rFonts w:ascii="宋体" w:cs="宋体"/>
                <w:sz w:val="24"/>
              </w:rPr>
            </w:pPr>
            <w:r>
              <w:rPr>
                <w:rFonts w:hint="eastAsia" w:ascii="宋体" w:cs="宋体"/>
                <w:sz w:val="24"/>
                <w:lang w:val="zh-CN"/>
              </w:rPr>
              <w:t>法定代表人</w:t>
            </w:r>
          </w:p>
        </w:tc>
        <w:tc>
          <w:tcPr>
            <w:tcW w:w="2153" w:type="dxa"/>
            <w:tcBorders>
              <w:top w:val="single" w:color="auto" w:sz="6" w:space="0"/>
              <w:left w:val="single" w:color="auto" w:sz="6" w:space="0"/>
              <w:bottom w:val="single" w:color="auto" w:sz="6" w:space="0"/>
              <w:right w:val="single" w:color="auto" w:sz="6" w:space="0"/>
            </w:tcBorders>
            <w:noWrap/>
            <w:vAlign w:val="center"/>
          </w:tcPr>
          <w:p w14:paraId="248397E5">
            <w:pPr>
              <w:autoSpaceDE w:val="0"/>
              <w:autoSpaceDN w:val="0"/>
              <w:adjustRightInd w:val="0"/>
              <w:spacing w:line="360" w:lineRule="auto"/>
              <w:jc w:val="center"/>
              <w:rPr>
                <w:rFonts w:ascii="宋体" w:cs="宋体"/>
                <w:sz w:val="24"/>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0E7F0B3F">
            <w:pPr>
              <w:autoSpaceDE w:val="0"/>
              <w:autoSpaceDN w:val="0"/>
              <w:adjustRightInd w:val="0"/>
              <w:spacing w:line="360" w:lineRule="auto"/>
              <w:jc w:val="center"/>
              <w:rPr>
                <w:rFonts w:ascii="宋体" w:cs="宋体"/>
                <w:sz w:val="24"/>
              </w:rPr>
            </w:pPr>
            <w:r>
              <w:rPr>
                <w:rFonts w:hint="eastAsia" w:ascii="宋体" w:cs="宋体"/>
                <w:sz w:val="24"/>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3BDF74D7">
            <w:pPr>
              <w:autoSpaceDE w:val="0"/>
              <w:autoSpaceDN w:val="0"/>
              <w:adjustRightInd w:val="0"/>
              <w:spacing w:line="360" w:lineRule="auto"/>
              <w:jc w:val="center"/>
              <w:rPr>
                <w:rFonts w:ascii="宋体" w:cs="宋体"/>
                <w:sz w:val="24"/>
              </w:rPr>
            </w:pPr>
          </w:p>
        </w:tc>
      </w:tr>
      <w:tr w14:paraId="1CA751A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7BCAD170">
            <w:pPr>
              <w:autoSpaceDE w:val="0"/>
              <w:autoSpaceDN w:val="0"/>
              <w:adjustRightInd w:val="0"/>
              <w:spacing w:line="360" w:lineRule="auto"/>
              <w:jc w:val="center"/>
              <w:rPr>
                <w:rFonts w:ascii="宋体" w:cs="宋体"/>
                <w:sz w:val="24"/>
              </w:rPr>
            </w:pPr>
            <w:r>
              <w:rPr>
                <w:rFonts w:hint="eastAsia" w:ascii="宋体" w:cs="宋体"/>
                <w:sz w:val="24"/>
                <w:lang w:val="zh-CN"/>
              </w:rPr>
              <w:t>企业地址</w:t>
            </w:r>
          </w:p>
        </w:tc>
        <w:tc>
          <w:tcPr>
            <w:tcW w:w="2153" w:type="dxa"/>
            <w:tcBorders>
              <w:top w:val="single" w:color="auto" w:sz="6" w:space="0"/>
              <w:left w:val="single" w:color="auto" w:sz="6" w:space="0"/>
              <w:bottom w:val="single" w:color="auto" w:sz="6" w:space="0"/>
              <w:right w:val="single" w:color="auto" w:sz="6" w:space="0"/>
            </w:tcBorders>
            <w:noWrap/>
            <w:vAlign w:val="center"/>
          </w:tcPr>
          <w:p w14:paraId="27E3FCD6">
            <w:pPr>
              <w:autoSpaceDE w:val="0"/>
              <w:autoSpaceDN w:val="0"/>
              <w:adjustRightInd w:val="0"/>
              <w:spacing w:line="360" w:lineRule="auto"/>
              <w:jc w:val="center"/>
              <w:rPr>
                <w:rFonts w:ascii="宋体" w:cs="宋体"/>
                <w:sz w:val="24"/>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0E9B15E3">
            <w:pPr>
              <w:autoSpaceDE w:val="0"/>
              <w:autoSpaceDN w:val="0"/>
              <w:adjustRightInd w:val="0"/>
              <w:spacing w:line="360" w:lineRule="auto"/>
              <w:jc w:val="center"/>
              <w:rPr>
                <w:rFonts w:ascii="宋体" w:cs="宋体"/>
                <w:sz w:val="24"/>
              </w:rPr>
            </w:pPr>
            <w:r>
              <w:rPr>
                <w:rFonts w:hint="eastAsia" w:ascii="宋体" w:cs="宋体"/>
                <w:sz w:val="24"/>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64006B3E">
            <w:pPr>
              <w:autoSpaceDE w:val="0"/>
              <w:autoSpaceDN w:val="0"/>
              <w:adjustRightInd w:val="0"/>
              <w:spacing w:line="360" w:lineRule="auto"/>
              <w:ind w:firstLine="2160"/>
              <w:jc w:val="center"/>
              <w:rPr>
                <w:rFonts w:ascii="宋体" w:cs="宋体"/>
                <w:sz w:val="24"/>
              </w:rPr>
            </w:pPr>
            <w:r>
              <w:rPr>
                <w:rFonts w:hint="eastAsia" w:ascii="宋体" w:cs="宋体"/>
                <w:sz w:val="24"/>
                <w:lang w:val="zh-CN"/>
              </w:rPr>
              <w:t>万元</w:t>
            </w:r>
          </w:p>
        </w:tc>
      </w:tr>
      <w:tr w14:paraId="6EB90A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3300C59F">
            <w:pPr>
              <w:autoSpaceDE w:val="0"/>
              <w:autoSpaceDN w:val="0"/>
              <w:adjustRightInd w:val="0"/>
              <w:spacing w:line="360" w:lineRule="auto"/>
              <w:jc w:val="center"/>
              <w:rPr>
                <w:rFonts w:ascii="宋体" w:cs="宋体"/>
                <w:sz w:val="24"/>
              </w:rPr>
            </w:pPr>
            <w:r>
              <w:rPr>
                <w:rFonts w:hint="eastAsia" w:ascii="宋体" w:cs="宋体"/>
                <w:sz w:val="24"/>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D833EFF">
            <w:pPr>
              <w:autoSpaceDE w:val="0"/>
              <w:autoSpaceDN w:val="0"/>
              <w:adjustRightInd w:val="0"/>
              <w:spacing w:line="360" w:lineRule="auto"/>
              <w:jc w:val="center"/>
              <w:rPr>
                <w:rFonts w:ascii="宋体" w:cs="宋体"/>
                <w:sz w:val="24"/>
              </w:rPr>
            </w:pPr>
          </w:p>
        </w:tc>
      </w:tr>
      <w:tr w14:paraId="17D3A39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04AC451">
            <w:pPr>
              <w:autoSpaceDE w:val="0"/>
              <w:autoSpaceDN w:val="0"/>
              <w:adjustRightInd w:val="0"/>
              <w:spacing w:line="360" w:lineRule="auto"/>
              <w:jc w:val="center"/>
              <w:rPr>
                <w:rFonts w:ascii="宋体" w:cs="宋体"/>
                <w:sz w:val="24"/>
              </w:rPr>
            </w:pPr>
            <w:r>
              <w:rPr>
                <w:rFonts w:hint="eastAsia" w:ascii="宋体" w:cs="宋体"/>
                <w:sz w:val="24"/>
                <w:lang w:val="zh-CN"/>
              </w:rPr>
              <w:t>职工人数</w:t>
            </w:r>
          </w:p>
        </w:tc>
        <w:tc>
          <w:tcPr>
            <w:tcW w:w="2153" w:type="dxa"/>
            <w:tcBorders>
              <w:top w:val="single" w:color="auto" w:sz="6" w:space="0"/>
              <w:left w:val="single" w:color="auto" w:sz="6" w:space="0"/>
              <w:bottom w:val="single" w:color="auto" w:sz="6" w:space="0"/>
              <w:right w:val="single" w:color="auto" w:sz="6" w:space="0"/>
            </w:tcBorders>
            <w:noWrap/>
            <w:vAlign w:val="center"/>
          </w:tcPr>
          <w:p w14:paraId="617701D2">
            <w:pPr>
              <w:autoSpaceDE w:val="0"/>
              <w:autoSpaceDN w:val="0"/>
              <w:adjustRightInd w:val="0"/>
              <w:spacing w:line="360" w:lineRule="auto"/>
              <w:jc w:val="center"/>
              <w:rPr>
                <w:rFonts w:ascii="宋体" w:cs="宋体"/>
                <w:sz w:val="24"/>
              </w:rPr>
            </w:pPr>
          </w:p>
        </w:tc>
        <w:tc>
          <w:tcPr>
            <w:tcW w:w="3369" w:type="dxa"/>
            <w:gridSpan w:val="2"/>
            <w:tcBorders>
              <w:top w:val="single" w:color="auto" w:sz="6" w:space="0"/>
              <w:left w:val="single" w:color="auto" w:sz="6" w:space="0"/>
              <w:bottom w:val="single" w:color="auto" w:sz="6" w:space="0"/>
              <w:right w:val="single" w:color="auto" w:sz="6" w:space="0"/>
            </w:tcBorders>
            <w:noWrap/>
            <w:vAlign w:val="center"/>
          </w:tcPr>
          <w:p w14:paraId="67F98E4B">
            <w:pPr>
              <w:autoSpaceDE w:val="0"/>
              <w:autoSpaceDN w:val="0"/>
              <w:adjustRightInd w:val="0"/>
              <w:spacing w:line="360" w:lineRule="auto"/>
              <w:jc w:val="center"/>
              <w:rPr>
                <w:rFonts w:ascii="宋体" w:cs="宋体"/>
                <w:sz w:val="24"/>
              </w:rPr>
            </w:pPr>
            <w:r>
              <w:rPr>
                <w:rFonts w:hint="eastAsia" w:ascii="宋体" w:cs="宋体"/>
                <w:sz w:val="24"/>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noWrap/>
            <w:vAlign w:val="center"/>
          </w:tcPr>
          <w:p w14:paraId="277C8C65">
            <w:pPr>
              <w:autoSpaceDE w:val="0"/>
              <w:autoSpaceDN w:val="0"/>
              <w:adjustRightInd w:val="0"/>
              <w:spacing w:line="360" w:lineRule="auto"/>
              <w:jc w:val="center"/>
              <w:rPr>
                <w:rFonts w:ascii="宋体" w:cs="宋体"/>
                <w:sz w:val="24"/>
              </w:rPr>
            </w:pPr>
          </w:p>
        </w:tc>
      </w:tr>
      <w:tr w14:paraId="76786C3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15A5CCFD">
            <w:pPr>
              <w:autoSpaceDE w:val="0"/>
              <w:autoSpaceDN w:val="0"/>
              <w:adjustRightInd w:val="0"/>
              <w:spacing w:line="360" w:lineRule="auto"/>
              <w:jc w:val="center"/>
              <w:rPr>
                <w:rFonts w:ascii="宋体" w:cs="宋体"/>
                <w:sz w:val="24"/>
              </w:rPr>
            </w:pPr>
            <w:r>
              <w:rPr>
                <w:rFonts w:hint="eastAsia" w:ascii="宋体" w:cs="宋体"/>
                <w:sz w:val="24"/>
                <w:lang w:val="zh-CN"/>
              </w:rPr>
              <w:t>资产总计</w:t>
            </w:r>
          </w:p>
        </w:tc>
        <w:tc>
          <w:tcPr>
            <w:tcW w:w="2153" w:type="dxa"/>
            <w:tcBorders>
              <w:top w:val="single" w:color="auto" w:sz="6" w:space="0"/>
              <w:left w:val="single" w:color="auto" w:sz="6" w:space="0"/>
              <w:bottom w:val="single" w:color="auto" w:sz="6" w:space="0"/>
              <w:right w:val="single" w:color="auto" w:sz="6" w:space="0"/>
            </w:tcBorders>
            <w:noWrap/>
            <w:vAlign w:val="center"/>
          </w:tcPr>
          <w:p w14:paraId="71E1611A">
            <w:pPr>
              <w:autoSpaceDE w:val="0"/>
              <w:autoSpaceDN w:val="0"/>
              <w:adjustRightInd w:val="0"/>
              <w:spacing w:line="360" w:lineRule="auto"/>
              <w:jc w:val="center"/>
              <w:rPr>
                <w:rFonts w:ascii="宋体" w:cs="宋体"/>
                <w:sz w:val="24"/>
              </w:rPr>
            </w:pPr>
            <w:r>
              <w:rPr>
                <w:rFonts w:hint="eastAsia" w:ascii="宋体" w:cs="宋体"/>
                <w:sz w:val="24"/>
                <w:lang w:val="zh-CN"/>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40C583A2">
            <w:pPr>
              <w:autoSpaceDE w:val="0"/>
              <w:autoSpaceDN w:val="0"/>
              <w:adjustRightInd w:val="0"/>
              <w:spacing w:line="360" w:lineRule="auto"/>
              <w:jc w:val="center"/>
              <w:rPr>
                <w:rFonts w:ascii="宋体" w:cs="宋体"/>
                <w:sz w:val="24"/>
              </w:rPr>
            </w:pPr>
            <w:r>
              <w:rPr>
                <w:rFonts w:hint="eastAsia" w:ascii="宋体" w:cs="宋体"/>
                <w:sz w:val="24"/>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71571920">
            <w:pPr>
              <w:autoSpaceDE w:val="0"/>
              <w:autoSpaceDN w:val="0"/>
              <w:adjustRightInd w:val="0"/>
              <w:spacing w:line="360" w:lineRule="auto"/>
              <w:jc w:val="center"/>
              <w:rPr>
                <w:rFonts w:ascii="宋体" w:cs="宋体"/>
                <w:sz w:val="24"/>
              </w:rPr>
            </w:pPr>
            <w:r>
              <w:rPr>
                <w:rFonts w:hint="eastAsia" w:ascii="宋体" w:cs="宋体"/>
                <w:sz w:val="24"/>
                <w:lang w:val="zh-CN"/>
              </w:rPr>
              <w:t>万元</w:t>
            </w:r>
          </w:p>
        </w:tc>
      </w:tr>
      <w:tr w14:paraId="35C48E0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71965E2">
            <w:pPr>
              <w:autoSpaceDE w:val="0"/>
              <w:autoSpaceDN w:val="0"/>
              <w:adjustRightInd w:val="0"/>
              <w:spacing w:line="360" w:lineRule="auto"/>
              <w:jc w:val="center"/>
              <w:rPr>
                <w:rFonts w:ascii="宋体" w:cs="宋体"/>
                <w:sz w:val="24"/>
              </w:rPr>
            </w:pPr>
            <w:r>
              <w:rPr>
                <w:rFonts w:hint="eastAsia" w:ascii="宋体" w:cs="宋体"/>
                <w:sz w:val="24"/>
                <w:lang w:val="zh-CN"/>
              </w:rPr>
              <w:t>股东权益</w:t>
            </w:r>
          </w:p>
        </w:tc>
        <w:tc>
          <w:tcPr>
            <w:tcW w:w="2153" w:type="dxa"/>
            <w:tcBorders>
              <w:top w:val="single" w:color="auto" w:sz="6" w:space="0"/>
              <w:left w:val="single" w:color="auto" w:sz="6" w:space="0"/>
              <w:bottom w:val="single" w:color="auto" w:sz="6" w:space="0"/>
              <w:right w:val="single" w:color="auto" w:sz="6" w:space="0"/>
            </w:tcBorders>
            <w:noWrap/>
            <w:vAlign w:val="center"/>
          </w:tcPr>
          <w:p w14:paraId="49A502E8">
            <w:pPr>
              <w:autoSpaceDE w:val="0"/>
              <w:autoSpaceDN w:val="0"/>
              <w:adjustRightInd w:val="0"/>
              <w:spacing w:line="360" w:lineRule="auto"/>
              <w:jc w:val="center"/>
              <w:rPr>
                <w:rFonts w:ascii="宋体" w:cs="宋体"/>
                <w:sz w:val="24"/>
              </w:rPr>
            </w:pPr>
            <w:r>
              <w:rPr>
                <w:rFonts w:hint="eastAsia" w:ascii="宋体" w:cs="宋体"/>
                <w:sz w:val="24"/>
                <w:lang w:val="zh-CN"/>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0A06612D">
            <w:pPr>
              <w:autoSpaceDE w:val="0"/>
              <w:autoSpaceDN w:val="0"/>
              <w:adjustRightInd w:val="0"/>
              <w:spacing w:line="360" w:lineRule="auto"/>
              <w:jc w:val="center"/>
              <w:rPr>
                <w:rFonts w:ascii="宋体" w:cs="宋体"/>
                <w:sz w:val="24"/>
              </w:rPr>
            </w:pPr>
            <w:r>
              <w:rPr>
                <w:rFonts w:hint="eastAsia" w:ascii="宋体" w:cs="宋体"/>
                <w:sz w:val="24"/>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38343EB5">
            <w:pPr>
              <w:autoSpaceDE w:val="0"/>
              <w:autoSpaceDN w:val="0"/>
              <w:adjustRightInd w:val="0"/>
              <w:spacing w:line="360" w:lineRule="auto"/>
              <w:jc w:val="center"/>
              <w:rPr>
                <w:rFonts w:ascii="宋体" w:cs="宋体"/>
                <w:sz w:val="24"/>
              </w:rPr>
            </w:pPr>
            <w:r>
              <w:rPr>
                <w:rFonts w:hint="eastAsia" w:ascii="宋体" w:cs="宋体"/>
                <w:sz w:val="24"/>
                <w:lang w:val="zh-CN"/>
              </w:rPr>
              <w:t>万元</w:t>
            </w:r>
          </w:p>
        </w:tc>
      </w:tr>
      <w:tr w14:paraId="79FF5EF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321D25A9">
            <w:pPr>
              <w:autoSpaceDE w:val="0"/>
              <w:autoSpaceDN w:val="0"/>
              <w:adjustRightInd w:val="0"/>
              <w:spacing w:line="360" w:lineRule="auto"/>
              <w:jc w:val="center"/>
              <w:rPr>
                <w:rFonts w:ascii="宋体" w:cs="宋体"/>
                <w:sz w:val="24"/>
              </w:rPr>
            </w:pPr>
            <w:r>
              <w:rPr>
                <w:rFonts w:hint="eastAsia" w:ascii="宋体" w:cs="宋体"/>
                <w:sz w:val="24"/>
                <w:lang w:val="zh-CN"/>
              </w:rPr>
              <w:t>实现利润</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5689B318">
            <w:pPr>
              <w:autoSpaceDE w:val="0"/>
              <w:autoSpaceDN w:val="0"/>
              <w:adjustRightInd w:val="0"/>
              <w:spacing w:line="360" w:lineRule="auto"/>
              <w:jc w:val="center"/>
              <w:rPr>
                <w:rFonts w:ascii="宋体" w:cs="宋体"/>
                <w:sz w:val="24"/>
              </w:rPr>
            </w:pPr>
            <w:r>
              <w:rPr>
                <w:rFonts w:hint="eastAsia" w:ascii="宋体" w:cs="宋体"/>
                <w:sz w:val="24"/>
                <w:lang w:val="zh-CN"/>
              </w:rPr>
              <w:t>万元</w:t>
            </w:r>
          </w:p>
        </w:tc>
      </w:tr>
      <w:tr w14:paraId="3EF3E2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335EB61">
            <w:pPr>
              <w:autoSpaceDE w:val="0"/>
              <w:autoSpaceDN w:val="0"/>
              <w:adjustRightInd w:val="0"/>
              <w:spacing w:line="360" w:lineRule="auto"/>
              <w:jc w:val="center"/>
              <w:rPr>
                <w:rFonts w:ascii="宋体" w:cs="宋体"/>
                <w:sz w:val="24"/>
              </w:rPr>
            </w:pPr>
            <w:r>
              <w:rPr>
                <w:rFonts w:hint="eastAsia" w:ascii="宋体" w:cs="宋体"/>
                <w:sz w:val="24"/>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3508886B">
            <w:pPr>
              <w:autoSpaceDE w:val="0"/>
              <w:autoSpaceDN w:val="0"/>
              <w:adjustRightInd w:val="0"/>
              <w:spacing w:line="360" w:lineRule="auto"/>
              <w:jc w:val="center"/>
              <w:rPr>
                <w:rFonts w:ascii="宋体" w:cs="宋体"/>
                <w:sz w:val="24"/>
              </w:rPr>
            </w:pPr>
          </w:p>
        </w:tc>
      </w:tr>
      <w:tr w14:paraId="6C83DB5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700D0D34">
            <w:pPr>
              <w:autoSpaceDE w:val="0"/>
              <w:autoSpaceDN w:val="0"/>
              <w:adjustRightInd w:val="0"/>
              <w:spacing w:line="360" w:lineRule="auto"/>
              <w:jc w:val="center"/>
              <w:rPr>
                <w:rFonts w:ascii="宋体" w:cs="宋体"/>
                <w:sz w:val="24"/>
              </w:rPr>
            </w:pPr>
            <w:r>
              <w:rPr>
                <w:rFonts w:hint="eastAsia" w:ascii="宋体" w:cs="宋体"/>
                <w:sz w:val="24"/>
                <w:lang w:val="zh-CN"/>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0DFFB3F6">
            <w:pPr>
              <w:autoSpaceDE w:val="0"/>
              <w:autoSpaceDN w:val="0"/>
              <w:adjustRightInd w:val="0"/>
              <w:spacing w:line="360" w:lineRule="auto"/>
              <w:jc w:val="center"/>
              <w:rPr>
                <w:rFonts w:ascii="宋体" w:cs="宋体"/>
                <w:sz w:val="24"/>
              </w:rPr>
            </w:pPr>
            <w:r>
              <w:rPr>
                <w:rFonts w:hint="eastAsia" w:ascii="宋体" w:cs="宋体"/>
                <w:sz w:val="24"/>
                <w:lang w:val="zh-CN"/>
              </w:rPr>
              <w:t>（包括财政、工商、税务、物价、技监部门稽查情况和结果）</w:t>
            </w:r>
          </w:p>
        </w:tc>
      </w:tr>
      <w:tr w14:paraId="4885278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3E339614">
            <w:pPr>
              <w:autoSpaceDE w:val="0"/>
              <w:autoSpaceDN w:val="0"/>
              <w:adjustRightInd w:val="0"/>
              <w:spacing w:line="360" w:lineRule="auto"/>
              <w:jc w:val="center"/>
              <w:rPr>
                <w:rFonts w:ascii="宋体" w:cs="宋体"/>
                <w:sz w:val="24"/>
              </w:rPr>
            </w:pPr>
            <w:r>
              <w:rPr>
                <w:rFonts w:hint="eastAsia" w:ascii="宋体" w:cs="宋体"/>
                <w:sz w:val="24"/>
                <w:lang w:val="zh-CN"/>
              </w:rPr>
              <w:t>最近3年内有无因货物供应或是其他原因被投诉或起诉的情况及说明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6181F06F">
            <w:pPr>
              <w:autoSpaceDE w:val="0"/>
              <w:autoSpaceDN w:val="0"/>
              <w:adjustRightInd w:val="0"/>
              <w:spacing w:line="360" w:lineRule="auto"/>
              <w:jc w:val="center"/>
              <w:rPr>
                <w:rFonts w:ascii="宋体" w:cs="宋体"/>
                <w:sz w:val="24"/>
              </w:rPr>
            </w:pPr>
            <w:r>
              <w:rPr>
                <w:rFonts w:hint="eastAsia" w:ascii="宋体" w:cs="宋体"/>
                <w:sz w:val="24"/>
                <w:lang w:val="zh-CN"/>
              </w:rPr>
              <w:t>（包括解决方式和结果）</w:t>
            </w:r>
          </w:p>
        </w:tc>
      </w:tr>
      <w:tr w14:paraId="472A08B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3C7332C2">
            <w:pPr>
              <w:autoSpaceDE w:val="0"/>
              <w:autoSpaceDN w:val="0"/>
              <w:adjustRightInd w:val="0"/>
              <w:spacing w:line="360" w:lineRule="auto"/>
              <w:jc w:val="center"/>
              <w:rPr>
                <w:rFonts w:ascii="宋体" w:cs="宋体"/>
                <w:sz w:val="24"/>
              </w:rPr>
            </w:pPr>
            <w:r>
              <w:rPr>
                <w:rFonts w:hint="eastAsia" w:ascii="宋体" w:cs="宋体"/>
                <w:sz w:val="24"/>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C330EEB">
            <w:pPr>
              <w:autoSpaceDE w:val="0"/>
              <w:autoSpaceDN w:val="0"/>
              <w:adjustRightInd w:val="0"/>
              <w:spacing w:line="360" w:lineRule="auto"/>
              <w:jc w:val="center"/>
              <w:rPr>
                <w:rFonts w:ascii="宋体" w:cs="宋体"/>
                <w:sz w:val="24"/>
              </w:rPr>
            </w:pPr>
          </w:p>
        </w:tc>
      </w:tr>
      <w:tr w14:paraId="79E67B9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7F79D46">
            <w:pPr>
              <w:autoSpaceDE w:val="0"/>
              <w:autoSpaceDN w:val="0"/>
              <w:adjustRightInd w:val="0"/>
              <w:spacing w:line="360" w:lineRule="auto"/>
              <w:jc w:val="center"/>
              <w:rPr>
                <w:rFonts w:ascii="宋体" w:cs="宋体"/>
                <w:sz w:val="24"/>
                <w:lang w:val="zh-CN"/>
              </w:rPr>
            </w:pPr>
            <w:r>
              <w:rPr>
                <w:rFonts w:hint="eastAsia" w:ascii="宋体" w:cs="宋体"/>
                <w:sz w:val="24"/>
                <w:lang w:val="zh-CN"/>
              </w:rPr>
              <w:t>备注</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77EA1F3E">
            <w:pPr>
              <w:autoSpaceDE w:val="0"/>
              <w:autoSpaceDN w:val="0"/>
              <w:adjustRightInd w:val="0"/>
              <w:spacing w:line="360" w:lineRule="auto"/>
              <w:jc w:val="center"/>
              <w:rPr>
                <w:rFonts w:ascii="宋体" w:cs="宋体"/>
                <w:sz w:val="24"/>
              </w:rPr>
            </w:pPr>
          </w:p>
        </w:tc>
      </w:tr>
    </w:tbl>
    <w:p w14:paraId="401CF17D">
      <w:pPr>
        <w:autoSpaceDE w:val="0"/>
        <w:autoSpaceDN w:val="0"/>
        <w:adjustRightInd w:val="0"/>
        <w:spacing w:line="400" w:lineRule="exact"/>
        <w:rPr>
          <w:rFonts w:ascii="宋体" w:cs="宋体"/>
          <w:b/>
          <w:bCs/>
          <w:szCs w:val="21"/>
          <w:lang w:val="zh-CN"/>
        </w:rPr>
      </w:pPr>
      <w:r>
        <w:rPr>
          <w:rFonts w:hint="eastAsia" w:ascii="宋体" w:cs="宋体"/>
          <w:b/>
          <w:bCs/>
          <w:szCs w:val="21"/>
        </w:rPr>
        <w:t>附：本表后须附</w:t>
      </w:r>
      <w:r>
        <w:rPr>
          <w:rFonts w:hint="eastAsia" w:ascii="宋体" w:cs="宋体"/>
          <w:b/>
          <w:bCs/>
          <w:szCs w:val="21"/>
          <w:lang w:val="zh-CN"/>
        </w:rPr>
        <w:t>企业营业执照副本、税务登记证副本、组织机构代码证副本</w:t>
      </w:r>
      <w:r>
        <w:rPr>
          <w:rFonts w:hint="eastAsia" w:ascii="宋体" w:cs="宋体"/>
          <w:b/>
          <w:bCs/>
          <w:szCs w:val="21"/>
        </w:rPr>
        <w:t>（</w:t>
      </w:r>
      <w:r>
        <w:rPr>
          <w:rFonts w:hint="eastAsia" w:ascii="宋体" w:cs="宋体"/>
          <w:b/>
          <w:bCs/>
          <w:szCs w:val="21"/>
          <w:lang w:val="zh-CN"/>
        </w:rPr>
        <w:t>五证合一的除外）、财务状况良好证明材料等资料；</w:t>
      </w:r>
    </w:p>
    <w:p w14:paraId="391D72BC">
      <w:pPr>
        <w:tabs>
          <w:tab w:val="left" w:pos="1365"/>
        </w:tabs>
        <w:jc w:val="center"/>
        <w:rPr>
          <w:rFonts w:ascii="宋体" w:cs="宋体"/>
          <w:b/>
          <w:sz w:val="32"/>
          <w:szCs w:val="32"/>
        </w:rPr>
      </w:pPr>
      <w:r>
        <w:rPr>
          <w:rFonts w:hint="eastAsia" w:ascii="宋体" w:cs="宋体"/>
          <w:b/>
          <w:sz w:val="32"/>
          <w:szCs w:val="32"/>
        </w:rPr>
        <w:br w:type="page"/>
      </w:r>
    </w:p>
    <w:p w14:paraId="1592A886">
      <w:pPr>
        <w:jc w:val="center"/>
        <w:rPr>
          <w:rFonts w:ascii="宋体" w:cs="宋体"/>
          <w:b/>
          <w:bCs/>
          <w:sz w:val="32"/>
          <w:szCs w:val="32"/>
        </w:rPr>
      </w:pPr>
      <w:r>
        <w:rPr>
          <w:rFonts w:hint="eastAsia" w:ascii="宋体" w:cs="宋体"/>
          <w:b/>
          <w:bCs/>
          <w:sz w:val="32"/>
          <w:szCs w:val="32"/>
        </w:rPr>
        <w:t>财务状况承诺</w:t>
      </w:r>
    </w:p>
    <w:p w14:paraId="7B85FD2B">
      <w:pPr>
        <w:rPr>
          <w:rFonts w:ascii="宋体" w:cs="宋体"/>
          <w:b/>
          <w:bCs/>
          <w:sz w:val="28"/>
        </w:rPr>
      </w:pPr>
      <w:r>
        <w:rPr>
          <w:rFonts w:hint="eastAsia" w:ascii="宋体" w:cs="宋体"/>
          <w:sz w:val="24"/>
        </w:rPr>
        <w:t>附件：</w:t>
      </w:r>
    </w:p>
    <w:p w14:paraId="224B8AC2">
      <w:pPr>
        <w:snapToGrid w:val="0"/>
        <w:spacing w:line="480" w:lineRule="auto"/>
        <w:jc w:val="center"/>
        <w:rPr>
          <w:rFonts w:ascii="宋体" w:cs="宋体"/>
          <w:sz w:val="24"/>
        </w:rPr>
      </w:pPr>
      <w:r>
        <w:rPr>
          <w:rFonts w:hint="eastAsia" w:ascii="宋体" w:cs="宋体"/>
          <w:b/>
          <w:bCs/>
          <w:sz w:val="28"/>
        </w:rPr>
        <w:t>资格条件承诺函</w:t>
      </w:r>
    </w:p>
    <w:p w14:paraId="409E1308">
      <w:pPr>
        <w:snapToGrid w:val="0"/>
        <w:spacing w:line="480" w:lineRule="auto"/>
        <w:ind w:firstLine="480" w:firstLineChars="200"/>
        <w:rPr>
          <w:rFonts w:ascii="宋体" w:cs="宋体"/>
          <w:sz w:val="24"/>
        </w:rPr>
      </w:pPr>
    </w:p>
    <w:p w14:paraId="30A117A6">
      <w:pPr>
        <w:snapToGrid w:val="0"/>
        <w:spacing w:line="480" w:lineRule="auto"/>
        <w:ind w:firstLine="480" w:firstLineChars="200"/>
        <w:rPr>
          <w:rFonts w:ascii="宋体" w:cs="宋体"/>
          <w:sz w:val="24"/>
        </w:rPr>
      </w:pPr>
      <w:r>
        <w:rPr>
          <w:rFonts w:hint="eastAsia" w:ascii="宋体" w:cs="宋体"/>
          <w:sz w:val="24"/>
        </w:rPr>
        <w:t>致:(采购人、采购代理机构)</w:t>
      </w:r>
    </w:p>
    <w:p w14:paraId="0ABF857B">
      <w:pPr>
        <w:snapToGrid w:val="0"/>
        <w:spacing w:line="480" w:lineRule="auto"/>
        <w:ind w:firstLine="480" w:firstLineChars="200"/>
        <w:rPr>
          <w:rFonts w:ascii="宋体" w:cs="宋体"/>
          <w:sz w:val="24"/>
        </w:rPr>
      </w:pPr>
      <w:r>
        <w:rPr>
          <w:rFonts w:hint="eastAsia" w:ascii="宋体" w:cs="宋体"/>
          <w:sz w:val="24"/>
        </w:rPr>
        <w:t>我单位(公司)参与(采购项目名称 项目编号 )采购项目的政府采购活动，现承诺如下:</w:t>
      </w:r>
    </w:p>
    <w:p w14:paraId="320A2A9B">
      <w:pPr>
        <w:snapToGrid w:val="0"/>
        <w:spacing w:line="480" w:lineRule="auto"/>
        <w:ind w:firstLine="480" w:firstLineChars="200"/>
        <w:rPr>
          <w:rFonts w:ascii="宋体" w:cs="宋体"/>
          <w:sz w:val="24"/>
        </w:rPr>
      </w:pPr>
      <w:r>
        <w:rPr>
          <w:rFonts w:hint="eastAsia" w:ascii="宋体" w:cs="宋体"/>
          <w:sz w:val="24"/>
        </w:rPr>
        <w:t>1.具有良好的商业信誉和健全的财务会计制度;</w:t>
      </w:r>
    </w:p>
    <w:p w14:paraId="77219161">
      <w:pPr>
        <w:snapToGrid w:val="0"/>
        <w:spacing w:line="480" w:lineRule="auto"/>
        <w:ind w:firstLine="480" w:firstLineChars="200"/>
        <w:rPr>
          <w:rFonts w:ascii="宋体" w:cs="宋体"/>
          <w:sz w:val="24"/>
        </w:rPr>
      </w:pPr>
      <w:r>
        <w:rPr>
          <w:rFonts w:hint="eastAsia" w:ascii="宋体" w:cs="宋体"/>
          <w:sz w:val="24"/>
        </w:rPr>
        <w:t>2.具有依法缴纳税收的良好记录;</w:t>
      </w:r>
    </w:p>
    <w:p w14:paraId="7EB63028">
      <w:pPr>
        <w:snapToGrid w:val="0"/>
        <w:spacing w:line="480" w:lineRule="auto"/>
        <w:ind w:firstLine="480" w:firstLineChars="200"/>
        <w:rPr>
          <w:rFonts w:ascii="宋体" w:cs="宋体"/>
          <w:sz w:val="24"/>
        </w:rPr>
      </w:pPr>
      <w:r>
        <w:rPr>
          <w:rFonts w:hint="eastAsia" w:ascii="宋体" w:cs="宋体"/>
          <w:sz w:val="24"/>
        </w:rPr>
        <w:t>3.具有依法缴纳社会保障金的良好记录</w:t>
      </w:r>
    </w:p>
    <w:p w14:paraId="1AB2E3A9">
      <w:pPr>
        <w:snapToGrid w:val="0"/>
        <w:spacing w:line="480" w:lineRule="auto"/>
        <w:ind w:firstLine="480" w:firstLineChars="200"/>
        <w:rPr>
          <w:rFonts w:ascii="宋体" w:cs="宋体"/>
          <w:sz w:val="24"/>
        </w:rPr>
      </w:pPr>
      <w:r>
        <w:rPr>
          <w:rFonts w:hint="eastAsia" w:ascii="宋体" w:cs="宋体"/>
          <w:sz w:val="24"/>
        </w:rPr>
        <w:t>我方在采购项目评审 (评标) 环节结束后，随时接受采购人、采购代理机构的检查验证，配合提供相关证明材料，证明符合《中华人民共和国政府采购法》规定的供应商基本资格条件。</w:t>
      </w:r>
    </w:p>
    <w:p w14:paraId="5EC2B48A">
      <w:pPr>
        <w:snapToGrid w:val="0"/>
        <w:spacing w:line="480" w:lineRule="auto"/>
        <w:ind w:firstLine="480" w:firstLineChars="200"/>
        <w:rPr>
          <w:rFonts w:ascii="宋体" w:cs="宋体"/>
          <w:sz w:val="24"/>
        </w:rPr>
      </w:pPr>
      <w:r>
        <w:rPr>
          <w:rFonts w:hint="eastAsia" w:ascii="宋体" w:cs="宋体"/>
          <w:sz w:val="24"/>
        </w:rPr>
        <w:t>我单位 (公司)对上述承诺的真实性负责。如有虚假将依法承担相应责任。</w:t>
      </w:r>
    </w:p>
    <w:p w14:paraId="10D7F1C0">
      <w:pPr>
        <w:snapToGrid w:val="0"/>
        <w:spacing w:line="480" w:lineRule="auto"/>
        <w:ind w:firstLine="480" w:firstLineChars="200"/>
        <w:rPr>
          <w:rFonts w:ascii="宋体" w:cs="宋体"/>
          <w:sz w:val="24"/>
        </w:rPr>
      </w:pPr>
      <w:r>
        <w:rPr>
          <w:rFonts w:hint="eastAsia" w:ascii="宋体" w:cs="宋体"/>
          <w:sz w:val="24"/>
        </w:rPr>
        <w:t>特此承诺。</w:t>
      </w:r>
    </w:p>
    <w:p w14:paraId="11F1FAA3">
      <w:pPr>
        <w:snapToGrid w:val="0"/>
        <w:spacing w:line="480" w:lineRule="auto"/>
        <w:ind w:firstLine="480" w:firstLineChars="200"/>
        <w:jc w:val="center"/>
        <w:rPr>
          <w:rFonts w:ascii="宋体" w:cs="宋体"/>
          <w:sz w:val="24"/>
        </w:rPr>
      </w:pPr>
    </w:p>
    <w:p w14:paraId="42E68558">
      <w:pPr>
        <w:snapToGrid w:val="0"/>
        <w:spacing w:line="480" w:lineRule="auto"/>
        <w:ind w:firstLine="480" w:firstLineChars="200"/>
        <w:jc w:val="center"/>
        <w:rPr>
          <w:rFonts w:ascii="宋体" w:cs="宋体"/>
          <w:sz w:val="24"/>
        </w:rPr>
      </w:pPr>
      <w:r>
        <w:rPr>
          <w:rFonts w:hint="eastAsia" w:ascii="宋体" w:cs="宋体"/>
          <w:sz w:val="24"/>
        </w:rPr>
        <w:t xml:space="preserve">  盖章:</w:t>
      </w:r>
    </w:p>
    <w:p w14:paraId="253472CF">
      <w:pPr>
        <w:snapToGrid w:val="0"/>
        <w:spacing w:line="480" w:lineRule="auto"/>
        <w:ind w:firstLine="480" w:firstLineChars="200"/>
        <w:jc w:val="center"/>
        <w:rPr>
          <w:rFonts w:ascii="宋体" w:cs="宋体"/>
          <w:sz w:val="24"/>
        </w:rPr>
      </w:pPr>
      <w:r>
        <w:rPr>
          <w:rFonts w:hint="eastAsia" w:ascii="宋体" w:cs="宋体"/>
          <w:sz w:val="24"/>
        </w:rPr>
        <w:t xml:space="preserve">   签字:</w:t>
      </w:r>
    </w:p>
    <w:p w14:paraId="42D1CBFB">
      <w:pPr>
        <w:snapToGrid w:val="0"/>
        <w:spacing w:line="480" w:lineRule="auto"/>
        <w:ind w:firstLine="480" w:firstLineChars="200"/>
        <w:jc w:val="center"/>
        <w:rPr>
          <w:rFonts w:ascii="宋体" w:cs="宋体"/>
          <w:sz w:val="24"/>
        </w:rPr>
      </w:pPr>
      <w:r>
        <w:rPr>
          <w:rFonts w:hint="eastAsia" w:ascii="宋体" w:cs="宋体"/>
          <w:sz w:val="24"/>
        </w:rPr>
        <w:t xml:space="preserve">  日期:</w:t>
      </w:r>
    </w:p>
    <w:p w14:paraId="1055480E">
      <w:pPr>
        <w:snapToGrid w:val="0"/>
        <w:spacing w:line="480" w:lineRule="auto"/>
        <w:ind w:firstLine="422" w:firstLineChars="200"/>
        <w:rPr>
          <w:rFonts w:ascii="宋体" w:cs="宋体"/>
          <w:b/>
          <w:bCs/>
          <w:szCs w:val="21"/>
        </w:rPr>
      </w:pPr>
      <w:r>
        <w:rPr>
          <w:rFonts w:hint="eastAsia" w:ascii="宋体" w:cs="宋体"/>
          <w:b/>
          <w:bCs/>
          <w:szCs w:val="21"/>
        </w:rPr>
        <w:t>备注：以下情形不适用信用承诺</w:t>
      </w:r>
    </w:p>
    <w:p w14:paraId="23FAF2C8">
      <w:pPr>
        <w:snapToGrid w:val="0"/>
        <w:spacing w:line="480" w:lineRule="auto"/>
        <w:ind w:firstLine="422" w:firstLineChars="200"/>
        <w:rPr>
          <w:rFonts w:ascii="宋体" w:cs="宋体"/>
          <w:b/>
          <w:bCs/>
          <w:szCs w:val="21"/>
        </w:rPr>
      </w:pPr>
      <w:r>
        <w:rPr>
          <w:rFonts w:hint="eastAsia" w:ascii="宋体" w:cs="宋体"/>
          <w:b/>
          <w:bCs/>
          <w:szCs w:val="21"/>
        </w:rPr>
        <w:t>1.被列入政府采购不良行为记录名单的，被禁止参加政府采购活动且尚在处罚有效期内的；</w:t>
      </w:r>
    </w:p>
    <w:p w14:paraId="205B7137">
      <w:pPr>
        <w:snapToGrid w:val="0"/>
        <w:spacing w:line="480" w:lineRule="auto"/>
        <w:ind w:firstLine="422" w:firstLineChars="200"/>
        <w:rPr>
          <w:rFonts w:ascii="宋体" w:cs="宋体"/>
          <w:b/>
          <w:bCs/>
          <w:szCs w:val="21"/>
        </w:rPr>
      </w:pPr>
      <w:r>
        <w:rPr>
          <w:rFonts w:hint="eastAsia" w:ascii="宋体" w:cs="宋体"/>
          <w:b/>
          <w:bCs/>
          <w:szCs w:val="21"/>
        </w:rPr>
        <w:t>2.被有关部门列入失信被执行人、联合惩戒对象、严重违法失信行为记录等情形的；</w:t>
      </w:r>
    </w:p>
    <w:p w14:paraId="0D6CD983">
      <w:pPr>
        <w:snapToGrid w:val="0"/>
        <w:spacing w:line="480" w:lineRule="auto"/>
        <w:ind w:firstLine="422" w:firstLineChars="200"/>
        <w:rPr>
          <w:rFonts w:ascii="宋体" w:cs="宋体"/>
          <w:b/>
          <w:bCs/>
          <w:szCs w:val="21"/>
        </w:rPr>
      </w:pPr>
      <w:r>
        <w:rPr>
          <w:rFonts w:hint="eastAsia" w:ascii="宋体" w:cs="宋体"/>
          <w:b/>
          <w:bCs/>
          <w:szCs w:val="21"/>
        </w:rPr>
        <w:t>3.其他法律法规规定的不适用于资格条件信用承诺的情形。</w:t>
      </w:r>
    </w:p>
    <w:p w14:paraId="566D53AA">
      <w:pPr>
        <w:pStyle w:val="27"/>
        <w:rPr>
          <w:rFonts w:ascii="宋体" w:eastAsia="宋体" w:cs="宋体"/>
        </w:rPr>
      </w:pPr>
    </w:p>
    <w:p w14:paraId="37934FDE">
      <w:pPr>
        <w:spacing w:line="360" w:lineRule="auto"/>
        <w:jc w:val="center"/>
        <w:rPr>
          <w:rFonts w:ascii="宋体" w:cs="宋体"/>
          <w:b/>
          <w:sz w:val="32"/>
          <w:szCs w:val="32"/>
        </w:rPr>
      </w:pPr>
      <w:r>
        <w:rPr>
          <w:rFonts w:hint="eastAsia" w:ascii="宋体" w:cs="宋体"/>
          <w:b/>
          <w:sz w:val="32"/>
          <w:szCs w:val="32"/>
        </w:rPr>
        <w:t>10、供应商类似项目业绩一览表</w:t>
      </w:r>
    </w:p>
    <w:p w14:paraId="27974FA3">
      <w:pPr>
        <w:pStyle w:val="10"/>
        <w:rPr>
          <w:rFonts w:ascii="宋体" w:eastAsia="宋体" w:cs="宋体"/>
        </w:rPr>
      </w:pPr>
    </w:p>
    <w:tbl>
      <w:tblPr>
        <w:tblStyle w:val="2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13"/>
        <w:gridCol w:w="1630"/>
        <w:gridCol w:w="1564"/>
        <w:gridCol w:w="1339"/>
        <w:gridCol w:w="1564"/>
        <w:gridCol w:w="1009"/>
      </w:tblGrid>
      <w:tr w14:paraId="14E9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96" w:type="dxa"/>
          </w:tcPr>
          <w:p w14:paraId="4EB968AF">
            <w:pPr>
              <w:autoSpaceDE w:val="0"/>
              <w:autoSpaceDN w:val="0"/>
              <w:adjustRightInd w:val="0"/>
              <w:spacing w:line="360" w:lineRule="auto"/>
              <w:jc w:val="center"/>
              <w:rPr>
                <w:rFonts w:ascii="宋体" w:cs="宋体"/>
                <w:sz w:val="24"/>
              </w:rPr>
            </w:pPr>
            <w:r>
              <w:rPr>
                <w:rFonts w:hint="eastAsia" w:ascii="宋体" w:cs="宋体"/>
                <w:sz w:val="24"/>
              </w:rPr>
              <w:t>序号</w:t>
            </w:r>
          </w:p>
        </w:tc>
        <w:tc>
          <w:tcPr>
            <w:tcW w:w="1613" w:type="dxa"/>
          </w:tcPr>
          <w:p w14:paraId="035B3095">
            <w:pPr>
              <w:autoSpaceDE w:val="0"/>
              <w:autoSpaceDN w:val="0"/>
              <w:adjustRightInd w:val="0"/>
              <w:spacing w:line="360" w:lineRule="auto"/>
              <w:jc w:val="center"/>
              <w:rPr>
                <w:rFonts w:ascii="宋体" w:cs="宋体"/>
                <w:sz w:val="24"/>
              </w:rPr>
            </w:pPr>
            <w:r>
              <w:rPr>
                <w:rFonts w:hint="eastAsia" w:ascii="宋体" w:cs="宋体"/>
                <w:sz w:val="24"/>
              </w:rPr>
              <w:t>项目名称</w:t>
            </w:r>
          </w:p>
        </w:tc>
        <w:tc>
          <w:tcPr>
            <w:tcW w:w="1630" w:type="dxa"/>
          </w:tcPr>
          <w:p w14:paraId="50131769">
            <w:pPr>
              <w:autoSpaceDE w:val="0"/>
              <w:autoSpaceDN w:val="0"/>
              <w:adjustRightInd w:val="0"/>
              <w:spacing w:line="360" w:lineRule="auto"/>
              <w:jc w:val="center"/>
              <w:rPr>
                <w:rFonts w:ascii="宋体" w:cs="宋体"/>
                <w:sz w:val="24"/>
              </w:rPr>
            </w:pPr>
            <w:r>
              <w:rPr>
                <w:rFonts w:hint="eastAsia" w:ascii="宋体" w:cs="宋体"/>
                <w:sz w:val="24"/>
              </w:rPr>
              <w:t>采购人名称</w:t>
            </w:r>
          </w:p>
        </w:tc>
        <w:tc>
          <w:tcPr>
            <w:tcW w:w="1564" w:type="dxa"/>
          </w:tcPr>
          <w:p w14:paraId="7406FA84">
            <w:pPr>
              <w:autoSpaceDE w:val="0"/>
              <w:autoSpaceDN w:val="0"/>
              <w:adjustRightInd w:val="0"/>
              <w:spacing w:line="360" w:lineRule="auto"/>
              <w:jc w:val="center"/>
              <w:rPr>
                <w:rFonts w:ascii="宋体" w:cs="宋体"/>
                <w:sz w:val="24"/>
              </w:rPr>
            </w:pPr>
            <w:r>
              <w:rPr>
                <w:rFonts w:hint="eastAsia" w:ascii="宋体" w:cs="宋体"/>
                <w:sz w:val="24"/>
              </w:rPr>
              <w:t>采购内容</w:t>
            </w:r>
          </w:p>
        </w:tc>
        <w:tc>
          <w:tcPr>
            <w:tcW w:w="1339" w:type="dxa"/>
          </w:tcPr>
          <w:p w14:paraId="63AC1F79">
            <w:pPr>
              <w:autoSpaceDE w:val="0"/>
              <w:autoSpaceDN w:val="0"/>
              <w:adjustRightInd w:val="0"/>
              <w:spacing w:line="360" w:lineRule="auto"/>
              <w:jc w:val="center"/>
              <w:rPr>
                <w:rFonts w:ascii="宋体" w:cs="宋体"/>
                <w:sz w:val="24"/>
              </w:rPr>
            </w:pPr>
            <w:r>
              <w:rPr>
                <w:rFonts w:hint="eastAsia" w:ascii="宋体" w:cs="宋体"/>
                <w:sz w:val="24"/>
              </w:rPr>
              <w:t>项目金额</w:t>
            </w:r>
          </w:p>
        </w:tc>
        <w:tc>
          <w:tcPr>
            <w:tcW w:w="1564" w:type="dxa"/>
          </w:tcPr>
          <w:p w14:paraId="614A0367">
            <w:pPr>
              <w:autoSpaceDE w:val="0"/>
              <w:autoSpaceDN w:val="0"/>
              <w:adjustRightInd w:val="0"/>
              <w:spacing w:line="360" w:lineRule="auto"/>
              <w:jc w:val="center"/>
              <w:rPr>
                <w:rFonts w:ascii="宋体" w:cs="宋体"/>
                <w:sz w:val="24"/>
              </w:rPr>
            </w:pPr>
            <w:r>
              <w:rPr>
                <w:rFonts w:hint="eastAsia" w:ascii="宋体" w:cs="宋体"/>
                <w:sz w:val="24"/>
              </w:rPr>
              <w:t>完成时间</w:t>
            </w:r>
          </w:p>
        </w:tc>
        <w:tc>
          <w:tcPr>
            <w:tcW w:w="1009" w:type="dxa"/>
          </w:tcPr>
          <w:p w14:paraId="366EF173">
            <w:pPr>
              <w:autoSpaceDE w:val="0"/>
              <w:autoSpaceDN w:val="0"/>
              <w:adjustRightInd w:val="0"/>
              <w:spacing w:line="360" w:lineRule="auto"/>
              <w:jc w:val="center"/>
              <w:rPr>
                <w:rFonts w:ascii="宋体" w:cs="宋体"/>
                <w:sz w:val="24"/>
              </w:rPr>
            </w:pPr>
            <w:r>
              <w:rPr>
                <w:rFonts w:hint="eastAsia" w:ascii="宋体" w:cs="宋体"/>
                <w:sz w:val="24"/>
              </w:rPr>
              <w:t>备注</w:t>
            </w:r>
          </w:p>
        </w:tc>
      </w:tr>
      <w:tr w14:paraId="648B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32299699">
            <w:pPr>
              <w:pStyle w:val="10"/>
              <w:rPr>
                <w:rFonts w:ascii="宋体" w:eastAsia="宋体" w:cs="宋体"/>
              </w:rPr>
            </w:pPr>
          </w:p>
        </w:tc>
        <w:tc>
          <w:tcPr>
            <w:tcW w:w="1613" w:type="dxa"/>
          </w:tcPr>
          <w:p w14:paraId="6DD8588E">
            <w:pPr>
              <w:pStyle w:val="10"/>
              <w:rPr>
                <w:rFonts w:ascii="宋体" w:eastAsia="宋体" w:cs="宋体"/>
              </w:rPr>
            </w:pPr>
          </w:p>
        </w:tc>
        <w:tc>
          <w:tcPr>
            <w:tcW w:w="1630" w:type="dxa"/>
          </w:tcPr>
          <w:p w14:paraId="7736CB68">
            <w:pPr>
              <w:pStyle w:val="10"/>
              <w:rPr>
                <w:rFonts w:ascii="宋体" w:eastAsia="宋体" w:cs="宋体"/>
              </w:rPr>
            </w:pPr>
          </w:p>
        </w:tc>
        <w:tc>
          <w:tcPr>
            <w:tcW w:w="1564" w:type="dxa"/>
          </w:tcPr>
          <w:p w14:paraId="3A57F7CB">
            <w:pPr>
              <w:pStyle w:val="10"/>
              <w:rPr>
                <w:rFonts w:ascii="宋体" w:eastAsia="宋体" w:cs="宋体"/>
              </w:rPr>
            </w:pPr>
          </w:p>
        </w:tc>
        <w:tc>
          <w:tcPr>
            <w:tcW w:w="1339" w:type="dxa"/>
          </w:tcPr>
          <w:p w14:paraId="13075020">
            <w:pPr>
              <w:pStyle w:val="10"/>
              <w:rPr>
                <w:rFonts w:ascii="宋体" w:eastAsia="宋体" w:cs="宋体"/>
              </w:rPr>
            </w:pPr>
          </w:p>
        </w:tc>
        <w:tc>
          <w:tcPr>
            <w:tcW w:w="1564" w:type="dxa"/>
          </w:tcPr>
          <w:p w14:paraId="2E5BADEC">
            <w:pPr>
              <w:pStyle w:val="10"/>
              <w:rPr>
                <w:rFonts w:ascii="宋体" w:eastAsia="宋体" w:cs="宋体"/>
              </w:rPr>
            </w:pPr>
          </w:p>
        </w:tc>
        <w:tc>
          <w:tcPr>
            <w:tcW w:w="1009" w:type="dxa"/>
          </w:tcPr>
          <w:p w14:paraId="19C6BE7B">
            <w:pPr>
              <w:pStyle w:val="10"/>
              <w:rPr>
                <w:rFonts w:ascii="宋体" w:eastAsia="宋体" w:cs="宋体"/>
              </w:rPr>
            </w:pPr>
          </w:p>
        </w:tc>
      </w:tr>
      <w:tr w14:paraId="1D6B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2DC36680">
            <w:pPr>
              <w:pStyle w:val="10"/>
              <w:rPr>
                <w:rFonts w:ascii="宋体" w:eastAsia="宋体" w:cs="宋体"/>
              </w:rPr>
            </w:pPr>
          </w:p>
        </w:tc>
        <w:tc>
          <w:tcPr>
            <w:tcW w:w="1613" w:type="dxa"/>
          </w:tcPr>
          <w:p w14:paraId="56BBFACC">
            <w:pPr>
              <w:pStyle w:val="10"/>
              <w:rPr>
                <w:rFonts w:ascii="宋体" w:eastAsia="宋体" w:cs="宋体"/>
              </w:rPr>
            </w:pPr>
          </w:p>
        </w:tc>
        <w:tc>
          <w:tcPr>
            <w:tcW w:w="1630" w:type="dxa"/>
          </w:tcPr>
          <w:p w14:paraId="6319B2E9">
            <w:pPr>
              <w:pStyle w:val="10"/>
              <w:rPr>
                <w:rFonts w:ascii="宋体" w:eastAsia="宋体" w:cs="宋体"/>
              </w:rPr>
            </w:pPr>
          </w:p>
        </w:tc>
        <w:tc>
          <w:tcPr>
            <w:tcW w:w="1564" w:type="dxa"/>
          </w:tcPr>
          <w:p w14:paraId="5403EE92">
            <w:pPr>
              <w:pStyle w:val="10"/>
              <w:rPr>
                <w:rFonts w:ascii="宋体" w:eastAsia="宋体" w:cs="宋体"/>
              </w:rPr>
            </w:pPr>
          </w:p>
        </w:tc>
        <w:tc>
          <w:tcPr>
            <w:tcW w:w="1339" w:type="dxa"/>
          </w:tcPr>
          <w:p w14:paraId="157E3E96">
            <w:pPr>
              <w:pStyle w:val="10"/>
              <w:rPr>
                <w:rFonts w:ascii="宋体" w:eastAsia="宋体" w:cs="宋体"/>
              </w:rPr>
            </w:pPr>
          </w:p>
        </w:tc>
        <w:tc>
          <w:tcPr>
            <w:tcW w:w="1564" w:type="dxa"/>
          </w:tcPr>
          <w:p w14:paraId="6B762903">
            <w:pPr>
              <w:pStyle w:val="10"/>
              <w:rPr>
                <w:rFonts w:ascii="宋体" w:eastAsia="宋体" w:cs="宋体"/>
              </w:rPr>
            </w:pPr>
          </w:p>
        </w:tc>
        <w:tc>
          <w:tcPr>
            <w:tcW w:w="1009" w:type="dxa"/>
          </w:tcPr>
          <w:p w14:paraId="2CB82529">
            <w:pPr>
              <w:pStyle w:val="10"/>
              <w:rPr>
                <w:rFonts w:ascii="宋体" w:eastAsia="宋体" w:cs="宋体"/>
              </w:rPr>
            </w:pPr>
          </w:p>
        </w:tc>
      </w:tr>
      <w:tr w14:paraId="4D58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7DA2572E">
            <w:pPr>
              <w:pStyle w:val="10"/>
              <w:rPr>
                <w:rFonts w:ascii="宋体" w:eastAsia="宋体" w:cs="宋体"/>
              </w:rPr>
            </w:pPr>
          </w:p>
        </w:tc>
        <w:tc>
          <w:tcPr>
            <w:tcW w:w="1613" w:type="dxa"/>
          </w:tcPr>
          <w:p w14:paraId="5C175E63">
            <w:pPr>
              <w:pStyle w:val="10"/>
              <w:rPr>
                <w:rFonts w:ascii="宋体" w:eastAsia="宋体" w:cs="宋体"/>
              </w:rPr>
            </w:pPr>
          </w:p>
        </w:tc>
        <w:tc>
          <w:tcPr>
            <w:tcW w:w="1630" w:type="dxa"/>
          </w:tcPr>
          <w:p w14:paraId="63BBA71E">
            <w:pPr>
              <w:pStyle w:val="10"/>
              <w:rPr>
                <w:rFonts w:ascii="宋体" w:eastAsia="宋体" w:cs="宋体"/>
              </w:rPr>
            </w:pPr>
          </w:p>
        </w:tc>
        <w:tc>
          <w:tcPr>
            <w:tcW w:w="1564" w:type="dxa"/>
          </w:tcPr>
          <w:p w14:paraId="4BBEAE71">
            <w:pPr>
              <w:pStyle w:val="10"/>
              <w:rPr>
                <w:rFonts w:ascii="宋体" w:eastAsia="宋体" w:cs="宋体"/>
              </w:rPr>
            </w:pPr>
          </w:p>
        </w:tc>
        <w:tc>
          <w:tcPr>
            <w:tcW w:w="1339" w:type="dxa"/>
          </w:tcPr>
          <w:p w14:paraId="3BE5B8B0">
            <w:pPr>
              <w:pStyle w:val="10"/>
              <w:rPr>
                <w:rFonts w:ascii="宋体" w:eastAsia="宋体" w:cs="宋体"/>
              </w:rPr>
            </w:pPr>
          </w:p>
        </w:tc>
        <w:tc>
          <w:tcPr>
            <w:tcW w:w="1564" w:type="dxa"/>
          </w:tcPr>
          <w:p w14:paraId="39AD144E">
            <w:pPr>
              <w:pStyle w:val="10"/>
              <w:rPr>
                <w:rFonts w:ascii="宋体" w:eastAsia="宋体" w:cs="宋体"/>
              </w:rPr>
            </w:pPr>
          </w:p>
        </w:tc>
        <w:tc>
          <w:tcPr>
            <w:tcW w:w="1009" w:type="dxa"/>
          </w:tcPr>
          <w:p w14:paraId="616D1D97">
            <w:pPr>
              <w:pStyle w:val="10"/>
              <w:rPr>
                <w:rFonts w:ascii="宋体" w:eastAsia="宋体" w:cs="宋体"/>
              </w:rPr>
            </w:pPr>
          </w:p>
        </w:tc>
      </w:tr>
      <w:tr w14:paraId="162C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49C80E2C">
            <w:pPr>
              <w:pStyle w:val="10"/>
              <w:rPr>
                <w:rFonts w:ascii="宋体" w:eastAsia="宋体" w:cs="宋体"/>
              </w:rPr>
            </w:pPr>
          </w:p>
        </w:tc>
        <w:tc>
          <w:tcPr>
            <w:tcW w:w="1613" w:type="dxa"/>
          </w:tcPr>
          <w:p w14:paraId="387166DA">
            <w:pPr>
              <w:pStyle w:val="10"/>
              <w:rPr>
                <w:rFonts w:ascii="宋体" w:eastAsia="宋体" w:cs="宋体"/>
              </w:rPr>
            </w:pPr>
          </w:p>
        </w:tc>
        <w:tc>
          <w:tcPr>
            <w:tcW w:w="1630" w:type="dxa"/>
          </w:tcPr>
          <w:p w14:paraId="3A982D1D">
            <w:pPr>
              <w:pStyle w:val="10"/>
              <w:rPr>
                <w:rFonts w:ascii="宋体" w:eastAsia="宋体" w:cs="宋体"/>
              </w:rPr>
            </w:pPr>
          </w:p>
        </w:tc>
        <w:tc>
          <w:tcPr>
            <w:tcW w:w="1564" w:type="dxa"/>
          </w:tcPr>
          <w:p w14:paraId="02F9693F">
            <w:pPr>
              <w:pStyle w:val="10"/>
              <w:rPr>
                <w:rFonts w:ascii="宋体" w:eastAsia="宋体" w:cs="宋体"/>
              </w:rPr>
            </w:pPr>
          </w:p>
        </w:tc>
        <w:tc>
          <w:tcPr>
            <w:tcW w:w="1339" w:type="dxa"/>
          </w:tcPr>
          <w:p w14:paraId="7EDEB331">
            <w:pPr>
              <w:pStyle w:val="10"/>
              <w:rPr>
                <w:rFonts w:ascii="宋体" w:eastAsia="宋体" w:cs="宋体"/>
              </w:rPr>
            </w:pPr>
          </w:p>
        </w:tc>
        <w:tc>
          <w:tcPr>
            <w:tcW w:w="1564" w:type="dxa"/>
          </w:tcPr>
          <w:p w14:paraId="4ED2AE24">
            <w:pPr>
              <w:pStyle w:val="10"/>
              <w:rPr>
                <w:rFonts w:ascii="宋体" w:eastAsia="宋体" w:cs="宋体"/>
              </w:rPr>
            </w:pPr>
          </w:p>
        </w:tc>
        <w:tc>
          <w:tcPr>
            <w:tcW w:w="1009" w:type="dxa"/>
          </w:tcPr>
          <w:p w14:paraId="0ABF3183">
            <w:pPr>
              <w:pStyle w:val="10"/>
              <w:rPr>
                <w:rFonts w:ascii="宋体" w:eastAsia="宋体" w:cs="宋体"/>
              </w:rPr>
            </w:pPr>
          </w:p>
        </w:tc>
      </w:tr>
      <w:tr w14:paraId="7A8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35113236">
            <w:pPr>
              <w:pStyle w:val="10"/>
              <w:rPr>
                <w:rFonts w:ascii="宋体" w:eastAsia="宋体" w:cs="宋体"/>
              </w:rPr>
            </w:pPr>
          </w:p>
        </w:tc>
        <w:tc>
          <w:tcPr>
            <w:tcW w:w="1613" w:type="dxa"/>
          </w:tcPr>
          <w:p w14:paraId="3DB170F2">
            <w:pPr>
              <w:pStyle w:val="10"/>
              <w:rPr>
                <w:rFonts w:ascii="宋体" w:eastAsia="宋体" w:cs="宋体"/>
              </w:rPr>
            </w:pPr>
          </w:p>
        </w:tc>
        <w:tc>
          <w:tcPr>
            <w:tcW w:w="1630" w:type="dxa"/>
          </w:tcPr>
          <w:p w14:paraId="6496DAB8">
            <w:pPr>
              <w:pStyle w:val="10"/>
              <w:rPr>
                <w:rFonts w:ascii="宋体" w:eastAsia="宋体" w:cs="宋体"/>
              </w:rPr>
            </w:pPr>
          </w:p>
        </w:tc>
        <w:tc>
          <w:tcPr>
            <w:tcW w:w="1564" w:type="dxa"/>
          </w:tcPr>
          <w:p w14:paraId="6B7D6B0D">
            <w:pPr>
              <w:pStyle w:val="10"/>
              <w:rPr>
                <w:rFonts w:ascii="宋体" w:eastAsia="宋体" w:cs="宋体"/>
              </w:rPr>
            </w:pPr>
          </w:p>
        </w:tc>
        <w:tc>
          <w:tcPr>
            <w:tcW w:w="1339" w:type="dxa"/>
          </w:tcPr>
          <w:p w14:paraId="1C800713">
            <w:pPr>
              <w:pStyle w:val="10"/>
              <w:rPr>
                <w:rFonts w:ascii="宋体" w:eastAsia="宋体" w:cs="宋体"/>
              </w:rPr>
            </w:pPr>
          </w:p>
        </w:tc>
        <w:tc>
          <w:tcPr>
            <w:tcW w:w="1564" w:type="dxa"/>
          </w:tcPr>
          <w:p w14:paraId="60C697D2">
            <w:pPr>
              <w:pStyle w:val="10"/>
              <w:rPr>
                <w:rFonts w:ascii="宋体" w:eastAsia="宋体" w:cs="宋体"/>
              </w:rPr>
            </w:pPr>
          </w:p>
        </w:tc>
        <w:tc>
          <w:tcPr>
            <w:tcW w:w="1009" w:type="dxa"/>
          </w:tcPr>
          <w:p w14:paraId="529C15A0">
            <w:pPr>
              <w:pStyle w:val="10"/>
              <w:rPr>
                <w:rFonts w:ascii="宋体" w:eastAsia="宋体" w:cs="宋体"/>
              </w:rPr>
            </w:pPr>
          </w:p>
        </w:tc>
      </w:tr>
      <w:tr w14:paraId="71FA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96" w:type="dxa"/>
          </w:tcPr>
          <w:p w14:paraId="6564F92C">
            <w:pPr>
              <w:pStyle w:val="10"/>
              <w:rPr>
                <w:rFonts w:ascii="宋体" w:eastAsia="宋体" w:cs="宋体"/>
              </w:rPr>
            </w:pPr>
          </w:p>
        </w:tc>
        <w:tc>
          <w:tcPr>
            <w:tcW w:w="1613" w:type="dxa"/>
          </w:tcPr>
          <w:p w14:paraId="7619704A">
            <w:pPr>
              <w:pStyle w:val="10"/>
              <w:rPr>
                <w:rFonts w:ascii="宋体" w:eastAsia="宋体" w:cs="宋体"/>
              </w:rPr>
            </w:pPr>
          </w:p>
        </w:tc>
        <w:tc>
          <w:tcPr>
            <w:tcW w:w="1630" w:type="dxa"/>
          </w:tcPr>
          <w:p w14:paraId="23226BB0">
            <w:pPr>
              <w:pStyle w:val="10"/>
              <w:rPr>
                <w:rFonts w:ascii="宋体" w:eastAsia="宋体" w:cs="宋体"/>
              </w:rPr>
            </w:pPr>
          </w:p>
        </w:tc>
        <w:tc>
          <w:tcPr>
            <w:tcW w:w="1564" w:type="dxa"/>
          </w:tcPr>
          <w:p w14:paraId="422C375C">
            <w:pPr>
              <w:pStyle w:val="10"/>
              <w:rPr>
                <w:rFonts w:ascii="宋体" w:eastAsia="宋体" w:cs="宋体"/>
              </w:rPr>
            </w:pPr>
          </w:p>
        </w:tc>
        <w:tc>
          <w:tcPr>
            <w:tcW w:w="1339" w:type="dxa"/>
          </w:tcPr>
          <w:p w14:paraId="046DAEA0">
            <w:pPr>
              <w:pStyle w:val="10"/>
              <w:rPr>
                <w:rFonts w:ascii="宋体" w:eastAsia="宋体" w:cs="宋体"/>
              </w:rPr>
            </w:pPr>
          </w:p>
        </w:tc>
        <w:tc>
          <w:tcPr>
            <w:tcW w:w="1564" w:type="dxa"/>
          </w:tcPr>
          <w:p w14:paraId="3ADC8C23">
            <w:pPr>
              <w:pStyle w:val="10"/>
              <w:rPr>
                <w:rFonts w:ascii="宋体" w:eastAsia="宋体" w:cs="宋体"/>
              </w:rPr>
            </w:pPr>
          </w:p>
        </w:tc>
        <w:tc>
          <w:tcPr>
            <w:tcW w:w="1009" w:type="dxa"/>
          </w:tcPr>
          <w:p w14:paraId="546DF0AF">
            <w:pPr>
              <w:pStyle w:val="10"/>
              <w:rPr>
                <w:rFonts w:ascii="宋体" w:eastAsia="宋体" w:cs="宋体"/>
              </w:rPr>
            </w:pPr>
          </w:p>
        </w:tc>
      </w:tr>
    </w:tbl>
    <w:p w14:paraId="77C638AF">
      <w:pPr>
        <w:pStyle w:val="10"/>
        <w:rPr>
          <w:rFonts w:ascii="宋体" w:eastAsia="宋体" w:cs="宋体"/>
          <w:b/>
          <w:bCs/>
          <w:sz w:val="21"/>
          <w:szCs w:val="21"/>
        </w:rPr>
      </w:pPr>
      <w:r>
        <w:rPr>
          <w:rFonts w:hint="eastAsia" w:ascii="宋体" w:eastAsia="宋体" w:cs="宋体"/>
          <w:b/>
          <w:bCs/>
          <w:sz w:val="21"/>
          <w:szCs w:val="21"/>
        </w:rPr>
        <w:t>注：本表后附相关业绩合同或中标通知书复印件加盖企业公章。</w:t>
      </w:r>
    </w:p>
    <w:p w14:paraId="7BF31DA9">
      <w:pPr>
        <w:rPr>
          <w:rFonts w:ascii="宋体" w:cs="宋体"/>
          <w:b/>
          <w:sz w:val="32"/>
          <w:szCs w:val="32"/>
        </w:rPr>
      </w:pPr>
      <w:r>
        <w:rPr>
          <w:rFonts w:hint="eastAsia" w:ascii="宋体" w:cs="宋体"/>
          <w:b/>
          <w:sz w:val="32"/>
          <w:szCs w:val="32"/>
        </w:rPr>
        <w:br w:type="page"/>
      </w:r>
    </w:p>
    <w:p w14:paraId="516999AF">
      <w:pPr>
        <w:spacing w:line="360" w:lineRule="auto"/>
        <w:jc w:val="center"/>
        <w:rPr>
          <w:rFonts w:ascii="宋体" w:cs="宋体"/>
          <w:b/>
          <w:sz w:val="32"/>
          <w:szCs w:val="32"/>
        </w:rPr>
      </w:pPr>
      <w:r>
        <w:rPr>
          <w:rFonts w:hint="eastAsia" w:ascii="宋体" w:cs="宋体"/>
          <w:b/>
          <w:sz w:val="32"/>
          <w:szCs w:val="32"/>
        </w:rPr>
        <w:t>11、供应商拟派于本项目管理、技术、服务人员情况表（如有）</w:t>
      </w:r>
    </w:p>
    <w:p w14:paraId="2E0054D0">
      <w:pPr>
        <w:spacing w:line="360" w:lineRule="auto"/>
        <w:jc w:val="center"/>
        <w:rPr>
          <w:rFonts w:ascii="宋体" w:cs="宋体"/>
          <w:b/>
          <w:sz w:val="32"/>
          <w:szCs w:val="32"/>
        </w:rPr>
      </w:pPr>
    </w:p>
    <w:tbl>
      <w:tblPr>
        <w:tblStyle w:val="28"/>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4"/>
        <w:gridCol w:w="1121"/>
        <w:gridCol w:w="1155"/>
        <w:gridCol w:w="1155"/>
        <w:gridCol w:w="1155"/>
        <w:gridCol w:w="1419"/>
        <w:gridCol w:w="890"/>
      </w:tblGrid>
      <w:tr w14:paraId="4B38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vAlign w:val="center"/>
          </w:tcPr>
          <w:p w14:paraId="5F2A566D">
            <w:pPr>
              <w:jc w:val="center"/>
              <w:rPr>
                <w:rFonts w:ascii="宋体" w:cs="宋体"/>
                <w:bCs/>
                <w:sz w:val="24"/>
              </w:rPr>
            </w:pPr>
            <w:r>
              <w:rPr>
                <w:rFonts w:hint="eastAsia" w:ascii="宋体" w:cs="宋体"/>
                <w:bCs/>
                <w:sz w:val="24"/>
              </w:rPr>
              <w:t>序号</w:t>
            </w:r>
          </w:p>
        </w:tc>
        <w:tc>
          <w:tcPr>
            <w:tcW w:w="1634" w:type="dxa"/>
            <w:vAlign w:val="center"/>
          </w:tcPr>
          <w:p w14:paraId="2740A206">
            <w:pPr>
              <w:jc w:val="center"/>
              <w:rPr>
                <w:rFonts w:ascii="宋体" w:cs="宋体"/>
                <w:bCs/>
                <w:sz w:val="24"/>
              </w:rPr>
            </w:pPr>
            <w:r>
              <w:rPr>
                <w:rFonts w:hint="eastAsia" w:ascii="宋体" w:cs="宋体"/>
                <w:bCs/>
                <w:sz w:val="24"/>
              </w:rPr>
              <w:t>职务</w:t>
            </w:r>
          </w:p>
        </w:tc>
        <w:tc>
          <w:tcPr>
            <w:tcW w:w="1121" w:type="dxa"/>
            <w:vAlign w:val="center"/>
          </w:tcPr>
          <w:p w14:paraId="06D10B25">
            <w:pPr>
              <w:jc w:val="center"/>
              <w:rPr>
                <w:rFonts w:ascii="宋体" w:cs="宋体"/>
                <w:bCs/>
                <w:sz w:val="24"/>
              </w:rPr>
            </w:pPr>
            <w:r>
              <w:rPr>
                <w:rFonts w:hint="eastAsia" w:ascii="宋体" w:cs="宋体"/>
                <w:bCs/>
                <w:sz w:val="24"/>
              </w:rPr>
              <w:t>姓名</w:t>
            </w:r>
          </w:p>
        </w:tc>
        <w:tc>
          <w:tcPr>
            <w:tcW w:w="1155" w:type="dxa"/>
            <w:vAlign w:val="center"/>
          </w:tcPr>
          <w:p w14:paraId="4276E4CC">
            <w:pPr>
              <w:jc w:val="center"/>
              <w:rPr>
                <w:rFonts w:ascii="宋体" w:cs="宋体"/>
                <w:bCs/>
                <w:sz w:val="24"/>
              </w:rPr>
            </w:pPr>
            <w:r>
              <w:rPr>
                <w:rFonts w:hint="eastAsia" w:ascii="宋体" w:cs="宋体"/>
                <w:bCs/>
                <w:sz w:val="24"/>
              </w:rPr>
              <w:t>学历</w:t>
            </w:r>
          </w:p>
        </w:tc>
        <w:tc>
          <w:tcPr>
            <w:tcW w:w="1155" w:type="dxa"/>
            <w:vAlign w:val="center"/>
          </w:tcPr>
          <w:p w14:paraId="38A5A281">
            <w:pPr>
              <w:jc w:val="center"/>
              <w:rPr>
                <w:rFonts w:ascii="宋体" w:cs="宋体"/>
                <w:bCs/>
                <w:sz w:val="24"/>
              </w:rPr>
            </w:pPr>
            <w:r>
              <w:rPr>
                <w:rFonts w:hint="eastAsia" w:ascii="宋体" w:cs="宋体"/>
                <w:bCs/>
                <w:sz w:val="24"/>
              </w:rPr>
              <w:t>职称</w:t>
            </w:r>
          </w:p>
        </w:tc>
        <w:tc>
          <w:tcPr>
            <w:tcW w:w="1155" w:type="dxa"/>
            <w:vAlign w:val="center"/>
          </w:tcPr>
          <w:p w14:paraId="7DEB348E">
            <w:pPr>
              <w:jc w:val="center"/>
              <w:rPr>
                <w:rFonts w:ascii="宋体" w:cs="宋体"/>
                <w:bCs/>
                <w:sz w:val="24"/>
              </w:rPr>
            </w:pPr>
            <w:r>
              <w:rPr>
                <w:rFonts w:hint="eastAsia" w:ascii="宋体" w:cs="宋体"/>
                <w:bCs/>
                <w:sz w:val="24"/>
              </w:rPr>
              <w:t>专业</w:t>
            </w:r>
          </w:p>
        </w:tc>
        <w:tc>
          <w:tcPr>
            <w:tcW w:w="1419" w:type="dxa"/>
            <w:vAlign w:val="center"/>
          </w:tcPr>
          <w:p w14:paraId="22655476">
            <w:pPr>
              <w:jc w:val="center"/>
              <w:rPr>
                <w:rFonts w:ascii="宋体" w:cs="宋体"/>
                <w:bCs/>
                <w:sz w:val="24"/>
              </w:rPr>
            </w:pPr>
            <w:r>
              <w:rPr>
                <w:rFonts w:hint="eastAsia" w:ascii="宋体" w:cs="宋体"/>
                <w:bCs/>
                <w:sz w:val="24"/>
              </w:rPr>
              <w:t>工作年限</w:t>
            </w:r>
          </w:p>
        </w:tc>
        <w:tc>
          <w:tcPr>
            <w:tcW w:w="890" w:type="dxa"/>
            <w:vAlign w:val="center"/>
          </w:tcPr>
          <w:p w14:paraId="438008F1">
            <w:pPr>
              <w:jc w:val="center"/>
              <w:rPr>
                <w:rFonts w:ascii="宋体" w:cs="宋体"/>
                <w:bCs/>
                <w:sz w:val="24"/>
              </w:rPr>
            </w:pPr>
            <w:r>
              <w:rPr>
                <w:rFonts w:hint="eastAsia" w:ascii="宋体" w:cs="宋体"/>
                <w:bCs/>
                <w:sz w:val="24"/>
              </w:rPr>
              <w:t>备注</w:t>
            </w:r>
          </w:p>
        </w:tc>
      </w:tr>
      <w:tr w14:paraId="41D1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658DA827">
            <w:pPr>
              <w:jc w:val="center"/>
              <w:rPr>
                <w:rFonts w:ascii="宋体" w:cs="宋体"/>
                <w:bCs/>
                <w:sz w:val="24"/>
              </w:rPr>
            </w:pPr>
          </w:p>
        </w:tc>
        <w:tc>
          <w:tcPr>
            <w:tcW w:w="1634" w:type="dxa"/>
          </w:tcPr>
          <w:p w14:paraId="67CC3FF6">
            <w:pPr>
              <w:jc w:val="center"/>
              <w:rPr>
                <w:rFonts w:ascii="宋体" w:cs="宋体"/>
                <w:bCs/>
                <w:sz w:val="24"/>
              </w:rPr>
            </w:pPr>
          </w:p>
        </w:tc>
        <w:tc>
          <w:tcPr>
            <w:tcW w:w="1121" w:type="dxa"/>
          </w:tcPr>
          <w:p w14:paraId="2465DECE">
            <w:pPr>
              <w:jc w:val="center"/>
              <w:rPr>
                <w:rFonts w:ascii="宋体" w:cs="宋体"/>
                <w:bCs/>
                <w:sz w:val="24"/>
              </w:rPr>
            </w:pPr>
          </w:p>
        </w:tc>
        <w:tc>
          <w:tcPr>
            <w:tcW w:w="1155" w:type="dxa"/>
          </w:tcPr>
          <w:p w14:paraId="75F176F9">
            <w:pPr>
              <w:jc w:val="center"/>
              <w:rPr>
                <w:rFonts w:ascii="宋体" w:cs="宋体"/>
                <w:bCs/>
                <w:sz w:val="24"/>
              </w:rPr>
            </w:pPr>
          </w:p>
        </w:tc>
        <w:tc>
          <w:tcPr>
            <w:tcW w:w="1155" w:type="dxa"/>
          </w:tcPr>
          <w:p w14:paraId="0F66C460">
            <w:pPr>
              <w:jc w:val="center"/>
              <w:rPr>
                <w:rFonts w:ascii="宋体" w:cs="宋体"/>
                <w:bCs/>
                <w:sz w:val="24"/>
              </w:rPr>
            </w:pPr>
          </w:p>
        </w:tc>
        <w:tc>
          <w:tcPr>
            <w:tcW w:w="1155" w:type="dxa"/>
          </w:tcPr>
          <w:p w14:paraId="4EA52030">
            <w:pPr>
              <w:jc w:val="center"/>
              <w:rPr>
                <w:rFonts w:ascii="宋体" w:cs="宋体"/>
                <w:bCs/>
                <w:sz w:val="24"/>
              </w:rPr>
            </w:pPr>
          </w:p>
        </w:tc>
        <w:tc>
          <w:tcPr>
            <w:tcW w:w="1419" w:type="dxa"/>
          </w:tcPr>
          <w:p w14:paraId="58995FAA">
            <w:pPr>
              <w:jc w:val="center"/>
              <w:rPr>
                <w:rFonts w:ascii="宋体" w:cs="宋体"/>
                <w:bCs/>
                <w:sz w:val="24"/>
              </w:rPr>
            </w:pPr>
          </w:p>
        </w:tc>
        <w:tc>
          <w:tcPr>
            <w:tcW w:w="890" w:type="dxa"/>
          </w:tcPr>
          <w:p w14:paraId="5292A408">
            <w:pPr>
              <w:jc w:val="center"/>
              <w:rPr>
                <w:rFonts w:ascii="宋体" w:cs="宋体"/>
                <w:bCs/>
                <w:sz w:val="24"/>
              </w:rPr>
            </w:pPr>
          </w:p>
        </w:tc>
      </w:tr>
      <w:tr w14:paraId="7ADC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43E74E7D">
            <w:pPr>
              <w:jc w:val="center"/>
              <w:rPr>
                <w:rFonts w:ascii="宋体" w:cs="宋体"/>
                <w:bCs/>
                <w:sz w:val="24"/>
              </w:rPr>
            </w:pPr>
          </w:p>
        </w:tc>
        <w:tc>
          <w:tcPr>
            <w:tcW w:w="1634" w:type="dxa"/>
          </w:tcPr>
          <w:p w14:paraId="14E1DE41">
            <w:pPr>
              <w:jc w:val="center"/>
              <w:rPr>
                <w:rFonts w:ascii="宋体" w:cs="宋体"/>
                <w:bCs/>
                <w:sz w:val="24"/>
              </w:rPr>
            </w:pPr>
          </w:p>
        </w:tc>
        <w:tc>
          <w:tcPr>
            <w:tcW w:w="1121" w:type="dxa"/>
          </w:tcPr>
          <w:p w14:paraId="6832D06C">
            <w:pPr>
              <w:jc w:val="center"/>
              <w:rPr>
                <w:rFonts w:ascii="宋体" w:cs="宋体"/>
                <w:bCs/>
                <w:sz w:val="24"/>
              </w:rPr>
            </w:pPr>
          </w:p>
        </w:tc>
        <w:tc>
          <w:tcPr>
            <w:tcW w:w="1155" w:type="dxa"/>
          </w:tcPr>
          <w:p w14:paraId="2F8976C9">
            <w:pPr>
              <w:jc w:val="center"/>
              <w:rPr>
                <w:rFonts w:ascii="宋体" w:cs="宋体"/>
                <w:bCs/>
                <w:sz w:val="24"/>
              </w:rPr>
            </w:pPr>
          </w:p>
        </w:tc>
        <w:tc>
          <w:tcPr>
            <w:tcW w:w="1155" w:type="dxa"/>
          </w:tcPr>
          <w:p w14:paraId="34F724ED">
            <w:pPr>
              <w:jc w:val="center"/>
              <w:rPr>
                <w:rFonts w:ascii="宋体" w:cs="宋体"/>
                <w:bCs/>
                <w:sz w:val="24"/>
              </w:rPr>
            </w:pPr>
          </w:p>
        </w:tc>
        <w:tc>
          <w:tcPr>
            <w:tcW w:w="1155" w:type="dxa"/>
          </w:tcPr>
          <w:p w14:paraId="1A04C855">
            <w:pPr>
              <w:jc w:val="center"/>
              <w:rPr>
                <w:rFonts w:ascii="宋体" w:cs="宋体"/>
                <w:bCs/>
                <w:sz w:val="24"/>
              </w:rPr>
            </w:pPr>
          </w:p>
        </w:tc>
        <w:tc>
          <w:tcPr>
            <w:tcW w:w="1419" w:type="dxa"/>
          </w:tcPr>
          <w:p w14:paraId="1DEA32F6">
            <w:pPr>
              <w:jc w:val="center"/>
              <w:rPr>
                <w:rFonts w:ascii="宋体" w:cs="宋体"/>
                <w:bCs/>
                <w:sz w:val="24"/>
              </w:rPr>
            </w:pPr>
          </w:p>
        </w:tc>
        <w:tc>
          <w:tcPr>
            <w:tcW w:w="890" w:type="dxa"/>
          </w:tcPr>
          <w:p w14:paraId="4EF46ECE">
            <w:pPr>
              <w:jc w:val="center"/>
              <w:rPr>
                <w:rFonts w:ascii="宋体" w:cs="宋体"/>
                <w:bCs/>
                <w:sz w:val="24"/>
              </w:rPr>
            </w:pPr>
          </w:p>
        </w:tc>
      </w:tr>
      <w:tr w14:paraId="74D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 w:hRule="atLeast"/>
        </w:trPr>
        <w:tc>
          <w:tcPr>
            <w:tcW w:w="708" w:type="dxa"/>
          </w:tcPr>
          <w:p w14:paraId="7593F3CC">
            <w:pPr>
              <w:jc w:val="center"/>
              <w:rPr>
                <w:rFonts w:ascii="宋体" w:cs="宋体"/>
                <w:bCs/>
                <w:sz w:val="24"/>
              </w:rPr>
            </w:pPr>
          </w:p>
        </w:tc>
        <w:tc>
          <w:tcPr>
            <w:tcW w:w="1634" w:type="dxa"/>
          </w:tcPr>
          <w:p w14:paraId="3301BDD1">
            <w:pPr>
              <w:jc w:val="center"/>
              <w:rPr>
                <w:rFonts w:ascii="宋体" w:cs="宋体"/>
                <w:bCs/>
                <w:sz w:val="24"/>
              </w:rPr>
            </w:pPr>
          </w:p>
        </w:tc>
        <w:tc>
          <w:tcPr>
            <w:tcW w:w="1121" w:type="dxa"/>
          </w:tcPr>
          <w:p w14:paraId="49A464C5">
            <w:pPr>
              <w:jc w:val="center"/>
              <w:rPr>
                <w:rFonts w:ascii="宋体" w:cs="宋体"/>
                <w:bCs/>
                <w:sz w:val="24"/>
              </w:rPr>
            </w:pPr>
          </w:p>
        </w:tc>
        <w:tc>
          <w:tcPr>
            <w:tcW w:w="1155" w:type="dxa"/>
          </w:tcPr>
          <w:p w14:paraId="5460622D">
            <w:pPr>
              <w:jc w:val="center"/>
              <w:rPr>
                <w:rFonts w:ascii="宋体" w:cs="宋体"/>
                <w:bCs/>
                <w:sz w:val="24"/>
              </w:rPr>
            </w:pPr>
          </w:p>
        </w:tc>
        <w:tc>
          <w:tcPr>
            <w:tcW w:w="1155" w:type="dxa"/>
          </w:tcPr>
          <w:p w14:paraId="52D23EC5">
            <w:pPr>
              <w:jc w:val="center"/>
              <w:rPr>
                <w:rFonts w:ascii="宋体" w:cs="宋体"/>
                <w:bCs/>
                <w:sz w:val="24"/>
              </w:rPr>
            </w:pPr>
          </w:p>
        </w:tc>
        <w:tc>
          <w:tcPr>
            <w:tcW w:w="1155" w:type="dxa"/>
          </w:tcPr>
          <w:p w14:paraId="3EE33633">
            <w:pPr>
              <w:jc w:val="center"/>
              <w:rPr>
                <w:rFonts w:ascii="宋体" w:cs="宋体"/>
                <w:bCs/>
                <w:sz w:val="24"/>
              </w:rPr>
            </w:pPr>
          </w:p>
        </w:tc>
        <w:tc>
          <w:tcPr>
            <w:tcW w:w="1419" w:type="dxa"/>
          </w:tcPr>
          <w:p w14:paraId="5945E892">
            <w:pPr>
              <w:jc w:val="center"/>
              <w:rPr>
                <w:rFonts w:ascii="宋体" w:cs="宋体"/>
                <w:bCs/>
                <w:sz w:val="24"/>
              </w:rPr>
            </w:pPr>
          </w:p>
        </w:tc>
        <w:tc>
          <w:tcPr>
            <w:tcW w:w="890" w:type="dxa"/>
          </w:tcPr>
          <w:p w14:paraId="4082CD76">
            <w:pPr>
              <w:jc w:val="center"/>
              <w:rPr>
                <w:rFonts w:ascii="宋体" w:cs="宋体"/>
                <w:bCs/>
                <w:sz w:val="24"/>
              </w:rPr>
            </w:pPr>
          </w:p>
        </w:tc>
      </w:tr>
      <w:tr w14:paraId="64A0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1BA3E562">
            <w:pPr>
              <w:jc w:val="center"/>
              <w:rPr>
                <w:rFonts w:ascii="宋体" w:cs="宋体"/>
                <w:bCs/>
                <w:sz w:val="24"/>
              </w:rPr>
            </w:pPr>
          </w:p>
        </w:tc>
        <w:tc>
          <w:tcPr>
            <w:tcW w:w="1634" w:type="dxa"/>
          </w:tcPr>
          <w:p w14:paraId="3056F2D0">
            <w:pPr>
              <w:jc w:val="center"/>
              <w:rPr>
                <w:rFonts w:ascii="宋体" w:cs="宋体"/>
                <w:bCs/>
                <w:sz w:val="24"/>
              </w:rPr>
            </w:pPr>
          </w:p>
        </w:tc>
        <w:tc>
          <w:tcPr>
            <w:tcW w:w="1121" w:type="dxa"/>
          </w:tcPr>
          <w:p w14:paraId="39621854">
            <w:pPr>
              <w:jc w:val="center"/>
              <w:rPr>
                <w:rFonts w:ascii="宋体" w:cs="宋体"/>
                <w:bCs/>
                <w:sz w:val="24"/>
              </w:rPr>
            </w:pPr>
          </w:p>
        </w:tc>
        <w:tc>
          <w:tcPr>
            <w:tcW w:w="1155" w:type="dxa"/>
          </w:tcPr>
          <w:p w14:paraId="42831E6D">
            <w:pPr>
              <w:jc w:val="center"/>
              <w:rPr>
                <w:rFonts w:ascii="宋体" w:cs="宋体"/>
                <w:bCs/>
                <w:sz w:val="24"/>
              </w:rPr>
            </w:pPr>
          </w:p>
        </w:tc>
        <w:tc>
          <w:tcPr>
            <w:tcW w:w="1155" w:type="dxa"/>
          </w:tcPr>
          <w:p w14:paraId="0D85034D">
            <w:pPr>
              <w:jc w:val="center"/>
              <w:rPr>
                <w:rFonts w:ascii="宋体" w:cs="宋体"/>
                <w:bCs/>
                <w:sz w:val="24"/>
              </w:rPr>
            </w:pPr>
          </w:p>
        </w:tc>
        <w:tc>
          <w:tcPr>
            <w:tcW w:w="1155" w:type="dxa"/>
          </w:tcPr>
          <w:p w14:paraId="197BD5FB">
            <w:pPr>
              <w:jc w:val="center"/>
              <w:rPr>
                <w:rFonts w:ascii="宋体" w:cs="宋体"/>
                <w:bCs/>
                <w:sz w:val="24"/>
              </w:rPr>
            </w:pPr>
          </w:p>
        </w:tc>
        <w:tc>
          <w:tcPr>
            <w:tcW w:w="1419" w:type="dxa"/>
          </w:tcPr>
          <w:p w14:paraId="2749F63E">
            <w:pPr>
              <w:jc w:val="center"/>
              <w:rPr>
                <w:rFonts w:ascii="宋体" w:cs="宋体"/>
                <w:bCs/>
                <w:sz w:val="24"/>
              </w:rPr>
            </w:pPr>
          </w:p>
        </w:tc>
        <w:tc>
          <w:tcPr>
            <w:tcW w:w="890" w:type="dxa"/>
          </w:tcPr>
          <w:p w14:paraId="52379110">
            <w:pPr>
              <w:jc w:val="center"/>
              <w:rPr>
                <w:rFonts w:ascii="宋体" w:cs="宋体"/>
                <w:bCs/>
                <w:sz w:val="24"/>
              </w:rPr>
            </w:pPr>
          </w:p>
        </w:tc>
      </w:tr>
      <w:tr w14:paraId="5F7E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8" w:type="dxa"/>
          </w:tcPr>
          <w:p w14:paraId="5B0331AC">
            <w:pPr>
              <w:jc w:val="center"/>
              <w:rPr>
                <w:rFonts w:ascii="宋体" w:cs="宋体"/>
                <w:bCs/>
                <w:sz w:val="24"/>
              </w:rPr>
            </w:pPr>
          </w:p>
        </w:tc>
        <w:tc>
          <w:tcPr>
            <w:tcW w:w="1634" w:type="dxa"/>
          </w:tcPr>
          <w:p w14:paraId="5567E297">
            <w:pPr>
              <w:jc w:val="center"/>
              <w:rPr>
                <w:rFonts w:ascii="宋体" w:cs="宋体"/>
                <w:bCs/>
                <w:sz w:val="24"/>
              </w:rPr>
            </w:pPr>
          </w:p>
        </w:tc>
        <w:tc>
          <w:tcPr>
            <w:tcW w:w="1121" w:type="dxa"/>
          </w:tcPr>
          <w:p w14:paraId="2133E86F">
            <w:pPr>
              <w:jc w:val="center"/>
              <w:rPr>
                <w:rFonts w:ascii="宋体" w:cs="宋体"/>
                <w:bCs/>
                <w:sz w:val="24"/>
              </w:rPr>
            </w:pPr>
          </w:p>
        </w:tc>
        <w:tc>
          <w:tcPr>
            <w:tcW w:w="1155" w:type="dxa"/>
          </w:tcPr>
          <w:p w14:paraId="52255003">
            <w:pPr>
              <w:jc w:val="center"/>
              <w:rPr>
                <w:rFonts w:ascii="宋体" w:cs="宋体"/>
                <w:bCs/>
                <w:sz w:val="24"/>
              </w:rPr>
            </w:pPr>
          </w:p>
        </w:tc>
        <w:tc>
          <w:tcPr>
            <w:tcW w:w="1155" w:type="dxa"/>
          </w:tcPr>
          <w:p w14:paraId="18B25E7E">
            <w:pPr>
              <w:jc w:val="center"/>
              <w:rPr>
                <w:rFonts w:ascii="宋体" w:cs="宋体"/>
                <w:bCs/>
                <w:sz w:val="24"/>
              </w:rPr>
            </w:pPr>
          </w:p>
        </w:tc>
        <w:tc>
          <w:tcPr>
            <w:tcW w:w="1155" w:type="dxa"/>
          </w:tcPr>
          <w:p w14:paraId="51109590">
            <w:pPr>
              <w:jc w:val="center"/>
              <w:rPr>
                <w:rFonts w:ascii="宋体" w:cs="宋体"/>
                <w:bCs/>
                <w:sz w:val="24"/>
              </w:rPr>
            </w:pPr>
          </w:p>
        </w:tc>
        <w:tc>
          <w:tcPr>
            <w:tcW w:w="1419" w:type="dxa"/>
          </w:tcPr>
          <w:p w14:paraId="3A5325C0">
            <w:pPr>
              <w:jc w:val="center"/>
              <w:rPr>
                <w:rFonts w:ascii="宋体" w:cs="宋体"/>
                <w:bCs/>
                <w:sz w:val="24"/>
              </w:rPr>
            </w:pPr>
          </w:p>
        </w:tc>
        <w:tc>
          <w:tcPr>
            <w:tcW w:w="890" w:type="dxa"/>
          </w:tcPr>
          <w:p w14:paraId="720D3A37">
            <w:pPr>
              <w:jc w:val="center"/>
              <w:rPr>
                <w:rFonts w:ascii="宋体" w:cs="宋体"/>
                <w:bCs/>
                <w:sz w:val="24"/>
              </w:rPr>
            </w:pPr>
          </w:p>
        </w:tc>
      </w:tr>
    </w:tbl>
    <w:p w14:paraId="241E7295">
      <w:pPr>
        <w:spacing w:line="360" w:lineRule="auto"/>
        <w:jc w:val="center"/>
        <w:rPr>
          <w:rFonts w:ascii="宋体" w:cs="宋体"/>
          <w:b/>
          <w:sz w:val="32"/>
          <w:szCs w:val="32"/>
        </w:rPr>
      </w:pPr>
    </w:p>
    <w:p w14:paraId="5FD302EB">
      <w:pPr>
        <w:rPr>
          <w:rFonts w:ascii="宋体" w:cs="宋体"/>
          <w:b/>
          <w:sz w:val="32"/>
          <w:szCs w:val="32"/>
        </w:rPr>
      </w:pPr>
      <w:r>
        <w:rPr>
          <w:rFonts w:hint="eastAsia" w:ascii="宋体" w:cs="宋体"/>
          <w:b/>
          <w:szCs w:val="21"/>
        </w:rPr>
        <w:t>注：本表须后附相关人员身份证、相关证书（如有）、在职证明（劳动合同或社保证明）等证明材料</w:t>
      </w:r>
      <w:r>
        <w:rPr>
          <w:rFonts w:hint="eastAsia" w:ascii="宋体" w:cs="宋体"/>
          <w:b/>
          <w:sz w:val="32"/>
          <w:szCs w:val="32"/>
        </w:rPr>
        <w:br w:type="page"/>
      </w:r>
    </w:p>
    <w:p w14:paraId="14FDE7E4">
      <w:pPr>
        <w:spacing w:line="360" w:lineRule="auto"/>
        <w:jc w:val="center"/>
        <w:rPr>
          <w:rFonts w:ascii="宋体" w:cs="宋体"/>
          <w:b/>
          <w:sz w:val="32"/>
          <w:szCs w:val="32"/>
        </w:rPr>
      </w:pPr>
      <w:r>
        <w:rPr>
          <w:rFonts w:hint="eastAsia" w:ascii="宋体" w:cs="宋体"/>
          <w:b/>
          <w:sz w:val="32"/>
          <w:szCs w:val="32"/>
        </w:rPr>
        <w:t>12、</w:t>
      </w:r>
      <w:bookmarkStart w:id="115" w:name="_Toc424468844"/>
      <w:r>
        <w:rPr>
          <w:rFonts w:hint="eastAsia" w:ascii="宋体" w:cs="宋体"/>
          <w:b/>
          <w:sz w:val="32"/>
          <w:szCs w:val="32"/>
        </w:rPr>
        <w:t>信誉承诺书</w:t>
      </w:r>
    </w:p>
    <w:p w14:paraId="73AA3A53">
      <w:pPr>
        <w:pStyle w:val="10"/>
        <w:rPr>
          <w:rFonts w:ascii="宋体" w:eastAsia="宋体" w:cs="宋体"/>
        </w:rPr>
      </w:pPr>
    </w:p>
    <w:p w14:paraId="1045FE37">
      <w:pPr>
        <w:tabs>
          <w:tab w:val="left" w:pos="1365"/>
        </w:tabs>
        <w:spacing w:line="360" w:lineRule="auto"/>
        <w:jc w:val="center"/>
        <w:rPr>
          <w:rFonts w:ascii="宋体" w:cs="宋体"/>
          <w:sz w:val="28"/>
          <w:szCs w:val="32"/>
        </w:rPr>
      </w:pPr>
      <w:r>
        <w:rPr>
          <w:rFonts w:hint="eastAsia" w:ascii="宋体" w:cs="宋体"/>
          <w:sz w:val="28"/>
          <w:szCs w:val="32"/>
        </w:rPr>
        <w:t>（格式自拟）</w:t>
      </w:r>
    </w:p>
    <w:bookmarkEnd w:id="115"/>
    <w:p w14:paraId="1C960DD2">
      <w:pPr>
        <w:rPr>
          <w:rFonts w:ascii="宋体" w:cs="宋体"/>
          <w:b/>
          <w:sz w:val="32"/>
          <w:szCs w:val="32"/>
        </w:rPr>
      </w:pPr>
      <w:r>
        <w:rPr>
          <w:rFonts w:hint="eastAsia" w:ascii="宋体" w:cs="宋体"/>
          <w:b/>
          <w:sz w:val="32"/>
          <w:szCs w:val="32"/>
        </w:rPr>
        <w:br w:type="page"/>
      </w:r>
    </w:p>
    <w:p w14:paraId="13995EAC">
      <w:pPr>
        <w:spacing w:line="360" w:lineRule="auto"/>
        <w:jc w:val="center"/>
        <w:rPr>
          <w:rFonts w:ascii="宋体" w:cs="宋体"/>
          <w:b/>
          <w:sz w:val="32"/>
          <w:szCs w:val="32"/>
        </w:rPr>
      </w:pPr>
      <w:r>
        <w:rPr>
          <w:rFonts w:hint="eastAsia" w:ascii="宋体" w:cs="宋体"/>
          <w:b/>
          <w:sz w:val="32"/>
          <w:szCs w:val="32"/>
        </w:rPr>
        <w:t>13、磋商保证金</w:t>
      </w:r>
    </w:p>
    <w:p w14:paraId="1B7B9AC6">
      <w:pPr>
        <w:spacing w:line="480" w:lineRule="auto"/>
        <w:rPr>
          <w:rFonts w:ascii="宋体" w:cs="宋体"/>
          <w:sz w:val="24"/>
        </w:rPr>
      </w:pPr>
      <w:r>
        <w:rPr>
          <w:rFonts w:hint="eastAsia" w:ascii="宋体" w:cs="宋体"/>
          <w:sz w:val="24"/>
        </w:rPr>
        <w:t>致：</w:t>
      </w:r>
      <w:r>
        <w:rPr>
          <w:rFonts w:hint="eastAsia" w:ascii="宋体" w:cs="宋体"/>
          <w:sz w:val="24"/>
          <w:u w:val="single"/>
        </w:rPr>
        <w:t xml:space="preserve">     （采购人名称）</w:t>
      </w:r>
      <w:r>
        <w:rPr>
          <w:rFonts w:hint="eastAsia" w:ascii="宋体" w:cs="宋体"/>
          <w:sz w:val="24"/>
          <w:u w:val="single"/>
        </w:rPr>
        <w:tab/>
      </w:r>
      <w:r>
        <w:rPr>
          <w:rFonts w:hint="eastAsia" w:ascii="宋体" w:cs="宋体"/>
          <w:sz w:val="24"/>
          <w:u w:val="single"/>
        </w:rPr>
        <w:tab/>
      </w:r>
    </w:p>
    <w:p w14:paraId="55422C6F">
      <w:pPr>
        <w:spacing w:line="480" w:lineRule="auto"/>
        <w:ind w:firstLine="470" w:firstLineChars="196"/>
        <w:rPr>
          <w:rFonts w:ascii="宋体" w:cs="宋体"/>
          <w:sz w:val="24"/>
        </w:rPr>
      </w:pPr>
      <w:r>
        <w:rPr>
          <w:rFonts w:hint="eastAsia" w:ascii="宋体" w:cs="宋体"/>
          <w:sz w:val="24"/>
          <w:u w:val="single"/>
        </w:rPr>
        <w:t xml:space="preserve">        （供应商名称）    </w:t>
      </w:r>
      <w:r>
        <w:rPr>
          <w:rFonts w:hint="eastAsia" w:ascii="宋体" w:cs="宋体"/>
          <w:sz w:val="24"/>
        </w:rPr>
        <w:t>（以下称“供应商”）于</w:t>
      </w:r>
      <w:r>
        <w:rPr>
          <w:rFonts w:hint="eastAsia" w:ascii="宋体" w:cs="宋体"/>
          <w:sz w:val="24"/>
          <w:u w:val="single"/>
        </w:rPr>
        <w:t xml:space="preserve">    年   月   日</w:t>
      </w:r>
      <w:r>
        <w:rPr>
          <w:rFonts w:hint="eastAsia" w:ascii="宋体" w:cs="宋体"/>
          <w:sz w:val="24"/>
        </w:rPr>
        <w:t>递交了</w:t>
      </w:r>
      <w:r>
        <w:rPr>
          <w:rFonts w:hint="eastAsia" w:ascii="宋体" w:cs="宋体"/>
          <w:sz w:val="24"/>
          <w:u w:val="single"/>
        </w:rPr>
        <w:t xml:space="preserve">    （项目名称、项目编号）    </w:t>
      </w:r>
      <w:r>
        <w:rPr>
          <w:rFonts w:hint="eastAsia" w:ascii="宋体" w:cs="宋体"/>
          <w:sz w:val="24"/>
        </w:rPr>
        <w:t>的磋商保证金人民币元；</w:t>
      </w:r>
    </w:p>
    <w:p w14:paraId="69891AF2">
      <w:pPr>
        <w:spacing w:line="480" w:lineRule="auto"/>
        <w:ind w:firstLine="470" w:firstLineChars="196"/>
        <w:rPr>
          <w:rFonts w:ascii="宋体" w:cs="宋体"/>
          <w:sz w:val="24"/>
        </w:rPr>
      </w:pPr>
      <w:r>
        <w:rPr>
          <w:rFonts w:hint="eastAsia" w:ascii="宋体" w:cs="宋体"/>
          <w:sz w:val="24"/>
        </w:rPr>
        <w:t>如果我方在磋商有效期内收到你方的成交通知书后</w:t>
      </w:r>
    </w:p>
    <w:p w14:paraId="686267D8">
      <w:pPr>
        <w:spacing w:line="480" w:lineRule="auto"/>
        <w:ind w:firstLine="470" w:firstLineChars="196"/>
        <w:rPr>
          <w:rFonts w:ascii="宋体" w:cs="宋体"/>
          <w:sz w:val="24"/>
        </w:rPr>
      </w:pPr>
      <w:r>
        <w:rPr>
          <w:rFonts w:hint="eastAsia" w:ascii="宋体" w:cs="宋体"/>
          <w:sz w:val="24"/>
        </w:rPr>
        <w:t>1、不能或拒绝按供应商须知的要求签署合同协议书；</w:t>
      </w:r>
    </w:p>
    <w:p w14:paraId="72076063">
      <w:pPr>
        <w:spacing w:line="480" w:lineRule="auto"/>
        <w:ind w:firstLine="470" w:firstLineChars="196"/>
        <w:rPr>
          <w:rFonts w:ascii="宋体" w:cs="宋体"/>
          <w:sz w:val="24"/>
        </w:rPr>
      </w:pPr>
      <w:r>
        <w:rPr>
          <w:rFonts w:hint="eastAsia" w:ascii="宋体" w:cs="宋体"/>
          <w:sz w:val="24"/>
        </w:rPr>
        <w:t>2、在磋商有效期内撤回磋商响应文件。</w:t>
      </w:r>
    </w:p>
    <w:p w14:paraId="3C67A560">
      <w:pPr>
        <w:spacing w:line="480" w:lineRule="auto"/>
        <w:ind w:firstLine="470" w:firstLineChars="196"/>
        <w:rPr>
          <w:rFonts w:ascii="宋体" w:cs="宋体"/>
          <w:sz w:val="24"/>
        </w:rPr>
      </w:pPr>
      <w:r>
        <w:rPr>
          <w:rFonts w:hint="eastAsia" w:ascii="宋体" w:cs="宋体"/>
          <w:sz w:val="24"/>
        </w:rPr>
        <w:t>否则你方有权没收我方的磋商保证金。</w:t>
      </w:r>
    </w:p>
    <w:p w14:paraId="269EA6B0">
      <w:pPr>
        <w:spacing w:line="480" w:lineRule="auto"/>
        <w:ind w:firstLine="470" w:firstLineChars="196"/>
        <w:rPr>
          <w:rFonts w:ascii="宋体" w:cs="宋体"/>
          <w:sz w:val="24"/>
        </w:rPr>
      </w:pPr>
      <w:r>
        <w:rPr>
          <w:rFonts w:hint="eastAsia" w:ascii="宋体" w:cs="宋体"/>
          <w:sz w:val="24"/>
        </w:rPr>
        <w:t>我方同意竞争性磋商文件有关磋商保证金规定，并对我方有约束力。</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329C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tcPr>
          <w:p w14:paraId="657EDF98">
            <w:pPr>
              <w:rPr>
                <w:rFonts w:ascii="宋体" w:cs="宋体"/>
                <w:b/>
                <w:sz w:val="24"/>
              </w:rPr>
            </w:pPr>
          </w:p>
          <w:p w14:paraId="44CCBA20">
            <w:pPr>
              <w:ind w:firstLine="361" w:firstLineChars="150"/>
              <w:rPr>
                <w:rFonts w:ascii="宋体" w:cs="宋体"/>
                <w:b/>
                <w:sz w:val="24"/>
              </w:rPr>
            </w:pPr>
            <w:r>
              <w:rPr>
                <w:rFonts w:hint="eastAsia" w:ascii="宋体" w:cs="宋体"/>
                <w:b/>
                <w:sz w:val="24"/>
              </w:rPr>
              <w:t>附:银行进账回单</w:t>
            </w:r>
          </w:p>
          <w:p w14:paraId="4E33C968">
            <w:pPr>
              <w:ind w:firstLine="361" w:firstLineChars="150"/>
              <w:rPr>
                <w:rFonts w:ascii="宋体" w:cs="宋体"/>
                <w:b/>
                <w:sz w:val="24"/>
              </w:rPr>
            </w:pPr>
          </w:p>
          <w:p w14:paraId="7A6FA7A8">
            <w:pPr>
              <w:ind w:firstLine="361" w:firstLineChars="150"/>
              <w:rPr>
                <w:rFonts w:ascii="宋体" w:cs="宋体"/>
                <w:b/>
                <w:sz w:val="24"/>
              </w:rPr>
            </w:pPr>
          </w:p>
          <w:p w14:paraId="4776EA80">
            <w:pPr>
              <w:ind w:firstLine="361" w:firstLineChars="150"/>
              <w:rPr>
                <w:rFonts w:ascii="宋体" w:cs="宋体"/>
                <w:b/>
                <w:sz w:val="24"/>
              </w:rPr>
            </w:pPr>
          </w:p>
          <w:p w14:paraId="05D8711B">
            <w:pPr>
              <w:rPr>
                <w:rFonts w:ascii="宋体" w:cs="宋体"/>
                <w:sz w:val="24"/>
              </w:rPr>
            </w:pPr>
          </w:p>
          <w:p w14:paraId="75073B11">
            <w:pPr>
              <w:rPr>
                <w:rFonts w:ascii="宋体" w:cs="宋体"/>
                <w:sz w:val="24"/>
              </w:rPr>
            </w:pPr>
          </w:p>
          <w:p w14:paraId="1F03384A">
            <w:pPr>
              <w:rPr>
                <w:rFonts w:ascii="宋体" w:cs="宋体"/>
                <w:sz w:val="24"/>
              </w:rPr>
            </w:pPr>
          </w:p>
        </w:tc>
      </w:tr>
    </w:tbl>
    <w:p w14:paraId="7ECE39FB">
      <w:pPr>
        <w:rPr>
          <w:rFonts w:ascii="宋体" w:cs="宋体"/>
          <w:sz w:val="24"/>
        </w:rPr>
      </w:pPr>
    </w:p>
    <w:p w14:paraId="686A41BE">
      <w:pPr>
        <w:rPr>
          <w:rFonts w:ascii="宋体" w:cs="宋体"/>
          <w:sz w:val="24"/>
        </w:rPr>
      </w:pPr>
    </w:p>
    <w:p w14:paraId="7FE6B2CC">
      <w:pPr>
        <w:autoSpaceDE w:val="0"/>
        <w:autoSpaceDN w:val="0"/>
        <w:adjustRightInd w:val="0"/>
        <w:spacing w:line="360" w:lineRule="auto"/>
        <w:ind w:right="480" w:firstLine="6120" w:firstLineChars="2550"/>
        <w:rPr>
          <w:rFonts w:ascii="宋体" w:cs="宋体"/>
          <w:sz w:val="24"/>
          <w:lang w:val="zh-CN"/>
        </w:rPr>
      </w:pPr>
      <w:r>
        <w:rPr>
          <w:rFonts w:hint="eastAsia" w:ascii="宋体" w:cs="宋体"/>
          <w:sz w:val="24"/>
          <w:lang w:val="zh-CN"/>
        </w:rPr>
        <w:t>供应商名称（盖章）：</w:t>
      </w:r>
    </w:p>
    <w:p w14:paraId="5CB17335">
      <w:pPr>
        <w:autoSpaceDE w:val="0"/>
        <w:autoSpaceDN w:val="0"/>
        <w:adjustRightInd w:val="0"/>
        <w:spacing w:line="360" w:lineRule="auto"/>
        <w:ind w:right="480" w:firstLine="4920" w:firstLineChars="2050"/>
        <w:rPr>
          <w:rFonts w:ascii="宋体" w:cs="宋体"/>
          <w:sz w:val="24"/>
          <w:lang w:val="zh-CN"/>
        </w:rPr>
      </w:pPr>
    </w:p>
    <w:p w14:paraId="70034A69">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5495319E">
      <w:pPr>
        <w:autoSpaceDE w:val="0"/>
        <w:autoSpaceDN w:val="0"/>
        <w:adjustRightInd w:val="0"/>
        <w:spacing w:line="360" w:lineRule="auto"/>
        <w:ind w:firstLine="480"/>
        <w:jc w:val="right"/>
        <w:rPr>
          <w:rFonts w:ascii="宋体" w:cs="宋体"/>
          <w:sz w:val="24"/>
          <w:lang w:val="zh-CN"/>
        </w:rPr>
      </w:pPr>
    </w:p>
    <w:p w14:paraId="4927061B">
      <w:pPr>
        <w:autoSpaceDE w:val="0"/>
        <w:autoSpaceDN w:val="0"/>
        <w:adjustRightInd w:val="0"/>
        <w:ind w:right="480"/>
        <w:jc w:val="right"/>
        <w:rPr>
          <w:rFonts w:ascii="宋体" w:cs="宋体"/>
          <w:sz w:val="24"/>
          <w:lang w:val="zh-CN"/>
        </w:rPr>
      </w:pPr>
      <w:r>
        <w:rPr>
          <w:rFonts w:hint="eastAsia" w:ascii="宋体" w:cs="宋体"/>
          <w:sz w:val="24"/>
          <w:lang w:val="zh-CN"/>
        </w:rPr>
        <w:t>日期：年月日</w:t>
      </w:r>
    </w:p>
    <w:p w14:paraId="278534A1">
      <w:pPr>
        <w:rPr>
          <w:rFonts w:ascii="宋体" w:cs="宋体"/>
          <w:sz w:val="24"/>
          <w:lang w:val="zh-CN"/>
        </w:rPr>
      </w:pPr>
    </w:p>
    <w:p w14:paraId="7DF2DED2">
      <w:pPr>
        <w:rPr>
          <w:rFonts w:ascii="宋体" w:cs="宋体"/>
          <w:b/>
          <w:bCs/>
          <w:szCs w:val="21"/>
          <w:lang w:val="zh-CN"/>
        </w:rPr>
      </w:pPr>
      <w:r>
        <w:rPr>
          <w:rFonts w:hint="eastAsia" w:ascii="宋体" w:cs="宋体"/>
          <w:b/>
          <w:bCs/>
          <w:szCs w:val="21"/>
          <w:lang w:val="zh-CN"/>
        </w:rPr>
        <w:t>注：</w:t>
      </w:r>
      <w:r>
        <w:rPr>
          <w:rFonts w:hint="eastAsia" w:ascii="宋体" w:cs="宋体"/>
          <w:b/>
          <w:bCs/>
          <w:szCs w:val="21"/>
        </w:rPr>
        <w:t>1、</w:t>
      </w:r>
      <w:r>
        <w:rPr>
          <w:rFonts w:hint="eastAsia" w:ascii="宋体" w:cs="宋体"/>
          <w:b/>
          <w:bCs/>
          <w:szCs w:val="21"/>
          <w:lang w:val="zh-CN"/>
        </w:rPr>
        <w:t>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p w14:paraId="0D4FE2CE">
      <w:pPr>
        <w:ind w:firstLine="422" w:firstLineChars="200"/>
        <w:rPr>
          <w:rFonts w:ascii="宋体" w:cs="宋体"/>
          <w:b/>
          <w:sz w:val="32"/>
          <w:szCs w:val="32"/>
        </w:rPr>
      </w:pPr>
      <w:r>
        <w:rPr>
          <w:rFonts w:hint="eastAsia" w:ascii="宋体" w:cs="宋体"/>
          <w:b/>
          <w:bCs/>
          <w:szCs w:val="21"/>
        </w:rPr>
        <w:t>2、</w:t>
      </w:r>
      <w:r>
        <w:rPr>
          <w:rFonts w:hint="eastAsia" w:ascii="宋体" w:cs="宋体"/>
          <w:b/>
          <w:bCs/>
          <w:szCs w:val="21"/>
          <w:lang w:val="zh-CN"/>
        </w:rPr>
        <w:t>信誉良好的供应商无须递交磋商保证金，但须在此处提供经“信用中国”网站查询不存在行政处罚信息截图。</w:t>
      </w:r>
      <w:r>
        <w:rPr>
          <w:rFonts w:hint="eastAsia" w:ascii="宋体" w:cs="宋体"/>
          <w:b/>
          <w:sz w:val="32"/>
          <w:szCs w:val="32"/>
        </w:rPr>
        <w:br w:type="page"/>
      </w:r>
    </w:p>
    <w:p w14:paraId="6C786732">
      <w:pPr>
        <w:ind w:left="-710" w:leftChars="-338" w:firstLine="643" w:firstLineChars="200"/>
        <w:jc w:val="center"/>
        <w:rPr>
          <w:rFonts w:ascii="宋体" w:cs="宋体"/>
          <w:b/>
          <w:sz w:val="32"/>
          <w:szCs w:val="32"/>
        </w:rPr>
      </w:pPr>
      <w:r>
        <w:rPr>
          <w:rFonts w:hint="eastAsia" w:ascii="宋体" w:cs="宋体"/>
          <w:b/>
          <w:sz w:val="32"/>
          <w:szCs w:val="32"/>
        </w:rPr>
        <w:t>14、服务承诺书</w:t>
      </w:r>
    </w:p>
    <w:p w14:paraId="42172F23">
      <w:pPr>
        <w:autoSpaceDE w:val="0"/>
        <w:autoSpaceDN w:val="0"/>
        <w:adjustRightInd w:val="0"/>
        <w:spacing w:line="360" w:lineRule="auto"/>
        <w:rPr>
          <w:rFonts w:ascii="宋体" w:cs="宋体"/>
          <w:sz w:val="24"/>
          <w:lang w:val="zh-CN"/>
        </w:rPr>
      </w:pPr>
      <w:r>
        <w:rPr>
          <w:rFonts w:hint="eastAsia" w:ascii="宋体" w:cs="宋体"/>
          <w:sz w:val="24"/>
          <w:lang w:val="zh-CN"/>
        </w:rPr>
        <w:t>致：（采购人、采购代理机构）</w:t>
      </w:r>
    </w:p>
    <w:p w14:paraId="79BC391F">
      <w:pPr>
        <w:autoSpaceDE w:val="0"/>
        <w:autoSpaceDN w:val="0"/>
        <w:adjustRightInd w:val="0"/>
        <w:spacing w:line="360" w:lineRule="auto"/>
        <w:ind w:firstLine="480"/>
        <w:rPr>
          <w:rFonts w:ascii="宋体" w:cs="宋体"/>
          <w:sz w:val="24"/>
          <w:lang w:val="zh-CN"/>
        </w:rPr>
      </w:pPr>
      <w:r>
        <w:rPr>
          <w:rFonts w:hint="eastAsia" w:ascii="宋体" w:cs="宋体"/>
          <w:sz w:val="24"/>
          <w:lang w:val="zh-CN"/>
        </w:rPr>
        <w:t>我公司自愿参加项目（项目名称</w:t>
      </w:r>
      <w:r>
        <w:rPr>
          <w:rFonts w:hint="eastAsia" w:ascii="宋体" w:cs="宋体"/>
          <w:sz w:val="24"/>
        </w:rPr>
        <w:t>、</w:t>
      </w:r>
      <w:r>
        <w:rPr>
          <w:rFonts w:hint="eastAsia" w:ascii="宋体" w:cs="宋体"/>
          <w:sz w:val="24"/>
          <w:lang w:val="zh-CN"/>
        </w:rPr>
        <w:t>采购编号）的投标。我公司郑重承诺，如果我公司的投标被评定为成交，我公司对于成交项目，除完全响应</w:t>
      </w:r>
      <w:r>
        <w:rPr>
          <w:rFonts w:hint="eastAsia" w:ascii="宋体" w:cs="宋体"/>
          <w:sz w:val="24"/>
        </w:rPr>
        <w:t>竞争性磋商</w:t>
      </w:r>
      <w:r>
        <w:rPr>
          <w:rFonts w:hint="eastAsia" w:ascii="宋体" w:cs="宋体"/>
          <w:sz w:val="24"/>
          <w:lang w:val="zh-CN"/>
        </w:rPr>
        <w:t>文件对伴随服务和售后服务的所有要求外，还将按照以下条款提供优质和完善的售后服务：</w:t>
      </w:r>
    </w:p>
    <w:p w14:paraId="24E95E53">
      <w:pPr>
        <w:numPr>
          <w:ilvl w:val="0"/>
          <w:numId w:val="10"/>
        </w:numPr>
        <w:autoSpaceDE w:val="0"/>
        <w:autoSpaceDN w:val="0"/>
        <w:adjustRightInd w:val="0"/>
        <w:spacing w:line="360" w:lineRule="auto"/>
        <w:ind w:firstLine="480"/>
        <w:rPr>
          <w:rFonts w:ascii="宋体" w:cs="宋体"/>
          <w:sz w:val="24"/>
          <w:lang w:val="zh-CN"/>
        </w:rPr>
      </w:pPr>
      <w:r>
        <w:rPr>
          <w:rFonts w:hint="eastAsia" w:ascii="宋体" w:cs="宋体"/>
          <w:sz w:val="24"/>
          <w:lang w:val="zh-CN"/>
        </w:rPr>
        <w:t>我公司成交后将为采购人提供下列售后服务项目：</w:t>
      </w:r>
    </w:p>
    <w:p w14:paraId="7D8DF223">
      <w:pPr>
        <w:pStyle w:val="27"/>
        <w:ind w:firstLine="0"/>
        <w:rPr>
          <w:rFonts w:ascii="宋体" w:eastAsia="宋体" w:cs="宋体"/>
        </w:rPr>
      </w:pPr>
    </w:p>
    <w:p w14:paraId="1F30E059">
      <w:pPr>
        <w:numPr>
          <w:ilvl w:val="0"/>
          <w:numId w:val="10"/>
        </w:numPr>
        <w:autoSpaceDE w:val="0"/>
        <w:autoSpaceDN w:val="0"/>
        <w:adjustRightInd w:val="0"/>
        <w:spacing w:line="360" w:lineRule="auto"/>
        <w:ind w:firstLine="480"/>
        <w:rPr>
          <w:rFonts w:ascii="宋体" w:cs="宋体"/>
          <w:sz w:val="24"/>
          <w:lang w:val="zh-CN"/>
        </w:rPr>
      </w:pPr>
      <w:r>
        <w:rPr>
          <w:rFonts w:hint="eastAsia" w:ascii="宋体" w:cs="宋体"/>
          <w:sz w:val="24"/>
          <w:lang w:val="zh-CN"/>
        </w:rPr>
        <w:t>我公司的售后服务响应及到达现场的时间：</w:t>
      </w:r>
    </w:p>
    <w:p w14:paraId="5BE1AAD8">
      <w:pPr>
        <w:pStyle w:val="27"/>
        <w:ind w:left="480" w:firstLine="0"/>
        <w:rPr>
          <w:rFonts w:ascii="宋体" w:eastAsia="宋体" w:cs="宋体"/>
          <w:lang w:val="zh-CN"/>
        </w:rPr>
      </w:pPr>
    </w:p>
    <w:p w14:paraId="17420E87">
      <w:pPr>
        <w:autoSpaceDE w:val="0"/>
        <w:autoSpaceDN w:val="0"/>
        <w:adjustRightInd w:val="0"/>
        <w:spacing w:line="360" w:lineRule="auto"/>
        <w:ind w:firstLine="480"/>
        <w:rPr>
          <w:rFonts w:ascii="宋体" w:cs="宋体"/>
          <w:sz w:val="24"/>
          <w:lang w:val="zh-CN"/>
        </w:rPr>
      </w:pPr>
      <w:r>
        <w:rPr>
          <w:rFonts w:hint="eastAsia" w:ascii="宋体" w:cs="宋体"/>
          <w:sz w:val="24"/>
          <w:lang w:val="zh-CN"/>
        </w:rPr>
        <w:t>3、我公司用于本项目的售后服务人员、设备情况及质量保证措施：</w:t>
      </w:r>
    </w:p>
    <w:p w14:paraId="2ED62FEA">
      <w:pPr>
        <w:autoSpaceDE w:val="0"/>
        <w:autoSpaceDN w:val="0"/>
        <w:adjustRightInd w:val="0"/>
        <w:spacing w:line="360" w:lineRule="auto"/>
        <w:ind w:firstLine="480"/>
        <w:rPr>
          <w:rFonts w:ascii="宋体" w:cs="宋体"/>
          <w:sz w:val="24"/>
          <w:lang w:val="zh-CN"/>
        </w:rPr>
      </w:pPr>
      <w:r>
        <w:rPr>
          <w:rFonts w:hint="eastAsia" w:ascii="宋体" w:cs="宋体"/>
          <w:sz w:val="24"/>
          <w:lang w:val="zh-CN"/>
        </w:rPr>
        <w:t>4、……。</w:t>
      </w:r>
    </w:p>
    <w:p w14:paraId="7E97D51C">
      <w:pPr>
        <w:autoSpaceDE w:val="0"/>
        <w:autoSpaceDN w:val="0"/>
        <w:adjustRightInd w:val="0"/>
        <w:spacing w:line="360" w:lineRule="auto"/>
        <w:ind w:firstLine="480"/>
        <w:rPr>
          <w:rFonts w:ascii="宋体" w:cs="宋体"/>
          <w:sz w:val="24"/>
          <w:lang w:val="zh-CN"/>
        </w:rPr>
      </w:pPr>
    </w:p>
    <w:p w14:paraId="01BE8F3D">
      <w:pPr>
        <w:autoSpaceDE w:val="0"/>
        <w:autoSpaceDN w:val="0"/>
        <w:adjustRightInd w:val="0"/>
        <w:spacing w:line="360" w:lineRule="auto"/>
        <w:ind w:firstLine="480"/>
        <w:rPr>
          <w:rFonts w:ascii="宋体" w:cs="宋体"/>
          <w:sz w:val="24"/>
          <w:lang w:val="zh-CN"/>
        </w:rPr>
      </w:pPr>
    </w:p>
    <w:p w14:paraId="44A7B839">
      <w:pPr>
        <w:autoSpaceDE w:val="0"/>
        <w:autoSpaceDN w:val="0"/>
        <w:adjustRightInd w:val="0"/>
        <w:spacing w:line="360" w:lineRule="auto"/>
        <w:ind w:firstLine="480"/>
        <w:rPr>
          <w:rFonts w:ascii="宋体" w:cs="宋体"/>
          <w:sz w:val="24"/>
          <w:lang w:val="zh-CN"/>
        </w:rPr>
      </w:pPr>
    </w:p>
    <w:p w14:paraId="746A68FA">
      <w:pPr>
        <w:autoSpaceDE w:val="0"/>
        <w:autoSpaceDN w:val="0"/>
        <w:adjustRightInd w:val="0"/>
        <w:spacing w:line="360" w:lineRule="auto"/>
        <w:ind w:right="480" w:firstLine="6120" w:firstLineChars="2550"/>
        <w:rPr>
          <w:rFonts w:ascii="宋体" w:cs="宋体"/>
          <w:sz w:val="24"/>
          <w:lang w:val="zh-CN"/>
        </w:rPr>
      </w:pPr>
      <w:bookmarkStart w:id="116" w:name="_Toc332217856"/>
      <w:bookmarkStart w:id="117" w:name="_Toc238185769"/>
      <w:bookmarkStart w:id="118" w:name="_Toc237200211"/>
      <w:bookmarkStart w:id="119" w:name="_Toc332735797"/>
      <w:bookmarkStart w:id="120" w:name="_Toc237328732"/>
      <w:bookmarkStart w:id="121" w:name="_Toc332735965"/>
      <w:bookmarkStart w:id="122" w:name="_Toc237200087"/>
      <w:bookmarkStart w:id="123" w:name="_Toc237329054"/>
      <w:bookmarkStart w:id="124" w:name="_Toc237236999"/>
      <w:bookmarkStart w:id="125" w:name="_Toc237199968"/>
      <w:r>
        <w:rPr>
          <w:rFonts w:hint="eastAsia" w:ascii="宋体" w:cs="宋体"/>
          <w:sz w:val="24"/>
          <w:lang w:val="zh-CN"/>
        </w:rPr>
        <w:t>供应商名称（盖章）：</w:t>
      </w:r>
      <w:bookmarkEnd w:id="116"/>
      <w:bookmarkEnd w:id="117"/>
      <w:bookmarkEnd w:id="118"/>
      <w:bookmarkEnd w:id="119"/>
      <w:bookmarkEnd w:id="120"/>
      <w:bookmarkEnd w:id="121"/>
      <w:bookmarkEnd w:id="122"/>
      <w:bookmarkEnd w:id="123"/>
      <w:bookmarkEnd w:id="124"/>
      <w:bookmarkEnd w:id="125"/>
    </w:p>
    <w:p w14:paraId="546D660D">
      <w:pPr>
        <w:autoSpaceDE w:val="0"/>
        <w:autoSpaceDN w:val="0"/>
        <w:adjustRightInd w:val="0"/>
        <w:spacing w:line="360" w:lineRule="auto"/>
        <w:ind w:right="480" w:firstLine="4920" w:firstLineChars="2050"/>
        <w:rPr>
          <w:rFonts w:ascii="宋体" w:cs="宋体"/>
          <w:sz w:val="24"/>
          <w:lang w:val="zh-CN"/>
        </w:rPr>
      </w:pPr>
    </w:p>
    <w:p w14:paraId="55BAB770">
      <w:pPr>
        <w:autoSpaceDE w:val="0"/>
        <w:autoSpaceDN w:val="0"/>
        <w:adjustRightInd w:val="0"/>
        <w:spacing w:line="360" w:lineRule="auto"/>
        <w:ind w:firstLine="480"/>
        <w:jc w:val="right"/>
        <w:rPr>
          <w:rFonts w:ascii="宋体" w:cs="宋体"/>
          <w:sz w:val="24"/>
          <w:lang w:val="zh-CN"/>
        </w:rPr>
      </w:pPr>
      <w:r>
        <w:rPr>
          <w:rFonts w:hint="eastAsia" w:ascii="宋体" w:cs="宋体"/>
          <w:sz w:val="24"/>
          <w:lang w:val="zh-CN"/>
        </w:rPr>
        <w:t>法定代表人或其委托代理人（签字）：</w:t>
      </w:r>
    </w:p>
    <w:p w14:paraId="32F8C7F3">
      <w:pPr>
        <w:autoSpaceDE w:val="0"/>
        <w:autoSpaceDN w:val="0"/>
        <w:adjustRightInd w:val="0"/>
        <w:spacing w:line="360" w:lineRule="auto"/>
        <w:ind w:firstLine="480"/>
        <w:jc w:val="right"/>
        <w:rPr>
          <w:rFonts w:ascii="宋体" w:cs="宋体"/>
          <w:sz w:val="24"/>
          <w:lang w:val="zh-CN"/>
        </w:rPr>
      </w:pPr>
    </w:p>
    <w:p w14:paraId="0A6FA3E3">
      <w:pPr>
        <w:autoSpaceDE w:val="0"/>
        <w:autoSpaceDN w:val="0"/>
        <w:adjustRightInd w:val="0"/>
        <w:ind w:right="480"/>
        <w:jc w:val="right"/>
        <w:rPr>
          <w:rFonts w:ascii="宋体" w:cs="宋体"/>
          <w:sz w:val="24"/>
          <w:lang w:val="zh-CN"/>
        </w:rPr>
      </w:pPr>
      <w:r>
        <w:rPr>
          <w:rFonts w:hint="eastAsia" w:ascii="宋体" w:cs="宋体"/>
          <w:sz w:val="24"/>
          <w:lang w:val="zh-CN"/>
        </w:rPr>
        <w:t>日期：年月日</w:t>
      </w:r>
    </w:p>
    <w:p w14:paraId="2F063837">
      <w:pPr>
        <w:jc w:val="right"/>
        <w:rPr>
          <w:rFonts w:ascii="宋体" w:cs="宋体"/>
          <w:sz w:val="24"/>
        </w:rPr>
      </w:pPr>
    </w:p>
    <w:p w14:paraId="37697ABE">
      <w:pPr>
        <w:jc w:val="right"/>
        <w:rPr>
          <w:rFonts w:ascii="宋体" w:cs="宋体"/>
          <w:sz w:val="24"/>
        </w:rPr>
      </w:pPr>
    </w:p>
    <w:p w14:paraId="28E78E5A">
      <w:pPr>
        <w:rPr>
          <w:rFonts w:ascii="宋体" w:cs="宋体"/>
          <w:sz w:val="24"/>
        </w:rPr>
      </w:pPr>
    </w:p>
    <w:p w14:paraId="3A2D339F">
      <w:pPr>
        <w:spacing w:line="360" w:lineRule="auto"/>
        <w:rPr>
          <w:rFonts w:ascii="宋体" w:cs="宋体"/>
          <w:b/>
          <w:sz w:val="24"/>
        </w:rPr>
      </w:pPr>
    </w:p>
    <w:p w14:paraId="323488E8">
      <w:pPr>
        <w:spacing w:line="360" w:lineRule="auto"/>
        <w:rPr>
          <w:rFonts w:ascii="宋体" w:cs="宋体"/>
          <w:sz w:val="24"/>
        </w:rPr>
      </w:pPr>
      <w:r>
        <w:rPr>
          <w:rFonts w:hint="eastAsia" w:ascii="宋体" w:cs="宋体"/>
          <w:b/>
          <w:bCs/>
          <w:sz w:val="24"/>
        </w:rPr>
        <w:t>注：供应商可对上述承诺内容自行增加或补充</w:t>
      </w:r>
      <w:r>
        <w:rPr>
          <w:rFonts w:hint="eastAsia" w:ascii="宋体" w:cs="宋体"/>
          <w:b/>
          <w:sz w:val="24"/>
        </w:rPr>
        <w:t>。</w:t>
      </w:r>
    </w:p>
    <w:p w14:paraId="52FCF478">
      <w:pPr>
        <w:spacing w:line="360" w:lineRule="auto"/>
        <w:jc w:val="center"/>
        <w:rPr>
          <w:rFonts w:ascii="宋体" w:cs="宋体"/>
          <w:b/>
          <w:sz w:val="24"/>
        </w:rPr>
        <w:sectPr>
          <w:pgSz w:w="11907" w:h="16840"/>
          <w:pgMar w:top="1162" w:right="1418" w:bottom="1418" w:left="1474" w:header="851" w:footer="573" w:gutter="0"/>
          <w:cols w:space="720" w:num="1"/>
          <w:titlePg/>
          <w:docGrid w:type="lines" w:linePitch="312" w:charSpace="0"/>
        </w:sectPr>
      </w:pPr>
    </w:p>
    <w:p w14:paraId="28F68965">
      <w:pPr>
        <w:ind w:left="-710" w:leftChars="-338" w:firstLine="643" w:firstLineChars="200"/>
        <w:jc w:val="center"/>
        <w:rPr>
          <w:rFonts w:ascii="宋体" w:cs="宋体"/>
          <w:b/>
          <w:sz w:val="32"/>
          <w:szCs w:val="32"/>
        </w:rPr>
      </w:pPr>
      <w:r>
        <w:rPr>
          <w:rFonts w:hint="eastAsia" w:ascii="宋体" w:cs="宋体"/>
          <w:b/>
          <w:sz w:val="32"/>
          <w:szCs w:val="32"/>
        </w:rPr>
        <w:t>15、实施方案</w:t>
      </w:r>
    </w:p>
    <w:p w14:paraId="549DD9FB">
      <w:pPr>
        <w:tabs>
          <w:tab w:val="left" w:pos="0"/>
        </w:tabs>
        <w:spacing w:line="360" w:lineRule="auto"/>
        <w:ind w:left="360" w:hanging="360" w:hangingChars="150"/>
        <w:jc w:val="center"/>
        <w:rPr>
          <w:rFonts w:ascii="宋体" w:cs="宋体"/>
          <w:sz w:val="24"/>
        </w:rPr>
      </w:pPr>
      <w:r>
        <w:rPr>
          <w:rFonts w:hint="eastAsia" w:ascii="宋体" w:cs="宋体"/>
          <w:sz w:val="24"/>
        </w:rPr>
        <w:t>（格式内容自拟）</w:t>
      </w:r>
    </w:p>
    <w:p w14:paraId="10AFEAFE">
      <w:pPr>
        <w:tabs>
          <w:tab w:val="left" w:pos="0"/>
        </w:tabs>
        <w:spacing w:line="360" w:lineRule="auto"/>
        <w:ind w:left="360" w:hanging="360" w:hangingChars="150"/>
        <w:jc w:val="center"/>
        <w:rPr>
          <w:rFonts w:ascii="宋体" w:cs="宋体"/>
          <w:sz w:val="24"/>
        </w:rPr>
      </w:pPr>
    </w:p>
    <w:p w14:paraId="02A4C692">
      <w:pPr>
        <w:tabs>
          <w:tab w:val="left" w:pos="0"/>
        </w:tabs>
        <w:spacing w:line="360" w:lineRule="auto"/>
        <w:ind w:left="360" w:hanging="360" w:hangingChars="150"/>
        <w:jc w:val="center"/>
        <w:rPr>
          <w:rFonts w:ascii="宋体" w:cs="宋体"/>
          <w:sz w:val="24"/>
        </w:rPr>
      </w:pPr>
    </w:p>
    <w:p w14:paraId="79C9AA86">
      <w:pPr>
        <w:tabs>
          <w:tab w:val="left" w:pos="0"/>
        </w:tabs>
        <w:spacing w:line="360" w:lineRule="auto"/>
        <w:ind w:left="360" w:hanging="360" w:hangingChars="150"/>
        <w:jc w:val="center"/>
        <w:rPr>
          <w:rFonts w:ascii="宋体" w:cs="宋体"/>
          <w:sz w:val="24"/>
        </w:rPr>
      </w:pPr>
    </w:p>
    <w:p w14:paraId="7F2DF90E">
      <w:pPr>
        <w:rPr>
          <w:rFonts w:ascii="宋体" w:cs="宋体"/>
        </w:rPr>
      </w:pPr>
    </w:p>
    <w:p w14:paraId="2769A262">
      <w:pPr>
        <w:rPr>
          <w:rFonts w:ascii="宋体" w:cs="宋体"/>
        </w:rPr>
      </w:pPr>
    </w:p>
    <w:p w14:paraId="1C477FF3">
      <w:pPr>
        <w:rPr>
          <w:rFonts w:ascii="宋体" w:cs="宋体"/>
        </w:rPr>
      </w:pPr>
    </w:p>
    <w:p w14:paraId="74015FA2">
      <w:pPr>
        <w:rPr>
          <w:rFonts w:ascii="宋体" w:cs="宋体"/>
        </w:rPr>
      </w:pPr>
    </w:p>
    <w:p w14:paraId="6CC7EAA5">
      <w:pPr>
        <w:rPr>
          <w:rFonts w:ascii="宋体" w:cs="宋体"/>
          <w:b/>
          <w:szCs w:val="32"/>
        </w:rPr>
      </w:pPr>
      <w:bookmarkStart w:id="126" w:name="_Toc17971"/>
      <w:r>
        <w:rPr>
          <w:rFonts w:hint="eastAsia" w:ascii="宋体" w:cs="宋体"/>
        </w:rPr>
        <w:br w:type="page"/>
      </w:r>
    </w:p>
    <w:bookmarkEnd w:id="126"/>
    <w:p w14:paraId="20B409B4">
      <w:pPr>
        <w:tabs>
          <w:tab w:val="left" w:pos="0"/>
        </w:tabs>
        <w:jc w:val="center"/>
        <w:rPr>
          <w:rFonts w:ascii="宋体" w:cs="宋体"/>
          <w:b/>
          <w:sz w:val="32"/>
          <w:szCs w:val="32"/>
        </w:rPr>
      </w:pPr>
      <w:bookmarkStart w:id="127" w:name="_Toc424468861"/>
      <w:r>
        <w:rPr>
          <w:rFonts w:hint="eastAsia" w:ascii="宋体" w:cs="宋体"/>
          <w:b/>
          <w:sz w:val="32"/>
          <w:szCs w:val="32"/>
        </w:rPr>
        <w:t>16、供应商认为需要提供的其他材料</w:t>
      </w:r>
      <w:bookmarkEnd w:id="127"/>
    </w:p>
    <w:p w14:paraId="4978854D">
      <w:pPr>
        <w:spacing w:line="360" w:lineRule="auto"/>
        <w:jc w:val="left"/>
        <w:rPr>
          <w:rFonts w:ascii="宋体" w:cs="宋体"/>
          <w:sz w:val="28"/>
          <w:szCs w:val="28"/>
        </w:rPr>
      </w:pPr>
    </w:p>
    <w:p w14:paraId="38CA4201">
      <w:pPr>
        <w:spacing w:line="360" w:lineRule="auto"/>
        <w:jc w:val="center"/>
        <w:rPr>
          <w:rFonts w:ascii="宋体" w:cs="宋体"/>
          <w:sz w:val="28"/>
        </w:rPr>
      </w:pPr>
      <w:r>
        <w:rPr>
          <w:rFonts w:hint="eastAsia" w:ascii="宋体" w:cs="宋体"/>
          <w:sz w:val="28"/>
        </w:rPr>
        <w:t>格式自拟</w:t>
      </w:r>
    </w:p>
    <w:p w14:paraId="182EC841">
      <w:pPr>
        <w:rPr>
          <w:rFonts w:ascii="宋体" w:cs="宋体"/>
          <w:b/>
          <w:sz w:val="32"/>
          <w:szCs w:val="32"/>
        </w:rPr>
      </w:pPr>
      <w:r>
        <w:rPr>
          <w:rFonts w:hint="eastAsia" w:ascii="宋体" w:cs="宋体"/>
          <w:b/>
          <w:sz w:val="32"/>
          <w:szCs w:val="32"/>
        </w:rPr>
        <w:br w:type="page"/>
      </w:r>
    </w:p>
    <w:p w14:paraId="79FBB5DF">
      <w:pPr>
        <w:keepNext/>
        <w:keepLines/>
        <w:autoSpaceDE w:val="0"/>
        <w:autoSpaceDN w:val="0"/>
        <w:spacing w:before="120" w:after="120" w:line="360" w:lineRule="auto"/>
        <w:jc w:val="left"/>
        <w:rPr>
          <w:rFonts w:ascii="宋体" w:cs="宋体"/>
          <w:b/>
          <w:bCs/>
          <w:sz w:val="24"/>
          <w:lang w:val="zh-CN"/>
        </w:rPr>
      </w:pPr>
      <w:r>
        <w:rPr>
          <w:rFonts w:hint="eastAsia" w:ascii="宋体" w:cs="宋体"/>
          <w:b/>
          <w:bCs/>
          <w:sz w:val="24"/>
          <w:lang w:val="zh-CN"/>
        </w:rPr>
        <w:t>附件一：</w:t>
      </w:r>
    </w:p>
    <w:p w14:paraId="32062EB5">
      <w:pPr>
        <w:pStyle w:val="3"/>
        <w:jc w:val="center"/>
        <w:rPr>
          <w:rFonts w:ascii="宋体" w:hAnsi="宋体" w:eastAsia="宋体" w:cs="宋体"/>
          <w:color w:val="000000"/>
        </w:rPr>
      </w:pPr>
      <w:r>
        <w:rPr>
          <w:rFonts w:hint="eastAsia" w:ascii="宋体" w:hAnsi="宋体" w:eastAsia="宋体" w:cs="宋体"/>
          <w:color w:val="000000"/>
        </w:rPr>
        <w:t>中小企业声明函(货物)</w:t>
      </w:r>
    </w:p>
    <w:p w14:paraId="1219291B">
      <w:pPr>
        <w:spacing w:line="500" w:lineRule="exact"/>
        <w:ind w:firstLine="420" w:firstLineChars="200"/>
        <w:jc w:val="left"/>
        <w:rPr>
          <w:rFonts w:ascii="宋体" w:hAnsi="宋体" w:cs="宋体"/>
          <w:szCs w:val="21"/>
        </w:rPr>
      </w:pPr>
    </w:p>
    <w:p w14:paraId="392D8C22">
      <w:pPr>
        <w:spacing w:line="500" w:lineRule="exact"/>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本公司（联合体）郑重声明，根据《政府采购促进中小企业发展管理办法》（财库[2020]64号）的规定，本公司（联合体）参加</w:t>
      </w:r>
      <w:r>
        <w:rPr>
          <w:rFonts w:hint="eastAsia" w:ascii="宋体" w:hAnsi="宋体" w:cs="宋体"/>
          <w:sz w:val="24"/>
          <w:u w:val="single"/>
        </w:rPr>
        <w:t xml:space="preserve"> （单位名称）的（项目名称） </w:t>
      </w:r>
      <w:r>
        <w:rPr>
          <w:rFonts w:hint="eastAsia" w:ascii="宋体" w:hAnsi="宋体" w:cs="宋体"/>
          <w:sz w:val="24"/>
        </w:rPr>
        <w:t>采购活动，提供的货物全部为符合政策要求的中小企业。相关企业（含联合体中的中小企业、签订分包意向协议的中小企业）的具体情况如下：</w:t>
      </w:r>
    </w:p>
    <w:p w14:paraId="021DF24F">
      <w:pPr>
        <w:numPr>
          <w:ilvl w:val="0"/>
          <w:numId w:val="11"/>
        </w:numPr>
        <w:spacing w:line="500" w:lineRule="exact"/>
        <w:ind w:firstLine="480" w:firstLineChars="200"/>
        <w:jc w:val="left"/>
        <w:rPr>
          <w:rFonts w:ascii="宋体" w:hAnsi="宋体" w:cs="宋体"/>
          <w:sz w:val="24"/>
        </w:rPr>
      </w:pP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（磋商文件内明确的所属行业）</w:t>
      </w:r>
      <w:r>
        <w:rPr>
          <w:rFonts w:hint="eastAsia" w:ascii="宋体" w:hAnsi="宋体" w:cs="宋体"/>
          <w:sz w:val="24"/>
        </w:rPr>
        <w:t>；制造商为</w:t>
      </w:r>
      <w:r>
        <w:rPr>
          <w:rFonts w:hint="eastAsia" w:ascii="宋体" w:hAnsi="宋体" w:cs="宋体"/>
          <w:sz w:val="24"/>
          <w:u w:val="single"/>
        </w:rPr>
        <w:t xml:space="preserve">    （企业名称），</w:t>
      </w:r>
      <w:r>
        <w:rPr>
          <w:rFonts w:hint="eastAsia" w:ascii="宋体" w:hAnsi="宋体" w:cs="宋体"/>
          <w:sz w:val="24"/>
        </w:rPr>
        <w:t>从业人员</w:t>
      </w:r>
      <w:r>
        <w:rPr>
          <w:rFonts w:hint="eastAsia" w:ascii="宋体" w:hAnsi="宋体" w:cs="宋体"/>
          <w:sz w:val="24"/>
          <w:u w:val="single"/>
        </w:rPr>
        <w:t xml:space="preserve">     人</w:t>
      </w:r>
      <w:r>
        <w:rPr>
          <w:rFonts w:hint="eastAsia" w:ascii="宋体" w:hAnsi="宋体" w:cs="宋体"/>
          <w:sz w:val="24"/>
        </w:rPr>
        <w:t>，营业收入为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4F2FA556">
      <w:pPr>
        <w:numPr>
          <w:ilvl w:val="0"/>
          <w:numId w:val="11"/>
        </w:numPr>
        <w:spacing w:line="500" w:lineRule="exact"/>
        <w:ind w:firstLine="480" w:firstLineChars="200"/>
        <w:jc w:val="left"/>
        <w:rPr>
          <w:rFonts w:ascii="宋体" w:hAnsi="宋体" w:cs="宋体"/>
          <w:sz w:val="24"/>
        </w:rPr>
      </w:pP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（磋商文件内明确的所属行业）</w:t>
      </w:r>
      <w:r>
        <w:rPr>
          <w:rFonts w:hint="eastAsia" w:ascii="宋体" w:hAnsi="宋体" w:cs="宋体"/>
          <w:sz w:val="24"/>
        </w:rPr>
        <w:t>；制造商为</w:t>
      </w:r>
      <w:r>
        <w:rPr>
          <w:rFonts w:hint="eastAsia" w:ascii="宋体" w:hAnsi="宋体" w:cs="宋体"/>
          <w:sz w:val="24"/>
          <w:u w:val="single"/>
        </w:rPr>
        <w:t xml:space="preserve">    （企业名称），</w:t>
      </w:r>
      <w:r>
        <w:rPr>
          <w:rFonts w:hint="eastAsia" w:ascii="宋体" w:hAnsi="宋体" w:cs="宋体"/>
          <w:sz w:val="24"/>
        </w:rPr>
        <w:t>从业人员</w:t>
      </w:r>
      <w:r>
        <w:rPr>
          <w:rFonts w:hint="eastAsia" w:ascii="宋体" w:hAnsi="宋体" w:cs="宋体"/>
          <w:sz w:val="24"/>
          <w:u w:val="single"/>
        </w:rPr>
        <w:t xml:space="preserve">     人</w:t>
      </w:r>
      <w:r>
        <w:rPr>
          <w:rFonts w:hint="eastAsia" w:ascii="宋体" w:hAnsi="宋体" w:cs="宋体"/>
          <w:sz w:val="24"/>
        </w:rPr>
        <w:t>，营业收入为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28B71D10">
      <w:pPr>
        <w:spacing w:line="500" w:lineRule="exact"/>
        <w:ind w:left="420" w:leftChars="200"/>
        <w:jc w:val="left"/>
        <w:rPr>
          <w:rFonts w:ascii="宋体" w:hAnsi="宋体" w:cs="宋体"/>
          <w:sz w:val="24"/>
        </w:rPr>
      </w:pPr>
      <w:r>
        <w:rPr>
          <w:rFonts w:hint="eastAsia" w:ascii="宋体" w:hAnsi="宋体" w:cs="宋体"/>
          <w:sz w:val="24"/>
        </w:rPr>
        <w:t>......</w:t>
      </w:r>
    </w:p>
    <w:p w14:paraId="1CD37081">
      <w:pPr>
        <w:spacing w:line="500" w:lineRule="exact"/>
        <w:ind w:firstLine="360" w:firstLineChars="15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以上企业不属于大企业的分支机构，不存在控股股东为大企业的情形，也不存在与大企业责任人为同一人的情形。</w:t>
      </w:r>
    </w:p>
    <w:p w14:paraId="69F87083">
      <w:pPr>
        <w:spacing w:line="500" w:lineRule="exact"/>
        <w:ind w:firstLine="360" w:firstLineChars="150"/>
        <w:jc w:val="left"/>
        <w:rPr>
          <w:rFonts w:ascii="宋体" w:hAnsi="宋体" w:cs="宋体"/>
          <w:sz w:val="24"/>
        </w:rPr>
      </w:pPr>
      <w:r>
        <w:rPr>
          <w:rFonts w:hint="eastAsia" w:ascii="宋体" w:hAnsi="宋体" w:cs="宋体"/>
          <w:sz w:val="24"/>
        </w:rPr>
        <w:t>本企业对上述声明内容的真实性负责。如有虚假，将依法承担相应责任。</w:t>
      </w:r>
    </w:p>
    <w:p w14:paraId="1EF111BD">
      <w:pPr>
        <w:spacing w:line="500" w:lineRule="exact"/>
        <w:ind w:firstLine="360" w:firstLineChars="150"/>
        <w:jc w:val="left"/>
        <w:rPr>
          <w:rFonts w:ascii="宋体" w:hAnsi="宋体" w:cs="宋体"/>
          <w:sz w:val="24"/>
        </w:rPr>
      </w:pPr>
    </w:p>
    <w:p w14:paraId="0C2E963F">
      <w:pPr>
        <w:spacing w:line="500" w:lineRule="exact"/>
        <w:ind w:firstLine="360" w:firstLineChars="150"/>
        <w:jc w:val="left"/>
        <w:rPr>
          <w:rFonts w:ascii="宋体" w:hAnsi="宋体" w:cs="宋体"/>
          <w:sz w:val="24"/>
        </w:rPr>
      </w:pPr>
      <w:r>
        <w:rPr>
          <w:rFonts w:hint="eastAsia" w:ascii="宋体" w:hAnsi="宋体" w:cs="宋体"/>
          <w:sz w:val="24"/>
        </w:rPr>
        <w:t>企业名称（加盖公章）：</w:t>
      </w:r>
    </w:p>
    <w:p w14:paraId="4EC34F21">
      <w:pPr>
        <w:spacing w:line="500" w:lineRule="exact"/>
        <w:ind w:firstLine="360" w:firstLineChars="150"/>
        <w:jc w:val="left"/>
        <w:rPr>
          <w:rFonts w:ascii="宋体" w:hAnsi="宋体" w:cs="宋体"/>
          <w:sz w:val="24"/>
        </w:rPr>
      </w:pPr>
      <w:r>
        <w:rPr>
          <w:rFonts w:hint="eastAsia" w:ascii="宋体" w:hAnsi="宋体" w:cs="宋体"/>
          <w:sz w:val="24"/>
        </w:rPr>
        <w:t xml:space="preserve">日  期：   </w:t>
      </w:r>
    </w:p>
    <w:p w14:paraId="7206A4D6">
      <w:pPr>
        <w:rPr>
          <w:rFonts w:ascii="宋体" w:hAnsi="宋体" w:cs="宋体"/>
          <w:sz w:val="28"/>
          <w:szCs w:val="28"/>
        </w:rPr>
      </w:pPr>
    </w:p>
    <w:p w14:paraId="51BD6833">
      <w:pPr>
        <w:spacing w:line="500" w:lineRule="exact"/>
        <w:ind w:firstLine="316" w:firstLineChars="150"/>
        <w:jc w:val="left"/>
        <w:rPr>
          <w:rFonts w:ascii="宋体" w:hAnsi="宋体" w:cs="宋体"/>
          <w:b/>
          <w:bCs/>
          <w:szCs w:val="21"/>
        </w:rPr>
      </w:pPr>
      <w:r>
        <w:rPr>
          <w:rFonts w:hint="eastAsia" w:ascii="宋体" w:hAnsi="宋体" w:cs="宋体"/>
          <w:b/>
          <w:bCs/>
          <w:szCs w:val="21"/>
        </w:rPr>
        <w:t>注：</w:t>
      </w:r>
    </w:p>
    <w:p w14:paraId="5EA99E04">
      <w:pPr>
        <w:spacing w:line="500" w:lineRule="exact"/>
        <w:ind w:firstLine="316" w:firstLineChars="150"/>
        <w:jc w:val="left"/>
        <w:rPr>
          <w:rFonts w:ascii="宋体" w:hAnsi="宋体" w:cs="宋体"/>
          <w:b/>
          <w:bCs/>
          <w:szCs w:val="21"/>
        </w:rPr>
      </w:pPr>
      <w:r>
        <w:rPr>
          <w:rFonts w:hint="eastAsia" w:ascii="宋体" w:hAnsi="宋体" w:cs="宋体"/>
          <w:b/>
          <w:bCs/>
          <w:szCs w:val="21"/>
        </w:rPr>
        <w:t xml:space="preserve">1、从业人员、营业收入、资产总额填报上一年度数据，无上一年度数据的新成立企业可不填报。 </w:t>
      </w:r>
    </w:p>
    <w:p w14:paraId="31F6DB63">
      <w:pPr>
        <w:spacing w:line="500" w:lineRule="exact"/>
        <w:ind w:firstLine="316" w:firstLineChars="150"/>
        <w:jc w:val="left"/>
        <w:rPr>
          <w:rFonts w:ascii="宋体" w:hAnsi="宋体" w:cs="宋体"/>
          <w:b/>
          <w:bCs/>
          <w:szCs w:val="21"/>
        </w:rPr>
      </w:pPr>
      <w:r>
        <w:rPr>
          <w:rFonts w:hint="eastAsia" w:ascii="宋体" w:hAnsi="宋体" w:cs="宋体"/>
          <w:b/>
          <w:bCs/>
          <w:szCs w:val="21"/>
        </w:rPr>
        <w:t xml:space="preserve">2、填写前请认真阅读《关于印发中小企业划型标准规定的通知》（工信部联企业[2011]300 号）和《关于 印发＜政府采购促进中小企业发展管理办法＞的通知》 (财库﹝2020﹞46 号)相关规定。 </w:t>
      </w:r>
    </w:p>
    <w:p w14:paraId="2ED86BD5">
      <w:pPr>
        <w:spacing w:line="500" w:lineRule="exact"/>
        <w:ind w:firstLine="316" w:firstLineChars="150"/>
        <w:jc w:val="left"/>
        <w:rPr>
          <w:rFonts w:ascii="宋体" w:hAnsi="宋体" w:cs="宋体"/>
          <w:b/>
          <w:bCs/>
          <w:szCs w:val="21"/>
        </w:rPr>
      </w:pPr>
      <w:r>
        <w:rPr>
          <w:rFonts w:hint="eastAsia" w:ascii="宋体" w:hAnsi="宋体" w:cs="宋体"/>
          <w:b/>
          <w:bCs/>
          <w:szCs w:val="21"/>
        </w:rPr>
        <w:t>3、未按上述要求提供、填写的，评审时不予以考虑。</w:t>
      </w:r>
    </w:p>
    <w:p w14:paraId="7E020CE8">
      <w:pPr>
        <w:rPr>
          <w:rFonts w:ascii="宋体" w:cs="宋体"/>
          <w:b/>
          <w:sz w:val="32"/>
          <w:szCs w:val="32"/>
        </w:rPr>
      </w:pPr>
      <w:r>
        <w:rPr>
          <w:rFonts w:hint="eastAsia" w:ascii="宋体" w:cs="宋体"/>
          <w:b/>
          <w:sz w:val="32"/>
          <w:szCs w:val="32"/>
        </w:rPr>
        <w:br w:type="page"/>
      </w:r>
    </w:p>
    <w:p w14:paraId="2E1AABA6">
      <w:pPr>
        <w:keepNext/>
        <w:keepLines/>
        <w:autoSpaceDE w:val="0"/>
        <w:autoSpaceDN w:val="0"/>
        <w:spacing w:before="120" w:after="120" w:line="360" w:lineRule="auto"/>
        <w:jc w:val="left"/>
        <w:rPr>
          <w:rFonts w:ascii="宋体" w:cs="宋体"/>
          <w:b/>
          <w:bCs/>
          <w:sz w:val="24"/>
        </w:rPr>
      </w:pPr>
      <w:r>
        <w:rPr>
          <w:rFonts w:hint="eastAsia" w:ascii="宋体" w:cs="宋体"/>
          <w:b/>
          <w:bCs/>
          <w:sz w:val="24"/>
          <w:lang w:val="zh-CN"/>
        </w:rPr>
        <w:t>附件二：</w:t>
      </w:r>
    </w:p>
    <w:p w14:paraId="1AA1028E">
      <w:pPr>
        <w:keepNext/>
        <w:keepLines/>
        <w:autoSpaceDE w:val="0"/>
        <w:autoSpaceDN w:val="0"/>
        <w:spacing w:before="120" w:after="120" w:line="360" w:lineRule="auto"/>
        <w:jc w:val="center"/>
        <w:rPr>
          <w:rFonts w:ascii="宋体" w:cs="宋体"/>
          <w:b/>
          <w:bCs/>
          <w:sz w:val="30"/>
          <w:szCs w:val="30"/>
        </w:rPr>
      </w:pPr>
      <w:r>
        <w:rPr>
          <w:rFonts w:hint="eastAsia" w:ascii="宋体" w:cs="宋体"/>
          <w:b/>
          <w:bCs/>
          <w:sz w:val="30"/>
          <w:szCs w:val="30"/>
        </w:rPr>
        <w:t xml:space="preserve">残疾人福利性单位声明函（如是） </w:t>
      </w:r>
    </w:p>
    <w:p w14:paraId="28D987FB">
      <w:pPr>
        <w:spacing w:line="500" w:lineRule="exact"/>
        <w:ind w:firstLine="480" w:firstLineChars="200"/>
        <w:jc w:val="left"/>
        <w:rPr>
          <w:rFonts w:ascii="宋体" w:cs="宋体"/>
          <w:sz w:val="24"/>
        </w:rPr>
      </w:pPr>
      <w:r>
        <w:rPr>
          <w:rFonts w:hint="eastAsia" w:ascii="宋体" w:cs="宋体"/>
          <w:sz w:val="24"/>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cs="宋体"/>
          <w:sz w:val="24"/>
          <w:u w:val="single"/>
        </w:rPr>
        <w:t xml:space="preserve">    （采购人名称）      </w:t>
      </w:r>
      <w:r>
        <w:rPr>
          <w:rFonts w:hint="eastAsia" w:ascii="宋体" w:cs="宋体"/>
          <w:sz w:val="24"/>
        </w:rPr>
        <w:t>单位的</w:t>
      </w:r>
      <w:r>
        <w:rPr>
          <w:rFonts w:hint="eastAsia" w:ascii="宋体" w:cs="宋体"/>
          <w:sz w:val="24"/>
          <w:u w:val="single"/>
        </w:rPr>
        <w:t xml:space="preserve">   （采购项目名称）    </w:t>
      </w:r>
      <w:r>
        <w:rPr>
          <w:rFonts w:hint="eastAsia" w:ascii="宋体" w:cs="宋体"/>
          <w:sz w:val="24"/>
        </w:rPr>
        <w:t xml:space="preserve">项目采购活动提供本单位制造的货物（由本单位承担工程/提供服务），或者提供其他残疾人福利性单位制造的货物（不包括使用非残疾人福利性单位注册商标的货物）。 </w:t>
      </w:r>
    </w:p>
    <w:p w14:paraId="5517C49B">
      <w:pPr>
        <w:spacing w:line="500" w:lineRule="exact"/>
        <w:ind w:firstLine="480" w:firstLineChars="200"/>
        <w:jc w:val="left"/>
        <w:rPr>
          <w:rFonts w:ascii="宋体" w:cs="宋体"/>
          <w:sz w:val="24"/>
        </w:rPr>
      </w:pPr>
      <w:r>
        <w:rPr>
          <w:rFonts w:hint="eastAsia" w:ascii="宋体" w:cs="宋体"/>
          <w:sz w:val="24"/>
        </w:rPr>
        <w:t xml:space="preserve">本单位对上述声明的真实性负责。如有虚假，将依法承担相应责任。 </w:t>
      </w:r>
    </w:p>
    <w:p w14:paraId="1854DBF0">
      <w:pPr>
        <w:spacing w:line="500" w:lineRule="exact"/>
        <w:ind w:firstLine="480" w:firstLineChars="200"/>
        <w:jc w:val="right"/>
        <w:rPr>
          <w:rFonts w:ascii="宋体" w:cs="宋体"/>
          <w:sz w:val="24"/>
        </w:rPr>
      </w:pPr>
    </w:p>
    <w:p w14:paraId="0118BC79">
      <w:pPr>
        <w:spacing w:line="500" w:lineRule="exact"/>
        <w:ind w:firstLine="480" w:firstLineChars="200"/>
        <w:jc w:val="right"/>
        <w:rPr>
          <w:rFonts w:ascii="宋体" w:cs="宋体"/>
          <w:sz w:val="24"/>
        </w:rPr>
      </w:pPr>
      <w:r>
        <w:rPr>
          <w:rFonts w:hint="eastAsia" w:ascii="宋体" w:cs="宋体"/>
          <w:sz w:val="24"/>
        </w:rPr>
        <w:t xml:space="preserve">单位名称（盖章）： </w:t>
      </w:r>
    </w:p>
    <w:p w14:paraId="5E7B0011">
      <w:pPr>
        <w:spacing w:line="500" w:lineRule="exact"/>
        <w:ind w:firstLine="480" w:firstLineChars="200"/>
        <w:jc w:val="center"/>
        <w:rPr>
          <w:rFonts w:ascii="宋体" w:cs="宋体"/>
          <w:sz w:val="24"/>
        </w:rPr>
      </w:pPr>
      <w:r>
        <w:rPr>
          <w:rFonts w:hint="eastAsia" w:ascii="宋体" w:cs="宋体"/>
          <w:sz w:val="24"/>
        </w:rPr>
        <w:t xml:space="preserve">                                              日期</w:t>
      </w:r>
    </w:p>
    <w:p w14:paraId="4FADA4F9">
      <w:pPr>
        <w:pStyle w:val="10"/>
        <w:rPr>
          <w:rFonts w:ascii="宋体" w:eastAsia="宋体" w:cs="宋体"/>
        </w:rPr>
      </w:pPr>
    </w:p>
    <w:p w14:paraId="41BC510B">
      <w:pPr>
        <w:spacing w:line="360" w:lineRule="auto"/>
        <w:jc w:val="left"/>
        <w:rPr>
          <w:rFonts w:ascii="宋体" w:cs="宋体"/>
          <w:sz w:val="28"/>
          <w:szCs w:val="28"/>
        </w:rPr>
      </w:pPr>
    </w:p>
    <w:p w14:paraId="29F2B2D1">
      <w:pPr>
        <w:spacing w:line="360" w:lineRule="auto"/>
        <w:jc w:val="left"/>
        <w:rPr>
          <w:rFonts w:ascii="宋体" w:cs="宋体"/>
          <w:sz w:val="24"/>
        </w:rPr>
      </w:pPr>
    </w:p>
    <w:p w14:paraId="275E6B6E">
      <w:pPr>
        <w:spacing w:line="360" w:lineRule="auto"/>
        <w:jc w:val="left"/>
        <w:rPr>
          <w:rFonts w:ascii="宋体" w:cs="宋体"/>
          <w:b/>
          <w:bCs/>
          <w:szCs w:val="21"/>
        </w:rPr>
      </w:pPr>
      <w:r>
        <w:rPr>
          <w:rFonts w:hint="eastAsia" w:ascii="宋体" w:cs="宋体"/>
          <w:b/>
          <w:bCs/>
          <w:szCs w:val="21"/>
        </w:rPr>
        <w:t>注：</w:t>
      </w:r>
    </w:p>
    <w:p w14:paraId="1B98A2D2">
      <w:pPr>
        <w:spacing w:line="500" w:lineRule="exact"/>
        <w:ind w:firstLine="422" w:firstLineChars="200"/>
        <w:jc w:val="left"/>
        <w:rPr>
          <w:rFonts w:ascii="宋体" w:cs="宋体"/>
          <w:b/>
          <w:bCs/>
          <w:szCs w:val="21"/>
        </w:rPr>
      </w:pPr>
      <w:r>
        <w:rPr>
          <w:rFonts w:hint="eastAsia" w:ascii="宋体" w:cs="宋体"/>
          <w:b/>
          <w:bCs/>
          <w:szCs w:val="21"/>
        </w:rPr>
        <w:t>1、残疾人福利性单位视同小型、微型企业，享受预留份额、评审中价格扣除等促进中小企业发展的政府采购政策。残疾人福利性单位属于小型、微型企业的，不重复享受政策。</w:t>
      </w:r>
    </w:p>
    <w:p w14:paraId="3618AB8C">
      <w:pPr>
        <w:spacing w:line="500" w:lineRule="exact"/>
        <w:ind w:firstLine="422" w:firstLineChars="200"/>
        <w:jc w:val="left"/>
        <w:rPr>
          <w:rFonts w:ascii="宋体" w:cs="宋体"/>
          <w:b/>
          <w:bCs/>
          <w:szCs w:val="21"/>
        </w:rPr>
      </w:pPr>
      <w:r>
        <w:rPr>
          <w:rFonts w:hint="eastAsia" w:ascii="宋体" w:cs="宋体"/>
          <w:b/>
          <w:bCs/>
          <w:szCs w:val="21"/>
        </w:rPr>
        <w:t>2、供应商为非残疾人福利性单位的，可不提供此声明。</w:t>
      </w:r>
    </w:p>
    <w:p w14:paraId="6483327A">
      <w:pPr>
        <w:rPr>
          <w:rFonts w:ascii="宋体" w:cs="宋体"/>
          <w:b/>
          <w:bCs/>
          <w:szCs w:val="21"/>
        </w:rPr>
      </w:pPr>
      <w:r>
        <w:rPr>
          <w:rFonts w:hint="eastAsia" w:ascii="宋体" w:cs="宋体"/>
          <w:b/>
          <w:bCs/>
          <w:szCs w:val="21"/>
        </w:rPr>
        <w:br w:type="page"/>
      </w:r>
    </w:p>
    <w:p w14:paraId="5081313A">
      <w:pPr>
        <w:keepNext/>
        <w:keepLines/>
        <w:autoSpaceDE w:val="0"/>
        <w:autoSpaceDN w:val="0"/>
        <w:spacing w:before="120" w:after="120" w:line="360" w:lineRule="auto"/>
        <w:jc w:val="left"/>
        <w:rPr>
          <w:rFonts w:ascii="宋体" w:cs="宋体"/>
          <w:b/>
          <w:sz w:val="32"/>
          <w:szCs w:val="32"/>
        </w:rPr>
      </w:pPr>
      <w:r>
        <w:rPr>
          <w:rFonts w:hint="eastAsia" w:ascii="宋体" w:cs="宋体"/>
          <w:b/>
          <w:bCs/>
          <w:sz w:val="24"/>
          <w:lang w:val="zh-CN"/>
        </w:rPr>
        <w:t>附件三：</w:t>
      </w:r>
    </w:p>
    <w:p w14:paraId="0D3C26A2">
      <w:pPr>
        <w:keepNext/>
        <w:keepLines/>
        <w:autoSpaceDE w:val="0"/>
        <w:autoSpaceDN w:val="0"/>
        <w:spacing w:before="120" w:after="120" w:line="360" w:lineRule="auto"/>
        <w:jc w:val="center"/>
        <w:rPr>
          <w:rFonts w:ascii="宋体" w:cs="宋体"/>
          <w:b/>
          <w:bCs/>
          <w:sz w:val="30"/>
          <w:szCs w:val="30"/>
        </w:rPr>
      </w:pPr>
      <w:r>
        <w:rPr>
          <w:rFonts w:hint="eastAsia" w:ascii="宋体" w:cs="宋体"/>
          <w:b/>
          <w:bCs/>
          <w:sz w:val="30"/>
          <w:szCs w:val="30"/>
        </w:rPr>
        <w:t>监狱企业证明文件（如是）</w:t>
      </w:r>
    </w:p>
    <w:p w14:paraId="30E0EA0B">
      <w:pPr>
        <w:widowControl/>
        <w:jc w:val="left"/>
        <w:rPr>
          <w:rFonts w:ascii="宋体" w:cs="宋体"/>
          <w:color w:val="000000"/>
          <w:kern w:val="0"/>
          <w:sz w:val="24"/>
        </w:rPr>
      </w:pPr>
    </w:p>
    <w:p w14:paraId="7478FC26">
      <w:pPr>
        <w:widowControl/>
        <w:jc w:val="left"/>
        <w:rPr>
          <w:rFonts w:ascii="宋体" w:cs="宋体"/>
          <w:color w:val="000000"/>
          <w:kern w:val="0"/>
          <w:sz w:val="24"/>
        </w:rPr>
      </w:pPr>
    </w:p>
    <w:p w14:paraId="066424C8">
      <w:pPr>
        <w:widowControl/>
        <w:jc w:val="left"/>
        <w:rPr>
          <w:rFonts w:ascii="宋体" w:cs="宋体"/>
          <w:color w:val="000000"/>
          <w:kern w:val="0"/>
          <w:sz w:val="24"/>
        </w:rPr>
      </w:pPr>
    </w:p>
    <w:p w14:paraId="111A1E47">
      <w:pPr>
        <w:widowControl/>
        <w:jc w:val="left"/>
        <w:rPr>
          <w:rFonts w:ascii="宋体" w:cs="宋体"/>
        </w:rPr>
      </w:pPr>
      <w:r>
        <w:rPr>
          <w:rFonts w:hint="eastAsia" w:ascii="宋体" w:cs="宋体"/>
          <w:color w:val="000000"/>
          <w:kern w:val="0"/>
          <w:sz w:val="24"/>
        </w:rPr>
        <w:t xml:space="preserve">省级以上监狱管理局、戒毒管理局（含新疆生产建设兵团）出具的属于监狱企业的证明文件。 </w:t>
      </w:r>
    </w:p>
    <w:p w14:paraId="2E1622FB">
      <w:pPr>
        <w:rPr>
          <w:rFonts w:ascii="宋体" w:cs="宋体"/>
          <w:b/>
          <w:szCs w:val="21"/>
        </w:rPr>
      </w:pPr>
    </w:p>
    <w:p w14:paraId="74AA766A">
      <w:pPr>
        <w:rPr>
          <w:rFonts w:ascii="宋体" w:cs="宋体"/>
          <w:b/>
          <w:szCs w:val="21"/>
        </w:rPr>
      </w:pPr>
    </w:p>
    <w:p w14:paraId="19BCE21D">
      <w:pPr>
        <w:rPr>
          <w:rFonts w:ascii="宋体" w:cs="宋体"/>
          <w:b/>
          <w:szCs w:val="21"/>
        </w:rPr>
      </w:pPr>
    </w:p>
    <w:p w14:paraId="6737FCA8">
      <w:pPr>
        <w:spacing w:line="360" w:lineRule="auto"/>
        <w:jc w:val="left"/>
        <w:rPr>
          <w:rFonts w:ascii="宋体" w:cs="宋体"/>
          <w:sz w:val="24"/>
        </w:rPr>
      </w:pPr>
    </w:p>
    <w:p w14:paraId="63DD4708">
      <w:pPr>
        <w:spacing w:line="360" w:lineRule="auto"/>
        <w:jc w:val="left"/>
        <w:rPr>
          <w:rFonts w:ascii="宋体" w:cs="宋体"/>
          <w:sz w:val="24"/>
        </w:rPr>
      </w:pPr>
    </w:p>
    <w:p w14:paraId="64FEB06B">
      <w:pPr>
        <w:spacing w:line="360" w:lineRule="auto"/>
        <w:jc w:val="left"/>
        <w:rPr>
          <w:rFonts w:ascii="宋体" w:cs="宋体"/>
          <w:sz w:val="24"/>
        </w:rPr>
      </w:pPr>
    </w:p>
    <w:p w14:paraId="2B640F1C">
      <w:pPr>
        <w:spacing w:line="360" w:lineRule="auto"/>
        <w:jc w:val="left"/>
        <w:rPr>
          <w:rFonts w:ascii="宋体" w:cs="宋体"/>
          <w:b/>
          <w:bCs/>
          <w:szCs w:val="21"/>
        </w:rPr>
      </w:pPr>
      <w:r>
        <w:rPr>
          <w:rFonts w:hint="eastAsia" w:ascii="宋体" w:cs="宋体"/>
          <w:b/>
          <w:bCs/>
          <w:szCs w:val="21"/>
        </w:rPr>
        <w:t>注：</w:t>
      </w:r>
    </w:p>
    <w:p w14:paraId="66949A81">
      <w:pPr>
        <w:spacing w:line="500" w:lineRule="exact"/>
        <w:ind w:firstLine="422" w:firstLineChars="200"/>
        <w:jc w:val="left"/>
        <w:rPr>
          <w:rFonts w:ascii="宋体" w:cs="宋体"/>
          <w:b/>
          <w:bCs/>
          <w:szCs w:val="21"/>
        </w:rPr>
      </w:pPr>
      <w:r>
        <w:rPr>
          <w:rFonts w:hint="eastAsia" w:ascii="宋体" w:cs="宋体"/>
          <w:b/>
          <w:bCs/>
          <w:szCs w:val="21"/>
        </w:rPr>
        <w:t>1、监狱企业视同小型、微型企业，享受预留份额、评审中价格扣除等促进中小企业发展的政府采购政策。监狱企业属于小型、微型企业的，不重复享受政策。</w:t>
      </w:r>
    </w:p>
    <w:p w14:paraId="7FF8594F">
      <w:pPr>
        <w:spacing w:line="500" w:lineRule="exact"/>
        <w:ind w:firstLine="422" w:firstLineChars="200"/>
        <w:jc w:val="left"/>
        <w:rPr>
          <w:rFonts w:ascii="宋体" w:cs="宋体"/>
          <w:b/>
          <w:bCs/>
          <w:szCs w:val="21"/>
        </w:rPr>
      </w:pPr>
      <w:r>
        <w:rPr>
          <w:rFonts w:hint="eastAsia" w:ascii="宋体" w:cs="宋体"/>
          <w:b/>
          <w:bCs/>
          <w:szCs w:val="21"/>
        </w:rPr>
        <w:t>2、供应商为非监狱企业的，可不提供此证明。</w:t>
      </w:r>
    </w:p>
    <w:p w14:paraId="7EB45A29">
      <w:pPr>
        <w:jc w:val="center"/>
        <w:rPr>
          <w:rFonts w:ascii="宋体" w:hAnsi="宋体" w:cs="宋体"/>
          <w:b/>
          <w:szCs w:val="21"/>
        </w:rPr>
      </w:pPr>
      <w:r>
        <w:rPr>
          <w:rFonts w:hint="eastAsia" w:ascii="宋体" w:cs="宋体"/>
          <w:b/>
          <w:bCs/>
          <w:szCs w:val="21"/>
        </w:rPr>
        <w:br w:type="page"/>
      </w:r>
      <w:r>
        <w:rPr>
          <w:rFonts w:hint="eastAsia" w:ascii="宋体" w:hAnsi="宋体" w:cs="宋体"/>
          <w:b/>
          <w:szCs w:val="21"/>
        </w:rPr>
        <w:t>节能产品、环境标志产品政府强制采购认证证书一览表（如有）</w:t>
      </w:r>
    </w:p>
    <w:p w14:paraId="1DD3CF45">
      <w:pPr>
        <w:jc w:val="left"/>
        <w:rPr>
          <w:rFonts w:ascii="宋体" w:hAnsi="宋体" w:cs="宋体"/>
          <w:b/>
          <w:szCs w:val="21"/>
        </w:rPr>
      </w:pPr>
    </w:p>
    <w:tbl>
      <w:tblPr>
        <w:tblStyle w:val="2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64FF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1C203E67">
            <w:pPr>
              <w:jc w:val="center"/>
              <w:rPr>
                <w:rFonts w:ascii="宋体" w:hAnsi="宋体" w:cs="宋体"/>
                <w:bCs/>
                <w:szCs w:val="21"/>
              </w:rPr>
            </w:pPr>
            <w:r>
              <w:rPr>
                <w:rFonts w:hint="eastAsia" w:ascii="宋体" w:hAnsi="宋体" w:cs="宋体"/>
                <w:bCs/>
                <w:szCs w:val="21"/>
              </w:rPr>
              <w:t>序号</w:t>
            </w:r>
          </w:p>
        </w:tc>
        <w:tc>
          <w:tcPr>
            <w:tcW w:w="1652" w:type="dxa"/>
            <w:vAlign w:val="center"/>
          </w:tcPr>
          <w:p w14:paraId="76ED135C">
            <w:pPr>
              <w:jc w:val="center"/>
              <w:rPr>
                <w:rFonts w:ascii="宋体" w:hAnsi="宋体" w:cs="宋体"/>
                <w:bCs/>
                <w:szCs w:val="21"/>
              </w:rPr>
            </w:pPr>
            <w:r>
              <w:rPr>
                <w:rFonts w:hint="eastAsia" w:ascii="宋体" w:hAnsi="宋体" w:cs="宋体"/>
                <w:bCs/>
                <w:szCs w:val="21"/>
              </w:rPr>
              <w:t>标的名称</w:t>
            </w:r>
          </w:p>
        </w:tc>
        <w:tc>
          <w:tcPr>
            <w:tcW w:w="856" w:type="dxa"/>
            <w:vAlign w:val="center"/>
          </w:tcPr>
          <w:p w14:paraId="6EA97E74">
            <w:pPr>
              <w:jc w:val="center"/>
              <w:rPr>
                <w:rFonts w:ascii="宋体" w:hAnsi="宋体" w:cs="宋体"/>
                <w:bCs/>
                <w:szCs w:val="21"/>
              </w:rPr>
            </w:pPr>
            <w:r>
              <w:rPr>
                <w:rFonts w:hint="eastAsia" w:ascii="宋体" w:hAnsi="宋体" w:cs="宋体"/>
                <w:bCs/>
                <w:szCs w:val="21"/>
              </w:rPr>
              <w:t>品目</w:t>
            </w:r>
          </w:p>
        </w:tc>
        <w:tc>
          <w:tcPr>
            <w:tcW w:w="1369" w:type="dxa"/>
            <w:vAlign w:val="center"/>
          </w:tcPr>
          <w:p w14:paraId="6B1927C2">
            <w:pPr>
              <w:jc w:val="center"/>
              <w:rPr>
                <w:rFonts w:ascii="宋体" w:hAnsi="宋体" w:cs="宋体"/>
                <w:bCs/>
                <w:szCs w:val="21"/>
              </w:rPr>
            </w:pPr>
            <w:r>
              <w:rPr>
                <w:rFonts w:hint="eastAsia" w:ascii="宋体" w:hAnsi="宋体" w:cs="宋体"/>
                <w:bCs/>
                <w:szCs w:val="21"/>
              </w:rPr>
              <w:t>品牌</w:t>
            </w:r>
          </w:p>
        </w:tc>
        <w:tc>
          <w:tcPr>
            <w:tcW w:w="695" w:type="dxa"/>
            <w:vAlign w:val="center"/>
          </w:tcPr>
          <w:p w14:paraId="1A6491F6">
            <w:pPr>
              <w:jc w:val="center"/>
              <w:rPr>
                <w:rFonts w:ascii="宋体" w:hAnsi="宋体" w:cs="宋体"/>
                <w:bCs/>
                <w:szCs w:val="21"/>
              </w:rPr>
            </w:pPr>
            <w:r>
              <w:rPr>
                <w:rFonts w:hint="eastAsia" w:ascii="宋体" w:hAnsi="宋体" w:cs="宋体"/>
                <w:bCs/>
                <w:szCs w:val="21"/>
              </w:rPr>
              <w:t>规格型号</w:t>
            </w:r>
          </w:p>
        </w:tc>
        <w:tc>
          <w:tcPr>
            <w:tcW w:w="1260" w:type="dxa"/>
            <w:vAlign w:val="center"/>
          </w:tcPr>
          <w:p w14:paraId="6156766F">
            <w:pPr>
              <w:jc w:val="center"/>
              <w:rPr>
                <w:rFonts w:ascii="宋体" w:hAnsi="宋体" w:cs="宋体"/>
                <w:bCs/>
                <w:szCs w:val="21"/>
              </w:rPr>
            </w:pPr>
            <w:r>
              <w:rPr>
                <w:rFonts w:hint="eastAsia" w:ascii="宋体" w:hAnsi="宋体" w:cs="宋体"/>
                <w:bCs/>
                <w:szCs w:val="21"/>
              </w:rPr>
              <w:t>生产者（制造商）</w:t>
            </w:r>
          </w:p>
        </w:tc>
        <w:tc>
          <w:tcPr>
            <w:tcW w:w="804" w:type="dxa"/>
            <w:vAlign w:val="center"/>
          </w:tcPr>
          <w:p w14:paraId="4537C6A6">
            <w:pPr>
              <w:jc w:val="center"/>
              <w:rPr>
                <w:rFonts w:ascii="宋体" w:hAnsi="宋体" w:cs="宋体"/>
                <w:bCs/>
                <w:szCs w:val="21"/>
              </w:rPr>
            </w:pPr>
            <w:r>
              <w:rPr>
                <w:rFonts w:hint="eastAsia" w:ascii="宋体" w:hAnsi="宋体" w:cs="宋体"/>
                <w:bCs/>
                <w:szCs w:val="21"/>
              </w:rPr>
              <w:t>证书编号</w:t>
            </w:r>
          </w:p>
        </w:tc>
        <w:tc>
          <w:tcPr>
            <w:tcW w:w="1032" w:type="dxa"/>
            <w:vAlign w:val="center"/>
          </w:tcPr>
          <w:p w14:paraId="64E56732">
            <w:pPr>
              <w:jc w:val="center"/>
              <w:rPr>
                <w:rFonts w:ascii="宋体" w:hAnsi="宋体" w:cs="宋体"/>
                <w:bCs/>
                <w:szCs w:val="21"/>
              </w:rPr>
            </w:pPr>
            <w:r>
              <w:rPr>
                <w:rFonts w:hint="eastAsia" w:ascii="宋体" w:hAnsi="宋体" w:cs="宋体"/>
                <w:bCs/>
                <w:szCs w:val="21"/>
              </w:rPr>
              <w:t>证书到期日期</w:t>
            </w:r>
          </w:p>
        </w:tc>
        <w:tc>
          <w:tcPr>
            <w:tcW w:w="1210" w:type="dxa"/>
            <w:vAlign w:val="center"/>
          </w:tcPr>
          <w:p w14:paraId="305967FE">
            <w:pPr>
              <w:jc w:val="center"/>
              <w:rPr>
                <w:rFonts w:ascii="宋体" w:hAnsi="宋体" w:cs="宋体"/>
                <w:bCs/>
                <w:szCs w:val="21"/>
              </w:rPr>
            </w:pPr>
            <w:r>
              <w:rPr>
                <w:rFonts w:hint="eastAsia" w:ascii="宋体" w:hAnsi="宋体" w:cs="宋体"/>
                <w:bCs/>
                <w:szCs w:val="21"/>
              </w:rPr>
              <w:t>发证机构</w:t>
            </w:r>
          </w:p>
        </w:tc>
      </w:tr>
      <w:tr w14:paraId="55EF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5188175A">
            <w:pPr>
              <w:jc w:val="center"/>
              <w:rPr>
                <w:rFonts w:ascii="宋体" w:hAnsi="宋体" w:cs="宋体"/>
                <w:bCs/>
                <w:szCs w:val="21"/>
              </w:rPr>
            </w:pPr>
            <w:r>
              <w:rPr>
                <w:rFonts w:hint="eastAsia" w:ascii="宋体" w:hAnsi="宋体" w:cs="宋体"/>
                <w:bCs/>
                <w:szCs w:val="21"/>
              </w:rPr>
              <w:t>1</w:t>
            </w:r>
          </w:p>
        </w:tc>
        <w:tc>
          <w:tcPr>
            <w:tcW w:w="1652" w:type="dxa"/>
            <w:vAlign w:val="center"/>
          </w:tcPr>
          <w:p w14:paraId="11F6DA38">
            <w:pPr>
              <w:jc w:val="center"/>
              <w:rPr>
                <w:rFonts w:ascii="宋体" w:hAnsi="宋体" w:cs="宋体"/>
                <w:bCs/>
                <w:szCs w:val="21"/>
              </w:rPr>
            </w:pPr>
          </w:p>
        </w:tc>
        <w:tc>
          <w:tcPr>
            <w:tcW w:w="856" w:type="dxa"/>
            <w:vAlign w:val="center"/>
          </w:tcPr>
          <w:p w14:paraId="7FECA777">
            <w:pPr>
              <w:jc w:val="center"/>
              <w:rPr>
                <w:rFonts w:ascii="宋体" w:hAnsi="宋体" w:cs="宋体"/>
                <w:bCs/>
                <w:szCs w:val="21"/>
              </w:rPr>
            </w:pPr>
          </w:p>
        </w:tc>
        <w:tc>
          <w:tcPr>
            <w:tcW w:w="1369" w:type="dxa"/>
            <w:vAlign w:val="center"/>
          </w:tcPr>
          <w:p w14:paraId="285831AA">
            <w:pPr>
              <w:jc w:val="center"/>
              <w:rPr>
                <w:rFonts w:ascii="宋体" w:hAnsi="宋体" w:cs="宋体"/>
                <w:bCs/>
                <w:szCs w:val="21"/>
              </w:rPr>
            </w:pPr>
          </w:p>
        </w:tc>
        <w:tc>
          <w:tcPr>
            <w:tcW w:w="695" w:type="dxa"/>
            <w:vAlign w:val="center"/>
          </w:tcPr>
          <w:p w14:paraId="2D42AD03">
            <w:pPr>
              <w:jc w:val="center"/>
              <w:rPr>
                <w:rFonts w:ascii="宋体" w:hAnsi="宋体" w:cs="宋体"/>
                <w:bCs/>
                <w:szCs w:val="21"/>
              </w:rPr>
            </w:pPr>
          </w:p>
        </w:tc>
        <w:tc>
          <w:tcPr>
            <w:tcW w:w="1260" w:type="dxa"/>
            <w:vAlign w:val="center"/>
          </w:tcPr>
          <w:p w14:paraId="456CB6AB">
            <w:pPr>
              <w:jc w:val="center"/>
              <w:rPr>
                <w:rFonts w:ascii="宋体" w:hAnsi="宋体" w:cs="宋体"/>
                <w:bCs/>
                <w:szCs w:val="21"/>
              </w:rPr>
            </w:pPr>
          </w:p>
        </w:tc>
        <w:tc>
          <w:tcPr>
            <w:tcW w:w="804" w:type="dxa"/>
            <w:vAlign w:val="center"/>
          </w:tcPr>
          <w:p w14:paraId="05024D70">
            <w:pPr>
              <w:jc w:val="center"/>
              <w:rPr>
                <w:rFonts w:ascii="宋体" w:hAnsi="宋体" w:cs="宋体"/>
                <w:bCs/>
                <w:szCs w:val="21"/>
              </w:rPr>
            </w:pPr>
          </w:p>
        </w:tc>
        <w:tc>
          <w:tcPr>
            <w:tcW w:w="1032" w:type="dxa"/>
            <w:vAlign w:val="center"/>
          </w:tcPr>
          <w:p w14:paraId="6ED449ED">
            <w:pPr>
              <w:jc w:val="center"/>
              <w:rPr>
                <w:rFonts w:ascii="宋体" w:hAnsi="宋体" w:cs="宋体"/>
                <w:bCs/>
                <w:szCs w:val="21"/>
              </w:rPr>
            </w:pPr>
          </w:p>
        </w:tc>
        <w:tc>
          <w:tcPr>
            <w:tcW w:w="1210" w:type="dxa"/>
            <w:vAlign w:val="center"/>
          </w:tcPr>
          <w:p w14:paraId="17B0E30E">
            <w:pPr>
              <w:jc w:val="center"/>
              <w:rPr>
                <w:rFonts w:ascii="宋体" w:hAnsi="宋体" w:cs="宋体"/>
                <w:bCs/>
                <w:szCs w:val="21"/>
              </w:rPr>
            </w:pPr>
          </w:p>
        </w:tc>
      </w:tr>
      <w:tr w14:paraId="7717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37CDD29C">
            <w:pPr>
              <w:jc w:val="center"/>
              <w:rPr>
                <w:rFonts w:ascii="宋体" w:hAnsi="宋体" w:cs="宋体"/>
                <w:bCs/>
                <w:szCs w:val="21"/>
              </w:rPr>
            </w:pPr>
            <w:r>
              <w:rPr>
                <w:rFonts w:hint="eastAsia" w:ascii="宋体" w:hAnsi="宋体" w:cs="宋体"/>
                <w:bCs/>
                <w:szCs w:val="21"/>
              </w:rPr>
              <w:t>2</w:t>
            </w:r>
          </w:p>
        </w:tc>
        <w:tc>
          <w:tcPr>
            <w:tcW w:w="1652" w:type="dxa"/>
            <w:vAlign w:val="center"/>
          </w:tcPr>
          <w:p w14:paraId="30CFC46F">
            <w:pPr>
              <w:jc w:val="center"/>
              <w:rPr>
                <w:rFonts w:ascii="宋体" w:hAnsi="宋体" w:cs="宋体"/>
                <w:bCs/>
                <w:szCs w:val="21"/>
              </w:rPr>
            </w:pPr>
          </w:p>
        </w:tc>
        <w:tc>
          <w:tcPr>
            <w:tcW w:w="856" w:type="dxa"/>
            <w:vAlign w:val="center"/>
          </w:tcPr>
          <w:p w14:paraId="732CC0C5">
            <w:pPr>
              <w:jc w:val="center"/>
              <w:rPr>
                <w:rFonts w:ascii="宋体" w:hAnsi="宋体" w:cs="宋体"/>
                <w:bCs/>
                <w:szCs w:val="21"/>
              </w:rPr>
            </w:pPr>
          </w:p>
        </w:tc>
        <w:tc>
          <w:tcPr>
            <w:tcW w:w="1369" w:type="dxa"/>
            <w:vAlign w:val="center"/>
          </w:tcPr>
          <w:p w14:paraId="1C8332FC">
            <w:pPr>
              <w:jc w:val="center"/>
              <w:rPr>
                <w:rFonts w:ascii="宋体" w:hAnsi="宋体" w:cs="宋体"/>
                <w:bCs/>
                <w:szCs w:val="21"/>
              </w:rPr>
            </w:pPr>
          </w:p>
        </w:tc>
        <w:tc>
          <w:tcPr>
            <w:tcW w:w="695" w:type="dxa"/>
            <w:vAlign w:val="center"/>
          </w:tcPr>
          <w:p w14:paraId="7BAA68A9">
            <w:pPr>
              <w:jc w:val="center"/>
              <w:rPr>
                <w:rFonts w:ascii="宋体" w:hAnsi="宋体" w:cs="宋体"/>
                <w:bCs/>
                <w:szCs w:val="21"/>
              </w:rPr>
            </w:pPr>
          </w:p>
        </w:tc>
        <w:tc>
          <w:tcPr>
            <w:tcW w:w="1260" w:type="dxa"/>
            <w:vAlign w:val="center"/>
          </w:tcPr>
          <w:p w14:paraId="49D51F19">
            <w:pPr>
              <w:jc w:val="center"/>
              <w:rPr>
                <w:rFonts w:ascii="宋体" w:hAnsi="宋体" w:cs="宋体"/>
                <w:bCs/>
                <w:szCs w:val="21"/>
              </w:rPr>
            </w:pPr>
          </w:p>
        </w:tc>
        <w:tc>
          <w:tcPr>
            <w:tcW w:w="804" w:type="dxa"/>
            <w:vAlign w:val="center"/>
          </w:tcPr>
          <w:p w14:paraId="55A3F4D4">
            <w:pPr>
              <w:jc w:val="center"/>
              <w:rPr>
                <w:rFonts w:ascii="宋体" w:hAnsi="宋体" w:cs="宋体"/>
                <w:bCs/>
                <w:szCs w:val="21"/>
              </w:rPr>
            </w:pPr>
          </w:p>
        </w:tc>
        <w:tc>
          <w:tcPr>
            <w:tcW w:w="1032" w:type="dxa"/>
            <w:vAlign w:val="center"/>
          </w:tcPr>
          <w:p w14:paraId="61AF70A3">
            <w:pPr>
              <w:jc w:val="center"/>
              <w:rPr>
                <w:rFonts w:ascii="宋体" w:hAnsi="宋体" w:cs="宋体"/>
                <w:bCs/>
                <w:szCs w:val="21"/>
              </w:rPr>
            </w:pPr>
          </w:p>
        </w:tc>
        <w:tc>
          <w:tcPr>
            <w:tcW w:w="1210" w:type="dxa"/>
            <w:vAlign w:val="center"/>
          </w:tcPr>
          <w:p w14:paraId="49AFEE88">
            <w:pPr>
              <w:jc w:val="center"/>
              <w:rPr>
                <w:rFonts w:ascii="宋体" w:hAnsi="宋体" w:cs="宋体"/>
                <w:bCs/>
                <w:szCs w:val="21"/>
              </w:rPr>
            </w:pPr>
          </w:p>
        </w:tc>
      </w:tr>
      <w:tr w14:paraId="060E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31912EB9">
            <w:pPr>
              <w:jc w:val="center"/>
              <w:rPr>
                <w:rFonts w:ascii="宋体" w:hAnsi="宋体" w:cs="宋体"/>
                <w:bCs/>
                <w:szCs w:val="21"/>
              </w:rPr>
            </w:pPr>
            <w:r>
              <w:rPr>
                <w:rFonts w:hint="eastAsia" w:ascii="宋体" w:hAnsi="宋体" w:cs="宋体"/>
                <w:bCs/>
                <w:szCs w:val="21"/>
              </w:rPr>
              <w:t>3</w:t>
            </w:r>
          </w:p>
        </w:tc>
        <w:tc>
          <w:tcPr>
            <w:tcW w:w="1652" w:type="dxa"/>
            <w:vAlign w:val="center"/>
          </w:tcPr>
          <w:p w14:paraId="30981781">
            <w:pPr>
              <w:jc w:val="center"/>
              <w:rPr>
                <w:rFonts w:ascii="宋体" w:hAnsi="宋体" w:cs="宋体"/>
                <w:bCs/>
                <w:szCs w:val="21"/>
              </w:rPr>
            </w:pPr>
          </w:p>
        </w:tc>
        <w:tc>
          <w:tcPr>
            <w:tcW w:w="856" w:type="dxa"/>
            <w:vAlign w:val="center"/>
          </w:tcPr>
          <w:p w14:paraId="352930D3">
            <w:pPr>
              <w:jc w:val="center"/>
              <w:rPr>
                <w:rFonts w:ascii="宋体" w:hAnsi="宋体" w:cs="宋体"/>
                <w:bCs/>
                <w:szCs w:val="21"/>
              </w:rPr>
            </w:pPr>
          </w:p>
        </w:tc>
        <w:tc>
          <w:tcPr>
            <w:tcW w:w="1369" w:type="dxa"/>
            <w:vAlign w:val="center"/>
          </w:tcPr>
          <w:p w14:paraId="4EC0283E">
            <w:pPr>
              <w:jc w:val="center"/>
              <w:rPr>
                <w:rFonts w:ascii="宋体" w:hAnsi="宋体" w:cs="宋体"/>
                <w:bCs/>
                <w:szCs w:val="21"/>
              </w:rPr>
            </w:pPr>
          </w:p>
        </w:tc>
        <w:tc>
          <w:tcPr>
            <w:tcW w:w="695" w:type="dxa"/>
            <w:vAlign w:val="center"/>
          </w:tcPr>
          <w:p w14:paraId="1463AE7E">
            <w:pPr>
              <w:jc w:val="center"/>
              <w:rPr>
                <w:rFonts w:ascii="宋体" w:hAnsi="宋体" w:cs="宋体"/>
                <w:bCs/>
                <w:szCs w:val="21"/>
              </w:rPr>
            </w:pPr>
          </w:p>
        </w:tc>
        <w:tc>
          <w:tcPr>
            <w:tcW w:w="1260" w:type="dxa"/>
            <w:vAlign w:val="center"/>
          </w:tcPr>
          <w:p w14:paraId="1F042A68">
            <w:pPr>
              <w:jc w:val="center"/>
              <w:rPr>
                <w:rFonts w:ascii="宋体" w:hAnsi="宋体" w:cs="宋体"/>
                <w:bCs/>
                <w:szCs w:val="21"/>
              </w:rPr>
            </w:pPr>
          </w:p>
        </w:tc>
        <w:tc>
          <w:tcPr>
            <w:tcW w:w="804" w:type="dxa"/>
            <w:vAlign w:val="center"/>
          </w:tcPr>
          <w:p w14:paraId="67A31EE5">
            <w:pPr>
              <w:jc w:val="center"/>
              <w:rPr>
                <w:rFonts w:ascii="宋体" w:hAnsi="宋体" w:cs="宋体"/>
                <w:bCs/>
                <w:szCs w:val="21"/>
              </w:rPr>
            </w:pPr>
          </w:p>
        </w:tc>
        <w:tc>
          <w:tcPr>
            <w:tcW w:w="1032" w:type="dxa"/>
            <w:vAlign w:val="center"/>
          </w:tcPr>
          <w:p w14:paraId="05CAAE0C">
            <w:pPr>
              <w:jc w:val="center"/>
              <w:rPr>
                <w:rFonts w:ascii="宋体" w:hAnsi="宋体" w:cs="宋体"/>
                <w:bCs/>
                <w:szCs w:val="21"/>
              </w:rPr>
            </w:pPr>
          </w:p>
        </w:tc>
        <w:tc>
          <w:tcPr>
            <w:tcW w:w="1210" w:type="dxa"/>
            <w:vAlign w:val="center"/>
          </w:tcPr>
          <w:p w14:paraId="7D895522">
            <w:pPr>
              <w:jc w:val="center"/>
              <w:rPr>
                <w:rFonts w:ascii="宋体" w:hAnsi="宋体" w:cs="宋体"/>
                <w:bCs/>
                <w:szCs w:val="21"/>
              </w:rPr>
            </w:pPr>
          </w:p>
        </w:tc>
      </w:tr>
      <w:tr w14:paraId="3721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0FB0227A">
            <w:pPr>
              <w:rPr>
                <w:rFonts w:ascii="宋体" w:hAnsi="宋体" w:cs="宋体"/>
                <w:bCs/>
                <w:szCs w:val="21"/>
              </w:rPr>
            </w:pPr>
            <w:r>
              <w:rPr>
                <w:rFonts w:hint="eastAsia" w:ascii="宋体" w:hAnsi="宋体" w:cs="宋体"/>
                <w:bCs/>
                <w:szCs w:val="21"/>
              </w:rPr>
              <w:t>...</w:t>
            </w:r>
          </w:p>
        </w:tc>
        <w:tc>
          <w:tcPr>
            <w:tcW w:w="1652" w:type="dxa"/>
            <w:vAlign w:val="center"/>
          </w:tcPr>
          <w:p w14:paraId="12C0ECD8">
            <w:pPr>
              <w:jc w:val="center"/>
              <w:rPr>
                <w:rFonts w:ascii="宋体" w:hAnsi="宋体" w:cs="宋体"/>
                <w:bCs/>
                <w:szCs w:val="21"/>
              </w:rPr>
            </w:pPr>
          </w:p>
        </w:tc>
        <w:tc>
          <w:tcPr>
            <w:tcW w:w="856" w:type="dxa"/>
            <w:vAlign w:val="center"/>
          </w:tcPr>
          <w:p w14:paraId="4EDC8C94">
            <w:pPr>
              <w:jc w:val="center"/>
              <w:rPr>
                <w:rFonts w:ascii="宋体" w:hAnsi="宋体" w:cs="宋体"/>
                <w:bCs/>
                <w:szCs w:val="21"/>
              </w:rPr>
            </w:pPr>
          </w:p>
        </w:tc>
        <w:tc>
          <w:tcPr>
            <w:tcW w:w="1369" w:type="dxa"/>
            <w:vAlign w:val="center"/>
          </w:tcPr>
          <w:p w14:paraId="4CDB430A">
            <w:pPr>
              <w:jc w:val="center"/>
              <w:rPr>
                <w:rFonts w:ascii="宋体" w:hAnsi="宋体" w:cs="宋体"/>
                <w:bCs/>
                <w:szCs w:val="21"/>
              </w:rPr>
            </w:pPr>
          </w:p>
        </w:tc>
        <w:tc>
          <w:tcPr>
            <w:tcW w:w="695" w:type="dxa"/>
            <w:vAlign w:val="center"/>
          </w:tcPr>
          <w:p w14:paraId="37D865C2">
            <w:pPr>
              <w:jc w:val="center"/>
              <w:rPr>
                <w:rFonts w:ascii="宋体" w:hAnsi="宋体" w:cs="宋体"/>
                <w:bCs/>
                <w:szCs w:val="21"/>
              </w:rPr>
            </w:pPr>
          </w:p>
        </w:tc>
        <w:tc>
          <w:tcPr>
            <w:tcW w:w="1260" w:type="dxa"/>
            <w:vAlign w:val="center"/>
          </w:tcPr>
          <w:p w14:paraId="67E4032D">
            <w:pPr>
              <w:jc w:val="center"/>
              <w:rPr>
                <w:rFonts w:ascii="宋体" w:hAnsi="宋体" w:cs="宋体"/>
                <w:bCs/>
                <w:szCs w:val="21"/>
              </w:rPr>
            </w:pPr>
          </w:p>
        </w:tc>
        <w:tc>
          <w:tcPr>
            <w:tcW w:w="804" w:type="dxa"/>
            <w:vAlign w:val="center"/>
          </w:tcPr>
          <w:p w14:paraId="0D985BEE">
            <w:pPr>
              <w:jc w:val="center"/>
              <w:rPr>
                <w:rFonts w:ascii="宋体" w:hAnsi="宋体" w:cs="宋体"/>
                <w:bCs/>
                <w:szCs w:val="21"/>
              </w:rPr>
            </w:pPr>
          </w:p>
        </w:tc>
        <w:tc>
          <w:tcPr>
            <w:tcW w:w="1032" w:type="dxa"/>
            <w:vAlign w:val="center"/>
          </w:tcPr>
          <w:p w14:paraId="1A9DCF8A">
            <w:pPr>
              <w:jc w:val="center"/>
              <w:rPr>
                <w:rFonts w:ascii="宋体" w:hAnsi="宋体" w:cs="宋体"/>
                <w:bCs/>
                <w:szCs w:val="21"/>
              </w:rPr>
            </w:pPr>
          </w:p>
        </w:tc>
        <w:tc>
          <w:tcPr>
            <w:tcW w:w="1210" w:type="dxa"/>
            <w:vAlign w:val="center"/>
          </w:tcPr>
          <w:p w14:paraId="2EC58AB0">
            <w:pPr>
              <w:jc w:val="center"/>
              <w:rPr>
                <w:rFonts w:ascii="宋体" w:hAnsi="宋体" w:cs="宋体"/>
                <w:bCs/>
                <w:szCs w:val="21"/>
              </w:rPr>
            </w:pPr>
          </w:p>
        </w:tc>
      </w:tr>
    </w:tbl>
    <w:p w14:paraId="2BA6B10B">
      <w:pPr>
        <w:jc w:val="left"/>
        <w:rPr>
          <w:rFonts w:ascii="宋体" w:hAnsi="宋体" w:cs="宋体"/>
          <w:b/>
          <w:szCs w:val="21"/>
        </w:rPr>
      </w:pPr>
    </w:p>
    <w:p w14:paraId="46748098">
      <w:pPr>
        <w:jc w:val="left"/>
        <w:rPr>
          <w:rFonts w:ascii="宋体" w:hAnsi="宋体" w:cs="宋体"/>
          <w:b/>
          <w:szCs w:val="21"/>
        </w:rPr>
      </w:pPr>
      <w:r>
        <w:rPr>
          <w:rFonts w:hint="eastAsia" w:ascii="宋体" w:hAnsi="宋体" w:cs="宋体"/>
          <w:b/>
          <w:szCs w:val="21"/>
        </w:rPr>
        <w:t>注：</w:t>
      </w:r>
    </w:p>
    <w:p w14:paraId="6241A341">
      <w:pPr>
        <w:ind w:firstLine="422" w:firstLineChars="200"/>
        <w:jc w:val="left"/>
        <w:rPr>
          <w:rFonts w:ascii="宋体" w:hAnsi="宋体" w:cs="宋体"/>
          <w:b/>
          <w:szCs w:val="21"/>
        </w:rPr>
      </w:pPr>
      <w:r>
        <w:rPr>
          <w:rFonts w:hint="eastAsia" w:ascii="宋体" w:hAnsi="宋体" w:cs="宋体"/>
          <w:b/>
          <w:szCs w:val="21"/>
        </w:rPr>
        <w:t>1、请在本表后提供对应的认证证书扫描件，本表信息与认证证书信息不一致的，以认证证书载明信息为准。</w:t>
      </w:r>
    </w:p>
    <w:p w14:paraId="788ACED9">
      <w:pPr>
        <w:ind w:firstLine="422" w:firstLineChars="200"/>
        <w:jc w:val="left"/>
        <w:rPr>
          <w:rFonts w:ascii="宋体" w:hAnsi="宋体" w:cs="宋体"/>
          <w:b/>
          <w:szCs w:val="21"/>
        </w:rPr>
      </w:pPr>
      <w:r>
        <w:rPr>
          <w:rFonts w:hint="eastAsia" w:ascii="宋体" w:hAnsi="宋体" w:cs="宋体"/>
          <w:b/>
          <w:szCs w:val="21"/>
        </w:rPr>
        <w:t>2、本表填列要求详见本磋商文件政策采购内容。</w:t>
      </w:r>
    </w:p>
    <w:p w14:paraId="3900F26A">
      <w:pPr>
        <w:ind w:firstLine="422" w:firstLineChars="200"/>
        <w:jc w:val="left"/>
        <w:rPr>
          <w:rFonts w:ascii="宋体" w:hAnsi="宋体" w:cs="宋体"/>
          <w:b/>
          <w:szCs w:val="21"/>
        </w:rPr>
      </w:pPr>
    </w:p>
    <w:p w14:paraId="53C20108">
      <w:pPr>
        <w:ind w:firstLine="422" w:firstLineChars="200"/>
        <w:jc w:val="left"/>
        <w:rPr>
          <w:rFonts w:ascii="宋体" w:hAnsi="宋体" w:cs="宋体"/>
          <w:b/>
          <w:szCs w:val="21"/>
        </w:rPr>
      </w:pPr>
    </w:p>
    <w:p w14:paraId="5CDD0C36">
      <w:pPr>
        <w:jc w:val="center"/>
        <w:rPr>
          <w:rFonts w:ascii="宋体" w:hAnsi="宋体" w:cs="宋体"/>
          <w:b/>
          <w:szCs w:val="21"/>
        </w:rPr>
      </w:pPr>
    </w:p>
    <w:p w14:paraId="7EF86172">
      <w:pPr>
        <w:jc w:val="center"/>
        <w:rPr>
          <w:rFonts w:ascii="宋体" w:hAnsi="宋体" w:cs="宋体"/>
          <w:b/>
          <w:szCs w:val="21"/>
        </w:rPr>
      </w:pPr>
    </w:p>
    <w:p w14:paraId="47B46282">
      <w:pPr>
        <w:jc w:val="center"/>
        <w:rPr>
          <w:rFonts w:ascii="宋体" w:hAnsi="宋体" w:cs="宋体"/>
          <w:b/>
          <w:szCs w:val="21"/>
        </w:rPr>
      </w:pPr>
      <w:r>
        <w:rPr>
          <w:rFonts w:hint="eastAsia" w:ascii="宋体" w:hAnsi="宋体" w:cs="宋体"/>
          <w:b/>
          <w:szCs w:val="21"/>
        </w:rPr>
        <w:t>节能产品、环境标志产品政府优先采购认证证书一览表（如有）</w:t>
      </w:r>
    </w:p>
    <w:p w14:paraId="0F719DEE">
      <w:pPr>
        <w:jc w:val="left"/>
        <w:rPr>
          <w:rFonts w:ascii="宋体" w:hAnsi="宋体" w:cs="宋体"/>
          <w:b/>
          <w:szCs w:val="21"/>
        </w:rPr>
      </w:pPr>
    </w:p>
    <w:tbl>
      <w:tblPr>
        <w:tblStyle w:val="2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16A4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305D9FCE">
            <w:pPr>
              <w:jc w:val="center"/>
              <w:rPr>
                <w:rFonts w:ascii="宋体" w:hAnsi="宋体" w:cs="宋体"/>
                <w:bCs/>
                <w:szCs w:val="21"/>
              </w:rPr>
            </w:pPr>
            <w:r>
              <w:rPr>
                <w:rFonts w:hint="eastAsia" w:ascii="宋体" w:hAnsi="宋体" w:cs="宋体"/>
                <w:bCs/>
                <w:szCs w:val="21"/>
              </w:rPr>
              <w:t>序号</w:t>
            </w:r>
          </w:p>
        </w:tc>
        <w:tc>
          <w:tcPr>
            <w:tcW w:w="1652" w:type="dxa"/>
            <w:vAlign w:val="center"/>
          </w:tcPr>
          <w:p w14:paraId="5FB6DEFC">
            <w:pPr>
              <w:jc w:val="center"/>
              <w:rPr>
                <w:rFonts w:ascii="宋体" w:hAnsi="宋体" w:cs="宋体"/>
                <w:bCs/>
                <w:szCs w:val="21"/>
              </w:rPr>
            </w:pPr>
            <w:r>
              <w:rPr>
                <w:rFonts w:hint="eastAsia" w:ascii="宋体" w:hAnsi="宋体" w:cs="宋体"/>
                <w:bCs/>
                <w:szCs w:val="21"/>
              </w:rPr>
              <w:t>标的名称</w:t>
            </w:r>
          </w:p>
        </w:tc>
        <w:tc>
          <w:tcPr>
            <w:tcW w:w="856" w:type="dxa"/>
            <w:vAlign w:val="center"/>
          </w:tcPr>
          <w:p w14:paraId="2D4AC05B">
            <w:pPr>
              <w:jc w:val="center"/>
              <w:rPr>
                <w:rFonts w:ascii="宋体" w:hAnsi="宋体" w:cs="宋体"/>
                <w:bCs/>
                <w:szCs w:val="21"/>
              </w:rPr>
            </w:pPr>
            <w:r>
              <w:rPr>
                <w:rFonts w:hint="eastAsia" w:ascii="宋体" w:hAnsi="宋体" w:cs="宋体"/>
                <w:bCs/>
                <w:szCs w:val="21"/>
              </w:rPr>
              <w:t>品目</w:t>
            </w:r>
          </w:p>
        </w:tc>
        <w:tc>
          <w:tcPr>
            <w:tcW w:w="1369" w:type="dxa"/>
            <w:vAlign w:val="center"/>
          </w:tcPr>
          <w:p w14:paraId="29E9FF0E">
            <w:pPr>
              <w:jc w:val="center"/>
              <w:rPr>
                <w:rFonts w:ascii="宋体" w:hAnsi="宋体" w:cs="宋体"/>
                <w:bCs/>
                <w:szCs w:val="21"/>
              </w:rPr>
            </w:pPr>
            <w:r>
              <w:rPr>
                <w:rFonts w:hint="eastAsia" w:ascii="宋体" w:hAnsi="宋体" w:cs="宋体"/>
                <w:bCs/>
                <w:szCs w:val="21"/>
              </w:rPr>
              <w:t>品牌</w:t>
            </w:r>
          </w:p>
        </w:tc>
        <w:tc>
          <w:tcPr>
            <w:tcW w:w="695" w:type="dxa"/>
            <w:vAlign w:val="center"/>
          </w:tcPr>
          <w:p w14:paraId="4CBB8FBC">
            <w:pPr>
              <w:jc w:val="center"/>
              <w:rPr>
                <w:rFonts w:ascii="宋体" w:hAnsi="宋体" w:cs="宋体"/>
                <w:bCs/>
                <w:szCs w:val="21"/>
              </w:rPr>
            </w:pPr>
            <w:r>
              <w:rPr>
                <w:rFonts w:hint="eastAsia" w:ascii="宋体" w:hAnsi="宋体" w:cs="宋体"/>
                <w:bCs/>
                <w:szCs w:val="21"/>
              </w:rPr>
              <w:t>规格型号</w:t>
            </w:r>
          </w:p>
        </w:tc>
        <w:tc>
          <w:tcPr>
            <w:tcW w:w="1260" w:type="dxa"/>
            <w:vAlign w:val="center"/>
          </w:tcPr>
          <w:p w14:paraId="2061D1A9">
            <w:pPr>
              <w:jc w:val="center"/>
              <w:rPr>
                <w:rFonts w:ascii="宋体" w:hAnsi="宋体" w:cs="宋体"/>
                <w:bCs/>
                <w:szCs w:val="21"/>
              </w:rPr>
            </w:pPr>
            <w:r>
              <w:rPr>
                <w:rFonts w:hint="eastAsia" w:ascii="宋体" w:hAnsi="宋体" w:cs="宋体"/>
                <w:bCs/>
                <w:szCs w:val="21"/>
              </w:rPr>
              <w:t>生产者（制造商）</w:t>
            </w:r>
          </w:p>
        </w:tc>
        <w:tc>
          <w:tcPr>
            <w:tcW w:w="804" w:type="dxa"/>
            <w:vAlign w:val="center"/>
          </w:tcPr>
          <w:p w14:paraId="6D847495">
            <w:pPr>
              <w:jc w:val="center"/>
              <w:rPr>
                <w:rFonts w:ascii="宋体" w:hAnsi="宋体" w:cs="宋体"/>
                <w:bCs/>
                <w:szCs w:val="21"/>
              </w:rPr>
            </w:pPr>
            <w:r>
              <w:rPr>
                <w:rFonts w:hint="eastAsia" w:ascii="宋体" w:hAnsi="宋体" w:cs="宋体"/>
                <w:bCs/>
                <w:szCs w:val="21"/>
              </w:rPr>
              <w:t>证书编号</w:t>
            </w:r>
          </w:p>
        </w:tc>
        <w:tc>
          <w:tcPr>
            <w:tcW w:w="1032" w:type="dxa"/>
            <w:vAlign w:val="center"/>
          </w:tcPr>
          <w:p w14:paraId="36FA27CB">
            <w:pPr>
              <w:jc w:val="center"/>
              <w:rPr>
                <w:rFonts w:ascii="宋体" w:hAnsi="宋体" w:cs="宋体"/>
                <w:bCs/>
                <w:szCs w:val="21"/>
              </w:rPr>
            </w:pPr>
            <w:r>
              <w:rPr>
                <w:rFonts w:hint="eastAsia" w:ascii="宋体" w:hAnsi="宋体" w:cs="宋体"/>
                <w:bCs/>
                <w:szCs w:val="21"/>
              </w:rPr>
              <w:t>证书到期日期</w:t>
            </w:r>
          </w:p>
        </w:tc>
        <w:tc>
          <w:tcPr>
            <w:tcW w:w="1210" w:type="dxa"/>
            <w:vAlign w:val="center"/>
          </w:tcPr>
          <w:p w14:paraId="2CEDEEC7">
            <w:pPr>
              <w:jc w:val="center"/>
              <w:rPr>
                <w:rFonts w:ascii="宋体" w:hAnsi="宋体" w:cs="宋体"/>
                <w:bCs/>
                <w:szCs w:val="21"/>
              </w:rPr>
            </w:pPr>
            <w:r>
              <w:rPr>
                <w:rFonts w:hint="eastAsia" w:ascii="宋体" w:hAnsi="宋体" w:cs="宋体"/>
                <w:bCs/>
                <w:szCs w:val="21"/>
              </w:rPr>
              <w:t>发证机构</w:t>
            </w:r>
          </w:p>
        </w:tc>
      </w:tr>
      <w:tr w14:paraId="1E88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1B687FD1">
            <w:pPr>
              <w:jc w:val="center"/>
              <w:rPr>
                <w:rFonts w:ascii="宋体" w:hAnsi="宋体" w:cs="宋体"/>
                <w:bCs/>
                <w:szCs w:val="21"/>
              </w:rPr>
            </w:pPr>
            <w:r>
              <w:rPr>
                <w:rFonts w:hint="eastAsia" w:ascii="宋体" w:hAnsi="宋体" w:cs="宋体"/>
                <w:bCs/>
                <w:szCs w:val="21"/>
              </w:rPr>
              <w:t>1</w:t>
            </w:r>
          </w:p>
        </w:tc>
        <w:tc>
          <w:tcPr>
            <w:tcW w:w="1652" w:type="dxa"/>
            <w:vAlign w:val="center"/>
          </w:tcPr>
          <w:p w14:paraId="17078776">
            <w:pPr>
              <w:jc w:val="center"/>
              <w:rPr>
                <w:rFonts w:ascii="宋体" w:hAnsi="宋体" w:cs="宋体"/>
                <w:bCs/>
                <w:szCs w:val="21"/>
              </w:rPr>
            </w:pPr>
          </w:p>
        </w:tc>
        <w:tc>
          <w:tcPr>
            <w:tcW w:w="856" w:type="dxa"/>
            <w:vAlign w:val="center"/>
          </w:tcPr>
          <w:p w14:paraId="5585A669">
            <w:pPr>
              <w:jc w:val="center"/>
              <w:rPr>
                <w:rFonts w:ascii="宋体" w:hAnsi="宋体" w:cs="宋体"/>
                <w:bCs/>
                <w:szCs w:val="21"/>
              </w:rPr>
            </w:pPr>
          </w:p>
        </w:tc>
        <w:tc>
          <w:tcPr>
            <w:tcW w:w="1369" w:type="dxa"/>
            <w:vAlign w:val="center"/>
          </w:tcPr>
          <w:p w14:paraId="36EF092A">
            <w:pPr>
              <w:jc w:val="center"/>
              <w:rPr>
                <w:rFonts w:ascii="宋体" w:hAnsi="宋体" w:cs="宋体"/>
                <w:bCs/>
                <w:szCs w:val="21"/>
              </w:rPr>
            </w:pPr>
          </w:p>
        </w:tc>
        <w:tc>
          <w:tcPr>
            <w:tcW w:w="695" w:type="dxa"/>
            <w:vAlign w:val="center"/>
          </w:tcPr>
          <w:p w14:paraId="5C18C465">
            <w:pPr>
              <w:jc w:val="center"/>
              <w:rPr>
                <w:rFonts w:ascii="宋体" w:hAnsi="宋体" w:cs="宋体"/>
                <w:bCs/>
                <w:szCs w:val="21"/>
              </w:rPr>
            </w:pPr>
          </w:p>
        </w:tc>
        <w:tc>
          <w:tcPr>
            <w:tcW w:w="1260" w:type="dxa"/>
            <w:vAlign w:val="center"/>
          </w:tcPr>
          <w:p w14:paraId="5F110651">
            <w:pPr>
              <w:jc w:val="center"/>
              <w:rPr>
                <w:rFonts w:ascii="宋体" w:hAnsi="宋体" w:cs="宋体"/>
                <w:bCs/>
                <w:szCs w:val="21"/>
              </w:rPr>
            </w:pPr>
          </w:p>
        </w:tc>
        <w:tc>
          <w:tcPr>
            <w:tcW w:w="804" w:type="dxa"/>
            <w:vAlign w:val="center"/>
          </w:tcPr>
          <w:p w14:paraId="39E219E6">
            <w:pPr>
              <w:jc w:val="center"/>
              <w:rPr>
                <w:rFonts w:ascii="宋体" w:hAnsi="宋体" w:cs="宋体"/>
                <w:bCs/>
                <w:szCs w:val="21"/>
              </w:rPr>
            </w:pPr>
          </w:p>
        </w:tc>
        <w:tc>
          <w:tcPr>
            <w:tcW w:w="1032" w:type="dxa"/>
            <w:vAlign w:val="center"/>
          </w:tcPr>
          <w:p w14:paraId="057B8A35">
            <w:pPr>
              <w:jc w:val="center"/>
              <w:rPr>
                <w:rFonts w:ascii="宋体" w:hAnsi="宋体" w:cs="宋体"/>
                <w:bCs/>
                <w:szCs w:val="21"/>
              </w:rPr>
            </w:pPr>
          </w:p>
        </w:tc>
        <w:tc>
          <w:tcPr>
            <w:tcW w:w="1210" w:type="dxa"/>
            <w:vAlign w:val="center"/>
          </w:tcPr>
          <w:p w14:paraId="415C87F6">
            <w:pPr>
              <w:jc w:val="center"/>
              <w:rPr>
                <w:rFonts w:ascii="宋体" w:hAnsi="宋体" w:cs="宋体"/>
                <w:bCs/>
                <w:szCs w:val="21"/>
              </w:rPr>
            </w:pPr>
          </w:p>
        </w:tc>
      </w:tr>
      <w:tr w14:paraId="676E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2073B027">
            <w:pPr>
              <w:jc w:val="center"/>
              <w:rPr>
                <w:rFonts w:ascii="宋体" w:hAnsi="宋体" w:cs="宋体"/>
                <w:bCs/>
                <w:szCs w:val="21"/>
              </w:rPr>
            </w:pPr>
            <w:r>
              <w:rPr>
                <w:rFonts w:hint="eastAsia" w:ascii="宋体" w:hAnsi="宋体" w:cs="宋体"/>
                <w:bCs/>
                <w:szCs w:val="21"/>
              </w:rPr>
              <w:t>2</w:t>
            </w:r>
          </w:p>
        </w:tc>
        <w:tc>
          <w:tcPr>
            <w:tcW w:w="1652" w:type="dxa"/>
            <w:vAlign w:val="center"/>
          </w:tcPr>
          <w:p w14:paraId="30975E80">
            <w:pPr>
              <w:jc w:val="center"/>
              <w:rPr>
                <w:rFonts w:ascii="宋体" w:hAnsi="宋体" w:cs="宋体"/>
                <w:bCs/>
                <w:szCs w:val="21"/>
              </w:rPr>
            </w:pPr>
          </w:p>
        </w:tc>
        <w:tc>
          <w:tcPr>
            <w:tcW w:w="856" w:type="dxa"/>
            <w:vAlign w:val="center"/>
          </w:tcPr>
          <w:p w14:paraId="12A9259F">
            <w:pPr>
              <w:jc w:val="center"/>
              <w:rPr>
                <w:rFonts w:ascii="宋体" w:hAnsi="宋体" w:cs="宋体"/>
                <w:bCs/>
                <w:szCs w:val="21"/>
              </w:rPr>
            </w:pPr>
          </w:p>
        </w:tc>
        <w:tc>
          <w:tcPr>
            <w:tcW w:w="1369" w:type="dxa"/>
            <w:vAlign w:val="center"/>
          </w:tcPr>
          <w:p w14:paraId="58CC8ACC">
            <w:pPr>
              <w:jc w:val="center"/>
              <w:rPr>
                <w:rFonts w:ascii="宋体" w:hAnsi="宋体" w:cs="宋体"/>
                <w:bCs/>
                <w:szCs w:val="21"/>
              </w:rPr>
            </w:pPr>
          </w:p>
        </w:tc>
        <w:tc>
          <w:tcPr>
            <w:tcW w:w="695" w:type="dxa"/>
            <w:vAlign w:val="center"/>
          </w:tcPr>
          <w:p w14:paraId="7BE306CA">
            <w:pPr>
              <w:jc w:val="center"/>
              <w:rPr>
                <w:rFonts w:ascii="宋体" w:hAnsi="宋体" w:cs="宋体"/>
                <w:bCs/>
                <w:szCs w:val="21"/>
              </w:rPr>
            </w:pPr>
          </w:p>
        </w:tc>
        <w:tc>
          <w:tcPr>
            <w:tcW w:w="1260" w:type="dxa"/>
            <w:vAlign w:val="center"/>
          </w:tcPr>
          <w:p w14:paraId="69F6D554">
            <w:pPr>
              <w:jc w:val="center"/>
              <w:rPr>
                <w:rFonts w:ascii="宋体" w:hAnsi="宋体" w:cs="宋体"/>
                <w:bCs/>
                <w:szCs w:val="21"/>
              </w:rPr>
            </w:pPr>
          </w:p>
        </w:tc>
        <w:tc>
          <w:tcPr>
            <w:tcW w:w="804" w:type="dxa"/>
            <w:vAlign w:val="center"/>
          </w:tcPr>
          <w:p w14:paraId="18A4B6BA">
            <w:pPr>
              <w:jc w:val="center"/>
              <w:rPr>
                <w:rFonts w:ascii="宋体" w:hAnsi="宋体" w:cs="宋体"/>
                <w:bCs/>
                <w:szCs w:val="21"/>
              </w:rPr>
            </w:pPr>
          </w:p>
        </w:tc>
        <w:tc>
          <w:tcPr>
            <w:tcW w:w="1032" w:type="dxa"/>
            <w:vAlign w:val="center"/>
          </w:tcPr>
          <w:p w14:paraId="43AB1050">
            <w:pPr>
              <w:jc w:val="center"/>
              <w:rPr>
                <w:rFonts w:ascii="宋体" w:hAnsi="宋体" w:cs="宋体"/>
                <w:bCs/>
                <w:szCs w:val="21"/>
              </w:rPr>
            </w:pPr>
          </w:p>
        </w:tc>
        <w:tc>
          <w:tcPr>
            <w:tcW w:w="1210" w:type="dxa"/>
            <w:vAlign w:val="center"/>
          </w:tcPr>
          <w:p w14:paraId="6DFDE1A9">
            <w:pPr>
              <w:jc w:val="center"/>
              <w:rPr>
                <w:rFonts w:ascii="宋体" w:hAnsi="宋体" w:cs="宋体"/>
                <w:bCs/>
                <w:szCs w:val="21"/>
              </w:rPr>
            </w:pPr>
          </w:p>
        </w:tc>
      </w:tr>
      <w:tr w14:paraId="11C3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3CA7565D">
            <w:pPr>
              <w:jc w:val="center"/>
              <w:rPr>
                <w:rFonts w:ascii="宋体" w:hAnsi="宋体" w:cs="宋体"/>
                <w:bCs/>
                <w:szCs w:val="21"/>
              </w:rPr>
            </w:pPr>
            <w:r>
              <w:rPr>
                <w:rFonts w:hint="eastAsia" w:ascii="宋体" w:hAnsi="宋体" w:cs="宋体"/>
                <w:bCs/>
                <w:szCs w:val="21"/>
              </w:rPr>
              <w:t>3</w:t>
            </w:r>
          </w:p>
        </w:tc>
        <w:tc>
          <w:tcPr>
            <w:tcW w:w="1652" w:type="dxa"/>
            <w:vAlign w:val="center"/>
          </w:tcPr>
          <w:p w14:paraId="7352B46A">
            <w:pPr>
              <w:jc w:val="center"/>
              <w:rPr>
                <w:rFonts w:ascii="宋体" w:hAnsi="宋体" w:cs="宋体"/>
                <w:bCs/>
                <w:szCs w:val="21"/>
              </w:rPr>
            </w:pPr>
          </w:p>
        </w:tc>
        <w:tc>
          <w:tcPr>
            <w:tcW w:w="856" w:type="dxa"/>
            <w:vAlign w:val="center"/>
          </w:tcPr>
          <w:p w14:paraId="7FB9BBD7">
            <w:pPr>
              <w:jc w:val="center"/>
              <w:rPr>
                <w:rFonts w:ascii="宋体" w:hAnsi="宋体" w:cs="宋体"/>
                <w:bCs/>
                <w:szCs w:val="21"/>
              </w:rPr>
            </w:pPr>
          </w:p>
        </w:tc>
        <w:tc>
          <w:tcPr>
            <w:tcW w:w="1369" w:type="dxa"/>
            <w:vAlign w:val="center"/>
          </w:tcPr>
          <w:p w14:paraId="0695D2B9">
            <w:pPr>
              <w:jc w:val="center"/>
              <w:rPr>
                <w:rFonts w:ascii="宋体" w:hAnsi="宋体" w:cs="宋体"/>
                <w:bCs/>
                <w:szCs w:val="21"/>
              </w:rPr>
            </w:pPr>
          </w:p>
        </w:tc>
        <w:tc>
          <w:tcPr>
            <w:tcW w:w="695" w:type="dxa"/>
            <w:vAlign w:val="center"/>
          </w:tcPr>
          <w:p w14:paraId="1179BABC">
            <w:pPr>
              <w:jc w:val="center"/>
              <w:rPr>
                <w:rFonts w:ascii="宋体" w:hAnsi="宋体" w:cs="宋体"/>
                <w:bCs/>
                <w:szCs w:val="21"/>
              </w:rPr>
            </w:pPr>
          </w:p>
        </w:tc>
        <w:tc>
          <w:tcPr>
            <w:tcW w:w="1260" w:type="dxa"/>
            <w:vAlign w:val="center"/>
          </w:tcPr>
          <w:p w14:paraId="56E0E29B">
            <w:pPr>
              <w:jc w:val="center"/>
              <w:rPr>
                <w:rFonts w:ascii="宋体" w:hAnsi="宋体" w:cs="宋体"/>
                <w:bCs/>
                <w:szCs w:val="21"/>
              </w:rPr>
            </w:pPr>
          </w:p>
        </w:tc>
        <w:tc>
          <w:tcPr>
            <w:tcW w:w="804" w:type="dxa"/>
            <w:vAlign w:val="center"/>
          </w:tcPr>
          <w:p w14:paraId="2A427889">
            <w:pPr>
              <w:jc w:val="center"/>
              <w:rPr>
                <w:rFonts w:ascii="宋体" w:hAnsi="宋体" w:cs="宋体"/>
                <w:bCs/>
                <w:szCs w:val="21"/>
              </w:rPr>
            </w:pPr>
          </w:p>
        </w:tc>
        <w:tc>
          <w:tcPr>
            <w:tcW w:w="1032" w:type="dxa"/>
            <w:vAlign w:val="center"/>
          </w:tcPr>
          <w:p w14:paraId="3698ED97">
            <w:pPr>
              <w:jc w:val="center"/>
              <w:rPr>
                <w:rFonts w:ascii="宋体" w:hAnsi="宋体" w:cs="宋体"/>
                <w:bCs/>
                <w:szCs w:val="21"/>
              </w:rPr>
            </w:pPr>
          </w:p>
        </w:tc>
        <w:tc>
          <w:tcPr>
            <w:tcW w:w="1210" w:type="dxa"/>
            <w:vAlign w:val="center"/>
          </w:tcPr>
          <w:p w14:paraId="2307FE8D">
            <w:pPr>
              <w:jc w:val="center"/>
              <w:rPr>
                <w:rFonts w:ascii="宋体" w:hAnsi="宋体" w:cs="宋体"/>
                <w:bCs/>
                <w:szCs w:val="21"/>
              </w:rPr>
            </w:pPr>
          </w:p>
        </w:tc>
      </w:tr>
      <w:tr w14:paraId="1A62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4C364573">
            <w:pPr>
              <w:rPr>
                <w:rFonts w:ascii="宋体" w:hAnsi="宋体" w:cs="宋体"/>
                <w:bCs/>
                <w:szCs w:val="21"/>
              </w:rPr>
            </w:pPr>
            <w:r>
              <w:rPr>
                <w:rFonts w:hint="eastAsia" w:ascii="宋体" w:hAnsi="宋体" w:cs="宋体"/>
                <w:bCs/>
                <w:szCs w:val="21"/>
              </w:rPr>
              <w:t>...</w:t>
            </w:r>
          </w:p>
        </w:tc>
        <w:tc>
          <w:tcPr>
            <w:tcW w:w="1652" w:type="dxa"/>
            <w:vAlign w:val="center"/>
          </w:tcPr>
          <w:p w14:paraId="4AB57623">
            <w:pPr>
              <w:jc w:val="center"/>
              <w:rPr>
                <w:rFonts w:ascii="宋体" w:hAnsi="宋体" w:cs="宋体"/>
                <w:bCs/>
                <w:szCs w:val="21"/>
              </w:rPr>
            </w:pPr>
          </w:p>
        </w:tc>
        <w:tc>
          <w:tcPr>
            <w:tcW w:w="856" w:type="dxa"/>
            <w:vAlign w:val="center"/>
          </w:tcPr>
          <w:p w14:paraId="1FC19863">
            <w:pPr>
              <w:jc w:val="center"/>
              <w:rPr>
                <w:rFonts w:ascii="宋体" w:hAnsi="宋体" w:cs="宋体"/>
                <w:bCs/>
                <w:szCs w:val="21"/>
              </w:rPr>
            </w:pPr>
          </w:p>
        </w:tc>
        <w:tc>
          <w:tcPr>
            <w:tcW w:w="1369" w:type="dxa"/>
            <w:vAlign w:val="center"/>
          </w:tcPr>
          <w:p w14:paraId="3E1C1D83">
            <w:pPr>
              <w:jc w:val="center"/>
              <w:rPr>
                <w:rFonts w:ascii="宋体" w:hAnsi="宋体" w:cs="宋体"/>
                <w:bCs/>
                <w:szCs w:val="21"/>
              </w:rPr>
            </w:pPr>
          </w:p>
        </w:tc>
        <w:tc>
          <w:tcPr>
            <w:tcW w:w="695" w:type="dxa"/>
            <w:vAlign w:val="center"/>
          </w:tcPr>
          <w:p w14:paraId="3459D103">
            <w:pPr>
              <w:jc w:val="center"/>
              <w:rPr>
                <w:rFonts w:ascii="宋体" w:hAnsi="宋体" w:cs="宋体"/>
                <w:bCs/>
                <w:szCs w:val="21"/>
              </w:rPr>
            </w:pPr>
          </w:p>
        </w:tc>
        <w:tc>
          <w:tcPr>
            <w:tcW w:w="1260" w:type="dxa"/>
            <w:vAlign w:val="center"/>
          </w:tcPr>
          <w:p w14:paraId="689E0669">
            <w:pPr>
              <w:jc w:val="center"/>
              <w:rPr>
                <w:rFonts w:ascii="宋体" w:hAnsi="宋体" w:cs="宋体"/>
                <w:bCs/>
                <w:szCs w:val="21"/>
              </w:rPr>
            </w:pPr>
          </w:p>
        </w:tc>
        <w:tc>
          <w:tcPr>
            <w:tcW w:w="804" w:type="dxa"/>
            <w:vAlign w:val="center"/>
          </w:tcPr>
          <w:p w14:paraId="693794B9">
            <w:pPr>
              <w:jc w:val="center"/>
              <w:rPr>
                <w:rFonts w:ascii="宋体" w:hAnsi="宋体" w:cs="宋体"/>
                <w:bCs/>
                <w:szCs w:val="21"/>
              </w:rPr>
            </w:pPr>
          </w:p>
        </w:tc>
        <w:tc>
          <w:tcPr>
            <w:tcW w:w="1032" w:type="dxa"/>
            <w:vAlign w:val="center"/>
          </w:tcPr>
          <w:p w14:paraId="581BE3B4">
            <w:pPr>
              <w:jc w:val="center"/>
              <w:rPr>
                <w:rFonts w:ascii="宋体" w:hAnsi="宋体" w:cs="宋体"/>
                <w:bCs/>
                <w:szCs w:val="21"/>
              </w:rPr>
            </w:pPr>
          </w:p>
        </w:tc>
        <w:tc>
          <w:tcPr>
            <w:tcW w:w="1210" w:type="dxa"/>
            <w:vAlign w:val="center"/>
          </w:tcPr>
          <w:p w14:paraId="06F32D0B">
            <w:pPr>
              <w:jc w:val="center"/>
              <w:rPr>
                <w:rFonts w:ascii="宋体" w:hAnsi="宋体" w:cs="宋体"/>
                <w:bCs/>
                <w:szCs w:val="21"/>
              </w:rPr>
            </w:pPr>
          </w:p>
        </w:tc>
      </w:tr>
    </w:tbl>
    <w:p w14:paraId="1DF3C849">
      <w:pPr>
        <w:jc w:val="left"/>
        <w:rPr>
          <w:rFonts w:ascii="宋体" w:hAnsi="宋体" w:cs="宋体"/>
          <w:b/>
          <w:szCs w:val="21"/>
        </w:rPr>
      </w:pPr>
    </w:p>
    <w:p w14:paraId="5D37F882">
      <w:pPr>
        <w:jc w:val="left"/>
        <w:rPr>
          <w:rFonts w:ascii="宋体" w:hAnsi="宋体" w:cs="宋体"/>
          <w:b/>
          <w:szCs w:val="21"/>
        </w:rPr>
      </w:pPr>
      <w:r>
        <w:rPr>
          <w:rFonts w:hint="eastAsia" w:ascii="宋体" w:hAnsi="宋体" w:cs="宋体"/>
          <w:b/>
          <w:szCs w:val="21"/>
        </w:rPr>
        <w:t>注：</w:t>
      </w:r>
    </w:p>
    <w:p w14:paraId="3A521A5E">
      <w:pPr>
        <w:ind w:firstLine="422" w:firstLineChars="200"/>
        <w:jc w:val="left"/>
        <w:rPr>
          <w:rFonts w:ascii="宋体" w:hAnsi="宋体" w:cs="宋体"/>
          <w:b/>
          <w:szCs w:val="21"/>
        </w:rPr>
      </w:pPr>
      <w:r>
        <w:rPr>
          <w:rFonts w:hint="eastAsia" w:ascii="宋体" w:hAnsi="宋体" w:cs="宋体"/>
          <w:b/>
          <w:szCs w:val="21"/>
        </w:rPr>
        <w:t>1、请在本表后提供对应的认证证书扫描件，本表信息与认证证书信息不一致的，以认证证书载明信息为准。</w:t>
      </w:r>
    </w:p>
    <w:p w14:paraId="6A240171">
      <w:pPr>
        <w:rPr>
          <w:rFonts w:ascii="宋体" w:cs="宋体"/>
          <w:b/>
          <w:bCs/>
          <w:szCs w:val="21"/>
        </w:rPr>
      </w:pPr>
      <w:r>
        <w:rPr>
          <w:rFonts w:hint="eastAsia" w:ascii="宋体" w:hAnsi="宋体" w:cs="宋体"/>
          <w:b/>
          <w:szCs w:val="21"/>
        </w:rPr>
        <w:t>2、本表填列要求详见本磋商文件政策采购内容。</w:t>
      </w:r>
      <w:r>
        <w:rPr>
          <w:rFonts w:hint="eastAsia" w:ascii="宋体" w:hAnsi="宋体" w:cs="宋体"/>
          <w:b/>
          <w:szCs w:val="21"/>
        </w:rPr>
        <w:br w:type="page"/>
      </w:r>
    </w:p>
    <w:p w14:paraId="7313376C">
      <w:pPr>
        <w:keepNext/>
        <w:keepLines/>
        <w:autoSpaceDE w:val="0"/>
        <w:autoSpaceDN w:val="0"/>
        <w:spacing w:before="120" w:after="120" w:line="360" w:lineRule="auto"/>
        <w:jc w:val="left"/>
        <w:rPr>
          <w:rFonts w:ascii="宋体" w:cs="宋体"/>
          <w:b/>
          <w:bCs/>
          <w:sz w:val="24"/>
        </w:rPr>
      </w:pPr>
      <w:r>
        <w:rPr>
          <w:rFonts w:hint="eastAsia" w:ascii="宋体" w:cs="宋体"/>
          <w:b/>
          <w:bCs/>
          <w:sz w:val="24"/>
          <w:lang w:val="zh-CN"/>
        </w:rPr>
        <w:t>附件四：</w:t>
      </w:r>
    </w:p>
    <w:p w14:paraId="4C73B279">
      <w:pPr>
        <w:spacing w:line="312" w:lineRule="auto"/>
        <w:jc w:val="center"/>
        <w:rPr>
          <w:rFonts w:ascii="宋体" w:cs="宋体"/>
          <w:sz w:val="24"/>
        </w:rPr>
      </w:pPr>
      <w:r>
        <w:rPr>
          <w:rFonts w:hint="eastAsia" w:ascii="宋体" w:cs="宋体"/>
          <w:sz w:val="24"/>
        </w:rPr>
        <w:t>政府采购促进中小企业发展管理办法</w:t>
      </w:r>
    </w:p>
    <w:p w14:paraId="61BC3FEE">
      <w:pPr>
        <w:spacing w:line="312" w:lineRule="auto"/>
        <w:rPr>
          <w:rFonts w:ascii="宋体" w:cs="宋体"/>
          <w:sz w:val="24"/>
        </w:rPr>
      </w:pPr>
    </w:p>
    <w:p w14:paraId="5A5760DA">
      <w:pPr>
        <w:spacing w:line="360" w:lineRule="auto"/>
        <w:ind w:firstLine="480" w:firstLineChars="200"/>
        <w:rPr>
          <w:rFonts w:ascii="宋体" w:cs="宋体"/>
          <w:sz w:val="24"/>
        </w:rPr>
      </w:pPr>
      <w:r>
        <w:rPr>
          <w:rFonts w:hint="eastAsia" w:ascii="宋体" w:cs="宋体"/>
          <w:sz w:val="24"/>
        </w:rPr>
        <w:t>第一条　为了发挥政府采购的政策功能，促进中小企业健康发展，根据《中华人民共和国政府采购法》、《中华人民共和国中小企业促进法》等有关法律法规，制定本办法。</w:t>
      </w:r>
    </w:p>
    <w:p w14:paraId="1E7BAECE">
      <w:pPr>
        <w:spacing w:line="360" w:lineRule="auto"/>
        <w:ind w:firstLine="480" w:firstLineChars="200"/>
        <w:rPr>
          <w:rFonts w:ascii="宋体" w:cs="宋体"/>
          <w:sz w:val="24"/>
        </w:rPr>
      </w:pPr>
      <w:r>
        <w:rPr>
          <w:rFonts w:hint="eastAsia" w:ascii="宋体" w:cs="宋体"/>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711CC1D">
      <w:pPr>
        <w:spacing w:line="360" w:lineRule="auto"/>
        <w:ind w:firstLine="480" w:firstLineChars="200"/>
        <w:rPr>
          <w:rFonts w:ascii="宋体" w:cs="宋体"/>
          <w:sz w:val="24"/>
        </w:rPr>
      </w:pPr>
      <w:r>
        <w:rPr>
          <w:rFonts w:hint="eastAsia" w:ascii="宋体" w:cs="宋体"/>
          <w:sz w:val="24"/>
        </w:rPr>
        <w:t>符合中小企业划分标准的个体工商户，在政府采购活动中视同中小企业。</w:t>
      </w:r>
    </w:p>
    <w:p w14:paraId="493379E7">
      <w:pPr>
        <w:spacing w:line="360" w:lineRule="auto"/>
        <w:ind w:firstLine="480" w:firstLineChars="200"/>
        <w:rPr>
          <w:rFonts w:ascii="宋体" w:cs="宋体"/>
          <w:sz w:val="24"/>
        </w:rPr>
      </w:pPr>
      <w:r>
        <w:rPr>
          <w:rFonts w:hint="eastAsia" w:ascii="宋体" w:cs="宋体"/>
          <w:sz w:val="24"/>
        </w:rPr>
        <w:t>第三条　采购人在政府采购活动中应当通过加强采购需求管理，落实预留采购份额、价格评审优惠、优先采购等措施，提高中小企业在政府采购中的份额，支持中小企业发展。</w:t>
      </w:r>
    </w:p>
    <w:p w14:paraId="66D3B12C">
      <w:pPr>
        <w:spacing w:line="360" w:lineRule="auto"/>
        <w:ind w:firstLine="480" w:firstLineChars="200"/>
        <w:rPr>
          <w:rFonts w:ascii="宋体" w:cs="宋体"/>
          <w:sz w:val="24"/>
        </w:rPr>
      </w:pPr>
      <w:r>
        <w:rPr>
          <w:rFonts w:hint="eastAsia" w:ascii="宋体" w:cs="宋体"/>
          <w:sz w:val="24"/>
        </w:rPr>
        <w:t>第四条　在政府采购活动中，供应商提供的货物、工程或者服务符合下列情形的，享受本办法规定的中小企业扶持政策：</w:t>
      </w:r>
    </w:p>
    <w:p w14:paraId="448D0956">
      <w:pPr>
        <w:spacing w:line="360" w:lineRule="auto"/>
        <w:ind w:firstLine="480" w:firstLineChars="200"/>
        <w:rPr>
          <w:rFonts w:ascii="宋体" w:cs="宋体"/>
          <w:sz w:val="24"/>
        </w:rPr>
      </w:pPr>
      <w:r>
        <w:rPr>
          <w:rFonts w:hint="eastAsia" w:ascii="宋体" w:cs="宋体"/>
          <w:sz w:val="24"/>
        </w:rPr>
        <w:t>（一）在货物采购项目中，货物由中小企业制造，即货物由中小企业生产且使用该中小企业商号或者注册商标；</w:t>
      </w:r>
    </w:p>
    <w:p w14:paraId="1B091B9C">
      <w:pPr>
        <w:spacing w:line="360" w:lineRule="auto"/>
        <w:ind w:firstLine="480" w:firstLineChars="200"/>
        <w:rPr>
          <w:rFonts w:ascii="宋体" w:cs="宋体"/>
          <w:sz w:val="24"/>
        </w:rPr>
      </w:pPr>
      <w:r>
        <w:rPr>
          <w:rFonts w:hint="eastAsia" w:ascii="宋体" w:cs="宋体"/>
          <w:sz w:val="24"/>
        </w:rPr>
        <w:t>（二）在工程采购项目中，工程由中小企业承建，即工程施工单位为中小企业；</w:t>
      </w:r>
    </w:p>
    <w:p w14:paraId="1E55161A">
      <w:pPr>
        <w:spacing w:line="360" w:lineRule="auto"/>
        <w:ind w:firstLine="480" w:firstLineChars="200"/>
        <w:rPr>
          <w:rFonts w:ascii="宋体" w:cs="宋体"/>
          <w:sz w:val="24"/>
        </w:rPr>
      </w:pPr>
      <w:r>
        <w:rPr>
          <w:rFonts w:hint="eastAsia" w:ascii="宋体" w:cs="宋体"/>
          <w:sz w:val="24"/>
        </w:rPr>
        <w:t>（三）在服务采购项目中，服务由中小企业承接，即提供服务的人员为中小企业依照《中华人民共和国劳动合同法》订立劳动合同的从业人员。</w:t>
      </w:r>
    </w:p>
    <w:p w14:paraId="7A482B20">
      <w:pPr>
        <w:spacing w:line="360" w:lineRule="auto"/>
        <w:ind w:firstLine="480" w:firstLineChars="200"/>
        <w:rPr>
          <w:rFonts w:ascii="宋体" w:cs="宋体"/>
          <w:sz w:val="24"/>
        </w:rPr>
      </w:pPr>
      <w:r>
        <w:rPr>
          <w:rFonts w:hint="eastAsia" w:ascii="宋体" w:cs="宋体"/>
          <w:sz w:val="24"/>
        </w:rPr>
        <w:t>在货物采购项目中，供应商提供的货物既有中小企业制造货物，也有大型企业制造货物的，不享受本办法规定的中小企业扶持政策。</w:t>
      </w:r>
    </w:p>
    <w:p w14:paraId="76328F1F">
      <w:pPr>
        <w:spacing w:line="360" w:lineRule="auto"/>
        <w:ind w:firstLine="480" w:firstLineChars="200"/>
        <w:rPr>
          <w:rFonts w:ascii="宋体" w:cs="宋体"/>
          <w:sz w:val="24"/>
        </w:rPr>
      </w:pPr>
      <w:r>
        <w:rPr>
          <w:rFonts w:hint="eastAsia" w:ascii="宋体" w:cs="宋体"/>
          <w:sz w:val="24"/>
        </w:rPr>
        <w:t>以联合体形式参加政府采购活动，联合体各方均为中小企业的，联合体视同中小企业。其中，联合体各方均为小微企业的，联合体视同小微企业。</w:t>
      </w:r>
    </w:p>
    <w:p w14:paraId="12690BC2">
      <w:pPr>
        <w:spacing w:line="360" w:lineRule="auto"/>
        <w:ind w:firstLine="480" w:firstLineChars="200"/>
        <w:rPr>
          <w:rFonts w:ascii="宋体" w:cs="宋体"/>
          <w:sz w:val="24"/>
        </w:rPr>
      </w:pPr>
      <w:r>
        <w:rPr>
          <w:rFonts w:hint="eastAsia" w:ascii="宋体" w:cs="宋体"/>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6415E94">
      <w:pPr>
        <w:spacing w:line="360" w:lineRule="auto"/>
        <w:ind w:firstLine="480" w:firstLineChars="200"/>
        <w:rPr>
          <w:rFonts w:ascii="宋体" w:cs="宋体"/>
          <w:sz w:val="24"/>
        </w:rPr>
      </w:pPr>
      <w:r>
        <w:rPr>
          <w:rFonts w:hint="eastAsia" w:ascii="宋体" w:cs="宋体"/>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D4374D0">
      <w:pPr>
        <w:spacing w:line="360" w:lineRule="auto"/>
        <w:ind w:firstLine="480" w:firstLineChars="200"/>
        <w:rPr>
          <w:rFonts w:ascii="宋体" w:cs="宋体"/>
          <w:sz w:val="24"/>
        </w:rPr>
      </w:pPr>
      <w:r>
        <w:rPr>
          <w:rFonts w:hint="eastAsia" w:ascii="宋体" w:cs="宋体"/>
          <w:sz w:val="24"/>
        </w:rPr>
        <w:t>符合下列情形之一的，可不专门面向中小企业预留采购份额：</w:t>
      </w:r>
    </w:p>
    <w:p w14:paraId="0BBC5DBE">
      <w:pPr>
        <w:spacing w:line="360" w:lineRule="auto"/>
        <w:ind w:firstLine="480" w:firstLineChars="200"/>
        <w:rPr>
          <w:rFonts w:ascii="宋体" w:cs="宋体"/>
          <w:sz w:val="24"/>
        </w:rPr>
      </w:pPr>
      <w:r>
        <w:rPr>
          <w:rFonts w:hint="eastAsia" w:ascii="宋体" w:cs="宋体"/>
          <w:sz w:val="24"/>
        </w:rPr>
        <w:t>（一）法律法规和国家有关政策明确规定优先或者应当面向事业单位、社会组织等非企业主体采购的；</w:t>
      </w:r>
    </w:p>
    <w:p w14:paraId="377667C6">
      <w:pPr>
        <w:spacing w:line="360" w:lineRule="auto"/>
        <w:ind w:firstLine="480" w:firstLineChars="200"/>
        <w:rPr>
          <w:rFonts w:ascii="宋体" w:cs="宋体"/>
          <w:sz w:val="24"/>
        </w:rPr>
      </w:pPr>
      <w:r>
        <w:rPr>
          <w:rFonts w:hint="eastAsia" w:ascii="宋体" w:cs="宋体"/>
          <w:sz w:val="24"/>
        </w:rPr>
        <w:t>（二）因确需使用不可替代的专利、专有技术，基础设施限制，或者提供特定公共服务等原因，只能从中小企业之外的供应商处采购的；</w:t>
      </w:r>
    </w:p>
    <w:p w14:paraId="6393FFC2">
      <w:pPr>
        <w:spacing w:line="360" w:lineRule="auto"/>
        <w:ind w:firstLine="480" w:firstLineChars="200"/>
        <w:rPr>
          <w:rFonts w:ascii="宋体" w:cs="宋体"/>
          <w:sz w:val="24"/>
        </w:rPr>
      </w:pPr>
      <w:r>
        <w:rPr>
          <w:rFonts w:hint="eastAsia" w:ascii="宋体" w:cs="宋体"/>
          <w:sz w:val="24"/>
        </w:rPr>
        <w:t>（三）按照本办法规定预留采购份额无法确保充分供应、充分竞争，或者存在可能影响政府采购目标实现的情形；</w:t>
      </w:r>
    </w:p>
    <w:p w14:paraId="032BE06F">
      <w:pPr>
        <w:spacing w:line="360" w:lineRule="auto"/>
        <w:ind w:firstLine="480" w:firstLineChars="200"/>
        <w:rPr>
          <w:rFonts w:ascii="宋体" w:cs="宋体"/>
          <w:sz w:val="24"/>
        </w:rPr>
      </w:pPr>
      <w:r>
        <w:rPr>
          <w:rFonts w:hint="eastAsia" w:ascii="宋体" w:cs="宋体"/>
          <w:sz w:val="24"/>
        </w:rPr>
        <w:t>（四）框架协议采购项目；</w:t>
      </w:r>
    </w:p>
    <w:p w14:paraId="524E9E3E">
      <w:pPr>
        <w:spacing w:line="360" w:lineRule="auto"/>
        <w:ind w:firstLine="480" w:firstLineChars="200"/>
        <w:rPr>
          <w:rFonts w:ascii="宋体" w:cs="宋体"/>
          <w:sz w:val="24"/>
        </w:rPr>
      </w:pPr>
      <w:r>
        <w:rPr>
          <w:rFonts w:hint="eastAsia" w:ascii="宋体" w:cs="宋体"/>
          <w:sz w:val="24"/>
        </w:rPr>
        <w:t>（五）省级以上人民政府财政部门规定的其他情形。</w:t>
      </w:r>
    </w:p>
    <w:p w14:paraId="597420EC">
      <w:pPr>
        <w:spacing w:line="360" w:lineRule="auto"/>
        <w:ind w:firstLine="480" w:firstLineChars="200"/>
        <w:rPr>
          <w:rFonts w:ascii="宋体" w:cs="宋体"/>
          <w:sz w:val="24"/>
        </w:rPr>
      </w:pPr>
      <w:r>
        <w:rPr>
          <w:rFonts w:hint="eastAsia" w:ascii="宋体" w:cs="宋体"/>
          <w:sz w:val="24"/>
        </w:rPr>
        <w:t>除上述情形外，其他均为适宜由中小企业提供的情形。</w:t>
      </w:r>
    </w:p>
    <w:p w14:paraId="35B2B61F">
      <w:pPr>
        <w:spacing w:line="360" w:lineRule="auto"/>
        <w:ind w:firstLine="480" w:firstLineChars="200"/>
        <w:rPr>
          <w:rFonts w:ascii="宋体" w:cs="宋体"/>
          <w:sz w:val="24"/>
        </w:rPr>
      </w:pPr>
      <w:r>
        <w:rPr>
          <w:rFonts w:hint="eastAsia" w:ascii="宋体" w:cs="宋体"/>
          <w:sz w:val="24"/>
        </w:rPr>
        <w:t>第七条　采购限额标准以上，200万元以下的货物和服务采购项目、400万元以下的工程采购项目，适宜由中小企业提供的，采购人应当专门面向中小企业采购。</w:t>
      </w:r>
    </w:p>
    <w:p w14:paraId="7060B05B">
      <w:pPr>
        <w:spacing w:line="360" w:lineRule="auto"/>
        <w:ind w:firstLine="480" w:firstLineChars="200"/>
        <w:rPr>
          <w:rFonts w:ascii="宋体" w:cs="宋体"/>
          <w:sz w:val="24"/>
        </w:rPr>
      </w:pPr>
      <w:r>
        <w:rPr>
          <w:rFonts w:hint="eastAsia" w:ascii="宋体" w:cs="宋体"/>
          <w:sz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2ECE510">
      <w:pPr>
        <w:spacing w:line="360" w:lineRule="auto"/>
        <w:ind w:firstLine="480" w:firstLineChars="200"/>
        <w:rPr>
          <w:rFonts w:ascii="宋体" w:cs="宋体"/>
          <w:sz w:val="24"/>
        </w:rPr>
      </w:pPr>
      <w:r>
        <w:rPr>
          <w:rFonts w:hint="eastAsia" w:ascii="宋体" w:cs="宋体"/>
          <w:sz w:val="24"/>
        </w:rPr>
        <w:t>（一）将采购项目整体或者设置采购包专门面向中小企业采购；</w:t>
      </w:r>
    </w:p>
    <w:p w14:paraId="0D112FA7">
      <w:pPr>
        <w:spacing w:line="360" w:lineRule="auto"/>
        <w:ind w:firstLine="480" w:firstLineChars="200"/>
        <w:rPr>
          <w:rFonts w:ascii="宋体" w:cs="宋体"/>
          <w:sz w:val="24"/>
        </w:rPr>
      </w:pPr>
      <w:r>
        <w:rPr>
          <w:rFonts w:hint="eastAsia" w:ascii="宋体" w:cs="宋体"/>
          <w:sz w:val="24"/>
        </w:rPr>
        <w:t>（二）要求供应商以联合体形式参加采购活动，且联合体中中小企业承担的部分达到一定比例；</w:t>
      </w:r>
    </w:p>
    <w:p w14:paraId="4E5DFF83">
      <w:pPr>
        <w:spacing w:line="360" w:lineRule="auto"/>
        <w:ind w:firstLine="480" w:firstLineChars="200"/>
        <w:rPr>
          <w:rFonts w:ascii="宋体" w:cs="宋体"/>
          <w:sz w:val="24"/>
        </w:rPr>
      </w:pPr>
      <w:r>
        <w:rPr>
          <w:rFonts w:hint="eastAsia" w:ascii="宋体" w:cs="宋体"/>
          <w:sz w:val="24"/>
        </w:rPr>
        <w:t>（三）要求获得采购合同的供应商将采购项目中的一定比例分包给一家或者多家中小企业。</w:t>
      </w:r>
    </w:p>
    <w:p w14:paraId="115193F6">
      <w:pPr>
        <w:spacing w:line="360" w:lineRule="auto"/>
        <w:ind w:firstLine="480" w:firstLineChars="200"/>
        <w:rPr>
          <w:rFonts w:ascii="宋体" w:cs="宋体"/>
          <w:sz w:val="24"/>
        </w:rPr>
      </w:pPr>
      <w:r>
        <w:rPr>
          <w:rFonts w:hint="eastAsia" w:ascii="宋体" w:cs="宋体"/>
          <w:sz w:val="24"/>
        </w:rPr>
        <w:t>组成联合体或者接受分包合同的中小企业与联合体内其他企业、分包企业之间不得存在直接控股、管理关系。</w:t>
      </w:r>
    </w:p>
    <w:p w14:paraId="0FEEAEAC">
      <w:pPr>
        <w:spacing w:line="360" w:lineRule="auto"/>
        <w:ind w:firstLine="480" w:firstLineChars="200"/>
        <w:rPr>
          <w:rFonts w:ascii="宋体" w:cs="宋体"/>
          <w:sz w:val="24"/>
        </w:rPr>
      </w:pPr>
      <w:r>
        <w:rPr>
          <w:rFonts w:hint="eastAsia" w:ascii="宋体" w:cs="宋体"/>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BC37B91">
      <w:pPr>
        <w:spacing w:line="360" w:lineRule="auto"/>
        <w:ind w:firstLine="480" w:firstLineChars="200"/>
        <w:rPr>
          <w:rFonts w:ascii="宋体" w:cs="宋体"/>
          <w:sz w:val="24"/>
        </w:rPr>
      </w:pPr>
      <w:r>
        <w:rPr>
          <w:rFonts w:hint="eastAsia" w:ascii="宋体" w:cs="宋体"/>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48E388D">
      <w:pPr>
        <w:spacing w:line="360" w:lineRule="auto"/>
        <w:ind w:firstLine="480" w:firstLineChars="200"/>
        <w:rPr>
          <w:rFonts w:ascii="宋体" w:cs="宋体"/>
          <w:sz w:val="24"/>
        </w:rPr>
      </w:pPr>
      <w:r>
        <w:rPr>
          <w:rFonts w:hint="eastAsia" w:ascii="宋体" w:cs="宋体"/>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7C47F81">
      <w:pPr>
        <w:spacing w:line="360" w:lineRule="auto"/>
        <w:ind w:firstLine="480" w:firstLineChars="200"/>
        <w:rPr>
          <w:rFonts w:ascii="宋体" w:cs="宋体"/>
          <w:sz w:val="24"/>
        </w:rPr>
      </w:pPr>
      <w:r>
        <w:rPr>
          <w:rFonts w:hint="eastAsia" w:ascii="宋体" w:cs="宋体"/>
          <w:sz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CDF1EFD">
      <w:pPr>
        <w:spacing w:line="360" w:lineRule="auto"/>
        <w:ind w:firstLine="480" w:firstLineChars="200"/>
        <w:rPr>
          <w:rFonts w:ascii="宋体" w:cs="宋体"/>
          <w:sz w:val="24"/>
        </w:rPr>
      </w:pPr>
      <w:r>
        <w:rPr>
          <w:rFonts w:hint="eastAsia" w:ascii="宋体" w:cs="宋体"/>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9073158">
      <w:pPr>
        <w:spacing w:line="360" w:lineRule="auto"/>
        <w:ind w:firstLine="480" w:firstLineChars="200"/>
        <w:rPr>
          <w:rFonts w:ascii="宋体" w:cs="宋体"/>
          <w:sz w:val="24"/>
        </w:rPr>
      </w:pPr>
      <w:r>
        <w:rPr>
          <w:rFonts w:hint="eastAsia" w:ascii="宋体" w:cs="宋体"/>
          <w:sz w:val="24"/>
        </w:rPr>
        <w:t>第十二条　采购项目涉及中小企业采购的，竞争性磋商文件应当明确以下内容：</w:t>
      </w:r>
    </w:p>
    <w:p w14:paraId="13040DBF">
      <w:pPr>
        <w:spacing w:line="360" w:lineRule="auto"/>
        <w:ind w:firstLine="480" w:firstLineChars="200"/>
        <w:rPr>
          <w:rFonts w:ascii="宋体" w:cs="宋体"/>
          <w:sz w:val="24"/>
        </w:rPr>
      </w:pPr>
      <w:r>
        <w:rPr>
          <w:rFonts w:hint="eastAsia" w:ascii="宋体" w:cs="宋体"/>
          <w:sz w:val="24"/>
        </w:rPr>
        <w:t>（一）预留份额的采购项目或者采购包，明确该项目或相关采购包专门面向中小企业采购，以及相关标的及预算金额；</w:t>
      </w:r>
    </w:p>
    <w:p w14:paraId="14BE7F1B">
      <w:pPr>
        <w:spacing w:line="360" w:lineRule="auto"/>
        <w:ind w:firstLine="480" w:firstLineChars="200"/>
        <w:rPr>
          <w:rFonts w:ascii="宋体" w:cs="宋体"/>
          <w:sz w:val="24"/>
        </w:rPr>
      </w:pPr>
      <w:r>
        <w:rPr>
          <w:rFonts w:hint="eastAsia" w:ascii="宋体" w:cs="宋体"/>
          <w:sz w:val="24"/>
        </w:rPr>
        <w:t>（二）要求以联合体形式参加或者合同分包的，明确联合协议或者分包意向协议中中小企业合同金额应当达到的比例，并作为供应商资格条件；</w:t>
      </w:r>
    </w:p>
    <w:p w14:paraId="75CD45D0">
      <w:pPr>
        <w:spacing w:line="360" w:lineRule="auto"/>
        <w:ind w:firstLine="480" w:firstLineChars="200"/>
        <w:rPr>
          <w:rFonts w:ascii="宋体" w:cs="宋体"/>
          <w:sz w:val="24"/>
        </w:rPr>
      </w:pPr>
      <w:r>
        <w:rPr>
          <w:rFonts w:hint="eastAsia" w:ascii="宋体" w:cs="宋体"/>
          <w:sz w:val="24"/>
        </w:rPr>
        <w:t>（三）非预留份额的采购项目或者采购包，明确有关价格扣除比例或者价格分加分比例；</w:t>
      </w:r>
    </w:p>
    <w:p w14:paraId="43FED8B9">
      <w:pPr>
        <w:spacing w:line="360" w:lineRule="auto"/>
        <w:ind w:firstLine="480" w:firstLineChars="200"/>
        <w:rPr>
          <w:rFonts w:ascii="宋体" w:cs="宋体"/>
          <w:sz w:val="24"/>
        </w:rPr>
      </w:pPr>
      <w:r>
        <w:rPr>
          <w:rFonts w:hint="eastAsia" w:ascii="宋体" w:cs="宋体"/>
          <w:sz w:val="24"/>
        </w:rPr>
        <w:t>（四）规定依据本办法规定享受扶持政策获得政府采购合同的，小微企业不得将合同分包给大中型企业，中型企业不得将合同分包给大型企业；</w:t>
      </w:r>
    </w:p>
    <w:p w14:paraId="214C2052">
      <w:pPr>
        <w:spacing w:line="360" w:lineRule="auto"/>
        <w:ind w:firstLine="480" w:firstLineChars="200"/>
        <w:rPr>
          <w:rFonts w:ascii="宋体" w:cs="宋体"/>
          <w:sz w:val="24"/>
        </w:rPr>
      </w:pPr>
      <w:r>
        <w:rPr>
          <w:rFonts w:hint="eastAsia" w:ascii="宋体" w:cs="宋体"/>
          <w:sz w:val="24"/>
        </w:rPr>
        <w:t>（五）采购人认为具备相关条件的，明确对中小企业在资金支付期限、预付款比例等方面的优惠措施；</w:t>
      </w:r>
    </w:p>
    <w:p w14:paraId="068D6C9B">
      <w:pPr>
        <w:spacing w:line="360" w:lineRule="auto"/>
        <w:ind w:firstLine="480" w:firstLineChars="200"/>
        <w:rPr>
          <w:rFonts w:ascii="宋体" w:cs="宋体"/>
          <w:sz w:val="24"/>
        </w:rPr>
      </w:pPr>
      <w:r>
        <w:rPr>
          <w:rFonts w:hint="eastAsia" w:ascii="宋体" w:cs="宋体"/>
          <w:sz w:val="24"/>
        </w:rPr>
        <w:t>（六）明确采购标的对应的中小企业划分标准所属行业；</w:t>
      </w:r>
    </w:p>
    <w:p w14:paraId="542A23C0">
      <w:pPr>
        <w:spacing w:line="360" w:lineRule="auto"/>
        <w:ind w:firstLine="480" w:firstLineChars="200"/>
        <w:rPr>
          <w:rFonts w:ascii="宋体" w:cs="宋体"/>
          <w:sz w:val="24"/>
        </w:rPr>
      </w:pPr>
      <w:r>
        <w:rPr>
          <w:rFonts w:hint="eastAsia" w:ascii="宋体" w:cs="宋体"/>
          <w:sz w:val="24"/>
        </w:rPr>
        <w:t>（七）法律法规和省级以上人民政府财政部门规定的其他事项。</w:t>
      </w:r>
    </w:p>
    <w:p w14:paraId="5C9260B6">
      <w:pPr>
        <w:spacing w:line="360" w:lineRule="auto"/>
        <w:ind w:firstLine="480" w:firstLineChars="200"/>
        <w:rPr>
          <w:rFonts w:ascii="宋体" w:cs="宋体"/>
          <w:sz w:val="24"/>
        </w:rPr>
      </w:pPr>
      <w:r>
        <w:rPr>
          <w:rFonts w:hint="eastAsia" w:ascii="宋体" w:cs="宋体"/>
          <w:sz w:val="24"/>
        </w:rPr>
        <w:t>第十三条　中标、成交供应商享受本办法规定的中小企业扶持政策的，采购人、采购代理机构应当随中标、成交结果公开中标、成交供应商的《中小企业声明函》。</w:t>
      </w:r>
    </w:p>
    <w:p w14:paraId="4FA78FE2">
      <w:pPr>
        <w:spacing w:line="360" w:lineRule="auto"/>
        <w:ind w:firstLine="480" w:firstLineChars="200"/>
        <w:rPr>
          <w:rFonts w:ascii="宋体" w:cs="宋体"/>
          <w:sz w:val="24"/>
        </w:rPr>
      </w:pPr>
      <w:r>
        <w:rPr>
          <w:rFonts w:hint="eastAsia" w:ascii="宋体" w:cs="宋体"/>
          <w:sz w:val="24"/>
        </w:rPr>
        <w:t>适用招标投标法的政府采购工程建设项目，应当在公示中标候选人时公开中标候选人的《中小企业声明函》。</w:t>
      </w:r>
    </w:p>
    <w:p w14:paraId="213286AF">
      <w:pPr>
        <w:spacing w:line="360" w:lineRule="auto"/>
        <w:ind w:firstLine="480" w:firstLineChars="200"/>
        <w:rPr>
          <w:rFonts w:ascii="宋体" w:cs="宋体"/>
          <w:sz w:val="24"/>
        </w:rPr>
      </w:pPr>
      <w:r>
        <w:rPr>
          <w:rFonts w:hint="eastAsia" w:ascii="宋体" w:cs="宋体"/>
          <w:sz w:val="24"/>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3C2842C">
      <w:pPr>
        <w:spacing w:line="360" w:lineRule="auto"/>
        <w:ind w:firstLine="480" w:firstLineChars="200"/>
        <w:rPr>
          <w:rFonts w:ascii="宋体" w:cs="宋体"/>
          <w:sz w:val="24"/>
        </w:rPr>
      </w:pPr>
      <w:r>
        <w:rPr>
          <w:rFonts w:hint="eastAsia" w:ascii="宋体" w:cs="宋体"/>
          <w:sz w:val="24"/>
        </w:rPr>
        <w:t>第十五条　鼓励各地区、各部门在采购活动中允许中小企业引入信用担保手段，为中小企业在投标（响应）保证、履约保证等方面提供专业化服务。鼓励中小企业依法合规通过政府采购合同融资。</w:t>
      </w:r>
    </w:p>
    <w:p w14:paraId="19058F07">
      <w:pPr>
        <w:spacing w:line="360" w:lineRule="auto"/>
        <w:ind w:firstLine="480" w:firstLineChars="200"/>
        <w:rPr>
          <w:rFonts w:ascii="宋体" w:cs="宋体"/>
          <w:sz w:val="24"/>
        </w:rPr>
      </w:pPr>
      <w:r>
        <w:rPr>
          <w:rFonts w:hint="eastAsia" w:ascii="宋体" w:cs="宋体"/>
          <w:sz w:val="24"/>
        </w:rPr>
        <w:t>第十六条　政府采购监督检查、投诉处理及政府采购行政处罚中对中小企业的认定，由货物制造商或者工程、服务供应商注册登记所在地的县级以上人民政府中小企业主管部门负责。</w:t>
      </w:r>
    </w:p>
    <w:p w14:paraId="09970CD1">
      <w:pPr>
        <w:spacing w:line="360" w:lineRule="auto"/>
        <w:ind w:firstLine="480" w:firstLineChars="200"/>
        <w:rPr>
          <w:rFonts w:ascii="宋体" w:cs="宋体"/>
          <w:sz w:val="24"/>
        </w:rPr>
      </w:pPr>
      <w:r>
        <w:rPr>
          <w:rFonts w:hint="eastAsia" w:ascii="宋体" w:cs="宋体"/>
          <w:sz w:val="24"/>
        </w:rPr>
        <w:t>中小企业主管部门应当在收到财政部门或者有关招标投标行政监督部门关于协助开展中小企业认定函后10个工作日内做出书面答复。</w:t>
      </w:r>
    </w:p>
    <w:p w14:paraId="3FD14319">
      <w:pPr>
        <w:spacing w:line="360" w:lineRule="auto"/>
        <w:ind w:firstLine="480" w:firstLineChars="200"/>
        <w:rPr>
          <w:rFonts w:ascii="宋体" w:cs="宋体"/>
          <w:sz w:val="24"/>
        </w:rPr>
      </w:pPr>
      <w:r>
        <w:rPr>
          <w:rFonts w:hint="eastAsia" w:ascii="宋体" w:cs="宋体"/>
          <w:sz w:val="24"/>
        </w:rPr>
        <w:t>第十七条　各地区、各部门应当对涉及中小企业采购的预算项目实施全过程绩效管理，合理设置绩效目标和指标，落实扶持中小企业有关政策要求，定期开展绩效监控和评价，强化绩效评价结果应用。</w:t>
      </w:r>
    </w:p>
    <w:p w14:paraId="2B132E19">
      <w:pPr>
        <w:spacing w:line="360" w:lineRule="auto"/>
        <w:ind w:firstLine="480" w:firstLineChars="200"/>
        <w:rPr>
          <w:rFonts w:ascii="宋体" w:cs="宋体"/>
          <w:sz w:val="24"/>
        </w:rPr>
      </w:pPr>
      <w:r>
        <w:rPr>
          <w:rFonts w:hint="eastAsia" w:ascii="宋体" w:cs="宋体"/>
          <w:sz w:val="24"/>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AC56FED">
      <w:pPr>
        <w:spacing w:line="360" w:lineRule="auto"/>
        <w:ind w:firstLine="480" w:firstLineChars="200"/>
        <w:rPr>
          <w:rFonts w:ascii="宋体" w:cs="宋体"/>
          <w:sz w:val="24"/>
        </w:rPr>
      </w:pPr>
      <w:r>
        <w:rPr>
          <w:rFonts w:hint="eastAsia" w:ascii="宋体" w:cs="宋体"/>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3AF1343">
      <w:pPr>
        <w:spacing w:line="360" w:lineRule="auto"/>
        <w:ind w:firstLine="480" w:firstLineChars="200"/>
        <w:rPr>
          <w:rFonts w:ascii="宋体" w:cs="宋体"/>
          <w:sz w:val="24"/>
        </w:rPr>
      </w:pPr>
      <w:r>
        <w:rPr>
          <w:rFonts w:hint="eastAsia" w:ascii="宋体" w:cs="宋体"/>
          <w:sz w:val="24"/>
        </w:rPr>
        <w:t>第二十条　供应商按照本办法规定提供声明函内容不实的，属于提供虚假材料谋取中标、成交，依照《中华人民共和国政府采购法》等国家有关规定追究相应责任。</w:t>
      </w:r>
    </w:p>
    <w:p w14:paraId="1D41681B">
      <w:pPr>
        <w:spacing w:line="360" w:lineRule="auto"/>
        <w:ind w:firstLine="480" w:firstLineChars="200"/>
        <w:rPr>
          <w:rFonts w:ascii="宋体" w:cs="宋体"/>
          <w:sz w:val="24"/>
        </w:rPr>
      </w:pPr>
      <w:r>
        <w:rPr>
          <w:rFonts w:hint="eastAsia" w:ascii="宋体" w:cs="宋体"/>
          <w:sz w:val="24"/>
        </w:rPr>
        <w:t>适用招标投标法的政府采购工程建设项目，供应商按照本办法规定提供声明函内容不实的，属于弄虚作假骗取中标，依照《中华人民共和国招标投标法》等国家有关规定追究相应责任。</w:t>
      </w:r>
    </w:p>
    <w:p w14:paraId="3C7740A3">
      <w:pPr>
        <w:spacing w:line="360" w:lineRule="auto"/>
        <w:ind w:firstLine="480" w:firstLineChars="200"/>
        <w:rPr>
          <w:rFonts w:ascii="宋体" w:cs="宋体"/>
          <w:sz w:val="24"/>
        </w:rPr>
      </w:pPr>
      <w:r>
        <w:rPr>
          <w:rFonts w:hint="eastAsia" w:ascii="宋体" w:cs="宋体"/>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61728B5">
      <w:pPr>
        <w:spacing w:line="360" w:lineRule="auto"/>
        <w:ind w:firstLine="480" w:firstLineChars="200"/>
        <w:rPr>
          <w:rFonts w:ascii="宋体" w:cs="宋体"/>
          <w:sz w:val="24"/>
        </w:rPr>
      </w:pPr>
      <w:r>
        <w:rPr>
          <w:rFonts w:hint="eastAsia" w:ascii="宋体" w:cs="宋体"/>
          <w:sz w:val="24"/>
        </w:rPr>
        <w:t>第二十二条　对外援助项目、国家相关资格或者资质管理制度另有规定的项目，不适用本办法。</w:t>
      </w:r>
    </w:p>
    <w:p w14:paraId="430865DE">
      <w:pPr>
        <w:spacing w:line="360" w:lineRule="auto"/>
        <w:ind w:firstLine="480" w:firstLineChars="200"/>
        <w:rPr>
          <w:rFonts w:ascii="宋体" w:cs="宋体"/>
          <w:sz w:val="24"/>
        </w:rPr>
      </w:pPr>
      <w:r>
        <w:rPr>
          <w:rFonts w:hint="eastAsia" w:ascii="宋体" w:cs="宋体"/>
          <w:sz w:val="24"/>
        </w:rPr>
        <w:t>第二十三条　关于视同中小企业的其他主体的政府采购扶持政策，由财政部会同有关部门另行规定。</w:t>
      </w:r>
    </w:p>
    <w:p w14:paraId="309E8D7A">
      <w:pPr>
        <w:spacing w:line="360" w:lineRule="auto"/>
        <w:ind w:firstLine="480" w:firstLineChars="200"/>
        <w:rPr>
          <w:rFonts w:ascii="宋体" w:cs="宋体"/>
          <w:sz w:val="24"/>
        </w:rPr>
      </w:pPr>
      <w:r>
        <w:rPr>
          <w:rFonts w:hint="eastAsia" w:ascii="宋体" w:cs="宋体"/>
          <w:sz w:val="24"/>
        </w:rPr>
        <w:t>第二十四条　省级财政部门可以会同中小企业主管部门根据本办法的规定制定具体实施办法。</w:t>
      </w:r>
    </w:p>
    <w:p w14:paraId="22F5647F">
      <w:pPr>
        <w:spacing w:line="360" w:lineRule="auto"/>
        <w:ind w:firstLine="480" w:firstLineChars="200"/>
        <w:rPr>
          <w:rFonts w:ascii="宋体" w:cs="宋体"/>
          <w:sz w:val="24"/>
        </w:rPr>
      </w:pPr>
      <w:r>
        <w:rPr>
          <w:rFonts w:hint="eastAsia" w:ascii="宋体" w:cs="宋体"/>
          <w:sz w:val="24"/>
        </w:rPr>
        <w:t>第二十五条　本办法自2021年1月1日起施行。《财政部工业和信息化部关于印发〈政府采购促进中小企业发展暂行办法〉的通知》（财库﹝2011﹞181号）同时废止。</w:t>
      </w:r>
    </w:p>
    <w:p w14:paraId="47BFCAB6">
      <w:pPr>
        <w:rPr>
          <w:rFonts w:ascii="宋体" w:cs="宋体"/>
          <w:sz w:val="24"/>
        </w:rPr>
      </w:pPr>
      <w:r>
        <w:rPr>
          <w:rFonts w:hint="eastAsia" w:ascii="宋体" w:cs="宋体"/>
          <w:sz w:val="24"/>
        </w:rPr>
        <w:br w:type="page"/>
      </w:r>
    </w:p>
    <w:p w14:paraId="20D9E5B7">
      <w:pPr>
        <w:spacing w:line="360" w:lineRule="auto"/>
        <w:ind w:firstLine="442" w:firstLineChars="200"/>
        <w:jc w:val="center"/>
        <w:rPr>
          <w:rFonts w:ascii="宋体" w:cs="宋体"/>
          <w:b/>
          <w:bCs/>
          <w:sz w:val="22"/>
          <w:szCs w:val="22"/>
        </w:rPr>
      </w:pPr>
      <w:r>
        <w:rPr>
          <w:rFonts w:hint="eastAsia" w:ascii="宋体" w:cs="宋体"/>
          <w:b/>
          <w:bCs/>
          <w:sz w:val="22"/>
          <w:szCs w:val="22"/>
        </w:rPr>
        <w:t>关于进一步加大政府采购支持中小企业力度的通知</w:t>
      </w:r>
    </w:p>
    <w:p w14:paraId="67F5A486">
      <w:pPr>
        <w:spacing w:line="360" w:lineRule="auto"/>
        <w:ind w:firstLine="442" w:firstLineChars="200"/>
        <w:jc w:val="center"/>
        <w:rPr>
          <w:rFonts w:ascii="宋体" w:cs="宋体"/>
          <w:b/>
          <w:bCs/>
          <w:sz w:val="22"/>
          <w:szCs w:val="22"/>
        </w:rPr>
      </w:pPr>
      <w:r>
        <w:rPr>
          <w:rFonts w:hint="eastAsia" w:ascii="宋体" w:cs="宋体"/>
          <w:b/>
          <w:bCs/>
          <w:sz w:val="22"/>
          <w:szCs w:val="22"/>
        </w:rPr>
        <w:t>财库〔2022〕19号</w:t>
      </w:r>
    </w:p>
    <w:p w14:paraId="1C6098CF">
      <w:pPr>
        <w:spacing w:line="400" w:lineRule="exact"/>
        <w:ind w:firstLine="480" w:firstLineChars="200"/>
        <w:rPr>
          <w:rFonts w:ascii="宋体" w:cs="宋体"/>
          <w:sz w:val="24"/>
        </w:rPr>
      </w:pPr>
      <w:r>
        <w:rPr>
          <w:rFonts w:hint="eastAsia" w:ascii="宋体" w:cs="宋体"/>
          <w:sz w:val="24"/>
        </w:rPr>
        <w:t>各中央预算单位，各省、自治区、直辖市、计划单列市财政厅（局），新疆生产建设兵团财政局：</w:t>
      </w:r>
    </w:p>
    <w:p w14:paraId="640FD62A">
      <w:pPr>
        <w:spacing w:line="400" w:lineRule="exact"/>
        <w:ind w:firstLine="480" w:firstLineChars="200"/>
        <w:rPr>
          <w:rFonts w:ascii="宋体" w:cs="宋体"/>
          <w:sz w:val="24"/>
        </w:rPr>
      </w:pPr>
      <w:r>
        <w:rPr>
          <w:rFonts w:hint="eastAsia" w:ascii="宋体" w:cs="宋体"/>
          <w:sz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B1D2118">
      <w:pPr>
        <w:spacing w:line="400" w:lineRule="exact"/>
        <w:ind w:firstLine="442" w:firstLineChars="200"/>
        <w:rPr>
          <w:rFonts w:ascii="宋体" w:cs="宋体"/>
          <w:szCs w:val="21"/>
        </w:rPr>
      </w:pPr>
      <w:r>
        <w:rPr>
          <w:rFonts w:hint="eastAsia" w:ascii="宋体" w:cs="宋体"/>
          <w:b/>
          <w:bCs/>
          <w:sz w:val="22"/>
          <w:szCs w:val="22"/>
        </w:rPr>
        <w:t>一、严格落实支持中小企业政府采购政策。</w:t>
      </w:r>
      <w:r>
        <w:rPr>
          <w:rFonts w:hint="eastAsia" w:ascii="宋体" w:cs="宋体"/>
          <w:sz w:val="24"/>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竞争性磋商文件等方式，为中小企业参与采购活动提供便利。要严格按规定及时支付采购资金，不得收取没有法律法规依据的保证金，有效减轻中小企业资金压力。</w:t>
      </w:r>
    </w:p>
    <w:p w14:paraId="43CD37D7">
      <w:pPr>
        <w:spacing w:line="400" w:lineRule="exact"/>
        <w:ind w:firstLine="442" w:firstLineChars="200"/>
        <w:rPr>
          <w:rFonts w:ascii="宋体" w:cs="宋体"/>
          <w:sz w:val="24"/>
        </w:rPr>
      </w:pPr>
      <w:r>
        <w:rPr>
          <w:rFonts w:hint="eastAsia" w:ascii="宋体" w:cs="宋体"/>
          <w:b/>
          <w:bCs/>
          <w:sz w:val="22"/>
          <w:szCs w:val="22"/>
        </w:rPr>
        <w:t>二、调整对小微企业的价格评审优惠幅度。</w:t>
      </w:r>
      <w:r>
        <w:rPr>
          <w:rFonts w:hint="eastAsia" w:ascii="宋体" w:cs="宋体"/>
          <w:sz w:val="24"/>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8DE5335">
      <w:pPr>
        <w:spacing w:line="400" w:lineRule="exact"/>
        <w:ind w:firstLine="442" w:firstLineChars="200"/>
        <w:rPr>
          <w:rFonts w:ascii="宋体" w:cs="宋体"/>
          <w:sz w:val="24"/>
        </w:rPr>
      </w:pPr>
      <w:r>
        <w:rPr>
          <w:rFonts w:hint="eastAsia" w:ascii="宋体" w:cs="宋体"/>
          <w:b/>
          <w:bCs/>
          <w:sz w:val="22"/>
          <w:szCs w:val="22"/>
        </w:rPr>
        <w:t>三、提高政府采购工程面向中小企业预留份额。</w:t>
      </w:r>
      <w:r>
        <w:rPr>
          <w:rFonts w:hint="eastAsia" w:ascii="宋体" w:cs="宋体"/>
          <w:sz w:val="24"/>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67E63FDA">
      <w:pPr>
        <w:spacing w:line="400" w:lineRule="exact"/>
        <w:ind w:firstLine="422" w:firstLineChars="200"/>
        <w:rPr>
          <w:rFonts w:ascii="宋体" w:cs="宋体"/>
          <w:sz w:val="24"/>
        </w:rPr>
      </w:pPr>
      <w:r>
        <w:rPr>
          <w:rFonts w:hint="eastAsia" w:ascii="宋体" w:cs="宋体"/>
          <w:b/>
          <w:bCs/>
          <w:szCs w:val="21"/>
        </w:rPr>
        <w:t>四、认真做好组织实施。</w:t>
      </w:r>
      <w:r>
        <w:rPr>
          <w:rFonts w:hint="eastAsia" w:ascii="宋体" w:cs="宋体"/>
          <w:sz w:val="24"/>
        </w:rPr>
        <w:t>各地区、各部门应当加强组织领导，明确工作责任，细化执行要求，强化监督检查，确保国务院部署落实到位，对通知执行中出现的问题要及时向财政部报告。</w:t>
      </w:r>
    </w:p>
    <w:p w14:paraId="37A59EB2">
      <w:pPr>
        <w:spacing w:line="360" w:lineRule="auto"/>
        <w:ind w:firstLine="480" w:firstLineChars="200"/>
        <w:jc w:val="right"/>
        <w:rPr>
          <w:rFonts w:ascii="宋体" w:cs="宋体"/>
          <w:sz w:val="24"/>
        </w:rPr>
      </w:pPr>
      <w:r>
        <w:rPr>
          <w:rFonts w:hint="eastAsia" w:ascii="宋体" w:cs="宋体"/>
          <w:sz w:val="24"/>
        </w:rPr>
        <w:t>　　本通知自2022年7月1日起执行。</w:t>
      </w:r>
    </w:p>
    <w:p w14:paraId="363523EC">
      <w:pPr>
        <w:spacing w:line="360" w:lineRule="auto"/>
        <w:ind w:firstLine="480" w:firstLineChars="200"/>
        <w:jc w:val="right"/>
        <w:rPr>
          <w:rFonts w:ascii="宋体" w:cs="宋体"/>
          <w:sz w:val="24"/>
        </w:rPr>
      </w:pPr>
      <w:r>
        <w:rPr>
          <w:rFonts w:hint="eastAsia" w:ascii="宋体" w:cs="宋体"/>
          <w:sz w:val="24"/>
        </w:rPr>
        <w:t>　　财  政  部　　2022年5月30日</w:t>
      </w:r>
    </w:p>
    <w:p w14:paraId="208C39F7">
      <w:pPr>
        <w:rPr>
          <w:rFonts w:ascii="宋体" w:cs="宋体"/>
          <w:sz w:val="24"/>
        </w:rPr>
      </w:pPr>
      <w:r>
        <w:rPr>
          <w:rFonts w:hint="eastAsia" w:ascii="宋体" w:cs="宋体"/>
          <w:sz w:val="24"/>
        </w:rPr>
        <w:br w:type="page"/>
      </w:r>
    </w:p>
    <w:p w14:paraId="1CB49002">
      <w:pPr>
        <w:spacing w:line="360" w:lineRule="auto"/>
        <w:ind w:firstLine="422" w:firstLineChars="200"/>
        <w:jc w:val="center"/>
        <w:rPr>
          <w:rFonts w:ascii="宋体" w:hAnsi="宋体" w:cs="宋体"/>
          <w:b/>
          <w:bCs/>
          <w:szCs w:val="21"/>
        </w:rPr>
      </w:pPr>
      <w:r>
        <w:rPr>
          <w:rFonts w:hint="eastAsia" w:ascii="宋体" w:hAnsi="宋体" w:cs="宋体"/>
          <w:b/>
          <w:bCs/>
          <w:szCs w:val="21"/>
        </w:rPr>
        <w:t xml:space="preserve">吉林省强化政府采购政策支持中小企业发展落实举措 </w:t>
      </w:r>
    </w:p>
    <w:p w14:paraId="6AE37D04">
      <w:pPr>
        <w:spacing w:line="360" w:lineRule="auto"/>
        <w:ind w:firstLine="480" w:firstLineChars="200"/>
        <w:rPr>
          <w:rFonts w:ascii="宋体" w:hAnsi="宋体" w:cs="宋体"/>
          <w:sz w:val="24"/>
        </w:rPr>
      </w:pPr>
      <w:r>
        <w:rPr>
          <w:rFonts w:hint="eastAsia" w:ascii="宋体" w:hAnsi="宋体" w:cs="宋体"/>
          <w:sz w:val="24"/>
        </w:rPr>
        <w:t xml:space="preserve">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 号）规定，提出如下落实措施： </w:t>
      </w:r>
    </w:p>
    <w:p w14:paraId="6B5C394D">
      <w:pPr>
        <w:numPr>
          <w:ilvl w:val="0"/>
          <w:numId w:val="12"/>
        </w:numPr>
        <w:spacing w:line="360" w:lineRule="auto"/>
        <w:ind w:firstLine="482" w:firstLineChars="200"/>
        <w:rPr>
          <w:rFonts w:ascii="宋体" w:hAnsi="宋体" w:cs="宋体"/>
          <w:b/>
          <w:bCs/>
          <w:sz w:val="24"/>
        </w:rPr>
      </w:pPr>
      <w:r>
        <w:rPr>
          <w:rFonts w:hint="eastAsia" w:ascii="宋体" w:hAnsi="宋体" w:cs="宋体"/>
          <w:b/>
          <w:bCs/>
          <w:sz w:val="24"/>
        </w:rPr>
        <w:t>强化政策落实支持中小企业发展</w:t>
      </w:r>
    </w:p>
    <w:p w14:paraId="59637BDB">
      <w:pPr>
        <w:spacing w:line="360" w:lineRule="auto"/>
        <w:ind w:firstLine="480" w:firstLineChars="200"/>
        <w:rPr>
          <w:rFonts w:ascii="宋体" w:hAnsi="宋体" w:cs="宋体"/>
          <w:sz w:val="24"/>
        </w:rPr>
      </w:pPr>
      <w:r>
        <w:rPr>
          <w:rFonts w:hint="eastAsia" w:ascii="宋体" w:hAnsi="宋体" w:cs="宋体"/>
          <w:sz w:val="24"/>
        </w:rPr>
        <w:t xml:space="preserve">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14:paraId="45A676CA">
      <w:pPr>
        <w:spacing w:line="360" w:lineRule="auto"/>
        <w:ind w:firstLine="482" w:firstLineChars="200"/>
        <w:rPr>
          <w:rFonts w:ascii="宋体" w:hAnsi="宋体" w:cs="宋体"/>
          <w:sz w:val="24"/>
        </w:rPr>
      </w:pPr>
      <w:r>
        <w:rPr>
          <w:rFonts w:hint="eastAsia" w:ascii="宋体" w:hAnsi="宋体" w:cs="宋体"/>
          <w:b/>
          <w:bCs/>
          <w:sz w:val="24"/>
        </w:rPr>
        <w:t>二、提高政府采购项目价格评审优惠幅度</w:t>
      </w:r>
      <w:r>
        <w:rPr>
          <w:rFonts w:hint="eastAsia" w:ascii="宋体" w:hAnsi="宋体" w:cs="宋体"/>
          <w:sz w:val="24"/>
        </w:rPr>
        <w:t xml:space="preserve"> </w:t>
      </w:r>
    </w:p>
    <w:p w14:paraId="3BA4398E">
      <w:pPr>
        <w:spacing w:line="360" w:lineRule="auto"/>
        <w:ind w:firstLine="480" w:firstLineChars="200"/>
        <w:rPr>
          <w:rFonts w:ascii="宋体" w:hAnsi="宋体" w:cs="宋体"/>
          <w:sz w:val="24"/>
        </w:rPr>
      </w:pPr>
      <w:r>
        <w:rPr>
          <w:rFonts w:hint="eastAsia" w:ascii="宋体" w:hAnsi="宋体" w:cs="宋体"/>
          <w:sz w:val="24"/>
        </w:rPr>
        <w:t xml:space="preserve">自 2022 年 7 月 1 日起发布招标公告或者发出采购邀请，未预留份额专门面向中小企业采购的货物、服务项目，给予小微企业的价格扣除优惠由《办法》规定的 6%-10%提高至10%-20%；大中型企业与小微企业组成联合体或者大中型企业向小微企业分包的，评审优惠幅度由 2%—3%提高至 4%—6%。政府采购工程的价格评审优惠按照《办法》的规定执行。 </w:t>
      </w:r>
    </w:p>
    <w:p w14:paraId="375F6BE1">
      <w:pPr>
        <w:spacing w:line="360" w:lineRule="auto"/>
        <w:ind w:firstLine="482" w:firstLineChars="200"/>
        <w:rPr>
          <w:rFonts w:ascii="宋体" w:hAnsi="宋体" w:cs="宋体"/>
          <w:b/>
          <w:bCs/>
          <w:sz w:val="24"/>
        </w:rPr>
      </w:pPr>
      <w:r>
        <w:rPr>
          <w:rFonts w:hint="eastAsia" w:ascii="宋体" w:hAnsi="宋体" w:cs="宋体"/>
          <w:b/>
          <w:bCs/>
          <w:sz w:val="24"/>
        </w:rPr>
        <w:t xml:space="preserve">三、提高政府采购工程项目预留份额比例 </w:t>
      </w:r>
    </w:p>
    <w:p w14:paraId="4940F9E1">
      <w:pPr>
        <w:spacing w:line="360" w:lineRule="auto"/>
        <w:ind w:firstLine="480" w:firstLineChars="200"/>
        <w:rPr>
          <w:rFonts w:ascii="宋体" w:hAnsi="宋体" w:cs="宋体"/>
          <w:sz w:val="24"/>
        </w:rPr>
      </w:pPr>
      <w:r>
        <w:rPr>
          <w:rFonts w:hint="eastAsia" w:ascii="宋体" w:hAnsi="宋体" w:cs="宋体"/>
          <w:sz w:val="24"/>
        </w:rPr>
        <w:t xml:space="preserve">400 万元以下的工程采购项目适宜由中小企业提供的，采购人应当专门面向中小企业采购。达到或超过 400 万元的工程采购项目中适宜由中小企业提供的，在坚持公开、公正、公平竞争和统一质量标准的前提下，2022 年下半年面向中小企业的预留份额由 30%以上提高至 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 </w:t>
      </w:r>
    </w:p>
    <w:p w14:paraId="708A8156">
      <w:pPr>
        <w:spacing w:line="360" w:lineRule="auto"/>
        <w:ind w:firstLine="482" w:firstLineChars="200"/>
        <w:rPr>
          <w:rFonts w:ascii="宋体" w:hAnsi="宋体" w:cs="宋体"/>
          <w:b/>
          <w:bCs/>
          <w:sz w:val="24"/>
        </w:rPr>
      </w:pPr>
      <w:r>
        <w:rPr>
          <w:rFonts w:hint="eastAsia" w:ascii="宋体" w:hAnsi="宋体" w:cs="宋体"/>
          <w:b/>
          <w:bCs/>
          <w:sz w:val="24"/>
        </w:rPr>
        <w:t xml:space="preserve">四、降低经营成本提高履约能力 </w:t>
      </w:r>
    </w:p>
    <w:p w14:paraId="6566C1C1">
      <w:pPr>
        <w:spacing w:line="360" w:lineRule="auto"/>
        <w:ind w:firstLine="480" w:firstLineChars="200"/>
        <w:rPr>
          <w:rFonts w:ascii="宋体" w:hAnsi="宋体" w:cs="宋体"/>
          <w:sz w:val="24"/>
        </w:rPr>
      </w:pPr>
      <w:r>
        <w:rPr>
          <w:rFonts w:hint="eastAsia" w:ascii="宋体" w:hAnsi="宋体" w:cs="宋体"/>
          <w:sz w:val="24"/>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 2022 年 5月前实施完成的政府采购项目投标（响应）或履约保证金进行核查清理，对符合法定或合同约定退还条件的应及时退还，切实减轻中小企业资金压力。采购人在编制招标文件时可结合项目实际，明确中小企业获得合同后可采取分期付款的方式，最大限度的确定首期预付款比例，并尽量缩短资金支付期限。 </w:t>
      </w:r>
    </w:p>
    <w:p w14:paraId="414291B0">
      <w:pPr>
        <w:spacing w:line="360" w:lineRule="auto"/>
        <w:ind w:firstLine="482" w:firstLineChars="200"/>
        <w:rPr>
          <w:rFonts w:ascii="宋体" w:hAnsi="宋体" w:cs="宋体"/>
          <w:sz w:val="24"/>
        </w:rPr>
      </w:pPr>
      <w:r>
        <w:rPr>
          <w:rFonts w:hint="eastAsia" w:ascii="宋体" w:hAnsi="宋体" w:cs="宋体"/>
          <w:b/>
          <w:bCs/>
          <w:sz w:val="24"/>
        </w:rPr>
        <w:t>五、优化政府采购程序推进全流程电子化</w:t>
      </w:r>
      <w:r>
        <w:rPr>
          <w:rFonts w:hint="eastAsia" w:ascii="宋体" w:hAnsi="宋体" w:cs="宋体"/>
          <w:sz w:val="24"/>
        </w:rPr>
        <w:t xml:space="preserve"> </w:t>
      </w:r>
    </w:p>
    <w:p w14:paraId="1F701634">
      <w:pPr>
        <w:spacing w:line="360" w:lineRule="auto"/>
        <w:ind w:firstLine="480" w:firstLineChars="200"/>
        <w:rPr>
          <w:rFonts w:ascii="宋体" w:hAnsi="宋体" w:cs="宋体"/>
          <w:sz w:val="24"/>
        </w:rPr>
      </w:pPr>
      <w:r>
        <w:rPr>
          <w:rFonts w:hint="eastAsia" w:ascii="宋体" w:hAnsi="宋体" w:cs="宋体"/>
          <w:sz w:val="24"/>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招标文件或者到场参加开标、谈判等。加快推进全省政府采购全流程电子化建设，实现在线发布招标公告、提供招标文件、提交投标（响应）文件，实行电子开标、电子评审，提升中小企业参与政府采购活动的便利度。 </w:t>
      </w:r>
    </w:p>
    <w:p w14:paraId="76643530">
      <w:pPr>
        <w:spacing w:line="360" w:lineRule="auto"/>
        <w:ind w:firstLine="482" w:firstLineChars="200"/>
        <w:rPr>
          <w:rFonts w:ascii="宋体" w:hAnsi="宋体" w:cs="宋体"/>
          <w:b/>
          <w:bCs/>
          <w:sz w:val="24"/>
        </w:rPr>
      </w:pPr>
      <w:r>
        <w:rPr>
          <w:rFonts w:hint="eastAsia" w:ascii="宋体" w:hAnsi="宋体" w:cs="宋体"/>
          <w:b/>
          <w:bCs/>
          <w:sz w:val="24"/>
        </w:rPr>
        <w:t xml:space="preserve">六、加强项目执行管理提升政府采购透明度 </w:t>
      </w:r>
    </w:p>
    <w:p w14:paraId="48AEBCBA">
      <w:pPr>
        <w:spacing w:line="360" w:lineRule="auto"/>
        <w:ind w:firstLine="480" w:firstLineChars="200"/>
        <w:rPr>
          <w:rFonts w:ascii="宋体" w:hAnsi="宋体" w:cs="宋体"/>
          <w:sz w:val="24"/>
        </w:rPr>
      </w:pPr>
      <w:r>
        <w:rPr>
          <w:rFonts w:hint="eastAsia" w:ascii="宋体" w:hAnsi="宋体" w:cs="宋体"/>
          <w:sz w:val="24"/>
        </w:rPr>
        <w:t xml:space="preserve">采购人、采购代理机构对投标（响应）文件的格式、形式要求应当简化明确，不得因非实质性的格式、形式问题限制和影响中小企业投标（响应）。实现电子化采购的，采购人、采购代理机构应当免费提供电子招标文件；暂未实现电子化采购的，鼓励采购人、采购代理机构向中小企业免费提供纸质招标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14:paraId="3B2AC9F8">
      <w:pPr>
        <w:spacing w:line="360" w:lineRule="auto"/>
        <w:ind w:firstLine="480" w:firstLineChars="200"/>
        <w:jc w:val="left"/>
        <w:rPr>
          <w:rFonts w:ascii="宋体" w:hAnsi="宋体" w:cs="宋体"/>
          <w:sz w:val="24"/>
        </w:rPr>
      </w:pPr>
      <w:r>
        <w:rPr>
          <w:rFonts w:hint="eastAsia" w:ascii="宋体" w:hAnsi="宋体" w:cs="宋体"/>
          <w:sz w:val="24"/>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64B536D">
      <w:pPr>
        <w:pStyle w:val="3"/>
      </w:pPr>
    </w:p>
    <w:p w14:paraId="6A4D5106">
      <w:pPr>
        <w:pStyle w:val="27"/>
        <w:rPr>
          <w:rFonts w:ascii="宋体" w:eastAsia="宋体" w:cs="宋体"/>
        </w:rPr>
      </w:pPr>
    </w:p>
    <w:p w14:paraId="43AE56E5">
      <w:pPr>
        <w:spacing w:line="312" w:lineRule="auto"/>
        <w:rPr>
          <w:rFonts w:ascii="宋体" w:cs="宋体"/>
          <w:sz w:val="24"/>
        </w:rPr>
      </w:pPr>
    </w:p>
    <w:p w14:paraId="27986E57">
      <w:pPr>
        <w:rPr>
          <w:rFonts w:ascii="宋体" w:cs="宋体"/>
          <w:sz w:val="24"/>
        </w:rPr>
      </w:pPr>
      <w:r>
        <w:rPr>
          <w:rFonts w:hint="eastAsia" w:ascii="宋体" w:cs="宋体"/>
          <w:sz w:val="24"/>
        </w:rPr>
        <w:br w:type="page"/>
      </w:r>
    </w:p>
    <w:p w14:paraId="5CA4CCB4">
      <w:pPr>
        <w:jc w:val="center"/>
        <w:rPr>
          <w:rFonts w:ascii="宋体" w:cs="宋体"/>
          <w:sz w:val="24"/>
        </w:rPr>
      </w:pPr>
      <w:r>
        <w:rPr>
          <w:rFonts w:hint="eastAsia" w:ascii="宋体" w:cs="宋体"/>
          <w:sz w:val="24"/>
        </w:rPr>
        <w:t>国家统计局关于印发《统计上大中小微型企业划分办法（2017）》的通知</w:t>
      </w:r>
    </w:p>
    <w:p w14:paraId="234AE3B3">
      <w:pPr>
        <w:pStyle w:val="27"/>
        <w:rPr>
          <w:rFonts w:ascii="宋体" w:eastAsia="宋体" w:cs="宋体"/>
        </w:rPr>
      </w:pPr>
    </w:p>
    <w:p w14:paraId="5C7829FF">
      <w:pPr>
        <w:rPr>
          <w:rFonts w:ascii="宋体" w:cs="宋体"/>
          <w:sz w:val="24"/>
        </w:rPr>
      </w:pPr>
      <w:r>
        <w:rPr>
          <w:rFonts w:hint="eastAsia" w:ascii="宋体" w:cs="宋体"/>
          <w:sz w:val="24"/>
        </w:rPr>
        <w:t>各省、自治区、直辖市统计局，新疆生产建设兵团统计局，国务院各有关部门，国家统计局</w:t>
      </w:r>
    </w:p>
    <w:p w14:paraId="7C977969">
      <w:pPr>
        <w:rPr>
          <w:rFonts w:ascii="宋体" w:cs="宋体"/>
          <w:sz w:val="24"/>
        </w:rPr>
      </w:pPr>
      <w:r>
        <w:rPr>
          <w:rFonts w:hint="eastAsia" w:ascii="宋体" w:cs="宋体"/>
          <w:sz w:val="24"/>
        </w:rPr>
        <w:t xml:space="preserve">各调查总队： </w:t>
      </w:r>
    </w:p>
    <w:p w14:paraId="0ADB2092">
      <w:pPr>
        <w:ind w:firstLine="480" w:firstLineChars="200"/>
        <w:rPr>
          <w:rFonts w:ascii="宋体" w:cs="宋体"/>
          <w:sz w:val="24"/>
        </w:rPr>
      </w:pPr>
      <w:r>
        <w:rPr>
          <w:rFonts w:hint="eastAsia" w:ascii="宋体" w:cs="宋体"/>
          <w:sz w:val="24"/>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504E8EF8">
      <w:pPr>
        <w:rPr>
          <w:rFonts w:ascii="宋体" w:cs="宋体"/>
          <w:sz w:val="24"/>
        </w:rPr>
      </w:pPr>
    </w:p>
    <w:p w14:paraId="6C5BC63F">
      <w:pPr>
        <w:jc w:val="center"/>
        <w:rPr>
          <w:rFonts w:ascii="宋体" w:cs="宋体"/>
          <w:sz w:val="24"/>
        </w:rPr>
      </w:pPr>
      <w:r>
        <w:rPr>
          <w:rFonts w:hint="eastAsia" w:ascii="宋体" w:cs="宋体"/>
          <w:sz w:val="24"/>
        </w:rPr>
        <w:t>统计上大中小微型企业划分办法（2017）</w:t>
      </w:r>
    </w:p>
    <w:p w14:paraId="028172F4">
      <w:pPr>
        <w:ind w:firstLine="480" w:firstLineChars="200"/>
        <w:rPr>
          <w:rFonts w:ascii="宋体" w:cs="宋体"/>
          <w:sz w:val="24"/>
        </w:rPr>
      </w:pPr>
      <w:r>
        <w:rPr>
          <w:rFonts w:hint="eastAsia" w:ascii="宋体" w:cs="宋体"/>
          <w:sz w:val="24"/>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56016B2B">
      <w:pPr>
        <w:ind w:firstLine="480" w:firstLineChars="200"/>
        <w:rPr>
          <w:rFonts w:ascii="宋体" w:cs="宋体"/>
          <w:sz w:val="24"/>
        </w:rPr>
      </w:pPr>
      <w:r>
        <w:rPr>
          <w:rFonts w:hint="eastAsia" w:ascii="宋体" w:cs="宋体"/>
          <w:sz w:val="24"/>
        </w:rPr>
        <w:t xml:space="preserve">二、本办法适用对象为在中华人民共和国境内依法设立的各种组织形式的法人企业或单位。个体工商户参照本办法进行划分。 </w:t>
      </w:r>
    </w:p>
    <w:p w14:paraId="5ADEA93E">
      <w:pPr>
        <w:ind w:firstLine="480" w:firstLineChars="200"/>
        <w:rPr>
          <w:rFonts w:ascii="宋体" w:cs="宋体"/>
          <w:sz w:val="24"/>
        </w:rPr>
      </w:pPr>
      <w:r>
        <w:rPr>
          <w:rFonts w:hint="eastAsia" w:ascii="宋体" w:cs="宋体"/>
          <w:sz w:val="24"/>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770BF020">
      <w:pPr>
        <w:ind w:firstLine="480" w:firstLineChars="200"/>
        <w:rPr>
          <w:rFonts w:ascii="宋体" w:cs="宋体"/>
          <w:sz w:val="24"/>
        </w:rPr>
      </w:pPr>
      <w:r>
        <w:rPr>
          <w:rFonts w:hint="eastAsia" w:ascii="宋体" w:cs="宋体"/>
          <w:sz w:val="24"/>
        </w:rPr>
        <w:t xml:space="preserve">四、本办法按照行业门类、大类、中类和组合类别，依据从业人员、营业收入、资产总额等指标或替代指标，将我国的企业划分为大型、中型、小型、微型等四种类型。具体划分标准见附表。 </w:t>
      </w:r>
    </w:p>
    <w:p w14:paraId="0EEC81B2">
      <w:pPr>
        <w:ind w:firstLine="480" w:firstLineChars="200"/>
        <w:rPr>
          <w:rFonts w:ascii="宋体" w:cs="宋体"/>
          <w:sz w:val="24"/>
        </w:rPr>
      </w:pPr>
      <w:r>
        <w:rPr>
          <w:rFonts w:hint="eastAsia" w:ascii="宋体" w:cs="宋体"/>
          <w:sz w:val="24"/>
        </w:rPr>
        <w:t>五、企业划分由政府综合统计部门根据统计年报每年确定一次，定报统计原则上不进行调整。</w:t>
      </w:r>
    </w:p>
    <w:p w14:paraId="26130E0E">
      <w:pPr>
        <w:ind w:firstLine="480" w:firstLineChars="200"/>
        <w:rPr>
          <w:rFonts w:ascii="宋体" w:cs="宋体"/>
          <w:sz w:val="24"/>
        </w:rPr>
      </w:pPr>
      <w:r>
        <w:rPr>
          <w:rFonts w:hint="eastAsia" w:ascii="宋体" w:cs="宋体"/>
          <w:sz w:val="24"/>
        </w:rPr>
        <w:t xml:space="preserve">六、本办法自印发之日起执行，国家统计局 2011 年印发的《统计上大中小微型企业划分办法》（国统字〔2011〕75 号）同时废止。 </w:t>
      </w:r>
    </w:p>
    <w:p w14:paraId="18B00B79">
      <w:pPr>
        <w:rPr>
          <w:rFonts w:ascii="宋体" w:cs="宋体"/>
          <w:sz w:val="24"/>
        </w:rPr>
      </w:pPr>
      <w:r>
        <w:rPr>
          <w:rFonts w:hint="eastAsia" w:ascii="宋体" w:cs="宋体"/>
          <w:sz w:val="24"/>
        </w:rPr>
        <w:t xml:space="preserve">附表：统计上大中小微型企业划分标准 </w:t>
      </w:r>
    </w:p>
    <w:p w14:paraId="23F5A399">
      <w:pPr>
        <w:widowControl/>
        <w:spacing w:line="330" w:lineRule="atLeast"/>
        <w:jc w:val="center"/>
        <w:rPr>
          <w:rFonts w:ascii="宋体" w:cs="宋体"/>
          <w:color w:val="000000"/>
          <w:sz w:val="24"/>
        </w:rPr>
      </w:pPr>
      <w:r>
        <w:rPr>
          <w:rFonts w:hint="eastAsia" w:ascii="宋体" w:cs="宋体"/>
          <w:color w:val="000000"/>
          <w:sz w:val="24"/>
        </w:rPr>
        <w:t>统计上大中小微型企业划分标准</w:t>
      </w:r>
    </w:p>
    <w:tbl>
      <w:tblPr>
        <w:tblStyle w:val="28"/>
        <w:tblW w:w="9457" w:type="dxa"/>
        <w:jc w:val="center"/>
        <w:tblLayout w:type="fixed"/>
        <w:tblCellMar>
          <w:top w:w="0" w:type="dxa"/>
          <w:left w:w="108" w:type="dxa"/>
          <w:bottom w:w="0" w:type="dxa"/>
          <w:right w:w="108" w:type="dxa"/>
        </w:tblCellMar>
      </w:tblPr>
      <w:tblGrid>
        <w:gridCol w:w="2122"/>
        <w:gridCol w:w="1373"/>
        <w:gridCol w:w="706"/>
        <w:gridCol w:w="1127"/>
        <w:gridCol w:w="1707"/>
        <w:gridCol w:w="1429"/>
        <w:gridCol w:w="993"/>
      </w:tblGrid>
      <w:tr w14:paraId="236E8AD8">
        <w:tblPrEx>
          <w:tblCellMar>
            <w:top w:w="0" w:type="dxa"/>
            <w:left w:w="108" w:type="dxa"/>
            <w:bottom w:w="0" w:type="dxa"/>
            <w:right w:w="108" w:type="dxa"/>
          </w:tblCellMar>
        </w:tblPrEx>
        <w:trPr>
          <w:trHeight w:val="1206" w:hRule="exact"/>
          <w:jc w:val="center"/>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14:paraId="4A2C4BC3">
            <w:pPr>
              <w:widowControl/>
              <w:spacing w:line="240" w:lineRule="exact"/>
              <w:jc w:val="center"/>
              <w:rPr>
                <w:rFonts w:ascii="宋体" w:cs="宋体"/>
                <w:b/>
                <w:bCs/>
                <w:color w:val="000000"/>
                <w:sz w:val="24"/>
              </w:rPr>
            </w:pPr>
            <w:r>
              <w:rPr>
                <w:rFonts w:hint="eastAsia" w:ascii="宋体" w:cs="宋体"/>
                <w:b/>
                <w:bCs/>
                <w:color w:val="000000"/>
                <w:sz w:val="24"/>
              </w:rPr>
              <w:t>行业名称</w:t>
            </w:r>
          </w:p>
        </w:tc>
        <w:tc>
          <w:tcPr>
            <w:tcW w:w="1373" w:type="dxa"/>
            <w:tcBorders>
              <w:top w:val="single" w:color="auto" w:sz="4" w:space="0"/>
              <w:left w:val="nil"/>
              <w:bottom w:val="single" w:color="auto" w:sz="4" w:space="0"/>
              <w:right w:val="single" w:color="auto" w:sz="4" w:space="0"/>
            </w:tcBorders>
            <w:shd w:val="clear" w:color="auto" w:fill="auto"/>
            <w:vAlign w:val="center"/>
          </w:tcPr>
          <w:p w14:paraId="2F8ACCF5">
            <w:pPr>
              <w:widowControl/>
              <w:jc w:val="center"/>
              <w:rPr>
                <w:rFonts w:ascii="宋体" w:cs="宋体"/>
                <w:b/>
                <w:bCs/>
                <w:color w:val="000000"/>
                <w:sz w:val="24"/>
              </w:rPr>
            </w:pPr>
            <w:r>
              <w:rPr>
                <w:rFonts w:hint="eastAsia" w:ascii="宋体" w:cs="宋体"/>
                <w:b/>
                <w:bCs/>
                <w:color w:val="000000"/>
                <w:sz w:val="24"/>
              </w:rPr>
              <w:t>指标名称</w:t>
            </w:r>
          </w:p>
        </w:tc>
        <w:tc>
          <w:tcPr>
            <w:tcW w:w="706" w:type="dxa"/>
            <w:tcBorders>
              <w:top w:val="single" w:color="auto" w:sz="4" w:space="0"/>
              <w:left w:val="nil"/>
              <w:bottom w:val="single" w:color="auto" w:sz="4" w:space="0"/>
              <w:right w:val="single" w:color="auto" w:sz="4" w:space="0"/>
            </w:tcBorders>
            <w:shd w:val="clear" w:color="auto" w:fill="auto"/>
            <w:vAlign w:val="center"/>
          </w:tcPr>
          <w:p w14:paraId="0942868D">
            <w:pPr>
              <w:widowControl/>
              <w:jc w:val="center"/>
              <w:rPr>
                <w:rFonts w:ascii="宋体" w:cs="宋体"/>
                <w:b/>
                <w:bCs/>
                <w:color w:val="000000"/>
                <w:sz w:val="24"/>
              </w:rPr>
            </w:pPr>
            <w:r>
              <w:rPr>
                <w:rFonts w:hint="eastAsia" w:ascii="宋体" w:cs="宋体"/>
                <w:b/>
                <w:bCs/>
                <w:color w:val="000000"/>
                <w:sz w:val="24"/>
              </w:rPr>
              <w:t>计量</w:t>
            </w:r>
          </w:p>
          <w:p w14:paraId="5BBF83E0">
            <w:pPr>
              <w:widowControl/>
              <w:jc w:val="center"/>
              <w:rPr>
                <w:rFonts w:ascii="宋体" w:cs="宋体"/>
                <w:b/>
                <w:bCs/>
                <w:color w:val="000000"/>
                <w:sz w:val="24"/>
              </w:rPr>
            </w:pPr>
            <w:r>
              <w:rPr>
                <w:rFonts w:hint="eastAsia" w:ascii="宋体" w:cs="宋体"/>
                <w:b/>
                <w:bCs/>
                <w:color w:val="000000"/>
                <w:sz w:val="24"/>
              </w:rPr>
              <w:t>单位</w:t>
            </w:r>
          </w:p>
        </w:tc>
        <w:tc>
          <w:tcPr>
            <w:tcW w:w="1127" w:type="dxa"/>
            <w:tcBorders>
              <w:top w:val="single" w:color="auto" w:sz="4" w:space="0"/>
              <w:left w:val="nil"/>
              <w:bottom w:val="single" w:color="auto" w:sz="4" w:space="0"/>
              <w:right w:val="single" w:color="auto" w:sz="4" w:space="0"/>
            </w:tcBorders>
            <w:shd w:val="clear" w:color="auto" w:fill="auto"/>
            <w:vAlign w:val="center"/>
          </w:tcPr>
          <w:p w14:paraId="2DB69D50">
            <w:pPr>
              <w:widowControl/>
              <w:jc w:val="center"/>
              <w:rPr>
                <w:rFonts w:ascii="宋体" w:cs="宋体"/>
                <w:b/>
                <w:bCs/>
                <w:color w:val="000000"/>
                <w:sz w:val="24"/>
              </w:rPr>
            </w:pPr>
            <w:r>
              <w:rPr>
                <w:rFonts w:hint="eastAsia" w:ascii="宋体" w:cs="宋体"/>
                <w:b/>
                <w:bCs/>
                <w:color w:val="000000"/>
                <w:sz w:val="24"/>
              </w:rPr>
              <w:t>大型</w:t>
            </w:r>
          </w:p>
        </w:tc>
        <w:tc>
          <w:tcPr>
            <w:tcW w:w="1707" w:type="dxa"/>
            <w:tcBorders>
              <w:top w:val="single" w:color="auto" w:sz="4" w:space="0"/>
              <w:left w:val="nil"/>
              <w:bottom w:val="single" w:color="auto" w:sz="4" w:space="0"/>
              <w:right w:val="single" w:color="auto" w:sz="4" w:space="0"/>
            </w:tcBorders>
            <w:shd w:val="clear" w:color="auto" w:fill="auto"/>
            <w:vAlign w:val="center"/>
          </w:tcPr>
          <w:p w14:paraId="6E8F0474">
            <w:pPr>
              <w:widowControl/>
              <w:jc w:val="center"/>
              <w:rPr>
                <w:rFonts w:ascii="宋体" w:cs="宋体"/>
                <w:b/>
                <w:bCs/>
                <w:color w:val="000000"/>
                <w:sz w:val="24"/>
              </w:rPr>
            </w:pPr>
            <w:r>
              <w:rPr>
                <w:rFonts w:hint="eastAsia" w:ascii="宋体" w:cs="宋体"/>
                <w:b/>
                <w:bCs/>
                <w:color w:val="000000"/>
                <w:sz w:val="24"/>
              </w:rPr>
              <w:t>中型</w:t>
            </w:r>
          </w:p>
        </w:tc>
        <w:tc>
          <w:tcPr>
            <w:tcW w:w="1429" w:type="dxa"/>
            <w:tcBorders>
              <w:top w:val="single" w:color="auto" w:sz="4" w:space="0"/>
              <w:left w:val="nil"/>
              <w:bottom w:val="single" w:color="auto" w:sz="4" w:space="0"/>
              <w:right w:val="single" w:color="auto" w:sz="4" w:space="0"/>
            </w:tcBorders>
            <w:shd w:val="clear" w:color="auto" w:fill="auto"/>
            <w:vAlign w:val="center"/>
          </w:tcPr>
          <w:p w14:paraId="3CA23923">
            <w:pPr>
              <w:widowControl/>
              <w:jc w:val="center"/>
              <w:rPr>
                <w:rFonts w:ascii="宋体" w:cs="宋体"/>
                <w:b/>
                <w:bCs/>
                <w:color w:val="000000"/>
                <w:sz w:val="24"/>
              </w:rPr>
            </w:pPr>
            <w:r>
              <w:rPr>
                <w:rFonts w:hint="eastAsia" w:ascii="宋体" w:cs="宋体"/>
                <w:b/>
                <w:bCs/>
                <w:color w:val="000000"/>
                <w:sz w:val="24"/>
              </w:rPr>
              <w:t>小型</w:t>
            </w:r>
          </w:p>
        </w:tc>
        <w:tc>
          <w:tcPr>
            <w:tcW w:w="993" w:type="dxa"/>
            <w:tcBorders>
              <w:top w:val="single" w:color="auto" w:sz="4" w:space="0"/>
              <w:left w:val="nil"/>
              <w:bottom w:val="single" w:color="auto" w:sz="4" w:space="0"/>
              <w:right w:val="single" w:color="auto" w:sz="4" w:space="0"/>
            </w:tcBorders>
            <w:shd w:val="clear" w:color="auto" w:fill="auto"/>
            <w:vAlign w:val="center"/>
          </w:tcPr>
          <w:p w14:paraId="422E5338">
            <w:pPr>
              <w:widowControl/>
              <w:jc w:val="center"/>
              <w:rPr>
                <w:rFonts w:ascii="宋体" w:cs="宋体"/>
                <w:b/>
                <w:bCs/>
                <w:color w:val="000000"/>
                <w:sz w:val="24"/>
              </w:rPr>
            </w:pPr>
            <w:r>
              <w:rPr>
                <w:rFonts w:hint="eastAsia" w:ascii="宋体" w:cs="宋体"/>
                <w:b/>
                <w:bCs/>
                <w:color w:val="000000"/>
                <w:sz w:val="24"/>
              </w:rPr>
              <w:t>微型</w:t>
            </w:r>
          </w:p>
        </w:tc>
      </w:tr>
      <w:tr w14:paraId="767BF24D">
        <w:tblPrEx>
          <w:tblCellMar>
            <w:top w:w="0" w:type="dxa"/>
            <w:left w:w="108" w:type="dxa"/>
            <w:bottom w:w="0" w:type="dxa"/>
            <w:right w:w="108" w:type="dxa"/>
          </w:tblCellMar>
        </w:tblPrEx>
        <w:trPr>
          <w:trHeight w:val="768" w:hRule="exact"/>
          <w:jc w:val="center"/>
        </w:trPr>
        <w:tc>
          <w:tcPr>
            <w:tcW w:w="2122" w:type="dxa"/>
            <w:tcBorders>
              <w:top w:val="nil"/>
              <w:left w:val="single" w:color="auto" w:sz="4" w:space="0"/>
              <w:bottom w:val="single" w:color="auto" w:sz="4" w:space="0"/>
              <w:right w:val="single" w:color="auto" w:sz="4" w:space="0"/>
            </w:tcBorders>
            <w:shd w:val="clear" w:color="auto" w:fill="auto"/>
            <w:vAlign w:val="center"/>
          </w:tcPr>
          <w:p w14:paraId="3418FBA4">
            <w:pPr>
              <w:widowControl/>
              <w:spacing w:line="240" w:lineRule="exact"/>
              <w:rPr>
                <w:rFonts w:ascii="宋体" w:cs="宋体"/>
                <w:color w:val="000000"/>
                <w:sz w:val="24"/>
              </w:rPr>
            </w:pPr>
            <w:r>
              <w:rPr>
                <w:rFonts w:hint="eastAsia" w:ascii="宋体" w:cs="宋体"/>
                <w:color w:val="000000"/>
                <w:sz w:val="24"/>
              </w:rPr>
              <w:t>农、林、牧、渔业</w:t>
            </w:r>
          </w:p>
        </w:tc>
        <w:tc>
          <w:tcPr>
            <w:tcW w:w="1373" w:type="dxa"/>
            <w:tcBorders>
              <w:top w:val="nil"/>
              <w:left w:val="nil"/>
              <w:bottom w:val="single" w:color="auto" w:sz="4" w:space="0"/>
              <w:right w:val="single" w:color="auto" w:sz="4" w:space="0"/>
            </w:tcBorders>
            <w:shd w:val="clear" w:color="auto" w:fill="auto"/>
            <w:vAlign w:val="center"/>
          </w:tcPr>
          <w:p w14:paraId="4AB9772D">
            <w:pPr>
              <w:widowControl/>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11B8018E">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154E6A6B">
            <w:pPr>
              <w:widowControl/>
              <w:jc w:val="center"/>
              <w:rPr>
                <w:rFonts w:ascii="宋体" w:cs="宋体"/>
                <w:color w:val="000000"/>
                <w:sz w:val="24"/>
              </w:rPr>
            </w:pPr>
            <w:r>
              <w:rPr>
                <w:rFonts w:hint="eastAsia" w:ascii="宋体" w:cs="宋体"/>
                <w:color w:val="000000"/>
                <w:sz w:val="24"/>
              </w:rPr>
              <w:t>Y≥20000</w:t>
            </w:r>
          </w:p>
        </w:tc>
        <w:tc>
          <w:tcPr>
            <w:tcW w:w="1707" w:type="dxa"/>
            <w:tcBorders>
              <w:top w:val="nil"/>
              <w:left w:val="nil"/>
              <w:bottom w:val="single" w:color="auto" w:sz="4" w:space="0"/>
              <w:right w:val="single" w:color="auto" w:sz="4" w:space="0"/>
            </w:tcBorders>
            <w:shd w:val="clear" w:color="auto" w:fill="auto"/>
            <w:vAlign w:val="center"/>
          </w:tcPr>
          <w:p w14:paraId="354078B8">
            <w:pPr>
              <w:widowControl/>
              <w:jc w:val="center"/>
              <w:rPr>
                <w:rFonts w:ascii="宋体" w:cs="宋体"/>
                <w:color w:val="000000"/>
                <w:sz w:val="24"/>
              </w:rPr>
            </w:pPr>
            <w:r>
              <w:rPr>
                <w:rFonts w:hint="eastAsia" w:ascii="宋体" w:cs="宋体"/>
                <w:color w:val="000000"/>
                <w:sz w:val="24"/>
              </w:rPr>
              <w:t xml:space="preserve"> 500≤Y＜20000</w:t>
            </w:r>
          </w:p>
        </w:tc>
        <w:tc>
          <w:tcPr>
            <w:tcW w:w="1429" w:type="dxa"/>
            <w:tcBorders>
              <w:top w:val="nil"/>
              <w:left w:val="nil"/>
              <w:bottom w:val="single" w:color="auto" w:sz="4" w:space="0"/>
              <w:right w:val="single" w:color="auto" w:sz="4" w:space="0"/>
            </w:tcBorders>
            <w:shd w:val="clear" w:color="auto" w:fill="auto"/>
            <w:vAlign w:val="center"/>
          </w:tcPr>
          <w:p w14:paraId="1D280762">
            <w:pPr>
              <w:widowControl/>
              <w:jc w:val="center"/>
              <w:rPr>
                <w:rFonts w:ascii="宋体" w:cs="宋体"/>
                <w:color w:val="000000"/>
                <w:sz w:val="24"/>
              </w:rPr>
            </w:pPr>
            <w:r>
              <w:rPr>
                <w:rFonts w:hint="eastAsia" w:ascii="宋体" w:cs="宋体"/>
                <w:color w:val="000000"/>
                <w:sz w:val="24"/>
              </w:rPr>
              <w:t xml:space="preserve"> 50≤Y＜500</w:t>
            </w:r>
          </w:p>
        </w:tc>
        <w:tc>
          <w:tcPr>
            <w:tcW w:w="993" w:type="dxa"/>
            <w:tcBorders>
              <w:top w:val="nil"/>
              <w:left w:val="nil"/>
              <w:bottom w:val="single" w:color="auto" w:sz="4" w:space="0"/>
              <w:right w:val="single" w:color="auto" w:sz="4" w:space="0"/>
            </w:tcBorders>
            <w:shd w:val="clear" w:color="auto" w:fill="auto"/>
            <w:vAlign w:val="center"/>
          </w:tcPr>
          <w:p w14:paraId="0AD2C3BA">
            <w:pPr>
              <w:widowControl/>
              <w:jc w:val="center"/>
              <w:rPr>
                <w:rFonts w:ascii="宋体" w:cs="宋体"/>
                <w:color w:val="000000"/>
                <w:sz w:val="24"/>
              </w:rPr>
            </w:pPr>
            <w:r>
              <w:rPr>
                <w:rFonts w:hint="eastAsia" w:ascii="宋体" w:cs="宋体"/>
                <w:color w:val="000000"/>
                <w:sz w:val="24"/>
              </w:rPr>
              <w:t>Y＜50</w:t>
            </w:r>
          </w:p>
        </w:tc>
      </w:tr>
      <w:tr w14:paraId="7D893375">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7E324B72">
            <w:pPr>
              <w:widowControl/>
              <w:spacing w:line="240" w:lineRule="exact"/>
              <w:rPr>
                <w:rFonts w:ascii="宋体" w:cs="宋体"/>
                <w:color w:val="000000"/>
                <w:sz w:val="24"/>
              </w:rPr>
            </w:pPr>
            <w:r>
              <w:rPr>
                <w:rFonts w:hint="eastAsia" w:ascii="宋体" w:cs="宋体"/>
                <w:color w:val="000000"/>
                <w:sz w:val="24"/>
              </w:rPr>
              <w:t>工业 *</w:t>
            </w:r>
          </w:p>
        </w:tc>
        <w:tc>
          <w:tcPr>
            <w:tcW w:w="1373" w:type="dxa"/>
            <w:tcBorders>
              <w:top w:val="nil"/>
              <w:left w:val="nil"/>
              <w:bottom w:val="nil"/>
              <w:right w:val="single" w:color="auto" w:sz="4" w:space="0"/>
            </w:tcBorders>
            <w:shd w:val="clear" w:color="auto" w:fill="auto"/>
            <w:vAlign w:val="center"/>
          </w:tcPr>
          <w:p w14:paraId="142B8E7B">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23EF8BBC">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61819B75">
            <w:pPr>
              <w:widowControl/>
              <w:jc w:val="center"/>
              <w:rPr>
                <w:rFonts w:ascii="宋体" w:cs="宋体"/>
                <w:color w:val="000000"/>
                <w:sz w:val="24"/>
              </w:rPr>
            </w:pPr>
            <w:r>
              <w:rPr>
                <w:rFonts w:hint="eastAsia" w:ascii="宋体" w:cs="宋体"/>
                <w:color w:val="000000"/>
                <w:sz w:val="24"/>
              </w:rPr>
              <w:t>X≥1000</w:t>
            </w:r>
          </w:p>
        </w:tc>
        <w:tc>
          <w:tcPr>
            <w:tcW w:w="1707" w:type="dxa"/>
            <w:tcBorders>
              <w:top w:val="nil"/>
              <w:left w:val="nil"/>
              <w:bottom w:val="nil"/>
              <w:right w:val="single" w:color="auto" w:sz="4" w:space="0"/>
            </w:tcBorders>
            <w:shd w:val="clear" w:color="auto" w:fill="auto"/>
            <w:vAlign w:val="center"/>
          </w:tcPr>
          <w:p w14:paraId="7968BC43">
            <w:pPr>
              <w:widowControl/>
              <w:jc w:val="center"/>
              <w:rPr>
                <w:rFonts w:ascii="宋体" w:cs="宋体"/>
                <w:color w:val="000000"/>
                <w:sz w:val="24"/>
              </w:rPr>
            </w:pPr>
            <w:r>
              <w:rPr>
                <w:rFonts w:hint="eastAsia" w:ascii="宋体" w:cs="宋体"/>
                <w:color w:val="000000"/>
                <w:sz w:val="24"/>
              </w:rPr>
              <w:t>300≤X＜1000</w:t>
            </w:r>
          </w:p>
        </w:tc>
        <w:tc>
          <w:tcPr>
            <w:tcW w:w="1429" w:type="dxa"/>
            <w:tcBorders>
              <w:top w:val="nil"/>
              <w:left w:val="nil"/>
              <w:bottom w:val="nil"/>
              <w:right w:val="single" w:color="auto" w:sz="4" w:space="0"/>
            </w:tcBorders>
            <w:shd w:val="clear" w:color="auto" w:fill="auto"/>
            <w:vAlign w:val="center"/>
          </w:tcPr>
          <w:p w14:paraId="60ADED6B">
            <w:pPr>
              <w:widowControl/>
              <w:jc w:val="center"/>
              <w:rPr>
                <w:rFonts w:ascii="宋体" w:cs="宋体"/>
                <w:color w:val="000000"/>
                <w:sz w:val="24"/>
              </w:rPr>
            </w:pPr>
            <w:r>
              <w:rPr>
                <w:rFonts w:hint="eastAsia" w:ascii="宋体" w:cs="宋体"/>
                <w:color w:val="000000"/>
                <w:sz w:val="24"/>
              </w:rPr>
              <w:t xml:space="preserve"> 20≤X＜300</w:t>
            </w:r>
          </w:p>
        </w:tc>
        <w:tc>
          <w:tcPr>
            <w:tcW w:w="993" w:type="dxa"/>
            <w:tcBorders>
              <w:top w:val="nil"/>
              <w:left w:val="nil"/>
              <w:bottom w:val="nil"/>
              <w:right w:val="single" w:color="auto" w:sz="4" w:space="0"/>
            </w:tcBorders>
            <w:shd w:val="clear" w:color="auto" w:fill="auto"/>
            <w:vAlign w:val="center"/>
          </w:tcPr>
          <w:p w14:paraId="2CD69F6D">
            <w:pPr>
              <w:widowControl/>
              <w:jc w:val="center"/>
              <w:rPr>
                <w:rFonts w:ascii="宋体" w:cs="宋体"/>
                <w:color w:val="000000"/>
                <w:sz w:val="24"/>
              </w:rPr>
            </w:pPr>
            <w:r>
              <w:rPr>
                <w:rFonts w:hint="eastAsia" w:ascii="宋体" w:cs="宋体"/>
                <w:color w:val="000000"/>
                <w:sz w:val="24"/>
              </w:rPr>
              <w:t>X＜20</w:t>
            </w:r>
          </w:p>
        </w:tc>
      </w:tr>
      <w:tr w14:paraId="2503705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056ECE8B"/>
        </w:tc>
        <w:tc>
          <w:tcPr>
            <w:tcW w:w="1373" w:type="dxa"/>
            <w:tcBorders>
              <w:top w:val="nil"/>
              <w:left w:val="nil"/>
              <w:bottom w:val="single" w:color="auto" w:sz="4" w:space="0"/>
              <w:right w:val="single" w:color="auto" w:sz="4" w:space="0"/>
            </w:tcBorders>
            <w:shd w:val="clear" w:color="auto" w:fill="auto"/>
            <w:vAlign w:val="center"/>
          </w:tcPr>
          <w:p w14:paraId="1971DA65">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619FE11D">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374F752E">
            <w:pPr>
              <w:widowControl/>
              <w:jc w:val="center"/>
              <w:rPr>
                <w:rFonts w:ascii="宋体" w:cs="宋体"/>
                <w:color w:val="000000"/>
                <w:sz w:val="24"/>
              </w:rPr>
            </w:pPr>
            <w:r>
              <w:rPr>
                <w:rFonts w:hint="eastAsia" w:ascii="宋体" w:cs="宋体"/>
                <w:color w:val="000000"/>
                <w:sz w:val="24"/>
              </w:rPr>
              <w:t>Y≥40000</w:t>
            </w:r>
          </w:p>
        </w:tc>
        <w:tc>
          <w:tcPr>
            <w:tcW w:w="1707" w:type="dxa"/>
            <w:tcBorders>
              <w:top w:val="nil"/>
              <w:left w:val="nil"/>
              <w:bottom w:val="single" w:color="auto" w:sz="4" w:space="0"/>
              <w:right w:val="single" w:color="auto" w:sz="4" w:space="0"/>
            </w:tcBorders>
            <w:shd w:val="clear" w:color="auto" w:fill="auto"/>
            <w:vAlign w:val="center"/>
          </w:tcPr>
          <w:p w14:paraId="46D02F69">
            <w:pPr>
              <w:widowControl/>
              <w:jc w:val="center"/>
              <w:rPr>
                <w:rFonts w:ascii="宋体" w:cs="宋体"/>
                <w:color w:val="000000"/>
                <w:sz w:val="24"/>
              </w:rPr>
            </w:pPr>
            <w:r>
              <w:rPr>
                <w:rFonts w:hint="eastAsia" w:ascii="宋体" w:cs="宋体"/>
                <w:color w:val="000000"/>
                <w:sz w:val="24"/>
              </w:rPr>
              <w:t>2000≤Y＜40000</w:t>
            </w:r>
          </w:p>
        </w:tc>
        <w:tc>
          <w:tcPr>
            <w:tcW w:w="1429" w:type="dxa"/>
            <w:tcBorders>
              <w:top w:val="nil"/>
              <w:left w:val="nil"/>
              <w:bottom w:val="single" w:color="auto" w:sz="4" w:space="0"/>
              <w:right w:val="single" w:color="auto" w:sz="4" w:space="0"/>
            </w:tcBorders>
            <w:shd w:val="clear" w:color="auto" w:fill="auto"/>
            <w:vAlign w:val="center"/>
          </w:tcPr>
          <w:p w14:paraId="646BD395">
            <w:pPr>
              <w:widowControl/>
              <w:jc w:val="center"/>
              <w:rPr>
                <w:rFonts w:ascii="宋体" w:cs="宋体"/>
                <w:color w:val="000000"/>
                <w:sz w:val="24"/>
              </w:rPr>
            </w:pPr>
            <w:r>
              <w:rPr>
                <w:rFonts w:hint="eastAsia" w:ascii="宋体" w:cs="宋体"/>
                <w:color w:val="000000"/>
                <w:sz w:val="24"/>
              </w:rPr>
              <w:t xml:space="preserve"> 300≤Y＜2000</w:t>
            </w:r>
          </w:p>
        </w:tc>
        <w:tc>
          <w:tcPr>
            <w:tcW w:w="993" w:type="dxa"/>
            <w:tcBorders>
              <w:top w:val="nil"/>
              <w:left w:val="nil"/>
              <w:bottom w:val="single" w:color="auto" w:sz="4" w:space="0"/>
              <w:right w:val="single" w:color="auto" w:sz="4" w:space="0"/>
            </w:tcBorders>
            <w:shd w:val="clear" w:color="auto" w:fill="auto"/>
            <w:vAlign w:val="center"/>
          </w:tcPr>
          <w:p w14:paraId="6BCBBFBA">
            <w:pPr>
              <w:widowControl/>
              <w:jc w:val="center"/>
              <w:rPr>
                <w:rFonts w:ascii="宋体" w:cs="宋体"/>
                <w:color w:val="000000"/>
                <w:sz w:val="24"/>
              </w:rPr>
            </w:pPr>
            <w:r>
              <w:rPr>
                <w:rFonts w:hint="eastAsia" w:ascii="宋体" w:cs="宋体"/>
                <w:color w:val="000000"/>
                <w:sz w:val="24"/>
              </w:rPr>
              <w:t>Y＜300</w:t>
            </w:r>
          </w:p>
        </w:tc>
      </w:tr>
      <w:tr w14:paraId="54D04BA3">
        <w:tblPrEx>
          <w:tblCellMar>
            <w:top w:w="0" w:type="dxa"/>
            <w:left w:w="108" w:type="dxa"/>
            <w:bottom w:w="0" w:type="dxa"/>
            <w:right w:w="108" w:type="dxa"/>
          </w:tblCellMar>
        </w:tblPrEx>
        <w:trPr>
          <w:trHeight w:val="768"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7D7FE">
            <w:pPr>
              <w:widowControl/>
              <w:spacing w:line="240" w:lineRule="exact"/>
              <w:rPr>
                <w:rFonts w:ascii="宋体" w:cs="宋体"/>
                <w:color w:val="000000"/>
                <w:sz w:val="24"/>
              </w:rPr>
            </w:pPr>
            <w:r>
              <w:rPr>
                <w:rFonts w:hint="eastAsia" w:ascii="宋体" w:cs="宋体"/>
                <w:color w:val="000000"/>
                <w:sz w:val="24"/>
              </w:rPr>
              <w:t>建筑业</w:t>
            </w:r>
          </w:p>
        </w:tc>
        <w:tc>
          <w:tcPr>
            <w:tcW w:w="1373" w:type="dxa"/>
            <w:tcBorders>
              <w:top w:val="single" w:color="auto" w:sz="4" w:space="0"/>
              <w:left w:val="nil"/>
              <w:bottom w:val="nil"/>
              <w:right w:val="single" w:color="auto" w:sz="4" w:space="0"/>
            </w:tcBorders>
            <w:shd w:val="clear" w:color="auto" w:fill="auto"/>
            <w:vAlign w:val="center"/>
          </w:tcPr>
          <w:p w14:paraId="4CC540FD">
            <w:pPr>
              <w:widowControl/>
              <w:jc w:val="center"/>
              <w:rPr>
                <w:rFonts w:ascii="宋体" w:cs="宋体"/>
                <w:color w:val="000000"/>
                <w:sz w:val="24"/>
              </w:rPr>
            </w:pPr>
            <w:r>
              <w:rPr>
                <w:rFonts w:hint="eastAsia" w:ascii="宋体" w:cs="宋体"/>
                <w:color w:val="000000"/>
                <w:sz w:val="24"/>
              </w:rPr>
              <w:t>营业收入(Y)</w:t>
            </w:r>
          </w:p>
        </w:tc>
        <w:tc>
          <w:tcPr>
            <w:tcW w:w="706" w:type="dxa"/>
            <w:tcBorders>
              <w:top w:val="single" w:color="auto" w:sz="4" w:space="0"/>
              <w:left w:val="nil"/>
              <w:bottom w:val="nil"/>
              <w:right w:val="single" w:color="auto" w:sz="4" w:space="0"/>
            </w:tcBorders>
            <w:shd w:val="clear" w:color="auto" w:fill="auto"/>
            <w:vAlign w:val="center"/>
          </w:tcPr>
          <w:p w14:paraId="0676F83F">
            <w:pPr>
              <w:widowControl/>
              <w:jc w:val="center"/>
              <w:rPr>
                <w:rFonts w:ascii="宋体" w:cs="宋体"/>
                <w:color w:val="000000"/>
                <w:sz w:val="24"/>
              </w:rPr>
            </w:pPr>
            <w:r>
              <w:rPr>
                <w:rFonts w:hint="eastAsia" w:ascii="宋体" w:cs="宋体"/>
                <w:color w:val="000000"/>
                <w:sz w:val="24"/>
              </w:rPr>
              <w:t>万元</w:t>
            </w:r>
          </w:p>
        </w:tc>
        <w:tc>
          <w:tcPr>
            <w:tcW w:w="1127" w:type="dxa"/>
            <w:tcBorders>
              <w:top w:val="single" w:color="auto" w:sz="4" w:space="0"/>
              <w:left w:val="nil"/>
              <w:bottom w:val="nil"/>
              <w:right w:val="single" w:color="auto" w:sz="4" w:space="0"/>
            </w:tcBorders>
            <w:shd w:val="clear" w:color="auto" w:fill="auto"/>
            <w:vAlign w:val="center"/>
          </w:tcPr>
          <w:p w14:paraId="0AC6FB26">
            <w:pPr>
              <w:widowControl/>
              <w:jc w:val="center"/>
              <w:rPr>
                <w:rFonts w:ascii="宋体" w:cs="宋体"/>
                <w:color w:val="000000"/>
                <w:sz w:val="24"/>
              </w:rPr>
            </w:pPr>
            <w:r>
              <w:rPr>
                <w:rFonts w:hint="eastAsia" w:ascii="宋体" w:cs="宋体"/>
                <w:color w:val="000000"/>
                <w:sz w:val="24"/>
              </w:rPr>
              <w:t>Y≥80000</w:t>
            </w:r>
          </w:p>
        </w:tc>
        <w:tc>
          <w:tcPr>
            <w:tcW w:w="1707" w:type="dxa"/>
            <w:tcBorders>
              <w:top w:val="single" w:color="auto" w:sz="4" w:space="0"/>
              <w:left w:val="nil"/>
              <w:bottom w:val="nil"/>
              <w:right w:val="single" w:color="auto" w:sz="4" w:space="0"/>
            </w:tcBorders>
            <w:shd w:val="clear" w:color="auto" w:fill="auto"/>
            <w:vAlign w:val="center"/>
          </w:tcPr>
          <w:p w14:paraId="6AFE2F96">
            <w:pPr>
              <w:widowControl/>
              <w:jc w:val="center"/>
              <w:rPr>
                <w:rFonts w:ascii="宋体" w:cs="宋体"/>
                <w:color w:val="000000"/>
                <w:sz w:val="24"/>
              </w:rPr>
            </w:pPr>
            <w:r>
              <w:rPr>
                <w:rFonts w:hint="eastAsia" w:ascii="宋体" w:cs="宋体"/>
                <w:color w:val="000000"/>
                <w:sz w:val="24"/>
              </w:rPr>
              <w:t>6000≤Y＜80000</w:t>
            </w:r>
          </w:p>
        </w:tc>
        <w:tc>
          <w:tcPr>
            <w:tcW w:w="1429" w:type="dxa"/>
            <w:tcBorders>
              <w:top w:val="single" w:color="auto" w:sz="4" w:space="0"/>
              <w:left w:val="nil"/>
              <w:bottom w:val="nil"/>
              <w:right w:val="single" w:color="auto" w:sz="4" w:space="0"/>
            </w:tcBorders>
            <w:shd w:val="clear" w:color="auto" w:fill="auto"/>
            <w:vAlign w:val="center"/>
          </w:tcPr>
          <w:p w14:paraId="4849A35E">
            <w:pPr>
              <w:widowControl/>
              <w:jc w:val="center"/>
              <w:rPr>
                <w:rFonts w:ascii="宋体" w:cs="宋体"/>
                <w:color w:val="000000"/>
                <w:sz w:val="24"/>
              </w:rPr>
            </w:pPr>
            <w:r>
              <w:rPr>
                <w:rFonts w:hint="eastAsia" w:ascii="宋体" w:cs="宋体"/>
                <w:color w:val="000000"/>
                <w:sz w:val="24"/>
              </w:rPr>
              <w:t xml:space="preserve"> 300≤Y＜6000</w:t>
            </w:r>
          </w:p>
        </w:tc>
        <w:tc>
          <w:tcPr>
            <w:tcW w:w="993" w:type="dxa"/>
            <w:tcBorders>
              <w:top w:val="single" w:color="auto" w:sz="4" w:space="0"/>
              <w:left w:val="nil"/>
              <w:bottom w:val="nil"/>
              <w:right w:val="single" w:color="auto" w:sz="4" w:space="0"/>
            </w:tcBorders>
            <w:shd w:val="clear" w:color="auto" w:fill="auto"/>
            <w:vAlign w:val="center"/>
          </w:tcPr>
          <w:p w14:paraId="35A8DE98">
            <w:pPr>
              <w:widowControl/>
              <w:jc w:val="center"/>
              <w:rPr>
                <w:rFonts w:ascii="宋体" w:cs="宋体"/>
                <w:color w:val="000000"/>
                <w:sz w:val="24"/>
              </w:rPr>
            </w:pPr>
            <w:r>
              <w:rPr>
                <w:rFonts w:hint="eastAsia" w:ascii="宋体" w:cs="宋体"/>
                <w:color w:val="000000"/>
                <w:sz w:val="24"/>
              </w:rPr>
              <w:t>Y＜300</w:t>
            </w:r>
          </w:p>
        </w:tc>
      </w:tr>
      <w:tr w14:paraId="6ACA8191">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0F603246"/>
        </w:tc>
        <w:tc>
          <w:tcPr>
            <w:tcW w:w="1373" w:type="dxa"/>
            <w:tcBorders>
              <w:top w:val="nil"/>
              <w:left w:val="nil"/>
              <w:bottom w:val="single" w:color="auto" w:sz="4" w:space="0"/>
              <w:right w:val="single" w:color="auto" w:sz="4" w:space="0"/>
            </w:tcBorders>
            <w:shd w:val="clear" w:color="auto" w:fill="auto"/>
            <w:vAlign w:val="center"/>
          </w:tcPr>
          <w:p w14:paraId="43DDCFEB">
            <w:pPr>
              <w:widowControl/>
              <w:spacing w:line="240" w:lineRule="exact"/>
              <w:jc w:val="center"/>
              <w:rPr>
                <w:rFonts w:ascii="宋体" w:cs="宋体"/>
                <w:color w:val="000000"/>
                <w:sz w:val="24"/>
              </w:rPr>
            </w:pPr>
            <w:r>
              <w:rPr>
                <w:rFonts w:hint="eastAsia" w:ascii="宋体" w:cs="宋体"/>
                <w:color w:val="000000"/>
                <w:sz w:val="24"/>
              </w:rPr>
              <w:t>资产总额(Z)</w:t>
            </w:r>
          </w:p>
        </w:tc>
        <w:tc>
          <w:tcPr>
            <w:tcW w:w="706" w:type="dxa"/>
            <w:tcBorders>
              <w:top w:val="nil"/>
              <w:left w:val="nil"/>
              <w:bottom w:val="single" w:color="auto" w:sz="4" w:space="0"/>
              <w:right w:val="single" w:color="auto" w:sz="4" w:space="0"/>
            </w:tcBorders>
            <w:shd w:val="clear" w:color="auto" w:fill="auto"/>
            <w:vAlign w:val="center"/>
          </w:tcPr>
          <w:p w14:paraId="5C0B4211">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5FD83395">
            <w:pPr>
              <w:widowControl/>
              <w:jc w:val="center"/>
              <w:rPr>
                <w:rFonts w:ascii="宋体" w:cs="宋体"/>
                <w:color w:val="000000"/>
                <w:sz w:val="24"/>
              </w:rPr>
            </w:pPr>
            <w:r>
              <w:rPr>
                <w:rFonts w:hint="eastAsia" w:ascii="宋体" w:cs="宋体"/>
                <w:color w:val="000000"/>
                <w:sz w:val="24"/>
              </w:rPr>
              <w:t>Z≥80000</w:t>
            </w:r>
          </w:p>
        </w:tc>
        <w:tc>
          <w:tcPr>
            <w:tcW w:w="1707" w:type="dxa"/>
            <w:tcBorders>
              <w:top w:val="nil"/>
              <w:left w:val="nil"/>
              <w:bottom w:val="single" w:color="auto" w:sz="4" w:space="0"/>
              <w:right w:val="single" w:color="auto" w:sz="4" w:space="0"/>
            </w:tcBorders>
            <w:shd w:val="clear" w:color="auto" w:fill="auto"/>
            <w:vAlign w:val="center"/>
          </w:tcPr>
          <w:p w14:paraId="3EC4AD53">
            <w:pPr>
              <w:widowControl/>
              <w:jc w:val="center"/>
              <w:rPr>
                <w:rFonts w:ascii="宋体" w:cs="宋体"/>
                <w:color w:val="000000"/>
                <w:sz w:val="24"/>
              </w:rPr>
            </w:pPr>
            <w:r>
              <w:rPr>
                <w:rFonts w:hint="eastAsia" w:ascii="宋体" w:cs="宋体"/>
                <w:color w:val="000000"/>
                <w:sz w:val="24"/>
              </w:rPr>
              <w:t>5000≤Z＜80000</w:t>
            </w:r>
          </w:p>
        </w:tc>
        <w:tc>
          <w:tcPr>
            <w:tcW w:w="1429" w:type="dxa"/>
            <w:tcBorders>
              <w:top w:val="nil"/>
              <w:left w:val="nil"/>
              <w:bottom w:val="single" w:color="auto" w:sz="4" w:space="0"/>
              <w:right w:val="single" w:color="auto" w:sz="4" w:space="0"/>
            </w:tcBorders>
            <w:shd w:val="clear" w:color="auto" w:fill="auto"/>
            <w:vAlign w:val="center"/>
          </w:tcPr>
          <w:p w14:paraId="7435CC1D">
            <w:pPr>
              <w:widowControl/>
              <w:jc w:val="center"/>
              <w:rPr>
                <w:rFonts w:ascii="宋体" w:cs="宋体"/>
                <w:color w:val="000000"/>
                <w:sz w:val="24"/>
              </w:rPr>
            </w:pPr>
            <w:r>
              <w:rPr>
                <w:rFonts w:hint="eastAsia" w:ascii="宋体" w:cs="宋体"/>
                <w:color w:val="000000"/>
                <w:sz w:val="24"/>
              </w:rPr>
              <w:t xml:space="preserve"> 300≤Z＜5000</w:t>
            </w:r>
          </w:p>
        </w:tc>
        <w:tc>
          <w:tcPr>
            <w:tcW w:w="993" w:type="dxa"/>
            <w:tcBorders>
              <w:top w:val="nil"/>
              <w:left w:val="nil"/>
              <w:bottom w:val="single" w:color="auto" w:sz="4" w:space="0"/>
              <w:right w:val="single" w:color="auto" w:sz="4" w:space="0"/>
            </w:tcBorders>
            <w:shd w:val="clear" w:color="auto" w:fill="auto"/>
            <w:vAlign w:val="center"/>
          </w:tcPr>
          <w:p w14:paraId="6006EFA4">
            <w:pPr>
              <w:widowControl/>
              <w:jc w:val="center"/>
              <w:rPr>
                <w:rFonts w:ascii="宋体" w:cs="宋体"/>
                <w:color w:val="000000"/>
                <w:sz w:val="24"/>
              </w:rPr>
            </w:pPr>
            <w:r>
              <w:rPr>
                <w:rFonts w:hint="eastAsia" w:ascii="宋体" w:cs="宋体"/>
                <w:color w:val="000000"/>
                <w:sz w:val="24"/>
              </w:rPr>
              <w:t>Z＜300</w:t>
            </w:r>
          </w:p>
        </w:tc>
      </w:tr>
      <w:tr w14:paraId="58C7D9C0">
        <w:tblPrEx>
          <w:tblCellMar>
            <w:top w:w="0" w:type="dxa"/>
            <w:left w:w="108" w:type="dxa"/>
            <w:bottom w:w="0" w:type="dxa"/>
            <w:right w:w="108" w:type="dxa"/>
          </w:tblCellMar>
        </w:tblPrEx>
        <w:trPr>
          <w:trHeight w:val="768"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62F295">
            <w:pPr>
              <w:widowControl/>
              <w:spacing w:line="240" w:lineRule="exact"/>
              <w:rPr>
                <w:rFonts w:ascii="宋体" w:cs="宋体"/>
                <w:color w:val="000000"/>
                <w:sz w:val="24"/>
              </w:rPr>
            </w:pPr>
            <w:r>
              <w:rPr>
                <w:rFonts w:hint="eastAsia" w:ascii="宋体" w:cs="宋体"/>
                <w:color w:val="000000"/>
                <w:sz w:val="24"/>
              </w:rPr>
              <w:t>批发业</w:t>
            </w:r>
          </w:p>
        </w:tc>
        <w:tc>
          <w:tcPr>
            <w:tcW w:w="1373" w:type="dxa"/>
            <w:tcBorders>
              <w:top w:val="single" w:color="auto" w:sz="4" w:space="0"/>
              <w:left w:val="nil"/>
              <w:bottom w:val="nil"/>
              <w:right w:val="single" w:color="auto" w:sz="4" w:space="0"/>
            </w:tcBorders>
            <w:shd w:val="clear" w:color="auto" w:fill="auto"/>
            <w:vAlign w:val="center"/>
          </w:tcPr>
          <w:p w14:paraId="2640959F">
            <w:pPr>
              <w:widowControl/>
              <w:jc w:val="center"/>
              <w:rPr>
                <w:rFonts w:ascii="宋体" w:cs="宋体"/>
                <w:color w:val="000000"/>
                <w:sz w:val="24"/>
              </w:rPr>
            </w:pPr>
            <w:r>
              <w:rPr>
                <w:rFonts w:hint="eastAsia" w:ascii="宋体" w:cs="宋体"/>
                <w:color w:val="000000"/>
                <w:sz w:val="24"/>
              </w:rPr>
              <w:t>从业人员(X)</w:t>
            </w:r>
          </w:p>
        </w:tc>
        <w:tc>
          <w:tcPr>
            <w:tcW w:w="706" w:type="dxa"/>
            <w:tcBorders>
              <w:top w:val="single" w:color="auto" w:sz="4" w:space="0"/>
              <w:left w:val="nil"/>
              <w:bottom w:val="nil"/>
              <w:right w:val="single" w:color="auto" w:sz="4" w:space="0"/>
            </w:tcBorders>
            <w:shd w:val="clear" w:color="auto" w:fill="auto"/>
            <w:vAlign w:val="center"/>
          </w:tcPr>
          <w:p w14:paraId="2D13F378">
            <w:pPr>
              <w:widowControl/>
              <w:jc w:val="center"/>
              <w:rPr>
                <w:rFonts w:ascii="宋体" w:cs="宋体"/>
                <w:color w:val="000000"/>
                <w:sz w:val="24"/>
              </w:rPr>
            </w:pPr>
            <w:r>
              <w:rPr>
                <w:rFonts w:hint="eastAsia" w:ascii="宋体" w:cs="宋体"/>
                <w:color w:val="000000"/>
                <w:sz w:val="24"/>
              </w:rPr>
              <w:t>人</w:t>
            </w:r>
          </w:p>
        </w:tc>
        <w:tc>
          <w:tcPr>
            <w:tcW w:w="1127" w:type="dxa"/>
            <w:tcBorders>
              <w:top w:val="single" w:color="auto" w:sz="4" w:space="0"/>
              <w:left w:val="nil"/>
              <w:bottom w:val="nil"/>
              <w:right w:val="single" w:color="auto" w:sz="4" w:space="0"/>
            </w:tcBorders>
            <w:shd w:val="clear" w:color="auto" w:fill="auto"/>
            <w:vAlign w:val="center"/>
          </w:tcPr>
          <w:p w14:paraId="43D874C0">
            <w:pPr>
              <w:widowControl/>
              <w:jc w:val="center"/>
              <w:rPr>
                <w:rFonts w:ascii="宋体" w:cs="宋体"/>
                <w:color w:val="000000"/>
                <w:sz w:val="24"/>
              </w:rPr>
            </w:pPr>
            <w:r>
              <w:rPr>
                <w:rFonts w:hint="eastAsia" w:ascii="宋体" w:cs="宋体"/>
                <w:color w:val="000000"/>
                <w:sz w:val="24"/>
              </w:rPr>
              <w:t>X≥200</w:t>
            </w:r>
          </w:p>
        </w:tc>
        <w:tc>
          <w:tcPr>
            <w:tcW w:w="1707" w:type="dxa"/>
            <w:tcBorders>
              <w:top w:val="single" w:color="auto" w:sz="4" w:space="0"/>
              <w:left w:val="nil"/>
              <w:bottom w:val="nil"/>
              <w:right w:val="single" w:color="auto" w:sz="4" w:space="0"/>
            </w:tcBorders>
            <w:shd w:val="clear" w:color="auto" w:fill="auto"/>
            <w:vAlign w:val="center"/>
          </w:tcPr>
          <w:p w14:paraId="58977403">
            <w:pPr>
              <w:widowControl/>
              <w:jc w:val="center"/>
              <w:rPr>
                <w:rFonts w:ascii="宋体" w:cs="宋体"/>
                <w:color w:val="000000"/>
                <w:sz w:val="24"/>
              </w:rPr>
            </w:pPr>
            <w:r>
              <w:rPr>
                <w:rFonts w:hint="eastAsia" w:ascii="宋体" w:cs="宋体"/>
                <w:color w:val="000000"/>
                <w:sz w:val="24"/>
              </w:rPr>
              <w:t>20≤X＜200</w:t>
            </w:r>
          </w:p>
        </w:tc>
        <w:tc>
          <w:tcPr>
            <w:tcW w:w="1429" w:type="dxa"/>
            <w:tcBorders>
              <w:top w:val="single" w:color="auto" w:sz="4" w:space="0"/>
              <w:left w:val="nil"/>
              <w:bottom w:val="nil"/>
              <w:right w:val="single" w:color="auto" w:sz="4" w:space="0"/>
            </w:tcBorders>
            <w:shd w:val="clear" w:color="auto" w:fill="auto"/>
            <w:vAlign w:val="center"/>
          </w:tcPr>
          <w:p w14:paraId="2D14D958">
            <w:pPr>
              <w:widowControl/>
              <w:jc w:val="center"/>
              <w:rPr>
                <w:rFonts w:ascii="宋体" w:cs="宋体"/>
                <w:color w:val="000000"/>
                <w:sz w:val="24"/>
              </w:rPr>
            </w:pPr>
            <w:r>
              <w:rPr>
                <w:rFonts w:hint="eastAsia" w:ascii="宋体" w:cs="宋体"/>
                <w:color w:val="000000"/>
                <w:sz w:val="24"/>
              </w:rPr>
              <w:t xml:space="preserve"> 5≤X＜20</w:t>
            </w:r>
          </w:p>
        </w:tc>
        <w:tc>
          <w:tcPr>
            <w:tcW w:w="993" w:type="dxa"/>
            <w:tcBorders>
              <w:top w:val="single" w:color="auto" w:sz="4" w:space="0"/>
              <w:left w:val="nil"/>
              <w:bottom w:val="nil"/>
              <w:right w:val="single" w:color="auto" w:sz="4" w:space="0"/>
            </w:tcBorders>
            <w:shd w:val="clear" w:color="auto" w:fill="auto"/>
            <w:vAlign w:val="center"/>
          </w:tcPr>
          <w:p w14:paraId="0329F6F3">
            <w:pPr>
              <w:widowControl/>
              <w:jc w:val="center"/>
              <w:rPr>
                <w:rFonts w:ascii="宋体" w:cs="宋体"/>
                <w:color w:val="000000"/>
                <w:sz w:val="24"/>
              </w:rPr>
            </w:pPr>
            <w:r>
              <w:rPr>
                <w:rFonts w:hint="eastAsia" w:ascii="宋体" w:cs="宋体"/>
                <w:color w:val="000000"/>
                <w:sz w:val="24"/>
              </w:rPr>
              <w:t>X＜5</w:t>
            </w:r>
          </w:p>
        </w:tc>
      </w:tr>
      <w:tr w14:paraId="4F2C1954">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53EC95CA"/>
        </w:tc>
        <w:tc>
          <w:tcPr>
            <w:tcW w:w="1373" w:type="dxa"/>
            <w:tcBorders>
              <w:top w:val="nil"/>
              <w:left w:val="nil"/>
              <w:bottom w:val="single" w:color="auto" w:sz="4" w:space="0"/>
              <w:right w:val="single" w:color="auto" w:sz="4" w:space="0"/>
            </w:tcBorders>
            <w:shd w:val="clear" w:color="auto" w:fill="auto"/>
            <w:vAlign w:val="center"/>
          </w:tcPr>
          <w:p w14:paraId="38C58699">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6DEC39E2">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5D12EF51">
            <w:pPr>
              <w:widowControl/>
              <w:jc w:val="center"/>
              <w:rPr>
                <w:rFonts w:ascii="宋体" w:cs="宋体"/>
                <w:color w:val="000000"/>
                <w:sz w:val="24"/>
              </w:rPr>
            </w:pPr>
            <w:r>
              <w:rPr>
                <w:rFonts w:hint="eastAsia" w:ascii="宋体" w:cs="宋体"/>
                <w:color w:val="000000"/>
                <w:sz w:val="24"/>
              </w:rPr>
              <w:t>Y≥40000</w:t>
            </w:r>
          </w:p>
        </w:tc>
        <w:tc>
          <w:tcPr>
            <w:tcW w:w="1707" w:type="dxa"/>
            <w:tcBorders>
              <w:top w:val="nil"/>
              <w:left w:val="nil"/>
              <w:bottom w:val="single" w:color="auto" w:sz="4" w:space="0"/>
              <w:right w:val="single" w:color="auto" w:sz="4" w:space="0"/>
            </w:tcBorders>
            <w:shd w:val="clear" w:color="auto" w:fill="auto"/>
            <w:vAlign w:val="center"/>
          </w:tcPr>
          <w:p w14:paraId="7CFDA251">
            <w:pPr>
              <w:widowControl/>
              <w:jc w:val="center"/>
              <w:rPr>
                <w:rFonts w:ascii="宋体" w:cs="宋体"/>
                <w:color w:val="000000"/>
                <w:sz w:val="24"/>
              </w:rPr>
            </w:pPr>
            <w:r>
              <w:rPr>
                <w:rFonts w:hint="eastAsia" w:ascii="宋体" w:cs="宋体"/>
                <w:color w:val="000000"/>
                <w:sz w:val="24"/>
              </w:rPr>
              <w:t>5000≤Y＜40000</w:t>
            </w:r>
          </w:p>
        </w:tc>
        <w:tc>
          <w:tcPr>
            <w:tcW w:w="1429" w:type="dxa"/>
            <w:tcBorders>
              <w:top w:val="nil"/>
              <w:left w:val="nil"/>
              <w:bottom w:val="single" w:color="auto" w:sz="4" w:space="0"/>
              <w:right w:val="single" w:color="auto" w:sz="4" w:space="0"/>
            </w:tcBorders>
            <w:shd w:val="clear" w:color="auto" w:fill="auto"/>
            <w:vAlign w:val="center"/>
          </w:tcPr>
          <w:p w14:paraId="22A1DA82">
            <w:pPr>
              <w:widowControl/>
              <w:ind w:left="-1" w:leftChars="-1" w:hanging="1"/>
              <w:jc w:val="center"/>
              <w:rPr>
                <w:rFonts w:ascii="宋体" w:cs="宋体"/>
                <w:color w:val="000000"/>
                <w:sz w:val="24"/>
              </w:rPr>
            </w:pPr>
            <w:r>
              <w:rPr>
                <w:rFonts w:hint="eastAsia" w:ascii="宋体" w:cs="宋体"/>
                <w:color w:val="000000"/>
                <w:sz w:val="24"/>
              </w:rPr>
              <w:t>1000≤Y＜5000</w:t>
            </w:r>
          </w:p>
        </w:tc>
        <w:tc>
          <w:tcPr>
            <w:tcW w:w="993" w:type="dxa"/>
            <w:tcBorders>
              <w:top w:val="nil"/>
              <w:left w:val="nil"/>
              <w:bottom w:val="single" w:color="auto" w:sz="4" w:space="0"/>
              <w:right w:val="single" w:color="auto" w:sz="4" w:space="0"/>
            </w:tcBorders>
            <w:shd w:val="clear" w:color="auto" w:fill="auto"/>
            <w:vAlign w:val="center"/>
          </w:tcPr>
          <w:p w14:paraId="0AB6243E">
            <w:pPr>
              <w:widowControl/>
              <w:jc w:val="center"/>
              <w:rPr>
                <w:rFonts w:ascii="宋体" w:cs="宋体"/>
                <w:color w:val="000000"/>
                <w:sz w:val="24"/>
              </w:rPr>
            </w:pPr>
            <w:r>
              <w:rPr>
                <w:rFonts w:hint="eastAsia" w:ascii="宋体" w:cs="宋体"/>
                <w:color w:val="000000"/>
                <w:sz w:val="24"/>
              </w:rPr>
              <w:t>Y＜1000</w:t>
            </w:r>
          </w:p>
        </w:tc>
      </w:tr>
      <w:tr w14:paraId="5896E283">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7B4C9096">
            <w:pPr>
              <w:widowControl/>
              <w:spacing w:line="240" w:lineRule="exact"/>
              <w:rPr>
                <w:rFonts w:ascii="宋体" w:cs="宋体"/>
                <w:color w:val="000000"/>
                <w:sz w:val="24"/>
              </w:rPr>
            </w:pPr>
            <w:r>
              <w:rPr>
                <w:rFonts w:hint="eastAsia" w:ascii="宋体" w:cs="宋体"/>
                <w:color w:val="000000"/>
                <w:sz w:val="24"/>
              </w:rPr>
              <w:t>零售业</w:t>
            </w:r>
          </w:p>
        </w:tc>
        <w:tc>
          <w:tcPr>
            <w:tcW w:w="1373" w:type="dxa"/>
            <w:tcBorders>
              <w:top w:val="nil"/>
              <w:left w:val="nil"/>
              <w:bottom w:val="nil"/>
              <w:right w:val="single" w:color="auto" w:sz="4" w:space="0"/>
            </w:tcBorders>
            <w:shd w:val="clear" w:color="auto" w:fill="auto"/>
            <w:vAlign w:val="center"/>
          </w:tcPr>
          <w:p w14:paraId="3E22C6C8">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083DD03F">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79434809">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nil"/>
              <w:right w:val="single" w:color="auto" w:sz="4" w:space="0"/>
            </w:tcBorders>
            <w:shd w:val="clear" w:color="auto" w:fill="auto"/>
            <w:vAlign w:val="center"/>
          </w:tcPr>
          <w:p w14:paraId="252FFF79">
            <w:pPr>
              <w:widowControl/>
              <w:jc w:val="center"/>
              <w:rPr>
                <w:rFonts w:ascii="宋体" w:cs="宋体"/>
                <w:color w:val="000000"/>
                <w:sz w:val="24"/>
              </w:rPr>
            </w:pPr>
            <w:r>
              <w:rPr>
                <w:rFonts w:hint="eastAsia" w:ascii="宋体" w:cs="宋体"/>
                <w:color w:val="000000"/>
                <w:sz w:val="24"/>
              </w:rPr>
              <w:t>50≤X＜300</w:t>
            </w:r>
          </w:p>
        </w:tc>
        <w:tc>
          <w:tcPr>
            <w:tcW w:w="1429" w:type="dxa"/>
            <w:tcBorders>
              <w:top w:val="nil"/>
              <w:left w:val="nil"/>
              <w:bottom w:val="nil"/>
              <w:right w:val="single" w:color="auto" w:sz="4" w:space="0"/>
            </w:tcBorders>
            <w:shd w:val="clear" w:color="auto" w:fill="auto"/>
            <w:vAlign w:val="center"/>
          </w:tcPr>
          <w:p w14:paraId="2962563D">
            <w:pPr>
              <w:widowControl/>
              <w:ind w:left="-1" w:leftChars="-1" w:hanging="1"/>
              <w:jc w:val="center"/>
              <w:rPr>
                <w:rFonts w:ascii="宋体" w:cs="宋体"/>
                <w:color w:val="000000"/>
                <w:sz w:val="24"/>
              </w:rPr>
            </w:pPr>
            <w:r>
              <w:rPr>
                <w:rFonts w:hint="eastAsia" w:ascii="宋体" w:cs="宋体"/>
                <w:color w:val="000000"/>
                <w:sz w:val="24"/>
              </w:rPr>
              <w:t xml:space="preserve">10≤X＜50 </w:t>
            </w:r>
          </w:p>
        </w:tc>
        <w:tc>
          <w:tcPr>
            <w:tcW w:w="993" w:type="dxa"/>
            <w:tcBorders>
              <w:top w:val="nil"/>
              <w:left w:val="nil"/>
              <w:bottom w:val="nil"/>
              <w:right w:val="single" w:color="auto" w:sz="4" w:space="0"/>
            </w:tcBorders>
            <w:shd w:val="clear" w:color="auto" w:fill="auto"/>
            <w:vAlign w:val="center"/>
          </w:tcPr>
          <w:p w14:paraId="1E56A53D">
            <w:pPr>
              <w:widowControl/>
              <w:jc w:val="center"/>
              <w:rPr>
                <w:rFonts w:ascii="宋体" w:cs="宋体"/>
                <w:color w:val="000000"/>
                <w:sz w:val="24"/>
              </w:rPr>
            </w:pPr>
            <w:r>
              <w:rPr>
                <w:rFonts w:hint="eastAsia" w:ascii="宋体" w:cs="宋体"/>
                <w:color w:val="000000"/>
                <w:sz w:val="24"/>
              </w:rPr>
              <w:t>X＜10</w:t>
            </w:r>
          </w:p>
        </w:tc>
      </w:tr>
      <w:tr w14:paraId="2EAA668D">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641D0D0A"/>
        </w:tc>
        <w:tc>
          <w:tcPr>
            <w:tcW w:w="1373" w:type="dxa"/>
            <w:tcBorders>
              <w:top w:val="nil"/>
              <w:left w:val="nil"/>
              <w:bottom w:val="single" w:color="auto" w:sz="4" w:space="0"/>
              <w:right w:val="single" w:color="auto" w:sz="4" w:space="0"/>
            </w:tcBorders>
            <w:shd w:val="clear" w:color="auto" w:fill="auto"/>
            <w:vAlign w:val="center"/>
          </w:tcPr>
          <w:p w14:paraId="48C285C1">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5DEC9354">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272BEE1F">
            <w:pPr>
              <w:widowControl/>
              <w:jc w:val="center"/>
              <w:rPr>
                <w:rFonts w:ascii="宋体" w:cs="宋体"/>
                <w:color w:val="000000"/>
                <w:sz w:val="24"/>
              </w:rPr>
            </w:pPr>
            <w:r>
              <w:rPr>
                <w:rFonts w:hint="eastAsia" w:ascii="宋体" w:cs="宋体"/>
                <w:color w:val="000000"/>
                <w:sz w:val="24"/>
              </w:rPr>
              <w:t>Y≥20000</w:t>
            </w:r>
          </w:p>
        </w:tc>
        <w:tc>
          <w:tcPr>
            <w:tcW w:w="1707" w:type="dxa"/>
            <w:tcBorders>
              <w:top w:val="nil"/>
              <w:left w:val="nil"/>
              <w:bottom w:val="single" w:color="auto" w:sz="4" w:space="0"/>
              <w:right w:val="single" w:color="auto" w:sz="4" w:space="0"/>
            </w:tcBorders>
            <w:shd w:val="clear" w:color="auto" w:fill="auto"/>
            <w:vAlign w:val="center"/>
          </w:tcPr>
          <w:p w14:paraId="17A8E136">
            <w:pPr>
              <w:widowControl/>
              <w:jc w:val="center"/>
              <w:rPr>
                <w:rFonts w:ascii="宋体" w:cs="宋体"/>
                <w:color w:val="000000"/>
                <w:sz w:val="24"/>
              </w:rPr>
            </w:pPr>
            <w:r>
              <w:rPr>
                <w:rFonts w:hint="eastAsia" w:ascii="宋体" w:cs="宋体"/>
                <w:color w:val="000000"/>
                <w:sz w:val="24"/>
              </w:rPr>
              <w:t xml:space="preserve"> 500≤Y＜20000</w:t>
            </w:r>
          </w:p>
        </w:tc>
        <w:tc>
          <w:tcPr>
            <w:tcW w:w="1429" w:type="dxa"/>
            <w:tcBorders>
              <w:top w:val="nil"/>
              <w:left w:val="nil"/>
              <w:bottom w:val="single" w:color="auto" w:sz="4" w:space="0"/>
              <w:right w:val="single" w:color="auto" w:sz="4" w:space="0"/>
            </w:tcBorders>
            <w:shd w:val="clear" w:color="auto" w:fill="auto"/>
            <w:vAlign w:val="center"/>
          </w:tcPr>
          <w:p w14:paraId="0BB0E94E">
            <w:pPr>
              <w:widowControl/>
              <w:ind w:left="-1" w:leftChars="-1" w:hanging="1"/>
              <w:jc w:val="center"/>
              <w:rPr>
                <w:rFonts w:ascii="宋体" w:cs="宋体"/>
                <w:color w:val="000000"/>
                <w:sz w:val="24"/>
              </w:rPr>
            </w:pPr>
            <w:r>
              <w:rPr>
                <w:rFonts w:hint="eastAsia" w:ascii="宋体" w:cs="宋体"/>
                <w:color w:val="000000"/>
                <w:sz w:val="24"/>
              </w:rPr>
              <w:t xml:space="preserve">100≤Y＜500 </w:t>
            </w:r>
          </w:p>
        </w:tc>
        <w:tc>
          <w:tcPr>
            <w:tcW w:w="993" w:type="dxa"/>
            <w:tcBorders>
              <w:top w:val="nil"/>
              <w:left w:val="nil"/>
              <w:bottom w:val="single" w:color="auto" w:sz="4" w:space="0"/>
              <w:right w:val="single" w:color="auto" w:sz="4" w:space="0"/>
            </w:tcBorders>
            <w:shd w:val="clear" w:color="auto" w:fill="auto"/>
            <w:vAlign w:val="center"/>
          </w:tcPr>
          <w:p w14:paraId="14D74141">
            <w:pPr>
              <w:widowControl/>
              <w:jc w:val="center"/>
              <w:rPr>
                <w:rFonts w:ascii="宋体" w:cs="宋体"/>
                <w:color w:val="000000"/>
                <w:sz w:val="24"/>
              </w:rPr>
            </w:pPr>
            <w:r>
              <w:rPr>
                <w:rFonts w:hint="eastAsia" w:ascii="宋体" w:cs="宋体"/>
                <w:color w:val="000000"/>
                <w:sz w:val="24"/>
              </w:rPr>
              <w:t>Y＜100</w:t>
            </w:r>
          </w:p>
        </w:tc>
      </w:tr>
      <w:tr w14:paraId="1C363287">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6A0FB8E7">
            <w:pPr>
              <w:widowControl/>
              <w:spacing w:line="240" w:lineRule="exact"/>
              <w:rPr>
                <w:rFonts w:ascii="宋体" w:cs="宋体"/>
                <w:color w:val="000000"/>
                <w:sz w:val="24"/>
              </w:rPr>
            </w:pPr>
            <w:r>
              <w:rPr>
                <w:rFonts w:hint="eastAsia" w:ascii="宋体" w:cs="宋体"/>
                <w:color w:val="000000"/>
                <w:sz w:val="24"/>
              </w:rPr>
              <w:t>交通运输业 *</w:t>
            </w:r>
          </w:p>
        </w:tc>
        <w:tc>
          <w:tcPr>
            <w:tcW w:w="1373" w:type="dxa"/>
            <w:tcBorders>
              <w:top w:val="nil"/>
              <w:left w:val="nil"/>
              <w:bottom w:val="nil"/>
              <w:right w:val="single" w:color="auto" w:sz="4" w:space="0"/>
            </w:tcBorders>
            <w:shd w:val="clear" w:color="auto" w:fill="auto"/>
            <w:vAlign w:val="center"/>
          </w:tcPr>
          <w:p w14:paraId="316EADB0">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3B266D3B">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41235964">
            <w:pPr>
              <w:widowControl/>
              <w:jc w:val="center"/>
              <w:rPr>
                <w:rFonts w:ascii="宋体" w:cs="宋体"/>
                <w:color w:val="000000"/>
                <w:sz w:val="24"/>
              </w:rPr>
            </w:pPr>
            <w:r>
              <w:rPr>
                <w:rFonts w:hint="eastAsia" w:ascii="宋体" w:cs="宋体"/>
                <w:color w:val="000000"/>
                <w:sz w:val="24"/>
              </w:rPr>
              <w:t>X≥1000</w:t>
            </w:r>
          </w:p>
        </w:tc>
        <w:tc>
          <w:tcPr>
            <w:tcW w:w="1707" w:type="dxa"/>
            <w:tcBorders>
              <w:top w:val="nil"/>
              <w:left w:val="nil"/>
              <w:bottom w:val="nil"/>
              <w:right w:val="single" w:color="auto" w:sz="4" w:space="0"/>
            </w:tcBorders>
            <w:shd w:val="clear" w:color="auto" w:fill="auto"/>
            <w:vAlign w:val="center"/>
          </w:tcPr>
          <w:p w14:paraId="206D675F">
            <w:pPr>
              <w:widowControl/>
              <w:jc w:val="center"/>
              <w:rPr>
                <w:rFonts w:ascii="宋体" w:cs="宋体"/>
                <w:color w:val="000000"/>
                <w:sz w:val="24"/>
              </w:rPr>
            </w:pPr>
            <w:r>
              <w:rPr>
                <w:rFonts w:hint="eastAsia" w:ascii="宋体" w:cs="宋体"/>
                <w:color w:val="000000"/>
                <w:sz w:val="24"/>
              </w:rPr>
              <w:t>300≤X＜1000</w:t>
            </w:r>
          </w:p>
        </w:tc>
        <w:tc>
          <w:tcPr>
            <w:tcW w:w="1429" w:type="dxa"/>
            <w:tcBorders>
              <w:top w:val="nil"/>
              <w:left w:val="nil"/>
              <w:bottom w:val="nil"/>
              <w:right w:val="single" w:color="auto" w:sz="4" w:space="0"/>
            </w:tcBorders>
            <w:shd w:val="clear" w:color="auto" w:fill="auto"/>
            <w:vAlign w:val="center"/>
          </w:tcPr>
          <w:p w14:paraId="4F5716F0">
            <w:pPr>
              <w:widowControl/>
              <w:jc w:val="center"/>
              <w:rPr>
                <w:rFonts w:ascii="宋体" w:cs="宋体"/>
                <w:color w:val="000000"/>
                <w:sz w:val="24"/>
              </w:rPr>
            </w:pPr>
            <w:r>
              <w:rPr>
                <w:rFonts w:hint="eastAsia" w:ascii="宋体" w:cs="宋体"/>
                <w:color w:val="000000"/>
                <w:sz w:val="24"/>
              </w:rPr>
              <w:t xml:space="preserve"> 20≤X＜300</w:t>
            </w:r>
          </w:p>
        </w:tc>
        <w:tc>
          <w:tcPr>
            <w:tcW w:w="993" w:type="dxa"/>
            <w:tcBorders>
              <w:top w:val="nil"/>
              <w:left w:val="nil"/>
              <w:bottom w:val="nil"/>
              <w:right w:val="single" w:color="auto" w:sz="4" w:space="0"/>
            </w:tcBorders>
            <w:shd w:val="clear" w:color="auto" w:fill="auto"/>
            <w:vAlign w:val="center"/>
          </w:tcPr>
          <w:p w14:paraId="76D85EAD">
            <w:pPr>
              <w:widowControl/>
              <w:jc w:val="center"/>
              <w:rPr>
                <w:rFonts w:ascii="宋体" w:cs="宋体"/>
                <w:color w:val="000000"/>
                <w:sz w:val="24"/>
              </w:rPr>
            </w:pPr>
            <w:r>
              <w:rPr>
                <w:rFonts w:hint="eastAsia" w:ascii="宋体" w:cs="宋体"/>
                <w:color w:val="000000"/>
                <w:sz w:val="24"/>
              </w:rPr>
              <w:t>X＜20</w:t>
            </w:r>
          </w:p>
        </w:tc>
      </w:tr>
      <w:tr w14:paraId="02969D65">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7F242488"/>
        </w:tc>
        <w:tc>
          <w:tcPr>
            <w:tcW w:w="1373" w:type="dxa"/>
            <w:tcBorders>
              <w:top w:val="nil"/>
              <w:left w:val="nil"/>
              <w:bottom w:val="single" w:color="auto" w:sz="4" w:space="0"/>
              <w:right w:val="single" w:color="auto" w:sz="4" w:space="0"/>
            </w:tcBorders>
            <w:shd w:val="clear" w:color="auto" w:fill="auto"/>
            <w:vAlign w:val="center"/>
          </w:tcPr>
          <w:p w14:paraId="36E5F1A1">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34AD42C2">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10D066A1">
            <w:pPr>
              <w:widowControl/>
              <w:jc w:val="center"/>
              <w:rPr>
                <w:rFonts w:ascii="宋体" w:cs="宋体"/>
                <w:color w:val="000000"/>
                <w:sz w:val="24"/>
              </w:rPr>
            </w:pPr>
            <w:r>
              <w:rPr>
                <w:rFonts w:hint="eastAsia" w:ascii="宋体" w:cs="宋体"/>
                <w:color w:val="000000"/>
                <w:sz w:val="24"/>
              </w:rPr>
              <w:t>Y≥30000</w:t>
            </w:r>
          </w:p>
        </w:tc>
        <w:tc>
          <w:tcPr>
            <w:tcW w:w="1707" w:type="dxa"/>
            <w:tcBorders>
              <w:top w:val="nil"/>
              <w:left w:val="nil"/>
              <w:bottom w:val="single" w:color="auto" w:sz="4" w:space="0"/>
              <w:right w:val="single" w:color="auto" w:sz="4" w:space="0"/>
            </w:tcBorders>
            <w:shd w:val="clear" w:color="auto" w:fill="auto"/>
            <w:vAlign w:val="center"/>
          </w:tcPr>
          <w:p w14:paraId="7613E815">
            <w:pPr>
              <w:widowControl/>
              <w:jc w:val="center"/>
              <w:rPr>
                <w:rFonts w:ascii="宋体" w:cs="宋体"/>
                <w:color w:val="000000"/>
                <w:sz w:val="24"/>
              </w:rPr>
            </w:pPr>
            <w:r>
              <w:rPr>
                <w:rFonts w:hint="eastAsia" w:ascii="宋体" w:cs="宋体"/>
                <w:color w:val="000000"/>
                <w:sz w:val="24"/>
              </w:rPr>
              <w:t>3000≤Y＜30000</w:t>
            </w:r>
          </w:p>
        </w:tc>
        <w:tc>
          <w:tcPr>
            <w:tcW w:w="1429" w:type="dxa"/>
            <w:tcBorders>
              <w:top w:val="nil"/>
              <w:left w:val="nil"/>
              <w:bottom w:val="single" w:color="auto" w:sz="4" w:space="0"/>
              <w:right w:val="single" w:color="auto" w:sz="4" w:space="0"/>
            </w:tcBorders>
            <w:shd w:val="clear" w:color="auto" w:fill="auto"/>
            <w:vAlign w:val="center"/>
          </w:tcPr>
          <w:p w14:paraId="21CA5CFC">
            <w:pPr>
              <w:widowControl/>
              <w:jc w:val="center"/>
              <w:rPr>
                <w:rFonts w:ascii="宋体" w:cs="宋体"/>
                <w:color w:val="000000"/>
                <w:sz w:val="24"/>
              </w:rPr>
            </w:pPr>
            <w:r>
              <w:rPr>
                <w:rFonts w:hint="eastAsia" w:ascii="宋体" w:cs="宋体"/>
                <w:color w:val="000000"/>
                <w:sz w:val="24"/>
              </w:rPr>
              <w:t xml:space="preserve"> 200≤Y＜3000</w:t>
            </w:r>
          </w:p>
        </w:tc>
        <w:tc>
          <w:tcPr>
            <w:tcW w:w="993" w:type="dxa"/>
            <w:tcBorders>
              <w:top w:val="nil"/>
              <w:left w:val="nil"/>
              <w:bottom w:val="single" w:color="auto" w:sz="4" w:space="0"/>
              <w:right w:val="single" w:color="auto" w:sz="4" w:space="0"/>
            </w:tcBorders>
            <w:shd w:val="clear" w:color="auto" w:fill="auto"/>
            <w:vAlign w:val="center"/>
          </w:tcPr>
          <w:p w14:paraId="46C9D3FC">
            <w:pPr>
              <w:widowControl/>
              <w:jc w:val="center"/>
              <w:rPr>
                <w:rFonts w:ascii="宋体" w:cs="宋体"/>
                <w:color w:val="000000"/>
                <w:sz w:val="24"/>
              </w:rPr>
            </w:pPr>
            <w:r>
              <w:rPr>
                <w:rFonts w:hint="eastAsia" w:ascii="宋体" w:cs="宋体"/>
                <w:color w:val="000000"/>
                <w:sz w:val="24"/>
              </w:rPr>
              <w:t>Y＜200</w:t>
            </w:r>
          </w:p>
        </w:tc>
      </w:tr>
      <w:tr w14:paraId="179EDDF0">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6D1E65D3">
            <w:pPr>
              <w:widowControl/>
              <w:spacing w:line="240" w:lineRule="exact"/>
              <w:rPr>
                <w:rFonts w:ascii="宋体" w:cs="宋体"/>
                <w:color w:val="000000"/>
                <w:sz w:val="24"/>
              </w:rPr>
            </w:pPr>
            <w:r>
              <w:rPr>
                <w:rFonts w:hint="eastAsia" w:ascii="宋体" w:cs="宋体"/>
                <w:color w:val="000000"/>
                <w:sz w:val="24"/>
              </w:rPr>
              <w:t>仓储业*</w:t>
            </w:r>
          </w:p>
        </w:tc>
        <w:tc>
          <w:tcPr>
            <w:tcW w:w="1373" w:type="dxa"/>
            <w:tcBorders>
              <w:top w:val="nil"/>
              <w:left w:val="nil"/>
              <w:bottom w:val="nil"/>
              <w:right w:val="single" w:color="auto" w:sz="4" w:space="0"/>
            </w:tcBorders>
            <w:shd w:val="clear" w:color="auto" w:fill="auto"/>
            <w:vAlign w:val="center"/>
          </w:tcPr>
          <w:p w14:paraId="52C790AD">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620F5480">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38C8FB03">
            <w:pPr>
              <w:widowControl/>
              <w:jc w:val="center"/>
              <w:rPr>
                <w:rFonts w:ascii="宋体" w:cs="宋体"/>
                <w:color w:val="000000"/>
                <w:sz w:val="24"/>
              </w:rPr>
            </w:pPr>
            <w:r>
              <w:rPr>
                <w:rFonts w:hint="eastAsia" w:ascii="宋体" w:cs="宋体"/>
                <w:color w:val="000000"/>
                <w:sz w:val="24"/>
              </w:rPr>
              <w:t>X≥200</w:t>
            </w:r>
          </w:p>
        </w:tc>
        <w:tc>
          <w:tcPr>
            <w:tcW w:w="1707" w:type="dxa"/>
            <w:tcBorders>
              <w:top w:val="nil"/>
              <w:left w:val="nil"/>
              <w:bottom w:val="nil"/>
              <w:right w:val="single" w:color="auto" w:sz="4" w:space="0"/>
            </w:tcBorders>
            <w:shd w:val="clear" w:color="auto" w:fill="auto"/>
            <w:vAlign w:val="center"/>
          </w:tcPr>
          <w:p w14:paraId="395218A4">
            <w:pPr>
              <w:widowControl/>
              <w:ind w:left="37" w:leftChars="-51" w:hanging="144" w:hangingChars="60"/>
              <w:jc w:val="center"/>
              <w:rPr>
                <w:rFonts w:ascii="宋体" w:cs="宋体"/>
                <w:color w:val="000000"/>
                <w:sz w:val="24"/>
              </w:rPr>
            </w:pPr>
            <w:r>
              <w:rPr>
                <w:rFonts w:hint="eastAsia" w:ascii="宋体" w:cs="宋体"/>
                <w:color w:val="000000"/>
                <w:sz w:val="24"/>
              </w:rPr>
              <w:t>100≤X＜200</w:t>
            </w:r>
          </w:p>
        </w:tc>
        <w:tc>
          <w:tcPr>
            <w:tcW w:w="1429" w:type="dxa"/>
            <w:tcBorders>
              <w:top w:val="nil"/>
              <w:left w:val="nil"/>
              <w:bottom w:val="nil"/>
              <w:right w:val="single" w:color="auto" w:sz="4" w:space="0"/>
            </w:tcBorders>
            <w:shd w:val="clear" w:color="auto" w:fill="auto"/>
            <w:vAlign w:val="center"/>
          </w:tcPr>
          <w:p w14:paraId="02E6CA80">
            <w:pPr>
              <w:widowControl/>
              <w:jc w:val="center"/>
              <w:rPr>
                <w:rFonts w:ascii="宋体" w:cs="宋体"/>
                <w:color w:val="000000"/>
                <w:sz w:val="24"/>
              </w:rPr>
            </w:pPr>
            <w:r>
              <w:rPr>
                <w:rFonts w:hint="eastAsia" w:ascii="宋体" w:cs="宋体"/>
                <w:color w:val="000000"/>
                <w:sz w:val="24"/>
              </w:rPr>
              <w:t xml:space="preserve"> 20≤X＜100</w:t>
            </w:r>
          </w:p>
        </w:tc>
        <w:tc>
          <w:tcPr>
            <w:tcW w:w="993" w:type="dxa"/>
            <w:tcBorders>
              <w:top w:val="nil"/>
              <w:left w:val="nil"/>
              <w:bottom w:val="nil"/>
              <w:right w:val="single" w:color="auto" w:sz="4" w:space="0"/>
            </w:tcBorders>
            <w:shd w:val="clear" w:color="auto" w:fill="auto"/>
            <w:vAlign w:val="center"/>
          </w:tcPr>
          <w:p w14:paraId="26D4513E">
            <w:pPr>
              <w:widowControl/>
              <w:jc w:val="center"/>
              <w:rPr>
                <w:rFonts w:ascii="宋体" w:cs="宋体"/>
                <w:color w:val="000000"/>
                <w:sz w:val="24"/>
              </w:rPr>
            </w:pPr>
            <w:r>
              <w:rPr>
                <w:rFonts w:hint="eastAsia" w:ascii="宋体" w:cs="宋体"/>
                <w:color w:val="000000"/>
                <w:sz w:val="24"/>
              </w:rPr>
              <w:t>X＜20</w:t>
            </w:r>
          </w:p>
        </w:tc>
      </w:tr>
      <w:tr w14:paraId="2F9B98B6">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62370394"/>
        </w:tc>
        <w:tc>
          <w:tcPr>
            <w:tcW w:w="1373" w:type="dxa"/>
            <w:tcBorders>
              <w:top w:val="nil"/>
              <w:left w:val="nil"/>
              <w:bottom w:val="single" w:color="auto" w:sz="4" w:space="0"/>
              <w:right w:val="single" w:color="auto" w:sz="4" w:space="0"/>
            </w:tcBorders>
            <w:shd w:val="clear" w:color="auto" w:fill="auto"/>
            <w:vAlign w:val="center"/>
          </w:tcPr>
          <w:p w14:paraId="197B3755">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1DB047A7">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021164D9">
            <w:pPr>
              <w:widowControl/>
              <w:jc w:val="center"/>
              <w:rPr>
                <w:rFonts w:ascii="宋体" w:cs="宋体"/>
                <w:color w:val="000000"/>
                <w:sz w:val="24"/>
              </w:rPr>
            </w:pPr>
            <w:r>
              <w:rPr>
                <w:rFonts w:hint="eastAsia" w:ascii="宋体" w:cs="宋体"/>
                <w:color w:val="000000"/>
                <w:sz w:val="24"/>
              </w:rPr>
              <w:t>Y≥30000</w:t>
            </w:r>
          </w:p>
        </w:tc>
        <w:tc>
          <w:tcPr>
            <w:tcW w:w="1707" w:type="dxa"/>
            <w:tcBorders>
              <w:top w:val="nil"/>
              <w:left w:val="nil"/>
              <w:bottom w:val="single" w:color="auto" w:sz="4" w:space="0"/>
              <w:right w:val="single" w:color="auto" w:sz="4" w:space="0"/>
            </w:tcBorders>
            <w:shd w:val="clear" w:color="auto" w:fill="auto"/>
            <w:vAlign w:val="center"/>
          </w:tcPr>
          <w:p w14:paraId="533EBED9">
            <w:pPr>
              <w:widowControl/>
              <w:jc w:val="center"/>
              <w:rPr>
                <w:rFonts w:ascii="宋体" w:cs="宋体"/>
                <w:color w:val="000000"/>
                <w:sz w:val="24"/>
              </w:rPr>
            </w:pPr>
            <w:r>
              <w:rPr>
                <w:rFonts w:hint="eastAsia" w:ascii="宋体" w:cs="宋体"/>
                <w:color w:val="000000"/>
                <w:sz w:val="24"/>
              </w:rPr>
              <w:t>1000≤Y＜30000</w:t>
            </w:r>
          </w:p>
        </w:tc>
        <w:tc>
          <w:tcPr>
            <w:tcW w:w="1429" w:type="dxa"/>
            <w:tcBorders>
              <w:top w:val="nil"/>
              <w:left w:val="nil"/>
              <w:bottom w:val="single" w:color="auto" w:sz="4" w:space="0"/>
              <w:right w:val="single" w:color="auto" w:sz="4" w:space="0"/>
            </w:tcBorders>
            <w:shd w:val="clear" w:color="auto" w:fill="auto"/>
            <w:vAlign w:val="center"/>
          </w:tcPr>
          <w:p w14:paraId="0A513C64">
            <w:pPr>
              <w:widowControl/>
              <w:jc w:val="center"/>
              <w:rPr>
                <w:rFonts w:ascii="宋体" w:cs="宋体"/>
                <w:color w:val="000000"/>
                <w:sz w:val="24"/>
              </w:rPr>
            </w:pPr>
            <w:r>
              <w:rPr>
                <w:rFonts w:hint="eastAsia" w:ascii="宋体" w:cs="宋体"/>
                <w:color w:val="000000"/>
                <w:sz w:val="24"/>
              </w:rPr>
              <w:t xml:space="preserve"> 100≤Y＜1000</w:t>
            </w:r>
          </w:p>
        </w:tc>
        <w:tc>
          <w:tcPr>
            <w:tcW w:w="993" w:type="dxa"/>
            <w:tcBorders>
              <w:top w:val="nil"/>
              <w:left w:val="nil"/>
              <w:bottom w:val="single" w:color="auto" w:sz="4" w:space="0"/>
              <w:right w:val="single" w:color="auto" w:sz="4" w:space="0"/>
            </w:tcBorders>
            <w:shd w:val="clear" w:color="auto" w:fill="auto"/>
            <w:vAlign w:val="center"/>
          </w:tcPr>
          <w:p w14:paraId="6A9ABDCF">
            <w:pPr>
              <w:widowControl/>
              <w:jc w:val="center"/>
              <w:rPr>
                <w:rFonts w:ascii="宋体" w:cs="宋体"/>
                <w:color w:val="000000"/>
                <w:sz w:val="24"/>
              </w:rPr>
            </w:pPr>
            <w:r>
              <w:rPr>
                <w:rFonts w:hint="eastAsia" w:ascii="宋体" w:cs="宋体"/>
                <w:color w:val="000000"/>
                <w:sz w:val="24"/>
              </w:rPr>
              <w:t>Y＜100</w:t>
            </w:r>
          </w:p>
        </w:tc>
      </w:tr>
      <w:tr w14:paraId="6680DB61">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6CCB8B9A">
            <w:pPr>
              <w:widowControl/>
              <w:spacing w:line="240" w:lineRule="exact"/>
              <w:rPr>
                <w:rFonts w:ascii="宋体" w:cs="宋体"/>
                <w:color w:val="000000"/>
                <w:sz w:val="24"/>
              </w:rPr>
            </w:pPr>
            <w:r>
              <w:rPr>
                <w:rFonts w:hint="eastAsia" w:ascii="宋体" w:cs="宋体"/>
                <w:color w:val="000000"/>
                <w:sz w:val="24"/>
              </w:rPr>
              <w:t>邮政业</w:t>
            </w:r>
          </w:p>
        </w:tc>
        <w:tc>
          <w:tcPr>
            <w:tcW w:w="1373" w:type="dxa"/>
            <w:tcBorders>
              <w:top w:val="nil"/>
              <w:left w:val="nil"/>
              <w:bottom w:val="nil"/>
              <w:right w:val="single" w:color="auto" w:sz="4" w:space="0"/>
            </w:tcBorders>
            <w:shd w:val="clear" w:color="auto" w:fill="auto"/>
            <w:vAlign w:val="center"/>
          </w:tcPr>
          <w:p w14:paraId="7AF448A8">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5E5B72B7">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6C45A335">
            <w:pPr>
              <w:widowControl/>
              <w:jc w:val="center"/>
              <w:rPr>
                <w:rFonts w:ascii="宋体" w:cs="宋体"/>
                <w:color w:val="000000"/>
                <w:sz w:val="24"/>
              </w:rPr>
            </w:pPr>
            <w:r>
              <w:rPr>
                <w:rFonts w:hint="eastAsia" w:ascii="宋体" w:cs="宋体"/>
                <w:color w:val="000000"/>
                <w:sz w:val="24"/>
              </w:rPr>
              <w:t>X≥1000</w:t>
            </w:r>
          </w:p>
        </w:tc>
        <w:tc>
          <w:tcPr>
            <w:tcW w:w="1707" w:type="dxa"/>
            <w:tcBorders>
              <w:top w:val="nil"/>
              <w:left w:val="nil"/>
              <w:bottom w:val="nil"/>
              <w:right w:val="single" w:color="auto" w:sz="4" w:space="0"/>
            </w:tcBorders>
            <w:shd w:val="clear" w:color="auto" w:fill="auto"/>
            <w:vAlign w:val="center"/>
          </w:tcPr>
          <w:p w14:paraId="22C63228">
            <w:pPr>
              <w:widowControl/>
              <w:jc w:val="center"/>
              <w:rPr>
                <w:rFonts w:ascii="宋体" w:cs="宋体"/>
                <w:color w:val="000000"/>
                <w:sz w:val="24"/>
              </w:rPr>
            </w:pPr>
            <w:r>
              <w:rPr>
                <w:rFonts w:hint="eastAsia" w:ascii="宋体" w:cs="宋体"/>
                <w:color w:val="000000"/>
                <w:sz w:val="24"/>
              </w:rPr>
              <w:t>300≤X＜1000</w:t>
            </w:r>
          </w:p>
        </w:tc>
        <w:tc>
          <w:tcPr>
            <w:tcW w:w="1429" w:type="dxa"/>
            <w:tcBorders>
              <w:top w:val="nil"/>
              <w:left w:val="nil"/>
              <w:bottom w:val="nil"/>
              <w:right w:val="single" w:color="auto" w:sz="4" w:space="0"/>
            </w:tcBorders>
            <w:shd w:val="clear" w:color="auto" w:fill="auto"/>
            <w:vAlign w:val="center"/>
          </w:tcPr>
          <w:p w14:paraId="726E07FF">
            <w:pPr>
              <w:widowControl/>
              <w:jc w:val="center"/>
              <w:rPr>
                <w:rFonts w:ascii="宋体" w:cs="宋体"/>
                <w:color w:val="000000"/>
                <w:sz w:val="24"/>
              </w:rPr>
            </w:pPr>
            <w:r>
              <w:rPr>
                <w:rFonts w:hint="eastAsia" w:ascii="宋体" w:cs="宋体"/>
                <w:color w:val="000000"/>
                <w:sz w:val="24"/>
              </w:rPr>
              <w:t xml:space="preserve"> 20≤X＜300</w:t>
            </w:r>
          </w:p>
        </w:tc>
        <w:tc>
          <w:tcPr>
            <w:tcW w:w="993" w:type="dxa"/>
            <w:tcBorders>
              <w:top w:val="nil"/>
              <w:left w:val="nil"/>
              <w:bottom w:val="nil"/>
              <w:right w:val="single" w:color="auto" w:sz="4" w:space="0"/>
            </w:tcBorders>
            <w:shd w:val="clear" w:color="auto" w:fill="auto"/>
            <w:vAlign w:val="center"/>
          </w:tcPr>
          <w:p w14:paraId="0EAE284D">
            <w:pPr>
              <w:widowControl/>
              <w:jc w:val="center"/>
              <w:rPr>
                <w:rFonts w:ascii="宋体" w:cs="宋体"/>
                <w:color w:val="000000"/>
                <w:sz w:val="24"/>
              </w:rPr>
            </w:pPr>
            <w:r>
              <w:rPr>
                <w:rFonts w:hint="eastAsia" w:ascii="宋体" w:cs="宋体"/>
                <w:color w:val="000000"/>
                <w:sz w:val="24"/>
              </w:rPr>
              <w:t>X＜20</w:t>
            </w:r>
          </w:p>
        </w:tc>
      </w:tr>
      <w:tr w14:paraId="3D934F5F">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55F8859A"/>
        </w:tc>
        <w:tc>
          <w:tcPr>
            <w:tcW w:w="1373" w:type="dxa"/>
            <w:tcBorders>
              <w:top w:val="nil"/>
              <w:left w:val="nil"/>
              <w:bottom w:val="single" w:color="auto" w:sz="4" w:space="0"/>
              <w:right w:val="single" w:color="auto" w:sz="4" w:space="0"/>
            </w:tcBorders>
            <w:shd w:val="clear" w:color="auto" w:fill="auto"/>
            <w:vAlign w:val="center"/>
          </w:tcPr>
          <w:p w14:paraId="55A487D4">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792A429B">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2A398320">
            <w:pPr>
              <w:widowControl/>
              <w:jc w:val="center"/>
              <w:rPr>
                <w:rFonts w:ascii="宋体" w:cs="宋体"/>
                <w:color w:val="000000"/>
                <w:sz w:val="24"/>
              </w:rPr>
            </w:pPr>
            <w:r>
              <w:rPr>
                <w:rFonts w:hint="eastAsia" w:ascii="宋体" w:cs="宋体"/>
                <w:color w:val="000000"/>
                <w:sz w:val="24"/>
              </w:rPr>
              <w:t>Y≥30000</w:t>
            </w:r>
          </w:p>
        </w:tc>
        <w:tc>
          <w:tcPr>
            <w:tcW w:w="1707" w:type="dxa"/>
            <w:tcBorders>
              <w:top w:val="nil"/>
              <w:left w:val="nil"/>
              <w:bottom w:val="single" w:color="auto" w:sz="4" w:space="0"/>
              <w:right w:val="single" w:color="auto" w:sz="4" w:space="0"/>
            </w:tcBorders>
            <w:shd w:val="clear" w:color="auto" w:fill="auto"/>
            <w:vAlign w:val="center"/>
          </w:tcPr>
          <w:p w14:paraId="36766051">
            <w:pPr>
              <w:widowControl/>
              <w:jc w:val="center"/>
              <w:rPr>
                <w:rFonts w:ascii="宋体" w:cs="宋体"/>
                <w:color w:val="000000"/>
                <w:sz w:val="24"/>
              </w:rPr>
            </w:pPr>
            <w:r>
              <w:rPr>
                <w:rFonts w:hint="eastAsia" w:ascii="宋体" w:cs="宋体"/>
                <w:color w:val="000000"/>
                <w:sz w:val="24"/>
              </w:rPr>
              <w:t>2000≤Y＜30000</w:t>
            </w:r>
          </w:p>
        </w:tc>
        <w:tc>
          <w:tcPr>
            <w:tcW w:w="1429" w:type="dxa"/>
            <w:tcBorders>
              <w:top w:val="nil"/>
              <w:left w:val="nil"/>
              <w:bottom w:val="single" w:color="auto" w:sz="4" w:space="0"/>
              <w:right w:val="single" w:color="auto" w:sz="4" w:space="0"/>
            </w:tcBorders>
            <w:shd w:val="clear" w:color="auto" w:fill="auto"/>
            <w:vAlign w:val="center"/>
          </w:tcPr>
          <w:p w14:paraId="0E893C41">
            <w:pPr>
              <w:widowControl/>
              <w:jc w:val="center"/>
              <w:rPr>
                <w:rFonts w:ascii="宋体" w:cs="宋体"/>
                <w:color w:val="000000"/>
                <w:sz w:val="24"/>
              </w:rPr>
            </w:pPr>
            <w:r>
              <w:rPr>
                <w:rFonts w:hint="eastAsia" w:ascii="宋体" w:cs="宋体"/>
                <w:color w:val="000000"/>
                <w:sz w:val="24"/>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2BB15E1A">
            <w:pPr>
              <w:widowControl/>
              <w:jc w:val="center"/>
              <w:rPr>
                <w:rFonts w:ascii="宋体" w:cs="宋体"/>
                <w:color w:val="000000"/>
                <w:sz w:val="24"/>
              </w:rPr>
            </w:pPr>
            <w:r>
              <w:rPr>
                <w:rFonts w:hint="eastAsia" w:ascii="宋体" w:cs="宋体"/>
                <w:color w:val="000000"/>
                <w:sz w:val="24"/>
              </w:rPr>
              <w:t>Y＜100</w:t>
            </w:r>
          </w:p>
        </w:tc>
      </w:tr>
      <w:tr w14:paraId="3FC52442">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5DD18F1B">
            <w:pPr>
              <w:widowControl/>
              <w:spacing w:line="240" w:lineRule="exact"/>
              <w:rPr>
                <w:rFonts w:ascii="宋体" w:cs="宋体"/>
                <w:color w:val="000000"/>
                <w:sz w:val="24"/>
              </w:rPr>
            </w:pPr>
            <w:r>
              <w:rPr>
                <w:rFonts w:hint="eastAsia" w:ascii="宋体" w:cs="宋体"/>
                <w:color w:val="000000"/>
                <w:sz w:val="24"/>
              </w:rPr>
              <w:t>住宿业</w:t>
            </w:r>
          </w:p>
        </w:tc>
        <w:tc>
          <w:tcPr>
            <w:tcW w:w="1373" w:type="dxa"/>
            <w:tcBorders>
              <w:top w:val="nil"/>
              <w:left w:val="nil"/>
              <w:bottom w:val="nil"/>
              <w:right w:val="single" w:color="auto" w:sz="4" w:space="0"/>
            </w:tcBorders>
            <w:shd w:val="clear" w:color="auto" w:fill="auto"/>
            <w:vAlign w:val="center"/>
          </w:tcPr>
          <w:p w14:paraId="7DCF4126">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0B39CC4F">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6FF89F1B">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nil"/>
              <w:right w:val="single" w:color="auto" w:sz="4" w:space="0"/>
            </w:tcBorders>
            <w:shd w:val="clear" w:color="auto" w:fill="auto"/>
            <w:vAlign w:val="center"/>
          </w:tcPr>
          <w:p w14:paraId="73A62EAE">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nil"/>
              <w:left w:val="nil"/>
              <w:bottom w:val="nil"/>
              <w:right w:val="single" w:color="auto" w:sz="4" w:space="0"/>
            </w:tcBorders>
            <w:shd w:val="clear" w:color="auto" w:fill="auto"/>
            <w:vAlign w:val="center"/>
          </w:tcPr>
          <w:p w14:paraId="4CAFEB84">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nil"/>
              <w:right w:val="single" w:color="auto" w:sz="4" w:space="0"/>
            </w:tcBorders>
            <w:shd w:val="clear" w:color="auto" w:fill="auto"/>
            <w:vAlign w:val="center"/>
          </w:tcPr>
          <w:p w14:paraId="43206EFE">
            <w:pPr>
              <w:widowControl/>
              <w:jc w:val="center"/>
              <w:rPr>
                <w:rFonts w:ascii="宋体" w:cs="宋体"/>
                <w:color w:val="000000"/>
                <w:sz w:val="24"/>
              </w:rPr>
            </w:pPr>
            <w:r>
              <w:rPr>
                <w:rFonts w:hint="eastAsia" w:ascii="宋体" w:cs="宋体"/>
                <w:color w:val="000000"/>
                <w:sz w:val="24"/>
              </w:rPr>
              <w:t>X＜10</w:t>
            </w:r>
          </w:p>
        </w:tc>
      </w:tr>
      <w:tr w14:paraId="7A47B284">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6EF8C033"/>
        </w:tc>
        <w:tc>
          <w:tcPr>
            <w:tcW w:w="1373" w:type="dxa"/>
            <w:tcBorders>
              <w:top w:val="nil"/>
              <w:left w:val="nil"/>
              <w:bottom w:val="single" w:color="auto" w:sz="4" w:space="0"/>
              <w:right w:val="single" w:color="auto" w:sz="4" w:space="0"/>
            </w:tcBorders>
            <w:shd w:val="clear" w:color="auto" w:fill="auto"/>
            <w:vAlign w:val="center"/>
          </w:tcPr>
          <w:p w14:paraId="53F6B2DE">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0EA783B7">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35466A03">
            <w:pPr>
              <w:widowControl/>
              <w:jc w:val="center"/>
              <w:rPr>
                <w:rFonts w:ascii="宋体" w:cs="宋体"/>
                <w:color w:val="000000"/>
                <w:sz w:val="24"/>
              </w:rPr>
            </w:pPr>
            <w:r>
              <w:rPr>
                <w:rFonts w:hint="eastAsia" w:ascii="宋体" w:cs="宋体"/>
                <w:color w:val="000000"/>
                <w:sz w:val="24"/>
              </w:rPr>
              <w:t>Y≥10000</w:t>
            </w:r>
          </w:p>
        </w:tc>
        <w:tc>
          <w:tcPr>
            <w:tcW w:w="1707" w:type="dxa"/>
            <w:tcBorders>
              <w:top w:val="nil"/>
              <w:left w:val="nil"/>
              <w:bottom w:val="single" w:color="auto" w:sz="4" w:space="0"/>
              <w:right w:val="single" w:color="auto" w:sz="4" w:space="0"/>
            </w:tcBorders>
            <w:shd w:val="clear" w:color="auto" w:fill="auto"/>
            <w:vAlign w:val="center"/>
          </w:tcPr>
          <w:p w14:paraId="07868152">
            <w:pPr>
              <w:widowControl/>
              <w:jc w:val="center"/>
              <w:rPr>
                <w:rFonts w:ascii="宋体" w:cs="宋体"/>
                <w:color w:val="000000"/>
                <w:sz w:val="24"/>
              </w:rPr>
            </w:pPr>
            <w:r>
              <w:rPr>
                <w:rFonts w:hint="eastAsia" w:ascii="宋体" w:cs="宋体"/>
                <w:color w:val="000000"/>
                <w:sz w:val="24"/>
              </w:rPr>
              <w:t>2000≤Y＜10000</w:t>
            </w:r>
          </w:p>
        </w:tc>
        <w:tc>
          <w:tcPr>
            <w:tcW w:w="1429" w:type="dxa"/>
            <w:tcBorders>
              <w:top w:val="nil"/>
              <w:left w:val="nil"/>
              <w:bottom w:val="single" w:color="auto" w:sz="4" w:space="0"/>
              <w:right w:val="single" w:color="auto" w:sz="4" w:space="0"/>
            </w:tcBorders>
            <w:shd w:val="clear" w:color="auto" w:fill="auto"/>
            <w:vAlign w:val="center"/>
          </w:tcPr>
          <w:p w14:paraId="59A47D1C">
            <w:pPr>
              <w:widowControl/>
              <w:jc w:val="center"/>
              <w:rPr>
                <w:rFonts w:ascii="宋体" w:cs="宋体"/>
                <w:color w:val="000000"/>
                <w:sz w:val="24"/>
              </w:rPr>
            </w:pPr>
            <w:r>
              <w:rPr>
                <w:rFonts w:hint="eastAsia" w:ascii="宋体" w:cs="宋体"/>
                <w:color w:val="000000"/>
                <w:sz w:val="24"/>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3618871B">
            <w:pPr>
              <w:widowControl/>
              <w:jc w:val="center"/>
              <w:rPr>
                <w:rFonts w:ascii="宋体" w:cs="宋体"/>
                <w:color w:val="000000"/>
                <w:sz w:val="24"/>
              </w:rPr>
            </w:pPr>
            <w:r>
              <w:rPr>
                <w:rFonts w:hint="eastAsia" w:ascii="宋体" w:cs="宋体"/>
                <w:color w:val="000000"/>
                <w:sz w:val="24"/>
              </w:rPr>
              <w:t>Y＜100</w:t>
            </w:r>
          </w:p>
        </w:tc>
      </w:tr>
      <w:tr w14:paraId="010CA129">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1523F202">
            <w:pPr>
              <w:widowControl/>
              <w:spacing w:line="240" w:lineRule="exact"/>
              <w:rPr>
                <w:rFonts w:ascii="宋体" w:cs="宋体"/>
                <w:color w:val="000000"/>
                <w:sz w:val="24"/>
              </w:rPr>
            </w:pPr>
            <w:r>
              <w:rPr>
                <w:rFonts w:hint="eastAsia" w:ascii="宋体" w:cs="宋体"/>
                <w:color w:val="000000"/>
                <w:sz w:val="24"/>
              </w:rPr>
              <w:t>餐饮业</w:t>
            </w:r>
          </w:p>
        </w:tc>
        <w:tc>
          <w:tcPr>
            <w:tcW w:w="1373" w:type="dxa"/>
            <w:tcBorders>
              <w:top w:val="nil"/>
              <w:left w:val="nil"/>
              <w:bottom w:val="nil"/>
              <w:right w:val="single" w:color="auto" w:sz="4" w:space="0"/>
            </w:tcBorders>
            <w:shd w:val="clear" w:color="auto" w:fill="auto"/>
            <w:vAlign w:val="center"/>
          </w:tcPr>
          <w:p w14:paraId="19BB1241">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7E94FE43">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3A834AE8">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nil"/>
              <w:right w:val="single" w:color="auto" w:sz="4" w:space="0"/>
            </w:tcBorders>
            <w:shd w:val="clear" w:color="auto" w:fill="auto"/>
            <w:vAlign w:val="center"/>
          </w:tcPr>
          <w:p w14:paraId="7C9F837B">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nil"/>
              <w:left w:val="nil"/>
              <w:bottom w:val="nil"/>
              <w:right w:val="single" w:color="auto" w:sz="4" w:space="0"/>
            </w:tcBorders>
            <w:shd w:val="clear" w:color="auto" w:fill="auto"/>
            <w:vAlign w:val="center"/>
          </w:tcPr>
          <w:p w14:paraId="4BCA2C24">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nil"/>
              <w:right w:val="single" w:color="auto" w:sz="4" w:space="0"/>
            </w:tcBorders>
            <w:shd w:val="clear" w:color="auto" w:fill="auto"/>
            <w:vAlign w:val="center"/>
          </w:tcPr>
          <w:p w14:paraId="7D405A8D">
            <w:pPr>
              <w:widowControl/>
              <w:jc w:val="center"/>
              <w:rPr>
                <w:rFonts w:ascii="宋体" w:cs="宋体"/>
                <w:color w:val="000000"/>
                <w:sz w:val="24"/>
              </w:rPr>
            </w:pPr>
            <w:r>
              <w:rPr>
                <w:rFonts w:hint="eastAsia" w:ascii="宋体" w:cs="宋体"/>
                <w:color w:val="000000"/>
                <w:sz w:val="24"/>
              </w:rPr>
              <w:t>X＜10</w:t>
            </w:r>
          </w:p>
        </w:tc>
      </w:tr>
      <w:tr w14:paraId="7427434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4CBE669"/>
        </w:tc>
        <w:tc>
          <w:tcPr>
            <w:tcW w:w="1373" w:type="dxa"/>
            <w:tcBorders>
              <w:top w:val="nil"/>
              <w:left w:val="nil"/>
              <w:bottom w:val="single" w:color="auto" w:sz="4" w:space="0"/>
              <w:right w:val="single" w:color="auto" w:sz="4" w:space="0"/>
            </w:tcBorders>
            <w:shd w:val="clear" w:color="auto" w:fill="auto"/>
            <w:vAlign w:val="center"/>
          </w:tcPr>
          <w:p w14:paraId="39B87D52">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4D7299FF">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454B5147">
            <w:pPr>
              <w:widowControl/>
              <w:jc w:val="center"/>
              <w:rPr>
                <w:rFonts w:ascii="宋体" w:cs="宋体"/>
                <w:color w:val="000000"/>
                <w:sz w:val="24"/>
              </w:rPr>
            </w:pPr>
            <w:r>
              <w:rPr>
                <w:rFonts w:hint="eastAsia" w:ascii="宋体" w:cs="宋体"/>
                <w:color w:val="000000"/>
                <w:sz w:val="24"/>
              </w:rPr>
              <w:t>Y≥10000</w:t>
            </w:r>
          </w:p>
        </w:tc>
        <w:tc>
          <w:tcPr>
            <w:tcW w:w="1707" w:type="dxa"/>
            <w:tcBorders>
              <w:top w:val="nil"/>
              <w:left w:val="nil"/>
              <w:bottom w:val="single" w:color="auto" w:sz="4" w:space="0"/>
              <w:right w:val="single" w:color="auto" w:sz="4" w:space="0"/>
            </w:tcBorders>
            <w:shd w:val="clear" w:color="auto" w:fill="auto"/>
            <w:vAlign w:val="center"/>
          </w:tcPr>
          <w:p w14:paraId="7A824222">
            <w:pPr>
              <w:widowControl/>
              <w:jc w:val="center"/>
              <w:rPr>
                <w:rFonts w:ascii="宋体" w:cs="宋体"/>
                <w:color w:val="000000"/>
                <w:sz w:val="24"/>
              </w:rPr>
            </w:pPr>
            <w:r>
              <w:rPr>
                <w:rFonts w:hint="eastAsia" w:ascii="宋体" w:cs="宋体"/>
                <w:color w:val="000000"/>
                <w:sz w:val="24"/>
              </w:rPr>
              <w:t>2000≤Y＜10000</w:t>
            </w:r>
          </w:p>
        </w:tc>
        <w:tc>
          <w:tcPr>
            <w:tcW w:w="1429" w:type="dxa"/>
            <w:tcBorders>
              <w:top w:val="nil"/>
              <w:left w:val="nil"/>
              <w:bottom w:val="single" w:color="auto" w:sz="4" w:space="0"/>
              <w:right w:val="single" w:color="auto" w:sz="4" w:space="0"/>
            </w:tcBorders>
            <w:shd w:val="clear" w:color="auto" w:fill="auto"/>
            <w:vAlign w:val="center"/>
          </w:tcPr>
          <w:p w14:paraId="4B086E7B">
            <w:pPr>
              <w:widowControl/>
              <w:jc w:val="center"/>
              <w:rPr>
                <w:rFonts w:ascii="宋体" w:cs="宋体"/>
                <w:color w:val="000000"/>
                <w:sz w:val="24"/>
              </w:rPr>
            </w:pPr>
            <w:r>
              <w:rPr>
                <w:rFonts w:hint="eastAsia" w:ascii="宋体" w:cs="宋体"/>
                <w:color w:val="000000"/>
                <w:sz w:val="24"/>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59221C2D">
            <w:pPr>
              <w:widowControl/>
              <w:jc w:val="center"/>
              <w:rPr>
                <w:rFonts w:ascii="宋体" w:cs="宋体"/>
                <w:color w:val="000000"/>
                <w:sz w:val="24"/>
              </w:rPr>
            </w:pPr>
            <w:r>
              <w:rPr>
                <w:rFonts w:hint="eastAsia" w:ascii="宋体" w:cs="宋体"/>
                <w:color w:val="000000"/>
                <w:sz w:val="24"/>
              </w:rPr>
              <w:t>Y＜100</w:t>
            </w:r>
          </w:p>
        </w:tc>
      </w:tr>
      <w:tr w14:paraId="71F3EEBC">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20218C2B">
            <w:pPr>
              <w:widowControl/>
              <w:spacing w:line="240" w:lineRule="exact"/>
              <w:rPr>
                <w:rFonts w:ascii="宋体" w:cs="宋体"/>
                <w:color w:val="000000"/>
                <w:sz w:val="24"/>
              </w:rPr>
            </w:pPr>
            <w:r>
              <w:rPr>
                <w:rFonts w:hint="eastAsia" w:ascii="宋体" w:cs="宋体"/>
                <w:color w:val="000000"/>
                <w:sz w:val="24"/>
              </w:rPr>
              <w:t>信息传输业 *</w:t>
            </w:r>
          </w:p>
        </w:tc>
        <w:tc>
          <w:tcPr>
            <w:tcW w:w="1373" w:type="dxa"/>
            <w:tcBorders>
              <w:top w:val="nil"/>
              <w:left w:val="nil"/>
              <w:bottom w:val="nil"/>
              <w:right w:val="single" w:color="auto" w:sz="4" w:space="0"/>
            </w:tcBorders>
            <w:shd w:val="clear" w:color="auto" w:fill="auto"/>
            <w:vAlign w:val="center"/>
          </w:tcPr>
          <w:p w14:paraId="23A0B82F">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6FF937CA">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21BBF2AD">
            <w:pPr>
              <w:widowControl/>
              <w:jc w:val="center"/>
              <w:rPr>
                <w:rFonts w:ascii="宋体" w:cs="宋体"/>
                <w:color w:val="000000"/>
                <w:sz w:val="24"/>
              </w:rPr>
            </w:pPr>
            <w:r>
              <w:rPr>
                <w:rFonts w:hint="eastAsia" w:ascii="宋体" w:cs="宋体"/>
                <w:color w:val="000000"/>
                <w:sz w:val="24"/>
              </w:rPr>
              <w:t>X≥2000</w:t>
            </w:r>
          </w:p>
        </w:tc>
        <w:tc>
          <w:tcPr>
            <w:tcW w:w="1707" w:type="dxa"/>
            <w:tcBorders>
              <w:top w:val="nil"/>
              <w:left w:val="nil"/>
              <w:bottom w:val="nil"/>
              <w:right w:val="single" w:color="auto" w:sz="4" w:space="0"/>
            </w:tcBorders>
            <w:shd w:val="clear" w:color="auto" w:fill="auto"/>
            <w:vAlign w:val="center"/>
          </w:tcPr>
          <w:p w14:paraId="3A23BC28">
            <w:pPr>
              <w:widowControl/>
              <w:jc w:val="center"/>
              <w:rPr>
                <w:rFonts w:ascii="宋体" w:cs="宋体"/>
                <w:color w:val="000000"/>
                <w:sz w:val="24"/>
              </w:rPr>
            </w:pPr>
            <w:r>
              <w:rPr>
                <w:rFonts w:hint="eastAsia" w:ascii="宋体" w:cs="宋体"/>
                <w:color w:val="000000"/>
                <w:sz w:val="24"/>
              </w:rPr>
              <w:t>100≤X＜2000</w:t>
            </w:r>
          </w:p>
        </w:tc>
        <w:tc>
          <w:tcPr>
            <w:tcW w:w="1429" w:type="dxa"/>
            <w:tcBorders>
              <w:top w:val="nil"/>
              <w:left w:val="nil"/>
              <w:bottom w:val="nil"/>
              <w:right w:val="single" w:color="auto" w:sz="4" w:space="0"/>
            </w:tcBorders>
            <w:shd w:val="clear" w:color="auto" w:fill="auto"/>
            <w:vAlign w:val="center"/>
          </w:tcPr>
          <w:p w14:paraId="4CABD382">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nil"/>
              <w:right w:val="single" w:color="auto" w:sz="4" w:space="0"/>
            </w:tcBorders>
            <w:shd w:val="clear" w:color="auto" w:fill="auto"/>
            <w:vAlign w:val="center"/>
          </w:tcPr>
          <w:p w14:paraId="7764DE1B">
            <w:pPr>
              <w:widowControl/>
              <w:jc w:val="center"/>
              <w:rPr>
                <w:rFonts w:ascii="宋体" w:cs="宋体"/>
                <w:color w:val="000000"/>
                <w:sz w:val="24"/>
              </w:rPr>
            </w:pPr>
            <w:r>
              <w:rPr>
                <w:rFonts w:hint="eastAsia" w:ascii="宋体" w:cs="宋体"/>
                <w:color w:val="000000"/>
                <w:sz w:val="24"/>
              </w:rPr>
              <w:t>X＜10</w:t>
            </w:r>
          </w:p>
        </w:tc>
      </w:tr>
      <w:tr w14:paraId="05FE241D">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42AB5C03"/>
        </w:tc>
        <w:tc>
          <w:tcPr>
            <w:tcW w:w="1373" w:type="dxa"/>
            <w:tcBorders>
              <w:top w:val="nil"/>
              <w:left w:val="nil"/>
              <w:bottom w:val="single" w:color="auto" w:sz="4" w:space="0"/>
              <w:right w:val="single" w:color="auto" w:sz="4" w:space="0"/>
            </w:tcBorders>
            <w:shd w:val="clear" w:color="auto" w:fill="auto"/>
            <w:vAlign w:val="center"/>
          </w:tcPr>
          <w:p w14:paraId="68F58D7D">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1E65D47D">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618481DD">
            <w:pPr>
              <w:widowControl/>
              <w:jc w:val="center"/>
              <w:rPr>
                <w:rFonts w:ascii="宋体" w:cs="宋体"/>
                <w:color w:val="000000"/>
                <w:sz w:val="24"/>
              </w:rPr>
            </w:pPr>
            <w:r>
              <w:rPr>
                <w:rFonts w:hint="eastAsia" w:ascii="宋体" w:cs="宋体"/>
                <w:color w:val="000000"/>
                <w:sz w:val="24"/>
              </w:rPr>
              <w:t>Y≥100000</w:t>
            </w:r>
          </w:p>
        </w:tc>
        <w:tc>
          <w:tcPr>
            <w:tcW w:w="1707" w:type="dxa"/>
            <w:tcBorders>
              <w:top w:val="nil"/>
              <w:left w:val="nil"/>
              <w:bottom w:val="single" w:color="auto" w:sz="4" w:space="0"/>
              <w:right w:val="single" w:color="auto" w:sz="4" w:space="0"/>
            </w:tcBorders>
            <w:shd w:val="clear" w:color="auto" w:fill="auto"/>
            <w:vAlign w:val="center"/>
          </w:tcPr>
          <w:p w14:paraId="41A1AF96">
            <w:pPr>
              <w:widowControl/>
              <w:jc w:val="center"/>
              <w:rPr>
                <w:rFonts w:ascii="宋体" w:cs="宋体"/>
                <w:color w:val="000000"/>
                <w:sz w:val="24"/>
              </w:rPr>
            </w:pPr>
            <w:r>
              <w:rPr>
                <w:rFonts w:hint="eastAsia" w:ascii="宋体" w:cs="宋体"/>
                <w:color w:val="000000"/>
                <w:sz w:val="24"/>
              </w:rPr>
              <w:t xml:space="preserve"> 1000≤Y＜100000</w:t>
            </w:r>
          </w:p>
        </w:tc>
        <w:tc>
          <w:tcPr>
            <w:tcW w:w="1429" w:type="dxa"/>
            <w:tcBorders>
              <w:top w:val="nil"/>
              <w:left w:val="nil"/>
              <w:bottom w:val="single" w:color="auto" w:sz="4" w:space="0"/>
              <w:right w:val="single" w:color="auto" w:sz="4" w:space="0"/>
            </w:tcBorders>
            <w:shd w:val="clear" w:color="auto" w:fill="auto"/>
            <w:vAlign w:val="center"/>
          </w:tcPr>
          <w:p w14:paraId="4BBCF8E1">
            <w:pPr>
              <w:widowControl/>
              <w:jc w:val="center"/>
              <w:rPr>
                <w:rFonts w:ascii="宋体" w:cs="宋体"/>
                <w:color w:val="000000"/>
                <w:sz w:val="24"/>
              </w:rPr>
            </w:pPr>
            <w:r>
              <w:rPr>
                <w:rFonts w:hint="eastAsia" w:ascii="宋体" w:cs="宋体"/>
                <w:color w:val="000000"/>
                <w:sz w:val="24"/>
              </w:rPr>
              <w:t xml:space="preserve"> 100≤Y＜1000</w:t>
            </w:r>
          </w:p>
        </w:tc>
        <w:tc>
          <w:tcPr>
            <w:tcW w:w="993" w:type="dxa"/>
            <w:tcBorders>
              <w:top w:val="nil"/>
              <w:left w:val="nil"/>
              <w:bottom w:val="single" w:color="auto" w:sz="4" w:space="0"/>
              <w:right w:val="single" w:color="auto" w:sz="4" w:space="0"/>
            </w:tcBorders>
            <w:shd w:val="clear" w:color="auto" w:fill="auto"/>
            <w:vAlign w:val="center"/>
          </w:tcPr>
          <w:p w14:paraId="48267316">
            <w:pPr>
              <w:widowControl/>
              <w:jc w:val="center"/>
              <w:rPr>
                <w:rFonts w:ascii="宋体" w:cs="宋体"/>
                <w:color w:val="000000"/>
                <w:sz w:val="24"/>
              </w:rPr>
            </w:pPr>
            <w:r>
              <w:rPr>
                <w:rFonts w:hint="eastAsia" w:ascii="宋体" w:cs="宋体"/>
                <w:color w:val="000000"/>
                <w:sz w:val="24"/>
              </w:rPr>
              <w:t>Y＜100</w:t>
            </w:r>
          </w:p>
        </w:tc>
      </w:tr>
      <w:tr w14:paraId="47704323">
        <w:tblPrEx>
          <w:tblCellMar>
            <w:top w:w="0" w:type="dxa"/>
            <w:left w:w="108" w:type="dxa"/>
            <w:bottom w:w="0" w:type="dxa"/>
            <w:right w:w="108" w:type="dxa"/>
          </w:tblCellMar>
        </w:tblPrEx>
        <w:trPr>
          <w:trHeight w:val="657"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26CFBF">
            <w:pPr>
              <w:widowControl/>
              <w:spacing w:line="240" w:lineRule="exact"/>
              <w:rPr>
                <w:rFonts w:ascii="宋体" w:cs="宋体"/>
                <w:color w:val="000000"/>
                <w:spacing w:val="-12"/>
                <w:sz w:val="24"/>
              </w:rPr>
            </w:pPr>
            <w:r>
              <w:rPr>
                <w:rFonts w:hint="eastAsia" w:ascii="宋体" w:cs="宋体"/>
                <w:color w:val="000000"/>
                <w:spacing w:val="-12"/>
                <w:sz w:val="24"/>
              </w:rPr>
              <w:t>软件和信息技术服</w:t>
            </w:r>
            <w:r>
              <w:rPr>
                <w:rFonts w:hint="eastAsia" w:ascii="宋体" w:cs="宋体"/>
                <w:color w:val="000000"/>
                <w:sz w:val="24"/>
              </w:rPr>
              <w:t>务业</w:t>
            </w:r>
          </w:p>
        </w:tc>
        <w:tc>
          <w:tcPr>
            <w:tcW w:w="1373" w:type="dxa"/>
            <w:tcBorders>
              <w:top w:val="single" w:color="auto" w:sz="4" w:space="0"/>
              <w:left w:val="nil"/>
              <w:bottom w:val="nil"/>
              <w:right w:val="single" w:color="auto" w:sz="4" w:space="0"/>
            </w:tcBorders>
            <w:shd w:val="clear" w:color="auto" w:fill="auto"/>
            <w:vAlign w:val="center"/>
          </w:tcPr>
          <w:p w14:paraId="278309F7">
            <w:pPr>
              <w:widowControl/>
              <w:jc w:val="center"/>
              <w:rPr>
                <w:rFonts w:ascii="宋体" w:cs="宋体"/>
                <w:color w:val="000000"/>
                <w:sz w:val="24"/>
              </w:rPr>
            </w:pPr>
            <w:r>
              <w:rPr>
                <w:rFonts w:hint="eastAsia" w:ascii="宋体" w:cs="宋体"/>
                <w:color w:val="000000"/>
                <w:sz w:val="24"/>
              </w:rPr>
              <w:t>从业人员(X)</w:t>
            </w:r>
          </w:p>
        </w:tc>
        <w:tc>
          <w:tcPr>
            <w:tcW w:w="706" w:type="dxa"/>
            <w:tcBorders>
              <w:top w:val="single" w:color="auto" w:sz="4" w:space="0"/>
              <w:left w:val="nil"/>
              <w:bottom w:val="nil"/>
              <w:right w:val="single" w:color="auto" w:sz="4" w:space="0"/>
            </w:tcBorders>
            <w:shd w:val="clear" w:color="auto" w:fill="auto"/>
            <w:vAlign w:val="center"/>
          </w:tcPr>
          <w:p w14:paraId="7165BD82">
            <w:pPr>
              <w:widowControl/>
              <w:jc w:val="center"/>
              <w:rPr>
                <w:rFonts w:ascii="宋体" w:cs="宋体"/>
                <w:color w:val="000000"/>
                <w:sz w:val="24"/>
              </w:rPr>
            </w:pPr>
            <w:r>
              <w:rPr>
                <w:rFonts w:hint="eastAsia" w:ascii="宋体" w:cs="宋体"/>
                <w:color w:val="000000"/>
                <w:sz w:val="24"/>
              </w:rPr>
              <w:t>人</w:t>
            </w:r>
          </w:p>
        </w:tc>
        <w:tc>
          <w:tcPr>
            <w:tcW w:w="1127" w:type="dxa"/>
            <w:tcBorders>
              <w:top w:val="single" w:color="auto" w:sz="4" w:space="0"/>
              <w:left w:val="nil"/>
              <w:bottom w:val="nil"/>
              <w:right w:val="single" w:color="auto" w:sz="4" w:space="0"/>
            </w:tcBorders>
            <w:shd w:val="clear" w:color="auto" w:fill="auto"/>
            <w:vAlign w:val="center"/>
          </w:tcPr>
          <w:p w14:paraId="7F91E2A2">
            <w:pPr>
              <w:widowControl/>
              <w:jc w:val="center"/>
              <w:rPr>
                <w:rFonts w:ascii="宋体" w:cs="宋体"/>
                <w:color w:val="000000"/>
                <w:sz w:val="24"/>
              </w:rPr>
            </w:pPr>
            <w:r>
              <w:rPr>
                <w:rFonts w:hint="eastAsia" w:ascii="宋体" w:cs="宋体"/>
                <w:color w:val="000000"/>
                <w:sz w:val="24"/>
              </w:rPr>
              <w:t>X≥300</w:t>
            </w:r>
          </w:p>
        </w:tc>
        <w:tc>
          <w:tcPr>
            <w:tcW w:w="1707" w:type="dxa"/>
            <w:tcBorders>
              <w:top w:val="single" w:color="auto" w:sz="4" w:space="0"/>
              <w:left w:val="nil"/>
              <w:bottom w:val="nil"/>
              <w:right w:val="single" w:color="auto" w:sz="4" w:space="0"/>
            </w:tcBorders>
            <w:shd w:val="clear" w:color="auto" w:fill="auto"/>
            <w:vAlign w:val="center"/>
          </w:tcPr>
          <w:p w14:paraId="06A31194">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single" w:color="auto" w:sz="4" w:space="0"/>
              <w:left w:val="nil"/>
              <w:bottom w:val="nil"/>
              <w:right w:val="single" w:color="auto" w:sz="4" w:space="0"/>
            </w:tcBorders>
            <w:shd w:val="clear" w:color="auto" w:fill="auto"/>
            <w:vAlign w:val="center"/>
          </w:tcPr>
          <w:p w14:paraId="419285DD">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single" w:color="auto" w:sz="4" w:space="0"/>
              <w:left w:val="nil"/>
              <w:bottom w:val="nil"/>
              <w:right w:val="single" w:color="auto" w:sz="4" w:space="0"/>
            </w:tcBorders>
            <w:shd w:val="clear" w:color="auto" w:fill="auto"/>
            <w:vAlign w:val="center"/>
          </w:tcPr>
          <w:p w14:paraId="543CC806">
            <w:pPr>
              <w:widowControl/>
              <w:jc w:val="center"/>
              <w:rPr>
                <w:rFonts w:ascii="宋体" w:cs="宋体"/>
                <w:color w:val="000000"/>
                <w:sz w:val="24"/>
              </w:rPr>
            </w:pPr>
            <w:r>
              <w:rPr>
                <w:rFonts w:hint="eastAsia" w:ascii="宋体" w:cs="宋体"/>
                <w:color w:val="000000"/>
                <w:sz w:val="24"/>
              </w:rPr>
              <w:t>X＜10</w:t>
            </w:r>
          </w:p>
        </w:tc>
      </w:tr>
      <w:tr w14:paraId="17B05617">
        <w:tblPrEx>
          <w:tblCellMar>
            <w:top w:w="0" w:type="dxa"/>
            <w:left w:w="108" w:type="dxa"/>
            <w:bottom w:w="0" w:type="dxa"/>
            <w:right w:w="108" w:type="dxa"/>
          </w:tblCellMar>
        </w:tblPrEx>
        <w:trPr>
          <w:trHeight w:val="657" w:hRule="exact"/>
          <w:jc w:val="center"/>
        </w:trPr>
        <w:tc>
          <w:tcPr>
            <w:tcW w:w="2122" w:type="dxa"/>
            <w:vMerge w:val="continue"/>
            <w:tcBorders>
              <w:top w:val="single" w:color="auto" w:sz="4" w:space="0"/>
              <w:left w:val="single" w:color="auto" w:sz="4" w:space="0"/>
              <w:bottom w:val="single" w:color="auto" w:sz="4" w:space="0"/>
              <w:right w:val="single" w:color="auto" w:sz="4" w:space="0"/>
            </w:tcBorders>
            <w:vAlign w:val="center"/>
          </w:tcPr>
          <w:p w14:paraId="2C5560D4"/>
        </w:tc>
        <w:tc>
          <w:tcPr>
            <w:tcW w:w="1373" w:type="dxa"/>
            <w:tcBorders>
              <w:top w:val="nil"/>
              <w:left w:val="nil"/>
              <w:bottom w:val="single" w:color="auto" w:sz="4" w:space="0"/>
              <w:right w:val="single" w:color="auto" w:sz="4" w:space="0"/>
            </w:tcBorders>
            <w:shd w:val="clear" w:color="auto" w:fill="auto"/>
            <w:vAlign w:val="center"/>
          </w:tcPr>
          <w:p w14:paraId="55AE8F87">
            <w:pPr>
              <w:widowControl/>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78FA578A">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5FFCC136">
            <w:pPr>
              <w:widowControl/>
              <w:jc w:val="center"/>
              <w:rPr>
                <w:rFonts w:ascii="宋体" w:cs="宋体"/>
                <w:color w:val="000000"/>
                <w:sz w:val="24"/>
              </w:rPr>
            </w:pPr>
            <w:r>
              <w:rPr>
                <w:rFonts w:hint="eastAsia" w:ascii="宋体" w:cs="宋体"/>
                <w:color w:val="000000"/>
                <w:sz w:val="24"/>
              </w:rPr>
              <w:t>Y≥10000</w:t>
            </w:r>
          </w:p>
        </w:tc>
        <w:tc>
          <w:tcPr>
            <w:tcW w:w="1707" w:type="dxa"/>
            <w:tcBorders>
              <w:top w:val="nil"/>
              <w:left w:val="nil"/>
              <w:bottom w:val="single" w:color="auto" w:sz="4" w:space="0"/>
              <w:right w:val="single" w:color="auto" w:sz="4" w:space="0"/>
            </w:tcBorders>
            <w:shd w:val="clear" w:color="auto" w:fill="auto"/>
            <w:vAlign w:val="center"/>
          </w:tcPr>
          <w:p w14:paraId="7D133C37">
            <w:pPr>
              <w:widowControl/>
              <w:jc w:val="center"/>
              <w:rPr>
                <w:rFonts w:ascii="宋体" w:cs="宋体"/>
                <w:color w:val="000000"/>
                <w:sz w:val="24"/>
              </w:rPr>
            </w:pPr>
            <w:r>
              <w:rPr>
                <w:rFonts w:hint="eastAsia" w:ascii="宋体" w:cs="宋体"/>
                <w:color w:val="000000"/>
                <w:sz w:val="24"/>
              </w:rPr>
              <w:t>1000≤Y＜10000</w:t>
            </w:r>
          </w:p>
        </w:tc>
        <w:tc>
          <w:tcPr>
            <w:tcW w:w="1429" w:type="dxa"/>
            <w:tcBorders>
              <w:top w:val="nil"/>
              <w:left w:val="nil"/>
              <w:bottom w:val="single" w:color="auto" w:sz="4" w:space="0"/>
              <w:right w:val="single" w:color="auto" w:sz="4" w:space="0"/>
            </w:tcBorders>
            <w:shd w:val="clear" w:color="auto" w:fill="auto"/>
            <w:vAlign w:val="center"/>
          </w:tcPr>
          <w:p w14:paraId="2ADC35E5">
            <w:pPr>
              <w:widowControl/>
              <w:jc w:val="center"/>
              <w:rPr>
                <w:rFonts w:ascii="宋体" w:cs="宋体"/>
                <w:color w:val="000000"/>
                <w:sz w:val="24"/>
              </w:rPr>
            </w:pPr>
            <w:r>
              <w:rPr>
                <w:rFonts w:hint="eastAsia" w:ascii="宋体" w:cs="宋体"/>
                <w:color w:val="000000"/>
                <w:sz w:val="24"/>
              </w:rPr>
              <w:t xml:space="preserve">  50≤Y＜1000</w:t>
            </w:r>
          </w:p>
        </w:tc>
        <w:tc>
          <w:tcPr>
            <w:tcW w:w="993" w:type="dxa"/>
            <w:tcBorders>
              <w:top w:val="nil"/>
              <w:left w:val="nil"/>
              <w:bottom w:val="single" w:color="auto" w:sz="4" w:space="0"/>
              <w:right w:val="single" w:color="auto" w:sz="4" w:space="0"/>
            </w:tcBorders>
            <w:shd w:val="clear" w:color="auto" w:fill="auto"/>
            <w:vAlign w:val="center"/>
          </w:tcPr>
          <w:p w14:paraId="054A66AA">
            <w:pPr>
              <w:widowControl/>
              <w:jc w:val="center"/>
              <w:rPr>
                <w:rFonts w:ascii="宋体" w:cs="宋体"/>
                <w:color w:val="000000"/>
                <w:sz w:val="24"/>
              </w:rPr>
            </w:pPr>
            <w:r>
              <w:rPr>
                <w:rFonts w:hint="eastAsia" w:ascii="宋体" w:cs="宋体"/>
                <w:color w:val="000000"/>
                <w:sz w:val="24"/>
              </w:rPr>
              <w:t>Y＜50</w:t>
            </w:r>
          </w:p>
        </w:tc>
      </w:tr>
      <w:tr w14:paraId="64F98891">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190EFD8">
            <w:pPr>
              <w:widowControl/>
              <w:spacing w:line="240" w:lineRule="exact"/>
              <w:rPr>
                <w:rFonts w:ascii="宋体" w:cs="宋体"/>
                <w:color w:val="000000"/>
                <w:sz w:val="24"/>
              </w:rPr>
            </w:pPr>
            <w:r>
              <w:rPr>
                <w:rFonts w:hint="eastAsia" w:ascii="宋体" w:cs="宋体"/>
                <w:color w:val="000000"/>
                <w:sz w:val="24"/>
              </w:rPr>
              <w:t>房地产开发经营</w:t>
            </w:r>
          </w:p>
        </w:tc>
        <w:tc>
          <w:tcPr>
            <w:tcW w:w="1373" w:type="dxa"/>
            <w:tcBorders>
              <w:top w:val="nil"/>
              <w:left w:val="nil"/>
              <w:bottom w:val="nil"/>
              <w:right w:val="single" w:color="auto" w:sz="4" w:space="0"/>
            </w:tcBorders>
            <w:shd w:val="clear" w:color="auto" w:fill="auto"/>
            <w:vAlign w:val="center"/>
          </w:tcPr>
          <w:p w14:paraId="2D7EB97E">
            <w:pPr>
              <w:widowControl/>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nil"/>
              <w:right w:val="single" w:color="auto" w:sz="4" w:space="0"/>
            </w:tcBorders>
            <w:shd w:val="clear" w:color="auto" w:fill="auto"/>
            <w:vAlign w:val="center"/>
          </w:tcPr>
          <w:p w14:paraId="78CEE545">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nil"/>
              <w:right w:val="single" w:color="auto" w:sz="4" w:space="0"/>
            </w:tcBorders>
            <w:shd w:val="clear" w:color="auto" w:fill="auto"/>
            <w:vAlign w:val="center"/>
          </w:tcPr>
          <w:p w14:paraId="5D6F96C3">
            <w:pPr>
              <w:widowControl/>
              <w:jc w:val="center"/>
              <w:rPr>
                <w:rFonts w:ascii="宋体" w:cs="宋体"/>
                <w:color w:val="000000"/>
                <w:sz w:val="24"/>
              </w:rPr>
            </w:pPr>
            <w:r>
              <w:rPr>
                <w:rFonts w:hint="eastAsia" w:ascii="宋体" w:cs="宋体"/>
                <w:color w:val="000000"/>
                <w:sz w:val="24"/>
              </w:rPr>
              <w:t>Y≥200000</w:t>
            </w:r>
          </w:p>
        </w:tc>
        <w:tc>
          <w:tcPr>
            <w:tcW w:w="1707" w:type="dxa"/>
            <w:tcBorders>
              <w:top w:val="nil"/>
              <w:left w:val="nil"/>
              <w:bottom w:val="nil"/>
              <w:right w:val="single" w:color="auto" w:sz="4" w:space="0"/>
            </w:tcBorders>
            <w:shd w:val="clear" w:color="auto" w:fill="auto"/>
            <w:vAlign w:val="center"/>
          </w:tcPr>
          <w:p w14:paraId="5E034B66">
            <w:pPr>
              <w:widowControl/>
              <w:jc w:val="center"/>
              <w:rPr>
                <w:rFonts w:ascii="宋体" w:cs="宋体"/>
                <w:color w:val="000000"/>
                <w:sz w:val="24"/>
              </w:rPr>
            </w:pPr>
            <w:r>
              <w:rPr>
                <w:rFonts w:hint="eastAsia" w:ascii="宋体" w:cs="宋体"/>
                <w:color w:val="000000"/>
                <w:sz w:val="24"/>
              </w:rPr>
              <w:t xml:space="preserve"> 1000≤Y＜200000</w:t>
            </w:r>
          </w:p>
        </w:tc>
        <w:tc>
          <w:tcPr>
            <w:tcW w:w="1429" w:type="dxa"/>
            <w:tcBorders>
              <w:top w:val="nil"/>
              <w:left w:val="nil"/>
              <w:bottom w:val="nil"/>
              <w:right w:val="single" w:color="auto" w:sz="4" w:space="0"/>
            </w:tcBorders>
            <w:shd w:val="clear" w:color="auto" w:fill="auto"/>
            <w:vAlign w:val="center"/>
          </w:tcPr>
          <w:p w14:paraId="0789E8CC">
            <w:pPr>
              <w:widowControl/>
              <w:jc w:val="center"/>
              <w:rPr>
                <w:rFonts w:ascii="宋体" w:cs="宋体"/>
                <w:color w:val="000000"/>
                <w:sz w:val="24"/>
              </w:rPr>
            </w:pPr>
            <w:r>
              <w:rPr>
                <w:rFonts w:hint="eastAsia" w:ascii="宋体" w:cs="宋体"/>
                <w:color w:val="000000"/>
                <w:sz w:val="24"/>
              </w:rPr>
              <w:t xml:space="preserve"> 100≤Y＜1000</w:t>
            </w:r>
          </w:p>
        </w:tc>
        <w:tc>
          <w:tcPr>
            <w:tcW w:w="993" w:type="dxa"/>
            <w:tcBorders>
              <w:top w:val="nil"/>
              <w:left w:val="nil"/>
              <w:bottom w:val="nil"/>
              <w:right w:val="single" w:color="auto" w:sz="4" w:space="0"/>
            </w:tcBorders>
            <w:shd w:val="clear" w:color="auto" w:fill="auto"/>
            <w:vAlign w:val="center"/>
          </w:tcPr>
          <w:p w14:paraId="6BADDE95">
            <w:pPr>
              <w:widowControl/>
              <w:jc w:val="center"/>
              <w:rPr>
                <w:rFonts w:ascii="宋体" w:cs="宋体"/>
                <w:color w:val="000000"/>
                <w:sz w:val="24"/>
              </w:rPr>
            </w:pPr>
            <w:r>
              <w:rPr>
                <w:rFonts w:hint="eastAsia" w:ascii="宋体" w:cs="宋体"/>
                <w:color w:val="000000"/>
                <w:sz w:val="24"/>
              </w:rPr>
              <w:t>Y＜100</w:t>
            </w:r>
          </w:p>
        </w:tc>
      </w:tr>
      <w:tr w14:paraId="0E4E5EE2">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090ED6AA"/>
        </w:tc>
        <w:tc>
          <w:tcPr>
            <w:tcW w:w="1373" w:type="dxa"/>
            <w:tcBorders>
              <w:top w:val="nil"/>
              <w:left w:val="nil"/>
              <w:bottom w:val="single" w:color="auto" w:sz="4" w:space="0"/>
              <w:right w:val="single" w:color="auto" w:sz="4" w:space="0"/>
            </w:tcBorders>
            <w:shd w:val="clear" w:color="auto" w:fill="auto"/>
            <w:vAlign w:val="center"/>
          </w:tcPr>
          <w:p w14:paraId="2A1AFB8D">
            <w:pPr>
              <w:widowControl/>
              <w:spacing w:line="240" w:lineRule="exact"/>
              <w:jc w:val="center"/>
              <w:rPr>
                <w:rFonts w:ascii="宋体" w:cs="宋体"/>
                <w:color w:val="000000"/>
                <w:sz w:val="24"/>
              </w:rPr>
            </w:pPr>
            <w:r>
              <w:rPr>
                <w:rFonts w:hint="eastAsia" w:ascii="宋体" w:cs="宋体"/>
                <w:color w:val="000000"/>
                <w:sz w:val="24"/>
              </w:rPr>
              <w:t>资产总额(Z)</w:t>
            </w:r>
          </w:p>
        </w:tc>
        <w:tc>
          <w:tcPr>
            <w:tcW w:w="706" w:type="dxa"/>
            <w:tcBorders>
              <w:top w:val="nil"/>
              <w:left w:val="nil"/>
              <w:bottom w:val="single" w:color="auto" w:sz="4" w:space="0"/>
              <w:right w:val="single" w:color="auto" w:sz="4" w:space="0"/>
            </w:tcBorders>
            <w:shd w:val="clear" w:color="auto" w:fill="auto"/>
            <w:vAlign w:val="center"/>
          </w:tcPr>
          <w:p w14:paraId="641E5F30">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2ACC639F">
            <w:pPr>
              <w:widowControl/>
              <w:jc w:val="center"/>
              <w:rPr>
                <w:rFonts w:ascii="宋体" w:cs="宋体"/>
                <w:color w:val="000000"/>
                <w:sz w:val="24"/>
              </w:rPr>
            </w:pPr>
            <w:r>
              <w:rPr>
                <w:rFonts w:hint="eastAsia" w:ascii="宋体" w:cs="宋体"/>
                <w:color w:val="000000"/>
                <w:sz w:val="24"/>
              </w:rPr>
              <w:t>Z≥10000</w:t>
            </w:r>
          </w:p>
        </w:tc>
        <w:tc>
          <w:tcPr>
            <w:tcW w:w="1707" w:type="dxa"/>
            <w:tcBorders>
              <w:top w:val="nil"/>
              <w:left w:val="nil"/>
              <w:bottom w:val="single" w:color="auto" w:sz="4" w:space="0"/>
              <w:right w:val="single" w:color="auto" w:sz="4" w:space="0"/>
            </w:tcBorders>
            <w:shd w:val="clear" w:color="auto" w:fill="auto"/>
            <w:vAlign w:val="center"/>
          </w:tcPr>
          <w:p w14:paraId="4C914361">
            <w:pPr>
              <w:widowControl/>
              <w:jc w:val="center"/>
              <w:rPr>
                <w:rFonts w:ascii="宋体" w:cs="宋体"/>
                <w:color w:val="000000"/>
                <w:sz w:val="24"/>
              </w:rPr>
            </w:pPr>
            <w:r>
              <w:rPr>
                <w:rFonts w:hint="eastAsia" w:ascii="宋体" w:cs="宋体"/>
                <w:color w:val="000000"/>
                <w:sz w:val="24"/>
              </w:rPr>
              <w:t>5000≤Z＜10000</w:t>
            </w:r>
          </w:p>
        </w:tc>
        <w:tc>
          <w:tcPr>
            <w:tcW w:w="1429" w:type="dxa"/>
            <w:tcBorders>
              <w:top w:val="nil"/>
              <w:left w:val="nil"/>
              <w:bottom w:val="single" w:color="auto" w:sz="4" w:space="0"/>
              <w:right w:val="single" w:color="auto" w:sz="4" w:space="0"/>
            </w:tcBorders>
            <w:shd w:val="clear" w:color="auto" w:fill="auto"/>
            <w:vAlign w:val="center"/>
          </w:tcPr>
          <w:p w14:paraId="4122E172">
            <w:pPr>
              <w:widowControl/>
              <w:jc w:val="center"/>
              <w:rPr>
                <w:rFonts w:ascii="宋体" w:cs="宋体"/>
                <w:color w:val="000000"/>
                <w:sz w:val="24"/>
              </w:rPr>
            </w:pPr>
            <w:r>
              <w:rPr>
                <w:rFonts w:hint="eastAsia" w:ascii="宋体" w:cs="宋体"/>
                <w:color w:val="000000"/>
                <w:sz w:val="24"/>
              </w:rPr>
              <w:t xml:space="preserve">2000≤Z＜5000   </w:t>
            </w:r>
          </w:p>
        </w:tc>
        <w:tc>
          <w:tcPr>
            <w:tcW w:w="993" w:type="dxa"/>
            <w:tcBorders>
              <w:top w:val="nil"/>
              <w:left w:val="nil"/>
              <w:bottom w:val="single" w:color="auto" w:sz="4" w:space="0"/>
              <w:right w:val="single" w:color="auto" w:sz="4" w:space="0"/>
            </w:tcBorders>
            <w:shd w:val="clear" w:color="auto" w:fill="auto"/>
            <w:vAlign w:val="center"/>
          </w:tcPr>
          <w:p w14:paraId="30741F18">
            <w:pPr>
              <w:widowControl/>
              <w:jc w:val="center"/>
              <w:rPr>
                <w:rFonts w:ascii="宋体" w:cs="宋体"/>
                <w:color w:val="000000"/>
                <w:sz w:val="24"/>
              </w:rPr>
            </w:pPr>
            <w:r>
              <w:rPr>
                <w:rFonts w:hint="eastAsia" w:ascii="宋体" w:cs="宋体"/>
                <w:color w:val="000000"/>
                <w:sz w:val="24"/>
              </w:rPr>
              <w:t>Z＜2000</w:t>
            </w:r>
          </w:p>
        </w:tc>
      </w:tr>
      <w:tr w14:paraId="2BDB3B0B">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45984046">
            <w:pPr>
              <w:widowControl/>
              <w:spacing w:line="240" w:lineRule="exact"/>
              <w:rPr>
                <w:rFonts w:ascii="宋体" w:cs="宋体"/>
                <w:color w:val="000000"/>
                <w:sz w:val="24"/>
              </w:rPr>
            </w:pPr>
            <w:r>
              <w:rPr>
                <w:rFonts w:hint="eastAsia" w:ascii="宋体" w:cs="宋体"/>
                <w:color w:val="000000"/>
                <w:sz w:val="24"/>
              </w:rPr>
              <w:t>物业管理</w:t>
            </w:r>
          </w:p>
        </w:tc>
        <w:tc>
          <w:tcPr>
            <w:tcW w:w="1373" w:type="dxa"/>
            <w:tcBorders>
              <w:top w:val="nil"/>
              <w:left w:val="nil"/>
              <w:bottom w:val="nil"/>
              <w:right w:val="single" w:color="auto" w:sz="4" w:space="0"/>
            </w:tcBorders>
            <w:shd w:val="clear" w:color="auto" w:fill="auto"/>
            <w:vAlign w:val="center"/>
          </w:tcPr>
          <w:p w14:paraId="6B5E1442">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71AA7A71">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60A96D67">
            <w:pPr>
              <w:widowControl/>
              <w:jc w:val="center"/>
              <w:rPr>
                <w:rFonts w:ascii="宋体" w:cs="宋体"/>
                <w:color w:val="000000"/>
                <w:sz w:val="24"/>
              </w:rPr>
            </w:pPr>
            <w:r>
              <w:rPr>
                <w:rFonts w:hint="eastAsia" w:ascii="宋体" w:cs="宋体"/>
                <w:color w:val="000000"/>
                <w:sz w:val="24"/>
              </w:rPr>
              <w:t>X≥1000</w:t>
            </w:r>
          </w:p>
        </w:tc>
        <w:tc>
          <w:tcPr>
            <w:tcW w:w="1707" w:type="dxa"/>
            <w:tcBorders>
              <w:top w:val="nil"/>
              <w:left w:val="nil"/>
              <w:bottom w:val="nil"/>
              <w:right w:val="single" w:color="auto" w:sz="4" w:space="0"/>
            </w:tcBorders>
            <w:shd w:val="clear" w:color="auto" w:fill="auto"/>
            <w:vAlign w:val="center"/>
          </w:tcPr>
          <w:p w14:paraId="677C9387">
            <w:pPr>
              <w:widowControl/>
              <w:jc w:val="center"/>
              <w:rPr>
                <w:rFonts w:ascii="宋体" w:cs="宋体"/>
                <w:color w:val="000000"/>
                <w:sz w:val="24"/>
              </w:rPr>
            </w:pPr>
            <w:r>
              <w:rPr>
                <w:rFonts w:hint="eastAsia" w:ascii="宋体" w:cs="宋体"/>
                <w:color w:val="000000"/>
                <w:sz w:val="24"/>
              </w:rPr>
              <w:t>300≤X＜1000</w:t>
            </w:r>
          </w:p>
        </w:tc>
        <w:tc>
          <w:tcPr>
            <w:tcW w:w="1429" w:type="dxa"/>
            <w:tcBorders>
              <w:top w:val="nil"/>
              <w:left w:val="nil"/>
              <w:bottom w:val="nil"/>
              <w:right w:val="single" w:color="auto" w:sz="4" w:space="0"/>
            </w:tcBorders>
            <w:shd w:val="clear" w:color="auto" w:fill="auto"/>
            <w:vAlign w:val="center"/>
          </w:tcPr>
          <w:p w14:paraId="617A35EA">
            <w:pPr>
              <w:widowControl/>
              <w:jc w:val="center"/>
              <w:rPr>
                <w:rFonts w:ascii="宋体" w:cs="宋体"/>
                <w:color w:val="000000"/>
                <w:sz w:val="24"/>
              </w:rPr>
            </w:pPr>
            <w:r>
              <w:rPr>
                <w:rFonts w:hint="eastAsia" w:ascii="宋体" w:cs="宋体"/>
                <w:color w:val="000000"/>
                <w:sz w:val="24"/>
              </w:rPr>
              <w:t xml:space="preserve">100≤X＜300 </w:t>
            </w:r>
          </w:p>
        </w:tc>
        <w:tc>
          <w:tcPr>
            <w:tcW w:w="993" w:type="dxa"/>
            <w:tcBorders>
              <w:top w:val="nil"/>
              <w:left w:val="nil"/>
              <w:bottom w:val="nil"/>
              <w:right w:val="single" w:color="auto" w:sz="4" w:space="0"/>
            </w:tcBorders>
            <w:shd w:val="clear" w:color="auto" w:fill="auto"/>
            <w:vAlign w:val="center"/>
          </w:tcPr>
          <w:p w14:paraId="0852B645">
            <w:pPr>
              <w:widowControl/>
              <w:jc w:val="center"/>
              <w:rPr>
                <w:rFonts w:ascii="宋体" w:cs="宋体"/>
                <w:color w:val="000000"/>
                <w:sz w:val="24"/>
              </w:rPr>
            </w:pPr>
            <w:r>
              <w:rPr>
                <w:rFonts w:hint="eastAsia" w:ascii="宋体" w:cs="宋体"/>
                <w:color w:val="000000"/>
                <w:sz w:val="24"/>
              </w:rPr>
              <w:t>X＜100</w:t>
            </w:r>
          </w:p>
        </w:tc>
      </w:tr>
      <w:tr w14:paraId="6B27A7A8">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13615F02"/>
        </w:tc>
        <w:tc>
          <w:tcPr>
            <w:tcW w:w="1373" w:type="dxa"/>
            <w:tcBorders>
              <w:top w:val="nil"/>
              <w:left w:val="nil"/>
              <w:bottom w:val="single" w:color="auto" w:sz="4" w:space="0"/>
              <w:right w:val="single" w:color="auto" w:sz="4" w:space="0"/>
            </w:tcBorders>
            <w:shd w:val="clear" w:color="auto" w:fill="auto"/>
            <w:vAlign w:val="center"/>
          </w:tcPr>
          <w:p w14:paraId="5840C413">
            <w:pPr>
              <w:widowControl/>
              <w:spacing w:line="240" w:lineRule="exact"/>
              <w:jc w:val="center"/>
              <w:rPr>
                <w:rFonts w:ascii="宋体" w:cs="宋体"/>
                <w:color w:val="000000"/>
                <w:sz w:val="24"/>
              </w:rPr>
            </w:pPr>
            <w:r>
              <w:rPr>
                <w:rFonts w:hint="eastAsia" w:ascii="宋体" w:cs="宋体"/>
                <w:color w:val="000000"/>
                <w:sz w:val="24"/>
              </w:rPr>
              <w:t>营业收入(Y)</w:t>
            </w:r>
          </w:p>
        </w:tc>
        <w:tc>
          <w:tcPr>
            <w:tcW w:w="706" w:type="dxa"/>
            <w:tcBorders>
              <w:top w:val="nil"/>
              <w:left w:val="nil"/>
              <w:bottom w:val="single" w:color="auto" w:sz="4" w:space="0"/>
              <w:right w:val="single" w:color="auto" w:sz="4" w:space="0"/>
            </w:tcBorders>
            <w:shd w:val="clear" w:color="auto" w:fill="auto"/>
            <w:vAlign w:val="center"/>
          </w:tcPr>
          <w:p w14:paraId="783F15A3">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1DD7170F">
            <w:pPr>
              <w:widowControl/>
              <w:jc w:val="center"/>
              <w:rPr>
                <w:rFonts w:ascii="宋体" w:cs="宋体"/>
                <w:color w:val="000000"/>
                <w:sz w:val="24"/>
              </w:rPr>
            </w:pPr>
            <w:r>
              <w:rPr>
                <w:rFonts w:hint="eastAsia" w:ascii="宋体" w:cs="宋体"/>
                <w:color w:val="000000"/>
                <w:sz w:val="24"/>
              </w:rPr>
              <w:t>Y≥5000</w:t>
            </w:r>
          </w:p>
        </w:tc>
        <w:tc>
          <w:tcPr>
            <w:tcW w:w="1707" w:type="dxa"/>
            <w:tcBorders>
              <w:top w:val="nil"/>
              <w:left w:val="nil"/>
              <w:bottom w:val="single" w:color="auto" w:sz="4" w:space="0"/>
              <w:right w:val="single" w:color="auto" w:sz="4" w:space="0"/>
            </w:tcBorders>
            <w:shd w:val="clear" w:color="auto" w:fill="auto"/>
            <w:vAlign w:val="center"/>
          </w:tcPr>
          <w:p w14:paraId="29E3241A">
            <w:pPr>
              <w:widowControl/>
              <w:ind w:left="37" w:leftChars="-51" w:hanging="144" w:hangingChars="60"/>
              <w:jc w:val="center"/>
              <w:rPr>
                <w:rFonts w:ascii="宋体" w:cs="宋体"/>
                <w:color w:val="000000"/>
                <w:sz w:val="24"/>
              </w:rPr>
            </w:pPr>
            <w:r>
              <w:rPr>
                <w:rFonts w:hint="eastAsia" w:ascii="宋体" w:cs="宋体"/>
                <w:color w:val="000000"/>
                <w:sz w:val="24"/>
              </w:rPr>
              <w:t xml:space="preserve">1000≤Y＜5000 </w:t>
            </w:r>
          </w:p>
        </w:tc>
        <w:tc>
          <w:tcPr>
            <w:tcW w:w="1429" w:type="dxa"/>
            <w:tcBorders>
              <w:top w:val="nil"/>
              <w:left w:val="nil"/>
              <w:bottom w:val="single" w:color="auto" w:sz="4" w:space="0"/>
              <w:right w:val="single" w:color="auto" w:sz="4" w:space="0"/>
            </w:tcBorders>
            <w:shd w:val="clear" w:color="auto" w:fill="auto"/>
            <w:vAlign w:val="center"/>
          </w:tcPr>
          <w:p w14:paraId="22F5D375">
            <w:pPr>
              <w:widowControl/>
              <w:jc w:val="center"/>
              <w:rPr>
                <w:rFonts w:ascii="宋体" w:cs="宋体"/>
                <w:color w:val="000000"/>
                <w:sz w:val="24"/>
              </w:rPr>
            </w:pPr>
            <w:r>
              <w:rPr>
                <w:rFonts w:hint="eastAsia" w:ascii="宋体" w:cs="宋体"/>
                <w:color w:val="000000"/>
                <w:sz w:val="24"/>
              </w:rPr>
              <w:t xml:space="preserve"> 500≤Y＜1000</w:t>
            </w:r>
          </w:p>
        </w:tc>
        <w:tc>
          <w:tcPr>
            <w:tcW w:w="993" w:type="dxa"/>
            <w:tcBorders>
              <w:top w:val="nil"/>
              <w:left w:val="nil"/>
              <w:bottom w:val="single" w:color="auto" w:sz="4" w:space="0"/>
              <w:right w:val="single" w:color="auto" w:sz="4" w:space="0"/>
            </w:tcBorders>
            <w:shd w:val="clear" w:color="auto" w:fill="auto"/>
            <w:vAlign w:val="center"/>
          </w:tcPr>
          <w:p w14:paraId="4EC57223">
            <w:pPr>
              <w:widowControl/>
              <w:jc w:val="center"/>
              <w:rPr>
                <w:rFonts w:ascii="宋体" w:cs="宋体"/>
                <w:color w:val="000000"/>
                <w:sz w:val="24"/>
              </w:rPr>
            </w:pPr>
            <w:r>
              <w:rPr>
                <w:rFonts w:hint="eastAsia" w:ascii="宋体" w:cs="宋体"/>
                <w:color w:val="000000"/>
                <w:sz w:val="24"/>
              </w:rPr>
              <w:t>Y＜500</w:t>
            </w:r>
          </w:p>
        </w:tc>
      </w:tr>
      <w:tr w14:paraId="30F4F5B5">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33AA84A">
            <w:pPr>
              <w:widowControl/>
              <w:spacing w:line="240" w:lineRule="exact"/>
              <w:rPr>
                <w:rFonts w:ascii="宋体" w:cs="宋体"/>
                <w:color w:val="000000"/>
                <w:sz w:val="24"/>
              </w:rPr>
            </w:pPr>
            <w:r>
              <w:rPr>
                <w:rFonts w:hint="eastAsia" w:ascii="宋体" w:cs="宋体"/>
                <w:color w:val="000000"/>
                <w:sz w:val="24"/>
              </w:rPr>
              <w:t>租赁和商务服务业</w:t>
            </w:r>
          </w:p>
        </w:tc>
        <w:tc>
          <w:tcPr>
            <w:tcW w:w="1373" w:type="dxa"/>
            <w:tcBorders>
              <w:top w:val="nil"/>
              <w:left w:val="nil"/>
              <w:bottom w:val="nil"/>
              <w:right w:val="single" w:color="auto" w:sz="4" w:space="0"/>
            </w:tcBorders>
            <w:shd w:val="clear" w:color="auto" w:fill="auto"/>
            <w:vAlign w:val="center"/>
          </w:tcPr>
          <w:p w14:paraId="1045AFC0">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nil"/>
              <w:right w:val="single" w:color="auto" w:sz="4" w:space="0"/>
            </w:tcBorders>
            <w:shd w:val="clear" w:color="auto" w:fill="auto"/>
            <w:vAlign w:val="center"/>
          </w:tcPr>
          <w:p w14:paraId="359F5614">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nil"/>
              <w:right w:val="single" w:color="auto" w:sz="4" w:space="0"/>
            </w:tcBorders>
            <w:shd w:val="clear" w:color="auto" w:fill="auto"/>
            <w:vAlign w:val="center"/>
          </w:tcPr>
          <w:p w14:paraId="59DA0361">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nil"/>
              <w:right w:val="single" w:color="auto" w:sz="4" w:space="0"/>
            </w:tcBorders>
            <w:shd w:val="clear" w:color="auto" w:fill="auto"/>
            <w:vAlign w:val="center"/>
          </w:tcPr>
          <w:p w14:paraId="0A912311">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nil"/>
              <w:left w:val="nil"/>
              <w:bottom w:val="nil"/>
              <w:right w:val="single" w:color="auto" w:sz="4" w:space="0"/>
            </w:tcBorders>
            <w:shd w:val="clear" w:color="auto" w:fill="auto"/>
            <w:vAlign w:val="center"/>
          </w:tcPr>
          <w:p w14:paraId="18B7FE37">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nil"/>
              <w:right w:val="single" w:color="auto" w:sz="4" w:space="0"/>
            </w:tcBorders>
            <w:shd w:val="clear" w:color="auto" w:fill="auto"/>
            <w:vAlign w:val="center"/>
          </w:tcPr>
          <w:p w14:paraId="39B8A7BE">
            <w:pPr>
              <w:widowControl/>
              <w:jc w:val="center"/>
              <w:rPr>
                <w:rFonts w:ascii="宋体" w:cs="宋体"/>
                <w:color w:val="000000"/>
                <w:sz w:val="24"/>
              </w:rPr>
            </w:pPr>
            <w:r>
              <w:rPr>
                <w:rFonts w:hint="eastAsia" w:ascii="宋体" w:cs="宋体"/>
                <w:color w:val="000000"/>
                <w:sz w:val="24"/>
              </w:rPr>
              <w:t>X＜10</w:t>
            </w:r>
          </w:p>
        </w:tc>
      </w:tr>
      <w:tr w14:paraId="57AA6707">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1C59B8A9"/>
        </w:tc>
        <w:tc>
          <w:tcPr>
            <w:tcW w:w="1373" w:type="dxa"/>
            <w:tcBorders>
              <w:top w:val="nil"/>
              <w:left w:val="nil"/>
              <w:bottom w:val="single" w:color="auto" w:sz="4" w:space="0"/>
              <w:right w:val="single" w:color="auto" w:sz="4" w:space="0"/>
            </w:tcBorders>
            <w:shd w:val="clear" w:color="auto" w:fill="auto"/>
            <w:vAlign w:val="center"/>
          </w:tcPr>
          <w:p w14:paraId="798362F8">
            <w:pPr>
              <w:widowControl/>
              <w:spacing w:line="240" w:lineRule="exact"/>
              <w:jc w:val="center"/>
              <w:rPr>
                <w:rFonts w:ascii="宋体" w:cs="宋体"/>
                <w:color w:val="000000"/>
                <w:sz w:val="24"/>
              </w:rPr>
            </w:pPr>
            <w:r>
              <w:rPr>
                <w:rFonts w:hint="eastAsia" w:ascii="宋体" w:cs="宋体"/>
                <w:color w:val="000000"/>
                <w:sz w:val="24"/>
              </w:rPr>
              <w:t>资产总额(Z)</w:t>
            </w:r>
          </w:p>
        </w:tc>
        <w:tc>
          <w:tcPr>
            <w:tcW w:w="706" w:type="dxa"/>
            <w:tcBorders>
              <w:top w:val="nil"/>
              <w:left w:val="nil"/>
              <w:bottom w:val="single" w:color="auto" w:sz="4" w:space="0"/>
              <w:right w:val="single" w:color="auto" w:sz="4" w:space="0"/>
            </w:tcBorders>
            <w:shd w:val="clear" w:color="auto" w:fill="auto"/>
            <w:vAlign w:val="center"/>
          </w:tcPr>
          <w:p w14:paraId="29BF54B4">
            <w:pPr>
              <w:widowControl/>
              <w:jc w:val="center"/>
              <w:rPr>
                <w:rFonts w:ascii="宋体" w:cs="宋体"/>
                <w:color w:val="000000"/>
                <w:sz w:val="24"/>
              </w:rPr>
            </w:pPr>
            <w:r>
              <w:rPr>
                <w:rFonts w:hint="eastAsia" w:ascii="宋体" w:cs="宋体"/>
                <w:color w:val="000000"/>
                <w:sz w:val="24"/>
              </w:rPr>
              <w:t>万元</w:t>
            </w:r>
          </w:p>
        </w:tc>
        <w:tc>
          <w:tcPr>
            <w:tcW w:w="1127" w:type="dxa"/>
            <w:tcBorders>
              <w:top w:val="nil"/>
              <w:left w:val="nil"/>
              <w:bottom w:val="single" w:color="auto" w:sz="4" w:space="0"/>
              <w:right w:val="single" w:color="auto" w:sz="4" w:space="0"/>
            </w:tcBorders>
            <w:shd w:val="clear" w:color="auto" w:fill="auto"/>
            <w:vAlign w:val="center"/>
          </w:tcPr>
          <w:p w14:paraId="6D319231">
            <w:pPr>
              <w:widowControl/>
              <w:jc w:val="center"/>
              <w:rPr>
                <w:rFonts w:ascii="宋体" w:cs="宋体"/>
                <w:color w:val="000000"/>
                <w:sz w:val="24"/>
              </w:rPr>
            </w:pPr>
            <w:r>
              <w:rPr>
                <w:rFonts w:hint="eastAsia" w:ascii="宋体" w:cs="宋体"/>
                <w:color w:val="000000"/>
                <w:sz w:val="24"/>
              </w:rPr>
              <w:t>Z≥120000</w:t>
            </w:r>
          </w:p>
        </w:tc>
        <w:tc>
          <w:tcPr>
            <w:tcW w:w="1707" w:type="dxa"/>
            <w:tcBorders>
              <w:top w:val="nil"/>
              <w:left w:val="nil"/>
              <w:bottom w:val="single" w:color="auto" w:sz="4" w:space="0"/>
              <w:right w:val="single" w:color="auto" w:sz="4" w:space="0"/>
            </w:tcBorders>
            <w:shd w:val="clear" w:color="auto" w:fill="auto"/>
            <w:vAlign w:val="center"/>
          </w:tcPr>
          <w:p w14:paraId="40E1724C">
            <w:pPr>
              <w:widowControl/>
              <w:jc w:val="center"/>
              <w:rPr>
                <w:rFonts w:ascii="宋体" w:cs="宋体"/>
                <w:color w:val="000000"/>
                <w:sz w:val="24"/>
              </w:rPr>
            </w:pPr>
            <w:r>
              <w:rPr>
                <w:rFonts w:hint="eastAsia" w:ascii="宋体" w:cs="宋体"/>
                <w:color w:val="000000"/>
                <w:sz w:val="24"/>
              </w:rPr>
              <w:t xml:space="preserve"> 8000≤Z＜120000</w:t>
            </w:r>
          </w:p>
        </w:tc>
        <w:tc>
          <w:tcPr>
            <w:tcW w:w="1429" w:type="dxa"/>
            <w:tcBorders>
              <w:top w:val="nil"/>
              <w:left w:val="nil"/>
              <w:bottom w:val="single" w:color="auto" w:sz="4" w:space="0"/>
              <w:right w:val="single" w:color="auto" w:sz="4" w:space="0"/>
            </w:tcBorders>
            <w:shd w:val="clear" w:color="auto" w:fill="auto"/>
            <w:vAlign w:val="center"/>
          </w:tcPr>
          <w:p w14:paraId="5861C133">
            <w:pPr>
              <w:widowControl/>
              <w:jc w:val="center"/>
              <w:rPr>
                <w:rFonts w:ascii="宋体" w:cs="宋体"/>
                <w:color w:val="000000"/>
                <w:sz w:val="24"/>
              </w:rPr>
            </w:pPr>
            <w:r>
              <w:rPr>
                <w:rFonts w:hint="eastAsia" w:ascii="宋体" w:cs="宋体"/>
                <w:color w:val="000000"/>
                <w:sz w:val="24"/>
              </w:rPr>
              <w:t xml:space="preserve"> 100≤Z＜8000</w:t>
            </w:r>
          </w:p>
        </w:tc>
        <w:tc>
          <w:tcPr>
            <w:tcW w:w="993" w:type="dxa"/>
            <w:tcBorders>
              <w:top w:val="nil"/>
              <w:left w:val="nil"/>
              <w:bottom w:val="single" w:color="auto" w:sz="4" w:space="0"/>
              <w:right w:val="single" w:color="auto" w:sz="4" w:space="0"/>
            </w:tcBorders>
            <w:shd w:val="clear" w:color="auto" w:fill="auto"/>
            <w:vAlign w:val="center"/>
          </w:tcPr>
          <w:p w14:paraId="0E86A0D9">
            <w:pPr>
              <w:widowControl/>
              <w:jc w:val="center"/>
              <w:rPr>
                <w:rFonts w:ascii="宋体" w:cs="宋体"/>
                <w:color w:val="000000"/>
                <w:sz w:val="24"/>
              </w:rPr>
            </w:pPr>
            <w:r>
              <w:rPr>
                <w:rFonts w:hint="eastAsia" w:ascii="宋体" w:cs="宋体"/>
                <w:color w:val="000000"/>
                <w:sz w:val="24"/>
              </w:rPr>
              <w:t>Z＜100</w:t>
            </w:r>
          </w:p>
        </w:tc>
      </w:tr>
      <w:tr w14:paraId="6DE2722D">
        <w:tblPrEx>
          <w:tblCellMar>
            <w:top w:w="0" w:type="dxa"/>
            <w:left w:w="108" w:type="dxa"/>
            <w:bottom w:w="0" w:type="dxa"/>
            <w:right w:w="108" w:type="dxa"/>
          </w:tblCellMar>
        </w:tblPrEx>
        <w:trPr>
          <w:trHeight w:val="955" w:hRule="exact"/>
          <w:jc w:val="center"/>
        </w:trPr>
        <w:tc>
          <w:tcPr>
            <w:tcW w:w="2122" w:type="dxa"/>
            <w:tcBorders>
              <w:top w:val="nil"/>
              <w:left w:val="single" w:color="auto" w:sz="4" w:space="0"/>
              <w:bottom w:val="single" w:color="auto" w:sz="4" w:space="0"/>
              <w:right w:val="single" w:color="auto" w:sz="4" w:space="0"/>
            </w:tcBorders>
            <w:shd w:val="clear" w:color="auto" w:fill="auto"/>
            <w:vAlign w:val="center"/>
          </w:tcPr>
          <w:p w14:paraId="03C7B36C">
            <w:pPr>
              <w:widowControl/>
              <w:spacing w:line="240" w:lineRule="exact"/>
              <w:rPr>
                <w:rFonts w:ascii="宋体" w:cs="宋体"/>
                <w:color w:val="000000"/>
                <w:sz w:val="24"/>
              </w:rPr>
            </w:pPr>
            <w:r>
              <w:rPr>
                <w:rFonts w:hint="eastAsia" w:ascii="宋体" w:cs="宋体"/>
                <w:color w:val="000000"/>
                <w:sz w:val="24"/>
              </w:rPr>
              <w:t>其他未列明行业 *</w:t>
            </w:r>
          </w:p>
        </w:tc>
        <w:tc>
          <w:tcPr>
            <w:tcW w:w="1373" w:type="dxa"/>
            <w:tcBorders>
              <w:top w:val="nil"/>
              <w:left w:val="nil"/>
              <w:bottom w:val="single" w:color="auto" w:sz="4" w:space="0"/>
              <w:right w:val="single" w:color="auto" w:sz="4" w:space="0"/>
            </w:tcBorders>
            <w:shd w:val="clear" w:color="auto" w:fill="auto"/>
            <w:vAlign w:val="center"/>
          </w:tcPr>
          <w:p w14:paraId="7A4FC50F">
            <w:pPr>
              <w:widowControl/>
              <w:jc w:val="center"/>
              <w:rPr>
                <w:rFonts w:ascii="宋体" w:cs="宋体"/>
                <w:color w:val="000000"/>
                <w:sz w:val="24"/>
              </w:rPr>
            </w:pPr>
            <w:r>
              <w:rPr>
                <w:rFonts w:hint="eastAsia" w:ascii="宋体" w:cs="宋体"/>
                <w:color w:val="000000"/>
                <w:sz w:val="24"/>
              </w:rPr>
              <w:t>从业人员(X)</w:t>
            </w:r>
          </w:p>
        </w:tc>
        <w:tc>
          <w:tcPr>
            <w:tcW w:w="706" w:type="dxa"/>
            <w:tcBorders>
              <w:top w:val="nil"/>
              <w:left w:val="nil"/>
              <w:bottom w:val="single" w:color="auto" w:sz="4" w:space="0"/>
              <w:right w:val="single" w:color="auto" w:sz="4" w:space="0"/>
            </w:tcBorders>
            <w:shd w:val="clear" w:color="auto" w:fill="auto"/>
            <w:vAlign w:val="center"/>
          </w:tcPr>
          <w:p w14:paraId="36B0E53B">
            <w:pPr>
              <w:widowControl/>
              <w:jc w:val="center"/>
              <w:rPr>
                <w:rFonts w:ascii="宋体" w:cs="宋体"/>
                <w:color w:val="000000"/>
                <w:sz w:val="24"/>
              </w:rPr>
            </w:pPr>
            <w:r>
              <w:rPr>
                <w:rFonts w:hint="eastAsia" w:ascii="宋体" w:cs="宋体"/>
                <w:color w:val="000000"/>
                <w:sz w:val="24"/>
              </w:rPr>
              <w:t>人</w:t>
            </w:r>
          </w:p>
        </w:tc>
        <w:tc>
          <w:tcPr>
            <w:tcW w:w="1127" w:type="dxa"/>
            <w:tcBorders>
              <w:top w:val="nil"/>
              <w:left w:val="nil"/>
              <w:bottom w:val="single" w:color="auto" w:sz="4" w:space="0"/>
              <w:right w:val="single" w:color="auto" w:sz="4" w:space="0"/>
            </w:tcBorders>
            <w:shd w:val="clear" w:color="auto" w:fill="auto"/>
            <w:vAlign w:val="center"/>
          </w:tcPr>
          <w:p w14:paraId="35997635">
            <w:pPr>
              <w:widowControl/>
              <w:jc w:val="center"/>
              <w:rPr>
                <w:rFonts w:ascii="宋体" w:cs="宋体"/>
                <w:color w:val="000000"/>
                <w:sz w:val="24"/>
              </w:rPr>
            </w:pPr>
            <w:r>
              <w:rPr>
                <w:rFonts w:hint="eastAsia" w:ascii="宋体" w:cs="宋体"/>
                <w:color w:val="000000"/>
                <w:sz w:val="24"/>
              </w:rPr>
              <w:t>X≥300</w:t>
            </w:r>
          </w:p>
        </w:tc>
        <w:tc>
          <w:tcPr>
            <w:tcW w:w="1707" w:type="dxa"/>
            <w:tcBorders>
              <w:top w:val="nil"/>
              <w:left w:val="nil"/>
              <w:bottom w:val="single" w:color="auto" w:sz="4" w:space="0"/>
              <w:right w:val="single" w:color="auto" w:sz="4" w:space="0"/>
            </w:tcBorders>
            <w:shd w:val="clear" w:color="auto" w:fill="auto"/>
            <w:vAlign w:val="center"/>
          </w:tcPr>
          <w:p w14:paraId="527D215E">
            <w:pPr>
              <w:widowControl/>
              <w:ind w:left="37" w:leftChars="-51" w:hanging="144" w:hangingChars="60"/>
              <w:jc w:val="center"/>
              <w:rPr>
                <w:rFonts w:ascii="宋体" w:cs="宋体"/>
                <w:color w:val="000000"/>
                <w:sz w:val="24"/>
              </w:rPr>
            </w:pPr>
            <w:r>
              <w:rPr>
                <w:rFonts w:hint="eastAsia" w:ascii="宋体" w:cs="宋体"/>
                <w:color w:val="000000"/>
                <w:sz w:val="24"/>
              </w:rPr>
              <w:t xml:space="preserve">100≤X＜300 </w:t>
            </w:r>
          </w:p>
        </w:tc>
        <w:tc>
          <w:tcPr>
            <w:tcW w:w="1429" w:type="dxa"/>
            <w:tcBorders>
              <w:top w:val="nil"/>
              <w:left w:val="nil"/>
              <w:bottom w:val="single" w:color="auto" w:sz="4" w:space="0"/>
              <w:right w:val="single" w:color="auto" w:sz="4" w:space="0"/>
            </w:tcBorders>
            <w:shd w:val="clear" w:color="auto" w:fill="auto"/>
            <w:vAlign w:val="center"/>
          </w:tcPr>
          <w:p w14:paraId="27423352">
            <w:pPr>
              <w:widowControl/>
              <w:jc w:val="center"/>
              <w:rPr>
                <w:rFonts w:ascii="宋体" w:cs="宋体"/>
                <w:color w:val="000000"/>
                <w:sz w:val="24"/>
              </w:rPr>
            </w:pPr>
            <w:r>
              <w:rPr>
                <w:rFonts w:hint="eastAsia" w:ascii="宋体" w:cs="宋体"/>
                <w:color w:val="000000"/>
                <w:sz w:val="24"/>
              </w:rPr>
              <w:t xml:space="preserve"> 10≤X＜100</w:t>
            </w:r>
          </w:p>
        </w:tc>
        <w:tc>
          <w:tcPr>
            <w:tcW w:w="993" w:type="dxa"/>
            <w:tcBorders>
              <w:top w:val="nil"/>
              <w:left w:val="nil"/>
              <w:bottom w:val="single" w:color="auto" w:sz="4" w:space="0"/>
              <w:right w:val="single" w:color="auto" w:sz="4" w:space="0"/>
            </w:tcBorders>
            <w:shd w:val="clear" w:color="auto" w:fill="auto"/>
            <w:vAlign w:val="center"/>
          </w:tcPr>
          <w:p w14:paraId="4F7DED5C">
            <w:pPr>
              <w:widowControl/>
              <w:jc w:val="center"/>
              <w:rPr>
                <w:rFonts w:ascii="宋体" w:cs="宋体"/>
                <w:color w:val="000000"/>
                <w:sz w:val="24"/>
              </w:rPr>
            </w:pPr>
            <w:r>
              <w:rPr>
                <w:rFonts w:hint="eastAsia" w:ascii="宋体" w:cs="宋体"/>
                <w:color w:val="000000"/>
                <w:sz w:val="24"/>
              </w:rPr>
              <w:t>X＜10</w:t>
            </w:r>
          </w:p>
        </w:tc>
      </w:tr>
    </w:tbl>
    <w:p w14:paraId="6B733AAA">
      <w:pPr>
        <w:rPr>
          <w:rFonts w:ascii="宋体" w:cs="宋体"/>
          <w:sz w:val="24"/>
        </w:rPr>
      </w:pPr>
      <w:r>
        <w:rPr>
          <w:rFonts w:hint="eastAsia" w:ascii="宋体" w:cs="宋体"/>
          <w:sz w:val="24"/>
        </w:rPr>
        <w:t>说明：</w:t>
      </w:r>
    </w:p>
    <w:p w14:paraId="295520B1">
      <w:pPr>
        <w:rPr>
          <w:rFonts w:ascii="宋体" w:cs="宋体"/>
          <w:sz w:val="24"/>
        </w:rPr>
      </w:pPr>
      <w:r>
        <w:rPr>
          <w:rFonts w:hint="eastAsia" w:ascii="宋体" w:cs="宋体"/>
          <w:sz w:val="24"/>
        </w:rPr>
        <w:t>　　1.大型、中型和小型企业须同时满足所列指标的下限，否则下划一档；微型企业只须满足所列指标中的一项即可。</w:t>
      </w:r>
    </w:p>
    <w:p w14:paraId="13D83E13">
      <w:pPr>
        <w:rPr>
          <w:rFonts w:ascii="宋体" w:cs="宋体"/>
          <w:sz w:val="24"/>
        </w:rPr>
      </w:pPr>
      <w:r>
        <w:rPr>
          <w:rFonts w:hint="eastAsia" w:ascii="宋体" w:cs="宋体"/>
          <w:sz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1CA15EB">
      <w:pPr>
        <w:rPr>
          <w:rFonts w:ascii="宋体" w:cs="宋体"/>
          <w:sz w:val="24"/>
        </w:rPr>
      </w:pPr>
      <w:r>
        <w:rPr>
          <w:rFonts w:hint="eastAsia" w:ascii="宋体" w:cs="宋体"/>
          <w:sz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9979488">
      <w:pPr>
        <w:widowControl/>
        <w:rPr>
          <w:rFonts w:ascii="宋体" w:cs="宋体"/>
          <w:sz w:val="24"/>
        </w:rPr>
      </w:pPr>
      <w:r>
        <w:rPr>
          <w:rFonts w:hint="eastAsia" w:ascii="宋体" w:cs="宋体"/>
          <w:sz w:val="24"/>
        </w:rPr>
        <w:br w:type="page"/>
      </w:r>
    </w:p>
    <w:p w14:paraId="24FEDA01">
      <w:pPr>
        <w:jc w:val="center"/>
        <w:rPr>
          <w:rFonts w:ascii="宋体" w:cs="宋体"/>
          <w:sz w:val="24"/>
        </w:rPr>
      </w:pPr>
      <w:r>
        <w:rPr>
          <w:rFonts w:hint="eastAsia" w:ascii="宋体" w:cs="宋体"/>
          <w:sz w:val="24"/>
        </w:rPr>
        <w:t>《统计上大中小微型企业划分办法（2017）》修订说明</w:t>
      </w:r>
    </w:p>
    <w:p w14:paraId="6E365410">
      <w:pPr>
        <w:rPr>
          <w:rFonts w:ascii="宋体" w:cs="宋体"/>
          <w:sz w:val="24"/>
        </w:rPr>
      </w:pPr>
    </w:p>
    <w:p w14:paraId="1A33D831">
      <w:pPr>
        <w:rPr>
          <w:rFonts w:ascii="宋体" w:cs="宋体"/>
          <w:sz w:val="24"/>
        </w:rPr>
      </w:pPr>
      <w:r>
        <w:rPr>
          <w:rFonts w:hint="eastAsia" w:ascii="宋体" w:cs="宋体"/>
          <w:sz w:val="24"/>
        </w:rPr>
        <w:t>一、修订背景</w:t>
      </w:r>
    </w:p>
    <w:p w14:paraId="3DA2E887">
      <w:pPr>
        <w:ind w:firstLine="480" w:firstLineChars="200"/>
        <w:rPr>
          <w:rFonts w:ascii="宋体" w:cs="宋体"/>
          <w:sz w:val="24"/>
        </w:rPr>
      </w:pPr>
      <w:r>
        <w:rPr>
          <w:rFonts w:hint="eastAsia" w:ascii="宋体" w:cs="宋体"/>
          <w:sz w:val="24"/>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C2EA6E8">
      <w:pPr>
        <w:ind w:firstLine="480" w:firstLineChars="200"/>
        <w:rPr>
          <w:rFonts w:ascii="宋体" w:cs="宋体"/>
          <w:sz w:val="24"/>
        </w:rPr>
      </w:pPr>
      <w:r>
        <w:rPr>
          <w:rFonts w:hint="eastAsia" w:ascii="宋体" w:cs="宋体"/>
          <w:sz w:val="24"/>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A6B5711">
      <w:pPr>
        <w:rPr>
          <w:rFonts w:ascii="宋体" w:cs="宋体"/>
          <w:sz w:val="24"/>
        </w:rPr>
      </w:pPr>
      <w:r>
        <w:rPr>
          <w:rFonts w:hint="eastAsia" w:ascii="宋体" w:cs="宋体"/>
          <w:sz w:val="24"/>
        </w:rPr>
        <w:t>二、修订主要内容</w:t>
      </w:r>
    </w:p>
    <w:p w14:paraId="247612A2">
      <w:pPr>
        <w:ind w:firstLine="480" w:firstLineChars="200"/>
        <w:rPr>
          <w:rFonts w:ascii="宋体" w:cs="宋体"/>
          <w:sz w:val="24"/>
        </w:rPr>
      </w:pPr>
      <w:r>
        <w:rPr>
          <w:rFonts w:hint="eastAsia" w:ascii="宋体" w:cs="宋体"/>
          <w:sz w:val="24"/>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438D16F">
      <w:pPr>
        <w:ind w:firstLine="480" w:firstLineChars="200"/>
        <w:rPr>
          <w:rFonts w:ascii="宋体" w:cs="宋体"/>
          <w:sz w:val="24"/>
        </w:rPr>
      </w:pPr>
      <w:r>
        <w:rPr>
          <w:rFonts w:hint="eastAsia" w:ascii="宋体" w:cs="宋体"/>
          <w:sz w:val="24"/>
        </w:rPr>
        <w:t>将交通运输业中包括的“装卸搬运和运输代理业”修改为“多式联运和运输代理业、装卸搬运”。</w:t>
      </w:r>
    </w:p>
    <w:p w14:paraId="75C1E09C">
      <w:pPr>
        <w:ind w:firstLine="480" w:firstLineChars="200"/>
        <w:rPr>
          <w:rFonts w:ascii="宋体" w:cs="宋体"/>
          <w:sz w:val="24"/>
        </w:rPr>
      </w:pPr>
      <w:r>
        <w:rPr>
          <w:rFonts w:hint="eastAsia" w:ascii="宋体" w:cs="宋体"/>
          <w:sz w:val="24"/>
        </w:rPr>
        <w:t>仓储业所包括的行业中类，根据《国民经济行业分类》（GB/T 4754—2017）调整为“通用仓储，低温仓储，危险品仓储，谷物、棉花等农产品仓储，中药材仓储和其他仓储业”。</w:t>
      </w:r>
    </w:p>
    <w:p w14:paraId="385B25F4">
      <w:pPr>
        <w:rPr>
          <w:rFonts w:ascii="宋体" w:cs="宋体"/>
        </w:rPr>
      </w:pPr>
      <w:r>
        <w:rPr>
          <w:rFonts w:ascii="宋体" w:cs="宋体"/>
        </w:rPr>
        <w:br w:type="page"/>
      </w:r>
    </w:p>
    <w:p w14:paraId="4E8D31D2">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t xml:space="preserve">中国人民银行中国银行业监督管理委员会 </w:t>
      </w:r>
    </w:p>
    <w:p w14:paraId="5451BA0C">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t xml:space="preserve">中国证券监督管理委员会中国保险监督管理委员会 </w:t>
      </w:r>
    </w:p>
    <w:p w14:paraId="743742E1">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t>国家统计局关于印发《金融业企业划型标准规定》的通知</w:t>
      </w:r>
    </w:p>
    <w:p w14:paraId="3F908818">
      <w:pPr>
        <w:widowControl/>
        <w:shd w:val="clear" w:color="auto" w:fill="FFFFFF"/>
        <w:spacing w:line="360" w:lineRule="auto"/>
        <w:jc w:val="left"/>
        <w:rPr>
          <w:rFonts w:ascii="宋体" w:hAnsi="宋体" w:cs="宋体"/>
          <w:sz w:val="24"/>
        </w:rPr>
      </w:pPr>
      <w:r>
        <w:rPr>
          <w:rFonts w:hint="eastAsia" w:ascii="宋体" w:hAnsi="宋体" w:cs="宋体"/>
          <w:sz w:val="18"/>
          <w:szCs w:val="18"/>
        </w:rPr>
        <w:t>   </w:t>
      </w:r>
      <w:r>
        <w:rPr>
          <w:rFonts w:hint="eastAsia" w:ascii="宋体" w:hAnsi="宋体" w:cs="宋体"/>
          <w:sz w:val="24"/>
        </w:rPr>
        <w:t xml:space="preserve">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19CBADBE">
      <w:pPr>
        <w:widowControl/>
        <w:shd w:val="clear" w:color="auto" w:fill="FFFFFF"/>
        <w:spacing w:line="360" w:lineRule="auto"/>
        <w:jc w:val="left"/>
        <w:rPr>
          <w:rFonts w:ascii="宋体" w:hAnsi="宋体" w:cs="宋体"/>
          <w:sz w:val="24"/>
        </w:rPr>
      </w:pPr>
      <w:r>
        <w:rPr>
          <w:rFonts w:hint="eastAsia" w:ascii="宋体" w:hAnsi="宋体" w:cs="宋体"/>
          <w:sz w:val="24"/>
        </w:rPr>
        <w:t>    请人民银行上海总部，各分行、营业管理部、省会（首府）城市中心支行、副省级城市中心支行会同所在省（区、市）银监局、证监局、保监局、统计局将本通知联合转发至辖内相关机构。</w:t>
      </w:r>
    </w:p>
    <w:p w14:paraId="0BFE3F38">
      <w:pPr>
        <w:widowControl/>
        <w:shd w:val="clear" w:color="auto" w:fill="FFFFFF"/>
        <w:spacing w:line="360" w:lineRule="auto"/>
        <w:jc w:val="left"/>
        <w:rPr>
          <w:rFonts w:ascii="宋体" w:hAnsi="宋体" w:cs="宋体"/>
          <w:b/>
          <w:bCs/>
          <w:sz w:val="28"/>
          <w:szCs w:val="28"/>
        </w:rPr>
      </w:pPr>
      <w:r>
        <w:rPr>
          <w:rFonts w:hint="eastAsia" w:ascii="宋体" w:hAnsi="宋体" w:cs="宋体"/>
          <w:sz w:val="24"/>
        </w:rPr>
        <w:t>附件：金融业企业划型标准规定</w:t>
      </w:r>
    </w:p>
    <w:p w14:paraId="5C3A41A3">
      <w:pPr>
        <w:widowControl/>
        <w:shd w:val="clear" w:color="auto" w:fill="FFFFFF"/>
        <w:spacing w:line="360" w:lineRule="auto"/>
        <w:jc w:val="center"/>
        <w:rPr>
          <w:rFonts w:ascii="宋体" w:hAnsi="宋体" w:cs="宋体"/>
          <w:b/>
          <w:bCs/>
          <w:sz w:val="28"/>
          <w:szCs w:val="28"/>
        </w:rPr>
      </w:pPr>
    </w:p>
    <w:p w14:paraId="30BADA5D">
      <w:pPr>
        <w:widowControl/>
        <w:shd w:val="clear" w:color="auto" w:fill="FFFFFF"/>
        <w:spacing w:line="360" w:lineRule="auto"/>
        <w:jc w:val="center"/>
        <w:rPr>
          <w:rFonts w:ascii="宋体" w:hAnsi="宋体" w:cs="宋体"/>
          <w:b/>
          <w:bCs/>
          <w:sz w:val="28"/>
          <w:szCs w:val="28"/>
        </w:rPr>
      </w:pPr>
    </w:p>
    <w:p w14:paraId="00CBA106">
      <w:pPr>
        <w:widowControl/>
        <w:shd w:val="clear" w:color="auto" w:fill="FFFFFF"/>
        <w:spacing w:line="360" w:lineRule="auto"/>
        <w:jc w:val="center"/>
        <w:rPr>
          <w:rFonts w:ascii="宋体" w:hAnsi="宋体" w:cs="宋体"/>
          <w:b/>
          <w:bCs/>
          <w:sz w:val="28"/>
          <w:szCs w:val="28"/>
        </w:rPr>
      </w:pPr>
    </w:p>
    <w:p w14:paraId="7DC5B687">
      <w:pPr>
        <w:widowControl/>
        <w:shd w:val="clear" w:color="auto" w:fill="FFFFFF"/>
        <w:spacing w:line="360" w:lineRule="auto"/>
        <w:jc w:val="center"/>
        <w:rPr>
          <w:rFonts w:ascii="宋体" w:hAnsi="宋体" w:cs="宋体"/>
          <w:b/>
          <w:bCs/>
          <w:sz w:val="28"/>
          <w:szCs w:val="28"/>
        </w:rPr>
      </w:pPr>
    </w:p>
    <w:p w14:paraId="3B84AD6C">
      <w:pPr>
        <w:widowControl/>
        <w:shd w:val="clear" w:color="auto" w:fill="FFFFFF"/>
        <w:spacing w:line="360" w:lineRule="auto"/>
        <w:jc w:val="center"/>
        <w:rPr>
          <w:rFonts w:ascii="宋体" w:hAnsi="宋体" w:cs="宋体"/>
          <w:b/>
          <w:bCs/>
          <w:sz w:val="28"/>
          <w:szCs w:val="28"/>
        </w:rPr>
      </w:pPr>
    </w:p>
    <w:p w14:paraId="18F34DB7">
      <w:pPr>
        <w:widowControl/>
        <w:shd w:val="clear" w:color="auto" w:fill="FFFFFF"/>
        <w:spacing w:line="360" w:lineRule="auto"/>
        <w:jc w:val="center"/>
        <w:rPr>
          <w:rFonts w:ascii="宋体" w:hAnsi="宋体" w:cs="宋体"/>
          <w:b/>
          <w:bCs/>
          <w:sz w:val="28"/>
          <w:szCs w:val="28"/>
        </w:rPr>
      </w:pPr>
    </w:p>
    <w:p w14:paraId="43B4D793">
      <w:pPr>
        <w:widowControl/>
        <w:shd w:val="clear" w:color="auto" w:fill="FFFFFF"/>
        <w:spacing w:line="360" w:lineRule="auto"/>
        <w:jc w:val="center"/>
        <w:rPr>
          <w:rFonts w:ascii="宋体" w:hAnsi="宋体" w:cs="宋体"/>
          <w:b/>
          <w:bCs/>
          <w:sz w:val="28"/>
          <w:szCs w:val="28"/>
        </w:rPr>
      </w:pPr>
    </w:p>
    <w:p w14:paraId="77B5F274">
      <w:pPr>
        <w:widowControl/>
        <w:shd w:val="clear" w:color="auto" w:fill="FFFFFF"/>
        <w:spacing w:line="360" w:lineRule="auto"/>
        <w:jc w:val="center"/>
        <w:rPr>
          <w:rFonts w:ascii="宋体" w:hAnsi="宋体" w:cs="宋体"/>
          <w:b/>
          <w:bCs/>
          <w:sz w:val="28"/>
          <w:szCs w:val="28"/>
        </w:rPr>
      </w:pPr>
    </w:p>
    <w:p w14:paraId="08DA8E0E">
      <w:pPr>
        <w:widowControl/>
        <w:shd w:val="clear" w:color="auto" w:fill="FFFFFF"/>
        <w:spacing w:line="360" w:lineRule="auto"/>
        <w:jc w:val="center"/>
        <w:rPr>
          <w:rFonts w:ascii="宋体" w:hAnsi="宋体" w:cs="宋体"/>
          <w:b/>
          <w:bCs/>
          <w:sz w:val="28"/>
          <w:szCs w:val="28"/>
        </w:rPr>
      </w:pPr>
    </w:p>
    <w:p w14:paraId="5AF7E011">
      <w:pPr>
        <w:widowControl/>
        <w:shd w:val="clear" w:color="auto" w:fill="FFFFFF"/>
        <w:spacing w:line="360" w:lineRule="auto"/>
        <w:jc w:val="center"/>
        <w:rPr>
          <w:rFonts w:ascii="宋体" w:hAnsi="宋体" w:cs="宋体"/>
          <w:b/>
          <w:bCs/>
          <w:sz w:val="28"/>
          <w:szCs w:val="28"/>
        </w:rPr>
      </w:pPr>
    </w:p>
    <w:p w14:paraId="395D4A62">
      <w:pPr>
        <w:widowControl/>
        <w:shd w:val="clear" w:color="auto" w:fill="FFFFFF"/>
        <w:spacing w:line="360" w:lineRule="auto"/>
        <w:jc w:val="center"/>
        <w:rPr>
          <w:rFonts w:ascii="宋体" w:hAnsi="宋体" w:cs="宋体"/>
          <w:b/>
          <w:bCs/>
          <w:sz w:val="28"/>
          <w:szCs w:val="28"/>
        </w:rPr>
      </w:pPr>
    </w:p>
    <w:p w14:paraId="3812AC34">
      <w:pPr>
        <w:widowControl/>
        <w:shd w:val="clear" w:color="auto" w:fill="FFFFFF"/>
        <w:spacing w:line="360" w:lineRule="auto"/>
        <w:jc w:val="center"/>
        <w:rPr>
          <w:rFonts w:ascii="宋体" w:hAnsi="宋体" w:cs="宋体"/>
          <w:b/>
          <w:bCs/>
          <w:sz w:val="28"/>
          <w:szCs w:val="28"/>
        </w:rPr>
      </w:pPr>
    </w:p>
    <w:p w14:paraId="5D312CE5">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金融业企业划型标准规定</w:t>
      </w:r>
    </w:p>
    <w:p w14:paraId="53FC133D">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18"/>
          <w:szCs w:val="18"/>
        </w:rPr>
        <w:t>  </w:t>
      </w:r>
      <w:r>
        <w:rPr>
          <w:rFonts w:hint="eastAsia" w:ascii="宋体" w:hAnsi="宋体" w:cs="宋体"/>
          <w:sz w:val="24"/>
        </w:rPr>
        <w:t xml:space="preserve">  一、 根据《中华人民共和国中小企业促进法》、《国务院关于进一步促进中小企业发展的若干意见》（国发〔2009〕36号）和《国务院办公厅关于金融支持小微企业发展的实施意见》（国办发〔2013〕87号），制定本规定。 </w:t>
      </w:r>
    </w:p>
    <w:p w14:paraId="1EF45DD1">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二、 适用范围。本规定适用于从事《国民经济行业分类》(GB/T4754-2011)中J门类（金融业）活动的企业。 </w:t>
      </w:r>
    </w:p>
    <w:p w14:paraId="762B52D4">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41A5D8DF">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四、划型标准指标。采用一个完整会计年度中四个季度末法人并表口径的资产总额（信托公司为信托资产）平均值作为划型指标，该指标以监管部门数据为准。 </w:t>
      </w:r>
    </w:p>
    <w:p w14:paraId="6CC192AD">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五、指标标准值。依据指标标准值，将各类金融业企业划分为大、中、小、微四个规模类型，中型企业标准上限及以上的为大型企业。 </w:t>
      </w:r>
    </w:p>
    <w:p w14:paraId="2F54BD80">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(一) 银行业存款类金融机构。资产总额40000亿元以下的为中小微型企业。其中，资产总额5000亿元及以上的为中型企业，资产总额50亿元及以上的为小型企业，资产总额50亿元以下的为微型企业。 </w:t>
      </w:r>
    </w:p>
    <w:p w14:paraId="4FDBCE90">
      <w:pPr>
        <w:widowControl/>
        <w:shd w:val="clear" w:color="auto" w:fill="FFFFFF"/>
        <w:spacing w:before="100" w:beforeAutospacing="1" w:after="100" w:afterAutospacing="1" w:line="360" w:lineRule="auto"/>
        <w:jc w:val="left"/>
        <w:rPr>
          <w:rFonts w:ascii="宋体" w:hAnsi="宋体" w:cs="宋体"/>
          <w:szCs w:val="21"/>
        </w:rPr>
      </w:pPr>
      <w:r>
        <w:rPr>
          <w:rFonts w:hint="eastAsia" w:ascii="宋体" w:hAnsi="宋体" w:cs="宋体"/>
          <w:sz w:val="24"/>
        </w:rPr>
        <w:t>    (二) 银行业非存款类金融机构。资产总额1000亿元以下的为中小微型企业。其中，资产总额200亿元及以上的为中型企业，资产总额50亿元及以上的为小型企业，资产总额50亿元以下的为微型企业。</w:t>
      </w:r>
      <w:r>
        <w:rPr>
          <w:rFonts w:hint="eastAsia" w:ascii="宋体" w:hAnsi="宋体" w:cs="宋体"/>
          <w:szCs w:val="21"/>
        </w:rPr>
        <w:t xml:space="preserve"> </w:t>
      </w:r>
    </w:p>
    <w:p w14:paraId="206BAF60">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Cs w:val="21"/>
        </w:rPr>
        <w:t>   </w:t>
      </w:r>
      <w:r>
        <w:rPr>
          <w:rFonts w:hint="eastAsia" w:ascii="宋体" w:hAnsi="宋体" w:cs="宋体"/>
          <w:sz w:val="24"/>
        </w:rPr>
        <w:t xml:space="preserve"> (三) 贷款公司、小额贷款公司及典当行。资产总额1000亿元以下的为中小微型企业。其中，资产总额200亿元及以上的为中型企业，资产总额50亿元及以上的为小型企业，资产总额50亿元以下的为微型企业。 </w:t>
      </w:r>
    </w:p>
    <w:p w14:paraId="3DF0607C">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(四) 证券业金融机构。资产总额1000亿元以下的为中小微型企业。其中，资产总额100亿元及以上的为中型企业，资产总额10亿元及以上的为小型企业，资产总额10亿元以下的为微型企业。 </w:t>
      </w:r>
    </w:p>
    <w:p w14:paraId="4868C3B1">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(五) 保险业金融机构。资产总额5000亿元以下的为中小微型企业。其中，资产总额400亿元及以上的为中型企业，资产总额20亿元及以上的为小型企业，资产总额20亿元以下的为微型企业。 </w:t>
      </w:r>
    </w:p>
    <w:p w14:paraId="1E91AAC5">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(六) 信托公司。信托资产1000亿元以下的为中小微型企业。其中，信托资产400亿元及以上的为中型企业，信托资产20亿元及以上的为小型企业，信托资产20亿元以下的为微型企业。 </w:t>
      </w:r>
    </w:p>
    <w:p w14:paraId="7D62071E">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(七) 金融控股公司。资产总额40000亿元以下的为中小微型企业。其中，资产总额5000亿元及以上的为中型企业，资产总额50亿元及以上的为小型企业，资产总额50亿元以下的为微型企业。 </w:t>
      </w:r>
    </w:p>
    <w:p w14:paraId="4C41872C">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5B1D0E11">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12237CAC">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七、 标准值的评估和调整。金融业企业划型标准工作组毎五年对划型标准值受经济发展与通货膨胀等因素的响程度进行评估和调整。 </w:t>
      </w:r>
    </w:p>
    <w:p w14:paraId="305EB302">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八、 本规定的中型金融业企业标准上限即为大型金融业企业下限。国务院有关部门据此进行相关数据的统计分析，不得制定与本规定不一致的金融业企业划型标准。 </w:t>
      </w:r>
    </w:p>
    <w:p w14:paraId="044197E1">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九、 融资担保公司参照本规定中“除贷款公司、小额贷款公司、典当行以外的其他金融机构”标准划型。 </w:t>
      </w:r>
    </w:p>
    <w:p w14:paraId="686652E8">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xml:space="preserve">    十、本规定由人民银行会同银监会，证监会、保监会和统计局负责解释。 </w:t>
      </w:r>
    </w:p>
    <w:p w14:paraId="76227642">
      <w:pPr>
        <w:widowControl/>
        <w:shd w:val="clear" w:color="auto" w:fill="FFFFFF"/>
        <w:spacing w:before="100" w:beforeAutospacing="1" w:after="100" w:afterAutospacing="1" w:line="360" w:lineRule="auto"/>
        <w:jc w:val="left"/>
        <w:rPr>
          <w:rFonts w:ascii="宋体" w:hAnsi="宋体" w:cs="宋体"/>
          <w:sz w:val="24"/>
        </w:rPr>
      </w:pPr>
      <w:r>
        <w:rPr>
          <w:rFonts w:hint="eastAsia" w:ascii="宋体" w:hAnsi="宋体" w:cs="宋体"/>
          <w:sz w:val="24"/>
        </w:rPr>
        <w:t>    十一、本规定自发布之日起实施。</w:t>
      </w:r>
    </w:p>
    <w:p w14:paraId="0C71A4B6">
      <w:pPr>
        <w:widowControl/>
        <w:shd w:val="clear" w:color="auto" w:fill="FFFFFF"/>
        <w:spacing w:line="360" w:lineRule="auto"/>
        <w:jc w:val="left"/>
        <w:rPr>
          <w:rFonts w:ascii="宋体" w:hAnsi="宋体" w:cs="宋体"/>
          <w:sz w:val="24"/>
        </w:rPr>
      </w:pPr>
      <w:r>
        <w:rPr>
          <w:rFonts w:hint="eastAsia" w:ascii="宋体" w:hAnsi="宋体" w:cs="宋体"/>
          <w:sz w:val="24"/>
        </w:rPr>
        <w:t>附：金融业企业划型标准</w:t>
      </w:r>
    </w:p>
    <w:p w14:paraId="218D0394">
      <w:pPr>
        <w:widowControl/>
        <w:shd w:val="clear" w:color="auto" w:fill="FFFFFF"/>
        <w:spacing w:line="360" w:lineRule="auto"/>
        <w:jc w:val="center"/>
        <w:rPr>
          <w:rFonts w:ascii="宋体" w:hAnsi="宋体" w:cs="宋体"/>
          <w:b/>
          <w:bCs/>
          <w:sz w:val="28"/>
          <w:szCs w:val="28"/>
        </w:rPr>
      </w:pPr>
    </w:p>
    <w:p w14:paraId="673E185D">
      <w:pPr>
        <w:widowControl/>
        <w:shd w:val="clear" w:color="auto" w:fill="FFFFFF"/>
        <w:spacing w:line="360" w:lineRule="auto"/>
        <w:jc w:val="center"/>
        <w:rPr>
          <w:rFonts w:ascii="宋体" w:hAnsi="宋体" w:cs="宋体"/>
          <w:b/>
          <w:bCs/>
          <w:sz w:val="28"/>
          <w:szCs w:val="28"/>
        </w:rPr>
      </w:pPr>
    </w:p>
    <w:p w14:paraId="6F1815F1">
      <w:pPr>
        <w:widowControl/>
        <w:shd w:val="clear" w:color="auto" w:fill="FFFFFF"/>
        <w:spacing w:line="360" w:lineRule="auto"/>
        <w:rPr>
          <w:rFonts w:ascii="宋体" w:hAnsi="宋体" w:cs="宋体"/>
          <w:b/>
          <w:bCs/>
          <w:sz w:val="28"/>
          <w:szCs w:val="28"/>
        </w:rPr>
      </w:pPr>
    </w:p>
    <w:p w14:paraId="385C1B9E">
      <w:pPr>
        <w:widowControl/>
        <w:shd w:val="clear" w:color="auto" w:fill="FFFFFF"/>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金融业企业划型标准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200"/>
        <w:gridCol w:w="1620"/>
        <w:gridCol w:w="1965"/>
        <w:gridCol w:w="3902"/>
      </w:tblGrid>
      <w:tr w14:paraId="7BF6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Align w:val="center"/>
          </w:tcPr>
          <w:p w14:paraId="1E5AD4AF">
            <w:pPr>
              <w:widowControl/>
              <w:spacing w:line="360" w:lineRule="auto"/>
              <w:jc w:val="center"/>
              <w:rPr>
                <w:rFonts w:ascii="宋体" w:hAnsi="宋体" w:cs="宋体"/>
                <w:b/>
                <w:bCs/>
                <w:szCs w:val="21"/>
              </w:rPr>
            </w:pPr>
            <w:r>
              <w:rPr>
                <w:rFonts w:hint="eastAsia" w:ascii="宋体" w:hAnsi="宋体" w:cs="宋体"/>
                <w:b/>
                <w:bCs/>
                <w:szCs w:val="21"/>
              </w:rPr>
              <w:t>行业</w:t>
            </w:r>
          </w:p>
        </w:tc>
        <w:tc>
          <w:tcPr>
            <w:tcW w:w="1620" w:type="dxa"/>
            <w:vAlign w:val="center"/>
          </w:tcPr>
          <w:p w14:paraId="089299B7">
            <w:pPr>
              <w:widowControl/>
              <w:spacing w:line="360" w:lineRule="auto"/>
              <w:jc w:val="center"/>
              <w:rPr>
                <w:rFonts w:ascii="宋体" w:hAnsi="宋体" w:cs="宋体"/>
                <w:b/>
                <w:bCs/>
                <w:szCs w:val="21"/>
              </w:rPr>
            </w:pPr>
            <w:r>
              <w:rPr>
                <w:rFonts w:hint="eastAsia" w:ascii="宋体" w:hAnsi="宋体" w:cs="宋体"/>
                <w:b/>
                <w:bCs/>
                <w:szCs w:val="21"/>
              </w:rPr>
              <w:t>类别</w:t>
            </w:r>
          </w:p>
        </w:tc>
        <w:tc>
          <w:tcPr>
            <w:tcW w:w="1965" w:type="dxa"/>
            <w:vAlign w:val="center"/>
          </w:tcPr>
          <w:p w14:paraId="28E3E7BC">
            <w:pPr>
              <w:widowControl/>
              <w:spacing w:line="360" w:lineRule="auto"/>
              <w:jc w:val="center"/>
              <w:rPr>
                <w:rFonts w:ascii="宋体" w:hAnsi="宋体" w:cs="宋体"/>
                <w:b/>
                <w:bCs/>
                <w:szCs w:val="21"/>
              </w:rPr>
            </w:pPr>
            <w:r>
              <w:rPr>
                <w:rFonts w:hint="eastAsia" w:ascii="宋体" w:hAnsi="宋体" w:cs="宋体"/>
                <w:b/>
                <w:bCs/>
                <w:szCs w:val="21"/>
              </w:rPr>
              <w:t>类型</w:t>
            </w:r>
          </w:p>
        </w:tc>
        <w:tc>
          <w:tcPr>
            <w:tcW w:w="3902" w:type="dxa"/>
            <w:vAlign w:val="center"/>
          </w:tcPr>
          <w:p w14:paraId="6961A252">
            <w:pPr>
              <w:widowControl/>
              <w:spacing w:line="360" w:lineRule="auto"/>
              <w:jc w:val="center"/>
              <w:rPr>
                <w:rFonts w:ascii="宋体" w:hAnsi="宋体" w:cs="宋体"/>
                <w:b/>
                <w:bCs/>
                <w:szCs w:val="21"/>
              </w:rPr>
            </w:pPr>
            <w:r>
              <w:rPr>
                <w:rFonts w:hint="eastAsia" w:ascii="宋体" w:hAnsi="宋体" w:cs="宋体"/>
                <w:b/>
                <w:bCs/>
                <w:szCs w:val="21"/>
              </w:rPr>
              <w:t>资产总额</w:t>
            </w:r>
          </w:p>
        </w:tc>
      </w:tr>
      <w:tr w14:paraId="21A9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vAlign w:val="center"/>
          </w:tcPr>
          <w:p w14:paraId="1C8A367A">
            <w:pPr>
              <w:widowControl/>
              <w:spacing w:line="360" w:lineRule="auto"/>
              <w:jc w:val="center"/>
              <w:rPr>
                <w:rFonts w:ascii="宋体" w:hAnsi="宋体" w:cs="宋体"/>
                <w:szCs w:val="21"/>
              </w:rPr>
            </w:pPr>
            <w:r>
              <w:rPr>
                <w:rFonts w:hint="eastAsia" w:ascii="宋体" w:hAnsi="宋体" w:cs="宋体"/>
                <w:szCs w:val="21"/>
              </w:rPr>
              <w:t>货币金融服务</w:t>
            </w:r>
          </w:p>
        </w:tc>
        <w:tc>
          <w:tcPr>
            <w:tcW w:w="1200" w:type="dxa"/>
            <w:vMerge w:val="restart"/>
            <w:vAlign w:val="center"/>
          </w:tcPr>
          <w:p w14:paraId="459BAC2A">
            <w:pPr>
              <w:widowControl/>
              <w:spacing w:line="360" w:lineRule="auto"/>
              <w:jc w:val="center"/>
              <w:rPr>
                <w:rFonts w:ascii="宋体" w:hAnsi="宋体" w:cs="宋体"/>
                <w:szCs w:val="21"/>
              </w:rPr>
            </w:pPr>
            <w:r>
              <w:rPr>
                <w:rFonts w:hint="eastAsia" w:ascii="宋体" w:hAnsi="宋体" w:cs="宋体"/>
                <w:szCs w:val="21"/>
              </w:rPr>
              <w:t>货币银行服务</w:t>
            </w:r>
          </w:p>
        </w:tc>
        <w:tc>
          <w:tcPr>
            <w:tcW w:w="1620" w:type="dxa"/>
            <w:vMerge w:val="restart"/>
            <w:vAlign w:val="center"/>
          </w:tcPr>
          <w:p w14:paraId="75776E4A">
            <w:pPr>
              <w:widowControl/>
              <w:spacing w:line="360" w:lineRule="auto"/>
              <w:jc w:val="center"/>
              <w:rPr>
                <w:rFonts w:ascii="宋体" w:hAnsi="宋体" w:cs="宋体"/>
                <w:szCs w:val="21"/>
              </w:rPr>
            </w:pPr>
            <w:r>
              <w:rPr>
                <w:rFonts w:hint="eastAsia" w:ascii="宋体" w:hAnsi="宋体" w:cs="宋体"/>
                <w:szCs w:val="21"/>
              </w:rPr>
              <w:t>银行业存款类金融机构</w:t>
            </w:r>
          </w:p>
        </w:tc>
        <w:tc>
          <w:tcPr>
            <w:tcW w:w="1965" w:type="dxa"/>
            <w:vAlign w:val="center"/>
          </w:tcPr>
          <w:p w14:paraId="5E19212C">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0A687720">
            <w:pPr>
              <w:widowControl/>
              <w:spacing w:line="360" w:lineRule="auto"/>
              <w:jc w:val="center"/>
              <w:rPr>
                <w:rFonts w:ascii="宋体" w:hAnsi="宋体" w:cs="宋体"/>
                <w:szCs w:val="21"/>
              </w:rPr>
            </w:pPr>
            <w:r>
              <w:rPr>
                <w:rFonts w:hint="eastAsia" w:ascii="宋体" w:hAnsi="宋体" w:cs="宋体"/>
                <w:szCs w:val="21"/>
              </w:rPr>
              <w:t>5000亿元（含）至40000亿元</w:t>
            </w:r>
          </w:p>
        </w:tc>
      </w:tr>
      <w:tr w14:paraId="68CA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7D7C8CAF">
            <w:pPr>
              <w:widowControl/>
              <w:spacing w:line="360" w:lineRule="auto"/>
              <w:jc w:val="center"/>
              <w:rPr>
                <w:rFonts w:ascii="宋体" w:hAnsi="宋体" w:cs="宋体"/>
                <w:szCs w:val="21"/>
              </w:rPr>
            </w:pPr>
          </w:p>
        </w:tc>
        <w:tc>
          <w:tcPr>
            <w:tcW w:w="1200" w:type="dxa"/>
            <w:vMerge w:val="continue"/>
            <w:vAlign w:val="center"/>
          </w:tcPr>
          <w:p w14:paraId="593FAA02">
            <w:pPr>
              <w:widowControl/>
              <w:spacing w:line="360" w:lineRule="auto"/>
              <w:jc w:val="center"/>
              <w:rPr>
                <w:rFonts w:ascii="宋体" w:hAnsi="宋体" w:cs="宋体"/>
                <w:szCs w:val="21"/>
              </w:rPr>
            </w:pPr>
          </w:p>
        </w:tc>
        <w:tc>
          <w:tcPr>
            <w:tcW w:w="1620" w:type="dxa"/>
            <w:vMerge w:val="continue"/>
            <w:vAlign w:val="center"/>
          </w:tcPr>
          <w:p w14:paraId="7D80A209">
            <w:pPr>
              <w:widowControl/>
              <w:spacing w:line="360" w:lineRule="auto"/>
              <w:jc w:val="center"/>
              <w:rPr>
                <w:rFonts w:ascii="宋体" w:hAnsi="宋体" w:cs="宋体"/>
                <w:szCs w:val="21"/>
              </w:rPr>
            </w:pPr>
          </w:p>
        </w:tc>
        <w:tc>
          <w:tcPr>
            <w:tcW w:w="1965" w:type="dxa"/>
            <w:vAlign w:val="center"/>
          </w:tcPr>
          <w:p w14:paraId="6E692F7F">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668474AB">
            <w:pPr>
              <w:widowControl/>
              <w:spacing w:line="360" w:lineRule="auto"/>
              <w:jc w:val="center"/>
              <w:rPr>
                <w:rFonts w:ascii="宋体" w:hAnsi="宋体" w:cs="宋体"/>
                <w:szCs w:val="21"/>
              </w:rPr>
            </w:pPr>
            <w:r>
              <w:rPr>
                <w:rFonts w:hint="eastAsia" w:ascii="宋体" w:hAnsi="宋体" w:cs="宋体"/>
                <w:szCs w:val="21"/>
              </w:rPr>
              <w:t>50亿元（含）至5000亿元</w:t>
            </w:r>
          </w:p>
        </w:tc>
      </w:tr>
      <w:tr w14:paraId="1FD6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5B7C4701">
            <w:pPr>
              <w:widowControl/>
              <w:spacing w:line="360" w:lineRule="auto"/>
              <w:jc w:val="center"/>
              <w:rPr>
                <w:rFonts w:ascii="宋体" w:hAnsi="宋体" w:cs="宋体"/>
                <w:szCs w:val="21"/>
              </w:rPr>
            </w:pPr>
          </w:p>
        </w:tc>
        <w:tc>
          <w:tcPr>
            <w:tcW w:w="1200" w:type="dxa"/>
            <w:vMerge w:val="continue"/>
            <w:vAlign w:val="center"/>
          </w:tcPr>
          <w:p w14:paraId="33FAB494">
            <w:pPr>
              <w:widowControl/>
              <w:spacing w:line="360" w:lineRule="auto"/>
              <w:jc w:val="center"/>
              <w:rPr>
                <w:rFonts w:ascii="宋体" w:hAnsi="宋体" w:cs="宋体"/>
                <w:szCs w:val="21"/>
              </w:rPr>
            </w:pPr>
          </w:p>
        </w:tc>
        <w:tc>
          <w:tcPr>
            <w:tcW w:w="1620" w:type="dxa"/>
            <w:vMerge w:val="continue"/>
            <w:vAlign w:val="center"/>
          </w:tcPr>
          <w:p w14:paraId="15A89232">
            <w:pPr>
              <w:widowControl/>
              <w:spacing w:line="360" w:lineRule="auto"/>
              <w:jc w:val="center"/>
              <w:rPr>
                <w:rFonts w:ascii="宋体" w:hAnsi="宋体" w:cs="宋体"/>
                <w:szCs w:val="21"/>
              </w:rPr>
            </w:pPr>
          </w:p>
        </w:tc>
        <w:tc>
          <w:tcPr>
            <w:tcW w:w="1965" w:type="dxa"/>
            <w:vAlign w:val="center"/>
          </w:tcPr>
          <w:p w14:paraId="33F5AD4B">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05616CB8">
            <w:pPr>
              <w:widowControl/>
              <w:spacing w:line="360" w:lineRule="auto"/>
              <w:jc w:val="center"/>
              <w:rPr>
                <w:rFonts w:ascii="宋体" w:hAnsi="宋体" w:cs="宋体"/>
                <w:szCs w:val="21"/>
              </w:rPr>
            </w:pPr>
            <w:r>
              <w:rPr>
                <w:rFonts w:hint="eastAsia" w:ascii="宋体" w:hAnsi="宋体" w:cs="宋体"/>
                <w:szCs w:val="21"/>
              </w:rPr>
              <w:t>50亿元以下</w:t>
            </w:r>
          </w:p>
        </w:tc>
      </w:tr>
      <w:tr w14:paraId="0BD4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C76B251">
            <w:pPr>
              <w:widowControl/>
              <w:spacing w:line="360" w:lineRule="auto"/>
              <w:jc w:val="center"/>
              <w:rPr>
                <w:rFonts w:ascii="宋体" w:hAnsi="宋体" w:cs="宋体"/>
                <w:szCs w:val="21"/>
              </w:rPr>
            </w:pPr>
          </w:p>
        </w:tc>
        <w:tc>
          <w:tcPr>
            <w:tcW w:w="1200" w:type="dxa"/>
            <w:vMerge w:val="restart"/>
            <w:vAlign w:val="center"/>
          </w:tcPr>
          <w:p w14:paraId="2D6A2411">
            <w:pPr>
              <w:widowControl/>
              <w:spacing w:line="360" w:lineRule="auto"/>
              <w:jc w:val="center"/>
              <w:rPr>
                <w:rFonts w:ascii="宋体" w:hAnsi="宋体" w:cs="宋体"/>
                <w:szCs w:val="21"/>
              </w:rPr>
            </w:pPr>
            <w:r>
              <w:rPr>
                <w:rFonts w:hint="eastAsia" w:ascii="宋体" w:hAnsi="宋体" w:cs="宋体"/>
                <w:szCs w:val="21"/>
              </w:rPr>
              <w:t>非货币银行服务</w:t>
            </w:r>
          </w:p>
        </w:tc>
        <w:tc>
          <w:tcPr>
            <w:tcW w:w="1620" w:type="dxa"/>
            <w:vMerge w:val="restart"/>
            <w:vAlign w:val="center"/>
          </w:tcPr>
          <w:p w14:paraId="23CAC71E">
            <w:pPr>
              <w:widowControl/>
              <w:spacing w:line="360" w:lineRule="auto"/>
              <w:jc w:val="center"/>
              <w:rPr>
                <w:rFonts w:ascii="宋体" w:hAnsi="宋体" w:cs="宋体"/>
                <w:szCs w:val="21"/>
              </w:rPr>
            </w:pPr>
            <w:r>
              <w:rPr>
                <w:rFonts w:hint="eastAsia" w:ascii="宋体" w:hAnsi="宋体" w:cs="宋体"/>
                <w:szCs w:val="21"/>
              </w:rPr>
              <w:t>银行业非存款类金融机构</w:t>
            </w:r>
          </w:p>
        </w:tc>
        <w:tc>
          <w:tcPr>
            <w:tcW w:w="1965" w:type="dxa"/>
            <w:vAlign w:val="center"/>
          </w:tcPr>
          <w:p w14:paraId="4F1DBA7B">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1DB8FB0C">
            <w:pPr>
              <w:widowControl/>
              <w:spacing w:line="360" w:lineRule="auto"/>
              <w:jc w:val="center"/>
              <w:rPr>
                <w:rFonts w:ascii="宋体" w:hAnsi="宋体" w:cs="宋体"/>
                <w:szCs w:val="21"/>
              </w:rPr>
            </w:pPr>
            <w:r>
              <w:rPr>
                <w:rFonts w:hint="eastAsia" w:ascii="宋体" w:hAnsi="宋体" w:cs="宋体"/>
                <w:szCs w:val="21"/>
              </w:rPr>
              <w:t>200亿元（含）至1000亿元</w:t>
            </w:r>
          </w:p>
        </w:tc>
      </w:tr>
      <w:tr w14:paraId="43A5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F01EB8D">
            <w:pPr>
              <w:widowControl/>
              <w:spacing w:line="360" w:lineRule="auto"/>
              <w:jc w:val="center"/>
              <w:rPr>
                <w:rFonts w:ascii="宋体" w:hAnsi="宋体" w:cs="宋体"/>
                <w:szCs w:val="21"/>
              </w:rPr>
            </w:pPr>
          </w:p>
        </w:tc>
        <w:tc>
          <w:tcPr>
            <w:tcW w:w="1200" w:type="dxa"/>
            <w:vMerge w:val="continue"/>
            <w:vAlign w:val="center"/>
          </w:tcPr>
          <w:p w14:paraId="698D7E28">
            <w:pPr>
              <w:widowControl/>
              <w:spacing w:line="360" w:lineRule="auto"/>
              <w:jc w:val="center"/>
              <w:rPr>
                <w:rFonts w:ascii="宋体" w:hAnsi="宋体" w:cs="宋体"/>
                <w:szCs w:val="21"/>
              </w:rPr>
            </w:pPr>
          </w:p>
        </w:tc>
        <w:tc>
          <w:tcPr>
            <w:tcW w:w="1620" w:type="dxa"/>
            <w:vMerge w:val="continue"/>
            <w:vAlign w:val="center"/>
          </w:tcPr>
          <w:p w14:paraId="5F6E3A4E">
            <w:pPr>
              <w:widowControl/>
              <w:spacing w:line="360" w:lineRule="auto"/>
              <w:jc w:val="center"/>
              <w:rPr>
                <w:rFonts w:ascii="宋体" w:hAnsi="宋体" w:cs="宋体"/>
                <w:szCs w:val="21"/>
              </w:rPr>
            </w:pPr>
          </w:p>
        </w:tc>
        <w:tc>
          <w:tcPr>
            <w:tcW w:w="1965" w:type="dxa"/>
            <w:vAlign w:val="center"/>
          </w:tcPr>
          <w:p w14:paraId="71B8BB8C">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3EE8B2CD">
            <w:pPr>
              <w:widowControl/>
              <w:spacing w:line="360" w:lineRule="auto"/>
              <w:jc w:val="center"/>
              <w:rPr>
                <w:rFonts w:ascii="宋体" w:hAnsi="宋体" w:cs="宋体"/>
                <w:szCs w:val="21"/>
              </w:rPr>
            </w:pPr>
            <w:r>
              <w:rPr>
                <w:rFonts w:hint="eastAsia" w:ascii="宋体" w:hAnsi="宋体" w:cs="宋体"/>
                <w:szCs w:val="21"/>
              </w:rPr>
              <w:t>50亿元（含）至200亿元</w:t>
            </w:r>
          </w:p>
        </w:tc>
      </w:tr>
      <w:tr w14:paraId="3D55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662D0E54">
            <w:pPr>
              <w:widowControl/>
              <w:spacing w:line="360" w:lineRule="auto"/>
              <w:jc w:val="center"/>
              <w:rPr>
                <w:rFonts w:ascii="宋体" w:hAnsi="宋体" w:cs="宋体"/>
                <w:szCs w:val="21"/>
              </w:rPr>
            </w:pPr>
          </w:p>
        </w:tc>
        <w:tc>
          <w:tcPr>
            <w:tcW w:w="1200" w:type="dxa"/>
            <w:vMerge w:val="continue"/>
            <w:vAlign w:val="center"/>
          </w:tcPr>
          <w:p w14:paraId="448AA872">
            <w:pPr>
              <w:widowControl/>
              <w:spacing w:line="360" w:lineRule="auto"/>
              <w:jc w:val="center"/>
              <w:rPr>
                <w:rFonts w:ascii="宋体" w:hAnsi="宋体" w:cs="宋体"/>
                <w:szCs w:val="21"/>
              </w:rPr>
            </w:pPr>
          </w:p>
        </w:tc>
        <w:tc>
          <w:tcPr>
            <w:tcW w:w="1620" w:type="dxa"/>
            <w:vMerge w:val="continue"/>
            <w:vAlign w:val="center"/>
          </w:tcPr>
          <w:p w14:paraId="34A1F295">
            <w:pPr>
              <w:widowControl/>
              <w:spacing w:line="360" w:lineRule="auto"/>
              <w:jc w:val="center"/>
              <w:rPr>
                <w:rFonts w:ascii="宋体" w:hAnsi="宋体" w:cs="宋体"/>
                <w:szCs w:val="21"/>
              </w:rPr>
            </w:pPr>
          </w:p>
        </w:tc>
        <w:tc>
          <w:tcPr>
            <w:tcW w:w="1965" w:type="dxa"/>
            <w:vAlign w:val="center"/>
          </w:tcPr>
          <w:p w14:paraId="647F8B3B">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09BADEB9">
            <w:pPr>
              <w:widowControl/>
              <w:spacing w:line="360" w:lineRule="auto"/>
              <w:jc w:val="center"/>
              <w:rPr>
                <w:rFonts w:ascii="宋体" w:hAnsi="宋体" w:cs="宋体"/>
                <w:szCs w:val="21"/>
              </w:rPr>
            </w:pPr>
            <w:r>
              <w:rPr>
                <w:rFonts w:hint="eastAsia" w:ascii="宋体" w:hAnsi="宋体" w:cs="宋体"/>
                <w:szCs w:val="21"/>
              </w:rPr>
              <w:t>50亿元以下</w:t>
            </w:r>
          </w:p>
        </w:tc>
      </w:tr>
      <w:tr w14:paraId="0978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79290713">
            <w:pPr>
              <w:widowControl/>
              <w:spacing w:line="360" w:lineRule="auto"/>
              <w:jc w:val="center"/>
              <w:rPr>
                <w:rFonts w:ascii="宋体" w:hAnsi="宋体" w:cs="宋体"/>
                <w:szCs w:val="21"/>
              </w:rPr>
            </w:pPr>
          </w:p>
        </w:tc>
        <w:tc>
          <w:tcPr>
            <w:tcW w:w="1200" w:type="dxa"/>
            <w:vMerge w:val="continue"/>
            <w:vAlign w:val="center"/>
          </w:tcPr>
          <w:p w14:paraId="7FF93704">
            <w:pPr>
              <w:widowControl/>
              <w:spacing w:line="360" w:lineRule="auto"/>
              <w:jc w:val="center"/>
              <w:rPr>
                <w:rFonts w:ascii="宋体" w:hAnsi="宋体" w:cs="宋体"/>
                <w:szCs w:val="21"/>
              </w:rPr>
            </w:pPr>
          </w:p>
        </w:tc>
        <w:tc>
          <w:tcPr>
            <w:tcW w:w="1620" w:type="dxa"/>
            <w:vMerge w:val="restart"/>
            <w:vAlign w:val="center"/>
          </w:tcPr>
          <w:p w14:paraId="0D72253C">
            <w:pPr>
              <w:widowControl/>
              <w:spacing w:line="360" w:lineRule="auto"/>
              <w:jc w:val="center"/>
              <w:rPr>
                <w:rFonts w:ascii="宋体" w:hAnsi="宋体" w:cs="宋体"/>
                <w:szCs w:val="21"/>
              </w:rPr>
            </w:pPr>
            <w:r>
              <w:rPr>
                <w:rFonts w:hint="eastAsia" w:ascii="宋体" w:hAnsi="宋体" w:cs="宋体"/>
                <w:szCs w:val="21"/>
              </w:rPr>
              <w:t>贷款公司、小额贷款公司及典当行</w:t>
            </w:r>
          </w:p>
        </w:tc>
        <w:tc>
          <w:tcPr>
            <w:tcW w:w="1965" w:type="dxa"/>
            <w:vAlign w:val="center"/>
          </w:tcPr>
          <w:p w14:paraId="20927CF3">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3345F519">
            <w:pPr>
              <w:widowControl/>
              <w:spacing w:line="360" w:lineRule="auto"/>
              <w:jc w:val="center"/>
              <w:rPr>
                <w:rFonts w:ascii="宋体" w:hAnsi="宋体" w:cs="宋体"/>
                <w:szCs w:val="21"/>
              </w:rPr>
            </w:pPr>
            <w:r>
              <w:rPr>
                <w:rFonts w:hint="eastAsia" w:ascii="宋体" w:hAnsi="宋体" w:cs="宋体"/>
                <w:szCs w:val="21"/>
              </w:rPr>
              <w:t>200亿元（含）至1000亿元</w:t>
            </w:r>
          </w:p>
        </w:tc>
      </w:tr>
      <w:tr w14:paraId="4BB4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33E7505A">
            <w:pPr>
              <w:widowControl/>
              <w:spacing w:line="360" w:lineRule="auto"/>
              <w:jc w:val="center"/>
              <w:rPr>
                <w:rFonts w:ascii="宋体" w:hAnsi="宋体" w:cs="宋体"/>
                <w:szCs w:val="21"/>
              </w:rPr>
            </w:pPr>
          </w:p>
        </w:tc>
        <w:tc>
          <w:tcPr>
            <w:tcW w:w="1200" w:type="dxa"/>
            <w:vMerge w:val="continue"/>
            <w:vAlign w:val="center"/>
          </w:tcPr>
          <w:p w14:paraId="338FFEAE">
            <w:pPr>
              <w:widowControl/>
              <w:spacing w:line="360" w:lineRule="auto"/>
              <w:jc w:val="center"/>
              <w:rPr>
                <w:rFonts w:ascii="宋体" w:hAnsi="宋体" w:cs="宋体"/>
                <w:szCs w:val="21"/>
              </w:rPr>
            </w:pPr>
          </w:p>
        </w:tc>
        <w:tc>
          <w:tcPr>
            <w:tcW w:w="1620" w:type="dxa"/>
            <w:vMerge w:val="continue"/>
            <w:vAlign w:val="center"/>
          </w:tcPr>
          <w:p w14:paraId="2AF05B7E">
            <w:pPr>
              <w:widowControl/>
              <w:spacing w:line="360" w:lineRule="auto"/>
              <w:jc w:val="center"/>
              <w:rPr>
                <w:rFonts w:ascii="宋体" w:hAnsi="宋体" w:cs="宋体"/>
                <w:szCs w:val="21"/>
              </w:rPr>
            </w:pPr>
          </w:p>
        </w:tc>
        <w:tc>
          <w:tcPr>
            <w:tcW w:w="1965" w:type="dxa"/>
            <w:vAlign w:val="center"/>
          </w:tcPr>
          <w:p w14:paraId="4356ED99">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3FB49BD7">
            <w:pPr>
              <w:widowControl/>
              <w:spacing w:line="360" w:lineRule="auto"/>
              <w:jc w:val="center"/>
              <w:rPr>
                <w:rFonts w:ascii="宋体" w:hAnsi="宋体" w:cs="宋体"/>
                <w:szCs w:val="21"/>
              </w:rPr>
            </w:pPr>
            <w:r>
              <w:rPr>
                <w:rFonts w:hint="eastAsia" w:ascii="宋体" w:hAnsi="宋体" w:cs="宋体"/>
                <w:szCs w:val="21"/>
              </w:rPr>
              <w:t>50亿元（含）至200亿元</w:t>
            </w:r>
          </w:p>
        </w:tc>
      </w:tr>
      <w:tr w14:paraId="44EE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F89AD53">
            <w:pPr>
              <w:widowControl/>
              <w:spacing w:line="360" w:lineRule="auto"/>
              <w:jc w:val="center"/>
              <w:rPr>
                <w:rFonts w:ascii="宋体" w:hAnsi="宋体" w:cs="宋体"/>
                <w:szCs w:val="21"/>
              </w:rPr>
            </w:pPr>
          </w:p>
        </w:tc>
        <w:tc>
          <w:tcPr>
            <w:tcW w:w="1200" w:type="dxa"/>
            <w:vMerge w:val="continue"/>
            <w:vAlign w:val="center"/>
          </w:tcPr>
          <w:p w14:paraId="5B4A8958">
            <w:pPr>
              <w:widowControl/>
              <w:spacing w:line="360" w:lineRule="auto"/>
              <w:jc w:val="center"/>
              <w:rPr>
                <w:rFonts w:ascii="宋体" w:hAnsi="宋体" w:cs="宋体"/>
                <w:szCs w:val="21"/>
              </w:rPr>
            </w:pPr>
          </w:p>
        </w:tc>
        <w:tc>
          <w:tcPr>
            <w:tcW w:w="1620" w:type="dxa"/>
            <w:vMerge w:val="continue"/>
            <w:vAlign w:val="center"/>
          </w:tcPr>
          <w:p w14:paraId="316F027B">
            <w:pPr>
              <w:widowControl/>
              <w:spacing w:line="360" w:lineRule="auto"/>
              <w:jc w:val="center"/>
              <w:rPr>
                <w:rFonts w:ascii="宋体" w:hAnsi="宋体" w:cs="宋体"/>
                <w:szCs w:val="21"/>
              </w:rPr>
            </w:pPr>
          </w:p>
        </w:tc>
        <w:tc>
          <w:tcPr>
            <w:tcW w:w="1965" w:type="dxa"/>
            <w:vAlign w:val="center"/>
          </w:tcPr>
          <w:p w14:paraId="58E301FB">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0C954305">
            <w:pPr>
              <w:widowControl/>
              <w:spacing w:line="360" w:lineRule="auto"/>
              <w:jc w:val="center"/>
              <w:rPr>
                <w:rFonts w:ascii="宋体" w:hAnsi="宋体" w:cs="宋体"/>
                <w:szCs w:val="21"/>
              </w:rPr>
            </w:pPr>
            <w:r>
              <w:rPr>
                <w:rFonts w:hint="eastAsia" w:ascii="宋体" w:hAnsi="宋体" w:cs="宋体"/>
                <w:szCs w:val="21"/>
              </w:rPr>
              <w:t>50亿元以下</w:t>
            </w:r>
          </w:p>
        </w:tc>
      </w:tr>
      <w:tr w14:paraId="486B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vAlign w:val="center"/>
          </w:tcPr>
          <w:p w14:paraId="661760FE">
            <w:pPr>
              <w:widowControl/>
              <w:spacing w:line="360" w:lineRule="auto"/>
              <w:jc w:val="center"/>
              <w:rPr>
                <w:rFonts w:ascii="宋体" w:hAnsi="宋体" w:cs="宋体"/>
                <w:szCs w:val="21"/>
              </w:rPr>
            </w:pPr>
            <w:r>
              <w:rPr>
                <w:rFonts w:hint="eastAsia" w:ascii="宋体" w:hAnsi="宋体" w:cs="宋体"/>
                <w:szCs w:val="21"/>
              </w:rPr>
              <w:t>资本市场服务</w:t>
            </w:r>
          </w:p>
        </w:tc>
        <w:tc>
          <w:tcPr>
            <w:tcW w:w="1620" w:type="dxa"/>
            <w:vMerge w:val="restart"/>
            <w:vAlign w:val="center"/>
          </w:tcPr>
          <w:p w14:paraId="2355F9BD">
            <w:pPr>
              <w:widowControl/>
              <w:spacing w:line="360" w:lineRule="auto"/>
              <w:jc w:val="center"/>
              <w:rPr>
                <w:rFonts w:ascii="宋体" w:hAnsi="宋体" w:cs="宋体"/>
                <w:szCs w:val="21"/>
              </w:rPr>
            </w:pPr>
            <w:r>
              <w:rPr>
                <w:rFonts w:hint="eastAsia" w:ascii="宋体" w:hAnsi="宋体" w:cs="宋体"/>
                <w:szCs w:val="21"/>
              </w:rPr>
              <w:t>证券业金融机构</w:t>
            </w:r>
          </w:p>
        </w:tc>
        <w:tc>
          <w:tcPr>
            <w:tcW w:w="1965" w:type="dxa"/>
            <w:vAlign w:val="center"/>
          </w:tcPr>
          <w:p w14:paraId="39B111E9">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0DB9AB81">
            <w:pPr>
              <w:widowControl/>
              <w:spacing w:line="360" w:lineRule="auto"/>
              <w:jc w:val="center"/>
              <w:rPr>
                <w:rFonts w:ascii="宋体" w:hAnsi="宋体" w:cs="宋体"/>
                <w:szCs w:val="21"/>
              </w:rPr>
            </w:pPr>
            <w:r>
              <w:rPr>
                <w:rFonts w:hint="eastAsia" w:ascii="宋体" w:hAnsi="宋体" w:cs="宋体"/>
                <w:szCs w:val="21"/>
              </w:rPr>
              <w:t>100亿元（含）至1000亿元</w:t>
            </w:r>
          </w:p>
        </w:tc>
      </w:tr>
      <w:tr w14:paraId="5C0C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065486F1">
            <w:pPr>
              <w:widowControl/>
              <w:spacing w:line="360" w:lineRule="auto"/>
              <w:jc w:val="center"/>
              <w:rPr>
                <w:rFonts w:ascii="宋体" w:hAnsi="宋体" w:cs="宋体"/>
                <w:szCs w:val="21"/>
              </w:rPr>
            </w:pPr>
          </w:p>
        </w:tc>
        <w:tc>
          <w:tcPr>
            <w:tcW w:w="1620" w:type="dxa"/>
            <w:vMerge w:val="continue"/>
            <w:vAlign w:val="center"/>
          </w:tcPr>
          <w:p w14:paraId="356B9A33">
            <w:pPr>
              <w:widowControl/>
              <w:spacing w:line="360" w:lineRule="auto"/>
              <w:jc w:val="center"/>
              <w:rPr>
                <w:rFonts w:ascii="宋体" w:hAnsi="宋体" w:cs="宋体"/>
                <w:szCs w:val="21"/>
              </w:rPr>
            </w:pPr>
          </w:p>
        </w:tc>
        <w:tc>
          <w:tcPr>
            <w:tcW w:w="1965" w:type="dxa"/>
            <w:vAlign w:val="center"/>
          </w:tcPr>
          <w:p w14:paraId="283E6CDE">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19D0841E">
            <w:pPr>
              <w:widowControl/>
              <w:spacing w:line="360" w:lineRule="auto"/>
              <w:jc w:val="center"/>
              <w:rPr>
                <w:rFonts w:ascii="宋体" w:hAnsi="宋体" w:cs="宋体"/>
                <w:szCs w:val="21"/>
              </w:rPr>
            </w:pPr>
            <w:r>
              <w:rPr>
                <w:rFonts w:hint="eastAsia" w:ascii="宋体" w:hAnsi="宋体" w:cs="宋体"/>
                <w:szCs w:val="21"/>
              </w:rPr>
              <w:t>10亿元（含）至100亿元</w:t>
            </w:r>
          </w:p>
        </w:tc>
      </w:tr>
      <w:tr w14:paraId="20FD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28F7701D">
            <w:pPr>
              <w:widowControl/>
              <w:spacing w:line="360" w:lineRule="auto"/>
              <w:jc w:val="center"/>
              <w:rPr>
                <w:rFonts w:ascii="宋体" w:hAnsi="宋体" w:cs="宋体"/>
                <w:szCs w:val="21"/>
              </w:rPr>
            </w:pPr>
          </w:p>
        </w:tc>
        <w:tc>
          <w:tcPr>
            <w:tcW w:w="1620" w:type="dxa"/>
            <w:vMerge w:val="continue"/>
            <w:vAlign w:val="center"/>
          </w:tcPr>
          <w:p w14:paraId="5E55C04E">
            <w:pPr>
              <w:widowControl/>
              <w:spacing w:line="360" w:lineRule="auto"/>
              <w:jc w:val="center"/>
              <w:rPr>
                <w:rFonts w:ascii="宋体" w:hAnsi="宋体" w:cs="宋体"/>
                <w:szCs w:val="21"/>
              </w:rPr>
            </w:pPr>
          </w:p>
        </w:tc>
        <w:tc>
          <w:tcPr>
            <w:tcW w:w="1965" w:type="dxa"/>
            <w:vAlign w:val="center"/>
          </w:tcPr>
          <w:p w14:paraId="1A25D55D">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502D4DF5">
            <w:pPr>
              <w:widowControl/>
              <w:spacing w:line="360" w:lineRule="auto"/>
              <w:jc w:val="center"/>
              <w:rPr>
                <w:rFonts w:ascii="宋体" w:hAnsi="宋体" w:cs="宋体"/>
                <w:szCs w:val="21"/>
              </w:rPr>
            </w:pPr>
            <w:r>
              <w:rPr>
                <w:rFonts w:hint="eastAsia" w:ascii="宋体" w:hAnsi="宋体" w:cs="宋体"/>
                <w:szCs w:val="21"/>
              </w:rPr>
              <w:t>10亿元以下</w:t>
            </w:r>
          </w:p>
        </w:tc>
      </w:tr>
      <w:tr w14:paraId="4CDD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vAlign w:val="center"/>
          </w:tcPr>
          <w:p w14:paraId="3A68712C">
            <w:pPr>
              <w:widowControl/>
              <w:spacing w:line="360" w:lineRule="auto"/>
              <w:jc w:val="center"/>
              <w:rPr>
                <w:rFonts w:ascii="宋体" w:hAnsi="宋体" w:cs="宋体"/>
                <w:szCs w:val="21"/>
              </w:rPr>
            </w:pPr>
            <w:r>
              <w:rPr>
                <w:rFonts w:hint="eastAsia" w:ascii="宋体" w:hAnsi="宋体" w:cs="宋体"/>
                <w:szCs w:val="21"/>
              </w:rPr>
              <w:t>保险业</w:t>
            </w:r>
          </w:p>
        </w:tc>
        <w:tc>
          <w:tcPr>
            <w:tcW w:w="1620" w:type="dxa"/>
            <w:vMerge w:val="restart"/>
            <w:vAlign w:val="center"/>
          </w:tcPr>
          <w:p w14:paraId="7A7DB082">
            <w:pPr>
              <w:widowControl/>
              <w:spacing w:line="360" w:lineRule="auto"/>
              <w:jc w:val="center"/>
              <w:rPr>
                <w:rFonts w:ascii="宋体" w:hAnsi="宋体" w:cs="宋体"/>
                <w:szCs w:val="21"/>
              </w:rPr>
            </w:pPr>
            <w:r>
              <w:rPr>
                <w:rFonts w:hint="eastAsia" w:ascii="宋体" w:hAnsi="宋体" w:cs="宋体"/>
                <w:szCs w:val="21"/>
              </w:rPr>
              <w:t>保险业金融机构</w:t>
            </w:r>
          </w:p>
        </w:tc>
        <w:tc>
          <w:tcPr>
            <w:tcW w:w="1965" w:type="dxa"/>
            <w:vAlign w:val="center"/>
          </w:tcPr>
          <w:p w14:paraId="1DE3F446">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47FEFDC2">
            <w:pPr>
              <w:widowControl/>
              <w:spacing w:line="360" w:lineRule="auto"/>
              <w:jc w:val="center"/>
              <w:rPr>
                <w:rFonts w:ascii="宋体" w:hAnsi="宋体" w:cs="宋体"/>
                <w:szCs w:val="21"/>
              </w:rPr>
            </w:pPr>
            <w:r>
              <w:rPr>
                <w:rFonts w:hint="eastAsia" w:ascii="宋体" w:hAnsi="宋体" w:cs="宋体"/>
                <w:szCs w:val="21"/>
              </w:rPr>
              <w:t>400亿元（含）至5000亿元</w:t>
            </w:r>
          </w:p>
        </w:tc>
      </w:tr>
      <w:tr w14:paraId="0CF5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3C982428">
            <w:pPr>
              <w:widowControl/>
              <w:spacing w:line="360" w:lineRule="auto"/>
              <w:jc w:val="center"/>
              <w:rPr>
                <w:rFonts w:ascii="宋体" w:hAnsi="宋体" w:cs="宋体"/>
                <w:szCs w:val="21"/>
              </w:rPr>
            </w:pPr>
          </w:p>
        </w:tc>
        <w:tc>
          <w:tcPr>
            <w:tcW w:w="1620" w:type="dxa"/>
            <w:vMerge w:val="continue"/>
            <w:vAlign w:val="center"/>
          </w:tcPr>
          <w:p w14:paraId="78AFDA71">
            <w:pPr>
              <w:widowControl/>
              <w:spacing w:line="360" w:lineRule="auto"/>
              <w:jc w:val="center"/>
              <w:rPr>
                <w:rFonts w:ascii="宋体" w:hAnsi="宋体" w:cs="宋体"/>
                <w:szCs w:val="21"/>
              </w:rPr>
            </w:pPr>
          </w:p>
        </w:tc>
        <w:tc>
          <w:tcPr>
            <w:tcW w:w="1965" w:type="dxa"/>
            <w:vAlign w:val="center"/>
          </w:tcPr>
          <w:p w14:paraId="2637F834">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6250242E">
            <w:pPr>
              <w:widowControl/>
              <w:spacing w:line="360" w:lineRule="auto"/>
              <w:jc w:val="center"/>
              <w:rPr>
                <w:rFonts w:ascii="宋体" w:hAnsi="宋体" w:cs="宋体"/>
                <w:szCs w:val="21"/>
              </w:rPr>
            </w:pPr>
            <w:r>
              <w:rPr>
                <w:rFonts w:hint="eastAsia" w:ascii="宋体" w:hAnsi="宋体" w:cs="宋体"/>
                <w:szCs w:val="21"/>
              </w:rPr>
              <w:t>20亿元（含）至400亿元</w:t>
            </w:r>
          </w:p>
        </w:tc>
      </w:tr>
      <w:tr w14:paraId="533C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03270D5D">
            <w:pPr>
              <w:widowControl/>
              <w:spacing w:line="360" w:lineRule="auto"/>
              <w:jc w:val="center"/>
              <w:rPr>
                <w:rFonts w:ascii="宋体" w:hAnsi="宋体" w:cs="宋体"/>
                <w:szCs w:val="21"/>
              </w:rPr>
            </w:pPr>
          </w:p>
        </w:tc>
        <w:tc>
          <w:tcPr>
            <w:tcW w:w="1620" w:type="dxa"/>
            <w:vMerge w:val="continue"/>
            <w:vAlign w:val="center"/>
          </w:tcPr>
          <w:p w14:paraId="4579C329">
            <w:pPr>
              <w:widowControl/>
              <w:spacing w:line="360" w:lineRule="auto"/>
              <w:jc w:val="center"/>
              <w:rPr>
                <w:rFonts w:ascii="宋体" w:hAnsi="宋体" w:cs="宋体"/>
                <w:szCs w:val="21"/>
              </w:rPr>
            </w:pPr>
          </w:p>
        </w:tc>
        <w:tc>
          <w:tcPr>
            <w:tcW w:w="1965" w:type="dxa"/>
            <w:vAlign w:val="center"/>
          </w:tcPr>
          <w:p w14:paraId="252C05A5">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5B7D3ED0">
            <w:pPr>
              <w:widowControl/>
              <w:spacing w:line="360" w:lineRule="auto"/>
              <w:jc w:val="center"/>
              <w:rPr>
                <w:rFonts w:ascii="宋体" w:hAnsi="宋体" w:cs="宋体"/>
                <w:szCs w:val="21"/>
              </w:rPr>
            </w:pPr>
            <w:r>
              <w:rPr>
                <w:rFonts w:hint="eastAsia" w:ascii="宋体" w:hAnsi="宋体" w:cs="宋体"/>
                <w:szCs w:val="21"/>
              </w:rPr>
              <w:t>20亿元以下</w:t>
            </w:r>
          </w:p>
        </w:tc>
      </w:tr>
      <w:tr w14:paraId="1022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vAlign w:val="center"/>
          </w:tcPr>
          <w:p w14:paraId="6B375DE2">
            <w:pPr>
              <w:widowControl/>
              <w:spacing w:line="360" w:lineRule="auto"/>
              <w:jc w:val="center"/>
              <w:rPr>
                <w:rFonts w:ascii="宋体" w:hAnsi="宋体" w:cs="宋体"/>
                <w:szCs w:val="21"/>
              </w:rPr>
            </w:pPr>
            <w:r>
              <w:rPr>
                <w:rFonts w:hint="eastAsia" w:ascii="宋体" w:hAnsi="宋体" w:cs="宋体"/>
                <w:szCs w:val="21"/>
              </w:rPr>
              <w:t>其他金融业</w:t>
            </w:r>
          </w:p>
        </w:tc>
        <w:tc>
          <w:tcPr>
            <w:tcW w:w="1200" w:type="dxa"/>
            <w:vMerge w:val="restart"/>
            <w:vAlign w:val="center"/>
          </w:tcPr>
          <w:p w14:paraId="512B3223">
            <w:pPr>
              <w:widowControl/>
              <w:spacing w:line="360" w:lineRule="auto"/>
              <w:jc w:val="center"/>
              <w:rPr>
                <w:rFonts w:ascii="宋体" w:hAnsi="宋体" w:cs="宋体"/>
                <w:szCs w:val="21"/>
              </w:rPr>
            </w:pPr>
            <w:r>
              <w:rPr>
                <w:rFonts w:hint="eastAsia" w:ascii="宋体" w:hAnsi="宋体" w:cs="宋体"/>
                <w:szCs w:val="21"/>
              </w:rPr>
              <w:t>金融信托与管理服务</w:t>
            </w:r>
          </w:p>
        </w:tc>
        <w:tc>
          <w:tcPr>
            <w:tcW w:w="1620" w:type="dxa"/>
            <w:vMerge w:val="restart"/>
            <w:vAlign w:val="center"/>
          </w:tcPr>
          <w:p w14:paraId="6CB6802D">
            <w:pPr>
              <w:widowControl/>
              <w:spacing w:line="360" w:lineRule="auto"/>
              <w:jc w:val="center"/>
              <w:rPr>
                <w:rFonts w:ascii="宋体" w:hAnsi="宋体" w:cs="宋体"/>
                <w:szCs w:val="21"/>
              </w:rPr>
            </w:pPr>
            <w:r>
              <w:rPr>
                <w:rFonts w:hint="eastAsia" w:ascii="宋体" w:hAnsi="宋体" w:cs="宋体"/>
                <w:szCs w:val="21"/>
              </w:rPr>
              <w:t>信托公司</w:t>
            </w:r>
          </w:p>
        </w:tc>
        <w:tc>
          <w:tcPr>
            <w:tcW w:w="1965" w:type="dxa"/>
            <w:vAlign w:val="center"/>
          </w:tcPr>
          <w:p w14:paraId="7C3E6B77">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5E3E58E3">
            <w:pPr>
              <w:widowControl/>
              <w:spacing w:line="360" w:lineRule="auto"/>
              <w:jc w:val="center"/>
              <w:rPr>
                <w:rFonts w:ascii="宋体" w:hAnsi="宋体" w:cs="宋体"/>
                <w:szCs w:val="21"/>
              </w:rPr>
            </w:pPr>
            <w:r>
              <w:rPr>
                <w:rFonts w:hint="eastAsia" w:ascii="宋体" w:hAnsi="宋体" w:cs="宋体"/>
                <w:szCs w:val="21"/>
              </w:rPr>
              <w:t>400亿元（含）至1000亿元</w:t>
            </w:r>
          </w:p>
        </w:tc>
      </w:tr>
      <w:tr w14:paraId="48FB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F99BD60">
            <w:pPr>
              <w:widowControl/>
              <w:spacing w:line="360" w:lineRule="auto"/>
              <w:jc w:val="center"/>
              <w:rPr>
                <w:rFonts w:ascii="宋体" w:hAnsi="宋体" w:cs="宋体"/>
                <w:szCs w:val="21"/>
              </w:rPr>
            </w:pPr>
          </w:p>
        </w:tc>
        <w:tc>
          <w:tcPr>
            <w:tcW w:w="1200" w:type="dxa"/>
            <w:vMerge w:val="continue"/>
            <w:vAlign w:val="center"/>
          </w:tcPr>
          <w:p w14:paraId="5B29BF18">
            <w:pPr>
              <w:widowControl/>
              <w:spacing w:line="360" w:lineRule="auto"/>
              <w:jc w:val="center"/>
              <w:rPr>
                <w:rFonts w:ascii="宋体" w:hAnsi="宋体" w:cs="宋体"/>
                <w:szCs w:val="21"/>
              </w:rPr>
            </w:pPr>
          </w:p>
        </w:tc>
        <w:tc>
          <w:tcPr>
            <w:tcW w:w="1620" w:type="dxa"/>
            <w:vMerge w:val="continue"/>
            <w:vAlign w:val="center"/>
          </w:tcPr>
          <w:p w14:paraId="021FA540">
            <w:pPr>
              <w:widowControl/>
              <w:spacing w:line="360" w:lineRule="auto"/>
              <w:jc w:val="center"/>
              <w:rPr>
                <w:rFonts w:ascii="宋体" w:hAnsi="宋体" w:cs="宋体"/>
                <w:szCs w:val="21"/>
              </w:rPr>
            </w:pPr>
          </w:p>
        </w:tc>
        <w:tc>
          <w:tcPr>
            <w:tcW w:w="1965" w:type="dxa"/>
            <w:vAlign w:val="center"/>
          </w:tcPr>
          <w:p w14:paraId="480C329B">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36DAA6C0">
            <w:pPr>
              <w:widowControl/>
              <w:spacing w:line="360" w:lineRule="auto"/>
              <w:jc w:val="center"/>
              <w:rPr>
                <w:rFonts w:ascii="宋体" w:hAnsi="宋体" w:cs="宋体"/>
                <w:szCs w:val="21"/>
              </w:rPr>
            </w:pPr>
            <w:r>
              <w:rPr>
                <w:rFonts w:hint="eastAsia" w:ascii="宋体" w:hAnsi="宋体" w:cs="宋体"/>
                <w:szCs w:val="21"/>
              </w:rPr>
              <w:t>20亿元（含）至400亿元</w:t>
            </w:r>
          </w:p>
        </w:tc>
      </w:tr>
      <w:tr w14:paraId="6CD3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556EE07">
            <w:pPr>
              <w:widowControl/>
              <w:spacing w:line="360" w:lineRule="auto"/>
              <w:jc w:val="center"/>
              <w:rPr>
                <w:rFonts w:ascii="宋体" w:hAnsi="宋体" w:cs="宋体"/>
                <w:szCs w:val="21"/>
              </w:rPr>
            </w:pPr>
          </w:p>
        </w:tc>
        <w:tc>
          <w:tcPr>
            <w:tcW w:w="1200" w:type="dxa"/>
            <w:vMerge w:val="continue"/>
            <w:vAlign w:val="center"/>
          </w:tcPr>
          <w:p w14:paraId="4BEAF2C0">
            <w:pPr>
              <w:widowControl/>
              <w:spacing w:line="360" w:lineRule="auto"/>
              <w:jc w:val="center"/>
              <w:rPr>
                <w:rFonts w:ascii="宋体" w:hAnsi="宋体" w:cs="宋体"/>
                <w:szCs w:val="21"/>
              </w:rPr>
            </w:pPr>
          </w:p>
        </w:tc>
        <w:tc>
          <w:tcPr>
            <w:tcW w:w="1620" w:type="dxa"/>
            <w:vMerge w:val="continue"/>
            <w:vAlign w:val="center"/>
          </w:tcPr>
          <w:p w14:paraId="57A4AC12">
            <w:pPr>
              <w:widowControl/>
              <w:spacing w:line="360" w:lineRule="auto"/>
              <w:jc w:val="center"/>
              <w:rPr>
                <w:rFonts w:ascii="宋体" w:hAnsi="宋体" w:cs="宋体"/>
                <w:szCs w:val="21"/>
              </w:rPr>
            </w:pPr>
          </w:p>
        </w:tc>
        <w:tc>
          <w:tcPr>
            <w:tcW w:w="1965" w:type="dxa"/>
            <w:vAlign w:val="center"/>
          </w:tcPr>
          <w:p w14:paraId="63EBB5EB">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48159E0C">
            <w:pPr>
              <w:widowControl/>
              <w:spacing w:line="360" w:lineRule="auto"/>
              <w:jc w:val="center"/>
              <w:rPr>
                <w:rFonts w:ascii="宋体" w:hAnsi="宋体" w:cs="宋体"/>
                <w:szCs w:val="21"/>
              </w:rPr>
            </w:pPr>
            <w:r>
              <w:rPr>
                <w:rFonts w:hint="eastAsia" w:ascii="宋体" w:hAnsi="宋体" w:cs="宋体"/>
                <w:szCs w:val="21"/>
              </w:rPr>
              <w:t>20亿元以下</w:t>
            </w:r>
          </w:p>
        </w:tc>
      </w:tr>
      <w:tr w14:paraId="2A48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09B1F7E6">
            <w:pPr>
              <w:widowControl/>
              <w:spacing w:line="360" w:lineRule="auto"/>
              <w:jc w:val="center"/>
              <w:rPr>
                <w:rFonts w:ascii="宋体" w:hAnsi="宋体" w:cs="宋体"/>
                <w:szCs w:val="21"/>
              </w:rPr>
            </w:pPr>
          </w:p>
        </w:tc>
        <w:tc>
          <w:tcPr>
            <w:tcW w:w="1200" w:type="dxa"/>
            <w:vMerge w:val="restart"/>
            <w:vAlign w:val="center"/>
          </w:tcPr>
          <w:p w14:paraId="60BBF8CD">
            <w:pPr>
              <w:widowControl/>
              <w:spacing w:line="360" w:lineRule="auto"/>
              <w:jc w:val="center"/>
              <w:rPr>
                <w:rFonts w:ascii="宋体" w:hAnsi="宋体" w:cs="宋体"/>
                <w:szCs w:val="21"/>
              </w:rPr>
            </w:pPr>
            <w:r>
              <w:rPr>
                <w:rFonts w:hint="eastAsia" w:ascii="宋体" w:hAnsi="宋体" w:cs="宋体"/>
                <w:szCs w:val="21"/>
              </w:rPr>
              <w:t>控股公司服务</w:t>
            </w:r>
          </w:p>
        </w:tc>
        <w:tc>
          <w:tcPr>
            <w:tcW w:w="1620" w:type="dxa"/>
            <w:vMerge w:val="restart"/>
            <w:vAlign w:val="center"/>
          </w:tcPr>
          <w:p w14:paraId="080AECBD">
            <w:pPr>
              <w:widowControl/>
              <w:spacing w:line="360" w:lineRule="auto"/>
              <w:jc w:val="center"/>
              <w:rPr>
                <w:rFonts w:ascii="宋体" w:hAnsi="宋体" w:cs="宋体"/>
                <w:szCs w:val="21"/>
              </w:rPr>
            </w:pPr>
            <w:r>
              <w:rPr>
                <w:rFonts w:hint="eastAsia" w:ascii="宋体" w:hAnsi="宋体" w:cs="宋体"/>
                <w:szCs w:val="21"/>
              </w:rPr>
              <w:t>金融控股公司</w:t>
            </w:r>
          </w:p>
        </w:tc>
        <w:tc>
          <w:tcPr>
            <w:tcW w:w="1965" w:type="dxa"/>
            <w:vAlign w:val="center"/>
          </w:tcPr>
          <w:p w14:paraId="37EA696D">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1560B1B3">
            <w:pPr>
              <w:widowControl/>
              <w:spacing w:line="360" w:lineRule="auto"/>
              <w:jc w:val="center"/>
              <w:rPr>
                <w:rFonts w:ascii="宋体" w:hAnsi="宋体" w:cs="宋体"/>
                <w:szCs w:val="21"/>
              </w:rPr>
            </w:pPr>
            <w:r>
              <w:rPr>
                <w:rFonts w:hint="eastAsia" w:ascii="宋体" w:hAnsi="宋体" w:cs="宋体"/>
                <w:szCs w:val="21"/>
              </w:rPr>
              <w:t>5000亿元（含）至40000亿元</w:t>
            </w:r>
          </w:p>
        </w:tc>
      </w:tr>
      <w:tr w14:paraId="59AC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023F29E7">
            <w:pPr>
              <w:widowControl/>
              <w:spacing w:line="360" w:lineRule="auto"/>
              <w:jc w:val="center"/>
              <w:rPr>
                <w:rFonts w:ascii="宋体" w:hAnsi="宋体" w:cs="宋体"/>
                <w:szCs w:val="21"/>
              </w:rPr>
            </w:pPr>
          </w:p>
        </w:tc>
        <w:tc>
          <w:tcPr>
            <w:tcW w:w="1200" w:type="dxa"/>
            <w:vMerge w:val="continue"/>
            <w:vAlign w:val="center"/>
          </w:tcPr>
          <w:p w14:paraId="34B7FBDD">
            <w:pPr>
              <w:widowControl/>
              <w:spacing w:line="360" w:lineRule="auto"/>
              <w:jc w:val="center"/>
              <w:rPr>
                <w:rFonts w:ascii="宋体" w:hAnsi="宋体" w:cs="宋体"/>
                <w:szCs w:val="21"/>
              </w:rPr>
            </w:pPr>
          </w:p>
        </w:tc>
        <w:tc>
          <w:tcPr>
            <w:tcW w:w="1620" w:type="dxa"/>
            <w:vMerge w:val="continue"/>
            <w:vAlign w:val="center"/>
          </w:tcPr>
          <w:p w14:paraId="0BEAB6C4">
            <w:pPr>
              <w:widowControl/>
              <w:spacing w:line="360" w:lineRule="auto"/>
              <w:jc w:val="center"/>
              <w:rPr>
                <w:rFonts w:ascii="宋体" w:hAnsi="宋体" w:cs="宋体"/>
                <w:szCs w:val="21"/>
              </w:rPr>
            </w:pPr>
          </w:p>
        </w:tc>
        <w:tc>
          <w:tcPr>
            <w:tcW w:w="1965" w:type="dxa"/>
            <w:vAlign w:val="center"/>
          </w:tcPr>
          <w:p w14:paraId="27594742">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223481DC">
            <w:pPr>
              <w:widowControl/>
              <w:spacing w:line="360" w:lineRule="auto"/>
              <w:jc w:val="center"/>
              <w:rPr>
                <w:rFonts w:ascii="宋体" w:hAnsi="宋体" w:cs="宋体"/>
                <w:szCs w:val="21"/>
              </w:rPr>
            </w:pPr>
            <w:r>
              <w:rPr>
                <w:rFonts w:hint="eastAsia" w:ascii="宋体" w:hAnsi="宋体" w:cs="宋体"/>
                <w:szCs w:val="21"/>
              </w:rPr>
              <w:t>50亿元（含）至5000亿元</w:t>
            </w:r>
          </w:p>
        </w:tc>
      </w:tr>
      <w:tr w14:paraId="5C2D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37426519">
            <w:pPr>
              <w:widowControl/>
              <w:spacing w:line="360" w:lineRule="auto"/>
              <w:jc w:val="center"/>
              <w:rPr>
                <w:rFonts w:ascii="宋体" w:hAnsi="宋体" w:cs="宋体"/>
                <w:szCs w:val="21"/>
              </w:rPr>
            </w:pPr>
          </w:p>
        </w:tc>
        <w:tc>
          <w:tcPr>
            <w:tcW w:w="1200" w:type="dxa"/>
            <w:vMerge w:val="continue"/>
            <w:vAlign w:val="center"/>
          </w:tcPr>
          <w:p w14:paraId="48B61895">
            <w:pPr>
              <w:widowControl/>
              <w:spacing w:line="360" w:lineRule="auto"/>
              <w:jc w:val="center"/>
              <w:rPr>
                <w:rFonts w:ascii="宋体" w:hAnsi="宋体" w:cs="宋体"/>
                <w:szCs w:val="21"/>
              </w:rPr>
            </w:pPr>
          </w:p>
        </w:tc>
        <w:tc>
          <w:tcPr>
            <w:tcW w:w="1620" w:type="dxa"/>
            <w:vMerge w:val="continue"/>
            <w:vAlign w:val="center"/>
          </w:tcPr>
          <w:p w14:paraId="37F51E9E">
            <w:pPr>
              <w:widowControl/>
              <w:spacing w:line="360" w:lineRule="auto"/>
              <w:jc w:val="center"/>
              <w:rPr>
                <w:rFonts w:ascii="宋体" w:hAnsi="宋体" w:cs="宋体"/>
                <w:szCs w:val="21"/>
              </w:rPr>
            </w:pPr>
          </w:p>
        </w:tc>
        <w:tc>
          <w:tcPr>
            <w:tcW w:w="1965" w:type="dxa"/>
            <w:vAlign w:val="center"/>
          </w:tcPr>
          <w:p w14:paraId="607255D6">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48A0489A">
            <w:pPr>
              <w:widowControl/>
              <w:spacing w:line="360" w:lineRule="auto"/>
              <w:jc w:val="center"/>
              <w:rPr>
                <w:rFonts w:ascii="宋体" w:hAnsi="宋体" w:cs="宋体"/>
                <w:szCs w:val="21"/>
              </w:rPr>
            </w:pPr>
            <w:r>
              <w:rPr>
                <w:rFonts w:hint="eastAsia" w:ascii="宋体" w:hAnsi="宋体" w:cs="宋体"/>
                <w:szCs w:val="21"/>
              </w:rPr>
              <w:t>50亿元以下</w:t>
            </w:r>
          </w:p>
        </w:tc>
      </w:tr>
      <w:tr w14:paraId="630C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03DBAB4E">
            <w:pPr>
              <w:widowControl/>
              <w:spacing w:line="360" w:lineRule="auto"/>
              <w:jc w:val="center"/>
              <w:rPr>
                <w:rFonts w:ascii="宋体" w:hAnsi="宋体" w:cs="宋体"/>
                <w:szCs w:val="21"/>
              </w:rPr>
            </w:pPr>
          </w:p>
        </w:tc>
        <w:tc>
          <w:tcPr>
            <w:tcW w:w="1200" w:type="dxa"/>
            <w:vMerge w:val="restart"/>
            <w:vAlign w:val="center"/>
          </w:tcPr>
          <w:p w14:paraId="6729D67A">
            <w:pPr>
              <w:widowControl/>
              <w:spacing w:line="360" w:lineRule="auto"/>
              <w:jc w:val="center"/>
              <w:rPr>
                <w:rFonts w:ascii="宋体" w:hAnsi="宋体" w:cs="宋体"/>
                <w:szCs w:val="21"/>
              </w:rPr>
            </w:pPr>
            <w:r>
              <w:rPr>
                <w:rFonts w:hint="eastAsia" w:ascii="宋体" w:hAnsi="宋体" w:cs="宋体"/>
                <w:szCs w:val="21"/>
              </w:rPr>
              <w:t>其他未包括的金融业</w:t>
            </w:r>
          </w:p>
        </w:tc>
        <w:tc>
          <w:tcPr>
            <w:tcW w:w="1620" w:type="dxa"/>
            <w:vMerge w:val="restart"/>
            <w:vAlign w:val="center"/>
          </w:tcPr>
          <w:p w14:paraId="0533A9F9">
            <w:pPr>
              <w:widowControl/>
              <w:spacing w:line="360" w:lineRule="auto"/>
              <w:jc w:val="center"/>
              <w:rPr>
                <w:rFonts w:ascii="宋体" w:hAnsi="宋体" w:cs="宋体"/>
                <w:szCs w:val="21"/>
              </w:rPr>
            </w:pPr>
            <w:r>
              <w:rPr>
                <w:rFonts w:hint="eastAsia" w:ascii="宋体" w:hAnsi="宋体" w:cs="宋体"/>
                <w:szCs w:val="21"/>
              </w:rPr>
              <w:t>除贷款公司、小额贷款公司及典当行以外的其他金融机构</w:t>
            </w:r>
          </w:p>
        </w:tc>
        <w:tc>
          <w:tcPr>
            <w:tcW w:w="1965" w:type="dxa"/>
            <w:vAlign w:val="center"/>
          </w:tcPr>
          <w:p w14:paraId="4DF8CF49">
            <w:pPr>
              <w:widowControl/>
              <w:spacing w:line="360" w:lineRule="auto"/>
              <w:jc w:val="center"/>
              <w:rPr>
                <w:rFonts w:ascii="宋体" w:hAnsi="宋体" w:cs="宋体"/>
                <w:szCs w:val="21"/>
              </w:rPr>
            </w:pPr>
            <w:r>
              <w:rPr>
                <w:rFonts w:hint="eastAsia" w:ascii="宋体" w:hAnsi="宋体" w:cs="宋体"/>
                <w:szCs w:val="21"/>
              </w:rPr>
              <w:t>中型</w:t>
            </w:r>
          </w:p>
        </w:tc>
        <w:tc>
          <w:tcPr>
            <w:tcW w:w="3902" w:type="dxa"/>
            <w:vAlign w:val="center"/>
          </w:tcPr>
          <w:p w14:paraId="3CE81ACD">
            <w:pPr>
              <w:widowControl/>
              <w:spacing w:line="360" w:lineRule="auto"/>
              <w:jc w:val="center"/>
              <w:rPr>
                <w:rFonts w:ascii="宋体" w:hAnsi="宋体" w:cs="宋体"/>
                <w:szCs w:val="21"/>
              </w:rPr>
            </w:pPr>
            <w:r>
              <w:rPr>
                <w:rFonts w:hint="eastAsia" w:ascii="宋体" w:hAnsi="宋体" w:cs="宋体"/>
                <w:szCs w:val="21"/>
              </w:rPr>
              <w:t>200亿元（含）至1000亿元</w:t>
            </w:r>
          </w:p>
        </w:tc>
      </w:tr>
      <w:tr w14:paraId="01B5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30015C1">
            <w:pPr>
              <w:widowControl/>
              <w:spacing w:line="360" w:lineRule="auto"/>
              <w:jc w:val="center"/>
              <w:rPr>
                <w:rFonts w:ascii="宋体" w:hAnsi="宋体" w:cs="宋体"/>
                <w:szCs w:val="21"/>
              </w:rPr>
            </w:pPr>
          </w:p>
        </w:tc>
        <w:tc>
          <w:tcPr>
            <w:tcW w:w="1200" w:type="dxa"/>
            <w:vMerge w:val="continue"/>
            <w:vAlign w:val="center"/>
          </w:tcPr>
          <w:p w14:paraId="1930144A">
            <w:pPr>
              <w:widowControl/>
              <w:spacing w:line="360" w:lineRule="auto"/>
              <w:jc w:val="center"/>
              <w:rPr>
                <w:rFonts w:ascii="宋体" w:hAnsi="宋体" w:cs="宋体"/>
                <w:szCs w:val="21"/>
              </w:rPr>
            </w:pPr>
          </w:p>
        </w:tc>
        <w:tc>
          <w:tcPr>
            <w:tcW w:w="1620" w:type="dxa"/>
            <w:vMerge w:val="continue"/>
            <w:vAlign w:val="center"/>
          </w:tcPr>
          <w:p w14:paraId="0354C505">
            <w:pPr>
              <w:widowControl/>
              <w:spacing w:line="360" w:lineRule="auto"/>
              <w:jc w:val="center"/>
              <w:rPr>
                <w:rFonts w:ascii="宋体" w:hAnsi="宋体" w:cs="宋体"/>
                <w:szCs w:val="21"/>
              </w:rPr>
            </w:pPr>
          </w:p>
        </w:tc>
        <w:tc>
          <w:tcPr>
            <w:tcW w:w="1965" w:type="dxa"/>
            <w:vAlign w:val="center"/>
          </w:tcPr>
          <w:p w14:paraId="35F2DAF5">
            <w:pPr>
              <w:widowControl/>
              <w:spacing w:line="360" w:lineRule="auto"/>
              <w:jc w:val="center"/>
              <w:rPr>
                <w:rFonts w:ascii="宋体" w:hAnsi="宋体" w:cs="宋体"/>
                <w:szCs w:val="21"/>
              </w:rPr>
            </w:pPr>
            <w:r>
              <w:rPr>
                <w:rFonts w:hint="eastAsia" w:ascii="宋体" w:hAnsi="宋体" w:cs="宋体"/>
                <w:szCs w:val="21"/>
              </w:rPr>
              <w:t>小型</w:t>
            </w:r>
          </w:p>
        </w:tc>
        <w:tc>
          <w:tcPr>
            <w:tcW w:w="3902" w:type="dxa"/>
            <w:vAlign w:val="center"/>
          </w:tcPr>
          <w:p w14:paraId="77BCD0E3">
            <w:pPr>
              <w:widowControl/>
              <w:spacing w:line="360" w:lineRule="auto"/>
              <w:jc w:val="center"/>
              <w:rPr>
                <w:rFonts w:ascii="宋体" w:hAnsi="宋体" w:cs="宋体"/>
                <w:szCs w:val="21"/>
              </w:rPr>
            </w:pPr>
            <w:r>
              <w:rPr>
                <w:rFonts w:hint="eastAsia" w:ascii="宋体" w:hAnsi="宋体" w:cs="宋体"/>
                <w:szCs w:val="21"/>
              </w:rPr>
              <w:t>50亿元（含）至200亿元</w:t>
            </w:r>
          </w:p>
        </w:tc>
      </w:tr>
      <w:tr w14:paraId="5737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058AEDC">
            <w:pPr>
              <w:widowControl/>
              <w:spacing w:line="360" w:lineRule="auto"/>
              <w:jc w:val="center"/>
              <w:rPr>
                <w:rFonts w:ascii="宋体" w:hAnsi="宋体" w:cs="宋体"/>
                <w:szCs w:val="21"/>
              </w:rPr>
            </w:pPr>
          </w:p>
        </w:tc>
        <w:tc>
          <w:tcPr>
            <w:tcW w:w="1200" w:type="dxa"/>
            <w:vMerge w:val="continue"/>
            <w:vAlign w:val="center"/>
          </w:tcPr>
          <w:p w14:paraId="5AFD12B5">
            <w:pPr>
              <w:widowControl/>
              <w:spacing w:line="360" w:lineRule="auto"/>
              <w:jc w:val="center"/>
              <w:rPr>
                <w:rFonts w:ascii="宋体" w:hAnsi="宋体" w:cs="宋体"/>
                <w:szCs w:val="21"/>
              </w:rPr>
            </w:pPr>
          </w:p>
        </w:tc>
        <w:tc>
          <w:tcPr>
            <w:tcW w:w="1620" w:type="dxa"/>
            <w:vMerge w:val="continue"/>
            <w:vAlign w:val="center"/>
          </w:tcPr>
          <w:p w14:paraId="64A80F67">
            <w:pPr>
              <w:widowControl/>
              <w:spacing w:line="360" w:lineRule="auto"/>
              <w:jc w:val="center"/>
              <w:rPr>
                <w:rFonts w:ascii="宋体" w:hAnsi="宋体" w:cs="宋体"/>
                <w:szCs w:val="21"/>
              </w:rPr>
            </w:pPr>
          </w:p>
        </w:tc>
        <w:tc>
          <w:tcPr>
            <w:tcW w:w="1965" w:type="dxa"/>
            <w:vAlign w:val="center"/>
          </w:tcPr>
          <w:p w14:paraId="3CDAA9C9">
            <w:pPr>
              <w:widowControl/>
              <w:spacing w:line="360" w:lineRule="auto"/>
              <w:jc w:val="center"/>
              <w:rPr>
                <w:rFonts w:ascii="宋体" w:hAnsi="宋体" w:cs="宋体"/>
                <w:szCs w:val="21"/>
              </w:rPr>
            </w:pPr>
            <w:r>
              <w:rPr>
                <w:rFonts w:hint="eastAsia" w:ascii="宋体" w:hAnsi="宋体" w:cs="宋体"/>
                <w:szCs w:val="21"/>
              </w:rPr>
              <w:t>微型</w:t>
            </w:r>
          </w:p>
        </w:tc>
        <w:tc>
          <w:tcPr>
            <w:tcW w:w="3902" w:type="dxa"/>
            <w:vAlign w:val="center"/>
          </w:tcPr>
          <w:p w14:paraId="64B0F6D2">
            <w:pPr>
              <w:widowControl/>
              <w:spacing w:line="360" w:lineRule="auto"/>
              <w:jc w:val="center"/>
              <w:rPr>
                <w:rFonts w:ascii="宋体" w:hAnsi="宋体" w:cs="宋体"/>
                <w:szCs w:val="21"/>
              </w:rPr>
            </w:pPr>
            <w:r>
              <w:rPr>
                <w:rFonts w:hint="eastAsia" w:ascii="宋体" w:hAnsi="宋体" w:cs="宋体"/>
                <w:szCs w:val="21"/>
              </w:rPr>
              <w:t>50亿元以下</w:t>
            </w:r>
          </w:p>
        </w:tc>
      </w:tr>
    </w:tbl>
    <w:p w14:paraId="1F9C20E3">
      <w:pPr>
        <w:autoSpaceDE w:val="0"/>
        <w:autoSpaceDN w:val="0"/>
        <w:adjustRightInd w:val="0"/>
        <w:spacing w:line="360" w:lineRule="auto"/>
        <w:ind w:firstLine="420"/>
        <w:jc w:val="center"/>
        <w:rPr>
          <w:rFonts w:ascii="宋体" w:hAnsi="宋体" w:cs="宋体"/>
          <w:b/>
          <w:bCs/>
        </w:rPr>
      </w:pPr>
    </w:p>
    <w:p w14:paraId="731095F5">
      <w:pPr>
        <w:autoSpaceDE w:val="0"/>
        <w:autoSpaceDN w:val="0"/>
        <w:adjustRightInd w:val="0"/>
        <w:spacing w:line="360" w:lineRule="auto"/>
        <w:ind w:firstLine="420"/>
        <w:jc w:val="center"/>
        <w:rPr>
          <w:rFonts w:ascii="宋体" w:hAnsi="宋体" w:cs="宋体"/>
          <w:b/>
          <w:bCs/>
        </w:rPr>
      </w:pPr>
    </w:p>
    <w:p w14:paraId="34B367D7">
      <w:pPr>
        <w:autoSpaceDE w:val="0"/>
        <w:autoSpaceDN w:val="0"/>
        <w:adjustRightInd w:val="0"/>
        <w:spacing w:line="312" w:lineRule="auto"/>
        <w:ind w:firstLine="420"/>
        <w:jc w:val="center"/>
        <w:rPr>
          <w:rFonts w:ascii="宋体" w:hAnsi="宋体" w:cs="宋体"/>
          <w:b/>
          <w:bCs/>
          <w:sz w:val="24"/>
        </w:rPr>
      </w:pPr>
      <w:r>
        <w:rPr>
          <w:rFonts w:hint="eastAsia" w:ascii="宋体" w:hAnsi="宋体" w:cs="宋体"/>
          <w:b/>
          <w:bCs/>
          <w:sz w:val="24"/>
        </w:rPr>
        <w:t>财政部 发展改革委 生态环境部 市场监管总局关于调整优化节能产</w:t>
      </w:r>
    </w:p>
    <w:p w14:paraId="62DFD072">
      <w:pPr>
        <w:autoSpaceDE w:val="0"/>
        <w:autoSpaceDN w:val="0"/>
        <w:adjustRightInd w:val="0"/>
        <w:spacing w:line="312" w:lineRule="auto"/>
        <w:jc w:val="center"/>
        <w:rPr>
          <w:rFonts w:ascii="宋体" w:hAnsi="宋体" w:cs="宋体"/>
          <w:b/>
          <w:bCs/>
          <w:sz w:val="24"/>
        </w:rPr>
      </w:pPr>
      <w:r>
        <w:rPr>
          <w:rFonts w:hint="eastAsia" w:ascii="宋体" w:hAnsi="宋体" w:cs="宋体"/>
          <w:b/>
          <w:bCs/>
          <w:sz w:val="24"/>
        </w:rPr>
        <w:t>品、环境标志产品政府采购执行机制的通知</w:t>
      </w:r>
    </w:p>
    <w:p w14:paraId="406DAFF2">
      <w:pPr>
        <w:autoSpaceDE w:val="0"/>
        <w:autoSpaceDN w:val="0"/>
        <w:adjustRightInd w:val="0"/>
        <w:spacing w:line="312" w:lineRule="auto"/>
        <w:jc w:val="center"/>
        <w:rPr>
          <w:rFonts w:ascii="宋体" w:hAnsi="宋体" w:cs="宋体"/>
          <w:b/>
          <w:bCs/>
          <w:sz w:val="24"/>
        </w:rPr>
      </w:pPr>
      <w:r>
        <w:rPr>
          <w:rFonts w:hint="eastAsia" w:ascii="宋体" w:hAnsi="宋体" w:cs="宋体"/>
          <w:b/>
          <w:bCs/>
          <w:sz w:val="24"/>
        </w:rPr>
        <w:t>财库〔2019〕9号</w:t>
      </w:r>
    </w:p>
    <w:p w14:paraId="2F20C2D6">
      <w:pPr>
        <w:autoSpaceDE w:val="0"/>
        <w:autoSpaceDN w:val="0"/>
        <w:adjustRightInd w:val="0"/>
        <w:spacing w:line="312" w:lineRule="auto"/>
        <w:jc w:val="left"/>
        <w:rPr>
          <w:rFonts w:ascii="宋体" w:hAnsi="宋体" w:cs="宋体"/>
          <w:bCs/>
          <w:sz w:val="24"/>
        </w:rPr>
      </w:pPr>
      <w:r>
        <w:rPr>
          <w:rFonts w:hint="eastAsia" w:ascii="宋体" w:hAnsi="宋体" w:cs="宋体"/>
          <w:bCs/>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7CCE3124">
      <w:pPr>
        <w:autoSpaceDE w:val="0"/>
        <w:autoSpaceDN w:val="0"/>
        <w:adjustRightInd w:val="0"/>
        <w:spacing w:line="312" w:lineRule="auto"/>
        <w:jc w:val="left"/>
        <w:rPr>
          <w:rFonts w:ascii="宋体" w:hAnsi="宋体" w:cs="宋体"/>
          <w:bCs/>
          <w:sz w:val="24"/>
        </w:rPr>
      </w:pPr>
      <w:r>
        <w:rPr>
          <w:rFonts w:hint="eastAsia" w:ascii="宋体" w:hAnsi="宋体" w:cs="宋体"/>
          <w:bCs/>
          <w:sz w:val="24"/>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7EEC8112">
      <w:pPr>
        <w:autoSpaceDE w:val="0"/>
        <w:autoSpaceDN w:val="0"/>
        <w:adjustRightInd w:val="0"/>
        <w:spacing w:line="312" w:lineRule="auto"/>
        <w:jc w:val="left"/>
        <w:rPr>
          <w:rFonts w:ascii="宋体" w:hAnsi="宋体" w:cs="宋体"/>
          <w:bCs/>
          <w:sz w:val="24"/>
        </w:rPr>
      </w:pPr>
      <w:r>
        <w:rPr>
          <w:rFonts w:hint="eastAsia" w:ascii="宋体" w:hAnsi="宋体" w:cs="宋体"/>
          <w:bCs/>
          <w:sz w:val="24"/>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298CADE0">
      <w:pPr>
        <w:autoSpaceDE w:val="0"/>
        <w:autoSpaceDN w:val="0"/>
        <w:adjustRightInd w:val="0"/>
        <w:spacing w:line="312" w:lineRule="auto"/>
        <w:jc w:val="left"/>
        <w:rPr>
          <w:rFonts w:ascii="宋体" w:hAnsi="宋体" w:cs="宋体"/>
          <w:bCs/>
          <w:sz w:val="24"/>
        </w:rPr>
      </w:pPr>
      <w:r>
        <w:rPr>
          <w:rFonts w:hint="eastAsia" w:ascii="宋体" w:hAnsi="宋体" w:cs="宋体"/>
          <w:bCs/>
          <w:sz w:val="24"/>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261FF56">
      <w:pPr>
        <w:autoSpaceDE w:val="0"/>
        <w:autoSpaceDN w:val="0"/>
        <w:adjustRightInd w:val="0"/>
        <w:spacing w:line="312" w:lineRule="auto"/>
        <w:jc w:val="left"/>
        <w:rPr>
          <w:rFonts w:ascii="宋体" w:hAnsi="宋体" w:cs="宋体"/>
          <w:bCs/>
          <w:sz w:val="24"/>
        </w:rPr>
      </w:pPr>
      <w:r>
        <w:rPr>
          <w:rFonts w:hint="eastAsia" w:ascii="宋体" w:hAnsi="宋体" w:cs="宋体"/>
          <w:bCs/>
          <w:sz w:val="24"/>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68D2A184">
      <w:pPr>
        <w:autoSpaceDE w:val="0"/>
        <w:autoSpaceDN w:val="0"/>
        <w:adjustRightInd w:val="0"/>
        <w:spacing w:line="312" w:lineRule="auto"/>
        <w:jc w:val="left"/>
        <w:rPr>
          <w:rFonts w:ascii="宋体" w:hAnsi="宋体" w:cs="宋体"/>
          <w:bCs/>
          <w:sz w:val="24"/>
        </w:rPr>
      </w:pPr>
      <w:r>
        <w:rPr>
          <w:rFonts w:hint="eastAsia" w:ascii="宋体" w:hAnsi="宋体" w:cs="宋体"/>
          <w:bCs/>
          <w:sz w:val="24"/>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13EAF9C4">
      <w:pPr>
        <w:autoSpaceDE w:val="0"/>
        <w:autoSpaceDN w:val="0"/>
        <w:adjustRightInd w:val="0"/>
        <w:spacing w:line="312" w:lineRule="auto"/>
        <w:jc w:val="left"/>
        <w:rPr>
          <w:rFonts w:ascii="宋体" w:hAnsi="宋体" w:cs="宋体"/>
          <w:bCs/>
          <w:sz w:val="24"/>
        </w:rPr>
      </w:pPr>
      <w:r>
        <w:rPr>
          <w:rFonts w:hint="eastAsia" w:ascii="宋体" w:hAnsi="宋体" w:cs="宋体"/>
          <w:bCs/>
          <w:sz w:val="24"/>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1E09DB4">
      <w:pPr>
        <w:autoSpaceDE w:val="0"/>
        <w:autoSpaceDN w:val="0"/>
        <w:adjustRightInd w:val="0"/>
        <w:spacing w:line="312" w:lineRule="auto"/>
        <w:jc w:val="left"/>
        <w:rPr>
          <w:rFonts w:ascii="宋体" w:hAnsi="宋体" w:cs="宋体"/>
          <w:bCs/>
          <w:sz w:val="24"/>
        </w:rPr>
      </w:pPr>
      <w:r>
        <w:rPr>
          <w:rFonts w:hint="eastAsia" w:ascii="宋体" w:hAnsi="宋体" w:cs="宋体"/>
          <w:bCs/>
          <w:sz w:val="24"/>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286E7894">
      <w:pPr>
        <w:autoSpaceDE w:val="0"/>
        <w:autoSpaceDN w:val="0"/>
        <w:adjustRightInd w:val="0"/>
        <w:spacing w:line="360" w:lineRule="auto"/>
        <w:ind w:firstLine="480" w:firstLineChars="200"/>
        <w:jc w:val="center"/>
        <w:rPr>
          <w:rFonts w:ascii="宋体" w:hAnsi="宋体" w:cs="宋体"/>
          <w:bCs/>
          <w:sz w:val="24"/>
        </w:rPr>
      </w:pPr>
      <w:r>
        <w:rPr>
          <w:rFonts w:hint="eastAsia" w:ascii="宋体" w:hAnsi="宋体" w:cs="宋体"/>
          <w:bCs/>
          <w:sz w:val="24"/>
        </w:rPr>
        <w:br w:type="page"/>
      </w:r>
      <w:r>
        <w:rPr>
          <w:rFonts w:hint="eastAsia" w:ascii="宋体" w:hAnsi="宋体" w:cs="宋体"/>
          <w:b/>
          <w:sz w:val="24"/>
        </w:rPr>
        <w:t>政策采购</w:t>
      </w:r>
    </w:p>
    <w:p w14:paraId="2CBF328C">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本项目需要落实的政府采购政策包括：</w:t>
      </w:r>
    </w:p>
    <w:p w14:paraId="79FE0500">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一、促进中小企业发展政策</w:t>
      </w:r>
    </w:p>
    <w:p w14:paraId="1A14941E">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（一）政策依据财政部工业和信息化部《政府采购促进中小企业发展管理办法》（财库﹝2020﹞46号）。</w:t>
      </w:r>
    </w:p>
    <w:p w14:paraId="72A2F402">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（二）中小企业的认定</w:t>
      </w:r>
    </w:p>
    <w:p w14:paraId="58B09478">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1、在中华人民共和国境内依法设立，依据国务院批准的中小企业划分标准确定的中型企业、小型企业和微型企业，但与大企业的负责人为同一人，或者与大企业存在直接控股、管理关系的除外。</w:t>
      </w:r>
    </w:p>
    <w:p w14:paraId="2C6DD232">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2、符合中小企业划分标准的个体工商户，在政府采购活动中视同中小企业。</w:t>
      </w:r>
    </w:p>
    <w:p w14:paraId="422259AE">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3、以联合体形式参加政府采购活动，联合体各方均为中小企业的，联合体视同中小企业。其中，联合体各方均为小微企业的，联合体视同小微企业。</w:t>
      </w:r>
    </w:p>
    <w:p w14:paraId="1DEDD497">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中小企业需提供的证明材料中小企业参加政府采购活动，应当出具本招标文件规定的《中小企业声明函》，否则不得享受相关中小企业扶持政策。任何单位和个人不得要求供应商提供《中小企业声明函》之外的中小企业身份证明文件。</w:t>
      </w:r>
    </w:p>
    <w:p w14:paraId="4EBD1BDE">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（四）中小企业扶持政策享受情形在政府采购活动中，供应商提供的货物、工程或者服务符合下列情形的，享受相关中小企业扶持政策：</w:t>
      </w:r>
    </w:p>
    <w:p w14:paraId="3CFA86D2">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1、在货物采购项目中，货物由中小企业制造，即货物由中小企业生产且使用该中小企业商号或者注册商标；</w:t>
      </w:r>
    </w:p>
    <w:p w14:paraId="3D6C27D4">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2、在工程采购项目中，工程由中小企业承建，即工程施工单位为中小企业；</w:t>
      </w:r>
    </w:p>
    <w:p w14:paraId="7EB06E0A">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w:t>
      </w:r>
    </w:p>
    <w:p w14:paraId="4760F010">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（五）中小企业扶持政策</w:t>
      </w:r>
    </w:p>
    <w:p w14:paraId="130F1074">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1、对于非专门面向中小企业采购的采购包，应当对符合本章规定的小微企业报价给予一定比例的扣除（具体比例详见本招标文件第三章），用扣除后的价格参加评审。</w:t>
      </w:r>
    </w:p>
    <w:p w14:paraId="7FA65C0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一定比例的扣除（具体比例详见本文件规定），用扣除后的价格参加评审。组成联合体或者接受分包的小微企业与联合体内其他企业、分包企业之间存在直接控股、管理关系的，不享受价格扣除优惠政策。</w:t>
      </w:r>
    </w:p>
    <w:p w14:paraId="2AB8BF82">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3、价格扣除比例或者价格分加分比例对小型企业和微型企业同等对待，不作区分。</w:t>
      </w:r>
    </w:p>
    <w:p w14:paraId="60168306">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（六）合同分包要求</w:t>
      </w:r>
    </w:p>
    <w:p w14:paraId="1A304601">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1、享受扶持政策获得政府采购合同的，小微企业不得将合同分包给大中型企业，中型企业不得将合同分包给大型企业。</w:t>
      </w:r>
    </w:p>
    <w:p w14:paraId="5D17EA47">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F41D2D8">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（七）法律责任供应商按照本招标文件规定提供声明函内容不实的，属于提供虚假材料谋取中标、成交，依照《中华人民共和国政府采购法》等国家有关规定追究相应责任。</w:t>
      </w:r>
    </w:p>
    <w:p w14:paraId="3191334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二、支持监狱企业发展政策</w:t>
      </w:r>
    </w:p>
    <w:p w14:paraId="73892ACE">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（一）政策依据财政部司法部《关于政府采购支持监狱企业发展有关问题的通知》（财库〔2014〕68号）。</w:t>
      </w:r>
    </w:p>
    <w:p w14:paraId="34234325">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监狱企业的认定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72BE63">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（三）监狱企业需提供的证明材料监狱企业参加政府采购活动时，应当提供由省级以上监狱管理局、戒毒管理局（含新疆生产建设兵团）出具的属于监狱企业的证明文件。</w:t>
      </w:r>
    </w:p>
    <w:p w14:paraId="3F47399E">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监狱企业支持政策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72D898E">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三、支持残疾人福利性单位发展政策</w:t>
      </w:r>
    </w:p>
    <w:p w14:paraId="306E0772">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（一）政策依据财政部民政部中国残疾人联合会《关于促进残疾人就业政府采购政策的通知》（财库[2017]141号）。</w:t>
      </w:r>
    </w:p>
    <w:p w14:paraId="502A85D9">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（二）残疾人福利性单位的认定享受政府采购支持政策的残疾人福利性单位应当同时满足以下条件：</w:t>
      </w:r>
    </w:p>
    <w:p w14:paraId="12EF0068">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1、安置的残疾人占本单位在职职工人数的比例不低于25%(含25%)，并且安置的残疾人人数不少于10人(含10人)；</w:t>
      </w:r>
    </w:p>
    <w:p w14:paraId="72D00D48">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2、依法与安置的每位残疾人签订了一年以上(含一年)的劳动合同或服务协议；</w:t>
      </w:r>
    </w:p>
    <w:p w14:paraId="57F812DC">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3、为安置的每位残疾人按月足额缴纳了基本养老保险、基本医疗保险、失业保险、工伤保险和生育保险等社会保险费；</w:t>
      </w:r>
    </w:p>
    <w:p w14:paraId="68D77E02">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4、通过银行等金融机构向安置的每位残疾人，按月支付了不低于单位所在区县适用的经省级人民政府批准的月最低工资标准的工资；</w:t>
      </w:r>
    </w:p>
    <w:p w14:paraId="4E5C0AFD">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9CB663">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（三）残疾人福利性单位需提供的证明材料符合条件的残疾人福利性单位在参加政府采购活动时，应当出具本招标文件规定的《残疾人福利性单位声明函》，并对声明的真实性负责。</w:t>
      </w:r>
    </w:p>
    <w:p w14:paraId="3D3DA379">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残疾人福利性单位支持政策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0A0203DB">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（五）法律责任供应商按照本招标文件规定提供声明函内容不实的，属于提供虚假材料谋取中标、成交，依照《中华人民共和国政府采购法》等国家有关规定追究相应责任。</w:t>
      </w:r>
    </w:p>
    <w:p w14:paraId="05DAFC30">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四、强制、优先采购节能产品、环境标志产品政策</w:t>
      </w:r>
    </w:p>
    <w:p w14:paraId="7F354103">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（一）政策依据</w:t>
      </w:r>
    </w:p>
    <w:p w14:paraId="040B640E">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1、财政部发展改革委生态环境部市场监管总局《关于调整优化节能产品、环境标志产品政府采购执行机制的通知》（财库〔2019〕9号）。</w:t>
      </w:r>
    </w:p>
    <w:p w14:paraId="5C5BE1F6">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2、财政部生态环境部《关于印发环境标志产品政府采购品目清单的通知》（财库〔2019〕18号）。</w:t>
      </w:r>
    </w:p>
    <w:p w14:paraId="4015D09C">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3、财政部发展改革委《关于印发节能产品政府采购品目清单的通知》（财库〔2019〕19号）。</w:t>
      </w:r>
    </w:p>
    <w:p w14:paraId="0B1B59FC">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（二）节能产品、环境标志产品的品目政府采购节能产品、环境标志产品实施品目清单管理，详见《节能产品政府采购品目清单》、《环境标志产品政府采购品目清单》。</w:t>
      </w:r>
    </w:p>
    <w:p w14:paraId="603EA2BB">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三）节能产品、环境标志产品需提供的证明材料采购人拟采购的产品属于品目清单范围的，供应商应当提供本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40964B40">
      <w:pPr>
        <w:autoSpaceDE w:val="0"/>
        <w:autoSpaceDN w:val="0"/>
        <w:adjustRightInd w:val="0"/>
        <w:spacing w:line="360" w:lineRule="auto"/>
        <w:ind w:firstLine="480" w:firstLineChars="200"/>
        <w:jc w:val="left"/>
        <w:rPr>
          <w:rFonts w:ascii="宋体" w:hAnsi="宋体" w:cs="宋体"/>
          <w:bCs/>
          <w:sz w:val="24"/>
        </w:rPr>
      </w:pPr>
      <w:r>
        <w:rPr>
          <w:rFonts w:hint="eastAsia" w:ascii="宋体" w:hAnsi="宋体" w:cs="宋体"/>
          <w:bCs/>
          <w:sz w:val="24"/>
        </w:rPr>
        <w:t>（四）节能产品、环境标志产品采购政策采购人拟采购的产品属于品目清单范围，且属于强制采购品目的，实行强制采购。本招标文件要求具有强制采购认证证书的产品，供应商必须在《节能产品、环境标志产品强制采购认证证书一览表》中，填写所投产品获得的、有效的认证证书相关信息并提供对应的认证证书扫描件。否则投标、响应无效。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文件第五章。</w:t>
      </w:r>
    </w:p>
    <w:p w14:paraId="291CFAC1">
      <w:pPr>
        <w:pStyle w:val="3"/>
      </w:pPr>
    </w:p>
    <w:sectPr>
      <w:pgSz w:w="11906" w:h="16838"/>
      <w:pgMar w:top="1440" w:right="1191"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9D463">
    <w:pPr>
      <w:pStyle w:val="20"/>
      <w:framePr w:wrap="around" w:vAnchor="text" w:hAnchor="margin" w:xAlign="center" w:y="1"/>
      <w:rPr>
        <w:rStyle w:val="32"/>
      </w:rPr>
    </w:pPr>
    <w:r>
      <w:rPr>
        <w:rStyle w:val="32"/>
      </w:rPr>
      <w:fldChar w:fldCharType="begin"/>
    </w:r>
    <w:r>
      <w:rPr>
        <w:rStyle w:val="32"/>
      </w:rPr>
      <w:instrText xml:space="preserve">PAGE  </w:instrText>
    </w:r>
    <w:r>
      <w:fldChar w:fldCharType="separate"/>
    </w:r>
    <w:r>
      <w:rPr>
        <w:rStyle w:val="32"/>
      </w:rPr>
      <w:t>33</w:t>
    </w:r>
    <w:r>
      <w:fldChar w:fldCharType="end"/>
    </w:r>
  </w:p>
  <w:p w14:paraId="287CDDC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D0B6">
    <w:pPr>
      <w:pStyle w:val="20"/>
      <w:tabs>
        <w:tab w:val="center" w:pos="4764"/>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70DC">
    <w:pPr>
      <w:pStyle w:val="20"/>
      <w:tabs>
        <w:tab w:val="center" w:pos="4764"/>
        <w:tab w:val="clear" w:pos="4153"/>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4863" cy="139674"/>
                      </a:xfrm>
                      <a:prstGeom prst="rect">
                        <a:avLst/>
                      </a:prstGeom>
                      <a:noFill/>
                      <a:ln w="6350" cap="flat" cmpd="sng">
                        <a:noFill/>
                        <a:prstDash val="solid"/>
                        <a:round/>
                      </a:ln>
                    </wps:spPr>
                    <wps:txbx>
                      <w:txbxContent>
                        <w:p w14:paraId="14C25D23">
                          <w:pPr>
                            <w:pStyle w:val="20"/>
                          </w:pPr>
                          <w:r>
                            <w:fldChar w:fldCharType="begin"/>
                          </w:r>
                          <w:r>
                            <w:instrText xml:space="preserve"> PAGE  \* MERGEFORMAT </w:instrText>
                          </w:r>
                          <w:r>
                            <w:fldChar w:fldCharType="separate"/>
                          </w:r>
                          <w:r>
                            <w:t>12</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1pt;width:4.3pt;mso-position-horizontal:center;mso-position-horizontal-relative:margin;mso-wrap-style:none;z-index:251659264;mso-width-relative:page;mso-height-relative:page;" filled="f" stroked="f" coordsize="21600,21600" o:gfxdata="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9JfO1QAAAAIBAAAPAAAAAAAAAAEAIAAAACIAAABkcnMvZG93bnJldi54&#10;bWxQSwECFAAUAAAACACHTuJAc7IUCP0BAADnAwAADgAAAAAAAAABACAAAAAkAQAAZHJzL2Uyb0Rv&#10;Yy54bWxQSwUGAAAAAAYABgBZAQAAkwUAAAAA&#10;">
              <v:fill on="f" focussize="0,0"/>
              <v:stroke on="f" weight="0.5pt" joinstyle="round"/>
              <v:imagedata o:title=""/>
              <o:lock v:ext="edit" aspectratio="f"/>
              <v:textbox inset="0mm,0mm,0mm,0mm" style="mso-fit-shape-to-text:t;">
                <w:txbxContent>
                  <w:p w14:paraId="14C25D23">
                    <w:pPr>
                      <w:pStyle w:val="20"/>
                    </w:pPr>
                    <w:r>
                      <w:fldChar w:fldCharType="begin"/>
                    </w:r>
                    <w:r>
                      <w:instrText xml:space="preserve"> PAGE  \* MERGEFORMAT </w:instrText>
                    </w:r>
                    <w:r>
                      <w:fldChar w:fldCharType="separate"/>
                    </w:r>
                    <w:r>
                      <w:t>12</w:t>
                    </w:r>
                    <w:r>
                      <w:fldChar w:fldCharType="end"/>
                    </w:r>
                  </w:p>
                </w:txbxContent>
              </v:textbox>
            </v:rect>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A497">
    <w:pPr>
      <w:pStyle w:val="20"/>
      <w:jc w:val="cente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0985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05DB3B5E">
                          <w:pPr>
                            <w:pStyle w:val="20"/>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1pt;width:8.65pt;mso-position-horizontal:center;mso-position-horizontal-relative:margin;mso-wrap-style:none;z-index:251660288;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O5/PWAAAAAwEAAA8AAAAAAAAAAQAgAAAAIgAAAGRycy9kb3ducmV2&#10;LnhtbFBLAQIUABQAAAAIAIdO4kCJm/F2/gEAAOgDAAAOAAAAAAAAAAEAIAAAACUBAABkcnMvZTJv&#10;RG9jLnhtbFBLBQYAAAAABgAGAFkBAACVBQAAAAA=&#10;">
              <v:fill on="f" focussize="0,0"/>
              <v:stroke on="f" weight="0.5pt" joinstyle="round"/>
              <v:imagedata o:title=""/>
              <o:lock v:ext="edit" aspectratio="f"/>
              <v:textbox inset="0mm,0mm,0mm,0mm" style="mso-fit-shape-to-text:t;">
                <w:txbxContent>
                  <w:p w14:paraId="05DB3B5E">
                    <w:pPr>
                      <w:pStyle w:val="20"/>
                    </w:pPr>
                    <w:r>
                      <w:fldChar w:fldCharType="begin"/>
                    </w:r>
                    <w:r>
                      <w:instrText xml:space="preserve"> PAGE  \* MERGEFORMAT </w:instrText>
                    </w:r>
                    <w:r>
                      <w:fldChar w:fldCharType="separate"/>
                    </w:r>
                    <w:r>
                      <w:t>35</w:t>
                    </w:r>
                    <w:r>
                      <w:fldChar w:fldCharType="end"/>
                    </w:r>
                  </w:p>
                </w:txbxContent>
              </v:textbox>
            </v:rect>
          </w:pict>
        </mc:Fallback>
      </mc:AlternateContent>
    </w:r>
  </w:p>
  <w:p w14:paraId="4DB5751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9038">
    <w:pPr>
      <w:pStyle w:val="20"/>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09855" cy="139700"/>
              <wp:effectExtent l="0" t="0" r="0" b="0"/>
              <wp:wrapNone/>
              <wp:docPr id="7" name="文本框 7"/>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120FE1BA">
                          <w:pPr>
                            <w:pStyle w:val="20"/>
                          </w:pPr>
                          <w:r>
                            <w:fldChar w:fldCharType="begin"/>
                          </w:r>
                          <w:r>
                            <w:instrText xml:space="preserve"> PAGE  \* MERGEFORMAT </w:instrText>
                          </w:r>
                          <w:r>
                            <w:fldChar w:fldCharType="separate"/>
                          </w:r>
                          <w:r>
                            <w:t>13</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1pt;width:8.65pt;mso-position-horizontal:center;mso-position-horizontal-relative:margin;mso-wrap-style:none;z-index:251660288;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7n89YAAAADAQAADwAAAAAAAAABACAAAAAiAAAAZHJzL2Rvd25yZXYu&#10;eG1sUEsBAhQAFAAAAAgAh07iQFs+N3H9AQAA6AMAAA4AAAAAAAAAAQAgAAAAJQEAAGRycy9lMm9E&#10;b2MueG1sUEsFBgAAAAAGAAYAWQEAAJQFAAAAAA==&#10;">
              <v:fill on="f" focussize="0,0"/>
              <v:stroke on="f" weight="0.5pt" joinstyle="round"/>
              <v:imagedata o:title=""/>
              <o:lock v:ext="edit" aspectratio="f"/>
              <v:textbox inset="0mm,0mm,0mm,0mm" style="mso-fit-shape-to-text:t;">
                <w:txbxContent>
                  <w:p w14:paraId="120FE1BA">
                    <w:pPr>
                      <w:pStyle w:val="20"/>
                    </w:pPr>
                    <w:r>
                      <w:fldChar w:fldCharType="begin"/>
                    </w:r>
                    <w:r>
                      <w:instrText xml:space="preserve"> PAGE  \* MERGEFORMAT </w:instrText>
                    </w:r>
                    <w:r>
                      <w:fldChar w:fldCharType="separate"/>
                    </w:r>
                    <w:r>
                      <w:t>13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B5888D27"/>
    <w:multiLevelType w:val="singleLevel"/>
    <w:tmpl w:val="B5888D27"/>
    <w:lvl w:ilvl="0" w:tentative="0">
      <w:start w:val="1"/>
      <w:numFmt w:val="decimal"/>
      <w:lvlText w:val="%1."/>
      <w:lvlJc w:val="left"/>
      <w:pPr>
        <w:ind w:left="425" w:hanging="425"/>
      </w:pPr>
      <w:rPr>
        <w:rFonts w:hint="default"/>
      </w:rPr>
    </w:lvl>
  </w:abstractNum>
  <w:abstractNum w:abstractNumId="2">
    <w:nsid w:val="B5E306ED"/>
    <w:multiLevelType w:val="singleLevel"/>
    <w:tmpl w:val="B5E306ED"/>
    <w:lvl w:ilvl="0" w:tentative="0">
      <w:start w:val="1"/>
      <w:numFmt w:val="decimal"/>
      <w:suff w:val="nothing"/>
      <w:lvlText w:val="%1、"/>
      <w:lvlJc w:val="left"/>
      <w:pPr>
        <w:tabs>
          <w:tab w:val="left" w:pos="0"/>
        </w:tabs>
        <w:ind w:left="0" w:firstLine="0"/>
      </w:pPr>
    </w:lvl>
  </w:abstractNum>
  <w:abstractNum w:abstractNumId="3">
    <w:nsid w:val="BC711F0B"/>
    <w:multiLevelType w:val="singleLevel"/>
    <w:tmpl w:val="BC711F0B"/>
    <w:lvl w:ilvl="0" w:tentative="0">
      <w:start w:val="1"/>
      <w:numFmt w:val="decimal"/>
      <w:suff w:val="nothing"/>
      <w:lvlText w:val="%1、"/>
      <w:lvlJc w:val="left"/>
    </w:lvl>
  </w:abstractNum>
  <w:abstractNum w:abstractNumId="4">
    <w:nsid w:val="CF092B84"/>
    <w:multiLevelType w:val="singleLevel"/>
    <w:tmpl w:val="CF092B84"/>
    <w:lvl w:ilvl="0" w:tentative="0">
      <w:start w:val="1"/>
      <w:numFmt w:val="chineseCounting"/>
      <w:suff w:val="nothing"/>
      <w:lvlText w:val="（%1）"/>
      <w:lvlJc w:val="left"/>
      <w:pPr>
        <w:tabs>
          <w:tab w:val="left" w:pos="0"/>
        </w:tabs>
        <w:ind w:left="0" w:firstLine="0"/>
      </w:pPr>
      <w:rPr>
        <w:rFonts w:hint="eastAsia"/>
      </w:rPr>
    </w:lvl>
  </w:abstractNum>
  <w:abstractNum w:abstractNumId="5">
    <w:nsid w:val="E9C803F4"/>
    <w:multiLevelType w:val="singleLevel"/>
    <w:tmpl w:val="E9C803F4"/>
    <w:lvl w:ilvl="0" w:tentative="0">
      <w:start w:val="5"/>
      <w:numFmt w:val="decimal"/>
      <w:suff w:val="nothing"/>
      <w:lvlText w:val="%1、"/>
      <w:lvlJc w:val="left"/>
    </w:lvl>
  </w:abstractNum>
  <w:abstractNum w:abstractNumId="6">
    <w:nsid w:val="00000002"/>
    <w:multiLevelType w:val="singleLevel"/>
    <w:tmpl w:val="00000002"/>
    <w:lvl w:ilvl="0" w:tentative="0">
      <w:start w:val="1"/>
      <w:numFmt w:val="chineseCounting"/>
      <w:suff w:val="nothing"/>
      <w:lvlText w:val="%1、"/>
      <w:lvlJc w:val="left"/>
      <w:rPr>
        <w:rFonts w:hint="eastAsia"/>
      </w:rPr>
    </w:lvl>
  </w:abstractNum>
  <w:abstractNum w:abstractNumId="7">
    <w:nsid w:val="0053208E"/>
    <w:multiLevelType w:val="singleLevel"/>
    <w:tmpl w:val="0053208E"/>
    <w:lvl w:ilvl="0" w:tentative="0">
      <w:start w:val="4"/>
      <w:numFmt w:val="chineseCounting"/>
      <w:suff w:val="nothing"/>
      <w:lvlText w:val="（%1）"/>
      <w:lvlJc w:val="left"/>
      <w:pPr>
        <w:tabs>
          <w:tab w:val="left" w:pos="0"/>
        </w:tabs>
        <w:ind w:left="0" w:firstLine="0"/>
      </w:pPr>
    </w:lvl>
  </w:abstractNum>
  <w:abstractNum w:abstractNumId="8">
    <w:nsid w:val="37F58269"/>
    <w:multiLevelType w:val="singleLevel"/>
    <w:tmpl w:val="37F58269"/>
    <w:lvl w:ilvl="0" w:tentative="0">
      <w:start w:val="2"/>
      <w:numFmt w:val="decimal"/>
      <w:lvlText w:val="%1."/>
      <w:lvlJc w:val="left"/>
      <w:pPr>
        <w:tabs>
          <w:tab w:val="left" w:pos="312"/>
        </w:tabs>
      </w:pPr>
    </w:lvl>
  </w:abstractNum>
  <w:abstractNum w:abstractNumId="9">
    <w:nsid w:val="3AF205BF"/>
    <w:multiLevelType w:val="singleLevel"/>
    <w:tmpl w:val="3AF205BF"/>
    <w:lvl w:ilvl="0" w:tentative="0">
      <w:start w:val="2"/>
      <w:numFmt w:val="decimal"/>
      <w:lvlText w:val="%1."/>
      <w:lvlJc w:val="left"/>
      <w:pPr>
        <w:tabs>
          <w:tab w:val="left" w:pos="312"/>
        </w:tabs>
      </w:pPr>
    </w:lvl>
  </w:abstractNum>
  <w:abstractNum w:abstractNumId="10">
    <w:nsid w:val="43CE8985"/>
    <w:multiLevelType w:val="singleLevel"/>
    <w:tmpl w:val="43CE8985"/>
    <w:lvl w:ilvl="0" w:tentative="0">
      <w:start w:val="1"/>
      <w:numFmt w:val="decimal"/>
      <w:lvlText w:val="%1."/>
      <w:lvlJc w:val="left"/>
      <w:pPr>
        <w:ind w:left="425" w:hanging="425"/>
      </w:pPr>
      <w:rPr>
        <w:rFonts w:hint="default"/>
      </w:rPr>
    </w:lvl>
  </w:abstractNum>
  <w:abstractNum w:abstractNumId="11">
    <w:nsid w:val="7B10918C"/>
    <w:multiLevelType w:val="singleLevel"/>
    <w:tmpl w:val="7B10918C"/>
    <w:lvl w:ilvl="0" w:tentative="0">
      <w:start w:val="2"/>
      <w:numFmt w:val="chineseCounting"/>
      <w:suff w:val="nothing"/>
      <w:lvlText w:val="（%1）"/>
      <w:lvlJc w:val="left"/>
      <w:rPr>
        <w:rFonts w:hint="eastAsia"/>
      </w:rPr>
    </w:lvl>
  </w:abstractNum>
  <w:num w:numId="1">
    <w:abstractNumId w:val="9"/>
  </w:num>
  <w:num w:numId="2">
    <w:abstractNumId w:val="3"/>
  </w:num>
  <w:num w:numId="3">
    <w:abstractNumId w:val="7"/>
  </w:num>
  <w:num w:numId="4">
    <w:abstractNumId w:val="4"/>
  </w:num>
  <w:num w:numId="5">
    <w:abstractNumId w:val="11"/>
  </w:num>
  <w:num w:numId="6">
    <w:abstractNumId w:val="10"/>
  </w:num>
  <w:num w:numId="7">
    <w:abstractNumId w:val="1"/>
  </w:num>
  <w:num w:numId="8">
    <w:abstractNumId w:val="8"/>
  </w:num>
  <w:num w:numId="9">
    <w:abstractNumId w:val="5"/>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zY1OTE0ZDc0N2Y2YWI1Zjc4ZTg1MDQ3OTdiZWRkMGQifQ=="/>
  </w:docVars>
  <w:rsids>
    <w:rsidRoot w:val="00D35326"/>
    <w:rsid w:val="00042D5B"/>
    <w:rsid w:val="000A2CF3"/>
    <w:rsid w:val="000F437D"/>
    <w:rsid w:val="00174A91"/>
    <w:rsid w:val="001A5677"/>
    <w:rsid w:val="001A6D76"/>
    <w:rsid w:val="00253033"/>
    <w:rsid w:val="00345FC0"/>
    <w:rsid w:val="003A1411"/>
    <w:rsid w:val="005D42A9"/>
    <w:rsid w:val="00714DC7"/>
    <w:rsid w:val="007A7F13"/>
    <w:rsid w:val="007E7F79"/>
    <w:rsid w:val="007F1055"/>
    <w:rsid w:val="00A84CA0"/>
    <w:rsid w:val="00A90347"/>
    <w:rsid w:val="00C64BA7"/>
    <w:rsid w:val="00CA3C38"/>
    <w:rsid w:val="00D35326"/>
    <w:rsid w:val="00DC0BDA"/>
    <w:rsid w:val="00FE2E47"/>
    <w:rsid w:val="01BD17FD"/>
    <w:rsid w:val="0227420B"/>
    <w:rsid w:val="02C000FC"/>
    <w:rsid w:val="03696813"/>
    <w:rsid w:val="04387860"/>
    <w:rsid w:val="04954326"/>
    <w:rsid w:val="07F4584C"/>
    <w:rsid w:val="088845CB"/>
    <w:rsid w:val="08A95E44"/>
    <w:rsid w:val="08F85807"/>
    <w:rsid w:val="09152B0D"/>
    <w:rsid w:val="096A70BA"/>
    <w:rsid w:val="09BB0F95"/>
    <w:rsid w:val="0A165B16"/>
    <w:rsid w:val="0A314B36"/>
    <w:rsid w:val="0A600591"/>
    <w:rsid w:val="0A9B46A5"/>
    <w:rsid w:val="0B1701D0"/>
    <w:rsid w:val="0BA97821"/>
    <w:rsid w:val="0BED4B7D"/>
    <w:rsid w:val="0C7577A8"/>
    <w:rsid w:val="0C820DF1"/>
    <w:rsid w:val="0CA37841"/>
    <w:rsid w:val="0D957AD2"/>
    <w:rsid w:val="0DB15694"/>
    <w:rsid w:val="0DBA16AE"/>
    <w:rsid w:val="0ED1765E"/>
    <w:rsid w:val="10A7660C"/>
    <w:rsid w:val="12A33531"/>
    <w:rsid w:val="12CB3660"/>
    <w:rsid w:val="12F503E6"/>
    <w:rsid w:val="13785584"/>
    <w:rsid w:val="140B2A47"/>
    <w:rsid w:val="157F5F94"/>
    <w:rsid w:val="16F77107"/>
    <w:rsid w:val="18A1557C"/>
    <w:rsid w:val="18EA326D"/>
    <w:rsid w:val="192F2B88"/>
    <w:rsid w:val="1A1B0030"/>
    <w:rsid w:val="1A3F504D"/>
    <w:rsid w:val="1AAF0DCC"/>
    <w:rsid w:val="1B903686"/>
    <w:rsid w:val="1C4B6AC5"/>
    <w:rsid w:val="1CC25AC1"/>
    <w:rsid w:val="1DAF24EA"/>
    <w:rsid w:val="20542ED4"/>
    <w:rsid w:val="20FF5536"/>
    <w:rsid w:val="21811739"/>
    <w:rsid w:val="220813AA"/>
    <w:rsid w:val="228A2E67"/>
    <w:rsid w:val="23862A1A"/>
    <w:rsid w:val="24084702"/>
    <w:rsid w:val="255C6F49"/>
    <w:rsid w:val="25D05592"/>
    <w:rsid w:val="27EE3C0E"/>
    <w:rsid w:val="287265EE"/>
    <w:rsid w:val="28E36F15"/>
    <w:rsid w:val="29E0424B"/>
    <w:rsid w:val="2A6C6360"/>
    <w:rsid w:val="2B733CFA"/>
    <w:rsid w:val="2C124DE2"/>
    <w:rsid w:val="2C223EC6"/>
    <w:rsid w:val="2D8D6838"/>
    <w:rsid w:val="2EC64A2F"/>
    <w:rsid w:val="318F1FBE"/>
    <w:rsid w:val="32715B68"/>
    <w:rsid w:val="32804F77"/>
    <w:rsid w:val="32907C97"/>
    <w:rsid w:val="32F05181"/>
    <w:rsid w:val="337E0E1D"/>
    <w:rsid w:val="339F04B3"/>
    <w:rsid w:val="35A91647"/>
    <w:rsid w:val="37667C65"/>
    <w:rsid w:val="38D97FC3"/>
    <w:rsid w:val="38E928FC"/>
    <w:rsid w:val="38FD2AE8"/>
    <w:rsid w:val="399C5643"/>
    <w:rsid w:val="39A607ED"/>
    <w:rsid w:val="39CE5BC6"/>
    <w:rsid w:val="3A7C6384"/>
    <w:rsid w:val="3BA3264E"/>
    <w:rsid w:val="3CA1529C"/>
    <w:rsid w:val="3D7A18F0"/>
    <w:rsid w:val="3DA05553"/>
    <w:rsid w:val="3DAD72FF"/>
    <w:rsid w:val="3DD941D1"/>
    <w:rsid w:val="3E0C2BE9"/>
    <w:rsid w:val="3F1A33BE"/>
    <w:rsid w:val="3FA4132B"/>
    <w:rsid w:val="41EE149D"/>
    <w:rsid w:val="4278084D"/>
    <w:rsid w:val="427E7056"/>
    <w:rsid w:val="4396542E"/>
    <w:rsid w:val="43C9443B"/>
    <w:rsid w:val="4608474D"/>
    <w:rsid w:val="46BC2DCC"/>
    <w:rsid w:val="48B13987"/>
    <w:rsid w:val="4A8F3FE1"/>
    <w:rsid w:val="4B601750"/>
    <w:rsid w:val="4BF94693"/>
    <w:rsid w:val="4D9D28C9"/>
    <w:rsid w:val="4E41068C"/>
    <w:rsid w:val="4F162FC3"/>
    <w:rsid w:val="4F345416"/>
    <w:rsid w:val="502D0EC8"/>
    <w:rsid w:val="51497F84"/>
    <w:rsid w:val="519614C0"/>
    <w:rsid w:val="53582700"/>
    <w:rsid w:val="55091116"/>
    <w:rsid w:val="56514241"/>
    <w:rsid w:val="57025910"/>
    <w:rsid w:val="577717BF"/>
    <w:rsid w:val="57E52089"/>
    <w:rsid w:val="59215342"/>
    <w:rsid w:val="59B33BB7"/>
    <w:rsid w:val="59DE5845"/>
    <w:rsid w:val="5EEE23FD"/>
    <w:rsid w:val="608E7761"/>
    <w:rsid w:val="6127639D"/>
    <w:rsid w:val="61A66D2D"/>
    <w:rsid w:val="61FC3BE3"/>
    <w:rsid w:val="623F473F"/>
    <w:rsid w:val="62917CEA"/>
    <w:rsid w:val="63977DC5"/>
    <w:rsid w:val="63BD3D87"/>
    <w:rsid w:val="63D647F6"/>
    <w:rsid w:val="64A66C4F"/>
    <w:rsid w:val="64D4595F"/>
    <w:rsid w:val="66326755"/>
    <w:rsid w:val="67672ABA"/>
    <w:rsid w:val="67E1286C"/>
    <w:rsid w:val="6853752F"/>
    <w:rsid w:val="688F4726"/>
    <w:rsid w:val="6A040959"/>
    <w:rsid w:val="6A87574F"/>
    <w:rsid w:val="6C2B055A"/>
    <w:rsid w:val="6ECC669A"/>
    <w:rsid w:val="6EDD53EF"/>
    <w:rsid w:val="6F55323E"/>
    <w:rsid w:val="6F8329F0"/>
    <w:rsid w:val="6FFE360F"/>
    <w:rsid w:val="705F5A7C"/>
    <w:rsid w:val="70667F45"/>
    <w:rsid w:val="70717258"/>
    <w:rsid w:val="70A151A0"/>
    <w:rsid w:val="70B623BC"/>
    <w:rsid w:val="71DE7E1D"/>
    <w:rsid w:val="72257D2D"/>
    <w:rsid w:val="736425A4"/>
    <w:rsid w:val="73643177"/>
    <w:rsid w:val="74B478DC"/>
    <w:rsid w:val="74EA2C16"/>
    <w:rsid w:val="760140DA"/>
    <w:rsid w:val="7749387C"/>
    <w:rsid w:val="77A94FC7"/>
    <w:rsid w:val="7832778E"/>
    <w:rsid w:val="79E32474"/>
    <w:rsid w:val="7A2F605F"/>
    <w:rsid w:val="7B4707E1"/>
    <w:rsid w:val="7BD261F5"/>
    <w:rsid w:val="7CBE0F77"/>
    <w:rsid w:val="7D1103F8"/>
    <w:rsid w:val="7D363713"/>
    <w:rsid w:val="7E7D618D"/>
    <w:rsid w:val="7EE0157C"/>
    <w:rsid w:val="7F3D43D5"/>
    <w:rsid w:val="7FA07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kern w:val="44"/>
      <w:sz w:val="44"/>
    </w:rPr>
  </w:style>
  <w:style w:type="paragraph" w:styleId="3">
    <w:name w:val="heading 2"/>
    <w:basedOn w:val="1"/>
    <w:next w:val="1"/>
    <w:qFormat/>
    <w:uiPriority w:val="0"/>
    <w:pPr>
      <w:keepNext/>
      <w:keepLines/>
      <w:spacing w:line="415" w:lineRule="auto"/>
      <w:outlineLvl w:val="1"/>
    </w:pPr>
    <w:rPr>
      <w:rFonts w:ascii="Arial" w:hAnsi="Arial" w:eastAsia="黑体" w:cs="Verdana"/>
      <w:b/>
      <w:bCs/>
      <w:sz w:val="32"/>
      <w:szCs w:val="32"/>
    </w:rPr>
  </w:style>
  <w:style w:type="paragraph" w:styleId="4">
    <w:name w:val="heading 3"/>
    <w:basedOn w:val="1"/>
    <w:next w:val="1"/>
    <w:qFormat/>
    <w:uiPriority w:val="0"/>
    <w:pPr>
      <w:keepNext/>
      <w:keepLines/>
      <w:spacing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6">
    <w:name w:val="Normal Indent"/>
    <w:basedOn w:val="1"/>
    <w:qFormat/>
    <w:uiPriority w:val="0"/>
    <w:pPr>
      <w:ind w:firstLine="200" w:firstLineChars="200"/>
    </w:pPr>
  </w:style>
  <w:style w:type="paragraph" w:styleId="7">
    <w:name w:val="index 5"/>
    <w:basedOn w:val="1"/>
    <w:next w:val="1"/>
    <w:qFormat/>
    <w:uiPriority w:val="0"/>
    <w:pPr>
      <w:adjustRightInd w:val="0"/>
      <w:snapToGrid w:val="0"/>
      <w:spacing w:line="360" w:lineRule="auto"/>
      <w:jc w:val="center"/>
    </w:pPr>
    <w:rPr>
      <w:rFonts w:ascii="宋体" w:cs="宋体"/>
      <w:bCs/>
      <w:kern w:val="0"/>
      <w:szCs w:val="21"/>
    </w:rPr>
  </w:style>
  <w:style w:type="paragraph" w:styleId="8">
    <w:name w:val="annotation text"/>
    <w:basedOn w:val="1"/>
    <w:qFormat/>
    <w:uiPriority w:val="0"/>
    <w:pPr>
      <w:adjustRightInd w:val="0"/>
      <w:spacing w:line="360" w:lineRule="atLeast"/>
      <w:jc w:val="left"/>
    </w:pPr>
    <w:rPr>
      <w:kern w:val="0"/>
      <w:sz w:val="24"/>
    </w:rPr>
  </w:style>
  <w:style w:type="paragraph" w:styleId="9">
    <w:name w:val="Body Text 3"/>
    <w:basedOn w:val="1"/>
    <w:qFormat/>
    <w:uiPriority w:val="0"/>
    <w:pPr>
      <w:spacing w:line="80" w:lineRule="atLeast"/>
    </w:pPr>
    <w:rPr>
      <w:rFonts w:ascii="楷体_GB2312" w:eastAsia="楷体_GB2312"/>
      <w:sz w:val="28"/>
    </w:rPr>
  </w:style>
  <w:style w:type="paragraph" w:styleId="10">
    <w:name w:val="Body Text"/>
    <w:basedOn w:val="1"/>
    <w:next w:val="11"/>
    <w:qFormat/>
    <w:uiPriority w:val="0"/>
    <w:rPr>
      <w:rFonts w:eastAsia="楷体_GB2312"/>
      <w:sz w:val="30"/>
      <w:szCs w:val="20"/>
    </w:rPr>
  </w:style>
  <w:style w:type="paragraph" w:styleId="11">
    <w:name w:val="Body Text First Indent"/>
    <w:basedOn w:val="10"/>
    <w:unhideWhenUsed/>
    <w:qFormat/>
    <w:uiPriority w:val="99"/>
    <w:pPr>
      <w:spacing w:after="120"/>
      <w:ind w:firstLine="420" w:firstLineChars="100"/>
    </w:pPr>
    <w:rPr>
      <w:rFonts w:eastAsia="宋体"/>
      <w:sz w:val="21"/>
      <w:szCs w:val="24"/>
    </w:rPr>
  </w:style>
  <w:style w:type="paragraph" w:styleId="12">
    <w:name w:val="Body Text Indent"/>
    <w:basedOn w:val="1"/>
    <w:next w:val="1"/>
    <w:qFormat/>
    <w:uiPriority w:val="0"/>
    <w:pPr>
      <w:ind w:firstLine="630"/>
    </w:pPr>
    <w:rPr>
      <w:rFonts w:ascii="长城楷体" w:eastAsia="长城楷体"/>
      <w:kern w:val="0"/>
      <w:sz w:val="32"/>
    </w:rPr>
  </w:style>
  <w:style w:type="paragraph" w:styleId="13">
    <w:name w:val="toc 3"/>
    <w:basedOn w:val="1"/>
    <w:next w:val="1"/>
    <w:qFormat/>
    <w:uiPriority w:val="0"/>
    <w:pPr>
      <w:ind w:left="400" w:leftChars="400"/>
    </w:pPr>
  </w:style>
  <w:style w:type="paragraph" w:styleId="14">
    <w:name w:val="Plain Text"/>
    <w:basedOn w:val="15"/>
    <w:qFormat/>
    <w:uiPriority w:val="0"/>
    <w:rPr>
      <w:rFonts w:ascii="宋体"/>
      <w:szCs w:val="20"/>
    </w:rPr>
  </w:style>
  <w:style w:type="paragraph" w:customStyle="1" w:styleId="15">
    <w:name w:val="Normal_3"/>
    <w:qFormat/>
    <w:uiPriority w:val="0"/>
    <w:pPr>
      <w:widowControl w:val="0"/>
      <w:jc w:val="both"/>
    </w:pPr>
    <w:rPr>
      <w:rFonts w:ascii="Calibri" w:hAnsi="Calibri" w:eastAsia="宋体" w:cs="Times New Roman"/>
      <w:kern w:val="2"/>
      <w:sz w:val="21"/>
      <w:szCs w:val="24"/>
      <w:lang w:val="en-US" w:eastAsia="zh-CN" w:bidi="ar-SA"/>
    </w:rPr>
  </w:style>
  <w:style w:type="paragraph" w:styleId="16">
    <w:name w:val="Date"/>
    <w:basedOn w:val="17"/>
    <w:next w:val="17"/>
    <w:qFormat/>
    <w:uiPriority w:val="0"/>
    <w:rPr>
      <w:sz w:val="24"/>
      <w:szCs w:val="20"/>
    </w:rPr>
  </w:style>
  <w:style w:type="paragraph" w:customStyle="1" w:styleId="17">
    <w:name w:val="正文_0_0"/>
    <w:qFormat/>
    <w:uiPriority w:val="0"/>
    <w:pPr>
      <w:widowControl w:val="0"/>
      <w:jc w:val="both"/>
    </w:pPr>
    <w:rPr>
      <w:rFonts w:ascii="Calibri" w:hAnsi="Calibri" w:eastAsia="宋体" w:cs="Times New Roman"/>
      <w:kern w:val="2"/>
      <w:sz w:val="21"/>
      <w:szCs w:val="24"/>
      <w:lang w:val="en-US" w:eastAsia="zh-CN" w:bidi="ar-SA"/>
    </w:rPr>
  </w:style>
  <w:style w:type="paragraph" w:styleId="18">
    <w:name w:val="Body Text Indent 2"/>
    <w:basedOn w:val="1"/>
    <w:qFormat/>
    <w:uiPriority w:val="0"/>
    <w:pPr>
      <w:spacing w:line="480" w:lineRule="auto"/>
      <w:ind w:left="200" w:leftChars="200"/>
    </w:p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line="360" w:lineRule="exact"/>
    </w:pPr>
    <w:rPr>
      <w:rFonts w:ascii="仿宋_GB2312" w:eastAsia="仿宋_GB2312"/>
      <w:b/>
      <w:bCs/>
      <w:sz w:val="28"/>
      <w:szCs w:val="28"/>
    </w:rPr>
  </w:style>
  <w:style w:type="paragraph" w:styleId="23">
    <w:name w:val="toc 2"/>
    <w:basedOn w:val="1"/>
    <w:next w:val="1"/>
    <w:qFormat/>
    <w:uiPriority w:val="0"/>
    <w:pPr>
      <w:ind w:left="200" w:leftChars="200"/>
    </w:pPr>
  </w:style>
  <w:style w:type="paragraph" w:styleId="24">
    <w:name w:val="toc 9"/>
    <w:basedOn w:val="1"/>
    <w:next w:val="1"/>
    <w:unhideWhenUsed/>
    <w:qFormat/>
    <w:uiPriority w:val="39"/>
    <w:pPr>
      <w:spacing w:line="240" w:lineRule="auto"/>
      <w:ind w:left="3360" w:leftChars="1600"/>
    </w:pPr>
    <w:rPr>
      <w:rFonts w:asciiTheme="minorHAnsi" w:hAnsiTheme="minorHAnsi" w:eastAsiaTheme="minorEastAsia"/>
    </w:rPr>
  </w:style>
  <w:style w:type="paragraph" w:styleId="25">
    <w:name w:val="Normal (Web)"/>
    <w:basedOn w:val="1"/>
    <w:qFormat/>
    <w:uiPriority w:val="0"/>
    <w:pPr>
      <w:widowControl/>
      <w:spacing w:beforeAutospacing="1" w:afterAutospacing="1"/>
      <w:jc w:val="left"/>
    </w:pPr>
    <w:rPr>
      <w:rFonts w:ascii="宋体" w:cs="宋体"/>
      <w:kern w:val="0"/>
      <w:sz w:val="24"/>
    </w:rPr>
  </w:style>
  <w:style w:type="paragraph" w:styleId="26">
    <w:name w:val="Title"/>
    <w:basedOn w:val="1"/>
    <w:next w:val="1"/>
    <w:qFormat/>
    <w:uiPriority w:val="0"/>
    <w:pPr>
      <w:spacing w:before="240" w:after="60"/>
      <w:jc w:val="center"/>
      <w:outlineLvl w:val="0"/>
    </w:pPr>
    <w:rPr>
      <w:rFonts w:ascii="Arial" w:hAnsi="Arial" w:cs="Arial"/>
      <w:b/>
      <w:bCs/>
      <w:sz w:val="44"/>
      <w:szCs w:val="32"/>
    </w:rPr>
  </w:style>
  <w:style w:type="paragraph" w:styleId="27">
    <w:name w:val="Body Text First Indent 2"/>
    <w:basedOn w:val="12"/>
    <w:next w:val="1"/>
    <w:qFormat/>
    <w:uiPriority w:val="0"/>
    <w:pPr>
      <w:tabs>
        <w:tab w:val="left" w:pos="360"/>
      </w:tabs>
      <w:ind w:firstLine="420"/>
    </w:pPr>
    <w:rPr>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style>
  <w:style w:type="character" w:styleId="32">
    <w:name w:val="page number"/>
    <w:basedOn w:val="30"/>
    <w:qFormat/>
    <w:uiPriority w:val="0"/>
  </w:style>
  <w:style w:type="character" w:styleId="33">
    <w:name w:val="FollowedHyperlink"/>
    <w:basedOn w:val="30"/>
    <w:qFormat/>
    <w:uiPriority w:val="0"/>
    <w:rPr>
      <w:color w:val="333333"/>
      <w:u w:val="non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basedOn w:val="30"/>
    <w:qFormat/>
    <w:uiPriority w:val="0"/>
    <w:rPr>
      <w:color w:val="333333"/>
      <w:u w:val="none"/>
    </w:rPr>
  </w:style>
  <w:style w:type="character" w:styleId="40">
    <w:name w:val="HTML Code"/>
    <w:basedOn w:val="30"/>
    <w:qFormat/>
    <w:uiPriority w:val="0"/>
    <w:rPr>
      <w:rFonts w:ascii="monospace" w:hAnsi="monospace" w:eastAsia="monospace" w:cs="monospace"/>
      <w:sz w:val="20"/>
    </w:rPr>
  </w:style>
  <w:style w:type="character" w:styleId="41">
    <w:name w:val="annotation reference"/>
    <w:basedOn w:val="30"/>
    <w:qFormat/>
    <w:uiPriority w:val="0"/>
    <w:rPr>
      <w:sz w:val="21"/>
      <w:szCs w:val="21"/>
    </w:rPr>
  </w:style>
  <w:style w:type="character" w:styleId="42">
    <w:name w:val="HTML Cite"/>
    <w:basedOn w:val="30"/>
    <w:qFormat/>
    <w:uiPriority w:val="0"/>
  </w:style>
  <w:style w:type="character" w:styleId="43">
    <w:name w:val="HTML Keyboard"/>
    <w:basedOn w:val="30"/>
    <w:qFormat/>
    <w:uiPriority w:val="0"/>
    <w:rPr>
      <w:rFonts w:ascii="monospace" w:hAnsi="monospace" w:eastAsia="monospace" w:cs="monospace"/>
      <w:sz w:val="20"/>
    </w:rPr>
  </w:style>
  <w:style w:type="character" w:styleId="44">
    <w:name w:val="HTML Sample"/>
    <w:basedOn w:val="30"/>
    <w:qFormat/>
    <w:uiPriority w:val="0"/>
    <w:rPr>
      <w:rFonts w:ascii="monospace" w:hAnsi="monospace" w:eastAsia="monospace" w:cs="monospace"/>
    </w:rPr>
  </w:style>
  <w:style w:type="paragraph" w:customStyle="1" w:styleId="45">
    <w:name w:val="Default"/>
    <w:next w:val="24"/>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46">
    <w:name w:val="列出段落1"/>
    <w:basedOn w:val="1"/>
    <w:qFormat/>
    <w:uiPriority w:val="0"/>
    <w:pPr>
      <w:ind w:firstLine="200" w:firstLineChars="200"/>
    </w:pPr>
    <w:rPr>
      <w:szCs w:val="22"/>
    </w:rPr>
  </w:style>
  <w:style w:type="paragraph" w:customStyle="1" w:styleId="47">
    <w:name w:val="正文（首行缩进）"/>
    <w:basedOn w:val="1"/>
    <w:qFormat/>
    <w:uiPriority w:val="0"/>
    <w:pPr>
      <w:spacing w:line="360" w:lineRule="auto"/>
      <w:ind w:firstLine="200" w:firstLineChars="200"/>
    </w:pPr>
  </w:style>
  <w:style w:type="paragraph" w:customStyle="1" w:styleId="48">
    <w:name w:val="Table Paragraph"/>
    <w:basedOn w:val="1"/>
    <w:qFormat/>
    <w:uiPriority w:val="0"/>
  </w:style>
  <w:style w:type="paragraph" w:customStyle="1" w:styleId="49">
    <w:name w:val="样式 小四 段前: 5 磅 段后: 5 磅 首行缩进:  2 字符"/>
    <w:basedOn w:val="1"/>
    <w:qFormat/>
    <w:uiPriority w:val="0"/>
    <w:pPr>
      <w:spacing w:line="360" w:lineRule="auto"/>
    </w:pPr>
    <w:rPr>
      <w:rFonts w:ascii="宋体"/>
      <w:sz w:val="24"/>
      <w:szCs w:val="21"/>
    </w:rPr>
  </w:style>
  <w:style w:type="paragraph" w:customStyle="1" w:styleId="5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表 靠左"/>
    <w:basedOn w:val="52"/>
    <w:qFormat/>
    <w:uiPriority w:val="0"/>
    <w:pPr>
      <w:widowControl/>
      <w:adjustRightInd w:val="0"/>
      <w:snapToGrid w:val="0"/>
      <w:spacing w:after="200"/>
      <w:jc w:val="left"/>
    </w:pPr>
    <w:rPr>
      <w:rFonts w:eastAsia="微软雅黑"/>
      <w:kern w:val="0"/>
      <w:sz w:val="22"/>
      <w:szCs w:val="21"/>
    </w:rPr>
  </w:style>
  <w:style w:type="paragraph" w:customStyle="1" w:styleId="52">
    <w:name w:val="表"/>
    <w:basedOn w:val="1"/>
    <w:next w:val="1"/>
    <w:qFormat/>
    <w:uiPriority w:val="7"/>
    <w:pPr>
      <w:jc w:val="center"/>
    </w:pPr>
  </w:style>
  <w:style w:type="paragraph" w:customStyle="1" w:styleId="53">
    <w:name w:val="Normal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Normal_0_0_2"/>
    <w:qFormat/>
    <w:uiPriority w:val="0"/>
    <w:rPr>
      <w:rFonts w:ascii="Times New Roman" w:hAnsi="Times New Roman" w:eastAsia="Times New Roman" w:cs="Times New Roman"/>
      <w:sz w:val="24"/>
      <w:szCs w:val="24"/>
      <w:lang w:val="en-US" w:eastAsia="zh-CN" w:bidi="ar-SA"/>
    </w:rPr>
  </w:style>
  <w:style w:type="paragraph" w:customStyle="1" w:styleId="55">
    <w:name w:val="标题 21"/>
    <w:basedOn w:val="53"/>
    <w:next w:val="53"/>
    <w:qFormat/>
    <w:uiPriority w:val="0"/>
    <w:pPr>
      <w:keepNext/>
      <w:keepLines/>
      <w:spacing w:before="260" w:after="260" w:line="415" w:lineRule="auto"/>
      <w:outlineLvl w:val="1"/>
    </w:pPr>
    <w:rPr>
      <w:rFonts w:ascii="Cambria" w:hAnsi="Cambria" w:cs="宋体"/>
      <w:b/>
      <w:bCs/>
      <w:sz w:val="32"/>
      <w:szCs w:val="32"/>
    </w:rPr>
  </w:style>
  <w:style w:type="paragraph" w:customStyle="1" w:styleId="56">
    <w:name w:val="样式 样式 样式 左侧:  2 字符1 + 首行缩进:  2 字符1 + 首行缩进:  2 字符"/>
    <w:basedOn w:val="1"/>
    <w:qFormat/>
    <w:uiPriority w:val="0"/>
    <w:pPr>
      <w:widowControl/>
      <w:spacing w:before="60" w:after="120" w:line="440" w:lineRule="atLeast"/>
      <w:ind w:firstLine="480"/>
    </w:pPr>
    <w:rPr>
      <w:rFonts w:ascii="Times New Roman" w:hAnsi="Times New Roman"/>
      <w:sz w:val="24"/>
      <w:szCs w:val="20"/>
    </w:rPr>
  </w:style>
  <w:style w:type="paragraph" w:customStyle="1" w:styleId="57">
    <w:name w:val="_Style 3"/>
    <w:qFormat/>
    <w:uiPriority w:val="99"/>
    <w:pPr>
      <w:widowControl w:val="0"/>
      <w:jc w:val="both"/>
    </w:pPr>
    <w:rPr>
      <w:rFonts w:ascii="Times New Roman" w:hAnsi="Times New Roman" w:eastAsia="宋?" w:cs="Times New Roman"/>
      <w:kern w:val="2"/>
      <w:sz w:val="21"/>
      <w:szCs w:val="22"/>
      <w:lang w:val="en-US" w:eastAsia="zh-CN" w:bidi="ar-SA"/>
    </w:rPr>
  </w:style>
  <w:style w:type="paragraph" w:customStyle="1" w:styleId="58">
    <w:name w:val="Normal_0_0_1"/>
    <w:qFormat/>
    <w:uiPriority w:val="0"/>
    <w:rPr>
      <w:rFonts w:ascii="Times New Roman" w:hAnsi="Times New Roman" w:eastAsia="Times New Roman" w:cs="Times New Roman"/>
      <w:sz w:val="24"/>
      <w:szCs w:val="24"/>
      <w:lang w:val="en-US" w:eastAsia="zh-CN" w:bidi="ar-SA"/>
    </w:rPr>
  </w:style>
  <w:style w:type="paragraph" w:customStyle="1" w:styleId="59">
    <w:name w:val="普通(网站)_0"/>
    <w:basedOn w:val="17"/>
    <w:qFormat/>
    <w:uiPriority w:val="0"/>
    <w:pPr>
      <w:widowControl/>
      <w:spacing w:before="100" w:beforeAutospacing="1" w:after="100" w:afterAutospacing="1"/>
      <w:jc w:val="left"/>
    </w:pPr>
    <w:rPr>
      <w:rFonts w:ascii="宋体" w:hAnsi="宋体"/>
      <w:kern w:val="0"/>
      <w:sz w:val="24"/>
    </w:rPr>
  </w:style>
  <w:style w:type="paragraph" w:customStyle="1" w:styleId="60">
    <w:name w:val="标题 2_0"/>
    <w:basedOn w:val="17"/>
    <w:next w:val="17"/>
    <w:qFormat/>
    <w:uiPriority w:val="0"/>
    <w:pPr>
      <w:keepNext/>
      <w:keepLines/>
      <w:spacing w:before="260" w:after="260" w:line="416" w:lineRule="auto"/>
      <w:outlineLvl w:val="1"/>
    </w:pPr>
    <w:rPr>
      <w:rFonts w:ascii="Cambria" w:hAnsi="Cambria"/>
      <w:b/>
      <w:bCs/>
      <w:sz w:val="32"/>
      <w:szCs w:val="32"/>
    </w:rPr>
  </w:style>
  <w:style w:type="paragraph" w:styleId="61">
    <w:name w:val="List Paragraph"/>
    <w:basedOn w:val="1"/>
    <w:qFormat/>
    <w:uiPriority w:val="34"/>
    <w:pPr>
      <w:ind w:firstLine="420" w:firstLineChars="200"/>
    </w:pPr>
    <w:rPr>
      <w:rFonts w:ascii="Calibri" w:hAnsi="Calibri"/>
    </w:rPr>
  </w:style>
  <w:style w:type="character" w:customStyle="1" w:styleId="6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11531</Words>
  <Characters>12616</Characters>
  <Lines>385</Lines>
  <Paragraphs>108</Paragraphs>
  <TotalTime>28</TotalTime>
  <ScaleCrop>false</ScaleCrop>
  <LinksUpToDate>false</LinksUpToDate>
  <CharactersWithSpaces>12989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2024-09-20T08:07:00Z</dcterms:created>
  <dc:creator>WPS_1565666140</dc:creator>
  <cp:lastModifiedBy>Administrator</cp:lastModifiedBy>
  <cp:lastPrinted>2023-07-20T06:51:00Z</cp:lastPrinted>
  <dcterms:modified xsi:type="dcterms:W3CDTF">2024-12-30T03:20:38Z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D7C66FE811BE41C889EA30ED0B8D0BE5_13</vt:lpwstr>
  </property>
  <property fmtid="{D5CDD505-2E9C-101B-9397-08002B2CF9AE}" pid="4" name="KSOTemplateDocerSaveRecord">
    <vt:lpwstr>eyJoZGlkIjoiN2ExMjZmMGIyOTMwOWJmZGU1ODEyMDU0ZjcwOWE4ZWEiLCJ1c2VySWQiOiIyMzQzNTExMjAifQ==</vt:lpwstr>
  </property>
</Properties>
</file>