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405B40">
      <w:pPr>
        <w:adjustRightInd w:val="0"/>
        <w:snapToGrid w:val="0"/>
        <w:ind w:firstLine="105" w:firstLineChars="50"/>
        <w:jc w:val="left"/>
        <w:rPr>
          <w:rFonts w:ascii="宋体"/>
        </w:rPr>
      </w:pPr>
    </w:p>
    <w:p w14:paraId="1B88C150">
      <w:pPr>
        <w:adjustRightInd w:val="0"/>
        <w:snapToGrid w:val="0"/>
        <w:ind w:firstLine="105" w:firstLineChars="50"/>
        <w:jc w:val="left"/>
        <w:rPr>
          <w:rFonts w:ascii="宋体"/>
        </w:rPr>
      </w:pPr>
    </w:p>
    <w:p w14:paraId="5F5B1AB1">
      <w:pPr>
        <w:jc w:val="center"/>
        <w:rPr>
          <w:rFonts w:hint="eastAsia" w:ascii="黑体" w:eastAsia="黑体"/>
          <w:sz w:val="112"/>
          <w:szCs w:val="80"/>
        </w:rPr>
      </w:pPr>
      <w:r>
        <w:rPr>
          <w:rFonts w:hint="eastAsia" w:ascii="宋体" w:hAnsi="宋体" w:cs="宋体"/>
          <w:b/>
          <w:sz w:val="44"/>
          <w:szCs w:val="44"/>
          <w:lang w:eastAsia="zh-CN"/>
        </w:rPr>
        <w:t>鄯善县2025年社会保险基金转出开户银行开展定期存款服务项目</w:t>
      </w:r>
    </w:p>
    <w:p w14:paraId="0E3EA300">
      <w:pPr>
        <w:jc w:val="center"/>
        <w:rPr>
          <w:rFonts w:hint="eastAsia" w:ascii="黑体" w:eastAsia="黑体"/>
          <w:sz w:val="112"/>
          <w:szCs w:val="80"/>
        </w:rPr>
      </w:pPr>
    </w:p>
    <w:p w14:paraId="5F05579C">
      <w:pPr>
        <w:jc w:val="center"/>
        <w:rPr>
          <w:rFonts w:hint="eastAsia" w:ascii="黑体" w:eastAsia="黑体"/>
          <w:sz w:val="72"/>
          <w:szCs w:val="72"/>
        </w:rPr>
      </w:pPr>
    </w:p>
    <w:p w14:paraId="65420F5B">
      <w:pPr>
        <w:jc w:val="center"/>
        <w:rPr>
          <w:rFonts w:ascii="黑体" w:eastAsia="黑体"/>
          <w:sz w:val="72"/>
          <w:szCs w:val="72"/>
        </w:rPr>
      </w:pPr>
      <w:r>
        <w:rPr>
          <w:rFonts w:hint="eastAsia" w:ascii="黑体" w:eastAsia="黑体"/>
          <w:sz w:val="72"/>
          <w:szCs w:val="72"/>
          <w:lang w:eastAsia="zh-CN"/>
        </w:rPr>
        <w:t>公开招标</w:t>
      </w:r>
      <w:r>
        <w:rPr>
          <w:rFonts w:hint="eastAsia" w:ascii="黑体" w:eastAsia="黑体"/>
          <w:sz w:val="72"/>
          <w:szCs w:val="72"/>
        </w:rPr>
        <w:t>文件</w:t>
      </w:r>
    </w:p>
    <w:p w14:paraId="3E821E46">
      <w:pPr>
        <w:jc w:val="center"/>
        <w:rPr>
          <w:rFonts w:ascii="黑体" w:eastAsia="黑体"/>
          <w:sz w:val="112"/>
          <w:szCs w:val="80"/>
        </w:rPr>
      </w:pPr>
    </w:p>
    <w:p w14:paraId="1F4BD8A9">
      <w:pPr>
        <w:spacing w:line="420" w:lineRule="exact"/>
        <w:ind w:firstLine="1920" w:firstLineChars="600"/>
        <w:rPr>
          <w:rFonts w:hint="eastAsia" w:ascii="仿宋" w:eastAsia="仿宋"/>
          <w:sz w:val="32"/>
        </w:rPr>
      </w:pPr>
    </w:p>
    <w:p w14:paraId="2FC6985E">
      <w:pPr>
        <w:spacing w:line="420" w:lineRule="exact"/>
        <w:ind w:firstLine="1920" w:firstLineChars="600"/>
        <w:rPr>
          <w:rFonts w:hint="eastAsia" w:ascii="仿宋" w:eastAsia="仿宋"/>
          <w:sz w:val="32"/>
        </w:rPr>
      </w:pPr>
    </w:p>
    <w:p w14:paraId="6510F7B8">
      <w:pPr>
        <w:keepNext w:val="0"/>
        <w:keepLines w:val="0"/>
        <w:pageBreakBefore w:val="0"/>
        <w:widowControl w:val="0"/>
        <w:kinsoku/>
        <w:wordWrap/>
        <w:overflowPunct/>
        <w:topLinePunct w:val="0"/>
        <w:autoSpaceDE/>
        <w:autoSpaceDN/>
        <w:bidi w:val="0"/>
        <w:adjustRightInd/>
        <w:snapToGrid/>
        <w:spacing w:line="460" w:lineRule="exact"/>
        <w:ind w:firstLine="1920" w:firstLineChars="600"/>
        <w:textAlignment w:val="auto"/>
        <w:rPr>
          <w:rFonts w:hint="default" w:ascii="仿宋" w:hAnsi="仿宋" w:eastAsia="仿宋"/>
          <w:sz w:val="28"/>
          <w:szCs w:val="28"/>
          <w:lang w:val="en-US" w:eastAsia="zh-CN"/>
        </w:rPr>
      </w:pPr>
      <w:r>
        <w:rPr>
          <w:rFonts w:hint="eastAsia" w:ascii="仿宋" w:eastAsia="仿宋"/>
          <w:sz w:val="32"/>
          <w:lang w:eastAsia="zh-CN"/>
        </w:rPr>
        <w:t>招标</w:t>
      </w:r>
      <w:r>
        <w:rPr>
          <w:rFonts w:hint="eastAsia" w:ascii="仿宋" w:eastAsia="仿宋"/>
          <w:sz w:val="32"/>
        </w:rPr>
        <w:t>文件编号：</w:t>
      </w:r>
      <w:r>
        <w:rPr>
          <w:rFonts w:hint="eastAsia" w:ascii="仿宋" w:eastAsia="仿宋"/>
          <w:sz w:val="32"/>
          <w:lang w:eastAsia="zh-CN"/>
        </w:rPr>
        <w:t>SSXZFCG（CS）XJGZ2025-01</w:t>
      </w:r>
      <w:r>
        <w:rPr>
          <w:rFonts w:hint="eastAsia" w:ascii="仿宋" w:eastAsia="仿宋"/>
          <w:sz w:val="32"/>
        </w:rPr>
        <w:t xml:space="preserve">  </w:t>
      </w:r>
      <w:r>
        <w:rPr>
          <w:rFonts w:hint="eastAsia" w:ascii="仿宋" w:eastAsia="仿宋"/>
          <w:sz w:val="32"/>
          <w:lang w:val="en-US" w:eastAsia="zh-CN"/>
        </w:rPr>
        <w:t xml:space="preserve"> </w:t>
      </w:r>
    </w:p>
    <w:p w14:paraId="3EDBCACE">
      <w:pPr>
        <w:spacing w:line="400" w:lineRule="exact"/>
        <w:rPr>
          <w:rFonts w:ascii="仿宋" w:eastAsia="仿宋"/>
          <w:sz w:val="32"/>
        </w:rPr>
      </w:pPr>
    </w:p>
    <w:p w14:paraId="297D4CB2">
      <w:pPr>
        <w:spacing w:line="440" w:lineRule="exact"/>
        <w:ind w:firstLine="1920" w:firstLineChars="600"/>
        <w:rPr>
          <w:rFonts w:ascii="仿宋" w:eastAsia="仿宋"/>
          <w:sz w:val="32"/>
        </w:rPr>
      </w:pPr>
    </w:p>
    <w:p w14:paraId="20306ED2">
      <w:pPr>
        <w:spacing w:line="420" w:lineRule="exact"/>
        <w:ind w:firstLine="1920" w:firstLineChars="600"/>
        <w:rPr>
          <w:rFonts w:ascii="仿宋" w:eastAsia="仿宋"/>
          <w:sz w:val="32"/>
        </w:rPr>
      </w:pPr>
      <w:r>
        <w:rPr>
          <w:rFonts w:hint="eastAsia" w:ascii="仿宋" w:eastAsia="仿宋"/>
          <w:sz w:val="32"/>
        </w:rPr>
        <w:t>采购单位：</w:t>
      </w:r>
      <w:r>
        <w:rPr>
          <w:rFonts w:hint="eastAsia" w:ascii="仿宋" w:eastAsia="仿宋"/>
          <w:sz w:val="32"/>
          <w:lang w:eastAsia="zh-CN"/>
        </w:rPr>
        <w:t>鄯善县财政局</w:t>
      </w:r>
    </w:p>
    <w:p w14:paraId="691ECB7B">
      <w:pPr>
        <w:snapToGrid w:val="0"/>
        <w:spacing w:line="600" w:lineRule="exact"/>
        <w:ind w:firstLine="2080" w:firstLineChars="650"/>
        <w:rPr>
          <w:rFonts w:ascii="仿宋" w:eastAsia="仿宋"/>
          <w:sz w:val="32"/>
        </w:rPr>
      </w:pPr>
    </w:p>
    <w:p w14:paraId="2C75152A">
      <w:pPr>
        <w:snapToGrid w:val="0"/>
        <w:spacing w:line="600" w:lineRule="exact"/>
        <w:ind w:firstLine="1760" w:firstLineChars="550"/>
        <w:rPr>
          <w:rFonts w:hint="eastAsia" w:ascii="楷体_GB2312" w:eastAsia="仿宋"/>
          <w:spacing w:val="20"/>
          <w:sz w:val="32"/>
          <w:lang w:eastAsia="zh-CN"/>
        </w:rPr>
      </w:pPr>
      <w:r>
        <w:rPr>
          <w:rFonts w:hint="eastAsia" w:ascii="仿宋" w:eastAsia="仿宋"/>
          <w:sz w:val="32"/>
        </w:rPr>
        <w:t>招标代理机构：</w:t>
      </w:r>
      <w:r>
        <w:rPr>
          <w:rFonts w:hint="eastAsia" w:ascii="仿宋" w:eastAsia="仿宋"/>
          <w:sz w:val="32"/>
          <w:lang w:eastAsia="zh-CN"/>
        </w:rPr>
        <w:t>新疆公正工程造价房地产评估有限责任</w:t>
      </w:r>
      <w:r>
        <w:rPr>
          <w:rFonts w:hint="eastAsia" w:ascii="仿宋" w:eastAsia="仿宋"/>
          <w:sz w:val="32"/>
          <w:lang w:val="en-US" w:eastAsia="zh-CN"/>
        </w:rPr>
        <w:tab/>
      </w:r>
      <w:r>
        <w:rPr>
          <w:rFonts w:hint="eastAsia" w:ascii="仿宋" w:eastAsia="仿宋"/>
          <w:sz w:val="32"/>
          <w:lang w:val="en-US" w:eastAsia="zh-CN"/>
        </w:rPr>
        <w:tab/>
      </w:r>
      <w:r>
        <w:rPr>
          <w:rFonts w:hint="eastAsia" w:ascii="仿宋" w:eastAsia="仿宋"/>
          <w:sz w:val="32"/>
          <w:lang w:val="en-US" w:eastAsia="zh-CN"/>
        </w:rPr>
        <w:tab/>
      </w:r>
      <w:r>
        <w:rPr>
          <w:rFonts w:hint="eastAsia" w:ascii="仿宋" w:eastAsia="仿宋"/>
          <w:sz w:val="32"/>
          <w:lang w:val="en-US" w:eastAsia="zh-CN"/>
        </w:rPr>
        <w:tab/>
      </w:r>
      <w:r>
        <w:rPr>
          <w:rFonts w:hint="eastAsia" w:ascii="仿宋" w:eastAsia="仿宋"/>
          <w:sz w:val="32"/>
          <w:lang w:val="en-US" w:eastAsia="zh-CN"/>
        </w:rPr>
        <w:tab/>
      </w:r>
      <w:r>
        <w:rPr>
          <w:rFonts w:hint="eastAsia" w:ascii="仿宋" w:eastAsia="仿宋"/>
          <w:sz w:val="32"/>
          <w:lang w:val="en-US" w:eastAsia="zh-CN"/>
        </w:rPr>
        <w:tab/>
      </w:r>
      <w:r>
        <w:rPr>
          <w:rFonts w:hint="eastAsia" w:ascii="仿宋" w:eastAsia="仿宋"/>
          <w:sz w:val="32"/>
          <w:lang w:val="en-US" w:eastAsia="zh-CN"/>
        </w:rPr>
        <w:tab/>
      </w:r>
      <w:r>
        <w:rPr>
          <w:rFonts w:hint="eastAsia" w:ascii="仿宋" w:eastAsia="仿宋"/>
          <w:sz w:val="32"/>
          <w:lang w:val="en-US" w:eastAsia="zh-CN"/>
        </w:rPr>
        <w:tab/>
      </w:r>
      <w:r>
        <w:rPr>
          <w:rFonts w:hint="eastAsia" w:ascii="仿宋" w:eastAsia="仿宋"/>
          <w:sz w:val="32"/>
          <w:lang w:val="en-US" w:eastAsia="zh-CN"/>
        </w:rPr>
        <w:tab/>
      </w:r>
      <w:r>
        <w:rPr>
          <w:rFonts w:hint="eastAsia" w:ascii="仿宋" w:eastAsia="仿宋"/>
          <w:sz w:val="32"/>
          <w:lang w:eastAsia="zh-CN"/>
        </w:rPr>
        <w:t>公司</w:t>
      </w:r>
    </w:p>
    <w:p w14:paraId="37D58F71">
      <w:pPr>
        <w:snapToGrid w:val="0"/>
        <w:spacing w:line="600" w:lineRule="exact"/>
        <w:rPr>
          <w:rFonts w:ascii="楷体_GB2312" w:eastAsia="楷体_GB2312"/>
          <w:spacing w:val="20"/>
          <w:sz w:val="32"/>
        </w:rPr>
      </w:pPr>
    </w:p>
    <w:p w14:paraId="749E888D">
      <w:pPr>
        <w:snapToGrid w:val="0"/>
        <w:spacing w:line="600" w:lineRule="exact"/>
        <w:jc w:val="center"/>
        <w:rPr>
          <w:rFonts w:ascii="楷体_GB2312" w:eastAsia="楷体_GB2312"/>
          <w:spacing w:val="20"/>
          <w:sz w:val="32"/>
        </w:rPr>
      </w:pPr>
      <w:r>
        <w:rPr>
          <w:rFonts w:hint="eastAsia" w:ascii="楷体_GB2312" w:eastAsia="楷体_GB2312"/>
          <w:spacing w:val="20"/>
          <w:sz w:val="32"/>
        </w:rPr>
        <w:t>二</w:t>
      </w:r>
      <w:r>
        <w:rPr>
          <w:rFonts w:hint="eastAsia" w:ascii="楷体_GB2312" w:hAnsi="楷体_GB2312"/>
          <w:spacing w:val="20"/>
          <w:sz w:val="32"/>
        </w:rPr>
        <w:t>〇</w:t>
      </w:r>
      <w:r>
        <w:rPr>
          <w:rFonts w:hint="eastAsia" w:ascii="楷体_GB2312" w:eastAsia="楷体_GB2312"/>
          <w:spacing w:val="20"/>
          <w:sz w:val="32"/>
          <w:lang w:eastAsia="zh-CN"/>
        </w:rPr>
        <w:t>二五</w:t>
      </w:r>
      <w:r>
        <w:rPr>
          <w:rFonts w:hint="eastAsia" w:ascii="楷体_GB2312" w:eastAsia="楷体_GB2312"/>
          <w:spacing w:val="20"/>
          <w:sz w:val="32"/>
        </w:rPr>
        <w:t>年</w:t>
      </w:r>
      <w:r>
        <w:rPr>
          <w:rFonts w:hint="eastAsia" w:ascii="楷体_GB2312" w:eastAsia="楷体_GB2312"/>
          <w:spacing w:val="20"/>
          <w:sz w:val="32"/>
          <w:lang w:val="en-US" w:eastAsia="zh-CN"/>
        </w:rPr>
        <w:t>四月</w:t>
      </w:r>
    </w:p>
    <w:p w14:paraId="16C1B906">
      <w:pPr>
        <w:pStyle w:val="8"/>
        <w:ind w:firstLine="480"/>
      </w:pPr>
    </w:p>
    <w:p w14:paraId="49761521">
      <w:pPr>
        <w:jc w:val="center"/>
        <w:rPr>
          <w:rFonts w:hint="eastAsia" w:ascii="宋体" w:hAnsi="宋体" w:cs="宋体"/>
          <w:b/>
          <w:bCs/>
          <w:sz w:val="24"/>
          <w:szCs w:val="24"/>
        </w:rPr>
      </w:pPr>
    </w:p>
    <w:p w14:paraId="7DD53F7F">
      <w:pPr>
        <w:jc w:val="center"/>
        <w:rPr>
          <w:rFonts w:hint="eastAsia" w:ascii="宋体" w:hAnsi="宋体" w:cs="宋体"/>
          <w:b/>
          <w:bCs/>
          <w:sz w:val="24"/>
          <w:szCs w:val="24"/>
        </w:rPr>
      </w:pPr>
    </w:p>
    <w:p w14:paraId="654839FB">
      <w:pPr>
        <w:jc w:val="both"/>
        <w:rPr>
          <w:rFonts w:hint="eastAsia" w:ascii="宋体" w:hAnsi="宋体" w:cs="宋体"/>
          <w:b/>
          <w:bCs/>
          <w:sz w:val="24"/>
          <w:szCs w:val="24"/>
        </w:rPr>
        <w:sectPr>
          <w:headerReference r:id="rId4" w:type="first"/>
          <w:footerReference r:id="rId7" w:type="first"/>
          <w:headerReference r:id="rId3" w:type="default"/>
          <w:footerReference r:id="rId5" w:type="default"/>
          <w:footerReference r:id="rId6" w:type="even"/>
          <w:pgSz w:w="11906" w:h="16838"/>
          <w:pgMar w:top="1361" w:right="1134" w:bottom="1361" w:left="1418" w:header="851" w:footer="992" w:gutter="0"/>
          <w:pgNumType w:fmt="decimal"/>
          <w:cols w:space="720" w:num="1"/>
          <w:docGrid w:type="lines" w:linePitch="312" w:charSpace="0"/>
        </w:sectPr>
      </w:pPr>
    </w:p>
    <w:p w14:paraId="73D92D90">
      <w:pPr>
        <w:pStyle w:val="8"/>
        <w:ind w:left="0" w:leftChars="0" w:firstLine="0" w:firstLineChars="0"/>
        <w:rPr>
          <w:rFonts w:hint="eastAsia"/>
        </w:rPr>
      </w:pPr>
    </w:p>
    <w:p w14:paraId="52F3D2EC">
      <w:pPr>
        <w:jc w:val="center"/>
        <w:rPr>
          <w:rFonts w:hint="eastAsia" w:ascii="宋体" w:hAnsi="宋体" w:cs="宋体"/>
          <w:b/>
          <w:bCs/>
          <w:sz w:val="24"/>
          <w:szCs w:val="24"/>
        </w:rPr>
      </w:pPr>
    </w:p>
    <w:p w14:paraId="4C6619A8">
      <w:pPr>
        <w:jc w:val="center"/>
        <w:rPr>
          <w:rFonts w:ascii="宋体" w:cs="宋体"/>
          <w:b/>
          <w:bCs/>
          <w:sz w:val="24"/>
          <w:szCs w:val="24"/>
        </w:rPr>
      </w:pPr>
      <w:r>
        <w:rPr>
          <w:rFonts w:hint="eastAsia" w:ascii="宋体" w:hAnsi="宋体" w:cs="宋体"/>
          <w:b/>
          <w:bCs/>
          <w:sz w:val="24"/>
          <w:szCs w:val="24"/>
        </w:rPr>
        <w:t>目录</w:t>
      </w:r>
    </w:p>
    <w:p w14:paraId="43A3BCF2">
      <w:pPr>
        <w:jc w:val="center"/>
        <w:rPr>
          <w:rFonts w:ascii="宋体" w:cs="宋体"/>
          <w:b/>
          <w:bCs/>
          <w:sz w:val="24"/>
          <w:szCs w:val="24"/>
        </w:rPr>
      </w:pPr>
    </w:p>
    <w:p w14:paraId="7D170E76">
      <w:pPr>
        <w:rPr>
          <w:rFonts w:ascii="宋体" w:cs="宋体"/>
          <w:b/>
          <w:bCs/>
          <w:sz w:val="24"/>
          <w:szCs w:val="24"/>
        </w:rPr>
      </w:pPr>
      <w:r>
        <w:rPr>
          <w:rStyle w:val="50"/>
          <w:rFonts w:hint="eastAsia" w:ascii="宋体" w:hAnsi="宋体" w:cs="宋体"/>
          <w:b/>
          <w:bCs w:val="0"/>
          <w:kern w:val="2"/>
          <w:sz w:val="21"/>
          <w:szCs w:val="22"/>
          <w:lang w:val="en-US" w:eastAsia="zh-CN" w:bidi="ar-SA"/>
        </w:rPr>
        <w:t>招标</w:t>
      </w:r>
      <w:r>
        <w:rPr>
          <w:rStyle w:val="50"/>
          <w:rFonts w:hint="eastAsia" w:ascii="宋体" w:hAnsi="宋体" w:eastAsia="宋体" w:cs="宋体"/>
          <w:b/>
          <w:bCs w:val="0"/>
          <w:kern w:val="2"/>
          <w:sz w:val="21"/>
          <w:szCs w:val="22"/>
          <w:lang w:val="en-US" w:eastAsia="zh-CN" w:bidi="ar-SA"/>
        </w:rPr>
        <w:t>公告</w:t>
      </w:r>
      <w:r>
        <w:rPr>
          <w:rFonts w:ascii="宋体" w:cs="宋体"/>
          <w:b/>
          <w:bCs/>
          <w:sz w:val="24"/>
          <w:szCs w:val="24"/>
        </w:rPr>
        <w:t>....................................................................</w:t>
      </w:r>
      <w:r>
        <w:fldChar w:fldCharType="begin"/>
      </w:r>
      <w:r>
        <w:instrText xml:space="preserve"> PAGEREF _Toc529175826 \h </w:instrText>
      </w:r>
      <w:r>
        <w:fldChar w:fldCharType="separate"/>
      </w:r>
      <w:r>
        <w:t>2</w:t>
      </w:r>
      <w:r>
        <w:fldChar w:fldCharType="end"/>
      </w:r>
    </w:p>
    <w:p w14:paraId="310D5B27">
      <w:pPr>
        <w:pStyle w:val="24"/>
        <w:tabs>
          <w:tab w:val="right" w:leader="dot" w:pos="9344"/>
        </w:tabs>
        <w:rPr>
          <w:rFonts w:ascii="Calibri" w:hAnsi="Calibri"/>
          <w:szCs w:val="22"/>
        </w:rPr>
      </w:pPr>
      <w:r>
        <w:rPr>
          <w:rFonts w:ascii="宋体" w:hAnsi="宋体" w:cs="宋体"/>
          <w:b/>
          <w:bCs/>
          <w:sz w:val="24"/>
        </w:rPr>
        <w:fldChar w:fldCharType="begin"/>
      </w:r>
      <w:r>
        <w:rPr>
          <w:rFonts w:ascii="宋体" w:hAnsi="宋体" w:cs="宋体"/>
          <w:b/>
          <w:bCs/>
          <w:sz w:val="24"/>
        </w:rPr>
        <w:instrText xml:space="preserve">TOC \o "1-3" \h \u </w:instrText>
      </w:r>
      <w:r>
        <w:rPr>
          <w:rFonts w:ascii="宋体" w:hAnsi="宋体" w:cs="宋体"/>
          <w:b/>
          <w:bCs/>
          <w:sz w:val="24"/>
        </w:rPr>
        <w:fldChar w:fldCharType="separate"/>
      </w:r>
      <w:r>
        <w:fldChar w:fldCharType="begin"/>
      </w:r>
      <w:r>
        <w:instrText xml:space="preserve"> HYPERLINK \l "_Toc529175826" </w:instrText>
      </w:r>
      <w:r>
        <w:fldChar w:fldCharType="separate"/>
      </w:r>
      <w:r>
        <w:rPr>
          <w:rStyle w:val="50"/>
          <w:rFonts w:hint="eastAsia" w:ascii="宋体" w:hAnsi="宋体" w:cs="宋体"/>
          <w:b/>
        </w:rPr>
        <w:t>投标人须知前附表</w:t>
      </w:r>
      <w:r>
        <w:tab/>
      </w:r>
      <w:r>
        <w:rPr>
          <w:rFonts w:hint="eastAsia"/>
          <w:lang w:val="en-US" w:eastAsia="zh-CN"/>
        </w:rPr>
        <w:t>5</w:t>
      </w:r>
      <w:r>
        <w:fldChar w:fldCharType="end"/>
      </w:r>
    </w:p>
    <w:p w14:paraId="7FAADDD8">
      <w:pPr>
        <w:pStyle w:val="24"/>
        <w:tabs>
          <w:tab w:val="right" w:leader="dot" w:pos="9344"/>
        </w:tabs>
        <w:rPr>
          <w:rFonts w:ascii="Calibri" w:hAnsi="Calibri"/>
          <w:szCs w:val="22"/>
        </w:rPr>
      </w:pPr>
      <w:r>
        <w:fldChar w:fldCharType="begin"/>
      </w:r>
      <w:r>
        <w:instrText xml:space="preserve"> HYPERLINK \l "_Toc529175827" </w:instrText>
      </w:r>
      <w:r>
        <w:fldChar w:fldCharType="separate"/>
      </w:r>
      <w:r>
        <w:rPr>
          <w:rStyle w:val="50"/>
          <w:rFonts w:hint="eastAsia" w:ascii="宋体" w:hAnsi="宋体" w:cs="宋体"/>
          <w:b/>
        </w:rPr>
        <w:t>第一章投标人须知</w:t>
      </w:r>
      <w:r>
        <w:tab/>
      </w:r>
      <w:r>
        <w:rPr>
          <w:rFonts w:hint="eastAsia"/>
          <w:lang w:val="en-US" w:eastAsia="zh-CN"/>
        </w:rPr>
        <w:t>8</w:t>
      </w:r>
      <w:r>
        <w:fldChar w:fldCharType="end"/>
      </w:r>
    </w:p>
    <w:p w14:paraId="4A78A70A">
      <w:pPr>
        <w:pStyle w:val="31"/>
        <w:tabs>
          <w:tab w:val="right" w:leader="dot" w:pos="9344"/>
        </w:tabs>
        <w:rPr>
          <w:rFonts w:ascii="Calibri" w:hAnsi="Calibri"/>
          <w:szCs w:val="22"/>
        </w:rPr>
      </w:pPr>
      <w:r>
        <w:fldChar w:fldCharType="begin"/>
      </w:r>
      <w:r>
        <w:instrText xml:space="preserve"> HYPERLINK \l "_Toc529175828" </w:instrText>
      </w:r>
      <w:r>
        <w:fldChar w:fldCharType="separate"/>
      </w:r>
      <w:r>
        <w:rPr>
          <w:rStyle w:val="50"/>
          <w:rFonts w:ascii="宋体" w:hAnsi="宋体" w:cs="宋体"/>
          <w:b/>
        </w:rPr>
        <w:t>1</w:t>
      </w:r>
      <w:r>
        <w:rPr>
          <w:rStyle w:val="50"/>
          <w:rFonts w:hint="eastAsia" w:ascii="宋体" w:hAnsi="宋体" w:cs="宋体"/>
          <w:b/>
        </w:rPr>
        <w:t>．总则</w:t>
      </w:r>
      <w:r>
        <w:tab/>
      </w:r>
      <w:r>
        <w:rPr>
          <w:rFonts w:hint="eastAsia"/>
          <w:lang w:val="en-US" w:eastAsia="zh-CN"/>
        </w:rPr>
        <w:t>8</w:t>
      </w:r>
      <w:r>
        <w:fldChar w:fldCharType="end"/>
      </w:r>
    </w:p>
    <w:p w14:paraId="6A2FDE69">
      <w:pPr>
        <w:pStyle w:val="31"/>
        <w:tabs>
          <w:tab w:val="right" w:leader="dot" w:pos="9344"/>
        </w:tabs>
        <w:rPr>
          <w:rFonts w:hint="eastAsia" w:ascii="Calibri" w:hAnsi="Calibri" w:eastAsia="宋体"/>
          <w:szCs w:val="22"/>
          <w:lang w:val="en-US" w:eastAsia="zh-CN"/>
        </w:rPr>
      </w:pPr>
      <w:r>
        <w:fldChar w:fldCharType="begin"/>
      </w:r>
      <w:r>
        <w:instrText xml:space="preserve"> HYPERLINK \l "_Toc529175829" </w:instrText>
      </w:r>
      <w:r>
        <w:fldChar w:fldCharType="separate"/>
      </w:r>
      <w:r>
        <w:rPr>
          <w:rStyle w:val="50"/>
          <w:rFonts w:ascii="宋体" w:hAnsi="宋体" w:cs="宋体"/>
          <w:b/>
        </w:rPr>
        <w:t>2</w:t>
      </w:r>
      <w:r>
        <w:rPr>
          <w:rStyle w:val="50"/>
          <w:rFonts w:hint="eastAsia" w:ascii="宋体" w:hAnsi="宋体" w:cs="宋体"/>
          <w:b/>
        </w:rPr>
        <w:t>．</w:t>
      </w:r>
      <w:r>
        <w:rPr>
          <w:rStyle w:val="50"/>
          <w:rFonts w:hint="eastAsia" w:ascii="宋体" w:hAnsi="宋体" w:cs="宋体"/>
          <w:b/>
          <w:lang w:eastAsia="zh-CN"/>
        </w:rPr>
        <w:t>招标</w:t>
      </w:r>
      <w:r>
        <w:rPr>
          <w:rStyle w:val="50"/>
          <w:rFonts w:hint="eastAsia" w:ascii="宋体" w:hAnsi="宋体" w:cs="宋体"/>
          <w:b/>
        </w:rPr>
        <w:t>文件</w:t>
      </w:r>
      <w:r>
        <w:tab/>
      </w:r>
      <w:r>
        <w:rPr>
          <w:rFonts w:hint="eastAsia"/>
          <w:lang w:val="en-US" w:eastAsia="zh-CN"/>
        </w:rPr>
        <w:t>1</w:t>
      </w:r>
      <w:r>
        <w:fldChar w:fldCharType="end"/>
      </w:r>
      <w:r>
        <w:rPr>
          <w:rFonts w:hint="eastAsia"/>
          <w:lang w:val="en-US" w:eastAsia="zh-CN"/>
        </w:rPr>
        <w:t>1</w:t>
      </w:r>
    </w:p>
    <w:p w14:paraId="31D7A657">
      <w:pPr>
        <w:pStyle w:val="31"/>
        <w:tabs>
          <w:tab w:val="right" w:leader="dot" w:pos="9344"/>
        </w:tabs>
        <w:rPr>
          <w:rFonts w:ascii="Calibri" w:hAnsi="Calibri"/>
          <w:szCs w:val="22"/>
        </w:rPr>
      </w:pPr>
      <w:r>
        <w:fldChar w:fldCharType="begin"/>
      </w:r>
      <w:r>
        <w:instrText xml:space="preserve"> HYPERLINK \l "_Toc529175830" </w:instrText>
      </w:r>
      <w:r>
        <w:fldChar w:fldCharType="separate"/>
      </w:r>
      <w:r>
        <w:rPr>
          <w:rStyle w:val="50"/>
          <w:rFonts w:ascii="宋体" w:hAnsi="宋体" w:cs="宋体"/>
          <w:b/>
        </w:rPr>
        <w:t>3</w:t>
      </w:r>
      <w:r>
        <w:rPr>
          <w:rStyle w:val="50"/>
          <w:rFonts w:hint="eastAsia" w:ascii="宋体" w:hAnsi="宋体" w:cs="宋体"/>
          <w:b/>
        </w:rPr>
        <w:t>．投标文件</w:t>
      </w:r>
      <w:r>
        <w:tab/>
      </w:r>
      <w:r>
        <w:fldChar w:fldCharType="begin"/>
      </w:r>
      <w:r>
        <w:instrText xml:space="preserve"> PAGEREF _Toc529175830 \h </w:instrText>
      </w:r>
      <w:r>
        <w:fldChar w:fldCharType="separate"/>
      </w:r>
      <w:r>
        <w:t>11</w:t>
      </w:r>
      <w:r>
        <w:fldChar w:fldCharType="end"/>
      </w:r>
      <w:r>
        <w:fldChar w:fldCharType="end"/>
      </w:r>
    </w:p>
    <w:p w14:paraId="7878B4E8">
      <w:pPr>
        <w:pStyle w:val="31"/>
        <w:tabs>
          <w:tab w:val="right" w:leader="dot" w:pos="9344"/>
        </w:tabs>
        <w:rPr>
          <w:rFonts w:hint="eastAsia" w:ascii="Calibri" w:hAnsi="Calibri" w:eastAsia="宋体"/>
          <w:szCs w:val="22"/>
          <w:lang w:val="en-US" w:eastAsia="zh-CN"/>
        </w:rPr>
      </w:pPr>
      <w:r>
        <w:fldChar w:fldCharType="begin"/>
      </w:r>
      <w:r>
        <w:instrText xml:space="preserve"> HYPERLINK \l "_Toc529175831" </w:instrText>
      </w:r>
      <w:r>
        <w:fldChar w:fldCharType="separate"/>
      </w:r>
      <w:r>
        <w:rPr>
          <w:rStyle w:val="50"/>
          <w:rFonts w:ascii="宋体" w:hAnsi="宋体" w:cs="宋体"/>
          <w:b/>
        </w:rPr>
        <w:t>4</w:t>
      </w:r>
      <w:r>
        <w:rPr>
          <w:rStyle w:val="50"/>
          <w:rFonts w:hint="eastAsia" w:ascii="宋体" w:hAnsi="宋体" w:cs="宋体"/>
          <w:b/>
        </w:rPr>
        <w:t>．投标</w:t>
      </w:r>
      <w:r>
        <w:tab/>
      </w:r>
      <w:r>
        <w:rPr>
          <w:rFonts w:hint="eastAsia"/>
          <w:lang w:val="en-US" w:eastAsia="zh-CN"/>
        </w:rPr>
        <w:t>1</w:t>
      </w:r>
      <w:r>
        <w:fldChar w:fldCharType="end"/>
      </w:r>
      <w:r>
        <w:rPr>
          <w:rFonts w:hint="eastAsia"/>
          <w:lang w:val="en-US" w:eastAsia="zh-CN"/>
        </w:rPr>
        <w:t>4</w:t>
      </w:r>
    </w:p>
    <w:p w14:paraId="5B148207">
      <w:pPr>
        <w:pStyle w:val="31"/>
        <w:tabs>
          <w:tab w:val="right" w:leader="dot" w:pos="9344"/>
        </w:tabs>
        <w:rPr>
          <w:rFonts w:ascii="Calibri" w:hAnsi="Calibri"/>
          <w:szCs w:val="22"/>
        </w:rPr>
      </w:pPr>
      <w:r>
        <w:fldChar w:fldCharType="begin"/>
      </w:r>
      <w:r>
        <w:instrText xml:space="preserve"> HYPERLINK \l "_Toc529175832" </w:instrText>
      </w:r>
      <w:r>
        <w:fldChar w:fldCharType="separate"/>
      </w:r>
      <w:r>
        <w:rPr>
          <w:rStyle w:val="50"/>
          <w:rFonts w:ascii="宋体" w:hAnsi="宋体" w:cs="宋体"/>
          <w:b/>
        </w:rPr>
        <w:t>5</w:t>
      </w:r>
      <w:r>
        <w:rPr>
          <w:rStyle w:val="50"/>
          <w:rFonts w:hint="eastAsia" w:ascii="宋体" w:hAnsi="宋体" w:cs="宋体"/>
          <w:b/>
        </w:rPr>
        <w:t>．开标</w:t>
      </w:r>
      <w:r>
        <w:tab/>
      </w:r>
      <w:r>
        <w:fldChar w:fldCharType="begin"/>
      </w:r>
      <w:r>
        <w:instrText xml:space="preserve"> PAGEREF _Toc529175832 \h </w:instrText>
      </w:r>
      <w:r>
        <w:fldChar w:fldCharType="separate"/>
      </w:r>
      <w:r>
        <w:t>13</w:t>
      </w:r>
      <w:r>
        <w:fldChar w:fldCharType="end"/>
      </w:r>
      <w:r>
        <w:fldChar w:fldCharType="end"/>
      </w:r>
    </w:p>
    <w:p w14:paraId="23BE8CE6">
      <w:pPr>
        <w:pStyle w:val="31"/>
        <w:tabs>
          <w:tab w:val="right" w:leader="dot" w:pos="9344"/>
        </w:tabs>
        <w:rPr>
          <w:rFonts w:ascii="Calibri" w:hAnsi="Calibri"/>
          <w:szCs w:val="22"/>
        </w:rPr>
      </w:pPr>
      <w:r>
        <w:fldChar w:fldCharType="begin"/>
      </w:r>
      <w:r>
        <w:instrText xml:space="preserve"> HYPERLINK \l "_Toc529175833" </w:instrText>
      </w:r>
      <w:r>
        <w:fldChar w:fldCharType="separate"/>
      </w:r>
      <w:r>
        <w:rPr>
          <w:rStyle w:val="50"/>
          <w:rFonts w:ascii="宋体" w:hAnsi="宋体" w:cs="宋体"/>
          <w:b/>
        </w:rPr>
        <w:t>6</w:t>
      </w:r>
      <w:r>
        <w:rPr>
          <w:rStyle w:val="50"/>
          <w:rFonts w:hint="eastAsia" w:ascii="宋体" w:hAnsi="宋体" w:cs="宋体"/>
          <w:b/>
        </w:rPr>
        <w:t>．评标</w:t>
      </w:r>
      <w:r>
        <w:tab/>
      </w:r>
      <w:r>
        <w:fldChar w:fldCharType="begin"/>
      </w:r>
      <w:r>
        <w:instrText xml:space="preserve"> PAGEREF _Toc529175833 \h </w:instrText>
      </w:r>
      <w:r>
        <w:fldChar w:fldCharType="separate"/>
      </w:r>
      <w:r>
        <w:t>14</w:t>
      </w:r>
      <w:r>
        <w:fldChar w:fldCharType="end"/>
      </w:r>
      <w:r>
        <w:fldChar w:fldCharType="end"/>
      </w:r>
    </w:p>
    <w:p w14:paraId="272D9B23">
      <w:pPr>
        <w:pStyle w:val="31"/>
        <w:tabs>
          <w:tab w:val="right" w:leader="dot" w:pos="9344"/>
        </w:tabs>
        <w:rPr>
          <w:rFonts w:ascii="Calibri" w:hAnsi="Calibri"/>
          <w:szCs w:val="22"/>
        </w:rPr>
      </w:pPr>
      <w:r>
        <w:fldChar w:fldCharType="begin"/>
      </w:r>
      <w:r>
        <w:instrText xml:space="preserve"> HYPERLINK \l "_Toc529175834" </w:instrText>
      </w:r>
      <w:r>
        <w:fldChar w:fldCharType="separate"/>
      </w:r>
      <w:r>
        <w:rPr>
          <w:rStyle w:val="50"/>
          <w:rFonts w:ascii="宋体" w:hAnsi="宋体" w:cs="宋体"/>
          <w:b/>
        </w:rPr>
        <w:t>7</w:t>
      </w:r>
      <w:r>
        <w:rPr>
          <w:rStyle w:val="50"/>
          <w:rFonts w:hint="eastAsia" w:ascii="宋体" w:hAnsi="宋体" w:cs="宋体"/>
          <w:b/>
        </w:rPr>
        <w:t>．定标及合同授予</w:t>
      </w:r>
      <w:r>
        <w:tab/>
      </w:r>
      <w:r>
        <w:fldChar w:fldCharType="begin"/>
      </w:r>
      <w:r>
        <w:instrText xml:space="preserve"> PAGEREF _Toc529175834 \h </w:instrText>
      </w:r>
      <w:r>
        <w:fldChar w:fldCharType="separate"/>
      </w:r>
      <w:r>
        <w:t>15</w:t>
      </w:r>
      <w:r>
        <w:fldChar w:fldCharType="end"/>
      </w:r>
      <w:r>
        <w:fldChar w:fldCharType="end"/>
      </w:r>
    </w:p>
    <w:p w14:paraId="1989DDC5">
      <w:pPr>
        <w:pStyle w:val="31"/>
        <w:tabs>
          <w:tab w:val="right" w:leader="dot" w:pos="9344"/>
        </w:tabs>
        <w:rPr>
          <w:rFonts w:ascii="Calibri" w:hAnsi="Calibri"/>
          <w:szCs w:val="22"/>
        </w:rPr>
      </w:pPr>
      <w:r>
        <w:fldChar w:fldCharType="begin"/>
      </w:r>
      <w:r>
        <w:instrText xml:space="preserve"> HYPERLINK \l "_Toc529175835" </w:instrText>
      </w:r>
      <w:r>
        <w:fldChar w:fldCharType="separate"/>
      </w:r>
      <w:r>
        <w:rPr>
          <w:rStyle w:val="50"/>
          <w:rFonts w:ascii="宋体" w:hAnsi="宋体" w:cs="宋体"/>
          <w:b/>
        </w:rPr>
        <w:t>8</w:t>
      </w:r>
      <w:r>
        <w:rPr>
          <w:rStyle w:val="50"/>
          <w:rFonts w:hint="eastAsia" w:ascii="宋体" w:hAnsi="宋体" w:cs="宋体"/>
          <w:b/>
        </w:rPr>
        <w:t>．纪律和监督</w:t>
      </w:r>
      <w:r>
        <w:tab/>
      </w:r>
      <w:r>
        <w:fldChar w:fldCharType="begin"/>
      </w:r>
      <w:r>
        <w:instrText xml:space="preserve"> PAGEREF _Toc529175835 \h </w:instrText>
      </w:r>
      <w:r>
        <w:fldChar w:fldCharType="separate"/>
      </w:r>
      <w:r>
        <w:t>16</w:t>
      </w:r>
      <w:r>
        <w:fldChar w:fldCharType="end"/>
      </w:r>
      <w:r>
        <w:fldChar w:fldCharType="end"/>
      </w:r>
    </w:p>
    <w:p w14:paraId="47F92529">
      <w:pPr>
        <w:pStyle w:val="24"/>
        <w:tabs>
          <w:tab w:val="right" w:leader="dot" w:pos="9344"/>
        </w:tabs>
        <w:rPr>
          <w:rFonts w:ascii="Calibri" w:hAnsi="Calibri"/>
          <w:szCs w:val="22"/>
        </w:rPr>
      </w:pPr>
      <w:r>
        <w:fldChar w:fldCharType="begin"/>
      </w:r>
      <w:r>
        <w:instrText xml:space="preserve"> HYPERLINK \l "_Toc529175836" </w:instrText>
      </w:r>
      <w:r>
        <w:fldChar w:fldCharType="separate"/>
      </w:r>
      <w:r>
        <w:rPr>
          <w:rStyle w:val="50"/>
          <w:rFonts w:hint="eastAsia" w:ascii="宋体" w:hAnsi="宋体" w:cs="宋体"/>
          <w:b/>
        </w:rPr>
        <w:t>第二章评标办法</w:t>
      </w:r>
      <w:r>
        <w:tab/>
      </w:r>
      <w:r>
        <w:fldChar w:fldCharType="begin"/>
      </w:r>
      <w:r>
        <w:instrText xml:space="preserve"> PAGEREF _Toc529175836 \h </w:instrText>
      </w:r>
      <w:r>
        <w:fldChar w:fldCharType="separate"/>
      </w:r>
      <w:r>
        <w:t>18</w:t>
      </w:r>
      <w:r>
        <w:fldChar w:fldCharType="end"/>
      </w:r>
      <w:r>
        <w:fldChar w:fldCharType="end"/>
      </w:r>
    </w:p>
    <w:p w14:paraId="53F62CCD">
      <w:pPr>
        <w:pStyle w:val="15"/>
        <w:tabs>
          <w:tab w:val="right" w:leader="dot" w:pos="9344"/>
        </w:tabs>
        <w:rPr>
          <w:rFonts w:hint="eastAsia" w:ascii="Calibri" w:hAnsi="Calibri" w:eastAsia="宋体"/>
          <w:szCs w:val="22"/>
          <w:lang w:val="en-US" w:eastAsia="zh-CN"/>
        </w:rPr>
      </w:pPr>
      <w:r>
        <w:fldChar w:fldCharType="begin"/>
      </w:r>
      <w:r>
        <w:instrText xml:space="preserve"> HYPERLINK \l "_Toc529175837" </w:instrText>
      </w:r>
      <w:r>
        <w:fldChar w:fldCharType="separate"/>
      </w:r>
      <w:r>
        <w:rPr>
          <w:rStyle w:val="50"/>
          <w:rFonts w:hint="eastAsia" w:ascii="宋体" w:hAnsi="宋体" w:cs="宋体"/>
          <w:b/>
        </w:rPr>
        <w:t>评标办法前附表</w:t>
      </w:r>
      <w:r>
        <w:tab/>
      </w:r>
      <w:r>
        <w:rPr>
          <w:rFonts w:hint="eastAsia"/>
          <w:lang w:val="en-US" w:eastAsia="zh-CN"/>
        </w:rPr>
        <w:t>1</w:t>
      </w:r>
      <w:r>
        <w:fldChar w:fldCharType="end"/>
      </w:r>
      <w:r>
        <w:rPr>
          <w:rFonts w:hint="eastAsia"/>
          <w:lang w:val="en-US" w:eastAsia="zh-CN"/>
        </w:rPr>
        <w:t>9</w:t>
      </w:r>
    </w:p>
    <w:p w14:paraId="33327CAE">
      <w:pPr>
        <w:pStyle w:val="15"/>
        <w:tabs>
          <w:tab w:val="right" w:leader="dot" w:pos="9344"/>
        </w:tabs>
        <w:rPr>
          <w:rFonts w:ascii="Calibri" w:hAnsi="Calibri"/>
          <w:szCs w:val="22"/>
        </w:rPr>
      </w:pPr>
      <w:r>
        <w:fldChar w:fldCharType="begin"/>
      </w:r>
      <w:r>
        <w:instrText xml:space="preserve"> HYPERLINK \l "_Toc529175838" </w:instrText>
      </w:r>
      <w:r>
        <w:fldChar w:fldCharType="separate"/>
      </w:r>
      <w:r>
        <w:rPr>
          <w:rStyle w:val="50"/>
          <w:rFonts w:ascii="宋体" w:hAnsi="宋体" w:cs="宋体"/>
          <w:b/>
        </w:rPr>
        <w:t xml:space="preserve">1. </w:t>
      </w:r>
      <w:r>
        <w:rPr>
          <w:rStyle w:val="50"/>
          <w:rFonts w:hint="eastAsia" w:ascii="宋体" w:hAnsi="宋体" w:cs="宋体"/>
          <w:b/>
        </w:rPr>
        <w:t>评标方法</w:t>
      </w:r>
      <w:r>
        <w:tab/>
      </w:r>
      <w:r>
        <w:fldChar w:fldCharType="begin"/>
      </w:r>
      <w:r>
        <w:instrText xml:space="preserve"> PAGEREF _Toc529175838 \h </w:instrText>
      </w:r>
      <w:r>
        <w:fldChar w:fldCharType="separate"/>
      </w:r>
      <w:r>
        <w:t>20</w:t>
      </w:r>
      <w:r>
        <w:fldChar w:fldCharType="end"/>
      </w:r>
      <w:r>
        <w:fldChar w:fldCharType="end"/>
      </w:r>
    </w:p>
    <w:p w14:paraId="787FD339">
      <w:pPr>
        <w:pStyle w:val="15"/>
        <w:tabs>
          <w:tab w:val="right" w:leader="dot" w:pos="9344"/>
        </w:tabs>
        <w:rPr>
          <w:rFonts w:ascii="Calibri" w:hAnsi="Calibri"/>
          <w:szCs w:val="22"/>
        </w:rPr>
      </w:pPr>
      <w:r>
        <w:fldChar w:fldCharType="begin"/>
      </w:r>
      <w:r>
        <w:instrText xml:space="preserve"> HYPERLINK \l "_Toc529175839" </w:instrText>
      </w:r>
      <w:r>
        <w:fldChar w:fldCharType="separate"/>
      </w:r>
      <w:r>
        <w:rPr>
          <w:rStyle w:val="50"/>
          <w:rFonts w:ascii="宋体" w:hAnsi="宋体" w:cs="宋体"/>
          <w:b/>
        </w:rPr>
        <w:t xml:space="preserve">2. </w:t>
      </w:r>
      <w:r>
        <w:rPr>
          <w:rStyle w:val="50"/>
          <w:rFonts w:hint="eastAsia" w:ascii="宋体" w:hAnsi="宋体" w:cs="宋体"/>
          <w:b/>
        </w:rPr>
        <w:t>评审标准</w:t>
      </w:r>
      <w:r>
        <w:tab/>
      </w:r>
      <w:r>
        <w:fldChar w:fldCharType="begin"/>
      </w:r>
      <w:r>
        <w:instrText xml:space="preserve"> PAGEREF _Toc529175839 \h </w:instrText>
      </w:r>
      <w:r>
        <w:fldChar w:fldCharType="separate"/>
      </w:r>
      <w:r>
        <w:t>21</w:t>
      </w:r>
      <w:r>
        <w:fldChar w:fldCharType="end"/>
      </w:r>
      <w:r>
        <w:fldChar w:fldCharType="end"/>
      </w:r>
    </w:p>
    <w:p w14:paraId="663109E6">
      <w:pPr>
        <w:pStyle w:val="15"/>
        <w:tabs>
          <w:tab w:val="right" w:leader="dot" w:pos="9344"/>
        </w:tabs>
        <w:rPr>
          <w:rFonts w:ascii="Calibri" w:hAnsi="Calibri"/>
          <w:szCs w:val="22"/>
        </w:rPr>
      </w:pPr>
      <w:r>
        <w:fldChar w:fldCharType="begin"/>
      </w:r>
      <w:r>
        <w:instrText xml:space="preserve"> HYPERLINK \l "_Toc529175840" </w:instrText>
      </w:r>
      <w:r>
        <w:fldChar w:fldCharType="separate"/>
      </w:r>
      <w:r>
        <w:rPr>
          <w:rStyle w:val="50"/>
          <w:rFonts w:ascii="宋体" w:hAnsi="宋体" w:cs="宋体"/>
          <w:b/>
        </w:rPr>
        <w:t xml:space="preserve">3. </w:t>
      </w:r>
      <w:r>
        <w:rPr>
          <w:rStyle w:val="50"/>
          <w:rFonts w:hint="eastAsia" w:ascii="宋体" w:hAnsi="宋体" w:cs="宋体"/>
          <w:b/>
        </w:rPr>
        <w:t>评标程序</w:t>
      </w:r>
      <w:r>
        <w:tab/>
      </w:r>
      <w:r>
        <w:fldChar w:fldCharType="begin"/>
      </w:r>
      <w:r>
        <w:instrText xml:space="preserve"> PAGEREF _Toc529175840 \h </w:instrText>
      </w:r>
      <w:r>
        <w:fldChar w:fldCharType="separate"/>
      </w:r>
      <w:r>
        <w:t>21</w:t>
      </w:r>
      <w:r>
        <w:fldChar w:fldCharType="end"/>
      </w:r>
      <w:r>
        <w:fldChar w:fldCharType="end"/>
      </w:r>
    </w:p>
    <w:p w14:paraId="4D0D68DF">
      <w:pPr>
        <w:pStyle w:val="24"/>
        <w:tabs>
          <w:tab w:val="right" w:leader="dot" w:pos="9344"/>
        </w:tabs>
        <w:rPr>
          <w:rFonts w:ascii="Calibri" w:hAnsi="Calibri"/>
          <w:szCs w:val="22"/>
        </w:rPr>
      </w:pPr>
      <w:r>
        <w:fldChar w:fldCharType="begin"/>
      </w:r>
      <w:r>
        <w:instrText xml:space="preserve"> HYPERLINK \l "_Toc529175841" </w:instrText>
      </w:r>
      <w:r>
        <w:fldChar w:fldCharType="separate"/>
      </w:r>
      <w:r>
        <w:rPr>
          <w:rStyle w:val="50"/>
          <w:rFonts w:hint="eastAsia" w:ascii="宋体" w:hAnsi="宋体" w:cs="宋体"/>
          <w:b/>
        </w:rPr>
        <w:t>第三章合同</w:t>
      </w:r>
      <w:r>
        <w:tab/>
      </w:r>
      <w:r>
        <w:fldChar w:fldCharType="begin"/>
      </w:r>
      <w:r>
        <w:instrText xml:space="preserve"> PAGEREF _Toc529175841 \h </w:instrText>
      </w:r>
      <w:r>
        <w:fldChar w:fldCharType="separate"/>
      </w:r>
      <w:r>
        <w:t>25</w:t>
      </w:r>
      <w:r>
        <w:fldChar w:fldCharType="end"/>
      </w:r>
      <w:r>
        <w:fldChar w:fldCharType="end"/>
      </w:r>
    </w:p>
    <w:p w14:paraId="73DDBBB9">
      <w:pPr>
        <w:pStyle w:val="24"/>
        <w:tabs>
          <w:tab w:val="right" w:leader="dot" w:pos="9344"/>
        </w:tabs>
        <w:rPr>
          <w:rFonts w:hint="eastAsia" w:ascii="Calibri" w:hAnsi="Calibri" w:eastAsia="宋体"/>
          <w:szCs w:val="22"/>
          <w:lang w:val="en-US" w:eastAsia="zh-CN"/>
        </w:rPr>
      </w:pPr>
      <w:r>
        <w:fldChar w:fldCharType="begin"/>
      </w:r>
      <w:r>
        <w:instrText xml:space="preserve"> HYPERLINK \l "_Toc529175842" </w:instrText>
      </w:r>
      <w:r>
        <w:fldChar w:fldCharType="separate"/>
      </w:r>
      <w:r>
        <w:rPr>
          <w:rStyle w:val="50"/>
          <w:rFonts w:hint="eastAsia" w:ascii="宋体" w:hAnsi="宋体" w:cs="宋体"/>
          <w:b/>
        </w:rPr>
        <w:t>第四章</w:t>
      </w:r>
      <w:r>
        <w:rPr>
          <w:rStyle w:val="50"/>
          <w:rFonts w:hint="eastAsia" w:ascii="宋体" w:hAnsi="宋体" w:cs="宋体"/>
          <w:b/>
          <w:lang w:eastAsia="zh-CN"/>
        </w:rPr>
        <w:t>服务需求</w:t>
      </w:r>
      <w:r>
        <w:tab/>
      </w:r>
      <w:r>
        <w:rPr>
          <w:rFonts w:hint="eastAsia"/>
          <w:lang w:val="en-US" w:eastAsia="zh-CN"/>
        </w:rPr>
        <w:t>2</w:t>
      </w:r>
      <w:r>
        <w:fldChar w:fldCharType="end"/>
      </w:r>
      <w:r>
        <w:rPr>
          <w:rFonts w:hint="eastAsia"/>
          <w:lang w:val="en-US" w:eastAsia="zh-CN"/>
        </w:rPr>
        <w:t>9</w:t>
      </w:r>
    </w:p>
    <w:p w14:paraId="634A331E">
      <w:pPr>
        <w:pStyle w:val="24"/>
        <w:tabs>
          <w:tab w:val="right" w:leader="dot" w:pos="9344"/>
        </w:tabs>
        <w:rPr>
          <w:rFonts w:ascii="Calibri" w:hAnsi="Calibri"/>
          <w:szCs w:val="22"/>
        </w:rPr>
      </w:pPr>
      <w:r>
        <w:fldChar w:fldCharType="begin"/>
      </w:r>
      <w:r>
        <w:instrText xml:space="preserve"> HYPERLINK \l "_Toc529175843" </w:instrText>
      </w:r>
      <w:r>
        <w:fldChar w:fldCharType="separate"/>
      </w:r>
      <w:r>
        <w:rPr>
          <w:rStyle w:val="50"/>
          <w:rFonts w:hint="eastAsia" w:ascii="宋体" w:hAnsi="宋体" w:cs="宋体"/>
          <w:b/>
        </w:rPr>
        <w:t>第五章投标文件格式</w:t>
      </w:r>
      <w:r>
        <w:tab/>
      </w:r>
      <w:r>
        <w:rPr>
          <w:rFonts w:hint="eastAsia"/>
          <w:lang w:val="en-US" w:eastAsia="zh-CN"/>
        </w:rPr>
        <w:t>30</w:t>
      </w:r>
      <w:r>
        <w:fldChar w:fldCharType="end"/>
      </w:r>
    </w:p>
    <w:p w14:paraId="48B1465E">
      <w:pPr>
        <w:rPr>
          <w:rFonts w:ascii="宋体" w:cs="宋体"/>
          <w:b/>
          <w:bCs/>
        </w:rPr>
        <w:sectPr>
          <w:footerReference r:id="rId8" w:type="default"/>
          <w:pgSz w:w="11906" w:h="16838"/>
          <w:pgMar w:top="1361" w:right="1134" w:bottom="1361" w:left="1418" w:header="851" w:footer="992" w:gutter="0"/>
          <w:pgNumType w:fmt="decimal" w:start="1"/>
          <w:cols w:space="720" w:num="1"/>
          <w:docGrid w:type="lines" w:linePitch="312" w:charSpace="0"/>
        </w:sectPr>
      </w:pPr>
      <w:r>
        <w:rPr>
          <w:rFonts w:ascii="宋体" w:hAnsi="宋体" w:cs="宋体"/>
          <w:b/>
          <w:bCs/>
          <w:sz w:val="24"/>
        </w:rPr>
        <w:fldChar w:fldCharType="end"/>
      </w:r>
    </w:p>
    <w:p w14:paraId="2F03667C">
      <w:pPr>
        <w:pStyle w:val="2"/>
        <w:keepNext/>
        <w:keepLines/>
        <w:pageBreakBefore w:val="0"/>
        <w:widowControl w:val="0"/>
        <w:tabs>
          <w:tab w:val="left" w:pos="0"/>
          <w:tab w:val="left" w:pos="3165"/>
          <w:tab w:val="center" w:pos="4153"/>
        </w:tabs>
        <w:kinsoku/>
        <w:wordWrap/>
        <w:overflowPunct/>
        <w:topLinePunct w:val="0"/>
        <w:autoSpaceDE w:val="0"/>
        <w:autoSpaceDN w:val="0"/>
        <w:bidi w:val="0"/>
        <w:adjustRightInd w:val="0"/>
        <w:snapToGrid/>
        <w:spacing w:before="0" w:after="0" w:line="600" w:lineRule="exact"/>
        <w:jc w:val="center"/>
        <w:textAlignment w:val="auto"/>
        <w:rPr>
          <w:rFonts w:hint="eastAsia" w:ascii="宋体" w:hAnsi="宋体" w:eastAsia="宋体" w:cs="宋体"/>
          <w:sz w:val="24"/>
          <w:szCs w:val="24"/>
          <w:lang w:val="en-US" w:eastAsia="zh-CN"/>
        </w:rPr>
      </w:pPr>
      <w:bookmarkStart w:id="0" w:name="_Toc28359001"/>
      <w:bookmarkStart w:id="1" w:name="_Toc35393789"/>
      <w:bookmarkStart w:id="2" w:name="_Toc529175826"/>
      <w:r>
        <w:rPr>
          <w:rFonts w:hint="eastAsia" w:ascii="宋体" w:hAnsi="宋体" w:cs="宋体"/>
          <w:sz w:val="24"/>
          <w:szCs w:val="24"/>
          <w:lang w:val="en-US" w:eastAsia="zh-CN"/>
        </w:rPr>
        <w:t>鄯善县2025年社会保险基金转出开户银行开展定期存款服务项目</w:t>
      </w:r>
    </w:p>
    <w:p w14:paraId="113DA238">
      <w:pPr>
        <w:pStyle w:val="2"/>
        <w:keepNext/>
        <w:keepLines/>
        <w:pageBreakBefore w:val="0"/>
        <w:widowControl w:val="0"/>
        <w:tabs>
          <w:tab w:val="left" w:pos="0"/>
          <w:tab w:val="left" w:pos="3165"/>
          <w:tab w:val="center" w:pos="4153"/>
        </w:tabs>
        <w:kinsoku/>
        <w:wordWrap/>
        <w:overflowPunct/>
        <w:topLinePunct w:val="0"/>
        <w:autoSpaceDE w:val="0"/>
        <w:autoSpaceDN w:val="0"/>
        <w:bidi w:val="0"/>
        <w:adjustRightInd w:val="0"/>
        <w:snapToGrid/>
        <w:spacing w:before="0" w:after="0" w:line="600" w:lineRule="exact"/>
        <w:jc w:val="center"/>
        <w:textAlignment w:val="auto"/>
        <w:rPr>
          <w:rFonts w:hint="eastAsia" w:ascii="宋体" w:hAnsi="宋体" w:eastAsia="宋体" w:cs="宋体"/>
          <w:sz w:val="24"/>
          <w:szCs w:val="24"/>
          <w:lang w:eastAsia="zh-CN"/>
        </w:rPr>
      </w:pPr>
      <w:r>
        <w:rPr>
          <w:rFonts w:hint="eastAsia" w:ascii="宋体" w:hAnsi="宋体" w:cs="宋体"/>
          <w:sz w:val="24"/>
          <w:szCs w:val="24"/>
          <w:lang w:eastAsia="zh-CN"/>
        </w:rPr>
        <w:t>公开招标</w:t>
      </w:r>
      <w:r>
        <w:rPr>
          <w:rFonts w:hint="eastAsia" w:ascii="宋体" w:hAnsi="宋体" w:eastAsia="宋体" w:cs="宋体"/>
          <w:sz w:val="24"/>
          <w:szCs w:val="24"/>
          <w:lang w:eastAsia="zh-CN"/>
        </w:rPr>
        <w:t>公告</w:t>
      </w:r>
      <w:bookmarkEnd w:id="0"/>
      <w:bookmarkEnd w:id="1"/>
    </w:p>
    <w:p w14:paraId="4283338D">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rPr>
        <w:t>项目概况</w:t>
      </w:r>
    </w:p>
    <w:p w14:paraId="30D0C4E0">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cs="宋体"/>
          <w:sz w:val="24"/>
          <w:szCs w:val="24"/>
          <w:u w:val="none"/>
          <w:lang w:val="en-US" w:eastAsia="zh-CN"/>
        </w:rPr>
        <w:t>鄯善县2025年社会保险基金转出开户银行开展定期存款服务项目</w:t>
      </w:r>
      <w:r>
        <w:rPr>
          <w:rFonts w:hint="eastAsia" w:ascii="宋体" w:hAnsi="宋体" w:eastAsia="宋体" w:cs="宋体"/>
          <w:sz w:val="24"/>
          <w:szCs w:val="24"/>
          <w:u w:val="none"/>
        </w:rPr>
        <w:t>的潜在</w:t>
      </w:r>
      <w:r>
        <w:rPr>
          <w:rFonts w:hint="eastAsia" w:ascii="宋体" w:hAnsi="宋体" w:eastAsia="宋体" w:cs="宋体"/>
          <w:sz w:val="24"/>
          <w:szCs w:val="24"/>
          <w:u w:val="none"/>
          <w:lang w:eastAsia="zh-CN"/>
        </w:rPr>
        <w:t>供应商</w:t>
      </w:r>
      <w:r>
        <w:rPr>
          <w:rFonts w:hint="eastAsia" w:ascii="宋体" w:hAnsi="宋体" w:eastAsia="宋体" w:cs="宋体"/>
          <w:sz w:val="24"/>
          <w:szCs w:val="24"/>
          <w:u w:val="none"/>
        </w:rPr>
        <w:t>应在</w:t>
      </w:r>
      <w:r>
        <w:rPr>
          <w:rFonts w:hint="eastAsia" w:ascii="宋体" w:hAnsi="宋体" w:eastAsia="宋体" w:cs="宋体"/>
          <w:sz w:val="24"/>
          <w:szCs w:val="24"/>
          <w:u w:val="none"/>
          <w:lang w:eastAsia="zh-CN"/>
        </w:rPr>
        <w:t>政采云平台https://www.zcygov.cn/</w:t>
      </w:r>
      <w:r>
        <w:rPr>
          <w:rFonts w:hint="eastAsia" w:ascii="宋体" w:hAnsi="宋体" w:eastAsia="宋体" w:cs="宋体"/>
          <w:sz w:val="24"/>
          <w:szCs w:val="24"/>
          <w:u w:val="none"/>
        </w:rPr>
        <w:t>获取</w:t>
      </w:r>
      <w:r>
        <w:rPr>
          <w:rFonts w:hint="eastAsia" w:ascii="宋体" w:hAnsi="宋体" w:eastAsia="宋体" w:cs="宋体"/>
          <w:sz w:val="24"/>
          <w:szCs w:val="24"/>
          <w:u w:val="none"/>
          <w:lang w:eastAsia="zh-CN"/>
        </w:rPr>
        <w:t>采购</w:t>
      </w:r>
      <w:r>
        <w:rPr>
          <w:rFonts w:hint="eastAsia" w:ascii="宋体" w:hAnsi="宋体" w:eastAsia="宋体" w:cs="宋体"/>
          <w:sz w:val="24"/>
          <w:szCs w:val="24"/>
          <w:u w:val="none"/>
        </w:rPr>
        <w:t>文件，并于</w:t>
      </w:r>
      <w:r>
        <w:rPr>
          <w:rFonts w:hint="eastAsia" w:ascii="宋体" w:hAnsi="宋体" w:cs="宋体"/>
          <w:sz w:val="24"/>
          <w:szCs w:val="24"/>
          <w:u w:val="none"/>
          <w:lang w:val="en-US" w:eastAsia="zh-CN"/>
        </w:rPr>
        <w:t>2025年5月07日12点00分</w:t>
      </w:r>
      <w:r>
        <w:rPr>
          <w:rFonts w:hint="eastAsia" w:ascii="宋体" w:hAnsi="宋体" w:eastAsia="宋体" w:cs="宋体"/>
          <w:bCs/>
          <w:sz w:val="24"/>
          <w:szCs w:val="24"/>
          <w:u w:val="none"/>
        </w:rPr>
        <w:t>（北京时间）前递交</w:t>
      </w:r>
      <w:r>
        <w:rPr>
          <w:rFonts w:hint="eastAsia" w:ascii="宋体" w:hAnsi="宋体" w:eastAsia="宋体" w:cs="宋体"/>
          <w:bCs/>
          <w:sz w:val="24"/>
          <w:szCs w:val="24"/>
          <w:u w:val="none"/>
          <w:lang w:eastAsia="zh-CN"/>
        </w:rPr>
        <w:t>响应</w:t>
      </w:r>
      <w:r>
        <w:rPr>
          <w:rFonts w:hint="eastAsia" w:ascii="宋体" w:hAnsi="宋体" w:eastAsia="宋体" w:cs="宋体"/>
          <w:bCs/>
          <w:sz w:val="24"/>
          <w:szCs w:val="24"/>
          <w:u w:val="none"/>
        </w:rPr>
        <w:t>文件</w:t>
      </w:r>
      <w:r>
        <w:rPr>
          <w:rFonts w:hint="eastAsia" w:ascii="宋体" w:hAnsi="宋体" w:eastAsia="宋体" w:cs="宋体"/>
          <w:sz w:val="24"/>
          <w:szCs w:val="24"/>
        </w:rPr>
        <w:t>。</w:t>
      </w:r>
    </w:p>
    <w:p w14:paraId="1EE2A880">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b/>
          <w:bCs w:val="0"/>
          <w:color w:val="auto"/>
          <w:kern w:val="2"/>
          <w:sz w:val="24"/>
          <w:szCs w:val="24"/>
          <w:lang w:val="en-US" w:eastAsia="zh-CN" w:bidi="ar-SA"/>
        </w:rPr>
      </w:pPr>
      <w:bookmarkStart w:id="3" w:name="_Toc28359002"/>
      <w:bookmarkStart w:id="4" w:name="_Toc35393621"/>
      <w:bookmarkStart w:id="5" w:name="_Toc35393790"/>
      <w:bookmarkStart w:id="6" w:name="_Toc28359079"/>
      <w:bookmarkStart w:id="7" w:name="_Hlk24379207"/>
      <w:r>
        <w:rPr>
          <w:rFonts w:hint="eastAsia" w:ascii="宋体" w:hAnsi="宋体" w:eastAsia="宋体" w:cs="宋体"/>
          <w:b/>
          <w:bCs w:val="0"/>
          <w:color w:val="auto"/>
          <w:kern w:val="2"/>
          <w:sz w:val="24"/>
          <w:szCs w:val="24"/>
          <w:lang w:val="en-US" w:eastAsia="zh-CN" w:bidi="ar-SA"/>
        </w:rPr>
        <w:t>一、项目基本情况</w:t>
      </w:r>
      <w:bookmarkEnd w:id="3"/>
      <w:bookmarkEnd w:id="4"/>
      <w:bookmarkEnd w:id="5"/>
      <w:bookmarkEnd w:id="6"/>
    </w:p>
    <w:p w14:paraId="7A790F0D">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FF0000"/>
          <w:sz w:val="24"/>
          <w:szCs w:val="24"/>
          <w:lang w:val="en-US" w:eastAsia="zh-CN"/>
        </w:rPr>
      </w:pPr>
      <w:r>
        <w:rPr>
          <w:rFonts w:hint="eastAsia" w:ascii="宋体" w:hAnsi="宋体" w:eastAsia="宋体" w:cs="宋体"/>
          <w:color w:val="auto"/>
          <w:sz w:val="24"/>
          <w:szCs w:val="24"/>
        </w:rPr>
        <w:t>项目编号：</w:t>
      </w:r>
      <w:r>
        <w:rPr>
          <w:rFonts w:hint="eastAsia" w:ascii="宋体" w:hAnsi="宋体" w:cs="宋体"/>
          <w:color w:val="auto"/>
          <w:sz w:val="24"/>
          <w:szCs w:val="24"/>
          <w:lang w:val="en-US" w:eastAsia="zh-CN"/>
        </w:rPr>
        <w:t>SSXZFCG（CS）XJGZ2025-01</w:t>
      </w:r>
      <w:r>
        <w:rPr>
          <w:rFonts w:hint="eastAsia" w:ascii="宋体" w:hAnsi="宋体" w:eastAsia="宋体" w:cs="宋体"/>
          <w:color w:val="auto"/>
          <w:sz w:val="24"/>
          <w:szCs w:val="24"/>
          <w:lang w:val="en-US" w:eastAsia="zh-CN"/>
        </w:rPr>
        <w:t xml:space="preserve">   </w:t>
      </w:r>
    </w:p>
    <w:p w14:paraId="729855FA">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项目名称</w:t>
      </w:r>
      <w:r>
        <w:rPr>
          <w:rFonts w:hint="eastAsia" w:ascii="宋体" w:hAnsi="宋体" w:eastAsia="宋体" w:cs="宋体"/>
          <w:color w:val="auto"/>
          <w:sz w:val="24"/>
          <w:szCs w:val="24"/>
          <w:lang w:val="en-US" w:eastAsia="zh-CN"/>
        </w:rPr>
        <w:t>：</w:t>
      </w:r>
      <w:bookmarkEnd w:id="7"/>
      <w:r>
        <w:rPr>
          <w:rFonts w:hint="eastAsia" w:ascii="宋体" w:hAnsi="宋体" w:cs="宋体"/>
          <w:color w:val="auto"/>
          <w:sz w:val="24"/>
          <w:szCs w:val="24"/>
          <w:lang w:val="en-US" w:eastAsia="zh-CN"/>
        </w:rPr>
        <w:t>鄯善县2025年社会保险基金转出开户银行开展定期存款服务项目</w:t>
      </w:r>
    </w:p>
    <w:p w14:paraId="67F287F1">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采购方式：</w:t>
      </w:r>
      <w:r>
        <w:rPr>
          <w:rFonts w:hint="eastAsia" w:ascii="宋体" w:hAnsi="宋体" w:cs="宋体"/>
          <w:color w:val="auto"/>
          <w:sz w:val="24"/>
          <w:szCs w:val="24"/>
          <w:lang w:val="en-US" w:eastAsia="zh-CN"/>
        </w:rPr>
        <w:t>公开招标</w:t>
      </w:r>
    </w:p>
    <w:p w14:paraId="2073CD7F">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预算金额</w:t>
      </w:r>
      <w:r>
        <w:rPr>
          <w:rFonts w:hint="eastAsia" w:ascii="宋体" w:hAnsi="宋体" w:eastAsia="宋体" w:cs="宋体"/>
          <w:color w:val="auto"/>
          <w:sz w:val="24"/>
          <w:szCs w:val="24"/>
          <w:lang w:val="en-US" w:eastAsia="zh-CN"/>
        </w:rPr>
        <w:t>（元）</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1</w:t>
      </w:r>
    </w:p>
    <w:p w14:paraId="30ABE326">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最高限价（元）：/</w:t>
      </w:r>
    </w:p>
    <w:p w14:paraId="76E580AD">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采购需求：</w:t>
      </w:r>
    </w:p>
    <w:p w14:paraId="7C026C19">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标项名称:</w:t>
      </w:r>
      <w:r>
        <w:rPr>
          <w:rFonts w:hint="eastAsia" w:ascii="宋体" w:hAnsi="宋体" w:cs="宋体"/>
          <w:color w:val="auto"/>
          <w:sz w:val="24"/>
          <w:szCs w:val="24"/>
          <w:lang w:val="en-US" w:eastAsia="zh-CN"/>
        </w:rPr>
        <w:t>鄯善县2025年社会保险基金转出开户银行开展定期存款服务项目</w:t>
      </w:r>
    </w:p>
    <w:p w14:paraId="7DB12A0D">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数量: 1</w:t>
      </w:r>
    </w:p>
    <w:p w14:paraId="0DB4EEB0">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预算金额（元）: 1 </w:t>
      </w:r>
    </w:p>
    <w:p w14:paraId="7316D67A">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单位：项</w:t>
      </w:r>
      <w:r>
        <w:rPr>
          <w:rFonts w:hint="eastAsia" w:ascii="宋体" w:hAnsi="宋体" w:eastAsia="宋体" w:cs="宋体"/>
          <w:color w:val="auto"/>
          <w:sz w:val="24"/>
          <w:szCs w:val="24"/>
          <w:lang w:val="en-US" w:eastAsia="zh-CN"/>
        </w:rPr>
        <w:br w:type="textWrapping"/>
      </w:r>
      <w:r>
        <w:rPr>
          <w:rFonts w:hint="eastAsia" w:ascii="宋体" w:hAnsi="宋体" w:eastAsia="宋体" w:cs="宋体"/>
          <w:color w:val="auto"/>
          <w:sz w:val="24"/>
          <w:szCs w:val="24"/>
          <w:lang w:val="en-US" w:eastAsia="zh-CN"/>
        </w:rPr>
        <w:t>简要规格描述：</w:t>
      </w:r>
      <w:r>
        <w:rPr>
          <w:rFonts w:hint="eastAsia" w:ascii="宋体" w:hAnsi="宋体" w:cs="宋体"/>
          <w:color w:val="auto"/>
          <w:sz w:val="24"/>
          <w:szCs w:val="24"/>
          <w:lang w:val="en-US" w:eastAsia="zh-CN"/>
        </w:rPr>
        <w:t>鄯善县</w:t>
      </w:r>
      <w:r>
        <w:rPr>
          <w:rFonts w:hint="eastAsia" w:ascii="宋体" w:hAnsi="宋体" w:eastAsia="宋体" w:cs="宋体"/>
          <w:color w:val="auto"/>
          <w:sz w:val="24"/>
          <w:szCs w:val="24"/>
          <w:lang w:val="en-US" w:eastAsia="zh-CN"/>
        </w:rPr>
        <w:t>2025年社会保险基金转出开户银行开展定期存款</w:t>
      </w:r>
    </w:p>
    <w:p w14:paraId="1720C4DB">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合同履约期限：定期存款协议一年一签(从资金到位之日起算)</w:t>
      </w:r>
    </w:p>
    <w:p w14:paraId="745D1970">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本项目（否）接受联合体投标。</w:t>
      </w:r>
    </w:p>
    <w:p w14:paraId="708C3F24">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b/>
          <w:bCs w:val="0"/>
          <w:color w:val="auto"/>
          <w:kern w:val="2"/>
          <w:sz w:val="24"/>
          <w:szCs w:val="24"/>
          <w:lang w:val="en-US" w:eastAsia="zh-CN" w:bidi="ar-SA"/>
        </w:rPr>
      </w:pPr>
      <w:bookmarkStart w:id="8" w:name="_Toc28359080"/>
      <w:bookmarkStart w:id="9" w:name="_Toc28359003"/>
      <w:bookmarkStart w:id="10" w:name="_Toc35393622"/>
      <w:bookmarkStart w:id="11" w:name="_Toc35393791"/>
      <w:r>
        <w:rPr>
          <w:rFonts w:hint="eastAsia" w:ascii="宋体" w:hAnsi="宋体" w:eastAsia="宋体" w:cs="宋体"/>
          <w:b/>
          <w:bCs w:val="0"/>
          <w:color w:val="auto"/>
          <w:kern w:val="2"/>
          <w:sz w:val="24"/>
          <w:szCs w:val="24"/>
          <w:lang w:val="en-US" w:eastAsia="zh-CN" w:bidi="ar-SA"/>
        </w:rPr>
        <w:t>二、申请人的资格要求</w:t>
      </w:r>
      <w:bookmarkEnd w:id="8"/>
      <w:bookmarkEnd w:id="9"/>
      <w:bookmarkEnd w:id="10"/>
      <w:bookmarkEnd w:id="11"/>
    </w:p>
    <w:p w14:paraId="7A1E114A">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1.满足《中华人民共和国政府采购法》第二十二条规定；</w:t>
      </w:r>
    </w:p>
    <w:p w14:paraId="5481461B">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bookmarkStart w:id="12" w:name="_Toc28359081"/>
      <w:bookmarkStart w:id="13" w:name="_Toc28359004"/>
      <w:r>
        <w:rPr>
          <w:rFonts w:hint="eastAsia" w:ascii="宋体" w:hAnsi="宋体" w:eastAsia="宋体" w:cs="宋体"/>
          <w:color w:val="auto"/>
          <w:sz w:val="24"/>
          <w:szCs w:val="24"/>
          <w:lang w:val="en-US" w:eastAsia="zh-CN"/>
        </w:rPr>
        <w:t>2.落实政府采购政策需满足的资格要求：无；</w:t>
      </w:r>
    </w:p>
    <w:p w14:paraId="5A4006D2">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3.本项目的特定资格要求：</w:t>
      </w:r>
    </w:p>
    <w:p w14:paraId="16F31BD7">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（1）具备中国银行业监督管理委员会核发的《中华人民共和国金融许可证》或《金融机构营业许可证》；</w:t>
      </w:r>
    </w:p>
    <w:p w14:paraId="534F0D16">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b/>
          <w:bCs w:val="0"/>
          <w:color w:val="auto"/>
          <w:kern w:val="2"/>
          <w:sz w:val="24"/>
          <w:szCs w:val="24"/>
          <w:lang w:val="en-US" w:eastAsia="zh-CN" w:bidi="ar-SA"/>
        </w:rPr>
      </w:pPr>
      <w:bookmarkStart w:id="14" w:name="_Toc35393623"/>
      <w:bookmarkStart w:id="15" w:name="_Toc35393792"/>
      <w:r>
        <w:rPr>
          <w:rFonts w:hint="eastAsia" w:ascii="宋体" w:hAnsi="宋体" w:eastAsia="宋体" w:cs="宋体"/>
          <w:b/>
          <w:bCs w:val="0"/>
          <w:color w:val="auto"/>
          <w:kern w:val="2"/>
          <w:sz w:val="24"/>
          <w:szCs w:val="24"/>
          <w:lang w:val="en-US" w:eastAsia="zh-CN" w:bidi="ar-SA"/>
        </w:rPr>
        <w:t>三、获取采购文件</w:t>
      </w:r>
      <w:bookmarkEnd w:id="12"/>
      <w:bookmarkEnd w:id="13"/>
      <w:bookmarkEnd w:id="14"/>
      <w:bookmarkEnd w:id="15"/>
    </w:p>
    <w:p w14:paraId="706A76C3">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时间：</w:t>
      </w:r>
      <w:r>
        <w:rPr>
          <w:rFonts w:hint="eastAsia" w:ascii="宋体" w:hAnsi="宋体" w:cs="宋体"/>
          <w:color w:val="auto"/>
          <w:sz w:val="24"/>
          <w:szCs w:val="24"/>
          <w:lang w:val="en-US" w:eastAsia="zh-CN"/>
        </w:rPr>
        <w:t>2025年4月10日至2025年4月30日，每天上午00:00至12:00，下午12:00至23:59</w:t>
      </w:r>
      <w:r>
        <w:rPr>
          <w:rFonts w:hint="eastAsia" w:ascii="宋体" w:hAnsi="宋体" w:eastAsia="宋体" w:cs="宋体"/>
          <w:color w:val="auto"/>
          <w:sz w:val="24"/>
          <w:szCs w:val="24"/>
          <w:lang w:val="en-US" w:eastAsia="zh-CN"/>
        </w:rPr>
        <w:t>（北京时间，法定节假日除外）</w:t>
      </w:r>
    </w:p>
    <w:p w14:paraId="235B5A09">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地点：政采云平台线上</w:t>
      </w:r>
    </w:p>
    <w:p w14:paraId="4B920B22">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 </w:t>
      </w:r>
    </w:p>
    <w:p w14:paraId="1A559B3D">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售价（元）：0</w:t>
      </w:r>
    </w:p>
    <w:p w14:paraId="42345F7A">
      <w:pPr>
        <w:keepNext w:val="0"/>
        <w:keepLines w:val="0"/>
        <w:pageBreakBefore w:val="0"/>
        <w:numPr>
          <w:ilvl w:val="0"/>
          <w:numId w:val="1"/>
        </w:numPr>
        <w:kinsoku/>
        <w:wordWrap/>
        <w:overflowPunct/>
        <w:topLinePunct w:val="0"/>
        <w:autoSpaceDE/>
        <w:autoSpaceDN/>
        <w:bidi w:val="0"/>
        <w:adjustRightInd/>
        <w:snapToGrid/>
        <w:spacing w:line="440" w:lineRule="exact"/>
        <w:textAlignment w:val="auto"/>
        <w:rPr>
          <w:rFonts w:hint="eastAsia" w:ascii="宋体" w:hAnsi="宋体" w:eastAsia="宋体" w:cs="宋体"/>
          <w:b/>
          <w:bCs w:val="0"/>
          <w:kern w:val="2"/>
          <w:sz w:val="24"/>
          <w:szCs w:val="24"/>
          <w:lang w:val="en-US" w:eastAsia="zh-CN" w:bidi="ar-SA"/>
        </w:rPr>
      </w:pPr>
      <w:r>
        <w:rPr>
          <w:rFonts w:hint="eastAsia" w:ascii="宋体" w:hAnsi="宋体" w:eastAsia="宋体" w:cs="宋体"/>
          <w:b/>
          <w:bCs w:val="0"/>
          <w:kern w:val="2"/>
          <w:sz w:val="24"/>
          <w:szCs w:val="24"/>
          <w:lang w:val="en-US" w:eastAsia="zh-CN" w:bidi="ar-SA"/>
        </w:rPr>
        <w:t>响应文件提交</w:t>
      </w:r>
    </w:p>
    <w:p w14:paraId="00977D0A">
      <w:pPr>
        <w:keepNext w:val="0"/>
        <w:keepLines w:val="0"/>
        <w:pageBreakBefore w:val="0"/>
        <w:numPr>
          <w:ilvl w:val="0"/>
          <w:numId w:val="0"/>
        </w:numPr>
        <w:kinsoku/>
        <w:wordWrap/>
        <w:overflowPunct/>
        <w:topLinePunct w:val="0"/>
        <w:autoSpaceDE/>
        <w:autoSpaceDN/>
        <w:bidi w:val="0"/>
        <w:adjustRightInd/>
        <w:snapToGrid/>
        <w:spacing w:line="440" w:lineRule="exact"/>
        <w:textAlignment w:val="auto"/>
        <w:rPr>
          <w:rFonts w:hint="eastAsia" w:ascii="宋体" w:hAnsi="宋体" w:eastAsia="宋体" w:cs="宋体"/>
          <w:b w:val="0"/>
          <w:bCs w:val="0"/>
          <w:kern w:val="2"/>
          <w:sz w:val="24"/>
          <w:szCs w:val="24"/>
          <w:u w:val="none"/>
          <w:lang w:val="en-US" w:eastAsia="zh-CN" w:bidi="ar-SA"/>
        </w:rPr>
      </w:pPr>
      <w:r>
        <w:rPr>
          <w:rFonts w:hint="eastAsia" w:ascii="宋体" w:hAnsi="宋体" w:eastAsia="宋体" w:cs="宋体"/>
          <w:b w:val="0"/>
          <w:bCs w:val="0"/>
          <w:kern w:val="2"/>
          <w:sz w:val="24"/>
          <w:szCs w:val="24"/>
          <w:u w:val="none"/>
          <w:lang w:val="en-US" w:eastAsia="zh-CN" w:bidi="ar-SA"/>
        </w:rPr>
        <w:t>截止时间：</w:t>
      </w:r>
      <w:r>
        <w:rPr>
          <w:rFonts w:hint="eastAsia" w:ascii="宋体" w:hAnsi="宋体" w:cs="宋体"/>
          <w:sz w:val="24"/>
          <w:szCs w:val="24"/>
          <w:u w:val="none"/>
          <w:lang w:val="en-US" w:eastAsia="zh-CN"/>
        </w:rPr>
        <w:t>2025年5月07日12点00分</w:t>
      </w:r>
      <w:r>
        <w:rPr>
          <w:rFonts w:hint="eastAsia" w:ascii="宋体" w:hAnsi="宋体" w:eastAsia="宋体" w:cs="宋体"/>
          <w:b w:val="0"/>
          <w:bCs w:val="0"/>
          <w:kern w:val="2"/>
          <w:sz w:val="24"/>
          <w:szCs w:val="24"/>
          <w:u w:val="none"/>
          <w:lang w:val="en-US" w:eastAsia="zh-CN" w:bidi="ar-SA"/>
        </w:rPr>
        <w:t>（北京时间）</w:t>
      </w:r>
    </w:p>
    <w:p w14:paraId="5B592264">
      <w:pPr>
        <w:keepNext w:val="0"/>
        <w:keepLines w:val="0"/>
        <w:pageBreakBefore w:val="0"/>
        <w:numPr>
          <w:ilvl w:val="0"/>
          <w:numId w:val="0"/>
        </w:numPr>
        <w:kinsoku/>
        <w:wordWrap/>
        <w:overflowPunct/>
        <w:topLinePunct w:val="0"/>
        <w:autoSpaceDE/>
        <w:autoSpaceDN/>
        <w:bidi w:val="0"/>
        <w:adjustRightInd/>
        <w:snapToGrid/>
        <w:spacing w:line="440" w:lineRule="exact"/>
        <w:textAlignment w:val="auto"/>
        <w:rPr>
          <w:rFonts w:hint="eastAsia" w:ascii="宋体" w:hAnsi="宋体" w:eastAsia="宋体" w:cs="宋体"/>
          <w:b w:val="0"/>
          <w:bCs w:val="0"/>
          <w:kern w:val="2"/>
          <w:sz w:val="24"/>
          <w:szCs w:val="24"/>
          <w:u w:val="none"/>
          <w:lang w:val="en-US" w:eastAsia="zh-CN" w:bidi="ar-SA"/>
        </w:rPr>
      </w:pPr>
      <w:r>
        <w:rPr>
          <w:rFonts w:hint="eastAsia" w:ascii="宋体" w:hAnsi="宋体" w:eastAsia="宋体" w:cs="宋体"/>
          <w:b w:val="0"/>
          <w:bCs w:val="0"/>
          <w:kern w:val="2"/>
          <w:sz w:val="24"/>
          <w:szCs w:val="24"/>
          <w:u w:val="none"/>
          <w:lang w:val="en-US" w:eastAsia="zh-CN" w:bidi="ar-SA"/>
        </w:rPr>
        <w:t>地点：</w:t>
      </w:r>
      <w:bookmarkStart w:id="16" w:name="_Toc35393794"/>
      <w:bookmarkStart w:id="17" w:name="_Toc28359084"/>
      <w:bookmarkStart w:id="18" w:name="_Toc35393625"/>
      <w:bookmarkStart w:id="19" w:name="_Toc28359007"/>
      <w:r>
        <w:rPr>
          <w:rFonts w:hint="eastAsia" w:ascii="宋体" w:hAnsi="宋体" w:eastAsia="宋体" w:cs="宋体"/>
          <w:b w:val="0"/>
          <w:bCs w:val="0"/>
          <w:kern w:val="2"/>
          <w:sz w:val="24"/>
          <w:szCs w:val="24"/>
          <w:u w:val="none"/>
          <w:lang w:val="en-US" w:eastAsia="zh-CN" w:bidi="ar-SA"/>
        </w:rPr>
        <w:t xml:space="preserve">请登录政采云投标客户端投标 </w:t>
      </w:r>
    </w:p>
    <w:p w14:paraId="45413761">
      <w:pPr>
        <w:keepNext w:val="0"/>
        <w:keepLines w:val="0"/>
        <w:pageBreakBefore w:val="0"/>
        <w:numPr>
          <w:ilvl w:val="0"/>
          <w:numId w:val="1"/>
        </w:numPr>
        <w:kinsoku/>
        <w:wordWrap/>
        <w:overflowPunct/>
        <w:topLinePunct w:val="0"/>
        <w:autoSpaceDE/>
        <w:autoSpaceDN/>
        <w:bidi w:val="0"/>
        <w:adjustRightInd/>
        <w:snapToGrid/>
        <w:spacing w:line="440" w:lineRule="exact"/>
        <w:ind w:left="0" w:leftChars="0" w:firstLine="0" w:firstLineChars="0"/>
        <w:textAlignment w:val="auto"/>
        <w:rPr>
          <w:rFonts w:hint="eastAsia" w:ascii="宋体" w:hAnsi="宋体" w:eastAsia="宋体" w:cs="宋体"/>
          <w:b/>
          <w:bCs w:val="0"/>
          <w:kern w:val="2"/>
          <w:sz w:val="24"/>
          <w:szCs w:val="24"/>
          <w:u w:val="none"/>
          <w:lang w:val="en-US" w:eastAsia="zh-CN" w:bidi="ar-SA"/>
        </w:rPr>
      </w:pPr>
      <w:r>
        <w:rPr>
          <w:rFonts w:hint="eastAsia" w:ascii="宋体" w:hAnsi="宋体" w:eastAsia="宋体" w:cs="宋体"/>
          <w:b/>
          <w:bCs w:val="0"/>
          <w:kern w:val="2"/>
          <w:sz w:val="24"/>
          <w:szCs w:val="24"/>
          <w:u w:val="none"/>
          <w:lang w:val="en-US" w:eastAsia="zh-CN" w:bidi="ar-SA"/>
        </w:rPr>
        <w:t>开启</w:t>
      </w:r>
    </w:p>
    <w:p w14:paraId="4D506801">
      <w:pPr>
        <w:keepNext w:val="0"/>
        <w:keepLines w:val="0"/>
        <w:pageBreakBefore w:val="0"/>
        <w:numPr>
          <w:ilvl w:val="0"/>
          <w:numId w:val="0"/>
        </w:numPr>
        <w:kinsoku/>
        <w:wordWrap/>
        <w:overflowPunct/>
        <w:topLinePunct w:val="0"/>
        <w:autoSpaceDE/>
        <w:autoSpaceDN/>
        <w:bidi w:val="0"/>
        <w:adjustRightInd/>
        <w:snapToGrid/>
        <w:spacing w:line="440" w:lineRule="exact"/>
        <w:textAlignment w:val="auto"/>
        <w:rPr>
          <w:rFonts w:hint="eastAsia" w:ascii="宋体" w:hAnsi="宋体" w:eastAsia="宋体" w:cs="宋体"/>
          <w:b w:val="0"/>
          <w:bCs w:val="0"/>
          <w:kern w:val="2"/>
          <w:sz w:val="24"/>
          <w:szCs w:val="24"/>
          <w:u w:val="none"/>
          <w:lang w:val="en-US" w:eastAsia="zh-CN" w:bidi="ar-SA"/>
        </w:rPr>
      </w:pPr>
      <w:r>
        <w:rPr>
          <w:rFonts w:hint="eastAsia" w:ascii="宋体" w:hAnsi="宋体" w:eastAsia="宋体" w:cs="宋体"/>
          <w:b w:val="0"/>
          <w:bCs w:val="0"/>
          <w:kern w:val="2"/>
          <w:sz w:val="24"/>
          <w:szCs w:val="24"/>
          <w:u w:val="none"/>
          <w:lang w:val="en-US" w:eastAsia="zh-CN" w:bidi="ar-SA"/>
        </w:rPr>
        <w:t>开启时间：</w:t>
      </w:r>
      <w:r>
        <w:rPr>
          <w:rFonts w:hint="eastAsia" w:ascii="宋体" w:hAnsi="宋体" w:cs="宋体"/>
          <w:sz w:val="24"/>
          <w:szCs w:val="24"/>
          <w:u w:val="none"/>
          <w:lang w:val="en-US" w:eastAsia="zh-CN"/>
        </w:rPr>
        <w:t>2025年5月07日12点00分</w:t>
      </w:r>
      <w:r>
        <w:rPr>
          <w:rFonts w:hint="eastAsia" w:ascii="宋体" w:hAnsi="宋体" w:eastAsia="宋体" w:cs="宋体"/>
          <w:b w:val="0"/>
          <w:bCs w:val="0"/>
          <w:kern w:val="2"/>
          <w:sz w:val="24"/>
          <w:szCs w:val="24"/>
          <w:u w:val="none"/>
          <w:lang w:val="en-US" w:eastAsia="zh-CN" w:bidi="ar-SA"/>
        </w:rPr>
        <w:t>（北京时间）</w:t>
      </w:r>
    </w:p>
    <w:p w14:paraId="1A8B8041">
      <w:pPr>
        <w:keepNext w:val="0"/>
        <w:keepLines w:val="0"/>
        <w:pageBreakBefore w:val="0"/>
        <w:numPr>
          <w:ilvl w:val="0"/>
          <w:numId w:val="0"/>
        </w:numPr>
        <w:kinsoku/>
        <w:wordWrap/>
        <w:overflowPunct/>
        <w:topLinePunct w:val="0"/>
        <w:autoSpaceDE/>
        <w:autoSpaceDN/>
        <w:bidi w:val="0"/>
        <w:adjustRightInd/>
        <w:snapToGrid/>
        <w:spacing w:line="440" w:lineRule="exact"/>
        <w:textAlignment w:val="auto"/>
        <w:rPr>
          <w:rFonts w:hint="eastAsia" w:ascii="宋体" w:hAnsi="宋体" w:eastAsia="宋体" w:cs="宋体"/>
          <w:b w:val="0"/>
          <w:bCs w:val="0"/>
          <w:kern w:val="2"/>
          <w:sz w:val="24"/>
          <w:szCs w:val="24"/>
          <w:u w:val="none"/>
          <w:lang w:val="en-US" w:eastAsia="zh-CN" w:bidi="ar-SA"/>
        </w:rPr>
      </w:pPr>
      <w:r>
        <w:rPr>
          <w:rFonts w:hint="eastAsia" w:ascii="宋体" w:hAnsi="宋体" w:eastAsia="宋体" w:cs="宋体"/>
          <w:b w:val="0"/>
          <w:bCs w:val="0"/>
          <w:kern w:val="2"/>
          <w:sz w:val="24"/>
          <w:szCs w:val="24"/>
          <w:u w:val="none"/>
          <w:lang w:val="en-US" w:eastAsia="zh-CN" w:bidi="ar-SA"/>
        </w:rPr>
        <w:t>地点：投标人登录政采云平台https://www.zcygov.cn/，进入“项目采购-开标评标-右边选择对应项目点击“进入项目”进入开标大厅。</w:t>
      </w:r>
    </w:p>
    <w:p w14:paraId="5CEA2695">
      <w:pPr>
        <w:keepNext w:val="0"/>
        <w:keepLines w:val="0"/>
        <w:pageBreakBefore w:val="0"/>
        <w:numPr>
          <w:ilvl w:val="0"/>
          <w:numId w:val="0"/>
        </w:numPr>
        <w:kinsoku/>
        <w:wordWrap/>
        <w:overflowPunct/>
        <w:topLinePunct w:val="0"/>
        <w:autoSpaceDE/>
        <w:autoSpaceDN/>
        <w:bidi w:val="0"/>
        <w:adjustRightInd/>
        <w:snapToGrid/>
        <w:spacing w:line="440" w:lineRule="exact"/>
        <w:textAlignment w:val="auto"/>
        <w:rPr>
          <w:rFonts w:hint="eastAsia" w:ascii="宋体" w:hAnsi="宋体" w:eastAsia="宋体" w:cs="宋体"/>
          <w:b/>
          <w:bCs w:val="0"/>
          <w:kern w:val="2"/>
          <w:sz w:val="24"/>
          <w:szCs w:val="24"/>
          <w:lang w:val="en-US" w:eastAsia="zh-CN" w:bidi="ar-SA"/>
        </w:rPr>
      </w:pPr>
      <w:r>
        <w:rPr>
          <w:rFonts w:hint="eastAsia" w:ascii="宋体" w:hAnsi="宋体" w:eastAsia="宋体" w:cs="宋体"/>
          <w:b/>
          <w:bCs w:val="0"/>
          <w:kern w:val="2"/>
          <w:sz w:val="24"/>
          <w:szCs w:val="24"/>
          <w:lang w:val="en-US" w:eastAsia="zh-CN" w:bidi="ar-SA"/>
        </w:rPr>
        <w:t>六、公告期限</w:t>
      </w:r>
      <w:bookmarkEnd w:id="16"/>
      <w:bookmarkEnd w:id="17"/>
      <w:bookmarkEnd w:id="18"/>
      <w:bookmarkEnd w:id="19"/>
    </w:p>
    <w:p w14:paraId="095A3807">
      <w:pPr>
        <w:keepNext w:val="0"/>
        <w:keepLines w:val="0"/>
        <w:pageBreakBefore w:val="0"/>
        <w:numPr>
          <w:ilvl w:val="0"/>
          <w:numId w:val="0"/>
        </w:numPr>
        <w:kinsoku/>
        <w:wordWrap/>
        <w:overflowPunct/>
        <w:topLinePunct w:val="0"/>
        <w:autoSpaceDE/>
        <w:autoSpaceDN/>
        <w:bidi w:val="0"/>
        <w:adjustRightInd/>
        <w:snapToGrid/>
        <w:spacing w:line="440" w:lineRule="exact"/>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 xml:space="preserve">自本公告发布之日起3个工作日 </w:t>
      </w:r>
    </w:p>
    <w:p w14:paraId="4477C736">
      <w:pPr>
        <w:keepNext w:val="0"/>
        <w:keepLines w:val="0"/>
        <w:pageBreakBefore w:val="0"/>
        <w:numPr>
          <w:ilvl w:val="0"/>
          <w:numId w:val="0"/>
        </w:numPr>
        <w:kinsoku/>
        <w:wordWrap/>
        <w:overflowPunct/>
        <w:topLinePunct w:val="0"/>
        <w:autoSpaceDE/>
        <w:autoSpaceDN/>
        <w:bidi w:val="0"/>
        <w:adjustRightInd/>
        <w:snapToGrid/>
        <w:spacing w:line="440" w:lineRule="exact"/>
        <w:textAlignment w:val="auto"/>
        <w:rPr>
          <w:rFonts w:hint="eastAsia" w:ascii="宋体" w:hAnsi="宋体" w:eastAsia="宋体" w:cs="宋体"/>
          <w:b/>
          <w:bCs w:val="0"/>
          <w:kern w:val="2"/>
          <w:sz w:val="24"/>
          <w:szCs w:val="24"/>
          <w:lang w:val="en-US" w:eastAsia="zh-CN" w:bidi="ar-SA"/>
        </w:rPr>
      </w:pPr>
      <w:r>
        <w:rPr>
          <w:rFonts w:hint="eastAsia" w:ascii="宋体" w:hAnsi="宋体" w:eastAsia="宋体" w:cs="宋体"/>
          <w:b/>
          <w:bCs w:val="0"/>
          <w:kern w:val="2"/>
          <w:sz w:val="24"/>
          <w:szCs w:val="24"/>
          <w:lang w:val="en-US" w:eastAsia="zh-CN" w:bidi="ar-SA"/>
        </w:rPr>
        <w:t>七、其他补充事宜</w:t>
      </w:r>
    </w:p>
    <w:p w14:paraId="7A62E8EB">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rPr>
      </w:pPr>
      <w:bookmarkStart w:id="20" w:name="_Toc35393627"/>
      <w:bookmarkStart w:id="21" w:name="_Toc28359008"/>
      <w:bookmarkStart w:id="22" w:name="_Toc28359085"/>
      <w:bookmarkStart w:id="23" w:name="_Toc35393796"/>
      <w:r>
        <w:rPr>
          <w:rFonts w:hint="eastAsia" w:ascii="宋体" w:hAnsi="宋体" w:eastAsia="宋体" w:cs="宋体"/>
          <w:color w:val="auto"/>
          <w:sz w:val="24"/>
          <w:szCs w:val="24"/>
        </w:rPr>
        <w:t>1、本项目实行网上投标，采用电子投标文件。</w:t>
      </w:r>
    </w:p>
    <w:p w14:paraId="4C39A6C2">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w:t>
      </w:r>
    </w:p>
    <w:p w14:paraId="54B9B837">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3、供应商将政采云电子交易客户端下载、安装完成后，可通过账号密码或CA登录客户端进行投标文件的制作。在使用政采云投标客户端时，建议使用WIN7及以上操作系统。</w:t>
      </w:r>
    </w:p>
    <w:p w14:paraId="5C751759">
      <w:pPr>
        <w:pStyle w:val="3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40" w:lineRule="exact"/>
        <w:ind w:left="0" w:right="0" w:firstLine="0"/>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特别提示：</w:t>
      </w:r>
    </w:p>
    <w:p w14:paraId="41B13270">
      <w:pPr>
        <w:pStyle w:val="3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40" w:lineRule="exact"/>
        <w:ind w:left="0" w:right="0" w:firstLine="0"/>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1.采购限额标准以上，200万元以下的货物和服务采购项目、400万元以下的工程采购项目，适宜由中小企业提供的，采购人应当专门面向中小企业采购。</w:t>
      </w:r>
    </w:p>
    <w:p w14:paraId="749A5344">
      <w:pPr>
        <w:pStyle w:val="3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40" w:lineRule="exact"/>
        <w:ind w:left="0" w:right="0" w:firstLine="0"/>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2.超过200万元的货物和服务采购项目，预留该部分采购项目预算总额的30%以上专门面向中小企业采购，其中预留给小微企业的比例不低于60%。</w:t>
      </w:r>
    </w:p>
    <w:p w14:paraId="77AA6881">
      <w:pPr>
        <w:pStyle w:val="3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40" w:lineRule="exact"/>
        <w:ind w:left="0" w:right="0" w:firstLine="0"/>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3.超过400万元的工程采购项目中适宜由中小企业提供的，预留该部分采购项目预算总额的40%以上专门面向中小企业采购，其中预留给小微企业的比例不低于60%。</w:t>
      </w:r>
    </w:p>
    <w:p w14:paraId="192D2E43">
      <w:pPr>
        <w:pStyle w:val="3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40" w:lineRule="exact"/>
        <w:ind w:left="0" w:right="0" w:firstLine="0"/>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7C12261">
      <w:pPr>
        <w:pStyle w:val="3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40" w:lineRule="exact"/>
        <w:ind w:left="0" w:right="0" w:firstLine="0"/>
        <w:textAlignment w:val="auto"/>
        <w:rPr>
          <w:rFonts w:hint="eastAsia" w:ascii="宋体" w:hAnsi="宋体" w:eastAsia="宋体" w:cs="宋体"/>
          <w:color w:val="auto"/>
          <w:sz w:val="21"/>
          <w:szCs w:val="21"/>
        </w:rPr>
      </w:pPr>
      <w:r>
        <w:rPr>
          <w:rFonts w:hint="eastAsia" w:ascii="宋体" w:hAnsi="宋体" w:eastAsia="宋体" w:cs="宋体"/>
          <w:color w:val="auto"/>
          <w:kern w:val="2"/>
          <w:sz w:val="21"/>
          <w:szCs w:val="21"/>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085F5934">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b/>
          <w:bCs w:val="0"/>
          <w:color w:val="auto"/>
          <w:kern w:val="2"/>
          <w:sz w:val="24"/>
          <w:szCs w:val="24"/>
          <w:lang w:val="en-US" w:eastAsia="zh-CN" w:bidi="ar-SA"/>
        </w:rPr>
      </w:pPr>
      <w:r>
        <w:rPr>
          <w:rFonts w:hint="eastAsia" w:ascii="宋体" w:hAnsi="宋体" w:eastAsia="宋体" w:cs="宋体"/>
          <w:b/>
          <w:bCs w:val="0"/>
          <w:color w:val="auto"/>
          <w:kern w:val="2"/>
          <w:sz w:val="24"/>
          <w:szCs w:val="24"/>
          <w:lang w:val="en-US" w:eastAsia="zh-CN" w:bidi="ar-SA"/>
        </w:rPr>
        <w:t>八、对本次招标提出询问，请按以下方式联系</w:t>
      </w:r>
      <w:bookmarkEnd w:id="20"/>
      <w:bookmarkEnd w:id="21"/>
      <w:bookmarkEnd w:id="22"/>
      <w:bookmarkEnd w:id="23"/>
      <w:r>
        <w:rPr>
          <w:rFonts w:hint="eastAsia" w:ascii="宋体" w:hAnsi="宋体" w:eastAsia="宋体" w:cs="宋体"/>
          <w:b/>
          <w:bCs w:val="0"/>
          <w:color w:val="auto"/>
          <w:kern w:val="2"/>
          <w:sz w:val="24"/>
          <w:szCs w:val="24"/>
          <w:lang w:val="en-US" w:eastAsia="zh-CN" w:bidi="ar-SA"/>
        </w:rPr>
        <w:t>：</w:t>
      </w:r>
    </w:p>
    <w:p w14:paraId="13E60B99">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1.采购人信息</w:t>
      </w:r>
    </w:p>
    <w:p w14:paraId="1106F980">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名 称：</w:t>
      </w:r>
      <w:r>
        <w:rPr>
          <w:rFonts w:hint="eastAsia" w:ascii="宋体" w:hAnsi="宋体" w:cs="宋体"/>
          <w:color w:val="auto"/>
          <w:sz w:val="24"/>
          <w:szCs w:val="24"/>
          <w:lang w:val="en-US" w:eastAsia="zh-CN"/>
        </w:rPr>
        <w:t>鄯善县财政局</w:t>
      </w:r>
      <w:r>
        <w:rPr>
          <w:rFonts w:hint="eastAsia" w:ascii="宋体" w:hAnsi="宋体" w:eastAsia="宋体" w:cs="宋体"/>
          <w:color w:val="auto"/>
          <w:sz w:val="24"/>
          <w:szCs w:val="24"/>
          <w:lang w:val="en-US" w:eastAsia="zh-CN"/>
        </w:rPr>
        <w:t xml:space="preserve">  </w:t>
      </w:r>
    </w:p>
    <w:p w14:paraId="49402CD9">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eastAsia="宋体" w:cs="宋体"/>
          <w:sz w:val="24"/>
          <w:szCs w:val="24"/>
          <w:u w:val="none"/>
          <w:lang w:val="en-US" w:eastAsia="zh-CN"/>
        </w:rPr>
      </w:pPr>
      <w:r>
        <w:rPr>
          <w:rFonts w:hint="eastAsia" w:ascii="宋体" w:hAnsi="宋体" w:eastAsia="宋体" w:cs="宋体"/>
          <w:color w:val="auto"/>
          <w:sz w:val="24"/>
          <w:szCs w:val="24"/>
          <w:lang w:val="en-US" w:eastAsia="zh-CN"/>
        </w:rPr>
        <w:t>地 址：</w:t>
      </w:r>
      <w:r>
        <w:rPr>
          <w:rFonts w:hint="eastAsia" w:ascii="宋体" w:hAnsi="宋体" w:cs="宋体"/>
          <w:color w:val="auto"/>
          <w:sz w:val="24"/>
          <w:szCs w:val="24"/>
          <w:lang w:val="en-US" w:eastAsia="zh-CN"/>
        </w:rPr>
        <w:t>鄯善镇蒲昌路1579号</w:t>
      </w:r>
    </w:p>
    <w:p w14:paraId="7FBBDE32">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u w:val="none"/>
          <w:lang w:val="en-US" w:eastAsia="zh-CN"/>
        </w:rPr>
      </w:pPr>
      <w:r>
        <w:rPr>
          <w:rFonts w:hint="eastAsia" w:ascii="宋体" w:hAnsi="宋体" w:eastAsia="宋体" w:cs="宋体"/>
          <w:sz w:val="24"/>
          <w:szCs w:val="24"/>
          <w:u w:val="none"/>
          <w:lang w:val="en-US" w:eastAsia="zh-CN"/>
        </w:rPr>
        <w:t>联系方式：</w:t>
      </w:r>
      <w:bookmarkStart w:id="24" w:name="_Toc28359009"/>
      <w:bookmarkStart w:id="25" w:name="_Toc28359086"/>
      <w:r>
        <w:rPr>
          <w:rFonts w:hint="eastAsia" w:ascii="宋体" w:hAnsi="宋体" w:cs="宋体"/>
          <w:color w:val="0000FF"/>
          <w:sz w:val="24"/>
          <w:szCs w:val="24"/>
          <w:u w:val="none"/>
          <w:lang w:val="en-US" w:eastAsia="zh-CN"/>
        </w:rPr>
        <w:t>18699548385</w:t>
      </w:r>
      <w:r>
        <w:rPr>
          <w:rFonts w:hint="eastAsia" w:ascii="宋体" w:hAnsi="宋体" w:eastAsia="宋体" w:cs="宋体"/>
          <w:sz w:val="24"/>
          <w:szCs w:val="24"/>
          <w:u w:val="none"/>
          <w:lang w:val="en-US" w:eastAsia="zh-CN"/>
        </w:rPr>
        <w:t xml:space="preserve"> </w:t>
      </w:r>
    </w:p>
    <w:p w14:paraId="5CE045BD">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u w:val="none"/>
          <w:lang w:val="en-US" w:eastAsia="zh-CN"/>
        </w:rPr>
      </w:pPr>
      <w:r>
        <w:rPr>
          <w:rFonts w:hint="eastAsia" w:ascii="宋体" w:hAnsi="宋体" w:eastAsia="宋体" w:cs="宋体"/>
          <w:sz w:val="24"/>
          <w:szCs w:val="24"/>
          <w:u w:val="none"/>
          <w:lang w:val="en-US" w:eastAsia="zh-CN"/>
        </w:rPr>
        <w:t>2.采购代理机构信息</w:t>
      </w:r>
      <w:bookmarkEnd w:id="24"/>
      <w:bookmarkEnd w:id="25"/>
    </w:p>
    <w:p w14:paraId="5E577FEE">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u w:val="none"/>
        </w:rPr>
      </w:pPr>
      <w:bookmarkStart w:id="26" w:name="_Toc28359087"/>
      <w:bookmarkStart w:id="27" w:name="_Toc28359010"/>
      <w:r>
        <w:rPr>
          <w:rFonts w:hint="eastAsia" w:ascii="宋体" w:hAnsi="宋体" w:eastAsia="宋体" w:cs="宋体"/>
          <w:sz w:val="24"/>
          <w:szCs w:val="24"/>
        </w:rPr>
        <w:t>名 称：</w:t>
      </w:r>
      <w:r>
        <w:rPr>
          <w:rFonts w:hint="eastAsia" w:ascii="宋体" w:hAnsi="宋体" w:cs="宋体"/>
          <w:sz w:val="24"/>
          <w:szCs w:val="24"/>
          <w:u w:val="none"/>
          <w:lang w:eastAsia="zh-CN"/>
        </w:rPr>
        <w:t>新疆公正工程造价房地产评估有限责任公司</w:t>
      </w:r>
      <w:r>
        <w:rPr>
          <w:rFonts w:hint="eastAsia" w:ascii="宋体" w:hAnsi="宋体" w:eastAsia="宋体" w:cs="宋体"/>
          <w:sz w:val="24"/>
          <w:szCs w:val="24"/>
          <w:u w:val="none"/>
        </w:rPr>
        <w:t>　　　　　　　　</w:t>
      </w:r>
    </w:p>
    <w:p w14:paraId="3FAC9E9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u w:val="none"/>
        </w:rPr>
      </w:pPr>
      <w:r>
        <w:rPr>
          <w:rFonts w:hint="eastAsia" w:ascii="宋体" w:hAnsi="宋体" w:eastAsia="宋体" w:cs="宋体"/>
          <w:sz w:val="24"/>
          <w:szCs w:val="24"/>
        </w:rPr>
        <w:t>地　址：</w:t>
      </w:r>
      <w:r>
        <w:rPr>
          <w:rFonts w:hint="eastAsia" w:ascii="宋体" w:hAnsi="宋体" w:cs="宋体"/>
          <w:sz w:val="24"/>
          <w:szCs w:val="24"/>
          <w:u w:val="none"/>
          <w:lang w:eastAsia="zh-CN"/>
        </w:rPr>
        <w:t>新疆吐鲁番市鄯善县盛世财富广场三楼</w:t>
      </w:r>
      <w:r>
        <w:rPr>
          <w:rFonts w:hint="eastAsia" w:ascii="宋体" w:hAnsi="宋体" w:eastAsia="宋体" w:cs="宋体"/>
          <w:sz w:val="24"/>
          <w:szCs w:val="24"/>
          <w:u w:val="none"/>
          <w:lang w:eastAsia="zh-CN"/>
        </w:rPr>
        <w:t xml:space="preserve"> </w:t>
      </w:r>
      <w:r>
        <w:rPr>
          <w:rFonts w:hint="eastAsia" w:ascii="宋体" w:hAnsi="宋体" w:eastAsia="宋体" w:cs="宋体"/>
          <w:sz w:val="24"/>
          <w:szCs w:val="24"/>
          <w:u w:val="none"/>
        </w:rPr>
        <w:t>　　</w:t>
      </w:r>
    </w:p>
    <w:p w14:paraId="33643714">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u w:val="none"/>
          <w:lang w:val="en-US" w:eastAsia="zh-CN"/>
        </w:rPr>
      </w:pPr>
      <w:r>
        <w:rPr>
          <w:rFonts w:hint="eastAsia" w:ascii="宋体" w:hAnsi="宋体" w:eastAsia="宋体" w:cs="宋体"/>
          <w:sz w:val="24"/>
          <w:szCs w:val="24"/>
        </w:rPr>
        <w:t>联系方式</w:t>
      </w:r>
      <w:r>
        <w:rPr>
          <w:rFonts w:hint="eastAsia" w:ascii="宋体" w:hAnsi="宋体" w:eastAsia="宋体" w:cs="宋体"/>
          <w:sz w:val="24"/>
          <w:szCs w:val="24"/>
          <w:u w:val="none"/>
        </w:rPr>
        <w:t>：</w:t>
      </w:r>
      <w:r>
        <w:rPr>
          <w:rFonts w:hint="eastAsia" w:ascii="宋体" w:hAnsi="宋体" w:cs="宋体"/>
          <w:sz w:val="24"/>
          <w:szCs w:val="24"/>
          <w:u w:val="none"/>
          <w:lang w:val="en-US" w:eastAsia="zh-CN"/>
        </w:rPr>
        <w:t>17399059027</w:t>
      </w:r>
    </w:p>
    <w:bookmarkEnd w:id="26"/>
    <w:bookmarkEnd w:id="27"/>
    <w:p w14:paraId="6E140517">
      <w:pPr>
        <w:pStyle w:val="16"/>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.项目联系方式</w:t>
      </w:r>
    </w:p>
    <w:p w14:paraId="0DE3F797">
      <w:pPr>
        <w:pStyle w:val="16"/>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u w:val="none"/>
          <w:lang w:eastAsia="zh-CN"/>
        </w:rPr>
      </w:pPr>
      <w:r>
        <w:rPr>
          <w:rFonts w:hint="eastAsia" w:ascii="宋体" w:hAnsi="宋体" w:eastAsia="宋体" w:cs="宋体"/>
          <w:sz w:val="24"/>
          <w:szCs w:val="24"/>
        </w:rPr>
        <w:t>项目联系人：</w:t>
      </w:r>
      <w:r>
        <w:rPr>
          <w:rFonts w:hint="eastAsia" w:hAnsi="宋体" w:cs="宋体"/>
          <w:sz w:val="24"/>
          <w:szCs w:val="24"/>
          <w:u w:val="none"/>
          <w:lang w:eastAsia="zh-CN"/>
        </w:rPr>
        <w:t>黄凯</w:t>
      </w:r>
    </w:p>
    <w:p w14:paraId="041568FD">
      <w:pPr>
        <w:pStyle w:val="16"/>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u w:val="none"/>
          <w:lang w:val="en-US" w:eastAsia="zh-CN"/>
        </w:rPr>
      </w:pPr>
      <w:r>
        <w:rPr>
          <w:rFonts w:hint="eastAsia" w:ascii="宋体" w:hAnsi="宋体" w:eastAsia="宋体" w:cs="宋体"/>
          <w:sz w:val="24"/>
          <w:szCs w:val="24"/>
          <w:lang w:val="en-US" w:eastAsia="zh-CN"/>
        </w:rPr>
        <w:t>电话</w:t>
      </w:r>
      <w:r>
        <w:rPr>
          <w:rFonts w:hint="eastAsia" w:ascii="宋体" w:hAnsi="宋体" w:eastAsia="宋体" w:cs="宋体"/>
          <w:sz w:val="24"/>
          <w:szCs w:val="24"/>
        </w:rPr>
        <w:t>：</w:t>
      </w:r>
      <w:r>
        <w:rPr>
          <w:rFonts w:hint="eastAsia" w:hAnsi="宋体" w:cs="宋体"/>
          <w:sz w:val="24"/>
          <w:szCs w:val="24"/>
          <w:u w:val="none"/>
          <w:lang w:val="en-US" w:eastAsia="zh-CN"/>
        </w:rPr>
        <w:t>17399059027</w:t>
      </w:r>
      <w:r>
        <w:rPr>
          <w:rFonts w:hint="eastAsia" w:ascii="宋体" w:hAnsi="宋体" w:eastAsia="宋体" w:cs="宋体"/>
          <w:sz w:val="24"/>
          <w:szCs w:val="24"/>
          <w:u w:val="none"/>
        </w:rPr>
        <w:t>　</w:t>
      </w:r>
      <w:r>
        <w:rPr>
          <w:rFonts w:hint="eastAsia" w:ascii="宋体" w:hAnsi="宋体" w:eastAsia="宋体" w:cs="宋体"/>
          <w:sz w:val="24"/>
          <w:szCs w:val="24"/>
          <w:u w:val="none"/>
          <w:lang w:val="en-US" w:eastAsia="zh-CN"/>
        </w:rPr>
        <w:t xml:space="preserve"> </w:t>
      </w:r>
    </w:p>
    <w:p w14:paraId="6AFDB4CB">
      <w:pPr>
        <w:pStyle w:val="8"/>
        <w:rPr>
          <w:rFonts w:hint="eastAsia" w:ascii="宋体" w:hAnsi="宋体" w:eastAsia="宋体" w:cs="宋体"/>
          <w:b/>
          <w:sz w:val="24"/>
          <w:szCs w:val="24"/>
        </w:rPr>
      </w:pPr>
    </w:p>
    <w:p w14:paraId="48497A56">
      <w:pPr>
        <w:pStyle w:val="8"/>
        <w:rPr>
          <w:rFonts w:hint="eastAsia" w:ascii="宋体" w:hAnsi="宋体" w:eastAsia="宋体" w:cs="宋体"/>
          <w:b/>
          <w:sz w:val="24"/>
          <w:szCs w:val="24"/>
        </w:rPr>
      </w:pPr>
    </w:p>
    <w:p w14:paraId="5B2F4706">
      <w:pPr>
        <w:pStyle w:val="8"/>
        <w:rPr>
          <w:rFonts w:hint="eastAsia" w:ascii="宋体" w:hAnsi="宋体" w:eastAsia="宋体" w:cs="宋体"/>
          <w:b/>
          <w:sz w:val="24"/>
          <w:szCs w:val="24"/>
        </w:rPr>
      </w:pPr>
    </w:p>
    <w:p w14:paraId="7120F6A5">
      <w:pPr>
        <w:pStyle w:val="8"/>
        <w:rPr>
          <w:rFonts w:hint="eastAsia" w:ascii="宋体" w:hAnsi="宋体" w:eastAsia="宋体" w:cs="宋体"/>
          <w:b/>
          <w:sz w:val="24"/>
          <w:szCs w:val="24"/>
        </w:rPr>
      </w:pPr>
    </w:p>
    <w:p w14:paraId="4C89F75C">
      <w:pPr>
        <w:pStyle w:val="8"/>
        <w:rPr>
          <w:rFonts w:hint="eastAsia" w:ascii="宋体" w:hAnsi="宋体" w:eastAsia="宋体" w:cs="宋体"/>
          <w:b/>
          <w:sz w:val="24"/>
          <w:szCs w:val="24"/>
        </w:rPr>
      </w:pPr>
    </w:p>
    <w:p w14:paraId="754FEEB3">
      <w:pPr>
        <w:pStyle w:val="8"/>
        <w:rPr>
          <w:rFonts w:hint="eastAsia" w:ascii="宋体" w:hAnsi="宋体" w:eastAsia="宋体" w:cs="宋体"/>
          <w:b/>
          <w:sz w:val="24"/>
          <w:szCs w:val="24"/>
        </w:rPr>
      </w:pPr>
    </w:p>
    <w:p w14:paraId="0E76D6EB">
      <w:pPr>
        <w:pStyle w:val="8"/>
        <w:rPr>
          <w:rFonts w:hint="eastAsia" w:ascii="宋体" w:hAnsi="宋体" w:eastAsia="宋体" w:cs="宋体"/>
          <w:b/>
          <w:sz w:val="24"/>
          <w:szCs w:val="24"/>
        </w:rPr>
      </w:pPr>
    </w:p>
    <w:p w14:paraId="6FCAEF94">
      <w:pPr>
        <w:pStyle w:val="8"/>
        <w:rPr>
          <w:rFonts w:hint="eastAsia" w:ascii="宋体" w:hAnsi="宋体" w:cs="宋体"/>
          <w:b/>
          <w:sz w:val="24"/>
          <w:szCs w:val="24"/>
        </w:rPr>
      </w:pPr>
    </w:p>
    <w:p w14:paraId="3831F12C">
      <w:pPr>
        <w:pStyle w:val="8"/>
        <w:rPr>
          <w:rFonts w:hint="eastAsia" w:ascii="宋体" w:hAnsi="宋体" w:cs="宋体"/>
          <w:b/>
          <w:sz w:val="24"/>
          <w:szCs w:val="24"/>
        </w:rPr>
      </w:pPr>
    </w:p>
    <w:p w14:paraId="2FC9CA90">
      <w:pPr>
        <w:pStyle w:val="8"/>
        <w:rPr>
          <w:rFonts w:hint="eastAsia" w:ascii="宋体" w:hAnsi="宋体" w:cs="宋体"/>
          <w:b/>
          <w:sz w:val="24"/>
          <w:szCs w:val="24"/>
        </w:rPr>
      </w:pPr>
    </w:p>
    <w:p w14:paraId="4A44F62D">
      <w:pPr>
        <w:pStyle w:val="8"/>
        <w:rPr>
          <w:rFonts w:hint="eastAsia" w:ascii="宋体" w:hAnsi="宋体" w:cs="宋体"/>
          <w:b/>
          <w:sz w:val="24"/>
          <w:szCs w:val="24"/>
        </w:rPr>
      </w:pPr>
    </w:p>
    <w:p w14:paraId="2FA392DC">
      <w:pPr>
        <w:pStyle w:val="8"/>
        <w:rPr>
          <w:rFonts w:hint="eastAsia" w:ascii="宋体" w:hAnsi="宋体" w:cs="宋体"/>
          <w:b/>
          <w:sz w:val="24"/>
          <w:szCs w:val="24"/>
        </w:rPr>
      </w:pPr>
    </w:p>
    <w:p w14:paraId="502FB5F3">
      <w:pPr>
        <w:pStyle w:val="8"/>
        <w:rPr>
          <w:rFonts w:hint="eastAsia" w:ascii="宋体" w:hAnsi="宋体" w:cs="宋体"/>
          <w:b/>
          <w:sz w:val="24"/>
          <w:szCs w:val="24"/>
        </w:rPr>
      </w:pPr>
    </w:p>
    <w:p w14:paraId="49F9E21F">
      <w:pPr>
        <w:spacing w:line="440" w:lineRule="exact"/>
        <w:jc w:val="both"/>
        <w:outlineLvl w:val="0"/>
        <w:rPr>
          <w:rFonts w:hint="eastAsia" w:ascii="宋体" w:hAnsi="宋体" w:cs="宋体"/>
          <w:b/>
          <w:sz w:val="24"/>
          <w:szCs w:val="24"/>
        </w:rPr>
      </w:pPr>
    </w:p>
    <w:p w14:paraId="2FC8F9FD">
      <w:pPr>
        <w:spacing w:line="440" w:lineRule="exact"/>
        <w:jc w:val="center"/>
        <w:outlineLvl w:val="0"/>
        <w:rPr>
          <w:rFonts w:ascii="宋体" w:cs="宋体"/>
          <w:b/>
          <w:sz w:val="32"/>
          <w:szCs w:val="32"/>
        </w:rPr>
      </w:pPr>
      <w:r>
        <w:rPr>
          <w:rFonts w:hint="eastAsia" w:ascii="宋体" w:hAnsi="宋体" w:cs="宋体"/>
          <w:b/>
          <w:sz w:val="32"/>
          <w:szCs w:val="32"/>
        </w:rPr>
        <w:t>投标人须知前附表</w:t>
      </w:r>
      <w:bookmarkEnd w:id="2"/>
    </w:p>
    <w:tbl>
      <w:tblPr>
        <w:tblStyle w:val="40"/>
        <w:tblW w:w="90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57" w:type="dxa"/>
          <w:left w:w="57" w:type="dxa"/>
          <w:bottom w:w="57" w:type="dxa"/>
          <w:right w:w="57" w:type="dxa"/>
        </w:tblCellMar>
      </w:tblPr>
      <w:tblGrid>
        <w:gridCol w:w="597"/>
        <w:gridCol w:w="1358"/>
        <w:gridCol w:w="7125"/>
      </w:tblGrid>
      <w:tr w14:paraId="6BBDF3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87" w:hRule="atLeast"/>
          <w:jc w:val="center"/>
        </w:trPr>
        <w:tc>
          <w:tcPr>
            <w:tcW w:w="597" w:type="dxa"/>
            <w:vAlign w:val="center"/>
          </w:tcPr>
          <w:p w14:paraId="0AE5A1E9">
            <w:pPr>
              <w:jc w:val="center"/>
              <w:rPr>
                <w:rFonts w:ascii="宋体"/>
                <w:b/>
                <w:kern w:val="0"/>
                <w:sz w:val="20"/>
                <w:szCs w:val="21"/>
              </w:rPr>
            </w:pPr>
            <w:r>
              <w:rPr>
                <w:rFonts w:hint="eastAsia" w:ascii="宋体" w:hAnsi="宋体"/>
                <w:b/>
                <w:kern w:val="0"/>
                <w:sz w:val="20"/>
                <w:szCs w:val="21"/>
              </w:rPr>
              <w:t>项号</w:t>
            </w:r>
          </w:p>
        </w:tc>
        <w:tc>
          <w:tcPr>
            <w:tcW w:w="8483" w:type="dxa"/>
            <w:gridSpan w:val="2"/>
            <w:vAlign w:val="center"/>
          </w:tcPr>
          <w:p w14:paraId="5111BAD4">
            <w:pPr>
              <w:jc w:val="center"/>
              <w:rPr>
                <w:rFonts w:ascii="宋体"/>
                <w:b/>
                <w:kern w:val="0"/>
                <w:sz w:val="20"/>
                <w:szCs w:val="21"/>
              </w:rPr>
            </w:pPr>
            <w:r>
              <w:rPr>
                <w:rFonts w:hint="eastAsia" w:ascii="宋体" w:hAnsi="宋体"/>
                <w:b/>
                <w:kern w:val="0"/>
                <w:sz w:val="20"/>
                <w:szCs w:val="21"/>
              </w:rPr>
              <w:t>编列内容</w:t>
            </w:r>
          </w:p>
        </w:tc>
      </w:tr>
      <w:tr w14:paraId="39A03F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297" w:hRule="atLeast"/>
          <w:jc w:val="center"/>
        </w:trPr>
        <w:tc>
          <w:tcPr>
            <w:tcW w:w="597" w:type="dxa"/>
            <w:vMerge w:val="restart"/>
            <w:vAlign w:val="center"/>
          </w:tcPr>
          <w:p w14:paraId="45E535BB">
            <w:pPr>
              <w:jc w:val="center"/>
              <w:rPr>
                <w:rFonts w:ascii="宋体"/>
                <w:b w:val="0"/>
                <w:bCs w:val="0"/>
                <w:kern w:val="0"/>
                <w:sz w:val="20"/>
                <w:szCs w:val="21"/>
              </w:rPr>
            </w:pPr>
            <w:r>
              <w:rPr>
                <w:rFonts w:ascii="宋体" w:hAnsi="宋体"/>
                <w:b w:val="0"/>
                <w:bCs w:val="0"/>
                <w:kern w:val="0"/>
                <w:sz w:val="20"/>
                <w:szCs w:val="21"/>
              </w:rPr>
              <w:t>1</w:t>
            </w:r>
          </w:p>
        </w:tc>
        <w:tc>
          <w:tcPr>
            <w:tcW w:w="1358" w:type="dxa"/>
            <w:vAlign w:val="center"/>
          </w:tcPr>
          <w:p w14:paraId="4BD39BAD">
            <w:pPr>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宋体" w:hAnsi="宋体" w:cs="Arial"/>
                <w:b w:val="0"/>
                <w:bCs w:val="0"/>
                <w:kern w:val="0"/>
                <w:sz w:val="20"/>
                <w:szCs w:val="21"/>
                <w:lang w:val="en-US" w:eastAsia="zh-CN"/>
              </w:rPr>
            </w:pPr>
            <w:r>
              <w:rPr>
                <w:rFonts w:hint="eastAsia" w:ascii="宋体" w:hAnsi="宋体" w:cs="Arial"/>
                <w:b w:val="0"/>
                <w:bCs w:val="0"/>
                <w:kern w:val="0"/>
                <w:sz w:val="20"/>
                <w:szCs w:val="21"/>
                <w:lang w:val="en-US" w:eastAsia="zh-CN"/>
              </w:rPr>
              <w:t>项 目 名 称</w:t>
            </w:r>
          </w:p>
        </w:tc>
        <w:tc>
          <w:tcPr>
            <w:tcW w:w="7125" w:type="dxa"/>
            <w:vAlign w:val="center"/>
          </w:tcPr>
          <w:p w14:paraId="0D38BD0A">
            <w:pPr>
              <w:keepNext/>
              <w:keepLines w:val="0"/>
              <w:pageBreakBefore w:val="0"/>
              <w:widowControl/>
              <w:kinsoku/>
              <w:wordWrap/>
              <w:overflowPunct/>
              <w:topLinePunct w:val="0"/>
              <w:bidi w:val="0"/>
              <w:snapToGrid/>
              <w:spacing w:line="360" w:lineRule="exact"/>
              <w:jc w:val="left"/>
              <w:textAlignment w:val="auto"/>
              <w:rPr>
                <w:rFonts w:hint="eastAsia" w:ascii="宋体" w:hAnsi="宋体" w:cs="Arial"/>
                <w:kern w:val="0"/>
                <w:sz w:val="20"/>
                <w:szCs w:val="21"/>
                <w:lang w:val="en-US" w:eastAsia="zh-CN"/>
              </w:rPr>
            </w:pPr>
            <w:r>
              <w:rPr>
                <w:rFonts w:hint="eastAsia" w:ascii="宋体" w:hAnsi="宋体" w:cs="Arial"/>
                <w:kern w:val="0"/>
                <w:sz w:val="20"/>
                <w:szCs w:val="21"/>
                <w:lang w:val="en-US" w:eastAsia="zh-CN"/>
              </w:rPr>
              <w:t>鄯善县2025年社会保险基金转出开户银行开展定期存款服务项目</w:t>
            </w:r>
          </w:p>
        </w:tc>
      </w:tr>
      <w:tr w14:paraId="0AAB9F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297" w:hRule="atLeast"/>
          <w:jc w:val="center"/>
        </w:trPr>
        <w:tc>
          <w:tcPr>
            <w:tcW w:w="597" w:type="dxa"/>
            <w:vMerge w:val="continue"/>
            <w:vAlign w:val="center"/>
          </w:tcPr>
          <w:p w14:paraId="3D6AC31B">
            <w:pPr>
              <w:jc w:val="center"/>
              <w:rPr>
                <w:rFonts w:ascii="宋体" w:hAnsi="宋体"/>
                <w:b w:val="0"/>
                <w:bCs w:val="0"/>
                <w:kern w:val="0"/>
                <w:sz w:val="20"/>
                <w:szCs w:val="21"/>
              </w:rPr>
            </w:pPr>
          </w:p>
        </w:tc>
        <w:tc>
          <w:tcPr>
            <w:tcW w:w="1358" w:type="dxa"/>
            <w:vAlign w:val="center"/>
          </w:tcPr>
          <w:p w14:paraId="0F80B6EC">
            <w:pPr>
              <w:keepNext/>
              <w:keepLines w:val="0"/>
              <w:pageBreakBefore w:val="0"/>
              <w:widowControl/>
              <w:kinsoku/>
              <w:wordWrap/>
              <w:overflowPunct/>
              <w:topLinePunct w:val="0"/>
              <w:bidi w:val="0"/>
              <w:snapToGrid/>
              <w:spacing w:line="360" w:lineRule="exact"/>
              <w:jc w:val="left"/>
              <w:textAlignment w:val="auto"/>
              <w:rPr>
                <w:rFonts w:hint="eastAsia" w:ascii="宋体" w:hAnsi="宋体" w:eastAsia="宋体" w:cs="Arial"/>
                <w:b w:val="0"/>
                <w:bCs w:val="0"/>
                <w:kern w:val="0"/>
                <w:sz w:val="20"/>
                <w:szCs w:val="21"/>
                <w:lang w:eastAsia="zh-CN"/>
              </w:rPr>
            </w:pPr>
            <w:r>
              <w:rPr>
                <w:rFonts w:hint="eastAsia" w:ascii="宋体" w:hAnsi="宋体" w:cs="Arial"/>
                <w:b w:val="0"/>
                <w:bCs w:val="0"/>
                <w:kern w:val="0"/>
                <w:sz w:val="20"/>
                <w:szCs w:val="21"/>
                <w:lang w:eastAsia="zh-CN"/>
              </w:rPr>
              <w:t>项</w:t>
            </w:r>
            <w:r>
              <w:rPr>
                <w:rFonts w:hint="eastAsia" w:ascii="宋体" w:hAnsi="宋体" w:cs="Arial"/>
                <w:b w:val="0"/>
                <w:bCs w:val="0"/>
                <w:kern w:val="0"/>
                <w:sz w:val="20"/>
                <w:szCs w:val="21"/>
                <w:lang w:val="en-US" w:eastAsia="zh-CN"/>
              </w:rPr>
              <w:t xml:space="preserve"> </w:t>
            </w:r>
            <w:r>
              <w:rPr>
                <w:rFonts w:hint="eastAsia" w:ascii="宋体" w:hAnsi="宋体" w:cs="Arial"/>
                <w:b w:val="0"/>
                <w:bCs w:val="0"/>
                <w:kern w:val="0"/>
                <w:sz w:val="20"/>
                <w:szCs w:val="21"/>
                <w:lang w:eastAsia="zh-CN"/>
              </w:rPr>
              <w:t>目</w:t>
            </w:r>
            <w:r>
              <w:rPr>
                <w:rFonts w:hint="eastAsia" w:ascii="宋体" w:hAnsi="宋体" w:cs="Arial"/>
                <w:b w:val="0"/>
                <w:bCs w:val="0"/>
                <w:kern w:val="0"/>
                <w:sz w:val="20"/>
                <w:szCs w:val="21"/>
                <w:lang w:val="en-US" w:eastAsia="zh-CN"/>
              </w:rPr>
              <w:t xml:space="preserve">  </w:t>
            </w:r>
            <w:r>
              <w:rPr>
                <w:rFonts w:hint="eastAsia" w:ascii="宋体" w:hAnsi="宋体" w:cs="Arial"/>
                <w:b w:val="0"/>
                <w:bCs w:val="0"/>
                <w:kern w:val="0"/>
                <w:sz w:val="20"/>
                <w:szCs w:val="21"/>
                <w:lang w:eastAsia="zh-CN"/>
              </w:rPr>
              <w:t>编</w:t>
            </w:r>
            <w:r>
              <w:rPr>
                <w:rFonts w:hint="eastAsia" w:ascii="宋体" w:hAnsi="宋体" w:cs="Arial"/>
                <w:b w:val="0"/>
                <w:bCs w:val="0"/>
                <w:kern w:val="0"/>
                <w:sz w:val="20"/>
                <w:szCs w:val="21"/>
                <w:lang w:val="en-US" w:eastAsia="zh-CN"/>
              </w:rPr>
              <w:t xml:space="preserve"> </w:t>
            </w:r>
            <w:r>
              <w:rPr>
                <w:rFonts w:hint="eastAsia" w:ascii="宋体" w:hAnsi="宋体" w:cs="Arial"/>
                <w:b w:val="0"/>
                <w:bCs w:val="0"/>
                <w:kern w:val="0"/>
                <w:sz w:val="20"/>
                <w:szCs w:val="21"/>
                <w:lang w:eastAsia="zh-CN"/>
              </w:rPr>
              <w:t>号</w:t>
            </w:r>
          </w:p>
        </w:tc>
        <w:tc>
          <w:tcPr>
            <w:tcW w:w="7125" w:type="dxa"/>
            <w:vAlign w:val="center"/>
          </w:tcPr>
          <w:p w14:paraId="13D2B599">
            <w:pPr>
              <w:pStyle w:val="199"/>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宋体" w:hAnsi="宋体" w:cs="Arial"/>
                <w:kern w:val="0"/>
                <w:sz w:val="20"/>
                <w:szCs w:val="21"/>
                <w:lang w:val="en-US" w:eastAsia="zh-CN"/>
              </w:rPr>
            </w:pPr>
            <w:r>
              <w:rPr>
                <w:rFonts w:hint="eastAsia" w:ascii="宋体" w:hAnsi="宋体" w:cs="Arial"/>
                <w:color w:val="auto"/>
                <w:kern w:val="0"/>
                <w:sz w:val="20"/>
                <w:szCs w:val="21"/>
                <w:lang w:val="en-US" w:eastAsia="zh-CN" w:bidi="ar-SA"/>
              </w:rPr>
              <w:t>SSXZFCG（CS）XJGZ2025-01</w:t>
            </w:r>
            <w:r>
              <w:rPr>
                <w:rFonts w:hint="eastAsia" w:ascii="宋体" w:hAnsi="宋体" w:eastAsia="宋体" w:cs="Arial"/>
                <w:color w:val="auto"/>
                <w:kern w:val="0"/>
                <w:sz w:val="20"/>
                <w:szCs w:val="21"/>
                <w:lang w:val="en-US" w:eastAsia="zh-CN" w:bidi="ar-SA"/>
              </w:rPr>
              <w:t xml:space="preserve">  </w:t>
            </w:r>
          </w:p>
        </w:tc>
      </w:tr>
      <w:tr w14:paraId="1F9898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276" w:hRule="atLeast"/>
          <w:jc w:val="center"/>
        </w:trPr>
        <w:tc>
          <w:tcPr>
            <w:tcW w:w="597" w:type="dxa"/>
            <w:vMerge w:val="continue"/>
            <w:vAlign w:val="center"/>
          </w:tcPr>
          <w:p w14:paraId="1C3CE451">
            <w:pPr>
              <w:jc w:val="center"/>
              <w:rPr>
                <w:rFonts w:ascii="宋体"/>
                <w:b w:val="0"/>
                <w:bCs w:val="0"/>
                <w:kern w:val="0"/>
                <w:sz w:val="20"/>
                <w:szCs w:val="21"/>
              </w:rPr>
            </w:pPr>
          </w:p>
        </w:tc>
        <w:tc>
          <w:tcPr>
            <w:tcW w:w="1358" w:type="dxa"/>
            <w:vAlign w:val="center"/>
          </w:tcPr>
          <w:p w14:paraId="1496EE1F">
            <w:pPr>
              <w:keepNext/>
              <w:keepLines w:val="0"/>
              <w:pageBreakBefore w:val="0"/>
              <w:widowControl/>
              <w:kinsoku/>
              <w:wordWrap/>
              <w:overflowPunct/>
              <w:topLinePunct w:val="0"/>
              <w:bidi w:val="0"/>
              <w:snapToGrid/>
              <w:spacing w:line="360" w:lineRule="exact"/>
              <w:jc w:val="distribute"/>
              <w:textAlignment w:val="auto"/>
              <w:rPr>
                <w:rFonts w:ascii="宋体" w:cs="Arial"/>
                <w:b w:val="0"/>
                <w:bCs w:val="0"/>
                <w:kern w:val="0"/>
                <w:sz w:val="20"/>
                <w:szCs w:val="21"/>
              </w:rPr>
            </w:pPr>
            <w:r>
              <w:rPr>
                <w:rFonts w:hint="eastAsia" w:ascii="宋体" w:hAnsi="宋体" w:cs="Arial"/>
                <w:b w:val="0"/>
                <w:bCs w:val="0"/>
                <w:kern w:val="0"/>
                <w:sz w:val="20"/>
                <w:szCs w:val="21"/>
              </w:rPr>
              <w:t>采购人</w:t>
            </w:r>
          </w:p>
        </w:tc>
        <w:tc>
          <w:tcPr>
            <w:tcW w:w="7125" w:type="dxa"/>
            <w:vAlign w:val="center"/>
          </w:tcPr>
          <w:p w14:paraId="1390F268">
            <w:pPr>
              <w:keepNext/>
              <w:keepLines w:val="0"/>
              <w:pageBreakBefore w:val="0"/>
              <w:widowControl/>
              <w:kinsoku/>
              <w:wordWrap/>
              <w:overflowPunct/>
              <w:topLinePunct w:val="0"/>
              <w:bidi w:val="0"/>
              <w:snapToGrid/>
              <w:spacing w:line="360" w:lineRule="exact"/>
              <w:jc w:val="left"/>
              <w:textAlignment w:val="auto"/>
              <w:rPr>
                <w:rFonts w:hint="eastAsia" w:ascii="宋体" w:hAnsi="宋体" w:eastAsia="宋体" w:cs="Arial"/>
                <w:kern w:val="0"/>
                <w:sz w:val="20"/>
                <w:szCs w:val="21"/>
                <w:lang w:val="en-US" w:eastAsia="zh-CN"/>
              </w:rPr>
            </w:pPr>
            <w:r>
              <w:rPr>
                <w:rFonts w:hint="default" w:ascii="宋体" w:hAnsi="宋体" w:eastAsia="宋体" w:cs="Arial"/>
                <w:kern w:val="0"/>
                <w:sz w:val="20"/>
                <w:szCs w:val="21"/>
                <w:lang w:val="en-US" w:eastAsia="zh-CN"/>
              </w:rPr>
              <w:t>名 称：</w:t>
            </w:r>
            <w:r>
              <w:rPr>
                <w:rFonts w:hint="eastAsia" w:ascii="宋体" w:hAnsi="宋体" w:cs="Arial"/>
                <w:kern w:val="0"/>
                <w:sz w:val="20"/>
                <w:szCs w:val="21"/>
                <w:lang w:val="en-US" w:eastAsia="zh-CN"/>
              </w:rPr>
              <w:t>鄯善县财政局</w:t>
            </w:r>
            <w:r>
              <w:rPr>
                <w:rFonts w:hint="eastAsia" w:ascii="宋体" w:hAnsi="宋体" w:eastAsia="宋体" w:cs="Arial"/>
                <w:kern w:val="0"/>
                <w:sz w:val="20"/>
                <w:szCs w:val="21"/>
                <w:lang w:val="en-US" w:eastAsia="zh-CN"/>
              </w:rPr>
              <w:t xml:space="preserve">  </w:t>
            </w:r>
          </w:p>
          <w:p w14:paraId="09657025">
            <w:pPr>
              <w:keepNext/>
              <w:keepLines w:val="0"/>
              <w:pageBreakBefore w:val="0"/>
              <w:widowControl/>
              <w:kinsoku/>
              <w:wordWrap/>
              <w:overflowPunct/>
              <w:topLinePunct w:val="0"/>
              <w:bidi w:val="0"/>
              <w:snapToGrid/>
              <w:spacing w:line="360" w:lineRule="exact"/>
              <w:jc w:val="left"/>
              <w:textAlignment w:val="auto"/>
              <w:rPr>
                <w:rFonts w:hint="eastAsia" w:ascii="宋体" w:hAnsi="宋体" w:eastAsia="宋体" w:cs="Arial"/>
                <w:kern w:val="0"/>
                <w:sz w:val="20"/>
                <w:szCs w:val="21"/>
                <w:lang w:val="en-US" w:eastAsia="zh-CN"/>
              </w:rPr>
            </w:pPr>
            <w:r>
              <w:rPr>
                <w:rFonts w:hint="default" w:ascii="宋体" w:hAnsi="宋体" w:eastAsia="宋体" w:cs="Arial"/>
                <w:kern w:val="0"/>
                <w:sz w:val="20"/>
                <w:szCs w:val="21"/>
                <w:lang w:val="en-US" w:eastAsia="zh-CN"/>
              </w:rPr>
              <w:t>地 址：</w:t>
            </w:r>
            <w:r>
              <w:rPr>
                <w:rFonts w:hint="eastAsia" w:ascii="宋体" w:hAnsi="宋体" w:cs="Arial"/>
                <w:kern w:val="0"/>
                <w:sz w:val="20"/>
                <w:szCs w:val="21"/>
                <w:lang w:val="en-US" w:eastAsia="zh-CN"/>
              </w:rPr>
              <w:t>鄯善镇蒲昌路1579号</w:t>
            </w:r>
          </w:p>
          <w:p w14:paraId="3E53C659">
            <w:pPr>
              <w:keepNext/>
              <w:keepLines w:val="0"/>
              <w:pageBreakBefore w:val="0"/>
              <w:widowControl/>
              <w:kinsoku/>
              <w:wordWrap/>
              <w:overflowPunct/>
              <w:topLinePunct w:val="0"/>
              <w:bidi w:val="0"/>
              <w:snapToGrid/>
              <w:spacing w:line="360" w:lineRule="exact"/>
              <w:jc w:val="left"/>
              <w:textAlignment w:val="auto"/>
              <w:rPr>
                <w:rFonts w:hint="default" w:ascii="宋体" w:hAnsi="宋体" w:eastAsia="宋体" w:cs="Arial"/>
                <w:kern w:val="0"/>
                <w:sz w:val="20"/>
                <w:szCs w:val="21"/>
                <w:lang w:val="en-US" w:eastAsia="zh-CN"/>
              </w:rPr>
            </w:pPr>
            <w:r>
              <w:rPr>
                <w:rFonts w:hint="default" w:ascii="宋体" w:hAnsi="宋体" w:eastAsia="宋体" w:cs="Arial"/>
                <w:kern w:val="0"/>
                <w:sz w:val="20"/>
                <w:szCs w:val="21"/>
                <w:lang w:val="en-US" w:eastAsia="zh-CN"/>
              </w:rPr>
              <w:t>联系人：</w:t>
            </w:r>
            <w:r>
              <w:rPr>
                <w:rFonts w:hint="eastAsia" w:ascii="宋体" w:hAnsi="宋体" w:cs="Arial"/>
                <w:kern w:val="0"/>
                <w:sz w:val="20"/>
                <w:szCs w:val="21"/>
                <w:lang w:val="en-US" w:eastAsia="zh-CN"/>
              </w:rPr>
              <w:t xml:space="preserve">阿达莱提·麦尔旦 </w:t>
            </w:r>
          </w:p>
          <w:p w14:paraId="547EDCE0">
            <w:pPr>
              <w:keepNext/>
              <w:keepLines w:val="0"/>
              <w:pageBreakBefore w:val="0"/>
              <w:widowControl/>
              <w:kinsoku/>
              <w:wordWrap/>
              <w:overflowPunct/>
              <w:topLinePunct w:val="0"/>
              <w:bidi w:val="0"/>
              <w:snapToGrid/>
              <w:spacing w:line="360" w:lineRule="exact"/>
              <w:jc w:val="left"/>
              <w:textAlignment w:val="auto"/>
              <w:rPr>
                <w:rFonts w:hint="eastAsia" w:ascii="宋体" w:hAnsi="宋体" w:cs="Arial"/>
                <w:kern w:val="0"/>
                <w:sz w:val="20"/>
                <w:szCs w:val="21"/>
                <w:lang w:eastAsia="zh-CN"/>
              </w:rPr>
            </w:pPr>
            <w:r>
              <w:rPr>
                <w:rFonts w:hint="default" w:ascii="宋体" w:hAnsi="宋体" w:eastAsia="宋体" w:cs="Arial"/>
                <w:kern w:val="0"/>
                <w:sz w:val="20"/>
                <w:szCs w:val="21"/>
                <w:lang w:val="en-US" w:eastAsia="zh-CN"/>
              </w:rPr>
              <w:t>联系方式：</w:t>
            </w:r>
            <w:r>
              <w:rPr>
                <w:rFonts w:hint="eastAsia" w:ascii="宋体" w:hAnsi="宋体" w:cs="Arial"/>
                <w:kern w:val="0"/>
                <w:sz w:val="20"/>
                <w:szCs w:val="21"/>
                <w:lang w:val="en-US" w:eastAsia="zh-CN"/>
              </w:rPr>
              <w:t>18699548385</w:t>
            </w:r>
            <w:r>
              <w:rPr>
                <w:rFonts w:hint="default" w:ascii="宋体" w:hAnsi="宋体" w:eastAsia="宋体" w:cs="Arial"/>
                <w:kern w:val="0"/>
                <w:sz w:val="20"/>
                <w:szCs w:val="21"/>
                <w:lang w:val="en-US" w:eastAsia="zh-CN"/>
              </w:rPr>
              <w:t xml:space="preserve"> </w:t>
            </w:r>
            <w:r>
              <w:rPr>
                <w:rFonts w:hint="eastAsia" w:ascii="宋体" w:hAnsi="宋体" w:cs="Arial"/>
                <w:kern w:val="0"/>
                <w:sz w:val="20"/>
                <w:szCs w:val="21"/>
                <w:lang w:val="en-US" w:eastAsia="zh-CN"/>
              </w:rPr>
              <w:t xml:space="preserve"> </w:t>
            </w:r>
          </w:p>
        </w:tc>
      </w:tr>
      <w:tr w14:paraId="51299E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5C16043A">
            <w:pPr>
              <w:jc w:val="center"/>
              <w:rPr>
                <w:rFonts w:ascii="宋体"/>
                <w:b w:val="0"/>
                <w:bCs w:val="0"/>
                <w:kern w:val="0"/>
                <w:sz w:val="20"/>
                <w:szCs w:val="21"/>
              </w:rPr>
            </w:pPr>
          </w:p>
        </w:tc>
        <w:tc>
          <w:tcPr>
            <w:tcW w:w="1358" w:type="dxa"/>
            <w:vAlign w:val="center"/>
          </w:tcPr>
          <w:p w14:paraId="119C2D50">
            <w:pPr>
              <w:keepNext/>
              <w:keepLines w:val="0"/>
              <w:pageBreakBefore w:val="0"/>
              <w:widowControl/>
              <w:kinsoku/>
              <w:wordWrap/>
              <w:overflowPunct/>
              <w:topLinePunct w:val="0"/>
              <w:bidi w:val="0"/>
              <w:snapToGrid/>
              <w:spacing w:line="360" w:lineRule="exact"/>
              <w:jc w:val="distribute"/>
              <w:textAlignment w:val="auto"/>
              <w:rPr>
                <w:rFonts w:ascii="宋体" w:cs="Arial"/>
                <w:b w:val="0"/>
                <w:bCs w:val="0"/>
                <w:kern w:val="0"/>
                <w:sz w:val="20"/>
                <w:szCs w:val="21"/>
              </w:rPr>
            </w:pPr>
            <w:r>
              <w:rPr>
                <w:rFonts w:hint="eastAsia" w:ascii="宋体" w:hAnsi="宋体" w:cs="Arial"/>
                <w:b w:val="0"/>
                <w:bCs w:val="0"/>
                <w:kern w:val="0"/>
                <w:sz w:val="20"/>
                <w:szCs w:val="21"/>
              </w:rPr>
              <w:t>采购代理机构</w:t>
            </w:r>
          </w:p>
        </w:tc>
        <w:tc>
          <w:tcPr>
            <w:tcW w:w="7125" w:type="dxa"/>
            <w:vAlign w:val="center"/>
          </w:tcPr>
          <w:p w14:paraId="69883E2F">
            <w:pPr>
              <w:keepNext/>
              <w:keepLines w:val="0"/>
              <w:pageBreakBefore w:val="0"/>
              <w:widowControl/>
              <w:kinsoku/>
              <w:wordWrap/>
              <w:overflowPunct/>
              <w:topLinePunct w:val="0"/>
              <w:bidi w:val="0"/>
              <w:snapToGrid/>
              <w:spacing w:line="360" w:lineRule="exact"/>
              <w:jc w:val="left"/>
              <w:textAlignment w:val="auto"/>
              <w:rPr>
                <w:rFonts w:hint="eastAsia" w:ascii="宋体" w:hAnsi="宋体" w:cs="Arial"/>
                <w:kern w:val="0"/>
                <w:sz w:val="20"/>
                <w:szCs w:val="21"/>
              </w:rPr>
            </w:pPr>
            <w:r>
              <w:rPr>
                <w:rFonts w:hint="eastAsia" w:ascii="宋体" w:hAnsi="宋体" w:cs="Arial"/>
                <w:kern w:val="0"/>
                <w:sz w:val="20"/>
                <w:szCs w:val="21"/>
              </w:rPr>
              <w:t>名 称：</w:t>
            </w:r>
            <w:r>
              <w:rPr>
                <w:rFonts w:hint="eastAsia" w:ascii="宋体" w:hAnsi="宋体" w:cs="Arial"/>
                <w:kern w:val="0"/>
                <w:sz w:val="20"/>
                <w:szCs w:val="21"/>
                <w:lang w:eastAsia="zh-CN"/>
              </w:rPr>
              <w:t>新疆公正工程造价房地产评估有限责任公司</w:t>
            </w:r>
            <w:r>
              <w:rPr>
                <w:rFonts w:hint="eastAsia" w:ascii="宋体" w:hAnsi="宋体" w:cs="Arial"/>
                <w:kern w:val="0"/>
                <w:sz w:val="20"/>
                <w:szCs w:val="21"/>
              </w:rPr>
              <w:t>　　　　　　　　</w:t>
            </w:r>
          </w:p>
          <w:p w14:paraId="07873E0D">
            <w:pPr>
              <w:keepNext/>
              <w:keepLines w:val="0"/>
              <w:pageBreakBefore w:val="0"/>
              <w:widowControl/>
              <w:kinsoku/>
              <w:wordWrap/>
              <w:overflowPunct/>
              <w:topLinePunct w:val="0"/>
              <w:bidi w:val="0"/>
              <w:snapToGrid/>
              <w:spacing w:line="360" w:lineRule="exact"/>
              <w:jc w:val="left"/>
              <w:textAlignment w:val="auto"/>
              <w:rPr>
                <w:rFonts w:hint="eastAsia" w:ascii="宋体" w:hAnsi="宋体" w:cs="Arial"/>
                <w:kern w:val="0"/>
                <w:sz w:val="20"/>
                <w:szCs w:val="21"/>
                <w:lang w:eastAsia="zh-CN"/>
              </w:rPr>
            </w:pPr>
            <w:r>
              <w:rPr>
                <w:rFonts w:hint="eastAsia" w:ascii="宋体" w:hAnsi="宋体" w:cs="Arial"/>
                <w:kern w:val="0"/>
                <w:sz w:val="20"/>
                <w:szCs w:val="21"/>
              </w:rPr>
              <w:t>地</w:t>
            </w:r>
            <w:r>
              <w:rPr>
                <w:rFonts w:hint="eastAsia" w:ascii="宋体" w:hAnsi="宋体" w:cs="Arial"/>
                <w:kern w:val="0"/>
                <w:sz w:val="20"/>
                <w:szCs w:val="21"/>
                <w:lang w:eastAsia="zh-CN"/>
              </w:rPr>
              <w:t xml:space="preserve">　址：新疆吐鲁番市鄯善县盛世财富广场三楼 </w:t>
            </w:r>
          </w:p>
          <w:p w14:paraId="5601D238">
            <w:pPr>
              <w:keepNext/>
              <w:keepLines w:val="0"/>
              <w:pageBreakBefore w:val="0"/>
              <w:widowControl/>
              <w:kinsoku/>
              <w:wordWrap/>
              <w:overflowPunct/>
              <w:topLinePunct w:val="0"/>
              <w:bidi w:val="0"/>
              <w:snapToGrid/>
              <w:spacing w:line="360" w:lineRule="exact"/>
              <w:jc w:val="left"/>
              <w:textAlignment w:val="auto"/>
              <w:rPr>
                <w:rFonts w:hint="eastAsia" w:ascii="宋体" w:hAnsi="宋体" w:cs="Arial"/>
                <w:kern w:val="0"/>
                <w:sz w:val="20"/>
                <w:szCs w:val="21"/>
                <w:lang w:val="en-US" w:eastAsia="zh-CN"/>
              </w:rPr>
            </w:pPr>
            <w:r>
              <w:rPr>
                <w:rFonts w:hint="eastAsia" w:ascii="宋体" w:hAnsi="宋体" w:cs="Arial"/>
                <w:kern w:val="0"/>
                <w:sz w:val="20"/>
                <w:szCs w:val="21"/>
                <w:lang w:val="en-US" w:eastAsia="zh-CN"/>
              </w:rPr>
              <w:t>联系人：黄凯　　</w:t>
            </w:r>
          </w:p>
          <w:p w14:paraId="33D57BD5">
            <w:pPr>
              <w:keepNext/>
              <w:keepLines w:val="0"/>
              <w:pageBreakBefore w:val="0"/>
              <w:widowControl/>
              <w:kinsoku/>
              <w:wordWrap/>
              <w:overflowPunct/>
              <w:topLinePunct w:val="0"/>
              <w:bidi w:val="0"/>
              <w:snapToGrid/>
              <w:spacing w:line="360" w:lineRule="exact"/>
              <w:jc w:val="left"/>
              <w:textAlignment w:val="auto"/>
              <w:rPr>
                <w:rFonts w:hint="default" w:ascii="宋体" w:hAnsi="宋体" w:cs="Arial"/>
                <w:kern w:val="0"/>
                <w:sz w:val="20"/>
                <w:szCs w:val="21"/>
                <w:lang w:val="en-US"/>
              </w:rPr>
            </w:pPr>
            <w:r>
              <w:rPr>
                <w:rFonts w:hint="eastAsia" w:ascii="宋体" w:hAnsi="宋体" w:cs="Arial"/>
                <w:kern w:val="0"/>
                <w:sz w:val="20"/>
                <w:szCs w:val="21"/>
                <w:lang w:val="en-US" w:eastAsia="zh-CN"/>
              </w:rPr>
              <w:t>联系方式：17399059027</w:t>
            </w:r>
          </w:p>
        </w:tc>
      </w:tr>
      <w:tr w14:paraId="0D8E21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90" w:hRule="atLeast"/>
          <w:jc w:val="center"/>
        </w:trPr>
        <w:tc>
          <w:tcPr>
            <w:tcW w:w="597" w:type="dxa"/>
            <w:vMerge w:val="continue"/>
            <w:vAlign w:val="center"/>
          </w:tcPr>
          <w:p w14:paraId="433C7C11">
            <w:pPr>
              <w:jc w:val="center"/>
              <w:rPr>
                <w:rFonts w:ascii="宋体"/>
                <w:b w:val="0"/>
                <w:bCs w:val="0"/>
                <w:kern w:val="0"/>
                <w:sz w:val="20"/>
                <w:szCs w:val="21"/>
              </w:rPr>
            </w:pPr>
          </w:p>
        </w:tc>
        <w:tc>
          <w:tcPr>
            <w:tcW w:w="1358" w:type="dxa"/>
            <w:vAlign w:val="center"/>
          </w:tcPr>
          <w:p w14:paraId="327C41AA">
            <w:pPr>
              <w:keepNext/>
              <w:keepLines w:val="0"/>
              <w:pageBreakBefore w:val="0"/>
              <w:widowControl/>
              <w:kinsoku/>
              <w:wordWrap/>
              <w:overflowPunct/>
              <w:topLinePunct w:val="0"/>
              <w:bidi w:val="0"/>
              <w:snapToGrid/>
              <w:spacing w:line="360" w:lineRule="exact"/>
              <w:jc w:val="distribute"/>
              <w:textAlignment w:val="auto"/>
              <w:rPr>
                <w:rFonts w:ascii="宋体" w:cs="Arial"/>
                <w:b w:val="0"/>
                <w:bCs w:val="0"/>
                <w:kern w:val="0"/>
                <w:sz w:val="20"/>
                <w:szCs w:val="21"/>
              </w:rPr>
            </w:pPr>
            <w:r>
              <w:rPr>
                <w:rFonts w:hint="eastAsia" w:ascii="宋体" w:hAnsi="宋体" w:cs="Arial"/>
                <w:b w:val="0"/>
                <w:bCs w:val="0"/>
                <w:kern w:val="0"/>
                <w:sz w:val="20"/>
                <w:szCs w:val="21"/>
              </w:rPr>
              <w:t>项目地点</w:t>
            </w:r>
          </w:p>
        </w:tc>
        <w:tc>
          <w:tcPr>
            <w:tcW w:w="7125" w:type="dxa"/>
            <w:vAlign w:val="center"/>
          </w:tcPr>
          <w:p w14:paraId="23E42A81">
            <w:pPr>
              <w:keepNext/>
              <w:keepLines w:val="0"/>
              <w:pageBreakBefore w:val="0"/>
              <w:widowControl/>
              <w:kinsoku/>
              <w:wordWrap/>
              <w:overflowPunct/>
              <w:topLinePunct w:val="0"/>
              <w:bidi w:val="0"/>
              <w:snapToGrid/>
              <w:spacing w:line="360" w:lineRule="exact"/>
              <w:jc w:val="left"/>
              <w:textAlignment w:val="auto"/>
              <w:rPr>
                <w:rFonts w:hint="eastAsia" w:ascii="宋体" w:eastAsia="宋体" w:cs="Arial"/>
                <w:kern w:val="0"/>
                <w:sz w:val="20"/>
                <w:szCs w:val="21"/>
                <w:lang w:eastAsia="zh-CN"/>
              </w:rPr>
            </w:pPr>
            <w:r>
              <w:rPr>
                <w:rFonts w:hint="eastAsia" w:ascii="宋体" w:hAnsi="宋体" w:cs="Arial"/>
                <w:kern w:val="0"/>
                <w:sz w:val="20"/>
                <w:szCs w:val="21"/>
                <w:lang w:eastAsia="zh-CN"/>
              </w:rPr>
              <w:t>鄯善县</w:t>
            </w:r>
          </w:p>
        </w:tc>
      </w:tr>
      <w:tr w14:paraId="4F4CE2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3566E229">
            <w:pPr>
              <w:jc w:val="center"/>
              <w:rPr>
                <w:rFonts w:ascii="宋体"/>
                <w:b w:val="0"/>
                <w:bCs w:val="0"/>
                <w:kern w:val="0"/>
                <w:sz w:val="20"/>
                <w:szCs w:val="21"/>
              </w:rPr>
            </w:pPr>
          </w:p>
        </w:tc>
        <w:tc>
          <w:tcPr>
            <w:tcW w:w="1358" w:type="dxa"/>
            <w:vAlign w:val="center"/>
          </w:tcPr>
          <w:p w14:paraId="141B3AB0">
            <w:pPr>
              <w:keepNext/>
              <w:keepLines w:val="0"/>
              <w:pageBreakBefore w:val="0"/>
              <w:widowControl/>
              <w:kinsoku/>
              <w:wordWrap/>
              <w:overflowPunct/>
              <w:topLinePunct w:val="0"/>
              <w:bidi w:val="0"/>
              <w:snapToGrid/>
              <w:spacing w:line="360" w:lineRule="exact"/>
              <w:jc w:val="distribute"/>
              <w:textAlignment w:val="auto"/>
              <w:rPr>
                <w:rFonts w:ascii="宋体" w:cs="Arial"/>
                <w:b w:val="0"/>
                <w:bCs w:val="0"/>
                <w:kern w:val="0"/>
                <w:sz w:val="20"/>
                <w:szCs w:val="21"/>
              </w:rPr>
            </w:pPr>
            <w:r>
              <w:rPr>
                <w:rFonts w:hint="eastAsia" w:ascii="宋体" w:hAnsi="宋体" w:cs="Arial"/>
                <w:b w:val="0"/>
                <w:bCs w:val="0"/>
                <w:kern w:val="0"/>
                <w:sz w:val="20"/>
                <w:szCs w:val="21"/>
              </w:rPr>
              <w:t>资金来源</w:t>
            </w:r>
          </w:p>
        </w:tc>
        <w:tc>
          <w:tcPr>
            <w:tcW w:w="7125" w:type="dxa"/>
            <w:vAlign w:val="center"/>
          </w:tcPr>
          <w:p w14:paraId="76CAABD0">
            <w:pPr>
              <w:keepNext/>
              <w:keepLines w:val="0"/>
              <w:pageBreakBefore w:val="0"/>
              <w:widowControl/>
              <w:kinsoku/>
              <w:wordWrap/>
              <w:overflowPunct/>
              <w:topLinePunct w:val="0"/>
              <w:bidi w:val="0"/>
              <w:snapToGrid/>
              <w:spacing w:line="360" w:lineRule="exact"/>
              <w:jc w:val="left"/>
              <w:textAlignment w:val="auto"/>
              <w:rPr>
                <w:rFonts w:hint="eastAsia" w:ascii="宋体" w:eastAsia="宋体" w:cs="Arial"/>
                <w:kern w:val="0"/>
                <w:sz w:val="20"/>
                <w:szCs w:val="21"/>
                <w:lang w:eastAsia="zh-CN"/>
              </w:rPr>
            </w:pPr>
            <w:r>
              <w:rPr>
                <w:rFonts w:hint="eastAsia" w:ascii="宋体" w:hAnsi="宋体" w:cs="Arial"/>
                <w:kern w:val="0"/>
                <w:sz w:val="20"/>
                <w:szCs w:val="21"/>
                <w:lang w:eastAsia="zh-CN"/>
              </w:rPr>
              <w:t>财政资金</w:t>
            </w:r>
          </w:p>
        </w:tc>
      </w:tr>
      <w:tr w14:paraId="6AED66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1E0F8285">
            <w:pPr>
              <w:jc w:val="center"/>
              <w:rPr>
                <w:rFonts w:ascii="宋体"/>
                <w:b w:val="0"/>
                <w:bCs w:val="0"/>
                <w:kern w:val="0"/>
                <w:sz w:val="20"/>
                <w:szCs w:val="21"/>
              </w:rPr>
            </w:pPr>
          </w:p>
        </w:tc>
        <w:tc>
          <w:tcPr>
            <w:tcW w:w="1358" w:type="dxa"/>
            <w:vAlign w:val="center"/>
          </w:tcPr>
          <w:p w14:paraId="27DF3427">
            <w:pPr>
              <w:keepNext/>
              <w:keepLines w:val="0"/>
              <w:pageBreakBefore w:val="0"/>
              <w:widowControl/>
              <w:kinsoku/>
              <w:wordWrap/>
              <w:overflowPunct/>
              <w:topLinePunct w:val="0"/>
              <w:bidi w:val="0"/>
              <w:snapToGrid/>
              <w:spacing w:line="360" w:lineRule="exact"/>
              <w:jc w:val="left"/>
              <w:textAlignment w:val="auto"/>
              <w:rPr>
                <w:rFonts w:hint="eastAsia" w:ascii="宋体" w:hAnsi="宋体" w:cs="Arial"/>
                <w:b w:val="0"/>
                <w:bCs w:val="0"/>
                <w:kern w:val="0"/>
                <w:sz w:val="20"/>
                <w:szCs w:val="21"/>
                <w:lang w:eastAsia="zh-CN"/>
              </w:rPr>
            </w:pPr>
            <w:r>
              <w:rPr>
                <w:rFonts w:hint="eastAsia" w:ascii="宋体" w:hAnsi="宋体" w:cs="Arial"/>
                <w:b w:val="0"/>
                <w:bCs w:val="0"/>
                <w:kern w:val="0"/>
                <w:sz w:val="20"/>
                <w:szCs w:val="21"/>
                <w:lang w:eastAsia="zh-CN"/>
              </w:rPr>
              <w:t>采购预算金额</w:t>
            </w:r>
          </w:p>
        </w:tc>
        <w:tc>
          <w:tcPr>
            <w:tcW w:w="7125" w:type="dxa"/>
            <w:vAlign w:val="center"/>
          </w:tcPr>
          <w:p w14:paraId="2FECD7F4">
            <w:pPr>
              <w:keepNext/>
              <w:keepLines w:val="0"/>
              <w:pageBreakBefore w:val="0"/>
              <w:widowControl/>
              <w:kinsoku/>
              <w:wordWrap/>
              <w:overflowPunct/>
              <w:topLinePunct w:val="0"/>
              <w:bidi w:val="0"/>
              <w:snapToGrid/>
              <w:spacing w:line="360" w:lineRule="exact"/>
              <w:jc w:val="left"/>
              <w:textAlignment w:val="auto"/>
              <w:rPr>
                <w:rFonts w:hint="eastAsia" w:ascii="宋体" w:hAnsi="宋体" w:cs="Arial"/>
                <w:kern w:val="0"/>
                <w:sz w:val="20"/>
                <w:szCs w:val="21"/>
                <w:lang w:eastAsia="zh-CN"/>
              </w:rPr>
            </w:pPr>
            <w:r>
              <w:rPr>
                <w:rFonts w:hint="eastAsia" w:ascii="宋体" w:hAnsi="宋体" w:eastAsia="宋体" w:cs="Arial"/>
                <w:b/>
                <w:bCs/>
                <w:kern w:val="0"/>
                <w:sz w:val="20"/>
                <w:szCs w:val="21"/>
                <w:lang w:val="en-US" w:eastAsia="zh-CN"/>
              </w:rPr>
              <w:t>预算价</w:t>
            </w:r>
            <w:r>
              <w:rPr>
                <w:rFonts w:hint="eastAsia" w:ascii="宋体" w:hAnsi="宋体" w:cs="Arial"/>
                <w:b/>
                <w:bCs/>
                <w:kern w:val="0"/>
                <w:sz w:val="20"/>
                <w:szCs w:val="21"/>
                <w:lang w:val="en-US" w:eastAsia="zh-CN"/>
              </w:rPr>
              <w:t>/</w:t>
            </w:r>
            <w:r>
              <w:rPr>
                <w:rFonts w:hint="eastAsia" w:ascii="宋体" w:hAnsi="宋体" w:eastAsia="宋体" w:cs="Arial"/>
                <w:b/>
                <w:bCs/>
                <w:kern w:val="0"/>
                <w:sz w:val="20"/>
                <w:szCs w:val="21"/>
                <w:lang w:val="en-US" w:eastAsia="zh-CN"/>
              </w:rPr>
              <w:t>元</w:t>
            </w:r>
          </w:p>
        </w:tc>
      </w:tr>
      <w:tr w14:paraId="001BF7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46" w:hRule="atLeast"/>
          <w:jc w:val="center"/>
        </w:trPr>
        <w:tc>
          <w:tcPr>
            <w:tcW w:w="597" w:type="dxa"/>
            <w:vMerge w:val="continue"/>
            <w:vAlign w:val="center"/>
          </w:tcPr>
          <w:p w14:paraId="78EF4AE4">
            <w:pPr>
              <w:jc w:val="center"/>
              <w:rPr>
                <w:rFonts w:ascii="宋体"/>
                <w:b w:val="0"/>
                <w:bCs w:val="0"/>
                <w:kern w:val="0"/>
                <w:sz w:val="20"/>
                <w:szCs w:val="21"/>
              </w:rPr>
            </w:pPr>
          </w:p>
        </w:tc>
        <w:tc>
          <w:tcPr>
            <w:tcW w:w="1358" w:type="dxa"/>
            <w:vAlign w:val="center"/>
          </w:tcPr>
          <w:p w14:paraId="2EFCA481">
            <w:pPr>
              <w:keepNext/>
              <w:keepLines w:val="0"/>
              <w:pageBreakBefore w:val="0"/>
              <w:widowControl/>
              <w:kinsoku/>
              <w:wordWrap/>
              <w:overflowPunct/>
              <w:topLinePunct w:val="0"/>
              <w:bidi w:val="0"/>
              <w:snapToGrid/>
              <w:spacing w:line="360" w:lineRule="exact"/>
              <w:jc w:val="center"/>
              <w:textAlignment w:val="auto"/>
              <w:rPr>
                <w:rFonts w:hint="eastAsia" w:ascii="宋体" w:hAnsi="宋体" w:cs="Arial"/>
                <w:b w:val="0"/>
                <w:bCs w:val="0"/>
                <w:kern w:val="0"/>
                <w:sz w:val="20"/>
                <w:szCs w:val="21"/>
                <w:lang w:val="en-US" w:eastAsia="zh-CN"/>
              </w:rPr>
            </w:pPr>
            <w:r>
              <w:rPr>
                <w:rFonts w:hint="eastAsia" w:ascii="宋体" w:hAnsi="宋体" w:cs="Arial"/>
                <w:b w:val="0"/>
                <w:bCs w:val="0"/>
                <w:kern w:val="0"/>
                <w:sz w:val="20"/>
                <w:szCs w:val="21"/>
                <w:lang w:eastAsia="zh-CN"/>
              </w:rPr>
              <w:t>服务期</w:t>
            </w:r>
          </w:p>
        </w:tc>
        <w:tc>
          <w:tcPr>
            <w:tcW w:w="7125" w:type="dxa"/>
            <w:vAlign w:val="center"/>
          </w:tcPr>
          <w:p w14:paraId="0CF8B361">
            <w:pPr>
              <w:keepNext/>
              <w:keepLines w:val="0"/>
              <w:pageBreakBefore w:val="0"/>
              <w:widowControl/>
              <w:kinsoku/>
              <w:wordWrap/>
              <w:overflowPunct/>
              <w:topLinePunct w:val="0"/>
              <w:bidi w:val="0"/>
              <w:snapToGrid/>
              <w:spacing w:line="360" w:lineRule="exact"/>
              <w:jc w:val="left"/>
              <w:textAlignment w:val="auto"/>
              <w:rPr>
                <w:rFonts w:hint="eastAsia" w:ascii="宋体" w:hAnsi="宋体" w:cs="Arial"/>
                <w:b w:val="0"/>
                <w:bCs w:val="0"/>
                <w:kern w:val="0"/>
                <w:sz w:val="20"/>
                <w:szCs w:val="21"/>
                <w:lang w:val="en-US" w:eastAsia="zh-CN"/>
              </w:rPr>
            </w:pPr>
            <w:r>
              <w:rPr>
                <w:rFonts w:hint="eastAsia" w:ascii="宋体" w:hAnsi="宋体" w:cs="Arial"/>
                <w:b w:val="0"/>
                <w:bCs w:val="0"/>
                <w:kern w:val="0"/>
                <w:sz w:val="20"/>
                <w:szCs w:val="21"/>
                <w:lang w:val="en-US" w:eastAsia="zh-CN"/>
              </w:rPr>
              <w:t>服务期2年，定期存款协议一年一签(从资金到位之日起算)</w:t>
            </w:r>
          </w:p>
        </w:tc>
      </w:tr>
      <w:tr w14:paraId="259A5A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5265EA28">
            <w:pPr>
              <w:jc w:val="center"/>
              <w:rPr>
                <w:rFonts w:ascii="宋体"/>
                <w:kern w:val="0"/>
                <w:sz w:val="20"/>
                <w:szCs w:val="21"/>
              </w:rPr>
            </w:pPr>
            <w:r>
              <w:rPr>
                <w:rFonts w:ascii="宋体" w:hAnsi="宋体"/>
                <w:kern w:val="0"/>
                <w:sz w:val="20"/>
                <w:szCs w:val="21"/>
              </w:rPr>
              <w:t>2</w:t>
            </w:r>
          </w:p>
        </w:tc>
        <w:tc>
          <w:tcPr>
            <w:tcW w:w="1358" w:type="dxa"/>
            <w:vAlign w:val="center"/>
          </w:tcPr>
          <w:p w14:paraId="04FC8D75">
            <w:pPr>
              <w:keepNext/>
              <w:keepLines w:val="0"/>
              <w:pageBreakBefore w:val="0"/>
              <w:widowControl/>
              <w:kinsoku/>
              <w:wordWrap/>
              <w:overflowPunct/>
              <w:topLinePunct w:val="0"/>
              <w:bidi w:val="0"/>
              <w:snapToGrid/>
              <w:spacing w:line="360" w:lineRule="exact"/>
              <w:jc w:val="distribute"/>
              <w:textAlignment w:val="auto"/>
              <w:rPr>
                <w:rFonts w:ascii="宋体" w:cs="Arial"/>
                <w:kern w:val="0"/>
                <w:sz w:val="20"/>
                <w:szCs w:val="21"/>
              </w:rPr>
            </w:pPr>
            <w:r>
              <w:rPr>
                <w:rFonts w:hint="eastAsia" w:ascii="宋体" w:hAnsi="宋体" w:cs="Arial"/>
                <w:kern w:val="0"/>
                <w:sz w:val="20"/>
                <w:szCs w:val="21"/>
              </w:rPr>
              <w:t>采购内容</w:t>
            </w:r>
          </w:p>
        </w:tc>
        <w:tc>
          <w:tcPr>
            <w:tcW w:w="7125" w:type="dxa"/>
            <w:vAlign w:val="center"/>
          </w:tcPr>
          <w:p w14:paraId="2ECA191D">
            <w:pPr>
              <w:pStyle w:val="199"/>
              <w:keepNext w:val="0"/>
              <w:keepLines w:val="0"/>
              <w:pageBreakBefore w:val="0"/>
              <w:widowControl w:val="0"/>
              <w:kinsoku/>
              <w:wordWrap/>
              <w:overflowPunct/>
              <w:topLinePunct w:val="0"/>
              <w:autoSpaceDE w:val="0"/>
              <w:autoSpaceDN w:val="0"/>
              <w:bidi w:val="0"/>
              <w:adjustRightInd w:val="0"/>
              <w:snapToGrid/>
              <w:spacing w:line="400" w:lineRule="exact"/>
              <w:textAlignment w:val="auto"/>
              <w:rPr>
                <w:rFonts w:hint="eastAsia" w:ascii="宋体" w:hAnsi="宋体" w:eastAsia="宋体" w:cs="Arial"/>
                <w:color w:val="auto"/>
                <w:kern w:val="0"/>
                <w:sz w:val="20"/>
                <w:szCs w:val="21"/>
                <w:lang w:val="en-US" w:eastAsia="zh-CN" w:bidi="ar-SA"/>
              </w:rPr>
            </w:pPr>
            <w:r>
              <w:rPr>
                <w:rFonts w:hint="eastAsia" w:ascii="宋体" w:hAnsi="宋体" w:eastAsia="宋体" w:cs="Arial"/>
                <w:color w:val="auto"/>
                <w:kern w:val="0"/>
                <w:sz w:val="20"/>
                <w:szCs w:val="21"/>
                <w:lang w:val="en-US" w:eastAsia="zh-CN" w:bidi="ar-SA"/>
              </w:rPr>
              <w:t>2025年社会保险基金保值增值定期存款服务。存款额度为人民币</w:t>
            </w:r>
            <w:r>
              <w:rPr>
                <w:rFonts w:hint="eastAsia" w:ascii="宋体" w:hAnsi="宋体" w:cs="Arial"/>
                <w:color w:val="0000FF"/>
                <w:kern w:val="0"/>
                <w:sz w:val="20"/>
                <w:szCs w:val="21"/>
                <w:lang w:val="en-US" w:eastAsia="zh-CN" w:bidi="ar-SA"/>
              </w:rPr>
              <w:t>10000万</w:t>
            </w:r>
            <w:r>
              <w:rPr>
                <w:rFonts w:hint="eastAsia" w:ascii="宋体" w:hAnsi="宋体" w:eastAsia="宋体" w:cs="Arial"/>
                <w:color w:val="auto"/>
                <w:kern w:val="0"/>
                <w:sz w:val="20"/>
                <w:szCs w:val="21"/>
                <w:lang w:val="en-US" w:eastAsia="zh-CN" w:bidi="ar-SA"/>
              </w:rPr>
              <w:t>元。具体内容和相关要求详见《</w:t>
            </w:r>
            <w:r>
              <w:rPr>
                <w:rFonts w:hint="eastAsia" w:ascii="宋体" w:hAnsi="宋体" w:cs="Arial"/>
                <w:color w:val="auto"/>
                <w:kern w:val="0"/>
                <w:sz w:val="20"/>
                <w:szCs w:val="21"/>
                <w:lang w:val="en-US" w:eastAsia="zh-CN" w:bidi="ar-SA"/>
              </w:rPr>
              <w:t>招标</w:t>
            </w:r>
            <w:r>
              <w:rPr>
                <w:rFonts w:hint="eastAsia" w:ascii="宋体" w:hAnsi="宋体" w:eastAsia="宋体" w:cs="Arial"/>
                <w:color w:val="auto"/>
                <w:kern w:val="0"/>
                <w:sz w:val="20"/>
                <w:szCs w:val="21"/>
                <w:lang w:val="en-US" w:eastAsia="zh-CN" w:bidi="ar-SA"/>
              </w:rPr>
              <w:t>文件》第四</w:t>
            </w:r>
            <w:r>
              <w:rPr>
                <w:rFonts w:hint="eastAsia" w:ascii="宋体" w:hAnsi="宋体" w:cs="Arial"/>
                <w:color w:val="auto"/>
                <w:kern w:val="0"/>
                <w:sz w:val="20"/>
                <w:szCs w:val="21"/>
                <w:lang w:val="en-US" w:eastAsia="zh-CN" w:bidi="ar-SA"/>
              </w:rPr>
              <w:t>章</w:t>
            </w:r>
            <w:r>
              <w:rPr>
                <w:rFonts w:hint="eastAsia" w:ascii="宋体" w:hAnsi="宋体" w:eastAsia="宋体" w:cs="Arial"/>
                <w:color w:val="auto"/>
                <w:kern w:val="0"/>
                <w:sz w:val="20"/>
                <w:szCs w:val="21"/>
                <w:lang w:val="en-US" w:eastAsia="zh-CN" w:bidi="ar-SA"/>
              </w:rPr>
              <w:t>——服务要求。投标人一旦参与本次采购活动，即被视为接受了本招标文件的所有内容。</w:t>
            </w:r>
          </w:p>
          <w:p w14:paraId="2C50229B">
            <w:pPr>
              <w:keepNext/>
              <w:keepLines w:val="0"/>
              <w:pageBreakBefore w:val="0"/>
              <w:widowControl/>
              <w:kinsoku/>
              <w:wordWrap/>
              <w:overflowPunct/>
              <w:topLinePunct w:val="0"/>
              <w:bidi w:val="0"/>
              <w:snapToGrid/>
              <w:spacing w:line="400" w:lineRule="exact"/>
              <w:jc w:val="left"/>
              <w:textAlignment w:val="auto"/>
              <w:rPr>
                <w:rFonts w:ascii="宋体" w:cs="Arial"/>
                <w:kern w:val="0"/>
                <w:sz w:val="20"/>
                <w:szCs w:val="21"/>
              </w:rPr>
            </w:pPr>
            <w:r>
              <w:rPr>
                <w:rFonts w:hint="eastAsia" w:ascii="宋体" w:hAnsi="宋体" w:eastAsia="宋体" w:cs="Arial"/>
                <w:color w:val="auto"/>
                <w:kern w:val="0"/>
                <w:sz w:val="20"/>
                <w:szCs w:val="21"/>
                <w:lang w:val="en-US" w:eastAsia="zh-CN" w:bidi="ar-SA"/>
              </w:rPr>
              <w:t>确定中标银行办法:采购人将依法组建评标委员会，通过综合评分法评审，根据综合评分由高到低确定</w:t>
            </w:r>
            <w:r>
              <w:rPr>
                <w:rFonts w:hint="eastAsia" w:ascii="宋体" w:hAnsi="宋体" w:cs="Arial"/>
                <w:color w:val="auto"/>
                <w:kern w:val="0"/>
                <w:sz w:val="20"/>
                <w:szCs w:val="21"/>
                <w:lang w:val="en-US" w:eastAsia="zh-CN" w:bidi="ar-SA"/>
              </w:rPr>
              <w:t>1</w:t>
            </w:r>
            <w:r>
              <w:rPr>
                <w:rFonts w:hint="eastAsia" w:ascii="宋体" w:hAnsi="宋体" w:eastAsia="宋体" w:cs="Arial"/>
                <w:color w:val="auto"/>
                <w:kern w:val="0"/>
                <w:sz w:val="20"/>
                <w:szCs w:val="21"/>
                <w:lang w:val="en-US" w:eastAsia="zh-CN" w:bidi="ar-SA"/>
              </w:rPr>
              <w:t>家中标银行，采购人可在中标银行中决定存储。采购人不承诺将合同授予报价利率最高的人。</w:t>
            </w:r>
          </w:p>
        </w:tc>
      </w:tr>
      <w:tr w14:paraId="2D00AA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318" w:hRule="atLeast"/>
          <w:jc w:val="center"/>
        </w:trPr>
        <w:tc>
          <w:tcPr>
            <w:tcW w:w="597" w:type="dxa"/>
            <w:vMerge w:val="restart"/>
            <w:vAlign w:val="center"/>
          </w:tcPr>
          <w:p w14:paraId="5DD7AFAF">
            <w:pPr>
              <w:jc w:val="center"/>
              <w:rPr>
                <w:rFonts w:ascii="宋体"/>
                <w:kern w:val="0"/>
                <w:sz w:val="20"/>
                <w:szCs w:val="21"/>
              </w:rPr>
            </w:pPr>
            <w:r>
              <w:rPr>
                <w:rFonts w:ascii="宋体" w:hAnsi="宋体"/>
                <w:kern w:val="0"/>
                <w:sz w:val="20"/>
                <w:szCs w:val="21"/>
              </w:rPr>
              <w:t>3</w:t>
            </w:r>
          </w:p>
        </w:tc>
        <w:tc>
          <w:tcPr>
            <w:tcW w:w="1358" w:type="dxa"/>
            <w:vAlign w:val="center"/>
          </w:tcPr>
          <w:p w14:paraId="7B37FD54">
            <w:pPr>
              <w:keepNext/>
              <w:keepLines w:val="0"/>
              <w:pageBreakBefore w:val="0"/>
              <w:widowControl/>
              <w:kinsoku/>
              <w:wordWrap/>
              <w:overflowPunct/>
              <w:topLinePunct w:val="0"/>
              <w:bidi w:val="0"/>
              <w:snapToGrid/>
              <w:spacing w:line="360" w:lineRule="exact"/>
              <w:jc w:val="distribute"/>
              <w:textAlignment w:val="auto"/>
              <w:rPr>
                <w:rFonts w:ascii="宋体" w:cs="Arial"/>
                <w:kern w:val="0"/>
                <w:sz w:val="20"/>
                <w:szCs w:val="21"/>
              </w:rPr>
            </w:pPr>
            <w:r>
              <w:rPr>
                <w:rFonts w:hint="eastAsia" w:ascii="宋体" w:hAnsi="宋体" w:cs="Arial"/>
                <w:kern w:val="0"/>
                <w:sz w:val="20"/>
                <w:szCs w:val="21"/>
              </w:rPr>
              <w:t>招标方式</w:t>
            </w:r>
          </w:p>
        </w:tc>
        <w:tc>
          <w:tcPr>
            <w:tcW w:w="7125" w:type="dxa"/>
            <w:vAlign w:val="center"/>
          </w:tcPr>
          <w:p w14:paraId="72AF15E8">
            <w:pPr>
              <w:keepNext/>
              <w:keepLines w:val="0"/>
              <w:pageBreakBefore w:val="0"/>
              <w:widowControl/>
              <w:kinsoku/>
              <w:wordWrap/>
              <w:overflowPunct/>
              <w:topLinePunct w:val="0"/>
              <w:bidi w:val="0"/>
              <w:snapToGrid/>
              <w:spacing w:line="360" w:lineRule="exact"/>
              <w:jc w:val="left"/>
              <w:textAlignment w:val="auto"/>
              <w:rPr>
                <w:rFonts w:hint="eastAsia" w:ascii="宋体" w:eastAsia="宋体" w:cs="Arial"/>
                <w:kern w:val="0"/>
                <w:sz w:val="20"/>
                <w:szCs w:val="21"/>
                <w:lang w:eastAsia="zh-CN"/>
              </w:rPr>
            </w:pPr>
            <w:r>
              <w:rPr>
                <w:rFonts w:hint="eastAsia" w:ascii="宋体" w:hAnsi="宋体" w:cs="Arial"/>
                <w:kern w:val="0"/>
                <w:sz w:val="20"/>
                <w:szCs w:val="21"/>
                <w:lang w:eastAsia="zh-CN"/>
              </w:rPr>
              <w:t>公开招标</w:t>
            </w:r>
            <w:r>
              <w:rPr>
                <w:rFonts w:hint="eastAsia" w:ascii="宋体" w:hAnsi="宋体" w:cs="Arial"/>
                <w:b/>
                <w:bCs/>
                <w:kern w:val="0"/>
                <w:sz w:val="20"/>
                <w:szCs w:val="21"/>
                <w:lang w:val="en-US" w:eastAsia="zh-CN"/>
              </w:rPr>
              <w:t xml:space="preserve"> </w:t>
            </w:r>
          </w:p>
        </w:tc>
      </w:tr>
      <w:tr w14:paraId="05C480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754FF888">
            <w:pPr>
              <w:jc w:val="center"/>
              <w:rPr>
                <w:rFonts w:ascii="宋体"/>
                <w:kern w:val="0"/>
                <w:sz w:val="20"/>
                <w:szCs w:val="21"/>
              </w:rPr>
            </w:pPr>
          </w:p>
        </w:tc>
        <w:tc>
          <w:tcPr>
            <w:tcW w:w="1358" w:type="dxa"/>
            <w:vAlign w:val="center"/>
          </w:tcPr>
          <w:p w14:paraId="4A6960AB">
            <w:pPr>
              <w:keepNext/>
              <w:keepLines w:val="0"/>
              <w:pageBreakBefore w:val="0"/>
              <w:widowControl/>
              <w:kinsoku/>
              <w:wordWrap/>
              <w:overflowPunct/>
              <w:topLinePunct w:val="0"/>
              <w:bidi w:val="0"/>
              <w:snapToGrid/>
              <w:spacing w:line="360" w:lineRule="exact"/>
              <w:jc w:val="distribute"/>
              <w:textAlignment w:val="auto"/>
              <w:rPr>
                <w:rFonts w:ascii="宋体" w:cs="Arial"/>
                <w:kern w:val="0"/>
                <w:sz w:val="20"/>
                <w:szCs w:val="21"/>
              </w:rPr>
            </w:pPr>
            <w:r>
              <w:rPr>
                <w:rFonts w:hint="eastAsia" w:ascii="宋体" w:hAnsi="宋体" w:cs="Arial"/>
                <w:kern w:val="0"/>
                <w:sz w:val="20"/>
                <w:szCs w:val="21"/>
              </w:rPr>
              <w:t>资格审查方式</w:t>
            </w:r>
          </w:p>
        </w:tc>
        <w:tc>
          <w:tcPr>
            <w:tcW w:w="7125" w:type="dxa"/>
            <w:vAlign w:val="center"/>
          </w:tcPr>
          <w:p w14:paraId="4EE4A0A7">
            <w:pPr>
              <w:keepNext/>
              <w:keepLines w:val="0"/>
              <w:pageBreakBefore w:val="0"/>
              <w:widowControl/>
              <w:kinsoku/>
              <w:wordWrap/>
              <w:overflowPunct/>
              <w:topLinePunct w:val="0"/>
              <w:bidi w:val="0"/>
              <w:snapToGrid/>
              <w:spacing w:line="360" w:lineRule="exact"/>
              <w:jc w:val="left"/>
              <w:textAlignment w:val="auto"/>
              <w:rPr>
                <w:rFonts w:ascii="宋体" w:cs="Arial"/>
                <w:kern w:val="0"/>
                <w:sz w:val="20"/>
                <w:szCs w:val="21"/>
              </w:rPr>
            </w:pPr>
            <w:r>
              <w:rPr>
                <w:rFonts w:hint="eastAsia" w:ascii="宋体" w:hAnsi="宋体" w:cs="Arial"/>
                <w:kern w:val="0"/>
                <w:sz w:val="20"/>
                <w:szCs w:val="21"/>
              </w:rPr>
              <w:t>资格后审</w:t>
            </w:r>
          </w:p>
        </w:tc>
      </w:tr>
      <w:tr w14:paraId="1B0B9F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6EE52AC7">
            <w:pPr>
              <w:jc w:val="center"/>
              <w:rPr>
                <w:rFonts w:ascii="宋体"/>
                <w:kern w:val="0"/>
                <w:sz w:val="20"/>
                <w:szCs w:val="21"/>
              </w:rPr>
            </w:pPr>
            <w:r>
              <w:rPr>
                <w:rFonts w:ascii="宋体" w:hAnsi="宋体"/>
                <w:kern w:val="0"/>
                <w:sz w:val="20"/>
                <w:szCs w:val="21"/>
              </w:rPr>
              <w:t>4</w:t>
            </w:r>
          </w:p>
        </w:tc>
        <w:tc>
          <w:tcPr>
            <w:tcW w:w="1358" w:type="dxa"/>
            <w:vAlign w:val="center"/>
          </w:tcPr>
          <w:p w14:paraId="50A37DE5">
            <w:pPr>
              <w:keepNext/>
              <w:keepLines w:val="0"/>
              <w:pageBreakBefore w:val="0"/>
              <w:widowControl/>
              <w:kinsoku/>
              <w:wordWrap/>
              <w:overflowPunct/>
              <w:topLinePunct w:val="0"/>
              <w:bidi w:val="0"/>
              <w:snapToGrid/>
              <w:spacing w:line="360" w:lineRule="exact"/>
              <w:jc w:val="distribute"/>
              <w:textAlignment w:val="auto"/>
              <w:rPr>
                <w:rFonts w:ascii="宋体" w:cs="Arial"/>
                <w:kern w:val="0"/>
                <w:sz w:val="20"/>
                <w:szCs w:val="21"/>
              </w:rPr>
            </w:pPr>
            <w:r>
              <w:rPr>
                <w:rFonts w:hint="eastAsia" w:ascii="宋体" w:hAnsi="宋体" w:cs="Arial"/>
                <w:kern w:val="0"/>
                <w:sz w:val="20"/>
                <w:szCs w:val="21"/>
              </w:rPr>
              <w:t>评标办法</w:t>
            </w:r>
          </w:p>
        </w:tc>
        <w:tc>
          <w:tcPr>
            <w:tcW w:w="7125" w:type="dxa"/>
            <w:vAlign w:val="center"/>
          </w:tcPr>
          <w:p w14:paraId="184B773A">
            <w:pPr>
              <w:keepNext/>
              <w:keepLines w:val="0"/>
              <w:pageBreakBefore w:val="0"/>
              <w:widowControl/>
              <w:kinsoku/>
              <w:wordWrap/>
              <w:overflowPunct/>
              <w:topLinePunct w:val="0"/>
              <w:bidi w:val="0"/>
              <w:snapToGrid/>
              <w:spacing w:line="360" w:lineRule="exact"/>
              <w:jc w:val="left"/>
              <w:textAlignment w:val="auto"/>
              <w:rPr>
                <w:rFonts w:ascii="宋体" w:cs="Arial"/>
                <w:kern w:val="0"/>
                <w:sz w:val="20"/>
                <w:szCs w:val="21"/>
              </w:rPr>
            </w:pPr>
            <w:r>
              <w:rPr>
                <w:rFonts w:hint="eastAsia" w:ascii="宋体" w:hAnsi="宋体" w:cs="Arial"/>
                <w:kern w:val="0"/>
                <w:sz w:val="20"/>
                <w:szCs w:val="21"/>
              </w:rPr>
              <w:t>综合评分法</w:t>
            </w:r>
          </w:p>
        </w:tc>
      </w:tr>
      <w:tr w14:paraId="1CFCA2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367" w:hRule="atLeast"/>
          <w:jc w:val="center"/>
        </w:trPr>
        <w:tc>
          <w:tcPr>
            <w:tcW w:w="597" w:type="dxa"/>
            <w:vAlign w:val="center"/>
          </w:tcPr>
          <w:p w14:paraId="53E09B35">
            <w:pPr>
              <w:jc w:val="center"/>
              <w:rPr>
                <w:rFonts w:ascii="宋体"/>
                <w:kern w:val="0"/>
                <w:sz w:val="20"/>
                <w:szCs w:val="21"/>
              </w:rPr>
            </w:pPr>
            <w:r>
              <w:rPr>
                <w:rFonts w:ascii="宋体" w:hAnsi="宋体"/>
                <w:kern w:val="0"/>
                <w:sz w:val="20"/>
                <w:szCs w:val="21"/>
              </w:rPr>
              <w:t>5</w:t>
            </w:r>
          </w:p>
        </w:tc>
        <w:tc>
          <w:tcPr>
            <w:tcW w:w="1358" w:type="dxa"/>
            <w:vAlign w:val="center"/>
          </w:tcPr>
          <w:p w14:paraId="569965CF">
            <w:pPr>
              <w:keepLines w:val="0"/>
              <w:pageBreakBefore w:val="0"/>
              <w:kinsoku/>
              <w:wordWrap/>
              <w:overflowPunct/>
              <w:topLinePunct w:val="0"/>
              <w:autoSpaceDE w:val="0"/>
              <w:autoSpaceDN w:val="0"/>
              <w:bidi w:val="0"/>
              <w:adjustRightInd w:val="0"/>
              <w:snapToGrid/>
              <w:spacing w:before="100" w:line="360" w:lineRule="exact"/>
              <w:ind w:right="23" w:rightChars="11"/>
              <w:jc w:val="center"/>
              <w:textAlignment w:val="auto"/>
              <w:rPr>
                <w:rFonts w:hint="eastAsia" w:ascii="宋体" w:hAnsi="宋体" w:cs="Times New Roman"/>
                <w:kern w:val="0"/>
                <w:sz w:val="20"/>
                <w:szCs w:val="21"/>
                <w:lang w:val="en-US" w:eastAsia="zh-CN"/>
              </w:rPr>
            </w:pPr>
            <w:r>
              <w:rPr>
                <w:rFonts w:hint="eastAsia" w:ascii="宋体" w:hAnsi="宋体" w:cs="Times New Roman"/>
                <w:kern w:val="0"/>
                <w:sz w:val="20"/>
                <w:szCs w:val="21"/>
                <w:lang w:val="en-US" w:eastAsia="zh-CN"/>
              </w:rPr>
              <w:t>投标人资格条件</w:t>
            </w:r>
          </w:p>
        </w:tc>
        <w:tc>
          <w:tcPr>
            <w:tcW w:w="7125" w:type="dxa"/>
            <w:vAlign w:val="center"/>
          </w:tcPr>
          <w:p w14:paraId="4F084015">
            <w:pPr>
              <w:keepNext w:val="0"/>
              <w:keepLines w:val="0"/>
              <w:pageBreakBefore w:val="0"/>
              <w:widowControl w:val="0"/>
              <w:kinsoku/>
              <w:wordWrap/>
              <w:overflowPunct/>
              <w:topLinePunct w:val="0"/>
              <w:autoSpaceDE w:val="0"/>
              <w:autoSpaceDN w:val="0"/>
              <w:bidi w:val="0"/>
              <w:adjustRightInd w:val="0"/>
              <w:snapToGrid/>
              <w:spacing w:before="100" w:line="360" w:lineRule="exact"/>
              <w:ind w:right="23" w:rightChars="11"/>
              <w:jc w:val="left"/>
              <w:textAlignment w:val="auto"/>
              <w:rPr>
                <w:rFonts w:hint="eastAsia" w:ascii="宋体" w:hAnsi="宋体" w:eastAsia="宋体" w:cs="Times New Roman"/>
                <w:kern w:val="0"/>
                <w:sz w:val="20"/>
                <w:szCs w:val="21"/>
                <w:lang w:val="en-US" w:eastAsia="zh-CN"/>
              </w:rPr>
            </w:pPr>
            <w:r>
              <w:rPr>
                <w:rFonts w:hint="eastAsia" w:ascii="宋体" w:hAnsi="宋体" w:cs="Times New Roman"/>
                <w:kern w:val="0"/>
                <w:sz w:val="20"/>
                <w:szCs w:val="21"/>
                <w:lang w:val="en-US" w:eastAsia="zh-CN"/>
              </w:rPr>
              <w:t>1.</w:t>
            </w:r>
            <w:r>
              <w:rPr>
                <w:rFonts w:hint="eastAsia" w:ascii="宋体" w:hAnsi="宋体" w:eastAsia="宋体" w:cs="Times New Roman"/>
                <w:kern w:val="0"/>
                <w:sz w:val="20"/>
                <w:szCs w:val="21"/>
                <w:lang w:val="en-US" w:eastAsia="zh-CN"/>
              </w:rPr>
              <w:t>满足《中华人民共和国政府采购法》第二十二条规定；</w:t>
            </w:r>
          </w:p>
          <w:p w14:paraId="301B4A26">
            <w:pPr>
              <w:keepNext w:val="0"/>
              <w:keepLines w:val="0"/>
              <w:pageBreakBefore w:val="0"/>
              <w:widowControl w:val="0"/>
              <w:kinsoku/>
              <w:wordWrap/>
              <w:overflowPunct/>
              <w:topLinePunct w:val="0"/>
              <w:autoSpaceDE w:val="0"/>
              <w:autoSpaceDN w:val="0"/>
              <w:bidi w:val="0"/>
              <w:adjustRightInd w:val="0"/>
              <w:snapToGrid/>
              <w:spacing w:before="100" w:line="360" w:lineRule="exact"/>
              <w:ind w:right="23" w:rightChars="11"/>
              <w:jc w:val="left"/>
              <w:textAlignment w:val="auto"/>
              <w:rPr>
                <w:rFonts w:hint="eastAsia" w:ascii="宋体" w:hAnsi="宋体" w:eastAsia="宋体" w:cs="Times New Roman"/>
                <w:kern w:val="0"/>
                <w:sz w:val="20"/>
                <w:szCs w:val="21"/>
                <w:lang w:val="en-US" w:eastAsia="zh-CN"/>
              </w:rPr>
            </w:pPr>
            <w:r>
              <w:rPr>
                <w:rFonts w:hint="eastAsia" w:ascii="宋体" w:hAnsi="宋体" w:eastAsia="宋体" w:cs="Times New Roman"/>
                <w:kern w:val="0"/>
                <w:sz w:val="20"/>
                <w:szCs w:val="21"/>
                <w:lang w:val="en-US" w:eastAsia="zh-CN"/>
              </w:rPr>
              <w:t>2.落实政府采购政策需满足的资格要求：无；</w:t>
            </w:r>
          </w:p>
          <w:p w14:paraId="1CDB5FB8">
            <w:pPr>
              <w:keepNext w:val="0"/>
              <w:keepLines w:val="0"/>
              <w:pageBreakBefore w:val="0"/>
              <w:widowControl w:val="0"/>
              <w:kinsoku/>
              <w:wordWrap/>
              <w:overflowPunct/>
              <w:topLinePunct w:val="0"/>
              <w:autoSpaceDE w:val="0"/>
              <w:autoSpaceDN w:val="0"/>
              <w:bidi w:val="0"/>
              <w:adjustRightInd w:val="0"/>
              <w:snapToGrid/>
              <w:spacing w:before="100" w:line="360" w:lineRule="exact"/>
              <w:ind w:right="23" w:rightChars="11"/>
              <w:jc w:val="left"/>
              <w:textAlignment w:val="auto"/>
              <w:rPr>
                <w:rFonts w:hint="eastAsia" w:ascii="宋体" w:hAnsi="宋体" w:eastAsia="宋体" w:cs="Times New Roman"/>
                <w:kern w:val="0"/>
                <w:sz w:val="20"/>
                <w:szCs w:val="21"/>
                <w:lang w:val="en-US" w:eastAsia="zh-CN"/>
              </w:rPr>
            </w:pPr>
            <w:r>
              <w:rPr>
                <w:rFonts w:hint="eastAsia" w:ascii="宋体" w:hAnsi="宋体" w:eastAsia="宋体" w:cs="Times New Roman"/>
                <w:kern w:val="0"/>
                <w:sz w:val="20"/>
                <w:szCs w:val="21"/>
                <w:lang w:val="en-US" w:eastAsia="zh-CN"/>
              </w:rPr>
              <w:t>3.具备中国银行业监督管理委员会核发的《中华人民共和国金融许可证》或《金融机构营业许可证》；</w:t>
            </w:r>
          </w:p>
          <w:p w14:paraId="0E615C31">
            <w:pPr>
              <w:keepNext w:val="0"/>
              <w:keepLines w:val="0"/>
              <w:pageBreakBefore w:val="0"/>
              <w:widowControl w:val="0"/>
              <w:kinsoku/>
              <w:wordWrap/>
              <w:overflowPunct/>
              <w:topLinePunct w:val="0"/>
              <w:autoSpaceDE w:val="0"/>
              <w:autoSpaceDN w:val="0"/>
              <w:bidi w:val="0"/>
              <w:adjustRightInd w:val="0"/>
              <w:snapToGrid/>
              <w:spacing w:before="100" w:line="360" w:lineRule="exact"/>
              <w:ind w:right="23" w:rightChars="11"/>
              <w:jc w:val="left"/>
              <w:textAlignment w:val="auto"/>
              <w:rPr>
                <w:rFonts w:hint="eastAsia" w:ascii="宋体" w:hAnsi="宋体" w:cs="Times New Roman"/>
                <w:kern w:val="0"/>
                <w:sz w:val="20"/>
                <w:szCs w:val="21"/>
                <w:lang w:val="en-US" w:eastAsia="zh-CN"/>
              </w:rPr>
            </w:pPr>
            <w:r>
              <w:rPr>
                <w:rFonts w:hint="eastAsia" w:ascii="宋体" w:hAnsi="宋体" w:eastAsia="宋体" w:cs="Times New Roman"/>
                <w:kern w:val="0"/>
                <w:sz w:val="20"/>
                <w:szCs w:val="21"/>
                <w:lang w:val="en-US" w:eastAsia="zh-CN"/>
              </w:rPr>
              <w:t>4.单位负责人为同一人或者存在直接控股、管理关系的不同供应商，</w:t>
            </w:r>
            <w:r>
              <w:rPr>
                <w:rFonts w:hint="eastAsia" w:ascii="宋体" w:hAnsi="宋体" w:cs="Times New Roman"/>
                <w:kern w:val="0"/>
                <w:sz w:val="20"/>
                <w:szCs w:val="21"/>
                <w:lang w:val="en-US" w:eastAsia="zh-CN"/>
              </w:rPr>
              <w:t>不得参加同一合同项下的政府采购活动。除单一来源采购项目外，为采购项目提供整体设计、规范编制或者项目管理、监理、检测等服务的供应商，不得再参加该采购项目的其他采购活动；</w:t>
            </w:r>
          </w:p>
          <w:p w14:paraId="0A21DCB1">
            <w:pPr>
              <w:keepNext w:val="0"/>
              <w:keepLines w:val="0"/>
              <w:pageBreakBefore w:val="0"/>
              <w:widowControl w:val="0"/>
              <w:kinsoku/>
              <w:wordWrap/>
              <w:overflowPunct/>
              <w:topLinePunct w:val="0"/>
              <w:autoSpaceDE w:val="0"/>
              <w:autoSpaceDN w:val="0"/>
              <w:bidi w:val="0"/>
              <w:adjustRightInd w:val="0"/>
              <w:snapToGrid/>
              <w:spacing w:before="100" w:line="360" w:lineRule="exact"/>
              <w:ind w:right="23" w:rightChars="11"/>
              <w:jc w:val="left"/>
              <w:textAlignment w:val="auto"/>
              <w:rPr>
                <w:rFonts w:hint="eastAsia" w:ascii="宋体" w:hAnsi="宋体" w:cs="Times New Roman"/>
                <w:kern w:val="0"/>
                <w:sz w:val="20"/>
                <w:szCs w:val="21"/>
                <w:lang w:val="en-US" w:eastAsia="zh-CN"/>
              </w:rPr>
            </w:pPr>
            <w:r>
              <w:rPr>
                <w:rFonts w:hint="eastAsia" w:ascii="宋体" w:hAnsi="宋体" w:cs="Times New Roman"/>
                <w:kern w:val="0"/>
                <w:sz w:val="20"/>
                <w:szCs w:val="21"/>
                <w:lang w:val="en-US" w:eastAsia="zh-CN"/>
              </w:rPr>
              <w:t>5.参加政府采购活动前3年内没有严重违法失信行为信息记录，未被“信用中国”（www.creditchina.gov.cn）、中国政府采购网（www.ccgp.gov.cn）列入失信被执行人、重大税收违法案件当事人名单、政府采购严重违法失信行为记录名单；</w:t>
            </w:r>
          </w:p>
          <w:p w14:paraId="20BDE384">
            <w:pPr>
              <w:keepNext w:val="0"/>
              <w:keepLines w:val="0"/>
              <w:pageBreakBefore w:val="0"/>
              <w:widowControl w:val="0"/>
              <w:kinsoku/>
              <w:wordWrap/>
              <w:overflowPunct/>
              <w:topLinePunct w:val="0"/>
              <w:autoSpaceDE w:val="0"/>
              <w:autoSpaceDN w:val="0"/>
              <w:bidi w:val="0"/>
              <w:adjustRightInd w:val="0"/>
              <w:snapToGrid/>
              <w:spacing w:before="100" w:line="360" w:lineRule="exact"/>
              <w:ind w:right="23" w:rightChars="11"/>
              <w:jc w:val="left"/>
              <w:textAlignment w:val="auto"/>
              <w:rPr>
                <w:rFonts w:hint="eastAsia" w:ascii="宋体" w:hAnsi="宋体" w:cs="Times New Roman"/>
                <w:kern w:val="0"/>
                <w:sz w:val="20"/>
                <w:szCs w:val="21"/>
                <w:lang w:val="en-US" w:eastAsia="zh-CN"/>
              </w:rPr>
            </w:pPr>
            <w:r>
              <w:rPr>
                <w:rFonts w:hint="eastAsia" w:ascii="宋体" w:hAnsi="宋体" w:cs="Times New Roman"/>
                <w:kern w:val="0"/>
                <w:sz w:val="20"/>
                <w:szCs w:val="21"/>
                <w:lang w:val="en-US" w:eastAsia="zh-CN"/>
              </w:rPr>
              <w:t>6.本项目不接受联合体投标。</w:t>
            </w:r>
          </w:p>
        </w:tc>
      </w:tr>
      <w:tr w14:paraId="1AE8D6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347" w:hRule="atLeast"/>
          <w:jc w:val="center"/>
        </w:trPr>
        <w:tc>
          <w:tcPr>
            <w:tcW w:w="597" w:type="dxa"/>
            <w:vAlign w:val="center"/>
          </w:tcPr>
          <w:p w14:paraId="1648E9B3">
            <w:pPr>
              <w:jc w:val="center"/>
              <w:rPr>
                <w:rFonts w:ascii="宋体"/>
                <w:kern w:val="0"/>
                <w:sz w:val="20"/>
                <w:szCs w:val="21"/>
              </w:rPr>
            </w:pPr>
            <w:r>
              <w:rPr>
                <w:rFonts w:ascii="宋体" w:hAnsi="宋体"/>
                <w:kern w:val="0"/>
                <w:sz w:val="20"/>
                <w:szCs w:val="21"/>
              </w:rPr>
              <w:t>6</w:t>
            </w:r>
          </w:p>
        </w:tc>
        <w:tc>
          <w:tcPr>
            <w:tcW w:w="1358" w:type="dxa"/>
            <w:vAlign w:val="center"/>
          </w:tcPr>
          <w:p w14:paraId="304216AE">
            <w:pPr>
              <w:keepNext/>
              <w:keepLines w:val="0"/>
              <w:pageBreakBefore w:val="0"/>
              <w:widowControl/>
              <w:kinsoku/>
              <w:wordWrap/>
              <w:overflowPunct/>
              <w:topLinePunct w:val="0"/>
              <w:bidi w:val="0"/>
              <w:snapToGrid/>
              <w:spacing w:line="360" w:lineRule="exact"/>
              <w:jc w:val="distribute"/>
              <w:textAlignment w:val="auto"/>
              <w:rPr>
                <w:rFonts w:ascii="宋体" w:cs="Arial"/>
                <w:kern w:val="0"/>
                <w:sz w:val="20"/>
                <w:szCs w:val="21"/>
              </w:rPr>
            </w:pPr>
            <w:r>
              <w:rPr>
                <w:rFonts w:hint="eastAsia" w:ascii="宋体" w:hAnsi="宋体" w:cs="Arial"/>
                <w:kern w:val="0"/>
                <w:sz w:val="20"/>
                <w:szCs w:val="21"/>
              </w:rPr>
              <w:t>采购文件费</w:t>
            </w:r>
          </w:p>
        </w:tc>
        <w:tc>
          <w:tcPr>
            <w:tcW w:w="7125" w:type="dxa"/>
            <w:vAlign w:val="center"/>
          </w:tcPr>
          <w:p w14:paraId="65400A67">
            <w:pPr>
              <w:keepNext/>
              <w:keepLines w:val="0"/>
              <w:pageBreakBefore w:val="0"/>
              <w:widowControl/>
              <w:kinsoku/>
              <w:wordWrap/>
              <w:overflowPunct/>
              <w:topLinePunct w:val="0"/>
              <w:bidi w:val="0"/>
              <w:snapToGrid/>
              <w:spacing w:line="360" w:lineRule="exact"/>
              <w:jc w:val="left"/>
              <w:textAlignment w:val="auto"/>
              <w:rPr>
                <w:rFonts w:ascii="宋体" w:cs="Arial"/>
                <w:kern w:val="0"/>
                <w:sz w:val="20"/>
                <w:szCs w:val="21"/>
              </w:rPr>
            </w:pPr>
            <w:r>
              <w:rPr>
                <w:rFonts w:hint="eastAsia" w:ascii="宋体" w:hAnsi="宋体" w:cs="Arial"/>
                <w:kern w:val="0"/>
                <w:sz w:val="20"/>
                <w:szCs w:val="21"/>
                <w:lang w:val="en-US" w:eastAsia="zh-CN"/>
              </w:rPr>
              <w:t>0</w:t>
            </w:r>
            <w:r>
              <w:rPr>
                <w:rFonts w:hint="eastAsia" w:ascii="宋体" w:hAnsi="宋体" w:cs="Arial"/>
                <w:kern w:val="0"/>
                <w:sz w:val="20"/>
                <w:szCs w:val="21"/>
              </w:rPr>
              <w:t>元</w:t>
            </w:r>
            <w:r>
              <w:rPr>
                <w:rFonts w:ascii="宋体" w:hAnsi="宋体" w:cs="Arial"/>
                <w:kern w:val="0"/>
                <w:sz w:val="20"/>
                <w:szCs w:val="21"/>
              </w:rPr>
              <w:t>/</w:t>
            </w:r>
            <w:r>
              <w:rPr>
                <w:rFonts w:hint="eastAsia" w:ascii="宋体" w:hAnsi="宋体" w:cs="Arial"/>
                <w:kern w:val="0"/>
                <w:sz w:val="20"/>
                <w:szCs w:val="21"/>
              </w:rPr>
              <w:t>份</w:t>
            </w:r>
          </w:p>
        </w:tc>
      </w:tr>
      <w:tr w14:paraId="5BAE50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54" w:hRule="atLeast"/>
          <w:jc w:val="center"/>
        </w:trPr>
        <w:tc>
          <w:tcPr>
            <w:tcW w:w="597" w:type="dxa"/>
            <w:vAlign w:val="center"/>
          </w:tcPr>
          <w:p w14:paraId="2985DCDF">
            <w:pPr>
              <w:jc w:val="center"/>
              <w:rPr>
                <w:rFonts w:ascii="宋体"/>
                <w:kern w:val="0"/>
                <w:sz w:val="20"/>
                <w:szCs w:val="21"/>
              </w:rPr>
            </w:pPr>
            <w:r>
              <w:rPr>
                <w:rFonts w:ascii="宋体" w:hAnsi="宋体"/>
                <w:kern w:val="0"/>
                <w:sz w:val="20"/>
                <w:szCs w:val="21"/>
              </w:rPr>
              <w:t>7</w:t>
            </w:r>
          </w:p>
        </w:tc>
        <w:tc>
          <w:tcPr>
            <w:tcW w:w="1358" w:type="dxa"/>
            <w:vAlign w:val="center"/>
          </w:tcPr>
          <w:p w14:paraId="3C224D90">
            <w:pPr>
              <w:keepNext w:val="0"/>
              <w:keepLines w:val="0"/>
              <w:pageBreakBefore w:val="0"/>
              <w:widowControl w:val="0"/>
              <w:kinsoku/>
              <w:wordWrap/>
              <w:overflowPunct/>
              <w:topLinePunct w:val="0"/>
              <w:autoSpaceDE w:val="0"/>
              <w:autoSpaceDN w:val="0"/>
              <w:bidi w:val="0"/>
              <w:adjustRightInd w:val="0"/>
              <w:snapToGrid/>
              <w:spacing w:before="100" w:line="360" w:lineRule="exact"/>
              <w:ind w:right="23" w:rightChars="11"/>
              <w:jc w:val="left"/>
              <w:textAlignment w:val="auto"/>
              <w:rPr>
                <w:rFonts w:hint="eastAsia" w:ascii="宋体" w:hAnsi="宋体" w:eastAsia="宋体" w:cs="Times New Roman"/>
                <w:kern w:val="0"/>
                <w:sz w:val="20"/>
                <w:szCs w:val="21"/>
                <w:lang w:val="en-US" w:eastAsia="zh-CN"/>
              </w:rPr>
            </w:pPr>
            <w:r>
              <w:rPr>
                <w:rFonts w:hint="eastAsia" w:ascii="宋体" w:hAnsi="宋体" w:eastAsia="宋体" w:cs="Times New Roman"/>
                <w:kern w:val="0"/>
                <w:sz w:val="20"/>
                <w:szCs w:val="21"/>
                <w:lang w:val="en-US" w:eastAsia="zh-CN"/>
              </w:rPr>
              <w:t>投标保证金</w:t>
            </w:r>
          </w:p>
        </w:tc>
        <w:tc>
          <w:tcPr>
            <w:tcW w:w="7125" w:type="dxa"/>
            <w:vAlign w:val="center"/>
          </w:tcPr>
          <w:p w14:paraId="1A311684">
            <w:pPr>
              <w:keepNext w:val="0"/>
              <w:keepLines w:val="0"/>
              <w:pageBreakBefore w:val="0"/>
              <w:widowControl w:val="0"/>
              <w:kinsoku/>
              <w:wordWrap/>
              <w:overflowPunct/>
              <w:topLinePunct w:val="0"/>
              <w:autoSpaceDE w:val="0"/>
              <w:autoSpaceDN w:val="0"/>
              <w:bidi w:val="0"/>
              <w:adjustRightInd w:val="0"/>
              <w:snapToGrid/>
              <w:spacing w:before="100" w:line="360" w:lineRule="exact"/>
              <w:ind w:right="23" w:rightChars="11"/>
              <w:jc w:val="left"/>
              <w:textAlignment w:val="auto"/>
              <w:rPr>
                <w:rFonts w:hint="eastAsia" w:ascii="宋体" w:hAnsi="宋体" w:eastAsia="宋体" w:cs="Times New Roman"/>
                <w:b/>
                <w:bCs/>
                <w:kern w:val="0"/>
                <w:sz w:val="20"/>
                <w:szCs w:val="21"/>
                <w:lang w:val="en-US" w:eastAsia="zh-CN"/>
              </w:rPr>
            </w:pPr>
            <w:r>
              <w:rPr>
                <w:rFonts w:hint="eastAsia" w:ascii="宋体" w:hAnsi="宋体" w:eastAsia="宋体" w:cs="Times New Roman"/>
                <w:b/>
                <w:bCs/>
                <w:kern w:val="0"/>
                <w:sz w:val="20"/>
                <w:szCs w:val="21"/>
                <w:lang w:val="en-US" w:eastAsia="zh-CN"/>
              </w:rPr>
              <w:t>本项目不收取投标保证金</w:t>
            </w:r>
          </w:p>
          <w:p w14:paraId="18664A85">
            <w:pPr>
              <w:pStyle w:val="8"/>
              <w:keepLines w:val="0"/>
              <w:pageBreakBefore w:val="0"/>
              <w:kinsoku/>
              <w:wordWrap/>
              <w:overflowPunct/>
              <w:topLinePunct w:val="0"/>
              <w:bidi w:val="0"/>
              <w:snapToGrid/>
              <w:spacing w:line="360" w:lineRule="exact"/>
              <w:ind w:left="0" w:leftChars="0" w:firstLine="0" w:firstLineChars="0"/>
              <w:textAlignment w:val="auto"/>
              <w:rPr>
                <w:rFonts w:hint="eastAsia"/>
                <w:lang w:val="en-US" w:eastAsia="zh-CN"/>
              </w:rPr>
            </w:pPr>
            <w:r>
              <w:rPr>
                <w:rFonts w:hint="eastAsia" w:ascii="宋体" w:hAnsi="宋体" w:eastAsia="宋体" w:cs="Times New Roman"/>
                <w:kern w:val="0"/>
                <w:sz w:val="20"/>
                <w:szCs w:val="21"/>
                <w:lang w:val="en-US" w:eastAsia="zh-CN" w:bidi="ar-SA"/>
              </w:rPr>
              <w:t>1、投标保证金必须从投标人的基本账户汇到指定的投标保证金专用帐户（支票、汇票、本票或者金融机构、担保机构出具的保函等非现金）。</w:t>
            </w:r>
            <w:r>
              <w:rPr>
                <w:rFonts w:hint="eastAsia" w:ascii="宋体" w:hAnsi="宋体" w:eastAsia="宋体" w:cs="Times New Roman"/>
                <w:kern w:val="0"/>
                <w:sz w:val="20"/>
                <w:szCs w:val="21"/>
                <w:lang w:val="en-US" w:eastAsia="zh-CN" w:bidi="ar-SA"/>
              </w:rPr>
              <w:br w:type="textWrapping"/>
            </w:r>
            <w:r>
              <w:rPr>
                <w:rFonts w:hint="eastAsia" w:ascii="宋体" w:hAnsi="宋体" w:eastAsia="宋体" w:cs="Times New Roman"/>
                <w:kern w:val="0"/>
                <w:sz w:val="20"/>
                <w:szCs w:val="21"/>
                <w:lang w:val="en-US" w:eastAsia="zh-CN" w:bidi="ar-SA"/>
              </w:rPr>
              <w:t>投标企业应在投标截止前由企业基本账户汇入下列账户</w:t>
            </w:r>
            <w:r>
              <w:rPr>
                <w:rFonts w:hint="eastAsia" w:ascii="宋体" w:hAnsi="宋体" w:eastAsia="宋体" w:cs="Times New Roman"/>
                <w:kern w:val="0"/>
                <w:sz w:val="20"/>
                <w:szCs w:val="21"/>
                <w:lang w:val="en-US" w:eastAsia="zh-CN" w:bidi="ar-SA"/>
              </w:rPr>
              <w:br w:type="textWrapping"/>
            </w:r>
            <w:r>
              <w:rPr>
                <w:rFonts w:hint="eastAsia" w:ascii="宋体" w:hAnsi="宋体" w:eastAsia="宋体" w:cs="Times New Roman"/>
                <w:kern w:val="0"/>
                <w:sz w:val="20"/>
                <w:szCs w:val="21"/>
                <w:lang w:val="en-US" w:eastAsia="zh-CN" w:bidi="ar-SA"/>
              </w:rPr>
              <w:t>金额（小写）：/ 元人民币</w:t>
            </w:r>
            <w:r>
              <w:rPr>
                <w:rFonts w:hint="eastAsia" w:ascii="宋体" w:hAnsi="宋体" w:eastAsia="宋体" w:cs="Times New Roman"/>
                <w:kern w:val="0"/>
                <w:sz w:val="20"/>
                <w:szCs w:val="21"/>
                <w:lang w:val="en-US" w:eastAsia="zh-CN" w:bidi="ar-SA"/>
              </w:rPr>
              <w:br w:type="textWrapping"/>
            </w:r>
            <w:r>
              <w:rPr>
                <w:rFonts w:hint="eastAsia" w:ascii="宋体" w:hAnsi="宋体" w:eastAsia="宋体" w:cs="Times New Roman"/>
                <w:kern w:val="0"/>
                <w:sz w:val="20"/>
                <w:szCs w:val="21"/>
                <w:lang w:val="en-US" w:eastAsia="zh-CN" w:bidi="ar-SA"/>
              </w:rPr>
              <w:t>金额（大写）：/元整</w:t>
            </w:r>
            <w:r>
              <w:rPr>
                <w:rFonts w:hint="eastAsia" w:ascii="宋体" w:hAnsi="宋体" w:eastAsia="宋体" w:cs="Times New Roman"/>
                <w:kern w:val="0"/>
                <w:sz w:val="20"/>
                <w:szCs w:val="21"/>
                <w:lang w:val="en-US" w:eastAsia="zh-CN" w:bidi="ar-SA"/>
              </w:rPr>
              <w:br w:type="textWrapping"/>
            </w:r>
            <w:r>
              <w:rPr>
                <w:rFonts w:hint="eastAsia" w:ascii="宋体" w:hAnsi="宋体" w:eastAsia="宋体" w:cs="Times New Roman"/>
                <w:kern w:val="0"/>
                <w:sz w:val="20"/>
                <w:szCs w:val="21"/>
                <w:lang w:val="en-US" w:eastAsia="zh-CN" w:bidi="ar-SA"/>
              </w:rPr>
              <w:t>单位名称：</w:t>
            </w:r>
            <w:r>
              <w:rPr>
                <w:rFonts w:hint="eastAsia" w:ascii="宋体" w:hAnsi="宋体" w:cs="Times New Roman"/>
                <w:kern w:val="0"/>
                <w:sz w:val="20"/>
                <w:szCs w:val="21"/>
                <w:lang w:val="en-US" w:eastAsia="zh-CN" w:bidi="ar-SA"/>
              </w:rPr>
              <w:t>新疆公正工程造价房地产评估有限责任公司</w:t>
            </w:r>
            <w:r>
              <w:rPr>
                <w:rFonts w:hint="eastAsia" w:ascii="宋体" w:hAnsi="宋体" w:eastAsia="宋体" w:cs="Times New Roman"/>
                <w:kern w:val="0"/>
                <w:sz w:val="20"/>
                <w:szCs w:val="21"/>
                <w:lang w:val="en-US" w:eastAsia="zh-CN" w:bidi="ar-SA"/>
              </w:rPr>
              <w:br w:type="textWrapping"/>
            </w:r>
            <w:r>
              <w:rPr>
                <w:rFonts w:hint="eastAsia" w:ascii="宋体" w:hAnsi="宋体" w:eastAsia="宋体" w:cs="Times New Roman"/>
                <w:kern w:val="0"/>
                <w:sz w:val="20"/>
                <w:szCs w:val="21"/>
                <w:lang w:val="en-US" w:eastAsia="zh-CN" w:bidi="ar-SA"/>
              </w:rPr>
              <w:t>开户行：</w:t>
            </w:r>
            <w:r>
              <w:rPr>
                <w:rFonts w:hint="eastAsia" w:ascii="宋体" w:hAnsi="宋体" w:cs="Times New Roman"/>
                <w:kern w:val="0"/>
                <w:sz w:val="20"/>
                <w:szCs w:val="21"/>
                <w:lang w:val="en-US" w:eastAsia="zh-CN" w:bidi="ar-SA"/>
              </w:rPr>
              <w:t>/</w:t>
            </w:r>
            <w:r>
              <w:rPr>
                <w:rFonts w:hint="eastAsia" w:ascii="宋体" w:hAnsi="宋体" w:eastAsia="宋体" w:cs="Times New Roman"/>
                <w:kern w:val="0"/>
                <w:sz w:val="20"/>
                <w:szCs w:val="21"/>
                <w:lang w:val="en-US" w:eastAsia="zh-CN" w:bidi="ar-SA"/>
              </w:rPr>
              <w:br w:type="textWrapping"/>
            </w:r>
            <w:r>
              <w:rPr>
                <w:rFonts w:hint="eastAsia" w:ascii="宋体" w:hAnsi="宋体" w:eastAsia="宋体" w:cs="Times New Roman"/>
                <w:kern w:val="0"/>
                <w:sz w:val="20"/>
                <w:szCs w:val="21"/>
                <w:lang w:val="en-US" w:eastAsia="zh-CN" w:bidi="ar-SA"/>
              </w:rPr>
              <w:t>账号：</w:t>
            </w:r>
            <w:r>
              <w:rPr>
                <w:rFonts w:hint="eastAsia" w:ascii="宋体" w:hAnsi="宋体" w:cs="Times New Roman"/>
                <w:kern w:val="0"/>
                <w:sz w:val="20"/>
                <w:szCs w:val="21"/>
                <w:lang w:val="en-US" w:eastAsia="zh-CN" w:bidi="ar-SA"/>
              </w:rPr>
              <w:t>/</w:t>
            </w:r>
            <w:r>
              <w:rPr>
                <w:rFonts w:hint="eastAsia" w:ascii="宋体" w:hAnsi="宋体" w:eastAsia="宋体" w:cs="Times New Roman"/>
                <w:kern w:val="0"/>
                <w:sz w:val="20"/>
                <w:szCs w:val="21"/>
                <w:lang w:val="en-US" w:eastAsia="zh-CN" w:bidi="ar-SA"/>
              </w:rPr>
              <w:br w:type="textWrapping"/>
            </w:r>
            <w:r>
              <w:rPr>
                <w:rFonts w:hint="eastAsia" w:ascii="宋体" w:hAnsi="宋体" w:eastAsia="宋体" w:cs="Times New Roman"/>
                <w:kern w:val="0"/>
                <w:sz w:val="20"/>
                <w:szCs w:val="21"/>
                <w:lang w:val="en-US" w:eastAsia="zh-CN" w:bidi="ar-SA"/>
              </w:rPr>
              <w:t>行号：</w:t>
            </w:r>
            <w:r>
              <w:rPr>
                <w:rFonts w:hint="eastAsia" w:ascii="宋体" w:hAnsi="宋体" w:cs="Times New Roman"/>
                <w:kern w:val="0"/>
                <w:sz w:val="20"/>
                <w:szCs w:val="21"/>
                <w:lang w:val="en-US" w:eastAsia="zh-CN" w:bidi="ar-SA"/>
              </w:rPr>
              <w:t>/</w:t>
            </w:r>
            <w:r>
              <w:rPr>
                <w:rFonts w:hint="eastAsia" w:ascii="宋体" w:hAnsi="宋体" w:eastAsia="宋体" w:cs="Times New Roman"/>
                <w:kern w:val="0"/>
                <w:sz w:val="20"/>
                <w:szCs w:val="21"/>
                <w:lang w:val="en-US" w:eastAsia="zh-CN" w:bidi="ar-SA"/>
              </w:rPr>
              <w:br w:type="textWrapping"/>
            </w:r>
            <w:r>
              <w:rPr>
                <w:rFonts w:hint="eastAsia" w:ascii="宋体" w:hAnsi="宋体" w:eastAsia="宋体" w:cs="Times New Roman"/>
                <w:kern w:val="0"/>
                <w:sz w:val="20"/>
                <w:szCs w:val="21"/>
                <w:lang w:val="en-US" w:eastAsia="zh-CN" w:bidi="ar-SA"/>
              </w:rPr>
              <w:t>2、采用银行保函、专业公司保证担保的应当从其基本账户开具，开标时需提供相对应的银行保函、专业公司保证担保的担保证明扫描件及保函财务费用支出凭证。如未从基本账户缴纳的视为无效。</w:t>
            </w:r>
          </w:p>
        </w:tc>
      </w:tr>
      <w:tr w14:paraId="565221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87" w:hRule="atLeast"/>
          <w:jc w:val="center"/>
        </w:trPr>
        <w:tc>
          <w:tcPr>
            <w:tcW w:w="597" w:type="dxa"/>
            <w:vAlign w:val="center"/>
          </w:tcPr>
          <w:p w14:paraId="1D9F18FB">
            <w:pPr>
              <w:jc w:val="center"/>
              <w:rPr>
                <w:rFonts w:hint="eastAsia" w:ascii="宋体" w:eastAsia="宋体"/>
                <w:kern w:val="0"/>
                <w:sz w:val="20"/>
                <w:szCs w:val="21"/>
                <w:lang w:eastAsia="zh-CN"/>
              </w:rPr>
            </w:pPr>
            <w:r>
              <w:rPr>
                <w:rFonts w:hint="eastAsia" w:ascii="宋体" w:hAnsi="宋体"/>
                <w:kern w:val="0"/>
                <w:sz w:val="20"/>
                <w:szCs w:val="21"/>
                <w:lang w:val="en-US" w:eastAsia="zh-CN"/>
              </w:rPr>
              <w:t>8</w:t>
            </w:r>
          </w:p>
        </w:tc>
        <w:tc>
          <w:tcPr>
            <w:tcW w:w="1358" w:type="dxa"/>
            <w:vAlign w:val="center"/>
          </w:tcPr>
          <w:p w14:paraId="172C6213">
            <w:pPr>
              <w:keepNext/>
              <w:keepLines w:val="0"/>
              <w:pageBreakBefore w:val="0"/>
              <w:widowControl/>
              <w:kinsoku/>
              <w:wordWrap/>
              <w:overflowPunct/>
              <w:topLinePunct w:val="0"/>
              <w:bidi w:val="0"/>
              <w:snapToGrid/>
              <w:spacing w:line="360" w:lineRule="exact"/>
              <w:jc w:val="left"/>
              <w:textAlignment w:val="auto"/>
              <w:rPr>
                <w:rFonts w:hint="eastAsia" w:ascii="宋体" w:hAnsi="宋体" w:eastAsia="宋体" w:cs="宋体"/>
                <w:kern w:val="0"/>
                <w:sz w:val="20"/>
                <w:szCs w:val="21"/>
                <w:lang w:eastAsia="zh-CN"/>
              </w:rPr>
            </w:pPr>
            <w:r>
              <w:rPr>
                <w:rFonts w:hint="eastAsia" w:ascii="宋体" w:hAnsi="宋体" w:eastAsia="宋体" w:cs="宋体"/>
                <w:kern w:val="0"/>
                <w:sz w:val="20"/>
                <w:szCs w:val="21"/>
              </w:rPr>
              <w:t>投标文件</w:t>
            </w:r>
            <w:r>
              <w:rPr>
                <w:rFonts w:hint="eastAsia" w:ascii="宋体" w:hAnsi="宋体" w:eastAsia="宋体" w:cs="宋体"/>
                <w:kern w:val="0"/>
                <w:sz w:val="20"/>
                <w:szCs w:val="21"/>
                <w:lang w:val="en-US" w:eastAsia="zh-CN"/>
              </w:rPr>
              <w:t>要求</w:t>
            </w:r>
          </w:p>
        </w:tc>
        <w:tc>
          <w:tcPr>
            <w:tcW w:w="7125" w:type="dxa"/>
            <w:vAlign w:val="center"/>
          </w:tcPr>
          <w:p w14:paraId="0A8A1BA6">
            <w:pPr>
              <w:keepNext/>
              <w:keepLines w:val="0"/>
              <w:pageBreakBefore w:val="0"/>
              <w:widowControl/>
              <w:kinsoku/>
              <w:wordWrap/>
              <w:overflowPunct/>
              <w:topLinePunct w:val="0"/>
              <w:bidi w:val="0"/>
              <w:snapToGrid/>
              <w:spacing w:line="360" w:lineRule="exact"/>
              <w:jc w:val="left"/>
              <w:textAlignment w:val="auto"/>
              <w:rPr>
                <w:rFonts w:hint="eastAsia" w:ascii="宋体" w:hAnsi="宋体" w:eastAsia="宋体" w:cs="宋体"/>
                <w:b/>
                <w:bCs/>
                <w:color w:val="auto"/>
                <w:kern w:val="0"/>
                <w:sz w:val="20"/>
                <w:szCs w:val="21"/>
              </w:rPr>
            </w:pPr>
            <w:r>
              <w:rPr>
                <w:rFonts w:hint="eastAsia" w:ascii="宋体" w:hAnsi="宋体" w:eastAsia="宋体" w:cs="宋体"/>
                <w:b/>
                <w:bCs/>
                <w:color w:val="auto"/>
                <w:kern w:val="0"/>
                <w:sz w:val="20"/>
                <w:szCs w:val="21"/>
              </w:rPr>
              <w:t>本项目采用远程不见面电子标的方式开标，须在响应文件递交截止时间前通过新疆政府采购云平台https://www.zcygov.cn/登录后，将加密电子响应文件上传到对应项目的的指定位置。</w:t>
            </w:r>
          </w:p>
        </w:tc>
      </w:tr>
      <w:tr w14:paraId="2C1F94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896" w:hRule="atLeast"/>
          <w:jc w:val="center"/>
        </w:trPr>
        <w:tc>
          <w:tcPr>
            <w:tcW w:w="597" w:type="dxa"/>
            <w:vAlign w:val="center"/>
          </w:tcPr>
          <w:p w14:paraId="27FEFBF9">
            <w:pPr>
              <w:jc w:val="center"/>
              <w:rPr>
                <w:rFonts w:hint="eastAsia" w:ascii="宋体" w:eastAsia="宋体"/>
                <w:kern w:val="0"/>
                <w:sz w:val="20"/>
                <w:szCs w:val="21"/>
                <w:lang w:eastAsia="zh-CN"/>
              </w:rPr>
            </w:pPr>
            <w:r>
              <w:rPr>
                <w:rFonts w:hint="eastAsia" w:ascii="宋体" w:hAnsi="宋体"/>
                <w:kern w:val="0"/>
                <w:sz w:val="20"/>
                <w:szCs w:val="21"/>
                <w:lang w:val="en-US" w:eastAsia="zh-CN"/>
              </w:rPr>
              <w:t>9</w:t>
            </w:r>
          </w:p>
        </w:tc>
        <w:tc>
          <w:tcPr>
            <w:tcW w:w="1358" w:type="dxa"/>
            <w:vAlign w:val="center"/>
          </w:tcPr>
          <w:p w14:paraId="49F3781B">
            <w:pPr>
              <w:keepNext/>
              <w:keepLines w:val="0"/>
              <w:pageBreakBefore w:val="0"/>
              <w:widowControl/>
              <w:kinsoku/>
              <w:wordWrap/>
              <w:overflowPunct/>
              <w:topLinePunct w:val="0"/>
              <w:bidi w:val="0"/>
              <w:snapToGrid/>
              <w:spacing w:line="360" w:lineRule="exact"/>
              <w:jc w:val="left"/>
              <w:textAlignment w:val="auto"/>
              <w:rPr>
                <w:rFonts w:hint="eastAsia" w:ascii="宋体" w:hAnsi="宋体" w:eastAsia="宋体" w:cs="宋体"/>
                <w:kern w:val="0"/>
                <w:sz w:val="20"/>
                <w:szCs w:val="21"/>
              </w:rPr>
            </w:pPr>
            <w:r>
              <w:rPr>
                <w:rFonts w:hint="eastAsia" w:ascii="宋体" w:hAnsi="宋体" w:eastAsia="宋体" w:cs="宋体"/>
                <w:kern w:val="0"/>
                <w:sz w:val="20"/>
                <w:szCs w:val="21"/>
              </w:rPr>
              <w:t>投标文件递交</w:t>
            </w:r>
          </w:p>
        </w:tc>
        <w:tc>
          <w:tcPr>
            <w:tcW w:w="7125" w:type="dxa"/>
            <w:vAlign w:val="center"/>
          </w:tcPr>
          <w:p w14:paraId="6AEE4023">
            <w:pPr>
              <w:keepNext/>
              <w:keepLines w:val="0"/>
              <w:pageBreakBefore w:val="0"/>
              <w:widowControl/>
              <w:kinsoku/>
              <w:wordWrap/>
              <w:overflowPunct/>
              <w:topLinePunct w:val="0"/>
              <w:bidi w:val="0"/>
              <w:snapToGrid/>
              <w:spacing w:line="360" w:lineRule="exact"/>
              <w:jc w:val="left"/>
              <w:textAlignment w:val="auto"/>
              <w:rPr>
                <w:rFonts w:hint="eastAsia" w:ascii="宋体" w:hAnsi="宋体" w:eastAsia="宋体" w:cs="宋体"/>
                <w:b/>
                <w:bCs/>
                <w:color w:val="auto"/>
                <w:kern w:val="0"/>
                <w:sz w:val="20"/>
                <w:szCs w:val="21"/>
              </w:rPr>
            </w:pPr>
            <w:r>
              <w:rPr>
                <w:rFonts w:hint="eastAsia" w:ascii="宋体" w:hAnsi="宋体" w:eastAsia="宋体" w:cs="宋体"/>
                <w:b/>
                <w:bCs/>
                <w:color w:val="auto"/>
                <w:kern w:val="0"/>
                <w:sz w:val="20"/>
                <w:szCs w:val="21"/>
              </w:rPr>
              <w:t>截止时间：</w:t>
            </w:r>
            <w:r>
              <w:rPr>
                <w:rFonts w:hint="eastAsia" w:ascii="宋体" w:hAnsi="宋体" w:cs="宋体"/>
                <w:b/>
                <w:bCs/>
                <w:color w:val="auto"/>
                <w:kern w:val="0"/>
                <w:sz w:val="20"/>
                <w:szCs w:val="21"/>
                <w:lang w:eastAsia="zh-CN"/>
              </w:rPr>
              <w:t>2025年</w:t>
            </w:r>
            <w:r>
              <w:rPr>
                <w:rFonts w:hint="eastAsia" w:ascii="宋体" w:hAnsi="宋体" w:cs="宋体"/>
                <w:b/>
                <w:bCs/>
                <w:color w:val="auto"/>
                <w:kern w:val="0"/>
                <w:sz w:val="20"/>
                <w:szCs w:val="21"/>
                <w:lang w:val="en-US" w:eastAsia="zh-CN"/>
              </w:rPr>
              <w:t>5月07日12</w:t>
            </w:r>
            <w:r>
              <w:rPr>
                <w:rFonts w:hint="eastAsia" w:ascii="宋体" w:hAnsi="宋体" w:eastAsia="宋体" w:cs="宋体"/>
                <w:b/>
                <w:bCs/>
                <w:color w:val="auto"/>
                <w:kern w:val="0"/>
                <w:sz w:val="20"/>
                <w:szCs w:val="21"/>
              </w:rPr>
              <w:t>时</w:t>
            </w:r>
            <w:r>
              <w:rPr>
                <w:rFonts w:hint="eastAsia" w:ascii="宋体" w:hAnsi="宋体" w:cs="宋体"/>
                <w:b/>
                <w:bCs/>
                <w:color w:val="auto"/>
                <w:kern w:val="0"/>
                <w:sz w:val="20"/>
                <w:szCs w:val="21"/>
                <w:lang w:val="en-US" w:eastAsia="zh-CN"/>
              </w:rPr>
              <w:t>00</w:t>
            </w:r>
            <w:r>
              <w:rPr>
                <w:rFonts w:hint="eastAsia" w:ascii="宋体" w:hAnsi="宋体" w:eastAsia="宋体" w:cs="宋体"/>
                <w:b/>
                <w:bCs/>
                <w:color w:val="auto"/>
                <w:kern w:val="0"/>
                <w:sz w:val="20"/>
                <w:szCs w:val="21"/>
              </w:rPr>
              <w:t>分（北京时间）</w:t>
            </w:r>
          </w:p>
          <w:p w14:paraId="50FE526A">
            <w:pPr>
              <w:keepNext/>
              <w:keepLines w:val="0"/>
              <w:pageBreakBefore w:val="0"/>
              <w:widowControl/>
              <w:kinsoku/>
              <w:wordWrap/>
              <w:overflowPunct/>
              <w:topLinePunct w:val="0"/>
              <w:bidi w:val="0"/>
              <w:snapToGrid/>
              <w:spacing w:line="360" w:lineRule="exact"/>
              <w:jc w:val="left"/>
              <w:textAlignment w:val="auto"/>
              <w:rPr>
                <w:rFonts w:hint="eastAsia" w:ascii="宋体" w:hAnsi="宋体" w:eastAsia="宋体" w:cs="宋体"/>
                <w:b/>
                <w:bCs/>
                <w:color w:val="auto"/>
                <w:kern w:val="0"/>
                <w:sz w:val="20"/>
                <w:szCs w:val="21"/>
              </w:rPr>
            </w:pPr>
            <w:r>
              <w:rPr>
                <w:rFonts w:hint="eastAsia" w:ascii="宋体" w:hAnsi="宋体" w:eastAsia="宋体" w:cs="宋体"/>
                <w:b/>
                <w:bCs/>
                <w:color w:val="auto"/>
                <w:kern w:val="0"/>
                <w:sz w:val="20"/>
                <w:szCs w:val="21"/>
              </w:rPr>
              <w:t>递交地点：在线递交，通过新疆政府采购云平台https://www.zcygov.cn/登录后，将电子响应文件上传到对应项目的的指定位置。</w:t>
            </w:r>
          </w:p>
          <w:p w14:paraId="0B9C90B8">
            <w:pPr>
              <w:keepNext/>
              <w:keepLines w:val="0"/>
              <w:pageBreakBefore w:val="0"/>
              <w:widowControl/>
              <w:kinsoku/>
              <w:wordWrap/>
              <w:overflowPunct/>
              <w:topLinePunct w:val="0"/>
              <w:bidi w:val="0"/>
              <w:snapToGrid/>
              <w:spacing w:line="360" w:lineRule="exact"/>
              <w:jc w:val="left"/>
              <w:textAlignment w:val="auto"/>
              <w:rPr>
                <w:rFonts w:hint="eastAsia" w:ascii="宋体" w:hAnsi="宋体" w:eastAsia="宋体" w:cs="宋体"/>
                <w:b/>
                <w:bCs/>
                <w:color w:val="auto"/>
                <w:kern w:val="0"/>
                <w:sz w:val="20"/>
                <w:szCs w:val="21"/>
              </w:rPr>
            </w:pPr>
            <w:r>
              <w:rPr>
                <w:rFonts w:hint="eastAsia" w:ascii="宋体" w:hAnsi="宋体" w:eastAsia="宋体" w:cs="宋体"/>
                <w:b/>
                <w:bCs/>
                <w:color w:val="auto"/>
                <w:kern w:val="0"/>
                <w:sz w:val="20"/>
                <w:szCs w:val="21"/>
              </w:rPr>
              <w:t>本项目投标文件解密时间为</w:t>
            </w:r>
            <w:bookmarkStart w:id="129" w:name="_GoBack"/>
            <w:r>
              <w:rPr>
                <w:rFonts w:hint="eastAsia" w:ascii="宋体" w:hAnsi="宋体" w:eastAsia="宋体" w:cs="宋体"/>
                <w:b/>
                <w:bCs/>
                <w:color w:val="auto"/>
                <w:kern w:val="0"/>
                <w:sz w:val="20"/>
                <w:szCs w:val="21"/>
              </w:rPr>
              <w:t>30</w:t>
            </w:r>
            <w:bookmarkEnd w:id="129"/>
            <w:r>
              <w:rPr>
                <w:rFonts w:hint="eastAsia" w:ascii="宋体" w:hAnsi="宋体" w:eastAsia="宋体" w:cs="宋体"/>
                <w:b/>
                <w:bCs/>
                <w:color w:val="auto"/>
                <w:kern w:val="0"/>
                <w:sz w:val="20"/>
                <w:szCs w:val="21"/>
              </w:rPr>
              <w:t>分钟，如因自身原因导致无法正常解密，后果由供应商自行承担。</w:t>
            </w:r>
          </w:p>
        </w:tc>
      </w:tr>
      <w:tr w14:paraId="6ACB10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1C3BC372">
            <w:pPr>
              <w:jc w:val="center"/>
              <w:rPr>
                <w:rFonts w:hint="default" w:ascii="宋体" w:eastAsia="宋体"/>
                <w:kern w:val="0"/>
                <w:sz w:val="20"/>
                <w:szCs w:val="21"/>
                <w:lang w:val="en-US" w:eastAsia="zh-CN"/>
              </w:rPr>
            </w:pPr>
            <w:r>
              <w:rPr>
                <w:rFonts w:hint="eastAsia" w:ascii="宋体" w:hAnsi="宋体"/>
                <w:kern w:val="0"/>
                <w:sz w:val="20"/>
                <w:szCs w:val="21"/>
                <w:lang w:val="en-US" w:eastAsia="zh-CN"/>
              </w:rPr>
              <w:t>10</w:t>
            </w:r>
          </w:p>
        </w:tc>
        <w:tc>
          <w:tcPr>
            <w:tcW w:w="1358" w:type="dxa"/>
            <w:vAlign w:val="center"/>
          </w:tcPr>
          <w:p w14:paraId="0B518A28">
            <w:pPr>
              <w:keepNext/>
              <w:keepLines w:val="0"/>
              <w:pageBreakBefore w:val="0"/>
              <w:widowControl/>
              <w:kinsoku/>
              <w:wordWrap/>
              <w:overflowPunct/>
              <w:topLinePunct w:val="0"/>
              <w:bidi w:val="0"/>
              <w:snapToGrid/>
              <w:spacing w:line="360" w:lineRule="exact"/>
              <w:jc w:val="distribute"/>
              <w:textAlignment w:val="auto"/>
              <w:rPr>
                <w:rFonts w:ascii="宋体" w:cs="Arial"/>
                <w:kern w:val="0"/>
                <w:sz w:val="20"/>
                <w:szCs w:val="21"/>
              </w:rPr>
            </w:pPr>
            <w:r>
              <w:rPr>
                <w:rFonts w:hint="eastAsia" w:ascii="宋体" w:hAnsi="宋体" w:cs="Arial"/>
                <w:kern w:val="0"/>
                <w:sz w:val="20"/>
                <w:szCs w:val="21"/>
              </w:rPr>
              <w:t>开标</w:t>
            </w:r>
          </w:p>
        </w:tc>
        <w:tc>
          <w:tcPr>
            <w:tcW w:w="7125" w:type="dxa"/>
            <w:vAlign w:val="center"/>
          </w:tcPr>
          <w:p w14:paraId="588BADAE">
            <w:pPr>
              <w:keepNext/>
              <w:keepLines w:val="0"/>
              <w:pageBreakBefore w:val="0"/>
              <w:widowControl/>
              <w:kinsoku/>
              <w:wordWrap/>
              <w:overflowPunct/>
              <w:topLinePunct w:val="0"/>
              <w:bidi w:val="0"/>
              <w:snapToGrid/>
              <w:spacing w:line="360" w:lineRule="exact"/>
              <w:jc w:val="left"/>
              <w:textAlignment w:val="auto"/>
              <w:rPr>
                <w:rFonts w:hint="eastAsia" w:ascii="宋体" w:hAnsi="宋体" w:cs="宋体"/>
                <w:b/>
                <w:bCs/>
                <w:color w:val="auto"/>
                <w:kern w:val="0"/>
                <w:sz w:val="20"/>
                <w:szCs w:val="21"/>
              </w:rPr>
            </w:pPr>
            <w:r>
              <w:rPr>
                <w:rFonts w:hint="eastAsia" w:ascii="宋体" w:hAnsi="宋体" w:cs="宋体"/>
                <w:b/>
                <w:bCs/>
                <w:color w:val="auto"/>
                <w:kern w:val="0"/>
                <w:sz w:val="20"/>
                <w:szCs w:val="21"/>
              </w:rPr>
              <w:t>时间：20</w:t>
            </w:r>
            <w:r>
              <w:rPr>
                <w:rFonts w:hint="eastAsia" w:ascii="宋体" w:hAnsi="宋体" w:cs="宋体"/>
                <w:b/>
                <w:bCs/>
                <w:color w:val="auto"/>
                <w:kern w:val="0"/>
                <w:sz w:val="20"/>
                <w:szCs w:val="21"/>
                <w:lang w:val="en-US" w:eastAsia="zh-CN"/>
              </w:rPr>
              <w:t>25</w:t>
            </w:r>
            <w:r>
              <w:rPr>
                <w:rFonts w:hint="eastAsia" w:ascii="宋体" w:hAnsi="宋体" w:cs="宋体"/>
                <w:b/>
                <w:bCs/>
                <w:color w:val="auto"/>
                <w:kern w:val="0"/>
                <w:sz w:val="20"/>
                <w:szCs w:val="21"/>
              </w:rPr>
              <w:t>年</w:t>
            </w:r>
            <w:r>
              <w:rPr>
                <w:rFonts w:hint="eastAsia" w:ascii="宋体" w:hAnsi="宋体" w:cs="宋体"/>
                <w:b/>
                <w:bCs/>
                <w:color w:val="auto"/>
                <w:kern w:val="0"/>
                <w:sz w:val="20"/>
                <w:szCs w:val="21"/>
                <w:lang w:val="en-US" w:eastAsia="zh-CN"/>
              </w:rPr>
              <w:t>5</w:t>
            </w:r>
            <w:r>
              <w:rPr>
                <w:rFonts w:hint="eastAsia" w:ascii="宋体" w:hAnsi="宋体" w:cs="宋体"/>
                <w:b/>
                <w:bCs/>
                <w:color w:val="auto"/>
                <w:kern w:val="0"/>
                <w:sz w:val="20"/>
                <w:szCs w:val="21"/>
              </w:rPr>
              <w:t>月</w:t>
            </w:r>
            <w:r>
              <w:rPr>
                <w:rFonts w:hint="eastAsia" w:ascii="宋体" w:hAnsi="宋体" w:cs="宋体"/>
                <w:b/>
                <w:bCs/>
                <w:color w:val="auto"/>
                <w:kern w:val="0"/>
                <w:sz w:val="20"/>
                <w:szCs w:val="21"/>
                <w:lang w:val="en-US" w:eastAsia="zh-CN"/>
              </w:rPr>
              <w:t xml:space="preserve">07 </w:t>
            </w:r>
            <w:r>
              <w:rPr>
                <w:rFonts w:hint="eastAsia" w:ascii="宋体" w:hAnsi="宋体" w:cs="宋体"/>
                <w:b/>
                <w:bCs/>
                <w:color w:val="auto"/>
                <w:kern w:val="0"/>
                <w:sz w:val="20"/>
                <w:szCs w:val="21"/>
              </w:rPr>
              <w:t>日</w:t>
            </w:r>
            <w:r>
              <w:rPr>
                <w:rFonts w:hint="eastAsia" w:ascii="宋体" w:hAnsi="宋体" w:cs="宋体"/>
                <w:b/>
                <w:bCs/>
                <w:color w:val="auto"/>
                <w:kern w:val="0"/>
                <w:sz w:val="20"/>
                <w:szCs w:val="21"/>
                <w:lang w:val="en-US" w:eastAsia="zh-CN"/>
              </w:rPr>
              <w:t>12</w:t>
            </w:r>
            <w:r>
              <w:rPr>
                <w:rFonts w:hint="eastAsia" w:ascii="宋体" w:hAnsi="宋体" w:cs="宋体"/>
                <w:b/>
                <w:bCs/>
                <w:color w:val="auto"/>
                <w:kern w:val="0"/>
                <w:sz w:val="20"/>
                <w:szCs w:val="21"/>
              </w:rPr>
              <w:t>时</w:t>
            </w:r>
            <w:r>
              <w:rPr>
                <w:rFonts w:hint="eastAsia" w:ascii="宋体" w:hAnsi="宋体" w:cs="宋体"/>
                <w:b/>
                <w:bCs/>
                <w:color w:val="auto"/>
                <w:kern w:val="0"/>
                <w:sz w:val="20"/>
                <w:szCs w:val="21"/>
                <w:lang w:val="en-US" w:eastAsia="zh-CN"/>
              </w:rPr>
              <w:t>00</w:t>
            </w:r>
            <w:r>
              <w:rPr>
                <w:rFonts w:hint="eastAsia" w:ascii="宋体" w:hAnsi="宋体" w:cs="宋体"/>
                <w:b/>
                <w:bCs/>
                <w:color w:val="auto"/>
                <w:kern w:val="0"/>
                <w:sz w:val="20"/>
                <w:szCs w:val="21"/>
              </w:rPr>
              <w:t>分（北京时间）</w:t>
            </w:r>
          </w:p>
          <w:p w14:paraId="625177D5">
            <w:pPr>
              <w:keepLines w:val="0"/>
              <w:pageBreakBefore w:val="0"/>
              <w:numPr>
                <w:ilvl w:val="0"/>
                <w:numId w:val="0"/>
              </w:numPr>
              <w:kinsoku/>
              <w:wordWrap/>
              <w:overflowPunct/>
              <w:topLinePunct w:val="0"/>
              <w:autoSpaceDE/>
              <w:autoSpaceDN/>
              <w:bidi w:val="0"/>
              <w:adjustRightInd/>
              <w:snapToGrid/>
              <w:spacing w:line="360" w:lineRule="exact"/>
              <w:textAlignment w:val="auto"/>
              <w:rPr>
                <w:rFonts w:hint="eastAsia" w:ascii="宋体" w:hAnsi="宋体" w:cs="宋体"/>
                <w:b/>
                <w:bCs/>
                <w:color w:val="auto"/>
                <w:kern w:val="0"/>
                <w:sz w:val="20"/>
                <w:szCs w:val="21"/>
              </w:rPr>
            </w:pPr>
            <w:r>
              <w:rPr>
                <w:rFonts w:hint="eastAsia" w:ascii="宋体" w:hAnsi="宋体" w:cs="宋体"/>
                <w:b/>
                <w:bCs/>
                <w:color w:val="auto"/>
                <w:kern w:val="0"/>
                <w:sz w:val="20"/>
                <w:szCs w:val="21"/>
              </w:rPr>
              <w:t>地点：</w:t>
            </w:r>
            <w:r>
              <w:rPr>
                <w:rFonts w:hint="eastAsia" w:ascii="宋体" w:hAnsi="宋体" w:eastAsia="宋体" w:cs="宋体"/>
                <w:b/>
                <w:bCs/>
                <w:color w:val="auto"/>
                <w:kern w:val="0"/>
                <w:sz w:val="20"/>
                <w:szCs w:val="21"/>
                <w:lang w:val="en-US" w:eastAsia="zh-CN"/>
              </w:rPr>
              <w:t>新疆政府采购云平台https://www.zcygov.cn/</w:t>
            </w:r>
          </w:p>
        </w:tc>
      </w:tr>
      <w:tr w14:paraId="1ABEFC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28E6AC1A">
            <w:pPr>
              <w:jc w:val="center"/>
              <w:rPr>
                <w:rFonts w:hint="default" w:ascii="宋体" w:eastAsia="宋体"/>
                <w:kern w:val="0"/>
                <w:sz w:val="20"/>
                <w:szCs w:val="21"/>
                <w:lang w:val="en-US" w:eastAsia="zh-CN"/>
              </w:rPr>
            </w:pPr>
            <w:r>
              <w:rPr>
                <w:rFonts w:hint="eastAsia" w:ascii="宋体" w:hAnsi="宋体"/>
                <w:kern w:val="0"/>
                <w:sz w:val="20"/>
                <w:szCs w:val="21"/>
                <w:lang w:val="en-US" w:eastAsia="zh-CN"/>
              </w:rPr>
              <w:t>11</w:t>
            </w:r>
          </w:p>
        </w:tc>
        <w:tc>
          <w:tcPr>
            <w:tcW w:w="1358" w:type="dxa"/>
            <w:vAlign w:val="center"/>
          </w:tcPr>
          <w:p w14:paraId="54D46126">
            <w:pPr>
              <w:keepNext/>
              <w:keepLines w:val="0"/>
              <w:pageBreakBefore w:val="0"/>
              <w:widowControl/>
              <w:kinsoku/>
              <w:wordWrap/>
              <w:overflowPunct/>
              <w:topLinePunct w:val="0"/>
              <w:bidi w:val="0"/>
              <w:snapToGrid/>
              <w:spacing w:line="360" w:lineRule="exact"/>
              <w:jc w:val="distribute"/>
              <w:textAlignment w:val="auto"/>
              <w:rPr>
                <w:rFonts w:ascii="宋体" w:cs="Arial"/>
                <w:kern w:val="0"/>
                <w:sz w:val="20"/>
                <w:szCs w:val="21"/>
              </w:rPr>
            </w:pPr>
            <w:r>
              <w:rPr>
                <w:rFonts w:hint="eastAsia" w:ascii="宋体" w:hAnsi="宋体" w:cs="Arial"/>
                <w:kern w:val="0"/>
                <w:sz w:val="20"/>
                <w:szCs w:val="21"/>
              </w:rPr>
              <w:t>投标有效期</w:t>
            </w:r>
          </w:p>
        </w:tc>
        <w:tc>
          <w:tcPr>
            <w:tcW w:w="7125" w:type="dxa"/>
            <w:vAlign w:val="center"/>
          </w:tcPr>
          <w:p w14:paraId="2153AA9E">
            <w:pPr>
              <w:keepNext/>
              <w:keepLines w:val="0"/>
              <w:pageBreakBefore w:val="0"/>
              <w:widowControl/>
              <w:kinsoku/>
              <w:wordWrap/>
              <w:overflowPunct/>
              <w:topLinePunct w:val="0"/>
              <w:bidi w:val="0"/>
              <w:snapToGrid/>
              <w:spacing w:line="360" w:lineRule="exact"/>
              <w:jc w:val="left"/>
              <w:textAlignment w:val="auto"/>
              <w:rPr>
                <w:rFonts w:ascii="宋体" w:cs="Arial"/>
                <w:kern w:val="0"/>
                <w:sz w:val="20"/>
                <w:szCs w:val="21"/>
              </w:rPr>
            </w:pPr>
            <w:r>
              <w:rPr>
                <w:rFonts w:hint="eastAsia" w:ascii="宋体" w:hAnsi="宋体" w:cs="Arial"/>
                <w:kern w:val="0"/>
                <w:sz w:val="20"/>
                <w:szCs w:val="21"/>
              </w:rPr>
              <w:t>自投标截止之日</w:t>
            </w:r>
            <w:r>
              <w:rPr>
                <w:rFonts w:hint="eastAsia" w:ascii="宋体" w:hAnsi="宋体" w:cs="Arial"/>
                <w:kern w:val="0"/>
                <w:sz w:val="20"/>
                <w:szCs w:val="21"/>
                <w:lang w:val="en-US" w:eastAsia="zh-CN"/>
              </w:rPr>
              <w:t>90</w:t>
            </w:r>
            <w:r>
              <w:rPr>
                <w:rFonts w:hint="eastAsia" w:ascii="宋体" w:hAnsi="宋体" w:cs="Arial"/>
                <w:kern w:val="0"/>
                <w:sz w:val="20"/>
                <w:szCs w:val="21"/>
              </w:rPr>
              <w:t>日历日</w:t>
            </w:r>
          </w:p>
        </w:tc>
      </w:tr>
      <w:tr w14:paraId="73C0EF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314D0C5A">
            <w:pPr>
              <w:jc w:val="center"/>
              <w:rPr>
                <w:rFonts w:hint="default" w:ascii="宋体" w:eastAsia="宋体"/>
                <w:kern w:val="0"/>
                <w:sz w:val="20"/>
                <w:szCs w:val="21"/>
                <w:lang w:val="en-US" w:eastAsia="zh-CN"/>
              </w:rPr>
            </w:pPr>
            <w:r>
              <w:rPr>
                <w:rFonts w:hint="eastAsia" w:ascii="宋体" w:hAnsi="宋体"/>
                <w:kern w:val="0"/>
                <w:sz w:val="20"/>
                <w:szCs w:val="21"/>
                <w:lang w:val="en-US" w:eastAsia="zh-CN"/>
              </w:rPr>
              <w:t>12</w:t>
            </w:r>
          </w:p>
        </w:tc>
        <w:tc>
          <w:tcPr>
            <w:tcW w:w="1358" w:type="dxa"/>
            <w:vAlign w:val="center"/>
          </w:tcPr>
          <w:p w14:paraId="21E0DE9C">
            <w:pPr>
              <w:keepLines w:val="0"/>
              <w:pageBreakBefore w:val="0"/>
              <w:kinsoku/>
              <w:wordWrap/>
              <w:overflowPunct/>
              <w:topLinePunct w:val="0"/>
              <w:bidi w:val="0"/>
              <w:snapToGrid/>
              <w:spacing w:line="360" w:lineRule="exact"/>
              <w:jc w:val="distribute"/>
              <w:textAlignment w:val="auto"/>
              <w:rPr>
                <w:rFonts w:ascii="宋体" w:cs="宋体"/>
                <w:kern w:val="0"/>
                <w:sz w:val="20"/>
                <w:szCs w:val="21"/>
              </w:rPr>
            </w:pPr>
            <w:r>
              <w:rPr>
                <w:rFonts w:hint="eastAsia" w:ascii="宋体" w:hAnsi="宋体" w:cs="宋体"/>
                <w:kern w:val="0"/>
                <w:sz w:val="20"/>
                <w:szCs w:val="21"/>
                <w:lang w:eastAsia="zh-CN"/>
              </w:rPr>
              <w:t>招标</w:t>
            </w:r>
            <w:r>
              <w:rPr>
                <w:rFonts w:hint="eastAsia" w:ascii="宋体" w:hAnsi="宋体" w:cs="宋体"/>
                <w:kern w:val="0"/>
                <w:sz w:val="20"/>
                <w:szCs w:val="21"/>
              </w:rPr>
              <w:t>公告发布媒体</w:t>
            </w:r>
          </w:p>
        </w:tc>
        <w:tc>
          <w:tcPr>
            <w:tcW w:w="7125" w:type="dxa"/>
            <w:vAlign w:val="center"/>
          </w:tcPr>
          <w:p w14:paraId="2E378432">
            <w:pPr>
              <w:keepLines w:val="0"/>
              <w:pageBreakBefore w:val="0"/>
              <w:kinsoku/>
              <w:wordWrap/>
              <w:overflowPunct/>
              <w:topLinePunct w:val="0"/>
              <w:bidi w:val="0"/>
              <w:snapToGrid/>
              <w:spacing w:line="360" w:lineRule="exact"/>
              <w:textAlignment w:val="auto"/>
              <w:rPr>
                <w:rFonts w:hint="eastAsia" w:ascii="宋体" w:eastAsia="宋体" w:cs="宋体"/>
                <w:kern w:val="0"/>
                <w:sz w:val="20"/>
                <w:szCs w:val="21"/>
                <w:u w:val="single"/>
                <w:lang w:eastAsia="zh-CN"/>
              </w:rPr>
            </w:pPr>
            <w:r>
              <w:rPr>
                <w:rFonts w:hint="eastAsia" w:ascii="宋体" w:hAnsi="宋体" w:cs="Arial"/>
                <w:kern w:val="0"/>
                <w:sz w:val="20"/>
                <w:szCs w:val="21"/>
              </w:rPr>
              <w:t>在新疆政府采购网上发布</w:t>
            </w:r>
            <w:r>
              <w:rPr>
                <w:rFonts w:hint="eastAsia" w:ascii="宋体" w:hAnsi="宋体" w:cs="Arial"/>
                <w:kern w:val="0"/>
                <w:sz w:val="20"/>
                <w:szCs w:val="21"/>
                <w:lang w:val="en-US" w:eastAsia="zh-CN"/>
              </w:rPr>
              <w:t xml:space="preserve"> </w:t>
            </w:r>
          </w:p>
        </w:tc>
      </w:tr>
      <w:tr w14:paraId="58BBDA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512" w:hRule="atLeast"/>
          <w:jc w:val="center"/>
        </w:trPr>
        <w:tc>
          <w:tcPr>
            <w:tcW w:w="597" w:type="dxa"/>
            <w:vAlign w:val="center"/>
          </w:tcPr>
          <w:p w14:paraId="3C2FDAF6">
            <w:pPr>
              <w:jc w:val="center"/>
              <w:rPr>
                <w:rFonts w:hint="default" w:ascii="宋体" w:eastAsia="宋体"/>
                <w:kern w:val="0"/>
                <w:sz w:val="20"/>
                <w:szCs w:val="21"/>
                <w:lang w:val="en-US" w:eastAsia="zh-CN"/>
              </w:rPr>
            </w:pPr>
            <w:r>
              <w:rPr>
                <w:rFonts w:hint="eastAsia" w:ascii="宋体" w:hAnsi="宋体"/>
                <w:kern w:val="0"/>
                <w:sz w:val="20"/>
                <w:szCs w:val="21"/>
                <w:lang w:val="en-US" w:eastAsia="zh-CN"/>
              </w:rPr>
              <w:t>13</w:t>
            </w:r>
          </w:p>
        </w:tc>
        <w:tc>
          <w:tcPr>
            <w:tcW w:w="1358" w:type="dxa"/>
            <w:vAlign w:val="center"/>
          </w:tcPr>
          <w:p w14:paraId="0F74342D">
            <w:pPr>
              <w:keepNext/>
              <w:keepLines w:val="0"/>
              <w:pageBreakBefore w:val="0"/>
              <w:widowControl/>
              <w:kinsoku/>
              <w:wordWrap/>
              <w:overflowPunct/>
              <w:topLinePunct w:val="0"/>
              <w:bidi w:val="0"/>
              <w:snapToGrid/>
              <w:spacing w:line="360" w:lineRule="exact"/>
              <w:jc w:val="distribute"/>
              <w:textAlignment w:val="auto"/>
              <w:rPr>
                <w:rFonts w:ascii="宋体" w:cs="Arial"/>
                <w:kern w:val="0"/>
                <w:sz w:val="20"/>
                <w:szCs w:val="21"/>
              </w:rPr>
            </w:pPr>
          </w:p>
        </w:tc>
        <w:tc>
          <w:tcPr>
            <w:tcW w:w="7125" w:type="dxa"/>
            <w:vAlign w:val="center"/>
          </w:tcPr>
          <w:p w14:paraId="3DA3E77B">
            <w:pPr>
              <w:pStyle w:val="211"/>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bCs/>
                <w:color w:val="auto"/>
                <w:kern w:val="0"/>
                <w:sz w:val="20"/>
                <w:szCs w:val="21"/>
                <w:lang w:val="en-US" w:eastAsia="zh-CN" w:bidi="ar-SA"/>
              </w:rPr>
            </w:pPr>
            <w:r>
              <w:rPr>
                <w:rFonts w:hint="eastAsia" w:ascii="宋体" w:hAnsi="宋体" w:eastAsia="宋体" w:cs="宋体"/>
                <w:b/>
                <w:bCs/>
                <w:color w:val="auto"/>
                <w:kern w:val="0"/>
                <w:sz w:val="20"/>
                <w:szCs w:val="21"/>
                <w:lang w:val="en-US" w:eastAsia="zh-CN" w:bidi="ar-SA"/>
              </w:rPr>
              <w:t>参照国家计委计价格［2002］1980号文，由中标银行向招标代理机构支付招标代理服务费，招标代理服务费人民币20000元（贰万元整）。</w:t>
            </w:r>
          </w:p>
          <w:p w14:paraId="60525288">
            <w:pPr>
              <w:pStyle w:val="211"/>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bCs/>
                <w:color w:val="auto"/>
                <w:kern w:val="0"/>
                <w:sz w:val="20"/>
                <w:szCs w:val="21"/>
                <w:lang w:val="en-US" w:eastAsia="zh-CN" w:bidi="ar-SA"/>
              </w:rPr>
            </w:pPr>
            <w:r>
              <w:rPr>
                <w:rFonts w:hint="eastAsia" w:ascii="宋体" w:hAnsi="宋体" w:eastAsia="宋体" w:cs="宋体"/>
                <w:b/>
                <w:bCs/>
                <w:color w:val="auto"/>
                <w:kern w:val="0"/>
                <w:sz w:val="20"/>
                <w:szCs w:val="21"/>
                <w:lang w:val="en-US" w:eastAsia="zh-CN" w:bidi="ar-SA"/>
              </w:rPr>
              <w:t>代理费缴纳账户信息：</w:t>
            </w:r>
          </w:p>
          <w:p w14:paraId="4D0B9D5E">
            <w:pPr>
              <w:pStyle w:val="211"/>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bCs/>
                <w:color w:val="0000FF"/>
                <w:kern w:val="0"/>
                <w:sz w:val="20"/>
                <w:szCs w:val="21"/>
                <w:lang w:val="en-US" w:eastAsia="zh-CN" w:bidi="ar-SA"/>
              </w:rPr>
            </w:pPr>
            <w:r>
              <w:rPr>
                <w:rFonts w:hint="eastAsia" w:ascii="宋体" w:hAnsi="宋体" w:eastAsia="宋体" w:cs="宋体"/>
                <w:b/>
                <w:bCs/>
                <w:color w:val="0000FF"/>
                <w:kern w:val="0"/>
                <w:sz w:val="20"/>
                <w:szCs w:val="21"/>
                <w:lang w:val="en-US" w:eastAsia="zh-CN" w:bidi="ar-SA"/>
              </w:rPr>
              <w:t>单位名称：</w:t>
            </w:r>
            <w:r>
              <w:rPr>
                <w:rFonts w:hint="eastAsia" w:ascii="宋体" w:hAnsi="宋体" w:cs="宋体"/>
                <w:b/>
                <w:bCs/>
                <w:color w:val="0000FF"/>
                <w:kern w:val="0"/>
                <w:sz w:val="20"/>
                <w:szCs w:val="21"/>
                <w:lang w:val="en-US" w:eastAsia="zh-CN" w:bidi="ar-SA"/>
              </w:rPr>
              <w:t>新疆公正工程造价房地产评估有限责任公司</w:t>
            </w:r>
          </w:p>
          <w:p w14:paraId="0832D5EB">
            <w:pPr>
              <w:pStyle w:val="211"/>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宋体" w:hAnsi="宋体" w:eastAsia="宋体" w:cs="宋体"/>
                <w:b/>
                <w:bCs/>
                <w:color w:val="0000FF"/>
                <w:kern w:val="0"/>
                <w:sz w:val="20"/>
                <w:szCs w:val="21"/>
                <w:lang w:val="en-US" w:eastAsia="zh-CN" w:bidi="ar-SA"/>
              </w:rPr>
            </w:pPr>
            <w:r>
              <w:rPr>
                <w:rFonts w:hint="eastAsia" w:ascii="宋体" w:hAnsi="宋体" w:eastAsia="宋体" w:cs="宋体"/>
                <w:b/>
                <w:bCs/>
                <w:color w:val="0000FF"/>
                <w:kern w:val="0"/>
                <w:sz w:val="20"/>
                <w:szCs w:val="21"/>
                <w:lang w:val="en-US" w:eastAsia="zh-CN" w:bidi="ar-SA"/>
              </w:rPr>
              <w:t>开户行：</w:t>
            </w:r>
            <w:r>
              <w:rPr>
                <w:rFonts w:hint="eastAsia" w:ascii="宋体" w:hAnsi="宋体" w:cs="宋体"/>
                <w:b/>
                <w:bCs/>
                <w:color w:val="0000FF"/>
                <w:kern w:val="0"/>
                <w:sz w:val="20"/>
                <w:szCs w:val="21"/>
                <w:lang w:val="en-US" w:eastAsia="zh-CN" w:bidi="ar-SA"/>
              </w:rPr>
              <w:t>建设银行乌鲁木齐新华南路支行</w:t>
            </w:r>
          </w:p>
          <w:p w14:paraId="5D58E051">
            <w:pPr>
              <w:pStyle w:val="211"/>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宋体" w:hAnsi="宋体" w:eastAsia="宋体" w:cs="宋体"/>
                <w:b/>
                <w:bCs/>
                <w:color w:val="0000FF"/>
                <w:kern w:val="0"/>
                <w:sz w:val="20"/>
                <w:szCs w:val="21"/>
                <w:lang w:val="en-US" w:eastAsia="zh-CN" w:bidi="ar-SA"/>
              </w:rPr>
            </w:pPr>
            <w:r>
              <w:rPr>
                <w:rFonts w:hint="eastAsia" w:ascii="宋体" w:hAnsi="宋体" w:eastAsia="宋体" w:cs="宋体"/>
                <w:b/>
                <w:bCs/>
                <w:color w:val="0000FF"/>
                <w:kern w:val="0"/>
                <w:sz w:val="20"/>
                <w:szCs w:val="21"/>
                <w:lang w:val="en-US" w:eastAsia="zh-CN" w:bidi="ar-SA"/>
              </w:rPr>
              <w:t>账号：</w:t>
            </w:r>
            <w:r>
              <w:rPr>
                <w:rFonts w:hint="eastAsia" w:ascii="宋体" w:hAnsi="宋体" w:cs="宋体"/>
                <w:b/>
                <w:bCs/>
                <w:color w:val="0000FF"/>
                <w:kern w:val="0"/>
                <w:sz w:val="20"/>
                <w:szCs w:val="21"/>
                <w:lang w:val="en-US" w:eastAsia="zh-CN" w:bidi="ar-SA"/>
              </w:rPr>
              <w:t>65001617600050001729</w:t>
            </w:r>
          </w:p>
          <w:p w14:paraId="5963B9C6">
            <w:pPr>
              <w:pStyle w:val="211"/>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宋体" w:hAnsi="宋体" w:eastAsia="宋体" w:cs="宋体"/>
                <w:kern w:val="0"/>
                <w:sz w:val="20"/>
                <w:szCs w:val="20"/>
                <w:lang w:val="en-US"/>
              </w:rPr>
            </w:pPr>
            <w:r>
              <w:rPr>
                <w:rFonts w:hint="eastAsia" w:ascii="宋体" w:hAnsi="宋体" w:eastAsia="宋体" w:cs="宋体"/>
                <w:b/>
                <w:bCs/>
                <w:color w:val="0000FF"/>
                <w:kern w:val="0"/>
                <w:sz w:val="20"/>
                <w:szCs w:val="21"/>
                <w:lang w:val="en-US" w:eastAsia="zh-CN" w:bidi="ar-SA"/>
              </w:rPr>
              <w:t>行号：</w:t>
            </w:r>
            <w:r>
              <w:rPr>
                <w:rFonts w:hint="eastAsia" w:ascii="宋体" w:hAnsi="宋体" w:cs="宋体"/>
                <w:b/>
                <w:bCs/>
                <w:color w:val="0000FF"/>
                <w:kern w:val="0"/>
                <w:sz w:val="20"/>
                <w:szCs w:val="21"/>
                <w:lang w:val="en-US" w:eastAsia="zh-CN" w:bidi="ar-SA"/>
              </w:rPr>
              <w:t>105881000868</w:t>
            </w:r>
          </w:p>
        </w:tc>
      </w:tr>
      <w:tr w14:paraId="0E392F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3349" w:hRule="atLeast"/>
          <w:jc w:val="center"/>
        </w:trPr>
        <w:tc>
          <w:tcPr>
            <w:tcW w:w="597" w:type="dxa"/>
            <w:vAlign w:val="center"/>
          </w:tcPr>
          <w:p w14:paraId="0BE41F7B">
            <w:pPr>
              <w:jc w:val="center"/>
              <w:rPr>
                <w:rFonts w:hint="default" w:ascii="宋体" w:eastAsia="宋体"/>
                <w:kern w:val="0"/>
                <w:sz w:val="20"/>
                <w:szCs w:val="21"/>
                <w:lang w:val="en-US" w:eastAsia="zh-CN"/>
              </w:rPr>
            </w:pPr>
            <w:r>
              <w:rPr>
                <w:rFonts w:hint="eastAsia" w:ascii="宋体" w:hAnsi="宋体"/>
                <w:kern w:val="0"/>
                <w:sz w:val="20"/>
                <w:szCs w:val="21"/>
                <w:lang w:val="en-US" w:eastAsia="zh-CN"/>
              </w:rPr>
              <w:t>14</w:t>
            </w:r>
          </w:p>
        </w:tc>
        <w:tc>
          <w:tcPr>
            <w:tcW w:w="1358" w:type="dxa"/>
            <w:vAlign w:val="center"/>
          </w:tcPr>
          <w:p w14:paraId="01E4655A">
            <w:pPr>
              <w:keepNext/>
              <w:widowControl/>
              <w:jc w:val="distribute"/>
              <w:rPr>
                <w:rFonts w:ascii="宋体" w:cs="Arial"/>
                <w:kern w:val="0"/>
                <w:sz w:val="20"/>
                <w:szCs w:val="21"/>
              </w:rPr>
            </w:pPr>
            <w:r>
              <w:rPr>
                <w:rFonts w:hint="eastAsia" w:ascii="宋体" w:hAnsi="宋体" w:eastAsia="宋体" w:cs="宋体"/>
                <w:color w:val="auto"/>
                <w:kern w:val="0"/>
                <w:sz w:val="20"/>
                <w:szCs w:val="21"/>
                <w:lang w:val="en-US" w:eastAsia="zh-CN" w:bidi="ar-SA"/>
              </w:rPr>
              <w:t>中小政策</w:t>
            </w:r>
          </w:p>
        </w:tc>
        <w:tc>
          <w:tcPr>
            <w:tcW w:w="7125" w:type="dxa"/>
            <w:vAlign w:val="center"/>
          </w:tcPr>
          <w:p w14:paraId="0872BAB7">
            <w:pPr>
              <w:keepNext w:val="0"/>
              <w:keepLines w:val="0"/>
              <w:pageBreakBefore w:val="0"/>
              <w:widowControl w:val="0"/>
              <w:kinsoku/>
              <w:wordWrap/>
              <w:overflowPunct/>
              <w:topLinePunct w:val="0"/>
              <w:autoSpaceDE w:val="0"/>
              <w:autoSpaceDN w:val="0"/>
              <w:bidi w:val="0"/>
              <w:adjustRightInd w:val="0"/>
              <w:snapToGrid/>
              <w:spacing w:before="100" w:line="360" w:lineRule="exact"/>
              <w:ind w:right="23" w:rightChars="11"/>
              <w:jc w:val="left"/>
              <w:textAlignment w:val="auto"/>
              <w:rPr>
                <w:rFonts w:hint="eastAsia" w:ascii="宋体" w:hAnsi="宋体" w:eastAsia="宋体" w:cs="Times New Roman"/>
                <w:b w:val="0"/>
                <w:bCs w:val="0"/>
                <w:kern w:val="0"/>
                <w:sz w:val="20"/>
                <w:szCs w:val="21"/>
                <w:lang w:val="en-US" w:eastAsia="zh-CN"/>
              </w:rPr>
            </w:pPr>
            <w:r>
              <w:rPr>
                <w:rFonts w:hint="eastAsia" w:ascii="宋体" w:hAnsi="宋体" w:eastAsia="宋体" w:cs="Times New Roman"/>
                <w:b w:val="0"/>
                <w:bCs w:val="0"/>
                <w:kern w:val="0"/>
                <w:sz w:val="20"/>
                <w:szCs w:val="21"/>
                <w:lang w:val="en-US" w:eastAsia="zh-CN"/>
              </w:rPr>
              <w:t>中小微型企业有关政策：</w:t>
            </w:r>
          </w:p>
          <w:p w14:paraId="56C28509">
            <w:pPr>
              <w:keepNext w:val="0"/>
              <w:keepLines w:val="0"/>
              <w:pageBreakBefore w:val="0"/>
              <w:widowControl w:val="0"/>
              <w:kinsoku/>
              <w:wordWrap/>
              <w:overflowPunct/>
              <w:topLinePunct w:val="0"/>
              <w:autoSpaceDE w:val="0"/>
              <w:autoSpaceDN w:val="0"/>
              <w:bidi w:val="0"/>
              <w:adjustRightInd w:val="0"/>
              <w:snapToGrid/>
              <w:spacing w:before="100" w:line="360" w:lineRule="exact"/>
              <w:ind w:right="23" w:rightChars="11"/>
              <w:jc w:val="left"/>
              <w:textAlignment w:val="auto"/>
              <w:rPr>
                <w:rFonts w:hint="eastAsia" w:ascii="宋体" w:hAnsi="宋体" w:eastAsia="宋体" w:cs="Times New Roman"/>
                <w:b/>
                <w:bCs/>
                <w:kern w:val="0"/>
                <w:sz w:val="20"/>
                <w:szCs w:val="21"/>
                <w:u w:val="single"/>
                <w:lang w:val="en-US" w:eastAsia="zh-CN"/>
              </w:rPr>
            </w:pPr>
            <w:r>
              <w:rPr>
                <w:rFonts w:hint="eastAsia" w:ascii="宋体" w:hAnsi="宋体" w:eastAsia="宋体" w:cs="Times New Roman"/>
                <w:b w:val="0"/>
                <w:bCs w:val="0"/>
                <w:kern w:val="0"/>
                <w:sz w:val="20"/>
                <w:szCs w:val="21"/>
                <w:lang w:val="en-US" w:eastAsia="zh-CN"/>
              </w:rPr>
              <w:t xml:space="preserve">(1)根据《政府采购促进中小企业展暂行办法》（财库【2020】46 号文）、关于转发《政府采购促进中小企业发展管理办法》的通知（兵财库〔2021〕7号文）规定执行；本项目采购标的对应的中小企业划分标准所属行业为 </w:t>
            </w:r>
            <w:r>
              <w:rPr>
                <w:rFonts w:hint="eastAsia" w:ascii="宋体" w:hAnsi="宋体" w:eastAsia="宋体" w:cs="Times New Roman"/>
                <w:b/>
                <w:bCs/>
                <w:kern w:val="0"/>
                <w:sz w:val="20"/>
                <w:szCs w:val="21"/>
                <w:u w:val="single"/>
                <w:lang w:val="en-US" w:eastAsia="zh-CN"/>
              </w:rPr>
              <w:t>其他未列明行业 ；</w:t>
            </w:r>
          </w:p>
          <w:p w14:paraId="7E2B7B1E">
            <w:pPr>
              <w:keepNext w:val="0"/>
              <w:keepLines w:val="0"/>
              <w:pageBreakBefore w:val="0"/>
              <w:widowControl w:val="0"/>
              <w:kinsoku/>
              <w:wordWrap/>
              <w:overflowPunct/>
              <w:topLinePunct w:val="0"/>
              <w:autoSpaceDE w:val="0"/>
              <w:autoSpaceDN w:val="0"/>
              <w:bidi w:val="0"/>
              <w:adjustRightInd w:val="0"/>
              <w:snapToGrid/>
              <w:spacing w:before="100" w:line="360" w:lineRule="exact"/>
              <w:ind w:right="23" w:rightChars="11"/>
              <w:jc w:val="left"/>
              <w:textAlignment w:val="auto"/>
              <w:rPr>
                <w:rFonts w:hint="eastAsia" w:ascii="宋体" w:hAnsi="宋体" w:eastAsia="宋体" w:cs="Times New Roman"/>
                <w:b w:val="0"/>
                <w:bCs w:val="0"/>
                <w:kern w:val="0"/>
                <w:sz w:val="20"/>
                <w:szCs w:val="21"/>
                <w:lang w:val="en-US" w:eastAsia="zh-CN"/>
              </w:rPr>
            </w:pPr>
            <w:r>
              <w:rPr>
                <w:rFonts w:hint="eastAsia" w:ascii="宋体" w:hAnsi="宋体" w:eastAsia="宋体" w:cs="Times New Roman"/>
                <w:b w:val="0"/>
                <w:bCs w:val="0"/>
                <w:kern w:val="0"/>
                <w:sz w:val="20"/>
                <w:szCs w:val="21"/>
                <w:lang w:val="en-US" w:eastAsia="zh-CN"/>
              </w:rPr>
              <w:t>(2)价格扣除幅度：</w:t>
            </w:r>
          </w:p>
          <w:p w14:paraId="7098B2F9">
            <w:pPr>
              <w:keepNext w:val="0"/>
              <w:keepLines w:val="0"/>
              <w:pageBreakBefore w:val="0"/>
              <w:widowControl w:val="0"/>
              <w:kinsoku/>
              <w:wordWrap/>
              <w:overflowPunct/>
              <w:topLinePunct w:val="0"/>
              <w:autoSpaceDE w:val="0"/>
              <w:autoSpaceDN w:val="0"/>
              <w:bidi w:val="0"/>
              <w:adjustRightInd w:val="0"/>
              <w:snapToGrid/>
              <w:spacing w:before="100" w:line="360" w:lineRule="exact"/>
              <w:ind w:right="23" w:rightChars="11"/>
              <w:jc w:val="left"/>
              <w:textAlignment w:val="auto"/>
              <w:rPr>
                <w:rFonts w:hint="eastAsia" w:ascii="宋体" w:hAnsi="宋体" w:eastAsia="宋体" w:cs="Times New Roman"/>
                <w:b w:val="0"/>
                <w:bCs w:val="0"/>
                <w:kern w:val="0"/>
                <w:sz w:val="20"/>
                <w:szCs w:val="21"/>
                <w:lang w:val="en-US" w:eastAsia="zh-CN"/>
              </w:rPr>
            </w:pPr>
            <w:r>
              <w:rPr>
                <w:rFonts w:hint="eastAsia" w:ascii="宋体" w:hAnsi="宋体" w:eastAsia="宋体" w:cs="Times New Roman"/>
                <w:b w:val="0"/>
                <w:bCs w:val="0"/>
                <w:kern w:val="0"/>
                <w:sz w:val="20"/>
                <w:szCs w:val="21"/>
                <w:lang w:val="en-US" w:eastAsia="zh-CN"/>
              </w:rPr>
              <w:t>□专门面向中小企业采购项目</w:t>
            </w:r>
          </w:p>
          <w:p w14:paraId="3EA0293C">
            <w:pPr>
              <w:keepNext w:val="0"/>
              <w:keepLines w:val="0"/>
              <w:pageBreakBefore w:val="0"/>
              <w:widowControl w:val="0"/>
              <w:kinsoku/>
              <w:wordWrap/>
              <w:overflowPunct/>
              <w:topLinePunct w:val="0"/>
              <w:autoSpaceDE w:val="0"/>
              <w:autoSpaceDN w:val="0"/>
              <w:bidi w:val="0"/>
              <w:adjustRightInd w:val="0"/>
              <w:snapToGrid/>
              <w:spacing w:before="100" w:line="360" w:lineRule="exact"/>
              <w:ind w:right="23" w:rightChars="11"/>
              <w:jc w:val="left"/>
              <w:textAlignment w:val="auto"/>
              <w:rPr>
                <w:rFonts w:hint="eastAsia" w:ascii="宋体" w:hAnsi="宋体" w:eastAsia="宋体" w:cs="Times New Roman"/>
                <w:b w:val="0"/>
                <w:bCs w:val="0"/>
                <w:kern w:val="0"/>
                <w:sz w:val="20"/>
                <w:szCs w:val="21"/>
                <w:lang w:val="en-US" w:eastAsia="zh-CN"/>
              </w:rPr>
            </w:pPr>
            <w:r>
              <w:rPr>
                <w:rFonts w:hint="eastAsia" w:ascii="宋体" w:hAnsi="宋体" w:eastAsia="宋体" w:cs="Times New Roman"/>
                <w:b w:val="0"/>
                <w:bCs w:val="0"/>
                <w:kern w:val="0"/>
                <w:sz w:val="20"/>
                <w:szCs w:val="21"/>
                <w:lang w:val="en-US" w:eastAsia="zh-CN"/>
              </w:rPr>
              <w:t>☑非专门面向中小企业采购项目(价格扣除)：小型和微型企业将价格给予10%的扣除；</w:t>
            </w:r>
          </w:p>
          <w:p w14:paraId="70F170DF">
            <w:pPr>
              <w:keepNext w:val="0"/>
              <w:keepLines w:val="0"/>
              <w:pageBreakBefore w:val="0"/>
              <w:widowControl w:val="0"/>
              <w:kinsoku/>
              <w:wordWrap/>
              <w:overflowPunct/>
              <w:topLinePunct w:val="0"/>
              <w:autoSpaceDE w:val="0"/>
              <w:autoSpaceDN w:val="0"/>
              <w:bidi w:val="0"/>
              <w:adjustRightInd w:val="0"/>
              <w:snapToGrid/>
              <w:spacing w:before="100" w:line="360" w:lineRule="exact"/>
              <w:ind w:right="23" w:rightChars="11"/>
              <w:jc w:val="left"/>
              <w:textAlignment w:val="auto"/>
              <w:rPr>
                <w:rFonts w:hint="eastAsia" w:ascii="宋体" w:hAnsi="宋体" w:eastAsia="宋体" w:cs="宋体"/>
                <w:color w:val="auto"/>
                <w:kern w:val="0"/>
                <w:sz w:val="20"/>
                <w:szCs w:val="21"/>
                <w:lang w:val="en-US" w:eastAsia="zh-CN" w:bidi="ar-SA"/>
              </w:rPr>
            </w:pPr>
            <w:r>
              <w:rPr>
                <w:rFonts w:hint="eastAsia" w:ascii="宋体" w:hAnsi="宋体" w:eastAsia="宋体" w:cs="Times New Roman"/>
                <w:b w:val="0"/>
                <w:bCs w:val="0"/>
                <w:kern w:val="0"/>
                <w:sz w:val="20"/>
                <w:szCs w:val="21"/>
                <w:lang w:val="en-US" w:eastAsia="zh-CN"/>
              </w:rPr>
              <w:t>(3)中小微型企业适用价格扣除办法时应提供的相关资料：《中小企业声明函》</w:t>
            </w:r>
          </w:p>
        </w:tc>
      </w:tr>
      <w:tr w14:paraId="75689F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1F932717">
            <w:pPr>
              <w:jc w:val="center"/>
              <w:rPr>
                <w:rFonts w:hint="default" w:ascii="宋体" w:hAnsi="宋体" w:eastAsia="宋体"/>
                <w:kern w:val="0"/>
                <w:sz w:val="20"/>
                <w:szCs w:val="21"/>
                <w:lang w:val="en-US" w:eastAsia="zh-CN"/>
              </w:rPr>
            </w:pPr>
            <w:r>
              <w:rPr>
                <w:rFonts w:hint="eastAsia" w:ascii="宋体" w:hAnsi="宋体"/>
                <w:kern w:val="0"/>
                <w:sz w:val="20"/>
                <w:szCs w:val="21"/>
                <w:lang w:val="en-US" w:eastAsia="zh-CN"/>
              </w:rPr>
              <w:t>15</w:t>
            </w:r>
          </w:p>
        </w:tc>
        <w:tc>
          <w:tcPr>
            <w:tcW w:w="1358" w:type="dxa"/>
            <w:vAlign w:val="center"/>
          </w:tcPr>
          <w:p w14:paraId="584E1730">
            <w:pPr>
              <w:keepNext/>
              <w:widowControl/>
              <w:jc w:val="distribute"/>
              <w:rPr>
                <w:rFonts w:hint="eastAsia" w:ascii="宋体" w:hAnsi="宋体" w:eastAsia="宋体" w:cs="Arial"/>
                <w:kern w:val="0"/>
                <w:sz w:val="20"/>
                <w:szCs w:val="21"/>
                <w:lang w:val="en-US" w:eastAsia="zh-CN" w:bidi="ar-SA"/>
              </w:rPr>
            </w:pPr>
          </w:p>
        </w:tc>
        <w:tc>
          <w:tcPr>
            <w:tcW w:w="7125" w:type="dxa"/>
            <w:vAlign w:val="center"/>
          </w:tcPr>
          <w:p w14:paraId="51F3C831">
            <w:pPr>
              <w:pStyle w:val="16"/>
              <w:spacing w:line="340" w:lineRule="exact"/>
              <w:rPr>
                <w:rFonts w:hint="eastAsia" w:ascii="宋体" w:hAnsi="宋体" w:eastAsia="宋体" w:cs="Arial"/>
                <w:kern w:val="0"/>
                <w:sz w:val="20"/>
                <w:szCs w:val="21"/>
                <w:lang w:val="en-US" w:eastAsia="zh-CN" w:bidi="ar-SA"/>
              </w:rPr>
            </w:pPr>
            <w:r>
              <w:rPr>
                <w:rFonts w:hint="eastAsia" w:ascii="宋体" w:hAnsi="宋体" w:eastAsia="宋体" w:cs="Arial"/>
                <w:kern w:val="0"/>
                <w:sz w:val="20"/>
                <w:szCs w:val="21"/>
                <w:lang w:val="en-US" w:eastAsia="zh-CN" w:bidi="ar-SA"/>
              </w:rPr>
              <w:t>注：供应商认为采购文件、采购过程、中标或者成交结果使自己的权益受到损害的，可以在知道或者应知其权益受到损害之日起7个工作日内，以书面形式向采购人、采购代理机构提出质疑。</w:t>
            </w:r>
          </w:p>
        </w:tc>
      </w:tr>
      <w:tr w14:paraId="0ECE90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206" w:hRule="atLeast"/>
          <w:jc w:val="center"/>
        </w:trPr>
        <w:tc>
          <w:tcPr>
            <w:tcW w:w="9080" w:type="dxa"/>
            <w:gridSpan w:val="3"/>
            <w:vAlign w:val="center"/>
          </w:tcPr>
          <w:p w14:paraId="039AFD32">
            <w:pPr>
              <w:pStyle w:val="16"/>
              <w:spacing w:line="340" w:lineRule="exact"/>
              <w:rPr>
                <w:rFonts w:hint="eastAsia" w:ascii="宋体" w:hAnsi="宋体" w:eastAsia="仿宋" w:cs="Arial"/>
                <w:kern w:val="0"/>
                <w:sz w:val="20"/>
                <w:szCs w:val="21"/>
                <w:lang w:val="en-US" w:eastAsia="zh-CN" w:bidi="ar-SA"/>
              </w:rPr>
            </w:pPr>
            <w:r>
              <w:rPr>
                <w:rFonts w:hint="eastAsia" w:ascii="宋体" w:hAnsi="宋体" w:eastAsia="宋体" w:cs="Arial"/>
                <w:b/>
                <w:bCs/>
                <w:kern w:val="0"/>
                <w:sz w:val="20"/>
                <w:szCs w:val="21"/>
                <w:lang w:val="en-US" w:eastAsia="zh-CN" w:bidi="ar-SA"/>
              </w:rPr>
              <w:t>报价次数:本项目进行两轮报价，首次报价为第一轮报价，</w:t>
            </w:r>
            <w:r>
              <w:rPr>
                <w:rFonts w:hint="eastAsia" w:hAnsi="宋体" w:cs="Arial"/>
                <w:b/>
                <w:bCs/>
                <w:kern w:val="0"/>
                <w:sz w:val="20"/>
                <w:szCs w:val="21"/>
                <w:lang w:val="en-US" w:eastAsia="zh-CN" w:bidi="ar-SA"/>
              </w:rPr>
              <w:t>招标</w:t>
            </w:r>
            <w:r>
              <w:rPr>
                <w:rFonts w:hint="eastAsia" w:ascii="宋体" w:hAnsi="宋体" w:eastAsia="宋体" w:cs="Arial"/>
                <w:b/>
                <w:bCs/>
                <w:kern w:val="0"/>
                <w:sz w:val="20"/>
                <w:szCs w:val="21"/>
                <w:lang w:val="en-US" w:eastAsia="zh-CN" w:bidi="ar-SA"/>
              </w:rPr>
              <w:t>小组对其进行评审并提出答疑问题；第二轮（即最终报价）是在答疑完毕后，按原次序进行最终报价。最终报价单填写好线上提交后，</w:t>
            </w:r>
            <w:r>
              <w:rPr>
                <w:rFonts w:hint="eastAsia" w:hAnsi="宋体" w:cs="Arial"/>
                <w:b/>
                <w:bCs/>
                <w:kern w:val="0"/>
                <w:sz w:val="20"/>
                <w:szCs w:val="21"/>
                <w:lang w:val="en-US" w:eastAsia="zh-CN" w:bidi="ar-SA"/>
              </w:rPr>
              <w:t>招标</w:t>
            </w:r>
            <w:r>
              <w:rPr>
                <w:rFonts w:hint="eastAsia" w:ascii="宋体" w:hAnsi="宋体" w:eastAsia="宋体" w:cs="Arial"/>
                <w:b/>
                <w:bCs/>
                <w:kern w:val="0"/>
                <w:sz w:val="20"/>
                <w:szCs w:val="21"/>
                <w:lang w:val="en-US" w:eastAsia="zh-CN" w:bidi="ar-SA"/>
              </w:rPr>
              <w:t>小组在同一时间开启最终报价单。</w:t>
            </w:r>
          </w:p>
        </w:tc>
      </w:tr>
    </w:tbl>
    <w:p w14:paraId="116835AC">
      <w:pPr>
        <w:rPr>
          <w:rFonts w:ascii="宋体"/>
          <w:kern w:val="0"/>
          <w:sz w:val="24"/>
          <w:szCs w:val="24"/>
        </w:rPr>
      </w:pPr>
    </w:p>
    <w:p w14:paraId="10162814">
      <w:pPr>
        <w:spacing w:line="440" w:lineRule="exact"/>
        <w:ind w:firstLine="3735" w:firstLineChars="1550"/>
        <w:outlineLvl w:val="0"/>
        <w:rPr>
          <w:rFonts w:ascii="宋体" w:cs="宋体"/>
          <w:b/>
          <w:sz w:val="24"/>
          <w:szCs w:val="24"/>
        </w:rPr>
      </w:pPr>
      <w:bookmarkStart w:id="28" w:name="_BookMark_3"/>
      <w:bookmarkEnd w:id="28"/>
      <w:bookmarkStart w:id="29" w:name="_Toc529175827"/>
    </w:p>
    <w:p w14:paraId="73BE444D">
      <w:pPr>
        <w:spacing w:line="440" w:lineRule="exact"/>
        <w:ind w:firstLine="3735" w:firstLineChars="1550"/>
        <w:outlineLvl w:val="0"/>
        <w:rPr>
          <w:rFonts w:hint="eastAsia" w:ascii="宋体" w:hAnsi="宋体" w:cs="宋体"/>
          <w:b/>
          <w:sz w:val="24"/>
          <w:szCs w:val="24"/>
        </w:rPr>
      </w:pPr>
    </w:p>
    <w:p w14:paraId="5F6550CF">
      <w:pPr>
        <w:spacing w:line="440" w:lineRule="exact"/>
        <w:ind w:firstLine="3735" w:firstLineChars="1550"/>
        <w:outlineLvl w:val="0"/>
        <w:rPr>
          <w:rFonts w:hint="eastAsia" w:ascii="宋体" w:hAnsi="宋体" w:cs="宋体"/>
          <w:b/>
          <w:sz w:val="24"/>
          <w:szCs w:val="24"/>
        </w:rPr>
      </w:pPr>
    </w:p>
    <w:p w14:paraId="5778A9EF">
      <w:pPr>
        <w:pStyle w:val="12"/>
        <w:rPr>
          <w:rFonts w:hint="eastAsia" w:ascii="宋体" w:hAnsi="宋体" w:cs="宋体"/>
          <w:b/>
          <w:sz w:val="24"/>
          <w:szCs w:val="24"/>
        </w:rPr>
      </w:pPr>
    </w:p>
    <w:p w14:paraId="0C60D48C">
      <w:pPr>
        <w:rPr>
          <w:rFonts w:hint="eastAsia" w:ascii="宋体" w:hAnsi="宋体" w:cs="宋体"/>
          <w:b/>
          <w:sz w:val="24"/>
          <w:szCs w:val="24"/>
        </w:rPr>
      </w:pPr>
    </w:p>
    <w:p w14:paraId="631171C0">
      <w:pPr>
        <w:pStyle w:val="12"/>
        <w:rPr>
          <w:rFonts w:hint="eastAsia" w:ascii="宋体" w:hAnsi="宋体" w:cs="宋体"/>
          <w:b/>
          <w:sz w:val="24"/>
          <w:szCs w:val="24"/>
        </w:rPr>
      </w:pPr>
    </w:p>
    <w:p w14:paraId="49A65D42">
      <w:pPr>
        <w:rPr>
          <w:rFonts w:hint="eastAsia" w:ascii="宋体" w:hAnsi="宋体" w:cs="宋体"/>
          <w:b/>
          <w:sz w:val="24"/>
          <w:szCs w:val="24"/>
        </w:rPr>
      </w:pPr>
    </w:p>
    <w:p w14:paraId="74E85B36">
      <w:pPr>
        <w:pStyle w:val="12"/>
        <w:rPr>
          <w:rFonts w:hint="eastAsia" w:ascii="宋体" w:hAnsi="宋体" w:cs="宋体"/>
          <w:b/>
          <w:sz w:val="24"/>
          <w:szCs w:val="24"/>
        </w:rPr>
      </w:pPr>
    </w:p>
    <w:p w14:paraId="639E8415">
      <w:pPr>
        <w:rPr>
          <w:rFonts w:hint="eastAsia" w:ascii="宋体" w:hAnsi="宋体" w:cs="宋体"/>
          <w:b/>
          <w:sz w:val="24"/>
          <w:szCs w:val="24"/>
        </w:rPr>
      </w:pPr>
    </w:p>
    <w:p w14:paraId="4B2A4FB4">
      <w:pPr>
        <w:spacing w:line="440" w:lineRule="exact"/>
        <w:outlineLvl w:val="0"/>
        <w:rPr>
          <w:rFonts w:hint="eastAsia" w:ascii="宋体" w:hAnsi="宋体" w:cs="宋体"/>
          <w:b/>
          <w:sz w:val="24"/>
          <w:szCs w:val="24"/>
        </w:rPr>
      </w:pPr>
    </w:p>
    <w:p w14:paraId="4E6226FE">
      <w:pPr>
        <w:spacing w:line="440" w:lineRule="exact"/>
        <w:jc w:val="center"/>
        <w:outlineLvl w:val="0"/>
        <w:rPr>
          <w:rFonts w:ascii="宋体" w:cs="宋体"/>
          <w:b/>
          <w:sz w:val="32"/>
          <w:szCs w:val="32"/>
        </w:rPr>
      </w:pPr>
      <w:r>
        <w:rPr>
          <w:rFonts w:hint="eastAsia" w:ascii="宋体" w:hAnsi="宋体" w:cs="宋体"/>
          <w:b/>
          <w:sz w:val="32"/>
          <w:szCs w:val="32"/>
        </w:rPr>
        <w:t>第一章</w:t>
      </w:r>
      <w:r>
        <w:rPr>
          <w:rFonts w:hint="eastAsia" w:ascii="宋体" w:hAnsi="宋体" w:cs="宋体"/>
          <w:b/>
          <w:sz w:val="32"/>
          <w:szCs w:val="32"/>
          <w:lang w:val="en-US" w:eastAsia="zh-CN"/>
        </w:rPr>
        <w:t xml:space="preserve">  </w:t>
      </w:r>
      <w:r>
        <w:rPr>
          <w:rFonts w:hint="eastAsia" w:ascii="宋体" w:hAnsi="宋体" w:cs="宋体"/>
          <w:b/>
          <w:sz w:val="32"/>
          <w:szCs w:val="32"/>
        </w:rPr>
        <w:t>投标人须知</w:t>
      </w:r>
      <w:bookmarkEnd w:id="29"/>
      <w:bookmarkStart w:id="30" w:name="_BookMark_2"/>
      <w:bookmarkEnd w:id="30"/>
    </w:p>
    <w:p w14:paraId="594EEE29">
      <w:pPr>
        <w:tabs>
          <w:tab w:val="center" w:pos="4832"/>
          <w:tab w:val="left" w:pos="7140"/>
        </w:tabs>
        <w:spacing w:line="360" w:lineRule="auto"/>
        <w:jc w:val="left"/>
        <w:outlineLvl w:val="1"/>
        <w:rPr>
          <w:rFonts w:ascii="宋体" w:cs="宋体"/>
          <w:b/>
          <w:sz w:val="24"/>
          <w:szCs w:val="24"/>
        </w:rPr>
      </w:pPr>
      <w:bookmarkStart w:id="31" w:name="_Toc529175828"/>
      <w:r>
        <w:rPr>
          <w:rFonts w:ascii="宋体" w:hAnsi="宋体" w:cs="宋体"/>
          <w:b/>
          <w:sz w:val="24"/>
          <w:szCs w:val="24"/>
        </w:rPr>
        <w:t>1</w:t>
      </w:r>
      <w:r>
        <w:rPr>
          <w:rFonts w:hint="eastAsia" w:ascii="宋体" w:hAnsi="宋体" w:cs="宋体"/>
          <w:b/>
          <w:sz w:val="24"/>
          <w:szCs w:val="24"/>
        </w:rPr>
        <w:t>．总则</w:t>
      </w:r>
      <w:bookmarkEnd w:id="31"/>
    </w:p>
    <w:p w14:paraId="0285A30D">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1.1 </w:t>
      </w:r>
      <w:r>
        <w:rPr>
          <w:rFonts w:hint="eastAsia" w:ascii="宋体" w:hAnsi="宋体" w:cs="Arial"/>
          <w:kern w:val="0"/>
          <w:sz w:val="24"/>
          <w:szCs w:val="24"/>
        </w:rPr>
        <w:t>招标项目概况</w:t>
      </w:r>
    </w:p>
    <w:p w14:paraId="7F971117">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1.1.1 </w:t>
      </w:r>
      <w:r>
        <w:rPr>
          <w:rFonts w:hint="eastAsia" w:ascii="宋体" w:hAnsi="宋体" w:cs="Arial"/>
          <w:kern w:val="0"/>
          <w:sz w:val="24"/>
          <w:szCs w:val="24"/>
        </w:rPr>
        <w:t>项目名称：见投标人须知前附表。</w:t>
      </w:r>
    </w:p>
    <w:p w14:paraId="509976F4">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1.1.2</w:t>
      </w:r>
      <w:r>
        <w:rPr>
          <w:rFonts w:hint="eastAsia" w:ascii="宋体" w:hAnsi="宋体" w:cs="Arial"/>
          <w:kern w:val="0"/>
          <w:sz w:val="24"/>
          <w:szCs w:val="24"/>
        </w:rPr>
        <w:t>项目编号：见投标人须知前附表。</w:t>
      </w:r>
    </w:p>
    <w:p w14:paraId="31A108FA">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1.1.3</w:t>
      </w:r>
      <w:r>
        <w:rPr>
          <w:rFonts w:hint="eastAsia" w:ascii="宋体" w:hAnsi="宋体" w:cs="Arial"/>
          <w:kern w:val="0"/>
          <w:sz w:val="24"/>
          <w:szCs w:val="24"/>
        </w:rPr>
        <w:t>采购人：见投标人须知前附表。</w:t>
      </w:r>
    </w:p>
    <w:p w14:paraId="3AA189FA">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1.1.4</w:t>
      </w:r>
      <w:r>
        <w:rPr>
          <w:rFonts w:hint="eastAsia" w:ascii="宋体" w:hAnsi="宋体" w:cs="Arial"/>
          <w:kern w:val="0"/>
          <w:sz w:val="24"/>
          <w:szCs w:val="24"/>
        </w:rPr>
        <w:t>采购代理机构：见投标人须知前附表。</w:t>
      </w:r>
    </w:p>
    <w:p w14:paraId="78AF53FA">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1.1.5</w:t>
      </w:r>
      <w:r>
        <w:rPr>
          <w:rFonts w:hint="eastAsia" w:ascii="宋体" w:hAnsi="宋体" w:cs="Arial"/>
          <w:kern w:val="0"/>
          <w:sz w:val="24"/>
          <w:szCs w:val="24"/>
        </w:rPr>
        <w:t>项目地点：见投标人须知前附表。</w:t>
      </w:r>
    </w:p>
    <w:p w14:paraId="335E9BB6">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1.1.6</w:t>
      </w:r>
      <w:r>
        <w:rPr>
          <w:rFonts w:hint="eastAsia" w:ascii="宋体" w:hAnsi="宋体" w:cs="Arial"/>
          <w:kern w:val="0"/>
          <w:sz w:val="24"/>
          <w:szCs w:val="24"/>
        </w:rPr>
        <w:t>资金来源：见投标人须知前附表。</w:t>
      </w:r>
    </w:p>
    <w:p w14:paraId="51B4DF56">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1.1.7</w:t>
      </w:r>
      <w:r>
        <w:rPr>
          <w:rFonts w:hint="eastAsia" w:ascii="宋体" w:hAnsi="宋体" w:cs="Arial"/>
          <w:kern w:val="0"/>
          <w:sz w:val="24"/>
          <w:szCs w:val="24"/>
        </w:rPr>
        <w:t>采购预算金额：见投标人须知前附表。</w:t>
      </w:r>
    </w:p>
    <w:p w14:paraId="2684D264">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1.1.8</w:t>
      </w:r>
      <w:r>
        <w:rPr>
          <w:rFonts w:hint="eastAsia" w:ascii="宋体" w:hAnsi="宋体" w:cs="Arial"/>
          <w:kern w:val="0"/>
          <w:sz w:val="24"/>
          <w:szCs w:val="24"/>
          <w:lang w:eastAsia="zh-CN"/>
        </w:rPr>
        <w:t>存款方式</w:t>
      </w:r>
      <w:r>
        <w:rPr>
          <w:rFonts w:hint="eastAsia" w:ascii="宋体" w:hAnsi="宋体" w:cs="Arial"/>
          <w:kern w:val="0"/>
          <w:sz w:val="24"/>
          <w:szCs w:val="24"/>
        </w:rPr>
        <w:t>：见投标人须知前附表。</w:t>
      </w:r>
    </w:p>
    <w:p w14:paraId="50E3955B">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1.2</w:t>
      </w:r>
      <w:r>
        <w:rPr>
          <w:rFonts w:hint="eastAsia" w:ascii="宋体" w:hAnsi="宋体" w:cs="Arial"/>
          <w:kern w:val="0"/>
          <w:sz w:val="24"/>
          <w:szCs w:val="24"/>
        </w:rPr>
        <w:t>采购内容：见投标人须知前附表。</w:t>
      </w:r>
    </w:p>
    <w:p w14:paraId="01D0AD1A">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1.3 </w:t>
      </w:r>
      <w:r>
        <w:rPr>
          <w:rFonts w:hint="eastAsia" w:ascii="宋体" w:hAnsi="宋体" w:cs="Arial"/>
          <w:kern w:val="0"/>
          <w:sz w:val="24"/>
          <w:szCs w:val="24"/>
        </w:rPr>
        <w:t>招标方式和资格审查方式</w:t>
      </w:r>
    </w:p>
    <w:p w14:paraId="457EF543">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1.3.1 </w:t>
      </w:r>
      <w:r>
        <w:rPr>
          <w:rFonts w:hint="eastAsia" w:ascii="宋体" w:hAnsi="宋体" w:cs="Arial"/>
          <w:kern w:val="0"/>
          <w:sz w:val="24"/>
          <w:szCs w:val="24"/>
        </w:rPr>
        <w:t>招标方式：见投标人须知前附表。</w:t>
      </w:r>
    </w:p>
    <w:p w14:paraId="38631F1B">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1.3.2 </w:t>
      </w:r>
      <w:r>
        <w:rPr>
          <w:rFonts w:hint="eastAsia" w:ascii="宋体" w:hAnsi="宋体" w:cs="Arial"/>
          <w:kern w:val="0"/>
          <w:sz w:val="24"/>
          <w:szCs w:val="24"/>
        </w:rPr>
        <w:t>资格审查方式：见投标人须知前附表。</w:t>
      </w:r>
    </w:p>
    <w:p w14:paraId="6C7B6D0B">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1.4 </w:t>
      </w:r>
      <w:r>
        <w:rPr>
          <w:rFonts w:hint="eastAsia" w:ascii="宋体" w:hAnsi="宋体" w:cs="Arial"/>
          <w:kern w:val="0"/>
          <w:sz w:val="24"/>
          <w:szCs w:val="24"/>
        </w:rPr>
        <w:t>评标办法</w:t>
      </w:r>
    </w:p>
    <w:p w14:paraId="7FB816DE">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1.4.1 </w:t>
      </w:r>
      <w:r>
        <w:rPr>
          <w:rFonts w:hint="eastAsia" w:ascii="宋体" w:hAnsi="宋体" w:cs="Arial"/>
          <w:kern w:val="0"/>
          <w:sz w:val="24"/>
          <w:szCs w:val="24"/>
        </w:rPr>
        <w:t>评标办法：见投标人须知前附表。</w:t>
      </w:r>
    </w:p>
    <w:p w14:paraId="1AC8F9C3">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1.5 </w:t>
      </w:r>
      <w:r>
        <w:rPr>
          <w:rFonts w:hint="eastAsia" w:ascii="宋体" w:hAnsi="宋体" w:cs="Arial"/>
          <w:kern w:val="0"/>
          <w:sz w:val="24"/>
          <w:szCs w:val="24"/>
        </w:rPr>
        <w:t>投标人资格条件和能力要求</w:t>
      </w:r>
    </w:p>
    <w:p w14:paraId="639E4F4A">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1.5.1 </w:t>
      </w:r>
      <w:r>
        <w:rPr>
          <w:rFonts w:hint="eastAsia" w:ascii="宋体" w:hAnsi="宋体" w:cs="Arial"/>
          <w:kern w:val="0"/>
          <w:sz w:val="24"/>
          <w:szCs w:val="24"/>
        </w:rPr>
        <w:t>投标人应具备承担本招标项目的资格条件和能力，具体要求见投标人须知前附表。</w:t>
      </w:r>
    </w:p>
    <w:p w14:paraId="069E7A6A">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1.5.2 </w:t>
      </w:r>
      <w:r>
        <w:rPr>
          <w:rFonts w:hint="eastAsia" w:ascii="宋体" w:hAnsi="宋体" w:cs="Arial"/>
          <w:kern w:val="0"/>
          <w:sz w:val="24"/>
          <w:szCs w:val="24"/>
        </w:rPr>
        <w:t>投标人须知前附表规定接受联合体投标的，除应符合</w:t>
      </w:r>
      <w:r>
        <w:rPr>
          <w:rFonts w:hint="eastAsia" w:ascii="宋体" w:hAnsi="宋体" w:cs="Arial"/>
          <w:color w:val="000000"/>
          <w:kern w:val="0"/>
          <w:sz w:val="24"/>
          <w:szCs w:val="24"/>
        </w:rPr>
        <w:t>本章第</w:t>
      </w:r>
      <w:r>
        <w:rPr>
          <w:rFonts w:ascii="宋体" w:hAnsi="宋体" w:cs="Arial"/>
          <w:color w:val="000000"/>
          <w:kern w:val="0"/>
          <w:sz w:val="24"/>
          <w:szCs w:val="24"/>
        </w:rPr>
        <w:t>1.5.1</w:t>
      </w:r>
      <w:r>
        <w:rPr>
          <w:rFonts w:hint="eastAsia" w:ascii="宋体" w:hAnsi="宋体" w:cs="Arial"/>
          <w:color w:val="000000"/>
          <w:kern w:val="0"/>
          <w:sz w:val="24"/>
          <w:szCs w:val="24"/>
        </w:rPr>
        <w:t>款</w:t>
      </w:r>
      <w:r>
        <w:rPr>
          <w:rFonts w:hint="eastAsia" w:ascii="宋体" w:hAnsi="宋体" w:cs="Arial"/>
          <w:kern w:val="0"/>
          <w:sz w:val="24"/>
          <w:szCs w:val="24"/>
        </w:rPr>
        <w:t>和投标人须知前附表的要求外，还应遵守以下规定：（</w:t>
      </w:r>
      <w:r>
        <w:rPr>
          <w:rFonts w:ascii="宋体" w:hAnsi="宋体" w:cs="Arial"/>
          <w:kern w:val="0"/>
          <w:sz w:val="24"/>
          <w:szCs w:val="24"/>
        </w:rPr>
        <w:t>1</w:t>
      </w:r>
      <w:r>
        <w:rPr>
          <w:rFonts w:hint="eastAsia" w:ascii="宋体" w:hAnsi="宋体" w:cs="Arial"/>
          <w:kern w:val="0"/>
          <w:sz w:val="24"/>
          <w:szCs w:val="24"/>
        </w:rPr>
        <w:t>）联合体各方应按招标文件提供的格式签订联合体协议书，明确联合体牵头人和各方权利义务；（</w:t>
      </w:r>
      <w:r>
        <w:rPr>
          <w:rFonts w:ascii="宋体" w:hAnsi="宋体" w:cs="Arial"/>
          <w:kern w:val="0"/>
          <w:sz w:val="24"/>
          <w:szCs w:val="24"/>
        </w:rPr>
        <w:t>2</w:t>
      </w:r>
      <w:r>
        <w:rPr>
          <w:rFonts w:hint="eastAsia" w:ascii="宋体" w:hAnsi="宋体" w:cs="Arial"/>
          <w:kern w:val="0"/>
          <w:sz w:val="24"/>
          <w:szCs w:val="24"/>
        </w:rPr>
        <w:t>）联合体各方不得再以自己名义单独或参加其他联合体在本招标项目中投标。</w:t>
      </w:r>
    </w:p>
    <w:p w14:paraId="21566923">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1.5.3 </w:t>
      </w:r>
      <w:r>
        <w:rPr>
          <w:rFonts w:hint="eastAsia" w:ascii="宋体" w:hAnsi="宋体" w:cs="Arial"/>
          <w:kern w:val="0"/>
          <w:sz w:val="24"/>
          <w:szCs w:val="24"/>
        </w:rPr>
        <w:t>投标人不得存在下列情形之一，否则相关投标均应被否决：</w:t>
      </w:r>
    </w:p>
    <w:p w14:paraId="59E0D778">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1</w:t>
      </w:r>
      <w:r>
        <w:rPr>
          <w:rFonts w:hint="eastAsia" w:ascii="宋体" w:hAnsi="宋体" w:cs="Arial"/>
          <w:kern w:val="0"/>
          <w:sz w:val="24"/>
          <w:szCs w:val="24"/>
        </w:rPr>
        <w:t>）与采购人存在利害关系可能影响招标公正性的法人、其他组织或者个人的；</w:t>
      </w:r>
    </w:p>
    <w:p w14:paraId="0E7FADD8">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2</w:t>
      </w:r>
      <w:r>
        <w:rPr>
          <w:rFonts w:hint="eastAsia" w:ascii="宋体" w:hAnsi="宋体" w:cs="Arial"/>
          <w:kern w:val="0"/>
          <w:sz w:val="24"/>
          <w:szCs w:val="24"/>
        </w:rPr>
        <w:t>）单位负责人为同一人或者存在控股、管理关系的不同单位，参加同一标段投标或者未划分标段的同一招标项目投标的；</w:t>
      </w:r>
    </w:p>
    <w:p w14:paraId="372CADD3">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3</w:t>
      </w:r>
      <w:r>
        <w:rPr>
          <w:rFonts w:hint="eastAsia" w:ascii="宋体" w:hAnsi="宋体" w:cs="Arial"/>
          <w:kern w:val="0"/>
          <w:sz w:val="24"/>
          <w:szCs w:val="24"/>
        </w:rPr>
        <w:t>）法定代表人为同一个人的两个及两个以上法人，母公司、全资子公司及其控股公司，参加同一标段投标或者未划分标段的同一招标项目投标的；</w:t>
      </w:r>
    </w:p>
    <w:p w14:paraId="079A799B">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4</w:t>
      </w:r>
      <w:r>
        <w:rPr>
          <w:rFonts w:hint="eastAsia" w:ascii="宋体" w:hAnsi="宋体" w:cs="Arial"/>
          <w:kern w:val="0"/>
          <w:sz w:val="24"/>
          <w:szCs w:val="24"/>
        </w:rPr>
        <w:t>）被责令停业的；</w:t>
      </w:r>
    </w:p>
    <w:p w14:paraId="2AF2F404">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5</w:t>
      </w:r>
      <w:r>
        <w:rPr>
          <w:rFonts w:hint="eastAsia" w:ascii="宋体" w:hAnsi="宋体" w:cs="Arial"/>
          <w:kern w:val="0"/>
          <w:sz w:val="24"/>
          <w:szCs w:val="24"/>
        </w:rPr>
        <w:t>）被暂停或取消投标资格的；</w:t>
      </w:r>
    </w:p>
    <w:p w14:paraId="00058588">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6</w:t>
      </w:r>
      <w:r>
        <w:rPr>
          <w:rFonts w:hint="eastAsia" w:ascii="宋体" w:hAnsi="宋体" w:cs="Arial"/>
          <w:kern w:val="0"/>
          <w:sz w:val="24"/>
          <w:szCs w:val="24"/>
        </w:rPr>
        <w:t>）财产被接管或冻结的；</w:t>
      </w:r>
    </w:p>
    <w:p w14:paraId="10D6D63C">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7</w:t>
      </w:r>
      <w:r>
        <w:rPr>
          <w:rFonts w:hint="eastAsia" w:ascii="宋体" w:hAnsi="宋体" w:cs="Arial"/>
          <w:kern w:val="0"/>
          <w:sz w:val="24"/>
          <w:szCs w:val="24"/>
        </w:rPr>
        <w:t>）在最近三年内有骗取中标或严重违约或重大质量问题的；</w:t>
      </w:r>
    </w:p>
    <w:p w14:paraId="30B87AA9">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8</w:t>
      </w:r>
      <w:r>
        <w:rPr>
          <w:rFonts w:hint="eastAsia" w:ascii="宋体" w:hAnsi="宋体" w:cs="Arial"/>
          <w:kern w:val="0"/>
          <w:sz w:val="24"/>
          <w:szCs w:val="24"/>
        </w:rPr>
        <w:t>）法律规定的其他情形。</w:t>
      </w:r>
      <w:bookmarkStart w:id="32" w:name="_BookMark_5"/>
      <w:bookmarkEnd w:id="32"/>
    </w:p>
    <w:p w14:paraId="63CF14F3">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1.6</w:t>
      </w:r>
      <w:r>
        <w:rPr>
          <w:rFonts w:hint="eastAsia" w:ascii="宋体" w:hAnsi="宋体" w:cs="Arial"/>
          <w:kern w:val="0"/>
          <w:sz w:val="24"/>
          <w:szCs w:val="24"/>
        </w:rPr>
        <w:t>费用承担</w:t>
      </w:r>
    </w:p>
    <w:p w14:paraId="0A0335EA">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1.6.1</w:t>
      </w:r>
      <w:r>
        <w:rPr>
          <w:rFonts w:hint="eastAsia" w:ascii="宋体" w:hAnsi="宋体" w:cs="Arial"/>
          <w:kern w:val="0"/>
          <w:sz w:val="24"/>
          <w:szCs w:val="24"/>
          <w:lang w:eastAsia="zh-CN"/>
        </w:rPr>
        <w:t>招标</w:t>
      </w:r>
      <w:r>
        <w:rPr>
          <w:rFonts w:hint="eastAsia" w:ascii="宋体" w:hAnsi="宋体" w:cs="Arial"/>
          <w:kern w:val="0"/>
          <w:sz w:val="24"/>
          <w:szCs w:val="24"/>
        </w:rPr>
        <w:t>文件费：见投标人须知前附表。</w:t>
      </w:r>
    </w:p>
    <w:p w14:paraId="4A051AC0">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1.6.2</w:t>
      </w:r>
      <w:r>
        <w:rPr>
          <w:rFonts w:hint="eastAsia" w:ascii="宋体" w:hAnsi="宋体" w:cs="Arial"/>
          <w:kern w:val="0"/>
          <w:sz w:val="24"/>
          <w:szCs w:val="24"/>
        </w:rPr>
        <w:t>投标人应承担其编制投标文件与递交投标文件所涉及的一切费用，无论投标结果如何，采购人及采购代理机构对上述费用不作任何补偿。采购代理</w:t>
      </w:r>
      <w:r>
        <w:rPr>
          <w:rFonts w:hint="eastAsia" w:ascii="宋体" w:hAnsi="宋体" w:cs="Arial"/>
          <w:kern w:val="0"/>
          <w:sz w:val="24"/>
          <w:szCs w:val="24"/>
          <w:lang w:eastAsia="zh-CN"/>
        </w:rPr>
        <w:t>服务</w:t>
      </w:r>
      <w:r>
        <w:rPr>
          <w:rFonts w:hint="eastAsia" w:ascii="宋体" w:hAnsi="宋体" w:cs="Arial"/>
          <w:kern w:val="0"/>
          <w:sz w:val="24"/>
          <w:szCs w:val="24"/>
        </w:rPr>
        <w:t>费由</w:t>
      </w:r>
      <w:r>
        <w:rPr>
          <w:rFonts w:hint="eastAsia" w:ascii="宋体" w:hAnsi="宋体" w:cs="Arial"/>
          <w:kern w:val="0"/>
          <w:sz w:val="24"/>
          <w:szCs w:val="24"/>
          <w:lang w:eastAsia="zh-CN"/>
        </w:rPr>
        <w:t>中标</w:t>
      </w:r>
      <w:r>
        <w:rPr>
          <w:rFonts w:hint="eastAsia" w:ascii="宋体" w:hAnsi="宋体" w:cs="Arial"/>
          <w:kern w:val="0"/>
          <w:sz w:val="24"/>
          <w:szCs w:val="24"/>
        </w:rPr>
        <w:t>单位支付。</w:t>
      </w:r>
    </w:p>
    <w:p w14:paraId="19B5EE41">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1.7</w:t>
      </w:r>
      <w:r>
        <w:rPr>
          <w:rFonts w:hint="eastAsia" w:ascii="宋体" w:hAnsi="宋体" w:cs="Arial"/>
          <w:kern w:val="0"/>
          <w:sz w:val="24"/>
          <w:szCs w:val="24"/>
        </w:rPr>
        <w:t>投标保证金：见投标人须知前附表。</w:t>
      </w:r>
    </w:p>
    <w:p w14:paraId="315A35D2">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1.8</w:t>
      </w:r>
      <w:r>
        <w:rPr>
          <w:rFonts w:hint="eastAsia" w:ascii="宋体" w:hAnsi="宋体" w:cs="Arial"/>
          <w:kern w:val="0"/>
          <w:sz w:val="24"/>
          <w:szCs w:val="24"/>
        </w:rPr>
        <w:t>招标答疑会和招标澄清答疑要求</w:t>
      </w:r>
    </w:p>
    <w:p w14:paraId="7ABCE33D">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1.8.1 </w:t>
      </w:r>
      <w:r>
        <w:rPr>
          <w:rFonts w:hint="eastAsia" w:ascii="宋体" w:hAnsi="宋体" w:cs="Arial"/>
          <w:kern w:val="0"/>
          <w:sz w:val="24"/>
          <w:szCs w:val="24"/>
          <w:lang w:val="en-US" w:eastAsia="zh-CN"/>
        </w:rPr>
        <w:t>本项目不</w:t>
      </w:r>
      <w:r>
        <w:rPr>
          <w:rFonts w:hint="eastAsia" w:ascii="宋体" w:hAnsi="宋体" w:cs="Arial"/>
          <w:kern w:val="0"/>
          <w:sz w:val="24"/>
          <w:szCs w:val="24"/>
        </w:rPr>
        <w:t>召开招标答疑会</w:t>
      </w:r>
      <w:r>
        <w:rPr>
          <w:rFonts w:hint="eastAsia" w:ascii="宋体" w:hAnsi="宋体" w:cs="Arial"/>
          <w:kern w:val="0"/>
          <w:sz w:val="24"/>
          <w:szCs w:val="24"/>
          <w:lang w:val="en-US" w:eastAsia="zh-CN"/>
        </w:rPr>
        <w:t>和</w:t>
      </w:r>
      <w:r>
        <w:rPr>
          <w:rFonts w:hint="eastAsia" w:ascii="宋体" w:hAnsi="宋体" w:cs="Arial"/>
          <w:kern w:val="0"/>
          <w:sz w:val="24"/>
          <w:szCs w:val="24"/>
        </w:rPr>
        <w:t>招标澄清答疑要求。</w:t>
      </w:r>
    </w:p>
    <w:p w14:paraId="782050C9">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1.9</w:t>
      </w:r>
      <w:r>
        <w:rPr>
          <w:rFonts w:hint="eastAsia" w:ascii="宋体" w:hAnsi="宋体" w:cs="Arial"/>
          <w:kern w:val="0"/>
          <w:sz w:val="24"/>
          <w:szCs w:val="24"/>
        </w:rPr>
        <w:t>投标文件</w:t>
      </w:r>
      <w:r>
        <w:rPr>
          <w:rFonts w:hint="eastAsia" w:ascii="宋体" w:hAnsi="宋体" w:cs="Arial"/>
          <w:kern w:val="0"/>
          <w:sz w:val="24"/>
          <w:szCs w:val="24"/>
          <w:lang w:val="en-US" w:eastAsia="zh-CN"/>
        </w:rPr>
        <w:t>要求</w:t>
      </w:r>
      <w:r>
        <w:rPr>
          <w:rFonts w:hint="eastAsia" w:ascii="宋体" w:hAnsi="宋体" w:cs="Arial"/>
          <w:kern w:val="0"/>
          <w:sz w:val="24"/>
          <w:szCs w:val="24"/>
        </w:rPr>
        <w:t>：见投标人须知前附表。</w:t>
      </w:r>
    </w:p>
    <w:p w14:paraId="31CFA9D3">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1.10</w:t>
      </w:r>
      <w:r>
        <w:rPr>
          <w:rFonts w:hint="eastAsia" w:ascii="宋体" w:hAnsi="宋体" w:cs="Arial"/>
          <w:kern w:val="0"/>
          <w:sz w:val="24"/>
          <w:szCs w:val="24"/>
        </w:rPr>
        <w:t>投标文件递交：见投标人须知前附表。</w:t>
      </w:r>
    </w:p>
    <w:p w14:paraId="4B9CD624">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1.12</w:t>
      </w:r>
      <w:r>
        <w:rPr>
          <w:rFonts w:hint="eastAsia" w:ascii="宋体" w:hAnsi="宋体" w:cs="Arial"/>
          <w:kern w:val="0"/>
          <w:sz w:val="24"/>
          <w:szCs w:val="24"/>
        </w:rPr>
        <w:t>开标：见投标人须知前附表。</w:t>
      </w:r>
    </w:p>
    <w:p w14:paraId="623090E7">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1.12</w:t>
      </w:r>
      <w:r>
        <w:rPr>
          <w:rFonts w:hint="eastAsia" w:ascii="宋体" w:hAnsi="宋体" w:cs="Arial"/>
          <w:kern w:val="0"/>
          <w:sz w:val="24"/>
          <w:szCs w:val="24"/>
        </w:rPr>
        <w:t>投标有效期：见投标人须知前附表。</w:t>
      </w:r>
    </w:p>
    <w:p w14:paraId="10277B25">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1.13</w:t>
      </w:r>
      <w:r>
        <w:rPr>
          <w:rFonts w:hint="eastAsia" w:ascii="宋体" w:hAnsi="宋体" w:cs="Arial"/>
          <w:kern w:val="0"/>
          <w:sz w:val="24"/>
          <w:szCs w:val="24"/>
          <w:lang w:eastAsia="zh-CN"/>
        </w:rPr>
        <w:t>招标</w:t>
      </w:r>
      <w:r>
        <w:rPr>
          <w:rFonts w:hint="eastAsia" w:ascii="宋体" w:hAnsi="宋体" w:cs="Arial"/>
          <w:kern w:val="0"/>
          <w:sz w:val="24"/>
          <w:szCs w:val="24"/>
        </w:rPr>
        <w:t>公告发布媒体：见投标人须知前附表。</w:t>
      </w:r>
    </w:p>
    <w:p w14:paraId="072FCA9D">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1.14</w:t>
      </w:r>
      <w:r>
        <w:rPr>
          <w:rFonts w:hint="eastAsia" w:ascii="宋体" w:hAnsi="宋体" w:cs="Arial"/>
          <w:kern w:val="0"/>
          <w:sz w:val="24"/>
          <w:szCs w:val="24"/>
        </w:rPr>
        <w:t>履约保证金：见投标人须知前附表。</w:t>
      </w:r>
    </w:p>
    <w:p w14:paraId="3839E134">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1.15</w:t>
      </w:r>
      <w:r>
        <w:rPr>
          <w:rFonts w:hint="eastAsia" w:ascii="宋体" w:hAnsi="宋体" w:cs="Arial"/>
          <w:kern w:val="0"/>
          <w:sz w:val="24"/>
          <w:szCs w:val="24"/>
        </w:rPr>
        <w:t>保密</w:t>
      </w:r>
    </w:p>
    <w:p w14:paraId="026C8979">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参与采购投标活动的各方应当对</w:t>
      </w:r>
      <w:r>
        <w:rPr>
          <w:rFonts w:hint="eastAsia" w:ascii="宋体" w:hAnsi="宋体" w:cs="Arial"/>
          <w:kern w:val="0"/>
          <w:sz w:val="24"/>
          <w:szCs w:val="24"/>
          <w:lang w:eastAsia="zh-CN"/>
        </w:rPr>
        <w:t>招标</w:t>
      </w:r>
      <w:r>
        <w:rPr>
          <w:rFonts w:hint="eastAsia" w:ascii="宋体" w:hAnsi="宋体" w:cs="Arial"/>
          <w:kern w:val="0"/>
          <w:sz w:val="24"/>
          <w:szCs w:val="24"/>
        </w:rPr>
        <w:t>文件和投标文件中的商业和技术等秘密保密，否则应当承担相应的法律责任。</w:t>
      </w:r>
    </w:p>
    <w:p w14:paraId="67A75EB4">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1.16</w:t>
      </w:r>
      <w:r>
        <w:rPr>
          <w:rFonts w:hint="eastAsia" w:ascii="宋体" w:hAnsi="宋体" w:cs="Arial"/>
          <w:kern w:val="0"/>
          <w:sz w:val="24"/>
          <w:szCs w:val="24"/>
        </w:rPr>
        <w:t>语言文字</w:t>
      </w:r>
    </w:p>
    <w:p w14:paraId="49751EB2">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除专用术语外，与招标投标有关的语言均应当使用中文。必要时专用术语应附有中文注释。</w:t>
      </w:r>
    </w:p>
    <w:p w14:paraId="5A042178">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1.18</w:t>
      </w:r>
      <w:r>
        <w:rPr>
          <w:rFonts w:hint="eastAsia" w:ascii="宋体" w:hAnsi="宋体" w:cs="Arial"/>
          <w:kern w:val="0"/>
          <w:sz w:val="24"/>
          <w:szCs w:val="24"/>
        </w:rPr>
        <w:t>计量单位</w:t>
      </w:r>
    </w:p>
    <w:p w14:paraId="33F07F2C">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所有计量均采用中华人民共和国法定计量单位。</w:t>
      </w:r>
    </w:p>
    <w:p w14:paraId="607A52F0">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1.19</w:t>
      </w:r>
      <w:r>
        <w:rPr>
          <w:rFonts w:hint="eastAsia" w:ascii="宋体" w:hAnsi="宋体" w:cs="Arial"/>
          <w:kern w:val="0"/>
          <w:sz w:val="24"/>
          <w:szCs w:val="24"/>
        </w:rPr>
        <w:t>偏离</w:t>
      </w:r>
    </w:p>
    <w:p w14:paraId="5E908980">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投标文件与</w:t>
      </w:r>
      <w:r>
        <w:rPr>
          <w:rFonts w:hint="eastAsia" w:ascii="宋体" w:hAnsi="宋体" w:cs="Arial"/>
          <w:kern w:val="0"/>
          <w:sz w:val="24"/>
          <w:szCs w:val="24"/>
          <w:lang w:eastAsia="zh-CN"/>
        </w:rPr>
        <w:t>招标</w:t>
      </w:r>
      <w:r>
        <w:rPr>
          <w:rFonts w:hint="eastAsia" w:ascii="宋体" w:hAnsi="宋体" w:cs="Arial"/>
          <w:kern w:val="0"/>
          <w:sz w:val="24"/>
          <w:szCs w:val="24"/>
        </w:rPr>
        <w:t>文件某些要求产生偏离的，偏离应当符合</w:t>
      </w:r>
      <w:r>
        <w:rPr>
          <w:rFonts w:hint="eastAsia" w:ascii="宋体" w:hAnsi="宋体" w:cs="Arial"/>
          <w:kern w:val="0"/>
          <w:sz w:val="24"/>
          <w:szCs w:val="24"/>
          <w:lang w:eastAsia="zh-CN"/>
        </w:rPr>
        <w:t>招标</w:t>
      </w:r>
      <w:r>
        <w:rPr>
          <w:rFonts w:hint="eastAsia" w:ascii="宋体" w:hAnsi="宋体" w:cs="Arial"/>
          <w:kern w:val="0"/>
          <w:sz w:val="24"/>
          <w:szCs w:val="24"/>
        </w:rPr>
        <w:t>文件规定的偏离范围和幅度。</w:t>
      </w:r>
    </w:p>
    <w:p w14:paraId="2C7539BB">
      <w:pPr>
        <w:shd w:val="clear"/>
        <w:tabs>
          <w:tab w:val="center" w:pos="4832"/>
          <w:tab w:val="left" w:pos="7140"/>
        </w:tabs>
        <w:spacing w:line="360" w:lineRule="auto"/>
        <w:jc w:val="left"/>
        <w:outlineLvl w:val="1"/>
        <w:rPr>
          <w:rFonts w:ascii="宋体" w:cs="宋体"/>
          <w:b/>
          <w:sz w:val="24"/>
          <w:szCs w:val="24"/>
        </w:rPr>
      </w:pPr>
      <w:bookmarkStart w:id="33" w:name="_Toc529175829"/>
      <w:r>
        <w:rPr>
          <w:rFonts w:ascii="宋体" w:hAnsi="宋体" w:cs="宋体"/>
          <w:b/>
          <w:sz w:val="24"/>
          <w:szCs w:val="24"/>
        </w:rPr>
        <w:t>2</w:t>
      </w:r>
      <w:r>
        <w:rPr>
          <w:rFonts w:hint="eastAsia" w:ascii="宋体" w:hAnsi="宋体" w:cs="宋体"/>
          <w:b/>
          <w:sz w:val="24"/>
          <w:szCs w:val="24"/>
        </w:rPr>
        <w:t>．</w:t>
      </w:r>
      <w:r>
        <w:rPr>
          <w:rFonts w:hint="eastAsia" w:ascii="宋体" w:hAnsi="宋体" w:cs="宋体"/>
          <w:b/>
          <w:sz w:val="24"/>
          <w:szCs w:val="24"/>
          <w:lang w:eastAsia="zh-CN"/>
        </w:rPr>
        <w:t>招标</w:t>
      </w:r>
      <w:r>
        <w:rPr>
          <w:rFonts w:hint="eastAsia" w:ascii="宋体" w:hAnsi="宋体" w:cs="宋体"/>
          <w:b/>
          <w:sz w:val="24"/>
          <w:szCs w:val="24"/>
        </w:rPr>
        <w:t>文件</w:t>
      </w:r>
      <w:bookmarkEnd w:id="33"/>
    </w:p>
    <w:p w14:paraId="2F44123B">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2.1 </w:t>
      </w:r>
      <w:r>
        <w:rPr>
          <w:rFonts w:hint="eastAsia" w:ascii="宋体" w:hAnsi="宋体" w:cs="Arial"/>
          <w:kern w:val="0"/>
          <w:sz w:val="24"/>
          <w:szCs w:val="24"/>
          <w:lang w:eastAsia="zh-CN"/>
        </w:rPr>
        <w:t>招标</w:t>
      </w:r>
      <w:r>
        <w:rPr>
          <w:rFonts w:hint="eastAsia" w:ascii="宋体" w:hAnsi="宋体" w:cs="Arial"/>
          <w:kern w:val="0"/>
          <w:sz w:val="24"/>
          <w:szCs w:val="24"/>
        </w:rPr>
        <w:t>文件的组成</w:t>
      </w:r>
    </w:p>
    <w:p w14:paraId="68BC4735">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1</w:t>
      </w:r>
      <w:r>
        <w:rPr>
          <w:rFonts w:hint="eastAsia" w:ascii="宋体" w:hAnsi="宋体" w:cs="Arial"/>
          <w:kern w:val="0"/>
          <w:sz w:val="24"/>
          <w:szCs w:val="24"/>
        </w:rPr>
        <w:t>）投标人须知；</w:t>
      </w:r>
    </w:p>
    <w:p w14:paraId="132B8472">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2</w:t>
      </w:r>
      <w:r>
        <w:rPr>
          <w:rFonts w:hint="eastAsia" w:ascii="宋体" w:hAnsi="宋体" w:cs="Arial"/>
          <w:kern w:val="0"/>
          <w:sz w:val="24"/>
          <w:szCs w:val="24"/>
        </w:rPr>
        <w:t>）评标办法；</w:t>
      </w:r>
    </w:p>
    <w:p w14:paraId="0AE868CA">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3</w:t>
      </w:r>
      <w:r>
        <w:rPr>
          <w:rFonts w:hint="eastAsia" w:ascii="宋体" w:hAnsi="宋体" w:cs="Arial"/>
          <w:kern w:val="0"/>
          <w:sz w:val="24"/>
          <w:szCs w:val="24"/>
        </w:rPr>
        <w:t>）合同；</w:t>
      </w:r>
    </w:p>
    <w:p w14:paraId="66033790">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4</w:t>
      </w:r>
      <w:r>
        <w:rPr>
          <w:rFonts w:hint="eastAsia" w:ascii="宋体" w:hAnsi="宋体" w:cs="Arial"/>
          <w:kern w:val="0"/>
          <w:sz w:val="24"/>
          <w:szCs w:val="24"/>
        </w:rPr>
        <w:t>）项目技术、服务需求</w:t>
      </w:r>
    </w:p>
    <w:p w14:paraId="72E20DE2">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5</w:t>
      </w:r>
      <w:r>
        <w:rPr>
          <w:rFonts w:hint="eastAsia" w:ascii="宋体" w:hAnsi="宋体" w:cs="Arial"/>
          <w:kern w:val="0"/>
          <w:sz w:val="24"/>
          <w:szCs w:val="24"/>
        </w:rPr>
        <w:t>）投标文件格式；</w:t>
      </w:r>
    </w:p>
    <w:p w14:paraId="30AF7FB2">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6</w:t>
      </w:r>
      <w:r>
        <w:rPr>
          <w:rFonts w:hint="eastAsia" w:ascii="宋体" w:hAnsi="宋体" w:cs="Arial"/>
          <w:kern w:val="0"/>
          <w:sz w:val="24"/>
          <w:szCs w:val="24"/>
        </w:rPr>
        <w:t>）补充条款。</w:t>
      </w:r>
    </w:p>
    <w:p w14:paraId="1ADDDA17">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根据本章第</w:t>
      </w:r>
      <w:r>
        <w:rPr>
          <w:rFonts w:ascii="宋体" w:hAnsi="宋体" w:cs="Arial"/>
          <w:kern w:val="0"/>
          <w:sz w:val="24"/>
          <w:szCs w:val="24"/>
        </w:rPr>
        <w:t>2.4</w:t>
      </w:r>
      <w:r>
        <w:rPr>
          <w:rFonts w:hint="eastAsia" w:ascii="宋体" w:hAnsi="宋体" w:cs="Arial"/>
          <w:kern w:val="0"/>
          <w:sz w:val="24"/>
          <w:szCs w:val="24"/>
        </w:rPr>
        <w:t>款和第</w:t>
      </w:r>
      <w:r>
        <w:rPr>
          <w:rFonts w:ascii="宋体" w:hAnsi="宋体" w:cs="Arial"/>
          <w:kern w:val="0"/>
          <w:sz w:val="24"/>
          <w:szCs w:val="24"/>
        </w:rPr>
        <w:t>2.5</w:t>
      </w:r>
      <w:r>
        <w:rPr>
          <w:rFonts w:hint="eastAsia" w:ascii="宋体" w:hAnsi="宋体" w:cs="Arial"/>
          <w:kern w:val="0"/>
          <w:sz w:val="24"/>
          <w:szCs w:val="24"/>
        </w:rPr>
        <w:t>款对招标文件所作的澄清、修改，构成</w:t>
      </w:r>
      <w:r>
        <w:rPr>
          <w:rFonts w:hint="eastAsia" w:ascii="宋体" w:hAnsi="宋体" w:cs="Arial"/>
          <w:kern w:val="0"/>
          <w:sz w:val="24"/>
          <w:szCs w:val="24"/>
          <w:lang w:eastAsia="zh-CN"/>
        </w:rPr>
        <w:t>招标</w:t>
      </w:r>
      <w:r>
        <w:rPr>
          <w:rFonts w:hint="eastAsia" w:ascii="宋体" w:hAnsi="宋体" w:cs="Arial"/>
          <w:kern w:val="0"/>
          <w:sz w:val="24"/>
          <w:szCs w:val="24"/>
        </w:rPr>
        <w:t>文件的组成部分。</w:t>
      </w:r>
    </w:p>
    <w:p w14:paraId="4CCCA8F3">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2.2</w:t>
      </w:r>
      <w:r>
        <w:rPr>
          <w:rFonts w:hint="eastAsia" w:ascii="宋体" w:hAnsi="宋体" w:cs="Arial"/>
          <w:kern w:val="0"/>
          <w:sz w:val="24"/>
          <w:szCs w:val="24"/>
          <w:lang w:eastAsia="zh-CN"/>
        </w:rPr>
        <w:t>招标</w:t>
      </w:r>
      <w:r>
        <w:rPr>
          <w:rFonts w:hint="eastAsia" w:ascii="宋体" w:hAnsi="宋体" w:cs="Arial"/>
          <w:kern w:val="0"/>
          <w:sz w:val="24"/>
          <w:szCs w:val="24"/>
        </w:rPr>
        <w:t>文件的获取</w:t>
      </w:r>
    </w:p>
    <w:p w14:paraId="157D4DFE">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凡有意参加并符合投标人须知前附表“投标人资格条件和能力”的投标人，均可在采购代理机构获取</w:t>
      </w:r>
      <w:r>
        <w:rPr>
          <w:rFonts w:hint="eastAsia" w:ascii="宋体" w:hAnsi="宋体" w:cs="Arial"/>
          <w:kern w:val="0"/>
          <w:sz w:val="24"/>
          <w:szCs w:val="24"/>
          <w:lang w:eastAsia="zh-CN"/>
        </w:rPr>
        <w:t>招标</w:t>
      </w:r>
      <w:r>
        <w:rPr>
          <w:rFonts w:hint="eastAsia" w:ascii="宋体" w:hAnsi="宋体" w:cs="Arial"/>
          <w:kern w:val="0"/>
          <w:sz w:val="24"/>
          <w:szCs w:val="24"/>
        </w:rPr>
        <w:t>文件。</w:t>
      </w:r>
    </w:p>
    <w:p w14:paraId="45A18818">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2.3</w:t>
      </w:r>
      <w:r>
        <w:rPr>
          <w:rFonts w:hint="eastAsia" w:ascii="宋体" w:hAnsi="宋体" w:cs="Arial"/>
          <w:kern w:val="0"/>
          <w:sz w:val="24"/>
          <w:szCs w:val="24"/>
          <w:lang w:eastAsia="zh-CN"/>
        </w:rPr>
        <w:t>招标</w:t>
      </w:r>
      <w:r>
        <w:rPr>
          <w:rFonts w:hint="eastAsia" w:ascii="宋体" w:hAnsi="宋体" w:cs="Arial"/>
          <w:kern w:val="0"/>
          <w:sz w:val="24"/>
          <w:szCs w:val="24"/>
        </w:rPr>
        <w:t>文件的澄清</w:t>
      </w:r>
    </w:p>
    <w:p w14:paraId="1688D55D">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2.3.1 </w:t>
      </w:r>
      <w:r>
        <w:rPr>
          <w:rFonts w:hint="eastAsia" w:ascii="宋体" w:hAnsi="宋体" w:cs="Arial"/>
          <w:kern w:val="0"/>
          <w:sz w:val="24"/>
          <w:szCs w:val="24"/>
        </w:rPr>
        <w:t>投标人应当仔细阅读和检查</w:t>
      </w:r>
      <w:r>
        <w:rPr>
          <w:rFonts w:hint="eastAsia" w:ascii="宋体" w:hAnsi="宋体" w:cs="Arial"/>
          <w:kern w:val="0"/>
          <w:sz w:val="24"/>
          <w:szCs w:val="24"/>
          <w:lang w:eastAsia="zh-CN"/>
        </w:rPr>
        <w:t>招标</w:t>
      </w:r>
      <w:r>
        <w:rPr>
          <w:rFonts w:hint="eastAsia" w:ascii="宋体" w:hAnsi="宋体" w:cs="Arial"/>
          <w:kern w:val="0"/>
          <w:sz w:val="24"/>
          <w:szCs w:val="24"/>
        </w:rPr>
        <w:t>文件的全部内容。如发现缺页或附件不全，应当及时向采购人提出，以便补齐。如有疑问，应当在投标人须知前附表规定的时间、方式向采购人提出，要求采购人对</w:t>
      </w:r>
      <w:r>
        <w:rPr>
          <w:rFonts w:hint="eastAsia" w:ascii="宋体" w:hAnsi="宋体" w:cs="Arial"/>
          <w:kern w:val="0"/>
          <w:sz w:val="24"/>
          <w:szCs w:val="24"/>
          <w:lang w:eastAsia="zh-CN"/>
        </w:rPr>
        <w:t>招标</w:t>
      </w:r>
      <w:r>
        <w:rPr>
          <w:rFonts w:hint="eastAsia" w:ascii="宋体" w:hAnsi="宋体" w:cs="Arial"/>
          <w:kern w:val="0"/>
          <w:sz w:val="24"/>
          <w:szCs w:val="24"/>
        </w:rPr>
        <w:t>文件予以澄清。</w:t>
      </w:r>
    </w:p>
    <w:p w14:paraId="2D1E689F">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2.3.2 </w:t>
      </w:r>
      <w:r>
        <w:rPr>
          <w:rFonts w:hint="eastAsia" w:ascii="宋体" w:hAnsi="宋体" w:cs="Arial"/>
          <w:kern w:val="0"/>
          <w:sz w:val="24"/>
          <w:szCs w:val="24"/>
          <w:lang w:eastAsia="zh-CN"/>
        </w:rPr>
        <w:t>招标</w:t>
      </w:r>
      <w:r>
        <w:rPr>
          <w:rFonts w:hint="eastAsia" w:ascii="宋体" w:hAnsi="宋体" w:cs="Arial"/>
          <w:kern w:val="0"/>
          <w:sz w:val="24"/>
          <w:szCs w:val="24"/>
        </w:rPr>
        <w:t>文件的澄清将按照投标人须知前附表规定的时间、方式发布，但不指明澄清问题的来源。</w:t>
      </w:r>
    </w:p>
    <w:p w14:paraId="55E1CE60">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2.4</w:t>
      </w:r>
      <w:r>
        <w:rPr>
          <w:rFonts w:hint="eastAsia" w:ascii="宋体" w:hAnsi="宋体" w:cs="Arial"/>
          <w:kern w:val="0"/>
          <w:sz w:val="24"/>
          <w:szCs w:val="24"/>
          <w:lang w:eastAsia="zh-CN"/>
        </w:rPr>
        <w:t>招标</w:t>
      </w:r>
      <w:r>
        <w:rPr>
          <w:rFonts w:hint="eastAsia" w:ascii="宋体" w:hAnsi="宋体" w:cs="Arial"/>
          <w:kern w:val="0"/>
          <w:sz w:val="24"/>
          <w:szCs w:val="24"/>
        </w:rPr>
        <w:t>文件的修改</w:t>
      </w:r>
    </w:p>
    <w:p w14:paraId="1FB16B13">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2.4.1 </w:t>
      </w:r>
      <w:r>
        <w:rPr>
          <w:rFonts w:hint="eastAsia" w:ascii="宋体" w:hAnsi="宋体" w:cs="Arial"/>
          <w:kern w:val="0"/>
          <w:sz w:val="24"/>
          <w:szCs w:val="24"/>
          <w:lang w:eastAsia="zh-CN"/>
        </w:rPr>
        <w:t>招标</w:t>
      </w:r>
      <w:r>
        <w:rPr>
          <w:rFonts w:hint="eastAsia" w:ascii="宋体" w:hAnsi="宋体" w:cs="Arial"/>
          <w:kern w:val="0"/>
          <w:sz w:val="24"/>
          <w:szCs w:val="24"/>
        </w:rPr>
        <w:t>文件的修改将按照投标人须知前附表规定的时间、方式发布，但不指明澄清问题的来源。</w:t>
      </w:r>
    </w:p>
    <w:p w14:paraId="7D6CA2D5">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2.4.2 </w:t>
      </w:r>
      <w:r>
        <w:rPr>
          <w:rFonts w:hint="eastAsia" w:ascii="宋体" w:hAnsi="宋体" w:cs="Arial"/>
          <w:kern w:val="0"/>
          <w:sz w:val="24"/>
          <w:szCs w:val="24"/>
        </w:rPr>
        <w:t>在投标人须知前附表规定的截止时间前，无论出于何种原因，采购代理机构和采购人可主动地或在解答潜在投标人提出的澄清问题时对</w:t>
      </w:r>
      <w:r>
        <w:rPr>
          <w:rFonts w:hint="eastAsia" w:ascii="宋体" w:hAnsi="宋体" w:cs="Arial"/>
          <w:kern w:val="0"/>
          <w:sz w:val="24"/>
          <w:szCs w:val="24"/>
          <w:lang w:eastAsia="zh-CN"/>
        </w:rPr>
        <w:t>招标</w:t>
      </w:r>
      <w:r>
        <w:rPr>
          <w:rFonts w:hint="eastAsia" w:ascii="宋体" w:hAnsi="宋体" w:cs="Arial"/>
          <w:kern w:val="0"/>
          <w:sz w:val="24"/>
          <w:szCs w:val="24"/>
        </w:rPr>
        <w:t>文件进行修改。</w:t>
      </w:r>
    </w:p>
    <w:p w14:paraId="76EE420C">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2.4.3 </w:t>
      </w:r>
      <w:r>
        <w:rPr>
          <w:rFonts w:hint="eastAsia" w:ascii="宋体" w:hAnsi="宋体" w:cs="Arial"/>
          <w:kern w:val="0"/>
          <w:sz w:val="24"/>
          <w:szCs w:val="24"/>
          <w:lang w:eastAsia="zh-CN"/>
        </w:rPr>
        <w:t>招标</w:t>
      </w:r>
      <w:r>
        <w:rPr>
          <w:rFonts w:hint="eastAsia" w:ascii="宋体" w:hAnsi="宋体" w:cs="Arial"/>
          <w:kern w:val="0"/>
          <w:sz w:val="24"/>
          <w:szCs w:val="24"/>
        </w:rPr>
        <w:t>文件的修改部分是</w:t>
      </w:r>
      <w:r>
        <w:rPr>
          <w:rFonts w:hint="eastAsia" w:ascii="宋体" w:hAnsi="宋体" w:cs="Arial"/>
          <w:kern w:val="0"/>
          <w:sz w:val="24"/>
          <w:szCs w:val="24"/>
          <w:lang w:eastAsia="zh-CN"/>
        </w:rPr>
        <w:t>招标</w:t>
      </w:r>
      <w:r>
        <w:rPr>
          <w:rFonts w:hint="eastAsia" w:ascii="宋体" w:hAnsi="宋体" w:cs="Arial"/>
          <w:kern w:val="0"/>
          <w:sz w:val="24"/>
          <w:szCs w:val="24"/>
        </w:rPr>
        <w:t>文件的组成部分对投标人具有约束力。</w:t>
      </w:r>
    </w:p>
    <w:p w14:paraId="04A156DC">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2.4.4 </w:t>
      </w:r>
      <w:r>
        <w:rPr>
          <w:rFonts w:hint="eastAsia" w:ascii="宋体" w:hAnsi="宋体" w:cs="Arial"/>
          <w:kern w:val="0"/>
          <w:sz w:val="24"/>
          <w:szCs w:val="24"/>
        </w:rPr>
        <w:t>为使投标人准备投标时有充分时间对</w:t>
      </w:r>
      <w:r>
        <w:rPr>
          <w:rFonts w:hint="eastAsia" w:ascii="宋体" w:hAnsi="宋体" w:cs="Arial"/>
          <w:kern w:val="0"/>
          <w:sz w:val="24"/>
          <w:szCs w:val="24"/>
          <w:lang w:eastAsia="zh-CN"/>
        </w:rPr>
        <w:t>招标</w:t>
      </w:r>
      <w:r>
        <w:rPr>
          <w:rFonts w:hint="eastAsia" w:ascii="宋体" w:hAnsi="宋体" w:cs="Arial"/>
          <w:kern w:val="0"/>
          <w:sz w:val="24"/>
          <w:szCs w:val="24"/>
        </w:rPr>
        <w:t>文件的修改部分进行研究，采购人可适当推迟投标截止期。</w:t>
      </w:r>
    </w:p>
    <w:p w14:paraId="26E3E211">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2.4.5 </w:t>
      </w:r>
      <w:r>
        <w:rPr>
          <w:rFonts w:hint="eastAsia" w:ascii="宋体" w:hAnsi="宋体" w:cs="Arial"/>
          <w:kern w:val="0"/>
          <w:sz w:val="24"/>
          <w:szCs w:val="24"/>
        </w:rPr>
        <w:t>当采购人发放的</w:t>
      </w:r>
      <w:r>
        <w:rPr>
          <w:rFonts w:hint="eastAsia" w:ascii="宋体" w:hAnsi="宋体" w:cs="Arial"/>
          <w:kern w:val="0"/>
          <w:sz w:val="24"/>
          <w:szCs w:val="24"/>
          <w:lang w:eastAsia="zh-CN"/>
        </w:rPr>
        <w:t>招标</w:t>
      </w:r>
      <w:r>
        <w:rPr>
          <w:rFonts w:hint="eastAsia" w:ascii="宋体" w:hAnsi="宋体" w:cs="Arial"/>
          <w:kern w:val="0"/>
          <w:sz w:val="24"/>
          <w:szCs w:val="24"/>
        </w:rPr>
        <w:t>文件及</w:t>
      </w:r>
      <w:r>
        <w:rPr>
          <w:rFonts w:hint="eastAsia" w:ascii="宋体" w:hAnsi="宋体" w:cs="Arial"/>
          <w:kern w:val="0"/>
          <w:sz w:val="24"/>
          <w:szCs w:val="24"/>
          <w:lang w:eastAsia="zh-CN"/>
        </w:rPr>
        <w:t>招标</w:t>
      </w:r>
      <w:r>
        <w:rPr>
          <w:rFonts w:hint="eastAsia" w:ascii="宋体" w:hAnsi="宋体" w:cs="Arial"/>
          <w:kern w:val="0"/>
          <w:sz w:val="24"/>
          <w:szCs w:val="24"/>
        </w:rPr>
        <w:t>文件的答疑文件、修改文件、补充文件前后不一致，发生矛盾情况时，以最后发出的为准。</w:t>
      </w:r>
    </w:p>
    <w:p w14:paraId="29B31DF4">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2.4.6 </w:t>
      </w:r>
      <w:r>
        <w:rPr>
          <w:rFonts w:hint="eastAsia" w:ascii="宋体" w:hAnsi="宋体" w:cs="Arial"/>
          <w:kern w:val="0"/>
          <w:sz w:val="24"/>
          <w:szCs w:val="24"/>
        </w:rPr>
        <w:t>如果</w:t>
      </w:r>
      <w:r>
        <w:rPr>
          <w:rFonts w:hint="eastAsia" w:ascii="宋体" w:hAnsi="宋体" w:cs="Arial"/>
          <w:kern w:val="0"/>
          <w:sz w:val="24"/>
          <w:szCs w:val="24"/>
          <w:lang w:eastAsia="zh-CN"/>
        </w:rPr>
        <w:t>招标</w:t>
      </w:r>
      <w:r>
        <w:rPr>
          <w:rFonts w:hint="eastAsia" w:ascii="宋体" w:hAnsi="宋体" w:cs="Arial"/>
          <w:kern w:val="0"/>
          <w:sz w:val="24"/>
          <w:szCs w:val="24"/>
        </w:rPr>
        <w:t>文件各个组成部分之间出现歧义或相互矛盾，或任何文件中呈现明显的或不符合逻辑等的错误，或在文件编写过程中经常出现的打印错误等，投标人应将需要澄清的内容在投标人须知前附表规定的时间之前提出。根据合同条款中的相关约定，如果投标人在投标过程中未能发现并对有关歧义、矛盾或错误提出澄清请求，而在中标后发现并提出，中标人将必须接受由采购人依据合同有关条款而做出的书面澄清。</w:t>
      </w:r>
    </w:p>
    <w:p w14:paraId="01C37EB5">
      <w:pPr>
        <w:shd w:val="clear"/>
        <w:tabs>
          <w:tab w:val="center" w:pos="4832"/>
          <w:tab w:val="left" w:pos="7140"/>
        </w:tabs>
        <w:spacing w:line="360" w:lineRule="auto"/>
        <w:jc w:val="left"/>
        <w:outlineLvl w:val="1"/>
        <w:rPr>
          <w:rFonts w:ascii="宋体" w:cs="宋体"/>
          <w:b/>
          <w:sz w:val="24"/>
          <w:szCs w:val="24"/>
        </w:rPr>
      </w:pPr>
      <w:bookmarkStart w:id="34" w:name="_BookMark_6"/>
      <w:bookmarkEnd w:id="34"/>
      <w:bookmarkStart w:id="35" w:name="_Toc529175830"/>
      <w:r>
        <w:rPr>
          <w:rFonts w:ascii="宋体" w:hAnsi="宋体" w:cs="宋体"/>
          <w:b/>
          <w:sz w:val="24"/>
          <w:szCs w:val="24"/>
        </w:rPr>
        <w:t>3</w:t>
      </w:r>
      <w:r>
        <w:rPr>
          <w:rFonts w:hint="eastAsia" w:ascii="宋体" w:hAnsi="宋体" w:cs="宋体"/>
          <w:b/>
          <w:sz w:val="24"/>
          <w:szCs w:val="24"/>
        </w:rPr>
        <w:t>．投标文件</w:t>
      </w:r>
      <w:bookmarkEnd w:id="35"/>
    </w:p>
    <w:p w14:paraId="1E5A6141">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3.1 </w:t>
      </w:r>
      <w:r>
        <w:rPr>
          <w:rFonts w:hint="eastAsia" w:ascii="宋体" w:hAnsi="宋体" w:cs="Arial"/>
          <w:kern w:val="0"/>
          <w:sz w:val="24"/>
          <w:szCs w:val="24"/>
        </w:rPr>
        <w:t>投标文件组成；</w:t>
      </w:r>
    </w:p>
    <w:p w14:paraId="07C4ADDA">
      <w:pPr>
        <w:shd w:val="clear"/>
        <w:spacing w:line="440" w:lineRule="exact"/>
        <w:ind w:firstLine="480" w:firstLineChars="200"/>
        <w:rPr>
          <w:rFonts w:ascii="宋体"/>
          <w:sz w:val="24"/>
          <w:szCs w:val="24"/>
        </w:rPr>
      </w:pPr>
      <w:bookmarkStart w:id="36" w:name="_Hlk57106079"/>
      <w:bookmarkStart w:id="37" w:name="_Hlk57106077"/>
      <w:bookmarkStart w:id="38" w:name="_Hlk57021995"/>
      <w:bookmarkStart w:id="39" w:name="_Hlk57021993"/>
      <w:bookmarkStart w:id="40" w:name="_Hlk57021994"/>
      <w:bookmarkStart w:id="41" w:name="_Hlk57106078"/>
      <w:r>
        <w:rPr>
          <w:rFonts w:ascii="宋体" w:hAnsi="宋体"/>
          <w:sz w:val="24"/>
          <w:szCs w:val="24"/>
        </w:rPr>
        <w:t>3.1</w:t>
      </w:r>
      <w:r>
        <w:rPr>
          <w:rFonts w:hint="eastAsia" w:ascii="宋体" w:hAnsi="宋体"/>
          <w:sz w:val="24"/>
          <w:szCs w:val="24"/>
        </w:rPr>
        <w:t>投标文件目录</w:t>
      </w:r>
    </w:p>
    <w:p w14:paraId="0AC7B438">
      <w:pPr>
        <w:shd w:val="clear"/>
        <w:spacing w:line="440" w:lineRule="exact"/>
        <w:ind w:firstLine="480" w:firstLineChars="200"/>
        <w:rPr>
          <w:rFonts w:ascii="宋体"/>
          <w:sz w:val="24"/>
          <w:szCs w:val="24"/>
        </w:rPr>
      </w:pPr>
      <w:r>
        <w:rPr>
          <w:rFonts w:ascii="宋体" w:hAnsi="宋体"/>
          <w:sz w:val="24"/>
          <w:szCs w:val="24"/>
        </w:rPr>
        <w:t>3.1.1</w:t>
      </w:r>
      <w:r>
        <w:rPr>
          <w:rFonts w:hint="eastAsia" w:ascii="宋体" w:hAnsi="宋体"/>
          <w:sz w:val="24"/>
          <w:szCs w:val="24"/>
        </w:rPr>
        <w:t>、投标承诺书</w:t>
      </w:r>
    </w:p>
    <w:p w14:paraId="6D779759">
      <w:pPr>
        <w:shd w:val="clear"/>
        <w:spacing w:line="440" w:lineRule="exact"/>
        <w:ind w:firstLine="480" w:firstLineChars="200"/>
        <w:rPr>
          <w:rFonts w:ascii="宋体"/>
          <w:sz w:val="24"/>
          <w:szCs w:val="24"/>
        </w:rPr>
      </w:pPr>
      <w:r>
        <w:rPr>
          <w:rFonts w:ascii="宋体" w:hAnsi="宋体"/>
          <w:sz w:val="24"/>
          <w:szCs w:val="24"/>
        </w:rPr>
        <w:t>3.1.2</w:t>
      </w:r>
      <w:r>
        <w:rPr>
          <w:rFonts w:hint="eastAsia" w:ascii="宋体" w:hAnsi="宋体"/>
          <w:sz w:val="24"/>
          <w:szCs w:val="24"/>
        </w:rPr>
        <w:t>、法定代表人身份证明书</w:t>
      </w:r>
    </w:p>
    <w:p w14:paraId="7AC2B37D">
      <w:pPr>
        <w:shd w:val="clear"/>
        <w:spacing w:line="440" w:lineRule="exact"/>
        <w:ind w:firstLine="480" w:firstLineChars="200"/>
        <w:rPr>
          <w:rFonts w:ascii="宋体"/>
          <w:sz w:val="24"/>
          <w:szCs w:val="24"/>
        </w:rPr>
      </w:pPr>
      <w:r>
        <w:rPr>
          <w:rFonts w:ascii="宋体" w:hAnsi="宋体"/>
          <w:sz w:val="24"/>
          <w:szCs w:val="24"/>
        </w:rPr>
        <w:t>3.1.3</w:t>
      </w:r>
      <w:r>
        <w:rPr>
          <w:rFonts w:hint="eastAsia" w:ascii="宋体" w:hAnsi="宋体"/>
          <w:sz w:val="24"/>
          <w:szCs w:val="24"/>
        </w:rPr>
        <w:t>、法人代表授权委托书</w:t>
      </w:r>
    </w:p>
    <w:p w14:paraId="3D13C524">
      <w:pPr>
        <w:shd w:val="clear"/>
        <w:spacing w:line="440" w:lineRule="exact"/>
        <w:ind w:left="1199" w:leftChars="228" w:hanging="720" w:hangingChars="300"/>
        <w:rPr>
          <w:rFonts w:hint="eastAsia" w:ascii="宋体" w:hAnsi="宋体" w:eastAsia="宋体"/>
          <w:sz w:val="24"/>
          <w:szCs w:val="24"/>
          <w:lang w:eastAsia="zh-CN"/>
        </w:rPr>
      </w:pPr>
      <w:r>
        <w:rPr>
          <w:rFonts w:ascii="宋体" w:hAnsi="宋体"/>
          <w:sz w:val="24"/>
          <w:szCs w:val="24"/>
        </w:rPr>
        <w:t>3.1.4</w:t>
      </w:r>
      <w:r>
        <w:rPr>
          <w:rFonts w:hint="eastAsia" w:ascii="宋体" w:hAnsi="宋体"/>
          <w:sz w:val="24"/>
          <w:szCs w:val="24"/>
        </w:rPr>
        <w:t>、公司简介（包括企业名称、经营范围、从业人员、资产总额、营业收入、技术实力、经济实力等</w:t>
      </w:r>
      <w:r>
        <w:rPr>
          <w:rFonts w:hint="eastAsia" w:ascii="宋体" w:hAnsi="宋体"/>
          <w:sz w:val="24"/>
          <w:szCs w:val="24"/>
          <w:lang w:eastAsia="zh-CN"/>
        </w:rPr>
        <w:t>）</w:t>
      </w:r>
    </w:p>
    <w:p w14:paraId="06EA327E">
      <w:pPr>
        <w:shd w:val="clear"/>
        <w:spacing w:line="440" w:lineRule="exact"/>
        <w:ind w:left="1199" w:leftChars="228" w:hanging="720" w:hangingChars="300"/>
        <w:rPr>
          <w:rFonts w:hint="eastAsia" w:ascii="宋体" w:hAnsi="宋体"/>
          <w:sz w:val="24"/>
          <w:szCs w:val="24"/>
        </w:rPr>
      </w:pPr>
      <w:r>
        <w:rPr>
          <w:rFonts w:hint="eastAsia" w:ascii="宋体" w:hAnsi="宋体"/>
          <w:sz w:val="24"/>
          <w:szCs w:val="24"/>
        </w:rPr>
        <w:t>3.1.</w:t>
      </w:r>
      <w:r>
        <w:rPr>
          <w:rFonts w:hint="eastAsia" w:ascii="宋体" w:hAnsi="宋体"/>
          <w:sz w:val="24"/>
          <w:szCs w:val="24"/>
          <w:lang w:val="en-US" w:eastAsia="zh-CN"/>
        </w:rPr>
        <w:t>5</w:t>
      </w:r>
      <w:r>
        <w:rPr>
          <w:rFonts w:hint="eastAsia" w:ascii="宋体" w:hAnsi="宋体"/>
          <w:sz w:val="24"/>
          <w:szCs w:val="24"/>
        </w:rPr>
        <w:t>、营业执照</w:t>
      </w:r>
      <w:r>
        <w:rPr>
          <w:rFonts w:hint="eastAsia" w:ascii="宋体" w:hAnsi="宋体"/>
          <w:sz w:val="24"/>
          <w:szCs w:val="24"/>
          <w:lang w:eastAsia="zh-CN"/>
        </w:rPr>
        <w:t>（复印件</w:t>
      </w:r>
      <w:r>
        <w:rPr>
          <w:rFonts w:hint="eastAsia" w:ascii="宋体" w:hAnsi="宋体"/>
          <w:sz w:val="24"/>
          <w:szCs w:val="24"/>
        </w:rPr>
        <w:t>并加盖公章）</w:t>
      </w:r>
    </w:p>
    <w:p w14:paraId="3F9A6765">
      <w:pPr>
        <w:shd w:val="clear"/>
        <w:spacing w:line="440" w:lineRule="exact"/>
        <w:ind w:left="1199" w:leftChars="228" w:hanging="720" w:hangingChars="300"/>
        <w:rPr>
          <w:rFonts w:hint="eastAsia" w:ascii="宋体" w:hAnsi="宋体"/>
          <w:sz w:val="24"/>
          <w:szCs w:val="24"/>
        </w:rPr>
      </w:pPr>
      <w:r>
        <w:rPr>
          <w:rFonts w:hint="eastAsia" w:ascii="宋体" w:hAnsi="宋体"/>
          <w:sz w:val="24"/>
          <w:szCs w:val="24"/>
        </w:rPr>
        <w:t>3.1.</w:t>
      </w:r>
      <w:r>
        <w:rPr>
          <w:rFonts w:hint="eastAsia" w:ascii="宋体" w:hAnsi="宋体"/>
          <w:sz w:val="24"/>
          <w:szCs w:val="24"/>
          <w:lang w:val="en-US" w:eastAsia="zh-CN"/>
        </w:rPr>
        <w:t>6</w:t>
      </w:r>
      <w:r>
        <w:rPr>
          <w:rFonts w:hint="eastAsia" w:ascii="宋体" w:hAnsi="宋体"/>
          <w:sz w:val="24"/>
          <w:szCs w:val="24"/>
        </w:rPr>
        <w:t>、</w:t>
      </w:r>
      <w:r>
        <w:rPr>
          <w:rFonts w:hint="eastAsia" w:ascii="宋体" w:hAnsi="宋体"/>
          <w:sz w:val="24"/>
          <w:szCs w:val="24"/>
          <w:lang w:eastAsia="zh-CN"/>
        </w:rPr>
        <w:t>《中华人民共和国金融许可证》或《金融机构营业许可证》（复印件</w:t>
      </w:r>
      <w:r>
        <w:rPr>
          <w:rFonts w:hint="eastAsia" w:ascii="宋体" w:hAnsi="宋体"/>
          <w:sz w:val="24"/>
          <w:szCs w:val="24"/>
        </w:rPr>
        <w:t>并加盖公章</w:t>
      </w:r>
      <w:r>
        <w:rPr>
          <w:rFonts w:hint="eastAsia" w:ascii="宋体" w:hAnsi="宋体"/>
          <w:sz w:val="24"/>
          <w:szCs w:val="24"/>
          <w:lang w:eastAsia="zh-CN"/>
        </w:rPr>
        <w:t>）</w:t>
      </w:r>
    </w:p>
    <w:bookmarkEnd w:id="36"/>
    <w:bookmarkEnd w:id="37"/>
    <w:bookmarkEnd w:id="38"/>
    <w:bookmarkEnd w:id="39"/>
    <w:bookmarkEnd w:id="40"/>
    <w:bookmarkEnd w:id="41"/>
    <w:p w14:paraId="47022AA6">
      <w:pPr>
        <w:shd w:val="clear"/>
        <w:spacing w:line="440" w:lineRule="exact"/>
        <w:ind w:left="1199" w:leftChars="228" w:hanging="720" w:hangingChars="300"/>
        <w:rPr>
          <w:rFonts w:hint="eastAsia" w:ascii="宋体" w:hAnsi="宋体" w:eastAsia="宋体"/>
          <w:b/>
          <w:bCs/>
          <w:sz w:val="24"/>
          <w:szCs w:val="24"/>
          <w:lang w:eastAsia="zh-CN"/>
        </w:rPr>
      </w:pPr>
      <w:r>
        <w:rPr>
          <w:rFonts w:hint="eastAsia" w:ascii="宋体" w:hAnsi="宋体"/>
          <w:sz w:val="24"/>
          <w:szCs w:val="24"/>
        </w:rPr>
        <w:t>3.1.</w:t>
      </w:r>
      <w:r>
        <w:rPr>
          <w:rFonts w:hint="eastAsia" w:ascii="宋体" w:hAnsi="宋体"/>
          <w:sz w:val="24"/>
          <w:szCs w:val="24"/>
          <w:lang w:val="en-US" w:eastAsia="zh-CN"/>
        </w:rPr>
        <w:t>7</w:t>
      </w:r>
      <w:r>
        <w:rPr>
          <w:rFonts w:hint="eastAsia" w:ascii="宋体" w:hAnsi="宋体"/>
          <w:sz w:val="24"/>
          <w:szCs w:val="24"/>
        </w:rPr>
        <w:t>、</w:t>
      </w:r>
      <w:r>
        <w:rPr>
          <w:rFonts w:hint="eastAsia" w:ascii="宋体" w:hAnsi="宋体"/>
          <w:sz w:val="24"/>
          <w:szCs w:val="24"/>
          <w:lang w:eastAsia="zh-CN"/>
        </w:rPr>
        <w:t>招标</w:t>
      </w:r>
      <w:r>
        <w:rPr>
          <w:rFonts w:hint="eastAsia" w:ascii="宋体" w:hAnsi="宋体"/>
          <w:sz w:val="24"/>
          <w:szCs w:val="24"/>
        </w:rPr>
        <w:t>保证金</w:t>
      </w:r>
      <w:r>
        <w:rPr>
          <w:rFonts w:hint="eastAsia" w:ascii="宋体" w:hAnsi="宋体"/>
          <w:sz w:val="24"/>
          <w:szCs w:val="24"/>
          <w:lang w:eastAsia="zh-CN"/>
        </w:rPr>
        <w:t>缴纳凭证</w:t>
      </w:r>
      <w:r>
        <w:rPr>
          <w:rFonts w:hint="eastAsia" w:ascii="宋体" w:hAnsi="宋体"/>
          <w:sz w:val="24"/>
          <w:szCs w:val="24"/>
        </w:rPr>
        <w:t>复印件</w:t>
      </w:r>
      <w:r>
        <w:rPr>
          <w:rFonts w:hint="eastAsia" w:ascii="宋体" w:hAnsi="宋体"/>
          <w:sz w:val="24"/>
          <w:szCs w:val="24"/>
          <w:lang w:eastAsia="zh-CN"/>
        </w:rPr>
        <w:t>（</w:t>
      </w:r>
      <w:r>
        <w:rPr>
          <w:rFonts w:hint="eastAsia" w:ascii="宋体" w:hAnsi="宋体"/>
          <w:b/>
          <w:bCs/>
          <w:sz w:val="24"/>
          <w:szCs w:val="24"/>
          <w:lang w:val="en-US" w:eastAsia="zh-CN"/>
        </w:rPr>
        <w:t>本项目不收取保证金</w:t>
      </w:r>
      <w:r>
        <w:rPr>
          <w:rFonts w:hint="eastAsia" w:ascii="宋体" w:hAnsi="宋体"/>
          <w:b/>
          <w:bCs/>
          <w:sz w:val="24"/>
          <w:szCs w:val="24"/>
          <w:lang w:eastAsia="zh-CN"/>
        </w:rPr>
        <w:t>）</w:t>
      </w:r>
    </w:p>
    <w:p w14:paraId="30AE9FAE">
      <w:pPr>
        <w:shd w:val="clear"/>
        <w:spacing w:line="440" w:lineRule="exact"/>
        <w:ind w:left="1199" w:leftChars="228" w:hanging="720" w:hangingChars="300"/>
        <w:rPr>
          <w:rFonts w:hint="eastAsia" w:ascii="宋体" w:hAnsi="宋体"/>
          <w:sz w:val="24"/>
          <w:szCs w:val="24"/>
          <w:lang w:eastAsia="zh-CN"/>
        </w:rPr>
      </w:pPr>
      <w:r>
        <w:rPr>
          <w:rFonts w:hint="eastAsia" w:ascii="宋体" w:hAnsi="宋体"/>
          <w:sz w:val="24"/>
          <w:szCs w:val="24"/>
        </w:rPr>
        <w:t>3.1.</w:t>
      </w:r>
      <w:r>
        <w:rPr>
          <w:rFonts w:hint="eastAsia" w:ascii="宋体" w:hAnsi="宋体"/>
          <w:sz w:val="24"/>
          <w:szCs w:val="24"/>
          <w:lang w:val="en-US" w:eastAsia="zh-CN"/>
        </w:rPr>
        <w:t>8</w:t>
      </w:r>
      <w:r>
        <w:rPr>
          <w:rFonts w:hint="eastAsia" w:ascii="宋体" w:hAnsi="宋体"/>
          <w:sz w:val="24"/>
          <w:szCs w:val="24"/>
        </w:rPr>
        <w:t>、</w:t>
      </w:r>
      <w:r>
        <w:rPr>
          <w:rFonts w:hint="eastAsia" w:ascii="宋体" w:hAnsi="宋体"/>
          <w:sz w:val="24"/>
          <w:szCs w:val="24"/>
          <w:lang w:eastAsia="zh-CN"/>
        </w:rPr>
        <w:t>开标一览表</w:t>
      </w:r>
    </w:p>
    <w:p w14:paraId="6CE29BB0">
      <w:pPr>
        <w:shd w:val="clear"/>
        <w:spacing w:line="440" w:lineRule="exact"/>
        <w:ind w:left="1199" w:leftChars="228" w:hanging="720" w:hangingChars="300"/>
        <w:rPr>
          <w:rFonts w:hint="eastAsia" w:ascii="宋体" w:hAnsi="宋体" w:eastAsia="宋体"/>
          <w:sz w:val="24"/>
          <w:szCs w:val="24"/>
          <w:lang w:eastAsia="zh-CN"/>
        </w:rPr>
      </w:pPr>
      <w:r>
        <w:rPr>
          <w:rFonts w:hint="eastAsia" w:ascii="宋体" w:hAnsi="宋体"/>
          <w:sz w:val="24"/>
          <w:szCs w:val="24"/>
        </w:rPr>
        <w:t>3.1.</w:t>
      </w:r>
      <w:r>
        <w:rPr>
          <w:rFonts w:hint="eastAsia" w:ascii="宋体" w:hAnsi="宋体"/>
          <w:sz w:val="24"/>
          <w:szCs w:val="24"/>
          <w:lang w:val="en-US" w:eastAsia="zh-CN"/>
        </w:rPr>
        <w:t>9</w:t>
      </w:r>
      <w:r>
        <w:rPr>
          <w:rFonts w:hint="eastAsia" w:ascii="宋体" w:hAnsi="宋体"/>
          <w:sz w:val="24"/>
          <w:szCs w:val="24"/>
        </w:rPr>
        <w:t>、服务承诺</w:t>
      </w:r>
      <w:r>
        <w:rPr>
          <w:rFonts w:hint="eastAsia" w:ascii="宋体" w:hAnsi="宋体"/>
          <w:sz w:val="24"/>
          <w:szCs w:val="24"/>
          <w:lang w:val="en-US" w:eastAsia="zh-CN"/>
        </w:rPr>
        <w:t xml:space="preserve"> </w:t>
      </w:r>
    </w:p>
    <w:p w14:paraId="13D5B50D">
      <w:pPr>
        <w:shd w:val="clear"/>
        <w:spacing w:line="440" w:lineRule="exact"/>
        <w:ind w:left="1199" w:leftChars="228" w:hanging="720" w:hangingChars="300"/>
        <w:rPr>
          <w:rFonts w:hint="eastAsia" w:ascii="宋体" w:hAnsi="宋体" w:eastAsia="宋体"/>
          <w:sz w:val="24"/>
          <w:szCs w:val="24"/>
          <w:lang w:eastAsia="zh-CN"/>
        </w:rPr>
      </w:pPr>
      <w:r>
        <w:rPr>
          <w:rFonts w:hint="eastAsia" w:ascii="宋体" w:hAnsi="宋体"/>
          <w:sz w:val="24"/>
          <w:szCs w:val="24"/>
        </w:rPr>
        <w:t>3.1.</w:t>
      </w:r>
      <w:r>
        <w:rPr>
          <w:rFonts w:hint="eastAsia" w:ascii="宋体" w:hAnsi="宋体"/>
          <w:sz w:val="24"/>
          <w:szCs w:val="24"/>
          <w:lang w:val="en-US" w:eastAsia="zh-CN"/>
        </w:rPr>
        <w:t>10</w:t>
      </w:r>
      <w:r>
        <w:rPr>
          <w:rFonts w:hint="eastAsia" w:ascii="宋体" w:hAnsi="宋体"/>
          <w:sz w:val="24"/>
          <w:szCs w:val="24"/>
        </w:rPr>
        <w:t>、服务方案</w:t>
      </w:r>
    </w:p>
    <w:p w14:paraId="1D1B1E9C">
      <w:pPr>
        <w:shd w:val="clear"/>
        <w:spacing w:line="440" w:lineRule="exact"/>
        <w:ind w:left="1199" w:leftChars="228" w:hanging="720" w:hangingChars="300"/>
        <w:rPr>
          <w:rFonts w:hint="eastAsia" w:ascii="宋体" w:hAnsi="宋体"/>
          <w:sz w:val="24"/>
          <w:szCs w:val="24"/>
        </w:rPr>
      </w:pPr>
      <w:r>
        <w:rPr>
          <w:rFonts w:hint="eastAsia" w:ascii="宋体" w:hAnsi="宋体"/>
          <w:sz w:val="24"/>
          <w:szCs w:val="24"/>
        </w:rPr>
        <w:t>3.1.</w:t>
      </w:r>
      <w:r>
        <w:rPr>
          <w:rFonts w:hint="eastAsia" w:ascii="宋体" w:hAnsi="宋体"/>
          <w:sz w:val="24"/>
          <w:szCs w:val="24"/>
          <w:lang w:val="en-US" w:eastAsia="zh-CN"/>
        </w:rPr>
        <w:t>11</w:t>
      </w:r>
      <w:r>
        <w:rPr>
          <w:rFonts w:hint="eastAsia" w:ascii="宋体" w:hAnsi="宋体"/>
          <w:sz w:val="24"/>
          <w:szCs w:val="24"/>
        </w:rPr>
        <w:t>、其他资料</w:t>
      </w:r>
    </w:p>
    <w:p w14:paraId="5DE74B66">
      <w:pPr>
        <w:shd w:val="clear"/>
        <w:spacing w:line="440" w:lineRule="exact"/>
        <w:ind w:firstLine="480" w:firstLineChars="200"/>
        <w:rPr>
          <w:rFonts w:ascii="宋体" w:cs="Arial"/>
          <w:kern w:val="0"/>
          <w:sz w:val="24"/>
          <w:szCs w:val="24"/>
        </w:rPr>
      </w:pPr>
      <w:r>
        <w:rPr>
          <w:rFonts w:ascii="宋体" w:hAnsi="宋体"/>
          <w:sz w:val="24"/>
          <w:szCs w:val="24"/>
        </w:rPr>
        <w:t xml:space="preserve">3.2 </w:t>
      </w:r>
      <w:r>
        <w:rPr>
          <w:rFonts w:hint="eastAsia" w:ascii="宋体" w:hAnsi="宋体"/>
          <w:b/>
          <w:bCs/>
          <w:sz w:val="24"/>
          <w:szCs w:val="24"/>
          <w:lang w:eastAsia="zh-CN"/>
        </w:rPr>
        <w:t>招标</w:t>
      </w:r>
      <w:r>
        <w:rPr>
          <w:rFonts w:hint="eastAsia" w:ascii="宋体" w:hAnsi="宋体"/>
          <w:b/>
          <w:bCs/>
          <w:sz w:val="24"/>
          <w:szCs w:val="24"/>
        </w:rPr>
        <w:t>价格（本项目价格</w:t>
      </w:r>
      <w:r>
        <w:rPr>
          <w:rFonts w:hint="eastAsia" w:ascii="宋体" w:hAnsi="宋体"/>
          <w:b/>
          <w:bCs/>
          <w:sz w:val="24"/>
          <w:szCs w:val="24"/>
          <w:lang w:eastAsia="zh-CN"/>
        </w:rPr>
        <w:t>评分满分为</w:t>
      </w:r>
      <w:r>
        <w:rPr>
          <w:rFonts w:hint="eastAsia" w:ascii="宋体" w:hAnsi="宋体"/>
          <w:b/>
          <w:bCs/>
          <w:sz w:val="24"/>
          <w:szCs w:val="24"/>
          <w:lang w:val="en-US" w:eastAsia="zh-CN"/>
        </w:rPr>
        <w:t>10分</w:t>
      </w:r>
      <w:r>
        <w:rPr>
          <w:rFonts w:hint="eastAsia" w:ascii="宋体" w:hAnsi="宋体"/>
          <w:b/>
          <w:bCs/>
          <w:sz w:val="24"/>
          <w:szCs w:val="24"/>
        </w:rPr>
        <w:t>）</w:t>
      </w:r>
    </w:p>
    <w:p w14:paraId="2F05B58C">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3.3 </w:t>
      </w:r>
      <w:r>
        <w:rPr>
          <w:rFonts w:hint="eastAsia" w:ascii="宋体" w:hAnsi="宋体" w:cs="Arial"/>
          <w:kern w:val="0"/>
          <w:sz w:val="24"/>
          <w:szCs w:val="24"/>
        </w:rPr>
        <w:t>投标有效期</w:t>
      </w:r>
    </w:p>
    <w:p w14:paraId="5CE54A60">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3.3.1 </w:t>
      </w:r>
      <w:r>
        <w:rPr>
          <w:rFonts w:hint="eastAsia" w:ascii="宋体" w:hAnsi="宋体" w:cs="Arial"/>
          <w:kern w:val="0"/>
          <w:sz w:val="24"/>
          <w:szCs w:val="24"/>
        </w:rPr>
        <w:t>在投标人须知前附表规定的投标有效期内，投标人不得要求撤销或修改其投标文件。</w:t>
      </w:r>
    </w:p>
    <w:p w14:paraId="5AFC3566">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3.3.2 </w:t>
      </w:r>
      <w:r>
        <w:rPr>
          <w:rFonts w:hint="eastAsia" w:ascii="宋体" w:hAnsi="宋体" w:cs="Arial"/>
          <w:kern w:val="0"/>
          <w:sz w:val="24"/>
          <w:szCs w:val="24"/>
        </w:rPr>
        <w:t>出现特殊情况需要延长投标有效期的，采购人将通知所有投标人延长投标有效期。投标人同意延长的，应当相应延长其投标保证金的有效期，但不得要求或被允许修改或撤销其投标文件；投标人拒绝延长的，其投标失效，但投标人有权收回其投标保证金。</w:t>
      </w:r>
    </w:p>
    <w:p w14:paraId="20DDDC70">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3.3.3 </w:t>
      </w:r>
      <w:r>
        <w:rPr>
          <w:rFonts w:hint="eastAsia" w:ascii="宋体" w:hAnsi="宋体" w:cs="Arial"/>
          <w:kern w:val="0"/>
          <w:sz w:val="24"/>
          <w:szCs w:val="24"/>
        </w:rPr>
        <w:t>投标保证金的有效期与投标有效期一致。</w:t>
      </w:r>
    </w:p>
    <w:p w14:paraId="4FD69424">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3.4 </w:t>
      </w:r>
      <w:r>
        <w:rPr>
          <w:rFonts w:hint="eastAsia" w:ascii="宋体" w:hAnsi="宋体" w:cs="Arial"/>
          <w:kern w:val="0"/>
          <w:sz w:val="24"/>
          <w:szCs w:val="24"/>
        </w:rPr>
        <w:t>投标保证金</w:t>
      </w:r>
    </w:p>
    <w:p w14:paraId="1C8E87EF">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3.4.1 </w:t>
      </w:r>
      <w:r>
        <w:rPr>
          <w:rFonts w:hint="eastAsia" w:ascii="宋体" w:hAnsi="宋体" w:cs="Arial"/>
          <w:kern w:val="0"/>
          <w:sz w:val="24"/>
          <w:szCs w:val="24"/>
        </w:rPr>
        <w:t>投标人应于投标截止时间前按投标人须知前附表规定数额提交</w:t>
      </w:r>
      <w:r>
        <w:rPr>
          <w:rFonts w:hint="eastAsia" w:ascii="宋体" w:hAnsi="宋体" w:cs="Arial"/>
          <w:kern w:val="0"/>
          <w:sz w:val="24"/>
          <w:szCs w:val="24"/>
          <w:lang w:eastAsia="zh-CN"/>
        </w:rPr>
        <w:t>招标</w:t>
      </w:r>
      <w:r>
        <w:rPr>
          <w:rFonts w:hint="eastAsia" w:ascii="宋体" w:hAnsi="宋体" w:cs="Arial"/>
          <w:kern w:val="0"/>
          <w:sz w:val="24"/>
          <w:szCs w:val="24"/>
        </w:rPr>
        <w:t>保证金。未提交</w:t>
      </w:r>
      <w:r>
        <w:rPr>
          <w:rFonts w:hint="eastAsia" w:ascii="宋体" w:hAnsi="宋体" w:cs="Arial"/>
          <w:kern w:val="0"/>
          <w:sz w:val="24"/>
          <w:szCs w:val="24"/>
          <w:lang w:eastAsia="zh-CN"/>
        </w:rPr>
        <w:t>招标</w:t>
      </w:r>
      <w:r>
        <w:rPr>
          <w:rFonts w:hint="eastAsia" w:ascii="宋体" w:hAnsi="宋体" w:cs="Arial"/>
          <w:kern w:val="0"/>
          <w:sz w:val="24"/>
          <w:szCs w:val="24"/>
        </w:rPr>
        <w:t>保证金的，将被视为非响应性投标而予以拒绝。联合体投标的，其</w:t>
      </w:r>
      <w:r>
        <w:rPr>
          <w:rFonts w:hint="eastAsia" w:ascii="宋体" w:hAnsi="宋体" w:cs="Arial"/>
          <w:kern w:val="0"/>
          <w:sz w:val="24"/>
          <w:szCs w:val="24"/>
          <w:lang w:eastAsia="zh-CN"/>
        </w:rPr>
        <w:t>招标</w:t>
      </w:r>
      <w:r>
        <w:rPr>
          <w:rFonts w:hint="eastAsia" w:ascii="宋体" w:hAnsi="宋体" w:cs="Arial"/>
          <w:kern w:val="0"/>
          <w:sz w:val="24"/>
          <w:szCs w:val="24"/>
        </w:rPr>
        <w:t>保证金由牵头人递交，并应符合投标人须知前附表的规定。</w:t>
      </w:r>
    </w:p>
    <w:p w14:paraId="7E59F92C">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lang w:val="en-US" w:eastAsia="zh-CN"/>
        </w:rPr>
        <w:t>3.</w:t>
      </w:r>
      <w:r>
        <w:rPr>
          <w:rFonts w:ascii="宋体" w:hAnsi="宋体" w:cs="Arial"/>
          <w:kern w:val="0"/>
          <w:sz w:val="24"/>
          <w:szCs w:val="24"/>
        </w:rPr>
        <w:t>4.</w:t>
      </w:r>
      <w:r>
        <w:rPr>
          <w:rFonts w:hint="eastAsia" w:ascii="宋体" w:hAnsi="宋体" w:cs="Arial"/>
          <w:kern w:val="0"/>
          <w:sz w:val="24"/>
          <w:szCs w:val="24"/>
          <w:lang w:val="en-US" w:eastAsia="zh-CN"/>
        </w:rPr>
        <w:t>2</w:t>
      </w:r>
      <w:r>
        <w:rPr>
          <w:rFonts w:hint="eastAsia" w:ascii="宋体" w:hAnsi="宋体" w:cs="Arial"/>
          <w:kern w:val="0"/>
          <w:sz w:val="24"/>
          <w:szCs w:val="24"/>
        </w:rPr>
        <w:t>投标保证金是为了保护采购人免遭因投标人的行为而蒙受损失。采购人在因投标人的行为受到损害时可根据相关法律规定没收投标人的投标保证金。</w:t>
      </w:r>
    </w:p>
    <w:p w14:paraId="572BEFC3">
      <w:pPr>
        <w:widowControl/>
        <w:shd w:val="clear" w:color="auto"/>
        <w:snapToGrid w:val="0"/>
        <w:spacing w:line="360" w:lineRule="auto"/>
        <w:ind w:firstLine="480" w:firstLineChars="200"/>
        <w:rPr>
          <w:rFonts w:ascii="宋体" w:cs="Arial"/>
          <w:color w:val="FF0000"/>
          <w:kern w:val="0"/>
          <w:sz w:val="24"/>
          <w:szCs w:val="24"/>
        </w:rPr>
      </w:pPr>
      <w:r>
        <w:rPr>
          <w:rFonts w:ascii="宋体" w:hAnsi="宋体" w:cs="Arial"/>
          <w:kern w:val="0"/>
          <w:sz w:val="24"/>
          <w:szCs w:val="24"/>
        </w:rPr>
        <w:t>3.4.</w:t>
      </w:r>
      <w:r>
        <w:rPr>
          <w:rFonts w:hint="eastAsia" w:ascii="宋体" w:hAnsi="宋体" w:cs="Arial"/>
          <w:kern w:val="0"/>
          <w:sz w:val="24"/>
          <w:szCs w:val="24"/>
          <w:lang w:val="en-US" w:eastAsia="zh-CN"/>
        </w:rPr>
        <w:t>3</w:t>
      </w:r>
      <w:r>
        <w:rPr>
          <w:rFonts w:hint="eastAsia" w:ascii="宋体" w:hAnsi="宋体" w:cs="Arial"/>
          <w:kern w:val="0"/>
          <w:sz w:val="24"/>
          <w:szCs w:val="24"/>
        </w:rPr>
        <w:t>采购代理机构在《</w:t>
      </w:r>
      <w:r>
        <w:rPr>
          <w:rFonts w:hint="eastAsia" w:ascii="宋体" w:hAnsi="宋体" w:cs="Arial"/>
          <w:kern w:val="0"/>
          <w:sz w:val="24"/>
          <w:szCs w:val="24"/>
          <w:lang w:val="en-US" w:eastAsia="zh-CN"/>
        </w:rPr>
        <w:t>成交</w:t>
      </w:r>
      <w:r>
        <w:rPr>
          <w:rFonts w:hint="eastAsia" w:ascii="宋体" w:hAnsi="宋体" w:cs="Arial"/>
          <w:kern w:val="0"/>
          <w:sz w:val="24"/>
          <w:szCs w:val="24"/>
        </w:rPr>
        <w:t>通知书》发出后五个工作日内退还未中标人的投标保证金，在采购合同签订后五个工作日内退还中标人的投标保证金。对于所有投标人的投标文件均不予以退还，但对其承担保密责任。</w:t>
      </w:r>
    </w:p>
    <w:p w14:paraId="217E78A4">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3.4.</w:t>
      </w:r>
      <w:r>
        <w:rPr>
          <w:rFonts w:hint="eastAsia" w:ascii="宋体" w:hAnsi="宋体" w:cs="Arial"/>
          <w:kern w:val="0"/>
          <w:sz w:val="24"/>
          <w:szCs w:val="24"/>
          <w:lang w:val="en-US" w:eastAsia="zh-CN"/>
        </w:rPr>
        <w:t>4</w:t>
      </w:r>
      <w:r>
        <w:rPr>
          <w:rFonts w:hint="eastAsia" w:ascii="宋体" w:hAnsi="宋体" w:cs="Arial"/>
          <w:kern w:val="0"/>
          <w:sz w:val="24"/>
          <w:szCs w:val="24"/>
        </w:rPr>
        <w:t>投标保证金有效期与投标有效期一致。</w:t>
      </w:r>
    </w:p>
    <w:p w14:paraId="07D0CCF4">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3.4.</w:t>
      </w:r>
      <w:r>
        <w:rPr>
          <w:rFonts w:hint="eastAsia" w:ascii="宋体" w:hAnsi="宋体" w:cs="Arial"/>
          <w:kern w:val="0"/>
          <w:sz w:val="24"/>
          <w:szCs w:val="24"/>
          <w:lang w:val="en-US" w:eastAsia="zh-CN"/>
        </w:rPr>
        <w:t>5</w:t>
      </w:r>
      <w:r>
        <w:rPr>
          <w:rFonts w:hint="eastAsia" w:ascii="宋体" w:hAnsi="宋体" w:cs="Arial"/>
          <w:kern w:val="0"/>
          <w:sz w:val="24"/>
          <w:szCs w:val="24"/>
        </w:rPr>
        <w:t>有下列情形之一的，</w:t>
      </w:r>
      <w:r>
        <w:rPr>
          <w:rFonts w:hint="eastAsia" w:ascii="宋体" w:hAnsi="宋体" w:cs="Arial"/>
          <w:kern w:val="0"/>
          <w:sz w:val="24"/>
          <w:szCs w:val="24"/>
          <w:lang w:eastAsia="zh-CN"/>
        </w:rPr>
        <w:t>招标</w:t>
      </w:r>
      <w:r>
        <w:rPr>
          <w:rFonts w:hint="eastAsia" w:ascii="宋体" w:hAnsi="宋体" w:cs="Arial"/>
          <w:kern w:val="0"/>
          <w:sz w:val="24"/>
          <w:szCs w:val="24"/>
        </w:rPr>
        <w:t>保证金不予退还：</w:t>
      </w:r>
    </w:p>
    <w:p w14:paraId="3B1DC40E">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1</w:t>
      </w:r>
      <w:r>
        <w:rPr>
          <w:rFonts w:hint="eastAsia" w:ascii="宋体" w:hAnsi="宋体" w:cs="Arial"/>
          <w:kern w:val="0"/>
          <w:sz w:val="24"/>
          <w:szCs w:val="24"/>
        </w:rPr>
        <w:t>）投标人在规定的投标有效期内撤销或修改其投标文件的；</w:t>
      </w:r>
    </w:p>
    <w:p w14:paraId="60322FB4">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2</w:t>
      </w:r>
      <w:r>
        <w:rPr>
          <w:rFonts w:hint="eastAsia" w:ascii="宋体" w:hAnsi="宋体" w:cs="Arial"/>
          <w:kern w:val="0"/>
          <w:sz w:val="24"/>
          <w:szCs w:val="24"/>
        </w:rPr>
        <w:t>）中标单位在收到中标通知书后，无正当理由拒签合同协议书或在签订合同时提出附加条件或者更改合同实质性内容的；</w:t>
      </w:r>
    </w:p>
    <w:p w14:paraId="0AFD7948">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3</w:t>
      </w:r>
      <w:r>
        <w:rPr>
          <w:rFonts w:hint="eastAsia" w:ascii="宋体" w:hAnsi="宋体" w:cs="Arial"/>
          <w:kern w:val="0"/>
          <w:sz w:val="24"/>
          <w:szCs w:val="24"/>
        </w:rPr>
        <w:t>）未按</w:t>
      </w:r>
      <w:r>
        <w:rPr>
          <w:rFonts w:hint="eastAsia" w:ascii="宋体" w:hAnsi="宋体" w:cs="Arial"/>
          <w:kern w:val="0"/>
          <w:sz w:val="24"/>
          <w:szCs w:val="24"/>
          <w:lang w:eastAsia="zh-CN"/>
        </w:rPr>
        <w:t>招标</w:t>
      </w:r>
      <w:r>
        <w:rPr>
          <w:rFonts w:hint="eastAsia" w:ascii="宋体" w:hAnsi="宋体" w:cs="Arial"/>
          <w:kern w:val="0"/>
          <w:sz w:val="24"/>
          <w:szCs w:val="24"/>
        </w:rPr>
        <w:t>文件规定提交履约保证金的。</w:t>
      </w:r>
    </w:p>
    <w:p w14:paraId="420882F0">
      <w:pPr>
        <w:widowControl/>
        <w:shd w:val="clear" w:color="auto"/>
        <w:snapToGrid w:val="0"/>
        <w:spacing w:line="360" w:lineRule="auto"/>
        <w:ind w:firstLine="480" w:firstLineChars="200"/>
        <w:rPr>
          <w:rFonts w:ascii="宋体" w:cs="Arial"/>
          <w:color w:val="000000" w:themeColor="text1"/>
          <w:kern w:val="0"/>
          <w:sz w:val="24"/>
          <w:szCs w:val="24"/>
          <w14:textFill>
            <w14:solidFill>
              <w14:schemeClr w14:val="tx1"/>
            </w14:solidFill>
          </w14:textFill>
        </w:rPr>
      </w:pPr>
      <w:r>
        <w:rPr>
          <w:rFonts w:ascii="宋体" w:hAnsi="宋体" w:cs="Arial"/>
          <w:color w:val="000000" w:themeColor="text1"/>
          <w:kern w:val="0"/>
          <w:sz w:val="24"/>
          <w:szCs w:val="24"/>
          <w14:textFill>
            <w14:solidFill>
              <w14:schemeClr w14:val="tx1"/>
            </w14:solidFill>
          </w14:textFill>
        </w:rPr>
        <w:t xml:space="preserve">3.5 </w:t>
      </w:r>
      <w:r>
        <w:rPr>
          <w:rFonts w:hint="eastAsia" w:ascii="宋体" w:hAnsi="宋体" w:cs="Arial"/>
          <w:color w:val="000000" w:themeColor="text1"/>
          <w:kern w:val="0"/>
          <w:sz w:val="24"/>
          <w:szCs w:val="24"/>
          <w14:textFill>
            <w14:solidFill>
              <w14:schemeClr w14:val="tx1"/>
            </w14:solidFill>
          </w14:textFill>
        </w:rPr>
        <w:t>投标文件的编制</w:t>
      </w:r>
    </w:p>
    <w:p w14:paraId="02D39327">
      <w:pPr>
        <w:widowControl/>
        <w:shd w:val="clear" w:color="auto"/>
        <w:snapToGrid w:val="0"/>
        <w:spacing w:line="360" w:lineRule="auto"/>
        <w:ind w:firstLine="480" w:firstLineChars="200"/>
        <w:rPr>
          <w:rFonts w:hint="eastAsia" w:ascii="宋体" w:hAnsi="宋体" w:cs="Arial"/>
          <w:color w:val="000000" w:themeColor="text1"/>
          <w:kern w:val="0"/>
          <w:sz w:val="24"/>
          <w:szCs w:val="24"/>
          <w14:textFill>
            <w14:solidFill>
              <w14:schemeClr w14:val="tx1"/>
            </w14:solidFill>
          </w14:textFill>
        </w:rPr>
      </w:pPr>
      <w:bookmarkStart w:id="42" w:name="_BookMark_7"/>
      <w:bookmarkEnd w:id="42"/>
      <w:r>
        <w:rPr>
          <w:rFonts w:ascii="宋体" w:hAnsi="宋体" w:cs="Arial"/>
          <w:color w:val="000000" w:themeColor="text1"/>
          <w:kern w:val="0"/>
          <w:sz w:val="24"/>
          <w:szCs w:val="24"/>
          <w14:textFill>
            <w14:solidFill>
              <w14:schemeClr w14:val="tx1"/>
            </w14:solidFill>
          </w14:textFill>
        </w:rPr>
        <w:t>3.5.1</w:t>
      </w:r>
      <w:r>
        <w:rPr>
          <w:rFonts w:hint="eastAsia" w:ascii="宋体" w:hAnsi="宋体" w:cs="Arial"/>
          <w:color w:val="000000" w:themeColor="text1"/>
          <w:kern w:val="0"/>
          <w:sz w:val="24"/>
          <w:szCs w:val="24"/>
          <w14:textFill>
            <w14:solidFill>
              <w14:schemeClr w14:val="tx1"/>
            </w14:solidFill>
          </w14:textFill>
        </w:rPr>
        <w:t>投标文件应按第五章“投标文件格式”进行编写，上传电子投标文件需要逐页编目编码，投标文件应根据采购文件的要求制作，签署、盖章、上传。</w:t>
      </w:r>
    </w:p>
    <w:p w14:paraId="07F684F8">
      <w:pPr>
        <w:widowControl/>
        <w:shd w:val="clear" w:color="auto"/>
        <w:snapToGrid w:val="0"/>
        <w:spacing w:line="360" w:lineRule="auto"/>
        <w:ind w:firstLine="480" w:firstLineChars="200"/>
        <w:rPr>
          <w:rFonts w:ascii="宋体" w:cs="Arial"/>
          <w:color w:val="000000" w:themeColor="text1"/>
          <w:kern w:val="0"/>
          <w:sz w:val="24"/>
          <w:szCs w:val="24"/>
          <w14:textFill>
            <w14:solidFill>
              <w14:schemeClr w14:val="tx1"/>
            </w14:solidFill>
          </w14:textFill>
        </w:rPr>
      </w:pPr>
      <w:r>
        <w:rPr>
          <w:rFonts w:ascii="宋体" w:hAnsi="宋体" w:cs="Arial"/>
          <w:color w:val="000000" w:themeColor="text1"/>
          <w:kern w:val="0"/>
          <w:sz w:val="24"/>
          <w:szCs w:val="24"/>
          <w14:textFill>
            <w14:solidFill>
              <w14:schemeClr w14:val="tx1"/>
            </w14:solidFill>
          </w14:textFill>
        </w:rPr>
        <w:t>3.5.2</w:t>
      </w:r>
      <w:r>
        <w:rPr>
          <w:rFonts w:hint="eastAsia" w:ascii="宋体" w:hAnsi="宋体" w:cs="Arial"/>
          <w:color w:val="000000" w:themeColor="text1"/>
          <w:kern w:val="0"/>
          <w:sz w:val="24"/>
          <w:szCs w:val="24"/>
          <w14:textFill>
            <w14:solidFill>
              <w14:schemeClr w14:val="tx1"/>
            </w14:solidFill>
          </w14:textFill>
        </w:rPr>
        <w:t>投标文件应当对</w:t>
      </w:r>
      <w:r>
        <w:rPr>
          <w:rFonts w:hint="eastAsia" w:ascii="宋体" w:hAnsi="宋体" w:cs="Arial"/>
          <w:color w:val="000000" w:themeColor="text1"/>
          <w:kern w:val="0"/>
          <w:sz w:val="24"/>
          <w:szCs w:val="24"/>
          <w:lang w:eastAsia="zh-CN"/>
          <w14:textFill>
            <w14:solidFill>
              <w14:schemeClr w14:val="tx1"/>
            </w14:solidFill>
          </w14:textFill>
        </w:rPr>
        <w:t>招标</w:t>
      </w:r>
      <w:r>
        <w:rPr>
          <w:rFonts w:hint="eastAsia" w:ascii="宋体" w:hAnsi="宋体" w:cs="Arial"/>
          <w:color w:val="000000" w:themeColor="text1"/>
          <w:kern w:val="0"/>
          <w:sz w:val="24"/>
          <w:szCs w:val="24"/>
          <w14:textFill>
            <w14:solidFill>
              <w14:schemeClr w14:val="tx1"/>
            </w14:solidFill>
          </w14:textFill>
        </w:rPr>
        <w:t>文件有关招标范围、技术与服务要求等实质性内容做出响应。</w:t>
      </w:r>
    </w:p>
    <w:p w14:paraId="4AC2E6AA">
      <w:pPr>
        <w:widowControl/>
        <w:shd w:val="clear" w:color="auto"/>
        <w:snapToGrid w:val="0"/>
        <w:spacing w:line="360" w:lineRule="auto"/>
        <w:ind w:firstLine="480" w:firstLineChars="200"/>
        <w:rPr>
          <w:rFonts w:ascii="宋体" w:cs="Arial"/>
          <w:color w:val="000000" w:themeColor="text1"/>
          <w:kern w:val="0"/>
          <w:sz w:val="24"/>
          <w:szCs w:val="24"/>
          <w14:textFill>
            <w14:solidFill>
              <w14:schemeClr w14:val="tx1"/>
            </w14:solidFill>
          </w14:textFill>
        </w:rPr>
      </w:pPr>
      <w:r>
        <w:rPr>
          <w:rFonts w:ascii="宋体" w:hAnsi="宋体" w:cs="Arial"/>
          <w:color w:val="000000" w:themeColor="text1"/>
          <w:kern w:val="0"/>
          <w:sz w:val="24"/>
          <w:szCs w:val="24"/>
          <w14:textFill>
            <w14:solidFill>
              <w14:schemeClr w14:val="tx1"/>
            </w14:solidFill>
          </w14:textFill>
        </w:rPr>
        <w:t xml:space="preserve">3.5.3 </w:t>
      </w:r>
      <w:r>
        <w:rPr>
          <w:rFonts w:hint="eastAsia" w:ascii="宋体" w:hAnsi="宋体" w:cs="Arial"/>
          <w:color w:val="000000" w:themeColor="text1"/>
          <w:kern w:val="0"/>
          <w:sz w:val="24"/>
          <w:szCs w:val="24"/>
          <w14:textFill>
            <w14:solidFill>
              <w14:schemeClr w14:val="tx1"/>
            </w14:solidFill>
          </w14:textFill>
        </w:rPr>
        <w:t>上传电子投标文件需要在规定签章处签字和盖章。</w:t>
      </w:r>
    </w:p>
    <w:p w14:paraId="03867C5F">
      <w:pPr>
        <w:widowControl/>
        <w:shd w:val="clear" w:color="auto"/>
        <w:snapToGrid w:val="0"/>
        <w:spacing w:line="360" w:lineRule="auto"/>
        <w:ind w:firstLine="480" w:firstLineChars="200"/>
        <w:rPr>
          <w:rFonts w:hint="eastAsia" w:ascii="宋体" w:hAnsi="宋体" w:cs="Arial"/>
          <w:color w:val="000000" w:themeColor="text1"/>
          <w:kern w:val="0"/>
          <w:sz w:val="24"/>
          <w:szCs w:val="24"/>
          <w14:textFill>
            <w14:solidFill>
              <w14:schemeClr w14:val="tx1"/>
            </w14:solidFill>
          </w14:textFill>
        </w:rPr>
      </w:pPr>
      <w:r>
        <w:rPr>
          <w:rFonts w:ascii="宋体" w:hAnsi="宋体" w:cs="Arial"/>
          <w:color w:val="000000" w:themeColor="text1"/>
          <w:kern w:val="0"/>
          <w:sz w:val="24"/>
          <w:szCs w:val="24"/>
          <w14:textFill>
            <w14:solidFill>
              <w14:schemeClr w14:val="tx1"/>
            </w14:solidFill>
          </w14:textFill>
        </w:rPr>
        <w:t xml:space="preserve">3.5.4 </w:t>
      </w:r>
      <w:r>
        <w:rPr>
          <w:rFonts w:hint="eastAsia" w:ascii="宋体" w:hAnsi="宋体" w:cs="Arial"/>
          <w:color w:val="000000" w:themeColor="text1"/>
          <w:kern w:val="0"/>
          <w:sz w:val="24"/>
          <w:szCs w:val="24"/>
          <w14:textFill>
            <w14:solidFill>
              <w14:schemeClr w14:val="tx1"/>
            </w14:solidFill>
          </w14:textFill>
        </w:rPr>
        <w:t>投标文件应清楚工整，任何行间插字、涂改或增删，必须由供应商的法定代表人或其授权代表签字并盖投标人单位公章。</w:t>
      </w:r>
    </w:p>
    <w:p w14:paraId="0795B577">
      <w:pPr>
        <w:widowControl/>
        <w:shd w:val="clear" w:color="auto"/>
        <w:snapToGrid w:val="0"/>
        <w:spacing w:line="360" w:lineRule="auto"/>
        <w:ind w:firstLine="480" w:firstLineChars="200"/>
        <w:rPr>
          <w:rFonts w:hint="eastAsia" w:ascii="宋体" w:hAnsi="宋体" w:cs="Arial"/>
          <w:color w:val="000000" w:themeColor="text1"/>
          <w:kern w:val="0"/>
          <w:sz w:val="24"/>
          <w:szCs w:val="24"/>
          <w14:textFill>
            <w14:solidFill>
              <w14:schemeClr w14:val="tx1"/>
            </w14:solidFill>
          </w14:textFill>
        </w:rPr>
      </w:pPr>
      <w:r>
        <w:rPr>
          <w:rFonts w:ascii="宋体" w:hAnsi="宋体" w:cs="Arial"/>
          <w:color w:val="000000" w:themeColor="text1"/>
          <w:kern w:val="0"/>
          <w:sz w:val="24"/>
          <w:szCs w:val="24"/>
          <w14:textFill>
            <w14:solidFill>
              <w14:schemeClr w14:val="tx1"/>
            </w14:solidFill>
          </w14:textFill>
        </w:rPr>
        <w:t xml:space="preserve">3.5.5 </w:t>
      </w:r>
      <w:r>
        <w:rPr>
          <w:rFonts w:hint="eastAsia" w:ascii="宋体" w:hAnsi="宋体" w:cs="Arial"/>
          <w:color w:val="000000" w:themeColor="text1"/>
          <w:kern w:val="0"/>
          <w:sz w:val="24"/>
          <w:szCs w:val="24"/>
          <w14:textFill>
            <w14:solidFill>
              <w14:schemeClr w14:val="tx1"/>
            </w14:solidFill>
          </w14:textFill>
        </w:rPr>
        <w:t>供应商因自身原因导致电子投标响应文件无法导入电子评标系统的，该电子投标文件视为无效。</w:t>
      </w:r>
    </w:p>
    <w:p w14:paraId="4ADD90D2">
      <w:pPr>
        <w:widowControl/>
        <w:shd w:val="clear" w:color="auto"/>
        <w:snapToGrid w:val="0"/>
        <w:spacing w:line="360" w:lineRule="auto"/>
        <w:ind w:firstLine="480" w:firstLineChars="200"/>
        <w:rPr>
          <w:rFonts w:hint="eastAsia" w:ascii="宋体" w:hAnsi="宋体" w:eastAsia="宋体" w:cs="Arial"/>
          <w:color w:val="FF0000"/>
          <w:kern w:val="0"/>
          <w:sz w:val="24"/>
          <w:szCs w:val="24"/>
          <w:lang w:eastAsia="zh-CN"/>
        </w:rPr>
      </w:pPr>
      <w:r>
        <w:rPr>
          <w:rFonts w:ascii="宋体" w:hAnsi="宋体" w:cs="Arial"/>
          <w:color w:val="000000" w:themeColor="text1"/>
          <w:kern w:val="0"/>
          <w:sz w:val="24"/>
          <w:szCs w:val="24"/>
          <w14:textFill>
            <w14:solidFill>
              <w14:schemeClr w14:val="tx1"/>
            </w14:solidFill>
          </w14:textFill>
        </w:rPr>
        <w:t>3.5.</w:t>
      </w:r>
      <w:r>
        <w:rPr>
          <w:rFonts w:hint="eastAsia" w:ascii="宋体" w:hAnsi="宋体" w:cs="Arial"/>
          <w:color w:val="000000" w:themeColor="text1"/>
          <w:kern w:val="0"/>
          <w:sz w:val="24"/>
          <w:szCs w:val="24"/>
          <w:lang w:val="en-US" w:eastAsia="zh-CN"/>
          <w14:textFill>
            <w14:solidFill>
              <w14:schemeClr w14:val="tx1"/>
            </w14:solidFill>
          </w14:textFill>
        </w:rPr>
        <w:t>6投标文件因字迹潦草或不清楚不当所引起的后果由供应商负责。</w:t>
      </w:r>
    </w:p>
    <w:p w14:paraId="4F0AEA66">
      <w:pPr>
        <w:widowControl/>
        <w:shd w:val="clear" w:color="auto"/>
        <w:snapToGrid w:val="0"/>
        <w:spacing w:line="360" w:lineRule="auto"/>
        <w:ind w:firstLine="480" w:firstLineChars="200"/>
        <w:rPr>
          <w:rFonts w:hint="eastAsia" w:ascii="宋体" w:hAnsi="宋体" w:eastAsia="宋体" w:cs="Arial"/>
          <w:color w:val="000000" w:themeColor="text1"/>
          <w:kern w:val="0"/>
          <w:sz w:val="24"/>
          <w:szCs w:val="24"/>
          <w14:textFill>
            <w14:solidFill>
              <w14:schemeClr w14:val="tx1"/>
            </w14:solidFill>
          </w14:textFill>
        </w:rPr>
      </w:pPr>
      <w:bookmarkStart w:id="43" w:name="_Toc529175831"/>
      <w:r>
        <w:rPr>
          <w:rFonts w:hint="eastAsia" w:ascii="宋体" w:hAnsi="宋体" w:eastAsia="宋体" w:cs="Arial"/>
          <w:color w:val="000000" w:themeColor="text1"/>
          <w:kern w:val="0"/>
          <w:sz w:val="24"/>
          <w:szCs w:val="24"/>
          <w14:textFill>
            <w14:solidFill>
              <w14:schemeClr w14:val="tx1"/>
            </w14:solidFill>
          </w14:textFill>
        </w:rPr>
        <w:t>4．投标</w:t>
      </w:r>
      <w:bookmarkEnd w:id="43"/>
    </w:p>
    <w:p w14:paraId="41D569A3">
      <w:pPr>
        <w:widowControl/>
        <w:shd w:val="clear" w:color="auto"/>
        <w:snapToGrid w:val="0"/>
        <w:spacing w:line="360" w:lineRule="auto"/>
        <w:ind w:firstLine="480" w:firstLineChars="200"/>
        <w:rPr>
          <w:rFonts w:hint="eastAsia"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4.1 投标文件的密封和标识</w:t>
      </w:r>
    </w:p>
    <w:p w14:paraId="56369709">
      <w:pPr>
        <w:widowControl/>
        <w:shd w:val="clear" w:color="auto"/>
        <w:snapToGrid w:val="0"/>
        <w:spacing w:line="360" w:lineRule="auto"/>
        <w:ind w:firstLine="480" w:firstLineChars="200"/>
        <w:rPr>
          <w:rFonts w:hint="eastAsia"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4.1.1 上传电子投标响应文件时应注明项目名称、项目编号、供应商名称。</w:t>
      </w:r>
    </w:p>
    <w:p w14:paraId="067A49E2">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4.2 </w:t>
      </w:r>
      <w:r>
        <w:rPr>
          <w:rFonts w:hint="eastAsia" w:ascii="宋体" w:hAnsi="宋体" w:cs="Arial"/>
          <w:kern w:val="0"/>
          <w:sz w:val="24"/>
          <w:szCs w:val="24"/>
        </w:rPr>
        <w:t>投标文件的递交</w:t>
      </w:r>
    </w:p>
    <w:p w14:paraId="5D0494AD">
      <w:pPr>
        <w:widowControl/>
        <w:shd w:val="clear" w:color="auto"/>
        <w:snapToGrid w:val="0"/>
        <w:spacing w:line="360" w:lineRule="auto"/>
        <w:ind w:firstLine="480" w:firstLineChars="200"/>
        <w:rPr>
          <w:rFonts w:ascii="宋体" w:cs="Arial"/>
          <w:kern w:val="0"/>
          <w:sz w:val="24"/>
          <w:szCs w:val="24"/>
        </w:rPr>
      </w:pPr>
      <w:bookmarkStart w:id="44" w:name="_Hlk22461104"/>
      <w:bookmarkStart w:id="45" w:name="_Hlk22461103"/>
      <w:bookmarkStart w:id="46" w:name="_Hlk18820304"/>
      <w:bookmarkStart w:id="47" w:name="_Hlk23746208"/>
      <w:bookmarkStart w:id="48" w:name="_Hlk23651229"/>
      <w:bookmarkStart w:id="49" w:name="_Hlk18820306"/>
      <w:bookmarkStart w:id="50" w:name="_Hlk57105549"/>
      <w:bookmarkStart w:id="51" w:name="_Hlk23746209"/>
      <w:bookmarkStart w:id="52" w:name="_Hlk18820305"/>
      <w:bookmarkStart w:id="53" w:name="_Hlk23651230"/>
      <w:bookmarkStart w:id="54" w:name="_Hlk57105548"/>
      <w:bookmarkStart w:id="55" w:name="_Hlk23651228"/>
      <w:bookmarkStart w:id="56" w:name="_Hlk22461105"/>
      <w:bookmarkStart w:id="57" w:name="_Hlk57105547"/>
      <w:bookmarkStart w:id="58" w:name="_Hlk23746210"/>
      <w:r>
        <w:rPr>
          <w:rFonts w:ascii="宋体" w:hAnsi="宋体" w:cs="Arial"/>
          <w:kern w:val="0"/>
          <w:sz w:val="24"/>
          <w:szCs w:val="24"/>
        </w:rPr>
        <w:t>4</w:t>
      </w:r>
      <w:r>
        <w:rPr>
          <w:rFonts w:ascii="宋体" w:cs="Arial"/>
          <w:kern w:val="0"/>
          <w:sz w:val="24"/>
          <w:szCs w:val="24"/>
        </w:rPr>
        <w:t>.</w:t>
      </w:r>
      <w:r>
        <w:rPr>
          <w:rFonts w:ascii="宋体" w:hAnsi="宋体" w:cs="Arial"/>
          <w:kern w:val="0"/>
          <w:sz w:val="24"/>
          <w:szCs w:val="24"/>
        </w:rPr>
        <w:t>2.1</w:t>
      </w:r>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r>
        <w:rPr>
          <w:rFonts w:hint="eastAsia" w:ascii="宋体" w:hAnsi="宋体" w:cs="Arial"/>
          <w:kern w:val="0"/>
          <w:sz w:val="24"/>
          <w:szCs w:val="24"/>
        </w:rPr>
        <w:t>、投标人必须按投标人须知前附表规定，将投标文件在将加密的电子投标（响应）文件前通过政采云平台上传完成。</w:t>
      </w:r>
    </w:p>
    <w:p w14:paraId="62A18C88">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4</w:t>
      </w:r>
      <w:r>
        <w:rPr>
          <w:rFonts w:ascii="宋体" w:cs="Arial"/>
          <w:kern w:val="0"/>
          <w:sz w:val="24"/>
          <w:szCs w:val="24"/>
        </w:rPr>
        <w:t>.</w:t>
      </w:r>
      <w:r>
        <w:rPr>
          <w:rFonts w:ascii="宋体" w:hAnsi="宋体" w:cs="Arial"/>
          <w:kern w:val="0"/>
          <w:sz w:val="24"/>
          <w:szCs w:val="24"/>
        </w:rPr>
        <w:t>2.2</w:t>
      </w:r>
      <w:r>
        <w:rPr>
          <w:rFonts w:hint="eastAsia" w:ascii="宋体" w:hAnsi="宋体" w:cs="Arial"/>
          <w:kern w:val="0"/>
          <w:sz w:val="24"/>
          <w:szCs w:val="24"/>
        </w:rPr>
        <w:t>、采购人事先约定延长投标截止时间的，采购人与投标人以前的投标截止期方面的全部权利、责任和义务，将适用延长至新的投标截止期。</w:t>
      </w:r>
    </w:p>
    <w:p w14:paraId="439C0D9F">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4.2.4 </w:t>
      </w:r>
      <w:r>
        <w:rPr>
          <w:rFonts w:hint="eastAsia" w:ascii="宋体" w:hAnsi="宋体" w:cs="Arial"/>
          <w:kern w:val="0"/>
          <w:sz w:val="24"/>
          <w:szCs w:val="24"/>
        </w:rPr>
        <w:t>投标人或其投标文件存在下列情形之一的，采购人对其投标文件不予受理：</w:t>
      </w:r>
    </w:p>
    <w:p w14:paraId="01436893">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1</w:t>
      </w:r>
      <w:r>
        <w:rPr>
          <w:rFonts w:hint="eastAsia" w:ascii="宋体" w:hAnsi="宋体" w:cs="Arial"/>
          <w:kern w:val="0"/>
          <w:sz w:val="24"/>
          <w:szCs w:val="24"/>
        </w:rPr>
        <w:t>）逾期送达的投标文件；</w:t>
      </w:r>
    </w:p>
    <w:p w14:paraId="09609C15">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2</w:t>
      </w:r>
      <w:r>
        <w:rPr>
          <w:rFonts w:hint="eastAsia" w:ascii="宋体" w:hAnsi="宋体" w:cs="Arial"/>
          <w:kern w:val="0"/>
          <w:sz w:val="24"/>
          <w:szCs w:val="24"/>
        </w:rPr>
        <w:t>）未按要求</w:t>
      </w:r>
      <w:r>
        <w:rPr>
          <w:rFonts w:hint="eastAsia" w:ascii="宋体" w:hAnsi="宋体" w:cs="Arial"/>
          <w:kern w:val="0"/>
          <w:sz w:val="24"/>
          <w:szCs w:val="24"/>
          <w:lang w:val="en-US" w:eastAsia="zh-CN"/>
        </w:rPr>
        <w:t>上传</w:t>
      </w:r>
      <w:r>
        <w:rPr>
          <w:rFonts w:hint="eastAsia" w:ascii="宋体" w:hAnsi="宋体" w:cs="Arial"/>
          <w:kern w:val="0"/>
          <w:sz w:val="24"/>
          <w:szCs w:val="24"/>
        </w:rPr>
        <w:t>的</w:t>
      </w:r>
      <w:r>
        <w:rPr>
          <w:rFonts w:hint="eastAsia" w:ascii="宋体" w:hAnsi="宋体" w:cs="Arial"/>
          <w:kern w:val="0"/>
          <w:sz w:val="24"/>
          <w:szCs w:val="24"/>
          <w:lang w:val="en-US" w:eastAsia="zh-CN"/>
        </w:rPr>
        <w:t>电子</w:t>
      </w:r>
      <w:r>
        <w:rPr>
          <w:rFonts w:hint="eastAsia" w:ascii="宋体" w:hAnsi="宋体" w:cs="Arial"/>
          <w:kern w:val="0"/>
          <w:sz w:val="24"/>
          <w:szCs w:val="24"/>
        </w:rPr>
        <w:t>投标文件。</w:t>
      </w:r>
    </w:p>
    <w:p w14:paraId="586AF2E5">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4.3 </w:t>
      </w:r>
      <w:r>
        <w:rPr>
          <w:rFonts w:hint="eastAsia" w:ascii="宋体" w:hAnsi="宋体" w:cs="Arial"/>
          <w:kern w:val="0"/>
          <w:sz w:val="24"/>
          <w:szCs w:val="24"/>
        </w:rPr>
        <w:t>投标文件的修改与撤回</w:t>
      </w:r>
    </w:p>
    <w:p w14:paraId="6E320FB6">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4.3.1 </w:t>
      </w:r>
      <w:r>
        <w:rPr>
          <w:rFonts w:hint="eastAsia" w:ascii="宋体" w:hAnsi="宋体" w:cs="Arial"/>
          <w:kern w:val="0"/>
          <w:sz w:val="24"/>
          <w:szCs w:val="24"/>
        </w:rPr>
        <w:t>投标人递交投标文件后，在规定投标截止时间前，可以书面形式向采购人递交修改或撤回其投标文件的通知。</w:t>
      </w:r>
    </w:p>
    <w:p w14:paraId="2CF83BE6">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4.3.2 </w:t>
      </w:r>
      <w:r>
        <w:rPr>
          <w:rFonts w:hint="eastAsia" w:ascii="宋体" w:hAnsi="宋体" w:cs="Arial"/>
          <w:kern w:val="0"/>
          <w:sz w:val="24"/>
          <w:szCs w:val="24"/>
        </w:rPr>
        <w:t>修改的内容为投标文件的组成部分。修改的投标文件应按照本</w:t>
      </w:r>
      <w:r>
        <w:rPr>
          <w:rFonts w:hint="eastAsia" w:ascii="宋体" w:hAnsi="宋体" w:cs="Arial"/>
          <w:kern w:val="0"/>
          <w:sz w:val="24"/>
          <w:szCs w:val="24"/>
          <w:lang w:eastAsia="zh-CN"/>
        </w:rPr>
        <w:t>招标</w:t>
      </w:r>
      <w:r>
        <w:rPr>
          <w:rFonts w:hint="eastAsia" w:ascii="宋体" w:hAnsi="宋体" w:cs="Arial"/>
          <w:kern w:val="0"/>
          <w:sz w:val="24"/>
          <w:szCs w:val="24"/>
        </w:rPr>
        <w:t>文件的规定进行编制、标记和递交，并标明“修改”字样。</w:t>
      </w:r>
    </w:p>
    <w:p w14:paraId="5189DB23">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4.4</w:t>
      </w:r>
      <w:r>
        <w:rPr>
          <w:rFonts w:hint="eastAsia" w:ascii="宋体" w:hAnsi="宋体" w:cs="Arial"/>
          <w:kern w:val="0"/>
          <w:sz w:val="24"/>
          <w:szCs w:val="24"/>
        </w:rPr>
        <w:t>投标文件格式</w:t>
      </w:r>
    </w:p>
    <w:p w14:paraId="37C42BAE">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4.4.1 </w:t>
      </w:r>
      <w:r>
        <w:rPr>
          <w:rFonts w:hint="eastAsia" w:ascii="宋体" w:hAnsi="宋体" w:cs="Arial"/>
          <w:kern w:val="0"/>
          <w:sz w:val="24"/>
          <w:szCs w:val="24"/>
        </w:rPr>
        <w:t>投标文件格式见第六章。</w:t>
      </w:r>
    </w:p>
    <w:p w14:paraId="5F6C2FE7">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4.4.2 </w:t>
      </w:r>
      <w:r>
        <w:rPr>
          <w:rFonts w:hint="eastAsia" w:ascii="宋体" w:hAnsi="宋体" w:cs="Arial"/>
          <w:kern w:val="0"/>
          <w:sz w:val="24"/>
          <w:szCs w:val="24"/>
        </w:rPr>
        <w:t>投标人应使用本</w:t>
      </w:r>
      <w:r>
        <w:rPr>
          <w:rFonts w:hint="eastAsia" w:ascii="宋体" w:hAnsi="宋体" w:cs="Arial"/>
          <w:kern w:val="0"/>
          <w:sz w:val="24"/>
          <w:szCs w:val="24"/>
          <w:lang w:eastAsia="zh-CN"/>
        </w:rPr>
        <w:t>招标</w:t>
      </w:r>
      <w:r>
        <w:rPr>
          <w:rFonts w:hint="eastAsia" w:ascii="宋体" w:hAnsi="宋体" w:cs="Arial"/>
          <w:kern w:val="0"/>
          <w:sz w:val="24"/>
          <w:szCs w:val="24"/>
        </w:rPr>
        <w:t>文件后面提供的投标文件格式填写，如不够用时，投标人可按同样格式自行编制和填补，如果本</w:t>
      </w:r>
      <w:r>
        <w:rPr>
          <w:rFonts w:hint="eastAsia" w:ascii="宋体" w:hAnsi="宋体" w:cs="Arial"/>
          <w:kern w:val="0"/>
          <w:sz w:val="24"/>
          <w:szCs w:val="24"/>
          <w:lang w:eastAsia="zh-CN"/>
        </w:rPr>
        <w:t>招标</w:t>
      </w:r>
      <w:r>
        <w:rPr>
          <w:rFonts w:hint="eastAsia" w:ascii="宋体" w:hAnsi="宋体" w:cs="Arial"/>
          <w:kern w:val="0"/>
          <w:sz w:val="24"/>
          <w:szCs w:val="24"/>
        </w:rPr>
        <w:t>文件未提供格式的，投标人可自行编制。</w:t>
      </w:r>
    </w:p>
    <w:p w14:paraId="1C7DDEB9">
      <w:pPr>
        <w:shd w:val="clear"/>
        <w:tabs>
          <w:tab w:val="center" w:pos="4832"/>
          <w:tab w:val="left" w:pos="7140"/>
        </w:tabs>
        <w:spacing w:line="360" w:lineRule="auto"/>
        <w:jc w:val="left"/>
        <w:outlineLvl w:val="1"/>
        <w:rPr>
          <w:rFonts w:ascii="宋体" w:cs="宋体"/>
          <w:b/>
          <w:sz w:val="24"/>
          <w:szCs w:val="24"/>
        </w:rPr>
      </w:pPr>
      <w:bookmarkStart w:id="59" w:name="_BookMark_8"/>
      <w:bookmarkEnd w:id="59"/>
      <w:bookmarkStart w:id="60" w:name="_Toc529175832"/>
      <w:r>
        <w:rPr>
          <w:rFonts w:ascii="宋体" w:hAnsi="宋体" w:cs="宋体"/>
          <w:b/>
          <w:sz w:val="24"/>
          <w:szCs w:val="24"/>
        </w:rPr>
        <w:t>5</w:t>
      </w:r>
      <w:r>
        <w:rPr>
          <w:rFonts w:hint="eastAsia" w:ascii="宋体" w:hAnsi="宋体" w:cs="宋体"/>
          <w:b/>
          <w:sz w:val="24"/>
          <w:szCs w:val="24"/>
        </w:rPr>
        <w:t>．开标</w:t>
      </w:r>
      <w:bookmarkEnd w:id="60"/>
    </w:p>
    <w:p w14:paraId="0F1DF376">
      <w:pPr>
        <w:shd w:val="clear"/>
        <w:spacing w:line="440" w:lineRule="exact"/>
        <w:ind w:firstLine="480" w:firstLineChars="200"/>
        <w:rPr>
          <w:rFonts w:ascii="宋体"/>
          <w:color w:val="000000"/>
          <w:sz w:val="24"/>
        </w:rPr>
      </w:pPr>
      <w:r>
        <w:rPr>
          <w:rFonts w:ascii="宋体" w:hAnsi="宋体"/>
          <w:color w:val="000000"/>
          <w:sz w:val="24"/>
        </w:rPr>
        <w:t>5</w:t>
      </w:r>
      <w:r>
        <w:rPr>
          <w:rFonts w:ascii="宋体"/>
          <w:color w:val="000000"/>
          <w:sz w:val="24"/>
        </w:rPr>
        <w:t>.</w:t>
      </w:r>
      <w:r>
        <w:rPr>
          <w:rFonts w:ascii="宋体" w:hAnsi="宋体"/>
          <w:color w:val="000000"/>
          <w:sz w:val="24"/>
        </w:rPr>
        <w:t xml:space="preserve">1 </w:t>
      </w:r>
      <w:r>
        <w:rPr>
          <w:rFonts w:hint="eastAsia" w:ascii="宋体" w:hAnsi="宋体"/>
          <w:color w:val="000000"/>
          <w:sz w:val="24"/>
        </w:rPr>
        <w:t>采购人和采购代理机构将按供应商须知前附表中规定的时间和地点组织</w:t>
      </w:r>
      <w:r>
        <w:rPr>
          <w:rFonts w:hint="eastAsia" w:ascii="宋体" w:hAnsi="宋体"/>
          <w:color w:val="000000"/>
          <w:sz w:val="24"/>
          <w:lang w:eastAsia="zh-CN"/>
        </w:rPr>
        <w:t>招标</w:t>
      </w:r>
      <w:r>
        <w:rPr>
          <w:rFonts w:hint="eastAsia" w:ascii="宋体" w:hAnsi="宋体"/>
          <w:color w:val="000000"/>
          <w:sz w:val="24"/>
        </w:rPr>
        <w:t>活动，将邀请所有投标人的法定代表人或其授权代理人参加开标会。供应商不足3家的，不予开启</w:t>
      </w:r>
      <w:r>
        <w:rPr>
          <w:rFonts w:hint="eastAsia" w:ascii="宋体" w:hAnsi="宋体"/>
          <w:color w:val="000000"/>
          <w:sz w:val="24"/>
          <w:lang w:val="en-US" w:eastAsia="zh-CN"/>
        </w:rPr>
        <w:t>投标</w:t>
      </w:r>
      <w:r>
        <w:rPr>
          <w:rFonts w:hint="eastAsia" w:ascii="宋体" w:hAnsi="宋体"/>
          <w:color w:val="000000"/>
          <w:sz w:val="24"/>
        </w:rPr>
        <w:t>文件。</w:t>
      </w:r>
    </w:p>
    <w:p w14:paraId="4BBC5537">
      <w:pPr>
        <w:shd w:val="clear"/>
        <w:spacing w:line="440" w:lineRule="exact"/>
        <w:ind w:firstLine="480" w:firstLineChars="200"/>
        <w:rPr>
          <w:rFonts w:ascii="宋体"/>
          <w:color w:val="000000"/>
          <w:sz w:val="24"/>
        </w:rPr>
      </w:pPr>
      <w:r>
        <w:rPr>
          <w:rFonts w:ascii="宋体" w:hAnsi="宋体"/>
          <w:color w:val="000000"/>
          <w:sz w:val="24"/>
        </w:rPr>
        <w:t>5.2</w:t>
      </w:r>
      <w:r>
        <w:rPr>
          <w:rFonts w:hint="eastAsia" w:ascii="宋体" w:hAnsi="宋体"/>
          <w:color w:val="000000"/>
          <w:sz w:val="24"/>
        </w:rPr>
        <w:t>本项目采用远程不见面交易的模式。</w:t>
      </w:r>
      <w:r>
        <w:rPr>
          <w:rFonts w:hint="eastAsia" w:ascii="宋体" w:hAnsi="宋体"/>
          <w:color w:val="000000"/>
          <w:sz w:val="24"/>
          <w:lang w:eastAsia="zh-CN"/>
        </w:rPr>
        <w:t>招标</w:t>
      </w:r>
      <w:r>
        <w:rPr>
          <w:rFonts w:hint="eastAsia" w:ascii="宋体" w:hAnsi="宋体"/>
          <w:color w:val="000000"/>
          <w:sz w:val="24"/>
        </w:rPr>
        <w:t>当日，供应商需在政采云网上完成远程解密、提疑澄清、</w:t>
      </w:r>
      <w:r>
        <w:rPr>
          <w:rFonts w:hint="eastAsia" w:ascii="宋体" w:hAnsi="宋体"/>
          <w:color w:val="000000"/>
          <w:sz w:val="24"/>
          <w:lang w:eastAsia="zh-CN"/>
        </w:rPr>
        <w:t>招标</w:t>
      </w:r>
      <w:r>
        <w:rPr>
          <w:rFonts w:hint="eastAsia" w:ascii="宋体" w:hAnsi="宋体"/>
          <w:color w:val="000000"/>
          <w:sz w:val="24"/>
        </w:rPr>
        <w:t>、最终报价环节等交互环节。</w:t>
      </w:r>
    </w:p>
    <w:p w14:paraId="2BE75ABD">
      <w:pPr>
        <w:shd w:val="clear"/>
        <w:spacing w:line="440" w:lineRule="exact"/>
        <w:ind w:firstLine="482" w:firstLineChars="200"/>
        <w:jc w:val="left"/>
        <w:rPr>
          <w:rFonts w:ascii="宋体"/>
          <w:b/>
          <w:color w:val="000000" w:themeColor="text1"/>
          <w:sz w:val="24"/>
          <w14:textFill>
            <w14:solidFill>
              <w14:schemeClr w14:val="tx1"/>
            </w14:solidFill>
          </w14:textFill>
        </w:rPr>
      </w:pPr>
      <w:r>
        <w:rPr>
          <w:rFonts w:ascii="宋体" w:hAnsi="宋体"/>
          <w:b/>
          <w:color w:val="000000" w:themeColor="text1"/>
          <w:sz w:val="24"/>
          <w14:textFill>
            <w14:solidFill>
              <w14:schemeClr w14:val="tx1"/>
            </w14:solidFill>
          </w14:textFill>
        </w:rPr>
        <w:t>5.</w:t>
      </w:r>
      <w:r>
        <w:rPr>
          <w:rFonts w:hint="eastAsia" w:ascii="宋体" w:hAnsi="宋体"/>
          <w:b/>
          <w:color w:val="000000" w:themeColor="text1"/>
          <w:sz w:val="24"/>
          <w:lang w:val="en-US" w:eastAsia="zh-CN"/>
          <w14:textFill>
            <w14:solidFill>
              <w14:schemeClr w14:val="tx1"/>
            </w14:solidFill>
          </w14:textFill>
        </w:rPr>
        <w:t>3</w:t>
      </w:r>
      <w:r>
        <w:rPr>
          <w:rFonts w:ascii="宋体" w:hAnsi="宋体"/>
          <w:b/>
          <w:color w:val="000000" w:themeColor="text1"/>
          <w:sz w:val="24"/>
          <w14:textFill>
            <w14:solidFill>
              <w14:schemeClr w14:val="tx1"/>
            </w14:solidFill>
          </w14:textFill>
        </w:rPr>
        <w:t xml:space="preserve"> </w:t>
      </w:r>
      <w:r>
        <w:rPr>
          <w:rFonts w:hint="eastAsia" w:ascii="宋体" w:hAnsi="宋体"/>
          <w:b/>
          <w:color w:val="000000" w:themeColor="text1"/>
          <w:sz w:val="24"/>
          <w14:textFill>
            <w14:solidFill>
              <w14:schemeClr w14:val="tx1"/>
            </w14:solidFill>
          </w14:textFill>
        </w:rPr>
        <w:t>采购人或采购代理机构依据法律法规和采购文件中规定的内容，对供应商及其竞标标的资格进行审查，未通过资格审查的供应商不进入评审；通过资格审查的供应商不足三家的，不得评审。</w:t>
      </w:r>
    </w:p>
    <w:p w14:paraId="7E944C69">
      <w:pPr>
        <w:shd w:val="clear"/>
        <w:spacing w:line="440" w:lineRule="exact"/>
        <w:ind w:firstLine="480" w:firstLineChars="200"/>
        <w:rPr>
          <w:rFonts w:ascii="宋体"/>
          <w:color w:val="000000" w:themeColor="text1"/>
          <w:sz w:val="24"/>
          <w14:textFill>
            <w14:solidFill>
              <w14:schemeClr w14:val="tx1"/>
            </w14:solidFill>
          </w14:textFill>
        </w:rPr>
      </w:pPr>
      <w:r>
        <w:rPr>
          <w:rFonts w:ascii="宋体" w:hAnsi="宋体"/>
          <w:bCs/>
          <w:color w:val="000000" w:themeColor="text1"/>
          <w:sz w:val="24"/>
          <w:szCs w:val="24"/>
          <w14:textFill>
            <w14:solidFill>
              <w14:schemeClr w14:val="tx1"/>
            </w14:solidFill>
          </w14:textFill>
        </w:rPr>
        <w:t>5.</w:t>
      </w:r>
      <w:r>
        <w:rPr>
          <w:rFonts w:hint="eastAsia" w:ascii="宋体" w:hAnsi="宋体"/>
          <w:bCs/>
          <w:color w:val="000000" w:themeColor="text1"/>
          <w:sz w:val="24"/>
          <w:szCs w:val="24"/>
          <w:lang w:val="en-US" w:eastAsia="zh-CN"/>
          <w14:textFill>
            <w14:solidFill>
              <w14:schemeClr w14:val="tx1"/>
            </w14:solidFill>
          </w14:textFill>
        </w:rPr>
        <w:t>4</w:t>
      </w:r>
      <w:r>
        <w:rPr>
          <w:rFonts w:hint="eastAsia" w:ascii="宋体" w:hAnsi="宋体"/>
          <w:color w:val="000000" w:themeColor="text1"/>
          <w:sz w:val="24"/>
          <w14:textFill>
            <w14:solidFill>
              <w14:schemeClr w14:val="tx1"/>
            </w14:solidFill>
          </w14:textFill>
        </w:rPr>
        <w:t>供应商必须使用能正确解密响应文件的“政采云数字证书（CA）”在规定的时间内完成远程解密，因供应商原因未能解密、解密失败或解密超时，视为供应商撤销其响应文件，系统内响应文件将被退回；因采购人原因或网上政采云平台发生故障，导致无法按时完成响应文件解密或</w:t>
      </w:r>
      <w:r>
        <w:rPr>
          <w:rFonts w:hint="eastAsia" w:ascii="宋体" w:hAnsi="宋体"/>
          <w:color w:val="000000" w:themeColor="text1"/>
          <w:sz w:val="24"/>
          <w:lang w:eastAsia="zh-CN"/>
          <w14:textFill>
            <w14:solidFill>
              <w14:schemeClr w14:val="tx1"/>
            </w14:solidFill>
          </w14:textFill>
        </w:rPr>
        <w:t>招标</w:t>
      </w:r>
      <w:r>
        <w:rPr>
          <w:rFonts w:hint="eastAsia" w:ascii="宋体" w:hAnsi="宋体"/>
          <w:color w:val="000000" w:themeColor="text1"/>
          <w:sz w:val="24"/>
          <w14:textFill>
            <w14:solidFill>
              <w14:schemeClr w14:val="tx1"/>
            </w14:solidFill>
          </w14:textFill>
        </w:rPr>
        <w:t>、评审工作无法进行的，可根据实际情况相应延迟解密时间或调整</w:t>
      </w:r>
      <w:r>
        <w:rPr>
          <w:rFonts w:hint="eastAsia" w:ascii="宋体" w:hAnsi="宋体"/>
          <w:color w:val="000000" w:themeColor="text1"/>
          <w:sz w:val="24"/>
          <w:lang w:eastAsia="zh-CN"/>
          <w14:textFill>
            <w14:solidFill>
              <w14:schemeClr w14:val="tx1"/>
            </w14:solidFill>
          </w14:textFill>
        </w:rPr>
        <w:t>招标</w:t>
      </w:r>
      <w:r>
        <w:rPr>
          <w:rFonts w:hint="eastAsia" w:ascii="宋体" w:hAnsi="宋体"/>
          <w:color w:val="000000" w:themeColor="text1"/>
          <w:sz w:val="24"/>
          <w14:textFill>
            <w14:solidFill>
              <w14:schemeClr w14:val="tx1"/>
            </w14:solidFill>
          </w14:textFill>
        </w:rPr>
        <w:t>、评审时间（友情提示：若供应商已领取副锁（含多把副锁）请注意正副锁的使用差别，务必使用生成响应文件的那把锁解密）。</w:t>
      </w:r>
    </w:p>
    <w:p w14:paraId="1D21974C">
      <w:pPr>
        <w:shd w:val="clear"/>
        <w:spacing w:line="440" w:lineRule="exact"/>
        <w:ind w:firstLine="480" w:firstLineChars="200"/>
        <w:rPr>
          <w:rFonts w:asci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5.</w:t>
      </w:r>
      <w:r>
        <w:rPr>
          <w:rFonts w:hint="eastAsia" w:ascii="宋体" w:hAnsi="宋体"/>
          <w:color w:val="000000" w:themeColor="text1"/>
          <w:sz w:val="24"/>
          <w:lang w:val="en-US" w:eastAsia="zh-CN"/>
          <w14:textFill>
            <w14:solidFill>
              <w14:schemeClr w14:val="tx1"/>
            </w14:solidFill>
          </w14:textFill>
        </w:rPr>
        <w:t>5</w:t>
      </w:r>
      <w:r>
        <w:rPr>
          <w:rFonts w:hint="eastAsia"/>
          <w:color w:val="000000" w:themeColor="text1"/>
          <w:sz w:val="24"/>
          <w14:textFill>
            <w14:solidFill>
              <w14:schemeClr w14:val="tx1"/>
            </w14:solidFill>
          </w14:textFill>
        </w:rPr>
        <w:t>不见面开标默认解密时长30分钟</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关于能否延长解密时间的约定：</w:t>
      </w:r>
      <w:r>
        <w:rPr>
          <w:rFonts w:hint="eastAsia"/>
          <w:color w:val="000000" w:themeColor="text1"/>
          <w:sz w:val="24"/>
          <w:lang w:eastAsia="zh-CN"/>
          <w14:textFill>
            <w14:solidFill>
              <w14:schemeClr w14:val="tx1"/>
            </w14:solidFill>
          </w14:textFill>
        </w:rPr>
        <w:t>招标</w:t>
      </w:r>
      <w:r>
        <w:rPr>
          <w:rFonts w:hint="eastAsia"/>
          <w:color w:val="000000" w:themeColor="text1"/>
          <w:sz w:val="24"/>
          <w14:textFill>
            <w14:solidFill>
              <w14:schemeClr w14:val="tx1"/>
            </w14:solidFill>
          </w14:textFill>
        </w:rPr>
        <w:t>现场若发现默认解密时长不足，由采购人决定是否延长解密时长。</w:t>
      </w:r>
    </w:p>
    <w:p w14:paraId="0FBC5685">
      <w:pPr>
        <w:shd w:val="clear"/>
        <w:spacing w:line="440" w:lineRule="exact"/>
        <w:ind w:firstLine="480" w:firstLineChars="200"/>
        <w:rPr>
          <w:rFonts w:hint="eastAsia" w:eastAsia="宋体" w:cs="Times New Roman"/>
          <w:color w:val="FF0000"/>
          <w:sz w:val="24"/>
        </w:rPr>
      </w:pPr>
      <w:r>
        <w:rPr>
          <w:rFonts w:hint="eastAsia"/>
          <w:color w:val="000000" w:themeColor="text1"/>
          <w:sz w:val="24"/>
          <w:lang w:val="en-US" w:eastAsia="zh-CN"/>
          <w14:textFill>
            <w14:solidFill>
              <w14:schemeClr w14:val="tx1"/>
            </w14:solidFill>
          </w14:textFill>
        </w:rPr>
        <w:t>5.6</w:t>
      </w:r>
      <w:r>
        <w:rPr>
          <w:rFonts w:hint="eastAsia"/>
          <w:color w:val="000000" w:themeColor="text1"/>
          <w:sz w:val="24"/>
          <w14:textFill>
            <w14:solidFill>
              <w14:schemeClr w14:val="tx1"/>
            </w14:solidFill>
          </w14:textFill>
        </w:rPr>
        <w:t>投标人代表对开标过程有疑义，以及认为采购人、采购代理机构相关工作人员有需要回避的情形的，应当</w:t>
      </w:r>
      <w:r>
        <w:rPr>
          <w:rFonts w:hint="eastAsia"/>
          <w:color w:val="000000" w:themeColor="text1"/>
          <w:sz w:val="24"/>
          <w:lang w:val="en-US" w:eastAsia="zh-CN"/>
          <w14:textFill>
            <w14:solidFill>
              <w14:schemeClr w14:val="tx1"/>
            </w14:solidFill>
          </w14:textFill>
        </w:rPr>
        <w:t>现</w:t>
      </w:r>
      <w:r>
        <w:rPr>
          <w:rFonts w:hint="eastAsia"/>
          <w:color w:val="000000" w:themeColor="text1"/>
          <w:sz w:val="24"/>
          <w14:textFill>
            <w14:solidFill>
              <w14:schemeClr w14:val="tx1"/>
            </w14:solidFill>
          </w14:textFill>
        </w:rPr>
        <w:t>场提出询问或者回避申请。采购人、采购代理机构对投标人代表提出的询问或者回避申请应当及</w:t>
      </w:r>
      <w:r>
        <w:rPr>
          <w:rFonts w:hint="eastAsia" w:eastAsia="宋体" w:cs="Times New Roman"/>
          <w:color w:val="000000" w:themeColor="text1"/>
          <w:sz w:val="24"/>
          <w14:textFill>
            <w14:solidFill>
              <w14:schemeClr w14:val="tx1"/>
            </w14:solidFill>
          </w14:textFill>
        </w:rPr>
        <w:t>时处理。投标人未参加开标的，视同认可开标结果。</w:t>
      </w:r>
    </w:p>
    <w:p w14:paraId="2851352D">
      <w:pPr>
        <w:shd w:val="clear"/>
        <w:tabs>
          <w:tab w:val="center" w:pos="4832"/>
          <w:tab w:val="left" w:pos="7140"/>
        </w:tabs>
        <w:spacing w:line="360" w:lineRule="auto"/>
        <w:jc w:val="left"/>
        <w:outlineLvl w:val="1"/>
        <w:rPr>
          <w:rFonts w:ascii="宋体" w:cs="宋体"/>
          <w:b/>
          <w:sz w:val="24"/>
          <w:szCs w:val="24"/>
        </w:rPr>
      </w:pPr>
      <w:bookmarkStart w:id="61" w:name="_BookMark_9"/>
      <w:bookmarkEnd w:id="61"/>
      <w:bookmarkStart w:id="62" w:name="_Toc529175833"/>
      <w:r>
        <w:rPr>
          <w:rFonts w:ascii="宋体" w:hAnsi="宋体" w:cs="宋体"/>
          <w:b/>
          <w:sz w:val="24"/>
          <w:szCs w:val="24"/>
        </w:rPr>
        <w:t>6</w:t>
      </w:r>
      <w:r>
        <w:rPr>
          <w:rFonts w:hint="eastAsia" w:ascii="宋体" w:hAnsi="宋体" w:cs="宋体"/>
          <w:b/>
          <w:sz w:val="24"/>
          <w:szCs w:val="24"/>
        </w:rPr>
        <w:t>．评标</w:t>
      </w:r>
      <w:bookmarkEnd w:id="62"/>
    </w:p>
    <w:p w14:paraId="1D4EF711">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6.1 </w:t>
      </w:r>
      <w:r>
        <w:rPr>
          <w:rFonts w:hint="eastAsia" w:ascii="宋体" w:hAnsi="宋体" w:cs="Arial"/>
          <w:kern w:val="0"/>
          <w:sz w:val="24"/>
          <w:szCs w:val="24"/>
          <w:lang w:eastAsia="zh-CN"/>
        </w:rPr>
        <w:t>招标</w:t>
      </w:r>
      <w:r>
        <w:rPr>
          <w:rFonts w:hint="eastAsia" w:ascii="宋体" w:hAnsi="宋体" w:cs="Arial"/>
          <w:kern w:val="0"/>
          <w:sz w:val="24"/>
          <w:szCs w:val="24"/>
        </w:rPr>
        <w:t>小组</w:t>
      </w:r>
    </w:p>
    <w:p w14:paraId="211F27B7">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6.1.1</w:t>
      </w:r>
      <w:r>
        <w:rPr>
          <w:rFonts w:hint="eastAsia" w:ascii="宋体" w:hAnsi="宋体" w:cs="Arial"/>
          <w:kern w:val="0"/>
          <w:sz w:val="24"/>
          <w:szCs w:val="24"/>
          <w:lang w:eastAsia="zh-CN"/>
        </w:rPr>
        <w:t>招标</w:t>
      </w:r>
      <w:r>
        <w:rPr>
          <w:rFonts w:hint="eastAsia" w:ascii="宋体" w:hAnsi="宋体"/>
          <w:color w:val="000000"/>
          <w:spacing w:val="-2"/>
          <w:sz w:val="24"/>
        </w:rPr>
        <w:t>小组由采购人代表和评审专家组成，成员人数应当为</w:t>
      </w:r>
      <w:r>
        <w:rPr>
          <w:rFonts w:ascii="宋体" w:hAnsi="宋体"/>
          <w:color w:val="000000"/>
          <w:spacing w:val="-2"/>
          <w:sz w:val="24"/>
        </w:rPr>
        <w:t>3</w:t>
      </w:r>
      <w:r>
        <w:rPr>
          <w:rFonts w:hint="eastAsia" w:ascii="宋体" w:hAnsi="宋体"/>
          <w:color w:val="000000"/>
          <w:spacing w:val="-2"/>
          <w:sz w:val="24"/>
        </w:rPr>
        <w:t>人或以上单数，其中评审专家不得少于成员总数的三分之二。</w:t>
      </w:r>
    </w:p>
    <w:p w14:paraId="0243D549">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采用</w:t>
      </w:r>
      <w:r>
        <w:rPr>
          <w:rFonts w:hint="eastAsia" w:ascii="宋体" w:hAnsi="宋体" w:cs="Arial"/>
          <w:kern w:val="0"/>
          <w:sz w:val="24"/>
          <w:szCs w:val="24"/>
          <w:lang w:eastAsia="zh-CN"/>
        </w:rPr>
        <w:t>公开招标</w:t>
      </w:r>
      <w:r>
        <w:rPr>
          <w:rFonts w:hint="eastAsia" w:ascii="宋体" w:hAnsi="宋体" w:cs="Arial"/>
          <w:kern w:val="0"/>
          <w:sz w:val="24"/>
          <w:szCs w:val="24"/>
        </w:rPr>
        <w:t>招标方式的政府采购项目，评审专家应当从政府采购评审专家库内相关专业的专家名单中随机抽取。符合本办法第三条第四项规定情形的项目，以及情况特殊、通过随机方式难以确定合适的评审专家的项目，经主管预算单位同意，可以自行选定评审专家。</w:t>
      </w:r>
    </w:p>
    <w:p w14:paraId="77F8C271">
      <w:pPr>
        <w:widowControl/>
        <w:shd w:val="clear" w:color="auto"/>
        <w:snapToGrid w:val="0"/>
        <w:spacing w:line="360" w:lineRule="auto"/>
        <w:ind w:firstLine="480" w:firstLineChars="200"/>
        <w:rPr>
          <w:rFonts w:ascii="宋体" w:cs="Arial"/>
          <w:color w:val="000000"/>
          <w:kern w:val="0"/>
          <w:sz w:val="24"/>
          <w:szCs w:val="24"/>
        </w:rPr>
      </w:pPr>
      <w:r>
        <w:rPr>
          <w:rFonts w:hint="eastAsia" w:ascii="宋体" w:hAnsi="宋体" w:cs="Arial"/>
          <w:color w:val="000000"/>
          <w:kern w:val="0"/>
          <w:sz w:val="24"/>
          <w:szCs w:val="24"/>
        </w:rPr>
        <w:t>采购人评标代表须具备中级专业技术职称或同等专业水平</w:t>
      </w:r>
      <w:r>
        <w:rPr>
          <w:rFonts w:ascii="宋体" w:cs="Arial"/>
          <w:color w:val="000000"/>
          <w:kern w:val="0"/>
          <w:sz w:val="24"/>
          <w:szCs w:val="24"/>
        </w:rPr>
        <w:t>,</w:t>
      </w:r>
      <w:r>
        <w:rPr>
          <w:rFonts w:hint="eastAsia" w:ascii="宋体" w:hAnsi="宋体" w:cs="Arial"/>
          <w:color w:val="000000"/>
          <w:kern w:val="0"/>
          <w:sz w:val="24"/>
          <w:szCs w:val="24"/>
        </w:rPr>
        <w:t>或者具有高级专业技术职称或同等专业水平。</w:t>
      </w:r>
      <w:r>
        <w:rPr>
          <w:rFonts w:hint="eastAsia" w:ascii="宋体" w:hAnsi="宋体" w:cs="Arial"/>
          <w:color w:val="000000"/>
          <w:kern w:val="0"/>
          <w:sz w:val="24"/>
          <w:szCs w:val="24"/>
          <w:lang w:eastAsia="zh-CN"/>
        </w:rPr>
        <w:t>招标</w:t>
      </w:r>
      <w:r>
        <w:rPr>
          <w:rFonts w:hint="eastAsia" w:ascii="宋体" w:hAnsi="宋体" w:cs="Arial"/>
          <w:color w:val="000000"/>
          <w:kern w:val="0"/>
          <w:sz w:val="24"/>
          <w:szCs w:val="24"/>
        </w:rPr>
        <w:t>小组负责评标工作，并向采购人提交书面评标报告。</w:t>
      </w:r>
    </w:p>
    <w:p w14:paraId="2D7B905B">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6.1.2 </w:t>
      </w:r>
      <w:r>
        <w:rPr>
          <w:rFonts w:hint="eastAsia" w:ascii="宋体" w:hAnsi="宋体" w:cs="Arial"/>
          <w:kern w:val="0"/>
          <w:sz w:val="24"/>
          <w:szCs w:val="24"/>
          <w:lang w:eastAsia="zh-CN"/>
        </w:rPr>
        <w:t>招标</w:t>
      </w:r>
      <w:r>
        <w:rPr>
          <w:rFonts w:hint="eastAsia" w:ascii="宋体" w:hAnsi="宋体" w:cs="Arial"/>
          <w:kern w:val="0"/>
          <w:sz w:val="24"/>
          <w:szCs w:val="24"/>
        </w:rPr>
        <w:t>小组成员有下列情形之一的，应当回避：</w:t>
      </w:r>
    </w:p>
    <w:p w14:paraId="0B9881E8">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1</w:t>
      </w:r>
      <w:r>
        <w:rPr>
          <w:rFonts w:hint="eastAsia" w:ascii="宋体" w:hAnsi="宋体" w:cs="Arial"/>
          <w:kern w:val="0"/>
          <w:sz w:val="24"/>
          <w:szCs w:val="24"/>
        </w:rPr>
        <w:t>）</w:t>
      </w:r>
      <w:r>
        <w:rPr>
          <w:rFonts w:hint="eastAsia" w:ascii="宋体" w:cs="Arial"/>
          <w:kern w:val="0"/>
          <w:sz w:val="24"/>
          <w:szCs w:val="24"/>
        </w:rPr>
        <w:t>参加采购活动前三年内</w:t>
      </w:r>
      <w:r>
        <w:rPr>
          <w:rFonts w:ascii="宋体" w:cs="Arial"/>
          <w:kern w:val="0"/>
          <w:sz w:val="24"/>
          <w:szCs w:val="24"/>
        </w:rPr>
        <w:t>,</w:t>
      </w:r>
      <w:r>
        <w:rPr>
          <w:rFonts w:hint="eastAsia" w:ascii="宋体" w:cs="Arial"/>
          <w:kern w:val="0"/>
          <w:sz w:val="24"/>
          <w:szCs w:val="24"/>
        </w:rPr>
        <w:t>与投标人存在劳动关系</w:t>
      </w:r>
      <w:r>
        <w:rPr>
          <w:rFonts w:ascii="宋体" w:cs="Arial"/>
          <w:kern w:val="0"/>
          <w:sz w:val="24"/>
          <w:szCs w:val="24"/>
        </w:rPr>
        <w:t>,</w:t>
      </w:r>
      <w:r>
        <w:rPr>
          <w:rFonts w:hint="eastAsia" w:ascii="宋体" w:cs="Arial"/>
          <w:kern w:val="0"/>
          <w:sz w:val="24"/>
          <w:szCs w:val="24"/>
        </w:rPr>
        <w:t>或者担任过投标人的董事、监事</w:t>
      </w:r>
      <w:r>
        <w:rPr>
          <w:rFonts w:ascii="宋体" w:cs="Arial"/>
          <w:kern w:val="0"/>
          <w:sz w:val="24"/>
          <w:szCs w:val="24"/>
        </w:rPr>
        <w:t>,</w:t>
      </w:r>
      <w:r>
        <w:rPr>
          <w:rFonts w:hint="eastAsia" w:ascii="宋体" w:cs="Arial"/>
          <w:kern w:val="0"/>
          <w:sz w:val="24"/>
          <w:szCs w:val="24"/>
        </w:rPr>
        <w:t>或者是投标人的控股股东或实际控制人。</w:t>
      </w:r>
    </w:p>
    <w:p w14:paraId="3261A414">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2</w:t>
      </w:r>
      <w:r>
        <w:rPr>
          <w:rFonts w:hint="eastAsia" w:ascii="宋体" w:hAnsi="宋体" w:cs="Arial"/>
          <w:kern w:val="0"/>
          <w:sz w:val="24"/>
          <w:szCs w:val="24"/>
        </w:rPr>
        <w:t>）</w:t>
      </w:r>
      <w:r>
        <w:rPr>
          <w:rFonts w:hint="eastAsia" w:ascii="宋体" w:cs="Arial"/>
          <w:kern w:val="0"/>
          <w:sz w:val="24"/>
          <w:szCs w:val="24"/>
        </w:rPr>
        <w:t>与投标人的法定代表人或者负责人有夫妻、直系血亲、三代以内旁系血亲或者近姻亲关系。</w:t>
      </w:r>
    </w:p>
    <w:p w14:paraId="0A556B7D">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3</w:t>
      </w:r>
      <w:r>
        <w:rPr>
          <w:rFonts w:hint="eastAsia" w:ascii="宋体" w:hAnsi="宋体" w:cs="Arial"/>
          <w:kern w:val="0"/>
          <w:sz w:val="24"/>
          <w:szCs w:val="24"/>
        </w:rPr>
        <w:t>）</w:t>
      </w:r>
      <w:r>
        <w:rPr>
          <w:rFonts w:hint="eastAsia" w:ascii="宋体" w:cs="Arial"/>
          <w:kern w:val="0"/>
          <w:sz w:val="24"/>
          <w:szCs w:val="24"/>
        </w:rPr>
        <w:t>与投标人有其他可能影响政府采购活动公平、公正</w:t>
      </w:r>
      <w:r>
        <w:rPr>
          <w:rFonts w:hint="eastAsia" w:ascii="宋体" w:cs="Arial"/>
          <w:color w:val="000000"/>
          <w:kern w:val="0"/>
          <w:sz w:val="24"/>
          <w:szCs w:val="24"/>
        </w:rPr>
        <w:t>进行</w:t>
      </w:r>
      <w:r>
        <w:rPr>
          <w:rFonts w:hint="eastAsia" w:ascii="宋体" w:cs="Arial"/>
          <w:kern w:val="0"/>
          <w:sz w:val="24"/>
          <w:szCs w:val="24"/>
        </w:rPr>
        <w:t>的关系。</w:t>
      </w:r>
    </w:p>
    <w:p w14:paraId="55C96E05">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6.2 </w:t>
      </w:r>
      <w:r>
        <w:rPr>
          <w:rFonts w:hint="eastAsia" w:ascii="宋体" w:hAnsi="宋体" w:cs="Arial"/>
          <w:kern w:val="0"/>
          <w:sz w:val="24"/>
          <w:szCs w:val="24"/>
        </w:rPr>
        <w:t>评标原则</w:t>
      </w:r>
    </w:p>
    <w:p w14:paraId="7DB909C7">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评标活动遵循公平、公正、科学和择优的原则。</w:t>
      </w:r>
    </w:p>
    <w:p w14:paraId="5966E84C">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6.3 </w:t>
      </w:r>
      <w:r>
        <w:rPr>
          <w:rFonts w:hint="eastAsia" w:ascii="宋体" w:hAnsi="宋体" w:cs="Arial"/>
          <w:kern w:val="0"/>
          <w:sz w:val="24"/>
          <w:szCs w:val="24"/>
        </w:rPr>
        <w:t>评标</w:t>
      </w:r>
    </w:p>
    <w:p w14:paraId="7AF8D4CC">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lang w:eastAsia="zh-CN"/>
        </w:rPr>
        <w:t>招标</w:t>
      </w:r>
      <w:r>
        <w:rPr>
          <w:rFonts w:hint="eastAsia" w:ascii="宋体" w:hAnsi="宋体" w:cs="Arial"/>
          <w:kern w:val="0"/>
          <w:sz w:val="24"/>
          <w:szCs w:val="24"/>
        </w:rPr>
        <w:t>小组按照</w:t>
      </w:r>
      <w:r>
        <w:rPr>
          <w:rFonts w:hint="eastAsia" w:ascii="宋体" w:hAnsi="宋体" w:cs="Arial"/>
          <w:kern w:val="0"/>
          <w:sz w:val="24"/>
          <w:szCs w:val="24"/>
          <w:lang w:eastAsia="zh-CN"/>
        </w:rPr>
        <w:t>招标</w:t>
      </w:r>
      <w:r>
        <w:rPr>
          <w:rFonts w:hint="eastAsia" w:ascii="宋体" w:hAnsi="宋体" w:cs="Arial"/>
          <w:kern w:val="0"/>
          <w:sz w:val="24"/>
          <w:szCs w:val="24"/>
        </w:rPr>
        <w:t>文件中规定的方法、评审因素、标准和程序对投标文件进行评审。</w:t>
      </w:r>
    </w:p>
    <w:p w14:paraId="6E110B75">
      <w:pPr>
        <w:shd w:val="clear"/>
        <w:tabs>
          <w:tab w:val="center" w:pos="4832"/>
          <w:tab w:val="left" w:pos="7140"/>
        </w:tabs>
        <w:spacing w:line="360" w:lineRule="auto"/>
        <w:jc w:val="left"/>
        <w:outlineLvl w:val="1"/>
        <w:rPr>
          <w:rFonts w:ascii="宋体" w:cs="宋体"/>
          <w:b/>
          <w:sz w:val="24"/>
          <w:szCs w:val="24"/>
        </w:rPr>
      </w:pPr>
      <w:bookmarkStart w:id="63" w:name="_BookMark_10"/>
      <w:bookmarkEnd w:id="63"/>
      <w:bookmarkStart w:id="64" w:name="_Toc529175834"/>
      <w:r>
        <w:rPr>
          <w:rFonts w:ascii="宋体" w:hAnsi="宋体" w:cs="宋体"/>
          <w:b/>
          <w:sz w:val="24"/>
          <w:szCs w:val="24"/>
        </w:rPr>
        <w:t>7</w:t>
      </w:r>
      <w:r>
        <w:rPr>
          <w:rFonts w:hint="eastAsia" w:ascii="宋体" w:hAnsi="宋体" w:cs="宋体"/>
          <w:b/>
          <w:sz w:val="24"/>
          <w:szCs w:val="24"/>
        </w:rPr>
        <w:t>．定标及合同授予</w:t>
      </w:r>
      <w:bookmarkEnd w:id="64"/>
    </w:p>
    <w:p w14:paraId="487F4D4C">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7.1</w:t>
      </w:r>
      <w:r>
        <w:rPr>
          <w:rFonts w:hint="eastAsia" w:ascii="宋体" w:hAnsi="宋体" w:cs="Arial"/>
          <w:kern w:val="0"/>
          <w:sz w:val="24"/>
          <w:szCs w:val="24"/>
        </w:rPr>
        <w:t>定标原则</w:t>
      </w:r>
    </w:p>
    <w:p w14:paraId="745E7F51">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7.1.1</w:t>
      </w:r>
      <w:r>
        <w:rPr>
          <w:rFonts w:hint="eastAsia" w:ascii="宋体" w:hAnsi="宋体" w:cs="Arial"/>
          <w:kern w:val="0"/>
          <w:sz w:val="24"/>
          <w:szCs w:val="24"/>
        </w:rPr>
        <w:t>统一性原则：</w:t>
      </w:r>
      <w:r>
        <w:rPr>
          <w:rFonts w:hint="eastAsia" w:ascii="宋体" w:hAnsi="宋体" w:cs="Arial"/>
          <w:kern w:val="0"/>
          <w:sz w:val="24"/>
          <w:szCs w:val="24"/>
          <w:lang w:eastAsia="zh-CN"/>
        </w:rPr>
        <w:t>招标</w:t>
      </w:r>
      <w:r>
        <w:rPr>
          <w:rFonts w:hint="eastAsia" w:ascii="宋体" w:hAnsi="宋体" w:cs="Arial"/>
          <w:kern w:val="0"/>
          <w:sz w:val="24"/>
          <w:szCs w:val="24"/>
        </w:rPr>
        <w:t>小组将按照统一的</w:t>
      </w:r>
      <w:r>
        <w:rPr>
          <w:rFonts w:hint="eastAsia" w:ascii="宋体" w:hAnsi="宋体" w:cs="Arial"/>
          <w:kern w:val="0"/>
          <w:sz w:val="24"/>
          <w:szCs w:val="24"/>
          <w:lang w:eastAsia="zh-CN"/>
        </w:rPr>
        <w:t>招标</w:t>
      </w:r>
      <w:r>
        <w:rPr>
          <w:rFonts w:hint="eastAsia" w:ascii="宋体" w:hAnsi="宋体" w:cs="Arial"/>
          <w:kern w:val="0"/>
          <w:sz w:val="24"/>
          <w:szCs w:val="24"/>
        </w:rPr>
        <w:t>原则和</w:t>
      </w:r>
      <w:r>
        <w:rPr>
          <w:rFonts w:hint="eastAsia" w:ascii="宋体" w:hAnsi="宋体" w:cs="Arial"/>
          <w:kern w:val="0"/>
          <w:sz w:val="24"/>
          <w:szCs w:val="24"/>
          <w:lang w:eastAsia="zh-CN"/>
        </w:rPr>
        <w:t>招标</w:t>
      </w:r>
      <w:r>
        <w:rPr>
          <w:rFonts w:hint="eastAsia" w:ascii="宋体" w:hAnsi="宋体" w:cs="Arial"/>
          <w:kern w:val="0"/>
          <w:sz w:val="24"/>
          <w:szCs w:val="24"/>
        </w:rPr>
        <w:t>方法</w:t>
      </w:r>
      <w:r>
        <w:rPr>
          <w:rFonts w:ascii="宋体" w:cs="Arial"/>
          <w:kern w:val="0"/>
          <w:sz w:val="24"/>
          <w:szCs w:val="24"/>
        </w:rPr>
        <w:t>,</w:t>
      </w:r>
      <w:r>
        <w:rPr>
          <w:rFonts w:hint="eastAsia" w:ascii="宋体" w:hAnsi="宋体" w:cs="Arial"/>
          <w:kern w:val="0"/>
          <w:sz w:val="24"/>
          <w:szCs w:val="24"/>
        </w:rPr>
        <w:t>用同一标准进行评审。</w:t>
      </w:r>
    </w:p>
    <w:p w14:paraId="54A7094E">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7.1.2</w:t>
      </w:r>
      <w:r>
        <w:rPr>
          <w:rFonts w:hint="eastAsia" w:ascii="宋体" w:hAnsi="宋体" w:cs="Arial"/>
          <w:kern w:val="0"/>
          <w:sz w:val="24"/>
          <w:szCs w:val="24"/>
        </w:rPr>
        <w:t>独立性原则</w:t>
      </w:r>
      <w:r>
        <w:rPr>
          <w:rFonts w:ascii="宋体" w:hAnsi="宋体" w:cs="Arial"/>
          <w:kern w:val="0"/>
          <w:sz w:val="24"/>
          <w:szCs w:val="24"/>
        </w:rPr>
        <w:t>:</w:t>
      </w:r>
      <w:r>
        <w:rPr>
          <w:rFonts w:hint="eastAsia" w:ascii="宋体" w:hAnsi="宋体" w:cs="Arial"/>
          <w:kern w:val="0"/>
          <w:sz w:val="24"/>
          <w:szCs w:val="24"/>
          <w:lang w:eastAsia="zh-CN"/>
        </w:rPr>
        <w:t>招标</w:t>
      </w:r>
      <w:r>
        <w:rPr>
          <w:rFonts w:hint="eastAsia" w:ascii="宋体" w:hAnsi="宋体" w:cs="Arial"/>
          <w:kern w:val="0"/>
          <w:sz w:val="24"/>
          <w:szCs w:val="24"/>
        </w:rPr>
        <w:t>工作在</w:t>
      </w:r>
      <w:r>
        <w:rPr>
          <w:rFonts w:hint="eastAsia" w:ascii="宋体" w:hAnsi="宋体" w:cs="Arial"/>
          <w:kern w:val="0"/>
          <w:sz w:val="24"/>
          <w:szCs w:val="24"/>
          <w:lang w:eastAsia="zh-CN"/>
        </w:rPr>
        <w:t>招标</w:t>
      </w:r>
      <w:r>
        <w:rPr>
          <w:rFonts w:hint="eastAsia" w:ascii="宋体" w:hAnsi="宋体" w:cs="Arial"/>
          <w:kern w:val="0"/>
          <w:sz w:val="24"/>
          <w:szCs w:val="24"/>
        </w:rPr>
        <w:t>小组内部独立进行</w:t>
      </w:r>
      <w:r>
        <w:rPr>
          <w:rFonts w:ascii="宋体" w:cs="Arial"/>
          <w:kern w:val="0"/>
          <w:sz w:val="24"/>
          <w:szCs w:val="24"/>
        </w:rPr>
        <w:t>,</w:t>
      </w:r>
      <w:r>
        <w:rPr>
          <w:rFonts w:hint="eastAsia" w:ascii="宋体" w:hAnsi="宋体" w:cs="Arial"/>
          <w:kern w:val="0"/>
          <w:sz w:val="24"/>
          <w:szCs w:val="24"/>
        </w:rPr>
        <w:t>不受外界任何因素的干扰和影响。</w:t>
      </w:r>
      <w:r>
        <w:rPr>
          <w:rFonts w:hint="eastAsia" w:ascii="宋体" w:hAnsi="宋体" w:cs="Arial"/>
          <w:kern w:val="0"/>
          <w:sz w:val="24"/>
          <w:szCs w:val="24"/>
          <w:lang w:eastAsia="zh-CN"/>
        </w:rPr>
        <w:t>招标</w:t>
      </w:r>
      <w:r>
        <w:rPr>
          <w:rFonts w:hint="eastAsia" w:ascii="宋体" w:hAnsi="宋体" w:cs="Arial"/>
          <w:kern w:val="0"/>
          <w:sz w:val="24"/>
          <w:szCs w:val="24"/>
        </w:rPr>
        <w:t>小组成员对出具的评审意见承担个人责任。</w:t>
      </w:r>
    </w:p>
    <w:p w14:paraId="6966F93A">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7.1.</w:t>
      </w:r>
      <w:r>
        <w:rPr>
          <w:rFonts w:hint="eastAsia" w:ascii="宋体" w:hAnsi="宋体" w:cs="Arial"/>
          <w:kern w:val="0"/>
          <w:sz w:val="24"/>
          <w:szCs w:val="24"/>
          <w:lang w:val="en-US" w:eastAsia="zh-CN"/>
        </w:rPr>
        <w:t>3</w:t>
      </w:r>
      <w:r>
        <w:rPr>
          <w:rFonts w:ascii="宋体" w:hAnsi="宋体" w:cs="Arial"/>
          <w:kern w:val="0"/>
          <w:sz w:val="24"/>
          <w:szCs w:val="24"/>
        </w:rPr>
        <w:t xml:space="preserve"> </w:t>
      </w:r>
      <w:r>
        <w:rPr>
          <w:rFonts w:hint="eastAsia" w:ascii="宋体" w:hAnsi="宋体" w:cs="Arial"/>
          <w:kern w:val="0"/>
          <w:sz w:val="24"/>
          <w:szCs w:val="24"/>
        </w:rPr>
        <w:t>保密性原则</w:t>
      </w:r>
      <w:r>
        <w:rPr>
          <w:rFonts w:ascii="宋体" w:hAnsi="宋体" w:cs="Arial"/>
          <w:kern w:val="0"/>
          <w:sz w:val="24"/>
          <w:szCs w:val="24"/>
        </w:rPr>
        <w:t>:</w:t>
      </w:r>
      <w:r>
        <w:rPr>
          <w:rFonts w:hint="eastAsia" w:ascii="宋体" w:hAnsi="宋体" w:cs="Arial"/>
          <w:kern w:val="0"/>
          <w:sz w:val="24"/>
          <w:szCs w:val="24"/>
        </w:rPr>
        <w:t>采购代理机构应当采取必要的措施</w:t>
      </w:r>
      <w:r>
        <w:rPr>
          <w:rFonts w:ascii="宋体" w:cs="Arial"/>
          <w:kern w:val="0"/>
          <w:sz w:val="24"/>
          <w:szCs w:val="24"/>
        </w:rPr>
        <w:t>,</w:t>
      </w:r>
      <w:r>
        <w:rPr>
          <w:rFonts w:hint="eastAsia" w:ascii="宋体" w:hAnsi="宋体" w:cs="Arial"/>
          <w:kern w:val="0"/>
          <w:sz w:val="24"/>
          <w:szCs w:val="24"/>
        </w:rPr>
        <w:t>保证</w:t>
      </w:r>
      <w:r>
        <w:rPr>
          <w:rFonts w:hint="eastAsia" w:ascii="宋体" w:hAnsi="宋体" w:cs="Arial"/>
          <w:kern w:val="0"/>
          <w:sz w:val="24"/>
          <w:szCs w:val="24"/>
          <w:lang w:eastAsia="zh-CN"/>
        </w:rPr>
        <w:t>招标</w:t>
      </w:r>
      <w:r>
        <w:rPr>
          <w:rFonts w:hint="eastAsia" w:ascii="宋体" w:hAnsi="宋体" w:cs="Arial"/>
          <w:kern w:val="0"/>
          <w:sz w:val="24"/>
          <w:szCs w:val="24"/>
        </w:rPr>
        <w:t>在严格保密的情况下进行。</w:t>
      </w:r>
    </w:p>
    <w:p w14:paraId="3F958FCA">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7.1.</w:t>
      </w:r>
      <w:r>
        <w:rPr>
          <w:rFonts w:hint="eastAsia" w:ascii="宋体" w:cs="Arial"/>
          <w:kern w:val="0"/>
          <w:sz w:val="24"/>
          <w:szCs w:val="24"/>
          <w:lang w:val="en-US" w:eastAsia="zh-CN"/>
        </w:rPr>
        <w:t>4</w:t>
      </w:r>
      <w:r>
        <w:rPr>
          <w:rFonts w:hint="eastAsia" w:ascii="宋体" w:cs="Arial"/>
          <w:kern w:val="0"/>
          <w:sz w:val="24"/>
          <w:szCs w:val="24"/>
        </w:rPr>
        <w:t>综合性原则</w:t>
      </w:r>
      <w:r>
        <w:rPr>
          <w:rFonts w:ascii="宋体" w:cs="Arial"/>
          <w:kern w:val="0"/>
          <w:sz w:val="24"/>
          <w:szCs w:val="24"/>
        </w:rPr>
        <w:t>:</w:t>
      </w:r>
      <w:r>
        <w:rPr>
          <w:rFonts w:hint="eastAsia" w:ascii="宋体" w:cs="Arial"/>
          <w:kern w:val="0"/>
          <w:sz w:val="24"/>
          <w:szCs w:val="24"/>
          <w:lang w:eastAsia="zh-CN"/>
        </w:rPr>
        <w:t>招标</w:t>
      </w:r>
      <w:r>
        <w:rPr>
          <w:rFonts w:hint="eastAsia" w:ascii="宋体" w:cs="Arial"/>
          <w:kern w:val="0"/>
          <w:sz w:val="24"/>
          <w:szCs w:val="24"/>
        </w:rPr>
        <w:t>小组将综合分析、评审投标人的各项指标</w:t>
      </w:r>
      <w:r>
        <w:rPr>
          <w:rFonts w:ascii="宋体" w:cs="Arial"/>
          <w:kern w:val="0"/>
          <w:sz w:val="24"/>
          <w:szCs w:val="24"/>
        </w:rPr>
        <w:t>,</w:t>
      </w:r>
      <w:r>
        <w:rPr>
          <w:rFonts w:hint="eastAsia" w:ascii="宋体" w:cs="Arial"/>
          <w:kern w:val="0"/>
          <w:sz w:val="24"/>
          <w:szCs w:val="24"/>
        </w:rPr>
        <w:t>而不以单项指标的优劣评定出成交投标人。</w:t>
      </w:r>
    </w:p>
    <w:p w14:paraId="3C44F863">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7.2 </w:t>
      </w:r>
      <w:r>
        <w:rPr>
          <w:rFonts w:hint="eastAsia" w:ascii="宋体" w:hAnsi="宋体" w:cs="Arial"/>
          <w:kern w:val="0"/>
          <w:sz w:val="24"/>
          <w:szCs w:val="24"/>
        </w:rPr>
        <w:t>定标方法</w:t>
      </w:r>
    </w:p>
    <w:p w14:paraId="78E756F5">
      <w:pPr>
        <w:widowControl/>
        <w:shd w:val="clear" w:color="auto"/>
        <w:snapToGrid w:val="0"/>
        <w:spacing w:line="360" w:lineRule="auto"/>
        <w:ind w:firstLine="480" w:firstLineChars="200"/>
        <w:rPr>
          <w:rFonts w:hint="eastAsia" w:ascii="宋体" w:eastAsia="宋体" w:cs="Arial"/>
          <w:kern w:val="0"/>
          <w:sz w:val="24"/>
          <w:szCs w:val="24"/>
        </w:rPr>
      </w:pPr>
      <w:r>
        <w:rPr>
          <w:rFonts w:ascii="宋体" w:eastAsia="宋体" w:cs="Arial"/>
          <w:kern w:val="0"/>
          <w:sz w:val="24"/>
          <w:szCs w:val="24"/>
        </w:rPr>
        <w:t xml:space="preserve">7.2.1 </w:t>
      </w:r>
      <w:r>
        <w:rPr>
          <w:rFonts w:hint="eastAsia" w:ascii="宋体" w:eastAsia="宋体" w:cs="Arial"/>
          <w:kern w:val="0"/>
          <w:sz w:val="24"/>
          <w:szCs w:val="24"/>
        </w:rPr>
        <w:t>经</w:t>
      </w:r>
      <w:r>
        <w:rPr>
          <w:rFonts w:hint="eastAsia" w:ascii="宋体" w:cs="Arial"/>
          <w:kern w:val="0"/>
          <w:sz w:val="24"/>
          <w:szCs w:val="24"/>
          <w:lang w:eastAsia="zh-CN"/>
        </w:rPr>
        <w:t>招标</w:t>
      </w:r>
      <w:r>
        <w:rPr>
          <w:rFonts w:hint="eastAsia" w:ascii="宋体" w:eastAsia="宋体" w:cs="Arial"/>
          <w:kern w:val="0"/>
          <w:sz w:val="24"/>
          <w:szCs w:val="24"/>
        </w:rPr>
        <w:t>确定最终采购需求的供应商后，综合评分法，是指</w:t>
      </w:r>
      <w:r>
        <w:rPr>
          <w:rFonts w:hint="eastAsia" w:ascii="宋体" w:eastAsia="宋体" w:cs="Arial"/>
          <w:kern w:val="0"/>
          <w:sz w:val="24"/>
          <w:szCs w:val="24"/>
          <w:lang w:eastAsia="zh-CN"/>
        </w:rPr>
        <w:t>投标</w:t>
      </w:r>
      <w:r>
        <w:rPr>
          <w:rFonts w:hint="eastAsia" w:ascii="宋体" w:eastAsia="宋体" w:cs="Arial"/>
          <w:kern w:val="0"/>
          <w:sz w:val="24"/>
          <w:szCs w:val="24"/>
        </w:rPr>
        <w:t>文件满足</w:t>
      </w:r>
      <w:r>
        <w:rPr>
          <w:rFonts w:hint="eastAsia" w:ascii="宋体" w:cs="Arial"/>
          <w:kern w:val="0"/>
          <w:sz w:val="24"/>
          <w:szCs w:val="24"/>
          <w:lang w:eastAsia="zh-CN"/>
        </w:rPr>
        <w:t>招标</w:t>
      </w:r>
      <w:r>
        <w:rPr>
          <w:rFonts w:hint="eastAsia" w:ascii="宋体" w:eastAsia="宋体" w:cs="Arial"/>
          <w:kern w:val="0"/>
          <w:sz w:val="24"/>
          <w:szCs w:val="24"/>
        </w:rPr>
        <w:t>文件全部实质性要求且按评审因素的量化指标评审得分最高的供应商为成交候选供应商的评审方法。</w:t>
      </w:r>
    </w:p>
    <w:p w14:paraId="34B510A6">
      <w:pPr>
        <w:widowControl/>
        <w:shd w:val="clear" w:color="auto"/>
        <w:snapToGrid w:val="0"/>
        <w:spacing w:line="360" w:lineRule="auto"/>
        <w:ind w:firstLine="480" w:firstLineChars="200"/>
        <w:rPr>
          <w:rFonts w:ascii="宋体" w:eastAsia="宋体" w:cs="Arial"/>
          <w:kern w:val="0"/>
          <w:sz w:val="24"/>
          <w:szCs w:val="24"/>
        </w:rPr>
      </w:pPr>
      <w:r>
        <w:rPr>
          <w:rFonts w:hint="eastAsia" w:ascii="宋体" w:cs="Arial"/>
          <w:kern w:val="0"/>
          <w:sz w:val="24"/>
          <w:szCs w:val="24"/>
          <w:lang w:eastAsia="zh-CN"/>
        </w:rPr>
        <w:t>招标</w:t>
      </w:r>
      <w:r>
        <w:rPr>
          <w:rFonts w:hint="eastAsia" w:ascii="宋体" w:eastAsia="宋体" w:cs="Arial"/>
          <w:kern w:val="0"/>
          <w:sz w:val="24"/>
          <w:szCs w:val="24"/>
        </w:rPr>
        <w:t>小组根据依据此原则按由高到低排序向采购人推荐 3 家</w:t>
      </w:r>
      <w:r>
        <w:rPr>
          <w:rFonts w:hint="eastAsia" w:ascii="宋体" w:cs="Arial"/>
          <w:kern w:val="0"/>
          <w:sz w:val="24"/>
          <w:szCs w:val="24"/>
          <w:lang w:eastAsia="zh-CN"/>
        </w:rPr>
        <w:t>招标</w:t>
      </w:r>
      <w:r>
        <w:rPr>
          <w:rFonts w:hint="eastAsia" w:ascii="宋体" w:eastAsia="宋体" w:cs="Arial"/>
          <w:kern w:val="0"/>
          <w:sz w:val="24"/>
          <w:szCs w:val="24"/>
        </w:rPr>
        <w:t>成交候选人,或拒绝所有供应商，采购人根据专家</w:t>
      </w:r>
      <w:r>
        <w:rPr>
          <w:rFonts w:hint="eastAsia" w:ascii="宋体" w:cs="Arial"/>
          <w:kern w:val="0"/>
          <w:sz w:val="24"/>
          <w:szCs w:val="24"/>
          <w:lang w:eastAsia="zh-CN"/>
        </w:rPr>
        <w:t>招标</w:t>
      </w:r>
      <w:r>
        <w:rPr>
          <w:rFonts w:hint="eastAsia" w:ascii="宋体" w:eastAsia="宋体" w:cs="Arial"/>
          <w:kern w:val="0"/>
          <w:sz w:val="24"/>
          <w:szCs w:val="24"/>
        </w:rPr>
        <w:t>推荐意见与建议，确定和公布最终成交供应商。</w:t>
      </w:r>
    </w:p>
    <w:p w14:paraId="382ABF3F">
      <w:pPr>
        <w:widowControl/>
        <w:shd w:val="clear" w:color="auto"/>
        <w:snapToGrid w:val="0"/>
        <w:spacing w:line="360" w:lineRule="auto"/>
        <w:ind w:firstLine="480" w:firstLineChars="200"/>
        <w:rPr>
          <w:rFonts w:ascii="宋体" w:eastAsia="宋体" w:cs="Arial"/>
          <w:kern w:val="0"/>
          <w:sz w:val="24"/>
          <w:szCs w:val="24"/>
        </w:rPr>
      </w:pPr>
      <w:r>
        <w:rPr>
          <w:rFonts w:ascii="宋体" w:eastAsia="宋体" w:cs="Arial"/>
          <w:kern w:val="0"/>
          <w:sz w:val="24"/>
          <w:szCs w:val="24"/>
        </w:rPr>
        <w:t>7.2.2</w:t>
      </w:r>
      <w:r>
        <w:rPr>
          <w:rFonts w:hint="eastAsia" w:ascii="宋体" w:eastAsia="宋体" w:cs="Arial"/>
          <w:kern w:val="0"/>
          <w:sz w:val="24"/>
          <w:szCs w:val="24"/>
        </w:rPr>
        <w:t>采购人根据</w:t>
      </w:r>
      <w:r>
        <w:rPr>
          <w:rFonts w:hint="eastAsia" w:ascii="宋体" w:cs="Arial"/>
          <w:kern w:val="0"/>
          <w:sz w:val="24"/>
          <w:szCs w:val="24"/>
          <w:lang w:eastAsia="zh-CN"/>
        </w:rPr>
        <w:t>招标</w:t>
      </w:r>
      <w:r>
        <w:rPr>
          <w:rFonts w:hint="eastAsia" w:ascii="宋体" w:eastAsia="宋体" w:cs="Arial"/>
          <w:kern w:val="0"/>
          <w:sz w:val="24"/>
          <w:szCs w:val="24"/>
        </w:rPr>
        <w:t>小组的评标报告，应以排名第一的中标候选人为中标人。排名第一的中标候选人放弃中标或因不可抗力提出不能履行合同，或者</w:t>
      </w:r>
      <w:r>
        <w:rPr>
          <w:rFonts w:hint="eastAsia" w:ascii="宋体" w:cs="Arial"/>
          <w:kern w:val="0"/>
          <w:sz w:val="24"/>
          <w:szCs w:val="24"/>
          <w:lang w:eastAsia="zh-CN"/>
        </w:rPr>
        <w:t>招标</w:t>
      </w:r>
      <w:r>
        <w:rPr>
          <w:rFonts w:hint="eastAsia" w:ascii="宋体" w:eastAsia="宋体" w:cs="Arial"/>
          <w:kern w:val="0"/>
          <w:sz w:val="24"/>
          <w:szCs w:val="24"/>
        </w:rPr>
        <w:t>文件规定应当提交履约保证金而在规定的期限内未能提交的，招标人可以确定排名第二的中标候选人为中标人；排名第二的中标候选人因前款规定的同样原因不能签订合同的，招标人可以确定排名第三的中标候选人为中标人；或招标人采取重新招标的方式。</w:t>
      </w:r>
    </w:p>
    <w:p w14:paraId="30A8AA5F">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7.3</w:t>
      </w:r>
      <w:r>
        <w:rPr>
          <w:rFonts w:hint="eastAsia" w:ascii="宋体" w:hAnsi="宋体" w:cs="Arial"/>
          <w:kern w:val="0"/>
          <w:sz w:val="24"/>
          <w:szCs w:val="24"/>
        </w:rPr>
        <w:t>中标名单公示</w:t>
      </w:r>
    </w:p>
    <w:p w14:paraId="1E2F203A">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成交供应商确定后，采购人或者采购代理机构发布成交公告。中标情况将在</w:t>
      </w:r>
      <w:r>
        <w:rPr>
          <w:rFonts w:hint="eastAsia" w:ascii="宋体" w:hAnsi="宋体" w:cs="Arial"/>
          <w:kern w:val="0"/>
          <w:sz w:val="24"/>
          <w:szCs w:val="24"/>
          <w:lang w:eastAsia="zh-CN"/>
        </w:rPr>
        <w:t>招标</w:t>
      </w:r>
      <w:r>
        <w:rPr>
          <w:rFonts w:hint="eastAsia" w:ascii="宋体" w:hAnsi="宋体" w:cs="Arial"/>
          <w:kern w:val="0"/>
          <w:sz w:val="24"/>
          <w:szCs w:val="24"/>
        </w:rPr>
        <w:t>公告发布的媒体上公示，公示期不得少于</w:t>
      </w:r>
      <w:r>
        <w:rPr>
          <w:rFonts w:ascii="宋体" w:hAnsi="宋体" w:cs="Arial"/>
          <w:kern w:val="0"/>
          <w:sz w:val="24"/>
          <w:szCs w:val="24"/>
        </w:rPr>
        <w:t>1</w:t>
      </w:r>
      <w:r>
        <w:rPr>
          <w:rFonts w:hint="eastAsia" w:ascii="宋体" w:hAnsi="宋体" w:cs="Arial"/>
          <w:kern w:val="0"/>
          <w:sz w:val="24"/>
          <w:szCs w:val="24"/>
        </w:rPr>
        <w:t>个工作日。</w:t>
      </w:r>
    </w:p>
    <w:p w14:paraId="1D1C7F33">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7.4</w:t>
      </w:r>
      <w:r>
        <w:rPr>
          <w:rFonts w:hint="eastAsia" w:ascii="宋体" w:hAnsi="宋体" w:cs="Arial"/>
          <w:kern w:val="0"/>
          <w:sz w:val="24"/>
          <w:szCs w:val="24"/>
        </w:rPr>
        <w:t>成交通知</w:t>
      </w:r>
    </w:p>
    <w:p w14:paraId="7ED8D400">
      <w:pPr>
        <w:widowControl/>
        <w:shd w:val="clear" w:color="auto"/>
        <w:snapToGrid w:val="0"/>
        <w:spacing w:line="360" w:lineRule="auto"/>
        <w:ind w:firstLine="480" w:firstLineChars="200"/>
        <w:rPr>
          <w:rFonts w:hint="eastAsia" w:ascii="宋体" w:hAnsi="宋体" w:cs="Arial"/>
          <w:kern w:val="0"/>
          <w:sz w:val="24"/>
          <w:szCs w:val="24"/>
        </w:rPr>
      </w:pPr>
      <w:r>
        <w:rPr>
          <w:rFonts w:hint="eastAsia" w:ascii="宋体" w:hAnsi="宋体" w:cs="Arial"/>
          <w:kern w:val="0"/>
          <w:sz w:val="24"/>
          <w:szCs w:val="24"/>
        </w:rPr>
        <w:t>在公告成交结果的同时，向成交供应商发出成交通知书。</w:t>
      </w:r>
    </w:p>
    <w:p w14:paraId="016D00BC">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7.5</w:t>
      </w:r>
      <w:r>
        <w:rPr>
          <w:rFonts w:hint="eastAsia" w:ascii="宋体" w:hAnsi="宋体" w:cs="Arial"/>
          <w:kern w:val="0"/>
          <w:sz w:val="24"/>
          <w:szCs w:val="24"/>
        </w:rPr>
        <w:t>履约保证金</w:t>
      </w:r>
    </w:p>
    <w:p w14:paraId="690D33F4">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7.5.1 </w:t>
      </w:r>
      <w:r>
        <w:rPr>
          <w:rFonts w:hint="eastAsia" w:ascii="宋体" w:hAnsi="宋体" w:cs="Arial"/>
          <w:kern w:val="0"/>
          <w:sz w:val="24"/>
          <w:szCs w:val="24"/>
        </w:rPr>
        <w:t>在签订合同前，中标人应按投标人须知前附表规定的金额、形式向采购人提交履约保证金。</w:t>
      </w:r>
    </w:p>
    <w:p w14:paraId="11DC605B">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7.5.2 </w:t>
      </w:r>
      <w:r>
        <w:rPr>
          <w:rFonts w:hint="eastAsia" w:ascii="宋体" w:hAnsi="宋体" w:cs="Arial"/>
          <w:kern w:val="0"/>
          <w:sz w:val="24"/>
          <w:szCs w:val="24"/>
        </w:rPr>
        <w:t>中标单位不能按</w:t>
      </w:r>
      <w:r>
        <w:rPr>
          <w:rFonts w:hint="eastAsia" w:ascii="宋体" w:hAnsi="宋体" w:cs="Arial"/>
          <w:kern w:val="0"/>
          <w:sz w:val="24"/>
          <w:szCs w:val="24"/>
          <w:lang w:eastAsia="zh-CN"/>
        </w:rPr>
        <w:t>项目</w:t>
      </w:r>
      <w:r>
        <w:rPr>
          <w:rFonts w:hint="eastAsia" w:ascii="宋体" w:hAnsi="宋体" w:cs="Arial"/>
          <w:kern w:val="0"/>
          <w:sz w:val="24"/>
          <w:szCs w:val="24"/>
        </w:rPr>
        <w:t>要求提交履约保证金的，视为放弃中标，其投标保证金不予退还；给采购人造成的损失超过投标保证金数额的，中标单位还应当对超过部分予以赔偿。</w:t>
      </w:r>
    </w:p>
    <w:p w14:paraId="0EA7FDA5">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7.6</w:t>
      </w:r>
      <w:r>
        <w:rPr>
          <w:rFonts w:hint="eastAsia" w:ascii="宋体" w:hAnsi="宋体" w:cs="Arial"/>
          <w:kern w:val="0"/>
          <w:sz w:val="24"/>
          <w:szCs w:val="24"/>
        </w:rPr>
        <w:t>签订合同</w:t>
      </w:r>
    </w:p>
    <w:p w14:paraId="5E5C3143">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7.6.1</w:t>
      </w:r>
      <w:r>
        <w:rPr>
          <w:rFonts w:hint="eastAsia" w:ascii="宋体" w:cs="Arial"/>
          <w:kern w:val="0"/>
          <w:sz w:val="24"/>
          <w:szCs w:val="24"/>
        </w:rPr>
        <w:t>中标单位应按照采购人要求时间签订书面合同。</w:t>
      </w:r>
      <w:r>
        <w:rPr>
          <w:rFonts w:hint="eastAsia" w:ascii="宋体" w:hAnsi="宋体" w:cs="Arial"/>
          <w:kern w:val="0"/>
          <w:sz w:val="24"/>
          <w:szCs w:val="24"/>
        </w:rPr>
        <w:t>成交供应商应当自发出成交通知书之日起30日内，与采购人签订合同。</w:t>
      </w:r>
      <w:r>
        <w:rPr>
          <w:rFonts w:hint="eastAsia" w:ascii="宋体" w:cs="Arial"/>
          <w:kern w:val="0"/>
          <w:sz w:val="24"/>
          <w:szCs w:val="24"/>
        </w:rPr>
        <w:t>所签订的合同不得对</w:t>
      </w:r>
      <w:r>
        <w:rPr>
          <w:rFonts w:hint="eastAsia" w:ascii="宋体" w:cs="Arial"/>
          <w:kern w:val="0"/>
          <w:sz w:val="24"/>
          <w:szCs w:val="24"/>
          <w:lang w:eastAsia="zh-CN"/>
        </w:rPr>
        <w:t>招标</w:t>
      </w:r>
      <w:r>
        <w:rPr>
          <w:rFonts w:hint="eastAsia" w:ascii="宋体" w:cs="Arial"/>
          <w:kern w:val="0"/>
          <w:sz w:val="24"/>
          <w:szCs w:val="24"/>
        </w:rPr>
        <w:t>文件确定的事项和中标人投标文件作实质性修改。采购人不得向中标单位提出任何不合理的要求作为签订合同的条件。</w:t>
      </w:r>
    </w:p>
    <w:p w14:paraId="65EBB579">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7.6.2</w:t>
      </w:r>
      <w:r>
        <w:rPr>
          <w:rFonts w:hint="eastAsia" w:ascii="宋体" w:hAnsi="宋体" w:cs="Arial"/>
          <w:kern w:val="0"/>
          <w:sz w:val="24"/>
          <w:szCs w:val="24"/>
        </w:rPr>
        <w:t>发出中标通知书后，采购人无正当理由拒签合同的，给中标单位造成损失的，还应当赔偿中标单位损失。</w:t>
      </w:r>
    </w:p>
    <w:p w14:paraId="711446F5">
      <w:pPr>
        <w:widowControl/>
        <w:shd w:val="clear" w:color="auto"/>
        <w:snapToGrid w:val="0"/>
        <w:spacing w:line="360" w:lineRule="auto"/>
        <w:ind w:firstLine="480" w:firstLineChars="200"/>
        <w:rPr>
          <w:rFonts w:ascii="宋体" w:cs="Arial"/>
          <w:kern w:val="0"/>
          <w:sz w:val="24"/>
          <w:szCs w:val="24"/>
        </w:rPr>
      </w:pPr>
      <w:r>
        <w:rPr>
          <w:rFonts w:ascii="宋体" w:cs="Arial"/>
          <w:kern w:val="0"/>
          <w:sz w:val="24"/>
          <w:szCs w:val="24"/>
        </w:rPr>
        <w:t>7.6.3</w:t>
      </w:r>
      <w:r>
        <w:rPr>
          <w:rFonts w:hint="eastAsia" w:ascii="宋体" w:cs="Arial"/>
          <w:kern w:val="0"/>
          <w:sz w:val="24"/>
          <w:szCs w:val="24"/>
        </w:rPr>
        <w:t>发出中标通知书后，中标单位无正当理由拒签合同的，采购人取消其中标资格，其投标保证金不予退还；给采购人造成的损失超过投标保证金数额的，中标单位还应当对超过部分予以赔偿。</w:t>
      </w:r>
    </w:p>
    <w:p w14:paraId="2B4607BF">
      <w:pPr>
        <w:shd w:val="clear"/>
        <w:tabs>
          <w:tab w:val="center" w:pos="4832"/>
          <w:tab w:val="left" w:pos="7140"/>
        </w:tabs>
        <w:spacing w:line="360" w:lineRule="auto"/>
        <w:jc w:val="left"/>
        <w:outlineLvl w:val="1"/>
        <w:rPr>
          <w:rFonts w:ascii="宋体" w:cs="宋体"/>
          <w:b/>
          <w:sz w:val="24"/>
          <w:szCs w:val="24"/>
        </w:rPr>
      </w:pPr>
      <w:bookmarkStart w:id="65" w:name="_BookMark_11"/>
      <w:bookmarkEnd w:id="65"/>
      <w:bookmarkStart w:id="66" w:name="_Toc529175835"/>
      <w:r>
        <w:rPr>
          <w:rFonts w:ascii="宋体" w:hAnsi="宋体" w:cs="宋体"/>
          <w:b/>
          <w:sz w:val="24"/>
          <w:szCs w:val="24"/>
        </w:rPr>
        <w:t>8</w:t>
      </w:r>
      <w:r>
        <w:rPr>
          <w:rFonts w:hint="eastAsia" w:ascii="宋体" w:hAnsi="宋体" w:cs="宋体"/>
          <w:b/>
          <w:sz w:val="24"/>
          <w:szCs w:val="24"/>
        </w:rPr>
        <w:t>．纪律和监督</w:t>
      </w:r>
      <w:bookmarkEnd w:id="66"/>
    </w:p>
    <w:p w14:paraId="29B1F730">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8.1 </w:t>
      </w:r>
      <w:r>
        <w:rPr>
          <w:rFonts w:hint="eastAsia" w:ascii="宋体" w:hAnsi="宋体" w:cs="Arial"/>
          <w:kern w:val="0"/>
          <w:sz w:val="24"/>
          <w:szCs w:val="24"/>
        </w:rPr>
        <w:t>对采购人的纪律要求</w:t>
      </w:r>
    </w:p>
    <w:p w14:paraId="0EA909EA">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采购人不得泄漏招标投标活动中应当保密的情况和资料，不得与投标人串通损害国家利益、社会公共利益或者他人合法权益。</w:t>
      </w:r>
    </w:p>
    <w:p w14:paraId="3436261E">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8.2 </w:t>
      </w:r>
      <w:r>
        <w:rPr>
          <w:rFonts w:hint="eastAsia" w:ascii="宋体" w:hAnsi="宋体" w:cs="Arial"/>
          <w:kern w:val="0"/>
          <w:sz w:val="24"/>
          <w:szCs w:val="24"/>
        </w:rPr>
        <w:t>对投标人的纪律要求</w:t>
      </w:r>
    </w:p>
    <w:p w14:paraId="7154A140">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投标人不得相互串通投标或者与采购人串通投标，不得向采购人或者</w:t>
      </w:r>
      <w:r>
        <w:rPr>
          <w:rFonts w:hint="eastAsia" w:ascii="宋体" w:hAnsi="宋体" w:cs="Arial"/>
          <w:kern w:val="0"/>
          <w:sz w:val="24"/>
          <w:szCs w:val="24"/>
          <w:lang w:eastAsia="zh-CN"/>
        </w:rPr>
        <w:t>招标</w:t>
      </w:r>
      <w:r>
        <w:rPr>
          <w:rFonts w:hint="eastAsia" w:ascii="宋体" w:hAnsi="宋体" w:cs="Arial"/>
          <w:kern w:val="0"/>
          <w:sz w:val="24"/>
          <w:szCs w:val="24"/>
        </w:rPr>
        <w:t>小组成员行贿谋取中标，不得以他人名义投标或者以其他方式弄虚作假骗取中标；投标人不得以任何方式干扰、影响评标工作。</w:t>
      </w:r>
    </w:p>
    <w:p w14:paraId="1EFBC89C">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8.3 </w:t>
      </w:r>
      <w:r>
        <w:rPr>
          <w:rFonts w:hint="eastAsia" w:ascii="宋体" w:hAnsi="宋体" w:cs="Arial"/>
          <w:kern w:val="0"/>
          <w:sz w:val="24"/>
          <w:szCs w:val="24"/>
        </w:rPr>
        <w:t>对</w:t>
      </w:r>
      <w:r>
        <w:rPr>
          <w:rFonts w:hint="eastAsia" w:ascii="宋体" w:hAnsi="宋体" w:cs="Arial"/>
          <w:kern w:val="0"/>
          <w:sz w:val="24"/>
          <w:szCs w:val="24"/>
          <w:lang w:eastAsia="zh-CN"/>
        </w:rPr>
        <w:t>招标</w:t>
      </w:r>
      <w:r>
        <w:rPr>
          <w:rFonts w:hint="eastAsia" w:ascii="宋体" w:hAnsi="宋体" w:cs="Arial"/>
          <w:kern w:val="0"/>
          <w:sz w:val="24"/>
          <w:szCs w:val="24"/>
        </w:rPr>
        <w:t>小组成员的纪律要求</w:t>
      </w:r>
    </w:p>
    <w:p w14:paraId="406A1006">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lang w:eastAsia="zh-CN"/>
        </w:rPr>
        <w:t>招标</w:t>
      </w:r>
      <w:r>
        <w:rPr>
          <w:rFonts w:hint="eastAsia" w:ascii="宋体" w:hAnsi="宋体" w:cs="Arial"/>
          <w:kern w:val="0"/>
          <w:sz w:val="24"/>
          <w:szCs w:val="24"/>
        </w:rPr>
        <w:t>小组成员不得收受他人的财物或者其他好处，不得向他人透漏对投标文件的评审和比较、中标候选人的推荐情况以及评标有关的其他情况。在评标活动中，</w:t>
      </w:r>
      <w:r>
        <w:rPr>
          <w:rFonts w:hint="eastAsia" w:ascii="宋体" w:hAnsi="宋体" w:cs="Arial"/>
          <w:kern w:val="0"/>
          <w:sz w:val="24"/>
          <w:szCs w:val="24"/>
          <w:lang w:eastAsia="zh-CN"/>
        </w:rPr>
        <w:t>招标</w:t>
      </w:r>
      <w:r>
        <w:rPr>
          <w:rFonts w:hint="eastAsia" w:ascii="宋体" w:hAnsi="宋体" w:cs="Arial"/>
          <w:kern w:val="0"/>
          <w:sz w:val="24"/>
          <w:szCs w:val="24"/>
        </w:rPr>
        <w:t>小组成员不得擅离职守，影响评标程序正常进行，不得使用评标办法没有规定的评审因素和标准进行评标。</w:t>
      </w:r>
    </w:p>
    <w:p w14:paraId="5AFB5237">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8.4 </w:t>
      </w:r>
      <w:r>
        <w:rPr>
          <w:rFonts w:hint="eastAsia" w:ascii="宋体" w:hAnsi="宋体" w:cs="Arial"/>
          <w:kern w:val="0"/>
          <w:sz w:val="24"/>
          <w:szCs w:val="24"/>
        </w:rPr>
        <w:t>对与评标活动有关的工作人员的纪律要求</w:t>
      </w:r>
    </w:p>
    <w:p w14:paraId="63B6F40D">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4CDB5188">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8.5 </w:t>
      </w:r>
      <w:r>
        <w:rPr>
          <w:rFonts w:hint="eastAsia" w:ascii="宋体" w:hAnsi="宋体" w:cs="Arial"/>
          <w:kern w:val="0"/>
          <w:sz w:val="24"/>
          <w:szCs w:val="24"/>
        </w:rPr>
        <w:t>监督</w:t>
      </w:r>
    </w:p>
    <w:p w14:paraId="6DDC1DEF">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本项目的招标投标活动及其相关当事人应当接受有管辖权的监督部门依法实施的监督。</w:t>
      </w:r>
      <w:bookmarkStart w:id="67" w:name="_BookMark_12"/>
      <w:bookmarkEnd w:id="67"/>
    </w:p>
    <w:p w14:paraId="08E431FD">
      <w:pPr>
        <w:keepNext w:val="0"/>
        <w:keepLines w:val="0"/>
        <w:pageBreakBefore w:val="0"/>
        <w:widowControl w:val="0"/>
        <w:numPr>
          <w:ilvl w:val="0"/>
          <w:numId w:val="2"/>
        </w:numPr>
        <w:shd w:val="clear"/>
        <w:kinsoku/>
        <w:wordWrap/>
        <w:overflowPunct/>
        <w:topLinePunct w:val="0"/>
        <w:autoSpaceDE/>
        <w:autoSpaceDN/>
        <w:bidi w:val="0"/>
        <w:adjustRightInd/>
        <w:snapToGrid/>
        <w:spacing w:line="500" w:lineRule="exact"/>
        <w:jc w:val="center"/>
        <w:textAlignment w:val="auto"/>
        <w:outlineLvl w:val="0"/>
        <w:rPr>
          <w:rFonts w:hint="eastAsia" w:ascii="宋体" w:hAnsi="宋体" w:cs="宋体"/>
          <w:b/>
          <w:sz w:val="32"/>
          <w:szCs w:val="32"/>
        </w:rPr>
      </w:pPr>
      <w:r>
        <w:rPr>
          <w:rFonts w:ascii="宋体" w:cs="Arial"/>
          <w:bCs/>
          <w:kern w:val="0"/>
          <w:sz w:val="24"/>
          <w:szCs w:val="24"/>
        </w:rPr>
        <w:br w:type="page"/>
      </w:r>
      <w:bookmarkStart w:id="68" w:name="_Toc529175836"/>
      <w:r>
        <w:rPr>
          <w:rFonts w:hint="eastAsia" w:ascii="宋体" w:hAnsi="宋体" w:cs="宋体"/>
          <w:b/>
          <w:sz w:val="32"/>
          <w:szCs w:val="32"/>
          <w:lang w:val="en-US" w:eastAsia="zh-CN"/>
        </w:rPr>
        <w:t xml:space="preserve">  </w:t>
      </w:r>
      <w:r>
        <w:rPr>
          <w:rFonts w:hint="eastAsia" w:ascii="宋体" w:hAnsi="宋体" w:cs="宋体"/>
          <w:b/>
          <w:sz w:val="32"/>
          <w:szCs w:val="32"/>
        </w:rPr>
        <w:t>评标办法</w:t>
      </w:r>
      <w:bookmarkEnd w:id="68"/>
      <w:bookmarkStart w:id="69" w:name="_BookMark_1"/>
      <w:bookmarkEnd w:id="69"/>
    </w:p>
    <w:p w14:paraId="67FE06C5">
      <w:pPr>
        <w:keepNext w:val="0"/>
        <w:keepLines w:val="0"/>
        <w:pageBreakBefore w:val="0"/>
        <w:widowControl w:val="0"/>
        <w:kinsoku/>
        <w:wordWrap/>
        <w:overflowPunct/>
        <w:topLinePunct w:val="0"/>
        <w:bidi w:val="0"/>
        <w:snapToGrid/>
        <w:spacing w:line="440" w:lineRule="exact"/>
        <w:ind w:firstLine="480" w:firstLineChars="200"/>
        <w:textAlignment w:val="auto"/>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lang w:val="en-US" w:eastAsia="zh-CN" w:bidi="ar-SA"/>
        </w:rPr>
        <w:t>根据</w:t>
      </w:r>
      <w:r>
        <w:rPr>
          <w:rFonts w:hint="eastAsia" w:ascii="宋体" w:hAnsi="宋体" w:eastAsia="宋体" w:cs="宋体"/>
          <w:color w:val="000000"/>
          <w:kern w:val="0"/>
          <w:sz w:val="24"/>
          <w:szCs w:val="24"/>
          <w:lang w:val="zh-CN" w:eastAsia="zh-CN" w:bidi="ar-SA"/>
        </w:rPr>
        <w:t>《</w:t>
      </w:r>
      <w:r>
        <w:rPr>
          <w:rFonts w:hint="eastAsia" w:ascii="宋体" w:hAnsi="宋体" w:eastAsia="宋体" w:cs="宋体"/>
          <w:color w:val="000000"/>
          <w:kern w:val="0"/>
          <w:sz w:val="24"/>
          <w:szCs w:val="24"/>
          <w:lang w:val="en-US" w:eastAsia="zh-CN" w:bidi="ar-SA"/>
        </w:rPr>
        <w:t>自治区本级财政专户资金保值增值业务操作办法（暂行）</w:t>
      </w:r>
      <w:r>
        <w:rPr>
          <w:rFonts w:hint="eastAsia" w:ascii="宋体" w:hAnsi="宋体" w:eastAsia="宋体" w:cs="宋体"/>
          <w:color w:val="000000"/>
          <w:kern w:val="0"/>
          <w:sz w:val="24"/>
          <w:szCs w:val="24"/>
          <w:lang w:val="zh-CN" w:eastAsia="zh-CN" w:bidi="ar-SA"/>
        </w:rPr>
        <w:t>》</w:t>
      </w:r>
      <w:r>
        <w:rPr>
          <w:rFonts w:hint="eastAsia" w:ascii="宋体" w:hAnsi="宋体" w:eastAsia="宋体" w:cs="宋体"/>
          <w:color w:val="000000"/>
          <w:kern w:val="0"/>
          <w:sz w:val="24"/>
          <w:szCs w:val="24"/>
          <w:lang w:val="en-US" w:eastAsia="zh-CN" w:bidi="ar-SA"/>
        </w:rPr>
        <w:t>等有关法律法规，结合本项目的实际情况，按照公平、公正、科学、择优的原则，制定本评标办法。</w:t>
      </w:r>
    </w:p>
    <w:p w14:paraId="427A9CDF">
      <w:pPr>
        <w:keepNext w:val="0"/>
        <w:keepLines w:val="0"/>
        <w:pageBreakBefore w:val="0"/>
        <w:widowControl w:val="0"/>
        <w:kinsoku/>
        <w:wordWrap/>
        <w:overflowPunct/>
        <w:topLinePunct w:val="0"/>
        <w:bidi w:val="0"/>
        <w:snapToGrid/>
        <w:spacing w:line="440" w:lineRule="exact"/>
        <w:ind w:firstLine="480" w:firstLineChars="200"/>
        <w:textAlignment w:val="auto"/>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lang w:val="en-US" w:eastAsia="zh-CN" w:bidi="ar-SA"/>
        </w:rPr>
        <w:t>1、开标会议由评审小组组长主持。评审小组首先对各投标文件进行初步审查，未通过审查的为无效标。</w:t>
      </w:r>
    </w:p>
    <w:p w14:paraId="59113184">
      <w:pPr>
        <w:keepNext w:val="0"/>
        <w:keepLines w:val="0"/>
        <w:pageBreakBefore w:val="0"/>
        <w:widowControl w:val="0"/>
        <w:kinsoku/>
        <w:wordWrap/>
        <w:overflowPunct/>
        <w:topLinePunct w:val="0"/>
        <w:bidi w:val="0"/>
        <w:snapToGrid/>
        <w:spacing w:line="440" w:lineRule="exact"/>
        <w:ind w:firstLine="480" w:firstLineChars="200"/>
        <w:textAlignment w:val="auto"/>
        <w:rPr>
          <w:rFonts w:ascii="宋体" w:hAnsi="宋体"/>
          <w:sz w:val="24"/>
          <w:szCs w:val="24"/>
        </w:rPr>
      </w:pPr>
      <w:r>
        <w:rPr>
          <w:rFonts w:hint="eastAsia" w:ascii="宋体" w:hAnsi="宋体" w:eastAsia="宋体" w:cs="宋体"/>
          <w:color w:val="000000"/>
          <w:kern w:val="0"/>
          <w:sz w:val="24"/>
          <w:szCs w:val="24"/>
          <w:lang w:val="en-US" w:eastAsia="zh-CN" w:bidi="ar-SA"/>
        </w:rPr>
        <w:t>2、采用综合评分法，评标委员会对各投标人的综合水平进行综合评审。</w:t>
      </w:r>
    </w:p>
    <w:p w14:paraId="440B8FB2">
      <w:pPr>
        <w:keepNext w:val="0"/>
        <w:keepLines w:val="0"/>
        <w:pageBreakBefore w:val="0"/>
        <w:widowControl w:val="0"/>
        <w:kinsoku/>
        <w:wordWrap/>
        <w:overflowPunct/>
        <w:topLinePunct w:val="0"/>
        <w:bidi w:val="0"/>
        <w:snapToGrid/>
        <w:spacing w:line="440" w:lineRule="exact"/>
        <w:ind w:firstLine="482" w:firstLineChars="200"/>
        <w:textAlignment w:val="auto"/>
        <w:rPr>
          <w:rFonts w:hint="eastAsia" w:ascii="宋体" w:hAnsi="宋体" w:eastAsia="宋体" w:cs="宋体"/>
          <w:b/>
          <w:bCs/>
          <w:color w:val="000000"/>
          <w:kern w:val="0"/>
          <w:sz w:val="23"/>
          <w:szCs w:val="23"/>
          <w:lang w:val="en-US" w:eastAsia="zh-CN" w:bidi="ar-SA"/>
        </w:rPr>
      </w:pPr>
      <w:r>
        <w:rPr>
          <w:rFonts w:hint="eastAsia" w:ascii="宋体" w:hAnsi="宋体" w:eastAsia="宋体" w:cs="宋体"/>
          <w:b/>
          <w:bCs/>
          <w:color w:val="000000"/>
          <w:kern w:val="0"/>
          <w:sz w:val="24"/>
          <w:szCs w:val="24"/>
          <w:lang w:val="en-US" w:eastAsia="zh-CN" w:bidi="ar-SA"/>
        </w:rPr>
        <w:t>根据综合评分由高到低确定</w:t>
      </w:r>
      <w:r>
        <w:rPr>
          <w:rFonts w:hint="eastAsia" w:ascii="宋体" w:hAnsi="宋体" w:cs="宋体"/>
          <w:b/>
          <w:bCs/>
          <w:color w:val="000000"/>
          <w:kern w:val="0"/>
          <w:sz w:val="24"/>
          <w:szCs w:val="24"/>
          <w:lang w:val="en-US" w:eastAsia="zh-CN" w:bidi="ar-SA"/>
        </w:rPr>
        <w:t>1</w:t>
      </w:r>
      <w:r>
        <w:rPr>
          <w:rFonts w:hint="eastAsia" w:ascii="宋体" w:hAnsi="宋体" w:eastAsia="宋体" w:cs="宋体"/>
          <w:b/>
          <w:bCs/>
          <w:color w:val="000000"/>
          <w:kern w:val="0"/>
          <w:sz w:val="24"/>
          <w:szCs w:val="24"/>
          <w:lang w:val="en-US" w:eastAsia="zh-CN" w:bidi="ar-SA"/>
        </w:rPr>
        <w:t>家中标银行</w:t>
      </w:r>
      <w:r>
        <w:rPr>
          <w:rFonts w:hint="eastAsia" w:ascii="宋体" w:hAnsi="宋体" w:eastAsia="宋体" w:cs="宋体"/>
          <w:b/>
          <w:bCs/>
          <w:color w:val="000000"/>
          <w:kern w:val="0"/>
          <w:sz w:val="24"/>
          <w:szCs w:val="24"/>
          <w:highlight w:val="none"/>
          <w:lang w:val="en-US" w:eastAsia="zh-CN" w:bidi="ar-SA"/>
        </w:rPr>
        <w:t>，</w:t>
      </w:r>
      <w:r>
        <w:rPr>
          <w:rFonts w:hint="eastAsia" w:ascii="宋体" w:hAnsi="宋体" w:eastAsia="宋体" w:cs="宋体"/>
          <w:b/>
          <w:bCs/>
          <w:color w:val="000000"/>
          <w:kern w:val="0"/>
          <w:sz w:val="24"/>
          <w:szCs w:val="24"/>
          <w:lang w:val="en-US" w:eastAsia="zh-CN" w:bidi="ar-SA"/>
        </w:rPr>
        <w:t>采购人在中标银行中</w:t>
      </w:r>
      <w:r>
        <w:rPr>
          <w:rFonts w:hint="eastAsia" w:ascii="宋体" w:hAnsi="宋体" w:eastAsia="宋体" w:cs="宋体"/>
          <w:b/>
          <w:bCs/>
          <w:color w:val="000000"/>
          <w:kern w:val="0"/>
          <w:sz w:val="23"/>
          <w:szCs w:val="23"/>
          <w:lang w:val="en-US" w:eastAsia="zh-CN" w:bidi="ar-SA"/>
        </w:rPr>
        <w:t>存储。</w:t>
      </w:r>
    </w:p>
    <w:p w14:paraId="57F80E08">
      <w:pPr>
        <w:pStyle w:val="8"/>
        <w:rPr>
          <w:rFonts w:hint="eastAsia" w:ascii="宋体" w:hAnsi="宋体" w:eastAsia="宋体" w:cs="宋体"/>
          <w:b/>
          <w:bCs/>
          <w:color w:val="000000"/>
          <w:kern w:val="0"/>
          <w:sz w:val="23"/>
          <w:szCs w:val="23"/>
          <w:lang w:val="en-US" w:eastAsia="zh-CN" w:bidi="ar-SA"/>
        </w:rPr>
      </w:pPr>
    </w:p>
    <w:p w14:paraId="3B57E22C">
      <w:pPr>
        <w:widowControl/>
        <w:shd w:val="clear" w:color="auto"/>
        <w:snapToGrid w:val="0"/>
        <w:jc w:val="center"/>
        <w:rPr>
          <w:rFonts w:ascii="宋体" w:cs="Arial"/>
          <w:b/>
          <w:kern w:val="0"/>
          <w:sz w:val="24"/>
          <w:szCs w:val="24"/>
        </w:rPr>
      </w:pPr>
    </w:p>
    <w:p w14:paraId="6FA39D68">
      <w:pPr>
        <w:widowControl/>
        <w:shd w:val="clear" w:color="auto"/>
        <w:snapToGrid w:val="0"/>
        <w:jc w:val="center"/>
        <w:rPr>
          <w:rFonts w:ascii="宋体" w:cs="Arial"/>
          <w:b/>
          <w:kern w:val="0"/>
          <w:sz w:val="24"/>
          <w:szCs w:val="24"/>
        </w:rPr>
      </w:pPr>
      <w:r>
        <w:rPr>
          <w:rFonts w:hint="eastAsia" w:ascii="宋体" w:hAnsi="宋体" w:cs="Arial"/>
          <w:b/>
          <w:kern w:val="0"/>
          <w:sz w:val="24"/>
          <w:szCs w:val="24"/>
        </w:rPr>
        <w:t>《资格审查标准》</w:t>
      </w:r>
    </w:p>
    <w:tbl>
      <w:tblPr>
        <w:tblStyle w:val="40"/>
        <w:tblW w:w="9200" w:type="dxa"/>
        <w:jc w:val="center"/>
        <w:tblLayout w:type="fixed"/>
        <w:tblCellMar>
          <w:top w:w="0" w:type="dxa"/>
          <w:left w:w="0" w:type="dxa"/>
          <w:bottom w:w="0" w:type="dxa"/>
          <w:right w:w="0" w:type="dxa"/>
        </w:tblCellMar>
      </w:tblPr>
      <w:tblGrid>
        <w:gridCol w:w="615"/>
        <w:gridCol w:w="4010"/>
        <w:gridCol w:w="4575"/>
      </w:tblGrid>
      <w:tr w14:paraId="6A823842">
        <w:tblPrEx>
          <w:tblCellMar>
            <w:top w:w="0" w:type="dxa"/>
            <w:left w:w="0" w:type="dxa"/>
            <w:bottom w:w="0" w:type="dxa"/>
            <w:right w:w="0" w:type="dxa"/>
          </w:tblCellMar>
        </w:tblPrEx>
        <w:trPr>
          <w:cantSplit/>
          <w:trHeight w:val="510" w:hRule="atLeast"/>
          <w:jc w:val="center"/>
        </w:trPr>
        <w:tc>
          <w:tcPr>
            <w:tcW w:w="615" w:type="dxa"/>
            <w:tcBorders>
              <w:top w:val="single" w:color="auto" w:sz="8" w:space="0"/>
              <w:left w:val="single" w:color="auto" w:sz="8" w:space="0"/>
              <w:bottom w:val="single" w:color="auto" w:sz="8" w:space="0"/>
              <w:right w:val="single" w:color="auto" w:sz="8" w:space="0"/>
            </w:tcBorders>
            <w:vAlign w:val="center"/>
          </w:tcPr>
          <w:p w14:paraId="75A38E3B">
            <w:pPr>
              <w:keepNext w:val="0"/>
              <w:keepLines w:val="0"/>
              <w:pageBreakBefore w:val="0"/>
              <w:widowControl/>
              <w:shd w:val="clear" w:color="auto"/>
              <w:kinsoku/>
              <w:wordWrap/>
              <w:overflowPunct/>
              <w:topLinePunct w:val="0"/>
              <w:autoSpaceDE/>
              <w:autoSpaceDN/>
              <w:bidi w:val="0"/>
              <w:adjustRightInd/>
              <w:snapToGrid w:val="0"/>
              <w:spacing w:line="400" w:lineRule="exact"/>
              <w:jc w:val="center"/>
              <w:textAlignment w:val="auto"/>
              <w:rPr>
                <w:rFonts w:ascii="宋体" w:cs="Arial"/>
                <w:kern w:val="0"/>
                <w:sz w:val="24"/>
                <w:szCs w:val="24"/>
              </w:rPr>
            </w:pPr>
            <w:r>
              <w:rPr>
                <w:rFonts w:hint="eastAsia" w:ascii="宋体" w:hAnsi="宋体" w:cs="Arial"/>
                <w:kern w:val="0"/>
                <w:sz w:val="24"/>
                <w:szCs w:val="24"/>
              </w:rPr>
              <w:t>序号</w:t>
            </w:r>
          </w:p>
        </w:tc>
        <w:tc>
          <w:tcPr>
            <w:tcW w:w="4010" w:type="dxa"/>
            <w:tcBorders>
              <w:top w:val="single" w:color="auto" w:sz="8" w:space="0"/>
              <w:left w:val="single" w:color="auto" w:sz="8" w:space="0"/>
              <w:bottom w:val="single" w:color="auto" w:sz="8" w:space="0"/>
              <w:right w:val="single" w:color="auto" w:sz="4" w:space="0"/>
            </w:tcBorders>
            <w:vAlign w:val="center"/>
          </w:tcPr>
          <w:p w14:paraId="6820A964">
            <w:pPr>
              <w:keepNext w:val="0"/>
              <w:keepLines w:val="0"/>
              <w:pageBreakBefore w:val="0"/>
              <w:widowControl/>
              <w:shd w:val="clear" w:color="auto"/>
              <w:kinsoku/>
              <w:wordWrap/>
              <w:overflowPunct/>
              <w:topLinePunct w:val="0"/>
              <w:autoSpaceDE/>
              <w:autoSpaceDN/>
              <w:bidi w:val="0"/>
              <w:adjustRightInd/>
              <w:snapToGrid w:val="0"/>
              <w:spacing w:line="400" w:lineRule="exact"/>
              <w:jc w:val="center"/>
              <w:textAlignment w:val="auto"/>
              <w:rPr>
                <w:rFonts w:ascii="宋体" w:cs="Arial"/>
                <w:kern w:val="0"/>
                <w:sz w:val="24"/>
                <w:szCs w:val="24"/>
              </w:rPr>
            </w:pPr>
            <w:r>
              <w:rPr>
                <w:rFonts w:hint="eastAsia" w:ascii="宋体" w:hAnsi="宋体" w:cs="Arial"/>
                <w:kern w:val="0"/>
                <w:sz w:val="24"/>
                <w:szCs w:val="24"/>
              </w:rPr>
              <w:t>审查标准</w:t>
            </w:r>
          </w:p>
        </w:tc>
        <w:tc>
          <w:tcPr>
            <w:tcW w:w="4575" w:type="dxa"/>
            <w:tcBorders>
              <w:top w:val="single" w:color="auto" w:sz="8" w:space="0"/>
              <w:left w:val="single" w:color="auto" w:sz="4" w:space="0"/>
              <w:bottom w:val="single" w:color="auto" w:sz="8" w:space="0"/>
              <w:right w:val="single" w:color="auto" w:sz="8" w:space="0"/>
            </w:tcBorders>
            <w:vAlign w:val="center"/>
          </w:tcPr>
          <w:p w14:paraId="1BF94AB1">
            <w:pPr>
              <w:keepNext w:val="0"/>
              <w:keepLines w:val="0"/>
              <w:pageBreakBefore w:val="0"/>
              <w:widowControl/>
              <w:shd w:val="clear" w:color="auto"/>
              <w:kinsoku/>
              <w:wordWrap/>
              <w:overflowPunct/>
              <w:topLinePunct w:val="0"/>
              <w:autoSpaceDE/>
              <w:autoSpaceDN/>
              <w:bidi w:val="0"/>
              <w:adjustRightInd/>
              <w:snapToGrid w:val="0"/>
              <w:spacing w:line="400" w:lineRule="exact"/>
              <w:jc w:val="center"/>
              <w:textAlignment w:val="auto"/>
              <w:rPr>
                <w:rFonts w:hint="eastAsia" w:ascii="宋体" w:hAnsi="宋体" w:cs="Arial"/>
                <w:kern w:val="0"/>
                <w:sz w:val="24"/>
                <w:szCs w:val="24"/>
              </w:rPr>
            </w:pPr>
            <w:r>
              <w:rPr>
                <w:rFonts w:hint="eastAsia" w:ascii="宋体" w:hAnsi="宋体" w:eastAsia="宋体" w:cs="宋体"/>
                <w:b w:val="0"/>
                <w:bCs w:val="0"/>
                <w:color w:val="auto"/>
                <w:kern w:val="0"/>
                <w:sz w:val="24"/>
              </w:rPr>
              <w:t>有效的证明材料</w:t>
            </w:r>
          </w:p>
        </w:tc>
      </w:tr>
      <w:tr w14:paraId="5A5C683D">
        <w:tblPrEx>
          <w:tblCellMar>
            <w:top w:w="0" w:type="dxa"/>
            <w:left w:w="0" w:type="dxa"/>
            <w:bottom w:w="0" w:type="dxa"/>
            <w:right w:w="0" w:type="dxa"/>
          </w:tblCellMar>
        </w:tblPrEx>
        <w:trPr>
          <w:cantSplit/>
          <w:trHeight w:val="872" w:hRule="atLeast"/>
          <w:jc w:val="center"/>
        </w:trPr>
        <w:tc>
          <w:tcPr>
            <w:tcW w:w="615" w:type="dxa"/>
            <w:tcBorders>
              <w:top w:val="single" w:color="auto" w:sz="8" w:space="0"/>
              <w:left w:val="single" w:color="auto" w:sz="8" w:space="0"/>
              <w:bottom w:val="single" w:color="auto" w:sz="8" w:space="0"/>
              <w:right w:val="single" w:color="auto" w:sz="8" w:space="0"/>
            </w:tcBorders>
            <w:vAlign w:val="center"/>
          </w:tcPr>
          <w:p w14:paraId="5A5D23ED">
            <w:pPr>
              <w:keepNext w:val="0"/>
              <w:keepLines w:val="0"/>
              <w:pageBreakBefore w:val="0"/>
              <w:widowControl/>
              <w:shd w:val="clear" w:color="auto"/>
              <w:kinsoku/>
              <w:wordWrap/>
              <w:overflowPunct/>
              <w:topLinePunct w:val="0"/>
              <w:autoSpaceDE/>
              <w:autoSpaceDN/>
              <w:bidi w:val="0"/>
              <w:adjustRightInd/>
              <w:snapToGrid w:val="0"/>
              <w:spacing w:line="400" w:lineRule="exact"/>
              <w:jc w:val="center"/>
              <w:textAlignment w:val="auto"/>
              <w:rPr>
                <w:rFonts w:ascii="宋体" w:hAnsi="宋体" w:cs="Arial"/>
                <w:kern w:val="0"/>
                <w:sz w:val="24"/>
                <w:szCs w:val="24"/>
              </w:rPr>
            </w:pPr>
            <w:r>
              <w:rPr>
                <w:rFonts w:ascii="宋体" w:hAnsi="宋体" w:cs="Arial"/>
                <w:kern w:val="0"/>
                <w:sz w:val="24"/>
                <w:szCs w:val="24"/>
              </w:rPr>
              <w:t>1</w:t>
            </w:r>
          </w:p>
        </w:tc>
        <w:tc>
          <w:tcPr>
            <w:tcW w:w="4010" w:type="dxa"/>
            <w:tcBorders>
              <w:top w:val="single" w:color="auto" w:sz="8" w:space="0"/>
              <w:left w:val="single" w:color="auto" w:sz="8" w:space="0"/>
              <w:bottom w:val="single" w:color="auto" w:sz="8" w:space="0"/>
              <w:right w:val="single" w:color="auto" w:sz="4" w:space="0"/>
            </w:tcBorders>
            <w:vAlign w:val="center"/>
          </w:tcPr>
          <w:p w14:paraId="6C1C4F9A">
            <w:pPr>
              <w:keepNext w:val="0"/>
              <w:keepLines w:val="0"/>
              <w:pageBreakBefore w:val="0"/>
              <w:shd w:val="clear"/>
              <w:kinsoku/>
              <w:wordWrap/>
              <w:overflowPunct/>
              <w:topLinePunct w:val="0"/>
              <w:autoSpaceDE/>
              <w:autoSpaceDN/>
              <w:bidi w:val="0"/>
              <w:adjustRightInd/>
              <w:spacing w:line="400" w:lineRule="exact"/>
              <w:textAlignment w:val="auto"/>
              <w:rPr>
                <w:rFonts w:ascii="宋体"/>
                <w:sz w:val="24"/>
                <w:szCs w:val="24"/>
              </w:rPr>
            </w:pPr>
            <w:r>
              <w:rPr>
                <w:rFonts w:hint="eastAsia" w:ascii="宋体" w:hAnsi="宋体"/>
                <w:sz w:val="24"/>
                <w:szCs w:val="24"/>
              </w:rPr>
              <w:t>《中华人民共和国政府采购法》第二十二条规定的条件；</w:t>
            </w:r>
          </w:p>
        </w:tc>
        <w:tc>
          <w:tcPr>
            <w:tcW w:w="4575" w:type="dxa"/>
            <w:tcBorders>
              <w:top w:val="single" w:color="auto" w:sz="8" w:space="0"/>
              <w:left w:val="single" w:color="auto" w:sz="4" w:space="0"/>
              <w:bottom w:val="single" w:color="auto" w:sz="4" w:space="0"/>
              <w:right w:val="single" w:color="auto" w:sz="8" w:space="0"/>
            </w:tcBorders>
            <w:vAlign w:val="center"/>
          </w:tcPr>
          <w:p w14:paraId="75407F40">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sz w:val="24"/>
                <w:szCs w:val="24"/>
              </w:rPr>
            </w:pPr>
            <w:r>
              <w:rPr>
                <w:rFonts w:hint="eastAsia" w:ascii="宋体" w:hAnsi="宋体" w:eastAsia="宋体" w:cs="Arial"/>
                <w:kern w:val="0"/>
                <w:sz w:val="24"/>
                <w:szCs w:val="24"/>
                <w:lang w:val="en-US" w:eastAsia="zh-CN"/>
              </w:rPr>
              <w:t>法人或者其他组织提供营业执照等证明文件</w:t>
            </w:r>
          </w:p>
        </w:tc>
      </w:tr>
      <w:tr w14:paraId="073CBA71">
        <w:tblPrEx>
          <w:tblCellMar>
            <w:top w:w="0" w:type="dxa"/>
            <w:left w:w="0" w:type="dxa"/>
            <w:bottom w:w="0" w:type="dxa"/>
            <w:right w:w="0" w:type="dxa"/>
          </w:tblCellMar>
        </w:tblPrEx>
        <w:trPr>
          <w:cantSplit/>
          <w:trHeight w:val="579" w:hRule="atLeast"/>
          <w:jc w:val="center"/>
        </w:trPr>
        <w:tc>
          <w:tcPr>
            <w:tcW w:w="615" w:type="dxa"/>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0128693E">
            <w:pPr>
              <w:keepNext w:val="0"/>
              <w:keepLines w:val="0"/>
              <w:pageBreakBefore w:val="0"/>
              <w:widowControl/>
              <w:shd w:val="clear" w:color="auto"/>
              <w:kinsoku/>
              <w:wordWrap/>
              <w:overflowPunct/>
              <w:topLinePunct w:val="0"/>
              <w:autoSpaceDE/>
              <w:autoSpaceDN/>
              <w:bidi w:val="0"/>
              <w:adjustRightInd/>
              <w:snapToGrid w:val="0"/>
              <w:spacing w:line="400" w:lineRule="exact"/>
              <w:jc w:val="center"/>
              <w:textAlignment w:val="auto"/>
              <w:rPr>
                <w:rFonts w:ascii="宋体" w:hAnsi="宋体" w:eastAsia="宋体" w:cs="Arial"/>
                <w:kern w:val="0"/>
                <w:sz w:val="24"/>
                <w:szCs w:val="24"/>
              </w:rPr>
            </w:pPr>
            <w:r>
              <w:rPr>
                <w:rFonts w:ascii="宋体" w:hAnsi="宋体" w:eastAsia="宋体" w:cs="Arial"/>
                <w:kern w:val="0"/>
                <w:sz w:val="24"/>
                <w:szCs w:val="24"/>
              </w:rPr>
              <w:t>2</w:t>
            </w:r>
          </w:p>
        </w:tc>
        <w:tc>
          <w:tcPr>
            <w:tcW w:w="4010" w:type="dxa"/>
            <w:tcBorders>
              <w:top w:val="nil"/>
              <w:left w:val="nil"/>
              <w:bottom w:val="single" w:color="auto" w:sz="8" w:space="0"/>
              <w:right w:val="single" w:color="auto" w:sz="4" w:space="0"/>
            </w:tcBorders>
            <w:tcMar>
              <w:top w:w="0" w:type="dxa"/>
              <w:left w:w="28" w:type="dxa"/>
              <w:bottom w:w="0" w:type="dxa"/>
              <w:right w:w="28" w:type="dxa"/>
            </w:tcMar>
            <w:vAlign w:val="center"/>
          </w:tcPr>
          <w:p w14:paraId="70AE141A">
            <w:pPr>
              <w:keepNext w:val="0"/>
              <w:keepLines w:val="0"/>
              <w:pageBreakBefore w:val="0"/>
              <w:widowControl/>
              <w:shd w:val="clear" w:color="auto"/>
              <w:kinsoku/>
              <w:wordWrap/>
              <w:overflowPunct/>
              <w:topLinePunct w:val="0"/>
              <w:autoSpaceDE/>
              <w:autoSpaceDN/>
              <w:bidi w:val="0"/>
              <w:adjustRightInd/>
              <w:snapToGrid w:val="0"/>
              <w:spacing w:line="400" w:lineRule="exact"/>
              <w:jc w:val="center"/>
              <w:textAlignment w:val="auto"/>
              <w:rPr>
                <w:rFonts w:hint="eastAsia" w:ascii="宋体" w:hAnsi="宋体" w:eastAsia="宋体" w:cs="Arial"/>
                <w:kern w:val="0"/>
                <w:sz w:val="24"/>
                <w:szCs w:val="24"/>
              </w:rPr>
            </w:pPr>
            <w:r>
              <w:rPr>
                <w:rFonts w:hint="eastAsia" w:ascii="宋体" w:hAnsi="宋体" w:eastAsia="宋体" w:cs="Arial"/>
                <w:kern w:val="0"/>
                <w:sz w:val="24"/>
                <w:szCs w:val="24"/>
                <w:lang w:val="en-US" w:eastAsia="zh-CN"/>
              </w:rPr>
              <w:t>具备中国银行业监督管理委员会核发的《中华人民共和国金融许可证》或《金融机构营业许可证》；</w:t>
            </w:r>
          </w:p>
        </w:tc>
        <w:tc>
          <w:tcPr>
            <w:tcW w:w="4575" w:type="dxa"/>
            <w:tcBorders>
              <w:top w:val="single" w:color="auto" w:sz="4" w:space="0"/>
              <w:left w:val="single" w:color="auto" w:sz="4" w:space="0"/>
              <w:bottom w:val="single" w:color="auto" w:sz="8" w:space="0"/>
              <w:right w:val="single" w:color="auto" w:sz="8" w:space="0"/>
            </w:tcBorders>
            <w:tcMar>
              <w:top w:w="0" w:type="dxa"/>
              <w:left w:w="28" w:type="dxa"/>
              <w:bottom w:w="0" w:type="dxa"/>
              <w:right w:w="28" w:type="dxa"/>
            </w:tcMar>
            <w:vAlign w:val="center"/>
          </w:tcPr>
          <w:p w14:paraId="7337600F">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eastAsia="宋体" w:cs="Times New Roman"/>
                <w:sz w:val="24"/>
                <w:szCs w:val="24"/>
              </w:rPr>
            </w:pPr>
            <w:r>
              <w:rPr>
                <w:rFonts w:hint="eastAsia" w:ascii="宋体" w:hAnsi="宋体" w:eastAsia="宋体" w:cs="Times New Roman"/>
                <w:sz w:val="24"/>
                <w:szCs w:val="24"/>
                <w:lang w:val="en-US" w:eastAsia="zh-CN"/>
              </w:rPr>
              <w:t>提供中国银行业监督管理委员会核发的《中华人民共和国金融许可证》或《金融机构营业许可证》等证明文件</w:t>
            </w:r>
          </w:p>
        </w:tc>
      </w:tr>
      <w:tr w14:paraId="5F1246AE">
        <w:tblPrEx>
          <w:tblCellMar>
            <w:top w:w="0" w:type="dxa"/>
            <w:left w:w="0" w:type="dxa"/>
            <w:bottom w:w="0" w:type="dxa"/>
            <w:right w:w="0" w:type="dxa"/>
          </w:tblCellMar>
        </w:tblPrEx>
        <w:trPr>
          <w:cantSplit/>
          <w:trHeight w:val="1016" w:hRule="atLeast"/>
          <w:jc w:val="center"/>
        </w:trPr>
        <w:tc>
          <w:tcPr>
            <w:tcW w:w="615" w:type="dxa"/>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7DDF5843">
            <w:pPr>
              <w:keepNext w:val="0"/>
              <w:keepLines w:val="0"/>
              <w:pageBreakBefore w:val="0"/>
              <w:widowControl/>
              <w:shd w:val="clear" w:color="auto"/>
              <w:kinsoku/>
              <w:wordWrap/>
              <w:overflowPunct/>
              <w:topLinePunct w:val="0"/>
              <w:autoSpaceDE/>
              <w:autoSpaceDN/>
              <w:bidi w:val="0"/>
              <w:adjustRightInd/>
              <w:snapToGrid w:val="0"/>
              <w:spacing w:line="400" w:lineRule="exact"/>
              <w:jc w:val="center"/>
              <w:textAlignment w:val="auto"/>
              <w:rPr>
                <w:rFonts w:ascii="宋体" w:hAnsi="宋体" w:eastAsia="宋体" w:cs="Arial"/>
                <w:kern w:val="0"/>
                <w:sz w:val="24"/>
                <w:szCs w:val="24"/>
              </w:rPr>
            </w:pPr>
            <w:r>
              <w:rPr>
                <w:rFonts w:ascii="宋体" w:hAnsi="宋体" w:eastAsia="宋体" w:cs="Arial"/>
                <w:kern w:val="0"/>
                <w:sz w:val="24"/>
                <w:szCs w:val="24"/>
              </w:rPr>
              <w:t>3</w:t>
            </w:r>
          </w:p>
        </w:tc>
        <w:tc>
          <w:tcPr>
            <w:tcW w:w="4010" w:type="dxa"/>
            <w:tcBorders>
              <w:top w:val="nil"/>
              <w:left w:val="nil"/>
              <w:bottom w:val="single" w:color="auto" w:sz="8" w:space="0"/>
              <w:right w:val="single" w:color="auto" w:sz="4" w:space="0"/>
            </w:tcBorders>
            <w:tcMar>
              <w:top w:w="0" w:type="dxa"/>
              <w:left w:w="28" w:type="dxa"/>
              <w:bottom w:w="0" w:type="dxa"/>
              <w:right w:w="28" w:type="dxa"/>
            </w:tcMar>
            <w:vAlign w:val="center"/>
          </w:tcPr>
          <w:p w14:paraId="04658410">
            <w:pPr>
              <w:keepNext w:val="0"/>
              <w:keepLines w:val="0"/>
              <w:pageBreakBefore w:val="0"/>
              <w:widowControl/>
              <w:shd w:val="clear" w:color="auto"/>
              <w:kinsoku/>
              <w:wordWrap/>
              <w:overflowPunct/>
              <w:topLinePunct w:val="0"/>
              <w:autoSpaceDE/>
              <w:autoSpaceDN/>
              <w:bidi w:val="0"/>
              <w:adjustRightInd/>
              <w:snapToGrid w:val="0"/>
              <w:spacing w:line="400" w:lineRule="exact"/>
              <w:jc w:val="center"/>
              <w:textAlignment w:val="auto"/>
              <w:rPr>
                <w:rFonts w:hint="eastAsia" w:ascii="宋体" w:hAnsi="宋体" w:eastAsia="宋体" w:cs="Arial"/>
                <w:kern w:val="0"/>
                <w:sz w:val="24"/>
                <w:szCs w:val="24"/>
                <w:lang w:eastAsia="zh-CN"/>
              </w:rPr>
            </w:pPr>
            <w:r>
              <w:rPr>
                <w:rFonts w:hint="eastAsia" w:ascii="宋体" w:hAnsi="宋体" w:eastAsia="宋体" w:cs="Arial"/>
                <w:kern w:val="0"/>
                <w:sz w:val="24"/>
                <w:szCs w:val="24"/>
                <w:lang w:val="en-US" w:eastAsia="zh-CN"/>
              </w:rPr>
              <w:t>参加政府采购活动前三年内</w:t>
            </w:r>
            <w:r>
              <w:rPr>
                <w:rFonts w:hint="eastAsia" w:ascii="宋体" w:hAnsi="宋体" w:eastAsia="宋体" w:cs="Arial"/>
                <w:kern w:val="0"/>
                <w:sz w:val="24"/>
                <w:szCs w:val="24"/>
              </w:rPr>
              <w:t>，近3年内经营活动中无重大违法违规记录</w:t>
            </w:r>
            <w:r>
              <w:rPr>
                <w:rFonts w:hint="eastAsia" w:ascii="宋体" w:hAnsi="宋体" w:eastAsia="宋体" w:cs="Arial"/>
                <w:kern w:val="0"/>
                <w:sz w:val="24"/>
                <w:szCs w:val="24"/>
                <w:lang w:eastAsia="zh-CN"/>
              </w:rPr>
              <w:t>；</w:t>
            </w:r>
          </w:p>
        </w:tc>
        <w:tc>
          <w:tcPr>
            <w:tcW w:w="4575" w:type="dxa"/>
            <w:tcBorders>
              <w:top w:val="nil"/>
              <w:left w:val="single" w:color="auto" w:sz="4" w:space="0"/>
              <w:bottom w:val="single" w:color="auto" w:sz="8" w:space="0"/>
              <w:right w:val="single" w:color="auto" w:sz="8" w:space="0"/>
            </w:tcBorders>
            <w:tcMar>
              <w:top w:w="0" w:type="dxa"/>
              <w:left w:w="28" w:type="dxa"/>
              <w:bottom w:w="0" w:type="dxa"/>
              <w:right w:w="28" w:type="dxa"/>
            </w:tcMar>
            <w:vAlign w:val="center"/>
          </w:tcPr>
          <w:p w14:paraId="2D0B4BCA">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eastAsia="宋体" w:cs="Times New Roman"/>
                <w:sz w:val="24"/>
                <w:szCs w:val="24"/>
              </w:rPr>
            </w:pPr>
            <w:r>
              <w:rPr>
                <w:rFonts w:hint="eastAsia" w:ascii="宋体" w:hAnsi="宋体" w:eastAsia="宋体" w:cs="Arial"/>
                <w:kern w:val="0"/>
                <w:sz w:val="24"/>
                <w:szCs w:val="24"/>
                <w:lang w:val="en-US" w:eastAsia="zh-CN"/>
              </w:rPr>
              <w:t>参加政府采购活动前三年内，在经营活动中没有重大违法记录的书面声明，原件的扫描件</w:t>
            </w:r>
          </w:p>
        </w:tc>
      </w:tr>
      <w:tr w14:paraId="3E319F93">
        <w:tblPrEx>
          <w:tblCellMar>
            <w:top w:w="0" w:type="dxa"/>
            <w:left w:w="0" w:type="dxa"/>
            <w:bottom w:w="0" w:type="dxa"/>
            <w:right w:w="0" w:type="dxa"/>
          </w:tblCellMar>
        </w:tblPrEx>
        <w:trPr>
          <w:cantSplit/>
          <w:trHeight w:val="991" w:hRule="atLeast"/>
          <w:jc w:val="center"/>
        </w:trPr>
        <w:tc>
          <w:tcPr>
            <w:tcW w:w="615" w:type="dxa"/>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03A936C6">
            <w:pPr>
              <w:keepNext w:val="0"/>
              <w:keepLines w:val="0"/>
              <w:pageBreakBefore w:val="0"/>
              <w:widowControl/>
              <w:shd w:val="clear" w:color="auto"/>
              <w:kinsoku/>
              <w:wordWrap/>
              <w:overflowPunct/>
              <w:topLinePunct w:val="0"/>
              <w:autoSpaceDE/>
              <w:autoSpaceDN/>
              <w:bidi w:val="0"/>
              <w:adjustRightInd/>
              <w:snapToGrid w:val="0"/>
              <w:spacing w:line="400" w:lineRule="exact"/>
              <w:jc w:val="center"/>
              <w:textAlignment w:val="auto"/>
              <w:rPr>
                <w:rFonts w:ascii="宋体" w:hAnsi="宋体" w:eastAsia="宋体" w:cs="Arial"/>
                <w:kern w:val="0"/>
                <w:sz w:val="24"/>
                <w:szCs w:val="24"/>
              </w:rPr>
            </w:pPr>
            <w:r>
              <w:rPr>
                <w:rFonts w:ascii="宋体" w:hAnsi="宋体" w:eastAsia="宋体" w:cs="Arial"/>
                <w:kern w:val="0"/>
                <w:sz w:val="24"/>
                <w:szCs w:val="24"/>
              </w:rPr>
              <w:t>4</w:t>
            </w:r>
          </w:p>
        </w:tc>
        <w:tc>
          <w:tcPr>
            <w:tcW w:w="4010" w:type="dxa"/>
            <w:tcBorders>
              <w:top w:val="nil"/>
              <w:left w:val="nil"/>
              <w:bottom w:val="single" w:color="auto" w:sz="8" w:space="0"/>
              <w:right w:val="single" w:color="auto" w:sz="4" w:space="0"/>
            </w:tcBorders>
            <w:tcMar>
              <w:top w:w="0" w:type="dxa"/>
              <w:left w:w="28" w:type="dxa"/>
              <w:bottom w:w="0" w:type="dxa"/>
              <w:right w:w="28" w:type="dxa"/>
            </w:tcMar>
            <w:vAlign w:val="center"/>
          </w:tcPr>
          <w:p w14:paraId="0D3BA649">
            <w:pPr>
              <w:keepNext w:val="0"/>
              <w:keepLines w:val="0"/>
              <w:pageBreakBefore w:val="0"/>
              <w:widowControl/>
              <w:shd w:val="clear" w:color="auto"/>
              <w:kinsoku/>
              <w:wordWrap/>
              <w:overflowPunct/>
              <w:topLinePunct w:val="0"/>
              <w:autoSpaceDE/>
              <w:autoSpaceDN/>
              <w:bidi w:val="0"/>
              <w:adjustRightInd/>
              <w:snapToGrid w:val="0"/>
              <w:spacing w:line="400" w:lineRule="exact"/>
              <w:jc w:val="center"/>
              <w:textAlignment w:val="auto"/>
              <w:rPr>
                <w:rFonts w:hint="eastAsia" w:ascii="宋体" w:hAnsi="宋体" w:eastAsia="宋体" w:cs="Arial"/>
                <w:kern w:val="0"/>
                <w:sz w:val="24"/>
                <w:szCs w:val="24"/>
                <w:lang w:eastAsia="zh-CN"/>
              </w:rPr>
            </w:pPr>
            <w:r>
              <w:rPr>
                <w:rFonts w:hint="eastAsia" w:ascii="宋体" w:hAnsi="宋体" w:eastAsia="宋体" w:cs="Arial"/>
                <w:kern w:val="0"/>
                <w:sz w:val="24"/>
                <w:szCs w:val="24"/>
                <w:lang w:val="en-US" w:eastAsia="zh-CN"/>
              </w:rPr>
              <w:t>投标人</w:t>
            </w:r>
            <w:r>
              <w:rPr>
                <w:rFonts w:hint="eastAsia" w:ascii="宋体" w:hAnsi="宋体" w:eastAsia="宋体" w:cs="Arial"/>
                <w:kern w:val="0"/>
                <w:sz w:val="24"/>
                <w:szCs w:val="24"/>
              </w:rPr>
              <w:t>法定代表人（或负责人）身份证明书或法定代表人授权委托书</w:t>
            </w:r>
            <w:r>
              <w:rPr>
                <w:rFonts w:hint="eastAsia" w:ascii="宋体" w:hAnsi="宋体" w:eastAsia="宋体" w:cs="Arial"/>
                <w:kern w:val="0"/>
                <w:sz w:val="24"/>
                <w:szCs w:val="24"/>
                <w:lang w:eastAsia="zh-CN"/>
              </w:rPr>
              <w:t>；</w:t>
            </w:r>
          </w:p>
        </w:tc>
        <w:tc>
          <w:tcPr>
            <w:tcW w:w="4575" w:type="dxa"/>
            <w:tcBorders>
              <w:top w:val="nil"/>
              <w:left w:val="single" w:color="auto" w:sz="4" w:space="0"/>
              <w:bottom w:val="single" w:color="auto" w:sz="8" w:space="0"/>
              <w:right w:val="single" w:color="auto" w:sz="8" w:space="0"/>
            </w:tcBorders>
            <w:tcMar>
              <w:top w:w="0" w:type="dxa"/>
              <w:left w:w="28" w:type="dxa"/>
              <w:bottom w:w="0" w:type="dxa"/>
              <w:right w:w="28" w:type="dxa"/>
            </w:tcMar>
            <w:vAlign w:val="center"/>
          </w:tcPr>
          <w:p w14:paraId="5D5A5AF8">
            <w:pPr>
              <w:keepNext w:val="0"/>
              <w:keepLines w:val="0"/>
              <w:pageBreakBefore w:val="0"/>
              <w:shd w:val="clear"/>
              <w:kinsoku/>
              <w:wordWrap/>
              <w:overflowPunct/>
              <w:topLinePunct w:val="0"/>
              <w:autoSpaceDE/>
              <w:autoSpaceDN/>
              <w:bidi w:val="0"/>
              <w:adjustRightInd/>
              <w:spacing w:line="400" w:lineRule="exact"/>
              <w:textAlignment w:val="auto"/>
              <w:rPr>
                <w:rFonts w:hint="eastAsia" w:ascii="宋体" w:hAnsi="宋体" w:eastAsia="宋体" w:cs="Times New Roman"/>
                <w:sz w:val="24"/>
                <w:szCs w:val="24"/>
              </w:rPr>
            </w:pPr>
            <w:r>
              <w:rPr>
                <w:rFonts w:hint="eastAsia" w:ascii="宋体" w:hAnsi="宋体" w:eastAsia="宋体" w:cs="Times New Roman"/>
                <w:sz w:val="24"/>
                <w:szCs w:val="24"/>
                <w:lang w:val="en-US" w:eastAsia="zh-CN"/>
              </w:rPr>
              <w:t>附投标人</w:t>
            </w:r>
            <w:r>
              <w:rPr>
                <w:rFonts w:hint="eastAsia" w:ascii="宋体" w:hAnsi="宋体" w:eastAsia="宋体" w:cs="Times New Roman"/>
                <w:sz w:val="24"/>
                <w:szCs w:val="24"/>
              </w:rPr>
              <w:t>法定代表人（或负责人）身份证明书或法定代表人授权委托书</w:t>
            </w:r>
          </w:p>
        </w:tc>
      </w:tr>
      <w:tr w14:paraId="60FE821B">
        <w:tblPrEx>
          <w:tblCellMar>
            <w:top w:w="0" w:type="dxa"/>
            <w:left w:w="0" w:type="dxa"/>
            <w:bottom w:w="0" w:type="dxa"/>
            <w:right w:w="0" w:type="dxa"/>
          </w:tblCellMar>
        </w:tblPrEx>
        <w:trPr>
          <w:cantSplit/>
          <w:trHeight w:val="1140" w:hRule="atLeast"/>
          <w:jc w:val="center"/>
        </w:trPr>
        <w:tc>
          <w:tcPr>
            <w:tcW w:w="9200" w:type="dxa"/>
            <w:gridSpan w:val="3"/>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7F1A1586">
            <w:pPr>
              <w:keepNext w:val="0"/>
              <w:keepLines w:val="0"/>
              <w:pageBreakBefore w:val="0"/>
              <w:shd w:val="clear"/>
              <w:kinsoku/>
              <w:wordWrap/>
              <w:overflowPunct/>
              <w:topLinePunct w:val="0"/>
              <w:autoSpaceDE/>
              <w:autoSpaceDN/>
              <w:bidi w:val="0"/>
              <w:adjustRightInd/>
              <w:spacing w:line="400" w:lineRule="exact"/>
              <w:textAlignment w:val="auto"/>
              <w:rPr>
                <w:rFonts w:ascii="宋体"/>
                <w:sz w:val="24"/>
                <w:szCs w:val="24"/>
              </w:rPr>
            </w:pPr>
            <w:r>
              <w:rPr>
                <w:rFonts w:hint="eastAsia" w:ascii="宋体" w:hAnsi="宋体"/>
                <w:sz w:val="24"/>
                <w:szCs w:val="24"/>
              </w:rPr>
              <w:t>备</w:t>
            </w:r>
            <w:r>
              <w:rPr>
                <w:rFonts w:hint="eastAsia" w:ascii="宋体" w:hAnsi="宋体" w:eastAsia="宋体" w:cs="Times New Roman"/>
                <w:sz w:val="24"/>
                <w:szCs w:val="24"/>
              </w:rPr>
              <w:t>注：上述每一项审查，供应商通过的，以“√”标记；否则，以“×”标记。如果供应商有一项未通过上述审查，其结论请注明“不合格”，全部通过的，其结论请注明“合格”。资格审查不合格的供应商，投标无效。</w:t>
            </w:r>
          </w:p>
        </w:tc>
      </w:tr>
    </w:tbl>
    <w:p w14:paraId="06A15C0B">
      <w:pPr>
        <w:widowControl/>
        <w:shd w:val="clear" w:color="auto"/>
        <w:snapToGrid w:val="0"/>
        <w:jc w:val="center"/>
        <w:rPr>
          <w:rFonts w:ascii="宋体" w:cs="Arial"/>
          <w:b/>
          <w:kern w:val="0"/>
          <w:sz w:val="24"/>
          <w:szCs w:val="24"/>
        </w:rPr>
      </w:pPr>
    </w:p>
    <w:p w14:paraId="74544662">
      <w:pPr>
        <w:widowControl/>
        <w:shd w:val="clear" w:color="auto"/>
        <w:snapToGrid w:val="0"/>
        <w:jc w:val="center"/>
        <w:rPr>
          <w:rFonts w:ascii="宋体" w:cs="Arial"/>
          <w:b/>
          <w:kern w:val="0"/>
          <w:sz w:val="24"/>
          <w:szCs w:val="24"/>
        </w:rPr>
      </w:pPr>
    </w:p>
    <w:p w14:paraId="16B9384F">
      <w:pPr>
        <w:widowControl/>
        <w:shd w:val="clear" w:color="auto"/>
        <w:snapToGrid w:val="0"/>
        <w:jc w:val="center"/>
        <w:rPr>
          <w:rFonts w:ascii="宋体" w:cs="Arial"/>
          <w:b/>
          <w:kern w:val="0"/>
          <w:sz w:val="24"/>
          <w:szCs w:val="24"/>
        </w:rPr>
      </w:pPr>
    </w:p>
    <w:p w14:paraId="2CB56115">
      <w:pPr>
        <w:widowControl/>
        <w:shd w:val="clear" w:color="auto"/>
        <w:snapToGrid w:val="0"/>
        <w:jc w:val="center"/>
        <w:rPr>
          <w:rFonts w:ascii="宋体" w:cs="Arial"/>
          <w:b/>
          <w:kern w:val="0"/>
          <w:sz w:val="24"/>
          <w:szCs w:val="24"/>
        </w:rPr>
      </w:pPr>
    </w:p>
    <w:p w14:paraId="26A2CBAE">
      <w:pPr>
        <w:pStyle w:val="8"/>
        <w:shd w:val="clear"/>
        <w:ind w:firstLine="482"/>
        <w:rPr>
          <w:rFonts w:ascii="宋体" w:cs="Arial"/>
          <w:b/>
          <w:szCs w:val="24"/>
        </w:rPr>
      </w:pPr>
    </w:p>
    <w:p w14:paraId="0AB82FFB">
      <w:pPr>
        <w:pStyle w:val="8"/>
        <w:shd w:val="clear"/>
        <w:ind w:firstLine="482"/>
        <w:rPr>
          <w:rFonts w:ascii="宋体" w:cs="Arial"/>
          <w:b/>
          <w:szCs w:val="24"/>
        </w:rPr>
      </w:pPr>
    </w:p>
    <w:p w14:paraId="13B89485">
      <w:pPr>
        <w:pStyle w:val="8"/>
        <w:shd w:val="clear"/>
        <w:ind w:firstLine="482"/>
        <w:rPr>
          <w:rFonts w:ascii="宋体" w:cs="Arial"/>
          <w:b/>
          <w:szCs w:val="24"/>
        </w:rPr>
      </w:pPr>
    </w:p>
    <w:p w14:paraId="0684C278">
      <w:pPr>
        <w:widowControl/>
        <w:shd w:val="clear" w:color="auto"/>
        <w:snapToGrid w:val="0"/>
        <w:jc w:val="center"/>
        <w:rPr>
          <w:rFonts w:ascii="宋体" w:cs="Arial"/>
          <w:b/>
          <w:kern w:val="0"/>
          <w:sz w:val="24"/>
          <w:szCs w:val="24"/>
        </w:rPr>
      </w:pPr>
    </w:p>
    <w:p w14:paraId="52FFD936">
      <w:pPr>
        <w:widowControl/>
        <w:shd w:val="clear" w:color="auto"/>
        <w:snapToGrid w:val="0"/>
        <w:jc w:val="center"/>
        <w:rPr>
          <w:rFonts w:ascii="宋体" w:cs="Arial"/>
          <w:b/>
          <w:kern w:val="0"/>
          <w:sz w:val="24"/>
          <w:szCs w:val="24"/>
        </w:rPr>
      </w:pPr>
    </w:p>
    <w:p w14:paraId="4C377D63">
      <w:pPr>
        <w:pStyle w:val="8"/>
        <w:shd w:val="clear"/>
        <w:ind w:firstLine="480"/>
      </w:pPr>
    </w:p>
    <w:p w14:paraId="11E40842">
      <w:pPr>
        <w:pStyle w:val="8"/>
        <w:shd w:val="clear"/>
        <w:ind w:firstLine="480"/>
      </w:pPr>
    </w:p>
    <w:p w14:paraId="09F45FD7">
      <w:pPr>
        <w:pStyle w:val="8"/>
        <w:shd w:val="clear"/>
        <w:ind w:firstLine="480"/>
        <w:rPr>
          <w:rFonts w:hint="eastAsia"/>
          <w:lang w:eastAsia="zh-CN"/>
        </w:rPr>
      </w:pPr>
    </w:p>
    <w:p w14:paraId="27BC908F">
      <w:pPr>
        <w:pStyle w:val="8"/>
        <w:shd w:val="clear"/>
        <w:ind w:firstLine="480"/>
        <w:rPr>
          <w:rFonts w:hint="eastAsia"/>
          <w:lang w:eastAsia="zh-CN"/>
        </w:rPr>
      </w:pPr>
    </w:p>
    <w:p w14:paraId="1E4050DC">
      <w:pPr>
        <w:widowControl/>
        <w:shd w:val="clear" w:color="auto"/>
        <w:snapToGrid w:val="0"/>
        <w:jc w:val="center"/>
        <w:rPr>
          <w:rFonts w:hint="eastAsia" w:ascii="宋体" w:hAnsi="宋体" w:cs="Arial"/>
          <w:b/>
          <w:kern w:val="0"/>
          <w:sz w:val="24"/>
          <w:szCs w:val="24"/>
        </w:rPr>
      </w:pPr>
    </w:p>
    <w:p w14:paraId="453A1616">
      <w:pPr>
        <w:widowControl/>
        <w:shd w:val="clear" w:color="auto"/>
        <w:snapToGrid w:val="0"/>
        <w:jc w:val="center"/>
        <w:rPr>
          <w:rFonts w:ascii="宋体" w:cs="Arial"/>
          <w:b/>
          <w:kern w:val="0"/>
          <w:sz w:val="24"/>
          <w:szCs w:val="24"/>
        </w:rPr>
      </w:pPr>
      <w:r>
        <w:rPr>
          <w:rFonts w:hint="eastAsia" w:ascii="宋体" w:hAnsi="宋体" w:cs="Arial"/>
          <w:b/>
          <w:kern w:val="0"/>
          <w:sz w:val="24"/>
          <w:szCs w:val="24"/>
        </w:rPr>
        <w:t>《符合性审查标准》</w:t>
      </w:r>
    </w:p>
    <w:tbl>
      <w:tblPr>
        <w:tblStyle w:val="40"/>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9"/>
        <w:gridCol w:w="7541"/>
      </w:tblGrid>
      <w:tr w14:paraId="255E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1699" w:type="dxa"/>
          </w:tcPr>
          <w:p w14:paraId="4FA27AC6">
            <w:pPr>
              <w:shd w:val="clear"/>
              <w:spacing w:line="440" w:lineRule="exact"/>
              <w:jc w:val="center"/>
              <w:rPr>
                <w:rFonts w:hint="eastAsia" w:ascii="宋体" w:eastAsia="宋体"/>
                <w:bCs/>
                <w:sz w:val="24"/>
                <w:szCs w:val="24"/>
                <w:lang w:eastAsia="zh-CN"/>
              </w:rPr>
            </w:pPr>
            <w:r>
              <w:rPr>
                <w:rFonts w:hint="eastAsia" w:ascii="宋体" w:hAnsi="宋体"/>
                <w:bCs/>
                <w:sz w:val="24"/>
                <w:szCs w:val="24"/>
              </w:rPr>
              <w:t>序号</w:t>
            </w:r>
          </w:p>
        </w:tc>
        <w:tc>
          <w:tcPr>
            <w:tcW w:w="7541" w:type="dxa"/>
          </w:tcPr>
          <w:p w14:paraId="273FA487">
            <w:pPr>
              <w:shd w:val="clear"/>
              <w:spacing w:line="440" w:lineRule="exact"/>
              <w:rPr>
                <w:rFonts w:ascii="宋体"/>
                <w:bCs/>
                <w:sz w:val="24"/>
                <w:szCs w:val="24"/>
              </w:rPr>
            </w:pPr>
            <w:r>
              <w:rPr>
                <w:rFonts w:hint="eastAsia" w:ascii="宋体" w:hAnsi="宋体"/>
                <w:bCs/>
                <w:sz w:val="24"/>
                <w:szCs w:val="24"/>
              </w:rPr>
              <w:t>标准</w:t>
            </w:r>
          </w:p>
        </w:tc>
      </w:tr>
      <w:tr w14:paraId="5791E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699" w:type="dxa"/>
            <w:vAlign w:val="center"/>
          </w:tcPr>
          <w:p w14:paraId="798DF3E8">
            <w:pPr>
              <w:shd w:val="clear"/>
              <w:spacing w:line="440" w:lineRule="exact"/>
              <w:jc w:val="center"/>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1</w:t>
            </w:r>
          </w:p>
        </w:tc>
        <w:tc>
          <w:tcPr>
            <w:tcW w:w="7541" w:type="dxa"/>
          </w:tcPr>
          <w:p w14:paraId="0EE9A33B">
            <w:pPr>
              <w:shd w:val="clear"/>
              <w:spacing w:line="440" w:lineRule="exact"/>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投标文件按照</w:t>
            </w:r>
            <w:r>
              <w:rPr>
                <w:rFonts w:hint="eastAsia" w:ascii="宋体" w:hAnsi="宋体" w:cs="Times New Roman"/>
                <w:sz w:val="24"/>
                <w:szCs w:val="24"/>
                <w:lang w:val="en-US" w:eastAsia="zh-CN"/>
              </w:rPr>
              <w:t>招标</w:t>
            </w:r>
            <w:r>
              <w:rPr>
                <w:rFonts w:hint="eastAsia" w:ascii="宋体" w:hAnsi="宋体" w:eastAsia="宋体" w:cs="Times New Roman"/>
                <w:sz w:val="24"/>
                <w:szCs w:val="24"/>
                <w:lang w:val="en-US" w:eastAsia="zh-CN"/>
              </w:rPr>
              <w:t>文件规定格式完整填写并签字、盖章的；</w:t>
            </w:r>
          </w:p>
        </w:tc>
      </w:tr>
      <w:tr w14:paraId="739CC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699" w:type="dxa"/>
            <w:vAlign w:val="center"/>
          </w:tcPr>
          <w:p w14:paraId="213D3BD4">
            <w:pPr>
              <w:shd w:val="clear"/>
              <w:spacing w:line="440" w:lineRule="exact"/>
              <w:jc w:val="center"/>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2</w:t>
            </w:r>
          </w:p>
        </w:tc>
        <w:tc>
          <w:tcPr>
            <w:tcW w:w="7541" w:type="dxa"/>
          </w:tcPr>
          <w:p w14:paraId="21854953">
            <w:pPr>
              <w:shd w:val="clear"/>
              <w:spacing w:line="440" w:lineRule="exact"/>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服务内容符合</w:t>
            </w:r>
            <w:r>
              <w:rPr>
                <w:rFonts w:hint="eastAsia" w:ascii="宋体" w:hAnsi="宋体" w:cs="Times New Roman"/>
                <w:sz w:val="24"/>
                <w:szCs w:val="24"/>
                <w:lang w:val="en-US" w:eastAsia="zh-CN"/>
              </w:rPr>
              <w:t>招标</w:t>
            </w:r>
            <w:r>
              <w:rPr>
                <w:rFonts w:hint="eastAsia" w:ascii="宋体" w:hAnsi="宋体" w:eastAsia="宋体" w:cs="Times New Roman"/>
                <w:sz w:val="24"/>
                <w:szCs w:val="24"/>
                <w:lang w:val="en-US" w:eastAsia="zh-CN"/>
              </w:rPr>
              <w:t>文件规定；</w:t>
            </w:r>
          </w:p>
        </w:tc>
      </w:tr>
      <w:tr w14:paraId="5A84A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9" w:type="dxa"/>
            <w:vAlign w:val="center"/>
          </w:tcPr>
          <w:p w14:paraId="31214165">
            <w:pPr>
              <w:shd w:val="clear"/>
              <w:spacing w:line="440" w:lineRule="exact"/>
              <w:jc w:val="center"/>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3</w:t>
            </w:r>
          </w:p>
        </w:tc>
        <w:tc>
          <w:tcPr>
            <w:tcW w:w="7541" w:type="dxa"/>
          </w:tcPr>
          <w:p w14:paraId="70DB87CD">
            <w:pPr>
              <w:shd w:val="clear"/>
              <w:spacing w:line="440" w:lineRule="exact"/>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符合</w:t>
            </w:r>
            <w:r>
              <w:rPr>
                <w:rFonts w:hint="eastAsia" w:ascii="宋体" w:hAnsi="宋体" w:cs="Times New Roman"/>
                <w:sz w:val="24"/>
                <w:szCs w:val="24"/>
                <w:lang w:val="en-US" w:eastAsia="zh-CN"/>
              </w:rPr>
              <w:t>招标</w:t>
            </w:r>
            <w:r>
              <w:rPr>
                <w:rFonts w:hint="eastAsia" w:ascii="宋体" w:hAnsi="宋体" w:eastAsia="宋体" w:cs="Times New Roman"/>
                <w:sz w:val="24"/>
                <w:szCs w:val="24"/>
                <w:lang w:val="en-US" w:eastAsia="zh-CN"/>
              </w:rPr>
              <w:t>文件中规定的实质性要求和条件的；</w:t>
            </w:r>
          </w:p>
        </w:tc>
      </w:tr>
      <w:tr w14:paraId="50A0D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1699" w:type="dxa"/>
            <w:vAlign w:val="center"/>
          </w:tcPr>
          <w:p w14:paraId="21BA3F86">
            <w:pPr>
              <w:shd w:val="clear"/>
              <w:spacing w:line="440" w:lineRule="exact"/>
              <w:jc w:val="center"/>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4</w:t>
            </w:r>
          </w:p>
        </w:tc>
        <w:tc>
          <w:tcPr>
            <w:tcW w:w="7541" w:type="dxa"/>
          </w:tcPr>
          <w:p w14:paraId="477D360E">
            <w:pPr>
              <w:shd w:val="clear"/>
              <w:spacing w:line="440" w:lineRule="exact"/>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报价符合</w:t>
            </w:r>
            <w:r>
              <w:rPr>
                <w:rFonts w:hint="eastAsia" w:ascii="宋体" w:hAnsi="宋体" w:cs="Times New Roman"/>
                <w:sz w:val="24"/>
                <w:szCs w:val="24"/>
                <w:lang w:val="en-US" w:eastAsia="zh-CN"/>
              </w:rPr>
              <w:t>招标</w:t>
            </w:r>
            <w:r>
              <w:rPr>
                <w:rFonts w:hint="eastAsia" w:ascii="宋体" w:hAnsi="宋体" w:eastAsia="宋体" w:cs="Times New Roman"/>
                <w:sz w:val="24"/>
                <w:szCs w:val="24"/>
                <w:lang w:val="en-US" w:eastAsia="zh-CN"/>
              </w:rPr>
              <w:t>文件要求；</w:t>
            </w:r>
          </w:p>
        </w:tc>
      </w:tr>
      <w:tr w14:paraId="71337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699" w:type="dxa"/>
            <w:vAlign w:val="center"/>
          </w:tcPr>
          <w:p w14:paraId="2C9F69E8">
            <w:pPr>
              <w:shd w:val="clear"/>
              <w:spacing w:line="440" w:lineRule="exact"/>
              <w:jc w:val="center"/>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5</w:t>
            </w:r>
          </w:p>
        </w:tc>
        <w:tc>
          <w:tcPr>
            <w:tcW w:w="7541" w:type="dxa"/>
          </w:tcPr>
          <w:p w14:paraId="388FA2D6">
            <w:pPr>
              <w:shd w:val="clear"/>
              <w:spacing w:line="440" w:lineRule="exact"/>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 xml:space="preserve">投标文件中未含有采购人不能接受的附加条件的； </w:t>
            </w:r>
          </w:p>
        </w:tc>
      </w:tr>
      <w:tr w14:paraId="066C1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5" w:hRule="atLeast"/>
          <w:jc w:val="center"/>
        </w:trPr>
        <w:tc>
          <w:tcPr>
            <w:tcW w:w="9240" w:type="dxa"/>
            <w:gridSpan w:val="2"/>
            <w:vAlign w:val="center"/>
          </w:tcPr>
          <w:p w14:paraId="2B7A7418">
            <w:pPr>
              <w:shd w:val="clear"/>
              <w:spacing w:line="440" w:lineRule="exact"/>
              <w:rPr>
                <w:rFonts w:ascii="宋体"/>
                <w:sz w:val="24"/>
                <w:szCs w:val="24"/>
              </w:rPr>
            </w:pPr>
            <w:r>
              <w:rPr>
                <w:rFonts w:hint="eastAsia" w:ascii="宋体" w:hAnsi="宋体" w:eastAsia="宋体" w:cs="宋体"/>
                <w:color w:val="auto"/>
                <w:sz w:val="21"/>
                <w:szCs w:val="21"/>
              </w:rPr>
              <w:t>备注：上述每一项审查，供应商通过的，以“√”标记；否则，以“×”标记。如果供应商有一项未通过上述审查，其结论请注明“不</w:t>
            </w:r>
            <w:r>
              <w:rPr>
                <w:rFonts w:hint="eastAsia" w:ascii="宋体" w:hAnsi="宋体" w:eastAsia="宋体" w:cs="宋体"/>
                <w:color w:val="auto"/>
                <w:sz w:val="21"/>
                <w:szCs w:val="21"/>
                <w:lang w:val="en-US" w:eastAsia="zh-CN"/>
              </w:rPr>
              <w:t>符合</w:t>
            </w:r>
            <w:r>
              <w:rPr>
                <w:rFonts w:hint="eastAsia" w:ascii="宋体" w:hAnsi="宋体" w:eastAsia="宋体" w:cs="宋体"/>
                <w:color w:val="auto"/>
                <w:sz w:val="21"/>
                <w:szCs w:val="21"/>
              </w:rPr>
              <w:t>”，全部通过的，其结论请注明“</w:t>
            </w:r>
            <w:r>
              <w:rPr>
                <w:rFonts w:hint="eastAsia" w:ascii="宋体" w:hAnsi="宋体" w:eastAsia="宋体" w:cs="宋体"/>
                <w:color w:val="auto"/>
                <w:sz w:val="21"/>
                <w:szCs w:val="21"/>
                <w:lang w:val="en-US" w:eastAsia="zh-CN"/>
              </w:rPr>
              <w:t>符合</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符合性</w:t>
            </w:r>
            <w:r>
              <w:rPr>
                <w:rFonts w:hint="eastAsia" w:ascii="宋体" w:hAnsi="宋体" w:eastAsia="宋体" w:cs="宋体"/>
                <w:color w:val="auto"/>
                <w:sz w:val="21"/>
                <w:szCs w:val="21"/>
              </w:rPr>
              <w:t>审查不合格的供应商，投标无效。只有通过符合性审查的</w:t>
            </w:r>
            <w:r>
              <w:rPr>
                <w:rFonts w:hint="eastAsia" w:ascii="宋体" w:hAnsi="宋体" w:eastAsia="宋体" w:cs="宋体"/>
                <w:color w:val="auto"/>
                <w:sz w:val="21"/>
                <w:szCs w:val="21"/>
                <w:lang w:eastAsia="zh-CN"/>
              </w:rPr>
              <w:t>投标</w:t>
            </w:r>
            <w:r>
              <w:rPr>
                <w:rFonts w:hint="eastAsia" w:ascii="宋体" w:hAnsi="宋体" w:eastAsia="宋体" w:cs="宋体"/>
                <w:color w:val="auto"/>
                <w:sz w:val="21"/>
                <w:szCs w:val="21"/>
              </w:rPr>
              <w:t>文件才可进入详细评审阶段</w:t>
            </w:r>
          </w:p>
        </w:tc>
      </w:tr>
    </w:tbl>
    <w:p w14:paraId="59F8DB48">
      <w:pPr>
        <w:widowControl/>
        <w:shd w:val="clear" w:color="auto"/>
        <w:snapToGrid w:val="0"/>
        <w:jc w:val="center"/>
        <w:rPr>
          <w:rFonts w:ascii="宋体" w:cs="Arial"/>
          <w:b/>
          <w:kern w:val="0"/>
          <w:sz w:val="24"/>
          <w:szCs w:val="24"/>
        </w:rPr>
      </w:pPr>
    </w:p>
    <w:p w14:paraId="4A54F791">
      <w:pPr>
        <w:widowControl/>
        <w:shd w:val="clear"/>
        <w:jc w:val="left"/>
        <w:rPr>
          <w:rFonts w:ascii="宋体" w:cs="Arial"/>
          <w:b/>
          <w:kern w:val="0"/>
          <w:sz w:val="24"/>
          <w:szCs w:val="24"/>
        </w:rPr>
      </w:pPr>
      <w:r>
        <w:rPr>
          <w:rFonts w:ascii="宋体" w:cs="Arial"/>
          <w:b/>
          <w:kern w:val="0"/>
          <w:sz w:val="24"/>
          <w:szCs w:val="24"/>
        </w:rPr>
        <w:br w:type="page"/>
      </w:r>
    </w:p>
    <w:p w14:paraId="4B1ECBCE">
      <w:pPr>
        <w:pStyle w:val="210"/>
        <w:spacing w:line="440" w:lineRule="exact"/>
        <w:ind w:left="0" w:leftChars="0" w:firstLine="0" w:firstLineChars="0"/>
        <w:jc w:val="center"/>
        <w:rPr>
          <w:rFonts w:hint="eastAsia" w:ascii="宋体" w:hAnsi="宋体" w:eastAsia="宋体" w:cs="宋体"/>
          <w:b/>
          <w:bCs/>
          <w:color w:val="auto"/>
          <w:spacing w:val="0"/>
          <w:sz w:val="24"/>
          <w:szCs w:val="24"/>
          <w:highlight w:val="none"/>
          <w:lang w:val="en-US" w:eastAsia="zh-CN"/>
        </w:rPr>
      </w:pPr>
      <w:r>
        <w:rPr>
          <w:rFonts w:hint="eastAsia" w:ascii="宋体" w:hAnsi="宋体" w:eastAsia="宋体" w:cs="宋体"/>
          <w:b/>
          <w:bCs/>
          <w:color w:val="auto"/>
          <w:spacing w:val="0"/>
          <w:sz w:val="28"/>
          <w:szCs w:val="28"/>
          <w:highlight w:val="none"/>
          <w:lang w:val="en-US" w:eastAsia="zh-CN"/>
        </w:rPr>
        <w:t>详细评审办法和标准</w:t>
      </w:r>
    </w:p>
    <w:tbl>
      <w:tblPr>
        <w:tblStyle w:val="40"/>
        <w:tblpPr w:leftFromText="180" w:rightFromText="180" w:vertAnchor="text" w:horzAnchor="page" w:tblpX="1342" w:tblpY="267"/>
        <w:tblOverlap w:val="never"/>
        <w:tblW w:w="9526" w:type="dxa"/>
        <w:tblInd w:w="0" w:type="dxa"/>
        <w:tblLayout w:type="fixed"/>
        <w:tblCellMar>
          <w:top w:w="0" w:type="dxa"/>
          <w:left w:w="108" w:type="dxa"/>
          <w:bottom w:w="0" w:type="dxa"/>
          <w:right w:w="108" w:type="dxa"/>
        </w:tblCellMar>
      </w:tblPr>
      <w:tblGrid>
        <w:gridCol w:w="711"/>
        <w:gridCol w:w="1591"/>
        <w:gridCol w:w="5999"/>
        <w:gridCol w:w="1225"/>
      </w:tblGrid>
      <w:tr w14:paraId="4B99FC89">
        <w:tblPrEx>
          <w:tblCellMar>
            <w:top w:w="0" w:type="dxa"/>
            <w:left w:w="108" w:type="dxa"/>
            <w:bottom w:w="0" w:type="dxa"/>
            <w:right w:w="108" w:type="dxa"/>
          </w:tblCellMar>
        </w:tblPrEx>
        <w:trPr>
          <w:trHeight w:val="884" w:hRule="atLeast"/>
        </w:trPr>
        <w:tc>
          <w:tcPr>
            <w:tcW w:w="711" w:type="dxa"/>
            <w:tcBorders>
              <w:top w:val="single" w:color="auto" w:sz="4" w:space="0"/>
              <w:left w:val="single" w:color="auto" w:sz="4" w:space="0"/>
              <w:bottom w:val="single" w:color="auto" w:sz="4" w:space="0"/>
              <w:right w:val="single" w:color="auto" w:sz="4" w:space="0"/>
            </w:tcBorders>
            <w:noWrap w:val="0"/>
            <w:vAlign w:val="center"/>
          </w:tcPr>
          <w:p w14:paraId="5B5D9D8E">
            <w:pPr>
              <w:widowControl/>
              <w:jc w:val="center"/>
              <w:rPr>
                <w:rFonts w:ascii="宋体" w:hAnsi="宋体" w:eastAsia="宋体" w:cs="宋体"/>
                <w:b/>
                <w:bCs/>
                <w:kern w:val="0"/>
                <w:sz w:val="24"/>
                <w:highlight w:val="none"/>
              </w:rPr>
            </w:pPr>
            <w:r>
              <w:rPr>
                <w:rFonts w:hint="eastAsia" w:ascii="宋体" w:hAnsi="宋体" w:eastAsia="宋体" w:cs="宋体"/>
                <w:b/>
                <w:bCs/>
                <w:kern w:val="0"/>
                <w:sz w:val="24"/>
                <w:highlight w:val="none"/>
              </w:rPr>
              <w:t>序号</w:t>
            </w:r>
          </w:p>
        </w:tc>
        <w:tc>
          <w:tcPr>
            <w:tcW w:w="1591" w:type="dxa"/>
            <w:tcBorders>
              <w:top w:val="single" w:color="auto" w:sz="4" w:space="0"/>
              <w:left w:val="nil"/>
              <w:bottom w:val="single" w:color="auto" w:sz="4" w:space="0"/>
              <w:right w:val="single" w:color="auto" w:sz="4" w:space="0"/>
            </w:tcBorders>
            <w:noWrap w:val="0"/>
            <w:vAlign w:val="center"/>
          </w:tcPr>
          <w:p w14:paraId="784602CA">
            <w:pPr>
              <w:widowControl/>
              <w:jc w:val="center"/>
              <w:rPr>
                <w:rFonts w:ascii="宋体" w:hAnsi="宋体" w:eastAsia="宋体" w:cs="宋体"/>
                <w:b/>
                <w:bCs/>
                <w:kern w:val="0"/>
                <w:sz w:val="24"/>
                <w:highlight w:val="none"/>
              </w:rPr>
            </w:pPr>
            <w:r>
              <w:rPr>
                <w:rFonts w:hint="eastAsia" w:ascii="宋体" w:hAnsi="宋体" w:eastAsia="宋体" w:cs="宋体"/>
                <w:b/>
                <w:bCs/>
                <w:kern w:val="0"/>
                <w:sz w:val="24"/>
                <w:highlight w:val="none"/>
              </w:rPr>
              <w:t>评价指标</w:t>
            </w:r>
          </w:p>
        </w:tc>
        <w:tc>
          <w:tcPr>
            <w:tcW w:w="5999" w:type="dxa"/>
            <w:tcBorders>
              <w:top w:val="single" w:color="auto" w:sz="4" w:space="0"/>
              <w:left w:val="single" w:color="auto" w:sz="4" w:space="0"/>
              <w:bottom w:val="single" w:color="auto" w:sz="4" w:space="0"/>
              <w:right w:val="single" w:color="auto" w:sz="4" w:space="0"/>
            </w:tcBorders>
            <w:noWrap w:val="0"/>
            <w:vAlign w:val="center"/>
          </w:tcPr>
          <w:p w14:paraId="2A921E74">
            <w:pPr>
              <w:widowControl/>
              <w:jc w:val="center"/>
              <w:rPr>
                <w:rFonts w:ascii="宋体" w:hAnsi="宋体" w:eastAsia="宋体" w:cs="宋体"/>
                <w:b/>
                <w:bCs/>
                <w:kern w:val="0"/>
                <w:sz w:val="24"/>
                <w:highlight w:val="none"/>
              </w:rPr>
            </w:pPr>
            <w:r>
              <w:rPr>
                <w:rFonts w:hint="eastAsia" w:ascii="宋体" w:hAnsi="宋体" w:eastAsia="宋体" w:cs="宋体"/>
                <w:b/>
                <w:bCs/>
                <w:kern w:val="0"/>
                <w:sz w:val="24"/>
                <w:highlight w:val="none"/>
              </w:rPr>
              <w:t>评价规则</w:t>
            </w:r>
          </w:p>
        </w:tc>
        <w:tc>
          <w:tcPr>
            <w:tcW w:w="1225" w:type="dxa"/>
            <w:tcBorders>
              <w:top w:val="single" w:color="auto" w:sz="4" w:space="0"/>
              <w:left w:val="single" w:color="auto" w:sz="4" w:space="0"/>
              <w:bottom w:val="single" w:color="auto" w:sz="4" w:space="0"/>
              <w:right w:val="single" w:color="auto" w:sz="4" w:space="0"/>
            </w:tcBorders>
            <w:noWrap w:val="0"/>
            <w:vAlign w:val="center"/>
          </w:tcPr>
          <w:p w14:paraId="6F5023E8">
            <w:pPr>
              <w:widowControl/>
              <w:jc w:val="center"/>
              <w:rPr>
                <w:rFonts w:hint="default" w:ascii="宋体" w:hAnsi="宋体" w:eastAsia="宋体" w:cs="宋体"/>
                <w:b/>
                <w:bCs/>
                <w:kern w:val="0"/>
                <w:sz w:val="24"/>
                <w:highlight w:val="none"/>
                <w:lang w:val="en-US" w:eastAsia="zh-CN"/>
              </w:rPr>
            </w:pPr>
            <w:r>
              <w:rPr>
                <w:rFonts w:hint="eastAsia" w:ascii="宋体" w:hAnsi="宋体" w:eastAsia="宋体" w:cs="宋体"/>
                <w:b/>
                <w:bCs/>
                <w:kern w:val="0"/>
                <w:sz w:val="24"/>
                <w:highlight w:val="none"/>
                <w:lang w:val="en-US" w:eastAsia="zh-CN"/>
              </w:rPr>
              <w:t>分值</w:t>
            </w:r>
          </w:p>
        </w:tc>
      </w:tr>
      <w:tr w14:paraId="301E5908">
        <w:tblPrEx>
          <w:tblCellMar>
            <w:top w:w="0" w:type="dxa"/>
            <w:left w:w="108" w:type="dxa"/>
            <w:bottom w:w="0" w:type="dxa"/>
            <w:right w:w="108" w:type="dxa"/>
          </w:tblCellMar>
        </w:tblPrEx>
        <w:trPr>
          <w:trHeight w:val="546" w:hRule="atLeast"/>
        </w:trPr>
        <w:tc>
          <w:tcPr>
            <w:tcW w:w="9526" w:type="dxa"/>
            <w:gridSpan w:val="4"/>
            <w:tcBorders>
              <w:top w:val="nil"/>
              <w:left w:val="single" w:color="auto" w:sz="4" w:space="0"/>
              <w:bottom w:val="single" w:color="auto" w:sz="4" w:space="0"/>
              <w:right w:val="single" w:color="auto" w:sz="4" w:space="0"/>
            </w:tcBorders>
            <w:noWrap w:val="0"/>
            <w:vAlign w:val="center"/>
          </w:tcPr>
          <w:p w14:paraId="2E636F80">
            <w:pPr>
              <w:widowControl/>
              <w:jc w:val="both"/>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投标价格（10分）</w:t>
            </w:r>
          </w:p>
        </w:tc>
      </w:tr>
      <w:tr w14:paraId="5D0BCB0E">
        <w:tblPrEx>
          <w:tblCellMar>
            <w:top w:w="0" w:type="dxa"/>
            <w:left w:w="108" w:type="dxa"/>
            <w:bottom w:w="0" w:type="dxa"/>
            <w:right w:w="108" w:type="dxa"/>
          </w:tblCellMar>
        </w:tblPrEx>
        <w:trPr>
          <w:trHeight w:val="1396" w:hRule="atLeast"/>
        </w:trPr>
        <w:tc>
          <w:tcPr>
            <w:tcW w:w="711" w:type="dxa"/>
            <w:tcBorders>
              <w:top w:val="nil"/>
              <w:left w:val="single" w:color="auto" w:sz="4" w:space="0"/>
              <w:bottom w:val="single" w:color="auto" w:sz="4" w:space="0"/>
              <w:right w:val="single" w:color="auto" w:sz="4" w:space="0"/>
            </w:tcBorders>
            <w:noWrap w:val="0"/>
            <w:vAlign w:val="center"/>
          </w:tcPr>
          <w:p w14:paraId="02C3DCEE">
            <w:pPr>
              <w:widowControl/>
              <w:jc w:val="center"/>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1</w:t>
            </w:r>
          </w:p>
        </w:tc>
        <w:tc>
          <w:tcPr>
            <w:tcW w:w="1591" w:type="dxa"/>
            <w:tcBorders>
              <w:top w:val="nil"/>
              <w:left w:val="nil"/>
              <w:bottom w:val="single" w:color="auto" w:sz="4" w:space="0"/>
              <w:right w:val="single" w:color="auto" w:sz="4" w:space="0"/>
            </w:tcBorders>
            <w:noWrap w:val="0"/>
            <w:vAlign w:val="center"/>
          </w:tcPr>
          <w:p w14:paraId="0E5EAB02">
            <w:pPr>
              <w:widowControl/>
              <w:jc w:val="center"/>
              <w:rPr>
                <w:rFonts w:hint="default"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 xml:space="preserve">  存款利率</w:t>
            </w:r>
          </w:p>
          <w:p w14:paraId="65D577B9">
            <w:pPr>
              <w:widowControl/>
              <w:jc w:val="center"/>
              <w:rPr>
                <w:rFonts w:hint="eastAsia" w:ascii="宋体" w:hAnsi="宋体" w:eastAsia="宋体" w:cs="宋体"/>
                <w:kern w:val="0"/>
                <w:sz w:val="22"/>
                <w:szCs w:val="22"/>
                <w:highlight w:val="none"/>
                <w:lang w:val="en-US" w:eastAsia="zh-CN"/>
              </w:rPr>
            </w:pPr>
          </w:p>
        </w:tc>
        <w:tc>
          <w:tcPr>
            <w:tcW w:w="5999" w:type="dxa"/>
            <w:tcBorders>
              <w:top w:val="nil"/>
              <w:left w:val="nil"/>
              <w:bottom w:val="single" w:color="auto" w:sz="4" w:space="0"/>
              <w:right w:val="single" w:color="auto" w:sz="4" w:space="0"/>
            </w:tcBorders>
            <w:noWrap w:val="0"/>
            <w:vAlign w:val="center"/>
          </w:tcPr>
          <w:p w14:paraId="295B4FA9">
            <w:pPr>
              <w:widowControl/>
              <w:jc w:val="both"/>
              <w:rPr>
                <w:rFonts w:hint="eastAsia" w:ascii="宋体" w:hAnsi="宋体" w:eastAsia="宋体" w:cs="宋体"/>
                <w:kern w:val="0"/>
                <w:sz w:val="22"/>
                <w:szCs w:val="22"/>
                <w:highlight w:val="none"/>
                <w:lang w:val="en-US" w:eastAsia="zh-CN"/>
              </w:rPr>
            </w:pPr>
            <w:r>
              <w:rPr>
                <w:rFonts w:hint="eastAsia" w:ascii="宋体" w:hAnsi="宋体" w:eastAsia="宋体" w:cs="宋体"/>
                <w:i w:val="0"/>
                <w:color w:val="000000"/>
                <w:kern w:val="0"/>
                <w:sz w:val="22"/>
                <w:szCs w:val="22"/>
                <w:u w:val="none"/>
                <w:lang w:val="en-US" w:eastAsia="zh-CN" w:bidi="ar"/>
              </w:rPr>
              <w:t>根据投标银行1年期定期存款（含大额定期存单）利率由高至低排序，投标银行投标利率应符合国家利率定价自律机制相关要求，得分最高的，为第一名（可并列第一，下同），第一名得</w:t>
            </w:r>
            <w:r>
              <w:rPr>
                <w:rFonts w:hint="eastAsia" w:ascii="宋体" w:hAnsi="宋体" w:cs="宋体"/>
                <w:i w:val="0"/>
                <w:color w:val="000000"/>
                <w:kern w:val="0"/>
                <w:sz w:val="22"/>
                <w:szCs w:val="22"/>
                <w:u w:val="none"/>
                <w:lang w:val="en-US" w:eastAsia="zh-CN" w:bidi="ar"/>
              </w:rPr>
              <w:t>20</w:t>
            </w:r>
            <w:r>
              <w:rPr>
                <w:rFonts w:hint="eastAsia" w:ascii="宋体" w:hAnsi="宋体" w:eastAsia="宋体" w:cs="宋体"/>
                <w:i w:val="0"/>
                <w:color w:val="000000"/>
                <w:kern w:val="0"/>
                <w:sz w:val="22"/>
                <w:szCs w:val="22"/>
                <w:u w:val="none"/>
                <w:lang w:val="en-US" w:eastAsia="zh-CN" w:bidi="ar"/>
              </w:rPr>
              <w:t>分，从第二名开始依次递减</w:t>
            </w:r>
            <w:r>
              <w:rPr>
                <w:rFonts w:hint="eastAsia" w:ascii="宋体" w:hAnsi="宋体" w:cs="宋体"/>
                <w:i w:val="0"/>
                <w:color w:val="000000"/>
                <w:kern w:val="0"/>
                <w:sz w:val="22"/>
                <w:szCs w:val="22"/>
                <w:u w:val="none"/>
                <w:lang w:val="en-US" w:eastAsia="zh-CN" w:bidi="ar"/>
              </w:rPr>
              <w:t>2</w:t>
            </w:r>
            <w:r>
              <w:rPr>
                <w:rFonts w:hint="eastAsia" w:ascii="宋体" w:hAnsi="宋体" w:eastAsia="宋体" w:cs="宋体"/>
                <w:i w:val="0"/>
                <w:color w:val="000000"/>
                <w:kern w:val="0"/>
                <w:sz w:val="22"/>
                <w:szCs w:val="22"/>
                <w:u w:val="none"/>
                <w:lang w:val="en-US" w:eastAsia="zh-CN" w:bidi="ar"/>
              </w:rPr>
              <w:t>分，减至0分为止。</w:t>
            </w:r>
          </w:p>
        </w:tc>
        <w:tc>
          <w:tcPr>
            <w:tcW w:w="1225" w:type="dxa"/>
            <w:tcBorders>
              <w:top w:val="nil"/>
              <w:left w:val="nil"/>
              <w:bottom w:val="single" w:color="auto" w:sz="4" w:space="0"/>
              <w:right w:val="single" w:color="auto" w:sz="4" w:space="0"/>
            </w:tcBorders>
            <w:noWrap w:val="0"/>
            <w:vAlign w:val="center"/>
          </w:tcPr>
          <w:p w14:paraId="3C8B340D">
            <w:pPr>
              <w:widowControl/>
              <w:jc w:val="center"/>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0-</w:t>
            </w:r>
            <w:r>
              <w:rPr>
                <w:rFonts w:hint="eastAsia" w:ascii="宋体" w:hAnsi="宋体" w:cs="宋体"/>
                <w:kern w:val="0"/>
                <w:sz w:val="22"/>
                <w:szCs w:val="22"/>
                <w:highlight w:val="none"/>
                <w:lang w:val="en-US" w:eastAsia="zh-CN"/>
              </w:rPr>
              <w:t>20</w:t>
            </w:r>
            <w:r>
              <w:rPr>
                <w:rFonts w:hint="eastAsia" w:ascii="宋体" w:hAnsi="宋体" w:eastAsia="宋体" w:cs="宋体"/>
                <w:kern w:val="0"/>
                <w:sz w:val="22"/>
                <w:szCs w:val="22"/>
                <w:highlight w:val="none"/>
                <w:lang w:val="en-US" w:eastAsia="zh-CN"/>
              </w:rPr>
              <w:t>分</w:t>
            </w:r>
          </w:p>
        </w:tc>
      </w:tr>
      <w:tr w14:paraId="1DCF80C0">
        <w:tblPrEx>
          <w:tblCellMar>
            <w:top w:w="0" w:type="dxa"/>
            <w:left w:w="108" w:type="dxa"/>
            <w:bottom w:w="0" w:type="dxa"/>
            <w:right w:w="108" w:type="dxa"/>
          </w:tblCellMar>
        </w:tblPrEx>
        <w:trPr>
          <w:trHeight w:val="570" w:hRule="atLeast"/>
        </w:trPr>
        <w:tc>
          <w:tcPr>
            <w:tcW w:w="9526" w:type="dxa"/>
            <w:gridSpan w:val="4"/>
            <w:tcBorders>
              <w:top w:val="nil"/>
              <w:left w:val="single" w:color="auto" w:sz="4" w:space="0"/>
              <w:bottom w:val="single" w:color="auto" w:sz="4" w:space="0"/>
              <w:right w:val="single" w:color="auto" w:sz="4" w:space="0"/>
            </w:tcBorders>
            <w:noWrap w:val="0"/>
            <w:vAlign w:val="center"/>
          </w:tcPr>
          <w:p w14:paraId="2E47879A">
            <w:pPr>
              <w:widowControl/>
              <w:jc w:val="both"/>
              <w:rPr>
                <w:rFonts w:hint="default"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商务、技术部分（90分）</w:t>
            </w:r>
          </w:p>
        </w:tc>
      </w:tr>
      <w:tr w14:paraId="3C5C769F">
        <w:tblPrEx>
          <w:tblCellMar>
            <w:top w:w="0" w:type="dxa"/>
            <w:left w:w="108" w:type="dxa"/>
            <w:bottom w:w="0" w:type="dxa"/>
            <w:right w:w="108" w:type="dxa"/>
          </w:tblCellMar>
        </w:tblPrEx>
        <w:trPr>
          <w:trHeight w:val="1206" w:hRule="atLeast"/>
        </w:trPr>
        <w:tc>
          <w:tcPr>
            <w:tcW w:w="711" w:type="dxa"/>
            <w:tcBorders>
              <w:top w:val="nil"/>
              <w:left w:val="single" w:color="auto" w:sz="4" w:space="0"/>
              <w:bottom w:val="single" w:color="auto" w:sz="4" w:space="0"/>
              <w:right w:val="single" w:color="auto" w:sz="4" w:space="0"/>
            </w:tcBorders>
            <w:noWrap w:val="0"/>
            <w:vAlign w:val="center"/>
          </w:tcPr>
          <w:p w14:paraId="1DAD29B0">
            <w:pPr>
              <w:widowControl/>
              <w:jc w:val="center"/>
              <w:rPr>
                <w:rFonts w:hint="eastAsia" w:ascii="宋体" w:hAnsi="宋体" w:eastAsia="宋体" w:cs="宋体"/>
                <w:kern w:val="0"/>
                <w:sz w:val="22"/>
                <w:szCs w:val="22"/>
                <w:highlight w:val="none"/>
                <w:lang w:eastAsia="zh-CN"/>
              </w:rPr>
            </w:pPr>
            <w:r>
              <w:rPr>
                <w:rFonts w:hint="eastAsia" w:ascii="宋体" w:hAnsi="宋体" w:eastAsia="宋体" w:cs="宋体"/>
                <w:kern w:val="0"/>
                <w:sz w:val="22"/>
                <w:szCs w:val="22"/>
                <w:highlight w:val="none"/>
                <w:lang w:val="en-US" w:eastAsia="zh-CN"/>
              </w:rPr>
              <w:t>1</w:t>
            </w:r>
          </w:p>
        </w:tc>
        <w:tc>
          <w:tcPr>
            <w:tcW w:w="1591" w:type="dxa"/>
            <w:tcBorders>
              <w:top w:val="nil"/>
              <w:left w:val="nil"/>
              <w:bottom w:val="single" w:color="auto" w:sz="4" w:space="0"/>
              <w:right w:val="single" w:color="auto" w:sz="4" w:space="0"/>
            </w:tcBorders>
            <w:noWrap w:val="0"/>
            <w:vAlign w:val="center"/>
          </w:tcPr>
          <w:p w14:paraId="061370C2">
            <w:pPr>
              <w:widowControl/>
              <w:jc w:val="center"/>
              <w:rPr>
                <w:rFonts w:ascii="宋体" w:hAnsi="宋体" w:eastAsia="宋体" w:cs="宋体"/>
                <w:kern w:val="0"/>
                <w:sz w:val="22"/>
                <w:szCs w:val="22"/>
                <w:highlight w:val="none"/>
              </w:rPr>
            </w:pPr>
            <w:r>
              <w:rPr>
                <w:rFonts w:hint="eastAsia" w:ascii="宋体" w:hAnsi="宋体" w:eastAsia="宋体" w:cs="宋体"/>
                <w:kern w:val="0"/>
                <w:sz w:val="22"/>
                <w:szCs w:val="22"/>
                <w:highlight w:val="none"/>
                <w:lang w:val="en-US" w:eastAsia="zh-CN"/>
              </w:rPr>
              <w:t>经营状况</w:t>
            </w:r>
          </w:p>
        </w:tc>
        <w:tc>
          <w:tcPr>
            <w:tcW w:w="5999" w:type="dxa"/>
            <w:tcBorders>
              <w:top w:val="nil"/>
              <w:left w:val="nil"/>
              <w:bottom w:val="single" w:color="auto" w:sz="4" w:space="0"/>
              <w:right w:val="single" w:color="auto" w:sz="4" w:space="0"/>
            </w:tcBorders>
            <w:noWrap w:val="0"/>
            <w:vAlign w:val="center"/>
          </w:tcPr>
          <w:p w14:paraId="26F4AF95">
            <w:pPr>
              <w:widowControl/>
              <w:jc w:val="both"/>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包括参与银行的不良贷款率、逾期贷款比率、</w:t>
            </w:r>
            <w:r>
              <w:rPr>
                <w:rFonts w:hint="eastAsia" w:ascii="宋体" w:hAnsi="宋体" w:cs="宋体"/>
                <w:kern w:val="0"/>
                <w:sz w:val="22"/>
                <w:szCs w:val="22"/>
                <w:highlight w:val="none"/>
                <w:lang w:val="en-US" w:eastAsia="zh-CN"/>
              </w:rPr>
              <w:t>拨备覆盖率、贷存比率</w:t>
            </w:r>
            <w:r>
              <w:rPr>
                <w:rFonts w:hint="eastAsia" w:ascii="宋体" w:hAnsi="宋体" w:eastAsia="宋体" w:cs="宋体"/>
                <w:kern w:val="0"/>
                <w:sz w:val="22"/>
                <w:szCs w:val="22"/>
                <w:highlight w:val="none"/>
                <w:lang w:val="en-US" w:eastAsia="zh-CN"/>
              </w:rPr>
              <w:t>项指标。</w:t>
            </w:r>
            <w:r>
              <w:rPr>
                <w:rFonts w:hint="default" w:ascii="宋体" w:hAnsi="宋体" w:eastAsia="宋体" w:cs="宋体"/>
                <w:kern w:val="0"/>
                <w:sz w:val="22"/>
                <w:szCs w:val="22"/>
                <w:highlight w:val="none"/>
                <w:lang w:val="en-US" w:eastAsia="zh-CN"/>
              </w:rPr>
              <w:t>第一名</w:t>
            </w:r>
            <w:r>
              <w:rPr>
                <w:rFonts w:hint="eastAsia" w:ascii="宋体" w:hAnsi="宋体" w:cs="宋体"/>
                <w:kern w:val="0"/>
                <w:sz w:val="22"/>
                <w:szCs w:val="22"/>
                <w:highlight w:val="none"/>
                <w:lang w:val="en-US" w:eastAsia="zh-CN"/>
              </w:rPr>
              <w:t>4</w:t>
            </w:r>
            <w:r>
              <w:rPr>
                <w:rFonts w:hint="eastAsia" w:ascii="宋体" w:hAnsi="宋体" w:eastAsia="宋体" w:cs="宋体"/>
                <w:kern w:val="0"/>
                <w:sz w:val="22"/>
                <w:szCs w:val="22"/>
                <w:highlight w:val="none"/>
                <w:lang w:val="en-US" w:eastAsia="zh-CN"/>
              </w:rPr>
              <w:t>0</w:t>
            </w:r>
            <w:r>
              <w:rPr>
                <w:rFonts w:hint="default" w:ascii="宋体" w:hAnsi="宋体" w:eastAsia="宋体" w:cs="宋体"/>
                <w:kern w:val="0"/>
                <w:sz w:val="22"/>
                <w:szCs w:val="22"/>
                <w:highlight w:val="none"/>
                <w:lang w:val="en-US" w:eastAsia="zh-CN"/>
              </w:rPr>
              <w:t>分，</w:t>
            </w:r>
            <w:r>
              <w:rPr>
                <w:rFonts w:hint="eastAsia" w:ascii="宋体" w:hAnsi="宋体" w:eastAsia="宋体" w:cs="宋体"/>
                <w:i w:val="0"/>
                <w:color w:val="000000"/>
                <w:kern w:val="0"/>
                <w:sz w:val="21"/>
                <w:szCs w:val="21"/>
                <w:u w:val="none"/>
                <w:lang w:val="en-US" w:eastAsia="zh-CN" w:bidi="ar"/>
              </w:rPr>
              <w:t>从第二名开始依次递减</w:t>
            </w:r>
            <w:r>
              <w:rPr>
                <w:rFonts w:hint="eastAsia" w:ascii="宋体" w:hAnsi="宋体" w:cs="宋体"/>
                <w:i w:val="0"/>
                <w:color w:val="000000"/>
                <w:kern w:val="0"/>
                <w:sz w:val="21"/>
                <w:szCs w:val="21"/>
                <w:u w:val="none"/>
                <w:lang w:val="en-US" w:eastAsia="zh-CN" w:bidi="ar"/>
              </w:rPr>
              <w:t>10</w:t>
            </w:r>
            <w:r>
              <w:rPr>
                <w:rFonts w:hint="eastAsia" w:ascii="宋体" w:hAnsi="宋体" w:eastAsia="宋体" w:cs="宋体"/>
                <w:i w:val="0"/>
                <w:color w:val="000000"/>
                <w:kern w:val="0"/>
                <w:sz w:val="21"/>
                <w:szCs w:val="21"/>
                <w:u w:val="none"/>
                <w:lang w:val="en-US" w:eastAsia="zh-CN" w:bidi="ar"/>
              </w:rPr>
              <w:t>分，减至0分为止</w:t>
            </w:r>
            <w:r>
              <w:rPr>
                <w:rFonts w:hint="eastAsia" w:ascii="宋体" w:hAnsi="宋体" w:eastAsia="宋体" w:cs="宋体"/>
                <w:kern w:val="0"/>
                <w:sz w:val="22"/>
                <w:szCs w:val="22"/>
                <w:highlight w:val="none"/>
                <w:lang w:val="en-US" w:eastAsia="zh-CN"/>
              </w:rPr>
              <w:t>。</w:t>
            </w:r>
          </w:p>
        </w:tc>
        <w:tc>
          <w:tcPr>
            <w:tcW w:w="1225" w:type="dxa"/>
            <w:tcBorders>
              <w:top w:val="nil"/>
              <w:left w:val="nil"/>
              <w:bottom w:val="single" w:color="auto" w:sz="4" w:space="0"/>
              <w:right w:val="single" w:color="auto" w:sz="4" w:space="0"/>
            </w:tcBorders>
            <w:noWrap w:val="0"/>
            <w:vAlign w:val="center"/>
          </w:tcPr>
          <w:p w14:paraId="4A149DD8">
            <w:pPr>
              <w:widowControl/>
              <w:jc w:val="center"/>
              <w:rPr>
                <w:rFonts w:hint="default"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0-</w:t>
            </w:r>
            <w:r>
              <w:rPr>
                <w:rFonts w:hint="eastAsia" w:ascii="宋体" w:hAnsi="宋体" w:cs="宋体"/>
                <w:kern w:val="0"/>
                <w:sz w:val="22"/>
                <w:szCs w:val="22"/>
                <w:highlight w:val="none"/>
                <w:lang w:val="en-US" w:eastAsia="zh-CN"/>
              </w:rPr>
              <w:t>40</w:t>
            </w:r>
            <w:r>
              <w:rPr>
                <w:rFonts w:hint="eastAsia" w:ascii="宋体" w:hAnsi="宋体" w:eastAsia="宋体" w:cs="宋体"/>
                <w:kern w:val="0"/>
                <w:sz w:val="22"/>
                <w:szCs w:val="22"/>
                <w:highlight w:val="none"/>
                <w:lang w:val="en-US" w:eastAsia="zh-CN"/>
              </w:rPr>
              <w:t>分</w:t>
            </w:r>
          </w:p>
        </w:tc>
      </w:tr>
      <w:tr w14:paraId="2308815B">
        <w:tblPrEx>
          <w:tblCellMar>
            <w:top w:w="0" w:type="dxa"/>
            <w:left w:w="108" w:type="dxa"/>
            <w:bottom w:w="0" w:type="dxa"/>
            <w:right w:w="108" w:type="dxa"/>
          </w:tblCellMar>
        </w:tblPrEx>
        <w:trPr>
          <w:trHeight w:val="1221" w:hRule="atLeast"/>
        </w:trPr>
        <w:tc>
          <w:tcPr>
            <w:tcW w:w="711" w:type="dxa"/>
            <w:tcBorders>
              <w:top w:val="nil"/>
              <w:left w:val="single" w:color="auto" w:sz="4" w:space="0"/>
              <w:bottom w:val="single" w:color="auto" w:sz="4" w:space="0"/>
              <w:right w:val="single" w:color="auto" w:sz="4" w:space="0"/>
            </w:tcBorders>
            <w:noWrap w:val="0"/>
            <w:vAlign w:val="center"/>
          </w:tcPr>
          <w:p w14:paraId="603F8057">
            <w:pPr>
              <w:widowControl/>
              <w:jc w:val="center"/>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2</w:t>
            </w:r>
          </w:p>
        </w:tc>
        <w:tc>
          <w:tcPr>
            <w:tcW w:w="1591" w:type="dxa"/>
            <w:tcBorders>
              <w:top w:val="nil"/>
              <w:left w:val="nil"/>
              <w:bottom w:val="single" w:color="auto" w:sz="4" w:space="0"/>
              <w:right w:val="single" w:color="auto" w:sz="4" w:space="0"/>
            </w:tcBorders>
            <w:noWrap w:val="0"/>
            <w:vAlign w:val="center"/>
          </w:tcPr>
          <w:p w14:paraId="4C8D796A">
            <w:pPr>
              <w:widowControl/>
              <w:jc w:val="center"/>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服务水平</w:t>
            </w:r>
          </w:p>
        </w:tc>
        <w:tc>
          <w:tcPr>
            <w:tcW w:w="5999" w:type="dxa"/>
            <w:tcBorders>
              <w:top w:val="nil"/>
              <w:left w:val="nil"/>
              <w:bottom w:val="single" w:color="auto" w:sz="4" w:space="0"/>
              <w:right w:val="single" w:color="auto" w:sz="4" w:space="0"/>
            </w:tcBorders>
            <w:noWrap w:val="0"/>
            <w:vAlign w:val="center"/>
          </w:tcPr>
          <w:p w14:paraId="4D79940D">
            <w:pPr>
              <w:widowControl/>
              <w:jc w:val="both"/>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包括资金存放银行提供支付结算、对账、分账核算等服务的能力和水平方面的指标。</w:t>
            </w:r>
            <w:r>
              <w:rPr>
                <w:rFonts w:hint="eastAsia" w:ascii="宋体" w:hAnsi="宋体" w:eastAsia="宋体" w:cs="宋体"/>
                <w:i w:val="0"/>
                <w:color w:val="000000"/>
                <w:kern w:val="0"/>
                <w:sz w:val="21"/>
                <w:szCs w:val="21"/>
                <w:u w:val="none"/>
                <w:lang w:val="en-US" w:eastAsia="zh-CN" w:bidi="ar"/>
              </w:rPr>
              <w:t>第一的得</w:t>
            </w:r>
            <w:r>
              <w:rPr>
                <w:rFonts w:hint="eastAsia" w:ascii="宋体" w:hAnsi="宋体" w:cs="宋体"/>
                <w:i w:val="0"/>
                <w:color w:val="000000"/>
                <w:kern w:val="0"/>
                <w:sz w:val="21"/>
                <w:szCs w:val="21"/>
                <w:u w:val="none"/>
                <w:lang w:val="en-US" w:eastAsia="zh-CN" w:bidi="ar"/>
              </w:rPr>
              <w:t>4</w:t>
            </w:r>
            <w:r>
              <w:rPr>
                <w:rFonts w:hint="eastAsia" w:ascii="宋体" w:hAnsi="宋体" w:eastAsia="宋体" w:cs="宋体"/>
                <w:i w:val="0"/>
                <w:color w:val="000000"/>
                <w:kern w:val="0"/>
                <w:sz w:val="21"/>
                <w:szCs w:val="21"/>
                <w:u w:val="none"/>
                <w:lang w:val="en-US" w:eastAsia="zh-CN" w:bidi="ar"/>
              </w:rPr>
              <w:t>分，从第二名开始依次递减1分，减至0分为止</w:t>
            </w:r>
            <w:r>
              <w:rPr>
                <w:rFonts w:hint="eastAsia" w:ascii="宋体" w:hAnsi="宋体" w:eastAsia="宋体" w:cs="宋体"/>
                <w:kern w:val="0"/>
                <w:sz w:val="22"/>
                <w:szCs w:val="22"/>
                <w:highlight w:val="none"/>
                <w:lang w:val="en-US" w:eastAsia="zh-CN"/>
              </w:rPr>
              <w:t>。</w:t>
            </w:r>
          </w:p>
        </w:tc>
        <w:tc>
          <w:tcPr>
            <w:tcW w:w="1225" w:type="dxa"/>
            <w:tcBorders>
              <w:top w:val="nil"/>
              <w:left w:val="nil"/>
              <w:bottom w:val="single" w:color="auto" w:sz="4" w:space="0"/>
              <w:right w:val="single" w:color="auto" w:sz="4" w:space="0"/>
            </w:tcBorders>
            <w:noWrap w:val="0"/>
            <w:vAlign w:val="center"/>
          </w:tcPr>
          <w:p w14:paraId="375A0DB4">
            <w:pPr>
              <w:widowControl/>
              <w:jc w:val="center"/>
              <w:rPr>
                <w:rFonts w:hint="default"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0-</w:t>
            </w:r>
            <w:r>
              <w:rPr>
                <w:rFonts w:hint="eastAsia" w:ascii="宋体" w:hAnsi="宋体" w:cs="宋体"/>
                <w:kern w:val="0"/>
                <w:sz w:val="22"/>
                <w:szCs w:val="22"/>
                <w:highlight w:val="none"/>
                <w:lang w:val="en-US" w:eastAsia="zh-CN"/>
              </w:rPr>
              <w:t>4</w:t>
            </w:r>
            <w:r>
              <w:rPr>
                <w:rFonts w:hint="eastAsia" w:ascii="宋体" w:hAnsi="宋体" w:eastAsia="宋体" w:cs="宋体"/>
                <w:kern w:val="0"/>
                <w:sz w:val="22"/>
                <w:szCs w:val="22"/>
                <w:highlight w:val="none"/>
                <w:lang w:val="en-US" w:eastAsia="zh-CN"/>
              </w:rPr>
              <w:t>分</w:t>
            </w:r>
          </w:p>
        </w:tc>
      </w:tr>
      <w:tr w14:paraId="38324AC9">
        <w:tblPrEx>
          <w:tblCellMar>
            <w:top w:w="0" w:type="dxa"/>
            <w:left w:w="108" w:type="dxa"/>
            <w:bottom w:w="0" w:type="dxa"/>
            <w:right w:w="108" w:type="dxa"/>
          </w:tblCellMar>
        </w:tblPrEx>
        <w:trPr>
          <w:trHeight w:val="1797" w:hRule="atLeast"/>
        </w:trPr>
        <w:tc>
          <w:tcPr>
            <w:tcW w:w="711" w:type="dxa"/>
            <w:tcBorders>
              <w:top w:val="single" w:color="auto" w:sz="4" w:space="0"/>
              <w:left w:val="single" w:color="auto" w:sz="4" w:space="0"/>
              <w:bottom w:val="single" w:color="auto" w:sz="4" w:space="0"/>
              <w:right w:val="single" w:color="auto" w:sz="4" w:space="0"/>
            </w:tcBorders>
            <w:noWrap w:val="0"/>
            <w:vAlign w:val="center"/>
          </w:tcPr>
          <w:p w14:paraId="62918646">
            <w:pPr>
              <w:widowControl/>
              <w:jc w:val="center"/>
              <w:rPr>
                <w:rFonts w:hint="eastAsia" w:ascii="宋体" w:hAnsi="宋体" w:eastAsia="宋体" w:cs="宋体"/>
                <w:kern w:val="0"/>
                <w:sz w:val="22"/>
                <w:szCs w:val="22"/>
                <w:highlight w:val="none"/>
                <w:lang w:eastAsia="zh-CN"/>
              </w:rPr>
            </w:pPr>
            <w:r>
              <w:rPr>
                <w:rFonts w:hint="eastAsia" w:ascii="宋体" w:hAnsi="宋体" w:eastAsia="宋体" w:cs="宋体"/>
                <w:kern w:val="0"/>
                <w:sz w:val="22"/>
                <w:szCs w:val="22"/>
                <w:highlight w:val="none"/>
                <w:lang w:val="en-US" w:eastAsia="zh-CN"/>
              </w:rPr>
              <w:t>3</w:t>
            </w:r>
          </w:p>
        </w:tc>
        <w:tc>
          <w:tcPr>
            <w:tcW w:w="1591" w:type="dxa"/>
            <w:tcBorders>
              <w:top w:val="single" w:color="auto" w:sz="4" w:space="0"/>
              <w:left w:val="single" w:color="auto" w:sz="4" w:space="0"/>
              <w:bottom w:val="single" w:color="auto" w:sz="4" w:space="0"/>
              <w:right w:val="single" w:color="auto" w:sz="4" w:space="0"/>
            </w:tcBorders>
            <w:noWrap w:val="0"/>
            <w:vAlign w:val="center"/>
          </w:tcPr>
          <w:p w14:paraId="7F63A2B1">
            <w:pPr>
              <w:widowControl/>
              <w:jc w:val="center"/>
              <w:rPr>
                <w:rFonts w:ascii="宋体" w:hAnsi="宋体" w:eastAsia="宋体" w:cs="宋体"/>
                <w:kern w:val="0"/>
                <w:sz w:val="22"/>
                <w:szCs w:val="22"/>
                <w:highlight w:val="none"/>
              </w:rPr>
            </w:pPr>
            <w:r>
              <w:rPr>
                <w:rFonts w:hint="eastAsia" w:ascii="宋体" w:hAnsi="宋体" w:eastAsia="宋体" w:cs="宋体"/>
                <w:kern w:val="0"/>
                <w:sz w:val="22"/>
                <w:szCs w:val="22"/>
                <w:highlight w:val="none"/>
                <w:lang w:val="en-US" w:eastAsia="zh-CN"/>
              </w:rPr>
              <w:t>贡献度</w:t>
            </w:r>
          </w:p>
        </w:tc>
        <w:tc>
          <w:tcPr>
            <w:tcW w:w="5999" w:type="dxa"/>
            <w:tcBorders>
              <w:top w:val="single" w:color="auto" w:sz="4" w:space="0"/>
              <w:left w:val="single" w:color="auto" w:sz="4" w:space="0"/>
              <w:bottom w:val="single" w:color="auto" w:sz="4" w:space="0"/>
              <w:right w:val="single" w:color="auto" w:sz="4" w:space="0"/>
            </w:tcBorders>
            <w:noWrap w:val="0"/>
            <w:vAlign w:val="center"/>
          </w:tcPr>
          <w:p w14:paraId="22E08B3D">
            <w:pPr>
              <w:widowControl/>
              <w:jc w:val="both"/>
              <w:rPr>
                <w:rFonts w:hint="default"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投标供应商在服务地方实体经济、履行社会责任、支持地域经济发展、重点项目等信贷支持方面进行综合打分：依据《中国人民银行吐鲁番市分行</w:t>
            </w:r>
            <w:r>
              <w:rPr>
                <w:rFonts w:hint="eastAsia" w:ascii="宋体" w:hAnsi="宋体" w:cs="宋体"/>
                <w:kern w:val="0"/>
                <w:sz w:val="22"/>
                <w:szCs w:val="22"/>
                <w:highlight w:val="none"/>
                <w:lang w:val="en-US" w:eastAsia="zh-CN"/>
              </w:rPr>
              <w:t>办公室</w:t>
            </w:r>
            <w:r>
              <w:rPr>
                <w:rFonts w:hint="eastAsia" w:ascii="宋体" w:hAnsi="宋体" w:eastAsia="宋体" w:cs="宋体"/>
                <w:kern w:val="0"/>
                <w:sz w:val="22"/>
                <w:szCs w:val="22"/>
                <w:highlight w:val="none"/>
                <w:lang w:val="en-US" w:eastAsia="zh-CN"/>
              </w:rPr>
              <w:t>关于</w:t>
            </w:r>
            <w:r>
              <w:rPr>
                <w:rFonts w:hint="eastAsia" w:ascii="宋体" w:hAnsi="宋体" w:cs="宋体"/>
                <w:kern w:val="0"/>
                <w:sz w:val="22"/>
                <w:szCs w:val="22"/>
                <w:highlight w:val="none"/>
                <w:lang w:val="en-US" w:eastAsia="zh-CN"/>
              </w:rPr>
              <w:t>2023年</w:t>
            </w:r>
            <w:r>
              <w:rPr>
                <w:rFonts w:hint="eastAsia" w:ascii="宋体" w:hAnsi="宋体" w:eastAsia="宋体" w:cs="宋体"/>
                <w:kern w:val="0"/>
                <w:sz w:val="22"/>
                <w:szCs w:val="22"/>
                <w:highlight w:val="none"/>
                <w:lang w:val="en-US" w:eastAsia="zh-CN"/>
              </w:rPr>
              <w:t>吐鲁番</w:t>
            </w:r>
            <w:r>
              <w:rPr>
                <w:rFonts w:hint="eastAsia" w:ascii="宋体" w:hAnsi="宋体" w:cs="宋体"/>
                <w:kern w:val="0"/>
                <w:sz w:val="22"/>
                <w:szCs w:val="22"/>
                <w:highlight w:val="none"/>
                <w:lang w:val="en-US" w:eastAsia="zh-CN"/>
              </w:rPr>
              <w:t>辖区</w:t>
            </w:r>
            <w:r>
              <w:rPr>
                <w:rFonts w:hint="eastAsia" w:ascii="宋体" w:hAnsi="宋体" w:eastAsia="宋体" w:cs="宋体"/>
                <w:kern w:val="0"/>
                <w:sz w:val="22"/>
                <w:szCs w:val="22"/>
                <w:highlight w:val="none"/>
                <w:lang w:val="en-US" w:eastAsia="zh-CN"/>
              </w:rPr>
              <w:t>银行业金融机构执行人民银行政策情况评价的通报》文件，第一名</w:t>
            </w:r>
            <w:r>
              <w:rPr>
                <w:rFonts w:hint="eastAsia" w:ascii="宋体" w:hAnsi="宋体" w:cs="宋体"/>
                <w:kern w:val="0"/>
                <w:sz w:val="22"/>
                <w:szCs w:val="22"/>
                <w:highlight w:val="none"/>
                <w:lang w:val="en-US" w:eastAsia="zh-CN"/>
              </w:rPr>
              <w:t>30</w:t>
            </w:r>
            <w:r>
              <w:rPr>
                <w:rFonts w:hint="eastAsia" w:ascii="宋体" w:hAnsi="宋体" w:eastAsia="宋体" w:cs="宋体"/>
                <w:kern w:val="0"/>
                <w:sz w:val="22"/>
                <w:szCs w:val="22"/>
                <w:highlight w:val="none"/>
                <w:lang w:val="en-US" w:eastAsia="zh-CN"/>
              </w:rPr>
              <w:t>分，从第二名开始依次递减</w:t>
            </w:r>
            <w:r>
              <w:rPr>
                <w:rFonts w:hint="eastAsia" w:ascii="宋体" w:hAnsi="宋体" w:cs="宋体"/>
                <w:kern w:val="0"/>
                <w:sz w:val="22"/>
                <w:szCs w:val="22"/>
                <w:highlight w:val="none"/>
                <w:lang w:val="en-US" w:eastAsia="zh-CN"/>
              </w:rPr>
              <w:t>1</w:t>
            </w:r>
            <w:r>
              <w:rPr>
                <w:rFonts w:hint="eastAsia" w:ascii="宋体" w:hAnsi="宋体" w:eastAsia="宋体" w:cs="宋体"/>
                <w:kern w:val="0"/>
                <w:sz w:val="22"/>
                <w:szCs w:val="22"/>
                <w:highlight w:val="none"/>
                <w:lang w:val="en-US" w:eastAsia="zh-CN"/>
              </w:rPr>
              <w:t>分，减至0分为止。</w:t>
            </w:r>
          </w:p>
        </w:tc>
        <w:tc>
          <w:tcPr>
            <w:tcW w:w="1225" w:type="dxa"/>
            <w:tcBorders>
              <w:top w:val="single" w:color="auto" w:sz="4" w:space="0"/>
              <w:left w:val="single" w:color="auto" w:sz="4" w:space="0"/>
              <w:bottom w:val="single" w:color="auto" w:sz="4" w:space="0"/>
              <w:right w:val="single" w:color="auto" w:sz="4" w:space="0"/>
            </w:tcBorders>
            <w:noWrap w:val="0"/>
            <w:vAlign w:val="center"/>
          </w:tcPr>
          <w:p w14:paraId="535B9D30">
            <w:pPr>
              <w:widowControl/>
              <w:jc w:val="center"/>
              <w:rPr>
                <w:rFonts w:hint="default"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0-</w:t>
            </w:r>
            <w:r>
              <w:rPr>
                <w:rFonts w:hint="eastAsia" w:ascii="宋体" w:hAnsi="宋体" w:cs="宋体"/>
                <w:kern w:val="0"/>
                <w:sz w:val="22"/>
                <w:szCs w:val="22"/>
                <w:highlight w:val="none"/>
                <w:lang w:val="en-US" w:eastAsia="zh-CN"/>
              </w:rPr>
              <w:t>30</w:t>
            </w:r>
            <w:r>
              <w:rPr>
                <w:rFonts w:hint="eastAsia" w:ascii="宋体" w:hAnsi="宋体" w:eastAsia="宋体" w:cs="宋体"/>
                <w:kern w:val="0"/>
                <w:sz w:val="22"/>
                <w:szCs w:val="22"/>
                <w:highlight w:val="none"/>
                <w:lang w:val="en-US" w:eastAsia="zh-CN"/>
              </w:rPr>
              <w:t>分</w:t>
            </w:r>
          </w:p>
        </w:tc>
      </w:tr>
      <w:tr w14:paraId="77BD8685">
        <w:tblPrEx>
          <w:tblCellMar>
            <w:top w:w="0" w:type="dxa"/>
            <w:left w:w="108" w:type="dxa"/>
            <w:bottom w:w="0" w:type="dxa"/>
            <w:right w:w="108" w:type="dxa"/>
          </w:tblCellMar>
        </w:tblPrEx>
        <w:trPr>
          <w:trHeight w:val="1751" w:hRule="atLeast"/>
        </w:trPr>
        <w:tc>
          <w:tcPr>
            <w:tcW w:w="711" w:type="dxa"/>
            <w:tcBorders>
              <w:top w:val="single" w:color="auto" w:sz="4" w:space="0"/>
              <w:left w:val="single" w:color="auto" w:sz="4" w:space="0"/>
              <w:bottom w:val="single" w:color="auto" w:sz="4" w:space="0"/>
              <w:right w:val="single" w:color="auto" w:sz="4" w:space="0"/>
            </w:tcBorders>
            <w:noWrap w:val="0"/>
            <w:vAlign w:val="center"/>
          </w:tcPr>
          <w:p w14:paraId="0475B6DF">
            <w:pPr>
              <w:widowControl/>
              <w:jc w:val="center"/>
              <w:rPr>
                <w:rFonts w:hint="default"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4</w:t>
            </w:r>
          </w:p>
        </w:tc>
        <w:tc>
          <w:tcPr>
            <w:tcW w:w="1591" w:type="dxa"/>
            <w:tcBorders>
              <w:top w:val="single" w:color="auto" w:sz="4" w:space="0"/>
              <w:left w:val="single" w:color="auto" w:sz="4" w:space="0"/>
              <w:bottom w:val="single" w:color="auto" w:sz="4" w:space="0"/>
              <w:right w:val="single" w:color="auto" w:sz="4" w:space="0"/>
            </w:tcBorders>
            <w:noWrap w:val="0"/>
            <w:vAlign w:val="center"/>
          </w:tcPr>
          <w:p w14:paraId="793ED71C">
            <w:pPr>
              <w:widowControl/>
              <w:jc w:val="center"/>
              <w:rPr>
                <w:rFonts w:hint="default"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内控制度</w:t>
            </w:r>
          </w:p>
        </w:tc>
        <w:tc>
          <w:tcPr>
            <w:tcW w:w="5999" w:type="dxa"/>
            <w:tcBorders>
              <w:top w:val="single" w:color="auto" w:sz="4" w:space="0"/>
              <w:left w:val="single" w:color="auto" w:sz="4" w:space="0"/>
              <w:bottom w:val="single" w:color="auto" w:sz="4" w:space="0"/>
              <w:right w:val="single" w:color="auto" w:sz="4" w:space="0"/>
            </w:tcBorders>
            <w:noWrap w:val="0"/>
            <w:vAlign w:val="center"/>
          </w:tcPr>
          <w:p w14:paraId="35041361">
            <w:pPr>
              <w:widowControl/>
              <w:jc w:val="both"/>
              <w:rPr>
                <w:rFonts w:hint="default"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根据参与银行针对此项目编制的内控制度方案包含但不限于：（1.信息管理、2.岗位职责制度、3.保密制度）等方面，方案完整、详细、思路清晰、层次结构细化且符合本项目实际需求的得6分，每少一项扣2分，</w:t>
            </w:r>
            <w:r>
              <w:rPr>
                <w:rFonts w:hint="default" w:ascii="宋体" w:hAnsi="宋体" w:eastAsia="宋体" w:cs="宋体"/>
                <w:kern w:val="0"/>
                <w:sz w:val="22"/>
                <w:szCs w:val="22"/>
                <w:highlight w:val="none"/>
                <w:lang w:val="en-US" w:eastAsia="zh-CN"/>
              </w:rPr>
              <w:t>有一处有缺陷或表述不清晰的扣</w:t>
            </w:r>
            <w:r>
              <w:rPr>
                <w:rFonts w:hint="eastAsia" w:ascii="宋体" w:hAnsi="宋体" w:eastAsia="宋体" w:cs="宋体"/>
                <w:kern w:val="0"/>
                <w:sz w:val="22"/>
                <w:szCs w:val="22"/>
                <w:highlight w:val="none"/>
                <w:lang w:val="en-US" w:eastAsia="zh-CN"/>
              </w:rPr>
              <w:t>0.5</w:t>
            </w:r>
            <w:r>
              <w:rPr>
                <w:rFonts w:hint="default" w:ascii="宋体" w:hAnsi="宋体" w:eastAsia="宋体" w:cs="宋体"/>
                <w:kern w:val="0"/>
                <w:sz w:val="22"/>
                <w:szCs w:val="22"/>
                <w:highlight w:val="none"/>
                <w:lang w:val="en-US" w:eastAsia="zh-CN"/>
              </w:rPr>
              <w:t>分</w:t>
            </w:r>
            <w:r>
              <w:rPr>
                <w:rFonts w:hint="eastAsia" w:ascii="宋体" w:hAnsi="宋体" w:eastAsia="宋体" w:cs="宋体"/>
                <w:kern w:val="0"/>
                <w:sz w:val="22"/>
                <w:szCs w:val="22"/>
                <w:highlight w:val="none"/>
                <w:lang w:val="en-US" w:eastAsia="zh-CN"/>
              </w:rPr>
              <w:t>，扣完为止。</w:t>
            </w:r>
          </w:p>
        </w:tc>
        <w:tc>
          <w:tcPr>
            <w:tcW w:w="1225" w:type="dxa"/>
            <w:tcBorders>
              <w:top w:val="single" w:color="auto" w:sz="4" w:space="0"/>
              <w:left w:val="single" w:color="auto" w:sz="4" w:space="0"/>
              <w:bottom w:val="single" w:color="auto" w:sz="4" w:space="0"/>
              <w:right w:val="single" w:color="auto" w:sz="4" w:space="0"/>
            </w:tcBorders>
            <w:noWrap w:val="0"/>
            <w:vAlign w:val="center"/>
          </w:tcPr>
          <w:p w14:paraId="06007985">
            <w:pPr>
              <w:widowControl/>
              <w:jc w:val="center"/>
              <w:rPr>
                <w:rFonts w:hint="default"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0-</w:t>
            </w:r>
            <w:r>
              <w:rPr>
                <w:rFonts w:hint="eastAsia" w:ascii="宋体" w:hAnsi="宋体" w:cs="宋体"/>
                <w:kern w:val="0"/>
                <w:sz w:val="22"/>
                <w:szCs w:val="22"/>
                <w:highlight w:val="none"/>
                <w:lang w:val="en-US" w:eastAsia="zh-CN"/>
              </w:rPr>
              <w:t>6</w:t>
            </w:r>
            <w:r>
              <w:rPr>
                <w:rFonts w:hint="eastAsia" w:ascii="宋体" w:hAnsi="宋体" w:eastAsia="宋体" w:cs="宋体"/>
                <w:kern w:val="0"/>
                <w:sz w:val="22"/>
                <w:szCs w:val="22"/>
                <w:highlight w:val="none"/>
                <w:lang w:val="en-US" w:eastAsia="zh-CN"/>
              </w:rPr>
              <w:t>分</w:t>
            </w:r>
          </w:p>
        </w:tc>
      </w:tr>
    </w:tbl>
    <w:p w14:paraId="4E79D862"/>
    <w:p w14:paraId="13F77CCB">
      <w:pPr>
        <w:rPr>
          <w:rFonts w:hint="eastAsia" w:ascii="黑体" w:hAnsi="黑体" w:eastAsia="黑体" w:cs="宋体"/>
          <w:b/>
          <w:bCs/>
          <w:color w:val="000000"/>
          <w:kern w:val="0"/>
          <w:sz w:val="32"/>
          <w:szCs w:val="32"/>
          <w:lang w:val="en-US" w:eastAsia="zh-CN"/>
        </w:rPr>
      </w:pPr>
    </w:p>
    <w:p w14:paraId="43E1633A">
      <w:pPr>
        <w:pStyle w:val="12"/>
        <w:rPr>
          <w:rFonts w:hint="eastAsia"/>
          <w:lang w:val="en-US" w:eastAsia="zh-CN"/>
        </w:rPr>
      </w:pPr>
    </w:p>
    <w:p w14:paraId="7DA10AB4">
      <w:pPr>
        <w:rPr>
          <w:rFonts w:hint="eastAsia"/>
          <w:lang w:val="en-US" w:eastAsia="zh-CN"/>
        </w:rPr>
      </w:pPr>
    </w:p>
    <w:p w14:paraId="22F42E65">
      <w:pPr>
        <w:rPr>
          <w:rFonts w:hint="eastAsia"/>
          <w:lang w:val="en-US" w:eastAsia="zh-CN"/>
        </w:rPr>
      </w:pPr>
    </w:p>
    <w:p w14:paraId="1DFFF681">
      <w:pPr>
        <w:rPr>
          <w:rFonts w:hint="eastAsia"/>
          <w:lang w:val="en-US" w:eastAsia="zh-CN"/>
        </w:rPr>
      </w:pPr>
    </w:p>
    <w:p w14:paraId="184A28CA">
      <w:pPr>
        <w:rPr>
          <w:rFonts w:hint="eastAsia"/>
          <w:lang w:val="en-US" w:eastAsia="zh-CN"/>
        </w:rPr>
      </w:pPr>
    </w:p>
    <w:p w14:paraId="4DB96721">
      <w:pPr>
        <w:rPr>
          <w:rFonts w:hint="eastAsia"/>
          <w:lang w:val="en-US" w:eastAsia="zh-CN"/>
        </w:rPr>
      </w:pPr>
    </w:p>
    <w:p w14:paraId="78D2ECBA">
      <w:pPr>
        <w:rPr>
          <w:rFonts w:hint="eastAsia"/>
          <w:lang w:val="en-US" w:eastAsia="zh-CN"/>
        </w:rPr>
      </w:pPr>
    </w:p>
    <w:p w14:paraId="1866CDAA">
      <w:pPr>
        <w:rPr>
          <w:rFonts w:hint="eastAsia"/>
          <w:lang w:val="en-US" w:eastAsia="zh-CN"/>
        </w:rPr>
      </w:pPr>
    </w:p>
    <w:p w14:paraId="1DB12821">
      <w:pPr>
        <w:rPr>
          <w:rFonts w:hint="eastAsia"/>
          <w:lang w:val="en-US" w:eastAsia="zh-CN"/>
        </w:rPr>
      </w:pPr>
    </w:p>
    <w:p w14:paraId="62787163">
      <w:pPr>
        <w:pStyle w:val="75"/>
        <w:numPr>
          <w:ilvl w:val="0"/>
          <w:numId w:val="0"/>
        </w:numPr>
        <w:shd w:val="clear"/>
        <w:tabs>
          <w:tab w:val="center" w:pos="4832"/>
          <w:tab w:val="left" w:pos="7140"/>
        </w:tabs>
        <w:spacing w:line="360" w:lineRule="auto"/>
        <w:jc w:val="left"/>
        <w:outlineLvl w:val="2"/>
        <w:rPr>
          <w:rFonts w:hint="eastAsia" w:ascii="宋体" w:hAnsi="宋体" w:cs="宋体"/>
          <w:b/>
          <w:sz w:val="24"/>
          <w:szCs w:val="24"/>
          <w:lang w:val="en-US" w:eastAsia="zh-CN"/>
        </w:rPr>
      </w:pPr>
      <w:bookmarkStart w:id="70" w:name="_Toc529175838"/>
    </w:p>
    <w:bookmarkEnd w:id="70"/>
    <w:p w14:paraId="52565E98">
      <w:pPr>
        <w:widowControl/>
        <w:shd w:val="clear" w:color="auto"/>
        <w:snapToGrid w:val="0"/>
        <w:spacing w:line="360" w:lineRule="auto"/>
        <w:rPr>
          <w:rFonts w:ascii="宋体" w:cs="Arial"/>
          <w:color w:val="000000"/>
          <w:kern w:val="0"/>
          <w:sz w:val="24"/>
          <w:szCs w:val="24"/>
        </w:rPr>
      </w:pPr>
      <w:r>
        <w:rPr>
          <w:rFonts w:hint="eastAsia" w:ascii="宋体" w:hAnsi="宋体" w:cs="Arial"/>
          <w:b/>
          <w:bCs/>
          <w:color w:val="000000"/>
          <w:kern w:val="0"/>
          <w:sz w:val="24"/>
          <w:szCs w:val="24"/>
          <w:lang w:val="en-US" w:eastAsia="zh-CN"/>
        </w:rPr>
        <w:t>1.</w:t>
      </w:r>
      <w:r>
        <w:rPr>
          <w:rFonts w:hint="eastAsia" w:ascii="宋体" w:hAnsi="宋体" w:cs="Arial"/>
          <w:color w:val="000000"/>
          <w:kern w:val="0"/>
          <w:sz w:val="24"/>
          <w:szCs w:val="24"/>
        </w:rPr>
        <w:t>本次评标采用综合评分法：由</w:t>
      </w:r>
      <w:r>
        <w:rPr>
          <w:rFonts w:hint="eastAsia" w:ascii="宋体" w:hAnsi="宋体" w:cs="Arial"/>
          <w:color w:val="000000"/>
          <w:kern w:val="0"/>
          <w:sz w:val="24"/>
          <w:szCs w:val="24"/>
          <w:lang w:eastAsia="zh-CN"/>
        </w:rPr>
        <w:t>招标</w:t>
      </w:r>
      <w:r>
        <w:rPr>
          <w:rFonts w:hint="eastAsia" w:ascii="宋体" w:hAnsi="宋体" w:cs="Arial"/>
          <w:color w:val="000000"/>
          <w:kern w:val="0"/>
          <w:sz w:val="24"/>
          <w:szCs w:val="24"/>
        </w:rPr>
        <w:t>小组采用综合评分法对各供应商</w:t>
      </w:r>
      <w:r>
        <w:rPr>
          <w:rFonts w:hint="eastAsia" w:ascii="宋体" w:hAnsi="宋体" w:cs="Arial"/>
          <w:color w:val="000000"/>
          <w:kern w:val="0"/>
          <w:sz w:val="24"/>
          <w:szCs w:val="24"/>
          <w:lang w:eastAsia="zh-CN"/>
        </w:rPr>
        <w:t>投标</w:t>
      </w:r>
      <w:r>
        <w:rPr>
          <w:rFonts w:hint="eastAsia" w:ascii="宋体" w:hAnsi="宋体" w:cs="Arial"/>
          <w:color w:val="000000"/>
          <w:kern w:val="0"/>
          <w:sz w:val="24"/>
          <w:szCs w:val="24"/>
        </w:rPr>
        <w:t>文件的合格性、 完整性和有效性进行审查、比较和评估，其中对供应商的资格条件、主要技术、商务和其他评审要素等</w:t>
      </w:r>
      <w:r>
        <w:rPr>
          <w:rFonts w:hint="eastAsia" w:ascii="宋体" w:hAnsi="宋体" w:cs="Arial"/>
          <w:color w:val="000000"/>
          <w:kern w:val="0"/>
          <w:sz w:val="24"/>
          <w:szCs w:val="24"/>
          <w:lang w:eastAsia="zh-CN"/>
        </w:rPr>
        <w:t>内容综合评审。招标</w:t>
      </w:r>
      <w:r>
        <w:rPr>
          <w:rFonts w:hint="eastAsia" w:ascii="宋体" w:hAnsi="宋体" w:cs="Arial"/>
          <w:color w:val="000000"/>
          <w:kern w:val="0"/>
          <w:sz w:val="24"/>
          <w:szCs w:val="24"/>
        </w:rPr>
        <w:t>文件中没有规定的评审标准不得作为评审依据。评审时</w:t>
      </w:r>
      <w:r>
        <w:rPr>
          <w:rFonts w:ascii="宋体" w:cs="Arial"/>
          <w:color w:val="000000"/>
          <w:kern w:val="0"/>
          <w:sz w:val="24"/>
          <w:szCs w:val="24"/>
        </w:rPr>
        <w:t>,</w:t>
      </w:r>
      <w:r>
        <w:rPr>
          <w:rFonts w:hint="eastAsia" w:ascii="宋体" w:hAnsi="宋体" w:cs="Arial"/>
          <w:color w:val="000000"/>
          <w:kern w:val="0"/>
          <w:sz w:val="24"/>
          <w:szCs w:val="24"/>
          <w:lang w:eastAsia="zh-CN"/>
        </w:rPr>
        <w:t>招标</w:t>
      </w:r>
      <w:r>
        <w:rPr>
          <w:rFonts w:hint="eastAsia" w:ascii="宋体" w:hAnsi="宋体" w:cs="Arial"/>
          <w:color w:val="000000"/>
          <w:kern w:val="0"/>
          <w:sz w:val="24"/>
          <w:szCs w:val="24"/>
        </w:rPr>
        <w:t>小组各成员应当独立对每个有效响应的文件进行评价、打分</w:t>
      </w:r>
      <w:r>
        <w:rPr>
          <w:rFonts w:ascii="宋体" w:cs="Arial"/>
          <w:color w:val="000000"/>
          <w:kern w:val="0"/>
          <w:sz w:val="24"/>
          <w:szCs w:val="24"/>
        </w:rPr>
        <w:t>,</w:t>
      </w:r>
      <w:r>
        <w:rPr>
          <w:rFonts w:hint="eastAsia" w:ascii="宋体" w:hAnsi="宋体" w:cs="Arial"/>
          <w:color w:val="000000"/>
          <w:kern w:val="0"/>
          <w:sz w:val="24"/>
          <w:szCs w:val="24"/>
        </w:rPr>
        <w:t>然后汇总每个投标人每项评分因素的得分。投标人的综合得分等于全体</w:t>
      </w:r>
      <w:r>
        <w:rPr>
          <w:rFonts w:hint="eastAsia" w:ascii="宋体" w:hAnsi="宋体" w:cs="Arial"/>
          <w:color w:val="000000"/>
          <w:kern w:val="0"/>
          <w:sz w:val="24"/>
          <w:szCs w:val="24"/>
          <w:lang w:eastAsia="zh-CN"/>
        </w:rPr>
        <w:t>招标</w:t>
      </w:r>
      <w:r>
        <w:rPr>
          <w:rFonts w:hint="eastAsia" w:ascii="宋体" w:hAnsi="宋体" w:cs="Arial"/>
          <w:color w:val="000000"/>
          <w:kern w:val="0"/>
          <w:sz w:val="24"/>
          <w:szCs w:val="24"/>
        </w:rPr>
        <w:t>小组打分的算术平均值。</w:t>
      </w:r>
      <w:r>
        <w:rPr>
          <w:rFonts w:hint="eastAsia" w:ascii="宋体" w:hAnsi="宋体" w:cs="Arial"/>
          <w:color w:val="000000"/>
          <w:kern w:val="0"/>
          <w:sz w:val="24"/>
          <w:szCs w:val="24"/>
          <w:lang w:eastAsia="zh-CN"/>
        </w:rPr>
        <w:t>招标</w:t>
      </w:r>
      <w:r>
        <w:rPr>
          <w:rFonts w:hint="eastAsia" w:ascii="宋体" w:hAnsi="宋体" w:cs="Arial"/>
          <w:color w:val="000000"/>
          <w:kern w:val="0"/>
          <w:sz w:val="24"/>
          <w:szCs w:val="24"/>
        </w:rPr>
        <w:t>小组应当根据综合评分情况</w:t>
      </w:r>
      <w:r>
        <w:rPr>
          <w:rFonts w:ascii="宋体" w:cs="Arial"/>
          <w:color w:val="000000"/>
          <w:kern w:val="0"/>
          <w:sz w:val="24"/>
          <w:szCs w:val="24"/>
        </w:rPr>
        <w:t>,</w:t>
      </w:r>
      <w:r>
        <w:rPr>
          <w:rFonts w:hint="eastAsia" w:ascii="宋体" w:hAnsi="宋体" w:cs="Arial"/>
          <w:color w:val="000000"/>
          <w:kern w:val="0"/>
          <w:sz w:val="24"/>
          <w:szCs w:val="24"/>
        </w:rPr>
        <w:t>按照评审得分由高到低的顺序推荐</w:t>
      </w:r>
      <w:r>
        <w:rPr>
          <w:rFonts w:ascii="宋体" w:hAnsi="宋体" w:cs="Arial"/>
          <w:color w:val="000000"/>
          <w:kern w:val="0"/>
          <w:sz w:val="24"/>
          <w:szCs w:val="24"/>
        </w:rPr>
        <w:t>3</w:t>
      </w:r>
      <w:r>
        <w:rPr>
          <w:rFonts w:hint="eastAsia" w:ascii="宋体" w:hAnsi="宋体" w:cs="Arial"/>
          <w:color w:val="000000"/>
          <w:kern w:val="0"/>
          <w:sz w:val="24"/>
          <w:szCs w:val="24"/>
        </w:rPr>
        <w:t>名中标候选人。评审得分相同的</w:t>
      </w:r>
      <w:r>
        <w:rPr>
          <w:rFonts w:ascii="宋体" w:cs="Arial"/>
          <w:color w:val="000000"/>
          <w:kern w:val="0"/>
          <w:sz w:val="24"/>
          <w:szCs w:val="24"/>
        </w:rPr>
        <w:t>,</w:t>
      </w:r>
      <w:r>
        <w:rPr>
          <w:rFonts w:hint="eastAsia" w:ascii="宋体" w:hAnsi="宋体" w:cs="Arial"/>
          <w:color w:val="000000"/>
          <w:kern w:val="0"/>
          <w:sz w:val="24"/>
          <w:szCs w:val="24"/>
        </w:rPr>
        <w:t>按照技术指标优劣顺序推荐。评标中各评委若发生意见分歧，以少数服从多数原则确定。</w:t>
      </w:r>
    </w:p>
    <w:p w14:paraId="0F3F12C3">
      <w:pPr>
        <w:shd w:val="clear"/>
        <w:tabs>
          <w:tab w:val="center" w:pos="4832"/>
          <w:tab w:val="left" w:pos="7140"/>
        </w:tabs>
        <w:spacing w:line="360" w:lineRule="auto"/>
        <w:jc w:val="left"/>
        <w:outlineLvl w:val="2"/>
        <w:rPr>
          <w:rFonts w:ascii="宋体" w:cs="宋体"/>
          <w:b/>
          <w:sz w:val="24"/>
          <w:szCs w:val="24"/>
        </w:rPr>
      </w:pPr>
      <w:bookmarkStart w:id="71" w:name="_Toc529175839"/>
      <w:r>
        <w:rPr>
          <w:rFonts w:ascii="宋体" w:hAnsi="宋体" w:cs="宋体"/>
          <w:b/>
          <w:sz w:val="24"/>
          <w:szCs w:val="24"/>
        </w:rPr>
        <w:t xml:space="preserve">2. </w:t>
      </w:r>
      <w:r>
        <w:rPr>
          <w:rFonts w:hint="eastAsia" w:ascii="宋体" w:hAnsi="宋体" w:cs="宋体"/>
          <w:b/>
          <w:sz w:val="24"/>
          <w:szCs w:val="24"/>
        </w:rPr>
        <w:t>评审标准</w:t>
      </w:r>
      <w:bookmarkEnd w:id="71"/>
    </w:p>
    <w:p w14:paraId="3428CA82">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2.1</w:t>
      </w:r>
      <w:r>
        <w:rPr>
          <w:rFonts w:hint="eastAsia" w:ascii="宋体" w:hAnsi="宋体" w:cs="Arial"/>
          <w:kern w:val="0"/>
          <w:sz w:val="24"/>
          <w:szCs w:val="24"/>
        </w:rPr>
        <w:t>资格审查：评审因素和评审标准见《资格审查标准》。</w:t>
      </w:r>
    </w:p>
    <w:p w14:paraId="2DEAD3F0">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2.2</w:t>
      </w:r>
      <w:r>
        <w:rPr>
          <w:rFonts w:hint="eastAsia" w:ascii="宋体" w:hAnsi="宋体" w:cs="Arial"/>
          <w:kern w:val="0"/>
          <w:sz w:val="24"/>
          <w:szCs w:val="24"/>
        </w:rPr>
        <w:t>符合性审查：评审因素和评审标准见《符合性审查标准》。</w:t>
      </w:r>
    </w:p>
    <w:p w14:paraId="64642861">
      <w:pPr>
        <w:widowControl/>
        <w:shd w:val="clear" w:color="auto"/>
        <w:snapToGrid w:val="0"/>
        <w:spacing w:line="360" w:lineRule="auto"/>
        <w:ind w:left="479" w:leftChars="228"/>
        <w:rPr>
          <w:rFonts w:ascii="宋体" w:cs="Arial"/>
          <w:kern w:val="0"/>
          <w:sz w:val="24"/>
          <w:szCs w:val="24"/>
        </w:rPr>
      </w:pPr>
      <w:r>
        <w:rPr>
          <w:rFonts w:ascii="宋体" w:hAnsi="宋体" w:cs="Arial"/>
          <w:kern w:val="0"/>
          <w:sz w:val="24"/>
          <w:szCs w:val="24"/>
        </w:rPr>
        <w:t>2.3</w:t>
      </w:r>
      <w:r>
        <w:rPr>
          <w:rFonts w:hint="eastAsia" w:ascii="宋体" w:hAnsi="宋体" w:cs="Arial"/>
          <w:kern w:val="0"/>
          <w:sz w:val="24"/>
          <w:szCs w:val="24"/>
        </w:rPr>
        <w:t>详细评审标准：评审因素和评审标准见《详细评审标准》</w:t>
      </w:r>
    </w:p>
    <w:p w14:paraId="23841EF3">
      <w:pPr>
        <w:shd w:val="clear"/>
        <w:tabs>
          <w:tab w:val="center" w:pos="4832"/>
          <w:tab w:val="left" w:pos="7140"/>
        </w:tabs>
        <w:spacing w:line="360" w:lineRule="auto"/>
        <w:jc w:val="left"/>
        <w:outlineLvl w:val="2"/>
        <w:rPr>
          <w:rFonts w:ascii="宋体" w:cs="宋体"/>
          <w:b/>
          <w:sz w:val="24"/>
          <w:szCs w:val="24"/>
        </w:rPr>
      </w:pPr>
      <w:bookmarkStart w:id="72" w:name="_Toc529175840"/>
      <w:r>
        <w:rPr>
          <w:rFonts w:ascii="宋体" w:hAnsi="宋体" w:cs="宋体"/>
          <w:b/>
          <w:sz w:val="24"/>
          <w:szCs w:val="24"/>
        </w:rPr>
        <w:t xml:space="preserve">3. </w:t>
      </w:r>
      <w:r>
        <w:rPr>
          <w:rFonts w:hint="eastAsia" w:ascii="宋体" w:hAnsi="宋体" w:cs="宋体"/>
          <w:b/>
          <w:sz w:val="24"/>
          <w:szCs w:val="24"/>
        </w:rPr>
        <w:t>评标程序</w:t>
      </w:r>
      <w:bookmarkEnd w:id="72"/>
    </w:p>
    <w:p w14:paraId="37982B02">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3.1 </w:t>
      </w:r>
      <w:r>
        <w:rPr>
          <w:rFonts w:hint="eastAsia" w:ascii="宋体" w:hAnsi="宋体" w:cs="Arial"/>
          <w:kern w:val="0"/>
          <w:sz w:val="24"/>
          <w:szCs w:val="24"/>
        </w:rPr>
        <w:t>基本程序</w:t>
      </w:r>
    </w:p>
    <w:p w14:paraId="2A3827E2">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评标活动将按以下步骤进行：</w:t>
      </w:r>
    </w:p>
    <w:p w14:paraId="7F419645">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hint="eastAsia" w:ascii="宋体" w:hAnsi="宋体" w:cs="Arial"/>
          <w:kern w:val="0"/>
          <w:sz w:val="24"/>
          <w:szCs w:val="24"/>
          <w:lang w:val="en-US" w:eastAsia="zh-CN"/>
        </w:rPr>
        <w:t>1</w:t>
      </w:r>
      <w:r>
        <w:rPr>
          <w:rFonts w:hint="eastAsia" w:ascii="宋体" w:hAnsi="宋体" w:cs="Arial"/>
          <w:kern w:val="0"/>
          <w:sz w:val="24"/>
          <w:szCs w:val="24"/>
        </w:rPr>
        <w:t>）</w:t>
      </w:r>
      <w:r>
        <w:rPr>
          <w:rFonts w:ascii="宋体" w:hAnsi="宋体" w:cs="Arial"/>
          <w:kern w:val="0"/>
          <w:sz w:val="24"/>
          <w:szCs w:val="24"/>
        </w:rPr>
        <w:t xml:space="preserve"> </w:t>
      </w:r>
      <w:r>
        <w:rPr>
          <w:rFonts w:hint="eastAsia" w:ascii="宋体" w:hAnsi="宋体" w:cs="Arial"/>
          <w:kern w:val="0"/>
          <w:sz w:val="24"/>
          <w:szCs w:val="24"/>
        </w:rPr>
        <w:t>资格审查</w:t>
      </w:r>
    </w:p>
    <w:p w14:paraId="44D01CF4">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hint="eastAsia" w:ascii="宋体" w:hAnsi="宋体" w:cs="Arial"/>
          <w:kern w:val="0"/>
          <w:sz w:val="24"/>
          <w:szCs w:val="24"/>
          <w:lang w:val="en-US" w:eastAsia="zh-CN"/>
        </w:rPr>
        <w:t>2</w:t>
      </w:r>
      <w:r>
        <w:rPr>
          <w:rFonts w:hint="eastAsia" w:ascii="宋体" w:hAnsi="宋体" w:cs="Arial"/>
          <w:kern w:val="0"/>
          <w:sz w:val="24"/>
          <w:szCs w:val="24"/>
        </w:rPr>
        <w:t>）</w:t>
      </w:r>
      <w:r>
        <w:rPr>
          <w:rFonts w:ascii="宋体" w:hAnsi="宋体" w:cs="Arial"/>
          <w:kern w:val="0"/>
          <w:sz w:val="24"/>
          <w:szCs w:val="24"/>
        </w:rPr>
        <w:t xml:space="preserve"> </w:t>
      </w:r>
      <w:r>
        <w:rPr>
          <w:rFonts w:hint="eastAsia" w:ascii="宋体" w:hAnsi="宋体" w:cs="Arial"/>
          <w:kern w:val="0"/>
          <w:sz w:val="24"/>
          <w:szCs w:val="24"/>
        </w:rPr>
        <w:t>符合性审查</w:t>
      </w:r>
    </w:p>
    <w:p w14:paraId="6864F35E">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hint="eastAsia" w:ascii="宋体" w:hAnsi="宋体" w:cs="Arial"/>
          <w:kern w:val="0"/>
          <w:sz w:val="24"/>
          <w:szCs w:val="24"/>
          <w:lang w:val="en-US" w:eastAsia="zh-CN"/>
        </w:rPr>
        <w:t>3</w:t>
      </w:r>
      <w:r>
        <w:rPr>
          <w:rFonts w:hint="eastAsia" w:ascii="宋体" w:hAnsi="宋体" w:cs="Arial"/>
          <w:kern w:val="0"/>
          <w:sz w:val="24"/>
          <w:szCs w:val="24"/>
        </w:rPr>
        <w:t>）</w:t>
      </w:r>
      <w:r>
        <w:rPr>
          <w:rFonts w:ascii="宋体" w:hAnsi="宋体" w:cs="Arial"/>
          <w:kern w:val="0"/>
          <w:sz w:val="24"/>
          <w:szCs w:val="24"/>
        </w:rPr>
        <w:t xml:space="preserve"> </w:t>
      </w:r>
      <w:r>
        <w:rPr>
          <w:rFonts w:hint="eastAsia" w:ascii="宋体" w:hAnsi="宋体" w:cs="Arial"/>
          <w:kern w:val="0"/>
          <w:sz w:val="24"/>
          <w:szCs w:val="24"/>
        </w:rPr>
        <w:t>详细评审</w:t>
      </w:r>
    </w:p>
    <w:p w14:paraId="477CA3AD">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hint="eastAsia" w:ascii="宋体" w:hAnsi="宋体" w:cs="Arial"/>
          <w:kern w:val="0"/>
          <w:sz w:val="24"/>
          <w:szCs w:val="24"/>
          <w:lang w:val="en-US" w:eastAsia="zh-CN"/>
        </w:rPr>
        <w:t>4</w:t>
      </w:r>
      <w:r>
        <w:rPr>
          <w:rFonts w:hint="eastAsia" w:ascii="宋体" w:hAnsi="宋体" w:cs="Arial"/>
          <w:kern w:val="0"/>
          <w:sz w:val="24"/>
          <w:szCs w:val="24"/>
        </w:rPr>
        <w:t>）</w:t>
      </w:r>
      <w:r>
        <w:rPr>
          <w:rFonts w:ascii="宋体" w:hAnsi="宋体" w:cs="Arial"/>
          <w:kern w:val="0"/>
          <w:sz w:val="24"/>
          <w:szCs w:val="24"/>
        </w:rPr>
        <w:t xml:space="preserve"> </w:t>
      </w:r>
      <w:r>
        <w:rPr>
          <w:rFonts w:hint="eastAsia" w:ascii="宋体" w:hAnsi="宋体" w:cs="Arial"/>
          <w:kern w:val="0"/>
          <w:sz w:val="24"/>
          <w:szCs w:val="24"/>
        </w:rPr>
        <w:t>推荐中标候选人名单及提交评标报告</w:t>
      </w:r>
    </w:p>
    <w:p w14:paraId="1DF28E2D">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3.2 </w:t>
      </w:r>
      <w:r>
        <w:rPr>
          <w:rFonts w:hint="eastAsia" w:ascii="宋体" w:hAnsi="宋体" w:cs="Arial"/>
          <w:kern w:val="0"/>
          <w:sz w:val="24"/>
          <w:szCs w:val="24"/>
        </w:rPr>
        <w:t>评标准备</w:t>
      </w:r>
    </w:p>
    <w:p w14:paraId="0501C132">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3.2.1</w:t>
      </w:r>
      <w:r>
        <w:rPr>
          <w:rFonts w:hint="eastAsia" w:ascii="宋体" w:hAnsi="宋体" w:cs="Arial"/>
          <w:kern w:val="0"/>
          <w:sz w:val="24"/>
          <w:szCs w:val="24"/>
          <w:lang w:eastAsia="zh-CN"/>
        </w:rPr>
        <w:t>招标</w:t>
      </w:r>
      <w:r>
        <w:rPr>
          <w:rFonts w:hint="eastAsia" w:ascii="宋体" w:hAnsi="宋体" w:cs="Arial"/>
          <w:kern w:val="0"/>
          <w:sz w:val="24"/>
          <w:szCs w:val="24"/>
        </w:rPr>
        <w:t>小组成员签到</w:t>
      </w:r>
    </w:p>
    <w:p w14:paraId="236FF78B">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lang w:eastAsia="zh-CN"/>
        </w:rPr>
        <w:t>招标</w:t>
      </w:r>
      <w:r>
        <w:rPr>
          <w:rFonts w:hint="eastAsia" w:ascii="宋体" w:hAnsi="宋体" w:cs="Arial"/>
          <w:kern w:val="0"/>
          <w:sz w:val="24"/>
          <w:szCs w:val="24"/>
        </w:rPr>
        <w:t>小组成员到达评标现场时应当在签到表上签到以证明其出席。</w:t>
      </w:r>
    </w:p>
    <w:p w14:paraId="72F4FC05">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3.2.2 </w:t>
      </w:r>
      <w:r>
        <w:rPr>
          <w:rFonts w:hint="eastAsia" w:ascii="宋体" w:hAnsi="宋体" w:cs="Arial"/>
          <w:kern w:val="0"/>
          <w:sz w:val="24"/>
          <w:szCs w:val="24"/>
          <w:lang w:eastAsia="zh-CN"/>
        </w:rPr>
        <w:t>招标</w:t>
      </w:r>
      <w:r>
        <w:rPr>
          <w:rFonts w:hint="eastAsia" w:ascii="宋体" w:hAnsi="宋体" w:cs="Arial"/>
          <w:kern w:val="0"/>
          <w:sz w:val="24"/>
          <w:szCs w:val="24"/>
        </w:rPr>
        <w:t>小组的分工</w:t>
      </w:r>
    </w:p>
    <w:p w14:paraId="0D2A1BE5">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3.2.2.1</w:t>
      </w:r>
      <w:r>
        <w:rPr>
          <w:rFonts w:hint="eastAsia" w:ascii="宋体" w:hAnsi="宋体" w:cs="Arial"/>
          <w:kern w:val="0"/>
          <w:sz w:val="24"/>
          <w:szCs w:val="24"/>
          <w:lang w:eastAsia="zh-CN"/>
        </w:rPr>
        <w:t>招标</w:t>
      </w:r>
      <w:r>
        <w:rPr>
          <w:rFonts w:hint="eastAsia" w:ascii="宋体" w:hAnsi="宋体" w:cs="Arial"/>
          <w:kern w:val="0"/>
          <w:sz w:val="24"/>
          <w:szCs w:val="24"/>
        </w:rPr>
        <w:t>小组首先推选一名</w:t>
      </w:r>
      <w:r>
        <w:rPr>
          <w:rFonts w:hint="eastAsia" w:ascii="宋体" w:hAnsi="宋体" w:cs="Arial"/>
          <w:kern w:val="0"/>
          <w:sz w:val="24"/>
          <w:szCs w:val="24"/>
          <w:lang w:eastAsia="zh-CN"/>
        </w:rPr>
        <w:t>招标</w:t>
      </w:r>
      <w:r>
        <w:rPr>
          <w:rFonts w:hint="eastAsia" w:ascii="宋体" w:hAnsi="宋体" w:cs="Arial"/>
          <w:kern w:val="0"/>
          <w:sz w:val="24"/>
          <w:szCs w:val="24"/>
        </w:rPr>
        <w:t>小组主任。</w:t>
      </w:r>
      <w:r>
        <w:rPr>
          <w:rFonts w:hint="eastAsia" w:ascii="宋体" w:hAnsi="宋体" w:cs="Arial"/>
          <w:kern w:val="0"/>
          <w:sz w:val="24"/>
          <w:szCs w:val="24"/>
          <w:lang w:eastAsia="zh-CN"/>
        </w:rPr>
        <w:t>招标</w:t>
      </w:r>
      <w:r>
        <w:rPr>
          <w:rFonts w:hint="eastAsia" w:ascii="宋体" w:hAnsi="宋体" w:cs="Arial"/>
          <w:kern w:val="0"/>
          <w:sz w:val="24"/>
          <w:szCs w:val="24"/>
        </w:rPr>
        <w:t>小组主任负责评标活动的组织领导工作。</w:t>
      </w:r>
      <w:r>
        <w:rPr>
          <w:rFonts w:hint="eastAsia" w:ascii="宋体" w:hAnsi="宋体" w:cs="Arial"/>
          <w:kern w:val="0"/>
          <w:sz w:val="24"/>
          <w:szCs w:val="24"/>
          <w:lang w:eastAsia="zh-CN"/>
        </w:rPr>
        <w:t>招标</w:t>
      </w:r>
      <w:r>
        <w:rPr>
          <w:rFonts w:hint="eastAsia" w:ascii="宋体" w:hAnsi="宋体" w:cs="Arial"/>
          <w:kern w:val="0"/>
          <w:sz w:val="24"/>
          <w:szCs w:val="24"/>
        </w:rPr>
        <w:t>小组主任与</w:t>
      </w:r>
      <w:r>
        <w:rPr>
          <w:rFonts w:hint="eastAsia" w:ascii="宋体" w:hAnsi="宋体" w:cs="Arial"/>
          <w:kern w:val="0"/>
          <w:sz w:val="24"/>
          <w:szCs w:val="24"/>
          <w:lang w:eastAsia="zh-CN"/>
        </w:rPr>
        <w:t>招标</w:t>
      </w:r>
      <w:r>
        <w:rPr>
          <w:rFonts w:hint="eastAsia" w:ascii="宋体" w:hAnsi="宋体" w:cs="Arial"/>
          <w:kern w:val="0"/>
          <w:sz w:val="24"/>
          <w:szCs w:val="24"/>
        </w:rPr>
        <w:t>小组其他成员具有同等的评标权力。</w:t>
      </w:r>
    </w:p>
    <w:p w14:paraId="2BB16069">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3.2.2.2 </w:t>
      </w:r>
      <w:r>
        <w:rPr>
          <w:rFonts w:hint="eastAsia" w:ascii="宋体" w:hAnsi="宋体" w:cs="Arial"/>
          <w:kern w:val="0"/>
          <w:sz w:val="24"/>
          <w:szCs w:val="24"/>
          <w:lang w:eastAsia="zh-CN"/>
        </w:rPr>
        <w:t>招标</w:t>
      </w:r>
      <w:r>
        <w:rPr>
          <w:rFonts w:hint="eastAsia" w:ascii="宋体" w:hAnsi="宋体" w:cs="Arial"/>
          <w:kern w:val="0"/>
          <w:sz w:val="24"/>
          <w:szCs w:val="24"/>
        </w:rPr>
        <w:t>小组主任除履行自己作为</w:t>
      </w:r>
      <w:r>
        <w:rPr>
          <w:rFonts w:hint="eastAsia" w:ascii="宋体" w:hAnsi="宋体" w:cs="Arial"/>
          <w:kern w:val="0"/>
          <w:sz w:val="24"/>
          <w:szCs w:val="24"/>
          <w:lang w:eastAsia="zh-CN"/>
        </w:rPr>
        <w:t>招标</w:t>
      </w:r>
      <w:r>
        <w:rPr>
          <w:rFonts w:hint="eastAsia" w:ascii="宋体" w:hAnsi="宋体" w:cs="Arial"/>
          <w:kern w:val="0"/>
          <w:sz w:val="24"/>
          <w:szCs w:val="24"/>
        </w:rPr>
        <w:t>小组成员独立评标的职责外，主要负责以下工作：</w:t>
      </w:r>
    </w:p>
    <w:p w14:paraId="7810569D">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1</w:t>
      </w:r>
      <w:r>
        <w:rPr>
          <w:rFonts w:hint="eastAsia" w:ascii="宋体" w:hAnsi="宋体" w:cs="Arial"/>
          <w:kern w:val="0"/>
          <w:sz w:val="24"/>
          <w:szCs w:val="24"/>
        </w:rPr>
        <w:t>）组织</w:t>
      </w:r>
      <w:r>
        <w:rPr>
          <w:rFonts w:hint="eastAsia" w:ascii="宋体" w:hAnsi="宋体" w:cs="Arial"/>
          <w:kern w:val="0"/>
          <w:sz w:val="24"/>
          <w:szCs w:val="24"/>
          <w:lang w:eastAsia="zh-CN"/>
        </w:rPr>
        <w:t>招标</w:t>
      </w:r>
      <w:r>
        <w:rPr>
          <w:rFonts w:hint="eastAsia" w:ascii="宋体" w:hAnsi="宋体" w:cs="Arial"/>
          <w:kern w:val="0"/>
          <w:sz w:val="24"/>
          <w:szCs w:val="24"/>
        </w:rPr>
        <w:t>小组成员学习</w:t>
      </w:r>
      <w:r>
        <w:rPr>
          <w:rFonts w:hint="eastAsia" w:ascii="宋体" w:hAnsi="宋体" w:cs="Arial"/>
          <w:kern w:val="0"/>
          <w:sz w:val="24"/>
          <w:szCs w:val="24"/>
          <w:lang w:eastAsia="zh-CN"/>
        </w:rPr>
        <w:t>招标</w:t>
      </w:r>
      <w:r>
        <w:rPr>
          <w:rFonts w:hint="eastAsia" w:ascii="宋体" w:hAnsi="宋体" w:cs="Arial"/>
          <w:kern w:val="0"/>
          <w:sz w:val="24"/>
          <w:szCs w:val="24"/>
        </w:rPr>
        <w:t>文件；</w:t>
      </w:r>
    </w:p>
    <w:p w14:paraId="6B6DF139">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2</w:t>
      </w:r>
      <w:r>
        <w:rPr>
          <w:rFonts w:hint="eastAsia" w:ascii="宋体" w:hAnsi="宋体" w:cs="Arial"/>
          <w:kern w:val="0"/>
          <w:sz w:val="24"/>
          <w:szCs w:val="24"/>
        </w:rPr>
        <w:t>）汇总各</w:t>
      </w:r>
      <w:r>
        <w:rPr>
          <w:rFonts w:hint="eastAsia" w:ascii="宋体" w:hAnsi="宋体" w:cs="Arial"/>
          <w:kern w:val="0"/>
          <w:sz w:val="24"/>
          <w:szCs w:val="24"/>
          <w:lang w:eastAsia="zh-CN"/>
        </w:rPr>
        <w:t>招标</w:t>
      </w:r>
      <w:r>
        <w:rPr>
          <w:rFonts w:hint="eastAsia" w:ascii="宋体" w:hAnsi="宋体" w:cs="Arial"/>
          <w:kern w:val="0"/>
          <w:sz w:val="24"/>
          <w:szCs w:val="24"/>
        </w:rPr>
        <w:t>小组成员认为需要投标人澄清、说明或者补正的问题；</w:t>
      </w:r>
    </w:p>
    <w:p w14:paraId="2C8435BC">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3</w:t>
      </w:r>
      <w:r>
        <w:rPr>
          <w:rFonts w:hint="eastAsia" w:ascii="宋体" w:hAnsi="宋体" w:cs="Arial"/>
          <w:kern w:val="0"/>
          <w:sz w:val="24"/>
          <w:szCs w:val="24"/>
        </w:rPr>
        <w:t>）组织</w:t>
      </w:r>
      <w:r>
        <w:rPr>
          <w:rFonts w:hint="eastAsia" w:ascii="宋体" w:hAnsi="宋体" w:cs="Arial"/>
          <w:kern w:val="0"/>
          <w:sz w:val="24"/>
          <w:szCs w:val="24"/>
          <w:lang w:eastAsia="zh-CN"/>
        </w:rPr>
        <w:t>招标</w:t>
      </w:r>
      <w:r>
        <w:rPr>
          <w:rFonts w:hint="eastAsia" w:ascii="宋体" w:hAnsi="宋体" w:cs="Arial"/>
          <w:kern w:val="0"/>
          <w:sz w:val="24"/>
          <w:szCs w:val="24"/>
        </w:rPr>
        <w:t>小组对投标人质询并对投标人的答复进行评审；</w:t>
      </w:r>
    </w:p>
    <w:p w14:paraId="15A45E45">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4</w:t>
      </w:r>
      <w:r>
        <w:rPr>
          <w:rFonts w:hint="eastAsia" w:ascii="宋体" w:hAnsi="宋体" w:cs="Arial"/>
          <w:kern w:val="0"/>
          <w:sz w:val="24"/>
          <w:szCs w:val="24"/>
        </w:rPr>
        <w:t>）对出现较大争议的事项进行书面记录；</w:t>
      </w:r>
    </w:p>
    <w:p w14:paraId="3ECC635F">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5</w:t>
      </w:r>
      <w:r>
        <w:rPr>
          <w:rFonts w:hint="eastAsia" w:ascii="宋体" w:hAnsi="宋体" w:cs="Arial"/>
          <w:kern w:val="0"/>
          <w:sz w:val="24"/>
          <w:szCs w:val="24"/>
        </w:rPr>
        <w:t>）组织收回评标过程中使用的文件、表格和评标记录以及其他资料，并查验评标记录的完整性及有效性；</w:t>
      </w:r>
    </w:p>
    <w:p w14:paraId="6AA84AF6">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6</w:t>
      </w:r>
      <w:r>
        <w:rPr>
          <w:rFonts w:hint="eastAsia" w:ascii="宋体" w:hAnsi="宋体" w:cs="Arial"/>
          <w:kern w:val="0"/>
          <w:sz w:val="24"/>
          <w:szCs w:val="24"/>
        </w:rPr>
        <w:t>）组织对评标结论进行复核确认；</w:t>
      </w:r>
    </w:p>
    <w:p w14:paraId="5A653DAC">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7</w:t>
      </w:r>
      <w:r>
        <w:rPr>
          <w:rFonts w:hint="eastAsia" w:ascii="宋体" w:hAnsi="宋体" w:cs="Arial"/>
          <w:kern w:val="0"/>
          <w:sz w:val="24"/>
          <w:szCs w:val="24"/>
        </w:rPr>
        <w:t>）组织编写评标报告。</w:t>
      </w:r>
    </w:p>
    <w:p w14:paraId="557F30B9">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3.2.3 </w:t>
      </w:r>
      <w:r>
        <w:rPr>
          <w:rFonts w:hint="eastAsia" w:ascii="宋体" w:hAnsi="宋体" w:cs="Arial"/>
          <w:kern w:val="0"/>
          <w:sz w:val="24"/>
          <w:szCs w:val="24"/>
        </w:rPr>
        <w:t>熟悉文件资料</w:t>
      </w:r>
    </w:p>
    <w:p w14:paraId="0CAAC0D7">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3.2.3.1 </w:t>
      </w:r>
      <w:r>
        <w:rPr>
          <w:rFonts w:hint="eastAsia" w:ascii="宋体" w:hAnsi="宋体" w:cs="Arial"/>
          <w:kern w:val="0"/>
          <w:sz w:val="24"/>
          <w:szCs w:val="24"/>
          <w:lang w:eastAsia="zh-CN"/>
        </w:rPr>
        <w:t>招标</w:t>
      </w:r>
      <w:r>
        <w:rPr>
          <w:rFonts w:hint="eastAsia" w:ascii="宋体" w:hAnsi="宋体" w:cs="Arial"/>
          <w:kern w:val="0"/>
          <w:sz w:val="24"/>
          <w:szCs w:val="24"/>
        </w:rPr>
        <w:t>小组主任应当组织</w:t>
      </w:r>
      <w:r>
        <w:rPr>
          <w:rFonts w:hint="eastAsia" w:ascii="宋体" w:hAnsi="宋体" w:cs="Arial"/>
          <w:kern w:val="0"/>
          <w:sz w:val="24"/>
          <w:szCs w:val="24"/>
          <w:lang w:eastAsia="zh-CN"/>
        </w:rPr>
        <w:t>招标</w:t>
      </w:r>
      <w:r>
        <w:rPr>
          <w:rFonts w:hint="eastAsia" w:ascii="宋体" w:hAnsi="宋体" w:cs="Arial"/>
          <w:kern w:val="0"/>
          <w:sz w:val="24"/>
          <w:szCs w:val="24"/>
        </w:rPr>
        <w:t>小组成员认真研究招标文件，了解和熟悉招标目的、招标范围、主要合同条件、技术标准、质量标准和要求，掌握评标标准和方法，熟悉本章及附件中包括的评标表格的使用，如果本章及附件所附的表格不能满足评标所需时，</w:t>
      </w:r>
      <w:r>
        <w:rPr>
          <w:rFonts w:hint="eastAsia" w:ascii="宋体" w:hAnsi="宋体" w:cs="Arial"/>
          <w:kern w:val="0"/>
          <w:sz w:val="24"/>
          <w:szCs w:val="24"/>
          <w:lang w:eastAsia="zh-CN"/>
        </w:rPr>
        <w:t>招标</w:t>
      </w:r>
      <w:r>
        <w:rPr>
          <w:rFonts w:hint="eastAsia" w:ascii="宋体" w:hAnsi="宋体" w:cs="Arial"/>
          <w:kern w:val="0"/>
          <w:sz w:val="24"/>
          <w:szCs w:val="24"/>
        </w:rPr>
        <w:t>小组应当补充编制评标所需的表格。</w:t>
      </w:r>
    </w:p>
    <w:p w14:paraId="1CC29261">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3.2.3.2 </w:t>
      </w:r>
      <w:r>
        <w:rPr>
          <w:rFonts w:hint="eastAsia" w:ascii="宋体" w:hAnsi="宋体" w:cs="Arial"/>
          <w:kern w:val="0"/>
          <w:sz w:val="24"/>
          <w:szCs w:val="24"/>
        </w:rPr>
        <w:t>采购人或采购代理机构应当向</w:t>
      </w:r>
      <w:r>
        <w:rPr>
          <w:rFonts w:hint="eastAsia" w:ascii="宋体" w:hAnsi="宋体" w:cs="Arial"/>
          <w:kern w:val="0"/>
          <w:sz w:val="24"/>
          <w:szCs w:val="24"/>
          <w:lang w:eastAsia="zh-CN"/>
        </w:rPr>
        <w:t>招标</w:t>
      </w:r>
      <w:r>
        <w:rPr>
          <w:rFonts w:hint="eastAsia" w:ascii="宋体" w:hAnsi="宋体" w:cs="Arial"/>
          <w:kern w:val="0"/>
          <w:sz w:val="24"/>
          <w:szCs w:val="24"/>
        </w:rPr>
        <w:t>小组提供评标所需的信息和数据，包括：</w:t>
      </w:r>
    </w:p>
    <w:p w14:paraId="38956A04">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1</w:t>
      </w:r>
      <w:r>
        <w:rPr>
          <w:rFonts w:hint="eastAsia" w:ascii="宋体" w:hAnsi="宋体" w:cs="Arial"/>
          <w:kern w:val="0"/>
          <w:sz w:val="24"/>
          <w:szCs w:val="24"/>
        </w:rPr>
        <w:t>）</w:t>
      </w:r>
      <w:r>
        <w:rPr>
          <w:rFonts w:hint="eastAsia" w:ascii="宋体" w:hAnsi="宋体" w:cs="Arial"/>
          <w:kern w:val="0"/>
          <w:sz w:val="24"/>
          <w:szCs w:val="24"/>
          <w:lang w:eastAsia="zh-CN"/>
        </w:rPr>
        <w:t>招标</w:t>
      </w:r>
      <w:r>
        <w:rPr>
          <w:rFonts w:hint="eastAsia" w:ascii="宋体" w:hAnsi="宋体" w:cs="Arial"/>
          <w:kern w:val="0"/>
          <w:sz w:val="24"/>
          <w:szCs w:val="24"/>
        </w:rPr>
        <w:t>文件及其澄清修改等</w:t>
      </w:r>
      <w:r>
        <w:rPr>
          <w:rFonts w:hint="eastAsia" w:ascii="宋体" w:hAnsi="宋体" w:cs="Arial"/>
          <w:kern w:val="0"/>
          <w:sz w:val="24"/>
          <w:szCs w:val="24"/>
          <w:lang w:eastAsia="zh-CN"/>
        </w:rPr>
        <w:t>招标</w:t>
      </w:r>
      <w:r>
        <w:rPr>
          <w:rFonts w:hint="eastAsia" w:ascii="宋体" w:hAnsi="宋体" w:cs="Arial"/>
          <w:kern w:val="0"/>
          <w:sz w:val="24"/>
          <w:szCs w:val="24"/>
        </w:rPr>
        <w:t>文件补充；</w:t>
      </w:r>
    </w:p>
    <w:p w14:paraId="3D2E5C4C">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2</w:t>
      </w:r>
      <w:r>
        <w:rPr>
          <w:rFonts w:hint="eastAsia" w:ascii="宋体" w:hAnsi="宋体" w:cs="Arial"/>
          <w:kern w:val="0"/>
          <w:sz w:val="24"/>
          <w:szCs w:val="24"/>
        </w:rPr>
        <w:t>）未在开标会上当场拒绝的各投标文件；</w:t>
      </w:r>
    </w:p>
    <w:p w14:paraId="30C3885C">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hint="eastAsia" w:ascii="宋体" w:hAnsi="宋体" w:cs="Arial"/>
          <w:kern w:val="0"/>
          <w:sz w:val="24"/>
          <w:szCs w:val="24"/>
          <w:lang w:val="en-US" w:eastAsia="zh-CN"/>
        </w:rPr>
        <w:t>3</w:t>
      </w:r>
      <w:r>
        <w:rPr>
          <w:rFonts w:hint="eastAsia" w:ascii="宋体" w:hAnsi="宋体" w:cs="Arial"/>
          <w:kern w:val="0"/>
          <w:sz w:val="24"/>
          <w:szCs w:val="24"/>
        </w:rPr>
        <w:t>）评标表格；</w:t>
      </w:r>
    </w:p>
    <w:p w14:paraId="1825B4CC">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hint="eastAsia" w:ascii="宋体" w:hAnsi="宋体" w:cs="Arial"/>
          <w:kern w:val="0"/>
          <w:sz w:val="24"/>
          <w:szCs w:val="24"/>
          <w:lang w:val="en-US" w:eastAsia="zh-CN"/>
        </w:rPr>
        <w:t>4</w:t>
      </w:r>
      <w:r>
        <w:rPr>
          <w:rFonts w:hint="eastAsia" w:ascii="宋体" w:hAnsi="宋体" w:cs="Arial"/>
          <w:kern w:val="0"/>
          <w:sz w:val="24"/>
          <w:szCs w:val="24"/>
        </w:rPr>
        <w:t>）其他信息和数据。</w:t>
      </w:r>
    </w:p>
    <w:p w14:paraId="61518988">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3.3</w:t>
      </w:r>
      <w:r>
        <w:rPr>
          <w:rFonts w:hint="eastAsia" w:ascii="宋体" w:hAnsi="宋体" w:cs="Arial"/>
          <w:kern w:val="0"/>
          <w:sz w:val="24"/>
          <w:szCs w:val="24"/>
        </w:rPr>
        <w:t>资格审查（适用于资格后审）</w:t>
      </w:r>
    </w:p>
    <w:p w14:paraId="44B17A62">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采购人会依据本章规定的评审因素和审查标准，对投标人的资格审查资料进行资格审查。资格审查有一项未通过审查标准，采购人将认定整个投标文件不响应</w:t>
      </w:r>
      <w:r>
        <w:rPr>
          <w:rFonts w:hint="eastAsia" w:ascii="宋体" w:hAnsi="宋体" w:cs="Arial"/>
          <w:kern w:val="0"/>
          <w:sz w:val="24"/>
          <w:szCs w:val="24"/>
          <w:lang w:eastAsia="zh-CN"/>
        </w:rPr>
        <w:t>招标</w:t>
      </w:r>
      <w:r>
        <w:rPr>
          <w:rFonts w:hint="eastAsia" w:ascii="宋体" w:hAnsi="宋体" w:cs="Arial"/>
          <w:kern w:val="0"/>
          <w:sz w:val="24"/>
          <w:szCs w:val="24"/>
        </w:rPr>
        <w:t>文件而否决其投标，并且不允许投标人通过修改或撤销其不符合要求的差异或保留，使之成为具有响应性的投标。</w:t>
      </w:r>
    </w:p>
    <w:p w14:paraId="2204341F">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3.4</w:t>
      </w:r>
      <w:r>
        <w:rPr>
          <w:rFonts w:hint="eastAsia" w:ascii="宋体" w:hAnsi="宋体" w:cs="Arial"/>
          <w:kern w:val="0"/>
          <w:sz w:val="24"/>
          <w:szCs w:val="24"/>
        </w:rPr>
        <w:t>符合性审查</w:t>
      </w:r>
    </w:p>
    <w:p w14:paraId="6422CD29">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3.4.1 </w:t>
      </w:r>
      <w:r>
        <w:rPr>
          <w:rFonts w:hint="eastAsia" w:ascii="宋体" w:hAnsi="宋体" w:cs="Arial"/>
          <w:kern w:val="0"/>
          <w:sz w:val="24"/>
          <w:szCs w:val="24"/>
          <w:lang w:eastAsia="zh-CN"/>
        </w:rPr>
        <w:t>招标</w:t>
      </w:r>
      <w:r>
        <w:rPr>
          <w:rFonts w:hint="eastAsia" w:ascii="宋体" w:hAnsi="宋体" w:cs="Arial"/>
          <w:kern w:val="0"/>
          <w:sz w:val="24"/>
          <w:szCs w:val="24"/>
        </w:rPr>
        <w:t>小组依据本章规定的评审因素和评审标准，对投标人的投标文件进行符合性审查。符合性审查有一项未通过评审标准，</w:t>
      </w:r>
      <w:r>
        <w:rPr>
          <w:rFonts w:hint="eastAsia" w:ascii="宋体" w:hAnsi="宋体" w:cs="Arial"/>
          <w:kern w:val="0"/>
          <w:sz w:val="24"/>
          <w:szCs w:val="24"/>
          <w:lang w:eastAsia="zh-CN"/>
        </w:rPr>
        <w:t>招标</w:t>
      </w:r>
      <w:r>
        <w:rPr>
          <w:rFonts w:hint="eastAsia" w:ascii="宋体" w:hAnsi="宋体" w:cs="Arial"/>
          <w:kern w:val="0"/>
          <w:sz w:val="24"/>
          <w:szCs w:val="24"/>
        </w:rPr>
        <w:t>小组将认定整个投标文件不响应招标文件而否决其投标，并且不允许投标人通过修改或撤销其不符合要求的差异或保留，使之成为具有响应性的投标。</w:t>
      </w:r>
    </w:p>
    <w:p w14:paraId="5B444058">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3.4.2 </w:t>
      </w:r>
      <w:r>
        <w:rPr>
          <w:rFonts w:hint="eastAsia" w:ascii="宋体" w:hAnsi="宋体" w:cs="Arial"/>
          <w:kern w:val="0"/>
          <w:sz w:val="24"/>
          <w:szCs w:val="24"/>
        </w:rPr>
        <w:t>符合性审查条款是指对本招标项目产生了重大影响的重大偏差，而且纠正此类偏差将会对响应本次招标的其他投标人的竞争地位产生不公正的影响。</w:t>
      </w:r>
    </w:p>
    <w:p w14:paraId="2BE83AA9">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3.4.3</w:t>
      </w:r>
      <w:r>
        <w:rPr>
          <w:rFonts w:hint="eastAsia" w:ascii="宋体" w:hAnsi="宋体" w:cs="Arial"/>
          <w:kern w:val="0"/>
          <w:sz w:val="24"/>
          <w:szCs w:val="24"/>
        </w:rPr>
        <w:t>细微偏差是指投标文件在实质上响应</w:t>
      </w:r>
      <w:r>
        <w:rPr>
          <w:rFonts w:hint="eastAsia" w:ascii="宋体" w:hAnsi="宋体" w:cs="Arial"/>
          <w:kern w:val="0"/>
          <w:sz w:val="24"/>
          <w:szCs w:val="24"/>
          <w:lang w:val="en-US" w:eastAsia="zh-CN"/>
        </w:rPr>
        <w:t>招标</w:t>
      </w:r>
      <w:r>
        <w:rPr>
          <w:rFonts w:hint="eastAsia" w:ascii="宋体" w:hAnsi="宋体" w:cs="Arial"/>
          <w:kern w:val="0"/>
          <w:sz w:val="24"/>
          <w:szCs w:val="24"/>
        </w:rPr>
        <w:t>文件要求，但在个别地方存在疏漏或者提供了不完整的技术信息和数据等情况，并且补正这些遗漏和不完整不会对其他投标人造成不公平的结果。细微偏差不影响投标文件的有效性，</w:t>
      </w:r>
      <w:r>
        <w:rPr>
          <w:rFonts w:hint="eastAsia" w:ascii="宋体" w:hAnsi="宋体" w:cs="Arial"/>
          <w:kern w:val="0"/>
          <w:sz w:val="24"/>
          <w:szCs w:val="24"/>
          <w:lang w:eastAsia="zh-CN"/>
        </w:rPr>
        <w:t>招标</w:t>
      </w:r>
      <w:r>
        <w:rPr>
          <w:rFonts w:hint="eastAsia" w:ascii="宋体" w:hAnsi="宋体" w:cs="Arial"/>
          <w:kern w:val="0"/>
          <w:sz w:val="24"/>
          <w:szCs w:val="24"/>
        </w:rPr>
        <w:t>小组可要求存在细微偏差的投标人予以补正。</w:t>
      </w:r>
    </w:p>
    <w:p w14:paraId="651FFC55">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3.5</w:t>
      </w:r>
      <w:r>
        <w:rPr>
          <w:rFonts w:hint="eastAsia" w:ascii="宋体" w:hAnsi="宋体" w:cs="Arial"/>
          <w:kern w:val="0"/>
          <w:sz w:val="24"/>
          <w:szCs w:val="24"/>
        </w:rPr>
        <w:t>详细评审</w:t>
      </w:r>
    </w:p>
    <w:p w14:paraId="6B3963B2">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3.5.1.</w:t>
      </w:r>
      <w:r>
        <w:rPr>
          <w:rFonts w:hint="eastAsia" w:ascii="宋体" w:hAnsi="宋体" w:cs="Arial"/>
          <w:kern w:val="0"/>
          <w:sz w:val="24"/>
          <w:szCs w:val="24"/>
        </w:rPr>
        <w:t>只有通过了资格审查、符合性审查的投标方可进入详细评审。</w:t>
      </w:r>
    </w:p>
    <w:p w14:paraId="46A38D76">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3.5.2 </w:t>
      </w:r>
      <w:r>
        <w:rPr>
          <w:rFonts w:hint="eastAsia" w:ascii="宋体" w:hAnsi="宋体" w:cs="Arial"/>
          <w:kern w:val="0"/>
          <w:sz w:val="24"/>
          <w:szCs w:val="24"/>
        </w:rPr>
        <w:t>澄清答疑：在不改变投标人投标文件实质性内容的前提下，</w:t>
      </w:r>
      <w:r>
        <w:rPr>
          <w:rFonts w:hint="eastAsia" w:ascii="宋体" w:hAnsi="宋体" w:cs="Arial"/>
          <w:kern w:val="0"/>
          <w:sz w:val="24"/>
          <w:szCs w:val="24"/>
          <w:lang w:eastAsia="zh-CN"/>
        </w:rPr>
        <w:t>招标</w:t>
      </w:r>
      <w:r>
        <w:rPr>
          <w:rFonts w:hint="eastAsia" w:ascii="宋体" w:hAnsi="宋体" w:cs="Arial"/>
          <w:kern w:val="0"/>
          <w:sz w:val="24"/>
          <w:szCs w:val="24"/>
        </w:rPr>
        <w:t>小组应当对投标文件进行基础性数据分析和整理，从而发现并提取其中可能存在的对招标范围理解的偏差、技术响应偏离等存在明显异常的问题。</w:t>
      </w:r>
      <w:r>
        <w:rPr>
          <w:rFonts w:hint="eastAsia" w:ascii="宋体" w:hAnsi="宋体" w:cs="Arial"/>
          <w:kern w:val="0"/>
          <w:sz w:val="24"/>
          <w:szCs w:val="24"/>
          <w:lang w:eastAsia="zh-CN"/>
        </w:rPr>
        <w:t>招标</w:t>
      </w:r>
      <w:r>
        <w:rPr>
          <w:rFonts w:hint="eastAsia" w:ascii="宋体" w:hAnsi="宋体" w:cs="Arial"/>
          <w:kern w:val="0"/>
          <w:sz w:val="24"/>
          <w:szCs w:val="24"/>
        </w:rPr>
        <w:t>小组针对需要投标人进行书面澄清、说明或补正的，可向投标人发出书面澄清通知。澄清通知不得向投标人提出带有暗示性或诱导性问题，或向其明确投标文件中的遗漏和错误。投标人接到</w:t>
      </w:r>
      <w:r>
        <w:rPr>
          <w:rFonts w:hint="eastAsia" w:ascii="宋体" w:hAnsi="宋体" w:cs="Arial"/>
          <w:kern w:val="0"/>
          <w:sz w:val="24"/>
          <w:szCs w:val="24"/>
          <w:lang w:eastAsia="zh-CN"/>
        </w:rPr>
        <w:t>招标</w:t>
      </w:r>
      <w:r>
        <w:rPr>
          <w:rFonts w:hint="eastAsia" w:ascii="宋体" w:hAnsi="宋体" w:cs="Arial"/>
          <w:kern w:val="0"/>
          <w:sz w:val="24"/>
          <w:szCs w:val="24"/>
        </w:rPr>
        <w:t>小组发出的书面澄清通知后，应按</w:t>
      </w:r>
      <w:r>
        <w:rPr>
          <w:rFonts w:hint="eastAsia" w:ascii="宋体" w:hAnsi="宋体" w:cs="Arial"/>
          <w:kern w:val="0"/>
          <w:sz w:val="24"/>
          <w:szCs w:val="24"/>
          <w:lang w:eastAsia="zh-CN"/>
        </w:rPr>
        <w:t>招标</w:t>
      </w:r>
      <w:r>
        <w:rPr>
          <w:rFonts w:hint="eastAsia" w:ascii="宋体" w:hAnsi="宋体" w:cs="Arial"/>
          <w:kern w:val="0"/>
          <w:sz w:val="24"/>
          <w:szCs w:val="24"/>
        </w:rPr>
        <w:t>小组的要求提供书面澄清资料，并在规定的时间递交到指定地点。</w:t>
      </w:r>
    </w:p>
    <w:p w14:paraId="790A8389">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3.5.3</w:t>
      </w:r>
      <w:r>
        <w:rPr>
          <w:rFonts w:hint="eastAsia" w:ascii="宋体" w:hAnsi="宋体" w:cs="Arial"/>
          <w:kern w:val="0"/>
          <w:sz w:val="24"/>
          <w:szCs w:val="24"/>
        </w:rPr>
        <w:t>详细评审：见《详细评审标准》。投标人详细评审得分等于评委评分的算术平均值。</w:t>
      </w:r>
    </w:p>
    <w:p w14:paraId="29B32691">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3.5.</w:t>
      </w:r>
      <w:r>
        <w:rPr>
          <w:rFonts w:hint="eastAsia" w:ascii="宋体" w:hAnsi="宋体" w:cs="Arial"/>
          <w:kern w:val="0"/>
          <w:sz w:val="24"/>
          <w:szCs w:val="24"/>
          <w:lang w:val="en-US" w:eastAsia="zh-CN"/>
        </w:rPr>
        <w:t>4</w:t>
      </w:r>
      <w:r>
        <w:rPr>
          <w:rFonts w:ascii="宋体" w:hAnsi="宋体" w:cs="Arial"/>
          <w:kern w:val="0"/>
          <w:sz w:val="24"/>
          <w:szCs w:val="24"/>
        </w:rPr>
        <w:t xml:space="preserve"> </w:t>
      </w:r>
      <w:r>
        <w:rPr>
          <w:rFonts w:hint="eastAsia" w:ascii="宋体" w:hAnsi="宋体" w:cs="Arial"/>
          <w:kern w:val="0"/>
          <w:sz w:val="24"/>
          <w:szCs w:val="24"/>
        </w:rPr>
        <w:t>汇总评分结果，评分分值计算保留小数点后两位，小数点后第三位“四舍五入”。</w:t>
      </w:r>
    </w:p>
    <w:p w14:paraId="1033854A">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3.5.</w:t>
      </w:r>
      <w:r>
        <w:rPr>
          <w:rFonts w:hint="eastAsia" w:ascii="宋体" w:hAnsi="宋体" w:cs="Arial"/>
          <w:kern w:val="0"/>
          <w:sz w:val="24"/>
          <w:szCs w:val="24"/>
          <w:lang w:val="en-US" w:eastAsia="zh-CN"/>
        </w:rPr>
        <w:t>5</w:t>
      </w:r>
      <w:r>
        <w:rPr>
          <w:rFonts w:ascii="宋体" w:hAnsi="宋体" w:cs="Arial"/>
          <w:kern w:val="0"/>
          <w:sz w:val="24"/>
          <w:szCs w:val="24"/>
        </w:rPr>
        <w:t xml:space="preserve"> </w:t>
      </w:r>
      <w:r>
        <w:rPr>
          <w:rFonts w:hint="eastAsia" w:ascii="宋体" w:hAnsi="宋体" w:cs="Arial"/>
          <w:kern w:val="0"/>
          <w:sz w:val="24"/>
          <w:szCs w:val="24"/>
        </w:rPr>
        <w:t>详细评审工作全部结束后，按照详细评审最终得分由高到低的次序对投标人进行排序。如果出现最终得分相同的情况时，按照技术指标优劣顺序推荐。评标中各评委若发生意见分歧，以少数服从多数原则确定。</w:t>
      </w:r>
    </w:p>
    <w:p w14:paraId="787A7839">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3.6</w:t>
      </w:r>
      <w:r>
        <w:rPr>
          <w:rFonts w:hint="eastAsia" w:ascii="宋体" w:hAnsi="宋体" w:cs="Arial"/>
          <w:kern w:val="0"/>
          <w:sz w:val="24"/>
          <w:szCs w:val="24"/>
        </w:rPr>
        <w:t>澄清、说明和补正</w:t>
      </w:r>
    </w:p>
    <w:p w14:paraId="15BBC400">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3.6</w:t>
      </w:r>
      <w:r>
        <w:rPr>
          <w:rFonts w:ascii="宋体" w:cs="Arial"/>
          <w:kern w:val="0"/>
          <w:sz w:val="24"/>
          <w:szCs w:val="24"/>
        </w:rPr>
        <w:t>.</w:t>
      </w:r>
      <w:r>
        <w:rPr>
          <w:rFonts w:ascii="宋体" w:hAnsi="宋体" w:cs="Arial"/>
          <w:kern w:val="0"/>
          <w:sz w:val="24"/>
          <w:szCs w:val="24"/>
        </w:rPr>
        <w:t>1</w:t>
      </w:r>
      <w:r>
        <w:rPr>
          <w:rFonts w:hint="eastAsia" w:ascii="宋体" w:hAnsi="宋体" w:cs="Arial"/>
          <w:kern w:val="0"/>
          <w:sz w:val="24"/>
          <w:szCs w:val="24"/>
        </w:rPr>
        <w:t>在不改变投标人投标文件实质性内容的前提下，</w:t>
      </w:r>
      <w:r>
        <w:rPr>
          <w:rFonts w:hint="eastAsia" w:ascii="宋体" w:hAnsi="宋体" w:cs="Arial"/>
          <w:kern w:val="0"/>
          <w:sz w:val="24"/>
          <w:szCs w:val="24"/>
          <w:lang w:eastAsia="zh-CN"/>
        </w:rPr>
        <w:t>招标</w:t>
      </w:r>
      <w:r>
        <w:rPr>
          <w:rFonts w:hint="eastAsia" w:ascii="宋体" w:hAnsi="宋体" w:cs="Arial"/>
          <w:kern w:val="0"/>
          <w:sz w:val="24"/>
          <w:szCs w:val="24"/>
        </w:rPr>
        <w:t>小组应当对投标文件进行基础性数据分析和整理，从而发现并提取其中可能存在的对招标范围理解的偏差、技术响应偏离等存在明显异常的问题。</w:t>
      </w:r>
    </w:p>
    <w:p w14:paraId="3E177E1B">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3.6</w:t>
      </w:r>
      <w:r>
        <w:rPr>
          <w:rFonts w:ascii="宋体" w:cs="Arial"/>
          <w:kern w:val="0"/>
          <w:sz w:val="24"/>
          <w:szCs w:val="24"/>
        </w:rPr>
        <w:t>.</w:t>
      </w:r>
      <w:r>
        <w:rPr>
          <w:rFonts w:ascii="宋体" w:hAnsi="宋体" w:cs="Arial"/>
          <w:kern w:val="0"/>
          <w:sz w:val="24"/>
          <w:szCs w:val="24"/>
        </w:rPr>
        <w:t>2</w:t>
      </w:r>
      <w:r>
        <w:rPr>
          <w:rFonts w:hint="eastAsia" w:ascii="宋体" w:hAnsi="宋体" w:cs="Arial"/>
          <w:kern w:val="0"/>
          <w:sz w:val="24"/>
          <w:szCs w:val="24"/>
        </w:rPr>
        <w:t>澄清、说明和补正内容不得改变投标文件的实质性内容。投标人的书面澄清、说明和补正属于投标文件的组成部分。</w:t>
      </w:r>
    </w:p>
    <w:p w14:paraId="3285B179">
      <w:pPr>
        <w:widowControl/>
        <w:shd w:val="clear" w:color="auto"/>
        <w:snapToGrid w:val="0"/>
        <w:spacing w:line="360" w:lineRule="auto"/>
        <w:ind w:firstLine="480" w:firstLineChars="200"/>
        <w:rPr>
          <w:rFonts w:ascii="宋体" w:cs="Arial"/>
          <w:color w:val="FF0000"/>
          <w:kern w:val="0"/>
          <w:sz w:val="24"/>
          <w:szCs w:val="24"/>
        </w:rPr>
      </w:pPr>
      <w:r>
        <w:rPr>
          <w:rFonts w:ascii="宋体" w:hAnsi="宋体" w:cs="Arial"/>
          <w:kern w:val="0"/>
          <w:sz w:val="24"/>
          <w:szCs w:val="24"/>
        </w:rPr>
        <w:t>3.6</w:t>
      </w:r>
      <w:r>
        <w:rPr>
          <w:rFonts w:ascii="宋体" w:cs="Arial"/>
          <w:kern w:val="0"/>
          <w:sz w:val="24"/>
          <w:szCs w:val="24"/>
        </w:rPr>
        <w:t>.</w:t>
      </w:r>
      <w:r>
        <w:rPr>
          <w:rFonts w:ascii="宋体" w:hAnsi="宋体" w:cs="Arial"/>
          <w:kern w:val="0"/>
          <w:sz w:val="24"/>
          <w:szCs w:val="24"/>
        </w:rPr>
        <w:t>3</w:t>
      </w:r>
      <w:r>
        <w:rPr>
          <w:rFonts w:hint="eastAsia" w:ascii="宋体" w:hAnsi="宋体" w:cs="Arial"/>
          <w:color w:val="000000"/>
          <w:kern w:val="0"/>
          <w:sz w:val="24"/>
          <w:szCs w:val="24"/>
          <w:lang w:eastAsia="zh-CN"/>
        </w:rPr>
        <w:t>招标</w:t>
      </w:r>
      <w:r>
        <w:rPr>
          <w:rFonts w:hint="eastAsia" w:ascii="宋体" w:hAnsi="宋体" w:cs="Arial"/>
          <w:color w:val="000000"/>
          <w:kern w:val="0"/>
          <w:sz w:val="24"/>
          <w:szCs w:val="24"/>
        </w:rPr>
        <w:t>小组</w:t>
      </w:r>
      <w:r>
        <w:rPr>
          <w:rFonts w:hint="eastAsia" w:ascii="宋体" w:hAnsi="宋体" w:cs="Arial"/>
          <w:kern w:val="0"/>
          <w:sz w:val="24"/>
          <w:szCs w:val="24"/>
        </w:rPr>
        <w:t>针对需要投标人对</w:t>
      </w:r>
      <w:r>
        <w:rPr>
          <w:rFonts w:hint="eastAsia" w:ascii="宋体" w:hAnsi="宋体" w:cs="Arial"/>
          <w:color w:val="000000"/>
          <w:kern w:val="0"/>
          <w:sz w:val="24"/>
          <w:szCs w:val="24"/>
        </w:rPr>
        <w:t>所提交投标文件中不明确的内容进行书面澄清、说明或补正。</w:t>
      </w:r>
      <w:r>
        <w:rPr>
          <w:rFonts w:hint="eastAsia" w:ascii="宋体" w:hAnsi="宋体" w:cs="Arial"/>
          <w:kern w:val="0"/>
          <w:sz w:val="24"/>
          <w:szCs w:val="24"/>
        </w:rPr>
        <w:t>澄清通知不得向投标人提出带有暗示性或诱导性问题，或向其明确投标文件中的遗漏和错误。</w:t>
      </w:r>
      <w:r>
        <w:rPr>
          <w:rFonts w:hint="eastAsia" w:ascii="宋体" w:hAnsi="宋体" w:cs="Arial"/>
          <w:color w:val="000000"/>
          <w:kern w:val="0"/>
          <w:sz w:val="24"/>
          <w:szCs w:val="24"/>
        </w:rPr>
        <w:t>投标人接到</w:t>
      </w:r>
      <w:r>
        <w:rPr>
          <w:rFonts w:hint="eastAsia" w:ascii="宋体" w:hAnsi="宋体" w:cs="Arial"/>
          <w:color w:val="000000"/>
          <w:kern w:val="0"/>
          <w:sz w:val="24"/>
          <w:szCs w:val="24"/>
          <w:lang w:eastAsia="zh-CN"/>
        </w:rPr>
        <w:t>招标</w:t>
      </w:r>
      <w:r>
        <w:rPr>
          <w:rFonts w:hint="eastAsia" w:ascii="宋体" w:hAnsi="宋体" w:cs="Arial"/>
          <w:color w:val="000000"/>
          <w:kern w:val="0"/>
          <w:sz w:val="24"/>
          <w:szCs w:val="24"/>
        </w:rPr>
        <w:t>小组发出的书面澄清通知后，应按</w:t>
      </w:r>
      <w:r>
        <w:rPr>
          <w:rFonts w:hint="eastAsia" w:ascii="宋体" w:hAnsi="宋体" w:cs="Arial"/>
          <w:color w:val="000000"/>
          <w:kern w:val="0"/>
          <w:sz w:val="24"/>
          <w:szCs w:val="24"/>
          <w:lang w:eastAsia="zh-CN"/>
        </w:rPr>
        <w:t>招标</w:t>
      </w:r>
      <w:r>
        <w:rPr>
          <w:rFonts w:hint="eastAsia" w:ascii="宋体" w:hAnsi="宋体" w:cs="Arial"/>
          <w:color w:val="000000"/>
          <w:kern w:val="0"/>
          <w:sz w:val="24"/>
          <w:szCs w:val="24"/>
        </w:rPr>
        <w:t>小组的要求提供书面澄清资料，并在规定的时间递交到指定地点。</w:t>
      </w:r>
      <w:r>
        <w:rPr>
          <w:rFonts w:hint="eastAsia" w:ascii="宋体" w:hAnsi="宋体" w:cs="Arial"/>
          <w:color w:val="000000"/>
          <w:kern w:val="0"/>
          <w:sz w:val="24"/>
          <w:szCs w:val="24"/>
          <w:lang w:eastAsia="zh-CN"/>
        </w:rPr>
        <w:t>招标</w:t>
      </w:r>
      <w:r>
        <w:rPr>
          <w:rFonts w:hint="eastAsia" w:ascii="宋体" w:hAnsi="宋体" w:cs="Arial"/>
          <w:color w:val="000000"/>
          <w:kern w:val="0"/>
          <w:sz w:val="24"/>
          <w:szCs w:val="24"/>
        </w:rPr>
        <w:t>小组不接受投标人主动提出的澄清、说明或补正。</w:t>
      </w:r>
    </w:p>
    <w:p w14:paraId="587E8A5A">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3.6.4</w:t>
      </w:r>
      <w:r>
        <w:rPr>
          <w:rFonts w:hint="eastAsia" w:ascii="宋体" w:hAnsi="宋体" w:cs="Arial"/>
          <w:kern w:val="0"/>
          <w:sz w:val="24"/>
          <w:szCs w:val="24"/>
          <w:lang w:eastAsia="zh-CN"/>
        </w:rPr>
        <w:t>招标</w:t>
      </w:r>
      <w:r>
        <w:rPr>
          <w:rFonts w:hint="eastAsia" w:ascii="宋体" w:hAnsi="宋体" w:cs="Arial"/>
          <w:kern w:val="0"/>
          <w:sz w:val="24"/>
          <w:szCs w:val="24"/>
        </w:rPr>
        <w:t>小组对投标人提交的澄清、说明或补正有疑问的，可以要求投标人进一步澄清、说明或补正，直至满足</w:t>
      </w:r>
      <w:r>
        <w:rPr>
          <w:rFonts w:hint="eastAsia" w:ascii="宋体" w:hAnsi="宋体" w:cs="Arial"/>
          <w:kern w:val="0"/>
          <w:sz w:val="24"/>
          <w:szCs w:val="24"/>
          <w:lang w:eastAsia="zh-CN"/>
        </w:rPr>
        <w:t>招标</w:t>
      </w:r>
      <w:r>
        <w:rPr>
          <w:rFonts w:hint="eastAsia" w:ascii="宋体" w:hAnsi="宋体" w:cs="Arial"/>
          <w:kern w:val="0"/>
          <w:sz w:val="24"/>
          <w:szCs w:val="24"/>
        </w:rPr>
        <w:t>小组的要求。</w:t>
      </w:r>
    </w:p>
    <w:p w14:paraId="0D7057B8">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3.7</w:t>
      </w:r>
      <w:r>
        <w:rPr>
          <w:rFonts w:hint="eastAsia" w:ascii="宋体" w:hAnsi="宋体" w:cs="Arial"/>
          <w:kern w:val="0"/>
          <w:sz w:val="24"/>
          <w:szCs w:val="24"/>
        </w:rPr>
        <w:t>推荐中标候选人名单及提交评标报告</w:t>
      </w:r>
    </w:p>
    <w:p w14:paraId="5F124F33">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3.7.1 </w:t>
      </w:r>
      <w:r>
        <w:rPr>
          <w:rFonts w:hint="eastAsia" w:ascii="宋体" w:hAnsi="宋体" w:cs="Arial"/>
          <w:kern w:val="0"/>
          <w:sz w:val="24"/>
          <w:szCs w:val="24"/>
          <w:lang w:eastAsia="zh-CN"/>
        </w:rPr>
        <w:t>招标</w:t>
      </w:r>
      <w:r>
        <w:rPr>
          <w:rFonts w:hint="eastAsia" w:ascii="宋体" w:hAnsi="宋体" w:cs="Arial"/>
          <w:kern w:val="0"/>
          <w:sz w:val="24"/>
          <w:szCs w:val="24"/>
        </w:rPr>
        <w:t>小组推荐中标候选人名单，排序前三的投标人将被确定为中标候选人单位。</w:t>
      </w:r>
    </w:p>
    <w:p w14:paraId="79F85FB9">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3.7.2 </w:t>
      </w:r>
      <w:r>
        <w:rPr>
          <w:rFonts w:hint="eastAsia" w:ascii="宋体" w:hAnsi="宋体" w:cs="Arial"/>
          <w:kern w:val="0"/>
          <w:sz w:val="24"/>
          <w:szCs w:val="24"/>
        </w:rPr>
        <w:t>有效投标人数量少于三个或者所有投标被否决的，采购人应当依法重新招标。</w:t>
      </w:r>
    </w:p>
    <w:p w14:paraId="0007177F">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3.7.3 </w:t>
      </w:r>
      <w:r>
        <w:rPr>
          <w:rFonts w:hint="eastAsia" w:ascii="宋体" w:hAnsi="宋体" w:cs="Arial"/>
          <w:kern w:val="0"/>
          <w:sz w:val="24"/>
          <w:szCs w:val="24"/>
          <w:lang w:eastAsia="zh-CN"/>
        </w:rPr>
        <w:t>招标</w:t>
      </w:r>
      <w:r>
        <w:rPr>
          <w:rFonts w:hint="eastAsia" w:ascii="宋体" w:hAnsi="宋体" w:cs="Arial"/>
          <w:kern w:val="0"/>
          <w:sz w:val="24"/>
          <w:szCs w:val="24"/>
        </w:rPr>
        <w:t>小组完成评标后，应当向采购人提交书面评标报告。</w:t>
      </w:r>
    </w:p>
    <w:p w14:paraId="6DA18C9C">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3.8</w:t>
      </w:r>
      <w:r>
        <w:rPr>
          <w:rFonts w:hint="eastAsia" w:ascii="宋体" w:hAnsi="宋体" w:cs="Arial"/>
          <w:kern w:val="0"/>
          <w:sz w:val="24"/>
          <w:szCs w:val="24"/>
        </w:rPr>
        <w:t>特殊情况的处置程序</w:t>
      </w:r>
    </w:p>
    <w:p w14:paraId="470F8CAA">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3.8.1 </w:t>
      </w:r>
      <w:r>
        <w:rPr>
          <w:rFonts w:hint="eastAsia" w:ascii="宋体" w:hAnsi="宋体" w:cs="Arial"/>
          <w:kern w:val="0"/>
          <w:sz w:val="24"/>
          <w:szCs w:val="24"/>
        </w:rPr>
        <w:t>关于评标活动暂停</w:t>
      </w:r>
    </w:p>
    <w:p w14:paraId="3DF6ECC9">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lang w:eastAsia="zh-CN"/>
        </w:rPr>
        <w:t>招标</w:t>
      </w:r>
      <w:r>
        <w:rPr>
          <w:rFonts w:hint="eastAsia" w:ascii="宋体" w:hAnsi="宋体" w:cs="Arial"/>
          <w:kern w:val="0"/>
          <w:sz w:val="24"/>
          <w:szCs w:val="24"/>
        </w:rPr>
        <w:t>小组应当执行连续评标的原则，按评标办法中规定的程序、内容、方法、标准完成全部评标工作。只有发生不可抗力导致评标工作无法继续时，评标活动方可暂停。发生评标暂停情况时，应当封存全部投标文件和评标记录，待不可抗力的影响结束且具备继续评标的条件时，由原</w:t>
      </w:r>
      <w:r>
        <w:rPr>
          <w:rFonts w:hint="eastAsia" w:ascii="宋体" w:hAnsi="宋体" w:cs="Arial"/>
          <w:kern w:val="0"/>
          <w:sz w:val="24"/>
          <w:szCs w:val="24"/>
          <w:lang w:eastAsia="zh-CN"/>
        </w:rPr>
        <w:t>招标</w:t>
      </w:r>
      <w:r>
        <w:rPr>
          <w:rFonts w:hint="eastAsia" w:ascii="宋体" w:hAnsi="宋体" w:cs="Arial"/>
          <w:kern w:val="0"/>
          <w:sz w:val="24"/>
          <w:szCs w:val="24"/>
        </w:rPr>
        <w:t>小组继续评标。</w:t>
      </w:r>
    </w:p>
    <w:p w14:paraId="59C5654B">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3.8.2</w:t>
      </w:r>
      <w:r>
        <w:rPr>
          <w:rFonts w:hint="eastAsia" w:ascii="宋体" w:hAnsi="宋体" w:cs="Arial"/>
          <w:kern w:val="0"/>
          <w:sz w:val="24"/>
          <w:szCs w:val="24"/>
        </w:rPr>
        <w:t>关于评标中途更换评委</w:t>
      </w:r>
    </w:p>
    <w:p w14:paraId="117522A4">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3.8.2.1 </w:t>
      </w:r>
      <w:r>
        <w:rPr>
          <w:rFonts w:hint="eastAsia" w:ascii="宋体" w:hAnsi="宋体" w:cs="Arial"/>
          <w:kern w:val="0"/>
          <w:sz w:val="24"/>
          <w:szCs w:val="24"/>
        </w:rPr>
        <w:t>除非发生下列情况之一，</w:t>
      </w:r>
      <w:r>
        <w:rPr>
          <w:rFonts w:hint="eastAsia" w:ascii="宋体" w:hAnsi="宋体" w:cs="Arial"/>
          <w:kern w:val="0"/>
          <w:sz w:val="24"/>
          <w:szCs w:val="24"/>
          <w:lang w:eastAsia="zh-CN"/>
        </w:rPr>
        <w:t>招标</w:t>
      </w:r>
      <w:r>
        <w:rPr>
          <w:rFonts w:hint="eastAsia" w:ascii="宋体" w:hAnsi="宋体" w:cs="Arial"/>
          <w:kern w:val="0"/>
          <w:sz w:val="24"/>
          <w:szCs w:val="24"/>
        </w:rPr>
        <w:t>小组成员不得在评标中途更换：</w:t>
      </w:r>
    </w:p>
    <w:p w14:paraId="0D898BE0">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1</w:t>
      </w:r>
      <w:r>
        <w:rPr>
          <w:rFonts w:hint="eastAsia" w:ascii="宋体" w:hAnsi="宋体" w:cs="Arial"/>
          <w:kern w:val="0"/>
          <w:sz w:val="24"/>
          <w:szCs w:val="24"/>
        </w:rPr>
        <w:t>）因不可抗拒的客观原因，不能到场或需在评标中途退出评标活动。</w:t>
      </w:r>
    </w:p>
    <w:p w14:paraId="49E7795B">
      <w:pPr>
        <w:widowControl/>
        <w:shd w:val="clear" w:color="auto"/>
        <w:snapToGrid w:val="0"/>
        <w:spacing w:line="360" w:lineRule="auto"/>
        <w:ind w:firstLine="480" w:firstLineChars="200"/>
        <w:rPr>
          <w:rFonts w:ascii="宋体" w:cs="Arial"/>
          <w:kern w:val="0"/>
          <w:sz w:val="24"/>
          <w:szCs w:val="24"/>
        </w:rPr>
      </w:pPr>
      <w:r>
        <w:rPr>
          <w:rFonts w:hint="eastAsia" w:ascii="宋体" w:hAnsi="宋体" w:cs="Arial"/>
          <w:kern w:val="0"/>
          <w:sz w:val="24"/>
          <w:szCs w:val="24"/>
        </w:rPr>
        <w:t>（</w:t>
      </w:r>
      <w:r>
        <w:rPr>
          <w:rFonts w:ascii="宋体" w:hAnsi="宋体" w:cs="Arial"/>
          <w:kern w:val="0"/>
          <w:sz w:val="24"/>
          <w:szCs w:val="24"/>
        </w:rPr>
        <w:t>2</w:t>
      </w:r>
      <w:r>
        <w:rPr>
          <w:rFonts w:hint="eastAsia" w:ascii="宋体" w:hAnsi="宋体" w:cs="Arial"/>
          <w:kern w:val="0"/>
          <w:sz w:val="24"/>
          <w:szCs w:val="24"/>
        </w:rPr>
        <w:t>）根据法律法规规定，某个或某几个</w:t>
      </w:r>
      <w:r>
        <w:rPr>
          <w:rFonts w:hint="eastAsia" w:ascii="宋体" w:hAnsi="宋体" w:cs="Arial"/>
          <w:kern w:val="0"/>
          <w:sz w:val="24"/>
          <w:szCs w:val="24"/>
          <w:lang w:eastAsia="zh-CN"/>
        </w:rPr>
        <w:t>招标</w:t>
      </w:r>
      <w:r>
        <w:rPr>
          <w:rFonts w:hint="eastAsia" w:ascii="宋体" w:hAnsi="宋体" w:cs="Arial"/>
          <w:kern w:val="0"/>
          <w:sz w:val="24"/>
          <w:szCs w:val="24"/>
        </w:rPr>
        <w:t>小组成员需要回避。</w:t>
      </w:r>
    </w:p>
    <w:p w14:paraId="3FE87FCE">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3.8.2.2 </w:t>
      </w:r>
      <w:r>
        <w:rPr>
          <w:rFonts w:hint="eastAsia" w:ascii="宋体" w:hAnsi="宋体" w:cs="Arial"/>
          <w:kern w:val="0"/>
          <w:sz w:val="24"/>
          <w:szCs w:val="24"/>
        </w:rPr>
        <w:t>退出评标的</w:t>
      </w:r>
      <w:r>
        <w:rPr>
          <w:rFonts w:hint="eastAsia" w:ascii="宋体" w:hAnsi="宋体" w:cs="Arial"/>
          <w:kern w:val="0"/>
          <w:sz w:val="24"/>
          <w:szCs w:val="24"/>
          <w:lang w:eastAsia="zh-CN"/>
        </w:rPr>
        <w:t>招标</w:t>
      </w:r>
      <w:r>
        <w:rPr>
          <w:rFonts w:hint="eastAsia" w:ascii="宋体" w:hAnsi="宋体" w:cs="Arial"/>
          <w:kern w:val="0"/>
          <w:sz w:val="24"/>
          <w:szCs w:val="24"/>
        </w:rPr>
        <w:t>小组成员，其已完成的评标行为无效，由更换的评委进行评标。</w:t>
      </w:r>
    </w:p>
    <w:p w14:paraId="7CA0E6A0">
      <w:pPr>
        <w:widowControl/>
        <w:shd w:val="clear" w:color="auto"/>
        <w:snapToGrid w:val="0"/>
        <w:spacing w:line="360" w:lineRule="auto"/>
        <w:ind w:firstLine="480" w:firstLineChars="200"/>
        <w:rPr>
          <w:rFonts w:ascii="宋体" w:cs="Arial"/>
          <w:kern w:val="0"/>
          <w:sz w:val="24"/>
          <w:szCs w:val="24"/>
        </w:rPr>
      </w:pPr>
      <w:r>
        <w:rPr>
          <w:rFonts w:ascii="宋体" w:hAnsi="宋体" w:cs="Arial"/>
          <w:kern w:val="0"/>
          <w:sz w:val="24"/>
          <w:szCs w:val="24"/>
        </w:rPr>
        <w:t xml:space="preserve">3.8.3 </w:t>
      </w:r>
      <w:r>
        <w:rPr>
          <w:rFonts w:hint="eastAsia" w:ascii="宋体" w:hAnsi="宋体" w:cs="Arial"/>
          <w:kern w:val="0"/>
          <w:sz w:val="24"/>
          <w:szCs w:val="24"/>
        </w:rPr>
        <w:t>在评标环节中，需</w:t>
      </w:r>
      <w:r>
        <w:rPr>
          <w:rFonts w:hint="eastAsia" w:ascii="宋体" w:hAnsi="宋体" w:cs="Arial"/>
          <w:kern w:val="0"/>
          <w:sz w:val="24"/>
          <w:szCs w:val="24"/>
          <w:lang w:eastAsia="zh-CN"/>
        </w:rPr>
        <w:t>招标</w:t>
      </w:r>
      <w:r>
        <w:rPr>
          <w:rFonts w:hint="eastAsia" w:ascii="宋体" w:hAnsi="宋体" w:cs="Arial"/>
          <w:kern w:val="0"/>
          <w:sz w:val="24"/>
          <w:szCs w:val="24"/>
        </w:rPr>
        <w:t>小组就某项定性的评审结论做出表决的，由</w:t>
      </w:r>
      <w:r>
        <w:rPr>
          <w:rFonts w:hint="eastAsia" w:ascii="宋体" w:hAnsi="宋体" w:cs="Arial"/>
          <w:kern w:val="0"/>
          <w:sz w:val="24"/>
          <w:szCs w:val="24"/>
          <w:lang w:eastAsia="zh-CN"/>
        </w:rPr>
        <w:t>招标</w:t>
      </w:r>
      <w:r>
        <w:rPr>
          <w:rFonts w:hint="eastAsia" w:ascii="宋体" w:hAnsi="宋体" w:cs="Arial"/>
          <w:kern w:val="0"/>
          <w:sz w:val="24"/>
          <w:szCs w:val="24"/>
        </w:rPr>
        <w:t>小组全体成员按照少数服从多数的原则确定。</w:t>
      </w:r>
    </w:p>
    <w:p w14:paraId="01768EB6">
      <w:pPr>
        <w:shd w:val="clear"/>
        <w:rPr>
          <w:rFonts w:ascii="宋体" w:cs="Arial"/>
          <w:kern w:val="0"/>
          <w:sz w:val="24"/>
          <w:szCs w:val="24"/>
        </w:rPr>
      </w:pPr>
      <w:r>
        <w:rPr>
          <w:rFonts w:ascii="宋体" w:cs="Arial"/>
          <w:kern w:val="0"/>
          <w:sz w:val="24"/>
          <w:szCs w:val="24"/>
        </w:rPr>
        <w:br w:type="page"/>
      </w:r>
      <w:bookmarkStart w:id="73" w:name="_Toc485312286"/>
    </w:p>
    <w:p w14:paraId="798DC59C">
      <w:pPr>
        <w:shd w:val="clear"/>
        <w:spacing w:line="440" w:lineRule="exact"/>
        <w:jc w:val="center"/>
        <w:outlineLvl w:val="0"/>
        <w:rPr>
          <w:rFonts w:hint="eastAsia" w:ascii="宋体" w:eastAsia="宋体" w:cs="宋体"/>
          <w:b/>
          <w:sz w:val="32"/>
          <w:szCs w:val="32"/>
          <w:lang w:eastAsia="zh-CN"/>
        </w:rPr>
      </w:pPr>
      <w:bookmarkStart w:id="74" w:name="_Toc529175841"/>
      <w:r>
        <w:rPr>
          <w:rFonts w:hint="eastAsia" w:ascii="宋体" w:hAnsi="宋体" w:cs="宋体"/>
          <w:b/>
          <w:sz w:val="32"/>
          <w:szCs w:val="32"/>
        </w:rPr>
        <w:t>第三章</w:t>
      </w:r>
      <w:r>
        <w:rPr>
          <w:rFonts w:hint="eastAsia" w:ascii="宋体" w:hAnsi="宋体" w:cs="宋体"/>
          <w:b/>
          <w:sz w:val="32"/>
          <w:szCs w:val="32"/>
          <w:lang w:val="en-US" w:eastAsia="zh-CN"/>
        </w:rPr>
        <w:t xml:space="preserve">   采购</w:t>
      </w:r>
      <w:r>
        <w:rPr>
          <w:rFonts w:hint="eastAsia" w:ascii="宋体" w:hAnsi="宋体" w:cs="宋体"/>
          <w:b/>
          <w:sz w:val="32"/>
          <w:szCs w:val="32"/>
        </w:rPr>
        <w:t>合同</w:t>
      </w:r>
      <w:bookmarkEnd w:id="73"/>
      <w:bookmarkEnd w:id="74"/>
      <w:r>
        <w:rPr>
          <w:rFonts w:hint="eastAsia" w:ascii="宋体" w:hAnsi="宋体" w:cs="宋体"/>
          <w:b/>
          <w:sz w:val="32"/>
          <w:szCs w:val="32"/>
          <w:lang w:eastAsia="zh-CN"/>
        </w:rPr>
        <w:t>（</w:t>
      </w:r>
      <w:r>
        <w:rPr>
          <w:rFonts w:hint="eastAsia" w:ascii="宋体" w:hAnsi="宋体" w:cs="宋体"/>
          <w:b/>
          <w:sz w:val="32"/>
          <w:szCs w:val="32"/>
          <w:lang w:val="en-US" w:eastAsia="zh-CN"/>
        </w:rPr>
        <w:t>仅供参考</w:t>
      </w:r>
      <w:r>
        <w:rPr>
          <w:rFonts w:hint="eastAsia" w:ascii="宋体" w:hAnsi="宋体" w:cs="宋体"/>
          <w:b/>
          <w:sz w:val="32"/>
          <w:szCs w:val="32"/>
          <w:lang w:eastAsia="zh-CN"/>
        </w:rPr>
        <w:t>）</w:t>
      </w:r>
    </w:p>
    <w:p w14:paraId="3E085E18">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p>
    <w:p w14:paraId="2CB4CD21">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甲方：</w:t>
      </w:r>
    </w:p>
    <w:p w14:paraId="280A559D">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p>
    <w:p w14:paraId="2CFA7CA7">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乙方：</w:t>
      </w:r>
      <w:bookmarkStart w:id="75" w:name="_Toc20772"/>
      <w:bookmarkStart w:id="76" w:name="_Toc31612"/>
    </w:p>
    <w:p w14:paraId="68CA5EE1">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p>
    <w:p w14:paraId="6F9F49F2">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第一条  总则</w:t>
      </w:r>
      <w:bookmarkEnd w:id="75"/>
      <w:bookmarkEnd w:id="76"/>
    </w:p>
    <w:p w14:paraId="6487E100">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根据《中华人民共和国</w:t>
      </w:r>
      <w:r>
        <w:rPr>
          <w:rFonts w:hint="eastAsia" w:ascii="宋体" w:hAnsi="宋体" w:eastAsia="宋体" w:cs="宋体"/>
          <w:color w:val="000000"/>
          <w:spacing w:val="-2"/>
          <w:sz w:val="24"/>
          <w:szCs w:val="24"/>
          <w:lang w:val="en-US" w:eastAsia="zh-CN"/>
        </w:rPr>
        <w:t>民法典</w:t>
      </w:r>
      <w:r>
        <w:rPr>
          <w:rFonts w:hint="eastAsia" w:ascii="宋体" w:hAnsi="宋体" w:eastAsia="宋体" w:cs="宋体"/>
          <w:color w:val="000000"/>
          <w:spacing w:val="-2"/>
          <w:sz w:val="24"/>
          <w:szCs w:val="24"/>
        </w:rPr>
        <w:t>》有关规定，并按照《关于转发&lt;财政部关于进一步加强财政部门和预算单位资金存放管理的指导意见&gt;的通知》规定。甲方就</w:t>
      </w:r>
      <w:r>
        <w:rPr>
          <w:rFonts w:hint="eastAsia" w:ascii="宋体" w:hAnsi="宋体" w:cs="宋体"/>
          <w:color w:val="000000"/>
          <w:spacing w:val="-2"/>
          <w:sz w:val="24"/>
          <w:szCs w:val="24"/>
          <w:lang w:val="en-US" w:eastAsia="zh-CN"/>
        </w:rPr>
        <w:t>鄯善县2025年社会保险基金转出开户银行开展定期存款服务项目</w:t>
      </w:r>
      <w:r>
        <w:rPr>
          <w:rFonts w:hint="eastAsia" w:ascii="宋体" w:hAnsi="宋体" w:eastAsia="宋体" w:cs="宋体"/>
          <w:color w:val="000000"/>
          <w:spacing w:val="-2"/>
          <w:sz w:val="24"/>
          <w:szCs w:val="24"/>
        </w:rPr>
        <w:t>，在乙方开展定期大额存款操作事宜，经甲乙双方平等协商，签订本协议。</w:t>
      </w:r>
    </w:p>
    <w:p w14:paraId="45482ED6">
      <w:pPr>
        <w:pageBreakBefore w:val="0"/>
        <w:widowControl w:val="0"/>
        <w:kinsoku/>
        <w:wordWrap/>
        <w:overflowPunct/>
        <w:topLinePunct w:val="0"/>
        <w:bidi w:val="0"/>
        <w:snapToGrid/>
        <w:spacing w:line="400" w:lineRule="exact"/>
        <w:ind w:firstLine="472" w:firstLineChars="200"/>
        <w:textAlignment w:val="auto"/>
        <w:outlineLvl w:val="0"/>
        <w:rPr>
          <w:rFonts w:hint="eastAsia" w:ascii="宋体" w:hAnsi="宋体" w:eastAsia="宋体" w:cs="宋体"/>
          <w:color w:val="000000"/>
          <w:spacing w:val="-2"/>
          <w:sz w:val="24"/>
          <w:szCs w:val="24"/>
        </w:rPr>
      </w:pPr>
      <w:bookmarkStart w:id="77" w:name="_Toc26688"/>
      <w:bookmarkStart w:id="78" w:name="_Toc26580"/>
      <w:r>
        <w:rPr>
          <w:rFonts w:hint="eastAsia" w:ascii="宋体" w:hAnsi="宋体" w:eastAsia="宋体" w:cs="宋体"/>
          <w:color w:val="000000"/>
          <w:spacing w:val="-2"/>
          <w:sz w:val="24"/>
          <w:szCs w:val="24"/>
        </w:rPr>
        <w:t>第二条  甲方权利和义务</w:t>
      </w:r>
      <w:bookmarkEnd w:id="77"/>
      <w:bookmarkEnd w:id="78"/>
    </w:p>
    <w:p w14:paraId="7811DB03">
      <w:pPr>
        <w:pageBreakBefore w:val="0"/>
        <w:widowControl w:val="0"/>
        <w:kinsoku/>
        <w:wordWrap/>
        <w:overflowPunct/>
        <w:topLinePunct w:val="0"/>
        <w:bidi w:val="0"/>
        <w:snapToGrid/>
        <w:spacing w:line="400" w:lineRule="exact"/>
        <w:ind w:firstLine="472" w:firstLineChars="200"/>
        <w:textAlignment w:val="auto"/>
        <w:outlineLvl w:val="1"/>
        <w:rPr>
          <w:rFonts w:hint="eastAsia" w:ascii="宋体" w:hAnsi="宋体" w:eastAsia="宋体" w:cs="宋体"/>
          <w:color w:val="000000"/>
          <w:spacing w:val="-2"/>
          <w:sz w:val="24"/>
          <w:szCs w:val="24"/>
        </w:rPr>
      </w:pPr>
      <w:bookmarkStart w:id="79" w:name="_Toc22131"/>
      <w:r>
        <w:rPr>
          <w:rFonts w:hint="eastAsia" w:ascii="宋体" w:hAnsi="宋体" w:eastAsia="宋体" w:cs="宋体"/>
          <w:color w:val="000000"/>
          <w:spacing w:val="-2"/>
          <w:sz w:val="24"/>
          <w:szCs w:val="24"/>
        </w:rPr>
        <w:t>（一）权利</w:t>
      </w:r>
      <w:bookmarkEnd w:id="79"/>
    </w:p>
    <w:p w14:paraId="58BE3AD9">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1.组织实施</w:t>
      </w:r>
      <w:r>
        <w:rPr>
          <w:rFonts w:hint="eastAsia" w:ascii="宋体" w:hAnsi="宋体" w:cs="宋体"/>
          <w:color w:val="000000"/>
          <w:spacing w:val="-2"/>
          <w:sz w:val="24"/>
          <w:szCs w:val="24"/>
          <w:lang w:val="en-US" w:eastAsia="zh-CN"/>
        </w:rPr>
        <w:t>鄯善县2025年社会保险基金转出开户银行开展定期存款服务项目</w:t>
      </w:r>
      <w:r>
        <w:rPr>
          <w:rFonts w:hint="eastAsia" w:ascii="宋体" w:hAnsi="宋体" w:eastAsia="宋体" w:cs="宋体"/>
          <w:color w:val="000000"/>
          <w:spacing w:val="-2"/>
          <w:sz w:val="24"/>
          <w:szCs w:val="24"/>
        </w:rPr>
        <w:t>管理工作；</w:t>
      </w:r>
    </w:p>
    <w:p w14:paraId="791F8802">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2.依据中标结果，组织分配资金，确定资金存放开展时间和资金存放期限；</w:t>
      </w:r>
    </w:p>
    <w:p w14:paraId="6D9FEF24">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3.乙方未及时、足额划转到期的定期大额存款本息时，甲方有权向乙方催缴资金；到期日后的第2个工作日，乙方仍未足额划转存款本息，甲方按有关规定对乙方总行追索；</w:t>
      </w:r>
    </w:p>
    <w:p w14:paraId="07D899BA">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4.对乙方参与财政专户资金的管理活动实施监督检查；</w:t>
      </w:r>
    </w:p>
    <w:p w14:paraId="5D482950">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5.根据管理需要提前收回存放在乙方的全部或部分定期存款，存款利率按照已经存放的期限取整月执行中标利率执行；</w:t>
      </w:r>
    </w:p>
    <w:p w14:paraId="3353D8A9">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6.负责解释本协议的有关条款。</w:t>
      </w:r>
    </w:p>
    <w:p w14:paraId="1B21C58C">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7.对乙方有关违约行为进行认定和追责处理；</w:t>
      </w:r>
    </w:p>
    <w:p w14:paraId="128FC2DE">
      <w:pPr>
        <w:pageBreakBefore w:val="0"/>
        <w:widowControl w:val="0"/>
        <w:kinsoku/>
        <w:wordWrap/>
        <w:overflowPunct/>
        <w:topLinePunct w:val="0"/>
        <w:bidi w:val="0"/>
        <w:snapToGrid/>
        <w:spacing w:line="400" w:lineRule="exact"/>
        <w:ind w:firstLine="472" w:firstLineChars="200"/>
        <w:textAlignment w:val="auto"/>
        <w:outlineLvl w:val="1"/>
        <w:rPr>
          <w:rFonts w:hint="eastAsia" w:ascii="宋体" w:hAnsi="宋体" w:eastAsia="宋体" w:cs="宋体"/>
          <w:color w:val="000000"/>
          <w:spacing w:val="-2"/>
          <w:sz w:val="24"/>
          <w:szCs w:val="24"/>
        </w:rPr>
      </w:pPr>
      <w:bookmarkStart w:id="80" w:name="_Toc3762"/>
      <w:r>
        <w:rPr>
          <w:rFonts w:hint="eastAsia" w:ascii="宋体" w:hAnsi="宋体" w:eastAsia="宋体" w:cs="宋体"/>
          <w:color w:val="000000"/>
          <w:spacing w:val="-2"/>
          <w:sz w:val="24"/>
          <w:szCs w:val="24"/>
        </w:rPr>
        <w:t>（二）义务</w:t>
      </w:r>
      <w:bookmarkEnd w:id="80"/>
    </w:p>
    <w:p w14:paraId="404D6FA0">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1.根据乙方中标结果，依据分配的额度，将定期存大额款拨付到乙方备案的定期大额存款收款账户；</w:t>
      </w:r>
    </w:p>
    <w:p w14:paraId="44027251">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2.配合乙方开展定期大额存款资金存放手续履行，作好财政专户资金定期存款账务核算对账工作。</w:t>
      </w:r>
    </w:p>
    <w:p w14:paraId="36636EE0">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3.提前收回存款时，提前2个工作日通知乙方。</w:t>
      </w:r>
    </w:p>
    <w:p w14:paraId="06DC55CF">
      <w:pPr>
        <w:pageBreakBefore w:val="0"/>
        <w:widowControl w:val="0"/>
        <w:kinsoku/>
        <w:wordWrap/>
        <w:overflowPunct/>
        <w:topLinePunct w:val="0"/>
        <w:bidi w:val="0"/>
        <w:snapToGrid/>
        <w:spacing w:line="400" w:lineRule="exact"/>
        <w:ind w:firstLine="472" w:firstLineChars="200"/>
        <w:textAlignment w:val="auto"/>
        <w:outlineLvl w:val="0"/>
        <w:rPr>
          <w:rFonts w:hint="eastAsia" w:ascii="宋体" w:hAnsi="宋体" w:eastAsia="宋体" w:cs="宋体"/>
          <w:color w:val="000000"/>
          <w:spacing w:val="-2"/>
          <w:sz w:val="24"/>
          <w:szCs w:val="24"/>
        </w:rPr>
      </w:pPr>
      <w:bookmarkStart w:id="81" w:name="_Toc24760"/>
      <w:bookmarkStart w:id="82" w:name="_Toc17699"/>
      <w:r>
        <w:rPr>
          <w:rFonts w:hint="eastAsia" w:ascii="宋体" w:hAnsi="宋体" w:eastAsia="宋体" w:cs="宋体"/>
          <w:color w:val="000000"/>
          <w:spacing w:val="-2"/>
          <w:sz w:val="24"/>
          <w:szCs w:val="24"/>
        </w:rPr>
        <w:t>第三条  乙方权利和义务</w:t>
      </w:r>
      <w:bookmarkEnd w:id="81"/>
      <w:bookmarkEnd w:id="82"/>
    </w:p>
    <w:p w14:paraId="4C9A0B75">
      <w:pPr>
        <w:pageBreakBefore w:val="0"/>
        <w:widowControl w:val="0"/>
        <w:kinsoku/>
        <w:wordWrap/>
        <w:overflowPunct/>
        <w:topLinePunct w:val="0"/>
        <w:bidi w:val="0"/>
        <w:snapToGrid/>
        <w:spacing w:line="400" w:lineRule="exact"/>
        <w:ind w:firstLine="472" w:firstLineChars="200"/>
        <w:textAlignment w:val="auto"/>
        <w:outlineLvl w:val="1"/>
        <w:rPr>
          <w:rFonts w:hint="eastAsia" w:ascii="宋体" w:hAnsi="宋体" w:eastAsia="宋体" w:cs="宋体"/>
          <w:color w:val="000000"/>
          <w:spacing w:val="-2"/>
          <w:sz w:val="24"/>
          <w:szCs w:val="24"/>
        </w:rPr>
      </w:pPr>
      <w:bookmarkStart w:id="83" w:name="_Toc3382"/>
      <w:r>
        <w:rPr>
          <w:rFonts w:hint="eastAsia" w:ascii="宋体" w:hAnsi="宋体" w:eastAsia="宋体" w:cs="宋体"/>
          <w:color w:val="000000"/>
          <w:spacing w:val="-2"/>
          <w:sz w:val="24"/>
          <w:szCs w:val="24"/>
        </w:rPr>
        <w:t>（一）权利</w:t>
      </w:r>
      <w:bookmarkEnd w:id="83"/>
    </w:p>
    <w:p w14:paraId="5AF9CC42">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1.中标后按照规定获得定期大额存款资金；</w:t>
      </w:r>
    </w:p>
    <w:p w14:paraId="4BA9E68A">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2.向甲方提出改进财政专户资金管理工作的政策建议；</w:t>
      </w:r>
    </w:p>
    <w:p w14:paraId="63CEFF79">
      <w:pPr>
        <w:pageBreakBefore w:val="0"/>
        <w:widowControl w:val="0"/>
        <w:kinsoku/>
        <w:wordWrap/>
        <w:overflowPunct/>
        <w:topLinePunct w:val="0"/>
        <w:bidi w:val="0"/>
        <w:snapToGrid/>
        <w:spacing w:line="400" w:lineRule="exact"/>
        <w:ind w:firstLine="472" w:firstLineChars="200"/>
        <w:textAlignment w:val="auto"/>
        <w:outlineLvl w:val="1"/>
        <w:rPr>
          <w:rFonts w:hint="eastAsia" w:ascii="宋体" w:hAnsi="宋体" w:eastAsia="宋体" w:cs="宋体"/>
          <w:color w:val="000000"/>
          <w:spacing w:val="-2"/>
          <w:sz w:val="24"/>
          <w:szCs w:val="24"/>
        </w:rPr>
      </w:pPr>
      <w:bookmarkStart w:id="84" w:name="_Toc6136"/>
      <w:r>
        <w:rPr>
          <w:rFonts w:hint="eastAsia" w:ascii="宋体" w:hAnsi="宋体" w:eastAsia="宋体" w:cs="宋体"/>
          <w:color w:val="000000"/>
          <w:spacing w:val="-2"/>
          <w:sz w:val="24"/>
          <w:szCs w:val="24"/>
        </w:rPr>
        <w:t>（二）义务</w:t>
      </w:r>
      <w:bookmarkEnd w:id="84"/>
    </w:p>
    <w:p w14:paraId="2D41094B">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1.服从甲方在财政专户资金开展定期大额存款操作中的管理和政策解读；</w:t>
      </w:r>
    </w:p>
    <w:p w14:paraId="201F34E7">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2.依据投标承诺的大额存款利率和服务要求，准确办理定期大额存款有关手续。</w:t>
      </w:r>
    </w:p>
    <w:p w14:paraId="0F11F312">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3.收到甲方划拨定期大额存款当天向甲方开具定期大额存款证明，当天起息；</w:t>
      </w:r>
    </w:p>
    <w:p w14:paraId="770F96F2">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3.按法律法规要求规范办理定期大额存款，确保资金安全；</w:t>
      </w:r>
    </w:p>
    <w:p w14:paraId="053EBF8E">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4.定期大额存款到期，及时将存款本金和利息足额分开划回至</w:t>
      </w:r>
      <w:r>
        <w:rPr>
          <w:rFonts w:hint="eastAsia" w:ascii="宋体" w:hAnsi="宋体" w:cs="宋体"/>
          <w:color w:val="000000"/>
          <w:spacing w:val="-2"/>
          <w:sz w:val="24"/>
          <w:szCs w:val="24"/>
          <w:lang w:val="en-US" w:eastAsia="zh-CN"/>
        </w:rPr>
        <w:t>鄯善县</w:t>
      </w:r>
      <w:r>
        <w:rPr>
          <w:rFonts w:hint="eastAsia" w:ascii="宋体" w:hAnsi="宋体" w:eastAsia="宋体" w:cs="宋体"/>
          <w:color w:val="000000"/>
          <w:spacing w:val="-2"/>
          <w:sz w:val="24"/>
          <w:szCs w:val="24"/>
        </w:rPr>
        <w:t>财政局指定账户；若提前支取，及时配合甲方办理；</w:t>
      </w:r>
    </w:p>
    <w:p w14:paraId="6A8C5A79">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5.协议生效期间，接受甲方有关定期大额存款的监督与检查；</w:t>
      </w:r>
    </w:p>
    <w:p w14:paraId="3E752390">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6.出现可能影响定期大额存款资金安全的特殊重大事项等情况时，及时报告甲方。</w:t>
      </w:r>
    </w:p>
    <w:p w14:paraId="354AF9A7">
      <w:pPr>
        <w:pageBreakBefore w:val="0"/>
        <w:widowControl w:val="0"/>
        <w:kinsoku/>
        <w:wordWrap/>
        <w:overflowPunct/>
        <w:topLinePunct w:val="0"/>
        <w:bidi w:val="0"/>
        <w:snapToGrid/>
        <w:spacing w:line="400" w:lineRule="exact"/>
        <w:ind w:firstLine="472" w:firstLineChars="200"/>
        <w:textAlignment w:val="auto"/>
        <w:outlineLvl w:val="0"/>
        <w:rPr>
          <w:rFonts w:hint="eastAsia" w:ascii="宋体" w:hAnsi="宋体" w:eastAsia="宋体" w:cs="宋体"/>
          <w:color w:val="000000"/>
          <w:spacing w:val="-2"/>
          <w:sz w:val="24"/>
          <w:szCs w:val="24"/>
        </w:rPr>
      </w:pPr>
      <w:bookmarkStart w:id="85" w:name="_Toc1652"/>
      <w:bookmarkStart w:id="86" w:name="_Toc7989"/>
      <w:r>
        <w:rPr>
          <w:rFonts w:hint="eastAsia" w:ascii="宋体" w:hAnsi="宋体" w:eastAsia="宋体" w:cs="宋体"/>
          <w:color w:val="000000"/>
          <w:spacing w:val="-2"/>
          <w:sz w:val="24"/>
          <w:szCs w:val="24"/>
        </w:rPr>
        <w:t>第四条   违约责任</w:t>
      </w:r>
      <w:bookmarkEnd w:id="85"/>
      <w:bookmarkEnd w:id="86"/>
    </w:p>
    <w:p w14:paraId="2C124E2A">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1.乙方未及时按规定划回到期定期大额存款本金和利息的，按照逾期金额和时间，按日息0.05%向甲方支付违约金，直至全部资金收回。</w:t>
      </w:r>
    </w:p>
    <w:p w14:paraId="61E3AE98">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2.乙方在办理定期大额存款过程中存在不遵守法律法规和有关制度办法规定造成甲方资金损失的，乙方赔偿甲方损失，甲方取消其有关财政业务代理资格。</w:t>
      </w:r>
    </w:p>
    <w:p w14:paraId="23794104">
      <w:pPr>
        <w:pageBreakBefore w:val="0"/>
        <w:widowControl w:val="0"/>
        <w:kinsoku/>
        <w:wordWrap/>
        <w:overflowPunct/>
        <w:topLinePunct w:val="0"/>
        <w:bidi w:val="0"/>
        <w:snapToGrid/>
        <w:spacing w:line="400" w:lineRule="exact"/>
        <w:ind w:firstLine="472" w:firstLineChars="200"/>
        <w:textAlignment w:val="auto"/>
        <w:outlineLvl w:val="0"/>
        <w:rPr>
          <w:rFonts w:hint="eastAsia" w:ascii="宋体" w:hAnsi="宋体" w:eastAsia="宋体" w:cs="宋体"/>
          <w:color w:val="000000"/>
          <w:spacing w:val="-2"/>
          <w:sz w:val="24"/>
          <w:szCs w:val="24"/>
        </w:rPr>
      </w:pPr>
      <w:bookmarkStart w:id="87" w:name="_Toc17779"/>
      <w:bookmarkStart w:id="88" w:name="_Toc24994"/>
      <w:r>
        <w:rPr>
          <w:rFonts w:hint="eastAsia" w:ascii="宋体" w:hAnsi="宋体" w:eastAsia="宋体" w:cs="宋体"/>
          <w:color w:val="000000"/>
          <w:spacing w:val="-2"/>
          <w:sz w:val="24"/>
          <w:szCs w:val="24"/>
        </w:rPr>
        <w:t>第五条   附则</w:t>
      </w:r>
      <w:bookmarkEnd w:id="87"/>
      <w:bookmarkEnd w:id="88"/>
    </w:p>
    <w:p w14:paraId="5A26C563">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1.本协议未定事宜及对本协议的修改和解释，由甲方以书面形式作出；如乙方对本协议产生异议，由双方根据相关规定协商解决。</w:t>
      </w:r>
    </w:p>
    <w:p w14:paraId="27861A26">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2.本协议签订后，如无重大政策变更，一年内开展的定期大额存款业务，延用本协议规定，不再逐次签订。</w:t>
      </w:r>
    </w:p>
    <w:p w14:paraId="518475FE">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3.本协议经甲、乙双方法定代表人或授权代表签字盖章后生效，定期存款到期后，甲方收回到期本息全部资金后失效。</w:t>
      </w:r>
    </w:p>
    <w:p w14:paraId="368D869E">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4.本协议一式肆份，甲、乙双方各执贰份，具有同等法律效力。</w:t>
      </w:r>
    </w:p>
    <w:p w14:paraId="662E61AC">
      <w:pPr>
        <w:pageBreakBefore w:val="0"/>
        <w:widowControl w:val="0"/>
        <w:kinsoku/>
        <w:wordWrap/>
        <w:overflowPunct/>
        <w:topLinePunct w:val="0"/>
        <w:bidi w:val="0"/>
        <w:snapToGrid/>
        <w:spacing w:line="400" w:lineRule="exact"/>
        <w:textAlignment w:val="auto"/>
        <w:rPr>
          <w:rFonts w:hint="eastAsia" w:ascii="宋体" w:hAnsi="宋体" w:eastAsia="宋体" w:cs="宋体"/>
          <w:color w:val="000000"/>
          <w:spacing w:val="-2"/>
          <w:sz w:val="24"/>
          <w:szCs w:val="24"/>
        </w:rPr>
      </w:pPr>
    </w:p>
    <w:p w14:paraId="186B5CAE">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p>
    <w:p w14:paraId="5C3DE17D">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甲方代表签章:                      乙方代表签章:</w:t>
      </w:r>
    </w:p>
    <w:p w14:paraId="37B83D12">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(公章)                             (公章)</w:t>
      </w:r>
    </w:p>
    <w:p w14:paraId="67F7F902">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p>
    <w:p w14:paraId="02CA7596">
      <w:pPr>
        <w:pageBreakBefore w:val="0"/>
        <w:widowControl w:val="0"/>
        <w:kinsoku/>
        <w:wordWrap/>
        <w:overflowPunct/>
        <w:topLinePunct w:val="0"/>
        <w:bidi w:val="0"/>
        <w:snapToGrid/>
        <w:spacing w:line="400" w:lineRule="exact"/>
        <w:ind w:firstLine="472" w:firstLineChars="200"/>
        <w:textAlignment w:val="auto"/>
        <w:rPr>
          <w:rFonts w:hint="eastAsia" w:ascii="宋体" w:hAnsi="宋体" w:eastAsia="宋体" w:cs="宋体"/>
          <w:color w:val="000000"/>
          <w:spacing w:val="-2"/>
          <w:sz w:val="24"/>
          <w:szCs w:val="24"/>
        </w:rPr>
      </w:pPr>
      <w:r>
        <w:rPr>
          <w:rFonts w:hint="eastAsia" w:ascii="宋体" w:hAnsi="宋体" w:eastAsia="宋体" w:cs="宋体"/>
          <w:color w:val="000000"/>
          <w:spacing w:val="-2"/>
          <w:sz w:val="24"/>
          <w:szCs w:val="24"/>
        </w:rPr>
        <w:t>年</w:t>
      </w:r>
      <w:r>
        <w:rPr>
          <w:rFonts w:hint="eastAsia" w:ascii="宋体" w:hAnsi="宋体" w:cs="宋体"/>
          <w:color w:val="000000"/>
          <w:spacing w:val="-2"/>
          <w:sz w:val="24"/>
          <w:szCs w:val="24"/>
          <w:lang w:val="en-US" w:eastAsia="zh-CN"/>
        </w:rPr>
        <w:t xml:space="preserve"> </w:t>
      </w:r>
      <w:r>
        <w:rPr>
          <w:rFonts w:hint="eastAsia" w:ascii="宋体" w:hAnsi="宋体" w:eastAsia="宋体" w:cs="宋体"/>
          <w:color w:val="000000"/>
          <w:spacing w:val="-2"/>
          <w:sz w:val="24"/>
          <w:szCs w:val="24"/>
        </w:rPr>
        <w:t>月</w:t>
      </w:r>
      <w:r>
        <w:rPr>
          <w:rFonts w:hint="eastAsia" w:ascii="宋体" w:hAnsi="宋体" w:cs="宋体"/>
          <w:color w:val="000000"/>
          <w:spacing w:val="-2"/>
          <w:sz w:val="24"/>
          <w:szCs w:val="24"/>
          <w:lang w:val="en-US" w:eastAsia="zh-CN"/>
        </w:rPr>
        <w:t xml:space="preserve"> </w:t>
      </w:r>
      <w:r>
        <w:rPr>
          <w:rFonts w:hint="eastAsia" w:ascii="宋体" w:hAnsi="宋体" w:eastAsia="宋体" w:cs="宋体"/>
          <w:color w:val="000000"/>
          <w:spacing w:val="-2"/>
          <w:sz w:val="24"/>
          <w:szCs w:val="24"/>
        </w:rPr>
        <w:t xml:space="preserve">日               </w:t>
      </w:r>
      <w:r>
        <w:rPr>
          <w:rFonts w:hint="eastAsia" w:ascii="宋体" w:hAnsi="宋体" w:eastAsia="宋体" w:cs="宋体"/>
          <w:color w:val="000000"/>
          <w:spacing w:val="-2"/>
          <w:sz w:val="24"/>
          <w:szCs w:val="24"/>
          <w:lang w:val="en-US" w:eastAsia="zh-CN"/>
        </w:rPr>
        <w:t xml:space="preserve">              </w:t>
      </w:r>
      <w:r>
        <w:rPr>
          <w:rFonts w:hint="eastAsia" w:ascii="宋体" w:hAnsi="宋体" w:eastAsia="宋体" w:cs="宋体"/>
          <w:color w:val="000000"/>
          <w:spacing w:val="-2"/>
          <w:sz w:val="24"/>
          <w:szCs w:val="24"/>
        </w:rPr>
        <w:t>年</w:t>
      </w:r>
      <w:r>
        <w:rPr>
          <w:rFonts w:hint="eastAsia" w:ascii="宋体" w:hAnsi="宋体" w:cs="宋体"/>
          <w:color w:val="000000"/>
          <w:spacing w:val="-2"/>
          <w:sz w:val="24"/>
          <w:szCs w:val="24"/>
          <w:lang w:val="en-US" w:eastAsia="zh-CN"/>
        </w:rPr>
        <w:t xml:space="preserve"> </w:t>
      </w:r>
      <w:r>
        <w:rPr>
          <w:rFonts w:hint="eastAsia" w:ascii="宋体" w:hAnsi="宋体" w:eastAsia="宋体" w:cs="宋体"/>
          <w:color w:val="000000"/>
          <w:spacing w:val="-2"/>
          <w:sz w:val="24"/>
          <w:szCs w:val="24"/>
        </w:rPr>
        <w:t>月</w:t>
      </w:r>
      <w:r>
        <w:rPr>
          <w:rFonts w:hint="eastAsia" w:ascii="宋体" w:hAnsi="宋体" w:cs="宋体"/>
          <w:color w:val="000000"/>
          <w:spacing w:val="-2"/>
          <w:sz w:val="24"/>
          <w:szCs w:val="24"/>
          <w:lang w:val="en-US" w:eastAsia="zh-CN"/>
        </w:rPr>
        <w:t xml:space="preserve"> </w:t>
      </w:r>
      <w:r>
        <w:rPr>
          <w:rFonts w:hint="eastAsia" w:ascii="宋体" w:hAnsi="宋体" w:eastAsia="宋体" w:cs="宋体"/>
          <w:color w:val="000000"/>
          <w:spacing w:val="-2"/>
          <w:sz w:val="24"/>
          <w:szCs w:val="24"/>
        </w:rPr>
        <w:t>日</w:t>
      </w:r>
    </w:p>
    <w:p w14:paraId="3333BC6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bCs/>
          <w:kern w:val="0"/>
          <w:sz w:val="24"/>
          <w:szCs w:val="24"/>
          <w:highlight w:val="none"/>
          <w:lang w:val="en-US" w:eastAsia="zh-CN"/>
        </w:rPr>
      </w:pPr>
    </w:p>
    <w:p w14:paraId="7E88DA8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val="0"/>
          <w:bCs w:val="0"/>
          <w:kern w:val="0"/>
          <w:sz w:val="24"/>
          <w:szCs w:val="24"/>
          <w:highlight w:val="none"/>
          <w:lang w:val="en-US" w:eastAsia="zh-CN"/>
        </w:rPr>
        <w:sectPr>
          <w:headerReference r:id="rId10" w:type="first"/>
          <w:footerReference r:id="rId12" w:type="first"/>
          <w:headerReference r:id="rId9" w:type="default"/>
          <w:footerReference r:id="rId11" w:type="default"/>
          <w:pgSz w:w="11906" w:h="16838"/>
          <w:pgMar w:top="1418" w:right="1701" w:bottom="1418" w:left="1701" w:header="794" w:footer="794" w:gutter="0"/>
          <w:cols w:space="720" w:num="1"/>
          <w:titlePg/>
          <w:docGrid w:linePitch="312" w:charSpace="0"/>
        </w:sectPr>
      </w:pPr>
      <w:r>
        <w:rPr>
          <w:rFonts w:hint="eastAsia" w:ascii="宋体" w:hAnsi="宋体" w:eastAsia="宋体" w:cs="宋体"/>
          <w:b/>
          <w:bCs/>
          <w:kern w:val="0"/>
          <w:sz w:val="24"/>
          <w:szCs w:val="24"/>
          <w:highlight w:val="none"/>
          <w:lang w:val="en-US" w:eastAsia="zh-CN"/>
        </w:rPr>
        <w:t>（合同书以最终签订版本为准）</w:t>
      </w:r>
    </w:p>
    <w:p w14:paraId="5E8C37DC">
      <w:pPr>
        <w:widowControl/>
        <w:shd w:val="clear"/>
        <w:jc w:val="left"/>
        <w:rPr>
          <w:rFonts w:ascii="宋体" w:cs="宋体"/>
          <w:b/>
          <w:sz w:val="24"/>
          <w:szCs w:val="24"/>
        </w:rPr>
      </w:pPr>
    </w:p>
    <w:p w14:paraId="508363C9">
      <w:pPr>
        <w:shd w:val="clear"/>
        <w:spacing w:line="440" w:lineRule="exact"/>
        <w:jc w:val="center"/>
        <w:outlineLvl w:val="0"/>
        <w:rPr>
          <w:rFonts w:hint="eastAsia" w:ascii="宋体" w:eastAsia="宋体" w:cs="宋体"/>
          <w:b/>
          <w:sz w:val="32"/>
          <w:szCs w:val="32"/>
          <w:lang w:eastAsia="zh-CN"/>
        </w:rPr>
      </w:pPr>
      <w:bookmarkStart w:id="89" w:name="_Toc529175842"/>
      <w:r>
        <w:rPr>
          <w:rFonts w:hint="eastAsia" w:ascii="宋体" w:hAnsi="宋体" w:cs="宋体"/>
          <w:b/>
          <w:sz w:val="32"/>
          <w:szCs w:val="32"/>
        </w:rPr>
        <w:t>第四章</w:t>
      </w:r>
      <w:r>
        <w:rPr>
          <w:rFonts w:ascii="宋体" w:hAnsi="宋体" w:cs="宋体"/>
          <w:b/>
          <w:sz w:val="32"/>
          <w:szCs w:val="32"/>
        </w:rPr>
        <w:t xml:space="preserve">  </w:t>
      </w:r>
      <w:bookmarkEnd w:id="89"/>
      <w:r>
        <w:rPr>
          <w:rFonts w:hint="eastAsia" w:ascii="宋体" w:hAnsi="宋体" w:cs="宋体"/>
          <w:b/>
          <w:sz w:val="32"/>
          <w:szCs w:val="32"/>
          <w:lang w:eastAsia="zh-CN"/>
        </w:rPr>
        <w:t>服务需求</w:t>
      </w:r>
    </w:p>
    <w:p w14:paraId="7E3E9C58">
      <w:pPr>
        <w:shd w:val="clear"/>
        <w:spacing w:line="440" w:lineRule="exact"/>
        <w:jc w:val="both"/>
        <w:outlineLvl w:val="0"/>
        <w:rPr>
          <w:rFonts w:hint="eastAsia" w:ascii="宋体" w:hAnsi="宋体" w:cs="宋体"/>
          <w:b/>
          <w:sz w:val="24"/>
          <w:szCs w:val="24"/>
        </w:rPr>
      </w:pPr>
      <w:bookmarkStart w:id="90" w:name="_Toc529175843"/>
    </w:p>
    <w:p w14:paraId="652D3822">
      <w:pPr>
        <w:keepNext w:val="0"/>
        <w:keepLines w:val="0"/>
        <w:pageBreakBefore w:val="0"/>
        <w:widowControl w:val="0"/>
        <w:kinsoku/>
        <w:wordWrap/>
        <w:overflowPunct/>
        <w:topLinePunct w:val="0"/>
        <w:autoSpaceDE/>
        <w:autoSpaceDN/>
        <w:bidi w:val="0"/>
        <w:spacing w:line="440" w:lineRule="exact"/>
        <w:jc w:val="both"/>
        <w:textAlignment w:val="auto"/>
        <w:outlineLvl w:val="1"/>
        <w:rPr>
          <w:rFonts w:hint="eastAsia" w:ascii="宋体" w:hAnsi="宋体" w:eastAsia="宋体" w:cs="宋体"/>
          <w:b/>
          <w:bCs/>
          <w:color w:val="000000"/>
          <w:sz w:val="24"/>
          <w:szCs w:val="24"/>
          <w:highlight w:val="none"/>
        </w:rPr>
      </w:pPr>
      <w:r>
        <w:rPr>
          <w:rFonts w:hint="eastAsia" w:ascii="宋体" w:hAnsi="宋体" w:eastAsia="宋体" w:cs="宋体"/>
          <w:b/>
          <w:color w:val="000000"/>
          <w:sz w:val="24"/>
          <w:szCs w:val="24"/>
          <w:highlight w:val="none"/>
          <w:lang w:val="en-US" w:eastAsia="zh-CN"/>
        </w:rPr>
        <w:t>一、</w:t>
      </w:r>
      <w:r>
        <w:rPr>
          <w:rFonts w:hint="eastAsia" w:ascii="宋体" w:hAnsi="宋体" w:eastAsia="宋体" w:cs="宋体"/>
          <w:b/>
          <w:color w:val="000000"/>
          <w:sz w:val="24"/>
          <w:szCs w:val="24"/>
          <w:highlight w:val="none"/>
        </w:rPr>
        <w:t>采购项目内容及要求</w:t>
      </w:r>
    </w:p>
    <w:p w14:paraId="1E22B49F">
      <w:pPr>
        <w:pStyle w:val="199"/>
        <w:keepNext w:val="0"/>
        <w:keepLines w:val="0"/>
        <w:pageBreakBefore w:val="0"/>
        <w:widowControl w:val="0"/>
        <w:kinsoku/>
        <w:wordWrap/>
        <w:overflowPunct/>
        <w:topLinePunct w:val="0"/>
        <w:autoSpaceDE w:val="0"/>
        <w:autoSpaceDN w:val="0"/>
        <w:bidi w:val="0"/>
        <w:adjustRightInd w:val="0"/>
        <w:snapToGrid/>
        <w:spacing w:line="48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项目内容及数量：</w:t>
      </w:r>
      <w:r>
        <w:rPr>
          <w:rFonts w:hint="eastAsia" w:ascii="宋体" w:hAnsi="宋体" w:cs="宋体"/>
          <w:sz w:val="24"/>
          <w:szCs w:val="24"/>
          <w:highlight w:val="none"/>
          <w:lang w:val="en-US" w:eastAsia="zh-CN"/>
        </w:rPr>
        <w:t>鄯善县2025年社会保险基金转出开户银行开展定期存款服务项目</w:t>
      </w:r>
      <w:r>
        <w:rPr>
          <w:rFonts w:hint="eastAsia" w:ascii="宋体" w:hAnsi="宋体" w:eastAsia="宋体" w:cs="宋体"/>
          <w:sz w:val="24"/>
          <w:szCs w:val="24"/>
          <w:highlight w:val="none"/>
        </w:rPr>
        <w:t>，存款额度为</w:t>
      </w:r>
      <w:r>
        <w:rPr>
          <w:rFonts w:hint="eastAsia" w:ascii="宋体" w:hAnsi="宋体" w:eastAsia="宋体" w:cs="宋体"/>
          <w:sz w:val="24"/>
          <w:szCs w:val="24"/>
          <w:highlight w:val="none"/>
          <w:lang w:val="en-US" w:eastAsia="zh-CN"/>
        </w:rPr>
        <w:t>人民币</w:t>
      </w:r>
      <w:r>
        <w:rPr>
          <w:rFonts w:hint="eastAsia" w:ascii="宋体" w:hAnsi="宋体" w:cs="宋体"/>
          <w:sz w:val="24"/>
          <w:szCs w:val="24"/>
          <w:highlight w:val="none"/>
          <w:lang w:val="en-US" w:eastAsia="zh-CN"/>
        </w:rPr>
        <w:t>10000</w:t>
      </w:r>
      <w:r>
        <w:rPr>
          <w:rFonts w:hint="eastAsia" w:ascii="宋体" w:hAnsi="宋体" w:eastAsia="宋体" w:cs="宋体"/>
          <w:sz w:val="24"/>
          <w:szCs w:val="24"/>
          <w:highlight w:val="none"/>
          <w:lang w:val="en-US" w:eastAsia="zh-CN"/>
        </w:rPr>
        <w:t>万</w:t>
      </w:r>
      <w:r>
        <w:rPr>
          <w:rFonts w:hint="eastAsia" w:ascii="宋体" w:hAnsi="宋体" w:eastAsia="宋体" w:cs="宋体"/>
          <w:sz w:val="24"/>
          <w:szCs w:val="24"/>
          <w:highlight w:val="none"/>
        </w:rPr>
        <w:t>元。</w:t>
      </w:r>
    </w:p>
    <w:p w14:paraId="16269702">
      <w:pPr>
        <w:keepNext w:val="0"/>
        <w:keepLines w:val="0"/>
        <w:pageBreakBefore w:val="0"/>
        <w:widowControl w:val="0"/>
        <w:shd w:val="clear" w:color="auto" w:fill="auto"/>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000000"/>
          <w:sz w:val="24"/>
          <w:szCs w:val="24"/>
          <w:highlight w:val="none"/>
          <w:lang w:eastAsia="zh-CN"/>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存款方式：</w:t>
      </w:r>
      <w:r>
        <w:rPr>
          <w:rFonts w:hint="eastAsia" w:ascii="宋体" w:hAnsi="宋体" w:eastAsia="宋体" w:cs="宋体"/>
          <w:sz w:val="24"/>
          <w:szCs w:val="24"/>
          <w:highlight w:val="none"/>
          <w:lang w:val="en-US" w:eastAsia="zh-CN"/>
        </w:rPr>
        <w:t>定期存款</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lang w:val="en-US" w:eastAsia="zh-CN"/>
        </w:rPr>
        <w:t>年（从资金到位之日起算）</w:t>
      </w:r>
      <w:r>
        <w:rPr>
          <w:rFonts w:hint="eastAsia" w:ascii="宋体" w:hAnsi="宋体" w:eastAsia="宋体" w:cs="宋体"/>
          <w:sz w:val="24"/>
          <w:szCs w:val="24"/>
          <w:highlight w:val="none"/>
        </w:rPr>
        <w:t>。</w:t>
      </w:r>
    </w:p>
    <w:p w14:paraId="280D123F">
      <w:pPr>
        <w:pStyle w:val="208"/>
        <w:keepNext w:val="0"/>
        <w:keepLines w:val="0"/>
        <w:pageBreakBefore w:val="0"/>
        <w:widowControl w:val="0"/>
        <w:shd w:val="clear" w:color="auto" w:fill="auto"/>
        <w:kinsoku/>
        <w:wordWrap/>
        <w:overflowPunct/>
        <w:topLinePunct w:val="0"/>
        <w:autoSpaceDE/>
        <w:autoSpaceDN/>
        <w:bidi w:val="0"/>
        <w:spacing w:line="440" w:lineRule="exact"/>
        <w:ind w:left="0" w:leftChars="0" w:firstLine="0" w:firstLineChars="0"/>
        <w:jc w:val="both"/>
        <w:textAlignment w:val="auto"/>
        <w:rPr>
          <w:rFonts w:hint="eastAsia" w:ascii="宋体" w:hAnsi="宋体" w:eastAsia="宋体" w:cs="宋体"/>
          <w:b/>
          <w:color w:val="000000"/>
          <w:kern w:val="2"/>
          <w:sz w:val="24"/>
          <w:szCs w:val="24"/>
          <w:highlight w:val="none"/>
          <w:lang w:val="en-US" w:eastAsia="zh-CN" w:bidi="ar-SA"/>
        </w:rPr>
      </w:pPr>
      <w:bookmarkStart w:id="91" w:name="_Toc29632"/>
      <w:bookmarkStart w:id="92" w:name="_Toc30987"/>
      <w:bookmarkStart w:id="93" w:name="_Toc16727"/>
      <w:bookmarkStart w:id="94" w:name="_Toc9257_WPSOffice_Level2"/>
      <w:bookmarkStart w:id="95" w:name="_Toc14169"/>
      <w:bookmarkStart w:id="96" w:name="_Toc6426"/>
      <w:bookmarkStart w:id="97" w:name="_Toc2443"/>
      <w:bookmarkStart w:id="98" w:name="_Toc22289"/>
      <w:bookmarkStart w:id="99" w:name="_Toc17593"/>
      <w:bookmarkStart w:id="100" w:name="_Toc26049"/>
      <w:bookmarkStart w:id="101" w:name="_Toc16709"/>
      <w:bookmarkStart w:id="102" w:name="_Toc2002"/>
      <w:bookmarkStart w:id="103" w:name="_Toc14732"/>
      <w:bookmarkStart w:id="104" w:name="_Toc9620"/>
      <w:bookmarkStart w:id="105" w:name="_Toc19161"/>
      <w:bookmarkStart w:id="106" w:name="_Toc28964"/>
      <w:r>
        <w:rPr>
          <w:rFonts w:hint="eastAsia" w:ascii="宋体" w:hAnsi="宋体" w:eastAsia="宋体" w:cs="宋体"/>
          <w:b/>
          <w:color w:val="000000"/>
          <w:kern w:val="2"/>
          <w:sz w:val="24"/>
          <w:szCs w:val="24"/>
          <w:highlight w:val="none"/>
          <w:lang w:val="en-US" w:eastAsia="zh-CN" w:bidi="ar-SA"/>
        </w:rPr>
        <w:t xml:space="preserve">二、 </w:t>
      </w:r>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r>
        <w:rPr>
          <w:rFonts w:hint="eastAsia" w:ascii="宋体" w:hAnsi="宋体" w:eastAsia="宋体" w:cs="宋体"/>
          <w:b/>
          <w:color w:val="000000"/>
          <w:kern w:val="2"/>
          <w:sz w:val="24"/>
          <w:szCs w:val="24"/>
          <w:highlight w:val="none"/>
          <w:lang w:val="en-US" w:eastAsia="zh-CN" w:bidi="ar-SA"/>
        </w:rPr>
        <w:t>商务要求</w:t>
      </w:r>
    </w:p>
    <w:p w14:paraId="6AAFE714">
      <w:pPr>
        <w:keepNext w:val="0"/>
        <w:keepLines w:val="0"/>
        <w:pageBreakBefore w:val="0"/>
        <w:widowControl w:val="0"/>
        <w:shd w:val="clear" w:color="auto" w:fill="auto"/>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1、投标银行应严格</w:t>
      </w:r>
      <w:r>
        <w:rPr>
          <w:rFonts w:hint="eastAsia" w:ascii="宋体" w:hAnsi="宋体" w:eastAsia="宋体" w:cs="宋体"/>
          <w:sz w:val="24"/>
          <w:szCs w:val="24"/>
          <w:lang w:val="en-US" w:eastAsia="zh-CN"/>
        </w:rPr>
        <w:t>按照</w:t>
      </w:r>
      <w:r>
        <w:rPr>
          <w:rFonts w:hint="eastAsia" w:ascii="宋体" w:hAnsi="宋体" w:eastAsia="宋体" w:cs="宋体"/>
          <w:sz w:val="24"/>
          <w:szCs w:val="24"/>
        </w:rPr>
        <w:t>《关于</w:t>
      </w:r>
      <w:r>
        <w:rPr>
          <w:rFonts w:hint="eastAsia" w:ascii="宋体" w:hAnsi="宋体" w:eastAsia="宋体" w:cs="宋体"/>
          <w:sz w:val="24"/>
          <w:szCs w:val="24"/>
          <w:lang w:val="en-US" w:eastAsia="zh-CN"/>
        </w:rPr>
        <w:t>转发&lt;财政部关于进一步加强财政部门和预算单位资金存放管理的指导意见&gt;的通知</w:t>
      </w:r>
      <w:r>
        <w:rPr>
          <w:rFonts w:hint="eastAsia" w:ascii="宋体" w:hAnsi="宋体" w:eastAsia="宋体" w:cs="宋体"/>
          <w:sz w:val="24"/>
          <w:szCs w:val="24"/>
        </w:rPr>
        <w:t>》规定。</w:t>
      </w:r>
    </w:p>
    <w:p w14:paraId="4FA98B38">
      <w:pPr>
        <w:keepNext w:val="0"/>
        <w:keepLines w:val="0"/>
        <w:pageBreakBefore w:val="0"/>
        <w:widowControl w:val="0"/>
        <w:shd w:val="clear" w:color="auto" w:fill="auto"/>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2、中标银行对吸纳的定期存款不得要求开立银行结算账户，应加强对吸纳的定期存款的监督管理，确保定期存款资金安全。</w:t>
      </w:r>
    </w:p>
    <w:p w14:paraId="3D5C114D">
      <w:pPr>
        <w:keepNext w:val="0"/>
        <w:keepLines w:val="0"/>
        <w:pageBreakBefore w:val="0"/>
        <w:widowControl w:val="0"/>
        <w:shd w:val="clear" w:color="auto" w:fill="auto"/>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3、中标银行接受</w:t>
      </w:r>
      <w:r>
        <w:rPr>
          <w:rFonts w:hint="eastAsia" w:ascii="宋体" w:hAnsi="宋体" w:cs="宋体"/>
          <w:sz w:val="24"/>
          <w:szCs w:val="24"/>
          <w:lang w:val="en-US" w:eastAsia="zh-CN"/>
        </w:rPr>
        <w:t>鄯善县</w:t>
      </w:r>
      <w:r>
        <w:rPr>
          <w:rFonts w:hint="eastAsia" w:ascii="宋体" w:hAnsi="宋体" w:eastAsia="宋体" w:cs="宋体"/>
          <w:sz w:val="24"/>
          <w:szCs w:val="24"/>
        </w:rPr>
        <w:t>财政局对财政专户资金存放管理的监督和检查，遇有重大情况及时向</w:t>
      </w:r>
      <w:r>
        <w:rPr>
          <w:rFonts w:hint="eastAsia" w:ascii="宋体" w:hAnsi="宋体" w:cs="宋体"/>
          <w:sz w:val="24"/>
          <w:szCs w:val="24"/>
          <w:lang w:val="en-US" w:eastAsia="zh-CN"/>
        </w:rPr>
        <w:t>鄯善县</w:t>
      </w:r>
      <w:r>
        <w:rPr>
          <w:rFonts w:hint="eastAsia" w:ascii="宋体" w:hAnsi="宋体" w:eastAsia="宋体" w:cs="宋体"/>
          <w:sz w:val="24"/>
          <w:szCs w:val="24"/>
        </w:rPr>
        <w:t xml:space="preserve">财政局报告，并保证信息的真实性和准确性。 </w:t>
      </w:r>
    </w:p>
    <w:p w14:paraId="25522886">
      <w:pPr>
        <w:keepNext w:val="0"/>
        <w:keepLines w:val="0"/>
        <w:pageBreakBefore w:val="0"/>
        <w:widowControl w:val="0"/>
        <w:shd w:val="clear" w:color="auto" w:fill="auto"/>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4、定期大额存款利率以各中标银行投标时给予的存款利率计算。</w:t>
      </w:r>
    </w:p>
    <w:p w14:paraId="2CCB3935">
      <w:pPr>
        <w:keepNext w:val="0"/>
        <w:keepLines w:val="0"/>
        <w:pageBreakBefore w:val="0"/>
        <w:widowControl w:val="0"/>
        <w:shd w:val="clear" w:color="auto" w:fill="auto"/>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5、资金存放银行依法依规开展存放业务，确保资金安全。未按规定办理资金存放业务，造成资金风险或损失的，承担相应法律责任，并全额赔偿造成的损失。</w:t>
      </w:r>
    </w:p>
    <w:p w14:paraId="1BD43D26">
      <w:pPr>
        <w:pageBreakBefore w:val="0"/>
        <w:widowControl w:val="0"/>
        <w:shd w:val="clear" w:color="auto" w:fill="auto"/>
        <w:kinsoku/>
        <w:wordWrap/>
        <w:overflowPunct/>
        <w:topLinePunct w:val="0"/>
        <w:bidi w:val="0"/>
        <w:adjustRightInd w:val="0"/>
        <w:snapToGrid w:val="0"/>
        <w:spacing w:line="44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6、商业银行出现以下行为或者情形之一的，</w:t>
      </w:r>
      <w:r>
        <w:rPr>
          <w:rFonts w:hint="eastAsia" w:ascii="宋体" w:hAnsi="宋体" w:cs="宋体"/>
          <w:sz w:val="24"/>
          <w:szCs w:val="24"/>
          <w:lang w:val="en-US" w:eastAsia="zh-CN"/>
        </w:rPr>
        <w:t>鄯善县</w:t>
      </w:r>
      <w:r>
        <w:rPr>
          <w:rFonts w:hint="eastAsia" w:ascii="宋体" w:hAnsi="宋体" w:eastAsia="宋体" w:cs="宋体"/>
          <w:sz w:val="24"/>
          <w:szCs w:val="24"/>
        </w:rPr>
        <w:t>财政局视情节轻重，将采取暂停资金存放业务、取消分配额度、收回已经存放资金等措施进行处理，同时追究商业银行违约责任。</w:t>
      </w:r>
    </w:p>
    <w:p w14:paraId="2DF663F5">
      <w:pPr>
        <w:pageBreakBefore w:val="0"/>
        <w:widowControl w:val="0"/>
        <w:shd w:val="clear" w:color="auto" w:fill="auto"/>
        <w:kinsoku/>
        <w:wordWrap/>
        <w:overflowPunct/>
        <w:topLinePunct w:val="0"/>
        <w:bidi w:val="0"/>
        <w:adjustRightInd w:val="0"/>
        <w:snapToGrid w:val="0"/>
        <w:spacing w:line="44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（1）未按规定及时足额汇划到期本息的；</w:t>
      </w:r>
    </w:p>
    <w:p w14:paraId="3A330A9E">
      <w:pPr>
        <w:pageBreakBefore w:val="0"/>
        <w:widowControl w:val="0"/>
        <w:shd w:val="clear" w:color="auto" w:fill="auto"/>
        <w:kinsoku/>
        <w:wordWrap/>
        <w:overflowPunct/>
        <w:topLinePunct w:val="0"/>
        <w:bidi w:val="0"/>
        <w:adjustRightInd w:val="0"/>
        <w:snapToGrid w:val="0"/>
        <w:spacing w:line="44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（2）出现重大违法违规，导致财务恶化或引起信用危机的；</w:t>
      </w:r>
    </w:p>
    <w:p w14:paraId="24900295">
      <w:pPr>
        <w:pageBreakBefore w:val="0"/>
        <w:widowControl w:val="0"/>
        <w:shd w:val="clear" w:color="auto" w:fill="auto"/>
        <w:kinsoku/>
        <w:wordWrap/>
        <w:overflowPunct/>
        <w:topLinePunct w:val="0"/>
        <w:bidi w:val="0"/>
        <w:adjustRightInd w:val="0"/>
        <w:snapToGrid w:val="0"/>
        <w:spacing w:line="44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（3）出现重大安全风险事件或者经营状况影响资金存放安全的；</w:t>
      </w:r>
    </w:p>
    <w:p w14:paraId="7CBA4923">
      <w:pPr>
        <w:pageBreakBefore w:val="0"/>
        <w:widowControl w:val="0"/>
        <w:shd w:val="clear" w:color="auto" w:fill="auto"/>
        <w:kinsoku/>
        <w:wordWrap/>
        <w:overflowPunct/>
        <w:topLinePunct w:val="0"/>
        <w:bidi w:val="0"/>
        <w:adjustRightInd w:val="0"/>
        <w:snapToGrid w:val="0"/>
        <w:spacing w:line="44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（4）经核实未遵守廉政承诺或者在资金存放中存在其他利益输送行为的；</w:t>
      </w:r>
    </w:p>
    <w:p w14:paraId="0972CA82">
      <w:pPr>
        <w:pageBreakBefore w:val="0"/>
        <w:widowControl w:val="0"/>
        <w:shd w:val="clear" w:color="auto" w:fill="auto"/>
        <w:kinsoku/>
        <w:wordWrap/>
        <w:overflowPunct/>
        <w:topLinePunct w:val="0"/>
        <w:bidi w:val="0"/>
        <w:adjustRightInd w:val="0"/>
        <w:snapToGrid w:val="0"/>
        <w:spacing w:line="44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（5）可能危及财政专户资金安全的其他情况。</w:t>
      </w:r>
    </w:p>
    <w:p w14:paraId="6BCCA28C">
      <w:pPr>
        <w:pageBreakBefore w:val="0"/>
        <w:widowControl w:val="0"/>
        <w:shd w:val="clear" w:color="auto" w:fill="auto"/>
        <w:kinsoku/>
        <w:wordWrap/>
        <w:overflowPunct/>
        <w:topLinePunct w:val="0"/>
        <w:bidi w:val="0"/>
        <w:adjustRightInd w:val="0"/>
        <w:snapToGrid w:val="0"/>
        <w:spacing w:line="440" w:lineRule="exact"/>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7</w:t>
      </w:r>
      <w:r>
        <w:rPr>
          <w:rFonts w:hint="eastAsia" w:ascii="宋体" w:hAnsi="宋体" w:eastAsia="宋体" w:cs="宋体"/>
          <w:color w:val="000000"/>
          <w:sz w:val="24"/>
          <w:szCs w:val="24"/>
        </w:rPr>
        <w:t>、中标银行指定承办银行网点，在中标后不得改变和转移。</w:t>
      </w:r>
    </w:p>
    <w:p w14:paraId="00A8B138">
      <w:pPr>
        <w:pageBreakBefore w:val="0"/>
        <w:widowControl w:val="0"/>
        <w:shd w:val="clear" w:color="auto" w:fill="auto"/>
        <w:kinsoku/>
        <w:wordWrap/>
        <w:overflowPunct/>
        <w:topLinePunct w:val="0"/>
        <w:bidi w:val="0"/>
        <w:adjustRightInd w:val="0"/>
        <w:snapToGrid w:val="0"/>
        <w:spacing w:line="44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、严禁中标银行将社保资金存款购买理财产品。</w:t>
      </w:r>
    </w:p>
    <w:p w14:paraId="5C136C68">
      <w:pPr>
        <w:pageBreakBefore w:val="0"/>
        <w:widowControl w:val="0"/>
        <w:tabs>
          <w:tab w:val="left" w:pos="8280"/>
        </w:tabs>
        <w:kinsoku/>
        <w:wordWrap/>
        <w:overflowPunct/>
        <w:topLinePunct w:val="0"/>
        <w:bidi w:val="0"/>
        <w:snapToGrid w:val="0"/>
        <w:spacing w:line="44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9</w:t>
      </w:r>
      <w:r>
        <w:rPr>
          <w:rFonts w:hint="eastAsia" w:ascii="宋体" w:hAnsi="宋体" w:eastAsia="宋体" w:cs="宋体"/>
          <w:color w:val="000000"/>
          <w:sz w:val="24"/>
          <w:szCs w:val="24"/>
        </w:rPr>
        <w:t>、经营状况良好，财务稳健，资本充足率、不良贷款率、拨备覆盖率、流动性覆盖率、流动性比例等指标达到监管标准。</w:t>
      </w:r>
    </w:p>
    <w:p w14:paraId="20B6B85C">
      <w:pPr>
        <w:pageBreakBefore w:val="0"/>
        <w:widowControl w:val="0"/>
        <w:tabs>
          <w:tab w:val="left" w:pos="8280"/>
        </w:tabs>
        <w:kinsoku/>
        <w:wordWrap/>
        <w:overflowPunct/>
        <w:topLinePunct w:val="0"/>
        <w:bidi w:val="0"/>
        <w:snapToGrid w:val="0"/>
        <w:spacing w:line="44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val="en-US" w:eastAsia="zh-CN"/>
        </w:rPr>
        <w:t>0</w:t>
      </w:r>
      <w:r>
        <w:rPr>
          <w:rFonts w:hint="eastAsia" w:ascii="宋体" w:hAnsi="宋体" w:eastAsia="宋体" w:cs="宋体"/>
          <w:color w:val="000000"/>
          <w:sz w:val="24"/>
          <w:szCs w:val="24"/>
        </w:rPr>
        <w:t>、内部管理机制健全，具有较强的风险控制能力，近3年内未发生金融风险及重大违约事件。</w:t>
      </w:r>
    </w:p>
    <w:p w14:paraId="7FFD8D74">
      <w:pPr>
        <w:pageBreakBefore w:val="0"/>
        <w:widowControl w:val="0"/>
        <w:tabs>
          <w:tab w:val="left" w:pos="8280"/>
        </w:tabs>
        <w:kinsoku/>
        <w:wordWrap/>
        <w:overflowPunct/>
        <w:topLinePunct w:val="0"/>
        <w:bidi w:val="0"/>
        <w:snapToGrid w:val="0"/>
        <w:spacing w:line="440" w:lineRule="exact"/>
        <w:ind w:firstLine="480" w:firstLineChars="200"/>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11、采购人根据工作需求，有权提前支取定期大额存款。</w:t>
      </w:r>
    </w:p>
    <w:p w14:paraId="796B17F4">
      <w:pPr>
        <w:pageBreakBefore w:val="0"/>
        <w:widowControl w:val="0"/>
        <w:tabs>
          <w:tab w:val="left" w:pos="8280"/>
        </w:tabs>
        <w:kinsoku/>
        <w:wordWrap/>
        <w:overflowPunct/>
        <w:topLinePunct w:val="0"/>
        <w:bidi w:val="0"/>
        <w:snapToGrid w:val="0"/>
        <w:spacing w:line="440" w:lineRule="exact"/>
        <w:ind w:firstLine="480" w:firstLineChars="200"/>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12、本期存款到期后，采购人依照招标程序，按照招标文件评分方法依据上一季度考核指标数据进行评审，重新分配存款额度。</w:t>
      </w:r>
    </w:p>
    <w:p w14:paraId="71F8060B">
      <w:pPr>
        <w:spacing w:line="560" w:lineRule="exact"/>
        <w:ind w:firstLine="480" w:firstLineChars="200"/>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13、考核数据采集范围：驻</w:t>
      </w:r>
      <w:r>
        <w:rPr>
          <w:rFonts w:hint="eastAsia" w:ascii="宋体" w:hAnsi="宋体" w:cs="宋体"/>
          <w:color w:val="000000"/>
          <w:kern w:val="2"/>
          <w:sz w:val="24"/>
          <w:szCs w:val="24"/>
          <w:highlight w:val="none"/>
          <w:lang w:val="en-US" w:eastAsia="zh-CN" w:bidi="ar-SA"/>
        </w:rPr>
        <w:t>鄯善县</w:t>
      </w:r>
      <w:r>
        <w:rPr>
          <w:rFonts w:hint="eastAsia" w:ascii="宋体" w:hAnsi="宋体" w:eastAsia="宋体" w:cs="宋体"/>
          <w:color w:val="000000"/>
          <w:kern w:val="2"/>
          <w:sz w:val="24"/>
          <w:szCs w:val="24"/>
          <w:highlight w:val="none"/>
          <w:lang w:val="en-US" w:eastAsia="zh-CN" w:bidi="ar-SA"/>
        </w:rPr>
        <w:t>银行业金融机构，不含除</w:t>
      </w:r>
      <w:r>
        <w:rPr>
          <w:rFonts w:hint="eastAsia" w:ascii="宋体" w:hAnsi="宋体" w:cs="宋体"/>
          <w:color w:val="000000"/>
          <w:kern w:val="2"/>
          <w:sz w:val="24"/>
          <w:szCs w:val="24"/>
          <w:highlight w:val="none"/>
          <w:lang w:val="en-US" w:eastAsia="zh-CN" w:bidi="ar-SA"/>
        </w:rPr>
        <w:t>鄯善县</w:t>
      </w:r>
      <w:r>
        <w:rPr>
          <w:rFonts w:hint="eastAsia" w:ascii="宋体" w:hAnsi="宋体" w:eastAsia="宋体" w:cs="宋体"/>
          <w:color w:val="000000"/>
          <w:kern w:val="2"/>
          <w:sz w:val="24"/>
          <w:szCs w:val="24"/>
          <w:highlight w:val="none"/>
          <w:lang w:val="en-US" w:eastAsia="zh-CN" w:bidi="ar-SA"/>
        </w:rPr>
        <w:t>外的银行业金融机构在各县市的分支机构、各县市地方法人金融机构数据。</w:t>
      </w:r>
    </w:p>
    <w:p w14:paraId="718D7513">
      <w:pPr>
        <w:pStyle w:val="12"/>
        <w:keepNext w:val="0"/>
        <w:keepLines w:val="0"/>
        <w:pageBreakBefore w:val="0"/>
        <w:widowControl w:val="0"/>
        <w:tabs>
          <w:tab w:val="left" w:pos="567"/>
        </w:tabs>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14、本次投标银行报价利率为</w:t>
      </w:r>
      <w:r>
        <w:rPr>
          <w:rFonts w:hint="eastAsia" w:ascii="宋体" w:hAnsi="宋体" w:cs="宋体"/>
          <w:color w:val="000000"/>
          <w:sz w:val="24"/>
          <w:szCs w:val="24"/>
          <w:highlight w:val="none"/>
          <w:lang w:val="en-US" w:eastAsia="zh-CN"/>
        </w:rPr>
        <w:t>1年</w:t>
      </w:r>
      <w:r>
        <w:rPr>
          <w:rFonts w:hint="eastAsia" w:ascii="宋体" w:hAnsi="宋体" w:eastAsia="宋体" w:cs="宋体"/>
          <w:color w:val="000000"/>
          <w:sz w:val="24"/>
          <w:szCs w:val="24"/>
          <w:highlight w:val="none"/>
          <w:lang w:val="en-US" w:eastAsia="zh-CN"/>
        </w:rPr>
        <w:t>通知存款利率，根据综合权重法和差分法计算确定投标银行存款额度。</w:t>
      </w:r>
    </w:p>
    <w:p w14:paraId="5EB85663">
      <w:pPr>
        <w:ind w:firstLine="422" w:firstLineChars="200"/>
        <w:rPr>
          <w:rFonts w:hint="default"/>
          <w:b/>
          <w:bCs/>
          <w:lang w:val="en-US" w:eastAsia="zh-CN"/>
        </w:rPr>
      </w:pPr>
    </w:p>
    <w:p w14:paraId="7545A1C8">
      <w:pPr>
        <w:autoSpaceDE w:val="0"/>
        <w:autoSpaceDN w:val="0"/>
        <w:adjustRightInd w:val="0"/>
        <w:spacing w:line="360" w:lineRule="auto"/>
        <w:jc w:val="center"/>
        <w:rPr>
          <w:rFonts w:hint="eastAsia" w:ascii="黑体" w:hAnsi="黑体" w:eastAsia="黑体" w:cs="宋体"/>
          <w:b/>
          <w:bCs/>
          <w:color w:val="000000"/>
          <w:kern w:val="0"/>
          <w:sz w:val="32"/>
          <w:szCs w:val="32"/>
        </w:rPr>
      </w:pPr>
    </w:p>
    <w:p w14:paraId="7F5CA2DC">
      <w:pPr>
        <w:pStyle w:val="12"/>
        <w:rPr>
          <w:rFonts w:hint="eastAsia" w:ascii="黑体" w:hAnsi="黑体" w:eastAsia="黑体" w:cs="宋体"/>
          <w:b/>
          <w:bCs/>
          <w:color w:val="000000"/>
          <w:kern w:val="0"/>
          <w:sz w:val="32"/>
          <w:szCs w:val="32"/>
        </w:rPr>
      </w:pPr>
    </w:p>
    <w:p w14:paraId="51BAF5A9">
      <w:pPr>
        <w:rPr>
          <w:rFonts w:hint="eastAsia" w:ascii="黑体" w:hAnsi="黑体" w:eastAsia="黑体" w:cs="宋体"/>
          <w:b/>
          <w:bCs/>
          <w:color w:val="000000"/>
          <w:kern w:val="0"/>
          <w:sz w:val="32"/>
          <w:szCs w:val="32"/>
        </w:rPr>
      </w:pPr>
    </w:p>
    <w:p w14:paraId="0A8372AC">
      <w:pPr>
        <w:pStyle w:val="12"/>
        <w:rPr>
          <w:rFonts w:hint="eastAsia" w:ascii="黑体" w:hAnsi="黑体" w:eastAsia="黑体" w:cs="宋体"/>
          <w:b/>
          <w:bCs/>
          <w:color w:val="000000"/>
          <w:kern w:val="0"/>
          <w:sz w:val="32"/>
          <w:szCs w:val="32"/>
        </w:rPr>
      </w:pPr>
    </w:p>
    <w:p w14:paraId="159F8DF1">
      <w:pPr>
        <w:rPr>
          <w:rFonts w:hint="eastAsia" w:ascii="黑体" w:hAnsi="黑体" w:eastAsia="黑体" w:cs="宋体"/>
          <w:b/>
          <w:bCs/>
          <w:color w:val="000000"/>
          <w:kern w:val="0"/>
          <w:sz w:val="32"/>
          <w:szCs w:val="32"/>
        </w:rPr>
      </w:pPr>
    </w:p>
    <w:p w14:paraId="3F09B07E">
      <w:pPr>
        <w:pStyle w:val="12"/>
        <w:rPr>
          <w:rFonts w:hint="eastAsia" w:ascii="黑体" w:hAnsi="黑体" w:eastAsia="黑体" w:cs="宋体"/>
          <w:b/>
          <w:bCs/>
          <w:color w:val="000000"/>
          <w:kern w:val="0"/>
          <w:sz w:val="32"/>
          <w:szCs w:val="32"/>
        </w:rPr>
      </w:pPr>
    </w:p>
    <w:p w14:paraId="319153E5">
      <w:pPr>
        <w:rPr>
          <w:rFonts w:hint="eastAsia" w:ascii="黑体" w:hAnsi="黑体" w:eastAsia="黑体" w:cs="宋体"/>
          <w:b/>
          <w:bCs/>
          <w:color w:val="000000"/>
          <w:kern w:val="0"/>
          <w:sz w:val="32"/>
          <w:szCs w:val="32"/>
        </w:rPr>
      </w:pPr>
    </w:p>
    <w:p w14:paraId="75E9879B">
      <w:pPr>
        <w:pStyle w:val="5"/>
        <w:rPr>
          <w:rFonts w:hint="eastAsia" w:ascii="黑体" w:hAnsi="黑体" w:eastAsia="黑体" w:cs="宋体"/>
          <w:b/>
          <w:bCs/>
          <w:color w:val="000000"/>
          <w:kern w:val="0"/>
          <w:sz w:val="32"/>
          <w:szCs w:val="32"/>
        </w:rPr>
      </w:pPr>
    </w:p>
    <w:p w14:paraId="33C89FE3">
      <w:pPr>
        <w:rPr>
          <w:rFonts w:hint="eastAsia" w:ascii="黑体" w:hAnsi="黑体" w:eastAsia="黑体" w:cs="宋体"/>
          <w:b/>
          <w:bCs/>
          <w:color w:val="000000"/>
          <w:kern w:val="0"/>
          <w:sz w:val="32"/>
          <w:szCs w:val="32"/>
        </w:rPr>
      </w:pPr>
    </w:p>
    <w:p w14:paraId="09CE5C29">
      <w:pPr>
        <w:pStyle w:val="5"/>
        <w:rPr>
          <w:rFonts w:hint="eastAsia" w:ascii="黑体" w:hAnsi="黑体" w:eastAsia="黑体" w:cs="宋体"/>
          <w:b/>
          <w:bCs/>
          <w:color w:val="000000"/>
          <w:kern w:val="0"/>
          <w:sz w:val="32"/>
          <w:szCs w:val="32"/>
        </w:rPr>
      </w:pPr>
    </w:p>
    <w:p w14:paraId="015CC6C3">
      <w:pPr>
        <w:rPr>
          <w:rFonts w:hint="eastAsia" w:ascii="黑体" w:hAnsi="黑体" w:eastAsia="黑体" w:cs="宋体"/>
          <w:b/>
          <w:bCs/>
          <w:color w:val="000000"/>
          <w:kern w:val="0"/>
          <w:sz w:val="32"/>
          <w:szCs w:val="32"/>
        </w:rPr>
      </w:pPr>
    </w:p>
    <w:p w14:paraId="67A49F35">
      <w:pPr>
        <w:pStyle w:val="5"/>
        <w:rPr>
          <w:rFonts w:hint="eastAsia" w:ascii="黑体" w:hAnsi="黑体" w:eastAsia="黑体" w:cs="宋体"/>
          <w:b/>
          <w:bCs/>
          <w:color w:val="000000"/>
          <w:kern w:val="0"/>
          <w:sz w:val="32"/>
          <w:szCs w:val="32"/>
        </w:rPr>
      </w:pPr>
    </w:p>
    <w:p w14:paraId="48B62E39">
      <w:pPr>
        <w:rPr>
          <w:rFonts w:hint="eastAsia" w:ascii="黑体" w:hAnsi="黑体" w:eastAsia="黑体" w:cs="宋体"/>
          <w:b/>
          <w:bCs/>
          <w:color w:val="000000"/>
          <w:kern w:val="0"/>
          <w:sz w:val="32"/>
          <w:szCs w:val="32"/>
        </w:rPr>
      </w:pPr>
    </w:p>
    <w:p w14:paraId="6399D094">
      <w:pPr>
        <w:pStyle w:val="5"/>
        <w:rPr>
          <w:rFonts w:hint="eastAsia" w:ascii="黑体" w:hAnsi="黑体" w:eastAsia="黑体" w:cs="宋体"/>
          <w:b/>
          <w:bCs/>
          <w:color w:val="000000"/>
          <w:kern w:val="0"/>
          <w:sz w:val="32"/>
          <w:szCs w:val="32"/>
        </w:rPr>
      </w:pPr>
    </w:p>
    <w:p w14:paraId="353755A9">
      <w:pPr>
        <w:rPr>
          <w:rFonts w:hint="eastAsia" w:ascii="黑体" w:hAnsi="黑体" w:eastAsia="黑体" w:cs="宋体"/>
          <w:b/>
          <w:bCs/>
          <w:color w:val="000000"/>
          <w:kern w:val="0"/>
          <w:sz w:val="32"/>
          <w:szCs w:val="32"/>
        </w:rPr>
      </w:pPr>
    </w:p>
    <w:p w14:paraId="3291B308">
      <w:pPr>
        <w:pStyle w:val="5"/>
        <w:rPr>
          <w:rFonts w:hint="eastAsia" w:ascii="黑体" w:hAnsi="黑体" w:eastAsia="黑体" w:cs="宋体"/>
          <w:b/>
          <w:bCs/>
          <w:color w:val="000000"/>
          <w:kern w:val="0"/>
          <w:sz w:val="32"/>
          <w:szCs w:val="32"/>
        </w:rPr>
      </w:pPr>
    </w:p>
    <w:p w14:paraId="49D49305">
      <w:pPr>
        <w:rPr>
          <w:rFonts w:hint="eastAsia"/>
        </w:rPr>
      </w:pPr>
    </w:p>
    <w:p w14:paraId="14994CBE">
      <w:pPr>
        <w:shd w:val="clear"/>
        <w:spacing w:line="440" w:lineRule="exact"/>
        <w:jc w:val="center"/>
        <w:outlineLvl w:val="0"/>
        <w:rPr>
          <w:rFonts w:hint="eastAsia" w:ascii="宋体" w:hAnsi="宋体" w:cs="宋体"/>
          <w:b/>
          <w:sz w:val="24"/>
          <w:szCs w:val="24"/>
        </w:rPr>
      </w:pPr>
    </w:p>
    <w:p w14:paraId="56E6CCF7">
      <w:pPr>
        <w:shd w:val="clear"/>
        <w:spacing w:line="440" w:lineRule="exact"/>
        <w:jc w:val="center"/>
        <w:outlineLvl w:val="0"/>
        <w:rPr>
          <w:rFonts w:hint="eastAsia" w:ascii="宋体" w:hAnsi="宋体" w:cs="宋体"/>
          <w:b/>
          <w:sz w:val="24"/>
          <w:szCs w:val="24"/>
        </w:rPr>
      </w:pPr>
    </w:p>
    <w:p w14:paraId="48342ABF">
      <w:pPr>
        <w:shd w:val="clear"/>
        <w:spacing w:line="440" w:lineRule="exact"/>
        <w:jc w:val="center"/>
        <w:outlineLvl w:val="0"/>
        <w:rPr>
          <w:rFonts w:hint="eastAsia" w:ascii="宋体" w:hAnsi="宋体" w:cs="宋体"/>
          <w:b/>
          <w:sz w:val="24"/>
          <w:szCs w:val="24"/>
        </w:rPr>
      </w:pPr>
    </w:p>
    <w:p w14:paraId="77E33871">
      <w:pPr>
        <w:shd w:val="clear"/>
        <w:spacing w:line="440" w:lineRule="exact"/>
        <w:jc w:val="center"/>
        <w:outlineLvl w:val="0"/>
        <w:rPr>
          <w:rFonts w:hint="eastAsia" w:ascii="宋体" w:hAnsi="宋体" w:cs="宋体"/>
          <w:b/>
          <w:sz w:val="24"/>
          <w:szCs w:val="24"/>
        </w:rPr>
      </w:pPr>
    </w:p>
    <w:p w14:paraId="39C35BD3">
      <w:pPr>
        <w:shd w:val="clear"/>
        <w:spacing w:line="440" w:lineRule="exact"/>
        <w:jc w:val="center"/>
        <w:outlineLvl w:val="0"/>
        <w:rPr>
          <w:rFonts w:hint="eastAsia" w:ascii="宋体" w:hAnsi="宋体" w:cs="宋体"/>
          <w:b/>
          <w:sz w:val="24"/>
          <w:szCs w:val="24"/>
        </w:rPr>
      </w:pPr>
    </w:p>
    <w:p w14:paraId="54E2053F">
      <w:pPr>
        <w:shd w:val="clear"/>
        <w:spacing w:line="440" w:lineRule="exact"/>
        <w:jc w:val="center"/>
        <w:outlineLvl w:val="0"/>
        <w:rPr>
          <w:rFonts w:hint="eastAsia" w:ascii="宋体" w:hAnsi="宋体" w:cs="宋体"/>
          <w:b/>
          <w:sz w:val="24"/>
          <w:szCs w:val="24"/>
        </w:rPr>
      </w:pPr>
    </w:p>
    <w:p w14:paraId="68AA8130">
      <w:pPr>
        <w:shd w:val="clear"/>
        <w:spacing w:line="440" w:lineRule="exact"/>
        <w:jc w:val="center"/>
        <w:outlineLvl w:val="0"/>
        <w:rPr>
          <w:rFonts w:ascii="宋体" w:cs="宋体"/>
          <w:b/>
          <w:sz w:val="32"/>
          <w:szCs w:val="32"/>
        </w:rPr>
      </w:pPr>
      <w:r>
        <w:rPr>
          <w:rFonts w:hint="eastAsia" w:ascii="宋体" w:hAnsi="宋体" w:cs="宋体"/>
          <w:b/>
          <w:sz w:val="32"/>
          <w:szCs w:val="32"/>
        </w:rPr>
        <w:t>第五章</w:t>
      </w:r>
      <w:r>
        <w:rPr>
          <w:rFonts w:hint="eastAsia" w:ascii="宋体" w:hAnsi="宋体" w:cs="宋体"/>
          <w:b/>
          <w:sz w:val="32"/>
          <w:szCs w:val="32"/>
          <w:lang w:val="en-US" w:eastAsia="zh-CN"/>
        </w:rPr>
        <w:t xml:space="preserve">  </w:t>
      </w:r>
      <w:r>
        <w:rPr>
          <w:rFonts w:hint="eastAsia" w:ascii="宋体" w:hAnsi="宋体" w:cs="宋体"/>
          <w:b/>
          <w:sz w:val="32"/>
          <w:szCs w:val="32"/>
        </w:rPr>
        <w:t>投标文件格式</w:t>
      </w:r>
      <w:bookmarkEnd w:id="90"/>
    </w:p>
    <w:p w14:paraId="41499920">
      <w:pPr>
        <w:shd w:val="clear"/>
        <w:rPr>
          <w:rFonts w:ascii="宋体" w:cs="宋体"/>
          <w:b/>
          <w:sz w:val="24"/>
          <w:szCs w:val="24"/>
        </w:rPr>
      </w:pPr>
    </w:p>
    <w:p w14:paraId="2DC117A8">
      <w:pPr>
        <w:shd w:val="clear"/>
        <w:rPr>
          <w:rFonts w:ascii="宋体" w:cs="宋体"/>
          <w:b/>
          <w:sz w:val="24"/>
          <w:szCs w:val="24"/>
        </w:rPr>
      </w:pPr>
    </w:p>
    <w:p w14:paraId="335DCD63">
      <w:pPr>
        <w:shd w:val="clear"/>
        <w:rPr>
          <w:rFonts w:ascii="宋体" w:cs="宋体"/>
          <w:b/>
          <w:sz w:val="24"/>
          <w:szCs w:val="24"/>
        </w:rPr>
      </w:pPr>
    </w:p>
    <w:p w14:paraId="4EA30388">
      <w:pPr>
        <w:shd w:val="clear"/>
        <w:spacing w:line="720" w:lineRule="auto"/>
        <w:ind w:right="315"/>
        <w:jc w:val="right"/>
        <w:rPr>
          <w:rFonts w:ascii="宋体" w:cs="宋体"/>
          <w:b/>
          <w:bdr w:val="single" w:color="auto" w:sz="4" w:space="0"/>
        </w:rPr>
      </w:pPr>
      <w:r>
        <w:rPr>
          <w:rFonts w:hint="eastAsia" w:ascii="宋体" w:hAnsi="宋体" w:cs="宋体"/>
          <w:b/>
          <w:bdr w:val="single" w:color="auto" w:sz="4" w:space="0"/>
        </w:rPr>
        <w:t>正本</w:t>
      </w:r>
    </w:p>
    <w:p w14:paraId="0258ED00">
      <w:pPr>
        <w:shd w:val="clear"/>
        <w:spacing w:line="720" w:lineRule="auto"/>
        <w:jc w:val="center"/>
        <w:rPr>
          <w:rFonts w:ascii="宋体" w:cs="宋体"/>
          <w:b/>
          <w:bCs/>
          <w:sz w:val="24"/>
          <w:u w:val="single"/>
        </w:rPr>
      </w:pPr>
      <w:r>
        <w:rPr>
          <w:rFonts w:hint="eastAsia" w:ascii="宋体" w:hAnsi="宋体" w:cs="宋体"/>
          <w:b/>
          <w:bCs/>
          <w:sz w:val="24"/>
          <w:u w:val="single"/>
        </w:rPr>
        <w:t>（项目编号）</w:t>
      </w:r>
    </w:p>
    <w:p w14:paraId="5A17A112">
      <w:pPr>
        <w:shd w:val="clear"/>
        <w:spacing w:line="720" w:lineRule="auto"/>
        <w:jc w:val="center"/>
        <w:rPr>
          <w:rFonts w:ascii="宋体" w:cs="宋体"/>
          <w:b/>
          <w:bCs/>
          <w:sz w:val="24"/>
          <w:u w:val="single"/>
        </w:rPr>
      </w:pPr>
      <w:r>
        <w:rPr>
          <w:rFonts w:hint="eastAsia" w:ascii="宋体" w:hAnsi="宋体" w:cs="宋体"/>
          <w:b/>
          <w:bCs/>
          <w:sz w:val="24"/>
          <w:u w:val="single"/>
        </w:rPr>
        <w:t>（项目名称）</w:t>
      </w:r>
    </w:p>
    <w:p w14:paraId="369A7B4F">
      <w:pPr>
        <w:shd w:val="clear"/>
        <w:spacing w:line="300" w:lineRule="exact"/>
        <w:jc w:val="center"/>
        <w:rPr>
          <w:rFonts w:ascii="宋体" w:cs="宋体"/>
          <w:b/>
          <w:bCs/>
          <w:sz w:val="24"/>
        </w:rPr>
      </w:pPr>
      <w:r>
        <w:rPr>
          <w:rFonts w:hint="eastAsia" w:ascii="宋体" w:hAnsi="宋体" w:cs="宋体"/>
          <w:b/>
          <w:bCs/>
          <w:sz w:val="24"/>
          <w:lang w:eastAsia="zh-CN"/>
        </w:rPr>
        <w:t>公开招标</w:t>
      </w:r>
      <w:r>
        <w:rPr>
          <w:rFonts w:hint="eastAsia" w:ascii="宋体" w:hAnsi="宋体" w:cs="宋体"/>
          <w:b/>
          <w:bCs/>
          <w:sz w:val="24"/>
        </w:rPr>
        <w:t>响应文件</w:t>
      </w:r>
    </w:p>
    <w:p w14:paraId="5359FE01">
      <w:pPr>
        <w:shd w:val="clear"/>
        <w:spacing w:line="720" w:lineRule="auto"/>
        <w:rPr>
          <w:rFonts w:ascii="宋体" w:cs="宋体"/>
          <w:sz w:val="24"/>
        </w:rPr>
      </w:pPr>
    </w:p>
    <w:p w14:paraId="3E1D08FF">
      <w:pPr>
        <w:shd w:val="clear"/>
        <w:spacing w:line="720" w:lineRule="auto"/>
        <w:rPr>
          <w:rFonts w:ascii="宋体" w:cs="宋体"/>
          <w:sz w:val="24"/>
        </w:rPr>
      </w:pPr>
      <w:r>
        <w:rPr>
          <w:rFonts w:hint="eastAsia" w:ascii="宋体" w:hAnsi="宋体" w:cs="宋体"/>
          <w:sz w:val="24"/>
        </w:rPr>
        <w:t>投标人：（盖章）</w:t>
      </w:r>
    </w:p>
    <w:p w14:paraId="15E10A6D">
      <w:pPr>
        <w:shd w:val="clear"/>
        <w:spacing w:line="720" w:lineRule="auto"/>
        <w:rPr>
          <w:rFonts w:ascii="宋体" w:cs="宋体"/>
          <w:sz w:val="24"/>
        </w:rPr>
      </w:pPr>
      <w:r>
        <w:rPr>
          <w:rFonts w:hint="eastAsia" w:ascii="宋体" w:hAnsi="宋体" w:cs="宋体"/>
          <w:sz w:val="24"/>
        </w:rPr>
        <w:t>法定代表人：（盖章）</w:t>
      </w:r>
    </w:p>
    <w:p w14:paraId="26538E6B">
      <w:pPr>
        <w:shd w:val="clear"/>
        <w:spacing w:line="720" w:lineRule="auto"/>
        <w:rPr>
          <w:rFonts w:ascii="宋体" w:cs="宋体"/>
          <w:sz w:val="24"/>
        </w:rPr>
      </w:pPr>
      <w:r>
        <w:rPr>
          <w:rFonts w:hint="eastAsia" w:ascii="宋体" w:hAnsi="宋体" w:cs="宋体"/>
          <w:sz w:val="24"/>
        </w:rPr>
        <w:t>单位地址：</w:t>
      </w:r>
    </w:p>
    <w:p w14:paraId="592BF847">
      <w:pPr>
        <w:shd w:val="clear"/>
        <w:spacing w:line="720" w:lineRule="auto"/>
        <w:rPr>
          <w:rFonts w:ascii="宋体" w:cs="宋体"/>
          <w:sz w:val="24"/>
        </w:rPr>
      </w:pPr>
      <w:r>
        <w:rPr>
          <w:rFonts w:hint="eastAsia" w:ascii="宋体" w:hAnsi="宋体" w:cs="宋体"/>
          <w:sz w:val="24"/>
        </w:rPr>
        <w:t>邮政编码：</w:t>
      </w:r>
    </w:p>
    <w:p w14:paraId="1BE7A1B8">
      <w:pPr>
        <w:shd w:val="clear"/>
        <w:spacing w:line="720" w:lineRule="auto"/>
        <w:rPr>
          <w:rFonts w:ascii="宋体" w:cs="宋体"/>
          <w:sz w:val="24"/>
        </w:rPr>
      </w:pPr>
      <w:r>
        <w:rPr>
          <w:rFonts w:hint="eastAsia" w:ascii="宋体" w:hAnsi="宋体" w:cs="宋体"/>
          <w:sz w:val="24"/>
        </w:rPr>
        <w:t>联系人：</w:t>
      </w:r>
    </w:p>
    <w:p w14:paraId="50E9E712">
      <w:pPr>
        <w:shd w:val="clear"/>
        <w:spacing w:line="720" w:lineRule="auto"/>
        <w:rPr>
          <w:rFonts w:ascii="宋体" w:cs="宋体"/>
          <w:sz w:val="24"/>
        </w:rPr>
      </w:pPr>
      <w:r>
        <w:rPr>
          <w:rFonts w:hint="eastAsia" w:ascii="宋体" w:hAnsi="宋体" w:cs="宋体"/>
          <w:sz w:val="24"/>
        </w:rPr>
        <w:t>联系电话：</w:t>
      </w:r>
    </w:p>
    <w:p w14:paraId="10EB2A6E">
      <w:pPr>
        <w:shd w:val="clear"/>
        <w:spacing w:line="720" w:lineRule="auto"/>
        <w:ind w:firstLine="2" w:firstLineChars="1"/>
        <w:jc w:val="center"/>
        <w:rPr>
          <w:rFonts w:ascii="宋体" w:cs="宋体"/>
          <w:sz w:val="24"/>
        </w:rPr>
      </w:pPr>
      <w:r>
        <w:rPr>
          <w:rFonts w:hint="eastAsia" w:ascii="宋体" w:hAnsi="宋体" w:cs="宋体"/>
          <w:sz w:val="24"/>
        </w:rPr>
        <w:t>年</w:t>
      </w:r>
      <w:r>
        <w:rPr>
          <w:rFonts w:hint="eastAsia" w:ascii="宋体" w:hAnsi="宋体" w:cs="宋体"/>
          <w:sz w:val="24"/>
          <w:lang w:val="en-US" w:eastAsia="zh-CN"/>
        </w:rPr>
        <w:t xml:space="preserve">   </w:t>
      </w:r>
      <w:r>
        <w:rPr>
          <w:rFonts w:hint="eastAsia" w:ascii="宋体" w:hAnsi="宋体" w:cs="宋体"/>
          <w:sz w:val="24"/>
        </w:rPr>
        <w:t>月</w:t>
      </w:r>
      <w:r>
        <w:rPr>
          <w:rFonts w:hint="eastAsia" w:ascii="宋体" w:hAnsi="宋体" w:cs="宋体"/>
          <w:sz w:val="24"/>
          <w:lang w:val="en-US" w:eastAsia="zh-CN"/>
        </w:rPr>
        <w:t xml:space="preserve">   </w:t>
      </w:r>
      <w:r>
        <w:rPr>
          <w:rFonts w:hint="eastAsia" w:ascii="宋体" w:hAnsi="宋体" w:cs="宋体"/>
          <w:sz w:val="24"/>
        </w:rPr>
        <w:t>日</w:t>
      </w:r>
    </w:p>
    <w:p w14:paraId="615DE903">
      <w:pPr>
        <w:keepNext w:val="0"/>
        <w:keepLines w:val="0"/>
        <w:pageBreakBefore w:val="0"/>
        <w:widowControl w:val="0"/>
        <w:shd w:val="clear"/>
        <w:kinsoku/>
        <w:wordWrap/>
        <w:overflowPunct/>
        <w:topLinePunct w:val="0"/>
        <w:autoSpaceDE/>
        <w:autoSpaceDN/>
        <w:bidi w:val="0"/>
        <w:adjustRightInd/>
        <w:snapToGrid/>
        <w:spacing w:line="720" w:lineRule="auto"/>
        <w:textAlignment w:val="auto"/>
        <w:rPr>
          <w:rFonts w:ascii="宋体"/>
          <w:b/>
          <w:bCs/>
          <w:szCs w:val="21"/>
        </w:rPr>
      </w:pPr>
      <w:r>
        <w:br w:type="page"/>
      </w:r>
    </w:p>
    <w:p w14:paraId="02C9A6EC">
      <w:pPr>
        <w:spacing w:line="440" w:lineRule="exact"/>
        <w:rPr>
          <w:rFonts w:hint="eastAsia" w:ascii="宋体" w:hAnsi="宋体" w:eastAsia="宋体" w:cs="宋体"/>
          <w:b/>
          <w:bCs/>
          <w:sz w:val="24"/>
          <w:szCs w:val="24"/>
        </w:rPr>
      </w:pPr>
    </w:p>
    <w:p w14:paraId="6EEDF5B2">
      <w:pPr>
        <w:spacing w:line="440" w:lineRule="exact"/>
        <w:rPr>
          <w:rFonts w:hint="eastAsia" w:ascii="宋体" w:hAnsi="宋体" w:eastAsia="宋体" w:cs="宋体"/>
          <w:b/>
          <w:bCs/>
          <w:sz w:val="24"/>
          <w:szCs w:val="24"/>
        </w:rPr>
      </w:pPr>
      <w:r>
        <w:rPr>
          <w:rFonts w:hint="eastAsia" w:ascii="宋体" w:hAnsi="宋体" w:eastAsia="宋体" w:cs="宋体"/>
          <w:b/>
          <w:bCs/>
          <w:sz w:val="24"/>
          <w:szCs w:val="24"/>
        </w:rPr>
        <w:t>一、资质审查</w:t>
      </w:r>
    </w:p>
    <w:p w14:paraId="6E08B635">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资质审查部分按照</w:t>
      </w:r>
      <w:r>
        <w:rPr>
          <w:rFonts w:hint="eastAsia" w:ascii="宋体" w:hAnsi="宋体" w:eastAsia="宋体" w:cs="宋体"/>
          <w:sz w:val="24"/>
          <w:szCs w:val="24"/>
          <w:lang w:val="en-US" w:eastAsia="zh-CN"/>
        </w:rPr>
        <w:t>资格审查表</w:t>
      </w:r>
      <w:r>
        <w:rPr>
          <w:rFonts w:hint="eastAsia" w:ascii="宋体" w:hAnsi="宋体" w:eastAsia="宋体" w:cs="宋体"/>
          <w:sz w:val="24"/>
          <w:szCs w:val="24"/>
        </w:rPr>
        <w:t>进行上传并加盖电子签章。</w:t>
      </w:r>
    </w:p>
    <w:p w14:paraId="20107272">
      <w:pPr>
        <w:spacing w:line="440" w:lineRule="exact"/>
        <w:rPr>
          <w:rFonts w:hint="eastAsia" w:ascii="宋体" w:hAnsi="宋体" w:eastAsia="宋体" w:cs="宋体"/>
          <w:b/>
          <w:bCs/>
          <w:sz w:val="24"/>
          <w:szCs w:val="24"/>
        </w:rPr>
      </w:pPr>
      <w:r>
        <w:rPr>
          <w:rFonts w:hint="eastAsia" w:ascii="宋体" w:hAnsi="宋体" w:eastAsia="宋体" w:cs="宋体"/>
          <w:b/>
          <w:bCs/>
          <w:sz w:val="24"/>
          <w:szCs w:val="24"/>
        </w:rPr>
        <w:t>二、报价响应</w:t>
      </w:r>
    </w:p>
    <w:p w14:paraId="22F1A137">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投标报价需上传开标一览表并加盖电子签章。</w:t>
      </w:r>
    </w:p>
    <w:p w14:paraId="3DD40BA7">
      <w:pPr>
        <w:spacing w:line="440" w:lineRule="exact"/>
        <w:rPr>
          <w:rFonts w:hint="eastAsia" w:ascii="宋体" w:hAnsi="宋体" w:eastAsia="宋体" w:cs="宋体"/>
          <w:b/>
          <w:bCs/>
          <w:sz w:val="24"/>
          <w:szCs w:val="24"/>
        </w:rPr>
      </w:pPr>
      <w:r>
        <w:rPr>
          <w:rFonts w:hint="eastAsia" w:ascii="宋体" w:hAnsi="宋体" w:eastAsia="宋体" w:cs="宋体"/>
          <w:b/>
          <w:bCs/>
          <w:sz w:val="24"/>
          <w:szCs w:val="24"/>
        </w:rPr>
        <w:t>三、商务技术响应</w:t>
      </w:r>
    </w:p>
    <w:p w14:paraId="150A472C">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需上传整个投标响应文件并按照投标响应文件的组成和编制顺序上传。</w:t>
      </w:r>
    </w:p>
    <w:p w14:paraId="01419FD0">
      <w:pPr>
        <w:pStyle w:val="8"/>
        <w:spacing w:line="440" w:lineRule="exact"/>
        <w:ind w:firstLine="482" w:firstLineChars="200"/>
        <w:jc w:val="both"/>
        <w:rPr>
          <w:rFonts w:hint="eastAsia" w:ascii="仿宋" w:hAnsi="仿宋" w:eastAsia="仿宋" w:cs="仿宋"/>
          <w:b/>
          <w:bCs/>
          <w:kern w:val="2"/>
          <w:sz w:val="28"/>
          <w:szCs w:val="28"/>
        </w:rPr>
      </w:pPr>
      <w:r>
        <w:rPr>
          <w:rFonts w:hint="eastAsia" w:ascii="宋体" w:hAnsi="宋体" w:eastAsia="宋体" w:cs="宋体"/>
          <w:b/>
          <w:bCs/>
          <w:kern w:val="2"/>
          <w:sz w:val="24"/>
          <w:szCs w:val="24"/>
        </w:rPr>
        <w:t>注明：政采云系统上投标响应文件需与目录关联，若未关联或关联不完整，造成评审专家无法按照目录准确查阅相关内容，由此造成的相关不利后果由供应商自行承担。</w:t>
      </w:r>
    </w:p>
    <w:p w14:paraId="6BFA4B4A">
      <w:pPr>
        <w:rPr>
          <w:rFonts w:hint="eastAsia"/>
        </w:rPr>
      </w:pPr>
    </w:p>
    <w:p w14:paraId="4771E776">
      <w:pPr>
        <w:pStyle w:val="75"/>
        <w:shd w:val="clear"/>
        <w:spacing w:line="400" w:lineRule="exact"/>
        <w:ind w:left="0" w:leftChars="0" w:firstLine="0" w:firstLineChars="0"/>
        <w:jc w:val="center"/>
        <w:rPr>
          <w:rFonts w:ascii="宋体" w:cs="宋体"/>
          <w:bCs/>
          <w:sz w:val="32"/>
          <w:szCs w:val="32"/>
        </w:rPr>
      </w:pPr>
    </w:p>
    <w:p w14:paraId="757393D2">
      <w:pPr>
        <w:pStyle w:val="75"/>
        <w:shd w:val="clear"/>
        <w:spacing w:line="400" w:lineRule="exact"/>
        <w:ind w:left="0" w:leftChars="0" w:firstLine="0" w:firstLineChars="0"/>
        <w:jc w:val="center"/>
        <w:rPr>
          <w:rFonts w:ascii="宋体" w:cs="宋体"/>
          <w:bCs/>
          <w:sz w:val="32"/>
          <w:szCs w:val="32"/>
        </w:rPr>
      </w:pPr>
    </w:p>
    <w:p w14:paraId="645211D3">
      <w:pPr>
        <w:pStyle w:val="75"/>
        <w:shd w:val="clear"/>
        <w:spacing w:line="400" w:lineRule="exact"/>
        <w:ind w:left="0" w:leftChars="0" w:firstLine="0" w:firstLineChars="0"/>
        <w:jc w:val="center"/>
        <w:rPr>
          <w:rFonts w:ascii="宋体" w:cs="宋体"/>
          <w:bCs/>
          <w:sz w:val="32"/>
          <w:szCs w:val="32"/>
        </w:rPr>
      </w:pPr>
    </w:p>
    <w:p w14:paraId="21B2B888">
      <w:pPr>
        <w:pStyle w:val="75"/>
        <w:shd w:val="clear"/>
        <w:spacing w:line="400" w:lineRule="exact"/>
        <w:ind w:left="0" w:leftChars="0" w:firstLine="0" w:firstLineChars="0"/>
        <w:jc w:val="center"/>
        <w:rPr>
          <w:rFonts w:ascii="宋体" w:cs="宋体"/>
          <w:bCs/>
          <w:sz w:val="32"/>
          <w:szCs w:val="32"/>
        </w:rPr>
      </w:pPr>
    </w:p>
    <w:p w14:paraId="2C885549">
      <w:pPr>
        <w:pStyle w:val="75"/>
        <w:shd w:val="clear"/>
        <w:spacing w:line="400" w:lineRule="exact"/>
        <w:ind w:left="0" w:leftChars="0" w:firstLine="0" w:firstLineChars="0"/>
        <w:jc w:val="center"/>
        <w:rPr>
          <w:rFonts w:ascii="宋体" w:cs="宋体"/>
          <w:bCs/>
          <w:sz w:val="32"/>
          <w:szCs w:val="32"/>
        </w:rPr>
      </w:pPr>
    </w:p>
    <w:p w14:paraId="075F0632">
      <w:pPr>
        <w:pStyle w:val="75"/>
        <w:shd w:val="clear"/>
        <w:spacing w:line="400" w:lineRule="exact"/>
        <w:ind w:left="0" w:leftChars="0" w:firstLine="0" w:firstLineChars="0"/>
        <w:jc w:val="center"/>
        <w:rPr>
          <w:rFonts w:ascii="宋体" w:cs="宋体"/>
          <w:bCs/>
          <w:sz w:val="32"/>
          <w:szCs w:val="32"/>
        </w:rPr>
      </w:pPr>
    </w:p>
    <w:p w14:paraId="7B2E5661">
      <w:pPr>
        <w:pStyle w:val="75"/>
        <w:shd w:val="clear"/>
        <w:spacing w:line="400" w:lineRule="exact"/>
        <w:ind w:left="0" w:leftChars="0" w:firstLine="0" w:firstLineChars="0"/>
        <w:jc w:val="center"/>
        <w:rPr>
          <w:rFonts w:ascii="宋体" w:cs="宋体"/>
          <w:bCs/>
          <w:sz w:val="32"/>
          <w:szCs w:val="32"/>
        </w:rPr>
      </w:pPr>
    </w:p>
    <w:p w14:paraId="0EED7DD4">
      <w:pPr>
        <w:pStyle w:val="75"/>
        <w:shd w:val="clear"/>
        <w:spacing w:line="400" w:lineRule="exact"/>
        <w:ind w:left="0" w:leftChars="0" w:firstLine="0" w:firstLineChars="0"/>
        <w:jc w:val="center"/>
        <w:rPr>
          <w:rFonts w:ascii="宋体" w:cs="宋体"/>
          <w:bCs/>
          <w:sz w:val="32"/>
          <w:szCs w:val="32"/>
        </w:rPr>
      </w:pPr>
    </w:p>
    <w:p w14:paraId="335B2452">
      <w:pPr>
        <w:pStyle w:val="75"/>
        <w:shd w:val="clear"/>
        <w:spacing w:line="400" w:lineRule="exact"/>
        <w:ind w:left="0" w:leftChars="0" w:firstLine="0" w:firstLineChars="0"/>
        <w:jc w:val="center"/>
        <w:rPr>
          <w:rFonts w:ascii="宋体" w:cs="宋体"/>
          <w:bCs/>
          <w:sz w:val="32"/>
          <w:szCs w:val="32"/>
        </w:rPr>
      </w:pPr>
    </w:p>
    <w:p w14:paraId="188FDD69">
      <w:pPr>
        <w:pStyle w:val="75"/>
        <w:shd w:val="clear"/>
        <w:spacing w:line="400" w:lineRule="exact"/>
        <w:ind w:left="0" w:leftChars="0" w:firstLine="0" w:firstLineChars="0"/>
        <w:jc w:val="center"/>
        <w:rPr>
          <w:rFonts w:ascii="宋体" w:cs="宋体"/>
          <w:bCs/>
          <w:sz w:val="32"/>
          <w:szCs w:val="32"/>
        </w:rPr>
      </w:pPr>
    </w:p>
    <w:p w14:paraId="790C7B09">
      <w:pPr>
        <w:pStyle w:val="75"/>
        <w:shd w:val="clear"/>
        <w:spacing w:line="400" w:lineRule="exact"/>
        <w:ind w:left="0" w:leftChars="0" w:firstLine="0" w:firstLineChars="0"/>
        <w:jc w:val="center"/>
        <w:rPr>
          <w:rFonts w:ascii="宋体" w:cs="宋体"/>
          <w:bCs/>
          <w:sz w:val="32"/>
          <w:szCs w:val="32"/>
        </w:rPr>
      </w:pPr>
    </w:p>
    <w:p w14:paraId="17A087C3">
      <w:pPr>
        <w:pStyle w:val="75"/>
        <w:shd w:val="clear"/>
        <w:spacing w:line="400" w:lineRule="exact"/>
        <w:ind w:left="0" w:leftChars="0" w:firstLine="0" w:firstLineChars="0"/>
        <w:jc w:val="center"/>
        <w:rPr>
          <w:rFonts w:ascii="宋体" w:cs="宋体"/>
          <w:bCs/>
          <w:sz w:val="32"/>
          <w:szCs w:val="32"/>
        </w:rPr>
      </w:pPr>
    </w:p>
    <w:p w14:paraId="37C7ED4E">
      <w:pPr>
        <w:pStyle w:val="75"/>
        <w:shd w:val="clear"/>
        <w:spacing w:line="400" w:lineRule="exact"/>
        <w:ind w:left="0" w:leftChars="0" w:firstLine="0" w:firstLineChars="0"/>
        <w:jc w:val="center"/>
        <w:rPr>
          <w:rFonts w:ascii="宋体" w:cs="宋体"/>
          <w:bCs/>
          <w:sz w:val="32"/>
          <w:szCs w:val="32"/>
        </w:rPr>
      </w:pPr>
    </w:p>
    <w:p w14:paraId="24106071">
      <w:pPr>
        <w:pStyle w:val="75"/>
        <w:shd w:val="clear"/>
        <w:spacing w:line="400" w:lineRule="exact"/>
        <w:ind w:left="0" w:leftChars="0" w:firstLine="0" w:firstLineChars="0"/>
        <w:jc w:val="center"/>
        <w:rPr>
          <w:rFonts w:ascii="宋体" w:cs="宋体"/>
          <w:bCs/>
          <w:sz w:val="32"/>
          <w:szCs w:val="32"/>
        </w:rPr>
      </w:pPr>
    </w:p>
    <w:p w14:paraId="47EFD18D">
      <w:pPr>
        <w:pStyle w:val="75"/>
        <w:shd w:val="clear"/>
        <w:spacing w:line="400" w:lineRule="exact"/>
        <w:ind w:left="0" w:leftChars="0" w:firstLine="0" w:firstLineChars="0"/>
        <w:jc w:val="center"/>
        <w:rPr>
          <w:rFonts w:ascii="宋体" w:cs="宋体"/>
          <w:bCs/>
          <w:sz w:val="32"/>
          <w:szCs w:val="32"/>
        </w:rPr>
      </w:pPr>
    </w:p>
    <w:p w14:paraId="1BE51729">
      <w:pPr>
        <w:pStyle w:val="75"/>
        <w:shd w:val="clear"/>
        <w:spacing w:line="400" w:lineRule="exact"/>
        <w:ind w:left="0" w:leftChars="0" w:firstLine="0" w:firstLineChars="0"/>
        <w:jc w:val="center"/>
        <w:rPr>
          <w:rFonts w:ascii="宋体" w:cs="宋体"/>
          <w:bCs/>
          <w:sz w:val="32"/>
          <w:szCs w:val="32"/>
        </w:rPr>
      </w:pPr>
    </w:p>
    <w:p w14:paraId="22199C6E">
      <w:pPr>
        <w:pStyle w:val="75"/>
        <w:shd w:val="clear"/>
        <w:spacing w:line="400" w:lineRule="exact"/>
        <w:ind w:left="0" w:leftChars="0" w:firstLine="0" w:firstLineChars="0"/>
        <w:jc w:val="center"/>
        <w:rPr>
          <w:rFonts w:ascii="宋体" w:cs="宋体"/>
          <w:bCs/>
          <w:sz w:val="32"/>
          <w:szCs w:val="32"/>
        </w:rPr>
      </w:pPr>
    </w:p>
    <w:p w14:paraId="71693C07">
      <w:pPr>
        <w:pStyle w:val="75"/>
        <w:shd w:val="clear"/>
        <w:spacing w:line="400" w:lineRule="exact"/>
        <w:ind w:left="0" w:leftChars="0" w:firstLine="0" w:firstLineChars="0"/>
        <w:jc w:val="center"/>
        <w:rPr>
          <w:rFonts w:ascii="宋体" w:cs="宋体"/>
          <w:bCs/>
          <w:sz w:val="32"/>
          <w:szCs w:val="32"/>
        </w:rPr>
      </w:pPr>
    </w:p>
    <w:p w14:paraId="374EB9A5">
      <w:pPr>
        <w:pStyle w:val="75"/>
        <w:shd w:val="clear"/>
        <w:spacing w:line="400" w:lineRule="exact"/>
        <w:ind w:left="0" w:leftChars="0" w:firstLine="0" w:firstLineChars="0"/>
        <w:jc w:val="center"/>
        <w:rPr>
          <w:rFonts w:ascii="宋体" w:cs="宋体"/>
          <w:bCs/>
          <w:sz w:val="32"/>
          <w:szCs w:val="32"/>
        </w:rPr>
      </w:pPr>
    </w:p>
    <w:p w14:paraId="2AF8D527">
      <w:pPr>
        <w:pStyle w:val="75"/>
        <w:shd w:val="clear"/>
        <w:spacing w:line="400" w:lineRule="exact"/>
        <w:ind w:left="0" w:leftChars="0" w:firstLine="0" w:firstLineChars="0"/>
        <w:jc w:val="center"/>
        <w:rPr>
          <w:rFonts w:ascii="宋体" w:cs="宋体"/>
          <w:bCs/>
          <w:sz w:val="32"/>
          <w:szCs w:val="32"/>
        </w:rPr>
      </w:pPr>
    </w:p>
    <w:p w14:paraId="5CC184F6">
      <w:pPr>
        <w:pStyle w:val="75"/>
        <w:shd w:val="clear"/>
        <w:spacing w:line="400" w:lineRule="exact"/>
        <w:ind w:left="0" w:leftChars="0" w:firstLine="0" w:firstLineChars="0"/>
        <w:jc w:val="center"/>
        <w:rPr>
          <w:rFonts w:ascii="宋体" w:cs="宋体"/>
          <w:bCs/>
          <w:sz w:val="32"/>
          <w:szCs w:val="32"/>
        </w:rPr>
      </w:pPr>
    </w:p>
    <w:p w14:paraId="1BC29B1B">
      <w:pPr>
        <w:pStyle w:val="75"/>
        <w:shd w:val="clear"/>
        <w:spacing w:line="400" w:lineRule="exact"/>
        <w:ind w:left="0" w:leftChars="0" w:firstLine="0" w:firstLineChars="0"/>
        <w:jc w:val="center"/>
        <w:rPr>
          <w:rFonts w:ascii="宋体" w:cs="宋体"/>
          <w:bCs/>
          <w:sz w:val="32"/>
          <w:szCs w:val="32"/>
        </w:rPr>
      </w:pPr>
    </w:p>
    <w:p w14:paraId="31194A29">
      <w:pPr>
        <w:pStyle w:val="75"/>
        <w:shd w:val="clear"/>
        <w:spacing w:line="400" w:lineRule="exact"/>
        <w:ind w:left="0" w:leftChars="0" w:firstLine="0" w:firstLineChars="0"/>
        <w:jc w:val="center"/>
        <w:rPr>
          <w:rFonts w:ascii="宋体" w:cs="宋体"/>
          <w:bCs/>
          <w:sz w:val="32"/>
          <w:szCs w:val="32"/>
        </w:rPr>
      </w:pPr>
    </w:p>
    <w:p w14:paraId="55B4C9B6">
      <w:pPr>
        <w:pStyle w:val="75"/>
        <w:shd w:val="clear"/>
        <w:spacing w:line="400" w:lineRule="exact"/>
        <w:ind w:left="0" w:leftChars="0" w:firstLine="0" w:firstLineChars="0"/>
        <w:jc w:val="center"/>
        <w:rPr>
          <w:rFonts w:ascii="宋体"/>
          <w:b/>
        </w:rPr>
      </w:pPr>
      <w:r>
        <w:rPr>
          <w:rFonts w:ascii="宋体" w:cs="宋体"/>
          <w:bCs/>
          <w:sz w:val="32"/>
          <w:szCs w:val="32"/>
        </w:rPr>
        <w:t>1</w:t>
      </w:r>
      <w:r>
        <w:rPr>
          <w:rFonts w:hint="eastAsia" w:ascii="宋体" w:cs="宋体"/>
          <w:bCs/>
          <w:sz w:val="32"/>
          <w:szCs w:val="32"/>
        </w:rPr>
        <w:t>、</w:t>
      </w:r>
      <w:r>
        <w:rPr>
          <w:rFonts w:hint="eastAsia" w:ascii="宋体" w:hAnsi="宋体"/>
          <w:b/>
          <w:sz w:val="32"/>
          <w:szCs w:val="32"/>
        </w:rPr>
        <w:t>投标承诺书</w:t>
      </w:r>
    </w:p>
    <w:p w14:paraId="01EE6638">
      <w:pPr>
        <w:pStyle w:val="195"/>
        <w:shd w:val="clear"/>
        <w:spacing w:beforeLines="50" w:afterLines="50" w:line="300" w:lineRule="auto"/>
        <w:ind w:firstLine="0"/>
        <w:rPr>
          <w:rFonts w:ascii="宋体"/>
          <w:color w:val="000000"/>
          <w:kern w:val="2"/>
          <w:szCs w:val="21"/>
        </w:rPr>
      </w:pPr>
      <w:r>
        <w:rPr>
          <w:rFonts w:hint="eastAsia" w:ascii="宋体" w:hAnsi="宋体"/>
          <w:color w:val="000000"/>
          <w:kern w:val="2"/>
          <w:szCs w:val="21"/>
        </w:rPr>
        <w:t>致：</w:t>
      </w:r>
      <w:r>
        <w:rPr>
          <w:rFonts w:ascii="宋体" w:hAnsi="宋体"/>
          <w:color w:val="000000"/>
          <w:kern w:val="2"/>
          <w:szCs w:val="21"/>
          <w:u w:val="single"/>
        </w:rPr>
        <w:t xml:space="preserve">            </w:t>
      </w:r>
      <w:r>
        <w:rPr>
          <w:rFonts w:hint="eastAsia" w:ascii="宋体" w:hAnsi="宋体"/>
          <w:color w:val="000000"/>
          <w:kern w:val="2"/>
          <w:szCs w:val="21"/>
          <w:u w:val="single"/>
        </w:rPr>
        <w:t>（</w:t>
      </w:r>
      <w:r>
        <w:rPr>
          <w:rFonts w:hint="eastAsia" w:ascii="宋体" w:hAnsi="宋体"/>
          <w:color w:val="000000"/>
          <w:kern w:val="2"/>
          <w:szCs w:val="21"/>
        </w:rPr>
        <w:t>采购人）</w:t>
      </w:r>
    </w:p>
    <w:p w14:paraId="3D659BE7">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1、我方同意在投标人编制和提交采购响应文件须知规定的开标日期起遵守本投标文件中的承诺且在投标有效期满之前均具有约束力。</w:t>
      </w:r>
    </w:p>
    <w:p w14:paraId="784BF883">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2、我方承诺已经具备投标条件:</w:t>
      </w:r>
    </w:p>
    <w:p w14:paraId="0CF10189">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(1)持有《金融机构法人许可证》或《金融机构营业许可证》，且在中心所在地新疆</w:t>
      </w:r>
      <w:r>
        <w:rPr>
          <w:rFonts w:hint="eastAsia" w:ascii="宋体" w:hAnsi="宋体" w:cs="宋体"/>
          <w:b w:val="0"/>
          <w:bCs w:val="0"/>
          <w:kern w:val="0"/>
          <w:sz w:val="24"/>
          <w:szCs w:val="24"/>
          <w:highlight w:val="none"/>
          <w:lang w:val="en-US" w:eastAsia="zh-CN"/>
        </w:rPr>
        <w:t>鄯善县</w:t>
      </w:r>
      <w:r>
        <w:rPr>
          <w:rFonts w:hint="eastAsia" w:ascii="宋体" w:hAnsi="宋体" w:eastAsia="宋体" w:cs="宋体"/>
          <w:b w:val="0"/>
          <w:bCs w:val="0"/>
          <w:kern w:val="0"/>
          <w:sz w:val="24"/>
          <w:szCs w:val="24"/>
          <w:highlight w:val="none"/>
          <w:lang w:val="en-US" w:eastAsia="zh-CN"/>
        </w:rPr>
        <w:t>设有分支机构。</w:t>
      </w:r>
    </w:p>
    <w:p w14:paraId="6A59934C">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(2)依法开展经营活动，近3年内在经营活动中无重大违法违纪记录;</w:t>
      </w:r>
    </w:p>
    <w:p w14:paraId="6ECC646C">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3、中标单位提供投标文件正本1份，副本2份。</w:t>
      </w:r>
    </w:p>
    <w:p w14:paraId="1E73DAF1">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具体内容为:</w:t>
      </w:r>
      <w:r>
        <w:rPr>
          <w:rFonts w:hint="eastAsia" w:ascii="宋体" w:hAnsi="宋体" w:eastAsia="宋体" w:cs="宋体"/>
          <w:b w:val="0"/>
          <w:bCs w:val="0"/>
          <w:kern w:val="0"/>
          <w:sz w:val="24"/>
          <w:szCs w:val="24"/>
          <w:highlight w:val="none"/>
          <w:lang w:val="zh-CN" w:eastAsia="zh-CN"/>
        </w:rPr>
        <w:t>投标文件</w:t>
      </w:r>
      <w:r>
        <w:rPr>
          <w:rFonts w:hint="eastAsia" w:ascii="宋体" w:hAnsi="宋体" w:eastAsia="宋体" w:cs="宋体"/>
          <w:b w:val="0"/>
          <w:bCs w:val="0"/>
          <w:kern w:val="0"/>
          <w:sz w:val="24"/>
          <w:szCs w:val="24"/>
          <w:highlight w:val="none"/>
          <w:lang w:val="en-US" w:eastAsia="zh-CN"/>
        </w:rPr>
        <w:t>；</w:t>
      </w:r>
    </w:p>
    <w:p w14:paraId="1ABCB975">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编制和提交采购文件须知要求投标人提交的全部文件。</w:t>
      </w:r>
    </w:p>
    <w:p w14:paraId="732B1703">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4、按招标文件要求提供和交付的服务的投标报价详见商务报价文件。</w:t>
      </w:r>
    </w:p>
    <w:p w14:paraId="2211E88C">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5、保证忠实地执行双方所签订的合同，并承担合同规定的责任和义务。</w:t>
      </w:r>
    </w:p>
    <w:p w14:paraId="76392466">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6、保证遵守招标文件中的其他有关规定。</w:t>
      </w:r>
    </w:p>
    <w:p w14:paraId="70D3FC49">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7、如果在开标后规定的投标有效期</w:t>
      </w:r>
      <w:r>
        <w:rPr>
          <w:rFonts w:hint="eastAsia" w:ascii="宋体" w:hAnsi="宋体" w:cs="宋体"/>
          <w:b w:val="0"/>
          <w:bCs w:val="0"/>
          <w:kern w:val="0"/>
          <w:sz w:val="24"/>
          <w:szCs w:val="24"/>
          <w:highlight w:val="none"/>
          <w:u w:val="single"/>
          <w:lang w:val="en-US" w:eastAsia="zh-CN"/>
        </w:rPr>
        <w:t xml:space="preserve"> 90</w:t>
      </w:r>
      <w:r>
        <w:rPr>
          <w:rFonts w:hint="eastAsia" w:ascii="宋体" w:hAnsi="宋体" w:cs="宋体"/>
          <w:b w:val="0"/>
          <w:bCs w:val="0"/>
          <w:kern w:val="0"/>
          <w:sz w:val="24"/>
          <w:szCs w:val="24"/>
          <w:highlight w:val="none"/>
          <w:lang w:val="en-US" w:eastAsia="zh-CN"/>
        </w:rPr>
        <w:t>天</w:t>
      </w:r>
      <w:r>
        <w:rPr>
          <w:rFonts w:hint="eastAsia" w:ascii="宋体" w:hAnsi="宋体" w:eastAsia="宋体" w:cs="宋体"/>
          <w:b w:val="0"/>
          <w:bCs w:val="0"/>
          <w:kern w:val="0"/>
          <w:sz w:val="24"/>
          <w:szCs w:val="24"/>
          <w:highlight w:val="none"/>
          <w:lang w:val="en-US" w:eastAsia="zh-CN"/>
        </w:rPr>
        <w:t>内我方撤回投标，贵方有权将我方不良行为报请监管部门，并根据有关条例及文件给予处理。</w:t>
      </w:r>
    </w:p>
    <w:p w14:paraId="79A0BD99">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8、我方完全理解贵方不一定要接受利率最高的投标。</w:t>
      </w:r>
    </w:p>
    <w:p w14:paraId="68F8C0EB">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9、我方承诺完全接受采购人存款要求。</w:t>
      </w:r>
    </w:p>
    <w:p w14:paraId="2C482058">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10、我方愿意向贵方提供任何与该项投标有关的数据、情况和技术资料。若贵方需要，我方愿意提供我方作出的一切承诺的证明材料。</w:t>
      </w:r>
    </w:p>
    <w:p w14:paraId="2F0D1CEB">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11、我方已详细审核全部招标文件，包括招标文件修改书（如果有）、参考资料及有关附件，确认无误。</w:t>
      </w:r>
    </w:p>
    <w:p w14:paraId="689ED6B8">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12、我方将严格遵守《中华人民共和国政府采购法》第七十七条规定，投标人有下列情形之一的，列入不良行为记录名单，在一至三年内禁止参加政府采购活动；有违法所得的，并处没收违法所得；情节严重的，由行政管理机关吊销营业执照；构成犯罪的，依法追究刑事责任:</w:t>
      </w:r>
    </w:p>
    <w:p w14:paraId="4A0CDFAE">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（1)提供虚假材料谋取中标、成交的；</w:t>
      </w:r>
    </w:p>
    <w:p w14:paraId="2D499761">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（2)采取不正当手段诋毁、排挤其他投标人的；</w:t>
      </w:r>
    </w:p>
    <w:p w14:paraId="7E78A3F2">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（3)与采购人、其它投标人恶意串通的；</w:t>
      </w:r>
    </w:p>
    <w:p w14:paraId="0553139F">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（4)向采购人提供其他不正当利益的；</w:t>
      </w:r>
    </w:p>
    <w:p w14:paraId="58069139">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（5)在招标采购过程中与采购人进行协商谈判的；</w:t>
      </w:r>
    </w:p>
    <w:p w14:paraId="1C8A77AB">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（6)拒绝有关部门监督检查或提供虚假情况的。</w:t>
      </w:r>
    </w:p>
    <w:p w14:paraId="622F9EEA">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投标人有前款第（1)至（5）项情形之一的，中标、成交无效。</w:t>
      </w:r>
    </w:p>
    <w:p w14:paraId="071A240D">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zh-CN" w:eastAsia="zh-CN"/>
        </w:rPr>
      </w:pPr>
      <w:r>
        <w:rPr>
          <w:rFonts w:hint="eastAsia" w:ascii="宋体" w:hAnsi="宋体" w:eastAsia="宋体" w:cs="宋体"/>
          <w:b w:val="0"/>
          <w:bCs w:val="0"/>
          <w:kern w:val="0"/>
          <w:sz w:val="24"/>
          <w:szCs w:val="24"/>
          <w:highlight w:val="none"/>
          <w:lang w:val="zh-CN" w:eastAsia="zh-CN"/>
        </w:rPr>
        <w:t xml:space="preserve">法定代表人（或负责人）或授权委托人（签字或盖章）: </w:t>
      </w:r>
    </w:p>
    <w:p w14:paraId="73D2557E">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zh-CN" w:eastAsia="zh-CN"/>
        </w:rPr>
      </w:pPr>
      <w:r>
        <w:rPr>
          <w:rFonts w:hint="eastAsia" w:ascii="宋体" w:hAnsi="宋体" w:eastAsia="宋体" w:cs="宋体"/>
          <w:b w:val="0"/>
          <w:bCs w:val="0"/>
          <w:kern w:val="0"/>
          <w:sz w:val="24"/>
          <w:szCs w:val="24"/>
          <w:highlight w:val="none"/>
          <w:lang w:val="zh-CN" w:eastAsia="zh-CN"/>
        </w:rPr>
        <w:t xml:space="preserve">投标人盖章:  </w:t>
      </w:r>
    </w:p>
    <w:p w14:paraId="339BB5EA">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zh-CN" w:eastAsia="zh-CN"/>
        </w:rPr>
      </w:pPr>
      <w:r>
        <w:rPr>
          <w:rFonts w:hint="eastAsia" w:ascii="宋体" w:hAnsi="宋体" w:eastAsia="宋体" w:cs="宋体"/>
          <w:b w:val="0"/>
          <w:bCs w:val="0"/>
          <w:kern w:val="0"/>
          <w:sz w:val="24"/>
          <w:szCs w:val="24"/>
          <w:highlight w:val="none"/>
          <w:lang w:val="zh-CN" w:eastAsia="zh-CN"/>
        </w:rPr>
        <w:t>联系人:</w:t>
      </w:r>
    </w:p>
    <w:p w14:paraId="64BA4192">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zh-CN" w:eastAsia="zh-CN"/>
        </w:rPr>
        <w:t xml:space="preserve">联系电话: </w:t>
      </w:r>
    </w:p>
    <w:p w14:paraId="024F874C">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zh-CN" w:eastAsia="zh-CN"/>
        </w:rPr>
        <w:t>联系地址:</w:t>
      </w:r>
    </w:p>
    <w:p w14:paraId="02F565C2">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zh-CN" w:eastAsia="zh-CN"/>
        </w:rPr>
      </w:pPr>
      <w:r>
        <w:rPr>
          <w:rFonts w:hint="eastAsia" w:ascii="宋体" w:hAnsi="宋体" w:eastAsia="宋体" w:cs="宋体"/>
          <w:b w:val="0"/>
          <w:bCs w:val="0"/>
          <w:kern w:val="0"/>
          <w:sz w:val="24"/>
          <w:szCs w:val="24"/>
          <w:highlight w:val="none"/>
          <w:lang w:val="zh-CN" w:eastAsia="zh-CN"/>
        </w:rPr>
        <w:t>邮政编码:</w:t>
      </w:r>
    </w:p>
    <w:p w14:paraId="23B772A4">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zh-CN" w:eastAsia="zh-CN"/>
        </w:rPr>
      </w:pPr>
      <w:r>
        <w:rPr>
          <w:rFonts w:hint="eastAsia" w:ascii="宋体" w:hAnsi="宋体" w:eastAsia="宋体" w:cs="宋体"/>
          <w:b w:val="0"/>
          <w:bCs w:val="0"/>
          <w:kern w:val="0"/>
          <w:sz w:val="24"/>
          <w:szCs w:val="24"/>
          <w:highlight w:val="none"/>
          <w:lang w:val="zh-CN" w:eastAsia="zh-CN"/>
        </w:rPr>
        <w:t>传真号码:</w:t>
      </w:r>
    </w:p>
    <w:p w14:paraId="0668A14A">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zh-CN" w:eastAsia="zh-CN"/>
        </w:rPr>
        <w:t>日期</w:t>
      </w:r>
      <w:r>
        <w:rPr>
          <w:rFonts w:hint="eastAsia" w:ascii="宋体" w:hAnsi="宋体" w:eastAsia="宋体" w:cs="宋体"/>
          <w:b w:val="0"/>
          <w:bCs w:val="0"/>
          <w:kern w:val="0"/>
          <w:sz w:val="24"/>
          <w:szCs w:val="24"/>
          <w:highlight w:val="none"/>
          <w:lang w:val="en-US" w:eastAsia="zh-CN"/>
        </w:rPr>
        <w:t xml:space="preserve">:    </w:t>
      </w:r>
      <w:r>
        <w:rPr>
          <w:rFonts w:hint="eastAsia" w:ascii="宋体" w:hAnsi="宋体" w:eastAsia="宋体" w:cs="宋体"/>
          <w:b w:val="0"/>
          <w:bCs w:val="0"/>
          <w:kern w:val="0"/>
          <w:sz w:val="24"/>
          <w:szCs w:val="24"/>
          <w:highlight w:val="none"/>
          <w:lang w:val="zh-CN" w:eastAsia="zh-CN"/>
        </w:rPr>
        <w:t>年</w:t>
      </w:r>
      <w:r>
        <w:rPr>
          <w:rFonts w:hint="eastAsia" w:ascii="宋体" w:hAnsi="宋体" w:eastAsia="宋体" w:cs="宋体"/>
          <w:b w:val="0"/>
          <w:bCs w:val="0"/>
          <w:kern w:val="0"/>
          <w:sz w:val="24"/>
          <w:szCs w:val="24"/>
          <w:highlight w:val="none"/>
          <w:lang w:val="en-US" w:eastAsia="zh-CN"/>
        </w:rPr>
        <w:tab/>
      </w:r>
      <w:r>
        <w:rPr>
          <w:rFonts w:hint="eastAsia" w:ascii="宋体" w:hAnsi="宋体" w:eastAsia="宋体" w:cs="宋体"/>
          <w:b w:val="0"/>
          <w:bCs w:val="0"/>
          <w:kern w:val="0"/>
          <w:sz w:val="24"/>
          <w:szCs w:val="24"/>
          <w:highlight w:val="none"/>
          <w:lang w:val="zh-CN" w:eastAsia="zh-CN"/>
        </w:rPr>
        <w:t>月</w:t>
      </w:r>
      <w:r>
        <w:rPr>
          <w:rFonts w:hint="eastAsia" w:ascii="宋体" w:hAnsi="宋体" w:eastAsia="宋体" w:cs="宋体"/>
          <w:b w:val="0"/>
          <w:bCs w:val="0"/>
          <w:kern w:val="0"/>
          <w:sz w:val="24"/>
          <w:szCs w:val="24"/>
          <w:highlight w:val="none"/>
          <w:lang w:val="en-US" w:eastAsia="zh-CN"/>
        </w:rPr>
        <w:t xml:space="preserve">   </w:t>
      </w:r>
      <w:r>
        <w:rPr>
          <w:rFonts w:hint="eastAsia" w:ascii="宋体" w:hAnsi="宋体" w:eastAsia="宋体" w:cs="宋体"/>
          <w:b w:val="0"/>
          <w:bCs w:val="0"/>
          <w:kern w:val="0"/>
          <w:sz w:val="24"/>
          <w:szCs w:val="24"/>
          <w:highlight w:val="none"/>
          <w:lang w:val="zh-CN" w:eastAsia="zh-CN"/>
        </w:rPr>
        <w:t>日</w:t>
      </w:r>
    </w:p>
    <w:p w14:paraId="58430482">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sz w:val="36"/>
          <w:szCs w:val="36"/>
        </w:rPr>
      </w:pPr>
      <w:r>
        <w:rPr>
          <w:rFonts w:hint="eastAsia" w:ascii="宋体" w:hAnsi="宋体" w:eastAsia="宋体" w:cs="宋体"/>
          <w:b w:val="0"/>
          <w:bCs w:val="0"/>
          <w:kern w:val="0"/>
          <w:sz w:val="24"/>
          <w:szCs w:val="24"/>
          <w:highlight w:val="none"/>
          <w:lang w:val="en-US" w:eastAsia="zh-CN"/>
        </w:rPr>
        <w:t>注:未按照本投标响应函要求填报的将被视为非实质性响应投标，从而可能导致该投标被拒绝。</w:t>
      </w:r>
    </w:p>
    <w:p w14:paraId="3C9E8A59">
      <w:pPr>
        <w:spacing w:line="360" w:lineRule="auto"/>
        <w:jc w:val="center"/>
        <w:outlineLvl w:val="0"/>
        <w:rPr>
          <w:rFonts w:hint="eastAsia" w:ascii="宋体" w:hAnsi="宋体" w:eastAsia="宋体" w:cs="宋体"/>
          <w:b/>
          <w:bCs/>
          <w:sz w:val="36"/>
          <w:szCs w:val="36"/>
        </w:rPr>
      </w:pPr>
    </w:p>
    <w:p w14:paraId="19023F6F">
      <w:pPr>
        <w:pStyle w:val="39"/>
        <w:rPr>
          <w:rFonts w:hint="eastAsia" w:ascii="宋体" w:hAnsi="宋体" w:eastAsia="宋体" w:cs="宋体"/>
          <w:b/>
          <w:bCs/>
          <w:sz w:val="36"/>
          <w:szCs w:val="36"/>
        </w:rPr>
      </w:pPr>
    </w:p>
    <w:p w14:paraId="75071DF1">
      <w:pPr>
        <w:pStyle w:val="39"/>
        <w:rPr>
          <w:rFonts w:hint="eastAsia" w:ascii="宋体" w:hAnsi="宋体" w:eastAsia="宋体" w:cs="宋体"/>
          <w:b/>
          <w:bCs/>
          <w:sz w:val="36"/>
          <w:szCs w:val="36"/>
        </w:rPr>
      </w:pPr>
    </w:p>
    <w:p w14:paraId="5BB7CB93">
      <w:pPr>
        <w:pStyle w:val="39"/>
        <w:rPr>
          <w:rFonts w:hint="eastAsia" w:ascii="宋体" w:hAnsi="宋体" w:eastAsia="宋体" w:cs="宋体"/>
          <w:b/>
          <w:bCs/>
          <w:sz w:val="36"/>
          <w:szCs w:val="36"/>
        </w:rPr>
      </w:pPr>
    </w:p>
    <w:p w14:paraId="7F1E4930">
      <w:pPr>
        <w:pStyle w:val="39"/>
        <w:rPr>
          <w:rFonts w:hint="eastAsia" w:ascii="宋体" w:hAnsi="宋体" w:eastAsia="宋体" w:cs="宋体"/>
          <w:b/>
          <w:bCs/>
          <w:sz w:val="36"/>
          <w:szCs w:val="36"/>
        </w:rPr>
      </w:pPr>
    </w:p>
    <w:p w14:paraId="64BE4444">
      <w:pPr>
        <w:shd w:val="clear"/>
        <w:jc w:val="center"/>
        <w:rPr>
          <w:rFonts w:ascii="宋体"/>
          <w:b/>
          <w:bCs/>
          <w:szCs w:val="21"/>
        </w:rPr>
      </w:pPr>
    </w:p>
    <w:p w14:paraId="430F7D25">
      <w:pPr>
        <w:shd w:val="clear"/>
        <w:jc w:val="center"/>
        <w:rPr>
          <w:rFonts w:ascii="宋体"/>
          <w:b/>
          <w:bCs/>
          <w:szCs w:val="21"/>
        </w:rPr>
      </w:pPr>
    </w:p>
    <w:p w14:paraId="4338F508">
      <w:pPr>
        <w:shd w:val="clear"/>
        <w:jc w:val="center"/>
        <w:rPr>
          <w:rFonts w:ascii="宋体"/>
          <w:b/>
          <w:bCs/>
          <w:szCs w:val="21"/>
        </w:rPr>
      </w:pPr>
    </w:p>
    <w:p w14:paraId="48F195D7">
      <w:pPr>
        <w:shd w:val="clear"/>
        <w:spacing w:line="360" w:lineRule="auto"/>
        <w:jc w:val="center"/>
        <w:rPr>
          <w:rFonts w:ascii="宋体" w:hAnsi="宋体"/>
          <w:b/>
          <w:bCs/>
          <w:sz w:val="32"/>
          <w:szCs w:val="32"/>
        </w:rPr>
      </w:pPr>
    </w:p>
    <w:p w14:paraId="1351E2FE">
      <w:pPr>
        <w:shd w:val="clear"/>
        <w:spacing w:line="360" w:lineRule="auto"/>
        <w:jc w:val="center"/>
        <w:rPr>
          <w:rFonts w:ascii="宋体" w:hAnsi="宋体"/>
          <w:b/>
          <w:bCs/>
          <w:sz w:val="32"/>
          <w:szCs w:val="32"/>
        </w:rPr>
      </w:pPr>
    </w:p>
    <w:p w14:paraId="1027F4BA">
      <w:pPr>
        <w:shd w:val="clear"/>
        <w:spacing w:line="360" w:lineRule="auto"/>
        <w:jc w:val="both"/>
        <w:rPr>
          <w:rFonts w:ascii="宋体" w:hAnsi="宋体"/>
          <w:b/>
          <w:bCs/>
          <w:sz w:val="32"/>
          <w:szCs w:val="32"/>
        </w:rPr>
      </w:pPr>
    </w:p>
    <w:p w14:paraId="0F631670">
      <w:pPr>
        <w:shd w:val="clear"/>
        <w:spacing w:line="360" w:lineRule="auto"/>
        <w:jc w:val="center"/>
        <w:rPr>
          <w:rFonts w:hint="eastAsia" w:ascii="宋体" w:hAnsi="宋体"/>
          <w:b/>
          <w:bCs/>
          <w:sz w:val="32"/>
          <w:szCs w:val="32"/>
        </w:rPr>
      </w:pPr>
      <w:r>
        <w:rPr>
          <w:rFonts w:ascii="宋体" w:hAnsi="宋体"/>
          <w:b/>
          <w:bCs/>
          <w:sz w:val="32"/>
          <w:szCs w:val="32"/>
        </w:rPr>
        <w:t>2</w:t>
      </w:r>
      <w:r>
        <w:rPr>
          <w:rFonts w:hint="eastAsia" w:ascii="宋体" w:hAnsi="宋体"/>
          <w:b/>
          <w:bCs/>
          <w:sz w:val="32"/>
          <w:szCs w:val="32"/>
        </w:rPr>
        <w:t>、授权委托书</w:t>
      </w:r>
    </w:p>
    <w:p w14:paraId="09B3444E">
      <w:pPr>
        <w:widowControl/>
        <w:shd w:val="clear" w:color="auto"/>
        <w:snapToGrid w:val="0"/>
        <w:spacing w:line="384" w:lineRule="auto"/>
        <w:jc w:val="left"/>
        <w:rPr>
          <w:rFonts w:ascii="宋体" w:cs="Arial"/>
          <w:color w:val="auto"/>
          <w:kern w:val="0"/>
          <w:sz w:val="24"/>
          <w:szCs w:val="24"/>
          <w:highlight w:val="none"/>
        </w:rPr>
      </w:pPr>
    </w:p>
    <w:p w14:paraId="68094BE3">
      <w:pPr>
        <w:keepNext w:val="0"/>
        <w:keepLines w:val="0"/>
        <w:pageBreakBefore w:val="0"/>
        <w:widowControl w:val="0"/>
        <w:kinsoku/>
        <w:wordWrap/>
        <w:overflowPunct/>
        <w:topLinePunct w:val="0"/>
        <w:autoSpaceDE/>
        <w:autoSpaceDN/>
        <w:bidi w:val="0"/>
        <w:adjustRightInd/>
        <w:snapToGrid/>
        <w:spacing w:line="520" w:lineRule="exact"/>
        <w:rPr>
          <w:rFonts w:hint="eastAsia" w:ascii="宋体" w:hAnsi="宋体" w:eastAsia="宋体" w:cs="宋体"/>
          <w:b w:val="0"/>
          <w:bCs w:val="0"/>
          <w:kern w:val="0"/>
          <w:sz w:val="24"/>
          <w:szCs w:val="24"/>
          <w:highlight w:val="none"/>
          <w:lang w:val="en-US" w:eastAsia="zh-CN"/>
        </w:rPr>
      </w:pPr>
      <w:r>
        <w:rPr>
          <w:rFonts w:hint="eastAsia" w:ascii="宋体" w:hAnsi="宋体" w:cs="宋体"/>
          <w:b w:val="0"/>
          <w:bCs w:val="0"/>
          <w:kern w:val="0"/>
          <w:sz w:val="24"/>
          <w:szCs w:val="24"/>
          <w:highlight w:val="none"/>
          <w:lang w:val="en-US" w:eastAsia="zh-CN"/>
        </w:rPr>
        <w:t xml:space="preserve"> 鄯善县财政局  </w:t>
      </w:r>
      <w:r>
        <w:rPr>
          <w:rFonts w:hint="eastAsia" w:ascii="宋体" w:hAnsi="宋体" w:eastAsia="宋体" w:cs="宋体"/>
          <w:b w:val="0"/>
          <w:bCs w:val="0"/>
          <w:kern w:val="0"/>
          <w:sz w:val="24"/>
          <w:szCs w:val="24"/>
          <w:highlight w:val="none"/>
          <w:lang w:val="en-US" w:eastAsia="zh-CN"/>
        </w:rPr>
        <w:t>：</w:t>
      </w:r>
    </w:p>
    <w:p w14:paraId="3F455A50">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 xml:space="preserve">兹委派我公司    先生/女士（其在本公司的职务是:    ，联系电话:         手机:    传真:    身份证号:    ）代表我公司全权处理                      </w:t>
      </w:r>
      <w:r>
        <w:rPr>
          <w:rFonts w:hint="eastAsia" w:ascii="宋体" w:hAnsi="宋体" w:cs="宋体"/>
          <w:b w:val="0"/>
          <w:bCs w:val="0"/>
          <w:kern w:val="0"/>
          <w:sz w:val="24"/>
          <w:szCs w:val="24"/>
          <w:highlight w:val="none"/>
          <w:lang w:val="en-US" w:eastAsia="zh-CN"/>
        </w:rPr>
        <w:t xml:space="preserve">        鄯善县2025年社会保险基金转出开户银行开展定期存款服务项目</w:t>
      </w:r>
      <w:r>
        <w:rPr>
          <w:rFonts w:hint="eastAsia" w:ascii="宋体" w:hAnsi="宋体" w:eastAsia="宋体" w:cs="宋体"/>
          <w:b w:val="0"/>
          <w:bCs w:val="0"/>
          <w:kern w:val="0"/>
          <w:sz w:val="24"/>
          <w:szCs w:val="24"/>
          <w:highlight w:val="none"/>
          <w:lang w:val="en-US" w:eastAsia="zh-CN"/>
        </w:rPr>
        <w:t>（项目编号：</w:t>
      </w:r>
      <w:r>
        <w:rPr>
          <w:rFonts w:hint="eastAsia" w:ascii="宋体" w:hAnsi="宋体" w:cs="宋体"/>
          <w:b w:val="0"/>
          <w:bCs w:val="0"/>
          <w:kern w:val="0"/>
          <w:sz w:val="24"/>
          <w:szCs w:val="24"/>
          <w:highlight w:val="none"/>
          <w:lang w:val="en-US" w:eastAsia="zh-CN"/>
        </w:rPr>
        <w:t xml:space="preserve">         </w:t>
      </w:r>
      <w:r>
        <w:rPr>
          <w:rFonts w:hint="eastAsia" w:ascii="宋体" w:hAnsi="宋体" w:eastAsia="宋体" w:cs="宋体"/>
          <w:b w:val="0"/>
          <w:bCs w:val="0"/>
          <w:kern w:val="0"/>
          <w:sz w:val="24"/>
          <w:szCs w:val="24"/>
          <w:highlight w:val="none"/>
          <w:lang w:val="en-US" w:eastAsia="zh-CN"/>
        </w:rPr>
        <w:t>）投标的一切事项，若中标则全权代表本公司签订协议，并负责处理协议书和合同履行等事宜。</w:t>
      </w:r>
    </w:p>
    <w:p w14:paraId="592FD8C4">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本委托书有效期:自     年 月  日起至    年  月  日止。</w:t>
      </w:r>
    </w:p>
    <w:p w14:paraId="22E0AD93">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特此告知。</w:t>
      </w:r>
    </w:p>
    <w:p w14:paraId="37EED686">
      <w:pPr>
        <w:keepNext w:val="0"/>
        <w:keepLines w:val="0"/>
        <w:pageBreakBefore w:val="0"/>
        <w:widowControl w:val="0"/>
        <w:kinsoku/>
        <w:wordWrap/>
        <w:overflowPunct/>
        <w:topLinePunct w:val="0"/>
        <w:autoSpaceDE/>
        <w:autoSpaceDN/>
        <w:bidi w:val="0"/>
        <w:adjustRightInd/>
        <w:snapToGrid/>
        <w:spacing w:line="520" w:lineRule="exact"/>
        <w:ind w:firstLine="440" w:firstLineChars="200"/>
        <w:rPr>
          <w:rFonts w:hint="eastAsia" w:ascii="宋体" w:hAnsi="宋体" w:eastAsia="宋体" w:cs="宋体"/>
          <w:b w:val="0"/>
          <w:bCs w:val="0"/>
          <w:kern w:val="0"/>
          <w:sz w:val="22"/>
          <w:szCs w:val="22"/>
          <w:highlight w:val="none"/>
          <w:lang w:val="en-US" w:eastAsia="zh-CN"/>
        </w:rPr>
      </w:pPr>
    </w:p>
    <w:p w14:paraId="05ABC460">
      <w:pPr>
        <w:keepNext w:val="0"/>
        <w:keepLines w:val="0"/>
        <w:pageBreakBefore w:val="0"/>
        <w:widowControl w:val="0"/>
        <w:kinsoku/>
        <w:wordWrap/>
        <w:overflowPunct/>
        <w:topLinePunct w:val="0"/>
        <w:autoSpaceDE/>
        <w:autoSpaceDN/>
        <w:bidi w:val="0"/>
        <w:adjustRightInd/>
        <w:snapToGrid/>
        <w:spacing w:line="520" w:lineRule="exact"/>
        <w:ind w:firstLine="440" w:firstLineChars="200"/>
        <w:rPr>
          <w:rFonts w:hint="eastAsia" w:ascii="宋体" w:hAnsi="宋体" w:eastAsia="宋体" w:cs="宋体"/>
          <w:b w:val="0"/>
          <w:bCs w:val="0"/>
          <w:kern w:val="0"/>
          <w:sz w:val="22"/>
          <w:szCs w:val="22"/>
          <w:highlight w:val="none"/>
          <w:lang w:val="en-US" w:eastAsia="zh-CN"/>
        </w:rPr>
      </w:pPr>
    </w:p>
    <w:p w14:paraId="78C7C80C">
      <w:pPr>
        <w:keepNext w:val="0"/>
        <w:keepLines w:val="0"/>
        <w:pageBreakBefore w:val="0"/>
        <w:widowControl w:val="0"/>
        <w:kinsoku/>
        <w:wordWrap/>
        <w:overflowPunct/>
        <w:topLinePunct w:val="0"/>
        <w:autoSpaceDE/>
        <w:autoSpaceDN/>
        <w:bidi w:val="0"/>
        <w:adjustRightInd/>
        <w:snapToGrid/>
        <w:spacing w:line="520" w:lineRule="exact"/>
        <w:ind w:firstLine="440" w:firstLineChars="200"/>
        <w:rPr>
          <w:rFonts w:hint="eastAsia" w:ascii="宋体" w:hAnsi="宋体" w:eastAsia="宋体" w:cs="宋体"/>
          <w:b w:val="0"/>
          <w:bCs w:val="0"/>
          <w:kern w:val="0"/>
          <w:sz w:val="22"/>
          <w:szCs w:val="22"/>
          <w:highlight w:val="none"/>
          <w:lang w:val="en-US" w:eastAsia="zh-CN"/>
        </w:rPr>
      </w:pPr>
    </w:p>
    <w:p w14:paraId="17F338BC">
      <w:pPr>
        <w:keepNext w:val="0"/>
        <w:keepLines w:val="0"/>
        <w:pageBreakBefore w:val="0"/>
        <w:widowControl w:val="0"/>
        <w:kinsoku/>
        <w:wordWrap/>
        <w:overflowPunct/>
        <w:topLinePunct w:val="0"/>
        <w:autoSpaceDE/>
        <w:autoSpaceDN/>
        <w:bidi w:val="0"/>
        <w:adjustRightInd/>
        <w:snapToGrid/>
        <w:spacing w:line="520" w:lineRule="exact"/>
        <w:ind w:firstLine="4320" w:firstLineChars="18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 xml:space="preserve">投标人名称（公章）:                       </w:t>
      </w:r>
    </w:p>
    <w:p w14:paraId="04B58564">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pPr>
      <w:r>
        <w:rPr>
          <w:rFonts w:hint="eastAsia" w:ascii="宋体" w:hAnsi="宋体" w:eastAsia="宋体" w:cs="宋体"/>
          <w:b w:val="0"/>
          <w:bCs w:val="0"/>
          <w:kern w:val="0"/>
          <w:sz w:val="24"/>
          <w:szCs w:val="24"/>
          <w:highlight w:val="none"/>
          <w:lang w:val="en-US" w:eastAsia="zh-CN"/>
        </w:rPr>
        <w:t xml:space="preserve">                                法定代表人（或负责人）（签字或盖章）:                   </w:t>
      </w:r>
    </w:p>
    <w:p w14:paraId="619F5783">
      <w:pPr>
        <w:keepNext w:val="0"/>
        <w:keepLines w:val="0"/>
        <w:pageBreakBefore w:val="0"/>
        <w:widowControl w:val="0"/>
        <w:kinsoku/>
        <w:wordWrap/>
        <w:overflowPunct/>
        <w:topLinePunct w:val="0"/>
        <w:autoSpaceDE/>
        <w:autoSpaceDN/>
        <w:bidi w:val="0"/>
        <w:adjustRightInd/>
        <w:snapToGrid/>
        <w:spacing w:line="520" w:lineRule="exact"/>
        <w:ind w:firstLine="480" w:firstLineChars="200"/>
        <w:rPr>
          <w:rFonts w:hint="eastAsia" w:ascii="宋体" w:hAnsi="宋体" w:eastAsia="宋体" w:cs="宋体"/>
          <w:b w:val="0"/>
          <w:bCs w:val="0"/>
          <w:kern w:val="0"/>
          <w:sz w:val="24"/>
          <w:szCs w:val="24"/>
          <w:highlight w:val="none"/>
          <w:lang w:val="en-US" w:eastAsia="zh-CN"/>
        </w:rPr>
        <w:sectPr>
          <w:headerReference r:id="rId13" w:type="first"/>
          <w:footerReference r:id="rId14" w:type="first"/>
          <w:pgSz w:w="11906" w:h="16838"/>
          <w:pgMar w:top="1474" w:right="1797" w:bottom="1247" w:left="1797" w:header="851" w:footer="851" w:gutter="0"/>
          <w:pgNumType w:fmt="numberInDash"/>
          <w:cols w:space="720" w:num="1"/>
          <w:docGrid w:linePitch="312" w:charSpace="0"/>
        </w:sectPr>
      </w:pPr>
      <w:r>
        <w:rPr>
          <w:rFonts w:hint="eastAsia" w:ascii="宋体" w:hAnsi="宋体" w:eastAsia="宋体" w:cs="宋体"/>
          <w:b w:val="0"/>
          <w:bCs w:val="0"/>
          <w:kern w:val="0"/>
          <w:sz w:val="24"/>
          <w:szCs w:val="24"/>
          <w:highlight w:val="none"/>
          <w:lang w:val="en-US" w:eastAsia="zh-CN"/>
        </w:rPr>
        <w:t xml:space="preserve">                                    日期:    年  月   日</w:t>
      </w:r>
    </w:p>
    <w:p w14:paraId="4C76867E">
      <w:pPr>
        <w:spacing w:line="360" w:lineRule="auto"/>
        <w:jc w:val="center"/>
        <w:outlineLvl w:val="0"/>
        <w:rPr>
          <w:rFonts w:hint="eastAsia" w:ascii="宋体" w:hAnsi="宋体" w:eastAsia="宋体" w:cs="宋体"/>
          <w:b/>
          <w:bCs/>
          <w:sz w:val="32"/>
          <w:szCs w:val="32"/>
        </w:rPr>
      </w:pPr>
      <w:r>
        <w:rPr>
          <w:rFonts w:hint="eastAsia" w:ascii="宋体" w:hAnsi="宋体" w:eastAsia="宋体" w:cs="宋体"/>
          <w:b/>
          <w:bCs/>
          <w:sz w:val="32"/>
          <w:szCs w:val="32"/>
        </w:rPr>
        <w:t>法定代表人</w:t>
      </w:r>
      <w:r>
        <w:rPr>
          <w:rFonts w:hint="eastAsia" w:ascii="宋体" w:hAnsi="宋体" w:eastAsia="宋体" w:cs="宋体"/>
          <w:b/>
          <w:bCs/>
          <w:sz w:val="32"/>
          <w:szCs w:val="32"/>
          <w:lang w:eastAsia="zh-CN"/>
        </w:rPr>
        <w:t>（</w:t>
      </w:r>
      <w:r>
        <w:rPr>
          <w:rFonts w:hint="eastAsia" w:ascii="宋体" w:hAnsi="宋体" w:eastAsia="宋体" w:cs="宋体"/>
          <w:b/>
          <w:bCs/>
          <w:sz w:val="32"/>
          <w:szCs w:val="32"/>
          <w:lang w:val="en-US" w:eastAsia="zh-CN"/>
        </w:rPr>
        <w:t>负责人</w:t>
      </w:r>
      <w:r>
        <w:rPr>
          <w:rFonts w:hint="eastAsia" w:ascii="宋体" w:hAnsi="宋体" w:eastAsia="宋体" w:cs="宋体"/>
          <w:b/>
          <w:bCs/>
          <w:sz w:val="32"/>
          <w:szCs w:val="32"/>
          <w:lang w:eastAsia="zh-CN"/>
        </w:rPr>
        <w:t>）</w:t>
      </w:r>
      <w:r>
        <w:rPr>
          <w:rFonts w:hint="eastAsia" w:ascii="宋体" w:hAnsi="宋体" w:eastAsia="宋体" w:cs="宋体"/>
          <w:b/>
          <w:bCs/>
          <w:sz w:val="32"/>
          <w:szCs w:val="32"/>
        </w:rPr>
        <w:t>授权书（投标文件格式）</w:t>
      </w:r>
    </w:p>
    <w:p w14:paraId="7631DAEE">
      <w:pPr>
        <w:pStyle w:val="8"/>
        <w:ind w:left="0" w:leftChars="0" w:firstLine="0" w:firstLineChars="0"/>
        <w:rPr>
          <w:rFonts w:hint="eastAsia" w:ascii="宋体" w:hAnsi="宋体" w:cs="宋体"/>
          <w:sz w:val="24"/>
          <w:szCs w:val="24"/>
          <w:u w:val="single"/>
          <w:lang w:val="en-US" w:eastAsia="zh-CN"/>
        </w:rPr>
      </w:pPr>
    </w:p>
    <w:p w14:paraId="2EE896FF">
      <w:pPr>
        <w:pStyle w:val="8"/>
        <w:ind w:left="0" w:leftChars="0" w:firstLine="0" w:firstLineChars="0"/>
        <w:rPr>
          <w:rFonts w:hint="eastAsia" w:ascii="宋体" w:hAnsi="宋体" w:eastAsia="宋体" w:cs="宋体"/>
          <w:sz w:val="24"/>
          <w:szCs w:val="24"/>
          <w:u w:val="single"/>
        </w:rPr>
      </w:pPr>
      <w:r>
        <w:rPr>
          <w:rFonts w:hint="eastAsia" w:ascii="宋体" w:hAnsi="宋体" w:cs="宋体"/>
          <w:sz w:val="24"/>
          <w:szCs w:val="24"/>
          <w:u w:val="single"/>
          <w:lang w:val="en-US" w:eastAsia="zh-CN"/>
        </w:rPr>
        <w:t xml:space="preserve">鄯善县财政局 </w:t>
      </w:r>
      <w:r>
        <w:rPr>
          <w:rFonts w:hint="eastAsia" w:ascii="宋体" w:hAnsi="宋体" w:eastAsia="宋体" w:cs="宋体"/>
          <w:sz w:val="24"/>
          <w:szCs w:val="24"/>
          <w:u w:val="single"/>
        </w:rPr>
        <w:t>:</w:t>
      </w:r>
    </w:p>
    <w:p w14:paraId="3034234B">
      <w:pPr>
        <w:spacing w:line="440" w:lineRule="exact"/>
        <w:ind w:left="239" w:leftChars="114" w:firstLine="480" w:firstLineChars="200"/>
        <w:rPr>
          <w:rFonts w:hint="eastAsia" w:ascii="宋体" w:hAnsi="宋体" w:eastAsia="宋体" w:cs="宋体"/>
          <w:sz w:val="24"/>
          <w:szCs w:val="24"/>
        </w:rPr>
      </w:pPr>
      <w:r>
        <w:rPr>
          <w:rFonts w:hint="eastAsia" w:ascii="宋体" w:hAnsi="宋体" w:eastAsia="宋体" w:cs="宋体"/>
          <w:sz w:val="24"/>
          <w:szCs w:val="24"/>
        </w:rPr>
        <w:t>本授权书声明:我</w:t>
      </w:r>
      <w:r>
        <w:rPr>
          <w:rFonts w:hint="eastAsia" w:ascii="宋体" w:hAnsi="宋体" w:eastAsia="宋体" w:cs="宋体"/>
          <w:sz w:val="24"/>
          <w:szCs w:val="24"/>
          <w:u w:val="single"/>
        </w:rPr>
        <w:t>（姓名）</w:t>
      </w:r>
      <w:r>
        <w:rPr>
          <w:rFonts w:hint="eastAsia" w:ascii="宋体" w:hAnsi="宋体" w:eastAsia="宋体" w:cs="宋体"/>
          <w:sz w:val="24"/>
          <w:szCs w:val="24"/>
        </w:rPr>
        <w:t>系注册于</w:t>
      </w:r>
      <w:r>
        <w:rPr>
          <w:rFonts w:hint="eastAsia" w:ascii="宋体" w:hAnsi="宋体" w:eastAsia="宋体" w:cs="宋体"/>
          <w:sz w:val="24"/>
          <w:szCs w:val="24"/>
          <w:u w:val="single"/>
        </w:rPr>
        <w:t>（地区的名称）             （供应商名称）</w:t>
      </w:r>
      <w:r>
        <w:rPr>
          <w:rFonts w:hint="eastAsia" w:ascii="宋体" w:hAnsi="宋体" w:eastAsia="宋体" w:cs="宋体"/>
          <w:sz w:val="24"/>
          <w:szCs w:val="24"/>
        </w:rPr>
        <w:t>的法定代表人</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负责人</w:t>
      </w:r>
      <w:r>
        <w:rPr>
          <w:rFonts w:hint="eastAsia" w:ascii="宋体" w:hAnsi="宋体" w:eastAsia="宋体" w:cs="宋体"/>
          <w:sz w:val="24"/>
          <w:szCs w:val="24"/>
          <w:lang w:eastAsia="zh-CN"/>
        </w:rPr>
        <w:t>）</w:t>
      </w:r>
      <w:r>
        <w:rPr>
          <w:rFonts w:hint="eastAsia" w:ascii="宋体" w:hAnsi="宋体" w:eastAsia="宋体" w:cs="宋体"/>
          <w:sz w:val="24"/>
          <w:szCs w:val="24"/>
        </w:rPr>
        <w:t>，现授权</w:t>
      </w:r>
      <w:r>
        <w:rPr>
          <w:rFonts w:hint="eastAsia" w:ascii="宋体" w:hAnsi="宋体" w:eastAsia="宋体" w:cs="宋体"/>
          <w:sz w:val="24"/>
          <w:szCs w:val="24"/>
          <w:u w:val="single"/>
        </w:rPr>
        <w:t>（姓名）</w:t>
      </w:r>
      <w:r>
        <w:rPr>
          <w:rFonts w:hint="eastAsia" w:ascii="宋体" w:hAnsi="宋体" w:eastAsia="宋体" w:cs="宋体"/>
          <w:sz w:val="24"/>
          <w:szCs w:val="24"/>
        </w:rPr>
        <w:t>为我公司被授权人，以本公司的名义参加</w:t>
      </w:r>
      <w:r>
        <w:rPr>
          <w:rFonts w:hint="eastAsia" w:ascii="宋体" w:hAnsi="宋体" w:cs="宋体"/>
          <w:sz w:val="24"/>
          <w:szCs w:val="24"/>
          <w:u w:val="single"/>
          <w:lang w:val="en-US" w:eastAsia="zh-CN"/>
        </w:rPr>
        <w:t>鄯善县财政局</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（采购单位名称）</w:t>
      </w:r>
      <w:r>
        <w:rPr>
          <w:rFonts w:hint="eastAsia" w:ascii="宋体" w:hAnsi="宋体" w:cs="宋体"/>
          <w:sz w:val="24"/>
          <w:szCs w:val="24"/>
          <w:u w:val="single"/>
          <w:lang w:eastAsia="zh-CN"/>
        </w:rPr>
        <w:t>鄯善县2025年社会保险基金转出开户银行开展定期存款服务项目</w:t>
      </w:r>
      <w:r>
        <w:rPr>
          <w:rFonts w:hint="eastAsia" w:ascii="宋体" w:hAnsi="宋体" w:eastAsia="宋体" w:cs="宋体"/>
          <w:sz w:val="24"/>
          <w:szCs w:val="24"/>
          <w:u w:val="single"/>
        </w:rPr>
        <w:t>（项目名称）</w:t>
      </w:r>
      <w:r>
        <w:rPr>
          <w:rFonts w:hint="eastAsia" w:ascii="宋体" w:hAnsi="宋体" w:eastAsia="宋体" w:cs="宋体"/>
          <w:sz w:val="24"/>
          <w:szCs w:val="24"/>
        </w:rPr>
        <w:t>的采购招标活动。被授权人在本次采购招标过程中所签署的一切文件和处理与之有关的一切事务,我均予以承认。</w:t>
      </w:r>
    </w:p>
    <w:p w14:paraId="68666963">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本授权书于20</w:t>
      </w:r>
      <w:r>
        <w:rPr>
          <w:rFonts w:hint="eastAsia" w:ascii="宋体" w:hAnsi="宋体" w:eastAsia="宋体" w:cs="宋体"/>
          <w:sz w:val="24"/>
          <w:szCs w:val="24"/>
          <w:u w:val="single"/>
        </w:rPr>
        <w:t>　　　</w:t>
      </w:r>
      <w:r>
        <w:rPr>
          <w:rFonts w:hint="eastAsia" w:ascii="宋体" w:hAnsi="宋体" w:eastAsia="宋体" w:cs="宋体"/>
          <w:sz w:val="24"/>
          <w:szCs w:val="24"/>
        </w:rPr>
        <w:t>年</w:t>
      </w:r>
      <w:r>
        <w:rPr>
          <w:rFonts w:hint="eastAsia" w:ascii="宋体" w:hAnsi="宋体" w:eastAsia="宋体" w:cs="宋体"/>
          <w:sz w:val="24"/>
          <w:szCs w:val="24"/>
          <w:u w:val="single"/>
        </w:rPr>
        <w:t>　　　</w:t>
      </w:r>
      <w:r>
        <w:rPr>
          <w:rFonts w:hint="eastAsia" w:ascii="宋体" w:hAnsi="宋体" w:eastAsia="宋体" w:cs="宋体"/>
          <w:sz w:val="24"/>
          <w:szCs w:val="24"/>
        </w:rPr>
        <w:t>月</w:t>
      </w:r>
      <w:r>
        <w:rPr>
          <w:rFonts w:hint="eastAsia" w:ascii="宋体" w:hAnsi="宋体" w:eastAsia="宋体" w:cs="宋体"/>
          <w:sz w:val="24"/>
          <w:szCs w:val="24"/>
          <w:u w:val="single"/>
        </w:rPr>
        <w:t>　　</w:t>
      </w:r>
      <w:r>
        <w:rPr>
          <w:rFonts w:hint="eastAsia" w:ascii="宋体" w:hAnsi="宋体" w:eastAsia="宋体" w:cs="宋体"/>
          <w:sz w:val="24"/>
          <w:szCs w:val="24"/>
        </w:rPr>
        <w:t>日签字生效，被授权人无转让权,特此授权。</w:t>
      </w:r>
    </w:p>
    <w:p w14:paraId="6AAED144">
      <w:pPr>
        <w:spacing w:line="440" w:lineRule="exact"/>
        <w:ind w:firstLine="482"/>
        <w:rPr>
          <w:rFonts w:hint="eastAsia" w:ascii="宋体" w:hAnsi="宋体" w:eastAsia="宋体" w:cs="宋体"/>
          <w:sz w:val="24"/>
          <w:szCs w:val="24"/>
        </w:rPr>
      </w:pPr>
      <w:r>
        <w:rPr>
          <w:rFonts w:hint="eastAsia" w:ascii="宋体" w:hAnsi="宋体" w:eastAsia="宋体" w:cs="宋体"/>
          <w:sz w:val="24"/>
          <w:szCs w:val="24"/>
        </w:rPr>
        <w:t>法定代表人</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负责人</w:t>
      </w:r>
      <w:r>
        <w:rPr>
          <w:rFonts w:hint="eastAsia" w:ascii="宋体" w:hAnsi="宋体" w:eastAsia="宋体" w:cs="宋体"/>
          <w:sz w:val="24"/>
          <w:szCs w:val="24"/>
          <w:lang w:eastAsia="zh-CN"/>
        </w:rPr>
        <w:t>）</w:t>
      </w:r>
      <w:r>
        <w:rPr>
          <w:rFonts w:hint="eastAsia" w:ascii="宋体" w:hAnsi="宋体" w:eastAsia="宋体" w:cs="宋体"/>
          <w:sz w:val="24"/>
          <w:szCs w:val="24"/>
        </w:rPr>
        <w:t>签字印鉴：</w:t>
      </w:r>
      <w:r>
        <w:rPr>
          <w:rFonts w:hint="eastAsia" w:ascii="宋体" w:hAnsi="宋体" w:eastAsia="宋体" w:cs="宋体"/>
          <w:sz w:val="24"/>
          <w:szCs w:val="24"/>
          <w:u w:val="single"/>
        </w:rPr>
        <w:t>　　　　 　</w:t>
      </w:r>
      <w:r>
        <w:rPr>
          <w:rFonts w:hint="eastAsia" w:ascii="宋体" w:hAnsi="宋体" w:eastAsia="宋体" w:cs="宋体"/>
          <w:sz w:val="24"/>
          <w:szCs w:val="24"/>
        </w:rPr>
        <w:t>联系电话：</w:t>
      </w:r>
      <w:r>
        <w:rPr>
          <w:rFonts w:hint="eastAsia" w:ascii="宋体" w:hAnsi="宋体" w:eastAsia="宋体" w:cs="宋体"/>
          <w:sz w:val="24"/>
          <w:szCs w:val="24"/>
          <w:u w:val="single"/>
        </w:rPr>
        <w:t>　               　</w:t>
      </w:r>
    </w:p>
    <w:p w14:paraId="3E212B75">
      <w:pPr>
        <w:spacing w:line="440" w:lineRule="exact"/>
        <w:ind w:firstLine="482"/>
        <w:rPr>
          <w:rFonts w:hint="eastAsia" w:ascii="宋体" w:hAnsi="宋体" w:eastAsia="宋体" w:cs="宋体"/>
          <w:sz w:val="24"/>
          <w:szCs w:val="24"/>
        </w:rPr>
      </w:pPr>
      <w:r>
        <w:rPr>
          <w:rFonts w:hint="eastAsia" w:ascii="宋体" w:hAnsi="宋体" w:eastAsia="宋体" w:cs="宋体"/>
          <w:sz w:val="24"/>
          <w:szCs w:val="24"/>
        </w:rPr>
        <w:t>被授权人签字：</w:t>
      </w:r>
      <w:r>
        <w:rPr>
          <w:rFonts w:hint="eastAsia" w:ascii="宋体" w:hAnsi="宋体" w:eastAsia="宋体" w:cs="宋体"/>
          <w:sz w:val="24"/>
          <w:szCs w:val="24"/>
          <w:u w:val="single"/>
        </w:rPr>
        <w:t xml:space="preserve">　　　　　　 </w:t>
      </w:r>
      <w:r>
        <w:rPr>
          <w:rFonts w:hint="eastAsia" w:ascii="宋体" w:hAnsi="宋体" w:eastAsia="宋体" w:cs="宋体"/>
          <w:sz w:val="24"/>
          <w:szCs w:val="24"/>
        </w:rPr>
        <w:t>联系电话：</w:t>
      </w:r>
      <w:r>
        <w:rPr>
          <w:rFonts w:hint="eastAsia" w:ascii="宋体" w:hAnsi="宋体" w:eastAsia="宋体" w:cs="宋体"/>
          <w:sz w:val="24"/>
          <w:szCs w:val="24"/>
          <w:u w:val="single"/>
        </w:rPr>
        <w:t xml:space="preserve">             　　　</w:t>
      </w:r>
    </w:p>
    <w:p w14:paraId="54F777AF">
      <w:pPr>
        <w:spacing w:line="440" w:lineRule="exact"/>
        <w:ind w:firstLine="482"/>
        <w:rPr>
          <w:rFonts w:hint="eastAsia" w:ascii="宋体" w:hAnsi="宋体" w:eastAsia="宋体" w:cs="宋体"/>
          <w:sz w:val="24"/>
          <w:szCs w:val="24"/>
        </w:rPr>
      </w:pPr>
      <w:r>
        <w:rPr>
          <w:rFonts w:hint="eastAsia" w:ascii="宋体" w:hAnsi="宋体" w:eastAsia="宋体" w:cs="宋体"/>
          <w:sz w:val="24"/>
          <w:szCs w:val="24"/>
        </w:rPr>
        <w:t>公       章：</w:t>
      </w:r>
    </w:p>
    <w:p w14:paraId="4D1967C0">
      <w:pPr>
        <w:spacing w:line="440" w:lineRule="exact"/>
        <w:ind w:firstLine="480" w:firstLineChars="200"/>
        <w:rPr>
          <w:rFonts w:hint="eastAsia" w:ascii="宋体" w:hAnsi="宋体" w:eastAsia="宋体" w:cs="宋体"/>
          <w:sz w:val="24"/>
          <w:szCs w:val="24"/>
          <w:u w:val="single"/>
        </w:rPr>
      </w:pPr>
      <w:r>
        <w:rPr>
          <w:rFonts w:hint="eastAsia" w:ascii="宋体" w:hAnsi="宋体" w:eastAsia="宋体" w:cs="宋体"/>
          <w:sz w:val="24"/>
          <w:szCs w:val="24"/>
        </w:rPr>
        <w:t>授权日期：20</w:t>
      </w:r>
      <w:r>
        <w:rPr>
          <w:rFonts w:hint="eastAsia" w:ascii="宋体" w:hAnsi="宋体" w:eastAsia="宋体" w:cs="宋体"/>
          <w:sz w:val="24"/>
          <w:szCs w:val="24"/>
          <w:u w:val="single"/>
        </w:rPr>
        <w:t>　　</w:t>
      </w:r>
      <w:r>
        <w:rPr>
          <w:rFonts w:hint="eastAsia" w:ascii="宋体" w:hAnsi="宋体" w:eastAsia="宋体" w:cs="宋体"/>
          <w:sz w:val="24"/>
          <w:szCs w:val="24"/>
        </w:rPr>
        <w:t>年</w:t>
      </w:r>
      <w:r>
        <w:rPr>
          <w:rFonts w:hint="eastAsia" w:ascii="宋体" w:hAnsi="宋体" w:eastAsia="宋体" w:cs="宋体"/>
          <w:sz w:val="24"/>
          <w:szCs w:val="24"/>
          <w:u w:val="single"/>
        </w:rPr>
        <w:t>　　</w:t>
      </w:r>
      <w:r>
        <w:rPr>
          <w:rFonts w:hint="eastAsia" w:ascii="宋体" w:hAnsi="宋体" w:eastAsia="宋体" w:cs="宋体"/>
          <w:sz w:val="24"/>
          <w:szCs w:val="24"/>
        </w:rPr>
        <w:t>月</w:t>
      </w:r>
      <w:r>
        <w:rPr>
          <w:rFonts w:hint="eastAsia" w:ascii="宋体" w:hAnsi="宋体" w:eastAsia="宋体" w:cs="宋体"/>
          <w:sz w:val="24"/>
          <w:szCs w:val="24"/>
          <w:u w:val="single"/>
        </w:rPr>
        <w:t>　　</w:t>
      </w:r>
      <w:r>
        <w:rPr>
          <w:rFonts w:hint="eastAsia" w:ascii="宋体" w:hAnsi="宋体" w:eastAsia="宋体" w:cs="宋体"/>
          <w:sz w:val="24"/>
          <w:szCs w:val="24"/>
        </w:rPr>
        <w:t>日</w:t>
      </w:r>
    </w:p>
    <w:p w14:paraId="36AA3FF3">
      <w:pPr>
        <w:spacing w:line="440" w:lineRule="exact"/>
        <w:ind w:firstLine="241" w:firstLineChars="100"/>
        <w:rPr>
          <w:rFonts w:hint="eastAsia" w:ascii="宋体" w:hAnsi="宋体" w:eastAsia="宋体" w:cs="宋体"/>
          <w:sz w:val="24"/>
          <w:szCs w:val="24"/>
        </w:rPr>
      </w:pPr>
      <w:r>
        <w:rPr>
          <w:rFonts w:hint="eastAsia" w:ascii="宋体" w:hAnsi="宋体" w:eastAsia="宋体" w:cs="宋体"/>
          <w:b/>
          <w:bCs/>
          <w:sz w:val="24"/>
          <w:szCs w:val="24"/>
        </w:rPr>
        <w:t>注：法定代表人</w:t>
      </w:r>
      <w:r>
        <w:rPr>
          <w:rFonts w:hint="eastAsia" w:ascii="宋体" w:hAnsi="宋体" w:eastAsia="宋体" w:cs="宋体"/>
          <w:b/>
          <w:bCs/>
          <w:sz w:val="24"/>
          <w:szCs w:val="24"/>
          <w:lang w:eastAsia="zh-CN"/>
        </w:rPr>
        <w:t>（</w:t>
      </w:r>
      <w:r>
        <w:rPr>
          <w:rFonts w:hint="eastAsia" w:ascii="宋体" w:hAnsi="宋体" w:eastAsia="宋体" w:cs="宋体"/>
          <w:b/>
          <w:bCs/>
          <w:sz w:val="24"/>
          <w:szCs w:val="24"/>
          <w:lang w:val="en-US" w:eastAsia="zh-CN"/>
        </w:rPr>
        <w:t>负责人</w:t>
      </w:r>
      <w:r>
        <w:rPr>
          <w:rFonts w:hint="eastAsia" w:ascii="宋体" w:hAnsi="宋体" w:eastAsia="宋体" w:cs="宋体"/>
          <w:b/>
          <w:bCs/>
          <w:sz w:val="24"/>
          <w:szCs w:val="24"/>
          <w:lang w:eastAsia="zh-CN"/>
        </w:rPr>
        <w:t>）</w:t>
      </w:r>
      <w:r>
        <w:rPr>
          <w:rFonts w:hint="eastAsia" w:ascii="宋体" w:hAnsi="宋体" w:eastAsia="宋体" w:cs="宋体"/>
          <w:b/>
          <w:bCs/>
          <w:sz w:val="24"/>
          <w:szCs w:val="24"/>
        </w:rPr>
        <w:t>亲自参加采购活动的，可不提供此项证明文件。</w:t>
      </w:r>
    </w:p>
    <w:p w14:paraId="025A397C">
      <w:pPr>
        <w:spacing w:line="440" w:lineRule="exact"/>
        <w:jc w:val="center"/>
        <w:outlineLvl w:val="0"/>
        <w:rPr>
          <w:rFonts w:hint="eastAsia" w:ascii="宋体" w:hAnsi="宋体" w:eastAsia="宋体" w:cs="宋体"/>
          <w:sz w:val="24"/>
          <w:szCs w:val="24"/>
        </w:rPr>
      </w:pPr>
      <w:bookmarkStart w:id="107" w:name="_Toc4551"/>
      <w:bookmarkStart w:id="108" w:name="_Toc11156"/>
      <w:bookmarkStart w:id="109" w:name="_Toc14812"/>
      <w:r>
        <w:rPr>
          <w:rFonts w:hint="eastAsia" w:ascii="宋体" w:hAnsi="宋体" w:eastAsia="宋体" w:cs="宋体"/>
          <w:b/>
          <w:bCs/>
          <w:sz w:val="24"/>
          <w:szCs w:val="24"/>
        </w:rPr>
        <w:t>法定代表人</w:t>
      </w:r>
      <w:r>
        <w:rPr>
          <w:rFonts w:hint="eastAsia" w:ascii="宋体" w:hAnsi="宋体" w:eastAsia="宋体" w:cs="宋体"/>
          <w:b/>
          <w:bCs/>
          <w:sz w:val="24"/>
          <w:szCs w:val="24"/>
          <w:lang w:eastAsia="zh-CN"/>
        </w:rPr>
        <w:t>（</w:t>
      </w:r>
      <w:r>
        <w:rPr>
          <w:rFonts w:hint="eastAsia" w:ascii="宋体" w:hAnsi="宋体" w:eastAsia="宋体" w:cs="宋体"/>
          <w:b/>
          <w:bCs/>
          <w:sz w:val="24"/>
          <w:szCs w:val="24"/>
          <w:lang w:val="en-US" w:eastAsia="zh-CN"/>
        </w:rPr>
        <w:t>负责人</w:t>
      </w:r>
      <w:r>
        <w:rPr>
          <w:rFonts w:hint="eastAsia" w:ascii="宋体" w:hAnsi="宋体" w:eastAsia="宋体" w:cs="宋体"/>
          <w:b/>
          <w:bCs/>
          <w:sz w:val="24"/>
          <w:szCs w:val="24"/>
          <w:lang w:eastAsia="zh-CN"/>
        </w:rPr>
        <w:t>）</w:t>
      </w:r>
      <w:r>
        <w:rPr>
          <w:rFonts w:hint="eastAsia" w:ascii="宋体" w:hAnsi="宋体" w:eastAsia="宋体" w:cs="宋体"/>
          <w:b/>
          <w:bCs/>
          <w:sz w:val="24"/>
          <w:szCs w:val="24"/>
        </w:rPr>
        <w:t>身份证复印件</w:t>
      </w:r>
      <w:bookmarkEnd w:id="107"/>
      <w:bookmarkEnd w:id="108"/>
      <w:bookmarkEnd w:id="109"/>
    </w:p>
    <w:tbl>
      <w:tblPr>
        <w:tblStyle w:val="40"/>
        <w:tblW w:w="0" w:type="auto"/>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18"/>
        <w:gridCol w:w="4581"/>
      </w:tblGrid>
      <w:tr w14:paraId="5B03E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2" w:hRule="atLeast"/>
        </w:trPr>
        <w:tc>
          <w:tcPr>
            <w:tcW w:w="4418" w:type="dxa"/>
            <w:noWrap w:val="0"/>
            <w:vAlign w:val="center"/>
          </w:tcPr>
          <w:p w14:paraId="12F3AF79">
            <w:pPr>
              <w:spacing w:line="440" w:lineRule="exact"/>
              <w:jc w:val="center"/>
              <w:outlineLvl w:val="0"/>
              <w:rPr>
                <w:rFonts w:hint="eastAsia" w:ascii="宋体" w:hAnsi="宋体" w:eastAsia="宋体" w:cs="宋体"/>
                <w:b/>
                <w:bCs/>
                <w:sz w:val="24"/>
                <w:szCs w:val="24"/>
              </w:rPr>
            </w:pPr>
            <w:bookmarkStart w:id="110" w:name="_Toc26813"/>
            <w:bookmarkStart w:id="111" w:name="_Toc7986"/>
            <w:bookmarkStart w:id="112" w:name="_Toc5037"/>
            <w:r>
              <w:rPr>
                <w:rFonts w:hint="eastAsia" w:ascii="宋体" w:hAnsi="宋体" w:eastAsia="宋体" w:cs="宋体"/>
                <w:b/>
                <w:bCs/>
                <w:sz w:val="24"/>
                <w:szCs w:val="24"/>
              </w:rPr>
              <w:t>正面</w:t>
            </w:r>
            <w:bookmarkEnd w:id="110"/>
            <w:bookmarkEnd w:id="111"/>
            <w:bookmarkEnd w:id="112"/>
            <w:r>
              <w:rPr>
                <w:rFonts w:hint="eastAsia" w:ascii="宋体" w:hAnsi="宋体" w:eastAsia="宋体" w:cs="宋体"/>
                <w:b/>
                <w:bCs/>
                <w:sz w:val="24"/>
                <w:szCs w:val="24"/>
              </w:rPr>
              <w:t xml:space="preserve"> </w:t>
            </w:r>
          </w:p>
        </w:tc>
        <w:tc>
          <w:tcPr>
            <w:tcW w:w="4581" w:type="dxa"/>
            <w:noWrap w:val="0"/>
            <w:vAlign w:val="center"/>
          </w:tcPr>
          <w:p w14:paraId="15FAA05B">
            <w:pPr>
              <w:spacing w:line="440" w:lineRule="exact"/>
              <w:jc w:val="center"/>
              <w:outlineLvl w:val="0"/>
              <w:rPr>
                <w:rFonts w:hint="eastAsia" w:ascii="宋体" w:hAnsi="宋体" w:eastAsia="宋体" w:cs="宋体"/>
                <w:b/>
                <w:bCs/>
                <w:sz w:val="24"/>
                <w:szCs w:val="24"/>
              </w:rPr>
            </w:pPr>
            <w:bookmarkStart w:id="113" w:name="_Toc24920"/>
            <w:bookmarkStart w:id="114" w:name="_Toc14940"/>
            <w:bookmarkStart w:id="115" w:name="_Toc19720"/>
            <w:r>
              <w:rPr>
                <w:rFonts w:hint="eastAsia" w:ascii="宋体" w:hAnsi="宋体" w:eastAsia="宋体" w:cs="宋体"/>
                <w:b/>
                <w:bCs/>
                <w:sz w:val="24"/>
                <w:szCs w:val="24"/>
              </w:rPr>
              <w:t>背面</w:t>
            </w:r>
            <w:bookmarkEnd w:id="113"/>
            <w:bookmarkEnd w:id="114"/>
            <w:bookmarkEnd w:id="115"/>
            <w:r>
              <w:rPr>
                <w:rFonts w:hint="eastAsia" w:ascii="宋体" w:hAnsi="宋体" w:eastAsia="宋体" w:cs="宋体"/>
                <w:b/>
                <w:bCs/>
                <w:sz w:val="24"/>
                <w:szCs w:val="24"/>
              </w:rPr>
              <w:t xml:space="preserve"> </w:t>
            </w:r>
          </w:p>
        </w:tc>
      </w:tr>
    </w:tbl>
    <w:p w14:paraId="08E1A794">
      <w:pPr>
        <w:spacing w:line="440" w:lineRule="exact"/>
        <w:jc w:val="center"/>
        <w:outlineLvl w:val="0"/>
        <w:rPr>
          <w:rFonts w:hint="eastAsia" w:ascii="宋体" w:hAnsi="宋体" w:eastAsia="宋体" w:cs="宋体"/>
          <w:b/>
          <w:bCs/>
          <w:sz w:val="24"/>
          <w:szCs w:val="24"/>
        </w:rPr>
      </w:pPr>
      <w:bookmarkStart w:id="116" w:name="_Toc13885"/>
      <w:bookmarkStart w:id="117" w:name="_Toc19631"/>
      <w:bookmarkStart w:id="118" w:name="_Toc1297"/>
      <w:r>
        <w:rPr>
          <w:rFonts w:hint="eastAsia" w:ascii="宋体" w:hAnsi="宋体" w:eastAsia="宋体" w:cs="宋体"/>
          <w:b/>
          <w:bCs/>
          <w:sz w:val="24"/>
          <w:szCs w:val="24"/>
        </w:rPr>
        <w:t>被授权人身份证复印件</w:t>
      </w:r>
      <w:bookmarkEnd w:id="116"/>
      <w:bookmarkEnd w:id="117"/>
      <w:bookmarkEnd w:id="118"/>
    </w:p>
    <w:tbl>
      <w:tblPr>
        <w:tblStyle w:val="40"/>
        <w:tblW w:w="8979"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31"/>
        <w:gridCol w:w="4648"/>
      </w:tblGrid>
      <w:tr w14:paraId="161B2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3" w:hRule="atLeast"/>
        </w:trPr>
        <w:tc>
          <w:tcPr>
            <w:tcW w:w="4331" w:type="dxa"/>
            <w:noWrap w:val="0"/>
            <w:vAlign w:val="center"/>
          </w:tcPr>
          <w:p w14:paraId="06DCF567">
            <w:pPr>
              <w:spacing w:line="440" w:lineRule="exact"/>
              <w:jc w:val="center"/>
              <w:outlineLvl w:val="0"/>
              <w:rPr>
                <w:rFonts w:hint="eastAsia" w:ascii="宋体" w:hAnsi="宋体" w:eastAsia="宋体" w:cs="宋体"/>
                <w:b/>
                <w:bCs/>
                <w:sz w:val="24"/>
                <w:szCs w:val="24"/>
              </w:rPr>
            </w:pPr>
            <w:bookmarkStart w:id="119" w:name="_Toc3113"/>
            <w:bookmarkStart w:id="120" w:name="_Toc3310"/>
            <w:bookmarkStart w:id="121" w:name="_Toc7318"/>
            <w:r>
              <w:rPr>
                <w:rFonts w:hint="eastAsia" w:ascii="宋体" w:hAnsi="宋体" w:eastAsia="宋体" w:cs="宋体"/>
                <w:b/>
                <w:bCs/>
                <w:sz w:val="24"/>
                <w:szCs w:val="24"/>
              </w:rPr>
              <w:t>正面</w:t>
            </w:r>
            <w:bookmarkEnd w:id="119"/>
            <w:bookmarkEnd w:id="120"/>
            <w:bookmarkEnd w:id="121"/>
            <w:r>
              <w:rPr>
                <w:rFonts w:hint="eastAsia" w:ascii="宋体" w:hAnsi="宋体" w:eastAsia="宋体" w:cs="宋体"/>
                <w:b/>
                <w:bCs/>
                <w:sz w:val="24"/>
                <w:szCs w:val="24"/>
              </w:rPr>
              <w:t xml:space="preserve"> </w:t>
            </w:r>
          </w:p>
        </w:tc>
        <w:tc>
          <w:tcPr>
            <w:tcW w:w="4648" w:type="dxa"/>
            <w:noWrap w:val="0"/>
            <w:vAlign w:val="center"/>
          </w:tcPr>
          <w:p w14:paraId="65CEB9E0">
            <w:pPr>
              <w:spacing w:line="440" w:lineRule="exact"/>
              <w:jc w:val="center"/>
              <w:outlineLvl w:val="0"/>
              <w:rPr>
                <w:rFonts w:hint="eastAsia" w:ascii="宋体" w:hAnsi="宋体" w:eastAsia="宋体" w:cs="宋体"/>
                <w:b/>
                <w:bCs/>
                <w:sz w:val="24"/>
                <w:szCs w:val="24"/>
              </w:rPr>
            </w:pPr>
            <w:bookmarkStart w:id="122" w:name="_Toc2639"/>
            <w:bookmarkStart w:id="123" w:name="_Toc22699"/>
            <w:bookmarkStart w:id="124" w:name="_Toc2396"/>
            <w:r>
              <w:rPr>
                <w:rFonts w:hint="eastAsia" w:ascii="宋体" w:hAnsi="宋体" w:eastAsia="宋体" w:cs="宋体"/>
                <w:b/>
                <w:bCs/>
                <w:sz w:val="24"/>
                <w:szCs w:val="24"/>
              </w:rPr>
              <w:t>背面</w:t>
            </w:r>
            <w:bookmarkEnd w:id="122"/>
            <w:bookmarkEnd w:id="123"/>
            <w:bookmarkEnd w:id="124"/>
            <w:r>
              <w:rPr>
                <w:rFonts w:hint="eastAsia" w:ascii="宋体" w:hAnsi="宋体" w:eastAsia="宋体" w:cs="宋体"/>
                <w:b/>
                <w:bCs/>
                <w:sz w:val="24"/>
                <w:szCs w:val="24"/>
              </w:rPr>
              <w:t xml:space="preserve"> </w:t>
            </w:r>
          </w:p>
        </w:tc>
      </w:tr>
    </w:tbl>
    <w:p w14:paraId="590DB459">
      <w:pPr>
        <w:spacing w:line="440" w:lineRule="exact"/>
        <w:rPr>
          <w:rFonts w:hint="eastAsia" w:ascii="宋体" w:hAnsi="宋体" w:eastAsia="宋体" w:cs="宋体"/>
          <w:b/>
          <w:bCs/>
          <w:sz w:val="28"/>
          <w:szCs w:val="28"/>
        </w:rPr>
      </w:pPr>
    </w:p>
    <w:p w14:paraId="0AFE9D41">
      <w:pPr>
        <w:spacing w:line="440" w:lineRule="exact"/>
        <w:ind w:firstLine="1968" w:firstLineChars="700"/>
        <w:rPr>
          <w:rFonts w:hint="eastAsia" w:ascii="宋体" w:hAnsi="宋体" w:eastAsia="宋体" w:cs="宋体"/>
          <w:b/>
          <w:bCs/>
          <w:sz w:val="28"/>
          <w:szCs w:val="28"/>
        </w:rPr>
      </w:pPr>
    </w:p>
    <w:p w14:paraId="5432A70F">
      <w:pPr>
        <w:pStyle w:val="12"/>
        <w:rPr>
          <w:rFonts w:hint="eastAsia"/>
        </w:rPr>
      </w:pPr>
    </w:p>
    <w:p w14:paraId="3660F108">
      <w:pPr>
        <w:rPr>
          <w:rFonts w:hint="eastAsia"/>
        </w:rPr>
      </w:pPr>
    </w:p>
    <w:p w14:paraId="0A712A6C">
      <w:pPr>
        <w:spacing w:line="360" w:lineRule="auto"/>
        <w:jc w:val="center"/>
        <w:outlineLvl w:val="0"/>
        <w:rPr>
          <w:rFonts w:hint="eastAsia" w:ascii="宋体" w:hAnsi="宋体" w:eastAsia="宋体" w:cs="宋体"/>
          <w:b/>
          <w:bCs/>
          <w:sz w:val="32"/>
          <w:szCs w:val="32"/>
        </w:rPr>
      </w:pPr>
      <w:r>
        <w:rPr>
          <w:rFonts w:hint="eastAsia" w:ascii="宋体" w:hAnsi="宋体" w:eastAsia="宋体" w:cs="宋体"/>
          <w:b/>
          <w:bCs/>
          <w:sz w:val="32"/>
          <w:szCs w:val="32"/>
        </w:rPr>
        <w:t>法定代表人</w:t>
      </w:r>
      <w:r>
        <w:rPr>
          <w:rFonts w:hint="eastAsia" w:ascii="宋体" w:hAnsi="宋体" w:eastAsia="宋体" w:cs="宋体"/>
          <w:b/>
          <w:bCs/>
          <w:sz w:val="32"/>
          <w:szCs w:val="32"/>
          <w:lang w:val="en-US" w:eastAsia="zh-CN"/>
        </w:rPr>
        <w:t>或负责人</w:t>
      </w:r>
      <w:r>
        <w:rPr>
          <w:rFonts w:hint="eastAsia" w:ascii="宋体" w:hAnsi="宋体" w:eastAsia="宋体" w:cs="宋体"/>
          <w:b/>
          <w:bCs/>
          <w:sz w:val="32"/>
          <w:szCs w:val="32"/>
        </w:rPr>
        <w:t>身份证明书</w:t>
      </w:r>
    </w:p>
    <w:p w14:paraId="5E7C5BE4">
      <w:pPr>
        <w:pStyle w:val="8"/>
        <w:rPr>
          <w:rFonts w:hint="eastAsia" w:ascii="宋体" w:hAnsi="宋体" w:eastAsia="宋体" w:cs="宋体"/>
          <w:sz w:val="28"/>
          <w:szCs w:val="28"/>
        </w:rPr>
      </w:pPr>
    </w:p>
    <w:p w14:paraId="7FB4A174">
      <w:pPr>
        <w:spacing w:line="440" w:lineRule="exact"/>
        <w:rPr>
          <w:rStyle w:val="212"/>
          <w:rFonts w:hint="eastAsia" w:ascii="宋体" w:hAnsi="宋体" w:eastAsia="宋体" w:cs="宋体"/>
          <w:kern w:val="2"/>
          <w:sz w:val="24"/>
          <w:szCs w:val="24"/>
        </w:rPr>
      </w:pPr>
      <w:r>
        <w:rPr>
          <w:rFonts w:hint="eastAsia" w:ascii="宋体" w:hAnsi="宋体" w:cs="宋体"/>
          <w:sz w:val="24"/>
          <w:szCs w:val="24"/>
          <w:u w:val="single"/>
          <w:lang w:val="en-US" w:eastAsia="zh-CN"/>
        </w:rPr>
        <w:t>鄯善县财政局</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w:t>
      </w:r>
    </w:p>
    <w:p w14:paraId="09C5E9C3">
      <w:pPr>
        <w:pStyle w:val="213"/>
        <w:adjustRightInd w:val="0"/>
        <w:snapToGrid w:val="0"/>
        <w:spacing w:line="440" w:lineRule="exact"/>
        <w:ind w:firstLine="720" w:firstLineChars="300"/>
        <w:rPr>
          <w:rStyle w:val="212"/>
          <w:rFonts w:hint="eastAsia" w:ascii="宋体" w:hAnsi="宋体" w:eastAsia="宋体" w:cs="宋体"/>
          <w:kern w:val="2"/>
          <w:sz w:val="24"/>
          <w:szCs w:val="24"/>
        </w:rPr>
      </w:pPr>
      <w:r>
        <w:rPr>
          <w:rStyle w:val="212"/>
          <w:rFonts w:hint="eastAsia" w:ascii="宋体" w:hAnsi="宋体" w:eastAsia="宋体" w:cs="宋体"/>
          <w:kern w:val="2"/>
          <w:sz w:val="24"/>
          <w:szCs w:val="24"/>
          <w:u w:val="single"/>
        </w:rPr>
        <w:t>（姓名、</w:t>
      </w:r>
      <w:r>
        <w:rPr>
          <w:rStyle w:val="212"/>
          <w:rFonts w:hint="eastAsia" w:ascii="宋体" w:hAnsi="宋体" w:eastAsia="宋体" w:cs="宋体"/>
          <w:kern w:val="2"/>
          <w:sz w:val="24"/>
          <w:szCs w:val="24"/>
          <w:u w:val="single"/>
          <w:lang w:val="en-US"/>
        </w:rPr>
        <w:t xml:space="preserve">  </w:t>
      </w:r>
      <w:r>
        <w:rPr>
          <w:rStyle w:val="212"/>
          <w:rFonts w:hint="eastAsia" w:ascii="宋体" w:hAnsi="宋体" w:eastAsia="宋体" w:cs="宋体"/>
          <w:kern w:val="2"/>
          <w:sz w:val="24"/>
          <w:szCs w:val="24"/>
          <w:u w:val="single"/>
        </w:rPr>
        <w:t>性别、</w:t>
      </w:r>
      <w:r>
        <w:rPr>
          <w:rStyle w:val="212"/>
          <w:rFonts w:hint="eastAsia" w:ascii="宋体" w:hAnsi="宋体" w:eastAsia="宋体" w:cs="宋体"/>
          <w:kern w:val="2"/>
          <w:sz w:val="24"/>
          <w:szCs w:val="24"/>
          <w:u w:val="single"/>
          <w:lang w:val="en-US"/>
        </w:rPr>
        <w:t xml:space="preserve">  </w:t>
      </w:r>
      <w:r>
        <w:rPr>
          <w:rStyle w:val="212"/>
          <w:rFonts w:hint="eastAsia" w:ascii="宋体" w:hAnsi="宋体" w:eastAsia="宋体" w:cs="宋体"/>
          <w:kern w:val="2"/>
          <w:sz w:val="24"/>
          <w:szCs w:val="24"/>
          <w:u w:val="single"/>
        </w:rPr>
        <w:t>年龄、</w:t>
      </w:r>
      <w:r>
        <w:rPr>
          <w:rStyle w:val="212"/>
          <w:rFonts w:hint="eastAsia" w:ascii="宋体" w:hAnsi="宋体" w:eastAsia="宋体" w:cs="宋体"/>
          <w:kern w:val="2"/>
          <w:sz w:val="24"/>
          <w:szCs w:val="24"/>
          <w:u w:val="single"/>
          <w:lang w:val="en-US"/>
        </w:rPr>
        <w:t xml:space="preserve">   </w:t>
      </w:r>
      <w:r>
        <w:rPr>
          <w:rStyle w:val="212"/>
          <w:rFonts w:hint="eastAsia" w:ascii="宋体" w:hAnsi="宋体" w:eastAsia="宋体" w:cs="宋体"/>
          <w:kern w:val="2"/>
          <w:sz w:val="24"/>
          <w:szCs w:val="24"/>
          <w:u w:val="single"/>
        </w:rPr>
        <w:t>身份证号码）</w:t>
      </w:r>
      <w:r>
        <w:rPr>
          <w:rStyle w:val="212"/>
          <w:rFonts w:hint="eastAsia" w:ascii="宋体" w:hAnsi="宋体" w:eastAsia="宋体" w:cs="宋体"/>
          <w:kern w:val="2"/>
          <w:sz w:val="24"/>
          <w:szCs w:val="24"/>
        </w:rPr>
        <w:t>在我单位任</w:t>
      </w:r>
      <w:r>
        <w:rPr>
          <w:rStyle w:val="212"/>
          <w:rFonts w:hint="eastAsia" w:ascii="宋体" w:hAnsi="宋体" w:eastAsia="宋体" w:cs="宋体"/>
          <w:kern w:val="2"/>
          <w:sz w:val="24"/>
          <w:szCs w:val="24"/>
          <w:u w:val="single"/>
        </w:rPr>
        <w:t xml:space="preserve">       </w:t>
      </w:r>
      <w:r>
        <w:rPr>
          <w:rStyle w:val="212"/>
          <w:rFonts w:hint="eastAsia" w:ascii="宋体" w:hAnsi="宋体" w:eastAsia="宋体" w:cs="宋体"/>
          <w:kern w:val="2"/>
          <w:sz w:val="24"/>
          <w:szCs w:val="24"/>
        </w:rPr>
        <w:t>（董事长、总经理等）职务，是我单位的法定代表人</w:t>
      </w:r>
      <w:r>
        <w:rPr>
          <w:rStyle w:val="212"/>
          <w:rFonts w:hint="eastAsia" w:ascii="宋体" w:hAnsi="宋体" w:eastAsia="宋体" w:cs="宋体"/>
          <w:kern w:val="2"/>
          <w:sz w:val="24"/>
          <w:szCs w:val="24"/>
          <w:lang w:val="en-US" w:eastAsia="zh-CN"/>
        </w:rPr>
        <w:t>或负责人</w:t>
      </w:r>
      <w:r>
        <w:rPr>
          <w:rStyle w:val="212"/>
          <w:rFonts w:hint="eastAsia" w:ascii="宋体" w:hAnsi="宋体" w:eastAsia="宋体" w:cs="宋体"/>
          <w:kern w:val="2"/>
          <w:sz w:val="24"/>
          <w:szCs w:val="24"/>
        </w:rPr>
        <w:t xml:space="preserve">,代表我公司办理一切社会公务事宜，具有法律效力。 </w:t>
      </w:r>
    </w:p>
    <w:p w14:paraId="079D8C3F">
      <w:pPr>
        <w:spacing w:line="440" w:lineRule="exact"/>
        <w:ind w:left="239" w:leftChars="114" w:firstLine="480" w:firstLineChars="200"/>
        <w:textAlignment w:val="baseline"/>
        <w:rPr>
          <w:rStyle w:val="212"/>
          <w:rFonts w:hint="eastAsia" w:ascii="宋体" w:hAnsi="宋体" w:eastAsia="宋体" w:cs="宋体"/>
          <w:kern w:val="2"/>
          <w:sz w:val="24"/>
          <w:szCs w:val="24"/>
        </w:rPr>
      </w:pPr>
      <w:r>
        <w:rPr>
          <w:rStyle w:val="212"/>
          <w:rFonts w:hint="eastAsia" w:ascii="宋体" w:hAnsi="宋体" w:eastAsia="宋体" w:cs="宋体"/>
          <w:kern w:val="2"/>
          <w:sz w:val="24"/>
          <w:szCs w:val="24"/>
        </w:rPr>
        <w:t>特此证明。</w:t>
      </w:r>
    </w:p>
    <w:p w14:paraId="044E8F8E">
      <w:pPr>
        <w:spacing w:line="440" w:lineRule="exact"/>
        <w:jc w:val="center"/>
        <w:textAlignment w:val="baseline"/>
        <w:rPr>
          <w:rStyle w:val="212"/>
          <w:rFonts w:hint="eastAsia" w:ascii="宋体" w:hAnsi="宋体" w:eastAsia="宋体" w:cs="宋体"/>
          <w:kern w:val="2"/>
          <w:sz w:val="24"/>
          <w:szCs w:val="24"/>
        </w:rPr>
      </w:pPr>
      <w:r>
        <w:rPr>
          <w:rStyle w:val="212"/>
          <w:rFonts w:hint="eastAsia" w:ascii="宋体" w:hAnsi="宋体" w:eastAsia="宋体" w:cs="宋体"/>
          <w:b/>
          <w:bCs/>
          <w:kern w:val="2"/>
          <w:sz w:val="24"/>
          <w:szCs w:val="24"/>
        </w:rPr>
        <w:t>法定代表人或负责人身份证复印件</w:t>
      </w:r>
    </w:p>
    <w:tbl>
      <w:tblPr>
        <w:tblStyle w:val="40"/>
        <w:tblpPr w:leftFromText="180" w:rightFromText="180" w:vertAnchor="text" w:horzAnchor="page" w:tblpX="2526" w:tblpY="515"/>
        <w:tblOverlap w:val="never"/>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764"/>
        <w:gridCol w:w="3495"/>
      </w:tblGrid>
      <w:tr w14:paraId="2E0736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23" w:hRule="atLeast"/>
        </w:trPr>
        <w:tc>
          <w:tcPr>
            <w:tcW w:w="3764" w:type="dxa"/>
            <w:noWrap w:val="0"/>
            <w:vAlign w:val="center"/>
          </w:tcPr>
          <w:p w14:paraId="753EC314">
            <w:pPr>
              <w:spacing w:line="440" w:lineRule="exact"/>
              <w:jc w:val="center"/>
              <w:textAlignment w:val="baseline"/>
              <w:rPr>
                <w:rStyle w:val="212"/>
                <w:rFonts w:hint="eastAsia" w:ascii="宋体" w:hAnsi="宋体" w:eastAsia="宋体" w:cs="宋体"/>
                <w:b/>
                <w:bCs/>
                <w:kern w:val="2"/>
                <w:sz w:val="24"/>
                <w:szCs w:val="24"/>
              </w:rPr>
            </w:pPr>
            <w:r>
              <w:rPr>
                <w:rStyle w:val="212"/>
                <w:rFonts w:hint="eastAsia" w:ascii="宋体" w:hAnsi="宋体" w:eastAsia="宋体" w:cs="宋体"/>
                <w:b/>
                <w:bCs/>
                <w:kern w:val="2"/>
                <w:sz w:val="24"/>
                <w:szCs w:val="24"/>
              </w:rPr>
              <w:t xml:space="preserve">正面 </w:t>
            </w:r>
          </w:p>
        </w:tc>
        <w:tc>
          <w:tcPr>
            <w:tcW w:w="3495" w:type="dxa"/>
            <w:noWrap w:val="0"/>
            <w:vAlign w:val="center"/>
          </w:tcPr>
          <w:p w14:paraId="3EDBB318">
            <w:pPr>
              <w:spacing w:line="440" w:lineRule="exact"/>
              <w:jc w:val="center"/>
              <w:textAlignment w:val="baseline"/>
              <w:rPr>
                <w:rStyle w:val="212"/>
                <w:rFonts w:hint="eastAsia" w:ascii="宋体" w:hAnsi="宋体" w:eastAsia="宋体" w:cs="宋体"/>
                <w:b/>
                <w:bCs/>
                <w:kern w:val="2"/>
                <w:sz w:val="24"/>
                <w:szCs w:val="24"/>
              </w:rPr>
            </w:pPr>
            <w:r>
              <w:rPr>
                <w:rStyle w:val="212"/>
                <w:rFonts w:hint="eastAsia" w:ascii="宋体" w:hAnsi="宋体" w:eastAsia="宋体" w:cs="宋体"/>
                <w:b/>
                <w:bCs/>
                <w:kern w:val="2"/>
                <w:sz w:val="24"/>
                <w:szCs w:val="24"/>
              </w:rPr>
              <w:t xml:space="preserve">背面 </w:t>
            </w:r>
          </w:p>
        </w:tc>
      </w:tr>
    </w:tbl>
    <w:p w14:paraId="2FA86295">
      <w:pPr>
        <w:pStyle w:val="214"/>
        <w:widowControl/>
        <w:tabs>
          <w:tab w:val="left" w:pos="5580"/>
        </w:tabs>
        <w:spacing w:line="440" w:lineRule="exact"/>
        <w:rPr>
          <w:rStyle w:val="212"/>
          <w:rFonts w:hint="eastAsia" w:ascii="宋体" w:hAnsi="宋体" w:eastAsia="宋体" w:cs="宋体"/>
          <w:kern w:val="2"/>
          <w:sz w:val="24"/>
          <w:szCs w:val="24"/>
        </w:rPr>
      </w:pPr>
    </w:p>
    <w:p w14:paraId="7640E07C">
      <w:pPr>
        <w:spacing w:line="440" w:lineRule="exact"/>
        <w:textAlignment w:val="baseline"/>
        <w:rPr>
          <w:rStyle w:val="212"/>
          <w:rFonts w:hint="eastAsia" w:ascii="宋体" w:hAnsi="宋体" w:eastAsia="宋体" w:cs="宋体"/>
          <w:b/>
          <w:bCs/>
          <w:kern w:val="2"/>
          <w:sz w:val="24"/>
          <w:szCs w:val="24"/>
        </w:rPr>
      </w:pPr>
    </w:p>
    <w:p w14:paraId="284D4310">
      <w:pPr>
        <w:spacing w:line="440" w:lineRule="exact"/>
        <w:textAlignment w:val="baseline"/>
        <w:rPr>
          <w:rStyle w:val="212"/>
          <w:rFonts w:hint="eastAsia" w:ascii="宋体" w:hAnsi="宋体" w:eastAsia="宋体" w:cs="宋体"/>
          <w:kern w:val="2"/>
          <w:sz w:val="24"/>
          <w:szCs w:val="24"/>
        </w:rPr>
      </w:pPr>
    </w:p>
    <w:p w14:paraId="12A241B6">
      <w:pPr>
        <w:spacing w:line="440" w:lineRule="exact"/>
        <w:textAlignment w:val="baseline"/>
        <w:rPr>
          <w:rStyle w:val="212"/>
          <w:rFonts w:hint="eastAsia" w:ascii="宋体" w:hAnsi="宋体" w:eastAsia="宋体" w:cs="宋体"/>
          <w:kern w:val="2"/>
          <w:sz w:val="24"/>
          <w:szCs w:val="24"/>
        </w:rPr>
      </w:pPr>
    </w:p>
    <w:p w14:paraId="54744F30">
      <w:pPr>
        <w:spacing w:line="440" w:lineRule="exact"/>
        <w:textAlignment w:val="baseline"/>
        <w:rPr>
          <w:rStyle w:val="212"/>
          <w:rFonts w:hint="eastAsia" w:ascii="宋体" w:hAnsi="宋体" w:eastAsia="宋体" w:cs="宋体"/>
          <w:kern w:val="2"/>
          <w:sz w:val="24"/>
          <w:szCs w:val="24"/>
        </w:rPr>
      </w:pPr>
    </w:p>
    <w:p w14:paraId="08544456">
      <w:pPr>
        <w:spacing w:line="440" w:lineRule="exact"/>
        <w:textAlignment w:val="baseline"/>
        <w:rPr>
          <w:rStyle w:val="212"/>
          <w:rFonts w:hint="eastAsia" w:ascii="宋体" w:hAnsi="宋体" w:eastAsia="宋体" w:cs="宋体"/>
          <w:b/>
          <w:bCs/>
          <w:kern w:val="2"/>
          <w:sz w:val="24"/>
          <w:szCs w:val="24"/>
        </w:rPr>
      </w:pPr>
    </w:p>
    <w:p w14:paraId="3078A5E1">
      <w:pPr>
        <w:spacing w:line="440" w:lineRule="exact"/>
        <w:textAlignment w:val="baseline"/>
        <w:rPr>
          <w:rStyle w:val="212"/>
          <w:rFonts w:hint="eastAsia" w:ascii="宋体" w:hAnsi="宋体" w:eastAsia="宋体" w:cs="宋体"/>
          <w:b/>
          <w:bCs/>
          <w:kern w:val="2"/>
          <w:sz w:val="24"/>
          <w:szCs w:val="24"/>
        </w:rPr>
      </w:pPr>
    </w:p>
    <w:p w14:paraId="6E762655">
      <w:pPr>
        <w:spacing w:line="440" w:lineRule="exact"/>
        <w:rPr>
          <w:rFonts w:hint="eastAsia" w:ascii="宋体" w:hAnsi="宋体" w:eastAsia="宋体" w:cs="宋体"/>
          <w:sz w:val="24"/>
          <w:szCs w:val="24"/>
        </w:rPr>
      </w:pPr>
      <w:r>
        <w:rPr>
          <w:rFonts w:hint="eastAsia" w:ascii="宋体" w:hAnsi="宋体" w:eastAsia="宋体" w:cs="宋体"/>
          <w:sz w:val="24"/>
          <w:szCs w:val="24"/>
        </w:rPr>
        <w:t>法定代表人</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负责人</w:t>
      </w:r>
      <w:r>
        <w:rPr>
          <w:rFonts w:hint="eastAsia" w:ascii="宋体" w:hAnsi="宋体" w:eastAsia="宋体" w:cs="宋体"/>
          <w:sz w:val="24"/>
          <w:szCs w:val="24"/>
          <w:lang w:eastAsia="zh-CN"/>
        </w:rPr>
        <w:t>）</w:t>
      </w:r>
      <w:r>
        <w:rPr>
          <w:rFonts w:hint="eastAsia" w:ascii="宋体" w:hAnsi="宋体" w:eastAsia="宋体" w:cs="宋体"/>
          <w:sz w:val="24"/>
          <w:szCs w:val="24"/>
        </w:rPr>
        <w:t>签字</w:t>
      </w:r>
      <w:r>
        <w:rPr>
          <w:rFonts w:hint="eastAsia" w:ascii="宋体" w:hAnsi="宋体" w:eastAsia="宋体" w:cs="宋体"/>
          <w:sz w:val="24"/>
          <w:szCs w:val="24"/>
          <w:lang w:val="en-US" w:eastAsia="zh-CN"/>
        </w:rPr>
        <w:t>或</w:t>
      </w:r>
      <w:r>
        <w:rPr>
          <w:rFonts w:hint="eastAsia" w:ascii="宋体" w:hAnsi="宋体" w:eastAsia="宋体" w:cs="宋体"/>
          <w:sz w:val="24"/>
          <w:szCs w:val="24"/>
        </w:rPr>
        <w:t>印鉴：</w:t>
      </w:r>
      <w:r>
        <w:rPr>
          <w:rFonts w:hint="eastAsia" w:ascii="宋体" w:hAnsi="宋体" w:eastAsia="宋体" w:cs="宋体"/>
          <w:sz w:val="24"/>
          <w:szCs w:val="24"/>
          <w:u w:val="single"/>
        </w:rPr>
        <w:t>　　　　 　</w:t>
      </w:r>
      <w:r>
        <w:rPr>
          <w:rFonts w:hint="eastAsia" w:ascii="宋体" w:hAnsi="宋体" w:eastAsia="宋体" w:cs="宋体"/>
          <w:sz w:val="24"/>
          <w:szCs w:val="24"/>
        </w:rPr>
        <w:t>联系电话：</w:t>
      </w:r>
      <w:r>
        <w:rPr>
          <w:rFonts w:hint="eastAsia" w:ascii="宋体" w:hAnsi="宋体" w:eastAsia="宋体" w:cs="宋体"/>
          <w:sz w:val="24"/>
          <w:szCs w:val="24"/>
          <w:u w:val="single"/>
        </w:rPr>
        <w:t>　               　</w:t>
      </w:r>
    </w:p>
    <w:p w14:paraId="4F708574">
      <w:pPr>
        <w:spacing w:line="440" w:lineRule="exact"/>
        <w:rPr>
          <w:rFonts w:hint="eastAsia" w:ascii="宋体" w:hAnsi="宋体" w:eastAsia="宋体" w:cs="宋体"/>
          <w:sz w:val="24"/>
          <w:szCs w:val="24"/>
        </w:rPr>
      </w:pPr>
      <w:r>
        <w:rPr>
          <w:rFonts w:hint="eastAsia" w:ascii="宋体" w:hAnsi="宋体" w:eastAsia="宋体" w:cs="宋体"/>
          <w:sz w:val="24"/>
          <w:szCs w:val="24"/>
        </w:rPr>
        <w:t>被授权人签字：</w:t>
      </w:r>
      <w:r>
        <w:rPr>
          <w:rFonts w:hint="eastAsia" w:ascii="宋体" w:hAnsi="宋体" w:eastAsia="宋体" w:cs="宋体"/>
          <w:sz w:val="24"/>
          <w:szCs w:val="24"/>
          <w:u w:val="single"/>
        </w:rPr>
        <w:t xml:space="preserve">　　　　　　 </w:t>
      </w:r>
      <w:r>
        <w:rPr>
          <w:rFonts w:hint="eastAsia" w:ascii="宋体" w:hAnsi="宋体" w:eastAsia="宋体" w:cs="宋体"/>
          <w:sz w:val="24"/>
          <w:szCs w:val="24"/>
        </w:rPr>
        <w:t>联系电话：</w:t>
      </w:r>
      <w:r>
        <w:rPr>
          <w:rFonts w:hint="eastAsia" w:ascii="宋体" w:hAnsi="宋体" w:eastAsia="宋体" w:cs="宋体"/>
          <w:sz w:val="24"/>
          <w:szCs w:val="24"/>
          <w:u w:val="single"/>
        </w:rPr>
        <w:t xml:space="preserve">             　　　</w:t>
      </w:r>
    </w:p>
    <w:p w14:paraId="3ED0B274">
      <w:pPr>
        <w:spacing w:line="440" w:lineRule="exact"/>
        <w:rPr>
          <w:rFonts w:hint="eastAsia" w:ascii="宋体" w:hAnsi="宋体" w:eastAsia="宋体" w:cs="宋体"/>
          <w:sz w:val="24"/>
          <w:szCs w:val="24"/>
        </w:rPr>
      </w:pPr>
      <w:r>
        <w:rPr>
          <w:rFonts w:hint="eastAsia" w:ascii="宋体" w:hAnsi="宋体" w:eastAsia="宋体" w:cs="宋体"/>
          <w:sz w:val="24"/>
          <w:szCs w:val="24"/>
        </w:rPr>
        <w:t>公        章：</w:t>
      </w:r>
    </w:p>
    <w:p w14:paraId="766CC540">
      <w:pPr>
        <w:spacing w:line="440" w:lineRule="exact"/>
        <w:rPr>
          <w:rFonts w:hint="eastAsia" w:ascii="宋体" w:hAnsi="宋体" w:eastAsia="宋体" w:cs="宋体"/>
          <w:sz w:val="24"/>
          <w:szCs w:val="24"/>
        </w:rPr>
      </w:pPr>
      <w:r>
        <w:rPr>
          <w:rFonts w:hint="eastAsia" w:ascii="宋体" w:hAnsi="宋体" w:eastAsia="宋体" w:cs="宋体"/>
          <w:sz w:val="24"/>
          <w:szCs w:val="24"/>
        </w:rPr>
        <w:t>授权日期：</w:t>
      </w:r>
      <w:r>
        <w:rPr>
          <w:rFonts w:hint="eastAsia" w:ascii="宋体" w:hAnsi="宋体" w:eastAsia="宋体" w:cs="宋体"/>
          <w:sz w:val="24"/>
          <w:szCs w:val="24"/>
          <w:lang w:val="en-US" w:eastAsia="zh-CN"/>
        </w:rPr>
        <w:t>202</w:t>
      </w:r>
      <w:r>
        <w:rPr>
          <w:rFonts w:hint="eastAsia" w:ascii="宋体" w:hAnsi="宋体" w:cs="宋体"/>
          <w:sz w:val="24"/>
          <w:szCs w:val="24"/>
          <w:lang w:val="en-US" w:eastAsia="zh-CN"/>
        </w:rPr>
        <w:t>5</w:t>
      </w:r>
      <w:r>
        <w:rPr>
          <w:rFonts w:hint="eastAsia" w:ascii="宋体" w:hAnsi="宋体" w:eastAsia="宋体" w:cs="宋体"/>
          <w:sz w:val="24"/>
          <w:szCs w:val="24"/>
        </w:rPr>
        <w:t>年</w:t>
      </w:r>
      <w:r>
        <w:rPr>
          <w:rFonts w:hint="eastAsia" w:ascii="宋体" w:hAnsi="宋体" w:eastAsia="宋体" w:cs="宋体"/>
          <w:sz w:val="24"/>
          <w:szCs w:val="24"/>
          <w:u w:val="single"/>
        </w:rPr>
        <w:t>　　</w:t>
      </w:r>
      <w:r>
        <w:rPr>
          <w:rFonts w:hint="eastAsia" w:ascii="宋体" w:hAnsi="宋体" w:eastAsia="宋体" w:cs="宋体"/>
          <w:sz w:val="24"/>
          <w:szCs w:val="24"/>
        </w:rPr>
        <w:t>月</w:t>
      </w:r>
      <w:r>
        <w:rPr>
          <w:rFonts w:hint="eastAsia" w:ascii="宋体" w:hAnsi="宋体" w:eastAsia="宋体" w:cs="宋体"/>
          <w:sz w:val="24"/>
          <w:szCs w:val="24"/>
          <w:u w:val="single"/>
        </w:rPr>
        <w:t>　　</w:t>
      </w:r>
      <w:r>
        <w:rPr>
          <w:rFonts w:hint="eastAsia" w:ascii="宋体" w:hAnsi="宋体" w:eastAsia="宋体" w:cs="宋体"/>
          <w:sz w:val="24"/>
          <w:szCs w:val="24"/>
        </w:rPr>
        <w:t>日</w:t>
      </w:r>
    </w:p>
    <w:p w14:paraId="585F5E0E">
      <w:pPr>
        <w:spacing w:line="440" w:lineRule="exact"/>
        <w:rPr>
          <w:rFonts w:hint="eastAsia" w:ascii="宋体" w:hAnsi="宋体" w:eastAsia="宋体" w:cs="宋体"/>
          <w:sz w:val="24"/>
          <w:szCs w:val="24"/>
        </w:rPr>
      </w:pPr>
    </w:p>
    <w:p w14:paraId="4D2C3417">
      <w:pPr>
        <w:spacing w:line="440" w:lineRule="exact"/>
        <w:rPr>
          <w:rFonts w:hint="eastAsia" w:ascii="宋体" w:hAnsi="宋体" w:eastAsia="宋体" w:cs="宋体"/>
          <w:sz w:val="28"/>
          <w:szCs w:val="28"/>
        </w:rPr>
      </w:pPr>
      <w:r>
        <w:rPr>
          <w:rStyle w:val="212"/>
          <w:rFonts w:hint="eastAsia" w:ascii="宋体" w:hAnsi="宋体" w:eastAsia="宋体" w:cs="宋体"/>
          <w:b/>
          <w:bCs/>
          <w:kern w:val="2"/>
          <w:sz w:val="24"/>
          <w:szCs w:val="24"/>
        </w:rPr>
        <w:t>注：被授权人参加采购活动的，可不提供此项证明文件。</w:t>
      </w:r>
    </w:p>
    <w:p w14:paraId="379A2F77">
      <w:pPr>
        <w:spacing w:line="360" w:lineRule="auto"/>
        <w:ind w:firstLine="5040" w:firstLineChars="1800"/>
        <w:rPr>
          <w:rFonts w:hint="eastAsia" w:ascii="宋体" w:hAnsi="宋体" w:eastAsia="宋体" w:cs="宋体"/>
          <w:sz w:val="28"/>
          <w:szCs w:val="28"/>
        </w:rPr>
      </w:pPr>
    </w:p>
    <w:p w14:paraId="0E6706A1">
      <w:pPr>
        <w:keepNext w:val="0"/>
        <w:keepLines w:val="0"/>
        <w:pageBreakBefore w:val="0"/>
        <w:widowControl w:val="0"/>
        <w:kinsoku/>
        <w:wordWrap/>
        <w:overflowPunct/>
        <w:topLinePunct w:val="0"/>
        <w:autoSpaceDE/>
        <w:autoSpaceDN/>
        <w:bidi w:val="0"/>
        <w:adjustRightInd/>
        <w:snapToGrid/>
        <w:spacing w:line="520" w:lineRule="exact"/>
        <w:ind w:firstLine="560" w:firstLineChars="200"/>
        <w:rPr>
          <w:rFonts w:hint="eastAsia" w:ascii="宋体" w:hAnsi="宋体" w:eastAsia="宋体" w:cs="宋体"/>
          <w:b w:val="0"/>
          <w:bCs w:val="0"/>
          <w:kern w:val="0"/>
          <w:sz w:val="28"/>
          <w:szCs w:val="28"/>
          <w:highlight w:val="none"/>
          <w:lang w:val="en-US" w:eastAsia="zh-CN"/>
        </w:rPr>
      </w:pPr>
    </w:p>
    <w:p w14:paraId="3B777285">
      <w:pPr>
        <w:shd w:val="clear"/>
        <w:jc w:val="right"/>
        <w:rPr>
          <w:rFonts w:ascii="宋体"/>
          <w:szCs w:val="21"/>
        </w:rPr>
      </w:pPr>
    </w:p>
    <w:p w14:paraId="7BC0A563">
      <w:pPr>
        <w:shd w:val="clear"/>
        <w:jc w:val="center"/>
        <w:rPr>
          <w:rFonts w:ascii="宋体"/>
          <w:szCs w:val="21"/>
        </w:rPr>
      </w:pPr>
    </w:p>
    <w:p w14:paraId="7F377C91">
      <w:pPr>
        <w:shd w:val="clear"/>
        <w:jc w:val="center"/>
        <w:rPr>
          <w:rFonts w:ascii="宋体"/>
          <w:szCs w:val="21"/>
        </w:rPr>
      </w:pPr>
    </w:p>
    <w:p w14:paraId="4F557AB9">
      <w:pPr>
        <w:shd w:val="clear"/>
        <w:jc w:val="center"/>
        <w:rPr>
          <w:rFonts w:ascii="宋体"/>
          <w:szCs w:val="21"/>
        </w:rPr>
      </w:pPr>
    </w:p>
    <w:p w14:paraId="516C6F35">
      <w:pPr>
        <w:shd w:val="clear"/>
        <w:jc w:val="center"/>
        <w:rPr>
          <w:rFonts w:ascii="宋体"/>
          <w:szCs w:val="21"/>
        </w:rPr>
      </w:pPr>
    </w:p>
    <w:p w14:paraId="4A439144">
      <w:pPr>
        <w:shd w:val="clear"/>
        <w:jc w:val="center"/>
        <w:rPr>
          <w:rFonts w:ascii="宋体"/>
          <w:szCs w:val="21"/>
        </w:rPr>
      </w:pPr>
    </w:p>
    <w:p w14:paraId="45E8148B">
      <w:pPr>
        <w:shd w:val="clear"/>
        <w:jc w:val="center"/>
        <w:rPr>
          <w:rFonts w:ascii="宋体"/>
          <w:szCs w:val="21"/>
        </w:rPr>
      </w:pPr>
    </w:p>
    <w:p w14:paraId="1C319B41">
      <w:pPr>
        <w:shd w:val="clear"/>
        <w:jc w:val="center"/>
        <w:rPr>
          <w:rFonts w:ascii="宋体"/>
          <w:szCs w:val="21"/>
        </w:rPr>
      </w:pPr>
    </w:p>
    <w:p w14:paraId="168AA659">
      <w:pPr>
        <w:shd w:val="clear"/>
        <w:jc w:val="center"/>
        <w:rPr>
          <w:rFonts w:ascii="宋体"/>
          <w:szCs w:val="21"/>
        </w:rPr>
      </w:pPr>
    </w:p>
    <w:p w14:paraId="1CF913FF">
      <w:pPr>
        <w:shd w:val="clear"/>
        <w:jc w:val="center"/>
        <w:rPr>
          <w:rFonts w:ascii="宋体"/>
          <w:sz w:val="32"/>
          <w:szCs w:val="32"/>
        </w:rPr>
      </w:pPr>
    </w:p>
    <w:p w14:paraId="1A1B494C">
      <w:pPr>
        <w:pStyle w:val="75"/>
        <w:numPr>
          <w:ilvl w:val="0"/>
          <w:numId w:val="0"/>
        </w:numPr>
        <w:shd w:val="clear"/>
        <w:ind w:leftChars="0"/>
        <w:jc w:val="center"/>
        <w:rPr>
          <w:rFonts w:ascii="宋体"/>
          <w:b/>
          <w:sz w:val="32"/>
          <w:szCs w:val="32"/>
        </w:rPr>
      </w:pPr>
      <w:r>
        <w:rPr>
          <w:rFonts w:hint="eastAsia" w:ascii="宋体" w:hAnsi="宋体"/>
          <w:b/>
          <w:sz w:val="32"/>
          <w:szCs w:val="32"/>
          <w:lang w:val="en-US" w:eastAsia="zh-CN"/>
        </w:rPr>
        <w:t>3、</w:t>
      </w:r>
      <w:r>
        <w:rPr>
          <w:rFonts w:hint="eastAsia" w:ascii="宋体" w:hAnsi="宋体"/>
          <w:b/>
          <w:sz w:val="32"/>
          <w:szCs w:val="32"/>
        </w:rPr>
        <w:t>公司简介</w:t>
      </w:r>
    </w:p>
    <w:p w14:paraId="593F4B39">
      <w:pPr>
        <w:shd w:val="clear"/>
        <w:spacing w:line="360" w:lineRule="auto"/>
        <w:ind w:firstLine="630"/>
        <w:jc w:val="left"/>
        <w:rPr>
          <w:rFonts w:hint="eastAsia" w:ascii="宋体" w:hAnsi="宋体"/>
          <w:sz w:val="24"/>
          <w:szCs w:val="24"/>
        </w:rPr>
      </w:pPr>
      <w:r>
        <w:rPr>
          <w:rFonts w:hint="eastAsia" w:ascii="宋体" w:hAnsi="宋体"/>
          <w:sz w:val="24"/>
          <w:szCs w:val="24"/>
        </w:rPr>
        <w:t>（营业执照复印件</w:t>
      </w:r>
      <w:r>
        <w:rPr>
          <w:rFonts w:hint="eastAsia" w:ascii="宋体" w:hAnsi="宋体"/>
          <w:sz w:val="24"/>
          <w:szCs w:val="24"/>
          <w:lang w:eastAsia="zh-CN"/>
        </w:rPr>
        <w:t>、《中华人民共和国金融许可证》或《金融机构营业许可证》</w:t>
      </w:r>
      <w:r>
        <w:rPr>
          <w:rFonts w:hint="eastAsia" w:ascii="宋体" w:hAnsi="宋体"/>
          <w:sz w:val="24"/>
          <w:szCs w:val="24"/>
        </w:rPr>
        <w:t>等材料并加盖公章，</w:t>
      </w:r>
    </w:p>
    <w:p w14:paraId="350CC7A1">
      <w:pPr>
        <w:shd w:val="clear"/>
        <w:spacing w:line="360" w:lineRule="auto"/>
        <w:ind w:firstLine="630"/>
        <w:jc w:val="left"/>
        <w:rPr>
          <w:rFonts w:hint="eastAsia" w:ascii="宋体" w:hAnsi="宋体"/>
          <w:sz w:val="24"/>
          <w:szCs w:val="24"/>
        </w:rPr>
      </w:pPr>
      <w:r>
        <w:rPr>
          <w:rFonts w:hint="eastAsia" w:ascii="宋体" w:hAnsi="宋体"/>
          <w:sz w:val="24"/>
          <w:szCs w:val="24"/>
          <w:lang w:eastAsia="zh-CN"/>
        </w:rPr>
        <w:t>（</w:t>
      </w:r>
      <w:r>
        <w:rPr>
          <w:rFonts w:hint="eastAsia" w:ascii="宋体" w:hAnsi="宋体"/>
          <w:sz w:val="24"/>
          <w:szCs w:val="24"/>
        </w:rPr>
        <w:t>包括企业名称、经营范围、从业人员、资产总额、营业收入、技术实力、经济实力等格式自拟）</w:t>
      </w:r>
    </w:p>
    <w:p w14:paraId="1D578763">
      <w:pPr>
        <w:shd w:val="clear"/>
        <w:jc w:val="center"/>
        <w:rPr>
          <w:rFonts w:ascii="宋体"/>
          <w:b/>
          <w:sz w:val="32"/>
          <w:szCs w:val="32"/>
        </w:rPr>
      </w:pPr>
    </w:p>
    <w:p w14:paraId="379E3703">
      <w:pPr>
        <w:shd w:val="clear"/>
        <w:jc w:val="center"/>
        <w:rPr>
          <w:rFonts w:ascii="宋体"/>
          <w:b/>
          <w:szCs w:val="21"/>
        </w:rPr>
      </w:pPr>
    </w:p>
    <w:p w14:paraId="5F89DDDC">
      <w:pPr>
        <w:shd w:val="clear"/>
        <w:jc w:val="center"/>
        <w:rPr>
          <w:rFonts w:ascii="宋体"/>
          <w:b/>
          <w:szCs w:val="21"/>
        </w:rPr>
      </w:pPr>
    </w:p>
    <w:p w14:paraId="1B3C28E6">
      <w:pPr>
        <w:shd w:val="clear"/>
        <w:jc w:val="center"/>
        <w:rPr>
          <w:rFonts w:ascii="宋体"/>
          <w:b/>
          <w:szCs w:val="21"/>
        </w:rPr>
      </w:pPr>
    </w:p>
    <w:p w14:paraId="6A028B2B">
      <w:pPr>
        <w:shd w:val="clear"/>
        <w:jc w:val="center"/>
        <w:rPr>
          <w:rFonts w:ascii="宋体"/>
          <w:b/>
          <w:szCs w:val="21"/>
        </w:rPr>
      </w:pPr>
    </w:p>
    <w:p w14:paraId="57F0E0C2">
      <w:pPr>
        <w:shd w:val="clear"/>
        <w:jc w:val="center"/>
        <w:rPr>
          <w:rFonts w:ascii="宋体"/>
          <w:b/>
          <w:szCs w:val="21"/>
        </w:rPr>
      </w:pPr>
    </w:p>
    <w:p w14:paraId="2B19E853">
      <w:pPr>
        <w:shd w:val="clear"/>
        <w:jc w:val="center"/>
        <w:rPr>
          <w:rFonts w:ascii="宋体"/>
          <w:b/>
          <w:szCs w:val="21"/>
        </w:rPr>
      </w:pPr>
    </w:p>
    <w:p w14:paraId="096B7390">
      <w:pPr>
        <w:shd w:val="clear"/>
        <w:jc w:val="center"/>
        <w:rPr>
          <w:rFonts w:ascii="宋体"/>
          <w:b/>
          <w:szCs w:val="21"/>
        </w:rPr>
      </w:pPr>
    </w:p>
    <w:p w14:paraId="0F6D82F7">
      <w:pPr>
        <w:shd w:val="clear"/>
        <w:jc w:val="center"/>
        <w:rPr>
          <w:rFonts w:ascii="宋体"/>
          <w:b/>
          <w:szCs w:val="21"/>
        </w:rPr>
      </w:pPr>
    </w:p>
    <w:p w14:paraId="43F38D5D">
      <w:pPr>
        <w:shd w:val="clear"/>
        <w:jc w:val="center"/>
        <w:rPr>
          <w:rFonts w:ascii="宋体"/>
          <w:b/>
          <w:szCs w:val="21"/>
        </w:rPr>
      </w:pPr>
    </w:p>
    <w:p w14:paraId="33BF52A9">
      <w:pPr>
        <w:shd w:val="clear"/>
        <w:jc w:val="center"/>
        <w:rPr>
          <w:rFonts w:ascii="宋体"/>
          <w:b/>
          <w:szCs w:val="21"/>
        </w:rPr>
      </w:pPr>
    </w:p>
    <w:p w14:paraId="3DD5EC44">
      <w:pPr>
        <w:shd w:val="clear"/>
        <w:jc w:val="center"/>
        <w:rPr>
          <w:rFonts w:ascii="宋体"/>
          <w:b/>
          <w:szCs w:val="21"/>
        </w:rPr>
      </w:pPr>
    </w:p>
    <w:p w14:paraId="380DFD18">
      <w:pPr>
        <w:shd w:val="clear"/>
        <w:jc w:val="center"/>
        <w:rPr>
          <w:rFonts w:ascii="宋体"/>
          <w:b/>
          <w:szCs w:val="21"/>
        </w:rPr>
      </w:pPr>
    </w:p>
    <w:p w14:paraId="59BAFCF1">
      <w:pPr>
        <w:shd w:val="clear"/>
        <w:jc w:val="center"/>
        <w:rPr>
          <w:rFonts w:ascii="宋体"/>
          <w:b/>
          <w:szCs w:val="21"/>
        </w:rPr>
      </w:pPr>
    </w:p>
    <w:p w14:paraId="68B300C8">
      <w:pPr>
        <w:shd w:val="clear"/>
        <w:jc w:val="center"/>
        <w:rPr>
          <w:rFonts w:ascii="宋体"/>
          <w:b/>
          <w:szCs w:val="21"/>
        </w:rPr>
      </w:pPr>
    </w:p>
    <w:p w14:paraId="03404432">
      <w:pPr>
        <w:shd w:val="clear"/>
        <w:jc w:val="center"/>
        <w:rPr>
          <w:rFonts w:ascii="宋体"/>
          <w:b/>
          <w:szCs w:val="21"/>
        </w:rPr>
      </w:pPr>
    </w:p>
    <w:p w14:paraId="66B1E4C7">
      <w:pPr>
        <w:shd w:val="clear"/>
        <w:jc w:val="center"/>
        <w:rPr>
          <w:rFonts w:ascii="宋体"/>
          <w:b/>
          <w:szCs w:val="21"/>
        </w:rPr>
      </w:pPr>
    </w:p>
    <w:p w14:paraId="775544AD">
      <w:pPr>
        <w:shd w:val="clear"/>
        <w:jc w:val="center"/>
        <w:rPr>
          <w:rFonts w:ascii="宋体"/>
          <w:b/>
          <w:szCs w:val="21"/>
        </w:rPr>
      </w:pPr>
    </w:p>
    <w:p w14:paraId="27E8D251">
      <w:pPr>
        <w:shd w:val="clear"/>
        <w:jc w:val="center"/>
        <w:rPr>
          <w:rFonts w:ascii="宋体"/>
          <w:b/>
          <w:szCs w:val="21"/>
        </w:rPr>
      </w:pPr>
    </w:p>
    <w:p w14:paraId="45406F9D">
      <w:pPr>
        <w:shd w:val="clear"/>
        <w:jc w:val="center"/>
        <w:rPr>
          <w:rFonts w:ascii="宋体"/>
          <w:b/>
          <w:szCs w:val="21"/>
        </w:rPr>
      </w:pPr>
    </w:p>
    <w:p w14:paraId="0C6F1CA0">
      <w:pPr>
        <w:shd w:val="clear"/>
        <w:jc w:val="center"/>
        <w:rPr>
          <w:rFonts w:ascii="宋体"/>
          <w:b/>
          <w:szCs w:val="21"/>
        </w:rPr>
      </w:pPr>
    </w:p>
    <w:p w14:paraId="78B0CE11">
      <w:pPr>
        <w:shd w:val="clear"/>
        <w:jc w:val="center"/>
        <w:rPr>
          <w:rFonts w:ascii="宋体"/>
          <w:b/>
          <w:szCs w:val="21"/>
        </w:rPr>
      </w:pPr>
    </w:p>
    <w:p w14:paraId="2633C720">
      <w:pPr>
        <w:shd w:val="clear"/>
        <w:jc w:val="center"/>
        <w:rPr>
          <w:rFonts w:ascii="宋体"/>
          <w:b/>
          <w:szCs w:val="21"/>
        </w:rPr>
      </w:pPr>
    </w:p>
    <w:p w14:paraId="36B9589F">
      <w:pPr>
        <w:shd w:val="clear"/>
        <w:jc w:val="center"/>
        <w:rPr>
          <w:rFonts w:ascii="宋体"/>
          <w:b/>
          <w:szCs w:val="21"/>
        </w:rPr>
      </w:pPr>
    </w:p>
    <w:p w14:paraId="73345A7D">
      <w:pPr>
        <w:shd w:val="clear"/>
        <w:jc w:val="center"/>
        <w:rPr>
          <w:rFonts w:ascii="宋体"/>
          <w:b/>
          <w:szCs w:val="21"/>
        </w:rPr>
      </w:pPr>
    </w:p>
    <w:p w14:paraId="3A7A6039">
      <w:pPr>
        <w:shd w:val="clear"/>
        <w:jc w:val="center"/>
        <w:rPr>
          <w:rFonts w:ascii="宋体"/>
          <w:b/>
          <w:szCs w:val="21"/>
        </w:rPr>
      </w:pPr>
    </w:p>
    <w:p w14:paraId="73EE836C">
      <w:pPr>
        <w:shd w:val="clear"/>
        <w:jc w:val="center"/>
        <w:rPr>
          <w:rFonts w:ascii="宋体"/>
          <w:b/>
          <w:szCs w:val="21"/>
        </w:rPr>
      </w:pPr>
    </w:p>
    <w:p w14:paraId="1CD4DFBC">
      <w:pPr>
        <w:shd w:val="clear"/>
        <w:jc w:val="center"/>
        <w:rPr>
          <w:rFonts w:ascii="宋体"/>
          <w:b/>
          <w:szCs w:val="21"/>
        </w:rPr>
      </w:pPr>
    </w:p>
    <w:p w14:paraId="01173153">
      <w:pPr>
        <w:shd w:val="clear"/>
        <w:jc w:val="center"/>
        <w:rPr>
          <w:rFonts w:ascii="宋体"/>
          <w:b/>
          <w:szCs w:val="21"/>
        </w:rPr>
      </w:pPr>
    </w:p>
    <w:p w14:paraId="04051D34">
      <w:pPr>
        <w:shd w:val="clear"/>
        <w:jc w:val="center"/>
        <w:rPr>
          <w:rFonts w:ascii="宋体"/>
          <w:b/>
          <w:szCs w:val="21"/>
        </w:rPr>
      </w:pPr>
    </w:p>
    <w:p w14:paraId="1193B003">
      <w:pPr>
        <w:shd w:val="clear"/>
        <w:jc w:val="center"/>
        <w:rPr>
          <w:rFonts w:ascii="宋体"/>
          <w:b/>
          <w:szCs w:val="21"/>
        </w:rPr>
      </w:pPr>
    </w:p>
    <w:p w14:paraId="4C6819E8">
      <w:pPr>
        <w:shd w:val="clear"/>
        <w:jc w:val="center"/>
        <w:rPr>
          <w:rFonts w:ascii="宋体"/>
          <w:b/>
          <w:szCs w:val="21"/>
        </w:rPr>
      </w:pPr>
    </w:p>
    <w:p w14:paraId="5F75EC0B">
      <w:pPr>
        <w:shd w:val="clear"/>
        <w:jc w:val="center"/>
        <w:rPr>
          <w:rFonts w:ascii="宋体"/>
          <w:b/>
          <w:szCs w:val="21"/>
        </w:rPr>
      </w:pPr>
    </w:p>
    <w:p w14:paraId="3D90629E">
      <w:pPr>
        <w:shd w:val="clear"/>
        <w:jc w:val="center"/>
        <w:rPr>
          <w:rFonts w:ascii="宋体"/>
          <w:b/>
          <w:szCs w:val="21"/>
        </w:rPr>
      </w:pPr>
    </w:p>
    <w:p w14:paraId="428B7D53">
      <w:pPr>
        <w:shd w:val="clear"/>
        <w:jc w:val="center"/>
        <w:rPr>
          <w:rFonts w:ascii="宋体"/>
          <w:b/>
          <w:szCs w:val="21"/>
        </w:rPr>
      </w:pPr>
    </w:p>
    <w:p w14:paraId="2730BDE0">
      <w:pPr>
        <w:shd w:val="clear"/>
        <w:jc w:val="center"/>
        <w:rPr>
          <w:rFonts w:ascii="宋体"/>
          <w:b/>
          <w:szCs w:val="21"/>
        </w:rPr>
      </w:pPr>
    </w:p>
    <w:p w14:paraId="3BB19321">
      <w:pPr>
        <w:shd w:val="clear"/>
        <w:jc w:val="center"/>
        <w:rPr>
          <w:rFonts w:ascii="宋体"/>
          <w:b/>
          <w:szCs w:val="21"/>
        </w:rPr>
      </w:pPr>
    </w:p>
    <w:p w14:paraId="6212715B">
      <w:pPr>
        <w:shd w:val="clear"/>
        <w:jc w:val="center"/>
        <w:rPr>
          <w:rFonts w:ascii="宋体"/>
          <w:b/>
          <w:szCs w:val="21"/>
        </w:rPr>
      </w:pPr>
    </w:p>
    <w:p w14:paraId="4AF7B56F">
      <w:pPr>
        <w:shd w:val="clear"/>
        <w:spacing w:beforeLines="50" w:afterLines="50" w:line="300" w:lineRule="auto"/>
        <w:jc w:val="center"/>
        <w:rPr>
          <w:rFonts w:hint="eastAsia" w:ascii="宋体" w:hAnsi="宋体" w:cs="宋体"/>
          <w:color w:val="000000"/>
          <w:sz w:val="32"/>
          <w:szCs w:val="32"/>
        </w:rPr>
        <w:sectPr>
          <w:footerReference r:id="rId15" w:type="default"/>
          <w:pgSz w:w="12240" w:h="15840"/>
          <w:pgMar w:top="1440" w:right="1080" w:bottom="1440" w:left="1080" w:header="720" w:footer="720" w:gutter="0"/>
          <w:pgNumType w:fmt="decimal"/>
          <w:cols w:space="720" w:num="1"/>
          <w:docGrid w:linePitch="323" w:charSpace="0"/>
        </w:sectPr>
      </w:pPr>
      <w:bookmarkStart w:id="125" w:name="_Hlt26955054"/>
      <w:bookmarkEnd w:id="125"/>
      <w:bookmarkStart w:id="126" w:name="_格式2__法定代表人授权书"/>
      <w:bookmarkEnd w:id="126"/>
      <w:bookmarkStart w:id="127" w:name="_Toc534816651"/>
      <w:bookmarkStart w:id="128" w:name="_Toc534725622"/>
      <w:r>
        <w:rPr>
          <w:rFonts w:hint="eastAsia" w:ascii="宋体" w:hAnsi="宋体" w:cs="Times New Roman"/>
          <w:b/>
          <w:bCs w:val="0"/>
          <w:color w:val="auto"/>
          <w:kern w:val="2"/>
          <w:sz w:val="32"/>
          <w:szCs w:val="32"/>
          <w:lang w:val="en-US" w:eastAsia="zh-CN" w:bidi="ar-SA"/>
        </w:rPr>
        <w:t>4、招标</w:t>
      </w:r>
      <w:r>
        <w:rPr>
          <w:rFonts w:hint="eastAsia" w:ascii="宋体" w:hAnsi="宋体" w:eastAsia="宋体" w:cs="Times New Roman"/>
          <w:b/>
          <w:bCs w:val="0"/>
          <w:color w:val="auto"/>
          <w:kern w:val="2"/>
          <w:sz w:val="32"/>
          <w:szCs w:val="32"/>
          <w:lang w:val="en-US" w:eastAsia="zh-CN" w:bidi="ar-SA"/>
        </w:rPr>
        <w:t>保证金</w:t>
      </w:r>
      <w:r>
        <w:rPr>
          <w:rFonts w:hint="eastAsia" w:ascii="宋体" w:hAnsi="宋体" w:cs="Times New Roman"/>
          <w:b/>
          <w:bCs w:val="0"/>
          <w:color w:val="auto"/>
          <w:kern w:val="2"/>
          <w:sz w:val="32"/>
          <w:szCs w:val="32"/>
          <w:lang w:val="en-US" w:eastAsia="zh-CN" w:bidi="ar-SA"/>
        </w:rPr>
        <w:t>缴纳凭证复印件（本项目不收取）</w:t>
      </w:r>
    </w:p>
    <w:p w14:paraId="4F86828F">
      <w:pPr>
        <w:pStyle w:val="4"/>
        <w:shd w:val="clear"/>
        <w:kinsoku w:val="0"/>
        <w:overflowPunct w:val="0"/>
        <w:spacing w:before="0" w:after="0" w:line="240" w:lineRule="auto"/>
        <w:rPr>
          <w:rFonts w:hint="eastAsia" w:ascii="宋体" w:hAnsi="宋体" w:eastAsia="宋体" w:cs="Times New Roman"/>
          <w:b/>
          <w:bCs w:val="0"/>
          <w:color w:val="auto"/>
          <w:kern w:val="2"/>
          <w:sz w:val="32"/>
          <w:szCs w:val="32"/>
          <w:lang w:val="en-US" w:eastAsia="zh-CN" w:bidi="ar-SA"/>
        </w:rPr>
      </w:pPr>
    </w:p>
    <w:p w14:paraId="68736229">
      <w:pPr>
        <w:pStyle w:val="8"/>
        <w:numPr>
          <w:ilvl w:val="0"/>
          <w:numId w:val="0"/>
        </w:numPr>
        <w:ind w:firstLine="964" w:firstLineChars="300"/>
        <w:jc w:val="center"/>
        <w:rPr>
          <w:rFonts w:hint="eastAsia" w:ascii="宋体" w:hAnsi="宋体" w:eastAsia="宋体" w:cs="Times New Roman"/>
          <w:b/>
          <w:bCs w:val="0"/>
          <w:color w:val="auto"/>
          <w:kern w:val="2"/>
          <w:sz w:val="32"/>
          <w:szCs w:val="32"/>
          <w:lang w:val="en-US" w:eastAsia="zh-CN" w:bidi="ar-SA"/>
        </w:rPr>
      </w:pPr>
      <w:r>
        <w:rPr>
          <w:rFonts w:hint="eastAsia" w:ascii="宋体" w:hAnsi="宋体" w:eastAsia="宋体" w:cs="Times New Roman"/>
          <w:b/>
          <w:bCs w:val="0"/>
          <w:color w:val="auto"/>
          <w:kern w:val="2"/>
          <w:sz w:val="32"/>
          <w:szCs w:val="32"/>
          <w:lang w:val="en-US" w:eastAsia="zh-CN" w:bidi="ar-SA"/>
        </w:rPr>
        <w:t>5、开标一览表</w:t>
      </w:r>
    </w:p>
    <w:p w14:paraId="1737E451">
      <w:pPr>
        <w:pStyle w:val="8"/>
        <w:ind w:firstLine="0"/>
        <w:rPr>
          <w:rFonts w:hint="eastAsia" w:ascii="宋体" w:hAnsi="宋体" w:eastAsia="宋体" w:cs="宋体"/>
          <w:color w:val="000000"/>
          <w:kern w:val="0"/>
          <w:sz w:val="24"/>
          <w:szCs w:val="24"/>
        </w:rPr>
      </w:pPr>
    </w:p>
    <w:tbl>
      <w:tblPr>
        <w:tblStyle w:val="40"/>
        <w:tblpPr w:leftFromText="180" w:rightFromText="180" w:vertAnchor="text" w:horzAnchor="page" w:tblpX="1726" w:tblpY="334"/>
        <w:tblOverlap w:val="never"/>
        <w:tblW w:w="8625" w:type="dxa"/>
        <w:tblInd w:w="0" w:type="dxa"/>
        <w:tblLayout w:type="fixed"/>
        <w:tblCellMar>
          <w:top w:w="0" w:type="dxa"/>
          <w:left w:w="0" w:type="dxa"/>
          <w:bottom w:w="0" w:type="dxa"/>
          <w:right w:w="0" w:type="dxa"/>
        </w:tblCellMar>
      </w:tblPr>
      <w:tblGrid>
        <w:gridCol w:w="2325"/>
        <w:gridCol w:w="6300"/>
      </w:tblGrid>
      <w:tr w14:paraId="5D7B1389">
        <w:tblPrEx>
          <w:tblCellMar>
            <w:top w:w="0" w:type="dxa"/>
            <w:left w:w="0" w:type="dxa"/>
            <w:bottom w:w="0" w:type="dxa"/>
            <w:right w:w="0" w:type="dxa"/>
          </w:tblCellMar>
        </w:tblPrEx>
        <w:trPr>
          <w:trHeight w:val="1030" w:hRule="atLeast"/>
        </w:trPr>
        <w:tc>
          <w:tcPr>
            <w:tcW w:w="2325" w:type="dxa"/>
            <w:tcBorders>
              <w:top w:val="single" w:color="000000" w:sz="4" w:space="0"/>
              <w:left w:val="single" w:color="000000" w:sz="4" w:space="0"/>
              <w:bottom w:val="single" w:color="000000" w:sz="4" w:space="0"/>
              <w:right w:val="single" w:color="auto" w:sz="4" w:space="0"/>
            </w:tcBorders>
            <w:noWrap w:val="0"/>
            <w:tcMar>
              <w:top w:w="12" w:type="dxa"/>
              <w:left w:w="12" w:type="dxa"/>
              <w:right w:w="12" w:type="dxa"/>
            </w:tcMar>
            <w:vAlign w:val="center"/>
          </w:tcPr>
          <w:p w14:paraId="5395D762">
            <w:pPr>
              <w:widowControl/>
              <w:jc w:val="center"/>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项目</w:t>
            </w:r>
            <w:r>
              <w:rPr>
                <w:rFonts w:hint="eastAsia" w:ascii="宋体" w:hAnsi="宋体" w:eastAsia="宋体" w:cs="宋体"/>
                <w:color w:val="000000"/>
                <w:sz w:val="24"/>
                <w:szCs w:val="24"/>
              </w:rPr>
              <w:t>名称</w:t>
            </w:r>
          </w:p>
        </w:tc>
        <w:tc>
          <w:tcPr>
            <w:tcW w:w="6300" w:type="dxa"/>
            <w:tcBorders>
              <w:top w:val="single" w:color="000000" w:sz="4" w:space="0"/>
              <w:left w:val="single" w:color="auto" w:sz="4" w:space="0"/>
              <w:bottom w:val="single" w:color="000000" w:sz="4" w:space="0"/>
              <w:right w:val="single" w:color="000000" w:sz="4" w:space="0"/>
            </w:tcBorders>
            <w:noWrap w:val="0"/>
            <w:tcMar>
              <w:top w:w="12" w:type="dxa"/>
              <w:left w:w="12" w:type="dxa"/>
              <w:right w:w="12" w:type="dxa"/>
            </w:tcMar>
            <w:vAlign w:val="center"/>
          </w:tcPr>
          <w:p w14:paraId="14C26774">
            <w:pPr>
              <w:widowControl/>
              <w:jc w:val="center"/>
              <w:textAlignment w:val="center"/>
              <w:rPr>
                <w:rFonts w:hint="eastAsia" w:ascii="宋体" w:hAnsi="宋体" w:eastAsia="宋体" w:cs="宋体"/>
                <w:color w:val="000000"/>
                <w:kern w:val="0"/>
                <w:sz w:val="24"/>
                <w:szCs w:val="24"/>
              </w:rPr>
            </w:pPr>
          </w:p>
        </w:tc>
      </w:tr>
      <w:tr w14:paraId="789D1751">
        <w:tblPrEx>
          <w:tblCellMar>
            <w:top w:w="0" w:type="dxa"/>
            <w:left w:w="0" w:type="dxa"/>
            <w:bottom w:w="0" w:type="dxa"/>
            <w:right w:w="0" w:type="dxa"/>
          </w:tblCellMar>
        </w:tblPrEx>
        <w:trPr>
          <w:trHeight w:val="1030" w:hRule="atLeast"/>
        </w:trPr>
        <w:tc>
          <w:tcPr>
            <w:tcW w:w="2325" w:type="dxa"/>
            <w:tcBorders>
              <w:top w:val="single" w:color="000000" w:sz="4" w:space="0"/>
              <w:left w:val="single" w:color="000000" w:sz="4" w:space="0"/>
              <w:bottom w:val="single" w:color="000000" w:sz="4" w:space="0"/>
              <w:right w:val="single" w:color="auto" w:sz="4" w:space="0"/>
            </w:tcBorders>
            <w:noWrap w:val="0"/>
            <w:tcMar>
              <w:top w:w="12" w:type="dxa"/>
              <w:left w:w="12" w:type="dxa"/>
              <w:right w:w="12" w:type="dxa"/>
            </w:tcMar>
            <w:vAlign w:val="center"/>
          </w:tcPr>
          <w:p w14:paraId="38634CDB">
            <w:pPr>
              <w:widowControl/>
              <w:jc w:val="center"/>
              <w:textAlignment w:val="center"/>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项目编号</w:t>
            </w:r>
          </w:p>
        </w:tc>
        <w:tc>
          <w:tcPr>
            <w:tcW w:w="6300" w:type="dxa"/>
            <w:tcBorders>
              <w:top w:val="single" w:color="000000" w:sz="4" w:space="0"/>
              <w:left w:val="single" w:color="auto" w:sz="4" w:space="0"/>
              <w:bottom w:val="single" w:color="000000" w:sz="4" w:space="0"/>
              <w:right w:val="single" w:color="000000" w:sz="4" w:space="0"/>
            </w:tcBorders>
            <w:noWrap w:val="0"/>
            <w:tcMar>
              <w:top w:w="12" w:type="dxa"/>
              <w:left w:w="12" w:type="dxa"/>
              <w:right w:w="12" w:type="dxa"/>
            </w:tcMar>
            <w:vAlign w:val="center"/>
          </w:tcPr>
          <w:p w14:paraId="0FA03777">
            <w:pPr>
              <w:widowControl/>
              <w:jc w:val="center"/>
              <w:textAlignment w:val="center"/>
              <w:rPr>
                <w:rFonts w:hint="eastAsia" w:ascii="宋体" w:hAnsi="宋体" w:eastAsia="宋体" w:cs="宋体"/>
                <w:color w:val="000000"/>
                <w:kern w:val="0"/>
                <w:sz w:val="24"/>
                <w:szCs w:val="24"/>
              </w:rPr>
            </w:pPr>
          </w:p>
        </w:tc>
      </w:tr>
      <w:tr w14:paraId="603F3ADB">
        <w:tblPrEx>
          <w:tblCellMar>
            <w:top w:w="0" w:type="dxa"/>
            <w:left w:w="0" w:type="dxa"/>
            <w:bottom w:w="0" w:type="dxa"/>
            <w:right w:w="0" w:type="dxa"/>
          </w:tblCellMar>
        </w:tblPrEx>
        <w:trPr>
          <w:trHeight w:val="1098" w:hRule="atLeast"/>
        </w:trPr>
        <w:tc>
          <w:tcPr>
            <w:tcW w:w="2325" w:type="dxa"/>
            <w:tcBorders>
              <w:top w:val="single" w:color="000000" w:sz="4" w:space="0"/>
              <w:left w:val="single" w:color="000000" w:sz="4" w:space="0"/>
              <w:bottom w:val="single" w:color="000000" w:sz="4" w:space="0"/>
              <w:right w:val="single" w:color="auto" w:sz="4" w:space="0"/>
            </w:tcBorders>
            <w:noWrap w:val="0"/>
            <w:tcMar>
              <w:top w:w="12" w:type="dxa"/>
              <w:left w:w="12" w:type="dxa"/>
              <w:right w:w="12" w:type="dxa"/>
            </w:tcMar>
            <w:vAlign w:val="center"/>
          </w:tcPr>
          <w:p w14:paraId="1B327D64">
            <w:pPr>
              <w:jc w:val="center"/>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存款利率（%）</w:t>
            </w:r>
          </w:p>
        </w:tc>
        <w:tc>
          <w:tcPr>
            <w:tcW w:w="6300" w:type="dxa"/>
            <w:tcBorders>
              <w:top w:val="single" w:color="000000" w:sz="4" w:space="0"/>
              <w:left w:val="single" w:color="auto" w:sz="4" w:space="0"/>
              <w:bottom w:val="single" w:color="000000" w:sz="4" w:space="0"/>
              <w:right w:val="single" w:color="000000" w:sz="4" w:space="0"/>
            </w:tcBorders>
            <w:noWrap w:val="0"/>
            <w:tcMar>
              <w:top w:w="12" w:type="dxa"/>
              <w:left w:w="12" w:type="dxa"/>
              <w:right w:w="12" w:type="dxa"/>
            </w:tcMar>
            <w:vAlign w:val="center"/>
          </w:tcPr>
          <w:p w14:paraId="35208888">
            <w:pPr>
              <w:jc w:val="center"/>
              <w:rPr>
                <w:rFonts w:hint="eastAsia" w:ascii="宋体" w:hAnsi="宋体" w:eastAsia="宋体" w:cs="宋体"/>
                <w:color w:val="000000"/>
                <w:sz w:val="24"/>
                <w:szCs w:val="24"/>
              </w:rPr>
            </w:pPr>
          </w:p>
        </w:tc>
      </w:tr>
      <w:tr w14:paraId="692E82C2">
        <w:tblPrEx>
          <w:tblCellMar>
            <w:top w:w="0" w:type="dxa"/>
            <w:left w:w="0" w:type="dxa"/>
            <w:bottom w:w="0" w:type="dxa"/>
            <w:right w:w="0" w:type="dxa"/>
          </w:tblCellMar>
        </w:tblPrEx>
        <w:trPr>
          <w:trHeight w:val="1098" w:hRule="atLeast"/>
        </w:trPr>
        <w:tc>
          <w:tcPr>
            <w:tcW w:w="2325" w:type="dxa"/>
            <w:tcBorders>
              <w:top w:val="single" w:color="000000" w:sz="4" w:space="0"/>
              <w:left w:val="single" w:color="000000" w:sz="4" w:space="0"/>
              <w:bottom w:val="single" w:color="000000" w:sz="4" w:space="0"/>
              <w:right w:val="single" w:color="auto" w:sz="4" w:space="0"/>
            </w:tcBorders>
            <w:noWrap w:val="0"/>
            <w:tcMar>
              <w:top w:w="12" w:type="dxa"/>
              <w:left w:w="12" w:type="dxa"/>
              <w:right w:w="12" w:type="dxa"/>
            </w:tcMar>
            <w:vAlign w:val="center"/>
          </w:tcPr>
          <w:p w14:paraId="2955BDDE">
            <w:pPr>
              <w:jc w:val="center"/>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lang w:eastAsia="zh-CN"/>
              </w:rPr>
              <w:t>备注</w:t>
            </w:r>
          </w:p>
        </w:tc>
        <w:tc>
          <w:tcPr>
            <w:tcW w:w="6300" w:type="dxa"/>
            <w:tcBorders>
              <w:top w:val="single" w:color="000000" w:sz="4" w:space="0"/>
              <w:left w:val="single" w:color="auto" w:sz="4" w:space="0"/>
              <w:bottom w:val="single" w:color="000000" w:sz="4" w:space="0"/>
              <w:right w:val="single" w:color="000000" w:sz="4" w:space="0"/>
            </w:tcBorders>
            <w:noWrap w:val="0"/>
            <w:tcMar>
              <w:top w:w="12" w:type="dxa"/>
              <w:left w:w="12" w:type="dxa"/>
              <w:right w:w="12" w:type="dxa"/>
            </w:tcMar>
            <w:vAlign w:val="center"/>
          </w:tcPr>
          <w:p w14:paraId="02DC4DA0">
            <w:pPr>
              <w:jc w:val="center"/>
              <w:rPr>
                <w:rFonts w:hint="eastAsia" w:ascii="宋体" w:hAnsi="宋体" w:eastAsia="宋体" w:cs="宋体"/>
                <w:color w:val="000000"/>
                <w:sz w:val="24"/>
                <w:szCs w:val="24"/>
              </w:rPr>
            </w:pPr>
          </w:p>
        </w:tc>
      </w:tr>
    </w:tbl>
    <w:p w14:paraId="28DBB797">
      <w:pPr>
        <w:widowControl/>
        <w:spacing w:line="500" w:lineRule="exact"/>
        <w:jc w:val="left"/>
        <w:textAlignment w:val="top"/>
        <w:rPr>
          <w:rFonts w:hint="default" w:ascii="宋体" w:hAnsi="宋体" w:eastAsia="宋体" w:cs="宋体"/>
          <w:color w:val="000000"/>
          <w:kern w:val="0"/>
          <w:sz w:val="24"/>
          <w:szCs w:val="24"/>
          <w:lang w:val="en-US" w:eastAsia="zh-CN"/>
        </w:rPr>
      </w:pPr>
    </w:p>
    <w:p w14:paraId="4B0E92D6">
      <w:pPr>
        <w:rPr>
          <w:rFonts w:hint="eastAsia" w:ascii="宋体" w:hAnsi="宋体" w:eastAsia="宋体" w:cs="宋体"/>
          <w:b w:val="0"/>
          <w:bCs w:val="0"/>
          <w:kern w:val="0"/>
          <w:sz w:val="24"/>
          <w:szCs w:val="24"/>
          <w:highlight w:val="none"/>
          <w:lang w:val="en-US" w:eastAsia="zh-CN"/>
        </w:rPr>
      </w:pPr>
    </w:p>
    <w:p w14:paraId="527E19FE">
      <w:pPr>
        <w:rPr>
          <w:rFonts w:hint="eastAsia" w:ascii="宋体" w:hAnsi="宋体" w:eastAsia="宋体" w:cs="宋体"/>
          <w:b w:val="0"/>
          <w:bCs w:val="0"/>
          <w:kern w:val="0"/>
          <w:sz w:val="24"/>
          <w:szCs w:val="24"/>
          <w:highlight w:val="none"/>
          <w:lang w:val="en-US" w:eastAsia="zh-CN"/>
        </w:rPr>
      </w:pPr>
    </w:p>
    <w:p w14:paraId="49824D50">
      <w:pPr>
        <w:rPr>
          <w:rFonts w:hint="eastAsia" w:ascii="宋体" w:hAnsi="宋体" w:eastAsia="宋体" w:cs="宋体"/>
          <w:b w:val="0"/>
          <w:bCs w:val="0"/>
          <w:kern w:val="0"/>
          <w:sz w:val="24"/>
          <w:szCs w:val="24"/>
          <w:highlight w:val="none"/>
          <w:lang w:val="en-US" w:eastAsia="zh-CN"/>
        </w:rPr>
      </w:pPr>
    </w:p>
    <w:p w14:paraId="4EBD6F42">
      <w:pPr>
        <w:rPr>
          <w:rFonts w:hint="eastAsia" w:ascii="宋体" w:hAnsi="宋体" w:eastAsia="宋体" w:cs="宋体"/>
          <w:b w:val="0"/>
          <w:bCs w:val="0"/>
          <w:kern w:val="0"/>
          <w:sz w:val="24"/>
          <w:szCs w:val="24"/>
          <w:highlight w:val="none"/>
          <w:lang w:val="en-US" w:eastAsia="zh-CN"/>
        </w:rPr>
      </w:pPr>
    </w:p>
    <w:p w14:paraId="6E6C31A0">
      <w:pPr>
        <w:rPr>
          <w:rFonts w:hint="eastAsia" w:ascii="宋体" w:hAnsi="宋体" w:eastAsia="宋体" w:cs="宋体"/>
          <w:b w:val="0"/>
          <w:bCs w:val="0"/>
          <w:kern w:val="0"/>
          <w:sz w:val="24"/>
          <w:szCs w:val="24"/>
          <w:highlight w:val="none"/>
          <w:lang w:val="en-US" w:eastAsia="zh-CN"/>
        </w:rPr>
      </w:pPr>
    </w:p>
    <w:p w14:paraId="1E1AF71B">
      <w:pPr>
        <w:rPr>
          <w:rFonts w:hint="eastAsia" w:ascii="宋体" w:hAnsi="宋体" w:eastAsia="宋体" w:cs="宋体"/>
          <w:b w:val="0"/>
          <w:bCs w:val="0"/>
          <w:kern w:val="0"/>
          <w:sz w:val="24"/>
          <w:szCs w:val="24"/>
          <w:highlight w:val="none"/>
          <w:lang w:val="en-US" w:eastAsia="zh-CN"/>
        </w:rPr>
      </w:pPr>
    </w:p>
    <w:p w14:paraId="21B051A4">
      <w:pPr>
        <w:rPr>
          <w:rFonts w:hint="eastAsia" w:ascii="宋体" w:hAnsi="宋体" w:eastAsia="宋体" w:cs="宋体"/>
          <w:b w:val="0"/>
          <w:bCs w:val="0"/>
          <w:kern w:val="0"/>
          <w:sz w:val="24"/>
          <w:szCs w:val="24"/>
          <w:highlight w:val="none"/>
          <w:lang w:val="en-US" w:eastAsia="zh-CN"/>
        </w:rPr>
      </w:pPr>
    </w:p>
    <w:p w14:paraId="6555F9D4">
      <w:pPr>
        <w:rPr>
          <w:rFonts w:hint="eastAsia" w:ascii="宋体" w:hAnsi="宋体" w:eastAsia="宋体" w:cs="宋体"/>
          <w:b w:val="0"/>
          <w:bCs w:val="0"/>
          <w:kern w:val="0"/>
          <w:sz w:val="24"/>
          <w:szCs w:val="24"/>
          <w:highlight w:val="none"/>
          <w:lang w:val="en-US" w:eastAsia="zh-CN"/>
        </w:rPr>
      </w:pPr>
    </w:p>
    <w:p w14:paraId="0998D1EE">
      <w:pPr>
        <w:rPr>
          <w:rFonts w:hint="eastAsia" w:ascii="宋体" w:hAnsi="宋体" w:eastAsia="宋体" w:cs="宋体"/>
          <w:b w:val="0"/>
          <w:bCs w:val="0"/>
          <w:kern w:val="0"/>
          <w:sz w:val="24"/>
          <w:szCs w:val="24"/>
          <w:highlight w:val="none"/>
          <w:lang w:val="en-US" w:eastAsia="zh-CN"/>
        </w:rPr>
      </w:pPr>
    </w:p>
    <w:p w14:paraId="727F8413">
      <w:pPr>
        <w:rPr>
          <w:rFonts w:hint="eastAsia" w:ascii="宋体" w:hAnsi="宋体" w:eastAsia="宋体" w:cs="宋体"/>
          <w:b w:val="0"/>
          <w:bCs w:val="0"/>
          <w:kern w:val="0"/>
          <w:sz w:val="24"/>
          <w:szCs w:val="24"/>
          <w:highlight w:val="none"/>
          <w:lang w:val="en-US" w:eastAsia="zh-CN"/>
        </w:rPr>
      </w:pPr>
    </w:p>
    <w:p w14:paraId="08DE0127">
      <w:pPr>
        <w:rPr>
          <w:rFonts w:hint="eastAsia" w:ascii="宋体" w:hAnsi="宋体" w:eastAsia="宋体" w:cs="宋体"/>
          <w:b w:val="0"/>
          <w:bCs w:val="0"/>
          <w:kern w:val="0"/>
          <w:sz w:val="24"/>
          <w:szCs w:val="24"/>
          <w:highlight w:val="none"/>
          <w:lang w:val="en-US" w:eastAsia="zh-CN"/>
        </w:rPr>
      </w:pPr>
    </w:p>
    <w:p w14:paraId="2B6B8BBA">
      <w:pPr>
        <w:rPr>
          <w:rFonts w:hint="eastAsia" w:ascii="宋体" w:hAnsi="宋体" w:eastAsia="宋体" w:cs="宋体"/>
          <w:b w:val="0"/>
          <w:bCs w:val="0"/>
          <w:kern w:val="0"/>
          <w:sz w:val="24"/>
          <w:szCs w:val="24"/>
          <w:highlight w:val="none"/>
          <w:lang w:val="en-US" w:eastAsia="zh-CN"/>
        </w:rPr>
      </w:pPr>
    </w:p>
    <w:p w14:paraId="3A8F814D">
      <w:pPr>
        <w:rPr>
          <w:rFonts w:hint="eastAsia" w:ascii="宋体" w:hAnsi="宋体" w:eastAsia="宋体" w:cs="宋体"/>
          <w:b w:val="0"/>
          <w:bCs w:val="0"/>
          <w:kern w:val="0"/>
          <w:sz w:val="24"/>
          <w:szCs w:val="24"/>
          <w:highlight w:val="none"/>
          <w:lang w:val="en-US" w:eastAsia="zh-CN"/>
        </w:rPr>
      </w:pPr>
    </w:p>
    <w:p w14:paraId="249614AA">
      <w:pPr>
        <w:rPr>
          <w:rFonts w:hint="eastAsia" w:ascii="宋体" w:hAnsi="宋体" w:eastAsia="宋体" w:cs="宋体"/>
          <w:b w:val="0"/>
          <w:bCs w:val="0"/>
          <w:kern w:val="0"/>
          <w:sz w:val="24"/>
          <w:szCs w:val="24"/>
          <w:highlight w:val="none"/>
          <w:lang w:val="en-US" w:eastAsia="zh-CN"/>
        </w:rPr>
      </w:pPr>
    </w:p>
    <w:p w14:paraId="67D217EB">
      <w:pPr>
        <w:rPr>
          <w:rFonts w:hint="eastAsia" w:ascii="宋体" w:hAnsi="宋体" w:eastAsia="宋体" w:cs="宋体"/>
          <w:b w:val="0"/>
          <w:bCs w:val="0"/>
          <w:kern w:val="0"/>
          <w:sz w:val="24"/>
          <w:szCs w:val="24"/>
          <w:highlight w:val="none"/>
          <w:lang w:val="en-US" w:eastAsia="zh-CN"/>
        </w:rPr>
      </w:pPr>
    </w:p>
    <w:p w14:paraId="26E41E9D">
      <w:pPr>
        <w:rPr>
          <w:rFonts w:hint="eastAsia" w:ascii="宋体" w:hAnsi="宋体" w:eastAsia="宋体" w:cs="宋体"/>
          <w:b w:val="0"/>
          <w:bCs w:val="0"/>
          <w:kern w:val="0"/>
          <w:sz w:val="24"/>
          <w:szCs w:val="24"/>
          <w:highlight w:val="none"/>
          <w:lang w:val="en-US" w:eastAsia="zh-CN"/>
        </w:rPr>
      </w:pPr>
    </w:p>
    <w:p w14:paraId="4192DA84">
      <w:pPr>
        <w:pStyle w:val="12"/>
        <w:shd w:val="clear"/>
        <w:kinsoku w:val="0"/>
        <w:overflowPunct w:val="0"/>
        <w:spacing w:before="8"/>
        <w:ind w:left="0"/>
        <w:rPr>
          <w:rFonts w:hint="eastAsia"/>
          <w:sz w:val="18"/>
          <w:szCs w:val="24"/>
        </w:rPr>
      </w:pPr>
    </w:p>
    <w:p w14:paraId="31C7C72C">
      <w:pPr>
        <w:pStyle w:val="12"/>
        <w:shd w:val="clear"/>
        <w:tabs>
          <w:tab w:val="left" w:pos="6607"/>
          <w:tab w:val="left" w:pos="7087"/>
          <w:tab w:val="left" w:pos="7687"/>
        </w:tabs>
        <w:kinsoku w:val="0"/>
        <w:overflowPunct w:val="0"/>
        <w:spacing w:before="0" w:line="352" w:lineRule="auto"/>
        <w:ind w:right="437" w:firstLine="1440" w:firstLineChars="600"/>
        <w:rPr>
          <w:rFonts w:hint="eastAsia"/>
          <w:sz w:val="24"/>
          <w:szCs w:val="24"/>
        </w:rPr>
      </w:pPr>
      <w:r>
        <w:rPr>
          <w:rFonts w:hint="eastAsia"/>
          <w:sz w:val="24"/>
          <w:szCs w:val="24"/>
          <w:lang w:eastAsia="zh-CN"/>
        </w:rPr>
        <w:t>投标人</w:t>
      </w:r>
      <w:r>
        <w:rPr>
          <w:rFonts w:hint="eastAsia"/>
          <w:sz w:val="24"/>
          <w:szCs w:val="24"/>
        </w:rPr>
        <w:t xml:space="preserve">名称(盖章)： </w:t>
      </w:r>
    </w:p>
    <w:p w14:paraId="5277AF5E">
      <w:pPr>
        <w:pStyle w:val="12"/>
        <w:shd w:val="clear"/>
        <w:tabs>
          <w:tab w:val="left" w:pos="6607"/>
          <w:tab w:val="left" w:pos="7087"/>
          <w:tab w:val="left" w:pos="7687"/>
        </w:tabs>
        <w:kinsoku w:val="0"/>
        <w:overflowPunct w:val="0"/>
        <w:spacing w:before="0" w:line="352" w:lineRule="auto"/>
        <w:ind w:right="437" w:firstLine="1200" w:firstLineChars="500"/>
        <w:rPr>
          <w:rFonts w:hint="eastAsia"/>
          <w:sz w:val="24"/>
          <w:szCs w:val="24"/>
        </w:rPr>
      </w:pPr>
      <w:r>
        <w:rPr>
          <w:rFonts w:hint="eastAsia"/>
          <w:sz w:val="24"/>
          <w:szCs w:val="24"/>
        </w:rPr>
        <w:t xml:space="preserve">法定代表人（或负责人）或授权委托人（签字或盖章）:  </w:t>
      </w:r>
    </w:p>
    <w:p w14:paraId="3825A2FD">
      <w:pPr>
        <w:pStyle w:val="12"/>
        <w:shd w:val="clear"/>
        <w:tabs>
          <w:tab w:val="left" w:pos="6607"/>
          <w:tab w:val="left" w:pos="7087"/>
          <w:tab w:val="left" w:pos="7687"/>
        </w:tabs>
        <w:kinsoku w:val="0"/>
        <w:overflowPunct w:val="0"/>
        <w:spacing w:before="0" w:line="352" w:lineRule="auto"/>
        <w:ind w:right="437" w:firstLine="1440" w:firstLineChars="600"/>
        <w:rPr>
          <w:rFonts w:hint="eastAsia"/>
          <w:sz w:val="24"/>
          <w:szCs w:val="24"/>
        </w:rPr>
      </w:pPr>
      <w:r>
        <w:rPr>
          <w:rFonts w:hint="eastAsia"/>
          <w:sz w:val="24"/>
          <w:szCs w:val="24"/>
        </w:rPr>
        <w:t>日期：年</w:t>
      </w:r>
      <w:r>
        <w:rPr>
          <w:rFonts w:hint="eastAsia"/>
          <w:sz w:val="24"/>
          <w:szCs w:val="24"/>
          <w:lang w:val="en-US" w:eastAsia="zh-CN"/>
        </w:rPr>
        <w:t xml:space="preserve"> </w:t>
      </w:r>
      <w:r>
        <w:rPr>
          <w:rFonts w:hint="eastAsia"/>
          <w:sz w:val="24"/>
          <w:szCs w:val="24"/>
        </w:rPr>
        <w:t>月</w:t>
      </w:r>
      <w:r>
        <w:rPr>
          <w:rFonts w:hint="eastAsia"/>
          <w:sz w:val="24"/>
          <w:szCs w:val="24"/>
          <w:lang w:val="en-US" w:eastAsia="zh-CN"/>
        </w:rPr>
        <w:t xml:space="preserve"> </w:t>
      </w:r>
      <w:r>
        <w:rPr>
          <w:rFonts w:hint="eastAsia"/>
          <w:sz w:val="24"/>
          <w:szCs w:val="24"/>
        </w:rPr>
        <w:t>日</w:t>
      </w:r>
    </w:p>
    <w:p w14:paraId="7AD6D365">
      <w:pPr>
        <w:pStyle w:val="12"/>
        <w:shd w:val="clear"/>
        <w:tabs>
          <w:tab w:val="left" w:pos="6607"/>
          <w:tab w:val="left" w:pos="7087"/>
          <w:tab w:val="left" w:pos="7687"/>
        </w:tabs>
        <w:kinsoku w:val="0"/>
        <w:overflowPunct w:val="0"/>
        <w:spacing w:before="0" w:line="352" w:lineRule="auto"/>
        <w:ind w:left="5408" w:right="437"/>
        <w:rPr>
          <w:rFonts w:hint="eastAsia"/>
          <w:sz w:val="24"/>
          <w:szCs w:val="24"/>
        </w:rPr>
      </w:pPr>
    </w:p>
    <w:p w14:paraId="464BE483">
      <w:pPr>
        <w:rPr>
          <w:rFonts w:hint="eastAsia"/>
          <w:sz w:val="24"/>
          <w:szCs w:val="24"/>
        </w:rPr>
      </w:pPr>
    </w:p>
    <w:p w14:paraId="5038E3FA">
      <w:pPr>
        <w:rPr>
          <w:rFonts w:hint="eastAsia"/>
          <w:sz w:val="24"/>
          <w:szCs w:val="24"/>
        </w:rPr>
      </w:pPr>
    </w:p>
    <w:p w14:paraId="061BD715">
      <w:pPr>
        <w:rPr>
          <w:rFonts w:hint="eastAsia"/>
          <w:sz w:val="24"/>
          <w:szCs w:val="24"/>
        </w:rPr>
      </w:pPr>
    </w:p>
    <w:p w14:paraId="30C8A6D3">
      <w:pPr>
        <w:rPr>
          <w:rFonts w:hint="eastAsia"/>
          <w:sz w:val="24"/>
          <w:szCs w:val="24"/>
        </w:rPr>
      </w:pPr>
    </w:p>
    <w:p w14:paraId="3F5E9432">
      <w:pPr>
        <w:rPr>
          <w:rFonts w:hint="eastAsia"/>
          <w:sz w:val="24"/>
          <w:szCs w:val="24"/>
        </w:rPr>
      </w:pPr>
    </w:p>
    <w:p w14:paraId="1FC4B6FD">
      <w:pPr>
        <w:rPr>
          <w:rFonts w:hint="eastAsia"/>
          <w:sz w:val="24"/>
          <w:szCs w:val="24"/>
        </w:rPr>
      </w:pPr>
    </w:p>
    <w:p w14:paraId="4BC3B1D1">
      <w:pPr>
        <w:rPr>
          <w:rFonts w:hint="eastAsia"/>
          <w:sz w:val="24"/>
          <w:szCs w:val="24"/>
        </w:rPr>
      </w:pPr>
    </w:p>
    <w:p w14:paraId="0E4DE558">
      <w:pPr>
        <w:rPr>
          <w:rFonts w:hint="eastAsia"/>
          <w:sz w:val="24"/>
          <w:szCs w:val="24"/>
        </w:rPr>
      </w:pPr>
    </w:p>
    <w:p w14:paraId="173A7F52">
      <w:pPr>
        <w:rPr>
          <w:rFonts w:hint="eastAsia"/>
          <w:sz w:val="24"/>
          <w:szCs w:val="24"/>
        </w:rPr>
      </w:pPr>
    </w:p>
    <w:p w14:paraId="2131F4A6">
      <w:pPr>
        <w:rPr>
          <w:rFonts w:hint="eastAsia"/>
          <w:sz w:val="24"/>
          <w:szCs w:val="24"/>
        </w:rPr>
      </w:pPr>
    </w:p>
    <w:p w14:paraId="6225DA92">
      <w:pPr>
        <w:rPr>
          <w:rFonts w:hint="eastAsia"/>
          <w:sz w:val="24"/>
          <w:szCs w:val="24"/>
        </w:rPr>
      </w:pPr>
    </w:p>
    <w:p w14:paraId="3DB71088">
      <w:pPr>
        <w:rPr>
          <w:rFonts w:hint="eastAsia"/>
          <w:sz w:val="24"/>
          <w:szCs w:val="24"/>
        </w:rPr>
      </w:pPr>
    </w:p>
    <w:p w14:paraId="3CA2F538">
      <w:pPr>
        <w:rPr>
          <w:rFonts w:hint="eastAsia"/>
          <w:sz w:val="24"/>
          <w:szCs w:val="24"/>
        </w:rPr>
      </w:pPr>
    </w:p>
    <w:p w14:paraId="19CA77F4">
      <w:pPr>
        <w:rPr>
          <w:rFonts w:hint="eastAsia"/>
          <w:sz w:val="24"/>
          <w:szCs w:val="24"/>
        </w:rPr>
      </w:pPr>
    </w:p>
    <w:p w14:paraId="23634267">
      <w:pPr>
        <w:rPr>
          <w:rFonts w:hint="eastAsia"/>
          <w:sz w:val="24"/>
          <w:szCs w:val="24"/>
        </w:rPr>
      </w:pPr>
    </w:p>
    <w:p w14:paraId="6121F4AB">
      <w:pPr>
        <w:rPr>
          <w:rFonts w:hint="eastAsia"/>
          <w:sz w:val="24"/>
          <w:szCs w:val="24"/>
        </w:rPr>
      </w:pPr>
    </w:p>
    <w:p w14:paraId="0ACF4F16">
      <w:pPr>
        <w:rPr>
          <w:rFonts w:hint="eastAsia"/>
          <w:sz w:val="24"/>
          <w:szCs w:val="24"/>
        </w:rPr>
      </w:pPr>
    </w:p>
    <w:p w14:paraId="23E63CDF">
      <w:pPr>
        <w:pStyle w:val="8"/>
        <w:numPr>
          <w:ilvl w:val="0"/>
          <w:numId w:val="0"/>
        </w:numPr>
        <w:ind w:firstLine="964" w:firstLineChars="300"/>
        <w:jc w:val="center"/>
        <w:rPr>
          <w:rFonts w:hint="eastAsia" w:ascii="宋体" w:hAnsi="宋体" w:eastAsia="宋体" w:cs="宋体"/>
          <w:b/>
          <w:bCs/>
          <w:kern w:val="2"/>
          <w:sz w:val="32"/>
          <w:szCs w:val="32"/>
          <w:lang w:val="en-US" w:eastAsia="zh-CN" w:bidi="ar-SA"/>
        </w:rPr>
      </w:pPr>
      <w:r>
        <w:rPr>
          <w:rFonts w:hint="eastAsia" w:ascii="宋体" w:hAnsi="宋体" w:cs="宋体"/>
          <w:b/>
          <w:bCs/>
          <w:kern w:val="2"/>
          <w:sz w:val="32"/>
          <w:szCs w:val="32"/>
          <w:lang w:val="en-US" w:eastAsia="zh-CN" w:bidi="ar-SA"/>
        </w:rPr>
        <w:t>6、</w:t>
      </w:r>
      <w:r>
        <w:rPr>
          <w:rFonts w:hint="eastAsia" w:ascii="宋体" w:hAnsi="宋体" w:eastAsia="宋体" w:cs="宋体"/>
          <w:b/>
          <w:bCs/>
          <w:kern w:val="2"/>
          <w:sz w:val="32"/>
          <w:szCs w:val="32"/>
          <w:lang w:val="en-US" w:eastAsia="zh-CN" w:bidi="ar-SA"/>
        </w:rPr>
        <w:t>经营状况（单位：万元）</w:t>
      </w:r>
    </w:p>
    <w:p w14:paraId="777B4E50">
      <w:pPr>
        <w:numPr>
          <w:ilvl w:val="0"/>
          <w:numId w:val="0"/>
        </w:numPr>
        <w:rPr>
          <w:rFonts w:hint="eastAsia" w:ascii="宋体" w:hAnsi="宋体" w:eastAsia="宋体" w:cs="宋体"/>
          <w:lang w:val="en-US" w:eastAsia="zh-CN"/>
        </w:rPr>
      </w:pPr>
    </w:p>
    <w:tbl>
      <w:tblPr>
        <w:tblStyle w:val="40"/>
        <w:tblpPr w:leftFromText="180" w:rightFromText="180" w:vertAnchor="text" w:horzAnchor="page" w:tblpX="1164" w:tblpY="186"/>
        <w:tblOverlap w:val="never"/>
        <w:tblW w:w="8938" w:type="dxa"/>
        <w:tblInd w:w="0" w:type="dxa"/>
        <w:tblLayout w:type="fixed"/>
        <w:tblCellMar>
          <w:top w:w="0" w:type="dxa"/>
          <w:left w:w="0" w:type="dxa"/>
          <w:bottom w:w="0" w:type="dxa"/>
          <w:right w:w="0" w:type="dxa"/>
        </w:tblCellMar>
      </w:tblPr>
      <w:tblGrid>
        <w:gridCol w:w="1453"/>
        <w:gridCol w:w="1365"/>
        <w:gridCol w:w="1861"/>
        <w:gridCol w:w="1574"/>
        <w:gridCol w:w="1665"/>
        <w:gridCol w:w="1020"/>
      </w:tblGrid>
      <w:tr w14:paraId="389781E8">
        <w:tblPrEx>
          <w:tblCellMar>
            <w:top w:w="0" w:type="dxa"/>
            <w:left w:w="0" w:type="dxa"/>
            <w:bottom w:w="0" w:type="dxa"/>
            <w:right w:w="0" w:type="dxa"/>
          </w:tblCellMar>
        </w:tblPrEx>
        <w:trPr>
          <w:trHeight w:val="989" w:hRule="atLeast"/>
        </w:trPr>
        <w:tc>
          <w:tcPr>
            <w:tcW w:w="1453" w:type="dxa"/>
            <w:tcBorders>
              <w:top w:val="single" w:color="000000" w:sz="4" w:space="0"/>
              <w:left w:val="single" w:color="000000" w:sz="4" w:space="0"/>
              <w:bottom w:val="single" w:color="000000" w:sz="4" w:space="0"/>
              <w:right w:val="single" w:color="auto" w:sz="4" w:space="0"/>
            </w:tcBorders>
            <w:noWrap w:val="0"/>
            <w:tcMar>
              <w:top w:w="12" w:type="dxa"/>
              <w:left w:w="12" w:type="dxa"/>
              <w:right w:w="12" w:type="dxa"/>
            </w:tcMar>
            <w:vAlign w:val="center"/>
          </w:tcPr>
          <w:p w14:paraId="5FBC5266">
            <w:pPr>
              <w:widowControl/>
              <w:jc w:val="both"/>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指标名称</w:t>
            </w:r>
          </w:p>
        </w:tc>
        <w:tc>
          <w:tcPr>
            <w:tcW w:w="1365" w:type="dxa"/>
            <w:tcBorders>
              <w:top w:val="single" w:color="000000" w:sz="4" w:space="0"/>
              <w:left w:val="single" w:color="auto" w:sz="4" w:space="0"/>
              <w:bottom w:val="single" w:color="000000" w:sz="4" w:space="0"/>
              <w:right w:val="single" w:color="000000" w:sz="4" w:space="0"/>
            </w:tcBorders>
            <w:noWrap w:val="0"/>
            <w:tcMar>
              <w:top w:w="12" w:type="dxa"/>
              <w:left w:w="12" w:type="dxa"/>
              <w:right w:w="12" w:type="dxa"/>
            </w:tcMar>
            <w:vAlign w:val="center"/>
          </w:tcPr>
          <w:p w14:paraId="2A2C64E7">
            <w:pPr>
              <w:widowControl/>
              <w:jc w:val="center"/>
              <w:textAlignment w:val="center"/>
              <w:rPr>
                <w:rFonts w:hint="eastAsia" w:ascii="宋体" w:hAnsi="宋体" w:eastAsia="宋体" w:cs="宋体"/>
                <w:sz w:val="24"/>
                <w:szCs w:val="24"/>
                <w:highlight w:val="none"/>
              </w:rPr>
            </w:pPr>
            <w:r>
              <w:rPr>
                <w:rFonts w:hint="eastAsia" w:ascii="宋体" w:hAnsi="宋体" w:eastAsia="宋体" w:cs="宋体"/>
                <w:kern w:val="0"/>
                <w:sz w:val="22"/>
                <w:szCs w:val="22"/>
                <w:highlight w:val="none"/>
                <w:lang w:val="en-US" w:eastAsia="zh-CN"/>
              </w:rPr>
              <w:t>不良贷款率</w:t>
            </w:r>
          </w:p>
        </w:tc>
        <w:tc>
          <w:tcPr>
            <w:tcW w:w="1861" w:type="dxa"/>
            <w:tcBorders>
              <w:top w:val="single" w:color="000000" w:sz="4" w:space="0"/>
              <w:left w:val="single" w:color="000000" w:sz="4" w:space="0"/>
              <w:bottom w:val="single" w:color="000000" w:sz="4" w:space="0"/>
              <w:right w:val="single" w:color="000000" w:sz="4" w:space="0"/>
            </w:tcBorders>
            <w:noWrap w:val="0"/>
            <w:tcMar>
              <w:top w:w="12" w:type="dxa"/>
              <w:left w:w="12" w:type="dxa"/>
              <w:right w:w="12" w:type="dxa"/>
            </w:tcMar>
            <w:vAlign w:val="center"/>
          </w:tcPr>
          <w:p w14:paraId="0635C475">
            <w:pPr>
              <w:widowControl/>
              <w:jc w:val="center"/>
              <w:textAlignment w:val="center"/>
              <w:rPr>
                <w:rFonts w:hint="eastAsia" w:ascii="宋体" w:hAnsi="宋体" w:eastAsia="宋体" w:cs="宋体"/>
                <w:color w:val="000000"/>
                <w:sz w:val="24"/>
                <w:szCs w:val="24"/>
                <w:highlight w:val="none"/>
              </w:rPr>
            </w:pPr>
            <w:r>
              <w:rPr>
                <w:rFonts w:hint="eastAsia" w:ascii="宋体" w:hAnsi="宋体" w:eastAsia="宋体" w:cs="宋体"/>
                <w:kern w:val="0"/>
                <w:sz w:val="22"/>
                <w:szCs w:val="22"/>
                <w:highlight w:val="none"/>
                <w:lang w:val="en-US" w:eastAsia="zh-CN"/>
              </w:rPr>
              <w:t>逾期贷款比率</w:t>
            </w:r>
          </w:p>
        </w:tc>
        <w:tc>
          <w:tcPr>
            <w:tcW w:w="1574" w:type="dxa"/>
            <w:tcBorders>
              <w:top w:val="single" w:color="000000" w:sz="4" w:space="0"/>
              <w:left w:val="single" w:color="000000" w:sz="4" w:space="0"/>
              <w:bottom w:val="single" w:color="000000" w:sz="4" w:space="0"/>
              <w:right w:val="single" w:color="000000" w:sz="4" w:space="0"/>
            </w:tcBorders>
            <w:noWrap w:val="0"/>
            <w:tcMar>
              <w:top w:w="12" w:type="dxa"/>
              <w:left w:w="12" w:type="dxa"/>
              <w:right w:w="12" w:type="dxa"/>
            </w:tcMar>
            <w:vAlign w:val="center"/>
          </w:tcPr>
          <w:p w14:paraId="73005643">
            <w:pPr>
              <w:widowControl/>
              <w:jc w:val="center"/>
              <w:textAlignment w:val="center"/>
              <w:rPr>
                <w:rFonts w:hint="eastAsia" w:ascii="宋体" w:hAnsi="宋体" w:eastAsia="宋体" w:cs="宋体"/>
                <w:color w:val="000000"/>
                <w:sz w:val="24"/>
                <w:szCs w:val="24"/>
                <w:highlight w:val="none"/>
              </w:rPr>
            </w:pPr>
            <w:r>
              <w:rPr>
                <w:rFonts w:hint="eastAsia" w:ascii="宋体" w:hAnsi="宋体" w:eastAsia="宋体" w:cs="宋体"/>
                <w:kern w:val="0"/>
                <w:sz w:val="22"/>
                <w:szCs w:val="22"/>
                <w:highlight w:val="none"/>
                <w:lang w:val="en-US" w:eastAsia="zh-CN"/>
              </w:rPr>
              <w:t>资产利润率</w:t>
            </w:r>
          </w:p>
        </w:tc>
        <w:tc>
          <w:tcPr>
            <w:tcW w:w="1665" w:type="dxa"/>
            <w:tcBorders>
              <w:top w:val="single" w:color="000000" w:sz="4" w:space="0"/>
              <w:left w:val="single" w:color="000000" w:sz="4" w:space="0"/>
              <w:bottom w:val="single" w:color="000000" w:sz="4" w:space="0"/>
              <w:right w:val="single" w:color="000000" w:sz="4" w:space="0"/>
            </w:tcBorders>
            <w:noWrap w:val="0"/>
            <w:tcMar>
              <w:top w:w="12" w:type="dxa"/>
              <w:left w:w="12" w:type="dxa"/>
              <w:right w:w="12" w:type="dxa"/>
            </w:tcMar>
            <w:vAlign w:val="center"/>
          </w:tcPr>
          <w:p w14:paraId="786A650A">
            <w:pPr>
              <w:widowControl/>
              <w:jc w:val="center"/>
              <w:textAlignment w:val="center"/>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eastAsia="zh-CN"/>
              </w:rPr>
              <w:t>贷款余额</w:t>
            </w:r>
          </w:p>
        </w:tc>
        <w:tc>
          <w:tcPr>
            <w:tcW w:w="1020" w:type="dxa"/>
            <w:tcBorders>
              <w:top w:val="single" w:color="000000" w:sz="4" w:space="0"/>
              <w:left w:val="single" w:color="000000" w:sz="4" w:space="0"/>
              <w:bottom w:val="single" w:color="000000" w:sz="4" w:space="0"/>
              <w:right w:val="single" w:color="000000" w:sz="4" w:space="0"/>
            </w:tcBorders>
            <w:noWrap w:val="0"/>
            <w:tcMar>
              <w:top w:w="12" w:type="dxa"/>
              <w:left w:w="12" w:type="dxa"/>
              <w:right w:w="12" w:type="dxa"/>
            </w:tcMar>
            <w:vAlign w:val="center"/>
          </w:tcPr>
          <w:p w14:paraId="14986794">
            <w:pPr>
              <w:widowControl/>
              <w:jc w:val="center"/>
              <w:textAlignment w:val="center"/>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eastAsia="zh-CN"/>
              </w:rPr>
              <w:t>备注</w:t>
            </w:r>
          </w:p>
        </w:tc>
      </w:tr>
      <w:tr w14:paraId="78517BD9">
        <w:tblPrEx>
          <w:tblCellMar>
            <w:top w:w="0" w:type="dxa"/>
            <w:left w:w="0" w:type="dxa"/>
            <w:bottom w:w="0" w:type="dxa"/>
            <w:right w:w="0" w:type="dxa"/>
          </w:tblCellMar>
        </w:tblPrEx>
        <w:trPr>
          <w:trHeight w:val="989" w:hRule="atLeast"/>
        </w:trPr>
        <w:tc>
          <w:tcPr>
            <w:tcW w:w="1453" w:type="dxa"/>
            <w:tcBorders>
              <w:top w:val="single" w:color="000000" w:sz="4" w:space="0"/>
              <w:left w:val="single" w:color="000000" w:sz="4" w:space="0"/>
              <w:bottom w:val="single" w:color="000000" w:sz="4" w:space="0"/>
              <w:right w:val="single" w:color="auto" w:sz="4" w:space="0"/>
            </w:tcBorders>
            <w:noWrap w:val="0"/>
            <w:tcMar>
              <w:top w:w="12" w:type="dxa"/>
              <w:left w:w="12" w:type="dxa"/>
              <w:right w:w="12" w:type="dxa"/>
            </w:tcMar>
            <w:vAlign w:val="center"/>
          </w:tcPr>
          <w:p w14:paraId="1C730E9B">
            <w:pPr>
              <w:widowControl/>
              <w:jc w:val="center"/>
              <w:textAlignment w:val="center"/>
              <w:rPr>
                <w:rFonts w:hint="eastAsia" w:ascii="宋体" w:hAnsi="宋体" w:eastAsia="宋体" w:cs="宋体"/>
                <w:color w:val="000000"/>
                <w:sz w:val="24"/>
                <w:szCs w:val="24"/>
                <w:highlight w:val="none"/>
              </w:rPr>
            </w:pPr>
          </w:p>
        </w:tc>
        <w:tc>
          <w:tcPr>
            <w:tcW w:w="1365" w:type="dxa"/>
            <w:tcBorders>
              <w:top w:val="single" w:color="000000" w:sz="4" w:space="0"/>
              <w:left w:val="single" w:color="auto" w:sz="4" w:space="0"/>
              <w:bottom w:val="single" w:color="000000" w:sz="4" w:space="0"/>
              <w:right w:val="single" w:color="000000" w:sz="4" w:space="0"/>
            </w:tcBorders>
            <w:noWrap w:val="0"/>
            <w:tcMar>
              <w:top w:w="12" w:type="dxa"/>
              <w:left w:w="12" w:type="dxa"/>
              <w:right w:w="12" w:type="dxa"/>
            </w:tcMar>
            <w:vAlign w:val="center"/>
          </w:tcPr>
          <w:p w14:paraId="3C205FAD">
            <w:pPr>
              <w:widowControl/>
              <w:jc w:val="center"/>
              <w:textAlignment w:val="center"/>
              <w:rPr>
                <w:rFonts w:hint="eastAsia" w:ascii="宋体" w:hAnsi="宋体" w:eastAsia="宋体" w:cs="宋体"/>
                <w:kern w:val="0"/>
                <w:sz w:val="22"/>
                <w:szCs w:val="22"/>
                <w:highlight w:val="none"/>
                <w:lang w:val="en-US" w:eastAsia="zh-CN"/>
              </w:rPr>
            </w:pPr>
          </w:p>
        </w:tc>
        <w:tc>
          <w:tcPr>
            <w:tcW w:w="1861" w:type="dxa"/>
            <w:tcBorders>
              <w:top w:val="single" w:color="000000" w:sz="4" w:space="0"/>
              <w:left w:val="single" w:color="000000" w:sz="4" w:space="0"/>
              <w:bottom w:val="single" w:color="000000" w:sz="4" w:space="0"/>
              <w:right w:val="single" w:color="000000" w:sz="4" w:space="0"/>
            </w:tcBorders>
            <w:noWrap w:val="0"/>
            <w:tcMar>
              <w:top w:w="12" w:type="dxa"/>
              <w:left w:w="12" w:type="dxa"/>
              <w:right w:w="12" w:type="dxa"/>
            </w:tcMar>
            <w:vAlign w:val="center"/>
          </w:tcPr>
          <w:p w14:paraId="6D7084BD">
            <w:pPr>
              <w:widowControl/>
              <w:jc w:val="center"/>
              <w:textAlignment w:val="center"/>
              <w:rPr>
                <w:rFonts w:hint="eastAsia" w:ascii="宋体" w:hAnsi="宋体" w:eastAsia="宋体" w:cs="宋体"/>
                <w:kern w:val="0"/>
                <w:sz w:val="22"/>
                <w:szCs w:val="22"/>
                <w:highlight w:val="none"/>
                <w:lang w:val="en-US" w:eastAsia="zh-CN"/>
              </w:rPr>
            </w:pPr>
          </w:p>
        </w:tc>
        <w:tc>
          <w:tcPr>
            <w:tcW w:w="1574" w:type="dxa"/>
            <w:tcBorders>
              <w:top w:val="single" w:color="000000" w:sz="4" w:space="0"/>
              <w:left w:val="single" w:color="000000" w:sz="4" w:space="0"/>
              <w:bottom w:val="single" w:color="000000" w:sz="4" w:space="0"/>
              <w:right w:val="single" w:color="000000" w:sz="4" w:space="0"/>
            </w:tcBorders>
            <w:noWrap w:val="0"/>
            <w:tcMar>
              <w:top w:w="12" w:type="dxa"/>
              <w:left w:w="12" w:type="dxa"/>
              <w:right w:w="12" w:type="dxa"/>
            </w:tcMar>
            <w:vAlign w:val="center"/>
          </w:tcPr>
          <w:p w14:paraId="43367391">
            <w:pPr>
              <w:widowControl/>
              <w:jc w:val="center"/>
              <w:textAlignment w:val="center"/>
              <w:rPr>
                <w:rFonts w:hint="eastAsia" w:ascii="宋体" w:hAnsi="宋体" w:eastAsia="宋体" w:cs="宋体"/>
                <w:kern w:val="0"/>
                <w:sz w:val="22"/>
                <w:szCs w:val="22"/>
                <w:highlight w:val="none"/>
                <w:lang w:val="en-US" w:eastAsia="zh-CN"/>
              </w:rPr>
            </w:pPr>
          </w:p>
        </w:tc>
        <w:tc>
          <w:tcPr>
            <w:tcW w:w="1665" w:type="dxa"/>
            <w:tcBorders>
              <w:top w:val="single" w:color="000000" w:sz="4" w:space="0"/>
              <w:left w:val="single" w:color="000000" w:sz="4" w:space="0"/>
              <w:bottom w:val="single" w:color="000000" w:sz="4" w:space="0"/>
              <w:right w:val="single" w:color="000000" w:sz="4" w:space="0"/>
            </w:tcBorders>
            <w:noWrap w:val="0"/>
            <w:tcMar>
              <w:top w:w="12" w:type="dxa"/>
              <w:left w:w="12" w:type="dxa"/>
              <w:right w:w="12" w:type="dxa"/>
            </w:tcMar>
            <w:vAlign w:val="center"/>
          </w:tcPr>
          <w:p w14:paraId="29A00B9B">
            <w:pPr>
              <w:widowControl/>
              <w:jc w:val="center"/>
              <w:textAlignment w:val="center"/>
              <w:rPr>
                <w:rFonts w:hint="eastAsia" w:ascii="宋体" w:hAnsi="宋体" w:eastAsia="宋体" w:cs="宋体"/>
                <w:color w:val="000000"/>
                <w:sz w:val="24"/>
                <w:szCs w:val="24"/>
                <w:highlight w:val="none"/>
                <w:lang w:eastAsia="zh-CN"/>
              </w:rPr>
            </w:pPr>
          </w:p>
        </w:tc>
        <w:tc>
          <w:tcPr>
            <w:tcW w:w="1020" w:type="dxa"/>
            <w:tcBorders>
              <w:top w:val="single" w:color="000000" w:sz="4" w:space="0"/>
              <w:left w:val="single" w:color="000000" w:sz="4" w:space="0"/>
              <w:bottom w:val="single" w:color="000000" w:sz="4" w:space="0"/>
              <w:right w:val="single" w:color="000000" w:sz="4" w:space="0"/>
            </w:tcBorders>
            <w:noWrap w:val="0"/>
            <w:tcMar>
              <w:top w:w="12" w:type="dxa"/>
              <w:left w:w="12" w:type="dxa"/>
              <w:right w:w="12" w:type="dxa"/>
            </w:tcMar>
            <w:vAlign w:val="center"/>
          </w:tcPr>
          <w:p w14:paraId="2183C8F4">
            <w:pPr>
              <w:widowControl/>
              <w:jc w:val="center"/>
              <w:textAlignment w:val="center"/>
              <w:rPr>
                <w:rFonts w:hint="eastAsia" w:ascii="宋体" w:hAnsi="宋体" w:eastAsia="宋体" w:cs="宋体"/>
                <w:color w:val="000000"/>
                <w:sz w:val="24"/>
                <w:szCs w:val="24"/>
                <w:highlight w:val="none"/>
              </w:rPr>
            </w:pPr>
          </w:p>
        </w:tc>
      </w:tr>
      <w:tr w14:paraId="3414A857">
        <w:tblPrEx>
          <w:tblCellMar>
            <w:top w:w="0" w:type="dxa"/>
            <w:left w:w="0" w:type="dxa"/>
            <w:bottom w:w="0" w:type="dxa"/>
            <w:right w:w="0" w:type="dxa"/>
          </w:tblCellMar>
        </w:tblPrEx>
        <w:trPr>
          <w:trHeight w:val="989" w:hRule="atLeast"/>
        </w:trPr>
        <w:tc>
          <w:tcPr>
            <w:tcW w:w="1453" w:type="dxa"/>
            <w:tcBorders>
              <w:top w:val="single" w:color="000000" w:sz="4" w:space="0"/>
              <w:left w:val="single" w:color="000000" w:sz="4" w:space="0"/>
              <w:bottom w:val="single" w:color="000000" w:sz="4" w:space="0"/>
              <w:right w:val="single" w:color="auto" w:sz="4" w:space="0"/>
            </w:tcBorders>
            <w:noWrap w:val="0"/>
            <w:tcMar>
              <w:top w:w="12" w:type="dxa"/>
              <w:left w:w="12" w:type="dxa"/>
              <w:right w:w="12" w:type="dxa"/>
            </w:tcMar>
            <w:vAlign w:val="center"/>
          </w:tcPr>
          <w:p w14:paraId="0822C5FE">
            <w:pPr>
              <w:widowControl/>
              <w:jc w:val="center"/>
              <w:textAlignment w:val="center"/>
              <w:rPr>
                <w:rFonts w:hint="eastAsia" w:ascii="宋体" w:hAnsi="宋体" w:eastAsia="宋体" w:cs="宋体"/>
                <w:color w:val="000000"/>
                <w:sz w:val="24"/>
                <w:szCs w:val="24"/>
                <w:highlight w:val="none"/>
              </w:rPr>
            </w:pPr>
          </w:p>
        </w:tc>
        <w:tc>
          <w:tcPr>
            <w:tcW w:w="1365" w:type="dxa"/>
            <w:tcBorders>
              <w:top w:val="single" w:color="000000" w:sz="4" w:space="0"/>
              <w:left w:val="single" w:color="auto" w:sz="4" w:space="0"/>
              <w:bottom w:val="single" w:color="000000" w:sz="4" w:space="0"/>
              <w:right w:val="single" w:color="000000" w:sz="4" w:space="0"/>
            </w:tcBorders>
            <w:noWrap w:val="0"/>
            <w:tcMar>
              <w:top w:w="12" w:type="dxa"/>
              <w:left w:w="12" w:type="dxa"/>
              <w:right w:w="12" w:type="dxa"/>
            </w:tcMar>
            <w:vAlign w:val="center"/>
          </w:tcPr>
          <w:p w14:paraId="4ABA8377">
            <w:pPr>
              <w:widowControl/>
              <w:jc w:val="center"/>
              <w:textAlignment w:val="center"/>
              <w:rPr>
                <w:rFonts w:hint="eastAsia" w:ascii="宋体" w:hAnsi="宋体" w:eastAsia="宋体" w:cs="宋体"/>
                <w:kern w:val="0"/>
                <w:sz w:val="22"/>
                <w:szCs w:val="22"/>
                <w:highlight w:val="none"/>
                <w:lang w:val="en-US" w:eastAsia="zh-CN"/>
              </w:rPr>
            </w:pPr>
          </w:p>
        </w:tc>
        <w:tc>
          <w:tcPr>
            <w:tcW w:w="1861" w:type="dxa"/>
            <w:tcBorders>
              <w:top w:val="single" w:color="000000" w:sz="4" w:space="0"/>
              <w:left w:val="single" w:color="000000" w:sz="4" w:space="0"/>
              <w:bottom w:val="single" w:color="000000" w:sz="4" w:space="0"/>
              <w:right w:val="single" w:color="000000" w:sz="4" w:space="0"/>
            </w:tcBorders>
            <w:noWrap w:val="0"/>
            <w:tcMar>
              <w:top w:w="12" w:type="dxa"/>
              <w:left w:w="12" w:type="dxa"/>
              <w:right w:w="12" w:type="dxa"/>
            </w:tcMar>
            <w:vAlign w:val="center"/>
          </w:tcPr>
          <w:p w14:paraId="59C68BE8">
            <w:pPr>
              <w:widowControl/>
              <w:jc w:val="center"/>
              <w:textAlignment w:val="center"/>
              <w:rPr>
                <w:rFonts w:hint="eastAsia" w:ascii="宋体" w:hAnsi="宋体" w:eastAsia="宋体" w:cs="宋体"/>
                <w:kern w:val="0"/>
                <w:sz w:val="22"/>
                <w:szCs w:val="22"/>
                <w:highlight w:val="none"/>
                <w:lang w:val="en-US" w:eastAsia="zh-CN"/>
              </w:rPr>
            </w:pPr>
          </w:p>
        </w:tc>
        <w:tc>
          <w:tcPr>
            <w:tcW w:w="1574" w:type="dxa"/>
            <w:tcBorders>
              <w:top w:val="single" w:color="000000" w:sz="4" w:space="0"/>
              <w:left w:val="single" w:color="000000" w:sz="4" w:space="0"/>
              <w:bottom w:val="single" w:color="000000" w:sz="4" w:space="0"/>
              <w:right w:val="single" w:color="000000" w:sz="4" w:space="0"/>
            </w:tcBorders>
            <w:noWrap w:val="0"/>
            <w:tcMar>
              <w:top w:w="12" w:type="dxa"/>
              <w:left w:w="12" w:type="dxa"/>
              <w:right w:w="12" w:type="dxa"/>
            </w:tcMar>
            <w:vAlign w:val="center"/>
          </w:tcPr>
          <w:p w14:paraId="783D9E27">
            <w:pPr>
              <w:widowControl/>
              <w:jc w:val="center"/>
              <w:textAlignment w:val="center"/>
              <w:rPr>
                <w:rFonts w:hint="eastAsia" w:ascii="宋体" w:hAnsi="宋体" w:eastAsia="宋体" w:cs="宋体"/>
                <w:kern w:val="0"/>
                <w:sz w:val="22"/>
                <w:szCs w:val="22"/>
                <w:highlight w:val="none"/>
                <w:lang w:val="en-US" w:eastAsia="zh-CN"/>
              </w:rPr>
            </w:pPr>
          </w:p>
        </w:tc>
        <w:tc>
          <w:tcPr>
            <w:tcW w:w="1665" w:type="dxa"/>
            <w:tcBorders>
              <w:top w:val="single" w:color="000000" w:sz="4" w:space="0"/>
              <w:left w:val="single" w:color="000000" w:sz="4" w:space="0"/>
              <w:bottom w:val="single" w:color="000000" w:sz="4" w:space="0"/>
              <w:right w:val="single" w:color="000000" w:sz="4" w:space="0"/>
            </w:tcBorders>
            <w:noWrap w:val="0"/>
            <w:tcMar>
              <w:top w:w="12" w:type="dxa"/>
              <w:left w:w="12" w:type="dxa"/>
              <w:right w:w="12" w:type="dxa"/>
            </w:tcMar>
            <w:vAlign w:val="center"/>
          </w:tcPr>
          <w:p w14:paraId="53A4F35D">
            <w:pPr>
              <w:widowControl/>
              <w:jc w:val="center"/>
              <w:textAlignment w:val="center"/>
              <w:rPr>
                <w:rFonts w:hint="eastAsia" w:ascii="宋体" w:hAnsi="宋体" w:eastAsia="宋体" w:cs="宋体"/>
                <w:color w:val="000000"/>
                <w:sz w:val="24"/>
                <w:szCs w:val="24"/>
                <w:highlight w:val="none"/>
                <w:lang w:eastAsia="zh-CN"/>
              </w:rPr>
            </w:pPr>
          </w:p>
        </w:tc>
        <w:tc>
          <w:tcPr>
            <w:tcW w:w="1020" w:type="dxa"/>
            <w:tcBorders>
              <w:top w:val="single" w:color="000000" w:sz="4" w:space="0"/>
              <w:left w:val="single" w:color="000000" w:sz="4" w:space="0"/>
              <w:bottom w:val="single" w:color="000000" w:sz="4" w:space="0"/>
              <w:right w:val="single" w:color="000000" w:sz="4" w:space="0"/>
            </w:tcBorders>
            <w:noWrap w:val="0"/>
            <w:tcMar>
              <w:top w:w="12" w:type="dxa"/>
              <w:left w:w="12" w:type="dxa"/>
              <w:right w:w="12" w:type="dxa"/>
            </w:tcMar>
            <w:vAlign w:val="center"/>
          </w:tcPr>
          <w:p w14:paraId="7E3FFFB8">
            <w:pPr>
              <w:widowControl/>
              <w:jc w:val="center"/>
              <w:textAlignment w:val="center"/>
              <w:rPr>
                <w:rFonts w:hint="eastAsia" w:ascii="宋体" w:hAnsi="宋体" w:eastAsia="宋体" w:cs="宋体"/>
                <w:color w:val="000000"/>
                <w:sz w:val="24"/>
                <w:szCs w:val="24"/>
                <w:highlight w:val="none"/>
              </w:rPr>
            </w:pPr>
          </w:p>
        </w:tc>
      </w:tr>
    </w:tbl>
    <w:p w14:paraId="4E307897">
      <w:pPr>
        <w:rPr>
          <w:rFonts w:hint="eastAsia" w:ascii="宋体" w:hAnsi="宋体" w:eastAsia="宋体" w:cs="宋体"/>
          <w:b/>
          <w:color w:val="000000"/>
          <w:kern w:val="0"/>
          <w:sz w:val="28"/>
          <w:szCs w:val="28"/>
        </w:rPr>
      </w:pPr>
    </w:p>
    <w:p w14:paraId="4B5DC5F6">
      <w:pPr>
        <w:jc w:val="both"/>
        <w:rPr>
          <w:rFonts w:hint="default"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备注：提供202</w:t>
      </w:r>
      <w:r>
        <w:rPr>
          <w:rFonts w:hint="eastAsia" w:ascii="宋体" w:hAnsi="宋体" w:cs="宋体"/>
          <w:b/>
          <w:bCs/>
          <w:color w:val="000000"/>
          <w:sz w:val="24"/>
          <w:szCs w:val="24"/>
          <w:highlight w:val="none"/>
          <w:lang w:val="en-US" w:eastAsia="zh-CN"/>
        </w:rPr>
        <w:t>4</w:t>
      </w:r>
      <w:r>
        <w:rPr>
          <w:rFonts w:hint="eastAsia" w:ascii="宋体" w:hAnsi="宋体" w:eastAsia="宋体" w:cs="宋体"/>
          <w:b/>
          <w:bCs/>
          <w:color w:val="000000"/>
          <w:sz w:val="24"/>
          <w:szCs w:val="24"/>
          <w:highlight w:val="none"/>
          <w:lang w:val="en-US" w:eastAsia="zh-CN"/>
        </w:rPr>
        <w:t>年度</w:t>
      </w:r>
    </w:p>
    <w:p w14:paraId="3D304B9F">
      <w:pPr>
        <w:pStyle w:val="12"/>
        <w:shd w:val="clear"/>
        <w:kinsoku w:val="0"/>
        <w:overflowPunct w:val="0"/>
        <w:spacing w:before="8"/>
        <w:ind w:left="0"/>
        <w:rPr>
          <w:rFonts w:hint="eastAsia"/>
          <w:sz w:val="18"/>
          <w:szCs w:val="24"/>
        </w:rPr>
      </w:pPr>
    </w:p>
    <w:p w14:paraId="1224396B">
      <w:pPr>
        <w:pStyle w:val="12"/>
        <w:shd w:val="clear"/>
        <w:tabs>
          <w:tab w:val="left" w:pos="6607"/>
          <w:tab w:val="left" w:pos="7087"/>
          <w:tab w:val="left" w:pos="7687"/>
        </w:tabs>
        <w:kinsoku w:val="0"/>
        <w:overflowPunct w:val="0"/>
        <w:spacing w:before="0" w:line="352" w:lineRule="auto"/>
        <w:ind w:left="5408" w:right="437"/>
        <w:rPr>
          <w:rFonts w:hint="eastAsia"/>
          <w:sz w:val="24"/>
          <w:szCs w:val="24"/>
        </w:rPr>
      </w:pPr>
    </w:p>
    <w:p w14:paraId="2DD69300">
      <w:pPr>
        <w:pStyle w:val="12"/>
        <w:shd w:val="clear"/>
        <w:tabs>
          <w:tab w:val="left" w:pos="6607"/>
          <w:tab w:val="left" w:pos="7087"/>
          <w:tab w:val="left" w:pos="7687"/>
        </w:tabs>
        <w:kinsoku w:val="0"/>
        <w:overflowPunct w:val="0"/>
        <w:spacing w:before="0" w:line="352" w:lineRule="auto"/>
        <w:ind w:left="5408" w:right="437"/>
        <w:rPr>
          <w:rFonts w:hint="eastAsia"/>
          <w:sz w:val="24"/>
          <w:szCs w:val="24"/>
        </w:rPr>
      </w:pPr>
      <w:r>
        <w:rPr>
          <w:rFonts w:hint="eastAsia"/>
          <w:sz w:val="24"/>
          <w:szCs w:val="24"/>
          <w:lang w:eastAsia="zh-CN"/>
        </w:rPr>
        <w:t>投标人</w:t>
      </w:r>
      <w:r>
        <w:rPr>
          <w:rFonts w:hint="eastAsia"/>
          <w:sz w:val="24"/>
          <w:szCs w:val="24"/>
        </w:rPr>
        <w:t xml:space="preserve">名称(盖章)： </w:t>
      </w:r>
    </w:p>
    <w:p w14:paraId="289C9E7B">
      <w:pPr>
        <w:autoSpaceDE w:val="0"/>
        <w:autoSpaceDN w:val="0"/>
        <w:adjustRightInd w:val="0"/>
        <w:spacing w:line="360" w:lineRule="auto"/>
        <w:ind w:firstLine="2160" w:firstLineChars="9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 法定代表人（或负责人）或授权委托人（签字或盖章）: </w:t>
      </w:r>
    </w:p>
    <w:p w14:paraId="30C6EF4B">
      <w:pPr>
        <w:pStyle w:val="12"/>
        <w:shd w:val="clear"/>
        <w:tabs>
          <w:tab w:val="left" w:pos="6607"/>
          <w:tab w:val="left" w:pos="7087"/>
          <w:tab w:val="left" w:pos="7687"/>
        </w:tabs>
        <w:kinsoku w:val="0"/>
        <w:overflowPunct w:val="0"/>
        <w:spacing w:before="0" w:line="352" w:lineRule="auto"/>
        <w:ind w:left="5408" w:right="437"/>
        <w:rPr>
          <w:rFonts w:hint="eastAsia"/>
          <w:sz w:val="24"/>
          <w:szCs w:val="24"/>
        </w:rPr>
      </w:pPr>
      <w:r>
        <w:rPr>
          <w:rFonts w:hint="eastAsia"/>
          <w:sz w:val="24"/>
          <w:szCs w:val="24"/>
        </w:rPr>
        <w:t>日期：</w:t>
      </w:r>
      <w:r>
        <w:rPr>
          <w:rFonts w:hint="eastAsia"/>
          <w:sz w:val="24"/>
          <w:szCs w:val="24"/>
        </w:rPr>
        <w:tab/>
      </w:r>
      <w:r>
        <w:rPr>
          <w:rFonts w:hint="eastAsia"/>
          <w:sz w:val="24"/>
          <w:szCs w:val="24"/>
        </w:rPr>
        <w:t>年</w:t>
      </w:r>
      <w:r>
        <w:rPr>
          <w:rFonts w:hint="eastAsia"/>
          <w:sz w:val="24"/>
          <w:szCs w:val="24"/>
        </w:rPr>
        <w:tab/>
      </w:r>
      <w:r>
        <w:rPr>
          <w:rFonts w:hint="eastAsia"/>
          <w:sz w:val="24"/>
          <w:szCs w:val="24"/>
        </w:rPr>
        <w:t>月</w:t>
      </w:r>
      <w:r>
        <w:rPr>
          <w:rFonts w:hint="eastAsia"/>
          <w:sz w:val="24"/>
          <w:szCs w:val="24"/>
        </w:rPr>
        <w:tab/>
      </w:r>
      <w:r>
        <w:rPr>
          <w:rFonts w:hint="eastAsia"/>
          <w:sz w:val="24"/>
          <w:szCs w:val="24"/>
        </w:rPr>
        <w:t>日</w:t>
      </w:r>
    </w:p>
    <w:p w14:paraId="17B7BEA2">
      <w:pPr>
        <w:autoSpaceDE w:val="0"/>
        <w:autoSpaceDN w:val="0"/>
        <w:adjustRightInd w:val="0"/>
        <w:spacing w:line="360" w:lineRule="auto"/>
        <w:ind w:firstLine="2160" w:firstLineChars="9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p>
    <w:p w14:paraId="1B0151F9">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sz w:val="28"/>
          <w:szCs w:val="28"/>
        </w:rPr>
      </w:pPr>
    </w:p>
    <w:p w14:paraId="3C03DA36">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sz w:val="28"/>
          <w:szCs w:val="28"/>
        </w:rPr>
      </w:pPr>
      <w:r>
        <w:rPr>
          <w:rFonts w:hint="eastAsia" w:ascii="宋体" w:hAnsi="宋体" w:eastAsia="宋体" w:cs="宋体"/>
          <w:sz w:val="28"/>
          <w:szCs w:val="28"/>
        </w:rPr>
        <w:t xml:space="preserve">                         </w:t>
      </w:r>
    </w:p>
    <w:p w14:paraId="4EC1082C">
      <w:pPr>
        <w:rPr>
          <w:rFonts w:hint="eastAsia"/>
        </w:rPr>
        <w:sectPr>
          <w:type w:val="continuous"/>
          <w:pgSz w:w="11910" w:h="16840"/>
          <w:pgMar w:top="1580" w:right="1340" w:bottom="280" w:left="1120" w:header="720" w:footer="720" w:gutter="0"/>
          <w:lnNumType w:countBy="0" w:distance="360"/>
          <w:pgNumType w:fmt="decimal"/>
          <w:cols w:space="720" w:num="1"/>
        </w:sectPr>
      </w:pPr>
    </w:p>
    <w:p w14:paraId="5F2D80D6">
      <w:pPr>
        <w:spacing w:line="440" w:lineRule="exact"/>
        <w:jc w:val="center"/>
        <w:rPr>
          <w:rFonts w:hint="eastAsia" w:ascii="宋体" w:hAnsi="宋体" w:eastAsia="宋体" w:cs="宋体"/>
          <w:b/>
          <w:bCs/>
          <w:kern w:val="2"/>
          <w:sz w:val="30"/>
          <w:szCs w:val="30"/>
          <w:lang w:val="en-US" w:eastAsia="zh-CN" w:bidi="ar-SA"/>
        </w:rPr>
      </w:pPr>
      <w:r>
        <w:rPr>
          <w:rFonts w:hint="eastAsia" w:ascii="宋体" w:hAnsi="宋体" w:cs="宋体"/>
          <w:b/>
          <w:bCs/>
          <w:kern w:val="2"/>
          <w:sz w:val="30"/>
          <w:szCs w:val="30"/>
          <w:lang w:val="en-US" w:eastAsia="zh-CN" w:bidi="ar-SA"/>
        </w:rPr>
        <w:t>7、</w:t>
      </w:r>
      <w:r>
        <w:rPr>
          <w:rFonts w:hint="eastAsia" w:ascii="宋体" w:hAnsi="宋体" w:eastAsia="宋体" w:cs="宋体"/>
          <w:b/>
          <w:bCs/>
          <w:kern w:val="2"/>
          <w:sz w:val="30"/>
          <w:szCs w:val="30"/>
          <w:lang w:val="en-US" w:eastAsia="zh-CN" w:bidi="ar-SA"/>
        </w:rPr>
        <w:t>无重大违法记录声明函</w:t>
      </w:r>
    </w:p>
    <w:p w14:paraId="625B5E5E">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sz w:val="24"/>
          <w:szCs w:val="24"/>
        </w:rPr>
      </w:pPr>
      <w:r>
        <w:rPr>
          <w:rFonts w:hint="eastAsia" w:ascii="宋体" w:hAnsi="宋体" w:cs="宋体"/>
          <w:sz w:val="24"/>
          <w:szCs w:val="24"/>
          <w:lang w:val="en-US" w:eastAsia="zh-CN"/>
        </w:rPr>
        <w:t>鄯善县财政局</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w:t>
      </w:r>
    </w:p>
    <w:p w14:paraId="27749FBD">
      <w:pPr>
        <w:pStyle w:val="199"/>
        <w:keepNext w:val="0"/>
        <w:keepLines w:val="0"/>
        <w:pageBreakBefore w:val="0"/>
        <w:widowControl w:val="0"/>
        <w:kinsoku/>
        <w:wordWrap/>
        <w:overflowPunct/>
        <w:topLinePunct w:val="0"/>
        <w:autoSpaceDE w:val="0"/>
        <w:autoSpaceDN w:val="0"/>
        <w:bidi w:val="0"/>
        <w:adjustRightInd w:val="0"/>
        <w:snapToGrid/>
        <w:spacing w:line="48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我公司参与</w:t>
      </w:r>
      <w:r>
        <w:rPr>
          <w:rFonts w:hint="eastAsia" w:ascii="宋体" w:hAnsi="宋体" w:eastAsia="宋体" w:cs="宋体"/>
          <w:sz w:val="24"/>
          <w:szCs w:val="24"/>
          <w:u w:val="single"/>
        </w:rPr>
        <w:t>采购文件编号</w:t>
      </w:r>
      <w:r>
        <w:rPr>
          <w:rFonts w:hint="eastAsia" w:ascii="宋体" w:hAnsi="宋体" w:cs="宋体"/>
          <w:sz w:val="24"/>
          <w:szCs w:val="24"/>
          <w:u w:val="single"/>
          <w:lang w:val="en-US" w:eastAsia="zh-CN"/>
        </w:rPr>
        <w:t xml:space="preserve">             </w:t>
      </w:r>
      <w:r>
        <w:rPr>
          <w:rFonts w:hint="eastAsia" w:ascii="宋体" w:hAnsi="宋体" w:eastAsia="宋体" w:cs="宋体"/>
          <w:sz w:val="24"/>
          <w:szCs w:val="24"/>
          <w:u w:val="none"/>
        </w:rPr>
        <w:t>为</w:t>
      </w:r>
      <w:r>
        <w:rPr>
          <w:rFonts w:hint="eastAsia" w:ascii="宋体" w:hAnsi="宋体" w:cs="宋体"/>
          <w:sz w:val="24"/>
          <w:szCs w:val="24"/>
          <w:u w:val="single"/>
          <w:lang w:val="en-US" w:eastAsia="zh-CN"/>
        </w:rPr>
        <w:t>鄯善县2025年社会保险基金转出开户银行开展定期存款服务项目</w:t>
      </w:r>
      <w:r>
        <w:rPr>
          <w:rFonts w:hint="eastAsia" w:ascii="宋体" w:hAnsi="宋体" w:eastAsia="宋体" w:cs="宋体"/>
          <w:sz w:val="24"/>
          <w:szCs w:val="24"/>
        </w:rPr>
        <w:t>的采购招标活动，我公司郑重声明：我公司参加本次采购招标活动前三年内，在经营活动中无重大违法记录（</w:t>
      </w:r>
      <w:r>
        <w:rPr>
          <w:rFonts w:hint="eastAsia" w:ascii="宋体" w:hAnsi="宋体" w:eastAsia="宋体" w:cs="宋体"/>
          <w:b/>
          <w:bCs/>
          <w:sz w:val="24"/>
          <w:szCs w:val="24"/>
        </w:rPr>
        <w:t>重大违法记录是指供应商因违法经营受到刑事处罚或者责令停产停业、吊销许可证或者营业执照、2万元（含2万）以上的罚款等行政处罚</w:t>
      </w:r>
      <w:r>
        <w:rPr>
          <w:rFonts w:hint="eastAsia" w:ascii="宋体" w:hAnsi="宋体" w:eastAsia="宋体" w:cs="宋体"/>
          <w:sz w:val="24"/>
          <w:szCs w:val="24"/>
        </w:rPr>
        <w:t>），具备《中华人民共和国政府采购法》和《中华人民共和国政府采购法实施条例》中规定的投标供应商资格条件。我公司对此声明负全部法律责任。</w:t>
      </w:r>
    </w:p>
    <w:p w14:paraId="74FBEA6D">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特此声明。</w:t>
      </w:r>
    </w:p>
    <w:p w14:paraId="3392F446">
      <w:pPr>
        <w:autoSpaceDE w:val="0"/>
        <w:autoSpaceDN w:val="0"/>
        <w:adjustRightInd w:val="0"/>
        <w:spacing w:line="360" w:lineRule="auto"/>
        <w:ind w:firstLine="3360" w:firstLineChars="1400"/>
        <w:jc w:val="left"/>
        <w:rPr>
          <w:rFonts w:hint="eastAsia" w:ascii="宋体" w:hAnsi="宋体" w:eastAsia="宋体" w:cs="宋体"/>
          <w:kern w:val="0"/>
          <w:sz w:val="24"/>
          <w:lang w:val="en-US" w:eastAsia="zh-CN"/>
        </w:rPr>
      </w:pPr>
      <w:r>
        <w:rPr>
          <w:rFonts w:hint="eastAsia" w:ascii="宋体" w:hAnsi="宋体" w:eastAsia="宋体" w:cs="宋体"/>
          <w:kern w:val="0"/>
          <w:sz w:val="24"/>
          <w:lang w:val="zh-CN"/>
        </w:rPr>
        <w:t>投标人名称（公章）:</w:t>
      </w:r>
    </w:p>
    <w:p w14:paraId="7F8559EB">
      <w:pPr>
        <w:autoSpaceDE w:val="0"/>
        <w:autoSpaceDN w:val="0"/>
        <w:adjustRightInd w:val="0"/>
        <w:spacing w:line="360" w:lineRule="auto"/>
        <w:ind w:firstLine="2160" w:firstLineChars="9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 法定代表人（或负责人）或授权委托人（签字或盖章）: </w:t>
      </w:r>
    </w:p>
    <w:p w14:paraId="771FAAF1">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sz w:val="28"/>
          <w:szCs w:val="28"/>
        </w:rPr>
      </w:pPr>
    </w:p>
    <w:p w14:paraId="7AC4870E">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sz w:val="28"/>
          <w:szCs w:val="28"/>
        </w:rPr>
      </w:pPr>
      <w:r>
        <w:rPr>
          <w:rFonts w:hint="eastAsia" w:ascii="宋体" w:hAnsi="宋体" w:eastAsia="宋体" w:cs="宋体"/>
          <w:sz w:val="28"/>
          <w:szCs w:val="28"/>
        </w:rPr>
        <w:t xml:space="preserve">                         </w:t>
      </w:r>
    </w:p>
    <w:p w14:paraId="2CF7F376">
      <w:pPr>
        <w:autoSpaceDE w:val="0"/>
        <w:autoSpaceDN w:val="0"/>
        <w:adjustRightInd w:val="0"/>
        <w:spacing w:line="360" w:lineRule="auto"/>
        <w:ind w:firstLine="3840" w:firstLineChars="1600"/>
        <w:jc w:val="left"/>
        <w:rPr>
          <w:rFonts w:hint="eastAsia" w:ascii="宋体" w:hAnsi="宋体" w:eastAsia="宋体" w:cs="宋体"/>
          <w:kern w:val="0"/>
          <w:sz w:val="24"/>
          <w:lang w:val="zh-CN"/>
        </w:rPr>
      </w:pPr>
      <w:r>
        <w:rPr>
          <w:rFonts w:hint="eastAsia" w:ascii="宋体" w:hAnsi="宋体" w:eastAsia="宋体" w:cs="宋体"/>
          <w:kern w:val="0"/>
          <w:sz w:val="24"/>
          <w:lang w:val="en-US" w:eastAsia="zh-CN"/>
        </w:rPr>
        <w:t>日期：</w:t>
      </w:r>
      <w:r>
        <w:rPr>
          <w:rFonts w:hint="eastAsia" w:ascii="宋体" w:hAnsi="宋体" w:eastAsia="宋体" w:cs="宋体"/>
          <w:kern w:val="0"/>
          <w:sz w:val="24"/>
          <w:lang w:val="zh-CN"/>
        </w:rPr>
        <w:t xml:space="preserve"> 年  月  日</w:t>
      </w:r>
    </w:p>
    <w:p w14:paraId="0C6DC68C">
      <w:pPr>
        <w:pStyle w:val="12"/>
        <w:shd w:val="clear"/>
        <w:kinsoku w:val="0"/>
        <w:overflowPunct w:val="0"/>
        <w:spacing w:before="132"/>
        <w:ind w:left="429" w:right="3"/>
        <w:jc w:val="center"/>
        <w:rPr>
          <w:rFonts w:hint="eastAsia"/>
          <w:b/>
          <w:sz w:val="28"/>
          <w:szCs w:val="24"/>
          <w:lang w:val="en-US" w:eastAsia="zh-CN"/>
        </w:rPr>
      </w:pPr>
    </w:p>
    <w:p w14:paraId="08096977">
      <w:pPr>
        <w:pStyle w:val="12"/>
        <w:shd w:val="clear"/>
        <w:kinsoku w:val="0"/>
        <w:overflowPunct w:val="0"/>
        <w:spacing w:before="132"/>
        <w:ind w:left="429" w:right="3"/>
        <w:jc w:val="center"/>
        <w:rPr>
          <w:rFonts w:hint="eastAsia"/>
          <w:b/>
          <w:sz w:val="28"/>
          <w:szCs w:val="24"/>
          <w:lang w:val="en-US" w:eastAsia="zh-CN"/>
        </w:rPr>
      </w:pPr>
    </w:p>
    <w:p w14:paraId="68E13E04">
      <w:pPr>
        <w:pStyle w:val="12"/>
        <w:shd w:val="clear"/>
        <w:kinsoku w:val="0"/>
        <w:overflowPunct w:val="0"/>
        <w:spacing w:before="132"/>
        <w:ind w:left="429" w:right="3"/>
        <w:jc w:val="center"/>
        <w:rPr>
          <w:rFonts w:hint="eastAsia"/>
          <w:b/>
          <w:sz w:val="28"/>
          <w:szCs w:val="24"/>
          <w:lang w:val="en-US" w:eastAsia="zh-CN"/>
        </w:rPr>
      </w:pPr>
    </w:p>
    <w:p w14:paraId="030BA641">
      <w:pPr>
        <w:pStyle w:val="12"/>
        <w:shd w:val="clear"/>
        <w:kinsoku w:val="0"/>
        <w:overflowPunct w:val="0"/>
        <w:spacing w:before="132"/>
        <w:ind w:left="429" w:right="3"/>
        <w:jc w:val="center"/>
        <w:rPr>
          <w:rFonts w:hint="eastAsia"/>
          <w:b/>
          <w:sz w:val="28"/>
          <w:szCs w:val="24"/>
          <w:lang w:val="en-US" w:eastAsia="zh-CN"/>
        </w:rPr>
      </w:pPr>
    </w:p>
    <w:p w14:paraId="31510B32">
      <w:pPr>
        <w:pStyle w:val="12"/>
        <w:shd w:val="clear"/>
        <w:kinsoku w:val="0"/>
        <w:overflowPunct w:val="0"/>
        <w:spacing w:before="132"/>
        <w:ind w:left="429" w:right="3"/>
        <w:jc w:val="center"/>
        <w:rPr>
          <w:rFonts w:hint="eastAsia"/>
          <w:b/>
          <w:sz w:val="28"/>
          <w:szCs w:val="24"/>
          <w:lang w:val="en-US" w:eastAsia="zh-CN"/>
        </w:rPr>
      </w:pPr>
    </w:p>
    <w:p w14:paraId="1D35998D">
      <w:pPr>
        <w:pStyle w:val="12"/>
        <w:shd w:val="clear"/>
        <w:kinsoku w:val="0"/>
        <w:overflowPunct w:val="0"/>
        <w:spacing w:before="132"/>
        <w:ind w:left="429" w:right="3"/>
        <w:jc w:val="center"/>
        <w:rPr>
          <w:rFonts w:hint="eastAsia"/>
          <w:b/>
          <w:sz w:val="28"/>
          <w:szCs w:val="24"/>
          <w:lang w:val="en-US" w:eastAsia="zh-CN"/>
        </w:rPr>
      </w:pPr>
    </w:p>
    <w:p w14:paraId="5376502A">
      <w:pPr>
        <w:pStyle w:val="12"/>
        <w:shd w:val="clear"/>
        <w:kinsoku w:val="0"/>
        <w:overflowPunct w:val="0"/>
        <w:spacing w:before="132"/>
        <w:ind w:left="429" w:right="3"/>
        <w:jc w:val="center"/>
        <w:rPr>
          <w:rFonts w:hint="eastAsia"/>
          <w:b/>
          <w:sz w:val="28"/>
          <w:szCs w:val="24"/>
          <w:lang w:val="en-US" w:eastAsia="zh-CN"/>
        </w:rPr>
      </w:pPr>
    </w:p>
    <w:p w14:paraId="7ABCB7DF">
      <w:pPr>
        <w:pStyle w:val="12"/>
        <w:shd w:val="clear"/>
        <w:kinsoku w:val="0"/>
        <w:overflowPunct w:val="0"/>
        <w:spacing w:before="132"/>
        <w:ind w:left="429" w:right="3"/>
        <w:jc w:val="center"/>
        <w:rPr>
          <w:rFonts w:hint="eastAsia"/>
          <w:b/>
          <w:sz w:val="28"/>
          <w:szCs w:val="24"/>
          <w:lang w:val="en-US" w:eastAsia="zh-CN"/>
        </w:rPr>
      </w:pPr>
    </w:p>
    <w:p w14:paraId="5917A69F">
      <w:pPr>
        <w:pStyle w:val="12"/>
        <w:shd w:val="clear"/>
        <w:kinsoku w:val="0"/>
        <w:overflowPunct w:val="0"/>
        <w:spacing w:before="132"/>
        <w:ind w:left="429" w:right="3"/>
        <w:jc w:val="center"/>
        <w:rPr>
          <w:rFonts w:hint="eastAsia"/>
          <w:b/>
          <w:sz w:val="28"/>
          <w:szCs w:val="24"/>
          <w:lang w:val="en-US" w:eastAsia="zh-CN"/>
        </w:rPr>
      </w:pPr>
    </w:p>
    <w:p w14:paraId="564CB9F7">
      <w:pPr>
        <w:pStyle w:val="12"/>
        <w:shd w:val="clear"/>
        <w:kinsoku w:val="0"/>
        <w:overflowPunct w:val="0"/>
        <w:spacing w:before="132"/>
        <w:ind w:left="429" w:right="3"/>
        <w:jc w:val="center"/>
        <w:rPr>
          <w:rFonts w:hint="eastAsia"/>
          <w:b/>
          <w:sz w:val="28"/>
          <w:szCs w:val="24"/>
          <w:lang w:val="en-US" w:eastAsia="zh-CN"/>
        </w:rPr>
      </w:pPr>
    </w:p>
    <w:p w14:paraId="2627B7A9">
      <w:pPr>
        <w:pStyle w:val="12"/>
        <w:shd w:val="clear"/>
        <w:kinsoku w:val="0"/>
        <w:overflowPunct w:val="0"/>
        <w:spacing w:before="132"/>
        <w:ind w:left="429" w:right="3"/>
        <w:jc w:val="center"/>
        <w:rPr>
          <w:rFonts w:hint="eastAsia"/>
          <w:b/>
          <w:sz w:val="28"/>
          <w:szCs w:val="24"/>
          <w:lang w:val="en-US" w:eastAsia="zh-CN"/>
        </w:rPr>
      </w:pPr>
    </w:p>
    <w:p w14:paraId="4BA62851">
      <w:pPr>
        <w:pStyle w:val="12"/>
        <w:shd w:val="clear"/>
        <w:kinsoku w:val="0"/>
        <w:overflowPunct w:val="0"/>
        <w:spacing w:before="132"/>
        <w:ind w:left="429" w:right="3"/>
        <w:jc w:val="center"/>
        <w:rPr>
          <w:rFonts w:hint="eastAsia"/>
          <w:b/>
          <w:sz w:val="28"/>
          <w:szCs w:val="24"/>
          <w:lang w:val="en-US" w:eastAsia="zh-CN"/>
        </w:rPr>
      </w:pPr>
    </w:p>
    <w:p w14:paraId="0C81823D">
      <w:pPr>
        <w:pStyle w:val="12"/>
        <w:shd w:val="clear"/>
        <w:kinsoku w:val="0"/>
        <w:overflowPunct w:val="0"/>
        <w:spacing w:before="132"/>
        <w:ind w:left="429" w:right="3"/>
        <w:jc w:val="center"/>
        <w:rPr>
          <w:rFonts w:hint="eastAsia"/>
          <w:b/>
          <w:sz w:val="28"/>
          <w:szCs w:val="24"/>
          <w:lang w:val="en-US" w:eastAsia="zh-CN"/>
        </w:rPr>
      </w:pPr>
    </w:p>
    <w:p w14:paraId="1238651F">
      <w:pPr>
        <w:pStyle w:val="12"/>
        <w:shd w:val="clear"/>
        <w:kinsoku w:val="0"/>
        <w:overflowPunct w:val="0"/>
        <w:spacing w:before="132"/>
        <w:ind w:left="429" w:right="3"/>
        <w:jc w:val="center"/>
        <w:rPr>
          <w:rFonts w:hint="eastAsia"/>
          <w:b/>
          <w:sz w:val="28"/>
          <w:szCs w:val="24"/>
          <w:lang w:val="en-US" w:eastAsia="zh-CN"/>
        </w:rPr>
      </w:pPr>
    </w:p>
    <w:p w14:paraId="78852EBD">
      <w:pPr>
        <w:rPr>
          <w:rFonts w:hint="eastAsia"/>
          <w:lang w:val="en-US" w:eastAsia="zh-CN"/>
        </w:rPr>
      </w:pPr>
    </w:p>
    <w:p w14:paraId="322F1677">
      <w:pPr>
        <w:pStyle w:val="12"/>
        <w:shd w:val="clear"/>
        <w:kinsoku w:val="0"/>
        <w:overflowPunct w:val="0"/>
        <w:spacing w:before="132"/>
        <w:ind w:left="429" w:right="3"/>
        <w:jc w:val="center"/>
        <w:rPr>
          <w:rFonts w:hint="eastAsia"/>
          <w:b/>
          <w:sz w:val="28"/>
          <w:szCs w:val="24"/>
          <w:lang w:val="en-US" w:eastAsia="zh-CN"/>
        </w:rPr>
      </w:pPr>
    </w:p>
    <w:p w14:paraId="03BEA6E7">
      <w:pPr>
        <w:pStyle w:val="12"/>
        <w:shd w:val="clear"/>
        <w:kinsoku w:val="0"/>
        <w:overflowPunct w:val="0"/>
        <w:spacing w:before="132"/>
        <w:ind w:left="429" w:right="3"/>
        <w:jc w:val="center"/>
        <w:rPr>
          <w:rFonts w:hint="eastAsia" w:ascii="宋体" w:hAnsi="宋体" w:eastAsia="宋体" w:cs="宋体"/>
          <w:b/>
          <w:bCs/>
          <w:kern w:val="2"/>
          <w:sz w:val="30"/>
          <w:szCs w:val="30"/>
          <w:lang w:val="en-US" w:eastAsia="zh-CN" w:bidi="ar-SA"/>
        </w:rPr>
      </w:pPr>
      <w:r>
        <w:rPr>
          <w:rFonts w:hint="eastAsia" w:ascii="宋体" w:hAnsi="宋体" w:eastAsia="宋体" w:cs="宋体"/>
          <w:b/>
          <w:bCs/>
          <w:kern w:val="2"/>
          <w:sz w:val="30"/>
          <w:szCs w:val="30"/>
          <w:lang w:val="en-US" w:eastAsia="zh-CN" w:bidi="ar-SA"/>
        </w:rPr>
        <w:t>8、服务方案</w:t>
      </w:r>
    </w:p>
    <w:p w14:paraId="71ABD148">
      <w:pPr>
        <w:pStyle w:val="12"/>
        <w:shd w:val="clear"/>
        <w:kinsoku w:val="0"/>
        <w:overflowPunct w:val="0"/>
        <w:spacing w:before="0"/>
        <w:ind w:left="0"/>
        <w:rPr>
          <w:rFonts w:hint="eastAsia"/>
          <w:b/>
          <w:sz w:val="20"/>
          <w:szCs w:val="24"/>
        </w:rPr>
      </w:pPr>
    </w:p>
    <w:p w14:paraId="4F613334">
      <w:pPr>
        <w:pStyle w:val="12"/>
        <w:shd w:val="clear"/>
        <w:kinsoku w:val="0"/>
        <w:overflowPunct w:val="0"/>
        <w:spacing w:before="0"/>
        <w:ind w:left="0"/>
        <w:rPr>
          <w:rFonts w:hint="eastAsia"/>
          <w:b/>
          <w:sz w:val="20"/>
          <w:szCs w:val="24"/>
        </w:rPr>
      </w:pPr>
    </w:p>
    <w:p w14:paraId="35C560EF">
      <w:pPr>
        <w:tabs>
          <w:tab w:val="left" w:pos="8280"/>
        </w:tabs>
        <w:snapToGrid w:val="0"/>
        <w:spacing w:line="500" w:lineRule="exact"/>
        <w:jc w:val="left"/>
        <w:rPr>
          <w:rFonts w:hint="eastAsia" w:ascii="宋体" w:hAnsi="宋体" w:eastAsia="宋体" w:cs="宋体"/>
          <w:color w:val="000000"/>
          <w:sz w:val="24"/>
          <w:szCs w:val="24"/>
        </w:rPr>
      </w:pPr>
      <w:r>
        <w:rPr>
          <w:rFonts w:hint="eastAsia" w:ascii="宋体" w:hAnsi="宋体" w:eastAsia="宋体" w:cs="宋体"/>
          <w:color w:val="000000"/>
          <w:sz w:val="24"/>
          <w:szCs w:val="24"/>
        </w:rPr>
        <w:t>投标</w:t>
      </w:r>
      <w:r>
        <w:rPr>
          <w:rFonts w:hint="eastAsia" w:ascii="宋体" w:hAnsi="宋体" w:eastAsia="宋体" w:cs="宋体"/>
          <w:color w:val="000000"/>
          <w:sz w:val="24"/>
          <w:szCs w:val="24"/>
          <w:lang w:eastAsia="zh-CN"/>
        </w:rPr>
        <w:t>服务</w:t>
      </w:r>
      <w:r>
        <w:rPr>
          <w:rFonts w:hint="eastAsia" w:ascii="宋体" w:hAnsi="宋体" w:eastAsia="宋体" w:cs="宋体"/>
          <w:color w:val="000000"/>
          <w:sz w:val="24"/>
          <w:szCs w:val="24"/>
        </w:rPr>
        <w:t>方案应包括但不只限于以下内容：</w:t>
      </w:r>
    </w:p>
    <w:p w14:paraId="0DF28F33">
      <w:pPr>
        <w:tabs>
          <w:tab w:val="left" w:pos="8280"/>
        </w:tabs>
        <w:snapToGrid w:val="0"/>
        <w:spacing w:line="500" w:lineRule="exact"/>
        <w:jc w:val="left"/>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rPr>
        <w:t>投标人基本情况介绍；</w:t>
      </w:r>
    </w:p>
    <w:p w14:paraId="04971D96">
      <w:pPr>
        <w:tabs>
          <w:tab w:val="left" w:pos="8280"/>
        </w:tabs>
        <w:snapToGrid w:val="0"/>
        <w:spacing w:line="500" w:lineRule="exact"/>
        <w:jc w:val="left"/>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2</w:t>
      </w:r>
      <w:r>
        <w:rPr>
          <w:rFonts w:hint="eastAsia" w:ascii="宋体" w:hAnsi="宋体" w:eastAsia="宋体" w:cs="宋体"/>
          <w:color w:val="000000"/>
          <w:sz w:val="24"/>
          <w:szCs w:val="24"/>
        </w:rPr>
        <w:t>有关监管指标和有关数据统计的真实准确性的情况说明；</w:t>
      </w:r>
    </w:p>
    <w:p w14:paraId="7F1C3309">
      <w:pPr>
        <w:tabs>
          <w:tab w:val="left" w:pos="8280"/>
        </w:tabs>
        <w:snapToGrid w:val="0"/>
        <w:spacing w:line="500" w:lineRule="exact"/>
        <w:jc w:val="left"/>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3</w:t>
      </w:r>
      <w:r>
        <w:rPr>
          <w:rFonts w:hint="eastAsia" w:ascii="宋体" w:hAnsi="宋体" w:eastAsia="宋体" w:cs="宋体"/>
          <w:color w:val="000000"/>
          <w:sz w:val="24"/>
          <w:szCs w:val="24"/>
        </w:rPr>
        <w:t>保证存款资金安全性的措施；</w:t>
      </w:r>
    </w:p>
    <w:p w14:paraId="00B2C8B5">
      <w:pPr>
        <w:tabs>
          <w:tab w:val="left" w:pos="8280"/>
        </w:tabs>
        <w:snapToGrid w:val="0"/>
        <w:spacing w:line="500" w:lineRule="exact"/>
        <w:jc w:val="left"/>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4</w:t>
      </w:r>
      <w:r>
        <w:rPr>
          <w:rFonts w:hint="eastAsia" w:ascii="宋体" w:hAnsi="宋体" w:eastAsia="宋体" w:cs="宋体"/>
          <w:color w:val="000000"/>
          <w:sz w:val="24"/>
          <w:szCs w:val="24"/>
        </w:rPr>
        <w:t>制度建设、内部管理相关情况；</w:t>
      </w:r>
    </w:p>
    <w:p w14:paraId="5DD79719">
      <w:pPr>
        <w:tabs>
          <w:tab w:val="left" w:pos="8280"/>
        </w:tabs>
        <w:snapToGrid w:val="0"/>
        <w:spacing w:line="500" w:lineRule="exact"/>
        <w:jc w:val="left"/>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5</w:t>
      </w:r>
      <w:r>
        <w:rPr>
          <w:rFonts w:hint="default" w:ascii="宋体" w:hAnsi="宋体" w:eastAsia="宋体" w:cs="宋体"/>
          <w:color w:val="000000"/>
          <w:sz w:val="24"/>
          <w:szCs w:val="24"/>
          <w:lang w:val="en-US" w:eastAsia="zh-CN"/>
        </w:rPr>
        <w:t>人员配备与管理方案</w:t>
      </w:r>
    </w:p>
    <w:p w14:paraId="0DB54C23">
      <w:pPr>
        <w:tabs>
          <w:tab w:val="left" w:pos="8280"/>
        </w:tabs>
        <w:snapToGrid w:val="0"/>
        <w:spacing w:line="500" w:lineRule="exact"/>
        <w:jc w:val="left"/>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6</w:t>
      </w:r>
      <w:r>
        <w:rPr>
          <w:rFonts w:hint="eastAsia" w:ascii="宋体" w:hAnsi="宋体" w:eastAsia="宋体" w:cs="宋体"/>
          <w:color w:val="000000"/>
          <w:sz w:val="24"/>
          <w:szCs w:val="24"/>
        </w:rPr>
        <w:t>其它需要说明的内容。</w:t>
      </w:r>
    </w:p>
    <w:p w14:paraId="03F2124E">
      <w:pPr>
        <w:pStyle w:val="12"/>
        <w:tabs>
          <w:tab w:val="left" w:pos="567"/>
        </w:tabs>
        <w:rPr>
          <w:rFonts w:hint="eastAsia" w:ascii="宋体" w:hAnsi="宋体" w:eastAsia="宋体" w:cs="宋体"/>
          <w:lang w:val="en-US" w:eastAsia="zh-CN"/>
        </w:rPr>
      </w:pPr>
    </w:p>
    <w:p w14:paraId="021DCFB2">
      <w:pPr>
        <w:pStyle w:val="12"/>
        <w:kinsoku w:val="0"/>
        <w:overflowPunct w:val="0"/>
        <w:spacing w:before="0"/>
        <w:ind w:left="0"/>
        <w:rPr>
          <w:rFonts w:hint="eastAsia"/>
          <w:sz w:val="24"/>
          <w:szCs w:val="24"/>
        </w:rPr>
      </w:pPr>
    </w:p>
    <w:p w14:paraId="7CADE9D6">
      <w:pPr>
        <w:pStyle w:val="12"/>
        <w:kinsoku w:val="0"/>
        <w:overflowPunct w:val="0"/>
        <w:spacing w:before="0"/>
        <w:ind w:left="0"/>
        <w:rPr>
          <w:rFonts w:hint="eastAsia"/>
          <w:sz w:val="24"/>
          <w:szCs w:val="24"/>
        </w:rPr>
      </w:pPr>
    </w:p>
    <w:p w14:paraId="7034A6CE">
      <w:pPr>
        <w:pStyle w:val="12"/>
        <w:kinsoku w:val="0"/>
        <w:overflowPunct w:val="0"/>
        <w:spacing w:before="0"/>
        <w:ind w:left="0"/>
        <w:rPr>
          <w:rFonts w:hint="eastAsia"/>
          <w:sz w:val="24"/>
          <w:szCs w:val="24"/>
        </w:rPr>
      </w:pPr>
    </w:p>
    <w:p w14:paraId="5F0EDBFD">
      <w:pPr>
        <w:pStyle w:val="12"/>
        <w:kinsoku w:val="0"/>
        <w:overflowPunct w:val="0"/>
        <w:spacing w:before="10"/>
        <w:ind w:left="0"/>
        <w:rPr>
          <w:rFonts w:hint="eastAsia"/>
          <w:sz w:val="34"/>
          <w:szCs w:val="24"/>
        </w:rPr>
      </w:pPr>
    </w:p>
    <w:p w14:paraId="33F102F2">
      <w:pPr>
        <w:pStyle w:val="12"/>
        <w:tabs>
          <w:tab w:val="left" w:pos="6707"/>
          <w:tab w:val="left" w:pos="7307"/>
          <w:tab w:val="left" w:pos="7907"/>
        </w:tabs>
        <w:kinsoku w:val="0"/>
        <w:overflowPunct w:val="0"/>
        <w:spacing w:before="0" w:line="324" w:lineRule="auto"/>
        <w:ind w:left="5508" w:right="477"/>
        <w:rPr>
          <w:rFonts w:hint="eastAsia"/>
          <w:sz w:val="24"/>
          <w:szCs w:val="24"/>
        </w:rPr>
      </w:pPr>
      <w:r>
        <w:rPr>
          <w:rFonts w:hint="eastAsia"/>
          <w:sz w:val="24"/>
          <w:szCs w:val="24"/>
          <w:lang w:eastAsia="zh-CN"/>
        </w:rPr>
        <w:t>投标人</w:t>
      </w:r>
      <w:r>
        <w:rPr>
          <w:rFonts w:hint="eastAsia"/>
          <w:sz w:val="24"/>
          <w:szCs w:val="24"/>
        </w:rPr>
        <w:t xml:space="preserve">名称(盖章)： </w:t>
      </w:r>
    </w:p>
    <w:p w14:paraId="422D835A">
      <w:pPr>
        <w:pStyle w:val="12"/>
        <w:tabs>
          <w:tab w:val="left" w:pos="6707"/>
          <w:tab w:val="left" w:pos="7307"/>
          <w:tab w:val="left" w:pos="7907"/>
        </w:tabs>
        <w:kinsoku w:val="0"/>
        <w:overflowPunct w:val="0"/>
        <w:spacing w:before="0" w:line="324" w:lineRule="auto"/>
        <w:ind w:left="5508" w:right="477"/>
        <w:rPr>
          <w:rFonts w:hint="eastAsia"/>
          <w:sz w:val="24"/>
          <w:szCs w:val="24"/>
        </w:rPr>
      </w:pPr>
      <w:r>
        <w:rPr>
          <w:rFonts w:hint="eastAsia"/>
          <w:sz w:val="24"/>
          <w:szCs w:val="24"/>
        </w:rPr>
        <w:t>供应商授权代表（签字或盖章）：</w:t>
      </w:r>
    </w:p>
    <w:p w14:paraId="13906D23">
      <w:pPr>
        <w:pStyle w:val="12"/>
        <w:tabs>
          <w:tab w:val="left" w:pos="6707"/>
          <w:tab w:val="left" w:pos="7307"/>
          <w:tab w:val="left" w:pos="7907"/>
        </w:tabs>
        <w:kinsoku w:val="0"/>
        <w:overflowPunct w:val="0"/>
        <w:spacing w:before="0" w:line="324" w:lineRule="auto"/>
        <w:ind w:left="5508" w:right="477"/>
        <w:rPr>
          <w:rFonts w:hint="default" w:ascii="Times New Roman" w:hAnsi="Times New Roman" w:eastAsia="Times New Roman"/>
          <w:sz w:val="24"/>
          <w:szCs w:val="24"/>
        </w:rPr>
        <w:sectPr>
          <w:footerReference r:id="rId16" w:type="default"/>
          <w:pgSz w:w="11910" w:h="16840"/>
          <w:pgMar w:top="1080" w:right="1180" w:bottom="940" w:left="1140" w:header="0" w:footer="759" w:gutter="0"/>
          <w:lnNumType w:countBy="0" w:distance="360"/>
          <w:pgNumType w:fmt="decimal"/>
          <w:cols w:space="720" w:num="1"/>
        </w:sectPr>
      </w:pPr>
      <w:r>
        <w:rPr>
          <w:rFonts w:hint="eastAsia"/>
          <w:sz w:val="24"/>
          <w:szCs w:val="24"/>
        </w:rPr>
        <w:t xml:space="preserve"> 日期：</w:t>
      </w:r>
      <w:r>
        <w:rPr>
          <w:rFonts w:hint="eastAsia"/>
          <w:sz w:val="24"/>
          <w:szCs w:val="24"/>
        </w:rPr>
        <w:tab/>
      </w:r>
      <w:r>
        <w:rPr>
          <w:rFonts w:hint="eastAsia"/>
          <w:sz w:val="24"/>
          <w:szCs w:val="24"/>
        </w:rPr>
        <w:t>年</w:t>
      </w:r>
      <w:r>
        <w:rPr>
          <w:rFonts w:hint="eastAsia"/>
          <w:sz w:val="24"/>
          <w:szCs w:val="24"/>
        </w:rPr>
        <w:tab/>
      </w:r>
      <w:r>
        <w:rPr>
          <w:rFonts w:hint="eastAsia"/>
          <w:sz w:val="24"/>
          <w:szCs w:val="24"/>
        </w:rPr>
        <w:t>月</w:t>
      </w:r>
      <w:r>
        <w:rPr>
          <w:rFonts w:hint="eastAsia"/>
          <w:sz w:val="24"/>
          <w:szCs w:val="24"/>
        </w:rPr>
        <w:tab/>
      </w:r>
      <w:r>
        <w:rPr>
          <w:rFonts w:hint="eastAsia"/>
          <w:sz w:val="24"/>
          <w:szCs w:val="24"/>
        </w:rPr>
        <w:t>日</w:t>
      </w:r>
    </w:p>
    <w:bookmarkEnd w:id="127"/>
    <w:bookmarkEnd w:id="128"/>
    <w:p w14:paraId="35A570A8">
      <w:pPr>
        <w:spacing w:line="440" w:lineRule="exact"/>
        <w:jc w:val="both"/>
        <w:rPr>
          <w:rFonts w:hint="eastAsia" w:ascii="宋体" w:hAnsi="宋体" w:eastAsia="宋体" w:cs="宋体"/>
          <w:b/>
          <w:bCs/>
          <w:kern w:val="2"/>
          <w:sz w:val="32"/>
          <w:szCs w:val="32"/>
          <w:lang w:val="en-US" w:eastAsia="zh-CN" w:bidi="ar-SA"/>
        </w:rPr>
      </w:pPr>
    </w:p>
    <w:p w14:paraId="33E37014">
      <w:pPr>
        <w:spacing w:line="440" w:lineRule="exact"/>
        <w:jc w:val="center"/>
        <w:rPr>
          <w:rFonts w:hint="eastAsia" w:ascii="宋体" w:hAnsi="宋体" w:eastAsia="宋体" w:cs="宋体"/>
          <w:b/>
          <w:color w:val="000000"/>
          <w:kern w:val="0"/>
          <w:sz w:val="28"/>
          <w:szCs w:val="28"/>
          <w:highlight w:val="none"/>
          <w:lang w:val="en-US" w:eastAsia="zh-CN" w:bidi="ar-SA"/>
        </w:rPr>
      </w:pPr>
      <w:r>
        <w:rPr>
          <w:rFonts w:hint="eastAsia" w:ascii="宋体" w:hAnsi="宋体" w:cs="宋体"/>
          <w:b/>
          <w:bCs/>
          <w:kern w:val="2"/>
          <w:sz w:val="32"/>
          <w:szCs w:val="32"/>
          <w:lang w:val="en-US" w:eastAsia="zh-CN" w:bidi="ar-SA"/>
        </w:rPr>
        <w:t>9、</w:t>
      </w:r>
      <w:r>
        <w:rPr>
          <w:rFonts w:hint="eastAsia" w:ascii="宋体" w:hAnsi="宋体" w:eastAsia="宋体" w:cs="宋体"/>
          <w:b/>
          <w:color w:val="000000"/>
          <w:kern w:val="0"/>
          <w:sz w:val="28"/>
          <w:szCs w:val="28"/>
          <w:highlight w:val="none"/>
          <w:lang w:val="en-US" w:eastAsia="zh-CN" w:bidi="ar-SA"/>
        </w:rPr>
        <w:t>评分标准中需要提供的文件和资料或者投标人认为有必要提供的资料；（格式自拟）</w:t>
      </w:r>
    </w:p>
    <w:p w14:paraId="1F420DE1">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73A3B0A3">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09D36F2C">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77B723B0">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741E1FEB">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5473360C">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29F6A453">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706CBF66">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1195CF49">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3156527A">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670D6C80">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60D205CE">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5B4608AB">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2D2B1F23">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66E3D5EC">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2629EAFD">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7D93D90B">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25045D5A">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5CAD6DF3">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028A4ADA">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4EB6F580">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001AE646">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44D69210">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352C6322">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3FDB6FFF">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28181684">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60DB845A">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4FB4C553">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7F414DA6">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6200C06C">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3100518E">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7B92EE91">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2D7844EF">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7875E0F3">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4E03EAAE">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3D031E85">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p>
    <w:p w14:paraId="57FDA402">
      <w:pPr>
        <w:keepNext w:val="0"/>
        <w:keepLines w:val="0"/>
        <w:widowControl/>
        <w:suppressLineNumbers w:val="0"/>
        <w:jc w:val="center"/>
        <w:rPr>
          <w:rFonts w:hint="eastAsia" w:ascii="宋体" w:hAnsi="宋体" w:eastAsia="宋体" w:cs="宋体"/>
          <w:b/>
          <w:color w:val="000000"/>
          <w:kern w:val="0"/>
          <w:sz w:val="28"/>
          <w:szCs w:val="28"/>
          <w:highlight w:val="none"/>
          <w:lang w:val="en-US" w:eastAsia="zh-CN" w:bidi="ar-SA"/>
        </w:rPr>
      </w:pPr>
      <w:r>
        <w:rPr>
          <w:rFonts w:hint="eastAsia" w:ascii="宋体" w:hAnsi="宋体" w:eastAsia="宋体" w:cs="宋体"/>
          <w:b/>
          <w:color w:val="000000"/>
          <w:kern w:val="0"/>
          <w:sz w:val="28"/>
          <w:szCs w:val="28"/>
          <w:highlight w:val="none"/>
          <w:lang w:val="en-US" w:eastAsia="zh-CN" w:bidi="ar-SA"/>
        </w:rPr>
        <w:t>中小企业声明函（服务）</w:t>
      </w:r>
    </w:p>
    <w:p w14:paraId="53C632FB">
      <w:pPr>
        <w:pStyle w:val="11"/>
        <w:rPr>
          <w:rFonts w:hint="eastAsia" w:ascii="宋体" w:hAnsi="宋体" w:eastAsia="宋体" w:cs="宋体"/>
          <w:sz w:val="24"/>
          <w:szCs w:val="24"/>
          <w:lang w:val="en-US" w:eastAsia="zh-CN"/>
        </w:rPr>
      </w:pPr>
    </w:p>
    <w:p w14:paraId="779DB184">
      <w:pPr>
        <w:keepNext w:val="0"/>
        <w:keepLines w:val="0"/>
        <w:pageBreakBefore w:val="0"/>
        <w:widowControl/>
        <w:suppressLineNumbers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SA"/>
        </w:rPr>
        <w:t>本公司</w:t>
      </w:r>
      <w:r>
        <w:rPr>
          <w:rFonts w:hint="eastAsia" w:ascii="宋体" w:hAnsi="宋体" w:eastAsia="宋体" w:cs="宋体"/>
          <w:color w:val="000000"/>
          <w:kern w:val="0"/>
          <w:sz w:val="24"/>
          <w:szCs w:val="24"/>
          <w:lang w:val="en-US" w:eastAsia="zh-CN" w:bidi="ar"/>
        </w:rPr>
        <w:t>（联合体）郑重声明，根据《政府采购促进中小企业发展管理办法》（财库﹝2020﹞46号）的规定，本公司（联合体）参加</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i w:val="0"/>
          <w:iCs w:val="0"/>
          <w:color w:val="000000"/>
          <w:kern w:val="0"/>
          <w:sz w:val="24"/>
          <w:szCs w:val="24"/>
          <w:u w:val="single"/>
          <w:lang w:val="en-US" w:eastAsia="zh-CN" w:bidi="ar"/>
        </w:rPr>
        <w:t>（单位名称）</w:t>
      </w:r>
      <w:r>
        <w:rPr>
          <w:rFonts w:hint="eastAsia" w:ascii="宋体" w:hAnsi="宋体" w:eastAsia="宋体" w:cs="宋体"/>
          <w:i w:val="0"/>
          <w:iCs w:val="0"/>
          <w:color w:val="000000"/>
          <w:kern w:val="0"/>
          <w:sz w:val="24"/>
          <w:szCs w:val="24"/>
          <w:lang w:val="en-US" w:eastAsia="zh-CN" w:bidi="ar"/>
        </w:rPr>
        <w:t>的</w:t>
      </w:r>
      <w:r>
        <w:rPr>
          <w:rFonts w:hint="eastAsia" w:ascii="宋体" w:hAnsi="宋体" w:eastAsia="宋体" w:cs="宋体"/>
          <w:i w:val="0"/>
          <w:iCs w:val="0"/>
          <w:color w:val="000000"/>
          <w:kern w:val="0"/>
          <w:sz w:val="24"/>
          <w:szCs w:val="24"/>
          <w:u w:val="single"/>
          <w:lang w:val="en-US" w:eastAsia="zh-CN" w:bidi="ar"/>
        </w:rPr>
        <w:t xml:space="preserve">      （项目名称）</w:t>
      </w:r>
      <w:r>
        <w:rPr>
          <w:rFonts w:hint="eastAsia" w:ascii="宋体" w:hAnsi="宋体" w:eastAsia="宋体" w:cs="宋体"/>
          <w:color w:val="000000"/>
          <w:kern w:val="0"/>
          <w:sz w:val="24"/>
          <w:szCs w:val="24"/>
          <w:lang w:val="en-US" w:eastAsia="zh-CN" w:bidi="ar"/>
        </w:rPr>
        <w:t>采购活动，工程的施工单位全部为符合政策要求的中小企业（或者：服务全部由符合政策要求的中小企业承接）。相关企业（含联合体中的中小企业、签订分包意向协议的中小企业）的具体情况如下：</w:t>
      </w:r>
    </w:p>
    <w:p w14:paraId="0150A00E">
      <w:pPr>
        <w:keepNext w:val="0"/>
        <w:keepLines w:val="0"/>
        <w:pageBreakBefore w:val="0"/>
        <w:widowControl/>
        <w:numPr>
          <w:ilvl w:val="0"/>
          <w:numId w:val="0"/>
        </w:numPr>
        <w:suppressLineNumbers w:val="0"/>
        <w:kinsoku/>
        <w:wordWrap/>
        <w:overflowPunct/>
        <w:topLinePunct w:val="0"/>
        <w:autoSpaceDE/>
        <w:autoSpaceDN/>
        <w:bidi w:val="0"/>
        <w:adjustRightInd/>
        <w:snapToGrid/>
        <w:spacing w:line="460" w:lineRule="exact"/>
        <w:jc w:val="left"/>
        <w:textAlignment w:val="auto"/>
        <w:rPr>
          <w:rFonts w:hint="eastAsia" w:ascii="宋体" w:hAnsi="宋体" w:eastAsia="宋体" w:cs="宋体"/>
          <w:i w:val="0"/>
          <w:iCs w:val="0"/>
          <w:sz w:val="24"/>
          <w:szCs w:val="24"/>
        </w:rPr>
      </w:pPr>
      <w:r>
        <w:rPr>
          <w:rFonts w:hint="eastAsia" w:ascii="宋体" w:hAnsi="宋体" w:eastAsia="宋体" w:cs="宋体"/>
          <w:color w:val="000000"/>
          <w:kern w:val="0"/>
          <w:sz w:val="24"/>
          <w:szCs w:val="24"/>
          <w:u w:val="single"/>
          <w:lang w:val="en-US" w:eastAsia="zh-CN" w:bidi="ar"/>
        </w:rPr>
        <w:t xml:space="preserve">1.    </w:t>
      </w:r>
      <w:r>
        <w:rPr>
          <w:rFonts w:hint="eastAsia" w:ascii="宋体" w:hAnsi="宋体" w:eastAsia="宋体" w:cs="宋体"/>
          <w:i w:val="0"/>
          <w:iCs w:val="0"/>
          <w:color w:val="000000"/>
          <w:kern w:val="0"/>
          <w:sz w:val="24"/>
          <w:szCs w:val="24"/>
          <w:u w:val="single"/>
          <w:lang w:val="en-US" w:eastAsia="zh-CN" w:bidi="ar"/>
        </w:rPr>
        <w:t>（标的名称）</w:t>
      </w:r>
      <w:r>
        <w:rPr>
          <w:rFonts w:hint="eastAsia" w:ascii="宋体" w:hAnsi="宋体" w:eastAsia="宋体" w:cs="宋体"/>
          <w:i/>
          <w:iCs/>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，属于</w:t>
      </w:r>
      <w:r>
        <w:rPr>
          <w:rFonts w:hint="eastAsia" w:ascii="宋体" w:hAnsi="宋体" w:eastAsia="宋体" w:cs="宋体"/>
          <w:i/>
          <w:iCs/>
          <w:color w:val="000000"/>
          <w:kern w:val="0"/>
          <w:sz w:val="24"/>
          <w:szCs w:val="24"/>
          <w:lang w:val="en-US" w:eastAsia="zh-CN" w:bidi="ar"/>
        </w:rPr>
        <w:t>（</w:t>
      </w:r>
      <w:r>
        <w:rPr>
          <w:rFonts w:hint="eastAsia" w:ascii="宋体" w:hAnsi="宋体" w:eastAsia="宋体" w:cs="宋体"/>
          <w:i w:val="0"/>
          <w:iCs w:val="0"/>
          <w:color w:val="000000"/>
          <w:kern w:val="0"/>
          <w:sz w:val="24"/>
          <w:szCs w:val="24"/>
          <w:u w:val="single"/>
          <w:lang w:val="en-US" w:eastAsia="zh-CN" w:bidi="ar"/>
        </w:rPr>
        <w:t>采购文件中明确的所属行业</w:t>
      </w:r>
      <w:r>
        <w:rPr>
          <w:rFonts w:hint="eastAsia" w:ascii="宋体" w:hAnsi="宋体" w:eastAsia="宋体" w:cs="宋体"/>
          <w:i/>
          <w:iCs/>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；承建（承接）企业为</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i w:val="0"/>
          <w:iCs w:val="0"/>
          <w:color w:val="000000"/>
          <w:kern w:val="0"/>
          <w:sz w:val="24"/>
          <w:szCs w:val="24"/>
          <w:u w:val="single"/>
          <w:lang w:val="en-US" w:eastAsia="zh-CN" w:bidi="ar"/>
        </w:rPr>
        <w:t>（企业名称）</w:t>
      </w:r>
      <w:r>
        <w:rPr>
          <w:rFonts w:hint="eastAsia" w:ascii="宋体" w:hAnsi="宋体" w:eastAsia="宋体" w:cs="宋体"/>
          <w:color w:val="000000"/>
          <w:kern w:val="0"/>
          <w:sz w:val="24"/>
          <w:szCs w:val="24"/>
          <w:lang w:val="en-US" w:eastAsia="zh-CN" w:bidi="ar"/>
        </w:rPr>
        <w:t>，从业人员</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u w:val="none"/>
          <w:lang w:val="en-US" w:eastAsia="zh-CN" w:bidi="ar"/>
        </w:rPr>
        <w:t>人</w:t>
      </w:r>
      <w:r>
        <w:rPr>
          <w:rFonts w:hint="eastAsia" w:ascii="宋体" w:hAnsi="宋体" w:eastAsia="宋体" w:cs="宋体"/>
          <w:color w:val="000000"/>
          <w:kern w:val="0"/>
          <w:sz w:val="24"/>
          <w:szCs w:val="24"/>
          <w:lang w:val="en-US" w:eastAsia="zh-CN" w:bidi="ar"/>
        </w:rPr>
        <w:t>，营业收入为</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万元，资产总额为</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万元，属于</w:t>
      </w:r>
      <w:r>
        <w:rPr>
          <w:rFonts w:hint="eastAsia" w:ascii="宋体" w:hAnsi="宋体" w:eastAsia="宋体" w:cs="宋体"/>
          <w:i w:val="0"/>
          <w:iCs w:val="0"/>
          <w:color w:val="000000"/>
          <w:kern w:val="0"/>
          <w:sz w:val="24"/>
          <w:szCs w:val="24"/>
          <w:u w:val="single"/>
          <w:lang w:val="en-US" w:eastAsia="zh-CN" w:bidi="ar"/>
        </w:rPr>
        <w:t>（中型企业、 小型企业、微型企业）</w:t>
      </w:r>
      <w:r>
        <w:rPr>
          <w:rFonts w:hint="eastAsia" w:ascii="宋体" w:hAnsi="宋体" w:eastAsia="宋体" w:cs="宋体"/>
          <w:i w:val="0"/>
          <w:iCs w:val="0"/>
          <w:color w:val="000000"/>
          <w:kern w:val="0"/>
          <w:sz w:val="24"/>
          <w:szCs w:val="24"/>
          <w:lang w:val="en-US" w:eastAsia="zh-CN" w:bidi="ar"/>
        </w:rPr>
        <w:t xml:space="preserve">； </w:t>
      </w:r>
    </w:p>
    <w:p w14:paraId="1E997BEA">
      <w:pPr>
        <w:keepNext w:val="0"/>
        <w:keepLines w:val="0"/>
        <w:pageBreakBefore w:val="0"/>
        <w:widowControl/>
        <w:suppressLineNumbers w:val="0"/>
        <w:kinsoku/>
        <w:wordWrap/>
        <w:overflowPunct/>
        <w:topLinePunct w:val="0"/>
        <w:autoSpaceDE/>
        <w:autoSpaceDN/>
        <w:bidi w:val="0"/>
        <w:adjustRightInd/>
        <w:snapToGrid/>
        <w:spacing w:line="46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2.</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i w:val="0"/>
          <w:iCs w:val="0"/>
          <w:color w:val="000000"/>
          <w:kern w:val="0"/>
          <w:sz w:val="24"/>
          <w:szCs w:val="24"/>
          <w:u w:val="single"/>
          <w:lang w:val="en-US" w:eastAsia="zh-CN" w:bidi="ar"/>
        </w:rPr>
        <w:t>（标的名称）</w:t>
      </w:r>
      <w:r>
        <w:rPr>
          <w:rFonts w:hint="eastAsia" w:ascii="宋体" w:hAnsi="宋体" w:eastAsia="宋体" w:cs="宋体"/>
          <w:i/>
          <w:iCs/>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，属于</w:t>
      </w:r>
      <w:r>
        <w:rPr>
          <w:rFonts w:hint="eastAsia" w:ascii="宋体" w:hAnsi="宋体" w:eastAsia="宋体" w:cs="宋体"/>
          <w:i/>
          <w:iCs/>
          <w:color w:val="000000"/>
          <w:kern w:val="0"/>
          <w:sz w:val="24"/>
          <w:szCs w:val="24"/>
          <w:u w:val="single"/>
          <w:lang w:val="en-US" w:eastAsia="zh-CN" w:bidi="ar"/>
        </w:rPr>
        <w:t>（</w:t>
      </w:r>
      <w:r>
        <w:rPr>
          <w:rFonts w:hint="eastAsia" w:ascii="宋体" w:hAnsi="宋体" w:eastAsia="宋体" w:cs="宋体"/>
          <w:i w:val="0"/>
          <w:iCs w:val="0"/>
          <w:color w:val="000000"/>
          <w:kern w:val="0"/>
          <w:sz w:val="24"/>
          <w:szCs w:val="24"/>
          <w:u w:val="single"/>
          <w:lang w:val="en-US" w:eastAsia="zh-CN" w:bidi="ar"/>
        </w:rPr>
        <w:t>采购文件中明确的所属行业）</w:t>
      </w:r>
      <w:r>
        <w:rPr>
          <w:rFonts w:hint="eastAsia" w:ascii="宋体" w:hAnsi="宋体" w:eastAsia="宋体" w:cs="宋体"/>
          <w:i w:val="0"/>
          <w:iCs w:val="0"/>
          <w:color w:val="000000"/>
          <w:kern w:val="0"/>
          <w:sz w:val="24"/>
          <w:szCs w:val="24"/>
          <w:lang w:val="en-US" w:eastAsia="zh-CN" w:bidi="ar"/>
        </w:rPr>
        <w:t>；承建（承接）企业为</w:t>
      </w:r>
      <w:r>
        <w:rPr>
          <w:rFonts w:hint="eastAsia" w:ascii="宋体" w:hAnsi="宋体" w:eastAsia="宋体" w:cs="宋体"/>
          <w:i w:val="0"/>
          <w:iCs w:val="0"/>
          <w:color w:val="000000"/>
          <w:kern w:val="0"/>
          <w:sz w:val="24"/>
          <w:szCs w:val="24"/>
          <w:u w:val="single"/>
          <w:lang w:val="en-US" w:eastAsia="zh-CN" w:bidi="ar"/>
        </w:rPr>
        <w:t>（企业名称）</w:t>
      </w:r>
      <w:r>
        <w:rPr>
          <w:rFonts w:hint="eastAsia" w:ascii="宋体" w:hAnsi="宋体" w:eastAsia="宋体" w:cs="宋体"/>
          <w:color w:val="000000"/>
          <w:kern w:val="0"/>
          <w:sz w:val="24"/>
          <w:szCs w:val="24"/>
          <w:lang w:val="en-US" w:eastAsia="zh-CN" w:bidi="ar"/>
        </w:rPr>
        <w:t>，从业人员</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人，营业收入为</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万元，资产总额为</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万元，属于</w:t>
      </w:r>
      <w:r>
        <w:rPr>
          <w:rFonts w:hint="eastAsia" w:ascii="宋体" w:hAnsi="宋体" w:eastAsia="宋体" w:cs="宋体"/>
          <w:i w:val="0"/>
          <w:iCs w:val="0"/>
          <w:color w:val="000000"/>
          <w:kern w:val="0"/>
          <w:sz w:val="24"/>
          <w:szCs w:val="24"/>
          <w:u w:val="single"/>
          <w:lang w:val="en-US" w:eastAsia="zh-CN" w:bidi="ar"/>
        </w:rPr>
        <w:t>（中型企业、小型企业、微型企业）；</w:t>
      </w:r>
      <w:r>
        <w:rPr>
          <w:rFonts w:hint="eastAsia" w:ascii="宋体" w:hAnsi="宋体" w:eastAsia="宋体" w:cs="宋体"/>
          <w:color w:val="000000"/>
          <w:kern w:val="0"/>
          <w:sz w:val="24"/>
          <w:szCs w:val="24"/>
          <w:lang w:val="en-US" w:eastAsia="zh-CN" w:bidi="ar"/>
        </w:rPr>
        <w:t xml:space="preserve"> </w:t>
      </w:r>
    </w:p>
    <w:p w14:paraId="47DACB94">
      <w:pPr>
        <w:keepNext w:val="0"/>
        <w:keepLines w:val="0"/>
        <w:pageBreakBefore w:val="0"/>
        <w:widowControl/>
        <w:suppressLineNumbers w:val="0"/>
        <w:kinsoku/>
        <w:wordWrap/>
        <w:overflowPunct/>
        <w:topLinePunct w:val="0"/>
        <w:autoSpaceDE/>
        <w:autoSpaceDN/>
        <w:bidi w:val="0"/>
        <w:adjustRightInd/>
        <w:snapToGrid/>
        <w:spacing w:line="46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w:t>
      </w:r>
    </w:p>
    <w:p w14:paraId="3A88EF7E">
      <w:pPr>
        <w:keepNext w:val="0"/>
        <w:keepLines w:val="0"/>
        <w:pageBreakBefore w:val="0"/>
        <w:widowControl/>
        <w:suppressLineNumbers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以上企业，不属于大企业的分支机构，不存在控股股东为大企业的情形，也不存在与大企业的负责人为同一人的情形。</w:t>
      </w:r>
    </w:p>
    <w:p w14:paraId="66C955FD">
      <w:pPr>
        <w:keepNext w:val="0"/>
        <w:keepLines w:val="0"/>
        <w:pageBreakBefore w:val="0"/>
        <w:widowControl/>
        <w:suppressLineNumbers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本企业对上述声明内容的真实性负责。如有虚假，将依法承担相应责任。 </w:t>
      </w:r>
    </w:p>
    <w:p w14:paraId="2FE0FCEA">
      <w:pPr>
        <w:keepNext w:val="0"/>
        <w:keepLines w:val="0"/>
        <w:pageBreakBefore w:val="0"/>
        <w:widowControl/>
        <w:suppressLineNumbers w:val="0"/>
        <w:kinsoku/>
        <w:wordWrap/>
        <w:overflowPunct/>
        <w:topLinePunct w:val="0"/>
        <w:autoSpaceDE/>
        <w:autoSpaceDN/>
        <w:bidi w:val="0"/>
        <w:adjustRightInd/>
        <w:snapToGrid/>
        <w:spacing w:line="460" w:lineRule="exact"/>
        <w:ind w:firstLine="3600" w:firstLineChars="1500"/>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企业名称（盖章）： </w:t>
      </w:r>
    </w:p>
    <w:p w14:paraId="1C1A5230">
      <w:pPr>
        <w:keepNext w:val="0"/>
        <w:keepLines w:val="0"/>
        <w:pageBreakBefore w:val="0"/>
        <w:widowControl/>
        <w:suppressLineNumbers w:val="0"/>
        <w:kinsoku/>
        <w:wordWrap/>
        <w:overflowPunct/>
        <w:topLinePunct w:val="0"/>
        <w:autoSpaceDE/>
        <w:autoSpaceDN/>
        <w:bidi w:val="0"/>
        <w:adjustRightInd/>
        <w:snapToGrid/>
        <w:spacing w:line="460" w:lineRule="exact"/>
        <w:ind w:firstLine="3600" w:firstLineChars="150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日 期： </w:t>
      </w:r>
    </w:p>
    <w:p w14:paraId="20790DA2">
      <w:pPr>
        <w:keepNext w:val="0"/>
        <w:keepLines w:val="0"/>
        <w:pageBreakBefore w:val="0"/>
        <w:widowControl/>
        <w:suppressLineNumbers w:val="0"/>
        <w:kinsoku/>
        <w:wordWrap/>
        <w:overflowPunct/>
        <w:topLinePunct w:val="0"/>
        <w:autoSpaceDE/>
        <w:autoSpaceDN/>
        <w:bidi w:val="0"/>
        <w:adjustRightInd/>
        <w:snapToGrid/>
        <w:spacing w:line="460" w:lineRule="exact"/>
        <w:ind w:firstLine="3600" w:firstLineChars="1500"/>
        <w:jc w:val="left"/>
        <w:textAlignment w:val="auto"/>
        <w:rPr>
          <w:rFonts w:hint="eastAsia" w:ascii="宋体" w:hAnsi="宋体" w:eastAsia="宋体" w:cs="宋体"/>
          <w:color w:val="000000"/>
          <w:kern w:val="0"/>
          <w:sz w:val="24"/>
          <w:szCs w:val="24"/>
          <w:lang w:val="en-US" w:eastAsia="zh-CN" w:bidi="ar"/>
        </w:rPr>
      </w:pPr>
    </w:p>
    <w:p w14:paraId="2B7F9BB0">
      <w:pPr>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b/>
          <w:bCs/>
          <w:color w:val="000000"/>
          <w:kern w:val="0"/>
          <w:sz w:val="18"/>
          <w:szCs w:val="18"/>
          <w:lang w:val="en-US" w:eastAsia="zh-CN" w:bidi="ar"/>
        </w:rPr>
      </w:pPr>
      <w:r>
        <w:rPr>
          <w:rFonts w:hint="eastAsia" w:ascii="宋体" w:hAnsi="宋体" w:eastAsia="宋体" w:cs="宋体"/>
          <w:b/>
          <w:bCs/>
          <w:color w:val="000000"/>
          <w:kern w:val="0"/>
          <w:sz w:val="18"/>
          <w:szCs w:val="18"/>
          <w:lang w:val="en-US" w:eastAsia="zh-CN" w:bidi="ar"/>
        </w:rPr>
        <w:t>备注：</w:t>
      </w:r>
    </w:p>
    <w:p w14:paraId="5A5A5731">
      <w:pPr>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b/>
          <w:bCs/>
          <w:color w:val="000000"/>
          <w:kern w:val="0"/>
          <w:sz w:val="18"/>
          <w:szCs w:val="18"/>
          <w:lang w:val="en-US" w:eastAsia="zh-CN" w:bidi="ar"/>
        </w:rPr>
      </w:pPr>
      <w:r>
        <w:rPr>
          <w:rFonts w:hint="eastAsia" w:ascii="宋体" w:hAnsi="宋体" w:eastAsia="宋体" w:cs="宋体"/>
          <w:b/>
          <w:bCs/>
          <w:color w:val="000000"/>
          <w:kern w:val="0"/>
          <w:sz w:val="18"/>
          <w:szCs w:val="18"/>
          <w:lang w:val="en-US" w:eastAsia="zh-CN" w:bidi="ar"/>
        </w:rPr>
        <w:t>1.从业人员、营业收入、资产总额填报上一年度数据，无上一年度数据的新成立企业可不填报。</w:t>
      </w:r>
    </w:p>
    <w:p w14:paraId="62EEA935">
      <w:pPr>
        <w:pStyle w:val="33"/>
        <w:rPr>
          <w:rFonts w:hint="default"/>
          <w:lang w:val="en-US" w:eastAsia="zh-CN"/>
        </w:rPr>
      </w:pPr>
    </w:p>
    <w:sectPr>
      <w:headerReference r:id="rId17" w:type="default"/>
      <w:footerReference r:id="rId18" w:type="default"/>
      <w:pgSz w:w="11906" w:h="16838"/>
      <w:pgMar w:top="1134" w:right="1418" w:bottom="1134" w:left="1418" w:header="851" w:footer="992" w:gutter="0"/>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
    <w:altName w:val="Times New Roman"/>
    <w:panose1 w:val="00000000000000000000"/>
    <w:charset w:val="00"/>
    <w:family w:val="auto"/>
    <w:pitch w:val="default"/>
    <w:sig w:usb0="00000000" w:usb1="00000000" w:usb2="00000000" w:usb3="00000000" w:csb0="00000001" w:csb1="00000000"/>
  </w:font>
  <w:font w:name="??">
    <w:altName w:val="Times New Roman"/>
    <w:panose1 w:val="00000000000000000000"/>
    <w:charset w:val="00"/>
    <w:family w:val="roman"/>
    <w:pitch w:val="default"/>
    <w:sig w:usb0="00000000" w:usb1="00000000" w:usb2="00000000" w:usb3="00000000" w:csb0="00000001" w:csb1="00000000"/>
  </w:font>
  <w:font w:name="Cambria">
    <w:panose1 w:val="02040503050406030204"/>
    <w:charset w:val="00"/>
    <w:family w:val="roman"/>
    <w:pitch w:val="default"/>
    <w:sig w:usb0="E00006FF" w:usb1="420024FF" w:usb2="02000000" w:usb3="00000000" w:csb0="2000019F" w:csb1="00000000"/>
  </w:font>
  <w:font w:name="monospace">
    <w:altName w:val="Courier New"/>
    <w:panose1 w:val="00000000000000000000"/>
    <w:charset w:val="00"/>
    <w:family w:val="auto"/>
    <w:pitch w:val="default"/>
    <w:sig w:usb0="00000000" w:usb1="00000000" w:usb2="00000000" w:usb3="00000000" w:csb0="00000001" w:csb1="00000000"/>
  </w:font>
  <w:font w:name="Trebuchet MS">
    <w:panose1 w:val="020B0603020202020204"/>
    <w:charset w:val="00"/>
    <w:family w:val="swiss"/>
    <w:pitch w:val="default"/>
    <w:sig w:usb0="00000687" w:usb1="00000000" w:usb2="00000000" w:usb3="00000000" w:csb0="2000009F" w:csb1="00000000"/>
  </w:font>
  <w:font w:name="方正仿宋简体">
    <w:altName w:val="宋体"/>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E18307">
    <w:pPr>
      <w:pStyle w:val="22"/>
      <w:jc w:val="center"/>
    </w:pPr>
  </w:p>
  <w:p w14:paraId="79640459">
    <w:pPr>
      <w:pStyle w:val="2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B612C1">
    <w:pPr>
      <w:pStyle w:val="22"/>
      <w:framePr w:wrap="around" w:vAnchor="text" w:hAnchor="margin" w:xAlign="center" w:y="1"/>
      <w:rPr>
        <w:rStyle w:val="44"/>
      </w:rPr>
    </w:pPr>
    <w:r>
      <w:rPr>
        <w:rStyle w:val="44"/>
      </w:rPr>
      <w:fldChar w:fldCharType="begin"/>
    </w:r>
    <w:r>
      <w:rPr>
        <w:rStyle w:val="44"/>
      </w:rPr>
      <w:instrText xml:space="preserve">PAGE  </w:instrText>
    </w:r>
    <w:r>
      <w:rPr>
        <w:rStyle w:val="44"/>
      </w:rPr>
      <w:fldChar w:fldCharType="separate"/>
    </w:r>
    <w:r>
      <w:rPr>
        <w:rStyle w:val="44"/>
      </w:rPr>
      <w:t>68</w:t>
    </w:r>
    <w:r>
      <w:rPr>
        <w:rStyle w:val="44"/>
      </w:rPr>
      <w:fldChar w:fldCharType="end"/>
    </w:r>
  </w:p>
  <w:p w14:paraId="2419316B">
    <w:pPr>
      <w:pStyle w:val="2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03903B">
    <w:pPr>
      <w:pStyle w:val="2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710601">
    <w:pPr>
      <w:pStyle w:val="22"/>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93456E">
                          <w:pPr>
                            <w:pStyle w:val="2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C93456E">
                    <w:pPr>
                      <w:pStyle w:val="2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p w14:paraId="22B66EA2">
    <w:pPr>
      <w:pStyle w:val="2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B5AAF6">
    <w:pPr>
      <w:pStyle w:val="22"/>
    </w:pPr>
    <w:r>
      <w:fldChar w:fldCharType="begin"/>
    </w:r>
    <w:r>
      <w:instrText xml:space="preserve"> PAGE   \* MERGEFORMAT </w:instrText>
    </w:r>
    <w:r>
      <w:fldChar w:fldCharType="separate"/>
    </w:r>
    <w:r>
      <w:t>23</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983865">
    <w:pPr>
      <w:pStyle w:val="22"/>
    </w:pPr>
    <w:r>
      <w:fldChar w:fldCharType="begin"/>
    </w:r>
    <w:r>
      <w:instrText xml:space="preserve"> PAGE   \* MERGEFORMAT </w:instrText>
    </w:r>
    <w:r>
      <w:fldChar w:fldCharType="separate"/>
    </w:r>
    <w:r>
      <w:t>25</w:t>
    </w:r>
    <w: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552E19">
    <w:pPr>
      <w:pStyle w:val="22"/>
      <w:jc w:val="center"/>
    </w:pPr>
    <w:r>
      <w:fldChar w:fldCharType="begin"/>
    </w:r>
    <w:r>
      <w:instrText xml:space="preserve"> PAGE   \* MERGEFORMAT </w:instrText>
    </w:r>
    <w:r>
      <w:fldChar w:fldCharType="separate"/>
    </w:r>
    <w:r>
      <w:t>41</w:t>
    </w:r>
    <w:r>
      <w:fldChar w:fldCharType="end"/>
    </w:r>
  </w:p>
  <w:p w14:paraId="5575E70F">
    <w:pPr>
      <w:pStyle w:val="22"/>
      <w:jc w:val="center"/>
      <w:rPr>
        <w:rFonts w:ascii="宋体" w:hAnsi="宋体"/>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203A3D">
    <w:pPr>
      <w:pStyle w:val="22"/>
      <w:jc w:val="center"/>
      <w:rPr>
        <w:rFonts w:hint="default"/>
        <w:lang w:val="en-US"/>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E9539E">
                          <w:pPr>
                            <w:pStyle w:val="2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CE9539E">
                    <w:pPr>
                      <w:pStyle w:val="2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32</w:t>
                    </w:r>
                    <w:r>
                      <w:rPr>
                        <w:rFonts w:hint="eastAsia"/>
                        <w:lang w:eastAsia="zh-CN"/>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2EBBEA">
    <w:pPr>
      <w:pStyle w:val="12"/>
      <w:kinsoku w:val="0"/>
      <w:overflowPunct w:val="0"/>
      <w:spacing w:before="0" w:line="14" w:lineRule="auto"/>
      <w:ind w:left="0"/>
      <w:rPr>
        <w:rFonts w:hint="eastAsia"/>
        <w:sz w:val="20"/>
        <w:szCs w:val="24"/>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FC6A34">
                          <w:pPr>
                            <w:pStyle w:val="2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1FC6A34">
                    <w:pPr>
                      <w:pStyle w:val="2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42</w:t>
                    </w:r>
                    <w:r>
                      <w:rPr>
                        <w:rFonts w:hint="eastAsia"/>
                        <w:lang w:eastAsia="zh-CN"/>
                      </w:rP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FC82C">
    <w:pPr>
      <w:pStyle w:val="22"/>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B867E6">
                          <w:pPr>
                            <w:pStyle w:val="2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43</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39B867E6">
                    <w:pPr>
                      <w:pStyle w:val="2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43</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965CAE">
    <w:pPr>
      <w:pStyle w:val="23"/>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B251B8">
    <w:pPr>
      <w:pStyle w:val="2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24DF3">
    <w:pPr>
      <w:rPr>
        <w:rFonts w:ascii="仿宋_GB2312" w:eastAsia="仿宋_GB2312"/>
        <w:i/>
        <w:iCs/>
        <w:sz w:val="18"/>
        <w:szCs w:val="18"/>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E0E726">
    <w:pPr>
      <w:rPr>
        <w:rFonts w:ascii="Tahoma" w:hAnsi="Tahoma"/>
        <w:sz w:val="24"/>
        <w:szCs w:val="20"/>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3C3D65">
    <w:pPr>
      <w:rPr>
        <w:rFonts w:ascii="Tahoma" w:hAnsi="Tahoma"/>
        <w:sz w:val="24"/>
        <w:szCs w:val="20"/>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963A17">
    <w:pPr>
      <w:pStyle w:val="23"/>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2EF670"/>
    <w:multiLevelType w:val="singleLevel"/>
    <w:tmpl w:val="8E2EF670"/>
    <w:lvl w:ilvl="0" w:tentative="0">
      <w:start w:val="4"/>
      <w:numFmt w:val="chineseCounting"/>
      <w:suff w:val="nothing"/>
      <w:lvlText w:val="%1、"/>
      <w:lvlJc w:val="left"/>
      <w:rPr>
        <w:rFonts w:hint="eastAsia"/>
      </w:rPr>
    </w:lvl>
  </w:abstractNum>
  <w:abstractNum w:abstractNumId="1">
    <w:nsid w:val="5A5464B2"/>
    <w:multiLevelType w:val="singleLevel"/>
    <w:tmpl w:val="5A5464B2"/>
    <w:lvl w:ilvl="0" w:tentative="0">
      <w:start w:val="2"/>
      <w:numFmt w:val="chineseCounting"/>
      <w:suff w:val="space"/>
      <w:lvlText w:val="第%1章"/>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YzOWMwNDQ3ODZmYjVlNzM3ZDYxYWI1ZmM5OTdmZjIifQ=="/>
  </w:docVars>
  <w:rsids>
    <w:rsidRoot w:val="00101AA4"/>
    <w:rsid w:val="00000296"/>
    <w:rsid w:val="00001340"/>
    <w:rsid w:val="00004DAA"/>
    <w:rsid w:val="00006BD9"/>
    <w:rsid w:val="00007BA8"/>
    <w:rsid w:val="00010F2C"/>
    <w:rsid w:val="000130F2"/>
    <w:rsid w:val="0001387A"/>
    <w:rsid w:val="00014F7D"/>
    <w:rsid w:val="000162FE"/>
    <w:rsid w:val="000203AA"/>
    <w:rsid w:val="000244CA"/>
    <w:rsid w:val="00024CBC"/>
    <w:rsid w:val="00030171"/>
    <w:rsid w:val="00033566"/>
    <w:rsid w:val="00036B12"/>
    <w:rsid w:val="000400E8"/>
    <w:rsid w:val="0004194F"/>
    <w:rsid w:val="00046152"/>
    <w:rsid w:val="0005003E"/>
    <w:rsid w:val="000546FE"/>
    <w:rsid w:val="00055D65"/>
    <w:rsid w:val="000604DE"/>
    <w:rsid w:val="00062654"/>
    <w:rsid w:val="00063678"/>
    <w:rsid w:val="000641A9"/>
    <w:rsid w:val="000666F1"/>
    <w:rsid w:val="00070AF5"/>
    <w:rsid w:val="00073D96"/>
    <w:rsid w:val="00075628"/>
    <w:rsid w:val="000762D4"/>
    <w:rsid w:val="000771F5"/>
    <w:rsid w:val="0008003B"/>
    <w:rsid w:val="0008025F"/>
    <w:rsid w:val="00080E16"/>
    <w:rsid w:val="0008256D"/>
    <w:rsid w:val="00082FC4"/>
    <w:rsid w:val="000856C6"/>
    <w:rsid w:val="00087367"/>
    <w:rsid w:val="00087CF1"/>
    <w:rsid w:val="000904A3"/>
    <w:rsid w:val="00090ABF"/>
    <w:rsid w:val="000916AB"/>
    <w:rsid w:val="000923E8"/>
    <w:rsid w:val="000947EF"/>
    <w:rsid w:val="00094989"/>
    <w:rsid w:val="00095993"/>
    <w:rsid w:val="00096E90"/>
    <w:rsid w:val="000A02F9"/>
    <w:rsid w:val="000A16A9"/>
    <w:rsid w:val="000A2C01"/>
    <w:rsid w:val="000A32B9"/>
    <w:rsid w:val="000A3552"/>
    <w:rsid w:val="000A3E64"/>
    <w:rsid w:val="000B1E04"/>
    <w:rsid w:val="000B210F"/>
    <w:rsid w:val="000B331B"/>
    <w:rsid w:val="000C182E"/>
    <w:rsid w:val="000D149E"/>
    <w:rsid w:val="000D171A"/>
    <w:rsid w:val="000D4A36"/>
    <w:rsid w:val="000D5078"/>
    <w:rsid w:val="000D7CE7"/>
    <w:rsid w:val="000E5B26"/>
    <w:rsid w:val="000E5B9C"/>
    <w:rsid w:val="000E6F27"/>
    <w:rsid w:val="000E7461"/>
    <w:rsid w:val="000E7F82"/>
    <w:rsid w:val="000F6395"/>
    <w:rsid w:val="00101AA4"/>
    <w:rsid w:val="00102227"/>
    <w:rsid w:val="00102407"/>
    <w:rsid w:val="001047DE"/>
    <w:rsid w:val="001063D0"/>
    <w:rsid w:val="0010650C"/>
    <w:rsid w:val="00106D4F"/>
    <w:rsid w:val="001071A3"/>
    <w:rsid w:val="001119BD"/>
    <w:rsid w:val="00117A00"/>
    <w:rsid w:val="00127B38"/>
    <w:rsid w:val="0013312B"/>
    <w:rsid w:val="00134F82"/>
    <w:rsid w:val="00146E26"/>
    <w:rsid w:val="00152204"/>
    <w:rsid w:val="0015794E"/>
    <w:rsid w:val="001619C0"/>
    <w:rsid w:val="001733AF"/>
    <w:rsid w:val="001757BA"/>
    <w:rsid w:val="00176FAD"/>
    <w:rsid w:val="00183204"/>
    <w:rsid w:val="001A148C"/>
    <w:rsid w:val="001A2117"/>
    <w:rsid w:val="001A33E0"/>
    <w:rsid w:val="001A45DD"/>
    <w:rsid w:val="001A4E5A"/>
    <w:rsid w:val="001B1748"/>
    <w:rsid w:val="001C5A3F"/>
    <w:rsid w:val="001D1043"/>
    <w:rsid w:val="001D50A5"/>
    <w:rsid w:val="001E2B2C"/>
    <w:rsid w:val="001E33A7"/>
    <w:rsid w:val="001E3D69"/>
    <w:rsid w:val="001E4755"/>
    <w:rsid w:val="001E6E8F"/>
    <w:rsid w:val="001F3A08"/>
    <w:rsid w:val="001F610A"/>
    <w:rsid w:val="001F7EE5"/>
    <w:rsid w:val="00200BA8"/>
    <w:rsid w:val="0020454B"/>
    <w:rsid w:val="00204D0F"/>
    <w:rsid w:val="002055DD"/>
    <w:rsid w:val="00205DF6"/>
    <w:rsid w:val="00215D0D"/>
    <w:rsid w:val="0022177D"/>
    <w:rsid w:val="00226DEC"/>
    <w:rsid w:val="002369E9"/>
    <w:rsid w:val="00236D43"/>
    <w:rsid w:val="002446DC"/>
    <w:rsid w:val="002472C0"/>
    <w:rsid w:val="002508FA"/>
    <w:rsid w:val="00253DC3"/>
    <w:rsid w:val="002541CE"/>
    <w:rsid w:val="00255D96"/>
    <w:rsid w:val="00257F22"/>
    <w:rsid w:val="002604A7"/>
    <w:rsid w:val="00260910"/>
    <w:rsid w:val="00264C4C"/>
    <w:rsid w:val="002666CF"/>
    <w:rsid w:val="00266F04"/>
    <w:rsid w:val="002748E7"/>
    <w:rsid w:val="002760C5"/>
    <w:rsid w:val="002967DA"/>
    <w:rsid w:val="002A1F59"/>
    <w:rsid w:val="002B0041"/>
    <w:rsid w:val="002C2DD2"/>
    <w:rsid w:val="002C3877"/>
    <w:rsid w:val="002C424C"/>
    <w:rsid w:val="002D3439"/>
    <w:rsid w:val="002D4DD2"/>
    <w:rsid w:val="002D6CF2"/>
    <w:rsid w:val="002E5713"/>
    <w:rsid w:val="002E5AAD"/>
    <w:rsid w:val="002F0B1B"/>
    <w:rsid w:val="002F10F5"/>
    <w:rsid w:val="002F2283"/>
    <w:rsid w:val="00300C92"/>
    <w:rsid w:val="00302BA8"/>
    <w:rsid w:val="00304D2D"/>
    <w:rsid w:val="00310983"/>
    <w:rsid w:val="00312BD0"/>
    <w:rsid w:val="00313F13"/>
    <w:rsid w:val="00315623"/>
    <w:rsid w:val="00315D4B"/>
    <w:rsid w:val="00315D59"/>
    <w:rsid w:val="00316DBA"/>
    <w:rsid w:val="00331C14"/>
    <w:rsid w:val="00360D30"/>
    <w:rsid w:val="00361C9D"/>
    <w:rsid w:val="00361FAB"/>
    <w:rsid w:val="0036218E"/>
    <w:rsid w:val="00363246"/>
    <w:rsid w:val="00363991"/>
    <w:rsid w:val="00364473"/>
    <w:rsid w:val="00367AD1"/>
    <w:rsid w:val="00370F25"/>
    <w:rsid w:val="003712E8"/>
    <w:rsid w:val="0037283C"/>
    <w:rsid w:val="00376E83"/>
    <w:rsid w:val="00387F27"/>
    <w:rsid w:val="003922AD"/>
    <w:rsid w:val="003A5139"/>
    <w:rsid w:val="003A542B"/>
    <w:rsid w:val="003A5B50"/>
    <w:rsid w:val="003B70AD"/>
    <w:rsid w:val="003C0B9E"/>
    <w:rsid w:val="003C4B12"/>
    <w:rsid w:val="003D01BB"/>
    <w:rsid w:val="003D05EA"/>
    <w:rsid w:val="003D4211"/>
    <w:rsid w:val="003D4C57"/>
    <w:rsid w:val="003E0426"/>
    <w:rsid w:val="003E0F75"/>
    <w:rsid w:val="003E15F2"/>
    <w:rsid w:val="003E4A7A"/>
    <w:rsid w:val="00401C39"/>
    <w:rsid w:val="0040310D"/>
    <w:rsid w:val="00405B07"/>
    <w:rsid w:val="00406B62"/>
    <w:rsid w:val="00415534"/>
    <w:rsid w:val="004220B6"/>
    <w:rsid w:val="00423038"/>
    <w:rsid w:val="00432C0C"/>
    <w:rsid w:val="00433EED"/>
    <w:rsid w:val="00444EE1"/>
    <w:rsid w:val="0044799D"/>
    <w:rsid w:val="00447D5D"/>
    <w:rsid w:val="0045091A"/>
    <w:rsid w:val="00452BB8"/>
    <w:rsid w:val="004640C1"/>
    <w:rsid w:val="0046630B"/>
    <w:rsid w:val="00483AD2"/>
    <w:rsid w:val="0048687D"/>
    <w:rsid w:val="00496FEB"/>
    <w:rsid w:val="004973A7"/>
    <w:rsid w:val="004A010F"/>
    <w:rsid w:val="004A0C24"/>
    <w:rsid w:val="004A3031"/>
    <w:rsid w:val="004A4981"/>
    <w:rsid w:val="004A5376"/>
    <w:rsid w:val="004A5C59"/>
    <w:rsid w:val="004A6517"/>
    <w:rsid w:val="004A68AF"/>
    <w:rsid w:val="004A7D7E"/>
    <w:rsid w:val="004B0537"/>
    <w:rsid w:val="004B142C"/>
    <w:rsid w:val="004D11B3"/>
    <w:rsid w:val="004D1E4C"/>
    <w:rsid w:val="004D2845"/>
    <w:rsid w:val="004D37D6"/>
    <w:rsid w:val="004D75D5"/>
    <w:rsid w:val="004E18B0"/>
    <w:rsid w:val="004E2088"/>
    <w:rsid w:val="004E419C"/>
    <w:rsid w:val="004E65AB"/>
    <w:rsid w:val="004E6C39"/>
    <w:rsid w:val="004E7786"/>
    <w:rsid w:val="004F0347"/>
    <w:rsid w:val="004F0D23"/>
    <w:rsid w:val="004F73C2"/>
    <w:rsid w:val="00500552"/>
    <w:rsid w:val="00501303"/>
    <w:rsid w:val="005027BD"/>
    <w:rsid w:val="00502A5A"/>
    <w:rsid w:val="00507DCF"/>
    <w:rsid w:val="00514620"/>
    <w:rsid w:val="00516339"/>
    <w:rsid w:val="00520FE8"/>
    <w:rsid w:val="005232C1"/>
    <w:rsid w:val="0052412A"/>
    <w:rsid w:val="00526F0E"/>
    <w:rsid w:val="00526F25"/>
    <w:rsid w:val="005307A5"/>
    <w:rsid w:val="0053132A"/>
    <w:rsid w:val="00532112"/>
    <w:rsid w:val="00535151"/>
    <w:rsid w:val="005415A9"/>
    <w:rsid w:val="0054181E"/>
    <w:rsid w:val="00551F7B"/>
    <w:rsid w:val="0055279F"/>
    <w:rsid w:val="0055435D"/>
    <w:rsid w:val="00563833"/>
    <w:rsid w:val="00566F28"/>
    <w:rsid w:val="00567A30"/>
    <w:rsid w:val="00571599"/>
    <w:rsid w:val="00574216"/>
    <w:rsid w:val="00577ECB"/>
    <w:rsid w:val="00577FFA"/>
    <w:rsid w:val="00580237"/>
    <w:rsid w:val="00582F95"/>
    <w:rsid w:val="00586B3D"/>
    <w:rsid w:val="005879D1"/>
    <w:rsid w:val="00594465"/>
    <w:rsid w:val="005A215C"/>
    <w:rsid w:val="005A69CA"/>
    <w:rsid w:val="005C53A8"/>
    <w:rsid w:val="005C6AF9"/>
    <w:rsid w:val="005D651D"/>
    <w:rsid w:val="005E3C18"/>
    <w:rsid w:val="005E617A"/>
    <w:rsid w:val="005E63DB"/>
    <w:rsid w:val="005E7178"/>
    <w:rsid w:val="0060072E"/>
    <w:rsid w:val="00600C9C"/>
    <w:rsid w:val="00612BAF"/>
    <w:rsid w:val="00612DB8"/>
    <w:rsid w:val="00615586"/>
    <w:rsid w:val="006221BC"/>
    <w:rsid w:val="00622699"/>
    <w:rsid w:val="0062761B"/>
    <w:rsid w:val="00630AAC"/>
    <w:rsid w:val="006314C2"/>
    <w:rsid w:val="00631C5A"/>
    <w:rsid w:val="0063566C"/>
    <w:rsid w:val="0063610A"/>
    <w:rsid w:val="006367D4"/>
    <w:rsid w:val="00640320"/>
    <w:rsid w:val="00644CAA"/>
    <w:rsid w:val="0064722F"/>
    <w:rsid w:val="00647D58"/>
    <w:rsid w:val="00652A1B"/>
    <w:rsid w:val="00652A7E"/>
    <w:rsid w:val="006554F0"/>
    <w:rsid w:val="00657AD0"/>
    <w:rsid w:val="006600F1"/>
    <w:rsid w:val="00661E10"/>
    <w:rsid w:val="0066681E"/>
    <w:rsid w:val="006728AB"/>
    <w:rsid w:val="00674A1B"/>
    <w:rsid w:val="006804BB"/>
    <w:rsid w:val="006A0FD0"/>
    <w:rsid w:val="006A4AC4"/>
    <w:rsid w:val="006B014A"/>
    <w:rsid w:val="006B2DDD"/>
    <w:rsid w:val="006B6739"/>
    <w:rsid w:val="006C06C9"/>
    <w:rsid w:val="006C08F0"/>
    <w:rsid w:val="006C214D"/>
    <w:rsid w:val="006C551A"/>
    <w:rsid w:val="006E20F7"/>
    <w:rsid w:val="006E249F"/>
    <w:rsid w:val="006E344D"/>
    <w:rsid w:val="006E51CF"/>
    <w:rsid w:val="006E609A"/>
    <w:rsid w:val="006F0927"/>
    <w:rsid w:val="006F2A4E"/>
    <w:rsid w:val="006F4542"/>
    <w:rsid w:val="006F6DB0"/>
    <w:rsid w:val="006F7BBE"/>
    <w:rsid w:val="00704AEC"/>
    <w:rsid w:val="00711806"/>
    <w:rsid w:val="00711D53"/>
    <w:rsid w:val="00711DFE"/>
    <w:rsid w:val="007137F1"/>
    <w:rsid w:val="007156D2"/>
    <w:rsid w:val="00717890"/>
    <w:rsid w:val="0072037A"/>
    <w:rsid w:val="00737FF0"/>
    <w:rsid w:val="00744368"/>
    <w:rsid w:val="00747CA6"/>
    <w:rsid w:val="0075151D"/>
    <w:rsid w:val="007544C1"/>
    <w:rsid w:val="00761152"/>
    <w:rsid w:val="0076146D"/>
    <w:rsid w:val="00767044"/>
    <w:rsid w:val="007759CA"/>
    <w:rsid w:val="007820C7"/>
    <w:rsid w:val="00784173"/>
    <w:rsid w:val="00787D19"/>
    <w:rsid w:val="00792760"/>
    <w:rsid w:val="00796034"/>
    <w:rsid w:val="00797940"/>
    <w:rsid w:val="007A0E43"/>
    <w:rsid w:val="007A5319"/>
    <w:rsid w:val="007A78FF"/>
    <w:rsid w:val="007A7EF1"/>
    <w:rsid w:val="007B2A84"/>
    <w:rsid w:val="007C0750"/>
    <w:rsid w:val="007C0818"/>
    <w:rsid w:val="007C20C2"/>
    <w:rsid w:val="007C5955"/>
    <w:rsid w:val="007C66D2"/>
    <w:rsid w:val="007D5B74"/>
    <w:rsid w:val="007D68A5"/>
    <w:rsid w:val="007E16C1"/>
    <w:rsid w:val="007E367B"/>
    <w:rsid w:val="007F00B8"/>
    <w:rsid w:val="007F5477"/>
    <w:rsid w:val="007F6C55"/>
    <w:rsid w:val="00802159"/>
    <w:rsid w:val="00804D40"/>
    <w:rsid w:val="0080672E"/>
    <w:rsid w:val="008068DA"/>
    <w:rsid w:val="008068EC"/>
    <w:rsid w:val="00813D04"/>
    <w:rsid w:val="0081414C"/>
    <w:rsid w:val="008178DB"/>
    <w:rsid w:val="00820914"/>
    <w:rsid w:val="00823172"/>
    <w:rsid w:val="00823471"/>
    <w:rsid w:val="008247D9"/>
    <w:rsid w:val="00826C3A"/>
    <w:rsid w:val="00836696"/>
    <w:rsid w:val="00843C8F"/>
    <w:rsid w:val="00846F1B"/>
    <w:rsid w:val="00847998"/>
    <w:rsid w:val="00851B79"/>
    <w:rsid w:val="00853B7D"/>
    <w:rsid w:val="00857654"/>
    <w:rsid w:val="00857B62"/>
    <w:rsid w:val="00862EBB"/>
    <w:rsid w:val="008631DD"/>
    <w:rsid w:val="008703DB"/>
    <w:rsid w:val="008717F5"/>
    <w:rsid w:val="00872CE4"/>
    <w:rsid w:val="00877E4D"/>
    <w:rsid w:val="008829FD"/>
    <w:rsid w:val="00884BA6"/>
    <w:rsid w:val="008858F6"/>
    <w:rsid w:val="00891ACD"/>
    <w:rsid w:val="00892DE8"/>
    <w:rsid w:val="008961FA"/>
    <w:rsid w:val="00897B94"/>
    <w:rsid w:val="008A6628"/>
    <w:rsid w:val="008A74F6"/>
    <w:rsid w:val="008A7D4A"/>
    <w:rsid w:val="008B1998"/>
    <w:rsid w:val="008B1D39"/>
    <w:rsid w:val="008B5573"/>
    <w:rsid w:val="008C6135"/>
    <w:rsid w:val="008D4081"/>
    <w:rsid w:val="008D5387"/>
    <w:rsid w:val="008D53B8"/>
    <w:rsid w:val="008F1D6D"/>
    <w:rsid w:val="008F2C1B"/>
    <w:rsid w:val="008F6AA2"/>
    <w:rsid w:val="00900116"/>
    <w:rsid w:val="009017D1"/>
    <w:rsid w:val="00905BC2"/>
    <w:rsid w:val="00907298"/>
    <w:rsid w:val="009104A9"/>
    <w:rsid w:val="00910B36"/>
    <w:rsid w:val="009114EC"/>
    <w:rsid w:val="0091776B"/>
    <w:rsid w:val="00922592"/>
    <w:rsid w:val="00925CEA"/>
    <w:rsid w:val="00926EE7"/>
    <w:rsid w:val="009324FE"/>
    <w:rsid w:val="00932E19"/>
    <w:rsid w:val="00932F0E"/>
    <w:rsid w:val="0094041C"/>
    <w:rsid w:val="0094055B"/>
    <w:rsid w:val="009410D9"/>
    <w:rsid w:val="00941545"/>
    <w:rsid w:val="009437A7"/>
    <w:rsid w:val="0094403C"/>
    <w:rsid w:val="00946789"/>
    <w:rsid w:val="00955047"/>
    <w:rsid w:val="00955A96"/>
    <w:rsid w:val="009613A3"/>
    <w:rsid w:val="0096147D"/>
    <w:rsid w:val="00965552"/>
    <w:rsid w:val="0096574A"/>
    <w:rsid w:val="0096617A"/>
    <w:rsid w:val="009700E7"/>
    <w:rsid w:val="0097016A"/>
    <w:rsid w:val="00975775"/>
    <w:rsid w:val="0097611D"/>
    <w:rsid w:val="00981749"/>
    <w:rsid w:val="009840B0"/>
    <w:rsid w:val="009869E5"/>
    <w:rsid w:val="009908C0"/>
    <w:rsid w:val="009930AE"/>
    <w:rsid w:val="009A037B"/>
    <w:rsid w:val="009A1685"/>
    <w:rsid w:val="009A30C0"/>
    <w:rsid w:val="009A456E"/>
    <w:rsid w:val="009A52F9"/>
    <w:rsid w:val="009A6799"/>
    <w:rsid w:val="009A693B"/>
    <w:rsid w:val="009A7284"/>
    <w:rsid w:val="009B074B"/>
    <w:rsid w:val="009B0A3E"/>
    <w:rsid w:val="009B119F"/>
    <w:rsid w:val="009B1EC6"/>
    <w:rsid w:val="009B28E6"/>
    <w:rsid w:val="009B33B2"/>
    <w:rsid w:val="009B433A"/>
    <w:rsid w:val="009C6A84"/>
    <w:rsid w:val="009C7FD8"/>
    <w:rsid w:val="009D05BF"/>
    <w:rsid w:val="009D2432"/>
    <w:rsid w:val="009D3CB8"/>
    <w:rsid w:val="009D677E"/>
    <w:rsid w:val="009E0BE8"/>
    <w:rsid w:val="009F064F"/>
    <w:rsid w:val="009F0CAF"/>
    <w:rsid w:val="009F11BA"/>
    <w:rsid w:val="009F15EF"/>
    <w:rsid w:val="009F1EFA"/>
    <w:rsid w:val="009F24D1"/>
    <w:rsid w:val="009F2AD9"/>
    <w:rsid w:val="009F3AF7"/>
    <w:rsid w:val="009F5CA2"/>
    <w:rsid w:val="009F62F9"/>
    <w:rsid w:val="00A01EFD"/>
    <w:rsid w:val="00A04B51"/>
    <w:rsid w:val="00A04B91"/>
    <w:rsid w:val="00A068B7"/>
    <w:rsid w:val="00A1646A"/>
    <w:rsid w:val="00A17158"/>
    <w:rsid w:val="00A203B9"/>
    <w:rsid w:val="00A20856"/>
    <w:rsid w:val="00A20B66"/>
    <w:rsid w:val="00A320D2"/>
    <w:rsid w:val="00A320F8"/>
    <w:rsid w:val="00A35B4E"/>
    <w:rsid w:val="00A377F1"/>
    <w:rsid w:val="00A41CA5"/>
    <w:rsid w:val="00A46BC3"/>
    <w:rsid w:val="00A52866"/>
    <w:rsid w:val="00A5647D"/>
    <w:rsid w:val="00A57C84"/>
    <w:rsid w:val="00A648D2"/>
    <w:rsid w:val="00A648FB"/>
    <w:rsid w:val="00A664D1"/>
    <w:rsid w:val="00A665B8"/>
    <w:rsid w:val="00A71BD0"/>
    <w:rsid w:val="00A81842"/>
    <w:rsid w:val="00A841E3"/>
    <w:rsid w:val="00A920ED"/>
    <w:rsid w:val="00A97447"/>
    <w:rsid w:val="00A97767"/>
    <w:rsid w:val="00AA0B5D"/>
    <w:rsid w:val="00AA0C7F"/>
    <w:rsid w:val="00AA1E25"/>
    <w:rsid w:val="00AA65EF"/>
    <w:rsid w:val="00AA66B5"/>
    <w:rsid w:val="00AB07FC"/>
    <w:rsid w:val="00AB0BCB"/>
    <w:rsid w:val="00AB2858"/>
    <w:rsid w:val="00AB4D17"/>
    <w:rsid w:val="00AB706C"/>
    <w:rsid w:val="00AB7635"/>
    <w:rsid w:val="00AB7D40"/>
    <w:rsid w:val="00AC169A"/>
    <w:rsid w:val="00AC17BD"/>
    <w:rsid w:val="00AC52C4"/>
    <w:rsid w:val="00AD0858"/>
    <w:rsid w:val="00AD0997"/>
    <w:rsid w:val="00AD159E"/>
    <w:rsid w:val="00AD3FA3"/>
    <w:rsid w:val="00AD4EC8"/>
    <w:rsid w:val="00AE2F7F"/>
    <w:rsid w:val="00AE69B6"/>
    <w:rsid w:val="00AF143E"/>
    <w:rsid w:val="00AF35AE"/>
    <w:rsid w:val="00AF5673"/>
    <w:rsid w:val="00AF6531"/>
    <w:rsid w:val="00AF7655"/>
    <w:rsid w:val="00B0235B"/>
    <w:rsid w:val="00B04A7B"/>
    <w:rsid w:val="00B07913"/>
    <w:rsid w:val="00B10B2D"/>
    <w:rsid w:val="00B1461F"/>
    <w:rsid w:val="00B20979"/>
    <w:rsid w:val="00B3066F"/>
    <w:rsid w:val="00B3180C"/>
    <w:rsid w:val="00B32FDE"/>
    <w:rsid w:val="00B3485C"/>
    <w:rsid w:val="00B3551C"/>
    <w:rsid w:val="00B401C8"/>
    <w:rsid w:val="00B43494"/>
    <w:rsid w:val="00B440DE"/>
    <w:rsid w:val="00B455A2"/>
    <w:rsid w:val="00B472AF"/>
    <w:rsid w:val="00B55DD4"/>
    <w:rsid w:val="00B579B0"/>
    <w:rsid w:val="00B61FAA"/>
    <w:rsid w:val="00B628A3"/>
    <w:rsid w:val="00B63904"/>
    <w:rsid w:val="00B65DD7"/>
    <w:rsid w:val="00B70CE9"/>
    <w:rsid w:val="00B74EE6"/>
    <w:rsid w:val="00B76B5B"/>
    <w:rsid w:val="00B836E8"/>
    <w:rsid w:val="00B841A4"/>
    <w:rsid w:val="00B871DD"/>
    <w:rsid w:val="00B91BF5"/>
    <w:rsid w:val="00B97DDA"/>
    <w:rsid w:val="00BA1954"/>
    <w:rsid w:val="00BA3695"/>
    <w:rsid w:val="00BB33FE"/>
    <w:rsid w:val="00BB3C94"/>
    <w:rsid w:val="00BB5C5F"/>
    <w:rsid w:val="00BB612A"/>
    <w:rsid w:val="00BC15FE"/>
    <w:rsid w:val="00BC3680"/>
    <w:rsid w:val="00BC6F1B"/>
    <w:rsid w:val="00BC7668"/>
    <w:rsid w:val="00BD1FA5"/>
    <w:rsid w:val="00BD2812"/>
    <w:rsid w:val="00BD6949"/>
    <w:rsid w:val="00BE36D8"/>
    <w:rsid w:val="00BE445E"/>
    <w:rsid w:val="00BE49A8"/>
    <w:rsid w:val="00BE4B8D"/>
    <w:rsid w:val="00BE5EB9"/>
    <w:rsid w:val="00BE60A5"/>
    <w:rsid w:val="00BF276C"/>
    <w:rsid w:val="00BF28EC"/>
    <w:rsid w:val="00BF51F6"/>
    <w:rsid w:val="00C02D9A"/>
    <w:rsid w:val="00C108D6"/>
    <w:rsid w:val="00C12240"/>
    <w:rsid w:val="00C13F57"/>
    <w:rsid w:val="00C179AE"/>
    <w:rsid w:val="00C21672"/>
    <w:rsid w:val="00C25CD8"/>
    <w:rsid w:val="00C2631B"/>
    <w:rsid w:val="00C316DD"/>
    <w:rsid w:val="00C34FE2"/>
    <w:rsid w:val="00C37A83"/>
    <w:rsid w:val="00C44A63"/>
    <w:rsid w:val="00C466A2"/>
    <w:rsid w:val="00C479FE"/>
    <w:rsid w:val="00C47EB3"/>
    <w:rsid w:val="00C53ADD"/>
    <w:rsid w:val="00C62E07"/>
    <w:rsid w:val="00C6568A"/>
    <w:rsid w:val="00C70F4F"/>
    <w:rsid w:val="00C7353A"/>
    <w:rsid w:val="00C76A0F"/>
    <w:rsid w:val="00C773D7"/>
    <w:rsid w:val="00C83E7E"/>
    <w:rsid w:val="00C840F2"/>
    <w:rsid w:val="00C9122B"/>
    <w:rsid w:val="00C9683B"/>
    <w:rsid w:val="00CA0EF6"/>
    <w:rsid w:val="00CA31DB"/>
    <w:rsid w:val="00CA7AE7"/>
    <w:rsid w:val="00CB1C2D"/>
    <w:rsid w:val="00CC093B"/>
    <w:rsid w:val="00CC23B0"/>
    <w:rsid w:val="00CC3FE0"/>
    <w:rsid w:val="00CC581A"/>
    <w:rsid w:val="00CD33AB"/>
    <w:rsid w:val="00CD5E71"/>
    <w:rsid w:val="00CE5001"/>
    <w:rsid w:val="00CE5BFE"/>
    <w:rsid w:val="00CF0027"/>
    <w:rsid w:val="00CF1C70"/>
    <w:rsid w:val="00CF291C"/>
    <w:rsid w:val="00CF4B54"/>
    <w:rsid w:val="00D03C4B"/>
    <w:rsid w:val="00D060F5"/>
    <w:rsid w:val="00D06613"/>
    <w:rsid w:val="00D10F57"/>
    <w:rsid w:val="00D119E0"/>
    <w:rsid w:val="00D12679"/>
    <w:rsid w:val="00D13FCC"/>
    <w:rsid w:val="00D15B9A"/>
    <w:rsid w:val="00D15D80"/>
    <w:rsid w:val="00D17D8C"/>
    <w:rsid w:val="00D211DD"/>
    <w:rsid w:val="00D26793"/>
    <w:rsid w:val="00D26AB9"/>
    <w:rsid w:val="00D27953"/>
    <w:rsid w:val="00D334C0"/>
    <w:rsid w:val="00D36619"/>
    <w:rsid w:val="00D450F4"/>
    <w:rsid w:val="00D45431"/>
    <w:rsid w:val="00D50E97"/>
    <w:rsid w:val="00D53CC2"/>
    <w:rsid w:val="00D55D26"/>
    <w:rsid w:val="00D63E6E"/>
    <w:rsid w:val="00D6565E"/>
    <w:rsid w:val="00D66B95"/>
    <w:rsid w:val="00D73ED9"/>
    <w:rsid w:val="00D85475"/>
    <w:rsid w:val="00D87DC8"/>
    <w:rsid w:val="00D9044D"/>
    <w:rsid w:val="00D960D4"/>
    <w:rsid w:val="00DA101F"/>
    <w:rsid w:val="00DA2563"/>
    <w:rsid w:val="00DA380B"/>
    <w:rsid w:val="00DA51B9"/>
    <w:rsid w:val="00DB5758"/>
    <w:rsid w:val="00DB5AC9"/>
    <w:rsid w:val="00DB662C"/>
    <w:rsid w:val="00DB7459"/>
    <w:rsid w:val="00DC4722"/>
    <w:rsid w:val="00DC499D"/>
    <w:rsid w:val="00DC4A6E"/>
    <w:rsid w:val="00DC5AFD"/>
    <w:rsid w:val="00DC7034"/>
    <w:rsid w:val="00DD2532"/>
    <w:rsid w:val="00DD262D"/>
    <w:rsid w:val="00DD5A57"/>
    <w:rsid w:val="00DD6991"/>
    <w:rsid w:val="00DD7FEC"/>
    <w:rsid w:val="00DE478A"/>
    <w:rsid w:val="00DF29E0"/>
    <w:rsid w:val="00DF5F77"/>
    <w:rsid w:val="00E0297A"/>
    <w:rsid w:val="00E05CD7"/>
    <w:rsid w:val="00E11BAF"/>
    <w:rsid w:val="00E121FC"/>
    <w:rsid w:val="00E251F6"/>
    <w:rsid w:val="00E311A1"/>
    <w:rsid w:val="00E34833"/>
    <w:rsid w:val="00E34FF9"/>
    <w:rsid w:val="00E40272"/>
    <w:rsid w:val="00E404E8"/>
    <w:rsid w:val="00E41690"/>
    <w:rsid w:val="00E4200B"/>
    <w:rsid w:val="00E4229F"/>
    <w:rsid w:val="00E45AB6"/>
    <w:rsid w:val="00E47059"/>
    <w:rsid w:val="00E47283"/>
    <w:rsid w:val="00E50150"/>
    <w:rsid w:val="00E50BF1"/>
    <w:rsid w:val="00E51FC3"/>
    <w:rsid w:val="00E53FDA"/>
    <w:rsid w:val="00E54C8A"/>
    <w:rsid w:val="00E56EAE"/>
    <w:rsid w:val="00E656AA"/>
    <w:rsid w:val="00E65F73"/>
    <w:rsid w:val="00E66759"/>
    <w:rsid w:val="00E6706B"/>
    <w:rsid w:val="00E6707B"/>
    <w:rsid w:val="00E6785B"/>
    <w:rsid w:val="00E67BB4"/>
    <w:rsid w:val="00E705A5"/>
    <w:rsid w:val="00E715AA"/>
    <w:rsid w:val="00E7313E"/>
    <w:rsid w:val="00E73C5F"/>
    <w:rsid w:val="00E761CC"/>
    <w:rsid w:val="00E76A25"/>
    <w:rsid w:val="00E8351B"/>
    <w:rsid w:val="00E847F7"/>
    <w:rsid w:val="00E87230"/>
    <w:rsid w:val="00E872AD"/>
    <w:rsid w:val="00E87666"/>
    <w:rsid w:val="00E9078D"/>
    <w:rsid w:val="00E912E2"/>
    <w:rsid w:val="00E92B97"/>
    <w:rsid w:val="00E94C56"/>
    <w:rsid w:val="00E96D5C"/>
    <w:rsid w:val="00E97300"/>
    <w:rsid w:val="00EA1E89"/>
    <w:rsid w:val="00EC22AB"/>
    <w:rsid w:val="00EC2622"/>
    <w:rsid w:val="00EC4734"/>
    <w:rsid w:val="00EC7EEE"/>
    <w:rsid w:val="00ED4472"/>
    <w:rsid w:val="00ED7048"/>
    <w:rsid w:val="00ED7DB6"/>
    <w:rsid w:val="00EE1040"/>
    <w:rsid w:val="00EE2F7B"/>
    <w:rsid w:val="00EE7E07"/>
    <w:rsid w:val="00EF72A0"/>
    <w:rsid w:val="00F00A1D"/>
    <w:rsid w:val="00F06716"/>
    <w:rsid w:val="00F0751B"/>
    <w:rsid w:val="00F10359"/>
    <w:rsid w:val="00F11559"/>
    <w:rsid w:val="00F141A0"/>
    <w:rsid w:val="00F1438C"/>
    <w:rsid w:val="00F214B0"/>
    <w:rsid w:val="00F232A9"/>
    <w:rsid w:val="00F2452B"/>
    <w:rsid w:val="00F3403B"/>
    <w:rsid w:val="00F37DC2"/>
    <w:rsid w:val="00F41097"/>
    <w:rsid w:val="00F42B8A"/>
    <w:rsid w:val="00F5283D"/>
    <w:rsid w:val="00F6115B"/>
    <w:rsid w:val="00F61283"/>
    <w:rsid w:val="00F633BC"/>
    <w:rsid w:val="00F64D62"/>
    <w:rsid w:val="00F65CFD"/>
    <w:rsid w:val="00F76F99"/>
    <w:rsid w:val="00F86649"/>
    <w:rsid w:val="00F91EFE"/>
    <w:rsid w:val="00F94DA0"/>
    <w:rsid w:val="00F96CCC"/>
    <w:rsid w:val="00F97F0A"/>
    <w:rsid w:val="00FA0015"/>
    <w:rsid w:val="00FA2720"/>
    <w:rsid w:val="00FA319E"/>
    <w:rsid w:val="00FA6BE0"/>
    <w:rsid w:val="00FA72A6"/>
    <w:rsid w:val="00FA7CE8"/>
    <w:rsid w:val="00FB5939"/>
    <w:rsid w:val="00FC11E5"/>
    <w:rsid w:val="00FC23A5"/>
    <w:rsid w:val="00FC7301"/>
    <w:rsid w:val="00FE76AB"/>
    <w:rsid w:val="00FF2520"/>
    <w:rsid w:val="00FF4215"/>
    <w:rsid w:val="00FF4C85"/>
    <w:rsid w:val="00FF7BA0"/>
    <w:rsid w:val="025518B7"/>
    <w:rsid w:val="03AF0BFA"/>
    <w:rsid w:val="045E37CF"/>
    <w:rsid w:val="04733FDD"/>
    <w:rsid w:val="04D806FC"/>
    <w:rsid w:val="05A77647"/>
    <w:rsid w:val="062C0CFF"/>
    <w:rsid w:val="06562220"/>
    <w:rsid w:val="07E86EA8"/>
    <w:rsid w:val="089E50F5"/>
    <w:rsid w:val="098B0B6B"/>
    <w:rsid w:val="09960CD2"/>
    <w:rsid w:val="09A613C6"/>
    <w:rsid w:val="0A6F3609"/>
    <w:rsid w:val="0A8507F9"/>
    <w:rsid w:val="0AF41594"/>
    <w:rsid w:val="0B1A6D83"/>
    <w:rsid w:val="0B7A147A"/>
    <w:rsid w:val="0E3B24FA"/>
    <w:rsid w:val="0E80773F"/>
    <w:rsid w:val="0F732105"/>
    <w:rsid w:val="102D2243"/>
    <w:rsid w:val="10613C9B"/>
    <w:rsid w:val="11CC3396"/>
    <w:rsid w:val="122359BE"/>
    <w:rsid w:val="12A32349"/>
    <w:rsid w:val="12BA3CDF"/>
    <w:rsid w:val="13433B2C"/>
    <w:rsid w:val="137C0A30"/>
    <w:rsid w:val="14C70372"/>
    <w:rsid w:val="17BD10F1"/>
    <w:rsid w:val="18570350"/>
    <w:rsid w:val="1A622DB2"/>
    <w:rsid w:val="1AE41750"/>
    <w:rsid w:val="1B525193"/>
    <w:rsid w:val="1BE37C5A"/>
    <w:rsid w:val="1EC3527A"/>
    <w:rsid w:val="20AC37E8"/>
    <w:rsid w:val="22F770EE"/>
    <w:rsid w:val="23AC3CE3"/>
    <w:rsid w:val="246D27B7"/>
    <w:rsid w:val="2493634B"/>
    <w:rsid w:val="25257857"/>
    <w:rsid w:val="25E46AA9"/>
    <w:rsid w:val="26BF0CC7"/>
    <w:rsid w:val="26CC7C68"/>
    <w:rsid w:val="2A4A5C5C"/>
    <w:rsid w:val="2A727991"/>
    <w:rsid w:val="2AC86999"/>
    <w:rsid w:val="2BA57A31"/>
    <w:rsid w:val="2EF14341"/>
    <w:rsid w:val="2F4152C6"/>
    <w:rsid w:val="2F516CB1"/>
    <w:rsid w:val="30115D60"/>
    <w:rsid w:val="311E0CC6"/>
    <w:rsid w:val="31293F09"/>
    <w:rsid w:val="312C53EC"/>
    <w:rsid w:val="3157211F"/>
    <w:rsid w:val="3170384F"/>
    <w:rsid w:val="319C33BC"/>
    <w:rsid w:val="32002312"/>
    <w:rsid w:val="33843679"/>
    <w:rsid w:val="33D06D89"/>
    <w:rsid w:val="33D87725"/>
    <w:rsid w:val="34DD18A5"/>
    <w:rsid w:val="37CE72F7"/>
    <w:rsid w:val="380736A8"/>
    <w:rsid w:val="38365414"/>
    <w:rsid w:val="383B3CC3"/>
    <w:rsid w:val="3868339C"/>
    <w:rsid w:val="38B0063F"/>
    <w:rsid w:val="38CE78CC"/>
    <w:rsid w:val="3C031BFB"/>
    <w:rsid w:val="3C681CE2"/>
    <w:rsid w:val="3CE65E70"/>
    <w:rsid w:val="3D070EFD"/>
    <w:rsid w:val="3E7F5C73"/>
    <w:rsid w:val="3EC0061D"/>
    <w:rsid w:val="3FCE7FBC"/>
    <w:rsid w:val="41405041"/>
    <w:rsid w:val="419134A3"/>
    <w:rsid w:val="41AC4C6A"/>
    <w:rsid w:val="43036368"/>
    <w:rsid w:val="44716C18"/>
    <w:rsid w:val="44C4255E"/>
    <w:rsid w:val="490966A2"/>
    <w:rsid w:val="49370B3B"/>
    <w:rsid w:val="496C7E7A"/>
    <w:rsid w:val="49D8054A"/>
    <w:rsid w:val="4B213589"/>
    <w:rsid w:val="4B95246F"/>
    <w:rsid w:val="4C105D0E"/>
    <w:rsid w:val="4DBC3DA8"/>
    <w:rsid w:val="50F66431"/>
    <w:rsid w:val="513D3894"/>
    <w:rsid w:val="51D841A9"/>
    <w:rsid w:val="52106022"/>
    <w:rsid w:val="523214F8"/>
    <w:rsid w:val="531942CD"/>
    <w:rsid w:val="53276EBD"/>
    <w:rsid w:val="535252A4"/>
    <w:rsid w:val="54A166B9"/>
    <w:rsid w:val="572D17AE"/>
    <w:rsid w:val="57AC3302"/>
    <w:rsid w:val="58F509F1"/>
    <w:rsid w:val="59E66E35"/>
    <w:rsid w:val="5A364E1D"/>
    <w:rsid w:val="5A403EEE"/>
    <w:rsid w:val="5AE14D89"/>
    <w:rsid w:val="5B3B09CE"/>
    <w:rsid w:val="5B9361CB"/>
    <w:rsid w:val="5B9F1E8E"/>
    <w:rsid w:val="5CA0548C"/>
    <w:rsid w:val="5E193160"/>
    <w:rsid w:val="608D150F"/>
    <w:rsid w:val="60BA5B08"/>
    <w:rsid w:val="60DE01DD"/>
    <w:rsid w:val="6217041A"/>
    <w:rsid w:val="62AB4465"/>
    <w:rsid w:val="62C751FB"/>
    <w:rsid w:val="64F84DA1"/>
    <w:rsid w:val="654D0421"/>
    <w:rsid w:val="665E09A4"/>
    <w:rsid w:val="66640359"/>
    <w:rsid w:val="67CD691D"/>
    <w:rsid w:val="67E462CB"/>
    <w:rsid w:val="686F6476"/>
    <w:rsid w:val="68BA5CD3"/>
    <w:rsid w:val="690C7984"/>
    <w:rsid w:val="69532998"/>
    <w:rsid w:val="69927DAB"/>
    <w:rsid w:val="69D34A22"/>
    <w:rsid w:val="6B0A20DA"/>
    <w:rsid w:val="6BD732BE"/>
    <w:rsid w:val="6C674679"/>
    <w:rsid w:val="6CF2358A"/>
    <w:rsid w:val="6DE46A0C"/>
    <w:rsid w:val="6E3C17B3"/>
    <w:rsid w:val="70296207"/>
    <w:rsid w:val="702C28BB"/>
    <w:rsid w:val="709A0731"/>
    <w:rsid w:val="70CC0DB4"/>
    <w:rsid w:val="71514CF5"/>
    <w:rsid w:val="72022197"/>
    <w:rsid w:val="7229553C"/>
    <w:rsid w:val="7238752D"/>
    <w:rsid w:val="72F231E5"/>
    <w:rsid w:val="75C14FD2"/>
    <w:rsid w:val="76437106"/>
    <w:rsid w:val="764534B6"/>
    <w:rsid w:val="76AE4B60"/>
    <w:rsid w:val="76B65614"/>
    <w:rsid w:val="76D30AC2"/>
    <w:rsid w:val="77555FB4"/>
    <w:rsid w:val="77C63F63"/>
    <w:rsid w:val="79BF2147"/>
    <w:rsid w:val="7A507B04"/>
    <w:rsid w:val="7B331DC1"/>
    <w:rsid w:val="7B7B0C76"/>
    <w:rsid w:val="7D0A3DDE"/>
    <w:rsid w:val="7D9D293A"/>
    <w:rsid w:val="7E437775"/>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1"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qFormat="1" w:unhideWhenUsed="0" w:uiPriority="99" w:name="index 1"/>
    <w:lsdException w:uiPriority="99" w:name="index 2"/>
    <w:lsdException w:uiPriority="99" w:name="index 3"/>
    <w:lsdException w:uiPriority="99" w:name="index 4"/>
    <w:lsdException w:uiPriority="99" w:name="index 5"/>
    <w:lsdException w:qFormat="1" w:unhideWhenUsed="0" w:uiPriority="99" w:semiHidden="0"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qFormat="1" w:unhideWhenUsed="0" w:uiPriority="99" w:semiHidden="0" w:name="table of figures"/>
    <w:lsdException w:uiPriority="99" w:name="envelope address"/>
    <w:lsdException w:uiPriority="99" w:name="envelope return"/>
    <w:lsdException w:qFormat="1" w:unhideWhenUsed="0" w:uiPriority="99" w:name="footnote reference"/>
    <w:lsdException w:qFormat="1" w:unhideWhenUsed="0" w:uiPriority="99" w:semiHidden="0" w:name="annotation reference"/>
    <w:lsdException w:uiPriority="99" w:name="line number"/>
    <w:lsdException w:qFormat="1" w:unhideWhenUsed="0" w:uiPriority="99"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nhideWhenUsed="0" w:uiPriority="99" w:name="Default Paragraph Font"/>
    <w:lsdException w:qFormat="1" w:unhideWhenUsed="0" w:uiPriority="99" w:semiHidden="0" w:name="Body Text"/>
    <w:lsdException w:qFormat="1" w:unhideWhenUsed="0" w:uiPriority="99" w:semiHidden="0" w:name="Body Text Indent"/>
    <w:lsdException w:uiPriority="99" w:name="List Continue"/>
    <w:lsdException w:qFormat="1" w:unhideWhenUsed="0" w:uiPriority="99"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99" w:semiHidden="0" w:name="Subtitle"/>
    <w:lsdException w:uiPriority="99" w:name="Salutation"/>
    <w:lsdException w:qFormat="1" w:unhideWhenUsed="0" w:uiPriority="99"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uiPriority="99" w:name="Body Text 3"/>
    <w:lsdException w:qFormat="1" w:unhideWhenUsed="0" w:uiPriority="99" w:semiHidden="0" w:name="Body Text Indent 2"/>
    <w:lsdException w:qFormat="1" w:unhideWhenUsed="0" w:uiPriority="99"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99" w:name="E-mail Signature"/>
    <w:lsdException w:qFormat="1" w:unhideWhenUsed="0" w:uiPriority="99" w:semiHidden="0" w:name="Normal (Web)"/>
    <w:lsdException w:qFormat="1" w:unhideWhenUsed="0" w:uiPriority="99" w:semiHidden="0" w:name="HTML Acronym"/>
    <w:lsdException w:uiPriority="99"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uiPriority="99" w:name="HTML Preformatted"/>
    <w:lsdException w:qFormat="1" w:unhideWhenUsed="0" w:uiPriority="99" w:semiHidden="0" w:name="HTML Sample"/>
    <w:lsdException w:uiPriority="99" w:name="HTML Typewriter"/>
    <w:lsdException w:qFormat="1" w:unhideWhenUsed="0" w:uiPriority="99" w:semiHidden="0"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57"/>
    <w:qFormat/>
    <w:uiPriority w:val="99"/>
    <w:pPr>
      <w:keepNext/>
      <w:widowControl/>
      <w:spacing w:before="340" w:after="330" w:line="576" w:lineRule="auto"/>
      <w:jc w:val="center"/>
      <w:outlineLvl w:val="0"/>
    </w:pPr>
    <w:rPr>
      <w:rFonts w:ascii="???" w:hAnsi="???" w:cs="Arial"/>
      <w:b/>
      <w:bCs/>
      <w:color w:val="020000"/>
      <w:kern w:val="36"/>
      <w:sz w:val="44"/>
      <w:szCs w:val="44"/>
    </w:rPr>
  </w:style>
  <w:style w:type="paragraph" w:styleId="3">
    <w:name w:val="heading 2"/>
    <w:basedOn w:val="1"/>
    <w:next w:val="1"/>
    <w:link w:val="58"/>
    <w:qFormat/>
    <w:uiPriority w:val="99"/>
    <w:pPr>
      <w:keepNext/>
      <w:widowControl/>
      <w:spacing w:before="260" w:after="260" w:line="412" w:lineRule="auto"/>
      <w:outlineLvl w:val="1"/>
    </w:pPr>
    <w:rPr>
      <w:rFonts w:ascii="???" w:hAnsi="???" w:cs="Arial"/>
      <w:b/>
      <w:bCs/>
      <w:color w:val="020000"/>
      <w:kern w:val="0"/>
      <w:sz w:val="32"/>
      <w:szCs w:val="32"/>
    </w:rPr>
  </w:style>
  <w:style w:type="paragraph" w:styleId="4">
    <w:name w:val="heading 3"/>
    <w:basedOn w:val="1"/>
    <w:next w:val="1"/>
    <w:link w:val="59"/>
    <w:qFormat/>
    <w:uiPriority w:val="99"/>
    <w:pPr>
      <w:keepNext/>
      <w:widowControl/>
      <w:spacing w:before="260" w:after="260" w:line="412" w:lineRule="auto"/>
      <w:outlineLvl w:val="2"/>
    </w:pPr>
    <w:rPr>
      <w:rFonts w:ascii="??" w:hAnsi="??" w:cs="Arial"/>
      <w:b/>
      <w:bCs/>
      <w:color w:val="000000"/>
      <w:kern w:val="0"/>
      <w:sz w:val="32"/>
      <w:szCs w:val="32"/>
    </w:rPr>
  </w:style>
  <w:style w:type="paragraph" w:styleId="5">
    <w:name w:val="heading 4"/>
    <w:basedOn w:val="1"/>
    <w:next w:val="1"/>
    <w:unhideWhenUsed/>
    <w:qFormat/>
    <w:locked/>
    <w:uiPriority w:val="1"/>
    <w:pPr>
      <w:spacing w:before="36"/>
      <w:ind w:left="588"/>
      <w:outlineLvl w:val="3"/>
    </w:pPr>
    <w:rPr>
      <w:rFonts w:hint="eastAsia" w:ascii="宋体" w:hAnsi="宋体" w:eastAsia="宋体"/>
      <w:b/>
      <w:sz w:val="24"/>
      <w:szCs w:val="24"/>
    </w:rPr>
  </w:style>
  <w:style w:type="character" w:default="1" w:styleId="42">
    <w:name w:val="Default Paragraph Font"/>
    <w:semiHidden/>
    <w:qFormat/>
    <w:uiPriority w:val="99"/>
  </w:style>
  <w:style w:type="table" w:default="1" w:styleId="40">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qFormat/>
    <w:uiPriority w:val="99"/>
    <w:pPr>
      <w:ind w:left="2520" w:leftChars="1200"/>
    </w:pPr>
    <w:rPr>
      <w:rFonts w:ascii="Times New Roman" w:hAnsi="Times New Roman"/>
      <w:szCs w:val="24"/>
    </w:rPr>
  </w:style>
  <w:style w:type="paragraph" w:styleId="7">
    <w:name w:val="List Number"/>
    <w:basedOn w:val="1"/>
    <w:qFormat/>
    <w:uiPriority w:val="99"/>
    <w:pPr>
      <w:widowControl/>
      <w:spacing w:before="100" w:beforeAutospacing="1" w:after="100" w:afterAutospacing="1"/>
      <w:jc w:val="left"/>
    </w:pPr>
    <w:rPr>
      <w:rFonts w:ascii="宋体" w:hAnsi="宋体" w:cs="宋体"/>
      <w:kern w:val="0"/>
      <w:sz w:val="24"/>
      <w:szCs w:val="24"/>
    </w:rPr>
  </w:style>
  <w:style w:type="paragraph" w:styleId="8">
    <w:name w:val="Normal Indent"/>
    <w:basedOn w:val="1"/>
    <w:next w:val="1"/>
    <w:link w:val="117"/>
    <w:qFormat/>
    <w:uiPriority w:val="99"/>
    <w:pPr>
      <w:ind w:firstLine="420" w:firstLineChars="200"/>
    </w:pPr>
    <w:rPr>
      <w:rFonts w:ascii="Times New Roman" w:hAnsi="Times New Roman"/>
      <w:kern w:val="0"/>
      <w:sz w:val="24"/>
      <w:szCs w:val="20"/>
    </w:rPr>
  </w:style>
  <w:style w:type="paragraph" w:styleId="9">
    <w:name w:val="Document Map"/>
    <w:basedOn w:val="1"/>
    <w:link w:val="135"/>
    <w:qFormat/>
    <w:uiPriority w:val="99"/>
    <w:rPr>
      <w:rFonts w:ascii="宋体"/>
      <w:kern w:val="0"/>
      <w:sz w:val="18"/>
      <w:szCs w:val="20"/>
    </w:rPr>
  </w:style>
  <w:style w:type="paragraph" w:styleId="10">
    <w:name w:val="annotation text"/>
    <w:basedOn w:val="1"/>
    <w:link w:val="61"/>
    <w:qFormat/>
    <w:uiPriority w:val="99"/>
    <w:pPr>
      <w:jc w:val="left"/>
    </w:pPr>
  </w:style>
  <w:style w:type="paragraph" w:styleId="11">
    <w:name w:val="index 6"/>
    <w:basedOn w:val="1"/>
    <w:next w:val="1"/>
    <w:qFormat/>
    <w:uiPriority w:val="99"/>
    <w:pPr>
      <w:ind w:left="2100"/>
    </w:pPr>
  </w:style>
  <w:style w:type="paragraph" w:styleId="12">
    <w:name w:val="Body Text"/>
    <w:basedOn w:val="1"/>
    <w:next w:val="1"/>
    <w:link w:val="138"/>
    <w:qFormat/>
    <w:uiPriority w:val="99"/>
    <w:pPr>
      <w:spacing w:after="120"/>
    </w:pPr>
    <w:rPr>
      <w:kern w:val="0"/>
      <w:sz w:val="24"/>
      <w:szCs w:val="20"/>
    </w:rPr>
  </w:style>
  <w:style w:type="paragraph" w:styleId="13">
    <w:name w:val="Body Text Indent"/>
    <w:basedOn w:val="1"/>
    <w:link w:val="63"/>
    <w:qFormat/>
    <w:uiPriority w:val="99"/>
    <w:pPr>
      <w:widowControl/>
      <w:spacing w:after="120"/>
      <w:ind w:left="420"/>
    </w:pPr>
    <w:rPr>
      <w:rFonts w:ascii="??" w:hAnsi="??" w:cs="Arial"/>
      <w:kern w:val="0"/>
      <w:sz w:val="24"/>
      <w:szCs w:val="24"/>
    </w:rPr>
  </w:style>
  <w:style w:type="paragraph" w:styleId="14">
    <w:name w:val="toc 5"/>
    <w:basedOn w:val="1"/>
    <w:next w:val="1"/>
    <w:qFormat/>
    <w:uiPriority w:val="99"/>
    <w:pPr>
      <w:ind w:left="1680" w:leftChars="800"/>
    </w:pPr>
    <w:rPr>
      <w:rFonts w:ascii="Times New Roman" w:hAnsi="Times New Roman"/>
      <w:szCs w:val="24"/>
    </w:rPr>
  </w:style>
  <w:style w:type="paragraph" w:styleId="15">
    <w:name w:val="toc 3"/>
    <w:basedOn w:val="1"/>
    <w:next w:val="1"/>
    <w:qFormat/>
    <w:uiPriority w:val="99"/>
    <w:pPr>
      <w:ind w:left="840" w:leftChars="400"/>
    </w:pPr>
    <w:rPr>
      <w:rFonts w:ascii="Times New Roman" w:hAnsi="Times New Roman"/>
      <w:szCs w:val="24"/>
    </w:rPr>
  </w:style>
  <w:style w:type="paragraph" w:styleId="16">
    <w:name w:val="Plain Text"/>
    <w:basedOn w:val="1"/>
    <w:link w:val="64"/>
    <w:qFormat/>
    <w:uiPriority w:val="99"/>
    <w:rPr>
      <w:rFonts w:ascii="宋体" w:hAnsi="Courier New"/>
      <w:sz w:val="24"/>
      <w:szCs w:val="24"/>
    </w:rPr>
  </w:style>
  <w:style w:type="paragraph" w:styleId="17">
    <w:name w:val="toc 8"/>
    <w:basedOn w:val="1"/>
    <w:next w:val="1"/>
    <w:qFormat/>
    <w:uiPriority w:val="99"/>
    <w:pPr>
      <w:ind w:left="2940" w:leftChars="1400"/>
    </w:pPr>
    <w:rPr>
      <w:rFonts w:ascii="Times New Roman" w:hAnsi="Times New Roman"/>
      <w:szCs w:val="24"/>
    </w:rPr>
  </w:style>
  <w:style w:type="paragraph" w:styleId="18">
    <w:name w:val="Date"/>
    <w:basedOn w:val="1"/>
    <w:next w:val="1"/>
    <w:link w:val="65"/>
    <w:qFormat/>
    <w:uiPriority w:val="99"/>
    <w:rPr>
      <w:rFonts w:ascii="Times New Roman" w:hAnsi="Times New Roman"/>
      <w:kern w:val="0"/>
      <w:sz w:val="20"/>
      <w:szCs w:val="21"/>
    </w:rPr>
  </w:style>
  <w:style w:type="paragraph" w:styleId="19">
    <w:name w:val="Body Text Indent 2"/>
    <w:basedOn w:val="1"/>
    <w:link w:val="131"/>
    <w:qFormat/>
    <w:uiPriority w:val="99"/>
    <w:pPr>
      <w:spacing w:before="100" w:beforeAutospacing="1" w:after="100" w:afterAutospacing="1" w:line="360" w:lineRule="auto"/>
      <w:ind w:firstLine="420"/>
    </w:pPr>
    <w:rPr>
      <w:rFonts w:ascii="宋体"/>
      <w:kern w:val="0"/>
      <w:sz w:val="24"/>
      <w:szCs w:val="20"/>
    </w:rPr>
  </w:style>
  <w:style w:type="paragraph" w:styleId="20">
    <w:name w:val="endnote text"/>
    <w:basedOn w:val="1"/>
    <w:qFormat/>
    <w:uiPriority w:val="0"/>
    <w:pPr>
      <w:snapToGrid w:val="0"/>
      <w:jc w:val="left"/>
    </w:pPr>
  </w:style>
  <w:style w:type="paragraph" w:styleId="21">
    <w:name w:val="Balloon Text"/>
    <w:basedOn w:val="1"/>
    <w:link w:val="67"/>
    <w:qFormat/>
    <w:uiPriority w:val="99"/>
    <w:rPr>
      <w:sz w:val="18"/>
      <w:szCs w:val="18"/>
    </w:rPr>
  </w:style>
  <w:style w:type="paragraph" w:styleId="22">
    <w:name w:val="footer"/>
    <w:basedOn w:val="1"/>
    <w:link w:val="68"/>
    <w:qFormat/>
    <w:uiPriority w:val="99"/>
    <w:pPr>
      <w:tabs>
        <w:tab w:val="center" w:pos="4153"/>
        <w:tab w:val="right" w:pos="8306"/>
      </w:tabs>
      <w:snapToGrid w:val="0"/>
      <w:jc w:val="left"/>
    </w:pPr>
    <w:rPr>
      <w:sz w:val="18"/>
      <w:szCs w:val="18"/>
    </w:rPr>
  </w:style>
  <w:style w:type="paragraph" w:styleId="23">
    <w:name w:val="header"/>
    <w:basedOn w:val="1"/>
    <w:link w:val="69"/>
    <w:qFormat/>
    <w:uiPriority w:val="99"/>
    <w:pPr>
      <w:pBdr>
        <w:bottom w:val="single" w:color="auto" w:sz="6" w:space="1"/>
      </w:pBdr>
      <w:tabs>
        <w:tab w:val="center" w:pos="4153"/>
        <w:tab w:val="right" w:pos="8306"/>
      </w:tabs>
      <w:snapToGrid w:val="0"/>
      <w:jc w:val="center"/>
    </w:pPr>
    <w:rPr>
      <w:sz w:val="18"/>
      <w:szCs w:val="18"/>
    </w:rPr>
  </w:style>
  <w:style w:type="paragraph" w:styleId="24">
    <w:name w:val="toc 1"/>
    <w:basedOn w:val="1"/>
    <w:next w:val="1"/>
    <w:qFormat/>
    <w:uiPriority w:val="99"/>
    <w:rPr>
      <w:rFonts w:ascii="Times New Roman" w:hAnsi="Times New Roman"/>
      <w:szCs w:val="24"/>
    </w:rPr>
  </w:style>
  <w:style w:type="paragraph" w:styleId="25">
    <w:name w:val="toc 4"/>
    <w:basedOn w:val="1"/>
    <w:next w:val="1"/>
    <w:qFormat/>
    <w:uiPriority w:val="99"/>
    <w:pPr>
      <w:ind w:left="1260" w:leftChars="600"/>
    </w:pPr>
    <w:rPr>
      <w:rFonts w:ascii="Times New Roman" w:hAnsi="Times New Roman"/>
      <w:szCs w:val="24"/>
    </w:rPr>
  </w:style>
  <w:style w:type="paragraph" w:styleId="26">
    <w:name w:val="Subtitle"/>
    <w:basedOn w:val="1"/>
    <w:next w:val="1"/>
    <w:link w:val="70"/>
    <w:qFormat/>
    <w:uiPriority w:val="99"/>
    <w:pPr>
      <w:spacing w:before="240" w:after="60" w:line="312" w:lineRule="auto"/>
      <w:jc w:val="center"/>
      <w:outlineLvl w:val="1"/>
    </w:pPr>
    <w:rPr>
      <w:rFonts w:ascii="Cambria" w:hAnsi="Cambria"/>
      <w:b/>
      <w:bCs/>
      <w:kern w:val="28"/>
      <w:sz w:val="32"/>
      <w:szCs w:val="32"/>
    </w:rPr>
  </w:style>
  <w:style w:type="paragraph" w:styleId="27">
    <w:name w:val="footnote text"/>
    <w:basedOn w:val="1"/>
    <w:link w:val="71"/>
    <w:semiHidden/>
    <w:qFormat/>
    <w:uiPriority w:val="99"/>
    <w:pPr>
      <w:snapToGrid w:val="0"/>
      <w:jc w:val="left"/>
    </w:pPr>
    <w:rPr>
      <w:rFonts w:ascii="Times New Roman" w:hAnsi="Times New Roman"/>
      <w:sz w:val="18"/>
      <w:szCs w:val="18"/>
    </w:rPr>
  </w:style>
  <w:style w:type="paragraph" w:styleId="28">
    <w:name w:val="toc 6"/>
    <w:basedOn w:val="1"/>
    <w:next w:val="1"/>
    <w:qFormat/>
    <w:uiPriority w:val="99"/>
    <w:pPr>
      <w:ind w:left="2100" w:leftChars="1000"/>
    </w:pPr>
    <w:rPr>
      <w:rFonts w:ascii="Times New Roman" w:hAnsi="Times New Roman"/>
      <w:szCs w:val="24"/>
    </w:rPr>
  </w:style>
  <w:style w:type="paragraph" w:styleId="29">
    <w:name w:val="Body Text Indent 3"/>
    <w:basedOn w:val="1"/>
    <w:link w:val="133"/>
    <w:qFormat/>
    <w:uiPriority w:val="99"/>
    <w:pPr>
      <w:spacing w:line="440" w:lineRule="exact"/>
      <w:ind w:firstLine="412" w:firstLineChars="200"/>
    </w:pPr>
    <w:rPr>
      <w:rFonts w:ascii="宋体"/>
      <w:kern w:val="0"/>
      <w:sz w:val="20"/>
      <w:szCs w:val="20"/>
    </w:rPr>
  </w:style>
  <w:style w:type="paragraph" w:styleId="30">
    <w:name w:val="table of figures"/>
    <w:basedOn w:val="1"/>
    <w:next w:val="1"/>
    <w:qFormat/>
    <w:uiPriority w:val="99"/>
    <w:pPr>
      <w:ind w:left="200" w:leftChars="200" w:hanging="200" w:hangingChars="200"/>
    </w:pPr>
    <w:rPr>
      <w:rFonts w:ascii="Times New Roman" w:hAnsi="Times New Roman"/>
      <w:szCs w:val="20"/>
    </w:rPr>
  </w:style>
  <w:style w:type="paragraph" w:styleId="31">
    <w:name w:val="toc 2"/>
    <w:basedOn w:val="1"/>
    <w:next w:val="1"/>
    <w:qFormat/>
    <w:uiPriority w:val="99"/>
    <w:pPr>
      <w:ind w:left="420" w:leftChars="200"/>
    </w:pPr>
    <w:rPr>
      <w:rFonts w:ascii="Times New Roman" w:hAnsi="Times New Roman"/>
      <w:szCs w:val="24"/>
    </w:rPr>
  </w:style>
  <w:style w:type="paragraph" w:styleId="32">
    <w:name w:val="toc 9"/>
    <w:basedOn w:val="1"/>
    <w:next w:val="1"/>
    <w:qFormat/>
    <w:uiPriority w:val="99"/>
    <w:pPr>
      <w:ind w:left="3360" w:leftChars="1600"/>
    </w:pPr>
    <w:rPr>
      <w:rFonts w:ascii="Times New Roman" w:hAnsi="Times New Roman"/>
      <w:szCs w:val="24"/>
    </w:rPr>
  </w:style>
  <w:style w:type="paragraph" w:styleId="33">
    <w:name w:val="Body Text 2"/>
    <w:basedOn w:val="1"/>
    <w:qFormat/>
    <w:uiPriority w:val="0"/>
    <w:pPr>
      <w:spacing w:after="120" w:line="480" w:lineRule="auto"/>
    </w:pPr>
  </w:style>
  <w:style w:type="paragraph" w:styleId="34">
    <w:name w:val="List Continue 2"/>
    <w:basedOn w:val="1"/>
    <w:qFormat/>
    <w:uiPriority w:val="99"/>
    <w:pPr>
      <w:spacing w:after="120"/>
      <w:ind w:left="840" w:leftChars="400"/>
    </w:pPr>
    <w:rPr>
      <w:rFonts w:ascii="Times New Roman" w:hAnsi="Times New Roman"/>
      <w:szCs w:val="24"/>
    </w:rPr>
  </w:style>
  <w:style w:type="paragraph" w:styleId="35">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36">
    <w:name w:val="index 1"/>
    <w:basedOn w:val="1"/>
    <w:next w:val="1"/>
    <w:semiHidden/>
    <w:qFormat/>
    <w:uiPriority w:val="99"/>
    <w:pPr>
      <w:adjustRightInd w:val="0"/>
      <w:snapToGrid w:val="0"/>
      <w:spacing w:line="300" w:lineRule="exact"/>
    </w:pPr>
    <w:rPr>
      <w:rFonts w:ascii="宋体" w:hAnsi="宋体"/>
      <w:bCs/>
      <w:sz w:val="20"/>
      <w:szCs w:val="21"/>
    </w:rPr>
  </w:style>
  <w:style w:type="paragraph" w:styleId="37">
    <w:name w:val="Title"/>
    <w:basedOn w:val="1"/>
    <w:next w:val="1"/>
    <w:link w:val="73"/>
    <w:qFormat/>
    <w:uiPriority w:val="99"/>
    <w:pPr>
      <w:spacing w:before="240" w:after="60"/>
      <w:jc w:val="center"/>
      <w:outlineLvl w:val="0"/>
    </w:pPr>
    <w:rPr>
      <w:rFonts w:ascii="Cambria" w:hAnsi="Cambria"/>
      <w:b/>
      <w:bCs/>
      <w:kern w:val="0"/>
      <w:sz w:val="32"/>
      <w:szCs w:val="32"/>
    </w:rPr>
  </w:style>
  <w:style w:type="paragraph" w:styleId="38">
    <w:name w:val="annotation subject"/>
    <w:basedOn w:val="10"/>
    <w:next w:val="10"/>
    <w:link w:val="74"/>
    <w:qFormat/>
    <w:uiPriority w:val="99"/>
    <w:rPr>
      <w:rFonts w:ascii="Times New Roman" w:hAnsi="Times New Roman"/>
      <w:b/>
      <w:bCs/>
      <w:kern w:val="0"/>
      <w:sz w:val="20"/>
      <w:szCs w:val="20"/>
    </w:rPr>
  </w:style>
  <w:style w:type="paragraph" w:styleId="39">
    <w:name w:val="Body Text First Indent"/>
    <w:basedOn w:val="12"/>
    <w:qFormat/>
    <w:uiPriority w:val="0"/>
    <w:pPr>
      <w:autoSpaceDE w:val="0"/>
      <w:autoSpaceDN w:val="0"/>
      <w:adjustRightInd w:val="0"/>
      <w:spacing w:after="120" w:line="312" w:lineRule="atLeast"/>
      <w:ind w:firstLine="420"/>
    </w:pPr>
    <w:rPr>
      <w:rFonts w:ascii="宋体"/>
      <w:kern w:val="0"/>
    </w:rPr>
  </w:style>
  <w:style w:type="table" w:styleId="41">
    <w:name w:val="Table Grid"/>
    <w:basedOn w:val="40"/>
    <w:qFormat/>
    <w:uiPriority w:val="99"/>
    <w:rPr>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43">
    <w:name w:val="Strong"/>
    <w:basedOn w:val="42"/>
    <w:qFormat/>
    <w:uiPriority w:val="99"/>
    <w:rPr>
      <w:rFonts w:cs="Times New Roman"/>
      <w:b/>
    </w:rPr>
  </w:style>
  <w:style w:type="character" w:styleId="44">
    <w:name w:val="page number"/>
    <w:basedOn w:val="42"/>
    <w:qFormat/>
    <w:uiPriority w:val="99"/>
    <w:rPr>
      <w:rFonts w:cs="Times New Roman"/>
    </w:rPr>
  </w:style>
  <w:style w:type="character" w:styleId="45">
    <w:name w:val="FollowedHyperlink"/>
    <w:basedOn w:val="42"/>
    <w:qFormat/>
    <w:uiPriority w:val="99"/>
    <w:rPr>
      <w:rFonts w:cs="Times New Roman"/>
      <w:color w:val="555555"/>
      <w:u w:val="none"/>
    </w:rPr>
  </w:style>
  <w:style w:type="character" w:styleId="46">
    <w:name w:val="Emphasis"/>
    <w:basedOn w:val="42"/>
    <w:qFormat/>
    <w:uiPriority w:val="99"/>
    <w:rPr>
      <w:rFonts w:cs="Times New Roman"/>
      <w:i/>
    </w:rPr>
  </w:style>
  <w:style w:type="character" w:styleId="47">
    <w:name w:val="HTML Definition"/>
    <w:basedOn w:val="42"/>
    <w:qFormat/>
    <w:uiPriority w:val="99"/>
    <w:rPr>
      <w:rFonts w:cs="Times New Roman"/>
    </w:rPr>
  </w:style>
  <w:style w:type="character" w:styleId="48">
    <w:name w:val="HTML Acronym"/>
    <w:basedOn w:val="42"/>
    <w:qFormat/>
    <w:uiPriority w:val="99"/>
    <w:rPr>
      <w:rFonts w:cs="Times New Roman"/>
    </w:rPr>
  </w:style>
  <w:style w:type="character" w:styleId="49">
    <w:name w:val="HTML Variable"/>
    <w:basedOn w:val="42"/>
    <w:qFormat/>
    <w:uiPriority w:val="99"/>
    <w:rPr>
      <w:rFonts w:cs="Times New Roman"/>
    </w:rPr>
  </w:style>
  <w:style w:type="character" w:styleId="50">
    <w:name w:val="Hyperlink"/>
    <w:basedOn w:val="42"/>
    <w:qFormat/>
    <w:uiPriority w:val="99"/>
    <w:rPr>
      <w:rFonts w:cs="Times New Roman"/>
      <w:color w:val="555555"/>
      <w:u w:val="none"/>
    </w:rPr>
  </w:style>
  <w:style w:type="character" w:styleId="51">
    <w:name w:val="HTML Code"/>
    <w:basedOn w:val="42"/>
    <w:qFormat/>
    <w:uiPriority w:val="99"/>
    <w:rPr>
      <w:rFonts w:ascii="monospace" w:hAnsi="monospace" w:cs="Times New Roman"/>
      <w:sz w:val="24"/>
    </w:rPr>
  </w:style>
  <w:style w:type="character" w:styleId="52">
    <w:name w:val="annotation reference"/>
    <w:basedOn w:val="42"/>
    <w:qFormat/>
    <w:uiPriority w:val="99"/>
    <w:rPr>
      <w:rFonts w:cs="Times New Roman"/>
      <w:sz w:val="21"/>
    </w:rPr>
  </w:style>
  <w:style w:type="character" w:styleId="53">
    <w:name w:val="HTML Cite"/>
    <w:basedOn w:val="42"/>
    <w:qFormat/>
    <w:uiPriority w:val="99"/>
    <w:rPr>
      <w:rFonts w:cs="Times New Roman"/>
    </w:rPr>
  </w:style>
  <w:style w:type="character" w:styleId="54">
    <w:name w:val="footnote reference"/>
    <w:basedOn w:val="42"/>
    <w:semiHidden/>
    <w:qFormat/>
    <w:uiPriority w:val="99"/>
    <w:rPr>
      <w:rFonts w:cs="Times New Roman"/>
      <w:vertAlign w:val="superscript"/>
    </w:rPr>
  </w:style>
  <w:style w:type="character" w:styleId="55">
    <w:name w:val="HTML Keyboard"/>
    <w:basedOn w:val="42"/>
    <w:qFormat/>
    <w:uiPriority w:val="99"/>
    <w:rPr>
      <w:rFonts w:ascii="monospace" w:hAnsi="monospace" w:cs="Times New Roman"/>
      <w:sz w:val="24"/>
    </w:rPr>
  </w:style>
  <w:style w:type="character" w:styleId="56">
    <w:name w:val="HTML Sample"/>
    <w:basedOn w:val="42"/>
    <w:qFormat/>
    <w:uiPriority w:val="99"/>
    <w:rPr>
      <w:rFonts w:ascii="monospace" w:hAnsi="monospace" w:cs="Times New Roman"/>
      <w:sz w:val="24"/>
    </w:rPr>
  </w:style>
  <w:style w:type="character" w:customStyle="1" w:styleId="57">
    <w:name w:val="Heading 1 Char"/>
    <w:basedOn w:val="42"/>
    <w:link w:val="2"/>
    <w:qFormat/>
    <w:locked/>
    <w:uiPriority w:val="99"/>
    <w:rPr>
      <w:rFonts w:ascii="???" w:hAnsi="???" w:eastAsia="宋体" w:cs="Arial"/>
      <w:b/>
      <w:bCs/>
      <w:color w:val="020000"/>
      <w:kern w:val="36"/>
      <w:sz w:val="44"/>
      <w:szCs w:val="44"/>
    </w:rPr>
  </w:style>
  <w:style w:type="character" w:customStyle="1" w:styleId="58">
    <w:name w:val="Heading 2 Char"/>
    <w:basedOn w:val="42"/>
    <w:link w:val="3"/>
    <w:qFormat/>
    <w:locked/>
    <w:uiPriority w:val="99"/>
    <w:rPr>
      <w:rFonts w:ascii="???" w:hAnsi="???" w:eastAsia="宋体" w:cs="Arial"/>
      <w:b/>
      <w:bCs/>
      <w:color w:val="020000"/>
      <w:kern w:val="0"/>
      <w:sz w:val="32"/>
      <w:szCs w:val="32"/>
    </w:rPr>
  </w:style>
  <w:style w:type="character" w:customStyle="1" w:styleId="59">
    <w:name w:val="Heading 3 Char"/>
    <w:basedOn w:val="42"/>
    <w:link w:val="4"/>
    <w:qFormat/>
    <w:locked/>
    <w:uiPriority w:val="99"/>
    <w:rPr>
      <w:rFonts w:ascii="??" w:hAnsi="??" w:eastAsia="宋体" w:cs="Arial"/>
      <w:b/>
      <w:bCs/>
      <w:color w:val="000000"/>
      <w:kern w:val="0"/>
      <w:sz w:val="32"/>
      <w:szCs w:val="32"/>
    </w:rPr>
  </w:style>
  <w:style w:type="character" w:customStyle="1" w:styleId="60">
    <w:name w:val="Document Map Char"/>
    <w:basedOn w:val="42"/>
    <w:link w:val="9"/>
    <w:qFormat/>
    <w:uiPriority w:val="99"/>
    <w:rPr>
      <w:rFonts w:ascii="宋体"/>
      <w:sz w:val="18"/>
    </w:rPr>
  </w:style>
  <w:style w:type="character" w:customStyle="1" w:styleId="61">
    <w:name w:val="Comment Text Char"/>
    <w:basedOn w:val="42"/>
    <w:link w:val="10"/>
    <w:qFormat/>
    <w:locked/>
    <w:uiPriority w:val="99"/>
  </w:style>
  <w:style w:type="character" w:customStyle="1" w:styleId="62">
    <w:name w:val="Body Text Char"/>
    <w:basedOn w:val="42"/>
    <w:link w:val="12"/>
    <w:qFormat/>
    <w:locked/>
    <w:uiPriority w:val="99"/>
    <w:rPr>
      <w:sz w:val="24"/>
    </w:rPr>
  </w:style>
  <w:style w:type="character" w:customStyle="1" w:styleId="63">
    <w:name w:val="Body Text Indent Char"/>
    <w:basedOn w:val="42"/>
    <w:link w:val="13"/>
    <w:qFormat/>
    <w:locked/>
    <w:uiPriority w:val="99"/>
    <w:rPr>
      <w:rFonts w:ascii="??" w:hAnsi="??" w:eastAsia="宋体" w:cs="Arial"/>
      <w:kern w:val="0"/>
      <w:sz w:val="24"/>
      <w:szCs w:val="24"/>
    </w:rPr>
  </w:style>
  <w:style w:type="character" w:customStyle="1" w:styleId="64">
    <w:name w:val="Plain Text Char"/>
    <w:basedOn w:val="42"/>
    <w:link w:val="16"/>
    <w:qFormat/>
    <w:locked/>
    <w:uiPriority w:val="99"/>
    <w:rPr>
      <w:rFonts w:ascii="宋体" w:hAnsi="Courier New" w:eastAsia="宋体" w:cs="Times New Roman"/>
      <w:sz w:val="24"/>
      <w:szCs w:val="24"/>
    </w:rPr>
  </w:style>
  <w:style w:type="character" w:customStyle="1" w:styleId="65">
    <w:name w:val="Date Char"/>
    <w:basedOn w:val="42"/>
    <w:link w:val="18"/>
    <w:qFormat/>
    <w:locked/>
    <w:uiPriority w:val="99"/>
    <w:rPr>
      <w:sz w:val="21"/>
    </w:rPr>
  </w:style>
  <w:style w:type="character" w:customStyle="1" w:styleId="66">
    <w:name w:val="Body Text Indent 2 Char"/>
    <w:basedOn w:val="42"/>
    <w:link w:val="19"/>
    <w:qFormat/>
    <w:locked/>
    <w:uiPriority w:val="99"/>
    <w:rPr>
      <w:rFonts w:ascii="宋体" w:eastAsia="宋体"/>
      <w:sz w:val="24"/>
    </w:rPr>
  </w:style>
  <w:style w:type="character" w:customStyle="1" w:styleId="67">
    <w:name w:val="Balloon Text Char"/>
    <w:basedOn w:val="42"/>
    <w:link w:val="21"/>
    <w:qFormat/>
    <w:locked/>
    <w:uiPriority w:val="99"/>
    <w:rPr>
      <w:rFonts w:ascii="Calibri" w:hAnsi="Calibri" w:eastAsia="宋体" w:cs="Times New Roman"/>
      <w:sz w:val="18"/>
      <w:szCs w:val="18"/>
    </w:rPr>
  </w:style>
  <w:style w:type="character" w:customStyle="1" w:styleId="68">
    <w:name w:val="Footer Char"/>
    <w:basedOn w:val="42"/>
    <w:link w:val="22"/>
    <w:qFormat/>
    <w:locked/>
    <w:uiPriority w:val="99"/>
    <w:rPr>
      <w:rFonts w:ascii="Calibri" w:hAnsi="Calibri" w:eastAsia="宋体" w:cs="Times New Roman"/>
      <w:sz w:val="18"/>
      <w:szCs w:val="18"/>
    </w:rPr>
  </w:style>
  <w:style w:type="character" w:customStyle="1" w:styleId="69">
    <w:name w:val="Header Char"/>
    <w:basedOn w:val="42"/>
    <w:link w:val="23"/>
    <w:qFormat/>
    <w:locked/>
    <w:uiPriority w:val="99"/>
    <w:rPr>
      <w:rFonts w:ascii="Calibri" w:hAnsi="Calibri" w:eastAsia="宋体" w:cs="Times New Roman"/>
      <w:sz w:val="18"/>
      <w:szCs w:val="18"/>
    </w:rPr>
  </w:style>
  <w:style w:type="character" w:customStyle="1" w:styleId="70">
    <w:name w:val="Subtitle Char"/>
    <w:basedOn w:val="42"/>
    <w:link w:val="26"/>
    <w:qFormat/>
    <w:uiPriority w:val="11"/>
    <w:rPr>
      <w:rFonts w:asciiTheme="majorHAnsi" w:hAnsiTheme="majorHAnsi" w:cstheme="majorBidi"/>
      <w:b/>
      <w:bCs/>
      <w:kern w:val="28"/>
      <w:sz w:val="32"/>
      <w:szCs w:val="32"/>
    </w:rPr>
  </w:style>
  <w:style w:type="character" w:customStyle="1" w:styleId="71">
    <w:name w:val="Footnote Text Char"/>
    <w:basedOn w:val="42"/>
    <w:link w:val="27"/>
    <w:semiHidden/>
    <w:qFormat/>
    <w:locked/>
    <w:uiPriority w:val="99"/>
    <w:rPr>
      <w:rFonts w:ascii="Times New Roman" w:hAnsi="Times New Roman" w:eastAsia="宋体" w:cs="Times New Roman"/>
      <w:sz w:val="18"/>
      <w:szCs w:val="18"/>
    </w:rPr>
  </w:style>
  <w:style w:type="character" w:customStyle="1" w:styleId="72">
    <w:name w:val="Body Text Indent 3 Char"/>
    <w:basedOn w:val="42"/>
    <w:link w:val="29"/>
    <w:qFormat/>
    <w:locked/>
    <w:uiPriority w:val="99"/>
    <w:rPr>
      <w:rFonts w:ascii="宋体" w:eastAsia="宋体"/>
    </w:rPr>
  </w:style>
  <w:style w:type="character" w:customStyle="1" w:styleId="73">
    <w:name w:val="Title Char"/>
    <w:basedOn w:val="42"/>
    <w:link w:val="37"/>
    <w:qFormat/>
    <w:locked/>
    <w:uiPriority w:val="99"/>
    <w:rPr>
      <w:rFonts w:ascii="Cambria" w:hAnsi="Cambria"/>
      <w:b/>
      <w:sz w:val="32"/>
    </w:rPr>
  </w:style>
  <w:style w:type="character" w:customStyle="1" w:styleId="74">
    <w:name w:val="Comment Subject Char"/>
    <w:basedOn w:val="61"/>
    <w:link w:val="38"/>
    <w:qFormat/>
    <w:locked/>
    <w:uiPriority w:val="99"/>
    <w:rPr>
      <w:b/>
    </w:rPr>
  </w:style>
  <w:style w:type="paragraph" w:styleId="75">
    <w:name w:val="List Paragraph"/>
    <w:basedOn w:val="1"/>
    <w:qFormat/>
    <w:uiPriority w:val="99"/>
    <w:pPr>
      <w:ind w:firstLine="420" w:firstLineChars="200"/>
    </w:pPr>
  </w:style>
  <w:style w:type="character" w:customStyle="1" w:styleId="76">
    <w:name w:val="标题 2 Char Char"/>
    <w:qFormat/>
    <w:uiPriority w:val="99"/>
    <w:rPr>
      <w:rFonts w:ascii="Arial" w:hAnsi="Arial" w:eastAsia="黑体"/>
      <w:b/>
      <w:kern w:val="2"/>
      <w:sz w:val="32"/>
      <w:lang w:val="en-US" w:eastAsia="zh-CN"/>
    </w:rPr>
  </w:style>
  <w:style w:type="character" w:customStyle="1" w:styleId="77">
    <w:name w:val="2charchar"/>
    <w:basedOn w:val="42"/>
    <w:qFormat/>
    <w:uiPriority w:val="99"/>
    <w:rPr>
      <w:rFonts w:cs="Times New Roman"/>
    </w:rPr>
  </w:style>
  <w:style w:type="paragraph" w:customStyle="1" w:styleId="78">
    <w:name w:val="表格文字"/>
    <w:basedOn w:val="1"/>
    <w:qFormat/>
    <w:uiPriority w:val="99"/>
    <w:pPr>
      <w:adjustRightInd w:val="0"/>
      <w:spacing w:line="420" w:lineRule="atLeast"/>
      <w:jc w:val="left"/>
    </w:pPr>
    <w:rPr>
      <w:rFonts w:ascii="Times New Roman" w:hAnsi="Times New Roman"/>
      <w:kern w:val="0"/>
      <w:szCs w:val="20"/>
    </w:rPr>
  </w:style>
  <w:style w:type="paragraph" w:customStyle="1" w:styleId="79">
    <w:name w:val="z-窗体顶端1"/>
    <w:basedOn w:val="1"/>
    <w:next w:val="1"/>
    <w:link w:val="80"/>
    <w:semiHidden/>
    <w:qFormat/>
    <w:uiPriority w:val="99"/>
    <w:pPr>
      <w:widowControl/>
      <w:pBdr>
        <w:bottom w:val="single" w:color="auto" w:sz="6" w:space="1"/>
      </w:pBdr>
      <w:jc w:val="center"/>
    </w:pPr>
    <w:rPr>
      <w:rFonts w:ascii="Arial" w:hAnsi="Arial" w:cs="Arial"/>
      <w:vanish/>
      <w:kern w:val="0"/>
      <w:sz w:val="16"/>
      <w:szCs w:val="16"/>
    </w:rPr>
  </w:style>
  <w:style w:type="character" w:customStyle="1" w:styleId="80">
    <w:name w:val="z-窗体顶端 Char"/>
    <w:basedOn w:val="42"/>
    <w:link w:val="79"/>
    <w:semiHidden/>
    <w:qFormat/>
    <w:locked/>
    <w:uiPriority w:val="99"/>
    <w:rPr>
      <w:rFonts w:ascii="Arial" w:hAnsi="Arial" w:eastAsia="宋体" w:cs="Arial"/>
      <w:vanish/>
      <w:kern w:val="0"/>
      <w:sz w:val="16"/>
      <w:szCs w:val="16"/>
    </w:rPr>
  </w:style>
  <w:style w:type="paragraph" w:customStyle="1" w:styleId="81">
    <w:name w:val="z-窗体底端1"/>
    <w:basedOn w:val="1"/>
    <w:next w:val="1"/>
    <w:link w:val="82"/>
    <w:semiHidden/>
    <w:qFormat/>
    <w:uiPriority w:val="99"/>
    <w:pPr>
      <w:widowControl/>
      <w:pBdr>
        <w:top w:val="single" w:color="auto" w:sz="6" w:space="1"/>
      </w:pBdr>
      <w:jc w:val="center"/>
    </w:pPr>
    <w:rPr>
      <w:rFonts w:ascii="Arial" w:hAnsi="Arial" w:cs="Arial"/>
      <w:vanish/>
      <w:kern w:val="0"/>
      <w:sz w:val="16"/>
      <w:szCs w:val="16"/>
    </w:rPr>
  </w:style>
  <w:style w:type="character" w:customStyle="1" w:styleId="82">
    <w:name w:val="z-窗体底端 Char"/>
    <w:basedOn w:val="42"/>
    <w:link w:val="81"/>
    <w:semiHidden/>
    <w:qFormat/>
    <w:locked/>
    <w:uiPriority w:val="99"/>
    <w:rPr>
      <w:rFonts w:ascii="Arial" w:hAnsi="Arial" w:eastAsia="宋体" w:cs="Arial"/>
      <w:vanish/>
      <w:kern w:val="0"/>
      <w:sz w:val="16"/>
      <w:szCs w:val="16"/>
    </w:rPr>
  </w:style>
  <w:style w:type="paragraph" w:customStyle="1" w:styleId="83">
    <w:name w:val="hu正文"/>
    <w:basedOn w:val="1"/>
    <w:link w:val="84"/>
    <w:qFormat/>
    <w:uiPriority w:val="99"/>
    <w:pPr>
      <w:spacing w:before="156" w:after="156" w:line="300" w:lineRule="auto"/>
      <w:ind w:firstLine="480" w:firstLineChars="200"/>
    </w:pPr>
    <w:rPr>
      <w:rFonts w:ascii="Times New Roman" w:hAnsi="Times New Roman"/>
      <w:kern w:val="0"/>
      <w:sz w:val="24"/>
      <w:szCs w:val="20"/>
    </w:rPr>
  </w:style>
  <w:style w:type="character" w:customStyle="1" w:styleId="84">
    <w:name w:val="hu正文 Char"/>
    <w:link w:val="83"/>
    <w:qFormat/>
    <w:locked/>
    <w:uiPriority w:val="99"/>
    <w:rPr>
      <w:rFonts w:ascii="Times New Roman" w:hAnsi="Times New Roman" w:eastAsia="宋体"/>
      <w:kern w:val="0"/>
      <w:sz w:val="20"/>
    </w:rPr>
  </w:style>
  <w:style w:type="paragraph" w:styleId="85">
    <w:name w:val="No Spacing"/>
    <w:qFormat/>
    <w:uiPriority w:val="99"/>
    <w:pPr>
      <w:widowControl w:val="0"/>
      <w:jc w:val="both"/>
    </w:pPr>
    <w:rPr>
      <w:rFonts w:ascii="Calibri" w:hAnsi="Calibri" w:eastAsia="宋体" w:cs="Times New Roman"/>
      <w:kern w:val="2"/>
      <w:sz w:val="21"/>
      <w:szCs w:val="22"/>
      <w:lang w:val="en-US" w:eastAsia="zh-CN" w:bidi="ar-SA"/>
    </w:rPr>
  </w:style>
  <w:style w:type="character" w:customStyle="1" w:styleId="86">
    <w:name w:val="ui-bz-bg-hover1"/>
    <w:basedOn w:val="42"/>
    <w:qFormat/>
    <w:uiPriority w:val="99"/>
    <w:rPr>
      <w:rFonts w:cs="Times New Roman"/>
    </w:rPr>
  </w:style>
  <w:style w:type="character" w:customStyle="1" w:styleId="87">
    <w:name w:val="批注框文本 Char1"/>
    <w:qFormat/>
    <w:uiPriority w:val="99"/>
    <w:rPr>
      <w:rFonts w:ascii="Times New Roman" w:hAnsi="Times New Roman" w:eastAsia="宋体"/>
      <w:sz w:val="18"/>
    </w:rPr>
  </w:style>
  <w:style w:type="character" w:customStyle="1" w:styleId="88">
    <w:name w:val="bds_nopic"/>
    <w:basedOn w:val="42"/>
    <w:qFormat/>
    <w:uiPriority w:val="99"/>
    <w:rPr>
      <w:rFonts w:cs="Times New Roman"/>
    </w:rPr>
  </w:style>
  <w:style w:type="character" w:customStyle="1" w:styleId="89">
    <w:name w:val="tip12"/>
    <w:qFormat/>
    <w:uiPriority w:val="99"/>
    <w:rPr>
      <w:vanish/>
      <w:color w:val="FF0000"/>
      <w:sz w:val="18"/>
    </w:rPr>
  </w:style>
  <w:style w:type="character" w:customStyle="1" w:styleId="90">
    <w:name w:val="HTML Markup"/>
    <w:qFormat/>
    <w:uiPriority w:val="99"/>
    <w:rPr>
      <w:vanish/>
      <w:color w:val="FF0000"/>
    </w:rPr>
  </w:style>
  <w:style w:type="character" w:customStyle="1" w:styleId="91">
    <w:name w:val="tip7"/>
    <w:qFormat/>
    <w:uiPriority w:val="99"/>
    <w:rPr>
      <w:vanish/>
      <w:color w:val="FF0000"/>
      <w:sz w:val="18"/>
    </w:rPr>
  </w:style>
  <w:style w:type="character" w:customStyle="1" w:styleId="92">
    <w:name w:val="f-star"/>
    <w:qFormat/>
    <w:uiPriority w:val="99"/>
    <w:rPr>
      <w:color w:val="999999"/>
      <w:sz w:val="21"/>
    </w:rPr>
  </w:style>
  <w:style w:type="character" w:customStyle="1" w:styleId="93">
    <w:name w:val="Document Map Char1"/>
    <w:qFormat/>
    <w:uiPriority w:val="99"/>
    <w:rPr>
      <w:rFonts w:ascii="Times New Roman" w:hAnsi="Times New Roman"/>
      <w:kern w:val="2"/>
      <w:sz w:val="2"/>
    </w:rPr>
  </w:style>
  <w:style w:type="character" w:customStyle="1" w:styleId="94">
    <w:name w:val="my-class2"/>
    <w:basedOn w:val="42"/>
    <w:qFormat/>
    <w:uiPriority w:val="99"/>
    <w:rPr>
      <w:rFonts w:cs="Times New Roman"/>
    </w:rPr>
  </w:style>
  <w:style w:type="character" w:customStyle="1" w:styleId="95">
    <w:name w:val="no52"/>
    <w:basedOn w:val="42"/>
    <w:qFormat/>
    <w:uiPriority w:val="99"/>
    <w:rPr>
      <w:rFonts w:cs="Times New Roman"/>
    </w:rPr>
  </w:style>
  <w:style w:type="character" w:customStyle="1" w:styleId="96">
    <w:name w:val="no4"/>
    <w:basedOn w:val="42"/>
    <w:qFormat/>
    <w:uiPriority w:val="99"/>
    <w:rPr>
      <w:rFonts w:cs="Times New Roman"/>
    </w:rPr>
  </w:style>
  <w:style w:type="character" w:customStyle="1" w:styleId="97">
    <w:name w:val="my-notice"/>
    <w:basedOn w:val="42"/>
    <w:qFormat/>
    <w:uiPriority w:val="99"/>
    <w:rPr>
      <w:rFonts w:cs="Times New Roman"/>
    </w:rPr>
  </w:style>
  <w:style w:type="character" w:customStyle="1" w:styleId="98">
    <w:name w:val="ico-jiang"/>
    <w:basedOn w:val="42"/>
    <w:qFormat/>
    <w:uiPriority w:val="99"/>
    <w:rPr>
      <w:rFonts w:cs="Times New Roman"/>
    </w:rPr>
  </w:style>
  <w:style w:type="character" w:customStyle="1" w:styleId="99">
    <w:name w:val="ico-jiang2"/>
    <w:basedOn w:val="42"/>
    <w:qFormat/>
    <w:uiPriority w:val="99"/>
    <w:rPr>
      <w:rFonts w:cs="Times New Roman"/>
    </w:rPr>
  </w:style>
  <w:style w:type="character" w:customStyle="1" w:styleId="100">
    <w:name w:val="bds_more1"/>
    <w:qFormat/>
    <w:uiPriority w:val="99"/>
    <w:rPr>
      <w:rFonts w:ascii="宋体" w:hAnsi="宋体" w:eastAsia="宋体"/>
    </w:rPr>
  </w:style>
  <w:style w:type="character" w:customStyle="1" w:styleId="101">
    <w:name w:val="org_name"/>
    <w:basedOn w:val="42"/>
    <w:qFormat/>
    <w:uiPriority w:val="99"/>
    <w:rPr>
      <w:rFonts w:cs="Times New Roman"/>
    </w:rPr>
  </w:style>
  <w:style w:type="character" w:customStyle="1" w:styleId="102">
    <w:name w:val="org_name2"/>
    <w:basedOn w:val="42"/>
    <w:qFormat/>
    <w:uiPriority w:val="99"/>
    <w:rPr>
      <w:rFonts w:cs="Times New Roman"/>
    </w:rPr>
  </w:style>
  <w:style w:type="character" w:customStyle="1" w:styleId="103">
    <w:name w:val="tip10"/>
    <w:qFormat/>
    <w:uiPriority w:val="99"/>
    <w:rPr>
      <w:vanish/>
      <w:color w:val="FF0000"/>
      <w:sz w:val="18"/>
    </w:rPr>
  </w:style>
  <w:style w:type="character" w:customStyle="1" w:styleId="104">
    <w:name w:val="orange"/>
    <w:qFormat/>
    <w:uiPriority w:val="99"/>
    <w:rPr>
      <w:color w:val="3FB58F"/>
    </w:rPr>
  </w:style>
  <w:style w:type="character" w:customStyle="1" w:styleId="105">
    <w:name w:val="bds_more"/>
    <w:basedOn w:val="42"/>
    <w:qFormat/>
    <w:uiPriority w:val="99"/>
    <w:rPr>
      <w:rFonts w:cs="Times New Roman"/>
    </w:rPr>
  </w:style>
  <w:style w:type="character" w:customStyle="1" w:styleId="106">
    <w:name w:val="t-tag"/>
    <w:qFormat/>
    <w:uiPriority w:val="99"/>
    <w:rPr>
      <w:color w:val="FFFFFF"/>
      <w:sz w:val="18"/>
      <w:shd w:val="clear" w:color="auto" w:fill="FE8833"/>
    </w:rPr>
  </w:style>
  <w:style w:type="character" w:customStyle="1" w:styleId="107">
    <w:name w:val="top-icon"/>
    <w:basedOn w:val="42"/>
    <w:qFormat/>
    <w:uiPriority w:val="99"/>
    <w:rPr>
      <w:rFonts w:cs="Times New Roman"/>
    </w:rPr>
  </w:style>
  <w:style w:type="character" w:customStyle="1" w:styleId="108">
    <w:name w:val="no72"/>
    <w:basedOn w:val="42"/>
    <w:qFormat/>
    <w:uiPriority w:val="99"/>
    <w:rPr>
      <w:rFonts w:cs="Times New Roman"/>
    </w:rPr>
  </w:style>
  <w:style w:type="character" w:customStyle="1" w:styleId="109">
    <w:name w:val="bds_nopic2"/>
    <w:basedOn w:val="42"/>
    <w:qFormat/>
    <w:uiPriority w:val="99"/>
    <w:rPr>
      <w:rFonts w:cs="Times New Roman"/>
    </w:rPr>
  </w:style>
  <w:style w:type="character" w:customStyle="1" w:styleId="110">
    <w:name w:val="no6"/>
    <w:basedOn w:val="42"/>
    <w:qFormat/>
    <w:uiPriority w:val="99"/>
    <w:rPr>
      <w:rFonts w:cs="Times New Roman"/>
    </w:rPr>
  </w:style>
  <w:style w:type="character" w:customStyle="1" w:styleId="111">
    <w:name w:val="tip"/>
    <w:qFormat/>
    <w:uiPriority w:val="99"/>
    <w:rPr>
      <w:vanish/>
      <w:color w:val="FF0000"/>
      <w:sz w:val="18"/>
    </w:rPr>
  </w:style>
  <w:style w:type="character" w:customStyle="1" w:styleId="112">
    <w:name w:val="apple-converted-space"/>
    <w:basedOn w:val="42"/>
    <w:qFormat/>
    <w:uiPriority w:val="99"/>
    <w:rPr>
      <w:rFonts w:cs="Times New Roman"/>
    </w:rPr>
  </w:style>
  <w:style w:type="character" w:customStyle="1" w:styleId="113">
    <w:name w:val="bds_more2"/>
    <w:basedOn w:val="42"/>
    <w:qFormat/>
    <w:uiPriority w:val="99"/>
    <w:rPr>
      <w:rFonts w:cs="Times New Roman"/>
    </w:rPr>
  </w:style>
  <w:style w:type="character" w:customStyle="1" w:styleId="114">
    <w:name w:val="my-class"/>
    <w:basedOn w:val="42"/>
    <w:qFormat/>
    <w:uiPriority w:val="99"/>
    <w:rPr>
      <w:rFonts w:cs="Times New Roman"/>
    </w:rPr>
  </w:style>
  <w:style w:type="character" w:customStyle="1" w:styleId="115">
    <w:name w:val="ui-bz-bg-hover"/>
    <w:qFormat/>
    <w:uiPriority w:val="99"/>
    <w:rPr>
      <w:shd w:val="clear" w:color="auto" w:fill="000000"/>
    </w:rPr>
  </w:style>
  <w:style w:type="character" w:customStyle="1" w:styleId="116">
    <w:name w:val="no7"/>
    <w:basedOn w:val="42"/>
    <w:qFormat/>
    <w:uiPriority w:val="99"/>
    <w:rPr>
      <w:rFonts w:cs="Times New Roman"/>
    </w:rPr>
  </w:style>
  <w:style w:type="character" w:customStyle="1" w:styleId="117">
    <w:name w:val="Normal Indent Char"/>
    <w:link w:val="8"/>
    <w:qFormat/>
    <w:locked/>
    <w:uiPriority w:val="99"/>
    <w:rPr>
      <w:rFonts w:ascii="Times New Roman" w:hAnsi="Times New Roman" w:eastAsia="宋体"/>
      <w:kern w:val="0"/>
      <w:sz w:val="20"/>
    </w:rPr>
  </w:style>
  <w:style w:type="character" w:customStyle="1" w:styleId="118">
    <w:name w:val="ico-jiang1"/>
    <w:basedOn w:val="42"/>
    <w:qFormat/>
    <w:uiPriority w:val="99"/>
    <w:rPr>
      <w:rFonts w:cs="Times New Roman"/>
    </w:rPr>
  </w:style>
  <w:style w:type="character" w:customStyle="1" w:styleId="119">
    <w:name w:val="no62"/>
    <w:basedOn w:val="42"/>
    <w:qFormat/>
    <w:uiPriority w:val="99"/>
    <w:rPr>
      <w:rFonts w:cs="Times New Roman"/>
    </w:rPr>
  </w:style>
  <w:style w:type="character" w:customStyle="1" w:styleId="120">
    <w:name w:val="orange5"/>
    <w:qFormat/>
    <w:uiPriority w:val="99"/>
    <w:rPr>
      <w:color w:val="3FB58F"/>
    </w:rPr>
  </w:style>
  <w:style w:type="character" w:customStyle="1" w:styleId="121">
    <w:name w:val="bds_more4"/>
    <w:basedOn w:val="42"/>
    <w:qFormat/>
    <w:uiPriority w:val="99"/>
    <w:rPr>
      <w:rFonts w:cs="Times New Roman"/>
    </w:rPr>
  </w:style>
  <w:style w:type="character" w:customStyle="1" w:styleId="122">
    <w:name w:val="no5"/>
    <w:basedOn w:val="42"/>
    <w:qFormat/>
    <w:uiPriority w:val="99"/>
    <w:rPr>
      <w:rFonts w:cs="Times New Roman"/>
    </w:rPr>
  </w:style>
  <w:style w:type="character" w:customStyle="1" w:styleId="123">
    <w:name w:val="bds_more3"/>
    <w:basedOn w:val="42"/>
    <w:qFormat/>
    <w:uiPriority w:val="99"/>
    <w:rPr>
      <w:rFonts w:cs="Times New Roman"/>
    </w:rPr>
  </w:style>
  <w:style w:type="character" w:customStyle="1" w:styleId="124">
    <w:name w:val="no42"/>
    <w:basedOn w:val="42"/>
    <w:qFormat/>
    <w:uiPriority w:val="99"/>
    <w:rPr>
      <w:rFonts w:cs="Times New Roman"/>
    </w:rPr>
  </w:style>
  <w:style w:type="character" w:customStyle="1" w:styleId="125">
    <w:name w:val="bds_nopic1"/>
    <w:basedOn w:val="42"/>
    <w:qFormat/>
    <w:uiPriority w:val="99"/>
    <w:rPr>
      <w:rFonts w:cs="Times New Roman"/>
    </w:rPr>
  </w:style>
  <w:style w:type="character" w:customStyle="1" w:styleId="126">
    <w:name w:val="my-notice1"/>
    <w:basedOn w:val="42"/>
    <w:qFormat/>
    <w:uiPriority w:val="99"/>
    <w:rPr>
      <w:rFonts w:cs="Times New Roman"/>
    </w:rPr>
  </w:style>
  <w:style w:type="character" w:customStyle="1" w:styleId="127">
    <w:name w:val="orange6"/>
    <w:qFormat/>
    <w:uiPriority w:val="99"/>
    <w:rPr>
      <w:color w:val="3FB58F"/>
    </w:rPr>
  </w:style>
  <w:style w:type="character" w:customStyle="1" w:styleId="128">
    <w:name w:val="Document Map Char2"/>
    <w:qFormat/>
    <w:locked/>
    <w:uiPriority w:val="99"/>
    <w:rPr>
      <w:rFonts w:ascii="宋体"/>
      <w:sz w:val="18"/>
    </w:rPr>
  </w:style>
  <w:style w:type="character" w:customStyle="1" w:styleId="129">
    <w:name w:val="ico-jiang3"/>
    <w:basedOn w:val="42"/>
    <w:qFormat/>
    <w:uiPriority w:val="99"/>
    <w:rPr>
      <w:rFonts w:cs="Times New Roman"/>
    </w:rPr>
  </w:style>
  <w:style w:type="character" w:customStyle="1" w:styleId="130">
    <w:name w:val="tip13"/>
    <w:qFormat/>
    <w:uiPriority w:val="99"/>
    <w:rPr>
      <w:vanish/>
      <w:color w:val="FF0000"/>
      <w:sz w:val="18"/>
    </w:rPr>
  </w:style>
  <w:style w:type="character" w:customStyle="1" w:styleId="131">
    <w:name w:val="Body Text Indent 2 Char2"/>
    <w:basedOn w:val="42"/>
    <w:link w:val="19"/>
    <w:qFormat/>
    <w:locked/>
    <w:uiPriority w:val="99"/>
    <w:rPr>
      <w:rFonts w:ascii="宋体" w:hAnsi="Calibri" w:eastAsia="宋体" w:cs="Times New Roman"/>
      <w:kern w:val="0"/>
      <w:sz w:val="20"/>
      <w:szCs w:val="20"/>
    </w:rPr>
  </w:style>
  <w:style w:type="character" w:customStyle="1" w:styleId="132">
    <w:name w:val="Body Text Indent 2 Char1"/>
    <w:basedOn w:val="42"/>
    <w:semiHidden/>
    <w:qFormat/>
    <w:locked/>
    <w:uiPriority w:val="99"/>
    <w:rPr>
      <w:rFonts w:cs="Times New Roman"/>
    </w:rPr>
  </w:style>
  <w:style w:type="character" w:customStyle="1" w:styleId="133">
    <w:name w:val="Body Text Indent 3 Char2"/>
    <w:basedOn w:val="42"/>
    <w:link w:val="29"/>
    <w:qFormat/>
    <w:locked/>
    <w:uiPriority w:val="99"/>
    <w:rPr>
      <w:rFonts w:ascii="宋体" w:hAnsi="Calibri" w:eastAsia="宋体" w:cs="Times New Roman"/>
      <w:kern w:val="0"/>
      <w:sz w:val="20"/>
      <w:szCs w:val="20"/>
    </w:rPr>
  </w:style>
  <w:style w:type="character" w:customStyle="1" w:styleId="134">
    <w:name w:val="Body Text Indent 3 Char1"/>
    <w:basedOn w:val="42"/>
    <w:semiHidden/>
    <w:qFormat/>
    <w:locked/>
    <w:uiPriority w:val="99"/>
    <w:rPr>
      <w:rFonts w:cs="Times New Roman"/>
      <w:sz w:val="16"/>
      <w:szCs w:val="16"/>
    </w:rPr>
  </w:style>
  <w:style w:type="character" w:customStyle="1" w:styleId="135">
    <w:name w:val="Document Map Char4"/>
    <w:basedOn w:val="42"/>
    <w:link w:val="9"/>
    <w:qFormat/>
    <w:locked/>
    <w:uiPriority w:val="99"/>
    <w:rPr>
      <w:rFonts w:ascii="宋体" w:hAnsi="Calibri" w:eastAsia="宋体" w:cs="Times New Roman"/>
      <w:kern w:val="0"/>
      <w:sz w:val="20"/>
      <w:szCs w:val="20"/>
    </w:rPr>
  </w:style>
  <w:style w:type="character" w:customStyle="1" w:styleId="136">
    <w:name w:val="Document Map Char3"/>
    <w:basedOn w:val="42"/>
    <w:semiHidden/>
    <w:qFormat/>
    <w:locked/>
    <w:uiPriority w:val="99"/>
    <w:rPr>
      <w:rFonts w:ascii="Times New Roman" w:hAnsi="Times New Roman" w:cs="Times New Roman"/>
      <w:sz w:val="2"/>
    </w:rPr>
  </w:style>
  <w:style w:type="paragraph" w:customStyle="1" w:styleId="137">
    <w:name w:val="_Style 1"/>
    <w:basedOn w:val="1"/>
    <w:qFormat/>
    <w:uiPriority w:val="99"/>
    <w:pPr>
      <w:ind w:firstLine="420" w:firstLineChars="200"/>
    </w:pPr>
    <w:rPr>
      <w:rFonts w:ascii="Times New Roman" w:hAnsi="Times New Roman"/>
      <w:szCs w:val="24"/>
    </w:rPr>
  </w:style>
  <w:style w:type="character" w:customStyle="1" w:styleId="138">
    <w:name w:val="Body Text Char2"/>
    <w:basedOn w:val="42"/>
    <w:link w:val="12"/>
    <w:qFormat/>
    <w:locked/>
    <w:uiPriority w:val="99"/>
    <w:rPr>
      <w:rFonts w:ascii="Calibri" w:hAnsi="Calibri" w:eastAsia="宋体" w:cs="Times New Roman"/>
      <w:kern w:val="0"/>
      <w:sz w:val="20"/>
      <w:szCs w:val="20"/>
    </w:rPr>
  </w:style>
  <w:style w:type="character" w:customStyle="1" w:styleId="139">
    <w:name w:val="Body Text Char1"/>
    <w:basedOn w:val="42"/>
    <w:semiHidden/>
    <w:qFormat/>
    <w:locked/>
    <w:uiPriority w:val="99"/>
    <w:rPr>
      <w:rFonts w:cs="Times New Roman"/>
    </w:rPr>
  </w:style>
  <w:style w:type="paragraph" w:customStyle="1" w:styleId="140">
    <w:name w:val="_Style 21"/>
    <w:basedOn w:val="1"/>
    <w:qFormat/>
    <w:uiPriority w:val="99"/>
    <w:rPr>
      <w:rFonts w:ascii="Times New Roman" w:hAnsi="Times New Roman"/>
      <w:szCs w:val="20"/>
    </w:rPr>
  </w:style>
  <w:style w:type="paragraph" w:customStyle="1" w:styleId="141">
    <w:name w:val="p0"/>
    <w:basedOn w:val="1"/>
    <w:qFormat/>
    <w:uiPriority w:val="99"/>
    <w:pPr>
      <w:widowControl/>
    </w:pPr>
    <w:rPr>
      <w:rFonts w:ascii="Times New Roman" w:hAnsi="Times New Roman"/>
      <w:kern w:val="0"/>
      <w:szCs w:val="21"/>
    </w:rPr>
  </w:style>
  <w:style w:type="paragraph" w:customStyle="1" w:styleId="142">
    <w:name w:val="xl37"/>
    <w:basedOn w:val="1"/>
    <w:qFormat/>
    <w:uiPriority w:val="99"/>
    <w:pPr>
      <w:widowControl/>
      <w:pBdr>
        <w:left w:val="single" w:color="auto" w:sz="8" w:space="0"/>
        <w:right w:val="single" w:color="auto" w:sz="4" w:space="0"/>
      </w:pBdr>
      <w:spacing w:before="100" w:beforeAutospacing="1" w:after="100" w:afterAutospacing="1"/>
      <w:jc w:val="center"/>
      <w:textAlignment w:val="center"/>
    </w:pPr>
    <w:rPr>
      <w:rFonts w:ascii="宋体" w:hAnsi="宋体"/>
      <w:kern w:val="0"/>
      <w:sz w:val="18"/>
      <w:szCs w:val="18"/>
    </w:rPr>
  </w:style>
  <w:style w:type="paragraph" w:customStyle="1" w:styleId="143">
    <w:name w:val="xl25"/>
    <w:basedOn w:val="1"/>
    <w:qFormat/>
    <w:uiPriority w:val="99"/>
    <w:pPr>
      <w:widowControl/>
      <w:spacing w:before="100" w:beforeAutospacing="1" w:after="100" w:afterAutospacing="1"/>
      <w:textAlignment w:val="center"/>
    </w:pPr>
    <w:rPr>
      <w:rFonts w:ascii="宋体" w:hAnsi="宋体"/>
      <w:kern w:val="0"/>
      <w:sz w:val="18"/>
      <w:szCs w:val="18"/>
    </w:rPr>
  </w:style>
  <w:style w:type="paragraph" w:customStyle="1" w:styleId="144">
    <w:name w:val="样式 样式 样式 样式 内容 + 首行缩进:  2 字符18 + 首行缩进:  5.71 厘米 + 首行缩进:  8.04 厘米..."/>
    <w:basedOn w:val="1"/>
    <w:qFormat/>
    <w:uiPriority w:val="99"/>
    <w:pPr>
      <w:widowControl/>
      <w:spacing w:line="360" w:lineRule="auto"/>
      <w:ind w:firstLine="425" w:firstLineChars="177"/>
      <w:jc w:val="left"/>
    </w:pPr>
    <w:rPr>
      <w:rFonts w:ascii="Trebuchet MS" w:hAnsi="Trebuchet MS"/>
      <w:color w:val="404040"/>
      <w:kern w:val="0"/>
      <w:sz w:val="24"/>
      <w:szCs w:val="20"/>
      <w:lang w:eastAsia="en-US"/>
    </w:rPr>
  </w:style>
  <w:style w:type="paragraph" w:customStyle="1" w:styleId="145">
    <w:name w:val="无间隔1"/>
    <w:qFormat/>
    <w:uiPriority w:val="99"/>
    <w:pPr>
      <w:widowControl w:val="0"/>
      <w:spacing w:line="360" w:lineRule="auto"/>
      <w:jc w:val="center"/>
    </w:pPr>
    <w:rPr>
      <w:rFonts w:ascii="Times New Roman" w:hAnsi="Times New Roman" w:eastAsia="宋体" w:cs="Times New Roman"/>
      <w:b/>
      <w:color w:val="000000"/>
      <w:kern w:val="2"/>
      <w:sz w:val="21"/>
      <w:szCs w:val="21"/>
      <w:lang w:val="zh-CN" w:eastAsia="zh-CN" w:bidi="ar-SA"/>
    </w:rPr>
  </w:style>
  <w:style w:type="paragraph" w:customStyle="1" w:styleId="146">
    <w:name w:val="列出段落11"/>
    <w:basedOn w:val="1"/>
    <w:qFormat/>
    <w:uiPriority w:val="99"/>
    <w:pPr>
      <w:ind w:firstLine="420" w:firstLineChars="200"/>
    </w:pPr>
    <w:rPr>
      <w:rFonts w:ascii="Times New Roman" w:hAnsi="Times New Roman"/>
      <w:szCs w:val="24"/>
    </w:rPr>
  </w:style>
  <w:style w:type="paragraph" w:customStyle="1" w:styleId="147">
    <w:name w:val="_Style 2"/>
    <w:basedOn w:val="1"/>
    <w:qFormat/>
    <w:uiPriority w:val="99"/>
    <w:pPr>
      <w:ind w:firstLine="420" w:firstLineChars="200"/>
    </w:pPr>
  </w:style>
  <w:style w:type="paragraph" w:customStyle="1" w:styleId="148">
    <w:name w:val="txt14"/>
    <w:basedOn w:val="1"/>
    <w:qFormat/>
    <w:uiPriority w:val="99"/>
    <w:pPr>
      <w:widowControl/>
      <w:spacing w:before="100" w:beforeAutospacing="1" w:after="100" w:afterAutospacing="1"/>
      <w:jc w:val="left"/>
    </w:pPr>
    <w:rPr>
      <w:rFonts w:ascii="宋体" w:hAnsi="宋体"/>
      <w:color w:val="000000"/>
      <w:kern w:val="0"/>
      <w:szCs w:val="21"/>
    </w:rPr>
  </w:style>
  <w:style w:type="paragraph" w:customStyle="1" w:styleId="149">
    <w:name w:val="_Style 11"/>
    <w:basedOn w:val="1"/>
    <w:qFormat/>
    <w:uiPriority w:val="99"/>
    <w:rPr>
      <w:rFonts w:ascii="Times New Roman" w:hAnsi="Times New Roman"/>
      <w:szCs w:val="24"/>
    </w:rPr>
  </w:style>
  <w:style w:type="paragraph" w:customStyle="1" w:styleId="150">
    <w:name w:val="Char"/>
    <w:basedOn w:val="1"/>
    <w:qFormat/>
    <w:uiPriority w:val="99"/>
    <w:rPr>
      <w:rFonts w:ascii="Times New Roman" w:hAnsi="Times New Roman"/>
      <w:szCs w:val="21"/>
    </w:rPr>
  </w:style>
  <w:style w:type="paragraph" w:customStyle="1" w:styleId="151">
    <w:name w:val="列出段落1"/>
    <w:basedOn w:val="1"/>
    <w:qFormat/>
    <w:uiPriority w:val="99"/>
    <w:pPr>
      <w:ind w:firstLine="420" w:firstLineChars="200"/>
    </w:pPr>
    <w:rPr>
      <w:rFonts w:ascii="Times New Roman" w:hAnsi="Times New Roman"/>
      <w:szCs w:val="24"/>
    </w:rPr>
  </w:style>
  <w:style w:type="paragraph" w:customStyle="1" w:styleId="152">
    <w:name w:val="列出段落2"/>
    <w:basedOn w:val="1"/>
    <w:qFormat/>
    <w:uiPriority w:val="99"/>
    <w:pPr>
      <w:ind w:firstLine="420" w:firstLineChars="200"/>
    </w:pPr>
    <w:rPr>
      <w:rFonts w:ascii="Times New Roman" w:hAnsi="Times New Roman"/>
      <w:szCs w:val="24"/>
    </w:rPr>
  </w:style>
  <w:style w:type="paragraph" w:customStyle="1" w:styleId="153">
    <w:name w:val="TOC 标题1"/>
    <w:basedOn w:val="2"/>
    <w:next w:val="1"/>
    <w:qFormat/>
    <w:uiPriority w:val="99"/>
    <w:pPr>
      <w:keepLines/>
      <w:spacing w:before="480" w:after="0" w:line="276" w:lineRule="auto"/>
      <w:jc w:val="left"/>
      <w:outlineLvl w:val="9"/>
    </w:pPr>
    <w:rPr>
      <w:rFonts w:ascii="Cambria" w:hAnsi="Cambria" w:cs="Times New Roman"/>
      <w:color w:val="365F91"/>
      <w:kern w:val="0"/>
      <w:sz w:val="28"/>
      <w:szCs w:val="28"/>
    </w:rPr>
  </w:style>
  <w:style w:type="paragraph" w:customStyle="1" w:styleId="154">
    <w:name w:val="正文文本缩进 31"/>
    <w:basedOn w:val="1"/>
    <w:qFormat/>
    <w:uiPriority w:val="99"/>
    <w:pPr>
      <w:spacing w:line="440" w:lineRule="exact"/>
      <w:ind w:firstLine="412" w:firstLineChars="200"/>
    </w:pPr>
    <w:rPr>
      <w:rFonts w:ascii="宋体" w:hAnsi="宋体"/>
      <w:kern w:val="0"/>
      <w:sz w:val="20"/>
      <w:szCs w:val="20"/>
    </w:rPr>
  </w:style>
  <w:style w:type="character" w:customStyle="1" w:styleId="155">
    <w:name w:val="font41"/>
    <w:qFormat/>
    <w:uiPriority w:val="99"/>
    <w:rPr>
      <w:rFonts w:ascii="宋体" w:hAnsi="宋体" w:eastAsia="宋体"/>
      <w:b/>
      <w:color w:val="000000"/>
      <w:sz w:val="22"/>
      <w:u w:val="none"/>
    </w:rPr>
  </w:style>
  <w:style w:type="character" w:customStyle="1" w:styleId="156">
    <w:name w:val="font81"/>
    <w:qFormat/>
    <w:uiPriority w:val="99"/>
    <w:rPr>
      <w:rFonts w:ascii="宋体" w:hAnsi="宋体" w:eastAsia="宋体"/>
      <w:b/>
      <w:color w:val="000000"/>
      <w:sz w:val="22"/>
      <w:u w:val="none"/>
    </w:rPr>
  </w:style>
  <w:style w:type="character" w:customStyle="1" w:styleId="157">
    <w:name w:val="font21"/>
    <w:qFormat/>
    <w:uiPriority w:val="99"/>
    <w:rPr>
      <w:rFonts w:ascii="宋体" w:hAnsi="宋体" w:eastAsia="宋体"/>
      <w:color w:val="000000"/>
      <w:sz w:val="18"/>
      <w:u w:val="none"/>
    </w:rPr>
  </w:style>
  <w:style w:type="character" w:customStyle="1" w:styleId="158">
    <w:name w:val="font01"/>
    <w:qFormat/>
    <w:uiPriority w:val="99"/>
    <w:rPr>
      <w:rFonts w:ascii="宋体" w:hAnsi="宋体" w:eastAsia="宋体"/>
      <w:color w:val="000000"/>
      <w:sz w:val="22"/>
      <w:u w:val="none"/>
    </w:rPr>
  </w:style>
  <w:style w:type="character" w:customStyle="1" w:styleId="159">
    <w:name w:val="Char Char1"/>
    <w:qFormat/>
    <w:uiPriority w:val="99"/>
    <w:rPr>
      <w:rFonts w:eastAsia="宋体"/>
      <w:kern w:val="2"/>
      <w:sz w:val="18"/>
      <w:lang w:val="en-US" w:eastAsia="zh-CN"/>
    </w:rPr>
  </w:style>
  <w:style w:type="character" w:customStyle="1" w:styleId="160">
    <w:name w:val="hei141"/>
    <w:qFormat/>
    <w:uiPriority w:val="99"/>
    <w:rPr>
      <w:rFonts w:ascii="宋体" w:hAnsi="宋体" w:eastAsia="宋体"/>
      <w:color w:val="000000"/>
      <w:sz w:val="19"/>
      <w:u w:val="none"/>
    </w:rPr>
  </w:style>
  <w:style w:type="character" w:customStyle="1" w:styleId="161">
    <w:name w:val="apple-style-span"/>
    <w:basedOn w:val="42"/>
    <w:qFormat/>
    <w:uiPriority w:val="99"/>
    <w:rPr>
      <w:rFonts w:cs="Times New Roman"/>
    </w:rPr>
  </w:style>
  <w:style w:type="character" w:customStyle="1" w:styleId="162">
    <w:name w:val="param-value"/>
    <w:qFormat/>
    <w:uiPriority w:val="99"/>
  </w:style>
  <w:style w:type="character" w:customStyle="1" w:styleId="163">
    <w:name w:val="font61"/>
    <w:qFormat/>
    <w:uiPriority w:val="99"/>
    <w:rPr>
      <w:rFonts w:ascii="宋体" w:hAnsi="宋体" w:eastAsia="宋体"/>
      <w:color w:val="000000"/>
      <w:sz w:val="22"/>
      <w:u w:val="none"/>
    </w:rPr>
  </w:style>
  <w:style w:type="character" w:customStyle="1" w:styleId="164">
    <w:name w:val="font11"/>
    <w:qFormat/>
    <w:uiPriority w:val="99"/>
    <w:rPr>
      <w:rFonts w:ascii="宋体" w:hAnsi="宋体" w:eastAsia="宋体"/>
      <w:color w:val="FF0000"/>
      <w:sz w:val="22"/>
      <w:u w:val="none"/>
    </w:rPr>
  </w:style>
  <w:style w:type="character" w:customStyle="1" w:styleId="165">
    <w:name w:val="批注文字 Char1"/>
    <w:basedOn w:val="42"/>
    <w:semiHidden/>
    <w:qFormat/>
    <w:uiPriority w:val="99"/>
    <w:rPr>
      <w:rFonts w:cs="Times New Roman"/>
    </w:rPr>
  </w:style>
  <w:style w:type="paragraph" w:customStyle="1" w:styleId="166">
    <w:name w:val="内文"/>
    <w:basedOn w:val="1"/>
    <w:qFormat/>
    <w:uiPriority w:val="99"/>
    <w:pPr>
      <w:spacing w:line="500" w:lineRule="exact"/>
      <w:ind w:firstLine="560" w:firstLineChars="200"/>
    </w:pPr>
    <w:rPr>
      <w:rFonts w:ascii="方正仿宋简体" w:hAnsi="宋体" w:eastAsia="方正仿宋简体"/>
      <w:sz w:val="28"/>
      <w:szCs w:val="28"/>
    </w:rPr>
  </w:style>
  <w:style w:type="character" w:customStyle="1" w:styleId="167">
    <w:name w:val="批注主题 Char1"/>
    <w:basedOn w:val="165"/>
    <w:semiHidden/>
    <w:qFormat/>
    <w:uiPriority w:val="99"/>
    <w:rPr>
      <w:b/>
      <w:bCs/>
    </w:rPr>
  </w:style>
  <w:style w:type="paragraph" w:customStyle="1" w:styleId="168">
    <w:name w:val="reader-word-layer reader-word-s1-17"/>
    <w:basedOn w:val="1"/>
    <w:qFormat/>
    <w:uiPriority w:val="99"/>
    <w:pPr>
      <w:widowControl/>
      <w:spacing w:before="100" w:beforeAutospacing="1" w:after="100" w:afterAutospacing="1"/>
      <w:jc w:val="left"/>
    </w:pPr>
    <w:rPr>
      <w:rFonts w:ascii="宋体" w:hAnsi="宋体" w:cs="宋体"/>
      <w:kern w:val="0"/>
      <w:sz w:val="24"/>
      <w:szCs w:val="24"/>
    </w:rPr>
  </w:style>
  <w:style w:type="character" w:customStyle="1" w:styleId="169">
    <w:name w:val="日期 Char1"/>
    <w:basedOn w:val="42"/>
    <w:semiHidden/>
    <w:qFormat/>
    <w:uiPriority w:val="99"/>
    <w:rPr>
      <w:rFonts w:cs="Times New Roman"/>
    </w:rPr>
  </w:style>
  <w:style w:type="paragraph" w:customStyle="1" w:styleId="170">
    <w:name w:val="reader-word-layer reader-word-s1-14"/>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71">
    <w:name w:val="reader-word-layer reader-word-s1-16"/>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72">
    <w:name w:val="reader-word-layer reader-word-s1-15"/>
    <w:basedOn w:val="1"/>
    <w:qFormat/>
    <w:uiPriority w:val="99"/>
    <w:pPr>
      <w:widowControl/>
      <w:spacing w:before="100" w:beforeAutospacing="1" w:after="100" w:afterAutospacing="1"/>
      <w:jc w:val="left"/>
    </w:pPr>
    <w:rPr>
      <w:rFonts w:ascii="宋体" w:hAnsi="宋体" w:cs="宋体"/>
      <w:kern w:val="0"/>
      <w:sz w:val="24"/>
      <w:szCs w:val="24"/>
    </w:rPr>
  </w:style>
  <w:style w:type="character" w:customStyle="1" w:styleId="173">
    <w:name w:val="标题 Char1"/>
    <w:basedOn w:val="42"/>
    <w:qFormat/>
    <w:uiPriority w:val="99"/>
    <w:rPr>
      <w:rFonts w:ascii="Cambria" w:hAnsi="Cambria" w:eastAsia="宋体" w:cs="Times New Roman"/>
      <w:b/>
      <w:bCs/>
      <w:sz w:val="32"/>
      <w:szCs w:val="32"/>
    </w:rPr>
  </w:style>
  <w:style w:type="paragraph" w:customStyle="1" w:styleId="174">
    <w:name w:val="本文正文"/>
    <w:basedOn w:val="1"/>
    <w:qFormat/>
    <w:uiPriority w:val="99"/>
    <w:pPr>
      <w:widowControl/>
      <w:spacing w:line="480" w:lineRule="exact"/>
      <w:ind w:firstLine="200" w:firstLineChars="200"/>
      <w:jc w:val="left"/>
    </w:pPr>
    <w:rPr>
      <w:rFonts w:ascii="宋体" w:hAnsi="宋体"/>
      <w:kern w:val="0"/>
      <w:sz w:val="24"/>
      <w:szCs w:val="24"/>
    </w:rPr>
  </w:style>
  <w:style w:type="paragraph" w:customStyle="1" w:styleId="175">
    <w:name w:val="reader-word-layer reader-word-s1-18"/>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76">
    <w:name w:val="Char Char Char1 Char Char Char Char"/>
    <w:basedOn w:val="1"/>
    <w:qFormat/>
    <w:uiPriority w:val="99"/>
    <w:pPr>
      <w:spacing w:line="300" w:lineRule="auto"/>
    </w:pPr>
    <w:rPr>
      <w:rFonts w:ascii="Tahoma" w:hAnsi="Tahoma"/>
      <w:sz w:val="24"/>
      <w:szCs w:val="24"/>
    </w:rPr>
  </w:style>
  <w:style w:type="paragraph" w:customStyle="1" w:styleId="177">
    <w:name w:val="Default"/>
    <w:qFormat/>
    <w:uiPriority w:val="99"/>
    <w:pPr>
      <w:widowControl w:val="0"/>
      <w:autoSpaceDE w:val="0"/>
      <w:autoSpaceDN w:val="0"/>
      <w:adjustRightInd w:val="0"/>
      <w:jc w:val="both"/>
    </w:pPr>
    <w:rPr>
      <w:rFonts w:ascii="黑体" w:hAnsi="黑体" w:eastAsia="宋体" w:cs="黑体"/>
      <w:color w:val="000000"/>
      <w:kern w:val="0"/>
      <w:sz w:val="24"/>
      <w:szCs w:val="24"/>
      <w:lang w:val="en-US" w:eastAsia="zh-CN" w:bidi="ar-SA"/>
    </w:rPr>
  </w:style>
  <w:style w:type="paragraph" w:customStyle="1" w:styleId="178">
    <w:name w:val="List Paragraph1"/>
    <w:basedOn w:val="1"/>
    <w:qFormat/>
    <w:uiPriority w:val="99"/>
    <w:pPr>
      <w:ind w:firstLine="420" w:firstLineChars="200"/>
    </w:pPr>
    <w:rPr>
      <w:rFonts w:ascii="Times New Roman" w:hAnsi="Times New Roman"/>
      <w:szCs w:val="24"/>
    </w:rPr>
  </w:style>
  <w:style w:type="paragraph" w:customStyle="1" w:styleId="179">
    <w:name w:val="reader-word-layer reader-word-s1-11"/>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80">
    <w:name w:val="reader-word-layer reader-word-s1-19"/>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81">
    <w:name w:val="reader-word-layer reader-word-s1-10"/>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82">
    <w:name w:val="Char Char4"/>
    <w:basedOn w:val="1"/>
    <w:qFormat/>
    <w:uiPriority w:val="99"/>
    <w:pPr>
      <w:widowControl/>
      <w:spacing w:after="160" w:line="240" w:lineRule="exact"/>
      <w:jc w:val="left"/>
    </w:pPr>
    <w:rPr>
      <w:rFonts w:ascii="Times New Roman" w:hAnsi="Times New Roman"/>
      <w:szCs w:val="24"/>
    </w:rPr>
  </w:style>
  <w:style w:type="paragraph" w:customStyle="1" w:styleId="183">
    <w:name w:val="reader-word-layer"/>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84">
    <w:name w:val="Char Char4 Char Char"/>
    <w:basedOn w:val="1"/>
    <w:qFormat/>
    <w:uiPriority w:val="99"/>
    <w:pPr>
      <w:widowControl/>
      <w:spacing w:after="160" w:line="240" w:lineRule="exact"/>
      <w:jc w:val="left"/>
    </w:pPr>
    <w:rPr>
      <w:rFonts w:ascii="Times New Roman" w:hAnsi="Times New Roman"/>
      <w:szCs w:val="24"/>
    </w:rPr>
  </w:style>
  <w:style w:type="paragraph" w:customStyle="1" w:styleId="185">
    <w:name w:val="列出段落3"/>
    <w:basedOn w:val="1"/>
    <w:qFormat/>
    <w:uiPriority w:val="99"/>
    <w:pPr>
      <w:ind w:firstLine="420" w:firstLineChars="200"/>
    </w:pPr>
    <w:rPr>
      <w:rFonts w:ascii="Times New Roman" w:hAnsi="Times New Roman"/>
      <w:szCs w:val="24"/>
    </w:rPr>
  </w:style>
  <w:style w:type="character" w:customStyle="1" w:styleId="186">
    <w:name w:val="Char Char12"/>
    <w:qFormat/>
    <w:uiPriority w:val="99"/>
    <w:rPr>
      <w:rFonts w:eastAsia="宋体"/>
      <w:kern w:val="2"/>
      <w:sz w:val="18"/>
      <w:lang w:val="en-US" w:eastAsia="zh-CN"/>
    </w:rPr>
  </w:style>
  <w:style w:type="paragraph" w:customStyle="1" w:styleId="187">
    <w:name w:val="Char Char42"/>
    <w:basedOn w:val="1"/>
    <w:qFormat/>
    <w:uiPriority w:val="99"/>
    <w:pPr>
      <w:widowControl/>
      <w:spacing w:after="160" w:line="240" w:lineRule="exact"/>
      <w:jc w:val="left"/>
    </w:pPr>
    <w:rPr>
      <w:rFonts w:ascii="Times New Roman" w:hAnsi="Times New Roman"/>
      <w:szCs w:val="24"/>
    </w:rPr>
  </w:style>
  <w:style w:type="paragraph" w:customStyle="1" w:styleId="188">
    <w:name w:val="Char Char4 Char Char2"/>
    <w:basedOn w:val="1"/>
    <w:qFormat/>
    <w:uiPriority w:val="99"/>
    <w:pPr>
      <w:widowControl/>
      <w:spacing w:after="160" w:line="240" w:lineRule="exact"/>
      <w:jc w:val="left"/>
    </w:pPr>
    <w:rPr>
      <w:rFonts w:ascii="Times New Roman" w:hAnsi="Times New Roman"/>
      <w:szCs w:val="24"/>
    </w:rPr>
  </w:style>
  <w:style w:type="paragraph" w:customStyle="1" w:styleId="189">
    <w:name w:val="列出段落4"/>
    <w:basedOn w:val="1"/>
    <w:qFormat/>
    <w:uiPriority w:val="99"/>
    <w:pPr>
      <w:ind w:firstLine="420" w:firstLineChars="200"/>
    </w:pPr>
    <w:rPr>
      <w:rFonts w:ascii="Times New Roman" w:hAnsi="Times New Roman"/>
      <w:szCs w:val="24"/>
    </w:rPr>
  </w:style>
  <w:style w:type="character" w:customStyle="1" w:styleId="190">
    <w:name w:val="Char Char11"/>
    <w:qFormat/>
    <w:uiPriority w:val="99"/>
    <w:rPr>
      <w:rFonts w:eastAsia="宋体"/>
      <w:kern w:val="2"/>
      <w:sz w:val="18"/>
      <w:lang w:val="en-US" w:eastAsia="zh-CN"/>
    </w:rPr>
  </w:style>
  <w:style w:type="paragraph" w:customStyle="1" w:styleId="191">
    <w:name w:val="Char Char41"/>
    <w:basedOn w:val="1"/>
    <w:qFormat/>
    <w:uiPriority w:val="99"/>
    <w:pPr>
      <w:widowControl/>
      <w:spacing w:after="160" w:line="240" w:lineRule="exact"/>
      <w:jc w:val="left"/>
    </w:pPr>
    <w:rPr>
      <w:rFonts w:ascii="Times New Roman" w:hAnsi="Times New Roman"/>
      <w:szCs w:val="24"/>
    </w:rPr>
  </w:style>
  <w:style w:type="paragraph" w:customStyle="1" w:styleId="192">
    <w:name w:val="Char Char4 Char Char1"/>
    <w:basedOn w:val="1"/>
    <w:qFormat/>
    <w:uiPriority w:val="99"/>
    <w:pPr>
      <w:widowControl/>
      <w:spacing w:after="160" w:line="240" w:lineRule="exact"/>
      <w:jc w:val="left"/>
    </w:pPr>
    <w:rPr>
      <w:rFonts w:ascii="Times New Roman" w:hAnsi="Times New Roman"/>
      <w:szCs w:val="24"/>
    </w:rPr>
  </w:style>
  <w:style w:type="paragraph" w:customStyle="1" w:styleId="193">
    <w:name w:val="列出段落5"/>
    <w:basedOn w:val="1"/>
    <w:qFormat/>
    <w:uiPriority w:val="99"/>
    <w:pPr>
      <w:ind w:firstLine="420" w:firstLineChars="200"/>
    </w:pPr>
    <w:rPr>
      <w:rFonts w:ascii="Times New Roman" w:hAnsi="Times New Roman"/>
      <w:szCs w:val="24"/>
    </w:rPr>
  </w:style>
  <w:style w:type="paragraph" w:customStyle="1" w:styleId="194">
    <w:name w:val="图例"/>
    <w:basedOn w:val="1"/>
    <w:qFormat/>
    <w:uiPriority w:val="99"/>
    <w:pPr>
      <w:spacing w:before="120" w:after="120" w:line="360" w:lineRule="auto"/>
      <w:jc w:val="center"/>
    </w:pPr>
    <w:rPr>
      <w:rFonts w:ascii="Times New Roman" w:hAnsi="Times New Roman" w:eastAsia="仿宋_GB2312"/>
      <w:b/>
      <w:sz w:val="24"/>
      <w:szCs w:val="20"/>
    </w:rPr>
  </w:style>
  <w:style w:type="paragraph" w:customStyle="1" w:styleId="195">
    <w:name w:val="普通正文"/>
    <w:basedOn w:val="1"/>
    <w:qFormat/>
    <w:uiPriority w:val="99"/>
    <w:pPr>
      <w:adjustRightInd w:val="0"/>
      <w:spacing w:before="120" w:after="120" w:line="360" w:lineRule="auto"/>
      <w:ind w:firstLine="480"/>
      <w:jc w:val="left"/>
      <w:textAlignment w:val="baseline"/>
    </w:pPr>
    <w:rPr>
      <w:rFonts w:ascii="Arial" w:hAnsi="Arial"/>
      <w:kern w:val="0"/>
      <w:sz w:val="24"/>
      <w:szCs w:val="24"/>
    </w:rPr>
  </w:style>
  <w:style w:type="paragraph" w:customStyle="1" w:styleId="196">
    <w:name w:val="S正文"/>
    <w:basedOn w:val="1"/>
    <w:qFormat/>
    <w:uiPriority w:val="99"/>
    <w:pPr>
      <w:spacing w:line="360" w:lineRule="auto"/>
      <w:ind w:firstLine="560" w:firstLineChars="200"/>
    </w:pPr>
    <w:rPr>
      <w:rFonts w:ascii="宋体" w:hAnsi="宋体"/>
      <w:sz w:val="28"/>
      <w:szCs w:val="24"/>
    </w:rPr>
  </w:style>
  <w:style w:type="character" w:customStyle="1" w:styleId="197">
    <w:name w:val="批注文字 字符"/>
    <w:qFormat/>
    <w:uiPriority w:val="99"/>
    <w:rPr>
      <w:kern w:val="2"/>
      <w:sz w:val="21"/>
    </w:rPr>
  </w:style>
  <w:style w:type="character" w:customStyle="1" w:styleId="198">
    <w:name w:val="Default Text Char Char"/>
    <w:link w:val="199"/>
    <w:qFormat/>
    <w:locked/>
    <w:uiPriority w:val="99"/>
    <w:rPr>
      <w:rFonts w:eastAsia="Times New Roman"/>
      <w:color w:val="000000"/>
      <w:sz w:val="24"/>
      <w:lang w:val="en-US" w:eastAsia="zh-CN"/>
    </w:rPr>
  </w:style>
  <w:style w:type="paragraph" w:customStyle="1" w:styleId="199">
    <w:name w:val="Default Text"/>
    <w:basedOn w:val="200"/>
    <w:link w:val="198"/>
    <w:qFormat/>
    <w:uiPriority w:val="99"/>
    <w:pPr>
      <w:widowControl w:val="0"/>
      <w:autoSpaceDE w:val="0"/>
      <w:autoSpaceDN w:val="0"/>
      <w:adjustRightInd w:val="0"/>
    </w:pPr>
    <w:rPr>
      <w:rFonts w:ascii="Times New Roman" w:hAnsi="Times New Roman" w:eastAsia="宋体" w:cs="Times New Roman"/>
      <w:color w:val="000000"/>
      <w:kern w:val="0"/>
      <w:sz w:val="24"/>
      <w:szCs w:val="20"/>
      <w:lang w:val="en-US" w:eastAsia="zh-CN" w:bidi="ar-SA"/>
    </w:rPr>
  </w:style>
  <w:style w:type="paragraph" w:customStyle="1" w:styleId="200">
    <w:name w:val="正文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201">
    <w:name w:val="正文缩进1"/>
    <w:basedOn w:val="1"/>
    <w:qFormat/>
    <w:uiPriority w:val="0"/>
    <w:pPr>
      <w:autoSpaceDE w:val="0"/>
      <w:autoSpaceDN w:val="0"/>
      <w:adjustRightInd w:val="0"/>
      <w:ind w:firstLine="420"/>
      <w:jc w:val="left"/>
    </w:pPr>
    <w:rPr>
      <w:rFonts w:ascii="宋体"/>
      <w:kern w:val="0"/>
      <w:sz w:val="24"/>
      <w:szCs w:val="20"/>
    </w:rPr>
  </w:style>
  <w:style w:type="paragraph" w:customStyle="1" w:styleId="202">
    <w:name w:val="索引 11"/>
    <w:basedOn w:val="1"/>
    <w:next w:val="1"/>
    <w:qFormat/>
    <w:uiPriority w:val="0"/>
    <w:pPr>
      <w:spacing w:line="360" w:lineRule="auto"/>
    </w:pPr>
    <w:rPr>
      <w:rFonts w:ascii="仿宋_GB2312" w:eastAsia="仿宋_GB2312"/>
      <w:sz w:val="24"/>
      <w:szCs w:val="20"/>
    </w:rPr>
  </w:style>
  <w:style w:type="paragraph" w:customStyle="1" w:styleId="203">
    <w:name w:val="纯文本1"/>
    <w:basedOn w:val="1"/>
    <w:qFormat/>
    <w:uiPriority w:val="0"/>
    <w:rPr>
      <w:rFonts w:ascii="宋体" w:hAnsi="Courier New"/>
      <w:kern w:val="0"/>
      <w:sz w:val="20"/>
      <w:szCs w:val="20"/>
    </w:rPr>
  </w:style>
  <w:style w:type="paragraph" w:customStyle="1" w:styleId="204">
    <w:name w:val="Table Paragraph"/>
    <w:basedOn w:val="1"/>
    <w:unhideWhenUsed/>
    <w:qFormat/>
    <w:uiPriority w:val="1"/>
    <w:rPr>
      <w:rFonts w:hint="default"/>
      <w:sz w:val="24"/>
      <w:szCs w:val="24"/>
    </w:rPr>
  </w:style>
  <w:style w:type="paragraph" w:customStyle="1" w:styleId="205">
    <w:name w:val="5）标书正文 首行缩进2字符"/>
    <w:basedOn w:val="1"/>
    <w:qFormat/>
    <w:uiPriority w:val="0"/>
    <w:pPr>
      <w:spacing w:line="480" w:lineRule="exact"/>
      <w:ind w:firstLine="200" w:firstLineChars="200"/>
    </w:pPr>
    <w:rPr>
      <w:rFonts w:ascii="仿宋_GB2312" w:eastAsia="仿宋_GB2312"/>
      <w:sz w:val="28"/>
    </w:rPr>
  </w:style>
  <w:style w:type="paragraph" w:customStyle="1" w:styleId="206">
    <w:name w:val="Table Text"/>
    <w:basedOn w:val="1"/>
    <w:semiHidden/>
    <w:qFormat/>
    <w:uiPriority w:val="0"/>
    <w:rPr>
      <w:rFonts w:ascii="宋体" w:hAnsi="宋体" w:eastAsia="宋体" w:cs="宋体"/>
      <w:sz w:val="24"/>
      <w:szCs w:val="24"/>
      <w:lang w:val="en-US" w:eastAsia="en-US" w:bidi="ar-SA"/>
    </w:rPr>
  </w:style>
  <w:style w:type="table" w:customStyle="1" w:styleId="207">
    <w:name w:val="Table Normal"/>
    <w:semiHidden/>
    <w:unhideWhenUsed/>
    <w:qFormat/>
    <w:uiPriority w:val="0"/>
    <w:tblPr>
      <w:tblCellMar>
        <w:top w:w="0" w:type="dxa"/>
        <w:left w:w="0" w:type="dxa"/>
        <w:bottom w:w="0" w:type="dxa"/>
        <w:right w:w="0" w:type="dxa"/>
      </w:tblCellMar>
    </w:tblPr>
  </w:style>
  <w:style w:type="paragraph" w:customStyle="1" w:styleId="208">
    <w:name w:val="采购二级"/>
    <w:basedOn w:val="1"/>
    <w:qFormat/>
    <w:uiPriority w:val="0"/>
    <w:pPr>
      <w:snapToGrid w:val="0"/>
      <w:spacing w:line="560" w:lineRule="exact"/>
      <w:ind w:firstLine="480" w:firstLineChars="200"/>
      <w:outlineLvl w:val="1"/>
    </w:pPr>
    <w:rPr>
      <w:rFonts w:ascii="仿宋" w:hAnsi="仿宋" w:eastAsia="仿宋"/>
      <w:b/>
      <w:sz w:val="24"/>
      <w:szCs w:val="24"/>
    </w:rPr>
  </w:style>
  <w:style w:type="paragraph" w:customStyle="1" w:styleId="209">
    <w:name w:val="正文_1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0">
    <w:name w:val="正"/>
    <w:basedOn w:val="211"/>
    <w:qFormat/>
    <w:uiPriority w:val="0"/>
    <w:pPr>
      <w:tabs>
        <w:tab w:val="left" w:pos="-120"/>
      </w:tabs>
      <w:spacing w:line="560" w:lineRule="exact"/>
      <w:ind w:firstLine="600"/>
      <w:textAlignment w:val="baseline"/>
    </w:pPr>
    <w:rPr>
      <w:rFonts w:ascii="仿宋_GB2312" w:hAnsi="仿宋_GB2312" w:eastAsia="仿宋_GB2312" w:cs="仿宋_GB2312"/>
      <w:color w:val="000000"/>
      <w:spacing w:val="20"/>
      <w:kern w:val="0"/>
    </w:rPr>
  </w:style>
  <w:style w:type="paragraph" w:customStyle="1" w:styleId="211">
    <w:name w:val="正文_1"/>
    <w:next w:val="210"/>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212">
    <w:name w:val="NormalCharacter"/>
    <w:semiHidden/>
    <w:qFormat/>
    <w:uiPriority w:val="0"/>
    <w:rPr>
      <w:rFonts w:eastAsia="微软雅黑"/>
      <w:kern w:val="2"/>
      <w:sz w:val="21"/>
      <w:szCs w:val="24"/>
      <w:lang w:val="en-US" w:eastAsia="zh-CN" w:bidi="ar-SA"/>
    </w:rPr>
  </w:style>
  <w:style w:type="paragraph" w:customStyle="1" w:styleId="213">
    <w:name w:val="正文_0_0_0"/>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214">
    <w:name w:val="PlainText"/>
    <w:basedOn w:val="1"/>
    <w:qFormat/>
    <w:uiPriority w:val="99"/>
    <w:pPr>
      <w:textAlignment w:val="baseline"/>
    </w:pPr>
    <w:rPr>
      <w:rFonts w:ascii="宋体" w:hAnsi="Courier New" w:cs="宋体"/>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0.xml"/><Relationship Id="rId17" Type="http://schemas.openxmlformats.org/officeDocument/2006/relationships/header" Target="header6.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微软中国</Company>
  <Pages>44</Pages>
  <Words>823</Words>
  <Characters>1036</Characters>
  <Lines>0</Lines>
  <Paragraphs>0</Paragraphs>
  <TotalTime>82</TotalTime>
  <ScaleCrop>false</ScaleCrop>
  <LinksUpToDate>false</LinksUpToDate>
  <CharactersWithSpaces>1076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2019-11-06T04:09:00Z</dcterms:created>
  <dc:creator>WHB</dc:creator>
  <cp:lastModifiedBy>新疆公正房地产评估张治河</cp:lastModifiedBy>
  <cp:lastPrinted>2025-03-04T03:08:00Z</cp:lastPrinted>
  <dcterms:modified xsi:type="dcterms:W3CDTF">2025-04-11T02:20:41Z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38C93CEAC37647C1AC026B5691A1A36C_12</vt:lpwstr>
  </property>
  <property fmtid="{D5CDD505-2E9C-101B-9397-08002B2CF9AE}" pid="4" name="KSOTemplateDocerSaveRecord">
    <vt:lpwstr>eyJoZGlkIjoiMjRkODVhMDUxMzYxYmYxNDc1YWUzNGU5NmEzMWQ2ODYiLCJ1c2VySWQiOiIzNTIzNzAyNTAifQ==</vt:lpwstr>
  </property>
</Properties>
</file>