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ascii="宋体" w:hAnsi="宋体" w:eastAsia="宋体" w:cs="宋体"/>
          <w:b/>
          <w:sz w:val="24"/>
          <w:szCs w:val="24"/>
          <w:lang w:val="zh-CN"/>
        </w:rPr>
      </w:pPr>
    </w:p>
    <w:p>
      <w:pPr>
        <w:autoSpaceDE w:val="0"/>
        <w:autoSpaceDN w:val="0"/>
        <w:adjustRightInd w:val="0"/>
        <w:spacing w:line="720" w:lineRule="auto"/>
        <w:ind w:firstLine="0" w:firstLineChars="0"/>
        <w:rPr>
          <w:rFonts w:ascii="宋体" w:hAnsi="宋体" w:eastAsia="宋体" w:cs="宋体"/>
          <w:b/>
          <w:sz w:val="24"/>
          <w:szCs w:val="24"/>
          <w:lang w:val="zh-CN"/>
        </w:rPr>
      </w:pPr>
    </w:p>
    <w:p>
      <w:pPr>
        <w:autoSpaceDE w:val="0"/>
        <w:autoSpaceDN w:val="0"/>
        <w:adjustRightInd w:val="0"/>
        <w:spacing w:line="720" w:lineRule="auto"/>
        <w:ind w:firstLine="0" w:firstLineChars="0"/>
        <w:jc w:val="center"/>
        <w:rPr>
          <w:rFonts w:ascii="宋体" w:hAnsi="宋体" w:eastAsia="宋体" w:cs="宋体"/>
          <w:b/>
          <w:sz w:val="84"/>
          <w:szCs w:val="84"/>
        </w:rPr>
      </w:pPr>
      <w:r>
        <w:rPr>
          <w:rFonts w:hint="eastAsia" w:ascii="宋体" w:hAnsi="宋体" w:eastAsia="宋体" w:cs="宋体"/>
          <w:b/>
          <w:sz w:val="84"/>
          <w:szCs w:val="84"/>
          <w:lang w:val="zh-CN"/>
        </w:rPr>
        <w:t>磋商文件</w:t>
      </w:r>
    </w:p>
    <w:p>
      <w:pPr>
        <w:adjustRightInd w:val="0"/>
        <w:spacing w:line="720" w:lineRule="auto"/>
        <w:ind w:firstLine="0" w:firstLineChars="0"/>
        <w:textAlignment w:val="baseline"/>
        <w:rPr>
          <w:rFonts w:ascii="宋体" w:hAnsi="宋体" w:eastAsia="宋体" w:cs="宋体"/>
          <w:b/>
          <w:sz w:val="24"/>
          <w:szCs w:val="24"/>
        </w:rPr>
      </w:pPr>
    </w:p>
    <w:p>
      <w:pPr>
        <w:adjustRightInd w:val="0"/>
        <w:spacing w:line="720" w:lineRule="auto"/>
        <w:ind w:firstLine="0" w:firstLineChars="0"/>
        <w:textAlignment w:val="baseline"/>
        <w:rPr>
          <w:rFonts w:ascii="宋体" w:hAnsi="宋体" w:eastAsia="宋体" w:cs="宋体"/>
          <w:b/>
          <w:sz w:val="24"/>
          <w:szCs w:val="24"/>
        </w:rPr>
      </w:pPr>
    </w:p>
    <w:p>
      <w:pPr>
        <w:adjustRightInd w:val="0"/>
        <w:spacing w:line="720" w:lineRule="auto"/>
        <w:ind w:firstLine="0" w:firstLineChars="0"/>
        <w:textAlignment w:val="baseline"/>
        <w:rPr>
          <w:rFonts w:hint="eastAsia" w:ascii="宋体" w:hAnsi="宋体" w:eastAsia="宋体" w:cs="宋体"/>
          <w:b/>
          <w:sz w:val="36"/>
          <w:szCs w:val="36"/>
          <w:lang w:eastAsia="zh-CN"/>
        </w:rPr>
      </w:pPr>
      <w:r>
        <w:rPr>
          <w:rFonts w:hint="eastAsia" w:ascii="宋体" w:hAnsi="宋体" w:eastAsia="宋体" w:cs="宋体"/>
          <w:b/>
          <w:sz w:val="36"/>
          <w:szCs w:val="36"/>
        </w:rPr>
        <w:t>采购项目编号：</w:t>
      </w:r>
      <w:r>
        <w:rPr>
          <w:rFonts w:hint="eastAsia" w:ascii="宋体" w:hAnsi="宋体" w:eastAsia="宋体" w:cs="宋体"/>
          <w:b/>
          <w:sz w:val="36"/>
          <w:szCs w:val="36"/>
          <w:lang w:eastAsia="zh-CN"/>
        </w:rPr>
        <w:t>青海品冠竞磋（货物）2025-010</w:t>
      </w:r>
    </w:p>
    <w:p>
      <w:pPr>
        <w:adjustRightInd w:val="0"/>
        <w:spacing w:line="720" w:lineRule="auto"/>
        <w:ind w:left="2530" w:hanging="2530" w:hangingChars="700"/>
        <w:textAlignment w:val="baseline"/>
        <w:rPr>
          <w:rFonts w:hint="eastAsia" w:ascii="宋体" w:hAnsi="宋体" w:eastAsia="宋体" w:cs="宋体"/>
          <w:b/>
          <w:sz w:val="36"/>
          <w:szCs w:val="36"/>
          <w:lang w:eastAsia="zh-CN"/>
        </w:rPr>
      </w:pPr>
      <w:r>
        <w:rPr>
          <w:rFonts w:hint="eastAsia" w:ascii="宋体" w:hAnsi="宋体" w:eastAsia="宋体" w:cs="宋体"/>
          <w:b/>
          <w:sz w:val="36"/>
          <w:szCs w:val="36"/>
        </w:rPr>
        <w:t>采购项目名称：</w:t>
      </w:r>
      <w:r>
        <w:rPr>
          <w:rFonts w:hint="eastAsia" w:ascii="宋体" w:hAnsi="宋体" w:eastAsia="宋体" w:cs="宋体"/>
          <w:b/>
          <w:sz w:val="36"/>
          <w:szCs w:val="36"/>
          <w:lang w:eastAsia="zh-CN"/>
        </w:rPr>
        <w:t>海北州第二人民医院病案室密集柜增设项目</w:t>
      </w:r>
    </w:p>
    <w:p>
      <w:pPr>
        <w:adjustRightInd w:val="0"/>
        <w:spacing w:line="720" w:lineRule="auto"/>
        <w:ind w:firstLine="0" w:firstLineChars="0"/>
        <w:textAlignment w:val="baseline"/>
      </w:pPr>
      <w:r>
        <w:rPr>
          <w:rFonts w:hint="eastAsia" w:ascii="宋体" w:hAnsi="宋体" w:eastAsia="宋体" w:cs="宋体"/>
          <w:b/>
          <w:sz w:val="36"/>
          <w:szCs w:val="36"/>
        </w:rPr>
        <w:t>采   购   人：</w:t>
      </w:r>
      <w:r>
        <w:rPr>
          <w:rFonts w:hint="eastAsia" w:ascii="宋体" w:hAnsi="宋体" w:cs="宋体"/>
          <w:b/>
          <w:color w:val="auto"/>
          <w:sz w:val="36"/>
          <w:szCs w:val="36"/>
          <w:lang w:eastAsia="zh-CN"/>
        </w:rPr>
        <w:t>青海省海北藏族自治州第二人民医院</w:t>
      </w:r>
    </w:p>
    <w:p>
      <w:pPr>
        <w:spacing w:line="720" w:lineRule="auto"/>
        <w:ind w:firstLine="0" w:firstLineChars="0"/>
        <w:rPr>
          <w:rFonts w:hint="eastAsia" w:ascii="宋体" w:hAnsi="宋体" w:eastAsia="宋体" w:cs="宋体"/>
          <w:b/>
          <w:sz w:val="36"/>
          <w:szCs w:val="36"/>
        </w:rPr>
      </w:pPr>
    </w:p>
    <w:p>
      <w:pPr>
        <w:spacing w:line="720" w:lineRule="auto"/>
        <w:ind w:firstLine="0" w:firstLineChars="0"/>
        <w:rPr>
          <w:rFonts w:hint="eastAsia" w:ascii="宋体" w:hAnsi="宋体" w:eastAsia="宋体" w:cs="宋体"/>
          <w:b/>
          <w:sz w:val="36"/>
          <w:szCs w:val="36"/>
        </w:rPr>
      </w:pPr>
    </w:p>
    <w:p>
      <w:pPr>
        <w:spacing w:line="720" w:lineRule="auto"/>
        <w:ind w:firstLine="0" w:firstLineChars="0"/>
        <w:rPr>
          <w:rFonts w:hint="eastAsia" w:ascii="宋体" w:hAnsi="宋体" w:eastAsia="宋体" w:cs="宋体"/>
          <w:b/>
          <w:sz w:val="36"/>
          <w:szCs w:val="36"/>
        </w:rPr>
      </w:pPr>
    </w:p>
    <w:p>
      <w:pPr>
        <w:spacing w:line="720" w:lineRule="auto"/>
        <w:ind w:firstLine="0" w:firstLineChars="0"/>
        <w:rPr>
          <w:rFonts w:ascii="宋体" w:hAnsi="宋体" w:eastAsia="宋体" w:cs="宋体"/>
          <w:b/>
          <w:sz w:val="36"/>
          <w:szCs w:val="36"/>
        </w:rPr>
      </w:pPr>
      <w:r>
        <w:rPr>
          <w:rFonts w:hint="eastAsia" w:ascii="宋体" w:hAnsi="宋体" w:eastAsia="宋体" w:cs="宋体"/>
          <w:b/>
          <w:sz w:val="36"/>
          <w:szCs w:val="36"/>
        </w:rPr>
        <w:t>采购代理机构：青海品冠招标代理有限公司</w:t>
      </w:r>
    </w:p>
    <w:p>
      <w:pPr>
        <w:spacing w:line="720" w:lineRule="auto"/>
        <w:ind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2025年02月</w:t>
      </w:r>
    </w:p>
    <w:p>
      <w:pPr>
        <w:ind w:firstLine="723"/>
        <w:jc w:val="center"/>
        <w:rPr>
          <w:rFonts w:ascii="宋体" w:hAnsi="宋体" w:eastAsia="宋体" w:cs="宋体"/>
          <w:b/>
          <w:bCs/>
          <w:sz w:val="36"/>
          <w:szCs w:val="36"/>
        </w:rPr>
      </w:pPr>
    </w:p>
    <w:p>
      <w:pPr>
        <w:keepNext/>
        <w:pageBreakBefore/>
        <w:adjustRightInd w:val="0"/>
        <w:spacing w:line="720" w:lineRule="auto"/>
        <w:ind w:firstLine="0" w:firstLineChars="0"/>
        <w:jc w:val="center"/>
        <w:textAlignment w:val="baseline"/>
        <w:rPr>
          <w:rFonts w:ascii="宋体" w:hAnsi="宋体" w:eastAsia="宋体" w:cs="宋体"/>
          <w:b/>
          <w:sz w:val="40"/>
          <w:szCs w:val="30"/>
        </w:rPr>
        <w:sectPr>
          <w:headerReference r:id="rId5" w:type="default"/>
          <w:footerReference r:id="rId6" w:type="default"/>
          <w:pgSz w:w="11906" w:h="16838"/>
          <w:pgMar w:top="1440" w:right="1701" w:bottom="1440" w:left="1701" w:header="851" w:footer="992" w:gutter="0"/>
          <w:pgBorders>
            <w:top w:val="none" w:sz="0" w:space="0"/>
            <w:left w:val="none" w:sz="0" w:space="0"/>
            <w:bottom w:val="none" w:sz="0" w:space="0"/>
            <w:right w:val="none" w:sz="0" w:space="0"/>
          </w:pgBorders>
          <w:cols w:space="0" w:num="1"/>
          <w:docGrid w:type="lines" w:linePitch="312" w:charSpace="0"/>
        </w:sectPr>
      </w:pPr>
    </w:p>
    <w:p>
      <w:pPr>
        <w:keepNext/>
        <w:pageBreakBefore/>
        <w:adjustRightInd w:val="0"/>
        <w:spacing w:line="720" w:lineRule="auto"/>
        <w:ind w:firstLine="0" w:firstLineChars="0"/>
        <w:jc w:val="center"/>
        <w:textAlignment w:val="baseline"/>
        <w:rPr>
          <w:rFonts w:ascii="宋体" w:hAnsi="宋体" w:eastAsia="宋体" w:cs="宋体"/>
          <w:b/>
          <w:sz w:val="40"/>
          <w:szCs w:val="30"/>
        </w:rPr>
      </w:pPr>
      <w:r>
        <w:rPr>
          <w:rFonts w:hint="eastAsia" w:ascii="宋体" w:hAnsi="宋体" w:eastAsia="宋体" w:cs="宋体"/>
          <w:b/>
          <w:sz w:val="40"/>
          <w:szCs w:val="30"/>
        </w:rPr>
        <w:t>目  录</w:t>
      </w:r>
    </w:p>
    <w:p>
      <w:pPr>
        <w:adjustRightInd w:val="0"/>
        <w:spacing w:line="720" w:lineRule="auto"/>
        <w:ind w:firstLine="0" w:firstLineChars="0"/>
        <w:jc w:val="center"/>
        <w:textAlignment w:val="baseline"/>
        <w:rPr>
          <w:rFonts w:ascii="宋体" w:hAnsi="宋体" w:eastAsia="宋体" w:cs="宋体"/>
          <w:bCs/>
          <w:sz w:val="24"/>
          <w:szCs w:val="24"/>
        </w:rPr>
      </w:pPr>
    </w:p>
    <w:p>
      <w:pPr>
        <w:pStyle w:val="16"/>
        <w:tabs>
          <w:tab w:val="right" w:leader="dot" w:pos="8300"/>
        </w:tabs>
        <w:spacing w:before="0" w:after="0" w:line="720" w:lineRule="auto"/>
        <w:ind w:firstLine="0" w:firstLineChars="0"/>
        <w:rPr>
          <w:rFonts w:ascii="宋体" w:hAnsi="宋体" w:eastAsia="宋体" w:cs="宋体"/>
          <w:sz w:val="24"/>
          <w:szCs w:val="24"/>
        </w:rPr>
      </w:pPr>
      <w:r>
        <w:rPr>
          <w:rFonts w:hint="eastAsia" w:ascii="宋体" w:hAnsi="宋体" w:eastAsia="宋体" w:cs="宋体"/>
          <w:b w:val="0"/>
          <w:sz w:val="24"/>
          <w:szCs w:val="24"/>
          <w:lang w:val="zh-CN"/>
        </w:rPr>
        <w:fldChar w:fldCharType="begin"/>
      </w:r>
      <w:r>
        <w:rPr>
          <w:rStyle w:val="28"/>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sz w:val="24"/>
          <w:szCs w:val="24"/>
          <w:lang w:val="zh-CN"/>
        </w:rPr>
        <w:fldChar w:fldCharType="separate"/>
      </w:r>
      <w:r>
        <w:fldChar w:fldCharType="begin"/>
      </w:r>
      <w:r>
        <w:instrText xml:space="preserve"> HYPERLINK \l "_Toc27517" </w:instrText>
      </w:r>
      <w:r>
        <w:fldChar w:fldCharType="separate"/>
      </w:r>
      <w:r>
        <w:rPr>
          <w:rFonts w:hint="eastAsia" w:ascii="宋体" w:hAnsi="宋体" w:eastAsia="宋体" w:cs="宋体"/>
          <w:sz w:val="24"/>
          <w:szCs w:val="24"/>
          <w:lang w:val="zh-CN"/>
        </w:rPr>
        <w:t>第一部分</w:t>
      </w:r>
      <w:r>
        <w:rPr>
          <w:rFonts w:hint="eastAsia" w:ascii="宋体" w:hAnsi="宋体" w:eastAsia="宋体" w:cs="宋体"/>
          <w:sz w:val="24"/>
          <w:szCs w:val="24"/>
        </w:rPr>
        <w:t xml:space="preserve">  </w:t>
      </w:r>
      <w:r>
        <w:rPr>
          <w:rFonts w:hint="eastAsia" w:ascii="宋体" w:hAnsi="宋体" w:eastAsia="宋体" w:cs="宋体"/>
          <w:sz w:val="24"/>
          <w:szCs w:val="24"/>
          <w:lang w:val="zh-CN"/>
        </w:rPr>
        <w:t>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_Toc27517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"_Toc19487" </w:instrText>
      </w:r>
      <w:r>
        <w:fldChar w:fldCharType="separate"/>
      </w:r>
      <w:r>
        <w:rPr>
          <w:rFonts w:hint="eastAsia" w:ascii="宋体" w:hAnsi="宋体" w:eastAsia="宋体" w:cs="宋体"/>
          <w:sz w:val="24"/>
          <w:szCs w:val="24"/>
          <w:lang w:val="zh-CN"/>
        </w:rPr>
        <w:t>第二部分</w:t>
      </w:r>
      <w:r>
        <w:rPr>
          <w:rFonts w:hint="eastAsia" w:ascii="宋体" w:hAnsi="宋体" w:eastAsia="宋体" w:cs="宋体"/>
          <w:sz w:val="24"/>
          <w:szCs w:val="24"/>
        </w:rPr>
        <w:t xml:space="preserve">  </w:t>
      </w:r>
      <w:r>
        <w:rPr>
          <w:rFonts w:hint="eastAsia" w:ascii="宋体" w:hAnsi="宋体" w:eastAsia="宋体" w:cs="宋体"/>
          <w:sz w:val="24"/>
          <w:szCs w:val="24"/>
          <w:lang w:val="zh-CN"/>
        </w:rPr>
        <w:t>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_Toc19487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"_Toc9515" </w:instrText>
      </w:r>
      <w:r>
        <w:fldChar w:fldCharType="separate"/>
      </w:r>
      <w:r>
        <w:rPr>
          <w:rFonts w:hint="eastAsia" w:ascii="宋体" w:hAnsi="宋体" w:eastAsia="宋体" w:cs="宋体"/>
          <w:kern w:val="28"/>
          <w:sz w:val="24"/>
          <w:szCs w:val="24"/>
        </w:rPr>
        <w:t>第三部分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_Toc9515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"_Toc30421" </w:instrText>
      </w:r>
      <w:r>
        <w:fldChar w:fldCharType="separate"/>
      </w:r>
      <w:r>
        <w:rPr>
          <w:rFonts w:hint="eastAsia" w:ascii="宋体" w:hAnsi="宋体" w:eastAsia="宋体" w:cs="宋体"/>
          <w:kern w:val="28"/>
          <w:sz w:val="24"/>
          <w:szCs w:val="24"/>
        </w:rPr>
        <w:t>第四部分  采购项目合同书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_Toc30421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"_Toc12139" </w:instrText>
      </w:r>
      <w:r>
        <w:fldChar w:fldCharType="separate"/>
      </w:r>
      <w:r>
        <w:rPr>
          <w:rFonts w:hint="eastAsia" w:ascii="宋体" w:hAnsi="宋体" w:eastAsia="宋体" w:cs="宋体"/>
          <w:kern w:val="28"/>
          <w:sz w:val="24"/>
          <w:szCs w:val="24"/>
        </w:rPr>
        <w:t>第五部分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_Toc12139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8300"/>
        </w:tabs>
        <w:spacing w:before="0" w:after="0" w:line="720" w:lineRule="auto"/>
        <w:ind w:firstLine="0" w:firstLineChars="0"/>
        <w:rPr>
          <w:rFonts w:ascii="宋体" w:hAnsi="宋体" w:eastAsia="宋体" w:cs="宋体"/>
          <w:i/>
          <w:iCs/>
        </w:rPr>
      </w:pPr>
      <w:r>
        <w:fldChar w:fldCharType="begin"/>
      </w:r>
      <w:r>
        <w:instrText xml:space="preserve"> HYPERLINK \l "_Toc26743" </w:instrText>
      </w:r>
      <w:r>
        <w:fldChar w:fldCharType="separate"/>
      </w:r>
      <w:r>
        <w:rPr>
          <w:rFonts w:hint="eastAsia" w:ascii="宋体" w:hAnsi="宋体" w:eastAsia="宋体" w:cs="宋体"/>
          <w:kern w:val="28"/>
          <w:sz w:val="24"/>
          <w:szCs w:val="24"/>
        </w:rPr>
        <w:t>第六部分  采购项目要求及技术参数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_Toc26743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spacing w:line="720" w:lineRule="auto"/>
        <w:ind w:firstLine="420"/>
        <w:jc w:val="center"/>
        <w:rPr>
          <w:rFonts w:ascii="宋体" w:hAnsi="宋体" w:eastAsia="宋体" w:cs="宋体"/>
          <w:bCs/>
          <w:szCs w:val="24"/>
          <w:lang w:val="zh-CN"/>
        </w:rPr>
      </w:pPr>
      <w:r>
        <w:rPr>
          <w:rFonts w:hint="eastAsia" w:ascii="宋体" w:hAnsi="宋体" w:eastAsia="宋体" w:cs="宋体"/>
          <w:bCs/>
          <w:szCs w:val="24"/>
          <w:lang w:val="zh-CN"/>
        </w:rPr>
        <w:fldChar w:fldCharType="end"/>
      </w:r>
    </w:p>
    <w:p>
      <w:pPr>
        <w:ind w:firstLine="420"/>
        <w:jc w:val="center"/>
        <w:rPr>
          <w:rFonts w:ascii="宋体" w:hAnsi="宋体" w:eastAsia="宋体" w:cs="宋体"/>
          <w:bCs/>
          <w:szCs w:val="24"/>
          <w:lang w:val="zh-CN"/>
        </w:rPr>
      </w:pPr>
      <w:r>
        <w:rPr>
          <w:rFonts w:hint="eastAsia" w:ascii="宋体" w:hAnsi="宋体" w:eastAsia="宋体" w:cs="宋体"/>
          <w:bCs/>
          <w:szCs w:val="24"/>
          <w:lang w:val="zh-CN"/>
        </w:rPr>
        <w:br w:type="page"/>
      </w:r>
    </w:p>
    <w:p>
      <w:pPr>
        <w:pStyle w:val="20"/>
        <w:spacing w:before="0" w:after="0" w:line="360" w:lineRule="auto"/>
        <w:ind w:firstLine="0" w:firstLineChars="0"/>
        <w:rPr>
          <w:rFonts w:ascii="宋体" w:hAnsi="宋体" w:eastAsia="宋体" w:cs="宋体"/>
          <w:szCs w:val="36"/>
        </w:rPr>
      </w:pPr>
      <w:bookmarkStart w:id="0" w:name="_Toc27517"/>
      <w:bookmarkStart w:id="1" w:name="_Toc10494"/>
      <w:r>
        <w:rPr>
          <w:rFonts w:hint="eastAsia" w:ascii="宋体" w:hAnsi="宋体" w:eastAsia="宋体" w:cs="宋体"/>
          <w:szCs w:val="36"/>
          <w:lang w:val="zh-CN"/>
        </w:rPr>
        <w:t>第一部分</w:t>
      </w:r>
      <w:r>
        <w:rPr>
          <w:rFonts w:hint="eastAsia" w:ascii="宋体" w:hAnsi="宋体" w:eastAsia="宋体" w:cs="宋体"/>
          <w:szCs w:val="36"/>
        </w:rPr>
        <w:t xml:space="preserve">  </w:t>
      </w:r>
      <w:r>
        <w:rPr>
          <w:rFonts w:hint="eastAsia" w:ascii="宋体" w:hAnsi="宋体" w:eastAsia="宋体" w:cs="宋体"/>
          <w:szCs w:val="36"/>
          <w:lang w:val="zh-CN"/>
        </w:rPr>
        <w:t>投标邀请</w:t>
      </w:r>
      <w:bookmarkEnd w:id="0"/>
      <w:bookmarkEnd w:id="1"/>
    </w:p>
    <w:p>
      <w:pPr>
        <w:pStyle w:val="10"/>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青海品冠招标代理有限公司（以下均简称“采购代理机构”）受青海省海北藏族自治州第二人民医院（以下均简称“采购人”）委托</w:t>
      </w:r>
      <w:r>
        <w:rPr>
          <w:rFonts w:hint="eastAsia" w:ascii="宋体" w:hAnsi="宋体" w:eastAsia="宋体" w:cs="宋体"/>
          <w:sz w:val="24"/>
          <w:szCs w:val="24"/>
        </w:rPr>
        <w:t>，拟对“</w:t>
      </w:r>
      <w:r>
        <w:rPr>
          <w:rFonts w:hint="eastAsia" w:ascii="宋体" w:hAnsi="宋体" w:eastAsia="宋体" w:cs="宋体"/>
          <w:sz w:val="24"/>
          <w:szCs w:val="24"/>
          <w:lang w:val="zh-CN"/>
        </w:rPr>
        <w:t>海北州第二人民医院病案室密集柜增设项目</w:t>
      </w:r>
      <w:r>
        <w:rPr>
          <w:rFonts w:hint="eastAsia" w:ascii="宋体" w:hAnsi="宋体" w:eastAsia="宋体" w:cs="宋体"/>
          <w:sz w:val="24"/>
          <w:szCs w:val="24"/>
        </w:rPr>
        <w:t>”进行国内</w:t>
      </w:r>
      <w:r>
        <w:rPr>
          <w:rFonts w:hint="eastAsia" w:ascii="宋体" w:hAnsi="宋体" w:eastAsia="宋体" w:cs="宋体"/>
          <w:sz w:val="24"/>
          <w:szCs w:val="24"/>
          <w:lang w:val="zh-CN"/>
        </w:rPr>
        <w:t>竞争性磋商采购</w:t>
      </w:r>
      <w:r>
        <w:rPr>
          <w:rFonts w:hint="eastAsia" w:ascii="宋体" w:hAnsi="宋体" w:eastAsia="宋体" w:cs="宋体"/>
          <w:sz w:val="24"/>
          <w:szCs w:val="24"/>
        </w:rPr>
        <w:t>，现予以公告，欢迎符合条件的供应商前来参加投标</w:t>
      </w:r>
      <w:r>
        <w:rPr>
          <w:rFonts w:hint="eastAsia" w:ascii="宋体" w:hAnsi="宋体" w:eastAsia="宋体" w:cs="宋体"/>
          <w:sz w:val="24"/>
          <w:szCs w:val="24"/>
          <w:lang w:val="zh-CN"/>
        </w:rPr>
        <w:t>。</w:t>
      </w:r>
    </w:p>
    <w:tbl>
      <w:tblPr>
        <w:tblStyle w:val="23"/>
        <w:tblpPr w:leftFromText="180" w:rightFromText="180" w:vertAnchor="text" w:horzAnchor="page" w:tblpX="894" w:tblpY="449"/>
        <w:tblOverlap w:val="never"/>
        <w:tblW w:w="102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青海品冠竞磋（货物）2025-010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海北州第二人民医院病案室密集柜增设项目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采购预算额度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600000.00元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最高限价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410000.00元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招标内容：</w:t>
            </w:r>
            <w:bookmarkStart w:id="2" w:name="OLE_LINK9"/>
            <w:r>
              <w:rPr>
                <w:rFonts w:hint="eastAsia" w:ascii="宋体" w:hAnsi="宋体" w:eastAsia="宋体" w:cs="宋体"/>
                <w:sz w:val="24"/>
                <w:szCs w:val="24"/>
                <w:lang w:val="zh-CN"/>
              </w:rPr>
              <w:t>病案室改造提升，具体内容详见《磋商文件》。</w:t>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1.应当具备《政府采购法》第二十二条规定的条件，并按照《政府采购法实施条例》第十七条提供以下材料：</w:t>
            </w:r>
          </w:p>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&lt;1&gt;供应商的营业执照等证明文件，自然人的身份证明。</w:t>
            </w:r>
          </w:p>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&lt;2&gt;财务状况报告和依法缴纳税收和社会保障资金的相关材料。</w:t>
            </w:r>
          </w:p>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&lt;3&gt;具备履行合同所必须的</w:t>
            </w:r>
            <w:r>
              <w:rPr>
                <w:rFonts w:hint="eastAsia" w:ascii="宋体" w:hAnsi="宋体" w:eastAsia="宋体" w:cs="宋体"/>
                <w:sz w:val="24"/>
                <w:szCs w:val="24"/>
              </w:rPr>
              <w:t>设备</w:t>
            </w:r>
            <w:r>
              <w:rPr>
                <w:rFonts w:hint="eastAsia" w:ascii="宋体" w:hAnsi="宋体" w:eastAsia="宋体" w:cs="宋体"/>
                <w:sz w:val="24"/>
                <w:szCs w:val="24"/>
                <w:lang w:val="zh-CN"/>
              </w:rPr>
              <w:t>和专业技术能力的证明材料。</w:t>
            </w:r>
          </w:p>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&lt;4&gt;参加政府采购活动前3年内在经营活动中没有重大违法记录的书面声明。</w:t>
            </w:r>
          </w:p>
          <w:p>
            <w:pPr>
              <w:tabs>
                <w:tab w:val="left" w:pos="840"/>
              </w:tabs>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&lt;5&gt;具备法律、行政法规规定的其他条件的证明材料。</w:t>
            </w:r>
          </w:p>
          <w:p>
            <w:pPr>
              <w:tabs>
                <w:tab w:val="left" w:pos="840"/>
              </w:tabs>
              <w:spacing w:line="360" w:lineRule="auto"/>
              <w:ind w:firstLine="0" w:firstLineChars="0"/>
              <w:rPr>
                <w:rFonts w:hint="eastAsia" w:ascii="宋体" w:hAnsi="宋体" w:eastAsia="宋体" w:cs="宋体"/>
                <w:sz w:val="24"/>
                <w:szCs w:val="24"/>
                <w:highlight w:val="none"/>
                <w:lang w:val="zh-CN"/>
              </w:rPr>
            </w:pPr>
            <w:r>
              <w:rPr>
                <w:rFonts w:hint="eastAsia" w:ascii="宋体" w:hAnsi="宋体" w:cs="宋体"/>
                <w:b w:val="0"/>
                <w:bCs w:val="0"/>
                <w:color w:val="auto"/>
                <w:sz w:val="24"/>
                <w:szCs w:val="24"/>
                <w:highlight w:val="none"/>
                <w:lang w:val="zh-CN"/>
              </w:rPr>
              <w:t>2.落实政府采购政策需满足的资格要求：</w:t>
            </w:r>
            <w:r>
              <w:rPr>
                <w:rFonts w:hint="eastAsia" w:ascii="宋体" w:hAnsi="宋体" w:cs="宋体"/>
                <w:color w:val="auto"/>
                <w:sz w:val="24"/>
                <w:szCs w:val="24"/>
                <w:highlight w:val="none"/>
                <w:lang w:val="zh-CN"/>
              </w:rPr>
              <w:t>本项目为专门面向中小企业采购，供应商须提供《中小企业声明函》或《残疾人福利性单位声明函》或《监狱企业证明材料》，本项目采购标的所属行业为</w:t>
            </w:r>
            <w:r>
              <w:rPr>
                <w:rFonts w:hint="eastAsia" w:ascii="宋体" w:hAnsi="宋体" w:cs="宋体"/>
                <w:color w:val="auto"/>
                <w:sz w:val="24"/>
                <w:szCs w:val="24"/>
                <w:highlight w:val="none"/>
                <w:lang w:val="en-US" w:eastAsia="zh-CN"/>
              </w:rPr>
              <w:t>工业</w:t>
            </w:r>
            <w:r>
              <w:rPr>
                <w:rFonts w:hint="eastAsia" w:ascii="宋体" w:hAnsi="宋体" w:cs="宋体"/>
                <w:b w:val="0"/>
                <w:bCs w:val="0"/>
                <w:color w:val="auto"/>
                <w:sz w:val="24"/>
                <w:szCs w:val="24"/>
                <w:highlight w:val="none"/>
                <w:lang w:val="zh-CN"/>
              </w:rPr>
              <w:t>。</w:t>
            </w:r>
          </w:p>
          <w:p>
            <w:pPr>
              <w:numPr>
                <w:ilvl w:val="0"/>
                <w:numId w:val="0"/>
              </w:numPr>
              <w:tabs>
                <w:tab w:val="left" w:pos="840"/>
              </w:tabs>
              <w:spacing w:line="360" w:lineRule="auto"/>
              <w:rPr>
                <w:rFonts w:hint="eastAsia" w:ascii="宋体" w:hAnsi="宋体" w:eastAsia="宋体" w:cs="宋体"/>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经信用中国（www.creditchina.gov.cn）、中国政府采购网</w:t>
            </w:r>
            <w:r>
              <w:rPr>
                <w:rFonts w:hint="eastAsia" w:ascii="宋体" w:hAnsi="宋体" w:eastAsia="宋体" w:cs="宋体"/>
                <w:sz w:val="24"/>
                <w:szCs w:val="24"/>
              </w:rPr>
              <w:t>（www.ccgp.gov.cn）等渠道查询后，列入失信被执行人、</w:t>
            </w:r>
            <w:r>
              <w:rPr>
                <w:rFonts w:hint="eastAsia" w:ascii="宋体" w:hAnsi="宋体" w:eastAsia="宋体" w:cs="宋体"/>
                <w:sz w:val="24"/>
                <w:szCs w:val="24"/>
                <w:lang w:eastAsia="zh-CN"/>
              </w:rPr>
              <w:t>重大税收违法失信主体</w:t>
            </w:r>
            <w:r>
              <w:rPr>
                <w:rFonts w:hint="eastAsia" w:ascii="宋体" w:hAnsi="宋体" w:eastAsia="宋体" w:cs="宋体"/>
                <w:sz w:val="24"/>
                <w:szCs w:val="24"/>
              </w:rPr>
              <w:t>、政府采购严重违法失信行为记录名单的，取消投标资格；</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单位负责人为同一人或者存在直接控股、管理关系的不同</w:t>
            </w:r>
            <w:r>
              <w:rPr>
                <w:rFonts w:hint="eastAsia" w:ascii="宋体" w:hAnsi="宋体" w:eastAsia="宋体" w:cs="宋体"/>
                <w:sz w:val="24"/>
                <w:szCs w:val="24"/>
                <w:lang w:val="en-US" w:eastAsia="zh-CN"/>
              </w:rPr>
              <w:t>供应商</w:t>
            </w:r>
            <w:r>
              <w:rPr>
                <w:rFonts w:hint="eastAsia" w:ascii="宋体" w:hAnsi="宋体" w:eastAsia="宋体" w:cs="宋体"/>
                <w:sz w:val="24"/>
                <w:szCs w:val="24"/>
              </w:rPr>
              <w:t>，不得参加同一合同项下的政府采购活动。否则，取消投标资格；</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为本采购项目提供整体设计、规范编制或者项目管理、监理、检测等服务的</w:t>
            </w:r>
            <w:r>
              <w:rPr>
                <w:rFonts w:hint="eastAsia" w:ascii="宋体" w:hAnsi="宋体" w:eastAsia="宋体" w:cs="宋体"/>
                <w:sz w:val="24"/>
                <w:szCs w:val="24"/>
                <w:lang w:val="en-US" w:eastAsia="zh-CN"/>
              </w:rPr>
              <w:t>供应商</w:t>
            </w:r>
            <w:r>
              <w:rPr>
                <w:rFonts w:hint="eastAsia" w:ascii="宋体" w:hAnsi="宋体" w:eastAsia="宋体" w:cs="宋体"/>
                <w:sz w:val="24"/>
                <w:szCs w:val="24"/>
              </w:rPr>
              <w:t>，不得再参加该采购项目的其他采购活动；</w:t>
            </w:r>
          </w:p>
          <w:p>
            <w:pPr>
              <w:pStyle w:val="35"/>
              <w:spacing w:line="336"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本项目不接受供应商以联合体方式进行投标</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2025年02月14日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50"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sz w:val="24"/>
                <w:szCs w:val="24"/>
              </w:rPr>
            </w:pPr>
            <w:r>
              <w:rPr>
                <w:rFonts w:hint="eastAsia" w:ascii="宋体" w:hAnsi="宋体" w:eastAsia="宋体" w:cs="宋体"/>
                <w:color w:val="000000" w:themeColor="text1"/>
                <w:sz w:val="24"/>
                <w:szCs w:val="24"/>
                <w:lang w:val="zh-CN"/>
                <w14:textFill>
                  <w14:solidFill>
                    <w14:schemeClr w14:val="tx1"/>
                  </w14:solidFill>
                </w14:textFill>
              </w:rPr>
              <w:t>2025年02月14日至</w:t>
            </w:r>
            <w:r>
              <w:rPr>
                <w:rFonts w:hint="eastAsia" w:ascii="宋体" w:hAnsi="宋体" w:eastAsia="宋体" w:cs="宋体"/>
                <w:color w:val="000000" w:themeColor="text1"/>
                <w:sz w:val="24"/>
                <w:szCs w:val="24"/>
                <w:lang w:val="en-US" w:eastAsia="zh-CN"/>
                <w14:textFill>
                  <w14:solidFill>
                    <w14:schemeClr w14:val="tx1"/>
                  </w14:solidFill>
                </w14:textFill>
              </w:rPr>
              <w:t>02</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auto"/>
                <w:sz w:val="24"/>
                <w:szCs w:val="24"/>
                <w:highlight w:val="none"/>
                <w:lang w:val="zh-CN"/>
              </w:rPr>
              <w:t>每天</w:t>
            </w:r>
            <w:r>
              <w:rPr>
                <w:rFonts w:hint="eastAsia" w:ascii="宋体" w:hAnsi="宋体" w:eastAsia="宋体" w:cs="宋体"/>
                <w:color w:val="auto"/>
                <w:sz w:val="24"/>
                <w:szCs w:val="24"/>
                <w:highlight w:val="none"/>
              </w:rPr>
              <w:t>上午00:00至12:00，下午12:00至2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sz w:val="24"/>
                <w:szCs w:val="24"/>
              </w:rPr>
            </w:pPr>
            <w:r>
              <w:rPr>
                <w:rFonts w:hint="eastAsia" w:ascii="宋体" w:hAnsi="宋体" w:eastAsia="宋体" w:cs="宋体"/>
                <w:color w:val="auto"/>
                <w:sz w:val="24"/>
                <w:szCs w:val="24"/>
              </w:rPr>
              <w:t>供应商登录政采云平台https://www.zcygov.cn/在线申请获取采购文件（进入“项目采购”应用，在获取采购文件菜单中选择项目，申请获取采购文件）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en-US" w:eastAsia="zh-CN"/>
              </w:rPr>
              <w:t>0</w:t>
            </w:r>
            <w:r>
              <w:rPr>
                <w:rFonts w:hint="eastAsia" w:ascii="宋体" w:hAnsi="宋体" w:eastAsia="宋体" w:cs="宋体"/>
                <w:sz w:val="24"/>
                <w:szCs w:val="24"/>
                <w:lang w:val="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sz w:val="24"/>
                <w:szCs w:val="24"/>
              </w:rPr>
            </w:pPr>
            <w:r>
              <w:rPr>
                <w:rFonts w:hint="eastAsia" w:ascii="宋体" w:hAnsi="宋体" w:eastAsia="宋体" w:cs="宋体"/>
                <w:color w:val="auto"/>
                <w:sz w:val="24"/>
                <w:szCs w:val="24"/>
              </w:rPr>
              <w:t>政采云平台（https://www.zcygov.cn/）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76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2025年02月25日上午09:30（北京时间）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76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2025年02月25日上午09:30（北京时间）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color w:val="auto"/>
                <w:kern w:val="0"/>
                <w:sz w:val="24"/>
                <w:szCs w:val="24"/>
                <w:lang w:val="zh-CN"/>
              </w:rPr>
              <w:t>响应文件提交地点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hint="eastAsia" w:ascii="宋体" w:hAnsi="宋体" w:eastAsia="宋体" w:cs="宋体"/>
                <w:sz w:val="24"/>
                <w:szCs w:val="24"/>
                <w:lang w:val="zh-CN"/>
              </w:rPr>
            </w:pPr>
            <w:r>
              <w:rPr>
                <w:rFonts w:hint="eastAsia" w:ascii="宋体" w:hAnsi="宋体" w:eastAsia="宋体" w:cs="宋体"/>
                <w:color w:val="auto"/>
                <w:sz w:val="24"/>
                <w:szCs w:val="24"/>
              </w:rPr>
              <w:t>政采云投标客户端（供应商应在提交响应文件截止时间</w:t>
            </w:r>
            <w:r>
              <w:rPr>
                <w:rFonts w:hint="eastAsia" w:ascii="宋体" w:hAnsi="宋体" w:eastAsia="宋体" w:cs="宋体"/>
                <w:color w:val="auto"/>
                <w:sz w:val="24"/>
                <w:szCs w:val="24"/>
                <w:lang w:eastAsia="zh-CN"/>
              </w:rPr>
              <w:t>前</w:t>
            </w:r>
            <w:r>
              <w:rPr>
                <w:rFonts w:hint="eastAsia" w:ascii="宋体" w:hAnsi="宋体" w:eastAsia="宋体" w:cs="宋体"/>
                <w:color w:val="auto"/>
                <w:sz w:val="24"/>
                <w:szCs w:val="24"/>
              </w:rPr>
              <w:t>按磋商文件要求使用政采云电子投标客户端制作上传电子响应文件，并在开标时间到后远程解密</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lang w:val="en-US" w:eastAsia="zh-CN"/>
              </w:rPr>
              <w:t>开标</w:t>
            </w:r>
            <w:r>
              <w:rPr>
                <w:rFonts w:hint="eastAsia" w:ascii="宋体" w:hAnsi="宋体" w:eastAsia="宋体" w:cs="宋体"/>
                <w:b/>
                <w:bCs/>
                <w:sz w:val="24"/>
                <w:szCs w:val="24"/>
              </w:rPr>
              <w:t>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青海省西宁市城西区西川南路76号万达中心4号写字楼23楼12304室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采购人</w:t>
            </w:r>
            <w:bookmarkStart w:id="3" w:name="OLE_LINK8"/>
            <w:r>
              <w:rPr>
                <w:rFonts w:hint="eastAsia" w:ascii="宋体" w:hAnsi="宋体" w:eastAsia="宋体" w:cs="宋体"/>
                <w:sz w:val="24"/>
                <w:szCs w:val="24"/>
                <w:lang w:val="zh-CN"/>
              </w:rPr>
              <w:t>：</w:t>
            </w:r>
            <w:bookmarkEnd w:id="3"/>
            <w:r>
              <w:rPr>
                <w:rFonts w:hint="eastAsia" w:ascii="宋体" w:hAnsi="宋体" w:eastAsia="宋体" w:cs="宋体"/>
                <w:sz w:val="24"/>
                <w:szCs w:val="24"/>
                <w:lang w:val="zh-CN"/>
              </w:rPr>
              <w:t>青海省海北藏族自治州第二人民医院</w:t>
            </w:r>
          </w:p>
          <w:p>
            <w:pPr>
              <w:pStyle w:val="12"/>
              <w:tabs>
                <w:tab w:val="right" w:pos="9070"/>
              </w:tabs>
              <w:spacing w:line="360" w:lineRule="auto"/>
              <w:ind w:left="0" w:leftChars="0" w:firstLine="0" w:firstLineChars="0"/>
              <w:jc w:val="left"/>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eastAsia="zh-CN"/>
              </w:rPr>
              <w:t>联系人：</w:t>
            </w:r>
            <w:r>
              <w:rPr>
                <w:rFonts w:hint="eastAsia" w:hAnsi="宋体" w:eastAsia="宋体" w:cs="宋体"/>
                <w:color w:val="auto"/>
                <w:kern w:val="2"/>
                <w:sz w:val="24"/>
                <w:szCs w:val="24"/>
                <w:highlight w:val="none"/>
                <w:lang w:val="en-US" w:eastAsia="zh-CN"/>
              </w:rPr>
              <w:t>丁先生</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eastAsia="zh-CN"/>
              </w:rPr>
              <w:t>联系电话：</w:t>
            </w:r>
            <w:bookmarkStart w:id="4" w:name="OLE_LINK7"/>
            <w:r>
              <w:rPr>
                <w:rFonts w:hint="eastAsia" w:ascii="宋体" w:hAnsi="宋体" w:eastAsia="宋体" w:cs="宋体"/>
                <w:color w:val="auto"/>
                <w:kern w:val="2"/>
                <w:sz w:val="24"/>
                <w:szCs w:val="24"/>
                <w:highlight w:val="none"/>
                <w:lang w:val="en-US" w:eastAsia="zh-CN"/>
              </w:rPr>
              <w:t>15309708600</w:t>
            </w:r>
          </w:p>
          <w:bookmarkEnd w:id="4"/>
          <w:p>
            <w:pPr>
              <w:spacing w:line="336" w:lineRule="auto"/>
              <w:ind w:firstLine="0" w:firstLineChars="0"/>
              <w:jc w:val="left"/>
              <w:rPr>
                <w:rFonts w:ascii="宋体" w:hAnsi="宋体" w:eastAsia="宋体" w:cs="宋体"/>
                <w:sz w:val="24"/>
                <w:szCs w:val="24"/>
              </w:rPr>
            </w:pPr>
            <w:r>
              <w:rPr>
                <w:rFonts w:hint="eastAsia" w:ascii="宋体" w:hAnsi="宋体" w:eastAsia="宋体" w:cs="宋体"/>
                <w:color w:val="auto"/>
                <w:kern w:val="2"/>
                <w:sz w:val="24"/>
                <w:szCs w:val="24"/>
                <w:lang w:val="zh-CN" w:eastAsia="zh-CN"/>
              </w:rPr>
              <w:t>联系地址：海北州门源县浩门镇海北州第二人民医院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采购代理机构：青海品冠招标代理有限公司</w:t>
            </w:r>
          </w:p>
          <w:p>
            <w:pPr>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联系人：</w:t>
            </w:r>
            <w:r>
              <w:rPr>
                <w:rFonts w:hint="eastAsia" w:ascii="宋体" w:hAnsi="宋体" w:eastAsia="宋体" w:cs="宋体"/>
                <w:sz w:val="24"/>
                <w:szCs w:val="24"/>
                <w:lang w:val="en-US" w:eastAsia="zh-CN"/>
              </w:rPr>
              <w:t>马</w:t>
            </w:r>
            <w:r>
              <w:rPr>
                <w:rFonts w:hint="eastAsia" w:ascii="宋体" w:hAnsi="宋体" w:eastAsia="宋体" w:cs="宋体"/>
                <w:sz w:val="24"/>
                <w:szCs w:val="24"/>
                <w:lang w:val="zh-CN"/>
              </w:rPr>
              <w:t>女士</w:t>
            </w:r>
          </w:p>
          <w:p>
            <w:pPr>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联系电话：0971-6327698</w:t>
            </w:r>
          </w:p>
          <w:p>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联系地址：青海省西宁市城西区西川南路76号万达中心4号写字楼23楼12304室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青海银行交通巷支行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青海品冠招标代理有限公司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0209201000215391（代理费专用账号）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本公告在《青海省政府采购网》、《青海省电子招标投标公共服务平台》、《中国采购与招标网》同时发布，公告内容以《青海省政府采购网》发布的为准；</w:t>
            </w:r>
          </w:p>
          <w:p>
            <w:pPr>
              <w:numPr>
                <w:ilvl w:val="0"/>
                <w:numId w:val="2"/>
              </w:num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本次采购采用线上提交电子响应文件的方式进行，电子响应文件须在提交响应文件截止时间前上传； </w:t>
            </w:r>
          </w:p>
          <w:p>
            <w:pPr>
              <w:numPr>
                <w:ilvl w:val="0"/>
                <w:numId w:val="2"/>
              </w:num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若对项目采购电子交易系统操作有疑问，可登录政采云平台点击右侧 </w:t>
            </w:r>
          </w:p>
          <w:p>
            <w:pPr>
              <w:pStyle w:val="14"/>
              <w:spacing w:line="336" w:lineRule="auto"/>
              <w:ind w:firstLine="0" w:firstLineChars="0"/>
              <w:jc w:val="both"/>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咨询小采或拨打政采云服务热线 95763。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highlight w:val="none"/>
                <w:lang w:val="zh-CN"/>
              </w:rPr>
            </w:pPr>
            <w:r>
              <w:rPr>
                <w:rFonts w:hint="eastAsia" w:ascii="宋体" w:hAnsi="宋体" w:eastAsia="宋体" w:cs="宋体"/>
                <w:sz w:val="24"/>
                <w:szCs w:val="24"/>
                <w:highlight w:val="none"/>
              </w:rPr>
              <w:t>监督单位：</w:t>
            </w:r>
            <w:r>
              <w:rPr>
                <w:rFonts w:hint="eastAsia" w:ascii="宋体" w:hAnsi="宋体" w:eastAsia="宋体" w:cs="宋体"/>
                <w:sz w:val="24"/>
                <w:szCs w:val="24"/>
                <w:highlight w:val="none"/>
                <w:lang w:val="zh-CN"/>
              </w:rPr>
              <w:t xml:space="preserve">海北藏族自治州财政局                       </w:t>
            </w:r>
          </w:p>
          <w:p>
            <w:pPr>
              <w:spacing w:line="336"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highlight w:val="none"/>
              </w:rPr>
              <w:t>联系</w:t>
            </w:r>
            <w:r>
              <w:rPr>
                <w:rFonts w:hint="eastAsia" w:ascii="宋体" w:hAnsi="宋体" w:eastAsia="宋体" w:cs="宋体"/>
                <w:sz w:val="24"/>
                <w:szCs w:val="24"/>
                <w:highlight w:val="none"/>
                <w:lang w:val="zh-CN"/>
              </w:rPr>
              <w:t>电话：097</w:t>
            </w:r>
            <w:r>
              <w:rPr>
                <w:rFonts w:hint="eastAsia" w:ascii="宋体" w:hAnsi="宋体" w:eastAsia="宋体" w:cs="宋体"/>
                <w:sz w:val="24"/>
                <w:szCs w:val="24"/>
                <w:highlight w:val="none"/>
                <w:lang w:val="en-US" w:eastAsia="zh-CN"/>
              </w:rPr>
              <w:t>0-8642631</w:t>
            </w:r>
          </w:p>
        </w:tc>
      </w:tr>
    </w:tbl>
    <w:p>
      <w:pPr>
        <w:spacing w:line="360" w:lineRule="auto"/>
        <w:ind w:firstLine="0" w:firstLineChars="0"/>
        <w:jc w:val="right"/>
        <w:rPr>
          <w:rFonts w:ascii="宋体" w:hAnsi="宋体" w:eastAsia="宋体" w:cs="宋体"/>
          <w:sz w:val="24"/>
          <w:szCs w:val="24"/>
        </w:rPr>
      </w:pPr>
      <w:r>
        <w:rPr>
          <w:rFonts w:hint="eastAsia" w:ascii="宋体" w:hAnsi="宋体" w:eastAsia="宋体" w:cs="宋体"/>
          <w:sz w:val="24"/>
          <w:szCs w:val="24"/>
        </w:rPr>
        <w:t>青海品冠招标代理有限公司</w:t>
      </w:r>
    </w:p>
    <w:p>
      <w:pPr>
        <w:wordWrap w:val="0"/>
        <w:spacing w:line="360" w:lineRule="auto"/>
        <w:ind w:firstLine="0" w:firstLineChars="0"/>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2025年02月14日</w:t>
      </w:r>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br w:type="page"/>
      </w:r>
    </w:p>
    <w:p>
      <w:pPr>
        <w:pStyle w:val="20"/>
        <w:spacing w:before="0" w:after="0" w:line="360" w:lineRule="auto"/>
        <w:ind w:firstLine="0" w:firstLineChars="0"/>
        <w:rPr>
          <w:rFonts w:ascii="宋体" w:hAnsi="宋体" w:eastAsia="宋体" w:cs="宋体"/>
          <w:lang w:val="zh-CN"/>
        </w:rPr>
      </w:pPr>
      <w:bookmarkStart w:id="5" w:name="_Toc19487"/>
      <w:bookmarkStart w:id="6" w:name="_Toc3201"/>
      <w:r>
        <w:rPr>
          <w:rFonts w:hint="eastAsia" w:ascii="宋体" w:hAnsi="宋体" w:eastAsia="宋体" w:cs="宋体"/>
          <w:lang w:val="zh-CN"/>
        </w:rPr>
        <w:t>第二部分</w:t>
      </w:r>
      <w:r>
        <w:rPr>
          <w:rFonts w:hint="eastAsia" w:ascii="宋体" w:hAnsi="宋体" w:eastAsia="宋体" w:cs="宋体"/>
        </w:rPr>
        <w:t xml:space="preserve">  </w:t>
      </w:r>
      <w:r>
        <w:rPr>
          <w:rFonts w:hint="eastAsia" w:ascii="宋体" w:hAnsi="宋体" w:eastAsia="宋体" w:cs="宋体"/>
          <w:lang w:val="zh-CN"/>
        </w:rPr>
        <w:t>供应商须知前附表</w:t>
      </w:r>
      <w:bookmarkEnd w:id="5"/>
      <w:bookmarkEnd w:id="6"/>
    </w:p>
    <w:p>
      <w:pPr>
        <w:spacing w:line="360" w:lineRule="auto"/>
        <w:ind w:firstLine="0" w:firstLineChars="0"/>
        <w:rPr>
          <w:rFonts w:ascii="宋体" w:hAnsi="宋体" w:eastAsia="宋体" w:cs="宋体"/>
          <w:sz w:val="24"/>
          <w:szCs w:val="24"/>
          <w:lang w:val="zh-CN"/>
        </w:rPr>
      </w:pPr>
    </w:p>
    <w:tbl>
      <w:tblPr>
        <w:tblStyle w:val="23"/>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青海品冠竞磋（货物）2025-010</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海北州第二人民医院病案室密集柜增设项目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青海省海北藏族自治州第二人民医院</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青海品冠招标代理有限公司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36" w:lineRule="auto"/>
              <w:ind w:firstLine="0" w:firstLineChars="0"/>
              <w:jc w:val="left"/>
              <w:rPr>
                <w:rFonts w:hint="eastAsia" w:ascii="宋体" w:hAnsi="宋体" w:eastAsia="宋体" w:cs="宋体"/>
                <w:sz w:val="24"/>
                <w:lang w:eastAsia="zh-CN"/>
              </w:rPr>
            </w:pPr>
            <w:r>
              <w:rPr>
                <w:rFonts w:hint="eastAsia" w:ascii="宋体" w:hAnsi="宋体" w:eastAsia="宋体" w:cs="宋体"/>
                <w:sz w:val="24"/>
                <w:szCs w:val="24"/>
                <w:highlight w:val="none"/>
                <w:lang w:eastAsia="zh-CN"/>
              </w:rPr>
              <w:t>600000.00元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36" w:lineRule="auto"/>
              <w:ind w:firstLine="0" w:firstLineChars="0"/>
              <w:jc w:val="left"/>
              <w:rPr>
                <w:rFonts w:hint="eastAsia" w:ascii="宋体" w:hAnsi="宋体" w:eastAsia="宋体" w:cs="宋体"/>
                <w:b/>
                <w:bCs/>
                <w:sz w:val="24"/>
                <w:szCs w:val="24"/>
                <w:lang w:val="zh-CN" w:eastAsia="zh-CN" w:bidi="ar-SA"/>
              </w:rPr>
            </w:pPr>
            <w:r>
              <w:rPr>
                <w:rFonts w:hint="eastAsia" w:ascii="宋体" w:hAnsi="宋体" w:eastAsia="宋体" w:cs="宋体"/>
                <w:b/>
                <w:bCs/>
                <w:sz w:val="24"/>
                <w:szCs w:val="24"/>
                <w:lang w:val="en-US" w:eastAsia="zh-CN"/>
              </w:rPr>
              <w:t>最高限价</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36" w:lineRule="auto"/>
              <w:ind w:firstLine="0" w:firstLineChars="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410000.00元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default" w:ascii="宋体" w:hAnsi="宋体" w:eastAsia="宋体" w:cs="宋体"/>
                <w:sz w:val="24"/>
                <w:lang w:val="en-US" w:eastAsia="zh-CN"/>
              </w:rPr>
            </w:pPr>
            <w:r>
              <w:rPr>
                <w:rFonts w:hint="eastAsia" w:ascii="宋体" w:hAnsi="宋体" w:eastAsia="宋体" w:cs="宋体"/>
                <w:sz w:val="24"/>
                <w:szCs w:val="24"/>
                <w:lang w:val="en-US" w:eastAsia="zh-CN"/>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1、符合《中华人民共和国政府采购法》第22条的条件。</w:t>
            </w:r>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2、磋商文件规定的其他资质条件。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default" w:ascii="宋体" w:hAnsi="宋体" w:eastAsia="宋体" w:cs="宋体"/>
                <w:sz w:val="24"/>
                <w:lang w:val="en-US"/>
              </w:rPr>
            </w:pPr>
            <w:r>
              <w:rPr>
                <w:rFonts w:hint="eastAsia" w:ascii="宋体" w:hAnsi="宋体" w:eastAsia="宋体" w:cs="宋体"/>
                <w:sz w:val="24"/>
                <w:lang w:val="zh-CN"/>
              </w:rPr>
              <w:t>磋商保证金：</w:t>
            </w:r>
            <w:r>
              <w:rPr>
                <w:rFonts w:hint="eastAsia" w:ascii="宋体" w:hAnsi="宋体" w:eastAsia="宋体" w:cs="宋体"/>
                <w:sz w:val="24"/>
                <w:lang w:val="en-US" w:eastAsia="zh-CN"/>
              </w:rPr>
              <w:t>8000.00元（大写：捌仟元整）</w:t>
            </w:r>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收款单位：青海品冠招标代理有限公司</w:t>
            </w:r>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开 户 行：青海西宁农村商业股份有限公司市民中心支行</w:t>
            </w:r>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行号：402851020412</w:t>
            </w:r>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银行账号：</w:t>
            </w:r>
            <w:bookmarkStart w:id="7" w:name="EB10465d4b056e463cb3f7369d04761528"/>
            <w:r>
              <w:rPr>
                <w:rFonts w:hint="eastAsia" w:ascii="宋体" w:hAnsi="宋体" w:eastAsia="宋体" w:cs="宋体"/>
                <w:sz w:val="24"/>
                <w:lang w:val="zh-CN"/>
              </w:rPr>
              <w:t>82010000000486052（保证金专用账户）</w:t>
            </w:r>
            <w:bookmarkEnd w:id="7"/>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缴费时间：提交响应文件截止时间前，以银行到账时间为准。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缴费方式：磋商保证金应当以支票、汇票、本票或者金融机构、担保机构出具的保函等非现金形式提交。供应商未按照磋商文件要求提交磋商保证金的，投标无效。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firstLine="0" w:firstLineChars="0"/>
              <w:rPr>
                <w:rFonts w:ascii="宋体" w:hAnsi="宋体" w:eastAsia="宋体" w:cs="宋体"/>
                <w:sz w:val="24"/>
                <w:lang w:val="zh-CN"/>
              </w:rPr>
            </w:pPr>
            <w:r>
              <w:rPr>
                <w:rFonts w:hint="eastAsia" w:ascii="宋体" w:hAnsi="宋体" w:eastAsia="宋体" w:cs="宋体"/>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sz w:val="24"/>
                <w:lang w:val="zh-CN"/>
              </w:rPr>
            </w:pPr>
            <w:r>
              <w:rPr>
                <w:rFonts w:hint="eastAsia" w:ascii="宋体" w:cs="宋体"/>
                <w:color w:val="000000"/>
                <w:sz w:val="24"/>
                <w:lang w:val="en-US" w:eastAsia="zh-CN"/>
              </w:rPr>
              <w:t>政采云平台提交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2025年02月25日上午09:30（北京时间）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2025年02月25日上午09:30（北京时间）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sz w:val="24"/>
                <w:lang w:val="zh-CN"/>
              </w:rPr>
            </w:pPr>
            <w:r>
              <w:rPr>
                <w:rFonts w:hint="eastAsia" w:ascii="宋体" w:cs="宋体"/>
                <w:color w:val="auto"/>
                <w:sz w:val="24"/>
                <w:lang w:val="zh-CN" w:eastAsia="zh-CN"/>
              </w:rPr>
              <w:t>政采云平台（https://www.zcygov.cn/）</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cs="仿宋"/>
                <w:sz w:val="24"/>
                <w:szCs w:val="24"/>
                <w:lang w:val="en-US" w:eastAsia="zh-CN"/>
              </w:rPr>
              <w:t>线上答疑</w:t>
            </w:r>
          </w:p>
        </w:tc>
      </w:tr>
      <w:tr>
        <w:tblPrEx>
          <w:tblCellMar>
            <w:top w:w="0" w:type="dxa"/>
            <w:left w:w="57" w:type="dxa"/>
            <w:bottom w:w="0" w:type="dxa"/>
            <w:right w:w="57" w:type="dxa"/>
          </w:tblCellMar>
        </w:tblPrEx>
        <w:trPr>
          <w:trHeight w:val="418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highlight w:val="none"/>
                <w:lang w:val="zh-CN"/>
              </w:rPr>
            </w:pPr>
            <w:r>
              <w:rPr>
                <w:rFonts w:hint="eastAsia" w:ascii="宋体" w:hAnsi="宋体" w:eastAsia="宋体" w:cs="宋体"/>
                <w:b/>
                <w:bCs/>
                <w:sz w:val="24"/>
                <w:highlight w:val="none"/>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收取对象：</w:t>
            </w:r>
            <w:r>
              <w:rPr>
                <w:rFonts w:hint="eastAsia" w:ascii="宋体" w:hAnsi="宋体" w:eastAsia="宋体" w:cs="宋体"/>
                <w:color w:val="auto"/>
                <w:sz w:val="24"/>
                <w:highlight w:val="none"/>
                <w:lang w:val="en-US" w:eastAsia="zh-CN"/>
              </w:rPr>
              <w:t>成交供应商</w:t>
            </w:r>
          </w:p>
          <w:p>
            <w:pPr>
              <w:autoSpaceDE w:val="0"/>
              <w:autoSpaceDN w:val="0"/>
              <w:spacing w:line="360" w:lineRule="auto"/>
              <w:ind w:firstLine="0" w:firstLineChars="0"/>
              <w:jc w:val="left"/>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zh-CN"/>
              </w:rPr>
              <w:t>收费金额：</w:t>
            </w:r>
            <w:bookmarkStart w:id="8" w:name="OLE_LINK10"/>
            <w:r>
              <w:rPr>
                <w:rFonts w:hint="eastAsia" w:ascii="宋体" w:hAnsi="宋体" w:eastAsia="宋体" w:cs="宋体"/>
                <w:color w:val="auto"/>
                <w:sz w:val="24"/>
                <w:highlight w:val="none"/>
                <w:lang w:val="en-US" w:eastAsia="zh-CN"/>
              </w:rPr>
              <w:t>3075.00元</w:t>
            </w:r>
          </w:p>
          <w:bookmarkEnd w:id="8"/>
          <w:p>
            <w:pPr>
              <w:autoSpaceDE w:val="0"/>
              <w:autoSpaceDN w:val="0"/>
              <w:spacing w:line="36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pPr>
              <w:autoSpaceDE w:val="0"/>
              <w:autoSpaceDN w:val="0"/>
              <w:spacing w:line="36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采购代理机构开户银行：青海银行交通巷支行；</w:t>
            </w:r>
          </w:p>
          <w:p>
            <w:pPr>
              <w:autoSpaceDE w:val="0"/>
              <w:autoSpaceDN w:val="0"/>
              <w:spacing w:line="36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收款人：青海品冠招标代理有限公司；</w:t>
            </w:r>
          </w:p>
          <w:p>
            <w:pPr>
              <w:autoSpaceDE w:val="0"/>
              <w:autoSpaceDN w:val="0"/>
              <w:spacing w:line="360" w:lineRule="auto"/>
              <w:ind w:firstLine="0" w:firstLineChars="0"/>
              <w:jc w:val="left"/>
              <w:rPr>
                <w:rFonts w:ascii="宋体" w:hAnsi="宋体" w:eastAsia="宋体" w:cs="宋体"/>
                <w:b/>
                <w:sz w:val="24"/>
                <w:highlight w:val="none"/>
              </w:rPr>
            </w:pPr>
            <w:r>
              <w:rPr>
                <w:rFonts w:hint="eastAsia" w:ascii="宋体" w:hAnsi="宋体" w:eastAsia="宋体" w:cs="宋体"/>
                <w:color w:val="000000" w:themeColor="text1"/>
                <w:sz w:val="24"/>
                <w:highlight w:val="none"/>
                <w14:textFill>
                  <w14:solidFill>
                    <w14:schemeClr w14:val="tx1"/>
                  </w14:solidFill>
                </w14:textFill>
              </w:rPr>
              <w:t>银行账号：0209201000215391（代理费专用账号）</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自成交通知书发出之日起</w:t>
            </w:r>
            <w:r>
              <w:rPr>
                <w:rFonts w:hint="eastAsia" w:ascii="宋体" w:hAnsi="宋体" w:eastAsia="宋体" w:cs="宋体"/>
                <w:sz w:val="24"/>
              </w:rPr>
              <w:t>30</w:t>
            </w:r>
            <w:r>
              <w:rPr>
                <w:rFonts w:hint="eastAsia" w:ascii="宋体" w:hAnsi="宋体" w:eastAsia="宋体" w:cs="宋体"/>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采购合同全数返回采购代理机构鉴证，盖章。</w:t>
            </w:r>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采购代理机构留存</w:t>
            </w:r>
            <w:r>
              <w:rPr>
                <w:rFonts w:hint="eastAsia" w:ascii="宋体" w:hAnsi="宋体" w:eastAsia="宋体" w:cs="宋体"/>
                <w:sz w:val="24"/>
              </w:rPr>
              <w:t>两</w:t>
            </w:r>
            <w:r>
              <w:rPr>
                <w:rFonts w:hint="eastAsia" w:ascii="宋体" w:hAnsi="宋体" w:eastAsia="宋体" w:cs="宋体"/>
                <w:sz w:val="24"/>
                <w:lang w:val="zh-CN"/>
              </w:rPr>
              <w:t>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rPr>
              <w:t>磋商有效期为自磋商开始之日起60个日历日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rPr>
            </w:pPr>
            <w:r>
              <w:rPr>
                <w:rFonts w:hint="eastAsia" w:ascii="宋体" w:hAnsi="宋体" w:eastAsia="宋体" w:cs="宋体"/>
                <w:sz w:val="24"/>
              </w:rPr>
              <w:t>/</w:t>
            </w:r>
          </w:p>
        </w:tc>
      </w:tr>
    </w:tbl>
    <w:p>
      <w:pPr>
        <w:wordWrap w:val="0"/>
        <w:spacing w:line="360" w:lineRule="auto"/>
        <w:ind w:firstLine="0" w:firstLineChars="0"/>
        <w:rPr>
          <w:rFonts w:ascii="宋体" w:hAnsi="宋体" w:eastAsia="宋体" w:cs="宋体"/>
          <w:sz w:val="24"/>
          <w:szCs w:val="24"/>
          <w:lang w:val="zh-CN"/>
        </w:rPr>
      </w:pPr>
    </w:p>
    <w:p>
      <w:pPr>
        <w:wordWrap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br w:type="page"/>
      </w:r>
    </w:p>
    <w:p>
      <w:pPr>
        <w:keepNext/>
        <w:keepLines/>
        <w:pageBreakBefore/>
        <w:widowControl/>
        <w:snapToGrid w:val="0"/>
        <w:spacing w:line="360" w:lineRule="auto"/>
        <w:ind w:firstLine="0" w:firstLineChars="0"/>
        <w:jc w:val="center"/>
        <w:outlineLvl w:val="0"/>
        <w:rPr>
          <w:rFonts w:ascii="宋体" w:hAnsi="宋体" w:eastAsia="宋体" w:cs="宋体"/>
          <w:b/>
          <w:kern w:val="28"/>
          <w:sz w:val="36"/>
          <w:szCs w:val="20"/>
        </w:rPr>
      </w:pPr>
      <w:bookmarkStart w:id="9" w:name="_Toc9515"/>
      <w:bookmarkStart w:id="10" w:name="_Toc325725997"/>
      <w:r>
        <w:rPr>
          <w:rFonts w:hint="eastAsia" w:ascii="宋体" w:hAnsi="宋体" w:eastAsia="宋体" w:cs="宋体"/>
          <w:b/>
          <w:kern w:val="28"/>
          <w:sz w:val="36"/>
          <w:szCs w:val="20"/>
        </w:rPr>
        <w:t>第三部分  供应商须知</w:t>
      </w:r>
      <w:bookmarkEnd w:id="9"/>
    </w:p>
    <w:p>
      <w:pPr>
        <w:widowControl/>
        <w:spacing w:line="360" w:lineRule="auto"/>
        <w:ind w:firstLine="0" w:firstLineChars="0"/>
        <w:jc w:val="center"/>
        <w:outlineLvl w:val="1"/>
        <w:rPr>
          <w:rFonts w:ascii="宋体" w:hAnsi="宋体" w:eastAsia="宋体" w:cs="宋体"/>
          <w:b/>
          <w:bCs/>
          <w:sz w:val="24"/>
          <w:szCs w:val="24"/>
        </w:rPr>
      </w:pPr>
      <w:bookmarkStart w:id="11" w:name="_Toc24622"/>
      <w:bookmarkStart w:id="12" w:name="_Toc376936728"/>
      <w:bookmarkStart w:id="13" w:name="_Toc14943"/>
      <w:r>
        <w:rPr>
          <w:rFonts w:hint="eastAsia" w:ascii="宋体" w:hAnsi="宋体" w:eastAsia="宋体" w:cs="宋体"/>
          <w:b/>
          <w:bCs/>
          <w:sz w:val="24"/>
          <w:szCs w:val="24"/>
        </w:rPr>
        <w:t>一、说  明</w:t>
      </w:r>
      <w:bookmarkEnd w:id="10"/>
      <w:bookmarkEnd w:id="11"/>
      <w:bookmarkEnd w:id="12"/>
      <w:bookmarkEnd w:id="13"/>
    </w:p>
    <w:p>
      <w:pPr>
        <w:widowControl/>
        <w:spacing w:line="360" w:lineRule="auto"/>
        <w:ind w:firstLine="0" w:firstLineChars="0"/>
        <w:jc w:val="left"/>
        <w:outlineLvl w:val="2"/>
        <w:rPr>
          <w:rFonts w:ascii="宋体" w:hAnsi="宋体" w:eastAsia="宋体" w:cs="宋体"/>
          <w:b/>
          <w:bCs/>
          <w:sz w:val="24"/>
          <w:szCs w:val="24"/>
        </w:rPr>
      </w:pPr>
      <w:bookmarkStart w:id="14" w:name="_Toc376936729"/>
      <w:bookmarkStart w:id="15" w:name="_Toc325725998"/>
      <w:bookmarkStart w:id="16" w:name="_Toc9770"/>
      <w:bookmarkStart w:id="17" w:name="_Toc26944"/>
      <w:r>
        <w:rPr>
          <w:rFonts w:hint="eastAsia" w:ascii="宋体" w:hAnsi="宋体" w:eastAsia="宋体" w:cs="宋体"/>
          <w:b/>
          <w:bCs/>
          <w:sz w:val="24"/>
          <w:szCs w:val="24"/>
        </w:rPr>
        <w:t>1.适用范围</w:t>
      </w:r>
      <w:bookmarkEnd w:id="14"/>
      <w:bookmarkEnd w:id="15"/>
      <w:bookmarkEnd w:id="16"/>
      <w:bookmarkEnd w:id="17"/>
    </w:p>
    <w:p>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本次采购依据</w:t>
      </w:r>
      <w:r>
        <w:rPr>
          <w:rFonts w:hint="eastAsia" w:ascii="宋体" w:hAnsi="宋体" w:eastAsia="宋体" w:cs="宋体"/>
          <w:sz w:val="24"/>
          <w:szCs w:val="24"/>
          <w:lang w:val="en-US" w:eastAsia="zh-CN"/>
        </w:rPr>
        <w:t>采购人</w:t>
      </w:r>
      <w:r>
        <w:rPr>
          <w:rFonts w:hint="eastAsia" w:ascii="宋体" w:hAnsi="宋体" w:eastAsia="宋体" w:cs="宋体"/>
          <w:sz w:val="24"/>
          <w:szCs w:val="24"/>
        </w:rPr>
        <w:t>的采购计划，仅适用于本磋商文件中所叙述的项目。</w:t>
      </w:r>
    </w:p>
    <w:p>
      <w:pPr>
        <w:widowControl/>
        <w:spacing w:line="360" w:lineRule="auto"/>
        <w:ind w:firstLine="0" w:firstLineChars="0"/>
        <w:jc w:val="left"/>
        <w:outlineLvl w:val="2"/>
        <w:rPr>
          <w:rFonts w:ascii="宋体" w:hAnsi="宋体" w:eastAsia="宋体" w:cs="宋体"/>
          <w:b/>
          <w:bCs/>
          <w:sz w:val="24"/>
          <w:szCs w:val="24"/>
        </w:rPr>
      </w:pPr>
      <w:bookmarkStart w:id="18" w:name="_Toc325725999"/>
      <w:bookmarkStart w:id="19" w:name="_Toc376936730"/>
      <w:bookmarkStart w:id="20" w:name="_Toc21998"/>
      <w:bookmarkStart w:id="21" w:name="_Toc31556"/>
      <w:r>
        <w:rPr>
          <w:rFonts w:hint="eastAsia" w:ascii="宋体" w:hAnsi="宋体" w:eastAsia="宋体" w:cs="宋体"/>
          <w:b/>
          <w:bCs/>
          <w:sz w:val="24"/>
          <w:szCs w:val="24"/>
        </w:rPr>
        <w:t>2.采购方式、合格的</w:t>
      </w:r>
      <w:bookmarkEnd w:id="18"/>
      <w:bookmarkEnd w:id="19"/>
      <w:bookmarkEnd w:id="20"/>
      <w:r>
        <w:rPr>
          <w:rFonts w:hint="eastAsia" w:ascii="宋体" w:hAnsi="宋体" w:eastAsia="宋体" w:cs="宋体"/>
          <w:b/>
          <w:bCs/>
          <w:sz w:val="24"/>
          <w:szCs w:val="24"/>
        </w:rPr>
        <w:t>供应商</w:t>
      </w:r>
      <w:bookmarkEnd w:id="21"/>
    </w:p>
    <w:p>
      <w:pPr>
        <w:keepNext w:val="0"/>
        <w:keepLines w:val="0"/>
        <w:widowControl/>
        <w:suppressLineNumbers w:val="0"/>
        <w:jc w:val="left"/>
      </w:pPr>
      <w:bookmarkStart w:id="22" w:name="_Toc325726000"/>
      <w:bookmarkStart w:id="23" w:name="_Toc376936731"/>
      <w:bookmarkStart w:id="24" w:name="_Toc8805"/>
      <w:bookmarkStart w:id="25" w:name="_Toc8820"/>
      <w:r>
        <w:rPr>
          <w:rFonts w:hint="eastAsia" w:ascii="宋体" w:hAnsi="宋体" w:eastAsia="宋体" w:cs="宋体"/>
          <w:color w:val="000000"/>
          <w:kern w:val="0"/>
          <w:sz w:val="24"/>
          <w:szCs w:val="24"/>
          <w:lang w:val="en-US" w:eastAsia="zh-CN" w:bidi="ar"/>
        </w:rPr>
        <w:t xml:space="preserve">2.1 本次采购采取竞争性磋商方式。 </w:t>
      </w:r>
    </w:p>
    <w:p>
      <w:pPr>
        <w:keepNext w:val="0"/>
        <w:keepLines w:val="0"/>
        <w:widowControl/>
        <w:suppressLineNumbers w:val="0"/>
        <w:jc w:val="left"/>
        <w:rPr>
          <w:rFonts w:hint="eastAsia"/>
          <w:b w:val="0"/>
          <w:bCs w:val="0"/>
          <w:lang w:val="zh-CN"/>
        </w:rPr>
      </w:pPr>
      <w:r>
        <w:rPr>
          <w:rFonts w:hint="eastAsia" w:ascii="宋体" w:hAnsi="宋体" w:eastAsia="宋体" w:cs="宋体"/>
          <w:color w:val="000000"/>
          <w:kern w:val="0"/>
          <w:sz w:val="24"/>
          <w:szCs w:val="24"/>
          <w:lang w:val="en-US" w:eastAsia="zh-CN" w:bidi="ar"/>
        </w:rPr>
        <w:t>2.2 合格的供应商：详见第一部分投标邀请中“各标段供应商资格条件”的规定。</w:t>
      </w:r>
    </w:p>
    <w:p>
      <w:pPr>
        <w:widowControl/>
        <w:spacing w:line="360" w:lineRule="auto"/>
        <w:ind w:firstLine="0" w:firstLineChars="0"/>
        <w:jc w:val="left"/>
        <w:outlineLvl w:val="2"/>
        <w:rPr>
          <w:rFonts w:ascii="宋体" w:hAnsi="宋体" w:eastAsia="宋体" w:cs="宋体"/>
          <w:b/>
          <w:bCs/>
          <w:sz w:val="24"/>
          <w:szCs w:val="24"/>
        </w:rPr>
      </w:pPr>
      <w:r>
        <w:rPr>
          <w:rFonts w:hint="eastAsia" w:ascii="宋体" w:hAnsi="宋体" w:eastAsia="宋体" w:cs="宋体"/>
          <w:b/>
          <w:bCs/>
          <w:sz w:val="24"/>
          <w:szCs w:val="24"/>
        </w:rPr>
        <w:t>3.磋商费用</w:t>
      </w:r>
      <w:bookmarkEnd w:id="22"/>
      <w:bookmarkEnd w:id="23"/>
      <w:bookmarkEnd w:id="24"/>
      <w:bookmarkEnd w:id="25"/>
    </w:p>
    <w:p>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供应商应自愿承担与参加本次投标有关的费用。采购代理机构对供应商发生的费用不承担任何责任。</w:t>
      </w:r>
      <w:bookmarkStart w:id="26" w:name="_Toc325726001"/>
      <w:bookmarkStart w:id="27" w:name="_Toc18155"/>
      <w:bookmarkStart w:id="28" w:name="_Toc376936732"/>
    </w:p>
    <w:p>
      <w:pPr>
        <w:tabs>
          <w:tab w:val="left" w:pos="840"/>
        </w:tabs>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二、磋商文件说明</w:t>
      </w:r>
      <w:bookmarkEnd w:id="26"/>
      <w:bookmarkEnd w:id="27"/>
      <w:bookmarkEnd w:id="28"/>
    </w:p>
    <w:p>
      <w:pPr>
        <w:widowControl/>
        <w:spacing w:line="360" w:lineRule="auto"/>
        <w:ind w:firstLine="0" w:firstLineChars="0"/>
        <w:jc w:val="left"/>
        <w:outlineLvl w:val="2"/>
        <w:rPr>
          <w:rFonts w:ascii="宋体" w:hAnsi="宋体" w:eastAsia="宋体" w:cs="宋体"/>
          <w:b/>
          <w:bCs/>
          <w:sz w:val="24"/>
          <w:szCs w:val="24"/>
        </w:rPr>
      </w:pPr>
      <w:bookmarkStart w:id="29" w:name="_Toc14153"/>
      <w:bookmarkStart w:id="30" w:name="_Toc10649"/>
      <w:bookmarkStart w:id="31" w:name="_Toc325726002"/>
      <w:bookmarkStart w:id="32" w:name="_Toc376936733"/>
      <w:r>
        <w:rPr>
          <w:rFonts w:hint="eastAsia" w:ascii="宋体" w:hAnsi="宋体" w:eastAsia="宋体" w:cs="宋体"/>
          <w:b/>
          <w:bCs/>
          <w:sz w:val="24"/>
          <w:szCs w:val="24"/>
        </w:rPr>
        <w:t>4.磋商文件的构成</w:t>
      </w:r>
      <w:bookmarkEnd w:id="29"/>
      <w:bookmarkEnd w:id="30"/>
      <w:bookmarkEnd w:id="31"/>
      <w:bookmarkEnd w:id="32"/>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4.1磋商文件包括：</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（1）投标邀请</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供应商须知前附表</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（3）供应商须知</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（4）采购项目合同书</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（5）响应文件格式（相关附件）</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（6）采购项目要求及技术参数</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（7）磋商过程中发生的澄清、变更和补充文件</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33" w:name="_Toc376936734"/>
      <w:bookmarkStart w:id="34" w:name="_Toc3451"/>
      <w:bookmarkStart w:id="35" w:name="_Toc325726003"/>
      <w:bookmarkStart w:id="36" w:name="_Toc6482"/>
      <w:r>
        <w:rPr>
          <w:rFonts w:hint="eastAsia" w:ascii="宋体" w:hAnsi="宋体" w:eastAsia="宋体" w:cs="宋体"/>
          <w:b/>
          <w:bCs/>
          <w:sz w:val="24"/>
          <w:szCs w:val="24"/>
        </w:rPr>
        <w:t>5.</w:t>
      </w:r>
      <w:bookmarkEnd w:id="33"/>
      <w:bookmarkEnd w:id="34"/>
      <w:bookmarkEnd w:id="35"/>
      <w:bookmarkEnd w:id="36"/>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val="zh-CN"/>
        </w:rPr>
        <w:t>文件、采购活动和</w:t>
      </w:r>
      <w:r>
        <w:rPr>
          <w:rFonts w:hint="eastAsia" w:ascii="宋体" w:hAnsi="宋体" w:eastAsia="宋体" w:cs="宋体"/>
          <w:b/>
          <w:bCs/>
          <w:color w:val="auto"/>
          <w:sz w:val="24"/>
          <w:szCs w:val="24"/>
          <w:lang w:val="en-US" w:eastAsia="zh-CN"/>
        </w:rPr>
        <w:t>成交</w:t>
      </w:r>
      <w:r>
        <w:rPr>
          <w:rFonts w:hint="eastAsia" w:ascii="宋体" w:hAnsi="宋体" w:eastAsia="宋体" w:cs="宋体"/>
          <w:b/>
          <w:bCs/>
          <w:color w:val="auto"/>
          <w:sz w:val="24"/>
          <w:szCs w:val="24"/>
          <w:lang w:val="zh-CN"/>
        </w:rPr>
        <w:t>结果的质疑</w:t>
      </w:r>
    </w:p>
    <w:p>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认为</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文件、采购过程和</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auto"/>
          <w:sz w:val="24"/>
          <w:szCs w:val="24"/>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s="宋体"/>
          <w:color w:val="auto"/>
          <w:sz w:val="24"/>
          <w:szCs w:val="24"/>
          <w:lang w:val="zh-CN"/>
        </w:rPr>
        <w:t>采购人或采购代理机构在收到书面</w:t>
      </w:r>
      <w:r>
        <w:rPr>
          <w:rFonts w:hint="eastAsia" w:ascii="宋体" w:hAnsi="宋体" w:eastAsia="宋体" w:cs="宋体"/>
          <w:color w:val="auto"/>
          <w:sz w:val="24"/>
          <w:szCs w:val="24"/>
        </w:rPr>
        <w:t>质疑函后7个工作日内作出答复</w:t>
      </w:r>
      <w:r>
        <w:rPr>
          <w:rFonts w:hint="eastAsia" w:ascii="宋体" w:hAnsi="宋体" w:eastAsia="宋体" w:cs="宋体"/>
          <w:color w:val="auto"/>
          <w:sz w:val="24"/>
          <w:szCs w:val="24"/>
          <w:lang w:val="zh-CN"/>
        </w:rPr>
        <w:t>。</w:t>
      </w:r>
    </w:p>
    <w:p>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参与采购活动的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对评审过程或者结果提出质疑的，采购人、采购代理机构可以组织原评审委员会协助答复质疑。质疑事项处理完成后，采购人或采购代理机构应按照规定填写《青海省政府采购</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质疑处理情况表》，并在15日内报同级政府采购监督管理部门备案。</w:t>
      </w:r>
    </w:p>
    <w:p>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应知其权益受到损害之日，是指：</w:t>
      </w:r>
    </w:p>
    <w:p>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（一）对可以质疑的</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文件提出质疑的，为收到</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文件之日或者</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文件公告期限届满之日；</w:t>
      </w:r>
    </w:p>
    <w:p>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（二）对采购过程提出质疑的，为各采购程序环节结束之日；</w:t>
      </w:r>
    </w:p>
    <w:p>
      <w:pPr>
        <w:ind w:firstLine="480"/>
        <w:rPr>
          <w:rFonts w:hint="eastAsia" w:ascii="宋体" w:hAnsi="宋体" w:eastAsia="宋体" w:cs="宋体"/>
          <w:color w:val="auto"/>
        </w:rPr>
      </w:pPr>
      <w:r>
        <w:rPr>
          <w:rFonts w:hint="eastAsia" w:ascii="宋体" w:hAnsi="宋体" w:eastAsia="宋体" w:cs="宋体"/>
          <w:color w:val="auto"/>
          <w:sz w:val="24"/>
          <w:szCs w:val="24"/>
          <w:lang w:val="zh-CN"/>
        </w:rPr>
        <w:t>（三）对</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结果提出质疑的，为</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结果公告期限届满之日。</w:t>
      </w:r>
    </w:p>
    <w:p>
      <w:pPr>
        <w:widowControl/>
        <w:spacing w:line="360" w:lineRule="auto"/>
        <w:ind w:firstLine="0" w:firstLineChars="0"/>
        <w:jc w:val="left"/>
        <w:outlineLvl w:val="2"/>
        <w:rPr>
          <w:rFonts w:ascii="宋体" w:hAnsi="宋体" w:eastAsia="宋体" w:cs="宋体"/>
          <w:b/>
          <w:bCs/>
          <w:sz w:val="24"/>
          <w:szCs w:val="24"/>
        </w:rPr>
      </w:pPr>
      <w:bookmarkStart w:id="37" w:name="_Toc376936735"/>
      <w:bookmarkStart w:id="38" w:name="_Toc325726004"/>
      <w:bookmarkStart w:id="39" w:name="_Toc26515"/>
      <w:bookmarkStart w:id="40" w:name="_Toc13050"/>
      <w:r>
        <w:rPr>
          <w:rFonts w:hint="eastAsia" w:ascii="宋体" w:hAnsi="宋体" w:eastAsia="宋体" w:cs="宋体"/>
          <w:b/>
          <w:bCs/>
          <w:sz w:val="24"/>
          <w:szCs w:val="24"/>
        </w:rPr>
        <w:t>6.磋商文件的澄清、修改</w:t>
      </w:r>
      <w:bookmarkEnd w:id="37"/>
      <w:bookmarkEnd w:id="38"/>
      <w:bookmarkEnd w:id="39"/>
      <w:bookmarkEnd w:id="40"/>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41" w:name="_Toc23340"/>
      <w:bookmarkStart w:id="42" w:name="_Toc325726005"/>
      <w:bookmarkStart w:id="43" w:name="_Toc376936736"/>
    </w:p>
    <w:p>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三、响应文件的编制</w:t>
      </w:r>
      <w:bookmarkEnd w:id="41"/>
      <w:bookmarkEnd w:id="42"/>
      <w:bookmarkEnd w:id="43"/>
    </w:p>
    <w:p>
      <w:pPr>
        <w:widowControl/>
        <w:spacing w:line="360" w:lineRule="auto"/>
        <w:ind w:firstLine="0" w:firstLineChars="0"/>
        <w:jc w:val="left"/>
        <w:outlineLvl w:val="2"/>
        <w:rPr>
          <w:rFonts w:ascii="宋体" w:hAnsi="宋体" w:eastAsia="宋体" w:cs="宋体"/>
          <w:b/>
          <w:bCs/>
          <w:sz w:val="24"/>
          <w:szCs w:val="24"/>
        </w:rPr>
      </w:pPr>
      <w:bookmarkStart w:id="44" w:name="_Toc376936737"/>
      <w:bookmarkStart w:id="45" w:name="_Toc325726006"/>
      <w:bookmarkStart w:id="46" w:name="_Toc9674"/>
      <w:bookmarkStart w:id="47" w:name="_Toc13057"/>
      <w:r>
        <w:rPr>
          <w:rFonts w:hint="eastAsia" w:ascii="宋体" w:hAnsi="宋体" w:eastAsia="宋体" w:cs="宋体"/>
          <w:b/>
          <w:bCs/>
          <w:sz w:val="24"/>
          <w:szCs w:val="24"/>
        </w:rPr>
        <w:t>7.响应文件的语言及度量衡单位</w:t>
      </w:r>
      <w:bookmarkEnd w:id="44"/>
      <w:bookmarkEnd w:id="45"/>
      <w:bookmarkEnd w:id="46"/>
      <w:bookmarkEnd w:id="47"/>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7.1供应商提交的响应文件以及供应商与采购代理机构就此磋商发生的所有来往函电均应使用简体中文。</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7.2 除磋商文件中另有规定外，响应文件所使用的度量衡单位，均须采用国家法定计量单位。</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ascii="宋体" w:hAnsi="宋体" w:eastAsia="宋体" w:cs="宋体"/>
          <w:b/>
          <w:bCs/>
          <w:sz w:val="24"/>
          <w:szCs w:val="24"/>
        </w:rPr>
      </w:pPr>
      <w:bookmarkStart w:id="48" w:name="_Toc17093"/>
      <w:bookmarkStart w:id="49" w:name="_Toc21569"/>
      <w:bookmarkStart w:id="50" w:name="_Toc325726012"/>
      <w:bookmarkStart w:id="51" w:name="_Toc376936743"/>
      <w:r>
        <w:rPr>
          <w:rFonts w:hint="eastAsia" w:ascii="宋体" w:hAnsi="宋体" w:eastAsia="宋体" w:cs="宋体"/>
          <w:b/>
          <w:bCs/>
          <w:sz w:val="24"/>
          <w:szCs w:val="24"/>
        </w:rPr>
        <w:t>8.磋商保证金</w:t>
      </w:r>
      <w:bookmarkEnd w:id="48"/>
      <w:bookmarkEnd w:id="49"/>
      <w:bookmarkEnd w:id="50"/>
      <w:bookmarkEnd w:id="51"/>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.2 磋商保证金由供应商以转款方式直接缴入</w:t>
      </w:r>
      <w:r>
        <w:rPr>
          <w:rFonts w:hint="eastAsia" w:ascii="宋体" w:hAnsi="宋体" w:eastAsia="宋体" w:cs="宋体"/>
          <w:sz w:val="24"/>
          <w:szCs w:val="24"/>
        </w:rPr>
        <w:t>指定保证金</w:t>
      </w:r>
      <w:r>
        <w:rPr>
          <w:rFonts w:hint="eastAsia" w:ascii="宋体" w:hAnsi="宋体" w:eastAsia="宋体" w:cs="宋体"/>
          <w:sz w:val="24"/>
          <w:szCs w:val="24"/>
          <w:lang w:val="zh-CN"/>
        </w:rPr>
        <w:t>帐户。</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有下列情形之一的，磋商保证金不予退还：</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（1）供应商在提交响应文件截止时间后撤回响应文件的；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（2）供应商在响应文件中提供虚假材料的；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（3）除因不可抗力或磋商文件认可的情形以外，成交供应商不与采购人签订合同的；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（4）供应商与采购人、其他供应商或者采购代理机构恶意串通的；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（5）磋商文件规定的其他情形。</w:t>
      </w:r>
    </w:p>
    <w:p>
      <w:pPr>
        <w:widowControl/>
        <w:spacing w:line="360" w:lineRule="auto"/>
        <w:ind w:firstLine="0" w:firstLineChars="0"/>
        <w:jc w:val="left"/>
        <w:outlineLvl w:val="2"/>
        <w:rPr>
          <w:rFonts w:ascii="宋体" w:hAnsi="宋体" w:eastAsia="宋体" w:cs="宋体"/>
          <w:b/>
          <w:bCs/>
          <w:sz w:val="24"/>
          <w:szCs w:val="24"/>
        </w:rPr>
      </w:pPr>
      <w:bookmarkStart w:id="52" w:name="_Toc325726013"/>
      <w:bookmarkStart w:id="53" w:name="_Toc376936744"/>
      <w:bookmarkStart w:id="54" w:name="_Toc22044"/>
      <w:bookmarkStart w:id="55" w:name="_Toc32704"/>
      <w:r>
        <w:rPr>
          <w:rFonts w:hint="eastAsia" w:ascii="宋体" w:hAnsi="宋体" w:eastAsia="宋体" w:cs="宋体"/>
          <w:b/>
          <w:bCs/>
          <w:sz w:val="24"/>
          <w:szCs w:val="24"/>
        </w:rPr>
        <w:t>9.磋商有效期</w:t>
      </w:r>
      <w:bookmarkEnd w:id="52"/>
      <w:bookmarkEnd w:id="53"/>
      <w:bookmarkEnd w:id="54"/>
      <w:bookmarkEnd w:id="55"/>
    </w:p>
    <w:p>
      <w:pPr>
        <w:spacing w:line="360" w:lineRule="auto"/>
        <w:ind w:firstLine="480"/>
        <w:rPr>
          <w:rFonts w:ascii="宋体" w:hAnsi="宋体" w:eastAsia="宋体" w:cs="宋体"/>
          <w:sz w:val="24"/>
          <w:szCs w:val="24"/>
        </w:rPr>
      </w:pPr>
      <w:r>
        <w:rPr>
          <w:rFonts w:hint="eastAsia" w:ascii="宋体" w:hAnsi="宋体" w:eastAsia="宋体" w:cs="宋体"/>
          <w:sz w:val="24"/>
          <w:szCs w:val="24"/>
        </w:rPr>
        <w:t>磋商有效期为自磋商开始之日起60个日历日</w:t>
      </w:r>
    </w:p>
    <w:p>
      <w:pPr>
        <w:widowControl/>
        <w:spacing w:line="360" w:lineRule="auto"/>
        <w:ind w:firstLine="0" w:firstLineChars="0"/>
        <w:jc w:val="left"/>
        <w:outlineLvl w:val="2"/>
        <w:rPr>
          <w:rFonts w:ascii="宋体" w:hAnsi="宋体" w:eastAsia="宋体" w:cs="宋体"/>
          <w:b/>
          <w:bCs/>
          <w:sz w:val="24"/>
          <w:szCs w:val="24"/>
        </w:rPr>
      </w:pPr>
      <w:bookmarkStart w:id="56" w:name="_Toc16445"/>
      <w:bookmarkStart w:id="57" w:name="_Toc31915"/>
      <w:bookmarkStart w:id="58" w:name="_Toc376936739"/>
      <w:bookmarkStart w:id="59" w:name="_Toc325726008"/>
      <w:r>
        <w:rPr>
          <w:rFonts w:hint="eastAsia" w:ascii="宋体" w:hAnsi="宋体" w:eastAsia="宋体" w:cs="宋体"/>
          <w:b/>
          <w:bCs/>
          <w:sz w:val="24"/>
          <w:szCs w:val="24"/>
        </w:rPr>
        <w:t>10.响应文件构成</w:t>
      </w:r>
      <w:bookmarkEnd w:id="56"/>
      <w:bookmarkEnd w:id="57"/>
      <w:bookmarkEnd w:id="58"/>
      <w:bookmarkEnd w:id="59"/>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zh-CN"/>
        </w:rPr>
        <w:t>.1</w:t>
      </w:r>
      <w:r>
        <w:rPr>
          <w:rFonts w:hint="eastAsia" w:ascii="宋体" w:hAnsi="宋体" w:eastAsia="宋体" w:cs="宋体"/>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（1）响应文件封面</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（2）磋商函</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（3）投标报价</w:t>
      </w:r>
      <w:r>
        <w:rPr>
          <w:rFonts w:hint="eastAsia" w:ascii="宋体" w:hAnsi="宋体" w:eastAsia="宋体" w:cs="宋体"/>
          <w:sz w:val="24"/>
          <w:szCs w:val="24"/>
          <w:lang w:val="zh-CN"/>
        </w:rPr>
        <w:t>一览表</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（4）法定代表人证明书</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（5）法定代表人授权书</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（6）供应商承诺函</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（7）供应商诚信承诺书</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（8）资格证明材料</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（9）财务状况</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（10）具备履行合同所必须的设备和专业技术能力证明</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（11）无重大违法记录声明</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（12）磋商保证金</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（13）享受政府采购政策优惠的证明资料</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（14）供应商认为在其他方面有必要说明的事项</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ascii="宋体" w:hAnsi="宋体" w:eastAsia="宋体" w:cs="宋体"/>
          <w:b/>
          <w:bCs/>
          <w:sz w:val="24"/>
          <w:szCs w:val="24"/>
        </w:rPr>
      </w:pPr>
      <w:bookmarkStart w:id="60" w:name="_Toc16453"/>
      <w:bookmarkStart w:id="61" w:name="_Toc373392580"/>
      <w:bookmarkStart w:id="62" w:name="_Toc11377"/>
      <w:bookmarkStart w:id="63" w:name="_Toc412617729"/>
      <w:r>
        <w:rPr>
          <w:rFonts w:hint="eastAsia" w:ascii="宋体" w:hAnsi="宋体" w:eastAsia="宋体" w:cs="宋体"/>
          <w:b/>
          <w:bCs/>
          <w:sz w:val="24"/>
          <w:szCs w:val="24"/>
        </w:rPr>
        <w:t>11.响应文件编印和签署</w:t>
      </w:r>
      <w:bookmarkEnd w:id="60"/>
      <w:bookmarkEnd w:id="61"/>
      <w:bookmarkEnd w:id="62"/>
      <w:bookmarkEnd w:id="63"/>
    </w:p>
    <w:p>
      <w:pPr>
        <w:pStyle w:val="12"/>
        <w:spacing w:line="360" w:lineRule="auto"/>
        <w:ind w:firstLine="0" w:firstLineChars="0"/>
        <w:rPr>
          <w:rFonts w:hint="eastAsia"/>
        </w:rPr>
      </w:pPr>
      <w:bookmarkStart w:id="64" w:name="_Toc15102"/>
      <w:bookmarkStart w:id="65" w:name="_Toc412617730"/>
      <w:bookmarkStart w:id="66" w:name="_Toc376936748"/>
      <w:bookmarkStart w:id="67" w:name="_Toc371090029"/>
      <w:r>
        <w:rPr>
          <w:rFonts w:hint="eastAsia" w:hAnsi="宋体" w:eastAsia="宋体" w:cs="宋体"/>
          <w:color w:val="auto"/>
          <w:sz w:val="24"/>
          <w:szCs w:val="24"/>
        </w:rPr>
        <w:t>11.</w:t>
      </w:r>
      <w:r>
        <w:rPr>
          <w:rFonts w:hint="eastAsia" w:hAnsi="宋体" w:eastAsia="宋体" w:cs="宋体"/>
          <w:color w:val="auto"/>
          <w:sz w:val="24"/>
          <w:szCs w:val="24"/>
          <w:lang w:val="en-US" w:eastAsia="zh-CN"/>
        </w:rPr>
        <w:t>1</w:t>
      </w:r>
      <w:r>
        <w:rPr>
          <w:rFonts w:hint="eastAsia" w:hAnsi="宋体" w:eastAsia="宋体" w:cs="宋体"/>
          <w:color w:val="auto"/>
          <w:sz w:val="24"/>
          <w:szCs w:val="24"/>
        </w:rPr>
        <w:t>磋商文件要求签字、盖章的地方必须由供应商的法定代表人或委托代理人按要求签字和盖章。</w:t>
      </w:r>
    </w:p>
    <w:p>
      <w:pPr>
        <w:pStyle w:val="12"/>
        <w:spacing w:line="360" w:lineRule="auto"/>
        <w:ind w:firstLine="0" w:firstLineChars="0"/>
      </w:pPr>
      <w:r>
        <w:rPr>
          <w:rFonts w:hint="eastAsia" w:ascii="宋体" w:hAnsi="宋体" w:eastAsia="宋体" w:cs="宋体"/>
          <w:color w:val="auto"/>
          <w:sz w:val="24"/>
          <w:szCs w:val="24"/>
        </w:rPr>
        <w:t>11.</w:t>
      </w:r>
      <w:r>
        <w:rPr>
          <w:rFonts w:hint="eastAsia" w:hAnsi="宋体" w:eastAsia="宋体" w:cs="宋体"/>
          <w:color w:val="auto"/>
          <w:sz w:val="24"/>
          <w:szCs w:val="24"/>
          <w:lang w:val="en-US" w:eastAsia="zh-CN"/>
        </w:rPr>
        <w:t>2</w:t>
      </w:r>
      <w:r>
        <w:rPr>
          <w:rFonts w:hint="eastAsia" w:ascii="宋体" w:hAnsi="宋体" w:eastAsia="宋体" w:cs="宋体"/>
          <w:color w:val="auto"/>
          <w:sz w:val="24"/>
          <w:szCs w:val="24"/>
        </w:rPr>
        <w:t>响应文件中不得行间插字、涂改或增删，如有修改错漏处，须由供应商法定代表人或其委托代理人签字和盖章。</w:t>
      </w:r>
    </w:p>
    <w:p>
      <w:pPr>
        <w:pStyle w:val="12"/>
        <w:spacing w:line="360" w:lineRule="auto"/>
        <w:ind w:firstLine="0" w:firstLineChars="0"/>
        <w:jc w:val="center"/>
        <w:rPr>
          <w:rFonts w:hAnsi="宋体" w:eastAsia="宋体" w:cs="宋体"/>
          <w:b/>
          <w:bCs/>
          <w:sz w:val="24"/>
          <w:szCs w:val="24"/>
        </w:rPr>
      </w:pPr>
      <w:r>
        <w:rPr>
          <w:rFonts w:hint="eastAsia" w:hAnsi="宋体" w:eastAsia="宋体" w:cs="宋体"/>
          <w:b/>
          <w:bCs/>
          <w:sz w:val="24"/>
          <w:szCs w:val="24"/>
        </w:rPr>
        <w:t>四、响应文件的递交</w:t>
      </w:r>
      <w:bookmarkEnd w:id="64"/>
      <w:bookmarkEnd w:id="65"/>
    </w:p>
    <w:p>
      <w:pPr>
        <w:widowControl/>
        <w:spacing w:line="360" w:lineRule="auto"/>
        <w:ind w:firstLine="0" w:firstLineChars="0"/>
        <w:jc w:val="left"/>
        <w:outlineLvl w:val="2"/>
        <w:rPr>
          <w:rFonts w:ascii="宋体" w:hAnsi="宋体" w:eastAsia="宋体" w:cs="宋体"/>
          <w:b/>
          <w:bCs/>
          <w:sz w:val="24"/>
          <w:szCs w:val="24"/>
        </w:rPr>
      </w:pPr>
      <w:bookmarkStart w:id="68" w:name="_Toc23823"/>
      <w:bookmarkStart w:id="69" w:name="_Toc1176"/>
      <w:bookmarkStart w:id="70" w:name="_Toc373392582"/>
      <w:bookmarkStart w:id="71" w:name="_Toc325726016"/>
      <w:bookmarkStart w:id="72" w:name="_Toc412617731"/>
      <w:r>
        <w:rPr>
          <w:rFonts w:hint="eastAsia" w:ascii="宋体" w:hAnsi="宋体" w:eastAsia="宋体" w:cs="宋体"/>
          <w:b/>
          <w:bCs/>
          <w:sz w:val="24"/>
          <w:szCs w:val="24"/>
        </w:rPr>
        <w:t>12.响应文件的密封和标记</w:t>
      </w:r>
      <w:bookmarkEnd w:id="68"/>
      <w:bookmarkEnd w:id="69"/>
      <w:bookmarkEnd w:id="70"/>
      <w:bookmarkEnd w:id="71"/>
      <w:bookmarkEnd w:id="72"/>
    </w:p>
    <w:bookmarkEnd w:id="66"/>
    <w:bookmarkEnd w:id="67"/>
    <w:p>
      <w:pPr>
        <w:pStyle w:val="12"/>
        <w:spacing w:line="360" w:lineRule="auto"/>
        <w:ind w:firstLine="0" w:firstLineChars="0"/>
        <w:rPr>
          <w:rFonts w:hint="eastAsia" w:ascii="宋体" w:hAnsi="宋体" w:eastAsia="宋体" w:cs="宋体"/>
          <w:color w:val="auto"/>
          <w:sz w:val="24"/>
          <w:szCs w:val="24"/>
          <w:shd w:val="pct10" w:color="auto" w:fill="FFFFFF"/>
        </w:rPr>
      </w:pPr>
      <w:bookmarkStart w:id="73" w:name="_Toc373392583"/>
      <w:bookmarkStart w:id="74" w:name="_Toc30756"/>
      <w:bookmarkStart w:id="75" w:name="_Toc325726017"/>
      <w:bookmarkStart w:id="76" w:name="_Toc4009"/>
      <w:bookmarkStart w:id="77" w:name="_Toc412617732"/>
      <w:bookmarkStart w:id="78" w:name="_Toc29467"/>
      <w:bookmarkStart w:id="79" w:name="_Toc19768"/>
      <w:bookmarkStart w:id="80" w:name="_Toc376936750"/>
      <w:bookmarkStart w:id="81" w:name="_Toc325726019"/>
      <w:bookmarkStart w:id="82" w:name="_Toc9147"/>
      <w:r>
        <w:rPr>
          <w:rFonts w:hint="eastAsia" w:hAnsi="宋体" w:eastAsia="宋体" w:cs="宋体"/>
          <w:color w:val="auto"/>
          <w:sz w:val="24"/>
          <w:szCs w:val="24"/>
          <w:lang w:val="en-US" w:eastAsia="zh-CN"/>
        </w:rPr>
        <w:t>12.1</w:t>
      </w:r>
      <w:r>
        <w:rPr>
          <w:rFonts w:hint="eastAsia" w:ascii="宋体" w:hAnsi="宋体" w:eastAsia="宋体" w:cs="宋体"/>
          <w:color w:val="auto"/>
          <w:sz w:val="24"/>
          <w:szCs w:val="24"/>
          <w:lang w:eastAsia="zh-CN"/>
        </w:rPr>
        <w:t>磋商响应文件根据磋商文件和线上响应文件格式进行编制，并根据要求进行签字盖章。</w:t>
      </w:r>
    </w:p>
    <w:p>
      <w:pPr>
        <w:widowControl/>
        <w:spacing w:line="360" w:lineRule="auto"/>
        <w:ind w:firstLine="0" w:firstLineChars="0"/>
        <w:jc w:val="left"/>
        <w:outlineLvl w:val="2"/>
        <w:rPr>
          <w:rFonts w:ascii="宋体" w:cs="宋体"/>
          <w:b/>
          <w:bCs/>
          <w:color w:val="auto"/>
          <w:sz w:val="24"/>
          <w:szCs w:val="24"/>
        </w:rPr>
      </w:pPr>
      <w:r>
        <w:rPr>
          <w:rFonts w:ascii="宋体" w:hAnsi="宋体" w:cs="宋体"/>
          <w:b/>
          <w:bCs/>
          <w:color w:val="auto"/>
          <w:sz w:val="24"/>
          <w:szCs w:val="24"/>
        </w:rPr>
        <w:t>13.</w:t>
      </w:r>
      <w:bookmarkEnd w:id="73"/>
      <w:bookmarkEnd w:id="74"/>
      <w:bookmarkEnd w:id="75"/>
      <w:bookmarkEnd w:id="76"/>
      <w:bookmarkEnd w:id="77"/>
      <w:r>
        <w:rPr>
          <w:rFonts w:hint="eastAsia" w:ascii="宋体" w:hAnsi="宋体" w:cs="宋体"/>
          <w:b/>
          <w:bCs/>
          <w:color w:val="auto"/>
          <w:sz w:val="24"/>
          <w:szCs w:val="24"/>
        </w:rPr>
        <w:t>提交响应文件截止时间、地点</w:t>
      </w:r>
      <w:bookmarkEnd w:id="78"/>
      <w:bookmarkEnd w:id="79"/>
    </w:p>
    <w:p>
      <w:pPr>
        <w:pStyle w:val="12"/>
        <w:spacing w:line="360" w:lineRule="auto"/>
        <w:ind w:firstLine="0" w:firstLineChars="0"/>
        <w:rPr>
          <w:rFonts w:hAnsi="宋体" w:eastAsia="宋体" w:cs="宋体"/>
          <w:sz w:val="24"/>
          <w:szCs w:val="24"/>
        </w:rPr>
      </w:pPr>
      <w:r>
        <w:rPr>
          <w:rFonts w:hAnsi="宋体" w:cs="宋体"/>
          <w:color w:val="auto"/>
          <w:sz w:val="24"/>
          <w:szCs w:val="24"/>
        </w:rPr>
        <w:t>13.1</w:t>
      </w:r>
      <w:r>
        <w:rPr>
          <w:rFonts w:hint="eastAsia" w:hAnsi="宋体" w:cs="宋体"/>
          <w:color w:val="auto"/>
          <w:sz w:val="24"/>
          <w:szCs w:val="24"/>
        </w:rPr>
        <w:t>响应文件提交的截止时间及地点详见“供应商须知前附表”。</w:t>
      </w:r>
    </w:p>
    <w:p>
      <w:pPr>
        <w:widowControl/>
        <w:spacing w:line="360" w:lineRule="auto"/>
        <w:ind w:firstLine="0" w:firstLineChars="0"/>
        <w:jc w:val="center"/>
        <w:outlineLvl w:val="1"/>
        <w:rPr>
          <w:rFonts w:ascii="宋体" w:hAnsi="宋体" w:eastAsia="宋体" w:cs="宋体"/>
          <w:b/>
          <w:bCs/>
          <w:sz w:val="24"/>
          <w:szCs w:val="24"/>
        </w:rPr>
      </w:pPr>
      <w:bookmarkStart w:id="83" w:name="_Toc5644"/>
      <w:r>
        <w:rPr>
          <w:rFonts w:hint="eastAsia" w:ascii="宋体" w:hAnsi="宋体" w:eastAsia="宋体" w:cs="宋体"/>
          <w:b/>
          <w:bCs/>
          <w:sz w:val="24"/>
          <w:szCs w:val="24"/>
        </w:rPr>
        <w:t>五、</w:t>
      </w:r>
      <w:bookmarkEnd w:id="80"/>
      <w:bookmarkEnd w:id="81"/>
      <w:r>
        <w:rPr>
          <w:rFonts w:hint="eastAsia" w:ascii="宋体" w:hAnsi="宋体" w:eastAsia="宋体" w:cs="宋体"/>
          <w:b/>
          <w:bCs/>
          <w:sz w:val="24"/>
          <w:szCs w:val="24"/>
        </w:rPr>
        <w:t>磋商过程</w:t>
      </w:r>
      <w:bookmarkEnd w:id="82"/>
      <w:bookmarkEnd w:id="83"/>
    </w:p>
    <w:p>
      <w:pPr>
        <w:widowControl/>
        <w:spacing w:line="360" w:lineRule="auto"/>
        <w:ind w:firstLine="0" w:firstLineChars="0"/>
        <w:jc w:val="left"/>
        <w:outlineLvl w:val="2"/>
        <w:rPr>
          <w:rFonts w:ascii="宋体" w:hAnsi="宋体" w:eastAsia="宋体" w:cs="宋体"/>
          <w:b/>
          <w:bCs/>
          <w:sz w:val="24"/>
          <w:szCs w:val="24"/>
        </w:rPr>
      </w:pPr>
      <w:bookmarkStart w:id="84" w:name="_Toc325726020"/>
      <w:bookmarkStart w:id="85" w:name="_Toc376936751"/>
      <w:bookmarkStart w:id="86" w:name="_Toc15630"/>
      <w:bookmarkStart w:id="87" w:name="_Toc26723"/>
      <w:r>
        <w:rPr>
          <w:rFonts w:hint="eastAsia" w:ascii="宋体" w:hAnsi="宋体" w:eastAsia="宋体" w:cs="宋体"/>
          <w:b/>
          <w:bCs/>
          <w:sz w:val="24"/>
          <w:szCs w:val="24"/>
        </w:rPr>
        <w:t>14.</w:t>
      </w:r>
      <w:bookmarkEnd w:id="84"/>
      <w:bookmarkEnd w:id="85"/>
      <w:r>
        <w:rPr>
          <w:rFonts w:hint="eastAsia" w:ascii="宋体" w:hAnsi="宋体" w:eastAsia="宋体" w:cs="宋体"/>
          <w:b/>
          <w:bCs/>
          <w:sz w:val="24"/>
          <w:szCs w:val="24"/>
        </w:rPr>
        <w:t>磋商过程</w:t>
      </w:r>
      <w:bookmarkEnd w:id="86"/>
      <w:bookmarkEnd w:id="87"/>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14.2磋商时，对不同文字文本响应文件的解释发生异议的，以中文文本为准。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14.4磋商过程有专人记录，并存档备查。</w:t>
      </w:r>
    </w:p>
    <w:p>
      <w:pPr>
        <w:widowControl/>
        <w:spacing w:line="360" w:lineRule="auto"/>
        <w:ind w:firstLine="0" w:firstLineChars="0"/>
        <w:jc w:val="center"/>
        <w:outlineLvl w:val="1"/>
        <w:rPr>
          <w:rFonts w:ascii="宋体" w:hAnsi="宋体" w:eastAsia="宋体" w:cs="宋体"/>
          <w:b/>
          <w:bCs/>
          <w:sz w:val="24"/>
          <w:szCs w:val="24"/>
        </w:rPr>
      </w:pPr>
      <w:bookmarkStart w:id="88" w:name="_Toc376936752"/>
      <w:bookmarkStart w:id="89" w:name="_Toc19030"/>
      <w:bookmarkStart w:id="90" w:name="_Toc18107"/>
      <w:bookmarkStart w:id="91" w:name="_Toc325726021"/>
      <w:r>
        <w:rPr>
          <w:rFonts w:hint="eastAsia" w:ascii="宋体" w:hAnsi="宋体" w:eastAsia="宋体" w:cs="宋体"/>
          <w:b/>
          <w:bCs/>
          <w:sz w:val="24"/>
          <w:szCs w:val="24"/>
        </w:rPr>
        <w:t>六、磋商程序及方法</w:t>
      </w:r>
      <w:bookmarkEnd w:id="88"/>
      <w:bookmarkEnd w:id="89"/>
      <w:bookmarkEnd w:id="90"/>
      <w:bookmarkEnd w:id="91"/>
    </w:p>
    <w:p>
      <w:pPr>
        <w:widowControl/>
        <w:spacing w:line="360" w:lineRule="auto"/>
        <w:ind w:firstLine="0" w:firstLineChars="0"/>
        <w:jc w:val="left"/>
        <w:outlineLvl w:val="2"/>
        <w:rPr>
          <w:rFonts w:ascii="宋体" w:hAnsi="宋体" w:eastAsia="宋体" w:cs="宋体"/>
          <w:b/>
          <w:bCs/>
          <w:sz w:val="24"/>
          <w:szCs w:val="24"/>
        </w:rPr>
      </w:pPr>
      <w:bookmarkStart w:id="92" w:name="_Toc16935"/>
      <w:bookmarkStart w:id="93" w:name="_Toc26121"/>
      <w:bookmarkStart w:id="94" w:name="_Toc325726022"/>
      <w:bookmarkStart w:id="95" w:name="_Toc376936753"/>
      <w:r>
        <w:rPr>
          <w:rFonts w:hint="eastAsia" w:ascii="宋体" w:hAnsi="宋体" w:eastAsia="宋体" w:cs="宋体"/>
          <w:b/>
          <w:bCs/>
          <w:sz w:val="24"/>
          <w:szCs w:val="24"/>
        </w:rPr>
        <w:t>15.磋商小组</w:t>
      </w:r>
      <w:bookmarkEnd w:id="92"/>
      <w:bookmarkEnd w:id="93"/>
      <w:bookmarkEnd w:id="94"/>
      <w:bookmarkEnd w:id="95"/>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15.2磋商由采购代理机构负责组织，具体磋商事务由依法组建的磋商小组负责，并独立履行下列职责：</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（1）审查响应文件是否符合磋商文件要求，并作出评价；</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（2）要求供应商对响应文件有关事项作出解释或澄清；</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（3）推荐预成交候选供应商；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（4）对非法干预评标工作的人员和机构进行举报或投诉。</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15.3磋商小组应遵守并履行下列义务：</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（1）遵纪守法，客观、公正、廉洁地履行职责；</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（2）按照磋商文件规定的评审方法和评审标准进行评审，对评审意见承担磋商小组成员责任；</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（3）对响应文件、磋商情况和磋商中获悉的商业秘密保密；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（4）参与磋商报告的起草；</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（5）解答供应商及有关方面的质疑；</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（6）配合纪检部门进行投诉处理工作。</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15.4磋商小组所有成员应当集中与单一供应商分别进行磋商，并给予所有参加磋商的供应商平等的磋商机会。</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ascii="宋体" w:hAnsi="宋体" w:eastAsia="宋体" w:cs="宋体"/>
          <w:b/>
          <w:bCs/>
          <w:sz w:val="24"/>
          <w:szCs w:val="24"/>
        </w:rPr>
      </w:pPr>
      <w:bookmarkStart w:id="96" w:name="_Toc14694"/>
      <w:bookmarkStart w:id="97" w:name="_Toc27086"/>
      <w:bookmarkStart w:id="98" w:name="_Toc325726023"/>
      <w:bookmarkStart w:id="99" w:name="_Toc376936754"/>
      <w:r>
        <w:rPr>
          <w:rFonts w:hint="eastAsia" w:ascii="宋体" w:hAnsi="宋体" w:eastAsia="宋体" w:cs="宋体"/>
          <w:b/>
          <w:bCs/>
          <w:sz w:val="24"/>
          <w:szCs w:val="24"/>
        </w:rPr>
        <w:t>16.磋商程序</w:t>
      </w:r>
      <w:bookmarkEnd w:id="96"/>
      <w:bookmarkEnd w:id="97"/>
      <w:bookmarkEnd w:id="98"/>
      <w:bookmarkEnd w:id="99"/>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（1）不符合第</w:t>
      </w:r>
      <w:r>
        <w:rPr>
          <w:rFonts w:hint="eastAsia" w:ascii="宋体" w:hAnsi="宋体" w:eastAsia="宋体" w:cs="宋体"/>
          <w:sz w:val="24"/>
          <w:szCs w:val="24"/>
          <w:lang w:val="zh-CN"/>
        </w:rPr>
        <w:t>2</w:t>
      </w:r>
      <w:r>
        <w:rPr>
          <w:rFonts w:hint="eastAsia" w:ascii="宋体" w:hAnsi="宋体" w:eastAsia="宋体" w:cs="宋体"/>
          <w:sz w:val="24"/>
          <w:szCs w:val="24"/>
        </w:rPr>
        <w:t>.</w:t>
      </w:r>
      <w:r>
        <w:rPr>
          <w:rFonts w:hint="eastAsia" w:ascii="宋体" w:hAnsi="宋体" w:eastAsia="宋体" w:cs="宋体"/>
          <w:sz w:val="24"/>
          <w:szCs w:val="24"/>
          <w:lang w:val="zh-CN"/>
        </w:rPr>
        <w:t>2款“合格的供应商”之规定的；</w:t>
      </w:r>
    </w:p>
    <w:p>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未按磋商文件要求交纳或未足额交纳磋商保证金的；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（3）未按第1</w:t>
      </w:r>
      <w:r>
        <w:rPr>
          <w:rFonts w:hint="eastAsia" w:ascii="宋体" w:hAnsi="宋体" w:eastAsia="宋体" w:cs="宋体"/>
          <w:sz w:val="24"/>
          <w:szCs w:val="24"/>
        </w:rPr>
        <w:t>0.</w:t>
      </w:r>
      <w:r>
        <w:rPr>
          <w:rFonts w:hint="eastAsia" w:ascii="宋体" w:hAnsi="宋体" w:eastAsia="宋体" w:cs="宋体"/>
          <w:sz w:val="24"/>
          <w:szCs w:val="24"/>
          <w:lang w:val="zh-CN"/>
        </w:rPr>
        <w:t>1款（1）-（1</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）要求提供相关资料的；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（4）响应文件内容没有按磋商文件规定和要求签字、盖章的；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lang w:val="zh-CN"/>
        </w:rPr>
        <w:t>投标报价超过采购预算额度或最高限价的；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（6）响应文件编排混乱，且擅自修改磋商文件规定的格式内容的；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交货及安装时间</w:t>
      </w:r>
      <w:r>
        <w:rPr>
          <w:rFonts w:hint="eastAsia" w:ascii="宋体" w:hAnsi="宋体" w:eastAsia="宋体" w:cs="宋体"/>
          <w:sz w:val="24"/>
          <w:szCs w:val="24"/>
        </w:rPr>
        <w:t>、磋商有效期、法定代表人授权期限不能满足磋商文件要求的；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lang w:val="zh-CN"/>
        </w:rPr>
        <w:t>投标产品的技术规格、技术标准明显不符合采购项目要求的</w:t>
      </w:r>
      <w:r>
        <w:rPr>
          <w:rFonts w:hint="eastAsia" w:ascii="宋体" w:hAnsi="宋体" w:eastAsia="宋体" w:cs="宋体"/>
          <w:sz w:val="24"/>
          <w:szCs w:val="24"/>
        </w:rPr>
        <w:t>；</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（9）响应文件中附有采购人不能接受的条件的；</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（10）磋商小组认为应按无效响应处理的其他情况；</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（11）法律、法规规定的其他情形。</w:t>
      </w:r>
    </w:p>
    <w:p>
      <w:pPr>
        <w:tabs>
          <w:tab w:val="left" w:pos="8787"/>
        </w:tabs>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hAnsi="宋体" w:eastAsia="宋体" w:cs="宋体"/>
          <w:sz w:val="24"/>
          <w:szCs w:val="24"/>
        </w:rPr>
      </w:pPr>
      <w:r>
        <w:rPr>
          <w:rFonts w:hint="eastAsia" w:ascii="宋体" w:hAnsi="宋体" w:eastAsia="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ascii="宋体" w:hAnsi="宋体" w:eastAsia="宋体" w:cs="宋体"/>
          <w:b/>
          <w:bCs/>
          <w:sz w:val="24"/>
          <w:szCs w:val="24"/>
        </w:rPr>
      </w:pPr>
      <w:bookmarkStart w:id="100" w:name="_Toc376936755"/>
      <w:bookmarkStart w:id="101" w:name="_Toc325726024"/>
      <w:bookmarkStart w:id="102" w:name="_Toc13668"/>
      <w:bookmarkStart w:id="103" w:name="_Toc20611"/>
      <w:r>
        <w:rPr>
          <w:rFonts w:hint="eastAsia" w:ascii="宋体" w:hAnsi="宋体" w:eastAsia="宋体" w:cs="宋体"/>
          <w:b/>
          <w:bCs/>
          <w:sz w:val="24"/>
          <w:szCs w:val="24"/>
        </w:rPr>
        <w:t>17.评审办法</w:t>
      </w:r>
      <w:bookmarkEnd w:id="100"/>
      <w:bookmarkEnd w:id="101"/>
      <w:bookmarkEnd w:id="102"/>
      <w:bookmarkEnd w:id="103"/>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17.2评审标准和分值分配：</w:t>
      </w:r>
    </w:p>
    <w:tbl>
      <w:tblPr>
        <w:tblStyle w:val="2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8"/>
        <w:gridCol w:w="1679"/>
        <w:gridCol w:w="630"/>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类别</w:t>
            </w:r>
          </w:p>
        </w:tc>
        <w:tc>
          <w:tcPr>
            <w:tcW w:w="167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评分项目</w:t>
            </w:r>
          </w:p>
        </w:tc>
        <w:tc>
          <w:tcPr>
            <w:tcW w:w="63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满分分值</w:t>
            </w:r>
          </w:p>
        </w:tc>
        <w:tc>
          <w:tcPr>
            <w:tcW w:w="613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投标报价（30分）</w:t>
            </w:r>
          </w:p>
        </w:tc>
        <w:tc>
          <w:tcPr>
            <w:tcW w:w="167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报价分</w:t>
            </w:r>
          </w:p>
        </w:tc>
        <w:tc>
          <w:tcPr>
            <w:tcW w:w="63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613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color w:val="auto"/>
                <w:sz w:val="24"/>
                <w:szCs w:val="24"/>
                <w:lang w:val="zh-CN"/>
              </w:rPr>
            </w:pPr>
            <w:r>
              <w:rPr>
                <w:rFonts w:hint="eastAsia" w:ascii="宋体" w:hAnsi="宋体" w:eastAsia="宋体" w:cs="宋体"/>
                <w:color w:val="auto"/>
                <w:sz w:val="24"/>
                <w:szCs w:val="24"/>
                <w:lang w:val="zh-CN"/>
              </w:rPr>
              <w:t>满足磋商文件要求且最后报价最低的供应商的价格为磋商基准价，其价格分为满分。其他供应商的价格分统一按照下列公式计算：</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default"/>
                <w:lang w:val="en-US"/>
              </w:rPr>
            </w:pPr>
            <w:r>
              <w:rPr>
                <w:rFonts w:hint="eastAsia" w:ascii="宋体" w:hAnsi="宋体" w:eastAsia="宋体" w:cs="宋体"/>
                <w:color w:val="auto"/>
                <w:sz w:val="24"/>
                <w:szCs w:val="24"/>
                <w:lang w:val="zh-CN"/>
              </w:rPr>
              <w:t>磋商报价得分=（磋商基准价/最后磋商报价）×价格分值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0" w:hRule="atLeast"/>
          <w:jc w:val="center"/>
        </w:trPr>
        <w:tc>
          <w:tcPr>
            <w:tcW w:w="1198" w:type="dxa"/>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履约能力（13分）</w:t>
            </w:r>
          </w:p>
        </w:tc>
        <w:tc>
          <w:tcPr>
            <w:tcW w:w="1679"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近三年类似业绩</w:t>
            </w:r>
          </w:p>
        </w:tc>
        <w:tc>
          <w:tcPr>
            <w:tcW w:w="63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c>
          <w:tcPr>
            <w:tcW w:w="613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01月01日</w:t>
            </w:r>
            <w:r>
              <w:rPr>
                <w:rFonts w:hint="eastAsia" w:ascii="宋体" w:hAnsi="宋体" w:eastAsia="宋体" w:cs="宋体"/>
                <w:color w:val="auto"/>
                <w:sz w:val="24"/>
                <w:szCs w:val="24"/>
              </w:rPr>
              <w:t>以来</w:t>
            </w:r>
            <w:r>
              <w:rPr>
                <w:rFonts w:hint="eastAsia" w:ascii="宋体" w:hAnsi="宋体" w:cs="宋体"/>
                <w:color w:val="auto"/>
                <w:sz w:val="24"/>
                <w:szCs w:val="24"/>
              </w:rPr>
              <w:t>供应商</w:t>
            </w:r>
            <w:r>
              <w:rPr>
                <w:rFonts w:hint="eastAsia" w:ascii="宋体" w:hAnsi="宋体" w:eastAsia="宋体" w:cs="宋体"/>
                <w:color w:val="auto"/>
                <w:sz w:val="24"/>
                <w:szCs w:val="24"/>
                <w:lang w:val="zh-CN"/>
              </w:rPr>
              <w:t>的类似业绩证明材料</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需提供包含合同首页、标的及金额所在页、供货合同签字盖章</w:t>
            </w:r>
            <w:r>
              <w:rPr>
                <w:rFonts w:hint="eastAsia" w:ascii="宋体" w:hAnsi="宋体" w:eastAsia="宋体" w:cs="宋体"/>
                <w:color w:val="auto"/>
                <w:sz w:val="24"/>
                <w:szCs w:val="24"/>
                <w:lang w:val="en-US" w:eastAsia="zh-CN"/>
              </w:rPr>
              <w:t>页或中标（成交）通知书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每提供1份得</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分，提供</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份及以</w:t>
            </w:r>
            <w:r>
              <w:rPr>
                <w:rFonts w:hint="eastAsia" w:ascii="宋体" w:hAnsi="宋体" w:eastAsia="宋体" w:cs="宋体"/>
                <w:color w:val="auto"/>
                <w:sz w:val="24"/>
                <w:szCs w:val="24"/>
              </w:rPr>
              <w:t>上得10分；未提供不得分。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5" w:hRule="atLeast"/>
          <w:jc w:val="center"/>
        </w:trPr>
        <w:tc>
          <w:tcPr>
            <w:tcW w:w="1198"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p>
        </w:tc>
        <w:tc>
          <w:tcPr>
            <w:tcW w:w="1679"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交货期进度计划及保证措施</w:t>
            </w:r>
          </w:p>
        </w:tc>
        <w:tc>
          <w:tcPr>
            <w:tcW w:w="63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w:t>
            </w:r>
          </w:p>
        </w:tc>
        <w:tc>
          <w:tcPr>
            <w:tcW w:w="613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针对本项目有交货进度计划及保证措施；计划及保证措施合理、内容详尽可行的得3分；计划及保证措施合理、内容完善较为可行的得2分；计划及保证措施一般、内容基本可行的得1分；其他情况不得分。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Merge w:val="restart"/>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技术方面</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34</w:t>
            </w:r>
            <w:r>
              <w:rPr>
                <w:rFonts w:hint="eastAsia" w:ascii="宋体" w:hAnsi="宋体" w:eastAsia="宋体" w:cs="宋体"/>
                <w:color w:val="auto"/>
                <w:sz w:val="24"/>
                <w:szCs w:val="24"/>
              </w:rPr>
              <w:t>分）</w:t>
            </w:r>
          </w:p>
        </w:tc>
        <w:tc>
          <w:tcPr>
            <w:tcW w:w="1679"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技术参数、配置</w:t>
            </w:r>
          </w:p>
        </w:tc>
        <w:tc>
          <w:tcPr>
            <w:tcW w:w="63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w:t>
            </w:r>
          </w:p>
        </w:tc>
        <w:tc>
          <w:tcPr>
            <w:tcW w:w="6131" w:type="dxa"/>
            <w:vAlign w:val="center"/>
          </w:tcPr>
          <w:p>
            <w:pPr>
              <w:pStyle w:val="12"/>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Ansi="宋体" w:eastAsia="宋体" w:cs="宋体"/>
                <w:color w:val="auto"/>
                <w:sz w:val="24"/>
                <w:szCs w:val="24"/>
              </w:rPr>
            </w:pPr>
            <w:r>
              <w:rPr>
                <w:rFonts w:hint="eastAsia" w:hAnsi="宋体" w:eastAsia="宋体" w:cs="宋体"/>
                <w:color w:val="auto"/>
                <w:sz w:val="24"/>
                <w:szCs w:val="24"/>
              </w:rPr>
              <w:t>投标产品技术参数和配置完全满足或高于磋商文件要求的得</w:t>
            </w:r>
            <w:r>
              <w:rPr>
                <w:rFonts w:hint="eastAsia" w:hAnsi="宋体" w:eastAsia="宋体" w:cs="宋体"/>
                <w:color w:val="auto"/>
                <w:sz w:val="24"/>
                <w:szCs w:val="24"/>
                <w:lang w:val="en-US" w:eastAsia="zh-CN"/>
              </w:rPr>
              <w:t>32</w:t>
            </w:r>
            <w:r>
              <w:rPr>
                <w:rFonts w:hint="eastAsia" w:hAnsi="宋体" w:eastAsia="宋体" w:cs="宋体"/>
                <w:color w:val="auto"/>
                <w:sz w:val="24"/>
                <w:szCs w:val="24"/>
                <w:lang w:val="zh-CN"/>
              </w:rPr>
              <w:t>分，</w:t>
            </w:r>
            <w:r>
              <w:rPr>
                <w:rFonts w:hint="eastAsia" w:hAnsi="宋体" w:eastAsia="宋体" w:cs="宋体"/>
                <w:color w:val="auto"/>
                <w:sz w:val="24"/>
                <w:szCs w:val="24"/>
              </w:rPr>
              <w:t>每有一项负偏离扣</w:t>
            </w:r>
            <w:r>
              <w:rPr>
                <w:rFonts w:hint="eastAsia" w:hAnsi="宋体" w:eastAsia="宋体" w:cs="宋体"/>
                <w:color w:val="auto"/>
                <w:sz w:val="24"/>
                <w:szCs w:val="24"/>
                <w:lang w:val="en-US" w:eastAsia="zh-CN"/>
              </w:rPr>
              <w:t>2</w:t>
            </w:r>
            <w:r>
              <w:rPr>
                <w:rFonts w:hint="eastAsia" w:hAnsi="宋体" w:eastAsia="宋体" w:cs="宋体"/>
                <w:color w:val="auto"/>
                <w:sz w:val="24"/>
                <w:szCs w:val="24"/>
              </w:rPr>
              <w:t>分，直到扣完为止。</w:t>
            </w:r>
            <w:r>
              <w:rPr>
                <w:rFonts w:hint="eastAsia" w:hAnsi="宋体" w:eastAsia="宋体" w:cs="宋体"/>
                <w:color w:val="auto"/>
                <w:sz w:val="24"/>
                <w:szCs w:val="24"/>
                <w:highlight w:val="none"/>
              </w:rPr>
              <w:t>（以产品检测报告</w:t>
            </w:r>
            <w:r>
              <w:rPr>
                <w:rFonts w:hint="eastAsia" w:hAnsi="宋体" w:eastAsia="宋体" w:cs="宋体"/>
                <w:color w:val="auto"/>
                <w:sz w:val="24"/>
                <w:szCs w:val="24"/>
                <w:highlight w:val="none"/>
                <w:lang w:val="en-US" w:eastAsia="zh-CN"/>
              </w:rPr>
              <w:t>或</w:t>
            </w:r>
            <w:r>
              <w:rPr>
                <w:rFonts w:hint="eastAsia" w:hAnsi="宋体" w:eastAsia="宋体" w:cs="宋体"/>
                <w:color w:val="auto"/>
                <w:sz w:val="24"/>
                <w:szCs w:val="24"/>
                <w:highlight w:val="none"/>
              </w:rPr>
              <w:t>彩页</w:t>
            </w:r>
            <w:r>
              <w:rPr>
                <w:rFonts w:hint="eastAsia" w:hAnsi="宋体" w:eastAsia="宋体" w:cs="宋体"/>
                <w:color w:val="auto"/>
                <w:sz w:val="24"/>
                <w:szCs w:val="24"/>
                <w:highlight w:val="none"/>
                <w:lang w:eastAsia="zh-CN"/>
              </w:rPr>
              <w:t>（</w:t>
            </w:r>
            <w:bookmarkStart w:id="206" w:name="_GoBack"/>
            <w:bookmarkEnd w:id="206"/>
            <w:r>
              <w:rPr>
                <w:rFonts w:hint="eastAsia" w:hAnsi="宋体" w:eastAsia="宋体" w:cs="宋体"/>
                <w:sz w:val="24"/>
                <w:szCs w:val="24"/>
                <w:highlight w:val="none"/>
                <w:lang w:val="en-US" w:eastAsia="zh-CN"/>
              </w:rPr>
              <w:t>或生产厂家公开发布的资料</w:t>
            </w: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rPr>
              <w:t>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119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p>
        </w:tc>
        <w:tc>
          <w:tcPr>
            <w:tcW w:w="1679"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环保和节能</w:t>
            </w:r>
          </w:p>
        </w:tc>
        <w:tc>
          <w:tcPr>
            <w:tcW w:w="63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6131" w:type="dxa"/>
            <w:vAlign w:val="center"/>
          </w:tcPr>
          <w:p>
            <w:pPr>
              <w:pStyle w:val="12"/>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Ansi="宋体" w:eastAsia="宋体" w:cs="宋体"/>
                <w:color w:val="auto"/>
                <w:sz w:val="24"/>
                <w:szCs w:val="24"/>
              </w:rPr>
            </w:pPr>
            <w:r>
              <w:rPr>
                <w:rFonts w:hint="eastAsia" w:hAnsi="宋体" w:eastAsia="宋体" w:cs="宋体"/>
                <w:color w:val="auto"/>
                <w:sz w:val="24"/>
                <w:szCs w:val="24"/>
                <w:lang w:val="zh-CN"/>
              </w:rPr>
              <w:t>所投产品为节能产品</w:t>
            </w:r>
            <w:r>
              <w:rPr>
                <w:rFonts w:hint="eastAsia" w:hAnsi="宋体" w:eastAsia="宋体" w:cs="宋体"/>
                <w:color w:val="auto"/>
                <w:sz w:val="24"/>
                <w:szCs w:val="24"/>
                <w:lang w:val="zh-CN" w:eastAsia="zh-CN"/>
              </w:rPr>
              <w:t>的得0.5</w:t>
            </w:r>
            <w:r>
              <w:rPr>
                <w:rFonts w:hint="eastAsia" w:hAnsi="宋体" w:eastAsia="宋体" w:cs="宋体"/>
                <w:color w:val="auto"/>
                <w:sz w:val="24"/>
                <w:szCs w:val="24"/>
                <w:lang w:val="zh-CN"/>
              </w:rPr>
              <w:t>分</w:t>
            </w:r>
            <w:r>
              <w:rPr>
                <w:rFonts w:hint="eastAsia" w:hAnsi="宋体" w:eastAsia="宋体" w:cs="宋体"/>
                <w:color w:val="auto"/>
                <w:sz w:val="24"/>
                <w:szCs w:val="24"/>
                <w:lang w:val="zh-CN" w:eastAsia="zh-CN"/>
              </w:rPr>
              <w:t>，</w:t>
            </w:r>
            <w:r>
              <w:rPr>
                <w:rFonts w:hint="eastAsia" w:hAnsi="宋体" w:eastAsia="宋体" w:cs="宋体"/>
                <w:color w:val="auto"/>
                <w:sz w:val="24"/>
                <w:szCs w:val="24"/>
                <w:lang w:val="zh-CN"/>
              </w:rPr>
              <w:t>满分</w:t>
            </w:r>
            <w:r>
              <w:rPr>
                <w:rFonts w:hint="eastAsia" w:hAnsi="宋体" w:eastAsia="宋体" w:cs="宋体"/>
                <w:color w:val="auto"/>
                <w:sz w:val="24"/>
                <w:szCs w:val="24"/>
                <w:lang w:val="zh-CN" w:eastAsia="zh-CN"/>
              </w:rPr>
              <w:t>1</w:t>
            </w:r>
            <w:r>
              <w:rPr>
                <w:rFonts w:hint="eastAsia" w:hAnsi="宋体" w:eastAsia="宋体" w:cs="宋体"/>
                <w:color w:val="auto"/>
                <w:sz w:val="24"/>
                <w:szCs w:val="24"/>
                <w:lang w:val="zh-CN"/>
              </w:rPr>
              <w:t>分；所投产品为环保产品</w:t>
            </w:r>
            <w:r>
              <w:rPr>
                <w:rFonts w:hint="eastAsia" w:hAnsi="宋体" w:eastAsia="宋体" w:cs="宋体"/>
                <w:color w:val="auto"/>
                <w:sz w:val="24"/>
                <w:szCs w:val="24"/>
                <w:lang w:val="zh-CN" w:eastAsia="zh-CN"/>
              </w:rPr>
              <w:t>的</w:t>
            </w:r>
            <w:r>
              <w:rPr>
                <w:rFonts w:hint="eastAsia" w:hAnsi="宋体" w:eastAsia="宋体" w:cs="宋体"/>
                <w:color w:val="auto"/>
                <w:sz w:val="24"/>
                <w:szCs w:val="24"/>
                <w:lang w:val="zh-CN"/>
              </w:rPr>
              <w:t>得</w:t>
            </w:r>
            <w:r>
              <w:rPr>
                <w:rFonts w:hint="eastAsia" w:hAnsi="宋体" w:eastAsia="宋体" w:cs="宋体"/>
                <w:color w:val="auto"/>
                <w:sz w:val="24"/>
                <w:szCs w:val="24"/>
                <w:lang w:val="zh-CN" w:eastAsia="zh-CN"/>
              </w:rPr>
              <w:t>0.5</w:t>
            </w:r>
            <w:r>
              <w:rPr>
                <w:rFonts w:hint="eastAsia" w:hAnsi="宋体" w:eastAsia="宋体" w:cs="宋体"/>
                <w:color w:val="auto"/>
                <w:sz w:val="24"/>
                <w:szCs w:val="24"/>
                <w:lang w:val="zh-CN"/>
              </w:rPr>
              <w:t>分</w:t>
            </w:r>
            <w:r>
              <w:rPr>
                <w:rFonts w:hint="eastAsia" w:hAnsi="宋体" w:eastAsia="宋体" w:cs="宋体"/>
                <w:color w:val="auto"/>
                <w:sz w:val="24"/>
                <w:szCs w:val="24"/>
                <w:lang w:val="zh-CN" w:eastAsia="zh-CN"/>
              </w:rPr>
              <w:t>，</w:t>
            </w:r>
            <w:r>
              <w:rPr>
                <w:rFonts w:hint="eastAsia" w:hAnsi="宋体" w:eastAsia="宋体" w:cs="宋体"/>
                <w:color w:val="auto"/>
                <w:sz w:val="24"/>
                <w:szCs w:val="24"/>
                <w:lang w:val="zh-CN"/>
              </w:rPr>
              <w:t>满分</w:t>
            </w:r>
            <w:r>
              <w:rPr>
                <w:rFonts w:hint="eastAsia" w:hAnsi="宋体" w:eastAsia="宋体" w:cs="宋体"/>
                <w:color w:val="auto"/>
                <w:sz w:val="24"/>
                <w:szCs w:val="24"/>
                <w:lang w:val="zh-CN" w:eastAsia="zh-CN"/>
              </w:rPr>
              <w:t>1</w:t>
            </w:r>
            <w:r>
              <w:rPr>
                <w:rFonts w:hint="eastAsia" w:hAnsi="宋体" w:eastAsia="宋体" w:cs="宋体"/>
                <w:color w:val="auto"/>
                <w:sz w:val="24"/>
                <w:szCs w:val="24"/>
                <w:lang w:val="zh-CN"/>
              </w:rPr>
              <w:t>分；该项得分的认定以国家确定的认证机构出具的、处于有效期之内的《节能产品认证证书》、《环境标志产品认证证书》和政府部门公布的《节能产品政府采购品目清单》、《环境标志产品政府采购品目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售后服务（</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分）</w:t>
            </w:r>
          </w:p>
        </w:tc>
        <w:tc>
          <w:tcPr>
            <w:tcW w:w="1679"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项目管理及</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实施方案</w:t>
            </w:r>
          </w:p>
        </w:tc>
        <w:tc>
          <w:tcPr>
            <w:tcW w:w="63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613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24"/>
                <w:szCs w:val="24"/>
                <w:lang w:val="en-US" w:eastAsia="zh-CN" w:bidi="ar"/>
              </w:rPr>
            </w:pPr>
            <w:r>
              <w:rPr>
                <w:rFonts w:ascii="宋体" w:hAnsi="宋体" w:eastAsia="宋体" w:cs="宋体"/>
                <w:color w:val="auto"/>
                <w:sz w:val="24"/>
                <w:szCs w:val="24"/>
              </w:rPr>
              <w:t>根据各供应商提供针对本项目拟定的项目管理及实施方案内容包括</w:t>
            </w:r>
            <w:bookmarkStart w:id="104" w:name="OLE_LINK2"/>
            <w:r>
              <w:rPr>
                <w:rFonts w:hint="eastAsia" w:ascii="宋体" w:hAnsi="宋体" w:eastAsia="宋体" w:cs="宋体"/>
                <w:b/>
                <w:bCs/>
                <w:color w:val="auto"/>
                <w:kern w:val="0"/>
                <w:sz w:val="24"/>
                <w:szCs w:val="24"/>
                <w:lang w:val="en-US" w:eastAsia="zh-CN" w:bidi="ar"/>
              </w:rPr>
              <w:t>①</w:t>
            </w:r>
            <w:bookmarkEnd w:id="104"/>
            <w:r>
              <w:rPr>
                <w:rFonts w:ascii="宋体" w:hAnsi="宋体" w:eastAsia="宋体" w:cs="宋体"/>
                <w:color w:val="auto"/>
                <w:sz w:val="24"/>
                <w:szCs w:val="24"/>
              </w:rPr>
              <w:t>项目管理机构</w:t>
            </w:r>
            <w:r>
              <w:rPr>
                <w:rFonts w:hint="eastAsia" w:ascii="宋体" w:hAnsi="宋体" w:eastAsia="宋体" w:cs="宋体"/>
                <w:color w:val="auto"/>
                <w:sz w:val="24"/>
                <w:szCs w:val="24"/>
                <w:lang w:eastAsia="zh-CN"/>
              </w:rPr>
              <w:t>；</w:t>
            </w:r>
            <w:bookmarkStart w:id="105" w:name="OLE_LINK6"/>
            <w:r>
              <w:rPr>
                <w:rFonts w:hint="eastAsia" w:ascii="宋体" w:hAnsi="宋体" w:eastAsia="宋体" w:cs="宋体"/>
                <w:b/>
                <w:bCs/>
                <w:color w:val="auto"/>
                <w:kern w:val="0"/>
                <w:sz w:val="24"/>
                <w:szCs w:val="24"/>
                <w:lang w:val="en-US" w:eastAsia="zh-CN" w:bidi="ar"/>
              </w:rPr>
              <w:t>②</w:t>
            </w:r>
            <w:bookmarkEnd w:id="105"/>
            <w:r>
              <w:rPr>
                <w:rFonts w:ascii="宋体" w:hAnsi="宋体" w:eastAsia="宋体" w:cs="宋体"/>
                <w:color w:val="auto"/>
                <w:sz w:val="24"/>
                <w:szCs w:val="24"/>
              </w:rPr>
              <w:t>项目管理措施</w:t>
            </w:r>
            <w:r>
              <w:rPr>
                <w:rFonts w:hint="eastAsia" w:ascii="宋体" w:hAnsi="宋体" w:eastAsia="宋体" w:cs="宋体"/>
                <w:color w:val="auto"/>
                <w:sz w:val="24"/>
                <w:szCs w:val="24"/>
                <w:lang w:eastAsia="zh-CN"/>
              </w:rPr>
              <w:t>；</w:t>
            </w:r>
            <w:r>
              <w:rPr>
                <w:rFonts w:hint="eastAsia" w:ascii="宋体" w:hAnsi="宋体" w:eastAsia="宋体" w:cs="宋体"/>
                <w:b/>
                <w:bCs/>
                <w:color w:val="auto"/>
                <w:kern w:val="0"/>
                <w:sz w:val="24"/>
                <w:szCs w:val="24"/>
                <w:lang w:val="en-US" w:eastAsia="zh-CN" w:bidi="ar"/>
              </w:rPr>
              <w:t>③</w:t>
            </w:r>
            <w:r>
              <w:rPr>
                <w:rFonts w:ascii="宋体" w:hAnsi="宋体" w:eastAsia="宋体" w:cs="宋体"/>
                <w:color w:val="auto"/>
                <w:sz w:val="24"/>
                <w:szCs w:val="24"/>
              </w:rPr>
              <w:t>项目团队人员</w:t>
            </w:r>
            <w:r>
              <w:rPr>
                <w:rFonts w:hint="eastAsia" w:ascii="宋体" w:hAnsi="宋体" w:eastAsia="宋体" w:cs="宋体"/>
                <w:color w:val="auto"/>
                <w:sz w:val="24"/>
                <w:szCs w:val="24"/>
                <w:lang w:eastAsia="zh-CN"/>
              </w:rPr>
              <w:t>；</w:t>
            </w:r>
            <w:r>
              <w:rPr>
                <w:rFonts w:hint="eastAsia" w:ascii="宋体" w:hAnsi="宋体" w:eastAsia="宋体" w:cs="宋体"/>
                <w:b/>
                <w:bCs/>
                <w:color w:val="auto"/>
                <w:kern w:val="0"/>
                <w:sz w:val="24"/>
                <w:szCs w:val="24"/>
                <w:lang w:val="en-US" w:eastAsia="zh-CN" w:bidi="ar"/>
              </w:rPr>
              <w:t>④</w:t>
            </w:r>
            <w:r>
              <w:rPr>
                <w:rFonts w:hint="eastAsia" w:ascii="宋体" w:hAnsi="宋体" w:eastAsia="宋体" w:cs="宋体"/>
                <w:color w:val="auto"/>
                <w:sz w:val="24"/>
                <w:szCs w:val="24"/>
                <w:lang w:val="en-US" w:eastAsia="zh-CN"/>
              </w:rPr>
              <w:t>材料</w:t>
            </w:r>
            <w:r>
              <w:rPr>
                <w:rFonts w:ascii="宋体" w:hAnsi="宋体" w:eastAsia="宋体" w:cs="宋体"/>
                <w:color w:val="auto"/>
                <w:sz w:val="24"/>
                <w:szCs w:val="24"/>
              </w:rPr>
              <w:t>的采购、供应、合同履约</w:t>
            </w:r>
            <w:r>
              <w:rPr>
                <w:rFonts w:hint="eastAsia" w:ascii="宋体" w:hAnsi="宋体" w:eastAsia="宋体" w:cs="宋体"/>
                <w:color w:val="auto"/>
                <w:sz w:val="24"/>
                <w:szCs w:val="24"/>
                <w:lang w:eastAsia="zh-CN"/>
              </w:rPr>
              <w:t>；</w:t>
            </w:r>
            <w:r>
              <w:rPr>
                <w:rFonts w:hint="eastAsia" w:ascii="宋体" w:hAnsi="宋体" w:eastAsia="宋体" w:cs="宋体"/>
                <w:b/>
                <w:bCs/>
                <w:color w:val="auto"/>
                <w:kern w:val="0"/>
                <w:sz w:val="24"/>
                <w:szCs w:val="24"/>
                <w:lang w:val="en-US" w:eastAsia="zh-CN" w:bidi="ar"/>
              </w:rPr>
              <w:t>⑤</w:t>
            </w:r>
            <w:r>
              <w:rPr>
                <w:rFonts w:hint="eastAsia" w:ascii="宋体" w:hAnsi="宋体" w:eastAsia="宋体" w:cs="宋体"/>
                <w:color w:val="auto"/>
                <w:kern w:val="0"/>
                <w:sz w:val="24"/>
                <w:szCs w:val="24"/>
                <w:lang w:val="en-US" w:eastAsia="zh-CN" w:bidi="ar"/>
              </w:rPr>
              <w:t>对本项目的合理化建议。方案内容完整，表述准确、条理清晰，完全满足项目需要，具有良好的科学性、合理性和可操作性的得10分，</w:t>
            </w:r>
            <w:bookmarkStart w:id="106" w:name="OLE_LINK23"/>
            <w:r>
              <w:rPr>
                <w:rFonts w:hint="eastAsia" w:ascii="宋体" w:hAnsi="宋体" w:eastAsia="宋体" w:cs="宋体"/>
                <w:color w:val="auto"/>
                <w:kern w:val="0"/>
                <w:sz w:val="24"/>
                <w:szCs w:val="24"/>
                <w:lang w:val="en-US" w:eastAsia="zh-CN" w:bidi="ar"/>
              </w:rPr>
              <w:t>每缺少一项内容扣2分</w:t>
            </w:r>
            <w:bookmarkEnd w:id="106"/>
            <w:r>
              <w:rPr>
                <w:rFonts w:hint="eastAsia" w:ascii="宋体" w:hAnsi="宋体" w:eastAsia="宋体" w:cs="宋体"/>
                <w:color w:val="auto"/>
                <w:kern w:val="0"/>
                <w:sz w:val="24"/>
                <w:szCs w:val="24"/>
                <w:lang w:val="en-US" w:eastAsia="zh-CN" w:bidi="ar"/>
              </w:rPr>
              <w:t>，每有一项内容</w:t>
            </w:r>
            <w:bookmarkStart w:id="107" w:name="OLE_LINK20"/>
            <w:r>
              <w:rPr>
                <w:rFonts w:hint="eastAsia" w:ascii="宋体" w:hAnsi="宋体" w:eastAsia="宋体" w:cs="宋体"/>
                <w:color w:val="auto"/>
                <w:kern w:val="0"/>
                <w:sz w:val="24"/>
                <w:szCs w:val="24"/>
                <w:lang w:val="en-US" w:eastAsia="zh-CN" w:bidi="ar"/>
              </w:rPr>
              <w:t>存在缺陷，或此项内容</w:t>
            </w:r>
            <w:bookmarkEnd w:id="107"/>
            <w:r>
              <w:rPr>
                <w:rFonts w:hint="eastAsia" w:ascii="宋体" w:hAnsi="宋体" w:eastAsia="宋体" w:cs="宋体"/>
                <w:color w:val="auto"/>
                <w:kern w:val="0"/>
                <w:sz w:val="24"/>
                <w:szCs w:val="24"/>
                <w:lang w:val="en-US" w:eastAsia="zh-CN" w:bidi="ar"/>
              </w:rPr>
              <w:t>不完整的扣1分，扣完为止。</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注：缺陷或不足是指：内容所阐述的项目信息与本项目实际需求信息不一致、内容照抄照搬磋商文件且只有方案框架无实质性内容、内容不完整、套用其他项目方案、地点区域错误、内容前后矛盾、涉及的规范及标准错误、不可能实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p>
        </w:tc>
        <w:tc>
          <w:tcPr>
            <w:tcW w:w="1679"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服务措施及承诺</w:t>
            </w:r>
          </w:p>
        </w:tc>
        <w:tc>
          <w:tcPr>
            <w:tcW w:w="63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pacing w:val="-4"/>
                <w:sz w:val="24"/>
                <w:szCs w:val="24"/>
                <w:lang w:val="en-US" w:eastAsia="zh-CN"/>
              </w:rPr>
              <w:t>10</w:t>
            </w:r>
          </w:p>
        </w:tc>
        <w:tc>
          <w:tcPr>
            <w:tcW w:w="6131"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提供针对本项目的服务措施及相关承诺包括</w:t>
            </w:r>
            <w:r>
              <w:rPr>
                <w:rFonts w:hint="eastAsia" w:ascii="宋体" w:hAnsi="宋体" w:eastAsia="宋体" w:cs="宋体"/>
                <w:b/>
                <w:bCs/>
                <w:color w:val="auto"/>
                <w:kern w:val="0"/>
                <w:sz w:val="24"/>
                <w:szCs w:val="24"/>
                <w:lang w:val="en-US" w:eastAsia="zh-CN" w:bidi="ar"/>
              </w:rPr>
              <w:t>①</w:t>
            </w:r>
            <w:r>
              <w:rPr>
                <w:rFonts w:hint="eastAsia" w:ascii="宋体" w:hAnsi="宋体" w:eastAsia="宋体" w:cs="宋体"/>
                <w:color w:val="auto"/>
                <w:sz w:val="24"/>
                <w:szCs w:val="24"/>
                <w:lang w:bidi="ar"/>
              </w:rPr>
              <w:t>服务质量</w:t>
            </w:r>
            <w:r>
              <w:rPr>
                <w:rFonts w:hint="eastAsia" w:ascii="宋体" w:hAnsi="宋体" w:eastAsia="宋体" w:cs="宋体"/>
                <w:color w:val="auto"/>
                <w:sz w:val="24"/>
                <w:szCs w:val="24"/>
                <w:lang w:eastAsia="zh-CN" w:bidi="ar"/>
              </w:rPr>
              <w:t>（保障）</w:t>
            </w:r>
            <w:r>
              <w:rPr>
                <w:rFonts w:hint="eastAsia" w:ascii="宋体" w:hAnsi="宋体" w:eastAsia="宋体" w:cs="宋体"/>
                <w:color w:val="auto"/>
                <w:sz w:val="24"/>
                <w:szCs w:val="24"/>
                <w:lang w:bidi="ar"/>
              </w:rPr>
              <w:t>承诺</w:t>
            </w:r>
            <w:r>
              <w:rPr>
                <w:rFonts w:hint="eastAsia" w:ascii="宋体" w:hAnsi="宋体" w:eastAsia="宋体" w:cs="宋体"/>
                <w:color w:val="auto"/>
                <w:sz w:val="24"/>
                <w:szCs w:val="24"/>
                <w:lang w:eastAsia="zh-CN" w:bidi="ar"/>
              </w:rPr>
              <w:t>；</w:t>
            </w:r>
            <w:r>
              <w:rPr>
                <w:rFonts w:hint="eastAsia" w:ascii="宋体" w:hAnsi="宋体" w:eastAsia="宋体" w:cs="宋体"/>
                <w:b/>
                <w:bCs/>
                <w:color w:val="auto"/>
                <w:kern w:val="0"/>
                <w:sz w:val="24"/>
                <w:szCs w:val="24"/>
                <w:lang w:val="en-US" w:eastAsia="zh-CN" w:bidi="ar"/>
              </w:rPr>
              <w:t>②</w:t>
            </w:r>
            <w:r>
              <w:rPr>
                <w:rFonts w:hint="eastAsia" w:ascii="宋体" w:hAnsi="宋体" w:eastAsia="宋体" w:cs="宋体"/>
                <w:b w:val="0"/>
                <w:bCs w:val="0"/>
                <w:color w:val="auto"/>
                <w:kern w:val="0"/>
                <w:sz w:val="24"/>
                <w:szCs w:val="24"/>
                <w:lang w:val="en-US" w:eastAsia="zh-CN" w:bidi="ar"/>
              </w:rPr>
              <w:t>接到故障通知后到达现场时间、处理好故障时间</w:t>
            </w:r>
            <w:r>
              <w:rPr>
                <w:rFonts w:hint="eastAsia" w:ascii="宋体" w:hAnsi="宋体" w:eastAsia="宋体" w:cs="宋体"/>
                <w:color w:val="auto"/>
                <w:sz w:val="24"/>
                <w:szCs w:val="24"/>
                <w:lang w:eastAsia="zh-CN" w:bidi="ar"/>
              </w:rPr>
              <w:t>；</w:t>
            </w:r>
            <w:r>
              <w:rPr>
                <w:rFonts w:hint="eastAsia" w:ascii="宋体" w:hAnsi="宋体" w:eastAsia="宋体" w:cs="宋体"/>
                <w:b/>
                <w:bCs/>
                <w:color w:val="auto"/>
                <w:kern w:val="0"/>
                <w:sz w:val="24"/>
                <w:szCs w:val="24"/>
                <w:lang w:val="en-US" w:eastAsia="zh-CN" w:bidi="ar"/>
              </w:rPr>
              <w:t>③</w:t>
            </w:r>
            <w:r>
              <w:rPr>
                <w:rFonts w:hint="eastAsia" w:ascii="宋体" w:hAnsi="宋体" w:eastAsia="宋体" w:cs="宋体"/>
                <w:color w:val="auto"/>
                <w:sz w:val="24"/>
                <w:szCs w:val="24"/>
                <w:lang w:bidi="ar"/>
              </w:rPr>
              <w:t>售后服务承诺</w:t>
            </w:r>
            <w:r>
              <w:rPr>
                <w:rFonts w:hint="eastAsia" w:ascii="宋体" w:hAnsi="宋体" w:eastAsia="宋体" w:cs="宋体"/>
                <w:color w:val="auto"/>
                <w:sz w:val="24"/>
                <w:szCs w:val="24"/>
                <w:lang w:eastAsia="zh-CN" w:bidi="ar"/>
              </w:rPr>
              <w:t>；</w:t>
            </w:r>
            <w:r>
              <w:rPr>
                <w:rFonts w:hint="eastAsia" w:ascii="宋体" w:hAnsi="宋体" w:eastAsia="宋体" w:cs="宋体"/>
                <w:b/>
                <w:bCs/>
                <w:color w:val="auto"/>
                <w:kern w:val="0"/>
                <w:sz w:val="24"/>
                <w:szCs w:val="24"/>
                <w:lang w:val="en-US" w:eastAsia="zh-CN" w:bidi="ar"/>
              </w:rPr>
              <w:t>④</w:t>
            </w:r>
            <w:r>
              <w:rPr>
                <w:rFonts w:hint="eastAsia" w:ascii="宋体" w:hAnsi="宋体" w:eastAsia="宋体" w:cs="宋体"/>
                <w:color w:val="auto"/>
                <w:sz w:val="24"/>
                <w:szCs w:val="24"/>
                <w:lang w:bidi="ar"/>
              </w:rPr>
              <w:t>违约责任承诺</w:t>
            </w:r>
            <w:r>
              <w:rPr>
                <w:rFonts w:hint="eastAsia" w:ascii="宋体" w:hAnsi="宋体" w:eastAsia="宋体" w:cs="宋体"/>
                <w:color w:val="auto"/>
                <w:sz w:val="24"/>
                <w:szCs w:val="24"/>
                <w:lang w:eastAsia="zh-CN" w:bidi="ar"/>
              </w:rPr>
              <w:t>；</w:t>
            </w:r>
            <w:r>
              <w:rPr>
                <w:rFonts w:hint="eastAsia" w:ascii="宋体" w:hAnsi="宋体" w:eastAsia="宋体" w:cs="宋体"/>
                <w:b/>
                <w:bCs/>
                <w:color w:val="auto"/>
                <w:kern w:val="0"/>
                <w:sz w:val="24"/>
                <w:szCs w:val="24"/>
                <w:lang w:val="en-US" w:eastAsia="zh-CN" w:bidi="ar"/>
              </w:rPr>
              <w:t>⑤</w:t>
            </w:r>
            <w:r>
              <w:rPr>
                <w:rFonts w:hint="eastAsia" w:ascii="宋体" w:hAnsi="宋体" w:eastAsia="宋体" w:cs="宋体"/>
                <w:b w:val="0"/>
                <w:bCs w:val="0"/>
                <w:color w:val="auto"/>
                <w:kern w:val="0"/>
                <w:sz w:val="24"/>
                <w:szCs w:val="24"/>
                <w:lang w:val="en-US" w:eastAsia="zh-CN" w:bidi="ar"/>
              </w:rPr>
              <w:t>零配件优惠措施</w:t>
            </w:r>
            <w:r>
              <w:rPr>
                <w:rFonts w:hint="eastAsia" w:ascii="宋体" w:hAnsi="宋体" w:eastAsia="宋体" w:cs="宋体"/>
                <w:color w:val="auto"/>
                <w:sz w:val="24"/>
                <w:szCs w:val="24"/>
                <w:lang w:bidi="ar"/>
              </w:rPr>
              <w:t>等</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所提供的</w:t>
            </w:r>
            <w:bookmarkStart w:id="108" w:name="OLE_LINK28"/>
            <w:r>
              <w:rPr>
                <w:rFonts w:hint="eastAsia" w:ascii="宋体" w:hAnsi="宋体" w:eastAsia="宋体" w:cs="宋体"/>
                <w:color w:val="auto"/>
                <w:sz w:val="24"/>
                <w:szCs w:val="24"/>
              </w:rPr>
              <w:t>措施及承诺</w:t>
            </w:r>
            <w:bookmarkEnd w:id="108"/>
            <w:r>
              <w:rPr>
                <w:rFonts w:hint="eastAsia" w:ascii="宋体" w:hAnsi="宋体" w:eastAsia="宋体" w:cs="宋体"/>
                <w:color w:val="auto"/>
                <w:sz w:val="24"/>
                <w:szCs w:val="24"/>
                <w:lang w:val="en-US" w:eastAsia="zh-CN" w:bidi="ar"/>
              </w:rPr>
              <w:t>内容完整，表述准确、条理清晰，完全满足项目需要，具有良好的科学性、合理性和可操作性的得10分，每缺少一项内容扣2分，每有一项内容存在缺陷，或此项内容不完整的扣1分，扣完为止。</w:t>
            </w: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color w:val="auto"/>
              </w:rPr>
            </w:pPr>
            <w:r>
              <w:rPr>
                <w:rFonts w:hint="eastAsia" w:ascii="宋体" w:hAnsi="宋体" w:eastAsia="宋体" w:cs="宋体"/>
                <w:color w:val="auto"/>
                <w:sz w:val="24"/>
                <w:szCs w:val="24"/>
                <w:lang w:val="en-US" w:eastAsia="zh-CN" w:bidi="ar"/>
              </w:rPr>
              <w:t>注：缺陷或不足是指：内容所阐述的项目信息与本项目实际需求信息不一致、内容照抄照搬磋商文件且只有</w:t>
            </w:r>
            <w:r>
              <w:rPr>
                <w:rFonts w:hint="eastAsia" w:ascii="宋体" w:hAnsi="宋体" w:eastAsia="宋体" w:cs="宋体"/>
                <w:color w:val="auto"/>
                <w:sz w:val="24"/>
                <w:szCs w:val="24"/>
              </w:rPr>
              <w:t>措施及承诺</w:t>
            </w:r>
            <w:r>
              <w:rPr>
                <w:rFonts w:hint="eastAsia" w:ascii="宋体" w:hAnsi="宋体" w:eastAsia="宋体" w:cs="宋体"/>
                <w:color w:val="auto"/>
                <w:sz w:val="24"/>
                <w:szCs w:val="24"/>
                <w:lang w:val="en-US" w:eastAsia="zh-CN" w:bidi="ar"/>
              </w:rPr>
              <w:t>框架无实质性内容、内容不完整、套用其他项目内容、地点区域错误、内容前后矛盾、涉及的规范及标准错误、不可能实现的情形等任意一种情形。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8" w:hRule="atLeast"/>
          <w:jc w:val="center"/>
        </w:trPr>
        <w:tc>
          <w:tcPr>
            <w:tcW w:w="1198"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bookmarkStart w:id="109" w:name="_Toc325726025"/>
            <w:bookmarkStart w:id="110" w:name="_Toc376936756"/>
            <w:bookmarkStart w:id="111" w:name="_Toc6689"/>
            <w:bookmarkStart w:id="112" w:name="_Toc2506"/>
          </w:p>
        </w:tc>
        <w:tc>
          <w:tcPr>
            <w:tcW w:w="1679"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lang w:val="en-US" w:eastAsia="zh-CN"/>
              </w:rPr>
              <w:t>质量控制及保证措施</w:t>
            </w:r>
          </w:p>
        </w:tc>
        <w:tc>
          <w:tcPr>
            <w:tcW w:w="63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3</w:t>
            </w:r>
          </w:p>
        </w:tc>
        <w:tc>
          <w:tcPr>
            <w:tcW w:w="613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控制及措施明确、周密、可行的得 3分；控制及措施较明确、可行的得 2分；控制及措施不符合磋商要求的得1分，其他情况不得分。</w:t>
            </w:r>
          </w:p>
        </w:tc>
      </w:tr>
    </w:tbl>
    <w:p>
      <w:pPr>
        <w:keepNext/>
        <w:pageBreakBefore/>
        <w:widowControl/>
        <w:spacing w:line="360" w:lineRule="auto"/>
        <w:ind w:firstLine="0" w:firstLineChars="0"/>
        <w:jc w:val="center"/>
        <w:outlineLvl w:val="1"/>
        <w:rPr>
          <w:rFonts w:ascii="宋体" w:hAnsi="宋体" w:eastAsia="宋体" w:cs="宋体"/>
          <w:b/>
          <w:bCs/>
          <w:sz w:val="24"/>
          <w:szCs w:val="24"/>
        </w:rPr>
      </w:pPr>
      <w:r>
        <w:rPr>
          <w:rFonts w:hint="eastAsia" w:ascii="宋体" w:hAnsi="宋体" w:eastAsia="宋体" w:cs="宋体"/>
          <w:b/>
          <w:bCs/>
          <w:sz w:val="24"/>
          <w:szCs w:val="24"/>
        </w:rPr>
        <w:t>七、</w:t>
      </w:r>
      <w:bookmarkEnd w:id="109"/>
      <w:bookmarkEnd w:id="110"/>
      <w:r>
        <w:rPr>
          <w:rFonts w:hint="eastAsia" w:ascii="宋体" w:hAnsi="宋体" w:eastAsia="宋体" w:cs="宋体"/>
          <w:b/>
          <w:bCs/>
          <w:sz w:val="24"/>
          <w:szCs w:val="24"/>
        </w:rPr>
        <w:t>确定成交供应商</w:t>
      </w:r>
      <w:bookmarkEnd w:id="111"/>
      <w:bookmarkEnd w:id="112"/>
    </w:p>
    <w:p>
      <w:pPr>
        <w:widowControl/>
        <w:spacing w:line="360" w:lineRule="auto"/>
        <w:ind w:firstLine="0" w:firstLineChars="0"/>
        <w:jc w:val="left"/>
        <w:outlineLvl w:val="2"/>
        <w:rPr>
          <w:rFonts w:ascii="宋体" w:hAnsi="宋体" w:eastAsia="宋体" w:cs="宋体"/>
          <w:b/>
          <w:bCs/>
          <w:sz w:val="24"/>
          <w:szCs w:val="24"/>
        </w:rPr>
      </w:pPr>
      <w:bookmarkStart w:id="113" w:name="_Toc325726026"/>
      <w:bookmarkStart w:id="114" w:name="_Toc376936757"/>
      <w:bookmarkStart w:id="115" w:name="_Toc17038"/>
      <w:bookmarkStart w:id="116" w:name="_Toc28889"/>
      <w:r>
        <w:rPr>
          <w:rFonts w:hint="eastAsia" w:ascii="宋体" w:hAnsi="宋体" w:eastAsia="宋体" w:cs="宋体"/>
          <w:b/>
          <w:bCs/>
          <w:sz w:val="24"/>
          <w:szCs w:val="24"/>
        </w:rPr>
        <w:t>18.推荐并确定成交</w:t>
      </w:r>
      <w:bookmarkEnd w:id="113"/>
      <w:bookmarkEnd w:id="114"/>
      <w:r>
        <w:rPr>
          <w:rFonts w:hint="eastAsia" w:ascii="宋体" w:hAnsi="宋体" w:eastAsia="宋体" w:cs="宋体"/>
          <w:b/>
          <w:bCs/>
          <w:sz w:val="24"/>
          <w:szCs w:val="24"/>
        </w:rPr>
        <w:t>供应商</w:t>
      </w:r>
      <w:bookmarkEnd w:id="115"/>
      <w:bookmarkEnd w:id="116"/>
    </w:p>
    <w:p>
      <w:pPr>
        <w:spacing w:line="360" w:lineRule="auto"/>
        <w:ind w:firstLine="480"/>
        <w:jc w:val="left"/>
        <w:rPr>
          <w:rFonts w:ascii="宋体" w:hAnsi="宋体" w:eastAsia="宋体" w:cs="宋体"/>
          <w:sz w:val="24"/>
          <w:szCs w:val="24"/>
        </w:rPr>
      </w:pPr>
      <w:r>
        <w:rPr>
          <w:rFonts w:hint="eastAsia" w:ascii="宋体" w:hAnsi="宋体" w:eastAsia="宋体" w:cs="宋体"/>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ascii="宋体" w:hAnsi="宋体" w:eastAsia="宋体" w:cs="宋体"/>
          <w:b/>
          <w:bCs/>
          <w:sz w:val="24"/>
          <w:szCs w:val="24"/>
        </w:rPr>
      </w:pPr>
      <w:bookmarkStart w:id="117" w:name="_Toc376936759"/>
      <w:bookmarkStart w:id="118" w:name="_Toc2346"/>
      <w:bookmarkStart w:id="119" w:name="_Toc325726028"/>
      <w:bookmarkStart w:id="120" w:name="_Toc2963"/>
      <w:bookmarkStart w:id="121" w:name="_Toc325726027"/>
      <w:r>
        <w:rPr>
          <w:rFonts w:hint="eastAsia" w:ascii="宋体" w:hAnsi="宋体" w:eastAsia="宋体" w:cs="宋体"/>
          <w:b/>
          <w:bCs/>
          <w:sz w:val="24"/>
          <w:szCs w:val="24"/>
        </w:rPr>
        <w:t>19.成交通知</w:t>
      </w:r>
      <w:bookmarkEnd w:id="117"/>
      <w:bookmarkEnd w:id="118"/>
      <w:bookmarkEnd w:id="119"/>
      <w:bookmarkEnd w:id="120"/>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ascii="宋体" w:hAnsi="宋体" w:eastAsia="宋体" w:cs="宋体"/>
          <w:b/>
          <w:bCs/>
          <w:sz w:val="24"/>
          <w:szCs w:val="24"/>
        </w:rPr>
      </w:pPr>
      <w:bookmarkStart w:id="122" w:name="_Toc18063"/>
      <w:bookmarkStart w:id="123" w:name="_Toc5556"/>
      <w:bookmarkStart w:id="124" w:name="_Toc376936758"/>
      <w:r>
        <w:rPr>
          <w:rFonts w:hint="eastAsia" w:ascii="宋体" w:hAnsi="宋体" w:eastAsia="宋体" w:cs="宋体"/>
          <w:b/>
          <w:bCs/>
          <w:sz w:val="24"/>
          <w:szCs w:val="24"/>
        </w:rPr>
        <w:t>八、授予合同</w:t>
      </w:r>
      <w:bookmarkEnd w:id="121"/>
      <w:bookmarkEnd w:id="122"/>
      <w:bookmarkEnd w:id="123"/>
      <w:bookmarkEnd w:id="124"/>
    </w:p>
    <w:p>
      <w:pPr>
        <w:widowControl/>
        <w:spacing w:line="360" w:lineRule="auto"/>
        <w:ind w:firstLine="0" w:firstLineChars="0"/>
        <w:jc w:val="left"/>
        <w:outlineLvl w:val="2"/>
        <w:rPr>
          <w:rFonts w:ascii="宋体" w:hAnsi="宋体" w:eastAsia="宋体" w:cs="宋体"/>
          <w:b/>
          <w:bCs/>
          <w:sz w:val="24"/>
          <w:szCs w:val="24"/>
        </w:rPr>
      </w:pPr>
      <w:bookmarkStart w:id="125" w:name="_Toc325726029"/>
      <w:bookmarkStart w:id="126" w:name="_Toc921"/>
      <w:bookmarkStart w:id="127" w:name="_Toc376936760"/>
      <w:bookmarkStart w:id="128" w:name="_Toc28394"/>
      <w:r>
        <w:rPr>
          <w:rFonts w:hint="eastAsia" w:ascii="宋体" w:hAnsi="宋体" w:eastAsia="宋体" w:cs="宋体"/>
          <w:b/>
          <w:bCs/>
          <w:sz w:val="24"/>
          <w:szCs w:val="24"/>
        </w:rPr>
        <w:t>20.签订合同</w:t>
      </w:r>
      <w:bookmarkEnd w:id="125"/>
      <w:bookmarkEnd w:id="126"/>
      <w:bookmarkEnd w:id="127"/>
      <w:bookmarkEnd w:id="128"/>
    </w:p>
    <w:p>
      <w:pPr>
        <w:spacing w:line="360" w:lineRule="auto"/>
        <w:ind w:firstLine="0" w:firstLineChars="0"/>
        <w:jc w:val="left"/>
        <w:rPr>
          <w:rFonts w:ascii="宋体" w:hAnsi="宋体" w:eastAsia="宋体" w:cs="宋体"/>
          <w:sz w:val="24"/>
          <w:szCs w:val="24"/>
        </w:rPr>
      </w:pPr>
      <w:bookmarkStart w:id="129" w:name="_Toc325726030"/>
      <w:bookmarkStart w:id="130" w:name="_Toc376936761"/>
      <w:r>
        <w:rPr>
          <w:rFonts w:hint="eastAsia" w:ascii="宋体" w:hAnsi="宋体" w:eastAsia="宋体" w:cs="宋体"/>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hAnsi="宋体" w:eastAsia="宋体" w:cs="宋体"/>
          <w:b/>
          <w:bCs/>
          <w:sz w:val="24"/>
          <w:szCs w:val="24"/>
        </w:rPr>
      </w:pPr>
      <w:bookmarkStart w:id="131" w:name="_Toc22442"/>
      <w:bookmarkStart w:id="132" w:name="_Toc896"/>
      <w:r>
        <w:rPr>
          <w:rFonts w:hint="eastAsia" w:ascii="宋体" w:hAnsi="宋体" w:eastAsia="宋体" w:cs="宋体"/>
          <w:b/>
          <w:bCs/>
          <w:sz w:val="24"/>
          <w:szCs w:val="24"/>
        </w:rPr>
        <w:t>九、</w:t>
      </w:r>
      <w:bookmarkEnd w:id="129"/>
      <w:bookmarkEnd w:id="130"/>
      <w:r>
        <w:rPr>
          <w:rFonts w:hint="eastAsia" w:ascii="宋体" w:hAnsi="宋体" w:eastAsia="宋体" w:cs="宋体"/>
          <w:b/>
          <w:bCs/>
          <w:sz w:val="24"/>
          <w:szCs w:val="24"/>
        </w:rPr>
        <w:t>磋商活动终止</w:t>
      </w:r>
      <w:bookmarkEnd w:id="131"/>
      <w:bookmarkEnd w:id="132"/>
    </w:p>
    <w:p>
      <w:pPr>
        <w:widowControl/>
        <w:spacing w:line="360" w:lineRule="auto"/>
        <w:ind w:firstLine="0" w:firstLineChars="0"/>
        <w:jc w:val="left"/>
        <w:outlineLvl w:val="2"/>
        <w:rPr>
          <w:rFonts w:ascii="宋体" w:hAnsi="宋体" w:eastAsia="宋体" w:cs="宋体"/>
          <w:b/>
          <w:bCs/>
          <w:sz w:val="24"/>
          <w:szCs w:val="24"/>
        </w:rPr>
      </w:pPr>
      <w:bookmarkStart w:id="133" w:name="_Toc11684"/>
      <w:bookmarkStart w:id="134" w:name="_Toc7098"/>
      <w:bookmarkStart w:id="135" w:name="_Toc376936762"/>
      <w:bookmarkStart w:id="136" w:name="_Toc325726031"/>
      <w:r>
        <w:rPr>
          <w:rFonts w:hint="eastAsia" w:ascii="宋体" w:hAnsi="宋体" w:eastAsia="宋体" w:cs="宋体"/>
          <w:b/>
          <w:bCs/>
          <w:sz w:val="24"/>
          <w:szCs w:val="24"/>
        </w:rPr>
        <w:t>21.终止情形</w:t>
      </w:r>
      <w:bookmarkEnd w:id="133"/>
      <w:bookmarkEnd w:id="134"/>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21.1</w:t>
      </w:r>
      <w:bookmarkEnd w:id="135"/>
      <w:bookmarkEnd w:id="136"/>
      <w:r>
        <w:rPr>
          <w:rFonts w:hint="eastAsia" w:ascii="宋体" w:hAnsi="宋体" w:eastAsia="宋体" w:cs="宋体"/>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（2）出现影响采购公正的违法、违规行为的；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21.2终止磋商活动后，由采购代理机构发布终止公告并说明原因。</w:t>
      </w:r>
      <w:bookmarkStart w:id="137" w:name="_Toc325726032"/>
    </w:p>
    <w:p>
      <w:pPr>
        <w:widowControl/>
        <w:spacing w:line="360" w:lineRule="auto"/>
        <w:ind w:firstLine="0" w:firstLineChars="0"/>
        <w:jc w:val="center"/>
        <w:outlineLvl w:val="1"/>
        <w:rPr>
          <w:rFonts w:ascii="宋体" w:hAnsi="宋体" w:eastAsia="宋体" w:cs="宋体"/>
          <w:b/>
          <w:bCs/>
          <w:sz w:val="24"/>
          <w:szCs w:val="24"/>
        </w:rPr>
      </w:pPr>
      <w:bookmarkStart w:id="138" w:name="_Toc6646"/>
      <w:bookmarkStart w:id="139" w:name="_Toc27950"/>
      <w:bookmarkStart w:id="140" w:name="_Toc376936763"/>
      <w:r>
        <w:rPr>
          <w:rFonts w:hint="eastAsia" w:ascii="宋体" w:hAnsi="宋体" w:eastAsia="宋体" w:cs="宋体"/>
          <w:b/>
          <w:bCs/>
          <w:sz w:val="24"/>
          <w:szCs w:val="24"/>
        </w:rPr>
        <w:t>十、处罚</w:t>
      </w:r>
      <w:bookmarkEnd w:id="137"/>
      <w:bookmarkEnd w:id="138"/>
      <w:bookmarkEnd w:id="139"/>
      <w:bookmarkEnd w:id="140"/>
    </w:p>
    <w:p>
      <w:pPr>
        <w:widowControl/>
        <w:spacing w:line="360" w:lineRule="auto"/>
        <w:ind w:firstLine="0" w:firstLineChars="0"/>
        <w:jc w:val="left"/>
        <w:outlineLvl w:val="2"/>
        <w:rPr>
          <w:rFonts w:ascii="宋体" w:hAnsi="宋体" w:eastAsia="宋体" w:cs="宋体"/>
          <w:b/>
          <w:bCs/>
          <w:sz w:val="24"/>
          <w:szCs w:val="24"/>
        </w:rPr>
      </w:pPr>
      <w:bookmarkStart w:id="141" w:name="_Toc325726033"/>
      <w:bookmarkStart w:id="142" w:name="_Toc376936764"/>
      <w:bookmarkStart w:id="143" w:name="_Toc28018"/>
      <w:bookmarkStart w:id="144" w:name="_Toc17567"/>
      <w:r>
        <w:rPr>
          <w:rFonts w:hint="eastAsia" w:ascii="宋体" w:hAnsi="宋体" w:eastAsia="宋体" w:cs="宋体"/>
          <w:b/>
          <w:bCs/>
          <w:sz w:val="24"/>
          <w:szCs w:val="24"/>
        </w:rPr>
        <w:t>22.处罚情形</w:t>
      </w:r>
      <w:bookmarkEnd w:id="141"/>
      <w:bookmarkEnd w:id="142"/>
      <w:bookmarkEnd w:id="143"/>
      <w:bookmarkEnd w:id="144"/>
    </w:p>
    <w:p>
      <w:pPr>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zh-CN"/>
        </w:rPr>
        <w:t>）提供虚假材料谋取中标、成交的；</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）采取不正当手段诋毁、排挤其他供应商的；</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3</w:t>
      </w:r>
      <w:r>
        <w:rPr>
          <w:rFonts w:hint="eastAsia" w:ascii="宋体" w:hAnsi="宋体" w:eastAsia="宋体" w:cs="宋体"/>
          <w:sz w:val="24"/>
          <w:lang w:val="zh-CN"/>
        </w:rPr>
        <w:t>）与采购人、其他供应商或者采购代理机构恶意串通的；</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4</w:t>
      </w:r>
      <w:r>
        <w:rPr>
          <w:rFonts w:hint="eastAsia" w:ascii="宋体" w:hAnsi="宋体" w:eastAsia="宋体" w:cs="宋体"/>
          <w:sz w:val="24"/>
          <w:lang w:val="zh-CN"/>
        </w:rPr>
        <w:t>）向采购人、采购代理机构行贿或者提供其他不正当利益的；</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5</w:t>
      </w:r>
      <w:r>
        <w:rPr>
          <w:rFonts w:hint="eastAsia" w:ascii="宋体" w:hAnsi="宋体" w:eastAsia="宋体" w:cs="宋体"/>
          <w:sz w:val="24"/>
          <w:lang w:val="zh-CN"/>
        </w:rPr>
        <w:t>）在招标采购过程中与采购人进行协商谈判的；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lang w:val="zh-CN"/>
        </w:rPr>
        <w:t>（</w:t>
      </w:r>
      <w:r>
        <w:rPr>
          <w:rFonts w:hint="eastAsia" w:ascii="宋体" w:hAnsi="宋体" w:eastAsia="宋体" w:cs="宋体"/>
          <w:sz w:val="24"/>
        </w:rPr>
        <w:t>6</w:t>
      </w:r>
      <w:r>
        <w:rPr>
          <w:rFonts w:hint="eastAsia" w:ascii="宋体" w:hAnsi="宋体" w:eastAsia="宋体" w:cs="宋体"/>
          <w:sz w:val="24"/>
          <w:lang w:val="zh-CN"/>
        </w:rPr>
        <w:t>）向磋商小组行贿或者提供其他不正当利益。</w:t>
      </w:r>
    </w:p>
    <w:p>
      <w:pPr>
        <w:widowControl/>
        <w:spacing w:line="360" w:lineRule="auto"/>
        <w:ind w:firstLine="0" w:firstLineChars="0"/>
        <w:jc w:val="center"/>
        <w:outlineLvl w:val="1"/>
        <w:rPr>
          <w:rFonts w:ascii="宋体" w:hAnsi="宋体" w:eastAsia="宋体" w:cs="宋体"/>
          <w:b/>
          <w:bCs/>
          <w:sz w:val="24"/>
          <w:szCs w:val="24"/>
        </w:rPr>
      </w:pPr>
      <w:bookmarkStart w:id="145" w:name="_Toc19538"/>
      <w:bookmarkStart w:id="146" w:name="_Toc376936765"/>
      <w:bookmarkStart w:id="147" w:name="_Toc325726034"/>
      <w:bookmarkStart w:id="148" w:name="_Toc16406"/>
      <w:r>
        <w:rPr>
          <w:rFonts w:hint="eastAsia" w:ascii="宋体" w:hAnsi="宋体" w:eastAsia="宋体" w:cs="宋体"/>
          <w:b/>
          <w:bCs/>
          <w:sz w:val="24"/>
          <w:szCs w:val="24"/>
        </w:rPr>
        <w:t>十一、其他</w:t>
      </w:r>
      <w:bookmarkEnd w:id="145"/>
      <w:bookmarkEnd w:id="146"/>
      <w:bookmarkEnd w:id="147"/>
      <w:bookmarkEnd w:id="148"/>
    </w:p>
    <w:p>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keepNext/>
        <w:keepLines/>
        <w:widowControl/>
        <w:snapToGrid w:val="0"/>
        <w:spacing w:line="360" w:lineRule="auto"/>
        <w:ind w:firstLine="0" w:firstLineChars="0"/>
        <w:jc w:val="center"/>
        <w:outlineLvl w:val="0"/>
        <w:rPr>
          <w:rFonts w:ascii="宋体" w:hAnsi="宋体" w:eastAsia="宋体" w:cs="宋体"/>
          <w:sz w:val="24"/>
          <w:szCs w:val="24"/>
        </w:rPr>
      </w:pPr>
      <w:bookmarkStart w:id="149" w:name="_Toc30421"/>
      <w:r>
        <w:rPr>
          <w:rFonts w:hint="eastAsia" w:ascii="宋体" w:hAnsi="宋体" w:eastAsia="宋体" w:cs="宋体"/>
          <w:b/>
          <w:kern w:val="28"/>
          <w:sz w:val="36"/>
          <w:szCs w:val="20"/>
        </w:rPr>
        <w:br w:type="page"/>
      </w:r>
      <w:r>
        <w:rPr>
          <w:rFonts w:hint="eastAsia" w:ascii="宋体" w:hAnsi="宋体" w:eastAsia="宋体" w:cs="宋体"/>
          <w:b/>
          <w:kern w:val="28"/>
          <w:sz w:val="36"/>
          <w:szCs w:val="20"/>
        </w:rPr>
        <w:t>第四部分  采购项目合同书</w:t>
      </w:r>
      <w:bookmarkEnd w:id="149"/>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autoSpaceDE w:val="0"/>
        <w:autoSpaceDN w:val="0"/>
        <w:spacing w:line="360" w:lineRule="auto"/>
        <w:ind w:firstLine="0" w:firstLineChars="0"/>
        <w:jc w:val="center"/>
        <w:rPr>
          <w:rFonts w:hint="eastAsia" w:ascii="宋体" w:hAnsi="宋体" w:eastAsia="宋体" w:cs="宋体"/>
          <w:b/>
          <w:bCs/>
          <w:sz w:val="48"/>
          <w:szCs w:val="48"/>
          <w:lang w:val="zh-CN"/>
        </w:rPr>
      </w:pPr>
      <w:r>
        <w:rPr>
          <w:rFonts w:hint="eastAsia" w:ascii="宋体" w:hAnsi="宋体" w:eastAsia="宋体" w:cs="宋体"/>
          <w:b/>
          <w:bCs/>
          <w:sz w:val="48"/>
          <w:szCs w:val="48"/>
          <w:lang w:val="zh-CN"/>
        </w:rPr>
        <w:t>青海省政府采购项目合同书</w:t>
      </w:r>
    </w:p>
    <w:p>
      <w:pPr>
        <w:pStyle w:val="22"/>
        <w:rPr>
          <w:rFonts w:hint="eastAsia" w:ascii="宋体" w:hAnsi="宋体"/>
          <w:b/>
          <w:bCs/>
          <w:sz w:val="21"/>
          <w:szCs w:val="21"/>
        </w:rPr>
      </w:pPr>
    </w:p>
    <w:p>
      <w:pPr>
        <w:pStyle w:val="17"/>
        <w:jc w:val="center"/>
        <w:rPr>
          <w:rFonts w:hint="default" w:ascii="宋体" w:hAnsi="宋体" w:eastAsiaTheme="minorEastAsia"/>
          <w:b/>
          <w:bCs/>
          <w:sz w:val="21"/>
          <w:szCs w:val="21"/>
          <w:highlight w:val="none"/>
          <w:lang w:val="en-US" w:eastAsia="zh-CN"/>
        </w:rPr>
      </w:pPr>
      <w:r>
        <w:rPr>
          <w:rFonts w:hint="eastAsia" w:ascii="宋体" w:hAnsi="宋体"/>
          <w:b/>
          <w:bCs/>
          <w:sz w:val="21"/>
          <w:szCs w:val="21"/>
          <w:highlight w:val="none"/>
          <w:lang w:val="en-US" w:eastAsia="zh-CN"/>
        </w:rPr>
        <w:t>本合同为中小企业预留合同</w:t>
      </w:r>
    </w:p>
    <w:p>
      <w:pPr>
        <w:rPr>
          <w:rFonts w:hint="eastAsia" w:ascii="宋体" w:hAnsi="宋体"/>
          <w:b/>
          <w:bCs/>
          <w:sz w:val="21"/>
          <w:szCs w:val="21"/>
        </w:rPr>
      </w:pPr>
    </w:p>
    <w:p>
      <w:pPr>
        <w:pStyle w:val="22"/>
      </w:pPr>
    </w:p>
    <w:p>
      <w:pPr>
        <w:spacing w:line="360" w:lineRule="auto"/>
        <w:ind w:firstLine="0" w:firstLineChars="0"/>
        <w:rPr>
          <w:rFonts w:ascii="宋体" w:hAnsi="宋体" w:eastAsia="宋体" w:cs="宋体"/>
          <w:sz w:val="24"/>
          <w:szCs w:val="24"/>
        </w:rPr>
      </w:pPr>
    </w:p>
    <w:p>
      <w:pPr>
        <w:autoSpaceDE w:val="0"/>
        <w:autoSpaceDN w:val="0"/>
        <w:spacing w:line="360" w:lineRule="auto"/>
        <w:ind w:firstLine="0" w:firstLineChars="0"/>
        <w:rPr>
          <w:rFonts w:ascii="宋体" w:hAnsi="宋体" w:eastAsia="宋体" w:cs="宋体"/>
          <w:b/>
          <w:bCs/>
          <w:sz w:val="30"/>
          <w:szCs w:val="30"/>
          <w:lang w:val="zh-CN"/>
        </w:rPr>
      </w:pPr>
      <w:r>
        <w:rPr>
          <w:rFonts w:hint="eastAsia" w:ascii="宋体" w:hAnsi="宋体" w:eastAsia="宋体" w:cs="宋体"/>
          <w:b/>
          <w:bCs/>
          <w:sz w:val="30"/>
          <w:szCs w:val="30"/>
          <w:lang w:val="zh-CN"/>
        </w:rPr>
        <w:t>采购项目编号：</w:t>
      </w:r>
      <w:r>
        <w:rPr>
          <w:rFonts w:hint="eastAsia" w:ascii="宋体" w:hAnsi="宋体" w:eastAsia="宋体" w:cs="宋体"/>
          <w:b/>
          <w:bCs/>
          <w:sz w:val="30"/>
          <w:szCs w:val="30"/>
          <w:u w:val="single"/>
          <w:lang w:val="zh-CN"/>
        </w:rPr>
        <w:t>青海品冠竞磋（货物）2025-010</w:t>
      </w:r>
      <w:r>
        <w:rPr>
          <w:rFonts w:hint="eastAsia" w:ascii="宋体" w:hAnsi="宋体" w:eastAsia="宋体" w:cs="宋体"/>
          <w:b/>
          <w:bCs/>
          <w:sz w:val="30"/>
          <w:szCs w:val="30"/>
          <w:u w:val="single"/>
        </w:rPr>
        <w:t xml:space="preserve">            </w:t>
      </w:r>
    </w:p>
    <w:p>
      <w:pPr>
        <w:autoSpaceDE w:val="0"/>
        <w:autoSpaceDN w:val="0"/>
        <w:spacing w:line="360" w:lineRule="auto"/>
        <w:ind w:left="2108" w:hanging="2108" w:hangingChars="700"/>
        <w:rPr>
          <w:rFonts w:ascii="宋体" w:hAnsi="宋体" w:eastAsia="宋体" w:cs="宋体"/>
          <w:b/>
          <w:bCs/>
          <w:sz w:val="30"/>
          <w:szCs w:val="30"/>
        </w:rPr>
      </w:pPr>
      <w:r>
        <w:rPr>
          <w:rFonts w:hint="eastAsia" w:ascii="宋体" w:hAnsi="宋体" w:eastAsia="宋体" w:cs="宋体"/>
          <w:b/>
          <w:bCs/>
          <w:sz w:val="30"/>
          <w:szCs w:val="30"/>
          <w:lang w:val="zh-CN"/>
        </w:rPr>
        <w:t>采购项目名称：</w:t>
      </w:r>
      <w:r>
        <w:rPr>
          <w:rFonts w:hint="eastAsia" w:ascii="宋体" w:hAnsi="宋体" w:eastAsia="宋体" w:cs="宋体"/>
          <w:b/>
          <w:bCs/>
          <w:sz w:val="30"/>
          <w:szCs w:val="30"/>
          <w:u w:val="single"/>
          <w:lang w:val="zh-CN"/>
        </w:rPr>
        <w:t>海北州第二人民医院病案室密集柜增设项目</w:t>
      </w:r>
      <w:r>
        <w:rPr>
          <w:rFonts w:hint="eastAsia" w:ascii="宋体" w:hAnsi="宋体" w:eastAsia="宋体" w:cs="宋体"/>
          <w:b/>
          <w:bCs/>
          <w:sz w:val="30"/>
          <w:szCs w:val="30"/>
          <w:u w:val="single"/>
        </w:rPr>
        <w:t xml:space="preserve">                  </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采购合同编号：</w:t>
      </w:r>
      <w:r>
        <w:rPr>
          <w:rFonts w:hint="eastAsia" w:ascii="宋体" w:hAnsi="宋体" w:eastAsia="宋体" w:cs="宋体"/>
          <w:b/>
          <w:bCs/>
          <w:sz w:val="30"/>
          <w:szCs w:val="30"/>
          <w:u w:val="single"/>
          <w:lang w:val="zh-CN"/>
        </w:rPr>
        <w:t>QH</w:t>
      </w:r>
      <w:r>
        <w:rPr>
          <w:rFonts w:hint="eastAsia" w:ascii="宋体" w:hAnsi="宋体" w:eastAsia="宋体" w:cs="宋体"/>
          <w:b/>
          <w:bCs/>
          <w:sz w:val="30"/>
          <w:szCs w:val="30"/>
          <w:u w:val="single"/>
        </w:rPr>
        <w:t>PG</w:t>
      </w:r>
      <w:r>
        <w:rPr>
          <w:rFonts w:hint="eastAsia" w:ascii="宋体" w:hAnsi="宋体" w:eastAsia="宋体" w:cs="宋体"/>
          <w:b/>
          <w:bCs/>
          <w:sz w:val="30"/>
          <w:szCs w:val="30"/>
          <w:u w:val="single"/>
          <w:lang w:val="zh-CN"/>
        </w:rPr>
        <w:t>-2025-010</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u w:val="single"/>
        </w:rPr>
        <w:t xml:space="preserve">                    </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合同金额（人民币）：</w:t>
      </w:r>
      <w:r>
        <w:rPr>
          <w:rFonts w:hint="eastAsia" w:ascii="宋体" w:hAnsi="宋体" w:eastAsia="宋体" w:cs="宋体"/>
          <w:b/>
          <w:bCs/>
          <w:sz w:val="30"/>
          <w:szCs w:val="30"/>
          <w:u w:val="single"/>
        </w:rPr>
        <w:t xml:space="preserve">                                  </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购</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人（甲方）：</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zh-CN"/>
        </w:rPr>
        <w:t>（盖章）</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供 应 商（乙方）：</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zh-CN"/>
        </w:rPr>
        <w:t>（盖章）</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采购日期：</w:t>
      </w:r>
      <w:r>
        <w:rPr>
          <w:rFonts w:hint="eastAsia" w:ascii="宋体" w:hAnsi="宋体" w:eastAsia="宋体" w:cs="宋体"/>
          <w:b/>
          <w:bCs/>
          <w:sz w:val="30"/>
          <w:szCs w:val="30"/>
          <w:u w:val="single"/>
        </w:rPr>
        <w:t xml:space="preserve">                                            </w:t>
      </w:r>
    </w:p>
    <w:p>
      <w:pPr>
        <w:spacing w:line="360" w:lineRule="auto"/>
        <w:ind w:firstLine="480"/>
        <w:rPr>
          <w:rFonts w:ascii="宋体" w:hAnsi="宋体" w:eastAsia="宋体" w:cs="宋体"/>
          <w:sz w:val="24"/>
          <w:szCs w:val="24"/>
        </w:rPr>
      </w:pPr>
    </w:p>
    <w:p>
      <w:pPr>
        <w:spacing w:line="360" w:lineRule="auto"/>
        <w:ind w:firstLine="480"/>
        <w:rPr>
          <w:rFonts w:ascii="宋体" w:hAnsi="宋体" w:eastAsia="宋体" w:cs="宋体"/>
          <w:sz w:val="24"/>
          <w:szCs w:val="24"/>
        </w:rPr>
      </w:pPr>
    </w:p>
    <w:p>
      <w:pPr>
        <w:spacing w:line="360" w:lineRule="auto"/>
        <w:ind w:firstLine="480"/>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b/>
          <w:bCs/>
          <w:sz w:val="28"/>
          <w:szCs w:val="28"/>
        </w:rPr>
      </w:pPr>
      <w:r>
        <w:rPr>
          <w:rFonts w:hint="eastAsia" w:ascii="宋体" w:hAnsi="宋体" w:eastAsia="宋体" w:cs="宋体"/>
          <w:sz w:val="28"/>
          <w:szCs w:val="28"/>
        </w:rPr>
        <w:br w:type="page"/>
      </w:r>
      <w:r>
        <w:rPr>
          <w:rFonts w:hint="eastAsia" w:ascii="宋体" w:hAnsi="宋体" w:eastAsia="宋体" w:cs="宋体"/>
          <w:b/>
          <w:bCs/>
          <w:sz w:val="28"/>
          <w:szCs w:val="28"/>
          <w:lang w:val="zh-CN"/>
        </w:rPr>
        <w:t>采</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购</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人（以下简称甲方）：</w:t>
      </w:r>
    </w:p>
    <w:p>
      <w:pPr>
        <w:autoSpaceDE w:val="0"/>
        <w:autoSpaceDN w:val="0"/>
        <w:spacing w:line="360" w:lineRule="auto"/>
        <w:ind w:firstLine="0" w:firstLineChars="0"/>
        <w:rPr>
          <w:rFonts w:ascii="宋体" w:hAnsi="宋体" w:eastAsia="宋体" w:cs="宋体"/>
          <w:sz w:val="28"/>
          <w:szCs w:val="28"/>
        </w:rPr>
      </w:pPr>
      <w:r>
        <w:rPr>
          <w:rFonts w:hint="eastAsia" w:ascii="宋体" w:hAnsi="宋体" w:eastAsia="宋体" w:cs="宋体"/>
          <w:b/>
          <w:bCs/>
          <w:sz w:val="28"/>
          <w:szCs w:val="28"/>
          <w:lang w:val="zh-CN"/>
        </w:rPr>
        <w:t>供</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应</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商（以下简称乙方）：</w:t>
      </w:r>
    </w:p>
    <w:p>
      <w:pPr>
        <w:pStyle w:val="10"/>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甲、乙双方根据</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bCs/>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日海北州第二人民医院病案室密集柜增设项目（青海品冠竞磋（货物）2025-010）的磋商文件要求和</w:t>
      </w:r>
      <w:r>
        <w:rPr>
          <w:rFonts w:hint="eastAsia" w:ascii="宋体" w:hAnsi="宋体" w:eastAsia="宋体" w:cs="宋体"/>
          <w:sz w:val="24"/>
          <w:lang w:val="zh-CN"/>
        </w:rPr>
        <w:t>青海品冠招标代理有限公司</w:t>
      </w:r>
      <w:r>
        <w:rPr>
          <w:rFonts w:hint="eastAsia" w:ascii="宋体" w:hAnsi="宋体" w:eastAsia="宋体" w:cs="宋体"/>
          <w:sz w:val="24"/>
          <w:szCs w:val="24"/>
          <w:lang w:val="zh-CN"/>
        </w:rPr>
        <w:t>出具的《成交通知书》，并经双方协商一致，签订本合同协议书。</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一、签订本政府采购合同的依据</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本政府采购合同所附下列文件是构成本政府采购合同不可分割的部分：</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1.磋商文件；</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2.磋商文件的更正、变更公告；</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3.中标人提交的响应文件；</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4.磋商文件中规定的政府采购合同通用条款；</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5.成交通知书</w:t>
      </w:r>
      <w:r>
        <w:rPr>
          <w:rFonts w:hint="eastAsia" w:ascii="宋体" w:hAnsi="宋体" w:eastAsia="宋体" w:cs="宋体"/>
          <w:sz w:val="24"/>
          <w:szCs w:val="24"/>
        </w:rPr>
        <w:t>；</w:t>
      </w:r>
    </w:p>
    <w:p>
      <w:pPr>
        <w:autoSpaceDE w:val="0"/>
        <w:autoSpaceDN w:val="0"/>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6.履约保证金凭证；</w:t>
      </w:r>
    </w:p>
    <w:p>
      <w:pPr>
        <w:autoSpaceDE w:val="0"/>
        <w:autoSpaceDN w:val="0"/>
        <w:spacing w:line="360" w:lineRule="auto"/>
        <w:ind w:firstLine="480"/>
        <w:rPr>
          <w:rFonts w:hint="default" w:eastAsia="宋体"/>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项目实施方案</w:t>
      </w:r>
      <w:r>
        <w:rPr>
          <w:rFonts w:hint="eastAsia" w:cs="宋体"/>
          <w:sz w:val="24"/>
          <w:szCs w:val="24"/>
          <w:lang w:val="en-US" w:eastAsia="zh-CN"/>
        </w:rPr>
        <w:t>。</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二、合同标的及金额                                       单位：元</w:t>
      </w:r>
    </w:p>
    <w:tbl>
      <w:tblPr>
        <w:tblStyle w:val="23"/>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序号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p>
        </w:tc>
      </w:tr>
    </w:tbl>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根据上述政府采购合同文件要求，本政府采购合同的总金额为人民币</w:t>
      </w:r>
      <w:r>
        <w:rPr>
          <w:rFonts w:hint="eastAsia" w:ascii="宋体" w:hAnsi="宋体" w:eastAsia="宋体" w:cs="宋体"/>
          <w:sz w:val="24"/>
          <w:szCs w:val="24"/>
        </w:rPr>
        <w:t xml:space="preserve">           </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（大写）                 元。</w:t>
      </w:r>
    </w:p>
    <w:p>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lang w:val="zh-CN"/>
        </w:rPr>
        <w:t>本合同以人民币进行结算，合同总价包括产品费、验收费、手续费、包装费、运输费、保险费、安装费、调试费、培训费、售前、售中、售后服务费、招标代理费、税金及不可预见费等全部费用。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三、交货及安装时间、地点和要求</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交货及安装时间：</w:t>
      </w:r>
      <w:r>
        <w:rPr>
          <w:rFonts w:hint="eastAsia" w:ascii="宋体" w:hAnsi="宋体" w:eastAsia="宋体" w:cs="宋体"/>
          <w:sz w:val="24"/>
          <w:szCs w:val="24"/>
        </w:rPr>
        <w:t xml:space="preserve">              </w:t>
      </w:r>
      <w:r>
        <w:rPr>
          <w:rFonts w:hint="eastAsia" w:ascii="宋体" w:hAnsi="宋体" w:eastAsia="宋体" w:cs="宋体"/>
          <w:sz w:val="24"/>
          <w:szCs w:val="24"/>
          <w:lang w:val="zh-CN"/>
        </w:rPr>
        <w:t>；交货地点：</w:t>
      </w:r>
      <w:r>
        <w:rPr>
          <w:rFonts w:hint="eastAsia" w:ascii="宋体" w:hAnsi="宋体" w:eastAsia="宋体" w:cs="宋体"/>
          <w:sz w:val="24"/>
          <w:szCs w:val="24"/>
        </w:rPr>
        <w:t xml:space="preserve">          </w:t>
      </w:r>
      <w:r>
        <w:rPr>
          <w:rFonts w:hint="eastAsia" w:ascii="宋体" w:hAnsi="宋体" w:eastAsia="宋体" w:cs="宋体"/>
          <w:sz w:val="24"/>
          <w:szCs w:val="24"/>
          <w:lang w:val="zh-CN"/>
        </w:rPr>
        <w:t>。</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乙方提供不符合招投标文件和本合同规定的产品，甲方有权拒绝接受。</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甲方应当在到货后</w:t>
      </w:r>
      <w:r>
        <w:rPr>
          <w:rFonts w:hint="eastAsia" w:ascii="宋体" w:hAnsi="宋体" w:eastAsia="宋体" w:cs="宋体"/>
          <w:sz w:val="24"/>
          <w:szCs w:val="24"/>
        </w:rPr>
        <w:t xml:space="preserve">  </w:t>
      </w:r>
      <w:r>
        <w:rPr>
          <w:rFonts w:hint="eastAsia" w:ascii="宋体" w:hAnsi="宋体" w:eastAsia="宋体" w:cs="宋体"/>
          <w:sz w:val="24"/>
          <w:szCs w:val="24"/>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甲方应提供该项目验收报告交同级财政监管部门，由财政部门按规定程序抽验后办理资金拨付。</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甲方在验收过程中发现乙方有违约问题，可按招、投标文件的规定要求乙方及时予以解决。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乙方向甲方提供产品相关完税销售发票。</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四、付款方式</w:t>
      </w:r>
    </w:p>
    <w:p>
      <w:pPr>
        <w:autoSpaceDE w:val="0"/>
        <w:autoSpaceDN w:val="0"/>
        <w:spacing w:line="360" w:lineRule="auto"/>
        <w:ind w:firstLine="480"/>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lang w:val="zh-CN"/>
        </w:rPr>
        <w:t>合同签订前，乙方向甲方交纳合同金额的</w:t>
      </w: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lang w:val="zh-CN"/>
        </w:rPr>
        <w:t>%作为履约保证金，即人民币（大写）   元；项目验收合格后转为质量保证金，待免费质保期   （</w:t>
      </w:r>
      <w:r>
        <w:rPr>
          <w:rFonts w:hint="eastAsia" w:ascii="宋体" w:hAnsi="宋体" w:eastAsia="宋体" w:cs="宋体"/>
          <w:color w:val="auto"/>
          <w:sz w:val="24"/>
          <w:szCs w:val="24"/>
          <w:highlight w:val="none"/>
          <w:u w:val="none"/>
          <w:lang w:val="en-US" w:eastAsia="zh-CN"/>
        </w:rPr>
        <w:t>月</w:t>
      </w:r>
      <w:r>
        <w:rPr>
          <w:rFonts w:hint="eastAsia" w:ascii="宋体" w:hAnsi="宋体" w:eastAsia="宋体" w:cs="宋体"/>
          <w:color w:val="auto"/>
          <w:sz w:val="24"/>
          <w:szCs w:val="24"/>
          <w:highlight w:val="none"/>
          <w:u w:val="none"/>
          <w:lang w:val="zh-CN"/>
        </w:rPr>
        <w:t>）满且产品无质量问题后，由乙方提出书面申请，甲方以转账方式予以无息退还。</w:t>
      </w:r>
    </w:p>
    <w:p>
      <w:pPr>
        <w:autoSpaceDE w:val="0"/>
        <w:autoSpaceDN w:val="0"/>
        <w:spacing w:line="360" w:lineRule="auto"/>
        <w:ind w:firstLine="480"/>
        <w:rPr>
          <w:rFonts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lang w:val="zh-CN"/>
        </w:rPr>
        <w:t>合同签订后，甲方向乙方支付合同款的</w:t>
      </w:r>
      <w:r>
        <w:rPr>
          <w:rFonts w:hint="eastAsia" w:ascii="宋体" w:hAnsi="宋体" w:eastAsia="宋体" w:cs="宋体"/>
          <w:color w:val="auto"/>
          <w:sz w:val="24"/>
          <w:szCs w:val="24"/>
          <w:highlight w:val="none"/>
          <w:u w:val="none"/>
          <w:lang w:val="en-US" w:eastAsia="zh-CN"/>
        </w:rPr>
        <w:t>30</w:t>
      </w:r>
      <w:r>
        <w:rPr>
          <w:rFonts w:hint="eastAsia" w:ascii="宋体" w:hAnsi="宋体" w:eastAsia="宋体" w:cs="宋体"/>
          <w:color w:val="auto"/>
          <w:sz w:val="24"/>
          <w:szCs w:val="24"/>
          <w:highlight w:val="none"/>
          <w:u w:val="none"/>
          <w:lang w:val="zh-CN"/>
        </w:rPr>
        <w:t>%，即人民币大写       元；乙方所交付的</w:t>
      </w:r>
      <w:r>
        <w:rPr>
          <w:rFonts w:hint="eastAsia" w:ascii="宋体" w:hAnsi="宋体" w:eastAsia="宋体" w:cs="宋体"/>
          <w:color w:val="auto"/>
          <w:sz w:val="24"/>
          <w:szCs w:val="24"/>
          <w:highlight w:val="none"/>
          <w:u w:val="none"/>
        </w:rPr>
        <w:t>货物</w:t>
      </w:r>
      <w:r>
        <w:rPr>
          <w:rFonts w:hint="eastAsia" w:ascii="宋体" w:hAnsi="宋体" w:eastAsia="宋体" w:cs="宋体"/>
          <w:color w:val="auto"/>
          <w:sz w:val="24"/>
          <w:szCs w:val="24"/>
          <w:highlight w:val="none"/>
          <w:u w:val="none"/>
          <w:lang w:val="zh-CN"/>
        </w:rPr>
        <w:t>由甲方验收，验收合格后甲方向乙方支付合同款的</w:t>
      </w:r>
      <w:r>
        <w:rPr>
          <w:rFonts w:hint="eastAsia" w:ascii="宋体" w:hAnsi="宋体" w:eastAsia="宋体" w:cs="宋体"/>
          <w:color w:val="auto"/>
          <w:sz w:val="24"/>
          <w:szCs w:val="24"/>
          <w:highlight w:val="none"/>
          <w:u w:val="none"/>
          <w:lang w:val="en-US" w:eastAsia="zh-CN"/>
        </w:rPr>
        <w:t>70%</w:t>
      </w:r>
      <w:r>
        <w:rPr>
          <w:rFonts w:hint="eastAsia" w:ascii="宋体" w:hAnsi="宋体" w:eastAsia="宋体" w:cs="宋体"/>
          <w:color w:val="auto"/>
          <w:sz w:val="24"/>
          <w:szCs w:val="24"/>
          <w:highlight w:val="none"/>
          <w:u w:val="none"/>
          <w:lang w:val="zh-CN"/>
        </w:rPr>
        <w:t>，即人民币大写                  元。</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五、合同的变更、终止与转让</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除《中华人民共和国政府采购法》第</w:t>
      </w:r>
      <w:r>
        <w:rPr>
          <w:rFonts w:hint="eastAsia" w:ascii="宋体" w:hAnsi="宋体" w:eastAsia="宋体" w:cs="宋体"/>
          <w:sz w:val="24"/>
          <w:szCs w:val="24"/>
        </w:rPr>
        <w:t>50</w:t>
      </w:r>
      <w:r>
        <w:rPr>
          <w:rFonts w:hint="eastAsia" w:ascii="宋体" w:hAnsi="宋体" w:eastAsia="宋体" w:cs="宋体"/>
          <w:sz w:val="24"/>
          <w:szCs w:val="24"/>
          <w:lang w:val="zh-CN"/>
        </w:rPr>
        <w:t>条规定的情形外，本合同一经签订，甲乙双方不得擅自变更、中止或终止。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乙方不得擅自转让其应履行的合同义务。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六、违约责任</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乙方提供的货物如侵犯了第三方权益而引发纠纷或诉讼的，均由乙方负责交涉并承担全部责任。</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因包装、运输引起的货物损坏，按质量不合格处罚。</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甲方无故延期接受货物和乙方逾期交货的，每天应向对方偿付未交货物的货款</w:t>
      </w:r>
      <w:r>
        <w:rPr>
          <w:rFonts w:hint="eastAsia" w:ascii="宋体" w:hAnsi="宋体" w:eastAsia="宋体" w:cs="宋体"/>
          <w:sz w:val="24"/>
          <w:szCs w:val="24"/>
        </w:rPr>
        <w:t>3</w:t>
      </w:r>
      <w:r>
        <w:rPr>
          <w:rFonts w:hint="eastAsia" w:ascii="宋体" w:hAnsi="宋体" w:eastAsia="宋体" w:cs="宋体"/>
          <w:sz w:val="24"/>
          <w:szCs w:val="24"/>
          <w:lang w:val="zh-CN"/>
        </w:rPr>
        <w:t>‰的违约金，但违约金累计不得超过违约货款的</w:t>
      </w:r>
      <w:r>
        <w:rPr>
          <w:rFonts w:hint="eastAsia" w:ascii="宋体" w:hAnsi="宋体" w:eastAsia="宋体" w:cs="宋体"/>
          <w:sz w:val="24"/>
          <w:szCs w:val="24"/>
        </w:rPr>
        <w:t>5%</w:t>
      </w:r>
      <w:r>
        <w:rPr>
          <w:rFonts w:hint="eastAsia" w:ascii="宋体" w:hAnsi="宋体" w:eastAsia="宋体" w:cs="宋体"/>
          <w:sz w:val="24"/>
          <w:szCs w:val="24"/>
          <w:lang w:val="zh-CN"/>
        </w:rPr>
        <w:t>，超过</w:t>
      </w:r>
      <w:r>
        <w:rPr>
          <w:rFonts w:hint="eastAsia" w:ascii="宋体" w:hAnsi="宋体" w:eastAsia="宋体" w:cs="宋体"/>
          <w:sz w:val="24"/>
          <w:szCs w:val="24"/>
        </w:rPr>
        <w:t xml:space="preserve">    </w:t>
      </w:r>
      <w:r>
        <w:rPr>
          <w:rFonts w:hint="eastAsia" w:ascii="宋体" w:hAnsi="宋体" w:eastAsia="宋体" w:cs="宋体"/>
          <w:sz w:val="24"/>
          <w:szCs w:val="24"/>
          <w:lang w:val="zh-CN"/>
        </w:rPr>
        <w:t>天对方有权解除合同，违约方承担因此给对方造成的经济损失。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乙方未按本合同和投标文件中规定的服务承诺提供售后服务的，乙方应按本合同合计金额的</w:t>
      </w:r>
      <w:r>
        <w:rPr>
          <w:rFonts w:hint="eastAsia" w:ascii="宋体" w:hAnsi="宋体" w:eastAsia="宋体" w:cs="宋体"/>
          <w:sz w:val="24"/>
          <w:szCs w:val="24"/>
        </w:rPr>
        <w:t>5%</w:t>
      </w:r>
      <w:r>
        <w:rPr>
          <w:rFonts w:hint="eastAsia" w:ascii="宋体" w:hAnsi="宋体" w:eastAsia="宋体" w:cs="宋体"/>
          <w:sz w:val="24"/>
          <w:szCs w:val="24"/>
          <w:lang w:val="zh-CN"/>
        </w:rPr>
        <w:t>向甲方支付违约金。</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其它违约行为按违约货款额</w:t>
      </w:r>
      <w:r>
        <w:rPr>
          <w:rFonts w:hint="eastAsia" w:ascii="宋体" w:hAnsi="宋体" w:eastAsia="宋体" w:cs="宋体"/>
          <w:sz w:val="24"/>
          <w:szCs w:val="24"/>
        </w:rPr>
        <w:t>5%</w:t>
      </w:r>
      <w:r>
        <w:rPr>
          <w:rFonts w:hint="eastAsia" w:ascii="宋体" w:hAnsi="宋体" w:eastAsia="宋体" w:cs="宋体"/>
          <w:sz w:val="24"/>
          <w:szCs w:val="24"/>
          <w:lang w:val="zh-CN"/>
        </w:rPr>
        <w:t>收取违约金并赔偿经济损失。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七、不可抗力</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不可抗力使合同的某些内容有变更必要的，双方应通过协商在</w:t>
      </w:r>
      <w:r>
        <w:rPr>
          <w:rFonts w:hint="eastAsia" w:ascii="宋体" w:hAnsi="宋体" w:eastAsia="宋体" w:cs="宋体"/>
          <w:sz w:val="24"/>
          <w:szCs w:val="24"/>
        </w:rPr>
        <w:t xml:space="preserve">   </w:t>
      </w:r>
      <w:r>
        <w:rPr>
          <w:rFonts w:hint="eastAsia" w:ascii="宋体" w:hAnsi="宋体" w:eastAsia="宋体" w:cs="宋体"/>
          <w:sz w:val="24"/>
          <w:szCs w:val="24"/>
          <w:lang w:val="zh-CN"/>
        </w:rPr>
        <w:t>天内达成进一步履行合同的协议，因不可抗力致使合同不能履行的，合同终止。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八、知识产权：详见合同通用条款</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九、其他约定：</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十、合同争议解决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诉讼期间，本合同继续履行。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十一、合同生效及其它</w:t>
      </w:r>
      <w:r>
        <w:rPr>
          <w:rFonts w:hint="eastAsia" w:ascii="宋体" w:hAnsi="宋体" w:eastAsia="宋体" w:cs="宋体"/>
          <w:sz w:val="24"/>
          <w:szCs w:val="24"/>
        </w:rPr>
        <w:t>：</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本合同一式</w:t>
      </w:r>
      <w:r>
        <w:rPr>
          <w:rFonts w:hint="eastAsia" w:ascii="宋体" w:hAnsi="宋体" w:eastAsia="宋体" w:cs="宋体"/>
          <w:sz w:val="24"/>
          <w:szCs w:val="24"/>
        </w:rPr>
        <w:t xml:space="preserve">   </w:t>
      </w:r>
      <w:r>
        <w:rPr>
          <w:rFonts w:hint="eastAsia" w:ascii="宋体" w:hAnsi="宋体" w:eastAsia="宋体" w:cs="宋体"/>
          <w:sz w:val="24"/>
          <w:szCs w:val="24"/>
          <w:lang w:val="zh-CN"/>
        </w:rPr>
        <w:t>份，经双方签字，并加盖公章即为生效。</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本合同未尽事宜，按民</w:t>
      </w:r>
      <w:r>
        <w:rPr>
          <w:rFonts w:hint="eastAsia" w:ascii="宋体" w:hAnsi="宋体" w:eastAsia="宋体" w:cs="宋体"/>
          <w:sz w:val="24"/>
          <w:szCs w:val="24"/>
          <w:lang w:val="en-US" w:eastAsia="zh-CN"/>
        </w:rPr>
        <w:t>法典</w:t>
      </w:r>
      <w:r>
        <w:rPr>
          <w:rFonts w:hint="eastAsia" w:ascii="宋体" w:hAnsi="宋体" w:eastAsia="宋体" w:cs="宋体"/>
          <w:sz w:val="24"/>
          <w:szCs w:val="24"/>
          <w:lang w:val="zh-CN"/>
        </w:rPr>
        <w:t>有关规定处理。</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本合同的组成包含《合同通用条款》。</w:t>
      </w:r>
    </w:p>
    <w:p>
      <w:pPr>
        <w:ind w:firstLine="480"/>
        <w:rPr>
          <w:rFonts w:ascii="宋体" w:hAnsi="宋体" w:eastAsia="宋体" w:cs="宋体"/>
          <w:sz w:val="24"/>
          <w:szCs w:val="24"/>
          <w:lang w:val="zh-CN"/>
        </w:rPr>
      </w:pPr>
      <w:r>
        <w:rPr>
          <w:rFonts w:hint="eastAsia" w:ascii="宋体" w:hAnsi="宋体" w:eastAsia="宋体" w:cs="宋体"/>
          <w:sz w:val="24"/>
          <w:szCs w:val="24"/>
          <w:lang w:val="zh-CN"/>
        </w:rPr>
        <w:br w:type="page"/>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甲方（盖章）：</w:t>
      </w:r>
      <w:r>
        <w:rPr>
          <w:rFonts w:hint="eastAsia" w:ascii="宋体" w:hAnsi="宋体" w:eastAsia="宋体" w:cs="宋体"/>
          <w:sz w:val="24"/>
          <w:szCs w:val="24"/>
        </w:rPr>
        <w:t xml:space="preserve">                         </w:t>
      </w:r>
      <w:r>
        <w:rPr>
          <w:rFonts w:hint="eastAsia" w:ascii="宋体" w:hAnsi="宋体" w:eastAsia="宋体" w:cs="宋体"/>
          <w:sz w:val="24"/>
          <w:szCs w:val="24"/>
          <w:lang w:val="zh-CN"/>
        </w:rPr>
        <w:t>乙方（盖章）：</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 xml:space="preserve">：               </w:t>
      </w: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zh-CN"/>
        </w:rPr>
        <w:t>开户银行：</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 xml:space="preserve">                                       </w:t>
      </w:r>
      <w:r>
        <w:rPr>
          <w:rFonts w:hint="eastAsia" w:ascii="宋体" w:hAnsi="宋体" w:eastAsia="宋体" w:cs="宋体"/>
          <w:sz w:val="24"/>
          <w:szCs w:val="24"/>
          <w:lang w:val="zh-CN"/>
        </w:rPr>
        <w:t>账号：</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地址：</w:t>
      </w:r>
      <w:r>
        <w:rPr>
          <w:rFonts w:hint="eastAsia" w:ascii="宋体" w:hAnsi="宋体" w:eastAsia="宋体" w:cs="宋体"/>
          <w:sz w:val="24"/>
          <w:szCs w:val="24"/>
        </w:rPr>
        <w:t xml:space="preserve">                                 </w:t>
      </w:r>
      <w:r>
        <w:rPr>
          <w:rFonts w:hint="eastAsia" w:ascii="宋体" w:hAnsi="宋体" w:eastAsia="宋体" w:cs="宋体"/>
          <w:sz w:val="24"/>
          <w:szCs w:val="24"/>
          <w:lang w:val="zh-CN"/>
        </w:rPr>
        <w:t>地址：</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联系电话：</w:t>
      </w:r>
      <w:r>
        <w:rPr>
          <w:rFonts w:hint="eastAsia" w:ascii="宋体" w:hAnsi="宋体" w:eastAsia="宋体" w:cs="宋体"/>
          <w:sz w:val="24"/>
          <w:szCs w:val="24"/>
        </w:rPr>
        <w:t xml:space="preserve">                             </w:t>
      </w:r>
      <w:r>
        <w:rPr>
          <w:rFonts w:hint="eastAsia" w:ascii="宋体" w:hAnsi="宋体" w:eastAsia="宋体" w:cs="宋体"/>
          <w:sz w:val="24"/>
          <w:szCs w:val="24"/>
          <w:lang w:val="zh-CN"/>
        </w:rPr>
        <w:t>联系电话：</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签约时间：</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p>
    <w:p>
      <w:pPr>
        <w:autoSpaceDE w:val="0"/>
        <w:autoSpaceDN w:val="0"/>
        <w:spacing w:line="360" w:lineRule="auto"/>
        <w:ind w:firstLine="0" w:firstLineChars="0"/>
        <w:rPr>
          <w:rFonts w:ascii="宋体" w:hAnsi="宋体" w:eastAsia="宋体" w:cs="宋体"/>
          <w:sz w:val="24"/>
          <w:szCs w:val="24"/>
          <w:lang w:val="zh-CN"/>
        </w:rPr>
      </w:pP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采购代理机构：</w:t>
      </w:r>
      <w:r>
        <w:rPr>
          <w:rFonts w:hint="eastAsia" w:ascii="宋体" w:hAnsi="宋体" w:eastAsia="宋体" w:cs="宋体"/>
          <w:sz w:val="24"/>
          <w:szCs w:val="24"/>
        </w:rPr>
        <w:t>青海品冠招标代理有限公司</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负责人或经办人：</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时间：</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p>
    <w:p>
      <w:pPr>
        <w:autoSpaceDE w:val="0"/>
        <w:autoSpaceDN w:val="0"/>
        <w:spacing w:line="360" w:lineRule="auto"/>
        <w:ind w:firstLine="0" w:firstLineChars="0"/>
        <w:rPr>
          <w:rFonts w:ascii="宋体" w:hAnsi="宋体" w:eastAsia="宋体" w:cs="宋体"/>
          <w:sz w:val="24"/>
          <w:szCs w:val="24"/>
        </w:rPr>
      </w:pPr>
    </w:p>
    <w:p>
      <w:pPr>
        <w:wordWrap w:val="0"/>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br w:type="page"/>
      </w:r>
    </w:p>
    <w:p>
      <w:pPr>
        <w:keepNext/>
        <w:pageBreakBefore/>
        <w:autoSpaceDE w:val="0"/>
        <w:autoSpaceDN w:val="0"/>
        <w:adjustRightInd w:val="0"/>
        <w:spacing w:line="360" w:lineRule="auto"/>
        <w:ind w:firstLine="0" w:firstLineChars="0"/>
        <w:jc w:val="center"/>
        <w:rPr>
          <w:rFonts w:ascii="宋体" w:hAnsi="宋体" w:eastAsia="宋体" w:cs="宋体"/>
          <w:b/>
          <w:bCs/>
          <w:sz w:val="28"/>
          <w:szCs w:val="28"/>
        </w:rPr>
      </w:pPr>
      <w:r>
        <w:rPr>
          <w:rFonts w:hint="eastAsia" w:ascii="宋体" w:hAnsi="宋体" w:eastAsia="宋体" w:cs="宋体"/>
          <w:b/>
          <w:bCs/>
          <w:sz w:val="28"/>
          <w:szCs w:val="28"/>
          <w:lang w:val="zh-CN"/>
        </w:rPr>
        <w:t>合同通用条款</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zh-CN"/>
        </w:rPr>
        <w:t>定义</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本合同中的下列术语应解释为：</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 </w:t>
      </w:r>
      <w:r>
        <w:rPr>
          <w:rFonts w:hint="eastAsia" w:ascii="宋体" w:hAnsi="宋体" w:eastAsia="宋体" w:cs="宋体"/>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1.2 </w:t>
      </w:r>
      <w:r>
        <w:rPr>
          <w:rFonts w:hint="eastAsia" w:ascii="宋体" w:hAnsi="宋体" w:eastAsia="宋体" w:cs="宋体"/>
          <w:sz w:val="24"/>
          <w:szCs w:val="24"/>
          <w:lang w:val="zh-CN"/>
        </w:rPr>
        <w:t>“合同金额”指根据合同规定，乙方在正确地完全履行合同义务后甲方应付给乙方的价款。</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 </w:t>
      </w:r>
      <w:r>
        <w:rPr>
          <w:rFonts w:hint="eastAsia" w:ascii="宋体" w:hAnsi="宋体" w:eastAsia="宋体" w:cs="宋体"/>
          <w:sz w:val="24"/>
          <w:szCs w:val="24"/>
          <w:lang w:val="zh-CN"/>
        </w:rPr>
        <w:t>“合同条款”指本合同条款。</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eastAsia="宋体" w:cs="宋体"/>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 </w:t>
      </w:r>
      <w:r>
        <w:rPr>
          <w:rFonts w:hint="eastAsia" w:ascii="宋体" w:hAnsi="宋体" w:eastAsia="宋体" w:cs="宋体"/>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1.6 </w:t>
      </w:r>
      <w:r>
        <w:rPr>
          <w:rFonts w:hint="eastAsia" w:ascii="宋体" w:hAnsi="宋体" w:eastAsia="宋体" w:cs="宋体"/>
          <w:sz w:val="24"/>
          <w:szCs w:val="24"/>
          <w:lang w:val="zh-CN"/>
        </w:rPr>
        <w:t>“甲方”指购买货物和服务的单位。</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1.7 </w:t>
      </w:r>
      <w:r>
        <w:rPr>
          <w:rFonts w:hint="eastAsia" w:ascii="宋体" w:hAnsi="宋体" w:eastAsia="宋体" w:cs="宋体"/>
          <w:sz w:val="24"/>
          <w:szCs w:val="24"/>
          <w:lang w:val="zh-CN"/>
        </w:rPr>
        <w:t>“乙方”指提供本合同条款下货物和服务的公司或其他实体。</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1.8 </w:t>
      </w:r>
      <w:r>
        <w:rPr>
          <w:rFonts w:hint="eastAsia" w:ascii="宋体" w:hAnsi="宋体" w:eastAsia="宋体" w:cs="宋体"/>
          <w:sz w:val="24"/>
          <w:szCs w:val="24"/>
          <w:lang w:val="zh-CN"/>
        </w:rPr>
        <w:t>“现场”指合同规定货物将要运至和安装的地点。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1.9 </w:t>
      </w:r>
      <w:r>
        <w:rPr>
          <w:rFonts w:hint="eastAsia" w:ascii="宋体" w:hAnsi="宋体" w:eastAsia="宋体" w:cs="宋体"/>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1.10</w:t>
      </w:r>
      <w:r>
        <w:rPr>
          <w:rFonts w:hint="eastAsia" w:ascii="宋体" w:hAnsi="宋体" w:eastAsia="宋体" w:cs="宋体"/>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 </w:t>
      </w:r>
      <w:r>
        <w:rPr>
          <w:rFonts w:hint="eastAsia" w:ascii="宋体" w:hAnsi="宋体" w:eastAsia="宋体" w:cs="宋体"/>
          <w:sz w:val="24"/>
          <w:szCs w:val="24"/>
          <w:lang w:val="zh-CN"/>
        </w:rPr>
        <w:t>原产地：指产品的生产地，或提供服务的来源地。</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“工作日”指国家法定工作日，“天”指日历天数。</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zh-CN"/>
        </w:rPr>
        <w:t>技术规格要求</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2.1 </w:t>
      </w:r>
      <w:r>
        <w:rPr>
          <w:rFonts w:hint="eastAsia" w:ascii="宋体" w:hAnsi="宋体" w:eastAsia="宋体" w:cs="宋体"/>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2.2 </w:t>
      </w:r>
      <w:r>
        <w:rPr>
          <w:rFonts w:hint="eastAsia" w:ascii="宋体" w:hAnsi="宋体" w:eastAsia="宋体" w:cs="宋体"/>
          <w:sz w:val="24"/>
          <w:szCs w:val="24"/>
          <w:lang w:val="zh-CN"/>
        </w:rPr>
        <w:t>乙方应向甲方提供货物及服务有关的标准的中文文本。</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2.3 </w:t>
      </w:r>
      <w:r>
        <w:rPr>
          <w:rFonts w:hint="eastAsia" w:ascii="宋体" w:hAnsi="宋体" w:eastAsia="宋体" w:cs="宋体"/>
          <w:sz w:val="24"/>
          <w:szCs w:val="24"/>
          <w:lang w:val="zh-CN"/>
        </w:rPr>
        <w:t>除非技术规范中另有规定，计量单位均采用中华人民共和国法定计量单位。</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zh-CN"/>
        </w:rPr>
        <w:t>合同范围</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3.1 </w:t>
      </w:r>
      <w:r>
        <w:rPr>
          <w:rFonts w:hint="eastAsia" w:ascii="宋体" w:hAnsi="宋体" w:eastAsia="宋体" w:cs="宋体"/>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3.2 </w:t>
      </w:r>
      <w:r>
        <w:rPr>
          <w:rFonts w:hint="eastAsia" w:ascii="宋体" w:hAnsi="宋体" w:eastAsia="宋体" w:cs="宋体"/>
          <w:sz w:val="24"/>
          <w:szCs w:val="24"/>
          <w:lang w:val="zh-CN"/>
        </w:rPr>
        <w:t>乙方应负责培训甲方的技术人员。</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3.3 </w:t>
      </w:r>
      <w:r>
        <w:rPr>
          <w:rFonts w:hint="eastAsia" w:ascii="宋体" w:hAnsi="宋体" w:eastAsia="宋体" w:cs="宋体"/>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zh-CN"/>
        </w:rPr>
        <w:t>合同文件和资料</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lang w:val="zh-CN"/>
        </w:rPr>
        <w:t>知识产权</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zh-CN"/>
        </w:rPr>
        <w:t>乙方应保证甲方在使用该货物或其任何一部分时不受第三方提出的侵犯专利权、</w:t>
      </w:r>
      <w:r>
        <w:rPr>
          <w:rFonts w:hint="eastAsia" w:ascii="宋体" w:hAnsi="宋体" w:eastAsia="宋体" w:cs="宋体"/>
          <w:sz w:val="24"/>
          <w:szCs w:val="24"/>
        </w:rPr>
        <w:t xml:space="preserve"> </w:t>
      </w:r>
      <w:r>
        <w:rPr>
          <w:rFonts w:hint="eastAsia" w:ascii="宋体" w:hAnsi="宋体" w:eastAsia="宋体" w:cs="宋体"/>
          <w:sz w:val="24"/>
          <w:szCs w:val="24"/>
          <w:lang w:val="zh-CN"/>
        </w:rPr>
        <w:t>著作权、商标权和工业设计权等的起诉。</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5.4</w:t>
      </w:r>
      <w:r>
        <w:rPr>
          <w:rFonts w:hint="eastAsia" w:ascii="宋体" w:hAnsi="宋体" w:eastAsia="宋体" w:cs="宋体"/>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5.5</w:t>
      </w:r>
      <w:r>
        <w:rPr>
          <w:rFonts w:hint="eastAsia" w:ascii="宋体" w:hAnsi="宋体" w:eastAsia="宋体" w:cs="宋体"/>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6.</w:t>
      </w:r>
      <w:r>
        <w:rPr>
          <w:rFonts w:hint="eastAsia" w:ascii="宋体" w:hAnsi="宋体" w:eastAsia="宋体" w:cs="宋体"/>
          <w:b/>
          <w:bCs/>
          <w:sz w:val="24"/>
          <w:szCs w:val="24"/>
          <w:lang w:val="zh-CN"/>
        </w:rPr>
        <w:t>保密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w:t>
      </w:r>
      <w:r>
        <w:rPr>
          <w:rFonts w:hint="eastAsia" w:ascii="宋体" w:hAnsi="宋体" w:eastAsia="宋体" w:cs="宋体"/>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6.2.1</w:t>
      </w:r>
      <w:r>
        <w:rPr>
          <w:rFonts w:hint="eastAsia" w:ascii="宋体" w:hAnsi="宋体" w:eastAsia="宋体" w:cs="宋体"/>
          <w:sz w:val="24"/>
          <w:szCs w:val="24"/>
          <w:lang w:val="zh-CN"/>
        </w:rPr>
        <w:t>任何涉及对方过去、现在或将来的商业计划、规章制度、操作规程、处理手段、财务信息；</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6.2.2</w:t>
      </w:r>
      <w:r>
        <w:rPr>
          <w:rFonts w:hint="eastAsia" w:ascii="宋体" w:hAnsi="宋体" w:eastAsia="宋体" w:cs="宋体"/>
          <w:sz w:val="24"/>
          <w:szCs w:val="24"/>
          <w:lang w:val="zh-CN"/>
        </w:rPr>
        <w:t>任何对方的技术措施、技术方案、软件应用及开发，硬件设备的品种、质量、数量、品牌等；</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6.2.3</w:t>
      </w:r>
      <w:r>
        <w:rPr>
          <w:rFonts w:hint="eastAsia" w:ascii="宋体" w:hAnsi="宋体" w:eastAsia="宋体" w:cs="宋体"/>
          <w:sz w:val="24"/>
          <w:szCs w:val="24"/>
          <w:lang w:val="zh-CN"/>
        </w:rPr>
        <w:t>任何对方的技术秘密或专有知识、文件</w:t>
      </w:r>
      <w:r>
        <w:rPr>
          <w:rFonts w:hint="eastAsia" w:ascii="宋体" w:hAnsi="宋体" w:eastAsia="宋体" w:cs="宋体"/>
          <w:sz w:val="24"/>
          <w:szCs w:val="24"/>
        </w:rPr>
        <w:t xml:space="preserve"> </w:t>
      </w:r>
      <w:r>
        <w:rPr>
          <w:rFonts w:hint="eastAsia" w:ascii="宋体" w:hAnsi="宋体" w:eastAsia="宋体" w:cs="宋体"/>
          <w:sz w:val="24"/>
          <w:szCs w:val="24"/>
          <w:lang w:val="zh-CN"/>
        </w:rPr>
        <w:t>、报告、数据、客户软件、流程图、数据库、发明、知识、贸易秘密。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6.3</w:t>
      </w:r>
      <w:r>
        <w:rPr>
          <w:rFonts w:hint="eastAsia" w:ascii="宋体" w:hAnsi="宋体" w:eastAsia="宋体" w:cs="宋体"/>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7. </w:t>
      </w:r>
      <w:r>
        <w:rPr>
          <w:rFonts w:hint="eastAsia" w:ascii="宋体" w:hAnsi="宋体" w:eastAsia="宋体" w:cs="宋体"/>
          <w:b/>
          <w:bCs/>
          <w:sz w:val="24"/>
          <w:szCs w:val="24"/>
          <w:lang w:val="zh-CN"/>
        </w:rPr>
        <w:t>质量保证</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w:t>
      </w:r>
      <w:r>
        <w:rPr>
          <w:rFonts w:hint="eastAsia" w:ascii="宋体" w:hAnsi="宋体" w:eastAsia="宋体" w:cs="宋体"/>
          <w:sz w:val="24"/>
          <w:szCs w:val="24"/>
          <w:lang w:val="zh-CN"/>
        </w:rPr>
        <w:t>货物质量保证</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7.1.1</w:t>
      </w:r>
      <w:r>
        <w:rPr>
          <w:rFonts w:hint="eastAsia" w:ascii="宋体" w:hAnsi="宋体" w:eastAsia="宋体" w:cs="宋体"/>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7.1.2</w:t>
      </w:r>
      <w:r>
        <w:rPr>
          <w:rFonts w:hint="eastAsia" w:ascii="宋体" w:hAnsi="宋体" w:eastAsia="宋体" w:cs="宋体"/>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7.1.3</w:t>
      </w:r>
      <w:r>
        <w:rPr>
          <w:rFonts w:hint="eastAsia" w:ascii="宋体" w:hAnsi="宋体" w:eastAsia="宋体" w:cs="宋体"/>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7.1.4</w:t>
      </w:r>
      <w:r>
        <w:rPr>
          <w:rFonts w:hint="eastAsia" w:ascii="宋体" w:hAnsi="宋体" w:eastAsia="宋体" w:cs="宋体"/>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7.1.5 </w:t>
      </w:r>
      <w:r>
        <w:rPr>
          <w:rFonts w:hint="eastAsia" w:ascii="宋体" w:hAnsi="宋体" w:eastAsia="宋体" w:cs="宋体"/>
          <w:sz w:val="24"/>
          <w:szCs w:val="24"/>
          <w:lang w:val="zh-CN"/>
        </w:rPr>
        <w:t>合同条款下货物的质量保证期自货物通过最终验收起算，合同另行规定除外。</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w:t>
      </w:r>
      <w:r>
        <w:rPr>
          <w:rFonts w:hint="eastAsia" w:ascii="宋体" w:hAnsi="宋体" w:eastAsia="宋体" w:cs="宋体"/>
          <w:sz w:val="24"/>
          <w:szCs w:val="24"/>
          <w:lang w:val="zh-CN"/>
        </w:rPr>
        <w:t>辅助服务质量保证</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7.2.1</w:t>
      </w:r>
      <w:r>
        <w:rPr>
          <w:rFonts w:hint="eastAsia" w:ascii="宋体" w:hAnsi="宋体" w:eastAsia="宋体" w:cs="宋体"/>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7.2.2</w:t>
      </w:r>
      <w:r>
        <w:rPr>
          <w:rFonts w:hint="eastAsia" w:ascii="宋体" w:hAnsi="宋体" w:eastAsia="宋体" w:cs="宋体"/>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8.</w:t>
      </w:r>
      <w:r>
        <w:rPr>
          <w:rFonts w:hint="eastAsia" w:ascii="宋体" w:hAnsi="宋体" w:eastAsia="宋体" w:cs="宋体"/>
          <w:b/>
          <w:bCs/>
          <w:sz w:val="24"/>
          <w:szCs w:val="24"/>
          <w:lang w:val="zh-CN"/>
        </w:rPr>
        <w:t>包装要求</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8.1 </w:t>
      </w:r>
      <w:r>
        <w:rPr>
          <w:rFonts w:hint="eastAsia" w:ascii="宋体" w:hAnsi="宋体" w:eastAsia="宋体" w:cs="宋体"/>
          <w:sz w:val="24"/>
          <w:szCs w:val="24"/>
          <w:lang w:val="zh-CN"/>
        </w:rPr>
        <w:t>除合同另有约定外</w:t>
      </w:r>
      <w:r>
        <w:rPr>
          <w:rFonts w:hint="eastAsia" w:ascii="宋体" w:hAnsi="宋体" w:eastAsia="宋体" w:cs="宋体"/>
          <w:sz w:val="24"/>
          <w:szCs w:val="24"/>
        </w:rPr>
        <w:t>,</w:t>
      </w:r>
      <w:r>
        <w:rPr>
          <w:rFonts w:hint="eastAsia" w:ascii="宋体" w:hAnsi="宋体" w:eastAsia="宋体" w:cs="宋体"/>
          <w:sz w:val="24"/>
          <w:szCs w:val="24"/>
          <w:lang w:val="zh-CN"/>
        </w:rPr>
        <w:t>乙方提供的全部货物</w:t>
      </w:r>
      <w:r>
        <w:rPr>
          <w:rFonts w:hint="eastAsia" w:ascii="宋体" w:hAnsi="宋体" w:eastAsia="宋体" w:cs="宋体"/>
          <w:sz w:val="24"/>
          <w:szCs w:val="24"/>
        </w:rPr>
        <w:t>,</w:t>
      </w:r>
      <w:r>
        <w:rPr>
          <w:rFonts w:hint="eastAsia" w:ascii="宋体" w:hAnsi="宋体" w:eastAsia="宋体" w:cs="宋体"/>
          <w:sz w:val="24"/>
          <w:szCs w:val="24"/>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8.2 </w:t>
      </w:r>
      <w:r>
        <w:rPr>
          <w:rFonts w:hint="eastAsia" w:ascii="宋体" w:hAnsi="宋体" w:eastAsia="宋体" w:cs="宋体"/>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8.3 </w:t>
      </w:r>
      <w:r>
        <w:rPr>
          <w:rFonts w:hint="eastAsia" w:ascii="宋体" w:hAnsi="宋体" w:eastAsia="宋体" w:cs="宋体"/>
          <w:sz w:val="24"/>
          <w:szCs w:val="24"/>
          <w:lang w:val="zh-CN"/>
        </w:rPr>
        <w:t>乙方所提供的货物包装均为出厂时原包装。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8.4 </w:t>
      </w:r>
      <w:r>
        <w:rPr>
          <w:rFonts w:hint="eastAsia" w:ascii="宋体" w:hAnsi="宋体" w:eastAsia="宋体" w:cs="宋体"/>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8.5 </w:t>
      </w:r>
      <w:r>
        <w:rPr>
          <w:rFonts w:hint="eastAsia" w:ascii="宋体" w:hAnsi="宋体" w:eastAsia="宋体" w:cs="宋体"/>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9. </w:t>
      </w:r>
      <w:r>
        <w:rPr>
          <w:rFonts w:hint="eastAsia" w:ascii="宋体" w:hAnsi="宋体" w:eastAsia="宋体" w:cs="宋体"/>
          <w:b/>
          <w:bCs/>
          <w:sz w:val="24"/>
          <w:szCs w:val="24"/>
          <w:lang w:val="zh-CN"/>
        </w:rPr>
        <w:t>价格</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9.1 </w:t>
      </w:r>
      <w:r>
        <w:rPr>
          <w:rFonts w:hint="eastAsia" w:ascii="宋体" w:hAnsi="宋体" w:eastAsia="宋体" w:cs="宋体"/>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9.2 </w:t>
      </w:r>
      <w:r>
        <w:rPr>
          <w:rFonts w:hint="eastAsia" w:ascii="宋体" w:hAnsi="宋体" w:eastAsia="宋体" w:cs="宋体"/>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w:t>
      </w:r>
      <w:r>
        <w:rPr>
          <w:rFonts w:hint="eastAsia" w:ascii="宋体" w:hAnsi="宋体" w:eastAsia="宋体" w:cs="宋体"/>
          <w:sz w:val="24"/>
          <w:szCs w:val="24"/>
          <w:lang w:val="zh-CN"/>
        </w:rPr>
        <w:t>检验费用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9.3.1 </w:t>
      </w:r>
      <w:r>
        <w:rPr>
          <w:rFonts w:hint="eastAsia" w:ascii="宋体" w:hAnsi="宋体" w:eastAsia="宋体" w:cs="宋体"/>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9.3.2 </w:t>
      </w:r>
      <w:r>
        <w:rPr>
          <w:rFonts w:hint="eastAsia" w:ascii="宋体" w:hAnsi="宋体" w:eastAsia="宋体" w:cs="宋体"/>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9.3.3</w:t>
      </w:r>
      <w:r>
        <w:rPr>
          <w:rFonts w:hint="eastAsia" w:ascii="宋体" w:hAnsi="宋体" w:eastAsia="宋体" w:cs="宋体"/>
          <w:sz w:val="24"/>
          <w:szCs w:val="24"/>
          <w:lang w:val="zh-CN"/>
        </w:rPr>
        <w:t>甲方检验人员已到卖方所在地，测试无法依照合同进行，</w:t>
      </w:r>
      <w:r>
        <w:rPr>
          <w:rFonts w:hint="eastAsia" w:ascii="宋体" w:hAnsi="宋体" w:eastAsia="宋体" w:cs="宋体"/>
          <w:sz w:val="24"/>
          <w:szCs w:val="24"/>
        </w:rPr>
        <w:t xml:space="preserve"> </w:t>
      </w:r>
      <w:r>
        <w:rPr>
          <w:rFonts w:hint="eastAsia" w:ascii="宋体" w:hAnsi="宋体" w:eastAsia="宋体" w:cs="宋体"/>
          <w:sz w:val="24"/>
          <w:szCs w:val="24"/>
          <w:lang w:val="zh-CN"/>
        </w:rPr>
        <w:t>而引起甲方人员延长逗留时间，所有由此产生的包括甲方人员在内的直接费用及成本由乙方承担。</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10.</w:t>
      </w:r>
      <w:r>
        <w:rPr>
          <w:rFonts w:hint="eastAsia" w:ascii="宋体" w:hAnsi="宋体" w:eastAsia="宋体" w:cs="宋体"/>
          <w:b/>
          <w:bCs/>
          <w:sz w:val="24"/>
          <w:szCs w:val="24"/>
          <w:lang w:val="zh-CN"/>
        </w:rPr>
        <w:t>交货方式及交货日期</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交货方式：现场交货，乙方负责办理运输和保险，将货物运抵现场。</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交货及完工时间应根据产品的特点实事求是填写，进口产品90个工作日内，国产产品60个工作日内。特殊产品交货及完工时间需说明。</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交货日期：所有货物运抵现场并经双方开箱验收合格之日。</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11.检验和验收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z w:val="24"/>
          <w:szCs w:val="24"/>
          <w:lang w:val="zh-CN"/>
        </w:rPr>
        <w:t>开箱验收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11.1.1</w:t>
      </w:r>
      <w:r>
        <w:rPr>
          <w:rFonts w:hint="eastAsia" w:ascii="宋体" w:hAnsi="宋体" w:eastAsia="宋体" w:cs="宋体"/>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11.1.2 </w:t>
      </w:r>
      <w:r>
        <w:rPr>
          <w:rFonts w:hint="eastAsia" w:ascii="宋体" w:hAnsi="宋体" w:eastAsia="宋体" w:cs="宋体"/>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11.1.3 </w:t>
      </w:r>
      <w:r>
        <w:rPr>
          <w:rFonts w:hint="eastAsia" w:ascii="宋体" w:hAnsi="宋体" w:eastAsia="宋体" w:cs="宋体"/>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检验验收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11.2.1 </w:t>
      </w:r>
      <w:r>
        <w:rPr>
          <w:rFonts w:hint="eastAsia" w:ascii="宋体" w:hAnsi="宋体" w:eastAsia="宋体" w:cs="宋体"/>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11.2.2 </w:t>
      </w:r>
      <w:r>
        <w:rPr>
          <w:rFonts w:hint="eastAsia" w:ascii="宋体" w:hAnsi="宋体" w:eastAsia="宋体" w:cs="宋体"/>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11.2.3  </w:t>
      </w:r>
      <w:r>
        <w:rPr>
          <w:rFonts w:hint="eastAsia" w:ascii="宋体" w:hAnsi="宋体" w:eastAsia="宋体" w:cs="宋体"/>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11.2.4  </w:t>
      </w:r>
      <w:r>
        <w:rPr>
          <w:rFonts w:hint="eastAsia" w:ascii="宋体" w:hAnsi="宋体" w:eastAsia="宋体" w:cs="宋体"/>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zh-CN"/>
        </w:rPr>
        <w:t>重新测试直至合格为止；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val="zh-CN"/>
        </w:rPr>
        <w:t>要求乙方对货物进行免费更换，然后重新测试直至合格为止；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无论选择何种方式，甲方因此而发生的因卖方原因引起的所有费用均由乙方负担。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11.3  </w:t>
      </w:r>
      <w:r>
        <w:rPr>
          <w:rFonts w:hint="eastAsia" w:ascii="宋体" w:hAnsi="宋体" w:eastAsia="宋体" w:cs="宋体"/>
          <w:sz w:val="24"/>
          <w:szCs w:val="24"/>
          <w:lang w:val="zh-CN"/>
        </w:rPr>
        <w:t>使用过程检验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11.3.1</w:t>
      </w:r>
      <w:r>
        <w:rPr>
          <w:rFonts w:hint="eastAsia" w:ascii="宋体" w:hAnsi="宋体" w:eastAsia="宋体" w:cs="宋体"/>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11.3.2</w:t>
      </w:r>
      <w:r>
        <w:rPr>
          <w:rFonts w:hint="eastAsia" w:ascii="宋体" w:hAnsi="宋体" w:eastAsia="宋体" w:cs="宋体"/>
          <w:sz w:val="24"/>
          <w:szCs w:val="24"/>
          <w:lang w:val="zh-CN"/>
        </w:rPr>
        <w:t>如果合同双方对乙方提供的上述试验结果报告的解释有分歧，双方须于出现分歧后</w:t>
      </w:r>
      <w:r>
        <w:rPr>
          <w:rFonts w:hint="eastAsia" w:ascii="宋体" w:hAnsi="宋体" w:eastAsia="宋体" w:cs="宋体"/>
          <w:sz w:val="24"/>
          <w:szCs w:val="24"/>
        </w:rPr>
        <w:t>10</w:t>
      </w:r>
      <w:r>
        <w:rPr>
          <w:rFonts w:hint="eastAsia" w:ascii="宋体" w:hAnsi="宋体" w:eastAsia="宋体" w:cs="宋体"/>
          <w:sz w:val="24"/>
          <w:szCs w:val="24"/>
          <w:lang w:val="zh-CN"/>
        </w:rPr>
        <w:t>天内给对方声明，以陈述己方的观点。声明须附有关证据。分歧应通过协商解决。</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12.</w:t>
      </w:r>
      <w:r>
        <w:rPr>
          <w:rFonts w:hint="eastAsia" w:ascii="宋体" w:hAnsi="宋体" w:eastAsia="宋体" w:cs="宋体"/>
          <w:b/>
          <w:bCs/>
          <w:sz w:val="24"/>
          <w:szCs w:val="24"/>
          <w:lang w:val="zh-CN"/>
        </w:rPr>
        <w:t>付款条件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本合同条款下的付款方法和条件在“青海省政府采购合同书”中具体规定。</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13.</w:t>
      </w:r>
      <w:r>
        <w:rPr>
          <w:rFonts w:hint="eastAsia" w:ascii="宋体" w:hAnsi="宋体" w:eastAsia="宋体" w:cs="宋体"/>
          <w:b/>
          <w:bCs/>
          <w:sz w:val="24"/>
          <w:szCs w:val="24"/>
          <w:lang w:val="zh-CN"/>
        </w:rPr>
        <w:t>履约保证金</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13.1</w:t>
      </w:r>
      <w:r>
        <w:rPr>
          <w:rFonts w:hint="eastAsia" w:ascii="宋体" w:hAnsi="宋体" w:eastAsia="宋体" w:cs="宋体"/>
          <w:sz w:val="24"/>
          <w:szCs w:val="24"/>
          <w:lang w:val="zh-CN"/>
        </w:rPr>
        <w:t>乙方应在合同签订前，按磋商文件的约定提交履约保证金。</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13.2</w:t>
      </w:r>
      <w:r>
        <w:rPr>
          <w:rFonts w:hint="eastAsia" w:ascii="宋体" w:hAnsi="宋体" w:eastAsia="宋体" w:cs="宋体"/>
          <w:sz w:val="24"/>
          <w:szCs w:val="24"/>
          <w:lang w:val="zh-CN"/>
        </w:rPr>
        <w:t>履约保证金用于补偿甲方因乙方不能履行其合同义务而蒙受的损失。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w:t>
      </w:r>
      <w:r>
        <w:rPr>
          <w:rFonts w:hint="eastAsia" w:ascii="宋体" w:hAnsi="宋体" w:eastAsia="宋体" w:cs="宋体"/>
          <w:sz w:val="24"/>
          <w:szCs w:val="24"/>
          <w:lang w:val="zh-CN"/>
        </w:rPr>
        <w:t>履约保证金应使用本合同货币，按下述方式之一提交（磋商文件中另有约定的除外）：</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13.3.1</w:t>
      </w:r>
      <w:r>
        <w:rPr>
          <w:rFonts w:hint="eastAsia" w:ascii="宋体" w:hAnsi="宋体" w:eastAsia="宋体" w:cs="宋体"/>
          <w:sz w:val="24"/>
          <w:szCs w:val="24"/>
          <w:lang w:val="zh-CN"/>
        </w:rPr>
        <w:t>甲方可接受的在中华人民共和国注册和营业的银行出具的履约保函；</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13.3.2 </w:t>
      </w:r>
      <w:r>
        <w:rPr>
          <w:rFonts w:hint="eastAsia" w:ascii="宋体" w:hAnsi="宋体" w:eastAsia="宋体" w:cs="宋体"/>
          <w:sz w:val="24"/>
          <w:szCs w:val="24"/>
          <w:lang w:val="zh-CN"/>
        </w:rPr>
        <w:t>支票或汇票。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13.4</w:t>
      </w:r>
      <w:r>
        <w:rPr>
          <w:rFonts w:hint="eastAsia" w:ascii="宋体" w:hAnsi="宋体" w:eastAsia="宋体" w:cs="宋体"/>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14.</w:t>
      </w:r>
      <w:r>
        <w:rPr>
          <w:rFonts w:hint="eastAsia" w:ascii="宋体" w:hAnsi="宋体" w:eastAsia="宋体" w:cs="宋体"/>
          <w:b/>
          <w:bCs/>
          <w:sz w:val="24"/>
          <w:szCs w:val="24"/>
          <w:lang w:val="zh-CN"/>
        </w:rPr>
        <w:t>索赔</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14.1</w:t>
      </w:r>
      <w:r>
        <w:rPr>
          <w:rFonts w:hint="eastAsia" w:ascii="宋体" w:hAnsi="宋体" w:eastAsia="宋体" w:cs="宋体"/>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w:t>
      </w:r>
      <w:r>
        <w:rPr>
          <w:rFonts w:hint="eastAsia" w:ascii="宋体" w:hAnsi="宋体" w:eastAsia="宋体" w:cs="宋体"/>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14.2.1</w:t>
      </w:r>
      <w:r>
        <w:rPr>
          <w:rFonts w:hint="eastAsia" w:ascii="宋体" w:hAnsi="宋体" w:eastAsia="宋体" w:cs="宋体"/>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14.2.2</w:t>
      </w:r>
      <w:r>
        <w:rPr>
          <w:rFonts w:hint="eastAsia" w:ascii="宋体" w:hAnsi="宋体" w:eastAsia="宋体" w:cs="宋体"/>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14.2.3</w:t>
      </w:r>
      <w:r>
        <w:rPr>
          <w:rFonts w:hint="eastAsia" w:ascii="宋体" w:hAnsi="宋体" w:eastAsia="宋体" w:cs="宋体"/>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14.3</w:t>
      </w:r>
      <w:r>
        <w:rPr>
          <w:rFonts w:hint="eastAsia" w:ascii="宋体" w:hAnsi="宋体" w:eastAsia="宋体" w:cs="宋体"/>
          <w:sz w:val="24"/>
          <w:szCs w:val="24"/>
          <w:lang w:val="zh-CN"/>
        </w:rPr>
        <w:t>乙方收到甲方发出的索赔通知之日起</w:t>
      </w:r>
      <w:r>
        <w:rPr>
          <w:rFonts w:hint="eastAsia" w:ascii="宋体" w:hAnsi="宋体" w:eastAsia="宋体" w:cs="宋体"/>
          <w:sz w:val="24"/>
          <w:szCs w:val="24"/>
        </w:rPr>
        <w:t>5</w:t>
      </w:r>
      <w:r>
        <w:rPr>
          <w:rFonts w:hint="eastAsia" w:ascii="宋体" w:hAnsi="宋体" w:eastAsia="宋体" w:cs="宋体"/>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15.</w:t>
      </w:r>
      <w:r>
        <w:rPr>
          <w:rFonts w:hint="eastAsia" w:ascii="宋体" w:hAnsi="宋体" w:eastAsia="宋体" w:cs="宋体"/>
          <w:b/>
          <w:bCs/>
          <w:sz w:val="24"/>
          <w:szCs w:val="24"/>
          <w:lang w:val="zh-CN"/>
        </w:rPr>
        <w:t>迟延交货</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15.1 </w:t>
      </w:r>
      <w:r>
        <w:rPr>
          <w:rFonts w:hint="eastAsia" w:ascii="宋体" w:hAnsi="宋体" w:eastAsia="宋体" w:cs="宋体"/>
          <w:sz w:val="24"/>
          <w:szCs w:val="24"/>
          <w:lang w:val="zh-CN"/>
        </w:rPr>
        <w:t>乙方应按照合同约定的时间交货和提供服务。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15.2 </w:t>
      </w:r>
      <w:r>
        <w:rPr>
          <w:rFonts w:hint="eastAsia" w:ascii="宋体" w:hAnsi="宋体" w:eastAsia="宋体" w:cs="宋体"/>
          <w:sz w:val="24"/>
          <w:szCs w:val="24"/>
          <w:lang w:val="zh-CN"/>
        </w:rPr>
        <w:t>除不可抗力因素外，乙方迟延交货，甲方有权提出违约损失赔偿或解除合同。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15.3</w:t>
      </w:r>
      <w:r>
        <w:rPr>
          <w:rFonts w:hint="eastAsia" w:ascii="宋体" w:hAnsi="宋体" w:eastAsia="宋体" w:cs="宋体"/>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在履行合同过程中，乙方遇到不能按时交货和提供服务的情况，应及时以书面形式将不能按时交货的理由、预期延误时间通知甲方。甲方收到乙方通知后，认为其理由正当的，可酌情延长交货及完工时间。</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违约赔偿</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17.</w:t>
      </w:r>
      <w:r>
        <w:rPr>
          <w:rFonts w:hint="eastAsia" w:ascii="宋体" w:hAnsi="宋体" w:eastAsia="宋体" w:cs="宋体"/>
          <w:b/>
          <w:bCs/>
          <w:sz w:val="24"/>
          <w:szCs w:val="24"/>
          <w:lang w:val="zh-CN"/>
        </w:rPr>
        <w:t>不可抗力</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17.1.</w:t>
      </w:r>
      <w:r>
        <w:rPr>
          <w:rFonts w:hint="eastAsia" w:ascii="宋体" w:hAnsi="宋体" w:eastAsia="宋体" w:cs="宋体"/>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17.2</w:t>
      </w:r>
      <w:r>
        <w:rPr>
          <w:rFonts w:hint="eastAsia" w:ascii="宋体" w:hAnsi="宋体" w:eastAsia="宋体" w:cs="宋体"/>
          <w:sz w:val="24"/>
          <w:szCs w:val="24"/>
          <w:lang w:val="zh-CN"/>
        </w:rPr>
        <w:t>受事故影响的一方应在不可抗力的事故发生后以书面形式通知另一方。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17.3</w:t>
      </w:r>
      <w:r>
        <w:rPr>
          <w:rFonts w:hint="eastAsia" w:ascii="宋体" w:hAnsi="宋体" w:eastAsia="宋体" w:cs="宋体"/>
          <w:sz w:val="24"/>
          <w:szCs w:val="24"/>
          <w:lang w:val="zh-CN"/>
        </w:rPr>
        <w:t>不可抗力使合同的某些内容有变更必要的，</w:t>
      </w:r>
      <w:r>
        <w:rPr>
          <w:rFonts w:hint="eastAsia" w:ascii="宋体" w:hAnsi="宋体" w:eastAsia="宋体" w:cs="宋体"/>
          <w:sz w:val="24"/>
          <w:szCs w:val="24"/>
        </w:rPr>
        <w:t xml:space="preserve"> </w:t>
      </w:r>
      <w:r>
        <w:rPr>
          <w:rFonts w:hint="eastAsia" w:ascii="宋体" w:hAnsi="宋体" w:eastAsia="宋体" w:cs="宋体"/>
          <w:sz w:val="24"/>
          <w:szCs w:val="24"/>
          <w:lang w:val="zh-CN"/>
        </w:rPr>
        <w:t>双方应通过协商达成进一步履行合同的协议，因不可抗力致使合同不能履行的，合同终止。</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18.</w:t>
      </w:r>
      <w:r>
        <w:rPr>
          <w:rFonts w:hint="eastAsia" w:ascii="宋体" w:hAnsi="宋体" w:eastAsia="宋体" w:cs="宋体"/>
          <w:b/>
          <w:bCs/>
          <w:sz w:val="24"/>
          <w:szCs w:val="24"/>
          <w:lang w:val="zh-CN"/>
        </w:rPr>
        <w:t>税费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与本合同有关的一切税费均由乙方承担。</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19.</w:t>
      </w:r>
      <w:r>
        <w:rPr>
          <w:rFonts w:hint="eastAsia" w:ascii="宋体" w:hAnsi="宋体" w:eastAsia="宋体" w:cs="宋体"/>
          <w:b/>
          <w:bCs/>
          <w:sz w:val="24"/>
          <w:szCs w:val="24"/>
          <w:lang w:val="zh-CN"/>
        </w:rPr>
        <w:t>合同争议的解决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19.1</w:t>
      </w:r>
      <w:r>
        <w:rPr>
          <w:rFonts w:hint="eastAsia" w:ascii="宋体" w:hAnsi="宋体" w:eastAsia="宋体" w:cs="宋体"/>
          <w:sz w:val="24"/>
          <w:szCs w:val="24"/>
          <w:lang w:val="zh-CN"/>
        </w:rPr>
        <w:t>甲方和乙方由于本合同的履行而发生任何争议时，双方可先通过协商解决。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19.2</w:t>
      </w:r>
      <w:r>
        <w:rPr>
          <w:rFonts w:hint="eastAsia" w:ascii="宋体" w:hAnsi="宋体" w:eastAsia="宋体" w:cs="宋体"/>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20.</w:t>
      </w:r>
      <w:r>
        <w:rPr>
          <w:rFonts w:hint="eastAsia" w:ascii="宋体" w:hAnsi="宋体" w:eastAsia="宋体" w:cs="宋体"/>
          <w:b/>
          <w:bCs/>
          <w:sz w:val="24"/>
          <w:szCs w:val="24"/>
          <w:lang w:val="zh-CN"/>
        </w:rPr>
        <w:t>违约解除合同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20.1.1</w:t>
      </w:r>
      <w:r>
        <w:rPr>
          <w:rFonts w:hint="eastAsia" w:ascii="宋体" w:hAnsi="宋体" w:eastAsia="宋体" w:cs="宋体"/>
          <w:sz w:val="24"/>
          <w:szCs w:val="24"/>
          <w:lang w:val="zh-CN"/>
        </w:rPr>
        <w:t>乙方未能在合同规定的限期或甲方同意延长的限期内，提供全部或部分货物的；</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20.1.2</w:t>
      </w:r>
      <w:r>
        <w:rPr>
          <w:rFonts w:hint="eastAsia" w:ascii="宋体" w:hAnsi="宋体" w:eastAsia="宋体" w:cs="宋体"/>
          <w:sz w:val="24"/>
          <w:szCs w:val="24"/>
          <w:lang w:val="zh-CN"/>
        </w:rPr>
        <w:t>乙方未能履行合同规定的其它主要义务的；</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20.1.3</w:t>
      </w:r>
      <w:r>
        <w:rPr>
          <w:rFonts w:hint="eastAsia" w:ascii="宋体" w:hAnsi="宋体" w:eastAsia="宋体" w:cs="宋体"/>
          <w:sz w:val="24"/>
          <w:szCs w:val="24"/>
          <w:lang w:val="zh-CN"/>
        </w:rPr>
        <w:t>乙方在本合同履行过程中有欺诈行为的。</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21.</w:t>
      </w:r>
      <w:r>
        <w:rPr>
          <w:rFonts w:hint="eastAsia" w:ascii="宋体" w:hAnsi="宋体" w:eastAsia="宋体" w:cs="宋体"/>
          <w:b/>
          <w:bCs/>
          <w:sz w:val="24"/>
          <w:szCs w:val="24"/>
          <w:lang w:val="zh-CN"/>
        </w:rPr>
        <w:t>破产终止合同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22.</w:t>
      </w:r>
      <w:r>
        <w:rPr>
          <w:rFonts w:hint="eastAsia" w:ascii="宋体" w:hAnsi="宋体" w:eastAsia="宋体" w:cs="宋体"/>
          <w:b/>
          <w:bCs/>
          <w:sz w:val="24"/>
          <w:szCs w:val="24"/>
          <w:lang w:val="zh-CN"/>
        </w:rPr>
        <w:t>转让和分包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sz w:val="24"/>
          <w:szCs w:val="24"/>
          <w:lang w:val="zh-CN"/>
        </w:rPr>
        <w:t>政府采购合同不能转让。</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22.2</w:t>
      </w:r>
      <w:r>
        <w:rPr>
          <w:rFonts w:hint="eastAsia" w:ascii="宋体" w:hAnsi="宋体" w:eastAsia="宋体" w:cs="宋体"/>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23.</w:t>
      </w:r>
      <w:r>
        <w:rPr>
          <w:rFonts w:hint="eastAsia" w:ascii="宋体" w:hAnsi="宋体" w:eastAsia="宋体" w:cs="宋体"/>
          <w:b/>
          <w:bCs/>
          <w:sz w:val="24"/>
          <w:szCs w:val="24"/>
          <w:lang w:val="zh-CN"/>
        </w:rPr>
        <w:t>合同修改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24.</w:t>
      </w:r>
      <w:r>
        <w:rPr>
          <w:rFonts w:hint="eastAsia" w:ascii="宋体" w:hAnsi="宋体" w:eastAsia="宋体" w:cs="宋体"/>
          <w:b/>
          <w:bCs/>
          <w:sz w:val="24"/>
          <w:szCs w:val="24"/>
          <w:lang w:val="zh-CN"/>
        </w:rPr>
        <w:t>通知</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25.</w:t>
      </w:r>
      <w:r>
        <w:rPr>
          <w:rFonts w:hint="eastAsia" w:ascii="宋体" w:hAnsi="宋体" w:eastAsia="宋体" w:cs="宋体"/>
          <w:b/>
          <w:bCs/>
          <w:sz w:val="24"/>
          <w:szCs w:val="24"/>
          <w:lang w:val="zh-CN"/>
        </w:rPr>
        <w:t>计量单位</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除技术规范中另有规定外</w:t>
      </w:r>
      <w:r>
        <w:rPr>
          <w:rFonts w:hint="eastAsia" w:ascii="宋体" w:hAnsi="宋体" w:eastAsia="宋体" w:cs="宋体"/>
          <w:sz w:val="24"/>
          <w:szCs w:val="24"/>
        </w:rPr>
        <w:t>,</w:t>
      </w:r>
      <w:r>
        <w:rPr>
          <w:rFonts w:hint="eastAsia" w:ascii="宋体" w:hAnsi="宋体" w:eastAsia="宋体" w:cs="宋体"/>
          <w:sz w:val="24"/>
          <w:szCs w:val="24"/>
          <w:lang w:val="zh-CN"/>
        </w:rPr>
        <w:t>计量单位均使用国家法定计量单位。</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26.</w:t>
      </w:r>
      <w:r>
        <w:rPr>
          <w:rFonts w:hint="eastAsia" w:ascii="宋体" w:hAnsi="宋体" w:eastAsia="宋体" w:cs="宋体"/>
          <w:b/>
          <w:bCs/>
          <w:sz w:val="24"/>
          <w:szCs w:val="24"/>
          <w:lang w:val="zh-CN"/>
        </w:rPr>
        <w:t>适用法律</w:t>
      </w:r>
    </w:p>
    <w:p>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本合同按照中华人民共和国的相关法律进行解释。</w:t>
      </w:r>
    </w:p>
    <w:p>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br w:type="page"/>
      </w:r>
    </w:p>
    <w:p>
      <w:pPr>
        <w:keepNext/>
        <w:keepLines/>
        <w:widowControl/>
        <w:snapToGrid w:val="0"/>
        <w:spacing w:line="360" w:lineRule="auto"/>
        <w:ind w:firstLine="0" w:firstLineChars="0"/>
        <w:jc w:val="center"/>
        <w:outlineLvl w:val="0"/>
        <w:rPr>
          <w:rFonts w:ascii="宋体" w:hAnsi="宋体" w:eastAsia="宋体" w:cs="宋体"/>
          <w:b/>
          <w:kern w:val="28"/>
          <w:sz w:val="36"/>
          <w:szCs w:val="20"/>
        </w:rPr>
      </w:pPr>
      <w:bookmarkStart w:id="150" w:name="_Toc12139"/>
      <w:r>
        <w:rPr>
          <w:rFonts w:hint="eastAsia" w:ascii="宋体" w:hAnsi="宋体" w:eastAsia="宋体" w:cs="宋体"/>
          <w:b/>
          <w:kern w:val="28"/>
          <w:sz w:val="36"/>
          <w:szCs w:val="20"/>
        </w:rPr>
        <w:t>第五部分  响应文件格式</w:t>
      </w:r>
      <w:bookmarkEnd w:id="150"/>
    </w:p>
    <w:p>
      <w:pPr>
        <w:widowControl/>
        <w:snapToGrid w:val="0"/>
        <w:spacing w:line="360" w:lineRule="auto"/>
        <w:ind w:firstLine="0" w:firstLineChars="0"/>
        <w:outlineLvl w:val="1"/>
        <w:rPr>
          <w:rFonts w:ascii="宋体" w:hAnsi="宋体" w:eastAsia="宋体" w:cs="宋体"/>
          <w:b/>
          <w:sz w:val="28"/>
          <w:szCs w:val="28"/>
        </w:rPr>
      </w:pPr>
      <w:bookmarkStart w:id="151" w:name="_Toc9848"/>
      <w:bookmarkStart w:id="152" w:name="_Toc16431"/>
      <w:r>
        <w:rPr>
          <w:rFonts w:hint="eastAsia" w:ascii="宋体" w:hAnsi="宋体" w:eastAsia="宋体" w:cs="宋体"/>
          <w:b/>
          <w:sz w:val="28"/>
          <w:szCs w:val="28"/>
        </w:rPr>
        <w:t>附件1：响应文件封面</w:t>
      </w:r>
      <w:bookmarkEnd w:id="151"/>
      <w:bookmarkEnd w:id="152"/>
    </w:p>
    <w:p>
      <w:pPr>
        <w:spacing w:line="360" w:lineRule="auto"/>
        <w:ind w:firstLine="0" w:firstLineChars="0"/>
        <w:rPr>
          <w:rFonts w:ascii="宋体" w:hAnsi="宋体" w:eastAsia="宋体" w:cs="宋体"/>
          <w:b/>
          <w:sz w:val="36"/>
          <w:szCs w:val="36"/>
        </w:rPr>
      </w:pPr>
    </w:p>
    <w:p>
      <w:pPr>
        <w:spacing w:line="360" w:lineRule="auto"/>
        <w:ind w:firstLine="0" w:firstLineChars="0"/>
        <w:rPr>
          <w:rFonts w:ascii="宋体" w:hAnsi="宋体" w:eastAsia="宋体" w:cs="宋体"/>
          <w:b/>
          <w:sz w:val="36"/>
          <w:szCs w:val="36"/>
        </w:rPr>
      </w:pPr>
    </w:p>
    <w:p>
      <w:pPr>
        <w:spacing w:line="360" w:lineRule="auto"/>
        <w:ind w:firstLine="0" w:firstLineChars="0"/>
        <w:rPr>
          <w:rFonts w:ascii="宋体" w:hAnsi="宋体" w:eastAsia="宋体" w:cs="宋体"/>
          <w:b/>
          <w:sz w:val="36"/>
          <w:szCs w:val="36"/>
        </w:rPr>
      </w:pPr>
    </w:p>
    <w:p>
      <w:pPr>
        <w:spacing w:line="360" w:lineRule="auto"/>
        <w:ind w:firstLine="2364" w:firstLineChars="327"/>
        <w:rPr>
          <w:rFonts w:ascii="宋体" w:hAnsi="宋体" w:eastAsia="宋体" w:cs="宋体"/>
          <w:b/>
          <w:sz w:val="72"/>
          <w:szCs w:val="72"/>
        </w:rPr>
      </w:pPr>
      <w:r>
        <w:rPr>
          <w:rFonts w:hint="eastAsia" w:ascii="宋体" w:hAnsi="宋体" w:eastAsia="宋体" w:cs="宋体"/>
          <w:b/>
          <w:sz w:val="72"/>
          <w:szCs w:val="72"/>
        </w:rPr>
        <w:t>响应文件</w:t>
      </w:r>
    </w:p>
    <w:p>
      <w:pPr>
        <w:adjustRightInd w:val="0"/>
        <w:spacing w:line="360" w:lineRule="auto"/>
        <w:ind w:firstLine="0" w:firstLineChars="0"/>
        <w:textAlignment w:val="baseline"/>
        <w:rPr>
          <w:rFonts w:ascii="宋体" w:hAnsi="宋体" w:eastAsia="宋体" w:cs="宋体"/>
          <w:b/>
          <w:bCs/>
          <w:sz w:val="36"/>
          <w:szCs w:val="36"/>
        </w:rPr>
      </w:pPr>
    </w:p>
    <w:p>
      <w:pPr>
        <w:adjustRightInd w:val="0"/>
        <w:spacing w:line="360" w:lineRule="auto"/>
        <w:ind w:firstLine="0" w:firstLineChars="0"/>
        <w:textAlignment w:val="baseline"/>
        <w:rPr>
          <w:rFonts w:hint="eastAsia" w:ascii="宋体" w:hAnsi="宋体" w:eastAsia="宋体" w:cs="宋体"/>
          <w:b/>
          <w:sz w:val="36"/>
          <w:szCs w:val="36"/>
          <w:lang w:eastAsia="zh-CN"/>
        </w:rPr>
      </w:pPr>
      <w:r>
        <w:rPr>
          <w:rFonts w:hint="eastAsia" w:ascii="宋体" w:hAnsi="宋体" w:eastAsia="宋体" w:cs="宋体"/>
          <w:b/>
          <w:bCs/>
          <w:sz w:val="36"/>
          <w:szCs w:val="36"/>
        </w:rPr>
        <w:t>采购项目编号</w:t>
      </w:r>
      <w:r>
        <w:rPr>
          <w:rFonts w:hint="eastAsia" w:ascii="宋体" w:hAnsi="宋体" w:eastAsia="宋体" w:cs="宋体"/>
          <w:b/>
          <w:sz w:val="36"/>
          <w:szCs w:val="36"/>
        </w:rPr>
        <w:t>：</w:t>
      </w:r>
      <w:r>
        <w:rPr>
          <w:rFonts w:hint="eastAsia" w:ascii="宋体" w:hAnsi="宋体" w:eastAsia="宋体" w:cs="宋体"/>
          <w:b/>
          <w:sz w:val="36"/>
          <w:szCs w:val="36"/>
          <w:lang w:eastAsia="zh-CN"/>
        </w:rPr>
        <w:t>青海品冠竞磋（货物）2025-010</w:t>
      </w:r>
    </w:p>
    <w:p>
      <w:pPr>
        <w:adjustRightInd w:val="0"/>
        <w:spacing w:line="360" w:lineRule="auto"/>
        <w:ind w:left="2530" w:hanging="2530" w:hangingChars="700"/>
        <w:textAlignment w:val="baseline"/>
        <w:rPr>
          <w:rFonts w:hint="eastAsia" w:ascii="宋体" w:hAnsi="宋体" w:eastAsia="宋体" w:cs="宋体"/>
          <w:b/>
          <w:bCs/>
          <w:sz w:val="36"/>
          <w:szCs w:val="36"/>
          <w:lang w:eastAsia="zh-CN"/>
        </w:rPr>
      </w:pPr>
      <w:r>
        <w:rPr>
          <w:rFonts w:hint="eastAsia" w:ascii="宋体" w:hAnsi="宋体" w:eastAsia="宋体" w:cs="宋体"/>
          <w:b/>
          <w:bCs/>
          <w:sz w:val="36"/>
          <w:szCs w:val="36"/>
        </w:rPr>
        <w:t>采购项目名称：</w:t>
      </w:r>
      <w:r>
        <w:rPr>
          <w:rFonts w:hint="eastAsia" w:ascii="宋体" w:hAnsi="宋体" w:eastAsia="宋体" w:cs="宋体"/>
          <w:b/>
          <w:bCs/>
          <w:sz w:val="36"/>
          <w:szCs w:val="36"/>
          <w:lang w:eastAsia="zh-CN"/>
        </w:rPr>
        <w:t>海北州第二人民医院病案室密集柜增设项目</w:t>
      </w:r>
    </w:p>
    <w:p>
      <w:pPr>
        <w:adjustRightInd w:val="0"/>
        <w:spacing w:line="360" w:lineRule="auto"/>
        <w:ind w:firstLine="0" w:firstLineChars="0"/>
        <w:textAlignment w:val="baseline"/>
        <w:rPr>
          <w:rFonts w:ascii="宋体" w:hAnsi="宋体" w:eastAsia="宋体" w:cs="宋体"/>
          <w:b/>
          <w:sz w:val="36"/>
          <w:szCs w:val="36"/>
        </w:rPr>
      </w:pPr>
      <w:r>
        <w:rPr>
          <w:rFonts w:hint="eastAsia" w:ascii="宋体" w:hAnsi="宋体" w:eastAsia="宋体" w:cs="宋体"/>
          <w:b/>
          <w:bCs/>
          <w:sz w:val="36"/>
          <w:szCs w:val="36"/>
        </w:rPr>
        <w:t>供应商名称</w:t>
      </w:r>
      <w:r>
        <w:rPr>
          <w:rFonts w:hint="eastAsia" w:ascii="宋体" w:hAnsi="宋体" w:eastAsia="宋体" w:cs="宋体"/>
          <w:b/>
          <w:sz w:val="36"/>
          <w:szCs w:val="36"/>
        </w:rPr>
        <w:t>：</w:t>
      </w:r>
    </w:p>
    <w:p>
      <w:pPr>
        <w:adjustRightInd w:val="0"/>
        <w:spacing w:line="360" w:lineRule="auto"/>
        <w:ind w:firstLine="0" w:firstLineChars="0"/>
        <w:textAlignment w:val="baseline"/>
        <w:rPr>
          <w:rFonts w:ascii="宋体" w:hAnsi="宋体" w:eastAsia="宋体" w:cs="宋体"/>
          <w:b/>
          <w:sz w:val="36"/>
          <w:szCs w:val="36"/>
        </w:rPr>
      </w:pPr>
    </w:p>
    <w:p>
      <w:pPr>
        <w:spacing w:line="360" w:lineRule="auto"/>
        <w:ind w:firstLine="643"/>
        <w:jc w:val="center"/>
        <w:rPr>
          <w:rFonts w:ascii="宋体" w:hAnsi="宋体" w:eastAsia="宋体" w:cs="宋体"/>
          <w:b/>
          <w:sz w:val="32"/>
        </w:rPr>
      </w:pPr>
      <w:r>
        <w:rPr>
          <w:rFonts w:hint="eastAsia" w:ascii="宋体" w:hAnsi="宋体" w:eastAsia="宋体" w:cs="宋体"/>
          <w:b/>
          <w:sz w:val="32"/>
        </w:rPr>
        <w:t>供应商：</w:t>
      </w:r>
      <w:r>
        <w:rPr>
          <w:rFonts w:hint="eastAsia" w:ascii="宋体" w:hAnsi="宋体" w:eastAsia="宋体" w:cs="宋体"/>
          <w:sz w:val="28"/>
          <w:szCs w:val="28"/>
          <w:u w:val="single"/>
        </w:rPr>
        <w:t xml:space="preserve">       </w:t>
      </w:r>
      <w:r>
        <w:rPr>
          <w:rFonts w:hint="eastAsia" w:ascii="宋体" w:hAnsi="宋体" w:eastAsia="宋体" w:cs="宋体"/>
          <w:b/>
          <w:sz w:val="32"/>
        </w:rPr>
        <w:t>（公章）</w:t>
      </w:r>
    </w:p>
    <w:p>
      <w:pPr>
        <w:spacing w:line="360" w:lineRule="auto"/>
        <w:ind w:firstLine="643"/>
        <w:jc w:val="center"/>
        <w:rPr>
          <w:rFonts w:ascii="宋体" w:hAnsi="宋体" w:eastAsia="宋体" w:cs="宋体"/>
          <w:b/>
          <w:sz w:val="32"/>
        </w:rPr>
      </w:pPr>
      <w:r>
        <w:rPr>
          <w:rFonts w:hint="eastAsia" w:ascii="宋体" w:hAnsi="宋体" w:eastAsia="宋体" w:cs="宋体"/>
          <w:b/>
          <w:sz w:val="32"/>
        </w:rPr>
        <w:t>法定代表人或委托代理人：</w:t>
      </w:r>
      <w:r>
        <w:rPr>
          <w:rFonts w:hint="eastAsia" w:ascii="宋体" w:hAnsi="宋体" w:eastAsia="宋体" w:cs="宋体"/>
          <w:sz w:val="28"/>
          <w:szCs w:val="28"/>
          <w:u w:val="single"/>
        </w:rPr>
        <w:t xml:space="preserve">       </w:t>
      </w:r>
      <w:r>
        <w:rPr>
          <w:rFonts w:hint="eastAsia" w:ascii="宋体" w:hAnsi="宋体" w:eastAsia="宋体" w:cs="宋体"/>
          <w:b/>
          <w:sz w:val="32"/>
        </w:rPr>
        <w:t>（签字或盖章）</w:t>
      </w:r>
    </w:p>
    <w:p>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t>年   月  日</w:t>
      </w:r>
    </w:p>
    <w:p>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br w:type="page"/>
      </w:r>
    </w:p>
    <w:p>
      <w:pPr>
        <w:keepNext/>
        <w:pageBreakBefore/>
        <w:widowControl/>
        <w:spacing w:line="360" w:lineRule="auto"/>
        <w:ind w:firstLine="0" w:firstLineChars="0"/>
        <w:jc w:val="left"/>
        <w:outlineLvl w:val="1"/>
        <w:rPr>
          <w:rFonts w:ascii="宋体" w:hAnsi="宋体" w:eastAsia="宋体" w:cs="宋体"/>
          <w:b/>
          <w:sz w:val="24"/>
          <w:szCs w:val="24"/>
        </w:rPr>
      </w:pPr>
      <w:bookmarkStart w:id="153" w:name="_Toc17238"/>
      <w:bookmarkStart w:id="154" w:name="_Toc30269"/>
      <w:r>
        <w:rPr>
          <w:rFonts w:hint="eastAsia" w:ascii="宋体" w:hAnsi="宋体" w:eastAsia="宋体" w:cs="宋体"/>
          <w:b/>
          <w:sz w:val="24"/>
          <w:szCs w:val="24"/>
        </w:rPr>
        <w:t>附件2</w:t>
      </w:r>
      <w:bookmarkStart w:id="155" w:name="_Toc325726037"/>
      <w:bookmarkStart w:id="156" w:name="_Toc376936768"/>
      <w:r>
        <w:rPr>
          <w:rFonts w:hint="eastAsia" w:ascii="宋体" w:hAnsi="宋体" w:eastAsia="宋体" w:cs="宋体"/>
          <w:b/>
          <w:sz w:val="24"/>
          <w:szCs w:val="24"/>
        </w:rPr>
        <w:t>：磋商函</w:t>
      </w:r>
      <w:bookmarkEnd w:id="153"/>
      <w:bookmarkEnd w:id="154"/>
      <w:bookmarkEnd w:id="155"/>
      <w:bookmarkEnd w:id="156"/>
    </w:p>
    <w:p>
      <w:pPr>
        <w:spacing w:line="360" w:lineRule="auto"/>
        <w:ind w:firstLine="0" w:firstLineChars="0"/>
        <w:rPr>
          <w:rFonts w:ascii="宋体" w:hAnsi="宋体" w:eastAsia="宋体" w:cs="宋体"/>
          <w:b/>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磋商函</w:t>
      </w:r>
    </w:p>
    <w:p>
      <w:pPr>
        <w:spacing w:line="360" w:lineRule="auto"/>
        <w:ind w:firstLine="0" w:firstLineChars="0"/>
        <w:textAlignment w:val="baseline"/>
        <w:rPr>
          <w:rFonts w:ascii="宋体" w:hAnsi="宋体" w:eastAsia="宋体" w:cs="宋体"/>
          <w:b/>
          <w:sz w:val="24"/>
          <w:szCs w:val="24"/>
        </w:rPr>
      </w:pPr>
    </w:p>
    <w:p>
      <w:pPr>
        <w:spacing w:line="360" w:lineRule="auto"/>
        <w:ind w:firstLine="0" w:firstLineChars="0"/>
        <w:textAlignment w:val="baseline"/>
        <w:rPr>
          <w:rFonts w:ascii="宋体" w:hAnsi="宋体" w:eastAsia="宋体" w:cs="宋体"/>
          <w:b/>
          <w:sz w:val="24"/>
          <w:szCs w:val="24"/>
        </w:rPr>
      </w:pPr>
      <w:r>
        <w:rPr>
          <w:rFonts w:hint="eastAsia" w:ascii="宋体" w:hAnsi="宋体" w:eastAsia="宋体" w:cs="宋体"/>
          <w:b/>
          <w:sz w:val="24"/>
          <w:szCs w:val="24"/>
        </w:rPr>
        <w:t>致：青海品冠招标代理有限公司</w:t>
      </w:r>
    </w:p>
    <w:p>
      <w:pPr>
        <w:spacing w:line="360" w:lineRule="auto"/>
        <w:ind w:firstLine="0" w:firstLineChars="0"/>
        <w:textAlignment w:val="baseline"/>
        <w:rPr>
          <w:rFonts w:ascii="宋体" w:hAnsi="宋体" w:eastAsia="宋体" w:cs="宋体"/>
          <w:sz w:val="24"/>
          <w:szCs w:val="24"/>
        </w:rPr>
      </w:pPr>
    </w:p>
    <w:p>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rPr>
        <w:t>我们收到</w:t>
      </w:r>
      <w:r>
        <w:rPr>
          <w:rFonts w:hint="eastAsia" w:ascii="宋体" w:hAnsi="宋体" w:eastAsia="宋体" w:cs="宋体"/>
          <w:sz w:val="24"/>
          <w:szCs w:val="24"/>
          <w:lang w:val="zh-CN"/>
        </w:rPr>
        <w:t>海北州第二人民医院病案室密集柜增设项目，</w:t>
      </w:r>
      <w:r>
        <w:rPr>
          <w:rFonts w:hint="eastAsia" w:ascii="宋体" w:hAnsi="宋体" w:eastAsia="宋体" w:cs="宋体"/>
          <w:sz w:val="24"/>
          <w:szCs w:val="24"/>
          <w:lang w:eastAsia="zh-CN"/>
        </w:rPr>
        <w:t>青海品冠竞磋（货物）2025-010</w:t>
      </w:r>
      <w:r>
        <w:rPr>
          <w:rFonts w:hint="eastAsia" w:ascii="宋体" w:hAnsi="宋体" w:eastAsia="宋体" w:cs="宋体"/>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据此函，签字代表宣布同意如下：</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1、我方已详阅磋商文件的全部内容，包括澄清、修改条款等有关附件，承诺对其完全理解并接受。</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2、磋商有效期自开标之日起</w:t>
      </w:r>
      <w:r>
        <w:rPr>
          <w:rFonts w:hint="eastAsia" w:ascii="宋体" w:hAnsi="宋体" w:eastAsia="宋体" w:cs="宋体"/>
          <w:sz w:val="24"/>
          <w:szCs w:val="24"/>
          <w:u w:val="single"/>
        </w:rPr>
        <w:t xml:space="preserve">    </w:t>
      </w:r>
      <w:r>
        <w:rPr>
          <w:rFonts w:hint="eastAsia" w:ascii="宋体" w:hAnsi="宋体" w:eastAsia="宋体" w:cs="宋体"/>
          <w:sz w:val="24"/>
          <w:szCs w:val="24"/>
        </w:rPr>
        <w:t>个日历日内有效。如果在规定的磋商时间后，我方在磋商有效期内撤回投标或成交后不签约的，磋商保证金将被贵方没收。</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3、我方同意按照贵方要求提供与磋商有关的一切数据或资料，理解并接受贵方制定的评标办法。</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4、与本磋商有关的一切正式往来通讯请寄：</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地址：_______________        邮编：____________</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电话：_______________        传真：____________</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法定代表人姓名： ___________ 职务：____________</w:t>
      </w:r>
    </w:p>
    <w:p>
      <w:pPr>
        <w:spacing w:line="360" w:lineRule="auto"/>
        <w:ind w:firstLine="0" w:firstLineChars="0"/>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jc w:val="left"/>
        <w:outlineLvl w:val="1"/>
        <w:rPr>
          <w:rFonts w:ascii="宋体" w:hAnsi="宋体" w:eastAsia="宋体" w:cs="宋体"/>
          <w:b/>
          <w:sz w:val="24"/>
          <w:szCs w:val="24"/>
        </w:rPr>
      </w:pPr>
      <w:bookmarkStart w:id="157" w:name="_Toc26950"/>
      <w:bookmarkStart w:id="158" w:name="_Toc31069"/>
      <w:r>
        <w:rPr>
          <w:rFonts w:hint="eastAsia" w:ascii="宋体" w:hAnsi="宋体" w:eastAsia="宋体" w:cs="宋体"/>
          <w:b/>
          <w:sz w:val="24"/>
          <w:szCs w:val="24"/>
        </w:rPr>
        <w:t>附件3：投标报价一览表</w:t>
      </w:r>
      <w:bookmarkEnd w:id="157"/>
      <w:bookmarkEnd w:id="158"/>
    </w:p>
    <w:p>
      <w:pPr>
        <w:spacing w:line="360" w:lineRule="auto"/>
        <w:ind w:firstLine="0" w:firstLineChars="0"/>
        <w:textAlignment w:val="baseline"/>
        <w:rPr>
          <w:rFonts w:ascii="宋体" w:hAnsi="宋体" w:eastAsia="宋体" w:cs="宋体"/>
          <w:sz w:val="24"/>
          <w:szCs w:val="24"/>
        </w:rPr>
      </w:pPr>
    </w:p>
    <w:p>
      <w:pPr>
        <w:wordWrap w:val="0"/>
        <w:spacing w:line="360" w:lineRule="auto"/>
        <w:ind w:firstLine="0" w:firstLineChars="0"/>
        <w:jc w:val="center"/>
        <w:rPr>
          <w:rFonts w:ascii="宋体" w:hAnsi="宋体" w:eastAsia="宋体" w:cs="宋体"/>
          <w:b/>
          <w:sz w:val="24"/>
          <w:szCs w:val="24"/>
        </w:rPr>
      </w:pPr>
    </w:p>
    <w:p>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rPr>
        <w:t>投标报价</w:t>
      </w:r>
      <w:r>
        <w:rPr>
          <w:rFonts w:hint="eastAsia" w:ascii="宋体" w:hAnsi="宋体" w:eastAsia="宋体" w:cs="宋体"/>
          <w:b/>
          <w:bCs/>
          <w:sz w:val="24"/>
          <w:szCs w:val="24"/>
          <w:lang w:val="zh-CN"/>
        </w:rPr>
        <w:t>一览表</w:t>
      </w:r>
    </w:p>
    <w:p>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p>
    <w:tbl>
      <w:tblPr>
        <w:tblStyle w:val="23"/>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项目编号</w:t>
            </w:r>
          </w:p>
        </w:tc>
        <w:tc>
          <w:tcPr>
            <w:tcW w:w="5749" w:type="dxa"/>
            <w:vAlign w:val="center"/>
          </w:tcPr>
          <w:p>
            <w:pPr>
              <w:pStyle w:val="6"/>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5749" w:type="dxa"/>
            <w:vAlign w:val="center"/>
          </w:tcPr>
          <w:p>
            <w:pPr>
              <w:pStyle w:val="6"/>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投标报价</w:t>
            </w:r>
          </w:p>
        </w:tc>
        <w:tc>
          <w:tcPr>
            <w:tcW w:w="5749" w:type="dxa"/>
            <w:vAlign w:val="center"/>
          </w:tcPr>
          <w:p>
            <w:pPr>
              <w:autoSpaceDE w:val="0"/>
              <w:autoSpaceDN w:val="0"/>
              <w:spacing w:line="360" w:lineRule="auto"/>
              <w:ind w:firstLine="0" w:firstLineChars="0"/>
              <w:rPr>
                <w:rFonts w:ascii="宋体" w:hAnsi="宋体" w:cs="宋体"/>
                <w:color w:val="000000"/>
                <w:lang w:val="zh-CN"/>
              </w:rPr>
            </w:pPr>
            <w:r>
              <w:rPr>
                <w:rFonts w:hint="eastAsia" w:ascii="宋体" w:hAnsi="宋体" w:cs="宋体"/>
                <w:color w:val="000000"/>
                <w:lang w:val="zh-CN"/>
              </w:rPr>
              <w:t>大写：</w:t>
            </w:r>
          </w:p>
          <w:p>
            <w:pPr>
              <w:pStyle w:val="6"/>
              <w:spacing w:line="360" w:lineRule="auto"/>
              <w:ind w:firstLine="0" w:firstLineChars="0"/>
              <w:rPr>
                <w:rFonts w:ascii="宋体" w:hAnsi="宋体" w:eastAsia="宋体" w:cs="宋体"/>
                <w:sz w:val="24"/>
                <w:szCs w:val="24"/>
              </w:rPr>
            </w:pPr>
            <w:r>
              <w:rPr>
                <w:rFonts w:hint="eastAsia" w:ascii="宋体" w:hAnsi="宋体" w:cs="宋体"/>
                <w:color w:val="00000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交货及安装时间</w:t>
            </w:r>
          </w:p>
        </w:tc>
        <w:tc>
          <w:tcPr>
            <w:tcW w:w="5749" w:type="dxa"/>
            <w:vAlign w:val="center"/>
          </w:tcPr>
          <w:p>
            <w:pPr>
              <w:pStyle w:val="6"/>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免费质保期</w:t>
            </w:r>
          </w:p>
        </w:tc>
        <w:tc>
          <w:tcPr>
            <w:tcW w:w="5749" w:type="dxa"/>
            <w:vAlign w:val="center"/>
          </w:tcPr>
          <w:p>
            <w:pPr>
              <w:pStyle w:val="6"/>
              <w:spacing w:line="360" w:lineRule="auto"/>
              <w:ind w:firstLine="0" w:firstLineChars="0"/>
              <w:rPr>
                <w:rFonts w:ascii="宋体" w:hAnsi="宋体" w:eastAsia="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6"/>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优惠承诺及其他：</w:t>
            </w:r>
          </w:p>
          <w:p>
            <w:pPr>
              <w:pStyle w:val="6"/>
              <w:spacing w:line="360" w:lineRule="auto"/>
              <w:ind w:firstLine="0" w:firstLineChars="0"/>
              <w:rPr>
                <w:rFonts w:ascii="宋体" w:hAnsi="宋体" w:eastAsia="宋体" w:cs="宋体"/>
                <w:sz w:val="24"/>
                <w:szCs w:val="24"/>
                <w:lang w:val="zh-CN"/>
              </w:rPr>
            </w:pPr>
          </w:p>
          <w:p>
            <w:pPr>
              <w:pStyle w:val="6"/>
              <w:spacing w:line="360" w:lineRule="auto"/>
              <w:ind w:firstLine="0" w:firstLineChars="0"/>
              <w:rPr>
                <w:rFonts w:ascii="宋体" w:hAnsi="宋体" w:eastAsia="宋体" w:cs="宋体"/>
                <w:sz w:val="24"/>
                <w:szCs w:val="24"/>
                <w:lang w:val="zh-CN"/>
              </w:rPr>
            </w:pPr>
          </w:p>
        </w:tc>
      </w:tr>
    </w:tbl>
    <w:p>
      <w:pPr>
        <w:spacing w:line="360" w:lineRule="auto"/>
        <w:ind w:firstLine="0" w:firstLineChars="0"/>
        <w:rPr>
          <w:rFonts w:ascii="宋体" w:hAnsi="宋体" w:eastAsia="宋体" w:cs="宋体"/>
          <w:sz w:val="24"/>
          <w:szCs w:val="24"/>
        </w:rPr>
      </w:pPr>
    </w:p>
    <w:p>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rPr>
        <w:t>注：投标报价</w:t>
      </w:r>
      <w:r>
        <w:rPr>
          <w:rFonts w:hint="eastAsia" w:ascii="宋体" w:hAnsi="宋体" w:eastAsia="宋体" w:cs="宋体"/>
          <w:sz w:val="24"/>
          <w:szCs w:val="24"/>
          <w:lang w:val="zh-CN"/>
        </w:rPr>
        <w:t>包括产品费、验收费、手续费、包装费、运输费、保险费、安装费、调试费、培训费、售前、售中、售后服务费、招标代理费、税金及不可预见费等全部费用</w:t>
      </w: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lang w:val="zh-CN"/>
        </w:rPr>
        <w:t>分项报价表</w:t>
      </w:r>
    </w:p>
    <w:p>
      <w:pPr>
        <w:autoSpaceDE w:val="0"/>
        <w:autoSpaceDN w:val="0"/>
        <w:spacing w:line="360" w:lineRule="auto"/>
        <w:ind w:firstLine="0" w:firstLineChars="0"/>
        <w:rPr>
          <w:rFonts w:ascii="宋体" w:hAnsi="宋体" w:eastAsia="宋体" w:cs="宋体"/>
          <w:b/>
          <w:bCs/>
          <w:sz w:val="24"/>
          <w:szCs w:val="24"/>
          <w:lang w:val="zh-CN"/>
        </w:rPr>
      </w:pPr>
    </w:p>
    <w:p>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p>
    <w:tbl>
      <w:tblPr>
        <w:tblStyle w:val="23"/>
        <w:tblW w:w="8617" w:type="dxa"/>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567"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pStyle w:val="9"/>
              <w:ind w:firstLine="0" w:firstLineChars="0"/>
              <w:rPr>
                <w:rFonts w:hint="eastAsia" w:ascii="宋体" w:hAnsi="宋体" w:eastAsia="宋体" w:cs="宋体"/>
                <w:lang w:val="zh-CN"/>
              </w:rPr>
            </w:pPr>
            <w:r>
              <w:rPr>
                <w:rFonts w:hint="eastAsia" w:ascii="宋体" w:hAnsi="宋体" w:eastAsia="宋体" w:cs="宋体"/>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pStyle w:val="9"/>
              <w:ind w:firstLine="0" w:firstLineChars="0"/>
              <w:rPr>
                <w:rFonts w:hint="eastAsia" w:ascii="宋体" w:hAnsi="宋体" w:eastAsia="宋体" w:cs="宋体"/>
                <w:lang w:val="zh-CN"/>
              </w:rPr>
            </w:pPr>
            <w:r>
              <w:rPr>
                <w:rFonts w:hint="eastAsia" w:ascii="宋体" w:hAnsi="宋体" w:eastAsia="宋体" w:cs="宋体"/>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pStyle w:val="9"/>
              <w:ind w:firstLine="0" w:firstLineChars="0"/>
              <w:rPr>
                <w:lang w:val="zh-CN"/>
              </w:rPr>
            </w:pPr>
            <w:r>
              <w:rPr>
                <w:rFonts w:hint="eastAsia"/>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pStyle w:val="9"/>
              <w:ind w:firstLine="0" w:firstLineChars="0"/>
              <w:rPr>
                <w:lang w:val="zh-CN"/>
              </w:rPr>
            </w:pPr>
            <w:r>
              <w:rPr>
                <w:rFonts w:hint="eastAsia"/>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pStyle w:val="9"/>
              <w:ind w:firstLine="0" w:firstLineChars="0"/>
              <w:rPr>
                <w:lang w:val="zh-CN"/>
              </w:rPr>
            </w:pPr>
            <w:r>
              <w:rPr>
                <w:rFonts w:hint="eastAsia"/>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pStyle w:val="9"/>
              <w:ind w:firstLine="0" w:firstLineChars="0"/>
              <w:rPr>
                <w:lang w:val="zh-CN"/>
              </w:rPr>
            </w:pPr>
            <w:r>
              <w:rPr>
                <w:rFonts w:hint="eastAsia"/>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pStyle w:val="9"/>
              <w:ind w:firstLine="0" w:firstLineChars="0"/>
              <w:rPr>
                <w:lang w:val="zh-CN"/>
              </w:rPr>
            </w:pPr>
            <w:r>
              <w:rPr>
                <w:rFonts w:hint="eastAsia"/>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pStyle w:val="9"/>
              <w:ind w:firstLine="0" w:firstLineChars="0"/>
              <w:rPr>
                <w:lang w:val="zh-CN"/>
              </w:rPr>
            </w:pPr>
            <w:r>
              <w:rPr>
                <w:rFonts w:hint="eastAsia"/>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pStyle w:val="9"/>
              <w:ind w:firstLine="0" w:firstLineChars="0"/>
              <w:rPr>
                <w:lang w:val="zh-CN"/>
              </w:rPr>
            </w:pPr>
            <w:r>
              <w:rPr>
                <w:rFonts w:hint="eastAsia"/>
                <w:lang w:val="zh-CN"/>
              </w:rPr>
              <w:t>免费质保期</w:t>
            </w:r>
          </w:p>
        </w:tc>
      </w:tr>
      <w:tr>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pStyle w:val="9"/>
              <w:ind w:firstLine="0" w:firstLineChars="0"/>
              <w:rPr>
                <w:rFonts w:hint="eastAsia" w:ascii="宋体" w:hAnsi="宋体" w:eastAsia="宋体" w:cs="宋体"/>
                <w:lang w:val="zh-CN"/>
              </w:rPr>
            </w:pPr>
            <w:r>
              <w:rPr>
                <w:rFonts w:hint="eastAsia" w:ascii="宋体" w:hAnsi="宋体" w:eastAsia="宋体" w:cs="宋体"/>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pStyle w:val="9"/>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pStyle w:val="9"/>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pStyle w:val="9"/>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pStyle w:val="9"/>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pStyle w:val="9"/>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pStyle w:val="9"/>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pStyle w:val="9"/>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pStyle w:val="9"/>
              <w:ind w:firstLine="480"/>
              <w:rPr>
                <w:lang w:val="zh-CN"/>
              </w:rPr>
            </w:pPr>
          </w:p>
        </w:tc>
      </w:tr>
      <w:tr>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pStyle w:val="9"/>
              <w:ind w:firstLine="0" w:firstLineChars="0"/>
              <w:rPr>
                <w:rFonts w:hint="eastAsia" w:ascii="宋体" w:hAnsi="宋体" w:eastAsia="宋体" w:cs="宋体"/>
                <w:lang w:val="zh-CN"/>
              </w:rPr>
            </w:pPr>
            <w:r>
              <w:rPr>
                <w:rFonts w:hint="eastAsia" w:ascii="宋体" w:hAnsi="宋体" w:eastAsia="宋体" w:cs="宋体"/>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pStyle w:val="9"/>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pStyle w:val="9"/>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pStyle w:val="9"/>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pStyle w:val="9"/>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pStyle w:val="9"/>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pStyle w:val="9"/>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pStyle w:val="9"/>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pStyle w:val="9"/>
              <w:ind w:firstLine="480"/>
              <w:rPr>
                <w:lang w:val="zh-CN"/>
              </w:rPr>
            </w:pPr>
          </w:p>
        </w:tc>
      </w:tr>
      <w:tr>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pStyle w:val="9"/>
              <w:ind w:firstLine="0" w:firstLineChars="0"/>
              <w:rPr>
                <w:rFonts w:hint="eastAsia" w:ascii="宋体" w:hAnsi="宋体" w:eastAsia="宋体" w:cs="宋体"/>
                <w:lang w:val="zh-CN"/>
              </w:rPr>
            </w:pPr>
            <w:r>
              <w:rPr>
                <w:rFonts w:hint="eastAsia" w:ascii="宋体" w:hAnsi="宋体" w:eastAsia="宋体" w:cs="宋体"/>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pStyle w:val="9"/>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pStyle w:val="9"/>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pStyle w:val="9"/>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pStyle w:val="9"/>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pStyle w:val="9"/>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pStyle w:val="9"/>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pStyle w:val="9"/>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pStyle w:val="9"/>
              <w:ind w:firstLine="480"/>
              <w:rPr>
                <w:lang w:val="zh-CN"/>
              </w:rPr>
            </w:pPr>
          </w:p>
        </w:tc>
      </w:tr>
      <w:tr>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pStyle w:val="9"/>
              <w:ind w:firstLine="0" w:firstLineChars="0"/>
              <w:rPr>
                <w:rFonts w:hint="eastAsia" w:ascii="宋体" w:hAnsi="宋体" w:eastAsia="宋体" w:cs="宋体"/>
                <w:lang w:val="zh-CN"/>
              </w:rPr>
            </w:pPr>
            <w:r>
              <w:rPr>
                <w:rFonts w:hint="eastAsia" w:ascii="宋体" w:hAnsi="宋体" w:eastAsia="宋体" w:cs="宋体"/>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pStyle w:val="9"/>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pStyle w:val="9"/>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pStyle w:val="9"/>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pStyle w:val="9"/>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pStyle w:val="9"/>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pStyle w:val="9"/>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pStyle w:val="9"/>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pStyle w:val="9"/>
              <w:ind w:firstLine="480"/>
              <w:rPr>
                <w:lang w:val="zh-CN"/>
              </w:rPr>
            </w:pPr>
          </w:p>
        </w:tc>
      </w:tr>
      <w:tr>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pStyle w:val="9"/>
              <w:ind w:firstLine="0" w:firstLineChars="0"/>
              <w:rPr>
                <w:rFonts w:hint="eastAsia" w:ascii="宋体" w:hAnsi="宋体" w:eastAsia="宋体" w:cs="宋体"/>
                <w:lang w:val="zh-CN"/>
              </w:rPr>
            </w:pPr>
            <w:r>
              <w:rPr>
                <w:rFonts w:hint="eastAsia" w:ascii="宋体" w:hAnsi="宋体" w:eastAsia="宋体" w:cs="宋体"/>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pStyle w:val="9"/>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pStyle w:val="9"/>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pStyle w:val="9"/>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pStyle w:val="9"/>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pStyle w:val="9"/>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pStyle w:val="9"/>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pStyle w:val="9"/>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pStyle w:val="9"/>
              <w:ind w:firstLine="480"/>
              <w:rPr>
                <w:lang w:val="zh-CN"/>
              </w:rPr>
            </w:pPr>
          </w:p>
        </w:tc>
      </w:tr>
      <w:tr>
        <w:tblPrEx>
          <w:tblCellMar>
            <w:top w:w="0" w:type="dxa"/>
            <w:left w:w="28" w:type="dxa"/>
            <w:bottom w:w="0" w:type="dxa"/>
            <w:right w:w="28" w:type="dxa"/>
          </w:tblCellMar>
        </w:tblPrEx>
        <w:trPr>
          <w:trHeight w:val="567"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pStyle w:val="9"/>
              <w:ind w:firstLine="480"/>
              <w:rPr>
                <w:lang w:val="zh-CN"/>
              </w:rPr>
            </w:pPr>
            <w:r>
              <w:rPr>
                <w:rFonts w:hint="eastAsia"/>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pStyle w:val="9"/>
              <w:ind w:firstLine="480"/>
              <w:rPr>
                <w:lang w:val="zh-CN"/>
              </w:rPr>
            </w:pPr>
            <w:r>
              <w:rPr>
                <w:rFonts w:hint="eastAsia"/>
                <w:lang w:val="zh-CN"/>
              </w:rPr>
              <w:t>大写：</w:t>
            </w:r>
          </w:p>
          <w:p>
            <w:pPr>
              <w:pStyle w:val="9"/>
              <w:ind w:firstLine="480"/>
              <w:rPr>
                <w:lang w:val="zh-CN"/>
              </w:rPr>
            </w:pPr>
            <w:r>
              <w:rPr>
                <w:rFonts w:hint="eastAsia"/>
                <w:lang w:val="zh-CN"/>
              </w:rPr>
              <w:t>小写：</w:t>
            </w:r>
          </w:p>
        </w:tc>
      </w:tr>
    </w:tbl>
    <w:p>
      <w:pPr>
        <w:pStyle w:val="9"/>
        <w:ind w:firstLine="480"/>
        <w:rPr>
          <w:lang w:val="zh-CN"/>
        </w:rPr>
      </w:pPr>
    </w:p>
    <w:p>
      <w:pPr>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注：</w:t>
      </w:r>
      <w:r>
        <w:rPr>
          <w:rFonts w:hint="eastAsia" w:ascii="宋体" w:hAnsi="宋体" w:eastAsia="宋体" w:cs="宋体"/>
          <w:sz w:val="24"/>
          <w:szCs w:val="24"/>
        </w:rPr>
        <w:t>1.</w:t>
      </w:r>
      <w:r>
        <w:rPr>
          <w:rFonts w:hint="eastAsia" w:ascii="宋体" w:hAnsi="宋体" w:eastAsia="宋体" w:cs="宋体"/>
          <w:sz w:val="24"/>
          <w:szCs w:val="24"/>
          <w:lang w:val="zh-CN"/>
        </w:rPr>
        <w:t>本表应按照</w:t>
      </w:r>
      <w:r>
        <w:rPr>
          <w:rFonts w:hint="eastAsia" w:ascii="宋体" w:hAnsi="宋体" w:eastAsia="宋体" w:cs="宋体"/>
          <w:sz w:val="24"/>
          <w:szCs w:val="24"/>
        </w:rPr>
        <w:t>第六部分</w:t>
      </w:r>
      <w:r>
        <w:rPr>
          <w:rFonts w:hint="eastAsia" w:ascii="宋体" w:hAnsi="宋体" w:eastAsia="宋体" w:cs="宋体"/>
          <w:sz w:val="24"/>
          <w:szCs w:val="24"/>
          <w:lang w:val="zh-CN"/>
        </w:rPr>
        <w:t>“采购项目要求及技术参数”中的产品序号按顺序逐项填写，不得遗漏，</w:t>
      </w:r>
      <w:r>
        <w:rPr>
          <w:rFonts w:hint="eastAsia" w:ascii="宋体" w:hAnsi="宋体" w:eastAsia="宋体" w:cs="宋体"/>
          <w:sz w:val="24"/>
          <w:szCs w:val="24"/>
        </w:rPr>
        <w:t>否则，按无效投标处理</w:t>
      </w:r>
      <w:r>
        <w:rPr>
          <w:rFonts w:hint="eastAsia" w:ascii="宋体" w:hAnsi="宋体" w:eastAsia="宋体" w:cs="宋体"/>
          <w:sz w:val="24"/>
          <w:szCs w:val="24"/>
          <w:lang w:val="zh-CN"/>
        </w:rPr>
        <w:t>。</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2.</w:t>
      </w:r>
      <w:r>
        <w:rPr>
          <w:rFonts w:hint="eastAsia" w:ascii="宋体" w:hAnsi="宋体" w:eastAsia="宋体" w:cs="宋体"/>
          <w:sz w:val="24"/>
          <w:szCs w:val="24"/>
          <w:lang w:val="zh-CN"/>
        </w:rPr>
        <w:t>投标报价不能有两个或两个以上的报价方案。</w:t>
      </w:r>
    </w:p>
    <w:p>
      <w:pPr>
        <w:spacing w:line="360" w:lineRule="auto"/>
        <w:ind w:firstLine="0" w:firstLineChars="0"/>
        <w:rPr>
          <w:rFonts w:ascii="宋体" w:hAnsi="宋体" w:eastAsia="宋体" w:cs="宋体"/>
          <w:sz w:val="24"/>
          <w:szCs w:val="24"/>
        </w:rPr>
      </w:pPr>
    </w:p>
    <w:p>
      <w:pPr>
        <w:pStyle w:val="9"/>
        <w:ind w:firstLine="480"/>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技术规格响应表</w:t>
      </w:r>
    </w:p>
    <w:p>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r>
        <w:rPr>
          <w:rFonts w:hint="eastAsia" w:ascii="宋体" w:hAnsi="宋体" w:eastAsia="宋体" w:cs="宋体"/>
          <w:b/>
          <w:bCs/>
          <w:sz w:val="24"/>
          <w:szCs w:val="24"/>
        </w:rPr>
        <w:t xml:space="preserve">：                                               </w:t>
      </w:r>
    </w:p>
    <w:tbl>
      <w:tblPr>
        <w:tblStyle w:val="23"/>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bl>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注：1.本表应按照每包“采购项目要求及技术参数”中产品序号的指标逐项填写，不得遗漏。</w:t>
      </w:r>
    </w:p>
    <w:p>
      <w:pPr>
        <w:numPr>
          <w:ilvl w:val="0"/>
          <w:numId w:val="0"/>
        </w:numPr>
        <w:autoSpaceDE w:val="0"/>
        <w:autoSpaceDN w:val="0"/>
        <w:spacing w:line="360" w:lineRule="auto"/>
        <w:ind w:firstLine="480" w:firstLineChars="200"/>
        <w:rPr>
          <w:rFonts w:ascii="宋体" w:hAnsi="宋体" w:eastAsia="宋体" w:cs="宋体"/>
          <w:sz w:val="24"/>
          <w:szCs w:val="24"/>
          <w:lang w:val="zh-CN"/>
        </w:rPr>
      </w:pPr>
      <w:r>
        <w:rPr>
          <w:rFonts w:ascii="宋体" w:hAnsi="宋体" w:eastAsia="宋体" w:cs="宋体"/>
          <w:sz w:val="24"/>
          <w:szCs w:val="24"/>
          <w:lang w:val="zh-CN" w:eastAsia="zh-CN" w:bidi="ar-SA"/>
        </w:rPr>
        <w:t>2.</w:t>
      </w:r>
      <w:r>
        <w:rPr>
          <w:rFonts w:hint="eastAsia" w:ascii="宋体" w:hAnsi="宋体" w:eastAsia="宋体" w:cs="宋体"/>
          <w:sz w:val="24"/>
          <w:szCs w:val="24"/>
          <w:lang w:val="zh-CN"/>
        </w:rPr>
        <w:t>“采购项目要求及技术参数”必须与响应文件中提供的</w:t>
      </w:r>
      <w:r>
        <w:rPr>
          <w:rFonts w:hint="eastAsia" w:ascii="宋体" w:hAnsi="宋体" w:eastAsia="宋体" w:cs="宋体"/>
          <w:sz w:val="24"/>
          <w:szCs w:val="24"/>
        </w:rPr>
        <w:t>证明材料（</w:t>
      </w:r>
      <w:r>
        <w:rPr>
          <w:rFonts w:hint="eastAsia" w:ascii="宋体" w:hAnsi="宋体" w:eastAsia="宋体" w:cs="宋体"/>
          <w:sz w:val="24"/>
          <w:szCs w:val="24"/>
          <w:lang w:val="zh-CN"/>
        </w:rPr>
        <w:t>产品检测报告</w:t>
      </w:r>
      <w:r>
        <w:rPr>
          <w:rFonts w:hint="eastAsia" w:ascii="宋体" w:hAnsi="宋体" w:eastAsia="宋体" w:cs="宋体"/>
          <w:sz w:val="24"/>
          <w:szCs w:val="24"/>
          <w:lang w:val="en-US" w:eastAsia="zh-CN"/>
        </w:rPr>
        <w:t>或</w:t>
      </w:r>
      <w:r>
        <w:rPr>
          <w:rFonts w:hint="eastAsia" w:hAnsi="宋体" w:eastAsia="宋体" w:cs="宋体"/>
          <w:sz w:val="24"/>
          <w:szCs w:val="24"/>
          <w:lang w:val="en-US" w:eastAsia="zh-CN"/>
        </w:rPr>
        <w:t>彩页（或生产厂家公开发布的资料）</w:t>
      </w:r>
      <w:r>
        <w:rPr>
          <w:rFonts w:hint="eastAsia" w:ascii="宋体" w:hAnsi="宋体" w:eastAsia="宋体" w:cs="宋体"/>
          <w:sz w:val="24"/>
          <w:szCs w:val="24"/>
          <w:lang w:val="zh-CN"/>
        </w:rPr>
        <w:t>等证明材料的实质性响应情况相一致。若在评标环节发现该项与响应文件中提供的</w:t>
      </w:r>
      <w:r>
        <w:rPr>
          <w:rFonts w:hint="eastAsia" w:ascii="宋体" w:hAnsi="宋体" w:eastAsia="宋体" w:cs="宋体"/>
          <w:sz w:val="24"/>
          <w:szCs w:val="24"/>
        </w:rPr>
        <w:t>相关证明材料（</w:t>
      </w:r>
      <w:r>
        <w:rPr>
          <w:rFonts w:hint="eastAsia" w:ascii="宋体" w:hAnsi="宋体" w:eastAsia="宋体" w:cs="宋体"/>
          <w:sz w:val="24"/>
          <w:szCs w:val="24"/>
          <w:lang w:val="zh-CN"/>
        </w:rPr>
        <w:t>产品检测报告</w:t>
      </w:r>
      <w:r>
        <w:rPr>
          <w:rFonts w:hint="eastAsia" w:ascii="宋体" w:hAnsi="宋体" w:eastAsia="宋体" w:cs="宋体"/>
          <w:sz w:val="24"/>
          <w:szCs w:val="24"/>
          <w:lang w:val="en-US" w:eastAsia="zh-CN"/>
        </w:rPr>
        <w:t>或</w:t>
      </w:r>
      <w:r>
        <w:rPr>
          <w:rFonts w:hint="eastAsia" w:hAnsi="宋体" w:eastAsia="宋体" w:cs="宋体"/>
          <w:sz w:val="24"/>
          <w:szCs w:val="24"/>
          <w:lang w:val="en-US" w:eastAsia="zh-CN"/>
        </w:rPr>
        <w:t>彩页（或生产厂家公开发布的资料</w:t>
      </w:r>
      <w:r>
        <w:rPr>
          <w:rFonts w:hint="eastAsia" w:ascii="宋体" w:hAnsi="宋体" w:eastAsia="宋体" w:cs="宋体"/>
          <w:sz w:val="24"/>
          <w:szCs w:val="24"/>
        </w:rPr>
        <w:t>）</w:t>
      </w:r>
      <w:r>
        <w:rPr>
          <w:rFonts w:hint="eastAsia" w:ascii="宋体" w:hAnsi="宋体" w:eastAsia="宋体" w:cs="宋体"/>
          <w:sz w:val="24"/>
          <w:szCs w:val="24"/>
          <w:lang w:val="zh-CN"/>
        </w:rPr>
        <w:t>等证明材料的实质性响应情况不一致或直接复制磋商文件“采购项目要求及技术参数”内容的，按无效投标处理。</w:t>
      </w:r>
    </w:p>
    <w:p>
      <w:pPr>
        <w:numPr>
          <w:ilvl w:val="0"/>
          <w:numId w:val="0"/>
        </w:numPr>
        <w:autoSpaceDE w:val="0"/>
        <w:autoSpaceDN w:val="0"/>
        <w:spacing w:line="360" w:lineRule="auto"/>
        <w:ind w:firstLine="480" w:firstLineChars="200"/>
        <w:rPr>
          <w:rFonts w:ascii="宋体" w:hAnsi="宋体" w:eastAsia="宋体" w:cs="宋体"/>
          <w:sz w:val="24"/>
          <w:szCs w:val="24"/>
          <w:lang w:val="zh-CN"/>
        </w:rPr>
      </w:pPr>
      <w:r>
        <w:rPr>
          <w:rFonts w:ascii="宋体" w:hAnsi="宋体" w:eastAsia="宋体" w:cs="宋体"/>
          <w:sz w:val="24"/>
          <w:szCs w:val="24"/>
          <w:lang w:val="zh-CN" w:eastAsia="zh-CN" w:bidi="ar-SA"/>
        </w:rPr>
        <w:t>3.</w:t>
      </w:r>
      <w:r>
        <w:rPr>
          <w:rFonts w:hint="eastAsia" w:ascii="宋体" w:hAnsi="宋体" w:eastAsia="宋体" w:cs="宋体"/>
          <w:sz w:val="24"/>
          <w:szCs w:val="24"/>
          <w:lang w:val="zh-CN"/>
        </w:rPr>
        <w:t>填写此表时以招标项目参数要求为基本投标要求，满足招标项目参数要求的指标需列出“</w:t>
      </w:r>
      <w:r>
        <w:rPr>
          <w:rFonts w:hint="eastAsia" w:ascii="宋体" w:hAnsi="宋体" w:eastAsia="宋体" w:cs="宋体"/>
          <w:sz w:val="24"/>
          <w:szCs w:val="24"/>
        </w:rPr>
        <w:t>0</w:t>
      </w:r>
      <w:r>
        <w:rPr>
          <w:rFonts w:hint="eastAsia" w:ascii="宋体" w:hAnsi="宋体" w:eastAsia="宋体" w:cs="宋体"/>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rFonts w:ascii="宋体" w:hAnsi="宋体" w:eastAsia="宋体" w:cs="宋体"/>
          <w:sz w:val="24"/>
          <w:szCs w:val="24"/>
          <w:lang w:val="zh-CN"/>
        </w:rPr>
      </w:pPr>
    </w:p>
    <w:p>
      <w:pPr>
        <w:autoSpaceDE w:val="0"/>
        <w:autoSpaceDN w:val="0"/>
        <w:spacing w:line="360" w:lineRule="auto"/>
        <w:ind w:firstLine="480"/>
        <w:rPr>
          <w:rFonts w:ascii="宋体" w:hAnsi="宋体" w:eastAsia="宋体" w:cs="宋体"/>
          <w:sz w:val="24"/>
          <w:szCs w:val="24"/>
          <w:lang w:val="zh-CN"/>
        </w:rPr>
      </w:pPr>
    </w:p>
    <w:p>
      <w:pPr>
        <w:pStyle w:val="12"/>
        <w:ind w:firstLine="480"/>
        <w:rPr>
          <w:rFonts w:hAnsi="宋体" w:eastAsia="宋体" w:cs="宋体"/>
          <w:sz w:val="24"/>
          <w:szCs w:val="24"/>
          <w:lang w:val="zh-CN"/>
        </w:rPr>
      </w:pPr>
    </w:p>
    <w:p>
      <w:pPr>
        <w:pStyle w:val="12"/>
        <w:ind w:firstLine="480"/>
        <w:rPr>
          <w:rFonts w:hAnsi="宋体" w:eastAsia="宋体" w:cs="宋体"/>
          <w:sz w:val="24"/>
          <w:szCs w:val="24"/>
          <w:lang w:val="zh-CN"/>
        </w:rPr>
      </w:pPr>
    </w:p>
    <w:p>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 xml:space="preserve">供应商：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（公章）</w:t>
      </w:r>
    </w:p>
    <w:p>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法定代表人或委托代理人：        （签字）</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bCs/>
          <w:sz w:val="24"/>
          <w:szCs w:val="24"/>
          <w:lang w:val="zh-CN"/>
        </w:rPr>
        <w:t xml:space="preserve">年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月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日</w:t>
      </w: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59" w:name="_Toc14675"/>
      <w:bookmarkStart w:id="160" w:name="_Toc13693"/>
      <w:r>
        <w:rPr>
          <w:rFonts w:hint="eastAsia" w:ascii="宋体" w:hAnsi="宋体" w:eastAsia="宋体" w:cs="宋体"/>
          <w:b/>
          <w:sz w:val="24"/>
          <w:szCs w:val="24"/>
        </w:rPr>
        <w:t>附件</w:t>
      </w:r>
      <w:bookmarkStart w:id="161" w:name="_Toc376936774"/>
      <w:bookmarkStart w:id="162" w:name="_Toc325726043"/>
      <w:r>
        <w:rPr>
          <w:rFonts w:hint="eastAsia" w:ascii="宋体" w:hAnsi="宋体" w:eastAsia="宋体" w:cs="宋体"/>
          <w:b/>
          <w:sz w:val="24"/>
          <w:szCs w:val="24"/>
        </w:rPr>
        <w:t>4：法定代表人证明书</w:t>
      </w:r>
      <w:bookmarkEnd w:id="159"/>
      <w:bookmarkEnd w:id="160"/>
      <w:bookmarkEnd w:id="161"/>
      <w:bookmarkEnd w:id="162"/>
    </w:p>
    <w:p>
      <w:pPr>
        <w:spacing w:line="360" w:lineRule="auto"/>
        <w:ind w:firstLine="0" w:firstLineChars="0"/>
        <w:jc w:val="center"/>
        <w:rPr>
          <w:rFonts w:ascii="宋体" w:hAnsi="宋体" w:eastAsia="宋体" w:cs="宋体"/>
          <w:b/>
          <w:bCs/>
          <w:sz w:val="24"/>
          <w:szCs w:val="24"/>
        </w:rPr>
      </w:pPr>
    </w:p>
    <w:p>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法定代表人证明书</w:t>
      </w:r>
    </w:p>
    <w:p>
      <w:pPr>
        <w:spacing w:line="360" w:lineRule="auto"/>
        <w:ind w:firstLine="0" w:firstLineChars="0"/>
        <w:rPr>
          <w:rFonts w:ascii="宋体" w:hAnsi="宋体" w:eastAsia="宋体" w:cs="宋体"/>
          <w:b/>
          <w:bCs/>
          <w:sz w:val="24"/>
          <w:szCs w:val="24"/>
        </w:rPr>
      </w:pPr>
    </w:p>
    <w:p>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pPr>
        <w:autoSpaceDE w:val="0"/>
        <w:autoSpaceDN w:val="0"/>
        <w:spacing w:line="360" w:lineRule="auto"/>
        <w:ind w:firstLine="0" w:firstLineChars="0"/>
        <w:jc w:val="left"/>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u w:val="single"/>
        </w:rPr>
        <w:t xml:space="preserve">  （法定代表人姓名）  </w:t>
      </w: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职务，为法定代表人，特此证明。</w:t>
      </w:r>
    </w:p>
    <w:p>
      <w:pPr>
        <w:autoSpaceDE w:val="0"/>
        <w:autoSpaceDN w:val="0"/>
        <w:spacing w:line="360" w:lineRule="auto"/>
        <w:ind w:firstLine="0" w:firstLineChars="0"/>
        <w:jc w:val="left"/>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法定代表人基本情况：</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民族：</w:t>
      </w:r>
      <w:r>
        <w:rPr>
          <w:rFonts w:hint="eastAsia" w:ascii="宋体" w:hAnsi="宋体" w:eastAsia="宋体" w:cs="宋体"/>
          <w:sz w:val="24"/>
          <w:szCs w:val="24"/>
          <w:u w:val="single"/>
        </w:rPr>
        <w:t xml:space="preserve">     </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pPr>
        <w:autoSpaceDE w:val="0"/>
        <w:autoSpaceDN w:val="0"/>
        <w:spacing w:line="360" w:lineRule="auto"/>
        <w:ind w:firstLine="0" w:firstLineChars="0"/>
        <w:jc w:val="left"/>
        <w:rPr>
          <w:rFonts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附法定代表人第二代身份证双面扫描（或复印）件</w:t>
      </w:r>
    </w:p>
    <w:p>
      <w:pPr>
        <w:autoSpaceDE w:val="0"/>
        <w:autoSpaceDN w:val="0"/>
        <w:spacing w:line="360" w:lineRule="auto"/>
        <w:ind w:firstLine="0" w:firstLineChars="0"/>
        <w:jc w:val="left"/>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sz w:val="24"/>
          <w:szCs w:val="24"/>
        </w:rPr>
      </w:pPr>
    </w:p>
    <w:p>
      <w:pPr>
        <w:pStyle w:val="12"/>
        <w:ind w:firstLine="480"/>
        <w:rPr>
          <w:rFonts w:hAnsi="宋体" w:eastAsia="宋体" w:cs="宋体"/>
          <w:sz w:val="24"/>
          <w:szCs w:val="24"/>
        </w:rPr>
      </w:pPr>
    </w:p>
    <w:p>
      <w:pPr>
        <w:pStyle w:val="12"/>
        <w:ind w:firstLine="480"/>
        <w:rPr>
          <w:rFonts w:hAnsi="宋体" w:eastAsia="宋体" w:cs="宋体"/>
          <w:sz w:val="24"/>
          <w:szCs w:val="24"/>
        </w:rPr>
      </w:pPr>
    </w:p>
    <w:p>
      <w:pPr>
        <w:autoSpaceDE w:val="0"/>
        <w:autoSpaceDN w:val="0"/>
        <w:spacing w:line="360" w:lineRule="auto"/>
        <w:ind w:firstLine="0" w:firstLineChars="0"/>
        <w:jc w:val="left"/>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63" w:name="_Toc324756736"/>
      <w:bookmarkStart w:id="164" w:name="_Toc201287639"/>
      <w:bookmarkStart w:id="165" w:name="_Toc29201"/>
      <w:bookmarkStart w:id="166" w:name="_Toc31614"/>
      <w:r>
        <w:rPr>
          <w:rFonts w:hint="eastAsia" w:ascii="宋体" w:hAnsi="宋体" w:eastAsia="宋体" w:cs="宋体"/>
          <w:b/>
          <w:sz w:val="24"/>
          <w:szCs w:val="24"/>
        </w:rPr>
        <w:t>附件</w:t>
      </w:r>
      <w:bookmarkEnd w:id="163"/>
      <w:bookmarkEnd w:id="164"/>
      <w:r>
        <w:rPr>
          <w:rFonts w:hint="eastAsia" w:ascii="宋体" w:hAnsi="宋体" w:eastAsia="宋体" w:cs="宋体"/>
          <w:b/>
          <w:sz w:val="24"/>
          <w:szCs w:val="24"/>
        </w:rPr>
        <w:t>5：法定代表人授权书</w:t>
      </w:r>
      <w:bookmarkEnd w:id="165"/>
      <w:bookmarkEnd w:id="166"/>
    </w:p>
    <w:p>
      <w:pPr>
        <w:spacing w:line="360" w:lineRule="auto"/>
        <w:ind w:firstLine="0" w:firstLineChars="0"/>
        <w:rPr>
          <w:rFonts w:ascii="宋体" w:hAnsi="宋体" w:eastAsia="宋体" w:cs="宋体"/>
          <w:b/>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法定代表人授权书</w:t>
      </w:r>
    </w:p>
    <w:p>
      <w:pPr>
        <w:spacing w:line="360" w:lineRule="auto"/>
        <w:ind w:firstLine="0" w:firstLineChars="0"/>
        <w:rPr>
          <w:rFonts w:ascii="宋体" w:hAnsi="宋体" w:eastAsia="宋体" w:cs="宋体"/>
          <w:b/>
          <w:bCs/>
          <w:sz w:val="24"/>
          <w:szCs w:val="24"/>
        </w:rPr>
      </w:pPr>
    </w:p>
    <w:p>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pPr>
        <w:spacing w:line="360" w:lineRule="auto"/>
        <w:ind w:firstLine="0" w:firstLineChars="0"/>
        <w:rPr>
          <w:rFonts w:ascii="宋体" w:hAnsi="宋体" w:eastAsia="宋体" w:cs="宋体"/>
          <w:sz w:val="24"/>
          <w:szCs w:val="24"/>
          <w:u w:val="single"/>
        </w:rPr>
      </w:pP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系中华人民共和国合法企业，法定地址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（法定代表人姓名）   </w:t>
      </w:r>
      <w:r>
        <w:rPr>
          <w:rFonts w:hint="eastAsia" w:ascii="宋体" w:hAnsi="宋体" w:eastAsia="宋体" w:cs="宋体"/>
          <w:sz w:val="24"/>
          <w:szCs w:val="24"/>
        </w:rPr>
        <w:t>特授权</w:t>
      </w:r>
      <w:r>
        <w:rPr>
          <w:rFonts w:hint="eastAsia" w:ascii="宋体" w:hAnsi="宋体" w:eastAsia="宋体" w:cs="宋体"/>
          <w:sz w:val="24"/>
          <w:szCs w:val="24"/>
          <w:u w:val="single"/>
        </w:rPr>
        <w:t xml:space="preserve"> （委托代理人姓名）    </w:t>
      </w:r>
      <w:r>
        <w:rPr>
          <w:rFonts w:hint="eastAsia" w:ascii="宋体" w:hAnsi="宋体" w:eastAsia="宋体" w:cs="宋体"/>
          <w:sz w:val="24"/>
          <w:szCs w:val="24"/>
        </w:rPr>
        <w:t>代表我单位全权办理针对</w:t>
      </w:r>
      <w:r>
        <w:rPr>
          <w:rFonts w:hint="eastAsia" w:ascii="宋体" w:hAnsi="宋体" w:eastAsia="宋体" w:cs="宋体"/>
          <w:sz w:val="24"/>
          <w:szCs w:val="24"/>
          <w:u w:val="single"/>
        </w:rPr>
        <w:t xml:space="preserve">              </w:t>
      </w:r>
      <w:r>
        <w:rPr>
          <w:rFonts w:hint="eastAsia" w:ascii="宋体" w:hAnsi="宋体" w:eastAsia="宋体" w:cs="宋体"/>
          <w:sz w:val="24"/>
          <w:szCs w:val="24"/>
        </w:rPr>
        <w:t>项目的磋商、答疑等具体工作，并签署全部有关的文件、资料。</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我单位对被授权人的签名负全部责任。</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授权期限：同磋商有效期</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被授权人联系电话：</w:t>
      </w:r>
      <w:r>
        <w:rPr>
          <w:rFonts w:hint="eastAsia" w:ascii="宋体" w:hAnsi="宋体" w:eastAsia="宋体" w:cs="宋体"/>
          <w:sz w:val="24"/>
          <w:szCs w:val="24"/>
          <w:u w:val="single"/>
        </w:rPr>
        <w:t xml:space="preserve">           </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u w:val="single"/>
        </w:rPr>
      </w:pPr>
      <w:r>
        <w:rPr>
          <w:rFonts w:hint="eastAsia" w:ascii="宋体" w:hAnsi="宋体" w:eastAsia="宋体" w:cs="宋体"/>
          <w:sz w:val="24"/>
          <w:szCs w:val="24"/>
        </w:rPr>
        <w:t>被授权人（委托代理人）签字：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授权人（法定代表人）签字：</w:t>
      </w:r>
      <w:r>
        <w:rPr>
          <w:rFonts w:hint="eastAsia" w:ascii="宋体" w:hAnsi="宋体" w:eastAsia="宋体" w:cs="宋体"/>
          <w:sz w:val="24"/>
          <w:szCs w:val="24"/>
          <w:u w:val="single"/>
        </w:rPr>
        <w:t xml:space="preserve">      </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 xml:space="preserve">            </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附被授权人第二代身份证双面扫描（或复印）件</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pStyle w:val="12"/>
        <w:ind w:firstLine="480"/>
        <w:rPr>
          <w:rFonts w:hAnsi="宋体" w:eastAsia="宋体" w:cs="宋体"/>
          <w:sz w:val="24"/>
          <w:szCs w:val="24"/>
        </w:rPr>
      </w:pPr>
    </w:p>
    <w:p>
      <w:pPr>
        <w:pStyle w:val="12"/>
        <w:ind w:firstLine="480"/>
        <w:rPr>
          <w:rFonts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67" w:name="_Toc25884"/>
      <w:bookmarkStart w:id="168" w:name="_Toc30284"/>
      <w:r>
        <w:rPr>
          <w:rFonts w:hint="eastAsia" w:ascii="宋体" w:hAnsi="宋体" w:eastAsia="宋体" w:cs="宋体"/>
          <w:b/>
          <w:sz w:val="24"/>
          <w:szCs w:val="24"/>
        </w:rPr>
        <w:t>附件6：供应商承诺函</w:t>
      </w:r>
      <w:bookmarkEnd w:id="167"/>
      <w:bookmarkEnd w:id="168"/>
    </w:p>
    <w:p>
      <w:pPr>
        <w:spacing w:line="360" w:lineRule="auto"/>
        <w:ind w:firstLine="0" w:firstLineChars="0"/>
        <w:jc w:val="center"/>
        <w:rPr>
          <w:rFonts w:ascii="宋体" w:hAnsi="宋体" w:eastAsia="宋体" w:cs="宋体"/>
          <w:b/>
          <w:bCs/>
          <w:sz w:val="24"/>
          <w:szCs w:val="24"/>
        </w:rPr>
      </w:pPr>
    </w:p>
    <w:p>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供应商承诺函</w:t>
      </w:r>
    </w:p>
    <w:p>
      <w:pPr>
        <w:spacing w:line="360" w:lineRule="auto"/>
        <w:ind w:firstLine="0" w:firstLineChars="0"/>
        <w:rPr>
          <w:rFonts w:ascii="宋体" w:hAnsi="宋体" w:eastAsia="宋体" w:cs="宋体"/>
          <w:b/>
          <w:bCs/>
          <w:sz w:val="24"/>
          <w:szCs w:val="24"/>
        </w:rPr>
      </w:pPr>
    </w:p>
    <w:p>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关于贵方202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项目名称        </w:t>
      </w:r>
      <w:r>
        <w:rPr>
          <w:rFonts w:hint="eastAsia" w:ascii="宋体" w:hAnsi="宋体" w:eastAsia="宋体" w:cs="宋体"/>
          <w:sz w:val="24"/>
          <w:szCs w:val="24"/>
        </w:rPr>
        <w:t>采购项目，本签字人愿意参加磋商，提供采购项目要求及技术参数的所有服务，并证实提交的所有资料是准确的和真实的。同时，我代表</w:t>
      </w:r>
      <w:r>
        <w:rPr>
          <w:rFonts w:hint="eastAsia" w:ascii="宋体" w:hAnsi="宋体" w:eastAsia="宋体" w:cs="宋体"/>
          <w:sz w:val="24"/>
          <w:szCs w:val="24"/>
          <w:u w:val="single"/>
        </w:rPr>
        <w:t>（供应商名称）</w:t>
      </w:r>
      <w:r>
        <w:rPr>
          <w:rFonts w:hint="eastAsia" w:ascii="宋体" w:hAnsi="宋体" w:eastAsia="宋体" w:cs="宋体"/>
          <w:sz w:val="24"/>
          <w:szCs w:val="24"/>
        </w:rPr>
        <w:t>，在此作如下承诺：</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1、完全理解和接受磋商文件的一切规定和要求；</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3、在整个磋商过程中我方若有违规行为，贵方可按磋商文件之规定给予处罚，我方完全接受。</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4、若成交，本承诺将成为合同不可分割的一部分，与合同具有同等的法律效力。</w:t>
      </w:r>
    </w:p>
    <w:p>
      <w:pPr>
        <w:spacing w:line="360" w:lineRule="auto"/>
        <w:ind w:firstLine="0" w:firstLineChars="0"/>
        <w:textAlignment w:val="baseline"/>
        <w:rPr>
          <w:rFonts w:ascii="宋体" w:hAnsi="宋体" w:eastAsia="宋体" w:cs="宋体"/>
          <w:sz w:val="24"/>
          <w:szCs w:val="24"/>
        </w:rPr>
      </w:pPr>
    </w:p>
    <w:p>
      <w:pPr>
        <w:pStyle w:val="12"/>
        <w:ind w:firstLine="480"/>
        <w:rPr>
          <w:rFonts w:hAnsi="宋体" w:eastAsia="宋体" w:cs="宋体"/>
          <w:sz w:val="24"/>
          <w:szCs w:val="24"/>
        </w:rPr>
      </w:pPr>
    </w:p>
    <w:p>
      <w:pPr>
        <w:pStyle w:val="12"/>
        <w:ind w:firstLine="480"/>
        <w:rPr>
          <w:rFonts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69" w:name="_Toc11349"/>
      <w:bookmarkStart w:id="170" w:name="_Toc11173"/>
      <w:r>
        <w:rPr>
          <w:rFonts w:hint="eastAsia" w:ascii="宋体" w:hAnsi="宋体" w:eastAsia="宋体" w:cs="宋体"/>
          <w:b/>
          <w:sz w:val="24"/>
          <w:szCs w:val="24"/>
        </w:rPr>
        <w:t>附件</w:t>
      </w:r>
      <w:bookmarkStart w:id="171" w:name="_Toc376936779"/>
      <w:bookmarkStart w:id="172" w:name="_Toc351475542"/>
      <w:bookmarkStart w:id="173" w:name="_Toc365019584"/>
      <w:r>
        <w:rPr>
          <w:rFonts w:hint="eastAsia" w:ascii="宋体" w:hAnsi="宋体" w:eastAsia="宋体" w:cs="宋体"/>
          <w:b/>
          <w:sz w:val="24"/>
          <w:szCs w:val="24"/>
        </w:rPr>
        <w:t>7：供应商诚信承诺书</w:t>
      </w:r>
      <w:bookmarkEnd w:id="169"/>
      <w:bookmarkEnd w:id="170"/>
      <w:bookmarkEnd w:id="171"/>
      <w:bookmarkEnd w:id="172"/>
      <w:bookmarkEnd w:id="173"/>
    </w:p>
    <w:p>
      <w:pPr>
        <w:spacing w:line="360" w:lineRule="auto"/>
        <w:ind w:firstLine="0" w:firstLineChars="0"/>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供应商诚信承诺书</w:t>
      </w: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为了诚实、客观、有序地参与青海省政府采购活动，愿就以下内容作出承诺：</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一、自觉遵守各项法律、法规、规章、制度以及社会公德，维护廉洁环境，与同场竞争的供应商平等参加政府采购活动。</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二、参加青海品冠招标代理有限公司组织的政府采购活动时，严格按照磋商文件的规定和要求提供所需的相关材料，并对所提供的各类资料的真实性负责，不虚假应标，不虚列业绩。</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三、尊重参与政府采购活动各相关方的合法行为，接受政府采购活动依法形成的意见、结果。</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四、依法参加政府采购活动，不围标、串标，维护市场秩序，不提供“三无”产品、以次充好。</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六、认真履行成交供应商应承担的责任和义务，全面执行采购合同规定的各项内容，保质保量地按时提供采购物品。</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本承诺是采购项目响应文件的组成部分。</w:t>
      </w:r>
    </w:p>
    <w:p>
      <w:pPr>
        <w:spacing w:line="360" w:lineRule="auto"/>
        <w:ind w:firstLine="0" w:firstLineChars="0"/>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74" w:name="_Toc7486"/>
      <w:bookmarkStart w:id="175" w:name="_Toc25993"/>
      <w:r>
        <w:rPr>
          <w:rFonts w:hint="eastAsia" w:ascii="宋体" w:hAnsi="宋体" w:eastAsia="宋体" w:cs="宋体"/>
          <w:b/>
          <w:sz w:val="24"/>
          <w:szCs w:val="24"/>
        </w:rPr>
        <w:t>附件8：资格证明材料</w:t>
      </w:r>
      <w:bookmarkEnd w:id="174"/>
      <w:bookmarkEnd w:id="175"/>
    </w:p>
    <w:p>
      <w:pPr>
        <w:spacing w:line="360" w:lineRule="auto"/>
        <w:ind w:firstLine="0" w:firstLineChars="0"/>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资格证明材料</w:t>
      </w:r>
    </w:p>
    <w:p>
      <w:pPr>
        <w:autoSpaceDE w:val="0"/>
        <w:autoSpaceDN w:val="0"/>
        <w:spacing w:line="360" w:lineRule="auto"/>
        <w:ind w:firstLine="0" w:firstLineChars="0"/>
        <w:rPr>
          <w:rFonts w:ascii="宋体" w:hAnsi="宋体" w:eastAsia="宋体" w:cs="宋体"/>
          <w:sz w:val="24"/>
          <w:szCs w:val="24"/>
          <w:lang w:val="zh-CN"/>
        </w:rPr>
      </w:pP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pPr>
        <w:numPr>
          <w:ilvl w:val="0"/>
          <w:numId w:val="4"/>
        </w:num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提供有效的营业执照、税务登记证、机构代码证或三证（五证）合一统一社会代码证及其他资格证明文件（扫描或复印件）；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文件规定的有关资格证书、许可证书、认证等；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认为有必要提供的其他资格证明文件。</w:t>
      </w:r>
    </w:p>
    <w:p>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76" w:name="_Toc19128"/>
      <w:bookmarkStart w:id="177" w:name="_Toc32130"/>
      <w:r>
        <w:rPr>
          <w:rFonts w:hint="eastAsia" w:ascii="宋体" w:hAnsi="宋体" w:eastAsia="宋体" w:cs="宋体"/>
          <w:b/>
          <w:sz w:val="24"/>
          <w:szCs w:val="24"/>
        </w:rPr>
        <w:t>附件9：财务状况证明</w:t>
      </w:r>
      <w:bookmarkEnd w:id="176"/>
      <w:bookmarkEnd w:id="177"/>
    </w:p>
    <w:p>
      <w:pPr>
        <w:autoSpaceDE w:val="0"/>
        <w:autoSpaceDN w:val="0"/>
        <w:spacing w:line="360" w:lineRule="auto"/>
        <w:ind w:firstLine="0" w:firstLineChars="0"/>
        <w:jc w:val="center"/>
        <w:rPr>
          <w:rFonts w:ascii="宋体" w:hAnsi="宋体" w:eastAsia="宋体" w:cs="宋体"/>
          <w:b/>
          <w:sz w:val="24"/>
          <w:szCs w:val="24"/>
        </w:rPr>
      </w:pPr>
    </w:p>
    <w:p>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财务状况证明</w:t>
      </w:r>
    </w:p>
    <w:p>
      <w:pPr>
        <w:autoSpaceDE w:val="0"/>
        <w:autoSpaceDN w:val="0"/>
        <w:spacing w:line="360" w:lineRule="auto"/>
        <w:ind w:firstLine="0" w:firstLineChars="0"/>
        <w:jc w:val="center"/>
        <w:rPr>
          <w:rFonts w:ascii="宋体" w:hAnsi="宋体" w:eastAsia="宋体" w:cs="宋体"/>
          <w:b/>
          <w:sz w:val="24"/>
          <w:szCs w:val="24"/>
        </w:rPr>
      </w:pPr>
    </w:p>
    <w:p>
      <w:pPr>
        <w:autoSpaceDE w:val="0"/>
        <w:autoSpaceDN w:val="0"/>
        <w:spacing w:line="360" w:lineRule="auto"/>
        <w:ind w:firstLine="480"/>
        <w:jc w:val="left"/>
        <w:rPr>
          <w:rFonts w:ascii="宋体" w:hAnsi="宋体" w:eastAsia="宋体" w:cs="宋体"/>
          <w:sz w:val="24"/>
          <w:szCs w:val="24"/>
        </w:rPr>
      </w:pPr>
      <w:r>
        <w:rPr>
          <w:rFonts w:hint="eastAsia" w:ascii="宋体" w:hAnsi="宋体" w:eastAsia="宋体" w:cs="宋体"/>
          <w:sz w:val="24"/>
          <w:szCs w:val="24"/>
        </w:rPr>
        <w:t>按照磋商文件第2.2款（1）中第&lt;2&gt;条规定提供以下相关材料。</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供应商是法人的，提供基本开户银行近三个月内出具的资信证明（同时提供基本存款账户开户许可证）</w:t>
      </w:r>
      <w:r>
        <w:rPr>
          <w:rFonts w:hint="eastAsia" w:ascii="宋体" w:hAnsi="宋体" w:eastAsia="宋体" w:cs="宋体"/>
          <w:sz w:val="24"/>
          <w:szCs w:val="24"/>
          <w:lang w:val="en-US" w:eastAsia="zh-CN"/>
        </w:rPr>
        <w:t>或2023年度（或2024年度）</w:t>
      </w:r>
      <w:r>
        <w:rPr>
          <w:rFonts w:hint="eastAsia" w:ascii="宋体" w:hAnsi="宋体" w:eastAsia="宋体" w:cs="宋体"/>
          <w:sz w:val="24"/>
          <w:szCs w:val="24"/>
        </w:rPr>
        <w:t>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w:t>
      </w:r>
    </w:p>
    <w:p>
      <w:pPr>
        <w:wordWrap w:val="0"/>
        <w:spacing w:line="360" w:lineRule="auto"/>
        <w:ind w:firstLine="480"/>
        <w:rPr>
          <w:rFonts w:ascii="宋体" w:hAnsi="宋体" w:eastAsia="宋体" w:cs="宋体"/>
          <w:sz w:val="24"/>
          <w:lang w:val="zh-CN"/>
        </w:rPr>
      </w:pPr>
      <w:r>
        <w:rPr>
          <w:rFonts w:hint="eastAsia" w:ascii="宋体" w:hAnsi="宋体" w:eastAsia="宋体" w:cs="宋体"/>
          <w:sz w:val="24"/>
          <w:szCs w:val="24"/>
          <w:lang w:val="zh-CN"/>
        </w:rPr>
        <w:t>2、</w:t>
      </w:r>
      <w:r>
        <w:rPr>
          <w:rFonts w:hint="eastAsia" w:ascii="宋体" w:hAnsi="宋体" w:eastAsia="宋体" w:cs="宋体"/>
          <w:sz w:val="24"/>
          <w:lang w:val="zh-CN"/>
        </w:rPr>
        <w:t>近</w:t>
      </w:r>
      <w:r>
        <w:rPr>
          <w:rFonts w:hint="eastAsia" w:ascii="宋体" w:hAnsi="宋体" w:eastAsia="宋体" w:cs="宋体"/>
          <w:sz w:val="24"/>
        </w:rPr>
        <w:t>半年内任意</w:t>
      </w:r>
      <w:r>
        <w:rPr>
          <w:rFonts w:hint="eastAsia" w:ascii="宋体" w:hAnsi="宋体" w:eastAsia="宋体" w:cs="宋体"/>
          <w:sz w:val="24"/>
          <w:highlight w:val="none"/>
          <w:lang w:val="en-US" w:eastAsia="zh-CN"/>
        </w:rPr>
        <w:t>一</w:t>
      </w:r>
      <w:r>
        <w:rPr>
          <w:rFonts w:hint="eastAsia" w:ascii="宋体" w:hAnsi="宋体" w:eastAsia="宋体" w:cs="宋体"/>
          <w:sz w:val="24"/>
          <w:highlight w:val="none"/>
        </w:rPr>
        <w:t>个月</w:t>
      </w:r>
      <w:r>
        <w:rPr>
          <w:rFonts w:hint="eastAsia" w:ascii="宋体" w:hAnsi="宋体" w:eastAsia="宋体" w:cs="宋体"/>
          <w:sz w:val="24"/>
          <w:highlight w:val="none"/>
          <w:lang w:val="zh-CN"/>
        </w:rPr>
        <w:t>依法缴纳税</w:t>
      </w:r>
      <w:r>
        <w:rPr>
          <w:rFonts w:hint="eastAsia" w:ascii="宋体" w:hAnsi="宋体" w:eastAsia="宋体" w:cs="宋体"/>
          <w:sz w:val="24"/>
          <w:lang w:val="zh-CN"/>
        </w:rPr>
        <w:t>收和社会保障资金记录的证明材料；依法免税或不需要缴纳社会保障资金的供应商需提供相应文件证明其依法免税或不需要缴纳社会保障资金。</w:t>
      </w:r>
      <w:r>
        <w:rPr>
          <w:rFonts w:hint="eastAsia" w:ascii="宋体" w:hAnsi="宋体" w:eastAsia="宋体" w:cs="宋体"/>
          <w:sz w:val="24"/>
          <w:lang w:val="zh-CN"/>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78" w:name="_Toc23114"/>
      <w:bookmarkStart w:id="179" w:name="_Toc27149"/>
      <w:r>
        <w:rPr>
          <w:rFonts w:hint="eastAsia" w:ascii="宋体" w:hAnsi="宋体" w:eastAsia="宋体" w:cs="宋体"/>
          <w:b/>
          <w:sz w:val="24"/>
          <w:szCs w:val="24"/>
        </w:rPr>
        <w:t>附件10：具备履行合同所必须的设备和专业技术能力证明</w:t>
      </w:r>
    </w:p>
    <w:p>
      <w:pPr>
        <w:autoSpaceDE w:val="0"/>
        <w:autoSpaceDN w:val="0"/>
        <w:spacing w:line="360" w:lineRule="auto"/>
        <w:ind w:firstLine="480"/>
        <w:rPr>
          <w:rFonts w:ascii="宋体" w:hAnsi="宋体" w:eastAsia="宋体" w:cs="宋体"/>
          <w:sz w:val="24"/>
          <w:szCs w:val="24"/>
          <w:lang w:val="zh-CN"/>
        </w:rPr>
      </w:pPr>
    </w:p>
    <w:p>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具备履行合同所必须的设备和专业技术能力证明</w:t>
      </w:r>
    </w:p>
    <w:p>
      <w:pPr>
        <w:autoSpaceDE w:val="0"/>
        <w:autoSpaceDN w:val="0"/>
        <w:spacing w:line="360" w:lineRule="auto"/>
        <w:ind w:firstLine="482"/>
        <w:rPr>
          <w:rFonts w:ascii="宋体" w:hAnsi="宋体" w:eastAsia="宋体" w:cs="宋体"/>
          <w:b/>
          <w:sz w:val="24"/>
          <w:szCs w:val="24"/>
          <w:lang w:val="zh-CN"/>
        </w:rPr>
      </w:pPr>
    </w:p>
    <w:p>
      <w:pPr>
        <w:autoSpaceDE w:val="0"/>
        <w:autoSpaceDN w:val="0"/>
        <w:spacing w:line="360" w:lineRule="auto"/>
        <w:ind w:firstLine="480"/>
        <w:rPr>
          <w:rFonts w:ascii="宋体" w:hAnsi="宋体" w:eastAsia="宋体" w:cs="宋体"/>
          <w:b/>
          <w:sz w:val="24"/>
          <w:szCs w:val="24"/>
          <w:lang w:val="zh-CN"/>
        </w:rPr>
      </w:pPr>
      <w:r>
        <w:rPr>
          <w:rFonts w:hint="eastAsia" w:ascii="宋体" w:hAnsi="宋体" w:eastAsia="宋体" w:cs="宋体"/>
          <w:bCs/>
          <w:sz w:val="24"/>
          <w:szCs w:val="24"/>
          <w:lang w:val="zh-CN"/>
        </w:rPr>
        <w:t>为保证本项目合同的顺利履行，</w:t>
      </w:r>
      <w:r>
        <w:rPr>
          <w:rFonts w:hint="eastAsia" w:ascii="宋体" w:hAnsi="宋体" w:eastAsia="宋体" w:cs="宋体"/>
          <w:bCs/>
          <w:sz w:val="24"/>
          <w:szCs w:val="24"/>
        </w:rPr>
        <w:t>供应商</w:t>
      </w:r>
      <w:r>
        <w:rPr>
          <w:rFonts w:hint="eastAsia" w:ascii="宋体" w:hAnsi="宋体" w:eastAsia="宋体" w:cs="宋体"/>
          <w:bCs/>
          <w:sz w:val="24"/>
          <w:szCs w:val="24"/>
          <w:lang w:val="zh-CN"/>
        </w:rPr>
        <w:t>必须具备履行合同的设备和专业技术能力，须提供必须具备履行合同的设备和专业技术能力的承诺函（格式自拟），并提供相关</w:t>
      </w:r>
      <w:r>
        <w:rPr>
          <w:rFonts w:hint="eastAsia" w:ascii="宋体" w:hAnsi="宋体" w:eastAsia="宋体" w:cs="宋体"/>
          <w:bCs/>
          <w:sz w:val="24"/>
          <w:szCs w:val="24"/>
        </w:rPr>
        <w:t>人员的</w:t>
      </w:r>
      <w:r>
        <w:rPr>
          <w:rFonts w:hint="eastAsia" w:ascii="宋体" w:hAnsi="宋体" w:eastAsia="宋体" w:cs="宋体"/>
          <w:bCs/>
          <w:sz w:val="24"/>
          <w:szCs w:val="24"/>
          <w:lang w:val="zh-CN"/>
        </w:rPr>
        <w:t>用工合同等证明材料。</w:t>
      </w:r>
    </w:p>
    <w:p>
      <w:pPr>
        <w:autoSpaceDE w:val="0"/>
        <w:autoSpaceDN w:val="0"/>
        <w:spacing w:line="360" w:lineRule="auto"/>
        <w:ind w:firstLine="482"/>
        <w:rPr>
          <w:rFonts w:ascii="宋体" w:hAnsi="宋体" w:eastAsia="宋体" w:cs="宋体"/>
          <w:b/>
          <w:sz w:val="24"/>
          <w:szCs w:val="24"/>
        </w:rPr>
      </w:pPr>
    </w:p>
    <w:p>
      <w:pPr>
        <w:ind w:firstLine="0" w:firstLineChars="0"/>
        <w:rPr>
          <w:rFonts w:ascii="宋体" w:hAnsi="宋体" w:eastAsia="宋体" w:cs="宋体"/>
          <w:b/>
          <w:sz w:val="24"/>
          <w:szCs w:val="24"/>
        </w:rPr>
      </w:pPr>
    </w:p>
    <w:p>
      <w:pPr>
        <w:keepNext/>
        <w:pageBreakBefore/>
        <w:widowControl/>
        <w:spacing w:line="360" w:lineRule="auto"/>
        <w:ind w:firstLine="0" w:firstLineChars="0"/>
        <w:outlineLvl w:val="1"/>
        <w:rPr>
          <w:rFonts w:ascii="宋体" w:hAnsi="宋体" w:eastAsia="宋体" w:cs="宋体"/>
          <w:b/>
          <w:sz w:val="24"/>
          <w:szCs w:val="24"/>
        </w:rPr>
      </w:pPr>
      <w:r>
        <w:rPr>
          <w:rFonts w:hint="eastAsia" w:ascii="宋体" w:hAnsi="宋体" w:eastAsia="宋体" w:cs="宋体"/>
          <w:b/>
          <w:sz w:val="24"/>
          <w:szCs w:val="24"/>
        </w:rPr>
        <w:t>附件1</w:t>
      </w:r>
      <w:bookmarkStart w:id="180" w:name="_Toc376936781"/>
      <w:bookmarkStart w:id="181" w:name="_Toc325726049"/>
      <w:r>
        <w:rPr>
          <w:rFonts w:hint="eastAsia" w:ascii="宋体" w:hAnsi="宋体" w:eastAsia="宋体" w:cs="宋体"/>
          <w:b/>
          <w:sz w:val="24"/>
          <w:szCs w:val="24"/>
        </w:rPr>
        <w:t>1：</w:t>
      </w:r>
      <w:bookmarkEnd w:id="180"/>
      <w:bookmarkEnd w:id="181"/>
      <w:r>
        <w:rPr>
          <w:rFonts w:hint="eastAsia" w:ascii="宋体" w:hAnsi="宋体" w:eastAsia="宋体" w:cs="宋体"/>
          <w:b/>
          <w:sz w:val="24"/>
          <w:szCs w:val="24"/>
        </w:rPr>
        <w:t>无重大违法记录声明</w:t>
      </w:r>
      <w:bookmarkEnd w:id="178"/>
      <w:bookmarkEnd w:id="179"/>
    </w:p>
    <w:p>
      <w:pPr>
        <w:spacing w:line="360" w:lineRule="auto"/>
        <w:ind w:firstLine="0" w:firstLineChars="0"/>
        <w:rPr>
          <w:rFonts w:ascii="宋体" w:hAnsi="宋体" w:eastAsia="宋体" w:cs="宋体"/>
          <w:b/>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无重大违法记录声明</w:t>
      </w:r>
    </w:p>
    <w:p>
      <w:pPr>
        <w:spacing w:line="360" w:lineRule="auto"/>
        <w:ind w:firstLine="482"/>
        <w:rPr>
          <w:rFonts w:ascii="宋体" w:hAnsi="宋体" w:eastAsia="宋体" w:cs="宋体"/>
          <w:b/>
          <w:bCs/>
          <w:sz w:val="24"/>
        </w:rPr>
      </w:pPr>
      <w:r>
        <w:rPr>
          <w:rFonts w:hint="eastAsia" w:ascii="宋体" w:hAnsi="宋体" w:eastAsia="宋体" w:cs="宋体"/>
          <w:b/>
          <w:bCs/>
          <w:sz w:val="24"/>
        </w:rPr>
        <w:t>致：青海品冠招标代理有限公司</w:t>
      </w:r>
    </w:p>
    <w:p>
      <w:pPr>
        <w:spacing w:line="360" w:lineRule="auto"/>
        <w:ind w:firstLine="482"/>
        <w:rPr>
          <w:rFonts w:ascii="宋体" w:hAnsi="宋体" w:eastAsia="宋体" w:cs="宋体"/>
          <w:b/>
          <w:bCs/>
          <w:sz w:val="24"/>
        </w:rPr>
      </w:pP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我单位参加本次政府采购项目活动前三年内，在经营活动中无重大违法活动 </w:t>
      </w:r>
    </w:p>
    <w:p>
      <w:pPr>
        <w:keepNext w:val="0"/>
        <w:keepLines w:val="0"/>
        <w:widowControl/>
        <w:suppressLineNumbers w:val="0"/>
        <w:ind w:left="0" w:leftChars="0" w:firstLine="0" w:firstLineChars="0"/>
        <w:jc w:val="left"/>
      </w:pPr>
      <w:r>
        <w:rPr>
          <w:rFonts w:hint="eastAsia" w:ascii="宋体" w:hAnsi="宋体" w:eastAsia="宋体" w:cs="宋体"/>
          <w:color w:val="000000"/>
          <w:kern w:val="0"/>
          <w:sz w:val="24"/>
          <w:szCs w:val="24"/>
          <w:lang w:val="en-US" w:eastAsia="zh-CN" w:bidi="ar"/>
        </w:rPr>
        <w:t xml:space="preserve">记录，符合《政府采购法》规定的供应商资格条件。我方对此声明负全部法律责任。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特此声明。</w:t>
      </w:r>
    </w:p>
    <w:p>
      <w:pPr>
        <w:spacing w:line="360" w:lineRule="auto"/>
        <w:ind w:firstLine="480"/>
        <w:rPr>
          <w:rFonts w:ascii="宋体" w:hAnsi="宋体" w:eastAsia="宋体" w:cs="宋体"/>
          <w:sz w:val="24"/>
        </w:rPr>
      </w:pPr>
    </w:p>
    <w:p>
      <w:pPr>
        <w:spacing w:line="360" w:lineRule="auto"/>
        <w:ind w:firstLine="480"/>
        <w:rPr>
          <w:rFonts w:ascii="宋体" w:hAnsi="宋体" w:eastAsia="宋体" w:cs="宋体"/>
          <w:sz w:val="24"/>
        </w:rPr>
      </w:pPr>
    </w:p>
    <w:p>
      <w:pPr>
        <w:spacing w:line="360" w:lineRule="auto"/>
        <w:ind w:firstLine="480"/>
        <w:rPr>
          <w:rFonts w:ascii="宋体" w:hAnsi="宋体" w:eastAsia="宋体" w:cs="宋体"/>
          <w:sz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rPr>
          <w:rFonts w:ascii="宋体" w:hAnsi="宋体" w:eastAsia="宋体" w:cs="宋体"/>
          <w:bCs/>
          <w:sz w:val="24"/>
          <w:szCs w:val="24"/>
        </w:rPr>
      </w:pPr>
      <w:r>
        <w:rPr>
          <w:rFonts w:hint="eastAsia" w:ascii="宋体" w:hAnsi="宋体" w:eastAsia="宋体" w:cs="宋体"/>
          <w:bCs/>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82" w:name="_Toc24531"/>
      <w:bookmarkStart w:id="183" w:name="_Toc22957"/>
      <w:r>
        <w:rPr>
          <w:rFonts w:hint="eastAsia" w:ascii="宋体" w:hAnsi="宋体" w:eastAsia="宋体" w:cs="宋体"/>
          <w:b/>
          <w:sz w:val="24"/>
          <w:szCs w:val="24"/>
        </w:rPr>
        <w:t>附件12：磋商保证金</w:t>
      </w:r>
      <w:bookmarkEnd w:id="182"/>
      <w:bookmarkEnd w:id="183"/>
    </w:p>
    <w:p>
      <w:pPr>
        <w:spacing w:line="360" w:lineRule="auto"/>
        <w:ind w:firstLine="0" w:firstLineChars="0"/>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磋商保证金</w:t>
      </w:r>
    </w:p>
    <w:p>
      <w:pPr>
        <w:spacing w:line="360" w:lineRule="auto"/>
        <w:ind w:firstLine="0" w:firstLineChars="0"/>
        <w:rPr>
          <w:rFonts w:ascii="宋体" w:hAnsi="宋体" w:eastAsia="宋体" w:cs="宋体"/>
          <w:b/>
          <w:sz w:val="24"/>
          <w:szCs w:val="24"/>
        </w:rPr>
      </w:pPr>
    </w:p>
    <w:p>
      <w:pPr>
        <w:wordWrap w:val="0"/>
        <w:spacing w:line="360" w:lineRule="auto"/>
        <w:ind w:firstLine="480"/>
        <w:rPr>
          <w:rFonts w:ascii="宋体" w:hAnsi="宋体" w:eastAsia="宋体" w:cs="宋体"/>
          <w:bCs/>
          <w:sz w:val="24"/>
          <w:szCs w:val="24"/>
        </w:rPr>
      </w:pPr>
      <w:r>
        <w:rPr>
          <w:rFonts w:hint="eastAsia" w:ascii="宋体" w:hAnsi="宋体" w:eastAsia="宋体" w:cs="宋体"/>
          <w:bCs/>
          <w:sz w:val="24"/>
          <w:szCs w:val="24"/>
        </w:rPr>
        <w:t>针对本项目的磋商保证金证明扫描（或复印）件</w:t>
      </w:r>
      <w:r>
        <w:rPr>
          <w:rFonts w:hint="eastAsia" w:ascii="宋体" w:hAnsi="宋体" w:eastAsia="宋体" w:cs="宋体"/>
          <w:bCs/>
          <w:sz w:val="24"/>
          <w:szCs w:val="24"/>
          <w:lang w:val="en-US" w:eastAsia="zh-CN"/>
        </w:rPr>
        <w:t>附后</w:t>
      </w:r>
      <w:r>
        <w:rPr>
          <w:rFonts w:hint="eastAsia" w:ascii="宋体" w:hAnsi="宋体" w:eastAsia="宋体" w:cs="宋体"/>
          <w:bCs/>
          <w:sz w:val="24"/>
          <w:szCs w:val="24"/>
        </w:rPr>
        <w:t>。</w:t>
      </w:r>
    </w:p>
    <w:p>
      <w:pPr>
        <w:wordWrap w:val="0"/>
        <w:spacing w:line="360" w:lineRule="auto"/>
        <w:ind w:firstLine="480"/>
        <w:rPr>
          <w:rFonts w:ascii="宋体" w:hAnsi="宋体" w:eastAsia="宋体" w:cs="宋体"/>
          <w:bCs/>
          <w:sz w:val="24"/>
          <w:szCs w:val="24"/>
        </w:rPr>
      </w:pPr>
      <w:r>
        <w:rPr>
          <w:rFonts w:hint="eastAsia" w:ascii="宋体" w:hAnsi="宋体" w:eastAsia="宋体" w:cs="宋体"/>
          <w:bCs/>
          <w:sz w:val="24"/>
          <w:szCs w:val="24"/>
        </w:rPr>
        <w:br w:type="page"/>
      </w:r>
    </w:p>
    <w:p>
      <w:pPr>
        <w:keepNext/>
        <w:pageBreakBefore/>
        <w:widowControl/>
        <w:spacing w:line="360" w:lineRule="auto"/>
        <w:ind w:firstLine="0" w:firstLineChars="0"/>
        <w:outlineLvl w:val="1"/>
        <w:rPr>
          <w:rFonts w:ascii="宋体" w:hAnsi="宋体" w:eastAsia="宋体" w:cs="宋体"/>
          <w:b/>
          <w:bCs/>
          <w:sz w:val="24"/>
          <w:szCs w:val="24"/>
        </w:rPr>
      </w:pPr>
      <w:bookmarkStart w:id="184" w:name="_Toc1224"/>
      <w:bookmarkStart w:id="185" w:name="_Toc26743"/>
      <w:r>
        <w:rPr>
          <w:rFonts w:hint="eastAsia" w:ascii="宋体" w:hAnsi="宋体" w:eastAsia="宋体" w:cs="宋体"/>
          <w:b/>
          <w:sz w:val="24"/>
          <w:szCs w:val="24"/>
        </w:rPr>
        <w:t>附件13：供应商最后报价表</w:t>
      </w:r>
      <w:bookmarkEnd w:id="184"/>
    </w:p>
    <w:p>
      <w:pPr>
        <w:spacing w:line="360" w:lineRule="auto"/>
        <w:ind w:firstLine="0" w:firstLineChars="0"/>
        <w:rPr>
          <w:rFonts w:ascii="宋体" w:hAnsi="宋体" w:eastAsia="宋体" w:cs="宋体"/>
          <w:b/>
          <w:sz w:val="24"/>
          <w:szCs w:val="24"/>
        </w:rPr>
      </w:pPr>
    </w:p>
    <w:p>
      <w:pPr>
        <w:ind w:firstLine="482"/>
        <w:rPr>
          <w:rFonts w:ascii="宋体" w:hAnsi="宋体" w:eastAsia="宋体" w:cs="宋体"/>
          <w:b/>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供应商最后报价表</w:t>
      </w: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r>
        <w:rPr>
          <w:rFonts w:hint="eastAsia" w:ascii="宋体" w:hAnsi="宋体" w:eastAsia="宋体" w:cs="宋体"/>
          <w:b/>
          <w:sz w:val="24"/>
          <w:szCs w:val="24"/>
        </w:rPr>
        <w:t>项目名称：</w:t>
      </w:r>
    </w:p>
    <w:tbl>
      <w:tblPr>
        <w:tblStyle w:val="2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8"/>
        <w:gridCol w:w="2016"/>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558" w:type="dxa"/>
            <w:vAlign w:val="center"/>
          </w:tcPr>
          <w:p>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最初报价</w:t>
            </w:r>
          </w:p>
        </w:tc>
        <w:tc>
          <w:tcPr>
            <w:tcW w:w="2016" w:type="dxa"/>
            <w:vAlign w:val="center"/>
          </w:tcPr>
          <w:p>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调整因素</w:t>
            </w:r>
          </w:p>
        </w:tc>
        <w:tc>
          <w:tcPr>
            <w:tcW w:w="3786" w:type="dxa"/>
            <w:vAlign w:val="center"/>
          </w:tcPr>
          <w:p>
            <w:pPr>
              <w:spacing w:line="360" w:lineRule="auto"/>
              <w:ind w:firstLine="0" w:firstLineChars="0"/>
              <w:jc w:val="center"/>
              <w:rPr>
                <w:rFonts w:ascii="宋体" w:hAnsi="宋体" w:eastAsia="宋体" w:cs="宋体"/>
                <w:bCs/>
                <w:sz w:val="24"/>
                <w:szCs w:val="24"/>
                <w:highlight w:val="yellow"/>
              </w:rPr>
            </w:pPr>
            <w:r>
              <w:rPr>
                <w:rFonts w:hint="eastAsia" w:ascii="宋体" w:hAnsi="宋体" w:eastAsia="宋体" w:cs="宋体"/>
                <w:bCs/>
                <w:sz w:val="24"/>
                <w:szCs w:val="24"/>
              </w:rPr>
              <w:t>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3558" w:type="dxa"/>
          </w:tcPr>
          <w:p>
            <w:pPr>
              <w:spacing w:line="480" w:lineRule="auto"/>
              <w:ind w:firstLine="0" w:firstLineChars="0"/>
              <w:rPr>
                <w:rFonts w:hint="eastAsia" w:ascii="宋体" w:hAnsi="宋体" w:eastAsia="宋体" w:cs="宋体"/>
                <w:sz w:val="24"/>
                <w:szCs w:val="24"/>
              </w:rPr>
            </w:pPr>
            <w:r>
              <w:rPr>
                <w:rFonts w:hint="eastAsia" w:ascii="宋体" w:hAnsi="宋体" w:eastAsia="宋体" w:cs="宋体"/>
                <w:sz w:val="24"/>
                <w:szCs w:val="24"/>
              </w:rPr>
              <w:t>大写：</w:t>
            </w:r>
          </w:p>
          <w:p>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小写：</w:t>
            </w:r>
          </w:p>
        </w:tc>
        <w:tc>
          <w:tcPr>
            <w:tcW w:w="2016" w:type="dxa"/>
          </w:tcPr>
          <w:p>
            <w:pPr>
              <w:spacing w:line="360" w:lineRule="auto"/>
              <w:ind w:firstLine="0" w:firstLineChars="0"/>
              <w:rPr>
                <w:rFonts w:ascii="宋体" w:hAnsi="宋体" w:eastAsia="宋体" w:cs="宋体"/>
                <w:sz w:val="24"/>
                <w:szCs w:val="24"/>
              </w:rPr>
            </w:pPr>
          </w:p>
        </w:tc>
        <w:tc>
          <w:tcPr>
            <w:tcW w:w="3786" w:type="dxa"/>
          </w:tcPr>
          <w:p>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大写：</w:t>
            </w:r>
          </w:p>
          <w:p>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78" w:hRule="atLeast"/>
          <w:jc w:val="center"/>
        </w:trPr>
        <w:tc>
          <w:tcPr>
            <w:tcW w:w="9360" w:type="dxa"/>
            <w:gridSpan w:val="3"/>
          </w:tcPr>
          <w:p>
            <w:pPr>
              <w:spacing w:line="360" w:lineRule="auto"/>
              <w:ind w:firstLine="0" w:firstLineChars="0"/>
              <w:rPr>
                <w:rFonts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t>交货及安装时间</w:t>
            </w:r>
            <w:r>
              <w:rPr>
                <w:rFonts w:hint="eastAsia" w:ascii="宋体" w:hAnsi="宋体" w:eastAsia="宋体"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3"/>
          </w:tcPr>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最终确定的质量保证及服务承诺（优惠条件）</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tc>
      </w:tr>
    </w:tbl>
    <w:p>
      <w:pPr>
        <w:keepNext w:val="0"/>
        <w:keepLines w:val="0"/>
        <w:widowControl/>
        <w:suppressLineNumbers w:val="0"/>
        <w:jc w:val="left"/>
        <w:rPr>
          <w:rFonts w:hint="eastAsia" w:ascii="宋体" w:hAnsi="宋体" w:eastAsia="宋体" w:cs="宋体"/>
          <w:color w:val="auto"/>
          <w:sz w:val="24"/>
          <w:szCs w:val="24"/>
          <w:lang w:eastAsia="zh-CN"/>
        </w:rPr>
      </w:pPr>
      <w:r>
        <w:rPr>
          <w:rFonts w:hint="eastAsia" w:ascii="宋体" w:hAnsi="宋体" w:eastAsia="宋体" w:cs="宋体"/>
          <w:sz w:val="24"/>
          <w:szCs w:val="24"/>
        </w:rPr>
        <w:t>注：</w:t>
      </w:r>
      <w:r>
        <w:rPr>
          <w:rFonts w:hint="eastAsia" w:ascii="宋体" w:hAnsi="宋体" w:eastAsia="宋体" w:cs="宋体"/>
          <w:sz w:val="24"/>
          <w:szCs w:val="24"/>
          <w:lang w:val="en-US" w:eastAsia="zh-CN"/>
        </w:rPr>
        <w:t>1、</w:t>
      </w:r>
      <w:r>
        <w:rPr>
          <w:rFonts w:hint="eastAsia" w:ascii="宋体" w:hAnsi="宋体" w:cs="宋体"/>
          <w:color w:val="auto"/>
          <w:sz w:val="24"/>
          <w:szCs w:val="24"/>
        </w:rPr>
        <w:t>此表不需装订在响应文件中，供应商事先须盖章、签字。在磋商期间，由磋商小组确定</w:t>
      </w:r>
      <w:r>
        <w:rPr>
          <w:rFonts w:hint="eastAsia" w:ascii="宋体" w:hAnsi="宋体" w:eastAsia="宋体" w:cs="宋体"/>
          <w:color w:val="000000"/>
          <w:kern w:val="0"/>
          <w:sz w:val="24"/>
          <w:szCs w:val="24"/>
          <w:lang w:val="en-US" w:eastAsia="zh-CN" w:bidi="ar"/>
        </w:rPr>
        <w:t>合格的供应商后填写并上传；</w:t>
      </w:r>
    </w:p>
    <w:p>
      <w:pPr>
        <w:pStyle w:val="22"/>
        <w:rPr>
          <w:rFonts w:hint="default" w:eastAsiaTheme="minorEastAsia"/>
          <w:lang w:val="en-US" w:eastAsia="zh-CN"/>
        </w:rPr>
      </w:pPr>
      <w:r>
        <w:rPr>
          <w:rFonts w:hint="eastAsia" w:ascii="宋体" w:hAnsi="宋体" w:cs="宋体"/>
          <w:color w:val="auto"/>
          <w:sz w:val="24"/>
          <w:szCs w:val="24"/>
          <w:lang w:val="en-US" w:eastAsia="zh-CN"/>
        </w:rPr>
        <w:t>2、未在规定时间内提交最终报价的，磋商小组以最初报价为准。</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pPr>
        <w:wordWrap w:val="0"/>
        <w:spacing w:line="360" w:lineRule="auto"/>
        <w:ind w:firstLine="0" w:firstLineChars="0"/>
        <w:jc w:val="center"/>
      </w:pPr>
      <w:r>
        <w:rPr>
          <w:rFonts w:hint="eastAsia" w:ascii="宋体" w:hAnsi="宋体" w:eastAsia="宋体" w:cs="宋体"/>
          <w:b/>
          <w:sz w:val="24"/>
          <w:szCs w:val="24"/>
        </w:rPr>
        <w:t>年   月  日</w:t>
      </w:r>
    </w:p>
    <w:p>
      <w:pPr>
        <w:keepNext/>
        <w:pageBreakBefore/>
        <w:widowControl/>
        <w:spacing w:line="360" w:lineRule="auto"/>
        <w:ind w:firstLine="0" w:firstLineChars="0"/>
        <w:outlineLvl w:val="1"/>
        <w:rPr>
          <w:rFonts w:ascii="宋体" w:hAnsi="宋体" w:eastAsia="宋体" w:cs="宋体"/>
          <w:kern w:val="2"/>
          <w:sz w:val="32"/>
          <w:szCs w:val="32"/>
        </w:rPr>
      </w:pPr>
      <w:r>
        <w:rPr>
          <w:rFonts w:hint="eastAsia" w:ascii="宋体" w:hAnsi="宋体" w:eastAsia="宋体" w:cs="宋体"/>
          <w:b/>
          <w:sz w:val="24"/>
          <w:szCs w:val="24"/>
        </w:rPr>
        <w:t>附件14：享受政府采购政策优惠的证明资料</w:t>
      </w:r>
    </w:p>
    <w:p>
      <w:pPr>
        <w:autoSpaceDE w:val="0"/>
        <w:autoSpaceDN w:val="0"/>
        <w:spacing w:line="360" w:lineRule="auto"/>
        <w:ind w:firstLine="482"/>
        <w:jc w:val="center"/>
        <w:rPr>
          <w:rFonts w:ascii="宋体" w:hAnsi="宋体" w:eastAsia="宋体" w:cs="宋体"/>
          <w:b/>
          <w:bCs/>
          <w:sz w:val="36"/>
          <w:szCs w:val="36"/>
          <w:lang w:val="zh-CN"/>
        </w:rPr>
      </w:pPr>
      <w:bookmarkStart w:id="186" w:name="_Toc11740"/>
      <w:bookmarkStart w:id="187" w:name="_Toc14211_WPSOffice_Level3"/>
      <w:bookmarkStart w:id="188" w:name="_Toc12160"/>
      <w:r>
        <w:rPr>
          <w:rFonts w:hint="eastAsia" w:ascii="宋体" w:hAnsi="宋体" w:eastAsia="宋体" w:cs="宋体"/>
          <w:b/>
          <w:bCs/>
          <w:color w:val="000000"/>
          <w:sz w:val="24"/>
          <w:szCs w:val="24"/>
        </w:rPr>
        <w:t>（1）</w:t>
      </w:r>
      <w:r>
        <w:rPr>
          <w:rFonts w:hint="eastAsia" w:ascii="宋体" w:hAnsi="宋体" w:eastAsia="宋体" w:cs="宋体"/>
          <w:b/>
          <w:bCs/>
          <w:sz w:val="28"/>
          <w:szCs w:val="28"/>
        </w:rPr>
        <w:t>中小企业声明函</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b/>
          <w:bCs/>
          <w:sz w:val="24"/>
          <w:szCs w:val="24"/>
          <w:lang w:val="zh-CN"/>
        </w:rPr>
        <w:t>致：青海品冠招标代理有限公司</w:t>
      </w:r>
    </w:p>
    <w:p>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本公司郑重声明，根据《政府采购促进中小企业发展管理办法》（财库﹝2020﹞46号）的规定，本公司参加</w:t>
      </w:r>
      <w:r>
        <w:rPr>
          <w:rFonts w:hint="eastAsia" w:ascii="宋体" w:hAnsi="宋体" w:eastAsia="宋体" w:cs="宋体"/>
          <w:sz w:val="24"/>
          <w:szCs w:val="24"/>
          <w:u w:val="single"/>
          <w:lang w:bidi="ar"/>
        </w:rPr>
        <w:t>（单位名称）的（项目名称）</w:t>
      </w:r>
      <w:r>
        <w:rPr>
          <w:rFonts w:hint="eastAsia" w:ascii="宋体" w:hAnsi="宋体" w:eastAsia="宋体" w:cs="宋体"/>
          <w:sz w:val="24"/>
          <w:szCs w:val="24"/>
          <w:lang w:bidi="ar"/>
        </w:rPr>
        <w:t>采购活动，提供的货物全部由符合政策要求的中小企业制造。相关企业的具体情况如下：</w:t>
      </w:r>
    </w:p>
    <w:p>
      <w:pPr>
        <w:widowControl/>
        <w:spacing w:line="360" w:lineRule="auto"/>
        <w:ind w:firstLine="480"/>
        <w:jc w:val="left"/>
        <w:rPr>
          <w:rFonts w:ascii="宋体" w:hAnsi="宋体" w:eastAsia="宋体" w:cs="宋体"/>
          <w:sz w:val="24"/>
          <w:szCs w:val="24"/>
          <w:lang w:bidi="ar"/>
        </w:rPr>
      </w:pPr>
      <w:r>
        <w:rPr>
          <w:rFonts w:hint="eastAsia" w:ascii="宋体" w:hAnsi="宋体" w:eastAsia="宋体" w:cs="宋体"/>
          <w:sz w:val="24"/>
          <w:szCs w:val="24"/>
          <w:lang w:bidi="ar"/>
        </w:rPr>
        <w:t>1.</w:t>
      </w:r>
      <w:r>
        <w:rPr>
          <w:rFonts w:hint="eastAsia" w:ascii="宋体" w:hAnsi="宋体" w:eastAsia="宋体" w:cs="宋体"/>
          <w:sz w:val="24"/>
          <w:szCs w:val="24"/>
          <w:u w:val="single"/>
          <w:lang w:bidi="ar"/>
        </w:rPr>
        <w:t>（标的名称）</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（采购文件中明确的所属行业）</w:t>
      </w:r>
      <w:r>
        <w:rPr>
          <w:rFonts w:hint="eastAsia" w:ascii="宋体" w:hAnsi="宋体" w:eastAsia="宋体" w:cs="宋体"/>
          <w:sz w:val="24"/>
          <w:szCs w:val="24"/>
          <w:lang w:bidi="ar"/>
        </w:rPr>
        <w:t>行业；制造商为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w:t>
      </w:r>
      <w:r>
        <w:rPr>
          <w:rFonts w:hint="eastAsia" w:ascii="宋体" w:hAnsi="宋体" w:eastAsia="宋体" w:cs="宋体"/>
          <w:sz w:val="24"/>
          <w:szCs w:val="24"/>
          <w:vertAlign w:val="superscript"/>
          <w:lang w:bidi="ar"/>
        </w:rPr>
        <w:t>1</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p>
    <w:p>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2.</w:t>
      </w:r>
      <w:r>
        <w:rPr>
          <w:rFonts w:hint="eastAsia" w:ascii="宋体" w:hAnsi="宋体" w:eastAsia="宋体" w:cs="宋体"/>
          <w:sz w:val="24"/>
          <w:szCs w:val="24"/>
          <w:u w:val="single"/>
          <w:lang w:bidi="ar"/>
        </w:rPr>
        <w:t>（标的名称）</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（采购文件中明确的所属行业）</w:t>
      </w:r>
      <w:r>
        <w:rPr>
          <w:rFonts w:hint="eastAsia" w:ascii="宋体" w:hAnsi="宋体" w:eastAsia="宋体" w:cs="宋体"/>
          <w:sz w:val="24"/>
          <w:szCs w:val="24"/>
          <w:lang w:bidi="ar"/>
        </w:rPr>
        <w:t>行业；制造商为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w:t>
      </w:r>
      <w:r>
        <w:rPr>
          <w:rFonts w:hint="eastAsia" w:ascii="宋体" w:hAnsi="宋体" w:eastAsia="宋体" w:cs="宋体"/>
          <w:sz w:val="24"/>
          <w:szCs w:val="24"/>
          <w:vertAlign w:val="superscript"/>
          <w:lang w:bidi="ar"/>
        </w:rPr>
        <w:t>1</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p>
    <w:p>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w:t>
      </w:r>
    </w:p>
    <w:p>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以上企业，不属于大企业的分支机构，不存在控股股东为大企业的情形，也不存在与大企业的负责人为同一人的情形。</w:t>
      </w:r>
    </w:p>
    <w:p>
      <w:pPr>
        <w:widowControl/>
        <w:spacing w:line="360" w:lineRule="auto"/>
        <w:ind w:firstLine="480"/>
        <w:jc w:val="left"/>
        <w:rPr>
          <w:rFonts w:hint="eastAsia" w:ascii="宋体" w:hAnsi="宋体" w:eastAsia="宋体" w:cs="宋体"/>
          <w:sz w:val="24"/>
          <w:szCs w:val="24"/>
          <w:lang w:bidi="ar"/>
        </w:rPr>
      </w:pPr>
      <w:r>
        <w:rPr>
          <w:rFonts w:hint="eastAsia" w:ascii="宋体" w:hAnsi="宋体" w:eastAsia="宋体" w:cs="宋体"/>
          <w:sz w:val="24"/>
          <w:szCs w:val="24"/>
          <w:lang w:bidi="ar"/>
        </w:rPr>
        <w:t>本企业对上述声明内容的真实性负责。如有虚假，将依法承担相应责任。</w:t>
      </w:r>
    </w:p>
    <w:p>
      <w:pPr>
        <w:widowControl/>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lang w:bidi="ar"/>
        </w:rPr>
        <w:t>企业名称（盖章）：</w:t>
      </w:r>
    </w:p>
    <w:p>
      <w:pPr>
        <w:widowControl/>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lang w:bidi="ar"/>
        </w:rPr>
        <w:t>日 期：</w:t>
      </w:r>
    </w:p>
    <w:p>
      <w:pPr>
        <w:widowControl/>
        <w:spacing w:line="360" w:lineRule="auto"/>
        <w:ind w:firstLine="480"/>
        <w:jc w:val="left"/>
        <w:rPr>
          <w:rFonts w:hint="eastAsia" w:ascii="宋体" w:hAnsi="宋体" w:eastAsia="宋体" w:cs="宋体"/>
          <w:sz w:val="24"/>
          <w:szCs w:val="24"/>
          <w:lang w:bidi="ar"/>
        </w:rPr>
      </w:pPr>
      <w:r>
        <w:rPr>
          <w:rFonts w:hint="eastAsia" w:ascii="宋体" w:hAnsi="宋体" w:eastAsia="宋体" w:cs="宋体"/>
          <w:sz w:val="24"/>
          <w:szCs w:val="24"/>
          <w:lang w:bidi="ar"/>
        </w:rPr>
        <w:t>注：1、从业人员、营业收入、资产总额填报上一年度数据，无上一年度数据的新成立企业可不填报。</w:t>
      </w:r>
    </w:p>
    <w:p>
      <w:pPr>
        <w:pStyle w:val="9"/>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 xml:space="preserve">    2、</w:t>
      </w:r>
      <w:r>
        <w:rPr>
          <w:rFonts w:hint="eastAsia" w:ascii="宋体" w:hAnsi="宋体" w:eastAsia="宋体" w:cs="宋体"/>
          <w:sz w:val="24"/>
          <w:szCs w:val="24"/>
        </w:rPr>
        <w:t>成交供应商享受</w:t>
      </w:r>
      <w:r>
        <w:rPr>
          <w:rFonts w:hint="eastAsia" w:ascii="宋体" w:hAnsi="宋体" w:eastAsia="宋体" w:cs="宋体"/>
          <w:sz w:val="24"/>
          <w:szCs w:val="24"/>
          <w:lang w:bidi="ar"/>
        </w:rPr>
        <w:t>《政府采购促进中小企业发展管理办法》规定的中小企业扶持政策的，采购代理机构应当随成交结果公开成交供应商的《中小企业声明函》。</w:t>
      </w:r>
    </w:p>
    <w:p>
      <w:pPr>
        <w:widowControl/>
        <w:adjustRightInd w:val="0"/>
        <w:snapToGrid w:val="0"/>
        <w:spacing w:line="560" w:lineRule="exact"/>
        <w:ind w:firstLine="504"/>
        <w:jc w:val="left"/>
        <w:rPr>
          <w:rFonts w:ascii="宋体" w:hAnsi="宋体" w:eastAsia="宋体" w:cs="宋体"/>
          <w:spacing w:val="6"/>
          <w:sz w:val="24"/>
          <w:szCs w:val="24"/>
        </w:rPr>
      </w:pPr>
    </w:p>
    <w:p>
      <w:pPr>
        <w:adjustRightInd w:val="0"/>
        <w:snapToGrid w:val="0"/>
        <w:spacing w:before="156" w:beforeLines="50" w:line="560" w:lineRule="exact"/>
        <w:ind w:firstLine="0" w:firstLineChars="0"/>
        <w:jc w:val="center"/>
        <w:rPr>
          <w:rFonts w:ascii="宋体" w:hAnsi="宋体" w:eastAsia="宋体" w:cs="宋体"/>
          <w:kern w:val="2"/>
          <w:sz w:val="32"/>
          <w:szCs w:val="32"/>
        </w:rPr>
      </w:pPr>
    </w:p>
    <w:p>
      <w:pPr>
        <w:adjustRightInd w:val="0"/>
        <w:snapToGrid w:val="0"/>
        <w:spacing w:before="156" w:beforeLines="50" w:line="560" w:lineRule="exact"/>
        <w:ind w:firstLine="0" w:firstLineChars="0"/>
        <w:jc w:val="center"/>
        <w:rPr>
          <w:rFonts w:ascii="宋体" w:hAnsi="宋体" w:eastAsia="宋体" w:cs="宋体"/>
          <w:kern w:val="2"/>
          <w:sz w:val="32"/>
          <w:szCs w:val="32"/>
        </w:rPr>
      </w:pPr>
    </w:p>
    <w:p>
      <w:pPr>
        <w:bidi w:val="0"/>
        <w:spacing w:line="360" w:lineRule="auto"/>
        <w:jc w:val="both"/>
        <w:rPr>
          <w:rFonts w:hint="eastAsia" w:ascii="宋体" w:hAnsi="宋体" w:eastAsia="宋体" w:cs="宋体"/>
          <w:b/>
          <w:i w:val="0"/>
          <w:caps w:val="0"/>
          <w:color w:val="auto"/>
          <w:spacing w:val="0"/>
          <w:kern w:val="0"/>
          <w:sz w:val="28"/>
          <w:szCs w:val="28"/>
          <w:shd w:val="clear" w:color="auto" w:fill="FFFFFF"/>
          <w:lang w:val="en-US" w:eastAsia="zh-CN" w:bidi="ar"/>
        </w:rPr>
      </w:pPr>
    </w:p>
    <w:p>
      <w:pPr>
        <w:bidi w:val="0"/>
        <w:spacing w:line="360" w:lineRule="auto"/>
        <w:jc w:val="both"/>
        <w:rPr>
          <w:rFonts w:hint="eastAsia" w:ascii="宋体" w:hAnsi="宋体" w:eastAsia="宋体" w:cs="宋体"/>
          <w:b/>
          <w:i w:val="0"/>
          <w:caps w:val="0"/>
          <w:color w:val="auto"/>
          <w:spacing w:val="0"/>
          <w:kern w:val="0"/>
          <w:sz w:val="21"/>
          <w:szCs w:val="21"/>
          <w:shd w:val="clear" w:color="auto" w:fill="FFFFFF"/>
          <w:lang w:val="en-US" w:eastAsia="zh-CN" w:bidi="ar"/>
        </w:rPr>
      </w:pPr>
      <w:r>
        <w:rPr>
          <w:rFonts w:hint="eastAsia" w:ascii="宋体" w:hAnsi="宋体" w:eastAsia="宋体" w:cs="宋体"/>
          <w:b/>
          <w:i w:val="0"/>
          <w:caps w:val="0"/>
          <w:color w:val="auto"/>
          <w:spacing w:val="0"/>
          <w:kern w:val="0"/>
          <w:sz w:val="28"/>
          <w:szCs w:val="28"/>
          <w:shd w:val="clear" w:color="auto" w:fill="FFFFFF"/>
          <w:lang w:val="en-US" w:eastAsia="zh-CN" w:bidi="ar"/>
        </w:rPr>
        <w:t>大中小微企业划分标准</w:t>
      </w:r>
    </w:p>
    <w:p>
      <w:pPr>
        <w:bidi w:val="0"/>
        <w:spacing w:line="360" w:lineRule="auto"/>
        <w:rPr>
          <w:rFonts w:hint="eastAsia" w:ascii="宋体" w:hAnsi="宋体" w:eastAsia="宋体" w:cs="宋体"/>
          <w:b w:val="0"/>
          <w:i w:val="0"/>
          <w:caps w:val="0"/>
          <w:color w:val="auto"/>
          <w:spacing w:val="0"/>
          <w:szCs w:val="24"/>
          <w:highlight w:val="yellow"/>
        </w:rPr>
      </w:pPr>
      <w:r>
        <w:rPr>
          <w:rFonts w:hint="eastAsia" w:ascii="宋体" w:hAnsi="宋体" w:eastAsia="宋体" w:cs="宋体"/>
          <w:b/>
          <w:bCs/>
          <w:color w:val="auto"/>
          <w:sz w:val="21"/>
          <w:szCs w:val="21"/>
          <w:lang w:val="en-US" w:eastAsia="zh-CN"/>
        </w:rPr>
        <w:t>注：大型、中型和小型企业须同时满足所列指标的下限，否则下划一档；微型企业只须满足所列指标中的一项即可。</w:t>
      </w:r>
    </w:p>
    <w:tbl>
      <w:tblPr>
        <w:tblStyle w:val="23"/>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0" w:type="dxa"/>
          <w:bottom w:w="0" w:type="dxa"/>
          <w:right w:w="0" w:type="dxa"/>
        </w:tblCellMar>
      </w:tblPr>
      <w:tblGrid>
        <w:gridCol w:w="1938"/>
        <w:gridCol w:w="1485"/>
        <w:gridCol w:w="1185"/>
        <w:gridCol w:w="1260"/>
        <w:gridCol w:w="1785"/>
        <w:gridCol w:w="1605"/>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行业名称</w:t>
            </w:r>
          </w:p>
        </w:tc>
        <w:tc>
          <w:tcPr>
            <w:tcW w:w="14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指标名称</w:t>
            </w:r>
          </w:p>
        </w:tc>
        <w:tc>
          <w:tcPr>
            <w:tcW w:w="11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计量单位</w:t>
            </w:r>
          </w:p>
        </w:tc>
        <w:tc>
          <w:tcPr>
            <w:tcW w:w="1260"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大型</w:t>
            </w:r>
          </w:p>
        </w:tc>
        <w:tc>
          <w:tcPr>
            <w:tcW w:w="17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中型</w:t>
            </w:r>
          </w:p>
        </w:tc>
        <w:tc>
          <w:tcPr>
            <w:tcW w:w="160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小型</w:t>
            </w:r>
          </w:p>
        </w:tc>
        <w:tc>
          <w:tcPr>
            <w:tcW w:w="947"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bCs w:val="0"/>
                <w:i w:val="0"/>
                <w:caps w:val="0"/>
                <w:color w:val="auto"/>
                <w:spacing w:val="0"/>
                <w:kern w:val="0"/>
                <w:sz w:val="21"/>
                <w:szCs w:val="21"/>
                <w:highlight w:val="none"/>
                <w:lang w:val="en-US" w:eastAsia="zh-CN" w:bidi="ar"/>
              </w:rPr>
              <w:t>农、林、牧、渔业</w:t>
            </w:r>
          </w:p>
        </w:tc>
        <w:tc>
          <w:tcPr>
            <w:tcW w:w="14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Y≥20000</w:t>
            </w:r>
          </w:p>
        </w:tc>
        <w:tc>
          <w:tcPr>
            <w:tcW w:w="17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500≤Y&lt;20000</w:t>
            </w:r>
          </w:p>
        </w:tc>
        <w:tc>
          <w:tcPr>
            <w:tcW w:w="160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50≤Y&lt;500</w:t>
            </w:r>
          </w:p>
        </w:tc>
        <w:tc>
          <w:tcPr>
            <w:tcW w:w="947"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工业*</w:t>
            </w:r>
          </w:p>
        </w:tc>
        <w:tc>
          <w:tcPr>
            <w:tcW w:w="14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X≥1000</w:t>
            </w:r>
          </w:p>
        </w:tc>
        <w:tc>
          <w:tcPr>
            <w:tcW w:w="17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300≤X&lt;1000</w:t>
            </w:r>
          </w:p>
        </w:tc>
        <w:tc>
          <w:tcPr>
            <w:tcW w:w="160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20≤X&lt;300</w:t>
            </w:r>
          </w:p>
        </w:tc>
        <w:tc>
          <w:tcPr>
            <w:tcW w:w="947"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Y≥40000</w:t>
            </w:r>
          </w:p>
        </w:tc>
        <w:tc>
          <w:tcPr>
            <w:tcW w:w="17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2000≤Y&lt;40000</w:t>
            </w:r>
          </w:p>
        </w:tc>
        <w:tc>
          <w:tcPr>
            <w:tcW w:w="160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300≤Y&lt;2000</w:t>
            </w:r>
          </w:p>
        </w:tc>
        <w:tc>
          <w:tcPr>
            <w:tcW w:w="947"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建筑业</w:t>
            </w:r>
          </w:p>
        </w:tc>
        <w:tc>
          <w:tcPr>
            <w:tcW w:w="14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Y≥80000</w:t>
            </w:r>
          </w:p>
        </w:tc>
        <w:tc>
          <w:tcPr>
            <w:tcW w:w="17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6000≤Y&lt;80000</w:t>
            </w:r>
          </w:p>
        </w:tc>
        <w:tc>
          <w:tcPr>
            <w:tcW w:w="160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300≤Y&lt;6000</w:t>
            </w:r>
          </w:p>
        </w:tc>
        <w:tc>
          <w:tcPr>
            <w:tcW w:w="947"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资产总额(Z)</w:t>
            </w:r>
          </w:p>
        </w:tc>
        <w:tc>
          <w:tcPr>
            <w:tcW w:w="11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Z≥80000</w:t>
            </w:r>
          </w:p>
        </w:tc>
        <w:tc>
          <w:tcPr>
            <w:tcW w:w="17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5000≤Z&lt;80000</w:t>
            </w:r>
          </w:p>
        </w:tc>
        <w:tc>
          <w:tcPr>
            <w:tcW w:w="160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300≤Z&lt;5000</w:t>
            </w:r>
          </w:p>
        </w:tc>
        <w:tc>
          <w:tcPr>
            <w:tcW w:w="947"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批发业</w:t>
            </w:r>
          </w:p>
        </w:tc>
        <w:tc>
          <w:tcPr>
            <w:tcW w:w="14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X≥200</w:t>
            </w:r>
          </w:p>
        </w:tc>
        <w:tc>
          <w:tcPr>
            <w:tcW w:w="17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20≤X&lt;200</w:t>
            </w:r>
          </w:p>
        </w:tc>
        <w:tc>
          <w:tcPr>
            <w:tcW w:w="160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5≤X&lt;20</w:t>
            </w:r>
          </w:p>
        </w:tc>
        <w:tc>
          <w:tcPr>
            <w:tcW w:w="947"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Y≥40000</w:t>
            </w:r>
          </w:p>
        </w:tc>
        <w:tc>
          <w:tcPr>
            <w:tcW w:w="17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5000≤Y&lt;40000</w:t>
            </w:r>
          </w:p>
        </w:tc>
        <w:tc>
          <w:tcPr>
            <w:tcW w:w="160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1000≤Y&lt;5000</w:t>
            </w:r>
          </w:p>
        </w:tc>
        <w:tc>
          <w:tcPr>
            <w:tcW w:w="947"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零售业</w:t>
            </w:r>
          </w:p>
        </w:tc>
        <w:tc>
          <w:tcPr>
            <w:tcW w:w="14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50≤X&lt;300</w:t>
            </w:r>
          </w:p>
        </w:tc>
        <w:tc>
          <w:tcPr>
            <w:tcW w:w="160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10≤X&lt;50</w:t>
            </w:r>
          </w:p>
        </w:tc>
        <w:tc>
          <w:tcPr>
            <w:tcW w:w="947"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Y≥20000</w:t>
            </w:r>
          </w:p>
        </w:tc>
        <w:tc>
          <w:tcPr>
            <w:tcW w:w="17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500≤Y&lt;20000</w:t>
            </w:r>
          </w:p>
        </w:tc>
        <w:tc>
          <w:tcPr>
            <w:tcW w:w="160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100≤Y&lt;500</w:t>
            </w:r>
          </w:p>
        </w:tc>
        <w:tc>
          <w:tcPr>
            <w:tcW w:w="947"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交通运输业*</w:t>
            </w:r>
          </w:p>
        </w:tc>
        <w:tc>
          <w:tcPr>
            <w:tcW w:w="14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X≥1000</w:t>
            </w:r>
          </w:p>
        </w:tc>
        <w:tc>
          <w:tcPr>
            <w:tcW w:w="17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300≤X&lt;1000</w:t>
            </w:r>
          </w:p>
        </w:tc>
        <w:tc>
          <w:tcPr>
            <w:tcW w:w="160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20≤X&lt;300</w:t>
            </w:r>
          </w:p>
        </w:tc>
        <w:tc>
          <w:tcPr>
            <w:tcW w:w="947"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Y≥30000</w:t>
            </w:r>
          </w:p>
        </w:tc>
        <w:tc>
          <w:tcPr>
            <w:tcW w:w="17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3000≤Y&lt;30000</w:t>
            </w:r>
          </w:p>
        </w:tc>
        <w:tc>
          <w:tcPr>
            <w:tcW w:w="160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200≤Y&lt;3000</w:t>
            </w:r>
          </w:p>
        </w:tc>
        <w:tc>
          <w:tcPr>
            <w:tcW w:w="947"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仓储业</w:t>
            </w:r>
          </w:p>
        </w:tc>
        <w:tc>
          <w:tcPr>
            <w:tcW w:w="14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X≥200</w:t>
            </w:r>
          </w:p>
        </w:tc>
        <w:tc>
          <w:tcPr>
            <w:tcW w:w="17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100≤X&lt;200</w:t>
            </w:r>
          </w:p>
        </w:tc>
        <w:tc>
          <w:tcPr>
            <w:tcW w:w="160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20≤X&lt;100</w:t>
            </w:r>
          </w:p>
        </w:tc>
        <w:tc>
          <w:tcPr>
            <w:tcW w:w="947"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Y≥30000</w:t>
            </w:r>
          </w:p>
        </w:tc>
        <w:tc>
          <w:tcPr>
            <w:tcW w:w="17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1000≤Y&lt;30000</w:t>
            </w:r>
          </w:p>
        </w:tc>
        <w:tc>
          <w:tcPr>
            <w:tcW w:w="160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100≤Y&lt;1000</w:t>
            </w:r>
          </w:p>
        </w:tc>
        <w:tc>
          <w:tcPr>
            <w:tcW w:w="947"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邮政业</w:t>
            </w:r>
          </w:p>
        </w:tc>
        <w:tc>
          <w:tcPr>
            <w:tcW w:w="14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X≥1000</w:t>
            </w:r>
          </w:p>
        </w:tc>
        <w:tc>
          <w:tcPr>
            <w:tcW w:w="17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300≤X&lt;1000</w:t>
            </w:r>
          </w:p>
        </w:tc>
        <w:tc>
          <w:tcPr>
            <w:tcW w:w="160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20≤X&lt;300</w:t>
            </w:r>
          </w:p>
        </w:tc>
        <w:tc>
          <w:tcPr>
            <w:tcW w:w="947"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Y≥30000</w:t>
            </w:r>
          </w:p>
        </w:tc>
        <w:tc>
          <w:tcPr>
            <w:tcW w:w="17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2000≤Y&lt;30000</w:t>
            </w:r>
          </w:p>
        </w:tc>
        <w:tc>
          <w:tcPr>
            <w:tcW w:w="160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100≤Y&lt;2000</w:t>
            </w:r>
          </w:p>
        </w:tc>
        <w:tc>
          <w:tcPr>
            <w:tcW w:w="947"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住宿业</w:t>
            </w:r>
          </w:p>
        </w:tc>
        <w:tc>
          <w:tcPr>
            <w:tcW w:w="14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Y≥10000</w:t>
            </w:r>
          </w:p>
        </w:tc>
        <w:tc>
          <w:tcPr>
            <w:tcW w:w="17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2000≤Y&lt;10000</w:t>
            </w:r>
          </w:p>
        </w:tc>
        <w:tc>
          <w:tcPr>
            <w:tcW w:w="160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100≤Y&lt;2000</w:t>
            </w:r>
          </w:p>
        </w:tc>
        <w:tc>
          <w:tcPr>
            <w:tcW w:w="947"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餐饮业</w:t>
            </w:r>
          </w:p>
        </w:tc>
        <w:tc>
          <w:tcPr>
            <w:tcW w:w="14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Y≥10000</w:t>
            </w:r>
          </w:p>
        </w:tc>
        <w:tc>
          <w:tcPr>
            <w:tcW w:w="17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2000≤Y&lt;10000</w:t>
            </w:r>
          </w:p>
        </w:tc>
        <w:tc>
          <w:tcPr>
            <w:tcW w:w="160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100≤Y&lt;2000</w:t>
            </w:r>
          </w:p>
        </w:tc>
        <w:tc>
          <w:tcPr>
            <w:tcW w:w="947"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信息传输业*</w:t>
            </w:r>
          </w:p>
        </w:tc>
        <w:tc>
          <w:tcPr>
            <w:tcW w:w="14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X≥2000</w:t>
            </w:r>
          </w:p>
        </w:tc>
        <w:tc>
          <w:tcPr>
            <w:tcW w:w="17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100≤X&lt;2000</w:t>
            </w:r>
          </w:p>
        </w:tc>
        <w:tc>
          <w:tcPr>
            <w:tcW w:w="160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Y≥100000</w:t>
            </w:r>
          </w:p>
        </w:tc>
        <w:tc>
          <w:tcPr>
            <w:tcW w:w="17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1000≤Y&lt;100000</w:t>
            </w:r>
          </w:p>
        </w:tc>
        <w:tc>
          <w:tcPr>
            <w:tcW w:w="160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100≤Y&lt;1000</w:t>
            </w:r>
          </w:p>
        </w:tc>
        <w:tc>
          <w:tcPr>
            <w:tcW w:w="947"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软件和信息技术服务业</w:t>
            </w:r>
          </w:p>
        </w:tc>
        <w:tc>
          <w:tcPr>
            <w:tcW w:w="14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Y≥10000</w:t>
            </w:r>
          </w:p>
        </w:tc>
        <w:tc>
          <w:tcPr>
            <w:tcW w:w="17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1000≤Y&lt;10000</w:t>
            </w:r>
          </w:p>
        </w:tc>
        <w:tc>
          <w:tcPr>
            <w:tcW w:w="160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50≤Y&lt;1000</w:t>
            </w:r>
          </w:p>
        </w:tc>
        <w:tc>
          <w:tcPr>
            <w:tcW w:w="947"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房地产开发经营</w:t>
            </w:r>
          </w:p>
        </w:tc>
        <w:tc>
          <w:tcPr>
            <w:tcW w:w="14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Y≥200000</w:t>
            </w:r>
          </w:p>
        </w:tc>
        <w:tc>
          <w:tcPr>
            <w:tcW w:w="17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1000≤Y&lt;200000</w:t>
            </w:r>
          </w:p>
        </w:tc>
        <w:tc>
          <w:tcPr>
            <w:tcW w:w="160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100≤Y&lt;1000</w:t>
            </w:r>
          </w:p>
        </w:tc>
        <w:tc>
          <w:tcPr>
            <w:tcW w:w="947"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资产总额(Z)</w:t>
            </w:r>
          </w:p>
        </w:tc>
        <w:tc>
          <w:tcPr>
            <w:tcW w:w="11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Z≥10000</w:t>
            </w:r>
          </w:p>
        </w:tc>
        <w:tc>
          <w:tcPr>
            <w:tcW w:w="17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5000≤Z&lt;10000</w:t>
            </w:r>
          </w:p>
        </w:tc>
        <w:tc>
          <w:tcPr>
            <w:tcW w:w="160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2000≤Z&lt;5000</w:t>
            </w:r>
          </w:p>
        </w:tc>
        <w:tc>
          <w:tcPr>
            <w:tcW w:w="947"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物业管理</w:t>
            </w:r>
          </w:p>
        </w:tc>
        <w:tc>
          <w:tcPr>
            <w:tcW w:w="14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X≥1000</w:t>
            </w:r>
          </w:p>
        </w:tc>
        <w:tc>
          <w:tcPr>
            <w:tcW w:w="17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300≤X&lt;1000</w:t>
            </w:r>
          </w:p>
        </w:tc>
        <w:tc>
          <w:tcPr>
            <w:tcW w:w="160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947"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Y≥5000</w:t>
            </w:r>
          </w:p>
        </w:tc>
        <w:tc>
          <w:tcPr>
            <w:tcW w:w="17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1000≤Y&lt;5000</w:t>
            </w:r>
          </w:p>
        </w:tc>
        <w:tc>
          <w:tcPr>
            <w:tcW w:w="160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500≤Y&lt;1000</w:t>
            </w:r>
          </w:p>
        </w:tc>
        <w:tc>
          <w:tcPr>
            <w:tcW w:w="947"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租赁和商务服务业</w:t>
            </w:r>
          </w:p>
        </w:tc>
        <w:tc>
          <w:tcPr>
            <w:tcW w:w="14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资产总额(Z)</w:t>
            </w:r>
          </w:p>
        </w:tc>
        <w:tc>
          <w:tcPr>
            <w:tcW w:w="11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Z≥120000</w:t>
            </w:r>
          </w:p>
        </w:tc>
        <w:tc>
          <w:tcPr>
            <w:tcW w:w="17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8000≤Z&lt;120000</w:t>
            </w:r>
          </w:p>
        </w:tc>
        <w:tc>
          <w:tcPr>
            <w:tcW w:w="160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100≤Z&lt;8000</w:t>
            </w:r>
          </w:p>
        </w:tc>
        <w:tc>
          <w:tcPr>
            <w:tcW w:w="947"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其他未列明行业*</w:t>
            </w:r>
          </w:p>
        </w:tc>
        <w:tc>
          <w:tcPr>
            <w:tcW w:w="14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bl>
    <w:p>
      <w:pPr>
        <w:widowControl/>
        <w:spacing w:line="360" w:lineRule="auto"/>
        <w:ind w:left="0" w:leftChars="0" w:firstLine="0" w:firstLineChars="0"/>
        <w:rPr>
          <w:rFonts w:hint="eastAsia" w:ascii="宋体" w:hAnsi="宋体" w:eastAsia="宋体" w:cs="宋体"/>
          <w:color w:val="auto"/>
          <w:spacing w:val="8"/>
          <w:kern w:val="0"/>
          <w:sz w:val="24"/>
          <w:szCs w:val="24"/>
        </w:rPr>
      </w:pPr>
      <w:r>
        <w:rPr>
          <w:rFonts w:hint="eastAsia" w:ascii="宋体" w:hAnsi="宋体" w:eastAsia="宋体" w:cs="宋体"/>
          <w:b/>
          <w:bCs/>
          <w:color w:val="auto"/>
          <w:spacing w:val="8"/>
          <w:kern w:val="0"/>
          <w:sz w:val="24"/>
          <w:szCs w:val="24"/>
        </w:rPr>
        <w:t>说明：</w:t>
      </w:r>
    </w:p>
    <w:p>
      <w:pPr>
        <w:keepNext w:val="0"/>
        <w:keepLines w:val="0"/>
        <w:pageBreakBefore w:val="0"/>
        <w:widowControl w:val="0"/>
        <w:kinsoku/>
        <w:wordWrap/>
        <w:overflowPunct/>
        <w:topLinePunct w:val="0"/>
        <w:autoSpaceDE/>
        <w:autoSpaceDN/>
        <w:bidi w:val="0"/>
        <w:spacing w:line="360" w:lineRule="auto"/>
        <w:ind w:left="0" w:leftChars="0" w:firstLine="512" w:firstLineChars="200"/>
        <w:textAlignment w:val="auto"/>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1.大型、中型和小型企业须同时满足所列指标的</w:t>
      </w:r>
      <w:r>
        <w:rPr>
          <w:rFonts w:hint="eastAsia" w:ascii="宋体" w:hAnsi="宋体" w:eastAsia="宋体" w:cs="宋体"/>
          <w:b/>
          <w:bCs/>
          <w:color w:val="auto"/>
          <w:spacing w:val="8"/>
          <w:kern w:val="0"/>
          <w:sz w:val="24"/>
          <w:szCs w:val="24"/>
        </w:rPr>
        <w:t>下限</w:t>
      </w:r>
      <w:r>
        <w:rPr>
          <w:rFonts w:hint="eastAsia" w:ascii="宋体" w:hAnsi="宋体" w:eastAsia="宋体" w:cs="宋体"/>
          <w:color w:val="auto"/>
          <w:spacing w:val="8"/>
          <w:kern w:val="0"/>
          <w:sz w:val="24"/>
          <w:szCs w:val="24"/>
        </w:rPr>
        <w:t>，</w:t>
      </w:r>
      <w:r>
        <w:rPr>
          <w:rFonts w:hint="eastAsia" w:ascii="宋体" w:hAnsi="宋体" w:eastAsia="宋体" w:cs="宋体"/>
          <w:b/>
          <w:bCs/>
          <w:color w:val="auto"/>
          <w:spacing w:val="8"/>
          <w:kern w:val="0"/>
          <w:sz w:val="24"/>
          <w:szCs w:val="24"/>
        </w:rPr>
        <w:t>否则下划一档</w:t>
      </w:r>
      <w:r>
        <w:rPr>
          <w:rFonts w:hint="eastAsia" w:ascii="宋体" w:hAnsi="宋体" w:eastAsia="宋体" w:cs="宋体"/>
          <w:color w:val="auto"/>
          <w:spacing w:val="8"/>
          <w:kern w:val="0"/>
          <w:sz w:val="24"/>
          <w:szCs w:val="24"/>
        </w:rPr>
        <w:t>；微型企业只须满足所列指标中的</w:t>
      </w:r>
      <w:r>
        <w:rPr>
          <w:rFonts w:hint="eastAsia" w:ascii="宋体" w:hAnsi="宋体" w:eastAsia="宋体" w:cs="宋体"/>
          <w:b/>
          <w:bCs/>
          <w:color w:val="auto"/>
          <w:spacing w:val="8"/>
          <w:kern w:val="0"/>
          <w:sz w:val="24"/>
          <w:szCs w:val="24"/>
        </w:rPr>
        <w:t>一项</w:t>
      </w:r>
      <w:r>
        <w:rPr>
          <w:rFonts w:hint="eastAsia" w:ascii="宋体" w:hAnsi="宋体" w:eastAsia="宋体" w:cs="宋体"/>
          <w:color w:val="auto"/>
          <w:spacing w:val="8"/>
          <w:kern w:val="0"/>
          <w:sz w:val="24"/>
          <w:szCs w:val="24"/>
        </w:rPr>
        <w:t>即可。</w:t>
      </w:r>
    </w:p>
    <w:p>
      <w:pPr>
        <w:keepNext w:val="0"/>
        <w:keepLines w:val="0"/>
        <w:pageBreakBefore w:val="0"/>
        <w:widowControl w:val="0"/>
        <w:kinsoku/>
        <w:wordWrap/>
        <w:overflowPunct/>
        <w:topLinePunct w:val="0"/>
        <w:autoSpaceDE/>
        <w:autoSpaceDN/>
        <w:bidi w:val="0"/>
        <w:spacing w:line="360" w:lineRule="auto"/>
        <w:ind w:left="0" w:leftChars="0" w:firstLine="512" w:firstLineChars="200"/>
        <w:textAlignment w:val="auto"/>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2.附表中各行业的范围以《国民经济行业分类》（GB/T4754-2017）为准。带*的项为行业组合类别，其中，</w:t>
      </w:r>
      <w:r>
        <w:rPr>
          <w:rFonts w:hint="eastAsia" w:ascii="宋体" w:hAnsi="宋体" w:eastAsia="宋体" w:cs="宋体"/>
          <w:b/>
          <w:bCs/>
          <w:color w:val="auto"/>
          <w:spacing w:val="8"/>
          <w:kern w:val="0"/>
          <w:sz w:val="24"/>
          <w:szCs w:val="24"/>
        </w:rPr>
        <w:t>工业</w:t>
      </w:r>
      <w:r>
        <w:rPr>
          <w:rFonts w:hint="eastAsia" w:ascii="宋体" w:hAnsi="宋体" w:eastAsia="宋体" w:cs="宋体"/>
          <w:color w:val="auto"/>
          <w:spacing w:val="8"/>
          <w:kern w:val="0"/>
          <w:sz w:val="24"/>
          <w:szCs w:val="24"/>
        </w:rPr>
        <w:t>包括采矿业，制造业，电力、热力、燃气及水生产和供应业；</w:t>
      </w:r>
      <w:r>
        <w:rPr>
          <w:rFonts w:hint="eastAsia" w:ascii="宋体" w:hAnsi="宋体" w:eastAsia="宋体" w:cs="宋体"/>
          <w:b/>
          <w:bCs/>
          <w:color w:val="auto"/>
          <w:spacing w:val="8"/>
          <w:kern w:val="0"/>
          <w:sz w:val="24"/>
          <w:szCs w:val="24"/>
        </w:rPr>
        <w:t>交通运输业</w:t>
      </w:r>
      <w:r>
        <w:rPr>
          <w:rFonts w:hint="eastAsia" w:ascii="宋体" w:hAnsi="宋体" w:eastAsia="宋体" w:cs="宋体"/>
          <w:color w:val="auto"/>
          <w:spacing w:val="8"/>
          <w:kern w:val="0"/>
          <w:sz w:val="24"/>
          <w:szCs w:val="24"/>
        </w:rPr>
        <w:t>包括道路运输业，水上运输业，航空运输业，管道运输业，多式联运和运输代理业、装卸搬运，不包括铁路运输业；</w:t>
      </w:r>
      <w:r>
        <w:rPr>
          <w:rFonts w:hint="eastAsia" w:ascii="宋体" w:hAnsi="宋体" w:eastAsia="宋体" w:cs="宋体"/>
          <w:b/>
          <w:bCs/>
          <w:color w:val="auto"/>
          <w:spacing w:val="8"/>
          <w:kern w:val="0"/>
          <w:sz w:val="24"/>
          <w:szCs w:val="24"/>
        </w:rPr>
        <w:t>仓储业</w:t>
      </w:r>
      <w:r>
        <w:rPr>
          <w:rFonts w:hint="eastAsia" w:ascii="宋体" w:hAnsi="宋体" w:eastAsia="宋体" w:cs="宋体"/>
          <w:color w:val="auto"/>
          <w:spacing w:val="8"/>
          <w:kern w:val="0"/>
          <w:sz w:val="24"/>
          <w:szCs w:val="24"/>
        </w:rPr>
        <w:t>包括通用仓储，低温仓储，危险品仓储，谷物、棉花等农产品仓储，中药材仓储和其他仓储业</w:t>
      </w:r>
      <w:r>
        <w:rPr>
          <w:rFonts w:hint="eastAsia" w:ascii="宋体" w:hAnsi="宋体" w:eastAsia="宋体" w:cs="宋体"/>
          <w:color w:val="auto"/>
          <w:spacing w:val="8"/>
          <w:kern w:val="0"/>
          <w:sz w:val="24"/>
          <w:szCs w:val="24"/>
          <w:lang w:eastAsia="zh-CN"/>
        </w:rPr>
        <w:t>；</w:t>
      </w:r>
      <w:r>
        <w:rPr>
          <w:rFonts w:hint="eastAsia" w:ascii="宋体" w:hAnsi="宋体" w:eastAsia="宋体" w:cs="宋体"/>
          <w:b/>
          <w:bCs/>
          <w:color w:val="auto"/>
          <w:spacing w:val="8"/>
          <w:kern w:val="0"/>
          <w:sz w:val="24"/>
          <w:szCs w:val="24"/>
        </w:rPr>
        <w:t>信息传输业</w:t>
      </w:r>
      <w:r>
        <w:rPr>
          <w:rFonts w:hint="eastAsia" w:ascii="宋体" w:hAnsi="宋体" w:eastAsia="宋体" w:cs="宋体"/>
          <w:color w:val="auto"/>
          <w:spacing w:val="8"/>
          <w:kern w:val="0"/>
          <w:sz w:val="24"/>
          <w:szCs w:val="24"/>
        </w:rPr>
        <w:t>包括电信、广播电视和卫星传输服务，互联网和相关服务；</w:t>
      </w:r>
      <w:r>
        <w:rPr>
          <w:rFonts w:hint="eastAsia" w:ascii="宋体" w:hAnsi="宋体" w:eastAsia="宋体" w:cs="宋体"/>
          <w:b/>
          <w:bCs/>
          <w:color w:val="auto"/>
          <w:spacing w:val="8"/>
          <w:kern w:val="0"/>
          <w:sz w:val="24"/>
          <w:szCs w:val="24"/>
        </w:rPr>
        <w:t>其他未列明行业</w:t>
      </w:r>
      <w:r>
        <w:rPr>
          <w:rFonts w:hint="eastAsia" w:ascii="宋体" w:hAnsi="宋体" w:eastAsia="宋体" w:cs="宋体"/>
          <w:color w:val="auto"/>
          <w:spacing w:val="8"/>
          <w:kern w:val="0"/>
          <w:sz w:val="24"/>
          <w:szCs w:val="24"/>
        </w:rPr>
        <w:t>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center"/>
        <w:textAlignment w:val="auto"/>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3.企业划分指标以现行统计制度为准。（1）</w:t>
      </w:r>
      <w:r>
        <w:rPr>
          <w:rFonts w:hint="eastAsia" w:ascii="宋体" w:hAnsi="宋体" w:eastAsia="宋体" w:cs="宋体"/>
          <w:b/>
          <w:bCs/>
          <w:color w:val="auto"/>
          <w:spacing w:val="8"/>
          <w:kern w:val="0"/>
          <w:sz w:val="24"/>
          <w:szCs w:val="24"/>
        </w:rPr>
        <w:t>从业人员</w:t>
      </w:r>
      <w:r>
        <w:rPr>
          <w:rFonts w:hint="eastAsia" w:ascii="宋体" w:hAnsi="宋体" w:eastAsia="宋体" w:cs="宋体"/>
          <w:color w:val="auto"/>
          <w:spacing w:val="8"/>
          <w:kern w:val="0"/>
          <w:sz w:val="24"/>
          <w:szCs w:val="24"/>
        </w:rPr>
        <w:t>，是指期末从业人员数，没有期末从业人员数的，采用全年平均人员数代替。（2）</w:t>
      </w:r>
      <w:r>
        <w:rPr>
          <w:rFonts w:hint="eastAsia" w:ascii="宋体" w:hAnsi="宋体" w:eastAsia="宋体" w:cs="宋体"/>
          <w:b/>
          <w:bCs/>
          <w:color w:val="auto"/>
          <w:spacing w:val="8"/>
          <w:kern w:val="0"/>
          <w:sz w:val="24"/>
          <w:szCs w:val="24"/>
        </w:rPr>
        <w:t>营业收入</w:t>
      </w:r>
      <w:r>
        <w:rPr>
          <w:rFonts w:hint="eastAsia" w:ascii="宋体" w:hAnsi="宋体" w:eastAsia="宋体" w:cs="宋体"/>
          <w:color w:val="auto"/>
          <w:spacing w:val="8"/>
          <w:kern w:val="0"/>
          <w:sz w:val="24"/>
          <w:szCs w:val="24"/>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rFonts w:hint="eastAsia" w:ascii="宋体" w:hAnsi="宋体" w:eastAsia="宋体" w:cs="宋体"/>
          <w:b/>
          <w:bCs/>
          <w:color w:val="auto"/>
          <w:spacing w:val="8"/>
          <w:kern w:val="0"/>
          <w:sz w:val="24"/>
          <w:szCs w:val="24"/>
        </w:rPr>
        <w:t>资产总额</w:t>
      </w:r>
      <w:r>
        <w:rPr>
          <w:rFonts w:hint="eastAsia" w:ascii="宋体" w:hAnsi="宋体" w:eastAsia="宋体" w:cs="宋体"/>
          <w:color w:val="auto"/>
          <w:spacing w:val="8"/>
          <w:kern w:val="0"/>
          <w:sz w:val="24"/>
          <w:szCs w:val="24"/>
        </w:rPr>
        <w:t>，采用资产总计代替。</w:t>
      </w:r>
    </w:p>
    <w:p>
      <w:pPr>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br w:type="page"/>
      </w:r>
    </w:p>
    <w:p>
      <w:pPr>
        <w:adjustRightInd w:val="0"/>
        <w:snapToGrid w:val="0"/>
        <w:spacing w:before="156" w:beforeLines="50" w:line="560" w:lineRule="exact"/>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（2）残疾人福利性单位声明函</w:t>
      </w:r>
    </w:p>
    <w:p>
      <w:pPr>
        <w:adjustRightInd w:val="0"/>
        <w:snapToGrid w:val="0"/>
        <w:spacing w:line="560" w:lineRule="exact"/>
        <w:ind w:firstLine="506"/>
        <w:jc w:val="center"/>
        <w:rPr>
          <w:rFonts w:ascii="宋体" w:hAnsi="宋体" w:eastAsia="宋体" w:cs="宋体"/>
          <w:spacing w:val="6"/>
          <w:sz w:val="24"/>
          <w:szCs w:val="24"/>
        </w:rPr>
      </w:pPr>
      <w:r>
        <w:rPr>
          <w:rFonts w:hint="eastAsia" w:ascii="宋体" w:hAnsi="宋体" w:eastAsia="宋体" w:cs="宋体"/>
          <w:b/>
          <w:spacing w:val="6"/>
          <w:sz w:val="24"/>
          <w:szCs w:val="24"/>
        </w:rPr>
        <w:t>(不属于残疾人福利性单位的无需填写)</w:t>
      </w:r>
    </w:p>
    <w:p>
      <w:pPr>
        <w:spacing w:line="560" w:lineRule="exact"/>
        <w:ind w:firstLine="480"/>
        <w:rPr>
          <w:rFonts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sz w:val="24"/>
          <w:szCs w:val="24"/>
          <w:u w:val="single"/>
        </w:rPr>
        <w:t xml:space="preserve">       </w:t>
      </w:r>
      <w:r>
        <w:rPr>
          <w:rFonts w:hint="eastAsia" w:ascii="宋体" w:hAnsi="宋体" w:eastAsia="宋体" w:cs="宋体"/>
          <w:sz w:val="24"/>
          <w:szCs w:val="24"/>
        </w:rPr>
        <w:t>人，安置的残疾人人数</w:t>
      </w:r>
      <w:r>
        <w:rPr>
          <w:rFonts w:hint="eastAsia" w:ascii="宋体" w:hAnsi="宋体" w:eastAsia="宋体" w:cs="宋体"/>
          <w:sz w:val="24"/>
          <w:szCs w:val="24"/>
          <w:u w:val="single"/>
        </w:rPr>
        <w:t xml:space="preserve">      </w:t>
      </w:r>
      <w:r>
        <w:rPr>
          <w:rFonts w:hint="eastAsia" w:ascii="宋体" w:hAnsi="宋体" w:eastAsia="宋体" w:cs="宋体"/>
          <w:sz w:val="24"/>
          <w:szCs w:val="24"/>
        </w:rPr>
        <w:t>人。且本单位参加</w:t>
      </w:r>
      <w:r>
        <w:rPr>
          <w:rFonts w:hint="eastAsia" w:ascii="宋体" w:hAnsi="宋体" w:eastAsia="宋体" w:cs="宋体"/>
          <w:sz w:val="24"/>
          <w:szCs w:val="24"/>
          <w:u w:val="single"/>
        </w:rPr>
        <w:t xml:space="preserve">      </w:t>
      </w:r>
      <w:r>
        <w:rPr>
          <w:rFonts w:hint="eastAsia" w:ascii="宋体" w:hAnsi="宋体" w:eastAsia="宋体" w:cs="宋体"/>
          <w:sz w:val="24"/>
          <w:szCs w:val="24"/>
        </w:rPr>
        <w:t>单位的</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项目采购活动提供本单位制造的货物（由本单位承担工程/提供服务），或者提供其他残疾人福利性单位制造的货物（不包括使用非残疾人福利性单位注册商标的货物）。</w:t>
      </w:r>
    </w:p>
    <w:p>
      <w:pPr>
        <w:spacing w:line="560" w:lineRule="exact"/>
        <w:ind w:firstLine="48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单位名称：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（公章）</w:t>
      </w:r>
    </w:p>
    <w:p>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法定代表人或委托代理人：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（签字或盖章）</w:t>
      </w:r>
    </w:p>
    <w:p>
      <w:pPr>
        <w:spacing w:before="156" w:beforeLines="50" w:line="560" w:lineRule="exact"/>
        <w:ind w:firstLine="480"/>
        <w:jc w:val="center"/>
        <w:rPr>
          <w:rFonts w:ascii="宋体" w:hAnsi="宋体" w:eastAsia="宋体" w:cs="宋体"/>
          <w:spacing w:val="6"/>
          <w:sz w:val="24"/>
          <w:szCs w:val="24"/>
        </w:rPr>
      </w:pPr>
      <w:r>
        <w:rPr>
          <w:rFonts w:hint="eastAsia" w:ascii="宋体" w:hAnsi="宋体" w:eastAsia="宋体" w:cs="宋体"/>
          <w:bCs/>
          <w:sz w:val="24"/>
          <w:szCs w:val="24"/>
        </w:rPr>
        <w:t xml:space="preserve">                                    年   月  日</w:t>
      </w:r>
    </w:p>
    <w:p>
      <w:pPr>
        <w:adjustRightInd w:val="0"/>
        <w:snapToGrid w:val="0"/>
        <w:spacing w:before="156" w:beforeLines="50" w:line="560" w:lineRule="exact"/>
        <w:ind w:firstLine="0" w:firstLineChars="0"/>
        <w:jc w:val="center"/>
        <w:rPr>
          <w:rFonts w:ascii="宋体" w:hAnsi="宋体" w:eastAsia="宋体" w:cs="宋体"/>
          <w:kern w:val="2"/>
          <w:sz w:val="24"/>
          <w:szCs w:val="24"/>
        </w:rPr>
      </w:pPr>
      <w:r>
        <w:rPr>
          <w:rFonts w:hint="eastAsia" w:ascii="宋体" w:hAnsi="宋体" w:eastAsia="宋体" w:cs="宋体"/>
          <w:kern w:val="2"/>
          <w:sz w:val="32"/>
          <w:szCs w:val="32"/>
        </w:rPr>
        <w:br w:type="page"/>
      </w:r>
      <w:bookmarkEnd w:id="186"/>
      <w:bookmarkEnd w:id="187"/>
      <w:bookmarkEnd w:id="188"/>
      <w:r>
        <w:rPr>
          <w:rFonts w:hint="eastAsia" w:ascii="宋体" w:hAnsi="宋体" w:eastAsia="宋体" w:cs="宋体"/>
          <w:kern w:val="2"/>
          <w:sz w:val="24"/>
          <w:szCs w:val="24"/>
        </w:rPr>
        <w:t>（3）监狱企业证明资料</w:t>
      </w:r>
    </w:p>
    <w:p>
      <w:pPr>
        <w:adjustRightInd w:val="0"/>
        <w:snapToGrid w:val="0"/>
        <w:spacing w:line="560" w:lineRule="exact"/>
        <w:ind w:firstLine="506"/>
        <w:jc w:val="center"/>
        <w:rPr>
          <w:rFonts w:ascii="宋体" w:hAnsi="宋体" w:eastAsia="宋体" w:cs="宋体"/>
          <w:sz w:val="24"/>
          <w:szCs w:val="24"/>
        </w:rPr>
      </w:pPr>
      <w:bookmarkStart w:id="189" w:name="_Toc25903_WPSOffice_Level3"/>
      <w:bookmarkStart w:id="190" w:name="_Toc28022_WPSOffice_Level3"/>
      <w:r>
        <w:rPr>
          <w:rFonts w:hint="eastAsia" w:ascii="宋体" w:hAnsi="宋体" w:eastAsia="宋体" w:cs="宋体"/>
          <w:b/>
          <w:spacing w:val="6"/>
          <w:sz w:val="24"/>
          <w:szCs w:val="24"/>
        </w:rPr>
        <w:t>(不属于监狱企业的无需提供)</w:t>
      </w:r>
      <w:bookmarkEnd w:id="189"/>
      <w:bookmarkEnd w:id="190"/>
    </w:p>
    <w:p>
      <w:pPr>
        <w:adjustRightInd w:val="0"/>
        <w:snapToGrid w:val="0"/>
        <w:spacing w:line="560" w:lineRule="exact"/>
        <w:ind w:firstLine="504"/>
        <w:rPr>
          <w:rFonts w:ascii="宋体" w:hAnsi="宋体" w:eastAsia="宋体" w:cs="宋体"/>
          <w:sz w:val="24"/>
          <w:szCs w:val="24"/>
        </w:rPr>
      </w:pPr>
      <w:r>
        <w:rPr>
          <w:rFonts w:hint="eastAsia" w:ascii="宋体" w:hAnsi="宋体" w:eastAsia="宋体" w:cs="宋体"/>
          <w:bCs/>
          <w:spacing w:val="6"/>
          <w:sz w:val="24"/>
          <w:szCs w:val="24"/>
        </w:rPr>
        <w:t>备注：</w:t>
      </w:r>
      <w:r>
        <w:rPr>
          <w:rFonts w:hint="eastAsia" w:ascii="宋体" w:hAnsi="宋体" w:eastAsia="宋体" w:cs="宋体"/>
          <w:sz w:val="24"/>
          <w:szCs w:val="24"/>
        </w:rPr>
        <w:t>按</w:t>
      </w:r>
      <w:r>
        <w:rPr>
          <w:rFonts w:hint="eastAsia" w:ascii="宋体" w:hAnsi="宋体" w:eastAsia="宋体" w:cs="宋体"/>
          <w:spacing w:val="6"/>
          <w:sz w:val="24"/>
          <w:szCs w:val="24"/>
        </w:rPr>
        <w:t>《</w:t>
      </w:r>
      <w:r>
        <w:rPr>
          <w:rFonts w:hint="eastAsia" w:ascii="宋体" w:hAnsi="宋体" w:eastAsia="宋体" w:cs="宋体"/>
          <w:sz w:val="24"/>
          <w:szCs w:val="24"/>
        </w:rPr>
        <w:t>财政部 司法部关于政府采购支持监狱企业发展有关问题的通知</w:t>
      </w:r>
      <w:r>
        <w:rPr>
          <w:rFonts w:hint="eastAsia" w:ascii="宋体" w:hAnsi="宋体" w:eastAsia="宋体" w:cs="宋体"/>
          <w:spacing w:val="6"/>
          <w:sz w:val="24"/>
          <w:szCs w:val="24"/>
        </w:rPr>
        <w:t>》</w:t>
      </w:r>
      <w:r>
        <w:rPr>
          <w:rFonts w:hint="eastAsia" w:ascii="宋体" w:hAnsi="宋体" w:eastAsia="宋体" w:cs="宋体"/>
          <w:sz w:val="24"/>
          <w:szCs w:val="24"/>
        </w:rPr>
        <w:t>(财库〔2014〕68号)文件规定提供证明文件（复印件）。</w:t>
      </w:r>
    </w:p>
    <w:p>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w:t>
      </w:r>
      <w:bookmarkStart w:id="191" w:name="_Toc22071_WPSOffice_Level3"/>
      <w:r>
        <w:rPr>
          <w:rFonts w:hint="eastAsia" w:ascii="宋体" w:hAnsi="宋体" w:eastAsia="宋体" w:cs="宋体"/>
          <w:bCs/>
          <w:sz w:val="24"/>
          <w:szCs w:val="24"/>
        </w:rPr>
        <w:t>单位名称：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（公章）</w:t>
      </w:r>
      <w:bookmarkEnd w:id="191"/>
    </w:p>
    <w:p>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w:t>
      </w:r>
      <w:bookmarkStart w:id="192" w:name="_Toc11539_WPSOffice_Level3"/>
      <w:r>
        <w:rPr>
          <w:rFonts w:hint="eastAsia" w:ascii="宋体" w:hAnsi="宋体" w:eastAsia="宋体" w:cs="宋体"/>
          <w:bCs/>
          <w:sz w:val="24"/>
          <w:szCs w:val="24"/>
        </w:rPr>
        <w:t>法定代表人或委托代理人：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（签字或盖章）</w:t>
      </w:r>
      <w:bookmarkEnd w:id="192"/>
    </w:p>
    <w:p>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w:t>
      </w:r>
      <w:bookmarkStart w:id="193" w:name="_Toc3285_WPSOffice_Level3"/>
      <w:r>
        <w:rPr>
          <w:rFonts w:hint="eastAsia" w:ascii="宋体" w:hAnsi="宋体" w:eastAsia="宋体" w:cs="宋体"/>
          <w:bCs/>
          <w:sz w:val="24"/>
          <w:szCs w:val="24"/>
        </w:rPr>
        <w:t>年   月  日</w:t>
      </w:r>
      <w:bookmarkEnd w:id="193"/>
    </w:p>
    <w:p>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br w:type="page"/>
      </w:r>
    </w:p>
    <w:p>
      <w:pPr>
        <w:adjustRightInd w:val="0"/>
        <w:snapToGrid w:val="0"/>
        <w:spacing w:before="156" w:beforeLines="50" w:line="560" w:lineRule="exact"/>
        <w:ind w:firstLine="0" w:firstLineChars="0"/>
        <w:jc w:val="center"/>
        <w:rPr>
          <w:rFonts w:ascii="宋体" w:hAnsi="宋体" w:eastAsia="宋体" w:cs="宋体"/>
          <w:b/>
          <w:kern w:val="2"/>
          <w:sz w:val="24"/>
          <w:szCs w:val="24"/>
        </w:rPr>
      </w:pPr>
      <w:r>
        <w:rPr>
          <w:rFonts w:hint="eastAsia" w:ascii="宋体" w:hAnsi="宋体" w:eastAsia="宋体" w:cs="宋体"/>
          <w:bCs/>
          <w:sz w:val="24"/>
          <w:szCs w:val="24"/>
        </w:rPr>
        <w:t>（4）</w:t>
      </w:r>
      <w:r>
        <w:rPr>
          <w:rFonts w:hint="eastAsia" w:ascii="宋体" w:hAnsi="宋体" w:eastAsia="宋体" w:cs="宋体"/>
          <w:bCs/>
          <w:kern w:val="2"/>
          <w:sz w:val="24"/>
          <w:szCs w:val="24"/>
        </w:rPr>
        <w:t>节能产品、环境标志产品证明材料</w:t>
      </w:r>
    </w:p>
    <w:p>
      <w:pPr>
        <w:adjustRightInd w:val="0"/>
        <w:snapToGrid w:val="0"/>
        <w:spacing w:line="560" w:lineRule="exact"/>
        <w:ind w:firstLine="480"/>
        <w:rPr>
          <w:rFonts w:ascii="宋体" w:hAnsi="宋体" w:eastAsia="宋体" w:cs="宋体"/>
          <w:b/>
          <w:kern w:val="28"/>
          <w:sz w:val="36"/>
          <w:szCs w:val="36"/>
        </w:rPr>
      </w:pPr>
      <w:r>
        <w:rPr>
          <w:rFonts w:hint="eastAsia" w:ascii="宋体" w:hAnsi="宋体" w:eastAsia="宋体" w:cs="宋体"/>
          <w:sz w:val="24"/>
          <w:szCs w:val="24"/>
        </w:rPr>
        <w:t>产品</w:t>
      </w:r>
      <w:r>
        <w:rPr>
          <w:rFonts w:hint="eastAsia" w:ascii="宋体" w:hAnsi="宋体" w:eastAsia="宋体" w:cs="宋体"/>
          <w:bCs/>
          <w:sz w:val="24"/>
          <w:szCs w:val="24"/>
        </w:rPr>
        <w:t>属于品目清单范围的</w:t>
      </w:r>
      <w:r>
        <w:rPr>
          <w:rFonts w:hint="eastAsia" w:ascii="宋体" w:hAnsi="宋体" w:eastAsia="宋体" w:cs="宋体"/>
          <w:sz w:val="24"/>
          <w:szCs w:val="24"/>
        </w:rPr>
        <w:t>，</w:t>
      </w:r>
      <w:r>
        <w:rPr>
          <w:rFonts w:hint="eastAsia" w:ascii="宋体" w:hAnsi="宋体" w:eastAsia="宋体" w:cs="宋体"/>
          <w:bCs/>
          <w:sz w:val="24"/>
          <w:szCs w:val="24"/>
        </w:rPr>
        <w:t>实施政府优先采购和强制采购。</w:t>
      </w:r>
      <w:r>
        <w:rPr>
          <w:rFonts w:hint="eastAsia" w:ascii="宋体" w:hAnsi="宋体" w:eastAsia="宋体" w:cs="宋体"/>
          <w:sz w:val="24"/>
          <w:szCs w:val="24"/>
        </w:rPr>
        <w:t>供应商应提供国家确定的认证机构出具的、处于有效期之内的节能产品、环境标志产品认证证书，并加盖供应商单位公章。</w:t>
      </w:r>
    </w:p>
    <w:p>
      <w:pPr>
        <w:pStyle w:val="12"/>
        <w:ind w:firstLine="723"/>
        <w:rPr>
          <w:rFonts w:hAnsi="宋体" w:eastAsia="宋体" w:cs="宋体"/>
          <w:b/>
          <w:kern w:val="28"/>
          <w:sz w:val="36"/>
          <w:szCs w:val="36"/>
        </w:rPr>
      </w:pPr>
    </w:p>
    <w:p>
      <w:pPr>
        <w:pStyle w:val="12"/>
        <w:ind w:firstLine="723"/>
        <w:rPr>
          <w:rFonts w:hAnsi="宋体" w:eastAsia="宋体" w:cs="宋体"/>
          <w:b/>
          <w:kern w:val="28"/>
          <w:sz w:val="36"/>
          <w:szCs w:val="36"/>
        </w:rPr>
      </w:pPr>
    </w:p>
    <w:p>
      <w:pPr>
        <w:pStyle w:val="12"/>
        <w:ind w:firstLine="723"/>
        <w:rPr>
          <w:rFonts w:hAnsi="宋体" w:eastAsia="宋体" w:cs="宋体"/>
          <w:b/>
          <w:kern w:val="28"/>
          <w:sz w:val="36"/>
          <w:szCs w:val="36"/>
        </w:rPr>
      </w:pPr>
    </w:p>
    <w:p>
      <w:pPr>
        <w:pStyle w:val="12"/>
        <w:ind w:firstLine="723"/>
        <w:rPr>
          <w:rFonts w:hAnsi="宋体" w:eastAsia="宋体" w:cs="宋体"/>
          <w:b/>
          <w:kern w:val="28"/>
          <w:sz w:val="36"/>
          <w:szCs w:val="36"/>
        </w:rPr>
      </w:pPr>
    </w:p>
    <w:p>
      <w:pPr>
        <w:pStyle w:val="12"/>
        <w:ind w:firstLine="723"/>
        <w:rPr>
          <w:rFonts w:hAnsi="宋体" w:eastAsia="宋体" w:cs="宋体"/>
          <w:b/>
          <w:kern w:val="28"/>
          <w:sz w:val="36"/>
          <w:szCs w:val="36"/>
        </w:rPr>
      </w:pPr>
    </w:p>
    <w:p>
      <w:pPr>
        <w:pStyle w:val="12"/>
        <w:ind w:firstLine="723"/>
        <w:rPr>
          <w:rFonts w:hAnsi="宋体" w:eastAsia="宋体" w:cs="宋体"/>
          <w:b/>
          <w:kern w:val="28"/>
          <w:sz w:val="36"/>
          <w:szCs w:val="36"/>
        </w:rPr>
      </w:pPr>
    </w:p>
    <w:p>
      <w:pPr>
        <w:pStyle w:val="12"/>
        <w:ind w:firstLine="723"/>
        <w:rPr>
          <w:rFonts w:hAnsi="宋体" w:eastAsia="宋体" w:cs="宋体"/>
          <w:b/>
          <w:kern w:val="28"/>
          <w:sz w:val="36"/>
          <w:szCs w:val="36"/>
        </w:rPr>
      </w:pPr>
    </w:p>
    <w:p>
      <w:pPr>
        <w:pStyle w:val="12"/>
        <w:ind w:firstLine="723"/>
        <w:rPr>
          <w:rFonts w:hAnsi="宋体" w:eastAsia="宋体" w:cs="宋体"/>
          <w:b/>
          <w:kern w:val="28"/>
          <w:sz w:val="36"/>
          <w:szCs w:val="36"/>
        </w:rPr>
      </w:pPr>
    </w:p>
    <w:p>
      <w:pPr>
        <w:pStyle w:val="12"/>
        <w:ind w:firstLine="723"/>
        <w:rPr>
          <w:rFonts w:hAnsi="宋体" w:eastAsia="宋体" w:cs="宋体"/>
          <w:b/>
          <w:kern w:val="28"/>
          <w:sz w:val="36"/>
          <w:szCs w:val="36"/>
        </w:rPr>
      </w:pPr>
    </w:p>
    <w:p>
      <w:pPr>
        <w:pStyle w:val="12"/>
        <w:ind w:firstLine="723"/>
        <w:rPr>
          <w:rFonts w:hAnsi="宋体" w:eastAsia="宋体" w:cs="宋体"/>
          <w:b/>
          <w:kern w:val="28"/>
          <w:sz w:val="36"/>
          <w:szCs w:val="36"/>
        </w:rPr>
      </w:pPr>
    </w:p>
    <w:p>
      <w:pPr>
        <w:pStyle w:val="12"/>
        <w:ind w:firstLine="723"/>
        <w:rPr>
          <w:rFonts w:hAnsi="宋体" w:eastAsia="宋体" w:cs="宋体"/>
          <w:b/>
          <w:kern w:val="28"/>
          <w:sz w:val="36"/>
          <w:szCs w:val="36"/>
        </w:rPr>
      </w:pPr>
    </w:p>
    <w:p>
      <w:pPr>
        <w:pStyle w:val="12"/>
        <w:ind w:firstLine="723"/>
        <w:rPr>
          <w:rFonts w:hAnsi="宋体" w:eastAsia="宋体" w:cs="宋体"/>
          <w:b/>
          <w:kern w:val="28"/>
          <w:sz w:val="36"/>
          <w:szCs w:val="36"/>
        </w:rPr>
      </w:pPr>
    </w:p>
    <w:p>
      <w:pPr>
        <w:pStyle w:val="12"/>
        <w:ind w:firstLine="723"/>
        <w:rPr>
          <w:rFonts w:hAnsi="宋体" w:eastAsia="宋体" w:cs="宋体"/>
          <w:b/>
          <w:kern w:val="28"/>
          <w:sz w:val="36"/>
          <w:szCs w:val="36"/>
        </w:rPr>
      </w:pPr>
    </w:p>
    <w:p>
      <w:pPr>
        <w:pStyle w:val="12"/>
        <w:ind w:firstLine="723"/>
        <w:rPr>
          <w:rFonts w:hAnsi="宋体" w:eastAsia="宋体" w:cs="宋体"/>
          <w:b/>
          <w:kern w:val="28"/>
          <w:sz w:val="36"/>
          <w:szCs w:val="36"/>
        </w:rPr>
      </w:pPr>
    </w:p>
    <w:p>
      <w:pPr>
        <w:pStyle w:val="12"/>
        <w:ind w:firstLine="723"/>
        <w:rPr>
          <w:rFonts w:hAnsi="宋体" w:eastAsia="宋体" w:cs="宋体"/>
          <w:b/>
          <w:kern w:val="28"/>
          <w:sz w:val="36"/>
          <w:szCs w:val="36"/>
        </w:rPr>
      </w:pPr>
    </w:p>
    <w:p>
      <w:pPr>
        <w:pStyle w:val="12"/>
        <w:ind w:firstLine="723"/>
        <w:rPr>
          <w:rFonts w:hAnsi="宋体" w:eastAsia="宋体" w:cs="宋体"/>
          <w:b/>
          <w:kern w:val="28"/>
          <w:sz w:val="36"/>
          <w:szCs w:val="36"/>
        </w:rPr>
      </w:pPr>
    </w:p>
    <w:p>
      <w:pPr>
        <w:pStyle w:val="12"/>
        <w:ind w:firstLine="723"/>
        <w:rPr>
          <w:rFonts w:hAnsi="宋体" w:eastAsia="宋体" w:cs="宋体"/>
          <w:b/>
          <w:kern w:val="28"/>
          <w:sz w:val="36"/>
          <w:szCs w:val="36"/>
        </w:rPr>
      </w:pPr>
    </w:p>
    <w:p>
      <w:pPr>
        <w:pStyle w:val="12"/>
        <w:ind w:firstLine="723"/>
        <w:rPr>
          <w:rFonts w:hAnsi="宋体" w:eastAsia="宋体" w:cs="宋体"/>
          <w:b/>
          <w:kern w:val="28"/>
          <w:sz w:val="36"/>
          <w:szCs w:val="36"/>
        </w:rPr>
      </w:pPr>
    </w:p>
    <w:p>
      <w:pPr>
        <w:pStyle w:val="12"/>
        <w:ind w:firstLine="723"/>
        <w:rPr>
          <w:rFonts w:hAnsi="宋体" w:eastAsia="宋体" w:cs="宋体"/>
          <w:b/>
          <w:kern w:val="28"/>
          <w:sz w:val="36"/>
          <w:szCs w:val="36"/>
        </w:rPr>
      </w:pPr>
    </w:p>
    <w:p>
      <w:pPr>
        <w:pStyle w:val="12"/>
        <w:ind w:firstLine="723"/>
        <w:rPr>
          <w:rFonts w:hAnsi="宋体" w:eastAsia="宋体" w:cs="宋体"/>
          <w:b/>
          <w:kern w:val="28"/>
          <w:sz w:val="36"/>
          <w:szCs w:val="36"/>
        </w:rPr>
      </w:pPr>
    </w:p>
    <w:p>
      <w:pPr>
        <w:pStyle w:val="12"/>
        <w:ind w:firstLine="723"/>
        <w:rPr>
          <w:rFonts w:hAnsi="宋体" w:eastAsia="宋体" w:cs="宋体"/>
          <w:b/>
          <w:kern w:val="28"/>
          <w:sz w:val="36"/>
          <w:szCs w:val="36"/>
        </w:rPr>
      </w:pPr>
    </w:p>
    <w:p>
      <w:pPr>
        <w:pStyle w:val="12"/>
        <w:ind w:firstLine="723"/>
        <w:rPr>
          <w:rFonts w:hAnsi="宋体" w:eastAsia="宋体" w:cs="宋体"/>
          <w:b/>
          <w:kern w:val="28"/>
          <w:sz w:val="36"/>
          <w:szCs w:val="36"/>
        </w:rPr>
      </w:pPr>
    </w:p>
    <w:p>
      <w:pPr>
        <w:pStyle w:val="12"/>
        <w:ind w:firstLine="723"/>
        <w:rPr>
          <w:rFonts w:hAnsi="宋体" w:eastAsia="宋体" w:cs="宋体"/>
          <w:b/>
          <w:kern w:val="28"/>
          <w:sz w:val="36"/>
          <w:szCs w:val="36"/>
        </w:rPr>
      </w:pPr>
    </w:p>
    <w:p>
      <w:pPr>
        <w:pStyle w:val="12"/>
        <w:ind w:firstLine="723"/>
        <w:rPr>
          <w:rFonts w:hAnsi="宋体" w:eastAsia="宋体" w:cs="宋体"/>
          <w:b/>
          <w:kern w:val="28"/>
          <w:sz w:val="36"/>
          <w:szCs w:val="36"/>
        </w:rPr>
      </w:pPr>
    </w:p>
    <w:p>
      <w:pPr>
        <w:pStyle w:val="12"/>
        <w:ind w:firstLine="723"/>
        <w:rPr>
          <w:rFonts w:hAnsi="宋体" w:eastAsia="宋体" w:cs="宋体"/>
          <w:b/>
          <w:kern w:val="28"/>
          <w:sz w:val="36"/>
          <w:szCs w:val="36"/>
        </w:rPr>
      </w:pPr>
    </w:p>
    <w:p>
      <w:pPr>
        <w:pStyle w:val="12"/>
        <w:ind w:firstLine="723"/>
        <w:rPr>
          <w:rFonts w:hAnsi="宋体" w:eastAsia="宋体" w:cs="宋体"/>
          <w:b/>
          <w:kern w:val="28"/>
          <w:sz w:val="36"/>
          <w:szCs w:val="36"/>
        </w:rPr>
      </w:pPr>
    </w:p>
    <w:p>
      <w:pPr>
        <w:pStyle w:val="12"/>
        <w:ind w:firstLine="723"/>
        <w:rPr>
          <w:rFonts w:hAnsi="宋体" w:eastAsia="宋体" w:cs="宋体"/>
          <w:b/>
          <w:kern w:val="28"/>
          <w:sz w:val="36"/>
          <w:szCs w:val="36"/>
        </w:rPr>
      </w:pPr>
    </w:p>
    <w:p>
      <w:pPr>
        <w:keepNext/>
        <w:pageBreakBefore/>
        <w:widowControl/>
        <w:spacing w:line="360" w:lineRule="auto"/>
        <w:ind w:firstLine="0" w:firstLineChars="0"/>
        <w:outlineLvl w:val="1"/>
        <w:rPr>
          <w:rFonts w:ascii="宋体" w:hAnsi="宋体" w:eastAsia="宋体" w:cs="宋体"/>
          <w:b/>
          <w:bCs/>
          <w:sz w:val="24"/>
          <w:szCs w:val="24"/>
        </w:rPr>
      </w:pPr>
      <w:bookmarkStart w:id="194" w:name="_Toc7409"/>
      <w:r>
        <w:rPr>
          <w:rFonts w:hint="eastAsia" w:ascii="宋体" w:hAnsi="宋体" w:eastAsia="宋体" w:cs="宋体"/>
          <w:b/>
          <w:bCs/>
          <w:sz w:val="24"/>
          <w:szCs w:val="24"/>
        </w:rPr>
        <w:t>附件15：供应商认为在其他方面有必要说明的事项</w:t>
      </w:r>
      <w:bookmarkEnd w:id="194"/>
    </w:p>
    <w:p>
      <w:pPr>
        <w:pStyle w:val="22"/>
        <w:ind w:firstLine="480"/>
        <w:rPr>
          <w:rFonts w:ascii="宋体" w:hAnsi="宋体" w:eastAsia="宋体" w:cs="宋体"/>
          <w:sz w:val="24"/>
          <w:szCs w:val="24"/>
        </w:rPr>
      </w:pPr>
    </w:p>
    <w:p>
      <w:pPr>
        <w:pStyle w:val="12"/>
        <w:ind w:firstLine="480"/>
        <w:rPr>
          <w:rFonts w:hAnsi="宋体" w:eastAsia="宋体" w:cs="宋体"/>
          <w:b/>
          <w:kern w:val="28"/>
          <w:sz w:val="36"/>
          <w:szCs w:val="36"/>
        </w:rPr>
      </w:pPr>
      <w:r>
        <w:rPr>
          <w:rFonts w:hint="eastAsia" w:hAnsi="宋体" w:eastAsia="宋体" w:cs="宋体"/>
          <w:sz w:val="24"/>
          <w:szCs w:val="24"/>
        </w:rPr>
        <w:t>供应商认为在其他方面有必要说明的事项，格式自拟</w:t>
      </w:r>
    </w:p>
    <w:p>
      <w:pPr>
        <w:keepNext/>
        <w:keepLines/>
        <w:widowControl/>
        <w:numPr>
          <w:ilvl w:val="0"/>
          <w:numId w:val="5"/>
        </w:numPr>
        <w:snapToGrid w:val="0"/>
        <w:spacing w:line="360" w:lineRule="auto"/>
        <w:ind w:firstLine="0" w:firstLineChars="0"/>
        <w:jc w:val="center"/>
        <w:outlineLvl w:val="0"/>
        <w:rPr>
          <w:rFonts w:ascii="宋体" w:hAnsi="宋体" w:eastAsia="宋体" w:cs="宋体"/>
          <w:b/>
          <w:kern w:val="28"/>
          <w:sz w:val="36"/>
          <w:szCs w:val="36"/>
        </w:rPr>
      </w:pPr>
      <w:r>
        <w:rPr>
          <w:rFonts w:hint="eastAsia" w:ascii="宋体" w:hAnsi="宋体" w:eastAsia="宋体" w:cs="宋体"/>
          <w:bCs/>
          <w:sz w:val="24"/>
          <w:szCs w:val="24"/>
        </w:rPr>
        <w:br w:type="page"/>
      </w:r>
      <w:bookmarkEnd w:id="185"/>
      <w:r>
        <w:rPr>
          <w:rFonts w:hint="eastAsia" w:ascii="宋体" w:hAnsi="宋体" w:eastAsia="宋体" w:cs="宋体"/>
          <w:b/>
          <w:kern w:val="28"/>
          <w:sz w:val="36"/>
          <w:szCs w:val="36"/>
        </w:rPr>
        <w:t xml:space="preserve">   采购项目要求及技术参数</w:t>
      </w:r>
    </w:p>
    <w:p>
      <w:pPr>
        <w:pStyle w:val="20"/>
        <w:spacing w:before="0" w:after="0" w:line="360" w:lineRule="auto"/>
        <w:ind w:firstLine="480"/>
        <w:jc w:val="left"/>
        <w:outlineLvl w:val="1"/>
        <w:rPr>
          <w:rFonts w:ascii="宋体" w:hAnsi="宋体" w:eastAsia="宋体" w:cs="宋体"/>
          <w:b w:val="0"/>
          <w:bCs w:val="0"/>
          <w:sz w:val="24"/>
          <w:szCs w:val="24"/>
        </w:rPr>
      </w:pPr>
      <w:bookmarkStart w:id="195" w:name="_Toc4441"/>
      <w:r>
        <w:rPr>
          <w:rFonts w:hint="eastAsia" w:ascii="宋体" w:hAnsi="宋体" w:eastAsia="宋体" w:cs="宋体"/>
          <w:b w:val="0"/>
          <w:bCs w:val="0"/>
          <w:sz w:val="24"/>
          <w:szCs w:val="24"/>
        </w:rPr>
        <w:t>1.投标说明</w:t>
      </w:r>
      <w:bookmarkEnd w:id="195"/>
      <w:r>
        <w:rPr>
          <w:rFonts w:hint="eastAsia" w:ascii="宋体" w:hAnsi="宋体" w:eastAsia="宋体" w:cs="宋体"/>
          <w:b w:val="0"/>
          <w:bCs w:val="0"/>
          <w:sz w:val="24"/>
          <w:szCs w:val="24"/>
        </w:rPr>
        <w:t xml:space="preserve"> </w:t>
      </w:r>
    </w:p>
    <w:p>
      <w:pPr>
        <w:pStyle w:val="21"/>
        <w:spacing w:line="360" w:lineRule="auto"/>
        <w:ind w:firstLine="420" w:firstLineChars="200"/>
        <w:jc w:val="left"/>
        <w:rPr>
          <w:rFonts w:ascii="宋体" w:hAnsi="宋体" w:eastAsia="宋体" w:cs="宋体"/>
          <w:szCs w:val="24"/>
        </w:rPr>
      </w:pPr>
      <w:r>
        <w:rPr>
          <w:rFonts w:hint="eastAsia" w:ascii="宋体" w:hAnsi="宋体" w:eastAsia="宋体" w:cs="宋体"/>
          <w:szCs w:val="24"/>
        </w:rPr>
        <w:t xml:space="preserve">1.1 供应商可以按照竞争性磋商文件规定投标，但必须对所投的所有内容作为一个整体进行投标，不能拆分或少报。否则，投标无效。 </w:t>
      </w:r>
    </w:p>
    <w:p>
      <w:pPr>
        <w:pStyle w:val="21"/>
        <w:spacing w:line="360" w:lineRule="auto"/>
        <w:ind w:firstLine="420" w:firstLineChars="200"/>
        <w:jc w:val="left"/>
        <w:rPr>
          <w:rFonts w:ascii="宋体" w:hAnsi="宋体" w:eastAsia="宋体" w:cs="宋体"/>
          <w:szCs w:val="24"/>
        </w:rPr>
      </w:pPr>
      <w:r>
        <w:rPr>
          <w:rFonts w:hint="eastAsia" w:ascii="宋体" w:hAnsi="宋体" w:eastAsia="宋体" w:cs="宋体"/>
          <w:szCs w:val="24"/>
        </w:rPr>
        <w:t xml:space="preserve">1.2 项目中标后分包情况：不允许。 </w:t>
      </w:r>
    </w:p>
    <w:p>
      <w:pPr>
        <w:pStyle w:val="20"/>
        <w:spacing w:before="0" w:after="0" w:line="360" w:lineRule="auto"/>
        <w:ind w:firstLine="480"/>
        <w:jc w:val="left"/>
        <w:outlineLvl w:val="1"/>
        <w:rPr>
          <w:rFonts w:ascii="宋体" w:hAnsi="宋体" w:eastAsia="宋体" w:cs="宋体"/>
          <w:b w:val="0"/>
          <w:bCs w:val="0"/>
          <w:sz w:val="24"/>
          <w:szCs w:val="24"/>
        </w:rPr>
      </w:pPr>
      <w:bookmarkStart w:id="196" w:name="_Toc7646"/>
      <w:r>
        <w:rPr>
          <w:rFonts w:hint="eastAsia" w:ascii="宋体" w:hAnsi="宋体" w:eastAsia="宋体" w:cs="宋体"/>
          <w:b w:val="0"/>
          <w:bCs w:val="0"/>
          <w:sz w:val="24"/>
          <w:szCs w:val="24"/>
        </w:rPr>
        <w:t>2.报价说明</w:t>
      </w:r>
      <w:bookmarkEnd w:id="196"/>
      <w:r>
        <w:rPr>
          <w:rFonts w:hint="eastAsia" w:ascii="宋体" w:hAnsi="宋体" w:eastAsia="宋体" w:cs="宋体"/>
          <w:b w:val="0"/>
          <w:bCs w:val="0"/>
          <w:sz w:val="24"/>
          <w:szCs w:val="24"/>
        </w:rPr>
        <w:t xml:space="preserve"> </w:t>
      </w:r>
    </w:p>
    <w:p>
      <w:pPr>
        <w:pStyle w:val="21"/>
        <w:spacing w:line="360" w:lineRule="auto"/>
        <w:ind w:firstLine="420" w:firstLineChars="200"/>
        <w:jc w:val="left"/>
        <w:rPr>
          <w:rFonts w:ascii="宋体" w:hAnsi="宋体" w:eastAsia="宋体" w:cs="宋体"/>
          <w:szCs w:val="24"/>
        </w:rPr>
      </w:pPr>
      <w:r>
        <w:rPr>
          <w:rFonts w:hint="eastAsia" w:ascii="宋体" w:hAnsi="宋体" w:eastAsia="宋体" w:cs="宋体"/>
          <w:szCs w:val="24"/>
        </w:rPr>
        <w:t xml:space="preserve">2.1本次竞争性磋商文件中规定的采购预算额度为磋商最高限价，供应商的磋商报价不得超出此额度。否则，投标无效。 </w:t>
      </w:r>
    </w:p>
    <w:p>
      <w:pPr>
        <w:pStyle w:val="20"/>
        <w:spacing w:before="0" w:after="0" w:line="360" w:lineRule="auto"/>
        <w:ind w:firstLine="480"/>
        <w:jc w:val="left"/>
        <w:outlineLvl w:val="1"/>
        <w:rPr>
          <w:rFonts w:ascii="宋体" w:hAnsi="宋体" w:eastAsia="宋体" w:cs="宋体"/>
          <w:b w:val="0"/>
          <w:bCs w:val="0"/>
          <w:sz w:val="24"/>
          <w:szCs w:val="24"/>
        </w:rPr>
      </w:pPr>
      <w:bookmarkStart w:id="197" w:name="_Toc9782"/>
      <w:r>
        <w:rPr>
          <w:rFonts w:hint="eastAsia" w:ascii="宋体" w:hAnsi="宋体" w:eastAsia="宋体" w:cs="宋体"/>
          <w:b w:val="0"/>
          <w:bCs w:val="0"/>
          <w:sz w:val="24"/>
          <w:szCs w:val="24"/>
        </w:rPr>
        <w:t>3.商务要求</w:t>
      </w:r>
      <w:bookmarkEnd w:id="197"/>
      <w:r>
        <w:rPr>
          <w:rFonts w:hint="eastAsia" w:ascii="宋体" w:hAnsi="宋体" w:eastAsia="宋体" w:cs="宋体"/>
          <w:b w:val="0"/>
          <w:bCs w:val="0"/>
          <w:sz w:val="24"/>
          <w:szCs w:val="24"/>
        </w:rPr>
        <w:t xml:space="preserve"> </w:t>
      </w:r>
    </w:p>
    <w:p>
      <w:pPr>
        <w:pStyle w:val="21"/>
        <w:spacing w:line="360" w:lineRule="auto"/>
        <w:ind w:firstLine="420" w:firstLineChars="200"/>
        <w:jc w:val="left"/>
        <w:rPr>
          <w:rFonts w:hint="eastAsia" w:ascii="宋体" w:hAnsi="宋体" w:eastAsia="宋体" w:cs="宋体"/>
          <w:szCs w:val="24"/>
          <w:lang w:eastAsia="zh-CN"/>
        </w:rPr>
      </w:pPr>
      <w:r>
        <w:rPr>
          <w:rFonts w:hint="eastAsia" w:ascii="宋体" w:hAnsi="宋体" w:eastAsia="宋体" w:cs="宋体"/>
          <w:szCs w:val="24"/>
        </w:rPr>
        <w:t xml:space="preserve">3.1 </w:t>
      </w:r>
      <w:r>
        <w:rPr>
          <w:rFonts w:hint="eastAsia" w:ascii="宋体" w:hAnsi="宋体" w:eastAsia="宋体" w:cs="宋体"/>
          <w:szCs w:val="24"/>
          <w:lang w:eastAsia="zh-CN"/>
        </w:rPr>
        <w:t>交货及安装时间</w:t>
      </w:r>
      <w:r>
        <w:rPr>
          <w:rFonts w:hint="eastAsia" w:ascii="宋体" w:hAnsi="宋体" w:eastAsia="宋体" w:cs="宋体"/>
          <w:szCs w:val="24"/>
        </w:rPr>
        <w:t>：</w:t>
      </w:r>
      <w:bookmarkStart w:id="198" w:name="OLE_LINK4"/>
      <w:r>
        <w:rPr>
          <w:rFonts w:hint="eastAsia" w:ascii="宋体" w:hAnsi="宋体" w:eastAsia="宋体" w:cs="宋体"/>
          <w:szCs w:val="24"/>
          <w:lang w:eastAsia="zh-CN"/>
        </w:rPr>
        <w:t>合同签订后</w:t>
      </w:r>
      <w:r>
        <w:rPr>
          <w:rFonts w:hint="eastAsia" w:ascii="宋体" w:hAnsi="宋体" w:eastAsia="宋体" w:cs="宋体"/>
          <w:szCs w:val="24"/>
          <w:lang w:val="en-US" w:eastAsia="zh-CN"/>
        </w:rPr>
        <w:t>30</w:t>
      </w:r>
      <w:r>
        <w:rPr>
          <w:rFonts w:hint="eastAsia" w:ascii="宋体" w:hAnsi="宋体" w:eastAsia="宋体" w:cs="宋体"/>
          <w:szCs w:val="24"/>
          <w:lang w:eastAsia="zh-CN"/>
        </w:rPr>
        <w:t>天</w:t>
      </w:r>
      <w:bookmarkEnd w:id="198"/>
      <w:r>
        <w:rPr>
          <w:rFonts w:hint="eastAsia" w:ascii="宋体" w:hAnsi="宋体" w:eastAsia="宋体" w:cs="宋体"/>
          <w:szCs w:val="24"/>
          <w:lang w:eastAsia="zh-CN"/>
        </w:rPr>
        <w:t>；</w:t>
      </w:r>
    </w:p>
    <w:p>
      <w:pPr>
        <w:pStyle w:val="21"/>
        <w:spacing w:line="360" w:lineRule="auto"/>
        <w:ind w:firstLine="420" w:firstLineChars="200"/>
        <w:jc w:val="left"/>
        <w:rPr>
          <w:rFonts w:ascii="宋体" w:hAnsi="宋体" w:eastAsia="宋体" w:cs="宋体"/>
          <w:szCs w:val="24"/>
        </w:rPr>
      </w:pPr>
      <w:r>
        <w:rPr>
          <w:rFonts w:hint="eastAsia" w:ascii="宋体" w:hAnsi="宋体" w:eastAsia="宋体" w:cs="宋体"/>
          <w:szCs w:val="24"/>
        </w:rPr>
        <w:t>3.2 交货地点：采购人指定地点</w:t>
      </w:r>
    </w:p>
    <w:p>
      <w:pPr>
        <w:pStyle w:val="21"/>
        <w:spacing w:line="360" w:lineRule="auto"/>
        <w:ind w:firstLine="420" w:firstLineChars="200"/>
        <w:jc w:val="left"/>
        <w:rPr>
          <w:rFonts w:hint="default" w:ascii="宋体" w:hAnsi="宋体" w:eastAsia="宋体" w:cs="宋体"/>
          <w:color w:val="auto"/>
          <w:szCs w:val="24"/>
          <w:lang w:val="en-US" w:eastAsia="zh-CN"/>
        </w:rPr>
      </w:pPr>
      <w:r>
        <w:rPr>
          <w:rFonts w:hint="eastAsia" w:ascii="宋体" w:hAnsi="宋体" w:eastAsia="宋体" w:cs="宋体"/>
          <w:szCs w:val="24"/>
        </w:rPr>
        <w:t>3</w:t>
      </w:r>
      <w:r>
        <w:rPr>
          <w:rFonts w:hint="eastAsia" w:ascii="宋体" w:hAnsi="宋体" w:eastAsia="宋体" w:cs="宋体"/>
          <w:szCs w:val="24"/>
          <w:highlight w:val="none"/>
        </w:rPr>
        <w:t>.3免费质保期</w:t>
      </w:r>
      <w:r>
        <w:rPr>
          <w:rFonts w:hint="eastAsia" w:ascii="宋体" w:hAnsi="宋体" w:eastAsia="宋体" w:cs="宋体"/>
          <w:color w:val="auto"/>
          <w:szCs w:val="24"/>
          <w:highlight w:val="none"/>
        </w:rPr>
        <w:t>：验收合格后</w:t>
      </w:r>
      <w:r>
        <w:rPr>
          <w:rFonts w:hint="eastAsia" w:ascii="宋体" w:hAnsi="宋体" w:eastAsia="宋体" w:cs="宋体"/>
          <w:color w:val="auto"/>
          <w:szCs w:val="24"/>
          <w:highlight w:val="none"/>
          <w:lang w:val="en-US" w:eastAsia="zh-CN"/>
        </w:rPr>
        <w:t>成品保修5年，终身维护</w:t>
      </w:r>
    </w:p>
    <w:p>
      <w:pPr>
        <w:pStyle w:val="21"/>
        <w:spacing w:line="360" w:lineRule="auto"/>
        <w:ind w:firstLine="420" w:firstLineChars="200"/>
        <w:jc w:val="left"/>
        <w:rPr>
          <w:rFonts w:ascii="宋体" w:hAnsi="宋体" w:eastAsia="宋体" w:cs="宋体"/>
          <w:szCs w:val="24"/>
        </w:rPr>
      </w:pPr>
      <w:r>
        <w:rPr>
          <w:rFonts w:hint="eastAsia" w:ascii="宋体" w:hAnsi="宋体" w:eastAsia="宋体" w:cs="宋体"/>
          <w:szCs w:val="24"/>
        </w:rPr>
        <w:t xml:space="preserve">3.3付款方式：详见“第四部分 青海省政府采购项目合同书”中“四、付 </w:t>
      </w:r>
    </w:p>
    <w:p>
      <w:pPr>
        <w:pStyle w:val="21"/>
        <w:spacing w:line="360" w:lineRule="auto"/>
        <w:ind w:left="0" w:leftChars="0" w:firstLine="0" w:firstLineChars="0"/>
        <w:jc w:val="left"/>
        <w:rPr>
          <w:rFonts w:hint="eastAsia" w:ascii="宋体" w:hAnsi="宋体" w:eastAsia="宋体" w:cs="宋体"/>
          <w:szCs w:val="24"/>
        </w:rPr>
      </w:pPr>
      <w:r>
        <w:rPr>
          <w:rFonts w:hint="eastAsia" w:ascii="宋体" w:hAnsi="宋体" w:eastAsia="宋体" w:cs="宋体"/>
          <w:szCs w:val="24"/>
        </w:rPr>
        <w:t>款方式”的规定</w:t>
      </w:r>
    </w:p>
    <w:p>
      <w:pPr>
        <w:pStyle w:val="20"/>
        <w:spacing w:before="0" w:after="0" w:line="360" w:lineRule="auto"/>
        <w:ind w:firstLine="480"/>
        <w:jc w:val="left"/>
        <w:outlineLvl w:val="1"/>
        <w:rPr>
          <w:rFonts w:ascii="宋体" w:hAnsi="宋体" w:eastAsia="宋体" w:cs="宋体"/>
          <w:b w:val="0"/>
          <w:bCs w:val="0"/>
          <w:color w:val="000000"/>
          <w:sz w:val="24"/>
          <w:szCs w:val="24"/>
          <w:lang w:val="zh-CN"/>
        </w:rPr>
      </w:pPr>
      <w:bookmarkStart w:id="199" w:name="_Toc26125"/>
      <w:bookmarkStart w:id="200" w:name="_Toc515908233"/>
      <w:bookmarkStart w:id="201" w:name="_Toc5035"/>
      <w:r>
        <w:rPr>
          <w:rFonts w:hint="eastAsia" w:ascii="宋体" w:hAnsi="宋体" w:eastAsia="宋体" w:cs="宋体"/>
          <w:b w:val="0"/>
          <w:bCs w:val="0"/>
          <w:color w:val="000000"/>
          <w:sz w:val="24"/>
          <w:szCs w:val="24"/>
        </w:rPr>
        <w:t>4.</w:t>
      </w:r>
      <w:bookmarkEnd w:id="199"/>
      <w:bookmarkStart w:id="202" w:name="_Toc1475"/>
      <w:r>
        <w:rPr>
          <w:rFonts w:hint="eastAsia" w:ascii="宋体" w:hAnsi="宋体" w:eastAsia="宋体" w:cs="宋体"/>
          <w:b w:val="0"/>
          <w:bCs w:val="0"/>
          <w:color w:val="000000"/>
          <w:sz w:val="24"/>
          <w:szCs w:val="24"/>
          <w:lang w:val="zh-CN"/>
        </w:rPr>
        <w:t>重要指标</w:t>
      </w:r>
      <w:bookmarkEnd w:id="200"/>
      <w:bookmarkEnd w:id="201"/>
      <w:bookmarkEnd w:id="202"/>
    </w:p>
    <w:p>
      <w:pPr>
        <w:pStyle w:val="21"/>
        <w:spacing w:line="360" w:lineRule="auto"/>
        <w:ind w:firstLine="422" w:firstLineChars="200"/>
        <w:jc w:val="left"/>
        <w:rPr>
          <w:rFonts w:ascii="宋体" w:hAnsi="宋体" w:eastAsia="宋体" w:cs="宋体"/>
          <w:color w:val="000000"/>
          <w:szCs w:val="24"/>
          <w:lang w:val="zh-CN"/>
        </w:rPr>
      </w:pPr>
      <w:r>
        <w:rPr>
          <w:rFonts w:hint="eastAsia" w:ascii="宋体" w:hAnsi="宋体" w:eastAsia="宋体" w:cs="宋体"/>
          <w:b/>
          <w:bCs/>
          <w:color w:val="000000"/>
          <w:szCs w:val="24"/>
        </w:rPr>
        <w:t>4</w:t>
      </w:r>
      <w:r>
        <w:rPr>
          <w:rFonts w:hint="eastAsia" w:ascii="宋体" w:hAnsi="宋体" w:eastAsia="宋体" w:cs="宋体"/>
          <w:b/>
          <w:bCs/>
          <w:color w:val="000000"/>
          <w:szCs w:val="24"/>
          <w:lang w:val="zh-CN"/>
        </w:rPr>
        <w:t>.1</w:t>
      </w:r>
      <w:r>
        <w:rPr>
          <w:rFonts w:hint="eastAsia" w:ascii="宋体" w:hAnsi="宋体" w:eastAsia="宋体" w:cs="宋体"/>
          <w:b/>
          <w:bCs/>
          <w:color w:val="000000"/>
          <w:szCs w:val="24"/>
        </w:rPr>
        <w:t xml:space="preserve"> </w:t>
      </w:r>
      <w:r>
        <w:rPr>
          <w:rFonts w:hint="eastAsia" w:ascii="宋体" w:hAnsi="宋体" w:eastAsia="宋体" w:cs="宋体"/>
          <w:b/>
          <w:bCs/>
          <w:color w:val="000000"/>
          <w:szCs w:val="24"/>
          <w:lang w:val="zh-CN"/>
        </w:rPr>
        <w:t>“技术参数”中用“</w:t>
      </w:r>
      <w:r>
        <w:rPr>
          <w:rFonts w:hint="eastAsia" w:ascii="宋体" w:hAnsi="宋体" w:eastAsia="宋体" w:cs="宋体"/>
          <w:b/>
          <w:bCs/>
          <w:color w:val="000000"/>
          <w:szCs w:val="24"/>
          <w:lang w:val="zh-CN" w:eastAsia="en-US"/>
        </w:rPr>
        <w:t>★</w:t>
      </w:r>
      <w:r>
        <w:rPr>
          <w:rFonts w:hint="eastAsia" w:ascii="宋体" w:hAnsi="宋体" w:eastAsia="宋体" w:cs="宋体"/>
          <w:b/>
          <w:bCs/>
          <w:color w:val="000000"/>
          <w:szCs w:val="24"/>
          <w:lang w:val="zh-CN"/>
        </w:rPr>
        <w:t>”符号标注的属于重要技术参数、指标，必须完全响应（须提供相关证明材料）。否则，投标无效</w:t>
      </w:r>
      <w:r>
        <w:rPr>
          <w:rFonts w:hint="eastAsia" w:ascii="宋体" w:hAnsi="宋体" w:eastAsia="宋体" w:cs="宋体"/>
          <w:color w:val="000000"/>
          <w:szCs w:val="24"/>
          <w:lang w:val="zh-CN"/>
        </w:rPr>
        <w:t>。</w:t>
      </w:r>
    </w:p>
    <w:p>
      <w:pPr>
        <w:pStyle w:val="21"/>
        <w:spacing w:line="360" w:lineRule="auto"/>
        <w:ind w:firstLine="420" w:firstLineChars="200"/>
        <w:jc w:val="left"/>
        <w:rPr>
          <w:rFonts w:hint="eastAsia" w:ascii="宋体" w:hAnsi="宋体" w:eastAsia="宋体" w:cs="宋体"/>
          <w:color w:val="000000"/>
          <w:szCs w:val="24"/>
          <w:lang w:val="zh-CN"/>
        </w:rPr>
      </w:pPr>
      <w:r>
        <w:rPr>
          <w:rFonts w:hint="eastAsia" w:ascii="宋体" w:hAnsi="宋体" w:eastAsia="宋体" w:cs="宋体"/>
          <w:color w:val="000000"/>
          <w:szCs w:val="24"/>
        </w:rPr>
        <w:t>4</w:t>
      </w:r>
      <w:r>
        <w:rPr>
          <w:rFonts w:hint="eastAsia" w:ascii="宋体" w:hAnsi="宋体" w:eastAsia="宋体" w:cs="宋体"/>
          <w:color w:val="000000"/>
          <w:szCs w:val="24"/>
          <w:lang w:val="zh-CN"/>
        </w:rPr>
        <w:t>.2</w:t>
      </w:r>
      <w:r>
        <w:rPr>
          <w:rFonts w:hint="eastAsia" w:ascii="宋体" w:hAnsi="宋体" w:eastAsia="宋体" w:cs="宋体"/>
          <w:color w:val="000000"/>
          <w:szCs w:val="24"/>
        </w:rPr>
        <w:t xml:space="preserve"> </w:t>
      </w:r>
      <w:r>
        <w:rPr>
          <w:rFonts w:hint="eastAsia" w:ascii="宋体" w:hAnsi="宋体" w:eastAsia="宋体" w:cs="宋体"/>
          <w:color w:val="000000"/>
          <w:szCs w:val="24"/>
          <w:lang w:val="zh-CN"/>
        </w:rPr>
        <w:t>磋商文件中凡需与原有设备、系统并机、兼容、匹配等要求的，请主动和采购人联系，取得原有设备、系统相关资料。若有磋商文件未提及或变更内容的，请及时与采购人或者采购代理机构联系。</w:t>
      </w:r>
    </w:p>
    <w:p>
      <w:pPr>
        <w:pStyle w:val="21"/>
        <w:spacing w:line="360" w:lineRule="auto"/>
        <w:ind w:firstLine="420" w:firstLineChars="200"/>
        <w:jc w:val="left"/>
        <w:rPr>
          <w:rFonts w:hint="eastAsia" w:ascii="宋体" w:hAnsi="宋体" w:eastAsia="宋体" w:cs="宋体"/>
          <w:szCs w:val="24"/>
        </w:rPr>
        <w:sectPr>
          <w:footerReference r:id="rId7" w:type="default"/>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2" w:charSpace="0"/>
        </w:sectPr>
      </w:pPr>
    </w:p>
    <w:p>
      <w:pPr>
        <w:pStyle w:val="21"/>
        <w:numPr>
          <w:ilvl w:val="0"/>
          <w:numId w:val="6"/>
        </w:numPr>
        <w:spacing w:line="360" w:lineRule="auto"/>
        <w:ind w:left="0" w:leftChars="0" w:firstLine="420" w:firstLineChars="200"/>
        <w:jc w:val="left"/>
        <w:outlineLvl w:val="1"/>
        <w:rPr>
          <w:rFonts w:hint="eastAsia" w:ascii="宋体" w:hAnsi="宋体" w:eastAsia="宋体" w:cs="宋体"/>
          <w:szCs w:val="24"/>
        </w:rPr>
      </w:pPr>
      <w:r>
        <w:rPr>
          <w:rFonts w:hint="eastAsia" w:ascii="宋体" w:hAnsi="宋体" w:eastAsia="宋体" w:cs="宋体"/>
          <w:szCs w:val="24"/>
        </w:rPr>
        <w:t>技术参数</w:t>
      </w:r>
    </w:p>
    <w:p>
      <w:pPr>
        <w:pStyle w:val="21"/>
        <w:numPr>
          <w:ilvl w:val="0"/>
          <w:numId w:val="0"/>
        </w:numPr>
        <w:spacing w:line="360" w:lineRule="auto"/>
        <w:ind w:leftChars="200"/>
        <w:jc w:val="center"/>
        <w:outlineLvl w:val="2"/>
        <w:rPr>
          <w:rFonts w:hint="eastAsia" w:ascii="宋体" w:hAnsi="宋体" w:eastAsia="宋体" w:cs="宋体"/>
          <w:b/>
          <w:bCs/>
          <w:szCs w:val="24"/>
          <w:lang w:val="en-US" w:eastAsia="zh-CN"/>
        </w:rPr>
      </w:pPr>
      <w:r>
        <w:rPr>
          <w:rFonts w:hint="eastAsia" w:ascii="宋体" w:hAnsi="宋体" w:eastAsia="宋体" w:cs="宋体"/>
          <w:b/>
          <w:bCs/>
          <w:szCs w:val="24"/>
          <w:lang w:val="en-US" w:eastAsia="zh-CN"/>
        </w:rPr>
        <w:t>一、产品清单</w:t>
      </w:r>
    </w:p>
    <w:tbl>
      <w:tblPr>
        <w:tblStyle w:val="24"/>
        <w:tblpPr w:leftFromText="180" w:rightFromText="180" w:vertAnchor="page" w:horzAnchor="page" w:tblpXSpec="center" w:tblpY="3007"/>
        <w:tblOverlap w:val="never"/>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2184"/>
        <w:gridCol w:w="3490"/>
        <w:gridCol w:w="1000"/>
        <w:gridCol w:w="991"/>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5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bCs/>
                <w:color w:val="auto"/>
                <w:sz w:val="28"/>
                <w:szCs w:val="36"/>
                <w:highlight w:val="none"/>
                <w:vertAlign w:val="baseline"/>
                <w:lang w:val="en-US" w:eastAsia="zh-CN"/>
              </w:rPr>
            </w:pPr>
          </w:p>
        </w:tc>
        <w:tc>
          <w:tcPr>
            <w:tcW w:w="21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bCs/>
                <w:color w:val="auto"/>
                <w:sz w:val="28"/>
                <w:szCs w:val="36"/>
                <w:highlight w:val="none"/>
                <w:vertAlign w:val="baseline"/>
                <w:lang w:val="en-US" w:eastAsia="zh-CN"/>
              </w:rPr>
            </w:pPr>
            <w:r>
              <w:rPr>
                <w:rFonts w:hint="eastAsia" w:ascii="宋体" w:hAnsi="宋体" w:eastAsia="宋体" w:cs="宋体"/>
                <w:b/>
                <w:bCs/>
                <w:color w:val="auto"/>
                <w:sz w:val="28"/>
                <w:szCs w:val="36"/>
                <w:highlight w:val="none"/>
                <w:vertAlign w:val="baseline"/>
                <w:lang w:val="en-US" w:eastAsia="zh-CN"/>
              </w:rPr>
              <w:t>产品名称</w:t>
            </w:r>
          </w:p>
        </w:tc>
        <w:tc>
          <w:tcPr>
            <w:tcW w:w="34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bCs/>
                <w:color w:val="auto"/>
                <w:sz w:val="28"/>
                <w:szCs w:val="36"/>
                <w:highlight w:val="none"/>
                <w:vertAlign w:val="baseline"/>
                <w:lang w:val="en-US" w:eastAsia="zh-CN"/>
              </w:rPr>
            </w:pPr>
            <w:r>
              <w:rPr>
                <w:rFonts w:hint="eastAsia" w:ascii="宋体" w:hAnsi="宋体" w:eastAsia="宋体" w:cs="宋体"/>
                <w:b/>
                <w:bCs/>
                <w:color w:val="auto"/>
                <w:sz w:val="28"/>
                <w:szCs w:val="36"/>
                <w:highlight w:val="none"/>
                <w:vertAlign w:val="baseline"/>
                <w:lang w:val="en-US" w:eastAsia="zh-CN"/>
              </w:rPr>
              <w:t>产品规格</w:t>
            </w:r>
          </w:p>
        </w:tc>
        <w:tc>
          <w:tcPr>
            <w:tcW w:w="10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bCs/>
                <w:color w:val="auto"/>
                <w:sz w:val="28"/>
                <w:szCs w:val="36"/>
                <w:highlight w:val="none"/>
                <w:vertAlign w:val="baseline"/>
                <w:lang w:val="en-US" w:eastAsia="zh-CN"/>
              </w:rPr>
            </w:pPr>
            <w:r>
              <w:rPr>
                <w:rFonts w:hint="eastAsia" w:ascii="宋体" w:hAnsi="宋体" w:eastAsia="宋体" w:cs="宋体"/>
                <w:b/>
                <w:bCs/>
                <w:color w:val="auto"/>
                <w:sz w:val="28"/>
                <w:szCs w:val="36"/>
                <w:highlight w:val="none"/>
                <w:vertAlign w:val="baseline"/>
                <w:lang w:val="en-US" w:eastAsia="zh-CN"/>
              </w:rPr>
              <w:t>数量</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bCs/>
                <w:color w:val="auto"/>
                <w:sz w:val="28"/>
                <w:szCs w:val="36"/>
                <w:highlight w:val="none"/>
                <w:vertAlign w:val="baseline"/>
                <w:lang w:val="en-US" w:eastAsia="zh-CN"/>
              </w:rPr>
            </w:pPr>
            <w:r>
              <w:rPr>
                <w:rFonts w:hint="eastAsia" w:ascii="宋体" w:hAnsi="宋体" w:eastAsia="宋体" w:cs="宋体"/>
                <w:b/>
                <w:bCs/>
                <w:color w:val="auto"/>
                <w:sz w:val="28"/>
                <w:szCs w:val="36"/>
                <w:highlight w:val="none"/>
                <w:vertAlign w:val="baseline"/>
                <w:lang w:val="en-US" w:eastAsia="zh-CN"/>
              </w:rPr>
              <w:t>单位</w:t>
            </w:r>
          </w:p>
        </w:tc>
        <w:tc>
          <w:tcPr>
            <w:tcW w:w="14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cs="宋体"/>
                <w:b/>
                <w:bCs/>
                <w:color w:val="auto"/>
                <w:sz w:val="28"/>
                <w:szCs w:val="36"/>
                <w:highlight w:val="none"/>
                <w:vertAlign w:val="baseline"/>
                <w:lang w:val="en-US" w:eastAsia="zh-CN"/>
              </w:rPr>
            </w:pPr>
            <w:r>
              <w:rPr>
                <w:rFonts w:hint="eastAsia" w:ascii="宋体" w:hAnsi="宋体" w:eastAsia="宋体" w:cs="宋体"/>
                <w:b/>
                <w:bCs/>
                <w:color w:val="auto"/>
                <w:sz w:val="28"/>
                <w:szCs w:val="36"/>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2" w:type="dxa"/>
            <w:shd w:val="clear" w:color="auto"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p>
        </w:tc>
        <w:tc>
          <w:tcPr>
            <w:tcW w:w="21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双柱智能密集架</w:t>
            </w:r>
          </w:p>
        </w:tc>
        <w:tc>
          <w:tcPr>
            <w:tcW w:w="34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长4000*深740*高2800mm</w:t>
            </w:r>
          </w:p>
        </w:tc>
        <w:tc>
          <w:tcPr>
            <w:tcW w:w="10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369.6</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w:t>
            </w:r>
          </w:p>
        </w:tc>
        <w:tc>
          <w:tcPr>
            <w:tcW w:w="14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9层，4组1列共33列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2" w:type="dxa"/>
            <w:shd w:val="clear" w:color="auto"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p>
        </w:tc>
        <w:tc>
          <w:tcPr>
            <w:tcW w:w="21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办公桌</w:t>
            </w:r>
          </w:p>
        </w:tc>
        <w:tc>
          <w:tcPr>
            <w:tcW w:w="34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1600*700*800mm</w:t>
            </w:r>
          </w:p>
        </w:tc>
        <w:tc>
          <w:tcPr>
            <w:tcW w:w="10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张</w:t>
            </w:r>
          </w:p>
        </w:tc>
        <w:tc>
          <w:tcPr>
            <w:tcW w:w="14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2" w:type="dxa"/>
            <w:shd w:val="clear" w:color="auto"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p>
        </w:tc>
        <w:tc>
          <w:tcPr>
            <w:tcW w:w="21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办公椅</w:t>
            </w:r>
          </w:p>
        </w:tc>
        <w:tc>
          <w:tcPr>
            <w:tcW w:w="34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常规</w:t>
            </w:r>
          </w:p>
        </w:tc>
        <w:tc>
          <w:tcPr>
            <w:tcW w:w="10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把</w:t>
            </w:r>
          </w:p>
        </w:tc>
        <w:tc>
          <w:tcPr>
            <w:tcW w:w="14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2" w:type="dxa"/>
            <w:shd w:val="clear" w:color="auto"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p>
        </w:tc>
        <w:tc>
          <w:tcPr>
            <w:tcW w:w="21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保密柜</w:t>
            </w:r>
          </w:p>
        </w:tc>
        <w:tc>
          <w:tcPr>
            <w:tcW w:w="34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Theme="minorEastAsia" w:hAnsiTheme="minorEastAsia" w:cstheme="minorEastAsia"/>
                <w:sz w:val="24"/>
                <w:szCs w:val="24"/>
                <w:lang w:val="en-US" w:eastAsia="zh-CN"/>
              </w:rPr>
              <w:t>900*400*1800mm</w:t>
            </w:r>
          </w:p>
        </w:tc>
        <w:tc>
          <w:tcPr>
            <w:tcW w:w="10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个</w:t>
            </w:r>
          </w:p>
        </w:tc>
        <w:tc>
          <w:tcPr>
            <w:tcW w:w="14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2" w:type="dxa"/>
            <w:shd w:val="clear" w:color="auto"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21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气体灭火控制器</w:t>
            </w:r>
          </w:p>
        </w:tc>
        <w:tc>
          <w:tcPr>
            <w:tcW w:w="34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详见档案库房灭火系统参数</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vertAlign w:val="baseline"/>
                <w:lang w:val="en-US" w:eastAsia="zh-CN"/>
              </w:rPr>
            </w:pPr>
          </w:p>
        </w:tc>
        <w:tc>
          <w:tcPr>
            <w:tcW w:w="10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1</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台</w:t>
            </w:r>
          </w:p>
        </w:tc>
        <w:tc>
          <w:tcPr>
            <w:tcW w:w="14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eastAsia="宋体" w:cs="宋体"/>
                <w:b w:val="0"/>
                <w:bCs w:val="0"/>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2" w:type="dxa"/>
            <w:shd w:val="clear" w:color="auto"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21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color w:val="000000"/>
                <w:sz w:val="24"/>
                <w:szCs w:val="24"/>
              </w:rPr>
            </w:pPr>
            <w:r>
              <w:rPr>
                <w:rFonts w:hint="eastAsia" w:ascii="宋体" w:hAnsi="宋体"/>
                <w:color w:val="000000"/>
                <w:sz w:val="24"/>
                <w:szCs w:val="24"/>
              </w:rPr>
              <w:t>150L 柜式七氟</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color w:val="000000"/>
                <w:sz w:val="24"/>
                <w:szCs w:val="24"/>
              </w:rPr>
            </w:pPr>
            <w:r>
              <w:rPr>
                <w:rFonts w:hint="eastAsia" w:ascii="宋体" w:hAnsi="宋体"/>
                <w:color w:val="000000"/>
                <w:sz w:val="24"/>
                <w:szCs w:val="24"/>
              </w:rPr>
              <w:t>丙烷气体灭火</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装置</w:t>
            </w:r>
          </w:p>
        </w:tc>
        <w:tc>
          <w:tcPr>
            <w:tcW w:w="34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详见档案库房灭火系统参数</w:t>
            </w:r>
          </w:p>
        </w:tc>
        <w:tc>
          <w:tcPr>
            <w:tcW w:w="10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4</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套</w:t>
            </w:r>
          </w:p>
        </w:tc>
        <w:tc>
          <w:tcPr>
            <w:tcW w:w="14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eastAsia="宋体" w:cs="宋体"/>
                <w:b w:val="0"/>
                <w:bCs w:val="0"/>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2" w:type="dxa"/>
            <w:shd w:val="clear" w:color="auto"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21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0.25泄压装置</w:t>
            </w:r>
          </w:p>
        </w:tc>
        <w:tc>
          <w:tcPr>
            <w:tcW w:w="34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详见档案库房灭火系统参数</w:t>
            </w:r>
          </w:p>
        </w:tc>
        <w:tc>
          <w:tcPr>
            <w:tcW w:w="10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1</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套</w:t>
            </w:r>
          </w:p>
        </w:tc>
        <w:tc>
          <w:tcPr>
            <w:tcW w:w="14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eastAsia="宋体" w:cs="宋体"/>
                <w:b w:val="0"/>
                <w:bCs w:val="0"/>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2" w:type="dxa"/>
            <w:shd w:val="clear" w:color="auto"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21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color w:val="000000"/>
                <w:sz w:val="24"/>
                <w:szCs w:val="24"/>
              </w:rPr>
            </w:pPr>
            <w:r>
              <w:rPr>
                <w:rFonts w:hint="eastAsia" w:ascii="宋体" w:hAnsi="宋体"/>
                <w:color w:val="000000"/>
                <w:sz w:val="24"/>
                <w:szCs w:val="24"/>
              </w:rPr>
              <w:t>点型感温火灾</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探则器</w:t>
            </w:r>
          </w:p>
        </w:tc>
        <w:tc>
          <w:tcPr>
            <w:tcW w:w="34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详见档案库房灭火系统参数</w:t>
            </w:r>
          </w:p>
        </w:tc>
        <w:tc>
          <w:tcPr>
            <w:tcW w:w="10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11</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只</w:t>
            </w:r>
          </w:p>
        </w:tc>
        <w:tc>
          <w:tcPr>
            <w:tcW w:w="14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eastAsia="宋体" w:cs="宋体"/>
                <w:b w:val="0"/>
                <w:bCs w:val="0"/>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2" w:type="dxa"/>
            <w:shd w:val="clear" w:color="auto"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21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color w:val="000000"/>
                <w:sz w:val="24"/>
                <w:szCs w:val="24"/>
              </w:rPr>
            </w:pPr>
            <w:r>
              <w:rPr>
                <w:rFonts w:hint="eastAsia" w:ascii="宋体" w:hAnsi="宋体"/>
                <w:color w:val="000000"/>
                <w:sz w:val="24"/>
                <w:szCs w:val="24"/>
              </w:rPr>
              <w:t>点型光电感烟火灾</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探则器</w:t>
            </w:r>
          </w:p>
        </w:tc>
        <w:tc>
          <w:tcPr>
            <w:tcW w:w="34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详见档案库房灭火系统参数</w:t>
            </w:r>
          </w:p>
        </w:tc>
        <w:tc>
          <w:tcPr>
            <w:tcW w:w="10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4</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只</w:t>
            </w:r>
          </w:p>
        </w:tc>
        <w:tc>
          <w:tcPr>
            <w:tcW w:w="14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eastAsia="宋体" w:cs="宋体"/>
                <w:b w:val="0"/>
                <w:bCs w:val="0"/>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2" w:type="dxa"/>
            <w:shd w:val="clear" w:color="auto"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21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火灾声光报警器</w:t>
            </w:r>
          </w:p>
        </w:tc>
        <w:tc>
          <w:tcPr>
            <w:tcW w:w="34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详见档案库房灭火系统参数</w:t>
            </w:r>
          </w:p>
        </w:tc>
        <w:tc>
          <w:tcPr>
            <w:tcW w:w="10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4</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只</w:t>
            </w:r>
          </w:p>
        </w:tc>
        <w:tc>
          <w:tcPr>
            <w:tcW w:w="14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eastAsia="宋体" w:cs="宋体"/>
                <w:b w:val="0"/>
                <w:bCs w:val="0"/>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2" w:type="dxa"/>
            <w:shd w:val="clear" w:color="auto"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21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紧急启停按钮</w:t>
            </w:r>
          </w:p>
        </w:tc>
        <w:tc>
          <w:tcPr>
            <w:tcW w:w="34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详见档案库房灭火系统参数</w:t>
            </w:r>
          </w:p>
        </w:tc>
        <w:tc>
          <w:tcPr>
            <w:tcW w:w="10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2</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只</w:t>
            </w:r>
          </w:p>
        </w:tc>
        <w:tc>
          <w:tcPr>
            <w:tcW w:w="14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eastAsia="宋体" w:cs="宋体"/>
                <w:b w:val="0"/>
                <w:bCs w:val="0"/>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2" w:type="dxa"/>
            <w:shd w:val="clear" w:color="auto"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21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气体释放报警器</w:t>
            </w:r>
          </w:p>
        </w:tc>
        <w:tc>
          <w:tcPr>
            <w:tcW w:w="34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详见档案库房灭火系统参数</w:t>
            </w:r>
          </w:p>
        </w:tc>
        <w:tc>
          <w:tcPr>
            <w:tcW w:w="10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2</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只</w:t>
            </w:r>
          </w:p>
        </w:tc>
        <w:tc>
          <w:tcPr>
            <w:tcW w:w="14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eastAsia="宋体" w:cs="宋体"/>
                <w:b w:val="0"/>
                <w:bCs w:val="0"/>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2" w:type="dxa"/>
            <w:shd w:val="clear" w:color="auto"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21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启动信号接口</w:t>
            </w:r>
          </w:p>
        </w:tc>
        <w:tc>
          <w:tcPr>
            <w:tcW w:w="34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详见档案库房灭火系统参数</w:t>
            </w:r>
          </w:p>
        </w:tc>
        <w:tc>
          <w:tcPr>
            <w:tcW w:w="10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1</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只</w:t>
            </w:r>
          </w:p>
        </w:tc>
        <w:tc>
          <w:tcPr>
            <w:tcW w:w="14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eastAsia="宋体" w:cs="宋体"/>
                <w:b w:val="0"/>
                <w:bCs w:val="0"/>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2" w:type="dxa"/>
            <w:shd w:val="clear" w:color="auto"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21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反馈信号接口</w:t>
            </w:r>
          </w:p>
        </w:tc>
        <w:tc>
          <w:tcPr>
            <w:tcW w:w="34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详见档案库房灭火系统参数</w:t>
            </w:r>
          </w:p>
        </w:tc>
        <w:tc>
          <w:tcPr>
            <w:tcW w:w="10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1</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只</w:t>
            </w:r>
          </w:p>
        </w:tc>
        <w:tc>
          <w:tcPr>
            <w:tcW w:w="14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eastAsia="宋体" w:cs="宋体"/>
                <w:b w:val="0"/>
                <w:bCs w:val="0"/>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2" w:type="dxa"/>
            <w:shd w:val="clear" w:color="auto"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21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10A壁挂式箱体电源</w:t>
            </w:r>
          </w:p>
        </w:tc>
        <w:tc>
          <w:tcPr>
            <w:tcW w:w="34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详见档案库房灭火系统参数</w:t>
            </w:r>
          </w:p>
        </w:tc>
        <w:tc>
          <w:tcPr>
            <w:tcW w:w="10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1</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台</w:t>
            </w:r>
          </w:p>
        </w:tc>
        <w:tc>
          <w:tcPr>
            <w:tcW w:w="14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eastAsia="宋体" w:cs="宋体"/>
                <w:b w:val="0"/>
                <w:bCs w:val="0"/>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2" w:type="dxa"/>
            <w:shd w:val="clear" w:color="auto"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21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泄压口开孔</w:t>
            </w:r>
          </w:p>
        </w:tc>
        <w:tc>
          <w:tcPr>
            <w:tcW w:w="34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0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1</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个</w:t>
            </w:r>
          </w:p>
        </w:tc>
        <w:tc>
          <w:tcPr>
            <w:tcW w:w="14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eastAsia="宋体" w:cs="宋体"/>
                <w:b w:val="0"/>
                <w:bCs w:val="0"/>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2" w:type="dxa"/>
            <w:shd w:val="clear" w:color="auto"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21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安装辅材费</w:t>
            </w:r>
          </w:p>
        </w:tc>
        <w:tc>
          <w:tcPr>
            <w:tcW w:w="34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color w:val="000000"/>
                <w:sz w:val="22"/>
                <w:szCs w:val="24"/>
              </w:rPr>
              <w:t>需要铺暗管</w:t>
            </w:r>
          </w:p>
        </w:tc>
        <w:tc>
          <w:tcPr>
            <w:tcW w:w="10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4</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台</w:t>
            </w:r>
          </w:p>
        </w:tc>
        <w:tc>
          <w:tcPr>
            <w:tcW w:w="14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eastAsia="宋体" w:cs="宋体"/>
                <w:b w:val="0"/>
                <w:bCs w:val="0"/>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2" w:type="dxa"/>
            <w:shd w:val="clear" w:color="auto"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21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安装调试</w:t>
            </w:r>
          </w:p>
        </w:tc>
        <w:tc>
          <w:tcPr>
            <w:tcW w:w="34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0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4</w:t>
            </w:r>
          </w:p>
        </w:tc>
        <w:tc>
          <w:tcPr>
            <w:tcW w:w="9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套</w:t>
            </w:r>
          </w:p>
        </w:tc>
        <w:tc>
          <w:tcPr>
            <w:tcW w:w="14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Theme="minorEastAsia" w:cstheme="minorBidi"/>
                <w:color w:val="FF0000"/>
                <w:kern w:val="2"/>
                <w:sz w:val="24"/>
                <w:szCs w:val="24"/>
                <w:lang w:val="en-US" w:eastAsia="zh-CN" w:bidi="ar-SA"/>
              </w:rPr>
            </w:pPr>
            <w:r>
              <w:rPr>
                <w:rFonts w:hint="eastAsia" w:ascii="宋体" w:hAnsi="宋体" w:eastAsia="宋体" w:cs="宋体"/>
                <w:b w:val="0"/>
                <w:bCs w:val="0"/>
                <w:color w:val="auto"/>
                <w:sz w:val="24"/>
                <w:szCs w:val="24"/>
                <w:highlight w:val="none"/>
                <w:vertAlign w:val="baseline"/>
                <w:lang w:val="en-US" w:eastAsia="zh-CN"/>
              </w:rPr>
              <w:t>/</w:t>
            </w:r>
          </w:p>
        </w:tc>
      </w:tr>
    </w:tbl>
    <w:p>
      <w:pPr>
        <w:pStyle w:val="4"/>
        <w:numPr>
          <w:ilvl w:val="0"/>
          <w:numId w:val="0"/>
        </w:numPr>
        <w:bidi w:val="0"/>
        <w:ind w:left="0" w:leftChars="0" w:firstLine="482" w:firstLineChars="200"/>
        <w:jc w:val="center"/>
        <w:outlineLvl w:val="2"/>
        <w:rPr>
          <w:rFonts w:hint="eastAsia" w:ascii="宋体" w:hAnsi="宋体" w:eastAsia="宋体" w:cs="宋体"/>
          <w:sz w:val="24"/>
          <w:szCs w:val="24"/>
          <w:lang w:val="en-US" w:eastAsia="zh-CN"/>
        </w:rPr>
      </w:pPr>
      <w:r>
        <w:rPr>
          <w:rFonts w:hint="eastAsia" w:ascii="宋体" w:hAnsi="宋体" w:eastAsia="宋体" w:cs="宋体"/>
          <w:b/>
          <w:kern w:val="44"/>
          <w:sz w:val="24"/>
          <w:szCs w:val="24"/>
          <w:lang w:val="en-US" w:eastAsia="zh-CN" w:bidi="ar-SA"/>
        </w:rPr>
        <w:t>二、</w:t>
      </w:r>
      <w:r>
        <w:rPr>
          <w:rFonts w:hint="eastAsia" w:ascii="宋体" w:hAnsi="宋体" w:eastAsia="宋体" w:cs="宋体"/>
          <w:sz w:val="24"/>
          <w:szCs w:val="24"/>
          <w:lang w:val="en-US" w:eastAsia="zh-CN"/>
        </w:rPr>
        <w:t>技术参数要求</w:t>
      </w:r>
    </w:p>
    <w:p>
      <w:pPr>
        <w:pStyle w:val="3"/>
        <w:numPr>
          <w:ilvl w:val="1"/>
          <w:numId w:val="0"/>
        </w:numPr>
        <w:bidi w:val="0"/>
        <w:ind w:left="0" w:leftChars="0" w:firstLine="482" w:firstLineChars="200"/>
        <w:jc w:val="center"/>
        <w:rPr>
          <w:rFonts w:hint="eastAsia" w:ascii="宋体" w:hAnsi="宋体" w:eastAsia="宋体" w:cs="宋体"/>
          <w:sz w:val="24"/>
          <w:szCs w:val="24"/>
          <w:lang w:val="en-US" w:eastAsia="zh-CN"/>
        </w:rPr>
      </w:pPr>
      <w:r>
        <w:rPr>
          <w:rFonts w:hint="eastAsia" w:ascii="宋体" w:hAnsi="宋体" w:eastAsia="宋体" w:cs="宋体"/>
          <w:b/>
          <w:sz w:val="24"/>
          <w:szCs w:val="24"/>
          <w:lang w:val="en-US" w:eastAsia="zh-CN" w:bidi="ar-SA"/>
        </w:rPr>
        <w:t>（一）</w:t>
      </w:r>
      <w:r>
        <w:rPr>
          <w:rFonts w:hint="eastAsia" w:ascii="宋体" w:hAnsi="宋体" w:eastAsia="宋体" w:cs="宋体"/>
          <w:sz w:val="24"/>
          <w:szCs w:val="24"/>
          <w:lang w:val="en-US" w:eastAsia="zh-CN"/>
        </w:rPr>
        <w:t>双柱智能密集架</w:t>
      </w:r>
    </w:p>
    <w:p>
      <w:pPr>
        <w:numPr>
          <w:ilvl w:val="0"/>
          <w:numId w:val="8"/>
        </w:numPr>
        <w:autoSpaceDE w:val="0"/>
        <w:autoSpaceDN w:val="0"/>
        <w:adjustRightInd w:val="0"/>
        <w:spacing w:line="360" w:lineRule="auto"/>
        <w:ind w:firstLine="480" w:firstLineChars="200"/>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结构要求</w:t>
      </w:r>
    </w:p>
    <w:p>
      <w:pPr>
        <w:numPr>
          <w:ilvl w:val="0"/>
          <w:numId w:val="9"/>
        </w:num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密集架主要由导轨（齿条式传动系统）、底盘、传动机构和架体（包括立柱、挂板、搁板、顶板、门板及侧护板）等零（部）件组合而成。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供应商提供第三方检测机构（检测报告需带CMA标识）</w:t>
      </w:r>
      <w:r>
        <w:rPr>
          <w:rFonts w:hint="eastAsia" w:ascii="宋体" w:hAnsi="宋体" w:eastAsia="宋体" w:cs="宋体"/>
          <w:b w:val="0"/>
          <w:bCs w:val="0"/>
          <w:color w:val="auto"/>
          <w:sz w:val="24"/>
          <w:szCs w:val="24"/>
          <w:highlight w:val="none"/>
        </w:rPr>
        <w:t>出具的</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智能电动齿条式路轨传动密集架》检测报告，</w:t>
      </w:r>
      <w:r>
        <w:rPr>
          <w:rFonts w:hint="eastAsia" w:ascii="宋体" w:hAnsi="宋体" w:eastAsia="宋体" w:cs="宋体"/>
          <w:b w:val="0"/>
          <w:bCs w:val="0"/>
          <w:color w:val="auto"/>
          <w:sz w:val="24"/>
          <w:szCs w:val="24"/>
          <w:highlight w:val="none"/>
          <w:lang w:val="zh-CN" w:eastAsia="zh-CN"/>
        </w:rPr>
        <w:t>检验项目</w:t>
      </w:r>
      <w:r>
        <w:rPr>
          <w:rFonts w:hint="eastAsia" w:ascii="宋体" w:hAnsi="宋体" w:eastAsia="宋体" w:cs="宋体"/>
          <w:b w:val="0"/>
          <w:bCs w:val="0"/>
          <w:color w:val="auto"/>
          <w:sz w:val="24"/>
          <w:szCs w:val="24"/>
          <w:highlight w:val="none"/>
          <w:lang w:val="zh-CN"/>
        </w:rPr>
        <w:t>符合以下要求</w:t>
      </w: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lang w:val="en-US" w:eastAsia="zh-CN"/>
        </w:rPr>
        <w:t>检测依据GB/T 13667.4-2013《钢制书架第 4部分:电动密集书架》、GB 18584-2001《室内装饰装修材料木家具中有害物质限量》GB/T35607-2017《绿色产品评价家具》；①抽样基数≥500件；②重金属含量（mg/kg）：可溶性铅、可溶性镉、可溶性铬、可溶性汞检验结果均未检出；③甲醛释放量（mg/m³）未检出，苯（mg/m³）未检出；甲苯≤0.006mg/m³，二甲苯≤0.011mg/m³，总挥发性有机化合物（TVOC)≤0.08mg/m³结论均符合；④外观：各零件表面应光滑、平整、不应有尖角和突起。焊接件应焊接牢固，焊痕光滑平整。涂层表面应平整光滑，色泽均匀一致，不应有流挂、起粒、皱皮、露底、剥落、伤痕等缺陷。电镀件镀层应明亮，外露部位不应有烧焦、起泡、针孔、裂纹、花斑、明显划痕和毛刺等缺陷。均符合要求；⑤表面涂层理化性能：（硬度≥0.58，冲击强度40cm：应无剥落、裂纹、皱纹，耐腐蚀：100h内，观察在溶剂中样板上划道两侧 3mm 以外，应无鼓泡产生，100h后，检查划道两侧3mm以外，应无锈迹、剥落、起皱、变色和失光等现象，附着力≥1级）均符合；⑥装配要求，载重性能-搁板静载荷，载重性能-全静载荷 ，载重性能-载重运行，载重性能-稳定性，结构强度，均符合要求；⑦噪声(dB)≤60；</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）架顶应设防尘装置，列与列之间应装有</w:t>
      </w:r>
      <w:r>
        <w:rPr>
          <w:rFonts w:hint="eastAsia" w:ascii="宋体" w:hAnsi="宋体" w:eastAsia="宋体" w:cs="宋体"/>
          <w:color w:val="auto"/>
          <w:kern w:val="0"/>
          <w:sz w:val="24"/>
          <w:szCs w:val="24"/>
          <w:highlight w:val="none"/>
        </w:rPr>
        <w:t>20mm</w:t>
      </w:r>
      <w:r>
        <w:rPr>
          <w:rFonts w:hint="eastAsia" w:ascii="宋体" w:hAnsi="宋体" w:eastAsia="宋体" w:cs="宋体"/>
          <w:color w:val="auto"/>
          <w:kern w:val="0"/>
          <w:sz w:val="24"/>
          <w:szCs w:val="24"/>
          <w:highlight w:val="none"/>
          <w:lang w:val="zh-CN"/>
        </w:rPr>
        <w:t>厚特种抗老化橡塑磁性密封条，门面列和中间移动列分别装有锁具和制动装置，每组密集架闭合后可用总锁锁住，形成一个封闭的整体，各列移开后可单独制动，确保人员安全，底部应设防鼠、防倾倒装置。</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zh-CN"/>
        </w:rPr>
        <w:t>）搁板、挂板应可沿立柱的垂直方向自由调整高度。</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zh-CN"/>
        </w:rPr>
        <w:t>）轨道应焊接固定，轨道与地面齐平（预埋轨道按采购人要求时间完成）</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传动机构要求</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）传动机构主要由精铸滚轮、齿条、凸台传动齿轮、传动轴、连接管、调心轴承、机械式自脱超越离合摇手体、等零（部）件组成。保持轻便、灵活、平稳，不得有失灵现象。</w:t>
      </w:r>
    </w:p>
    <w:p>
      <w:pPr>
        <w:tabs>
          <w:tab w:val="left" w:pos="720"/>
        </w:tabs>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）摇手柄：</w:t>
      </w:r>
      <w:r>
        <w:rPr>
          <w:rFonts w:hint="eastAsia" w:ascii="宋体" w:hAnsi="宋体" w:eastAsia="宋体" w:cs="宋体"/>
          <w:color w:val="auto"/>
          <w:sz w:val="24"/>
          <w:szCs w:val="24"/>
          <w:highlight w:val="none"/>
          <w:lang w:val="zh-CN"/>
        </w:rPr>
        <w:t>采用镀锌摇柄式摇把，方便操作，摇动轻便，密集架处于从动或不动状态时，摇柄自行停于垂直位置</w:t>
      </w:r>
      <w:r>
        <w:rPr>
          <w:rFonts w:hint="eastAsia" w:ascii="宋体" w:hAnsi="宋体" w:eastAsia="宋体" w:cs="宋体"/>
          <w:color w:val="auto"/>
          <w:kern w:val="0"/>
          <w:sz w:val="24"/>
          <w:szCs w:val="24"/>
          <w:highlight w:val="none"/>
          <w:lang w:val="zh-CN"/>
        </w:rPr>
        <w:t>。</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zh-CN"/>
        </w:rPr>
        <w:t>）传动部件要求：</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①传动轴：材料使用Φ</w:t>
      </w:r>
      <w:r>
        <w:rPr>
          <w:rFonts w:hint="eastAsia"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45#</w:t>
      </w:r>
      <w:r>
        <w:rPr>
          <w:rFonts w:hint="eastAsia" w:ascii="宋体" w:hAnsi="宋体" w:eastAsia="宋体" w:cs="宋体"/>
          <w:color w:val="auto"/>
          <w:kern w:val="0"/>
          <w:sz w:val="24"/>
          <w:szCs w:val="24"/>
          <w:highlight w:val="none"/>
          <w:lang w:val="zh-CN"/>
        </w:rPr>
        <w:t>冷拉实心圆钢，加工精度为</w:t>
      </w:r>
      <w:r>
        <w:rPr>
          <w:rFonts w:hint="eastAsia" w:ascii="宋体" w:hAnsi="宋体" w:eastAsia="宋体" w:cs="宋体"/>
          <w:color w:val="auto"/>
          <w:kern w:val="0"/>
          <w:sz w:val="24"/>
          <w:szCs w:val="24"/>
          <w:highlight w:val="none"/>
        </w:rPr>
        <w:t>3.2</w:t>
      </w:r>
      <w:r>
        <w:rPr>
          <w:rFonts w:hint="eastAsia" w:ascii="宋体" w:hAnsi="宋体" w:eastAsia="宋体" w:cs="宋体"/>
          <w:color w:val="auto"/>
          <w:kern w:val="0"/>
          <w:sz w:val="24"/>
          <w:szCs w:val="24"/>
          <w:highlight w:val="none"/>
          <w:lang w:val="zh-CN"/>
        </w:rPr>
        <w:t>，经热处理调质，</w:t>
      </w:r>
      <w:r>
        <w:rPr>
          <w:rFonts w:hint="eastAsia" w:ascii="宋体" w:hAnsi="宋体" w:eastAsia="宋体" w:cs="宋体"/>
          <w:color w:val="auto"/>
          <w:kern w:val="0"/>
          <w:sz w:val="24"/>
          <w:szCs w:val="24"/>
          <w:highlight w:val="none"/>
        </w:rPr>
        <w:t>HB220-290</w:t>
      </w:r>
      <w:r>
        <w:rPr>
          <w:rFonts w:hint="eastAsia" w:ascii="宋体" w:hAnsi="宋体" w:eastAsia="宋体" w:cs="宋体"/>
          <w:color w:val="auto"/>
          <w:kern w:val="0"/>
          <w:sz w:val="24"/>
          <w:szCs w:val="24"/>
          <w:highlight w:val="none"/>
          <w:lang w:val="zh-CN"/>
        </w:rPr>
        <w:t>。</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②凸台传动齿轮：齿轮直径132mm(±1mm)，齿轮的齿厚为20mm(±1mm)、凸台厚度15mm(±1mm),共42齿。</w:t>
      </w:r>
    </w:p>
    <w:p>
      <w:pPr>
        <w:bidi w:val="0"/>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val="0"/>
          <w:bCs w:val="0"/>
          <w:color w:val="auto"/>
          <w:sz w:val="24"/>
          <w:szCs w:val="24"/>
          <w:highlight w:val="none"/>
          <w:lang w:val="en-US" w:eastAsia="zh-CN"/>
        </w:rPr>
        <w:t>供应商提供第三方检测机构（检测报告需带CMA标识）</w:t>
      </w:r>
      <w:r>
        <w:rPr>
          <w:rFonts w:hint="eastAsia" w:ascii="宋体" w:hAnsi="宋体" w:eastAsia="宋体" w:cs="宋体"/>
          <w:b w:val="0"/>
          <w:bCs w:val="0"/>
          <w:color w:val="auto"/>
          <w:sz w:val="24"/>
          <w:szCs w:val="24"/>
          <w:highlight w:val="none"/>
        </w:rPr>
        <w:t>出具的</w:t>
      </w:r>
      <w:r>
        <w:rPr>
          <w:rFonts w:hint="eastAsia" w:ascii="宋体" w:hAnsi="宋体" w:eastAsia="宋体" w:cs="宋体"/>
          <w:b w:val="0"/>
          <w:bCs w:val="0"/>
          <w:color w:val="auto"/>
          <w:sz w:val="24"/>
          <w:szCs w:val="24"/>
          <w:highlight w:val="none"/>
          <w:lang w:val="zh-CN"/>
        </w:rPr>
        <w:t>《咬合力传导凸形齿轮》检验报告，符合检测依据GB/T 3325-2017、QB/T 1951.2-2013、GB/T23994-2009、GB/T12754-2019；检验项目符合以下要求：①金属件外观性能要求：（电镀层：表面应无剥落、返锈、毛刺，表面应无烧焦、起泡、针孔、裂纹、花斑(不包括镀彩锌)和划痕）符合要求；②洛氏硬度≥71；③可溶性元素：铅、镉、铬、汞检测结果均未检出；④耐有机溶剂：擦拭30次无露底；⑤金属电镀层理化性能：（抗盐雾：100h，直径1.5mm以下锈点≤20点/d㎡ 其中直径≥1.0mm锈点不超过5点(距边缘棱角2mm以内的不计)；⑥冲击高度1000mm，应无剥落、裂纹、皱纹。</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③轴承：采用</w:t>
      </w:r>
      <w:r>
        <w:rPr>
          <w:rFonts w:hint="eastAsia" w:ascii="宋体" w:hAnsi="宋体" w:eastAsia="宋体" w:cs="宋体"/>
          <w:color w:val="auto"/>
          <w:kern w:val="0"/>
          <w:sz w:val="24"/>
          <w:szCs w:val="24"/>
          <w:highlight w:val="none"/>
        </w:rPr>
        <w:t>P204E</w:t>
      </w:r>
      <w:r>
        <w:rPr>
          <w:rFonts w:hint="eastAsia" w:ascii="宋体" w:hAnsi="宋体" w:eastAsia="宋体" w:cs="宋体"/>
          <w:color w:val="auto"/>
          <w:kern w:val="0"/>
          <w:sz w:val="24"/>
          <w:szCs w:val="24"/>
          <w:highlight w:val="none"/>
          <w:lang w:val="zh-CN"/>
        </w:rPr>
        <w:t>级调心轴承。</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④摇手体：采用自脱挂式摇手。</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⑤紧固件为</w:t>
      </w:r>
      <w:r>
        <w:rPr>
          <w:rFonts w:hint="eastAsia" w:ascii="宋体" w:hAnsi="宋体" w:eastAsia="宋体" w:cs="宋体"/>
          <w:color w:val="auto"/>
          <w:kern w:val="0"/>
          <w:sz w:val="24"/>
          <w:szCs w:val="24"/>
          <w:highlight w:val="none"/>
        </w:rPr>
        <w:t>45#</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Q235</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A</w:t>
      </w:r>
      <w:r>
        <w:rPr>
          <w:rFonts w:hint="eastAsia" w:ascii="宋体" w:hAnsi="宋体" w:eastAsia="宋体" w:cs="宋体"/>
          <w:color w:val="auto"/>
          <w:kern w:val="0"/>
          <w:sz w:val="24"/>
          <w:szCs w:val="24"/>
          <w:highlight w:val="none"/>
          <w:lang w:val="zh-CN"/>
        </w:rPr>
        <w:t>钢标准化零件。</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⑥滚轮为</w:t>
      </w:r>
      <w:r>
        <w:rPr>
          <w:rFonts w:hint="eastAsia" w:ascii="宋体" w:hAnsi="宋体" w:eastAsia="宋体" w:cs="宋体"/>
          <w:color w:val="auto"/>
          <w:kern w:val="0"/>
          <w:sz w:val="24"/>
          <w:szCs w:val="24"/>
          <w:highlight w:val="none"/>
        </w:rPr>
        <w:t>HT200</w:t>
      </w:r>
      <w:r>
        <w:rPr>
          <w:rFonts w:hint="eastAsia" w:ascii="宋体" w:hAnsi="宋体" w:eastAsia="宋体" w:cs="宋体"/>
          <w:color w:val="auto"/>
          <w:kern w:val="0"/>
          <w:sz w:val="24"/>
          <w:szCs w:val="24"/>
          <w:highlight w:val="none"/>
          <w:lang w:val="zh-CN"/>
        </w:rPr>
        <w:t>铸铁，经加工成型。</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⑦连接管：采用钢管，表面防腐处理。</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zh-CN"/>
        </w:rPr>
        <w:t>底盘要求</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底盘采用分段焊接后整体组装式，连接牢固、运输、安装方便，底盘各段连接采用</w:t>
      </w:r>
      <w:r>
        <w:rPr>
          <w:rFonts w:hint="eastAsia" w:ascii="宋体" w:hAnsi="宋体" w:eastAsia="宋体" w:cs="宋体"/>
          <w:color w:val="auto"/>
          <w:kern w:val="0"/>
          <w:sz w:val="24"/>
          <w:szCs w:val="24"/>
          <w:highlight w:val="none"/>
        </w:rPr>
        <w:t>M10</w:t>
      </w:r>
      <w:r>
        <w:rPr>
          <w:rFonts w:hint="eastAsia" w:ascii="宋体" w:hAnsi="宋体" w:eastAsia="宋体" w:cs="宋体"/>
          <w:color w:val="auto"/>
          <w:kern w:val="0"/>
          <w:sz w:val="24"/>
          <w:szCs w:val="24"/>
          <w:highlight w:val="none"/>
          <w:lang w:val="zh-CN"/>
        </w:rPr>
        <w:t>螺栓紧固，纵梁上按节距冲有矩形槽，以供立柱插入后用</w:t>
      </w:r>
      <w:r>
        <w:rPr>
          <w:rFonts w:hint="eastAsia" w:ascii="宋体" w:hAnsi="宋体" w:eastAsia="宋体" w:cs="宋体"/>
          <w:color w:val="auto"/>
          <w:kern w:val="0"/>
          <w:sz w:val="24"/>
          <w:szCs w:val="24"/>
          <w:highlight w:val="none"/>
        </w:rPr>
        <w:t>M10</w:t>
      </w:r>
      <w:r>
        <w:rPr>
          <w:rFonts w:hint="eastAsia" w:ascii="宋体" w:hAnsi="宋体" w:eastAsia="宋体" w:cs="宋体"/>
          <w:color w:val="auto"/>
          <w:kern w:val="0"/>
          <w:sz w:val="24"/>
          <w:szCs w:val="24"/>
          <w:highlight w:val="none"/>
          <w:lang w:val="zh-CN"/>
        </w:rPr>
        <w:t>箍紧拧固。高度不小于12CM。滚轮横梁采用四折成形，确保在外力作用下无任何变形情况发生。底梁下部应装有防倒支架以防架体倾倒。底盘两端封头横梁与纵梁牢固焊接，在直角处上平面均焊上三角形加强板，立柱与大梁链接保证底盘架体不扭曲、错位和变形。</w:t>
      </w:r>
    </w:p>
    <w:p>
      <w:pPr>
        <w:bidi w:val="0"/>
        <w:spacing w:line="360" w:lineRule="auto"/>
        <w:rPr>
          <w:rFonts w:hint="eastAsia" w:ascii="宋体" w:hAnsi="宋体" w:eastAsia="宋体" w:cs="宋体"/>
          <w:b w:val="0"/>
          <w:bCs w:val="0"/>
          <w:color w:val="auto"/>
          <w:kern w:val="0"/>
          <w:sz w:val="24"/>
          <w:szCs w:val="24"/>
          <w:highlight w:val="none"/>
          <w:lang w:val="zh-CN"/>
        </w:rPr>
      </w:pPr>
      <w:r>
        <w:rPr>
          <w:rFonts w:hint="eastAsia" w:ascii="宋体" w:hAnsi="宋体" w:eastAsia="宋体" w:cs="宋体"/>
          <w:b w:val="0"/>
          <w:bCs w:val="0"/>
          <w:color w:val="auto"/>
          <w:sz w:val="24"/>
          <w:szCs w:val="24"/>
          <w:highlight w:val="none"/>
          <w:lang w:val="en-US" w:eastAsia="zh-CN"/>
        </w:rPr>
        <w:t>供应商提供第三方检测机构（检测报告需带CMA标识）</w:t>
      </w:r>
      <w:r>
        <w:rPr>
          <w:rFonts w:hint="eastAsia" w:ascii="宋体" w:hAnsi="宋体" w:eastAsia="宋体" w:cs="宋体"/>
          <w:b w:val="0"/>
          <w:bCs w:val="0"/>
          <w:color w:val="auto"/>
          <w:sz w:val="24"/>
          <w:szCs w:val="24"/>
          <w:highlight w:val="none"/>
        </w:rPr>
        <w:t>出具的</w:t>
      </w:r>
      <w:r>
        <w:rPr>
          <w:rFonts w:hint="eastAsia" w:ascii="宋体" w:hAnsi="宋体" w:eastAsia="宋体" w:cs="宋体"/>
          <w:b w:val="0"/>
          <w:bCs w:val="0"/>
          <w:color w:val="auto"/>
          <w:sz w:val="24"/>
          <w:szCs w:val="24"/>
          <w:highlight w:val="none"/>
          <w:lang w:val="zh-CN"/>
        </w:rPr>
        <w:t>《底盘》检验报告，</w:t>
      </w:r>
      <w:r>
        <w:rPr>
          <w:rFonts w:hint="eastAsia" w:ascii="宋体" w:hAnsi="宋体" w:eastAsia="宋体" w:cs="宋体"/>
          <w:b w:val="0"/>
          <w:bCs w:val="0"/>
          <w:color w:val="auto"/>
          <w:sz w:val="24"/>
          <w:szCs w:val="24"/>
          <w:highlight w:val="none"/>
          <w:lang w:val="zh-CN" w:eastAsia="zh-CN"/>
        </w:rPr>
        <w:t>检验项目</w:t>
      </w:r>
      <w:r>
        <w:rPr>
          <w:rFonts w:hint="eastAsia" w:ascii="宋体" w:hAnsi="宋体" w:eastAsia="宋体" w:cs="宋体"/>
          <w:b w:val="0"/>
          <w:bCs w:val="0"/>
          <w:color w:val="auto"/>
          <w:sz w:val="24"/>
          <w:szCs w:val="24"/>
          <w:highlight w:val="none"/>
          <w:lang w:val="zh-CN"/>
        </w:rPr>
        <w:t>符合以下要求</w:t>
      </w:r>
      <w:r>
        <w:rPr>
          <w:rFonts w:hint="eastAsia" w:ascii="宋体" w:hAnsi="宋体" w:eastAsia="宋体" w:cs="宋体"/>
          <w:b w:val="0"/>
          <w:bCs w:val="0"/>
          <w:color w:val="auto"/>
          <w:sz w:val="24"/>
          <w:szCs w:val="24"/>
          <w:highlight w:val="none"/>
          <w:lang w:val="zh-CN" w:eastAsia="zh-CN"/>
        </w:rPr>
        <w:t>：①</w:t>
      </w:r>
      <w:r>
        <w:rPr>
          <w:rFonts w:hint="eastAsia" w:ascii="宋体" w:hAnsi="宋体" w:eastAsia="宋体" w:cs="宋体"/>
          <w:b w:val="0"/>
          <w:bCs w:val="0"/>
          <w:color w:val="auto"/>
          <w:sz w:val="24"/>
          <w:szCs w:val="24"/>
          <w:highlight w:val="none"/>
          <w:lang w:val="en-US" w:eastAsia="zh-CN"/>
        </w:rPr>
        <w:t>检测依据</w:t>
      </w:r>
      <w:r>
        <w:rPr>
          <w:rFonts w:hint="eastAsia" w:ascii="宋体" w:hAnsi="宋体" w:eastAsia="宋体" w:cs="宋体"/>
          <w:b w:val="0"/>
          <w:bCs w:val="0"/>
          <w:color w:val="auto"/>
          <w:sz w:val="24"/>
          <w:szCs w:val="24"/>
          <w:highlight w:val="none"/>
          <w:lang w:val="zh-CN" w:eastAsia="zh-CN"/>
        </w:rPr>
        <w:t>GB/T 3325-2017 《金属家具通用技术条件》；②</w:t>
      </w:r>
      <w:r>
        <w:rPr>
          <w:rFonts w:hint="eastAsia" w:ascii="宋体" w:hAnsi="宋体" w:eastAsia="宋体" w:cs="宋体"/>
          <w:b w:val="0"/>
          <w:bCs w:val="0"/>
          <w:color w:val="auto"/>
          <w:sz w:val="24"/>
          <w:szCs w:val="24"/>
          <w:highlight w:val="none"/>
          <w:lang w:val="zh-CN"/>
        </w:rPr>
        <w:t>抽样基数≥</w:t>
      </w:r>
      <w:r>
        <w:rPr>
          <w:rFonts w:hint="eastAsia" w:ascii="宋体" w:hAnsi="宋体" w:eastAsia="宋体" w:cs="宋体"/>
          <w:b w:val="0"/>
          <w:bCs w:val="0"/>
          <w:color w:val="auto"/>
          <w:sz w:val="24"/>
          <w:szCs w:val="24"/>
          <w:highlight w:val="none"/>
          <w:lang w:val="en-US" w:eastAsia="zh-CN"/>
        </w:rPr>
        <w:t>500件；③</w:t>
      </w:r>
      <w:r>
        <w:rPr>
          <w:rFonts w:hint="eastAsia" w:ascii="宋体" w:hAnsi="宋体" w:eastAsia="宋体" w:cs="宋体"/>
          <w:b w:val="0"/>
          <w:bCs w:val="0"/>
          <w:color w:val="auto"/>
          <w:sz w:val="24"/>
          <w:szCs w:val="24"/>
          <w:highlight w:val="none"/>
          <w:lang w:val="zh-CN" w:eastAsia="zh-CN"/>
        </w:rPr>
        <w:t>有害物质限量-重金属</w:t>
      </w:r>
      <w:r>
        <w:rPr>
          <w:rFonts w:hint="eastAsia" w:ascii="宋体" w:hAnsi="宋体" w:eastAsia="宋体" w:cs="宋体"/>
          <w:b w:val="0"/>
          <w:bCs w:val="0"/>
          <w:color w:val="auto"/>
          <w:sz w:val="24"/>
          <w:szCs w:val="24"/>
          <w:highlight w:val="none"/>
          <w:lang w:val="en-US" w:eastAsia="zh-CN"/>
        </w:rPr>
        <w:t>可溶性铅、可溶性镉、可溶性铬、可溶性汞结论应均符合。</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齿条式传动系统</w:t>
      </w:r>
    </w:p>
    <w:p>
      <w:pPr>
        <w:tabs>
          <w:tab w:val="right" w:leader="middleDot" w:pos="8760"/>
        </w:tabs>
        <w:autoSpaceDE w:val="0"/>
        <w:autoSpaceDN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齿条式传动系统由整体的20mm*40mm实心方钢加工成型。内呈凹形，一侧为齿条状与凸台传动齿</w:t>
      </w:r>
      <w:r>
        <w:rPr>
          <w:rFonts w:hint="eastAsia" w:ascii="宋体" w:hAnsi="宋体" w:eastAsia="宋体" w:cs="宋体"/>
          <w:color w:val="auto"/>
          <w:kern w:val="0"/>
          <w:sz w:val="24"/>
          <w:szCs w:val="24"/>
          <w:highlight w:val="none"/>
          <w:lang w:val="zh-CN"/>
        </w:rPr>
        <w:t>轮</w:t>
      </w:r>
      <w:r>
        <w:rPr>
          <w:rFonts w:hint="eastAsia" w:ascii="宋体" w:hAnsi="宋体" w:eastAsia="宋体" w:cs="宋体"/>
          <w:color w:val="auto"/>
          <w:kern w:val="0"/>
          <w:sz w:val="24"/>
          <w:szCs w:val="24"/>
          <w:highlight w:val="none"/>
        </w:rPr>
        <w:t>相啮合，一侧为平面轨道，方便底盘承重轮行走，中间凹型槽是保证承重轮和凸台传动齿的安全距离，即能保证了安全又能方便打扫卫生。（为保证传动系统的稳定性，平面轨芯和传动齿条必须是由20mm*40mm实心方钢一体加工成型，不能由单独的齿条和平面轨芯去焊接或用螺丝固定）。底盘无链条链轮，同步性和稳定性强，行驶速度比传统链条式至少快1/3，取缔了传统链轮容易损坏的缺点，避免了传统链轮受力的不稳定因素，形成长轴受力，大幅提高密集架的载荷能力和稳定性，且传动机构受力均匀，控制时更为省力。齿条式传动路轨置于在钢盒上，</w:t>
      </w:r>
      <w:r>
        <w:rPr>
          <w:rFonts w:hint="eastAsia" w:ascii="宋体" w:hAnsi="宋体" w:eastAsia="宋体" w:cs="宋体"/>
          <w:bCs/>
          <w:color w:val="auto"/>
          <w:kern w:val="0"/>
          <w:sz w:val="24"/>
          <w:szCs w:val="24"/>
          <w:highlight w:val="none"/>
        </w:rPr>
        <w:t>分段连接栓紧固于凹槽地面，路轨分段部分采用弹簧销，使得路轨间能精密连接，避免</w:t>
      </w:r>
      <w:r>
        <w:rPr>
          <w:rFonts w:hint="eastAsia" w:ascii="宋体" w:hAnsi="宋体" w:eastAsia="宋体" w:cs="宋体"/>
          <w:color w:val="auto"/>
          <w:kern w:val="0"/>
          <w:sz w:val="24"/>
          <w:szCs w:val="24"/>
          <w:highlight w:val="none"/>
          <w:lang w:val="zh-CN"/>
        </w:rPr>
        <w:t>凸台传动齿轮</w:t>
      </w:r>
      <w:r>
        <w:rPr>
          <w:rFonts w:hint="eastAsia" w:ascii="宋体" w:hAnsi="宋体" w:eastAsia="宋体" w:cs="宋体"/>
          <w:bCs/>
          <w:color w:val="auto"/>
          <w:kern w:val="0"/>
          <w:sz w:val="24"/>
          <w:szCs w:val="24"/>
          <w:highlight w:val="none"/>
        </w:rPr>
        <w:t>行走时卡住。</w:t>
      </w:r>
      <w:r>
        <w:rPr>
          <w:rFonts w:hint="eastAsia" w:ascii="宋体" w:hAnsi="宋体" w:eastAsia="宋体" w:cs="宋体"/>
          <w:color w:val="auto"/>
          <w:kern w:val="0"/>
          <w:sz w:val="24"/>
          <w:szCs w:val="24"/>
          <w:highlight w:val="none"/>
        </w:rPr>
        <w:t>此传动系统具有结构合理、载重能力强、摩擦力小且不易发生打滑、脱落、空转的优点。（详见附图）</w:t>
      </w:r>
    </w:p>
    <w:p>
      <w:pPr>
        <w:widowControl/>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2228850" cy="1581150"/>
            <wp:effectExtent l="0" t="0" r="0" b="0"/>
            <wp:docPr id="20" name="图片 20" descr="547228289470544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547228289470544040"/>
                    <pic:cNvPicPr>
                      <a:picLocks noChangeAspect="1"/>
                    </pic:cNvPicPr>
                  </pic:nvPicPr>
                  <pic:blipFill>
                    <a:blip r:embed="rId9"/>
                    <a:stretch>
                      <a:fillRect/>
                    </a:stretch>
                  </pic:blipFill>
                  <pic:spPr>
                    <a:xfrm>
                      <a:off x="0" y="0"/>
                      <a:ext cx="2228850" cy="1581150"/>
                    </a:xfrm>
                    <a:prstGeom prst="rect">
                      <a:avLst/>
                    </a:prstGeom>
                    <a:noFill/>
                    <a:ln>
                      <a:noFill/>
                    </a:ln>
                  </pic:spPr>
                </pic:pic>
              </a:graphicData>
            </a:graphic>
          </wp:inline>
        </w:drawing>
      </w:r>
    </w:p>
    <w:p>
      <w:pPr>
        <w:numPr>
          <w:ilvl w:val="0"/>
          <w:numId w:val="10"/>
        </w:num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立柱要求</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立柱：δ=1.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mm，采用冷轧钢板，成型尺寸50×39mm，允许尺寸公差±1mm，整体采用七面六折边一次滚压成型工艺。立柱正面及两侧各压2条加筋（通筋），侧面为V型加筋，尺寸3×1mm,正面为梯形加筋，尺寸8×1.5mm，加筋允许尺寸公差±0.5mm，侧面V型加筋之间设有一排挂钩孔，排孔上下孔距为50mm，正面两端为小圆弧设计，圆弧半径1.75mm。多条通筋式设计更有效的增强立柱承重力及稳固性，两端小圆弧设计使得整个立柱简洁大方，外形新颖，结构独特；侧面冲孔均匀，层数和层距可按需要自行调整。</w:t>
      </w:r>
    </w:p>
    <w:p>
      <w:pPr>
        <w:widowControl/>
        <w:numPr>
          <w:ilvl w:val="0"/>
          <w:numId w:val="0"/>
        </w:numPr>
        <w:spacing w:line="360" w:lineRule="auto"/>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供应商提供第三方检测机构（检测报告需带CMA标识）</w:t>
      </w:r>
      <w:r>
        <w:rPr>
          <w:rFonts w:hint="eastAsia" w:ascii="宋体" w:hAnsi="宋体" w:eastAsia="宋体" w:cs="宋体"/>
          <w:b w:val="0"/>
          <w:bCs w:val="0"/>
          <w:color w:val="auto"/>
          <w:sz w:val="24"/>
          <w:szCs w:val="24"/>
          <w:highlight w:val="none"/>
        </w:rPr>
        <w:t>出具的《六条加强筋承重立柱》检验报告，符合检测依据GB/T 3325-2017、GB/T 700-2006、QB/T 4767-2014、QB/T 1951.2-2013、GB/T3075-2021；检验项目符合以下要求：①金属件外观性能要求：（冲压件：冲压件应无脱层、裂缝，喷涂层：涂层应无漏喷、锈蚀和脱色、掉色现象，涂层应光滑均匀，色泽一致，应无流挂、疙瘩、皱皮、飞漆等缺陷）均符合要求；②屈服强度≥329N/mm²，断后伸长率≥41％，规定塑性延伸强度≥355MPa；③金属喷漆涂层理化性能：（耐腐蚀：100h内，观察在溶剂中样板上划道两侧 3mm 以外，应无气泡产生，100h后，检查划道两侧3mm以外，应无锈迹、剥落、起皱、变色和失光等现象）；④铅(Pb)、镉(Cd)、铬(Cr)、汞(Hg)均未检出；⑤L形连接件抗弯强度≥372MPa；⑥疲劳试验：经10万次疲劳实验后，样件未发生开裂。</w:t>
      </w:r>
    </w:p>
    <w:p>
      <w:pPr>
        <w:autoSpaceDE w:val="0"/>
        <w:autoSpaceDN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6、搁板要求</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搁板：δ=1.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mm，采用冷轧钢板，每块搁板采用七面六折边一体成型工艺，正面设有两组压筋，每组2条通筋（一条V型、一条梯形），V型压筋尺寸为3×1.2mm，梯形压筋尺寸6.5×1.3mm，两侧面各有一条V型压筋尺寸为3×1.2mm，加筋允许尺寸公差±0.5mm；压筋不得导致搁板变形。不影响搁板结构性能且能使得搁板加强承重强度；外形美观，结构新颖，刚性足。表面经过酸洗磷化后在进行喷塑处理，色泽靓丽，无颗粒，使基材不会腐蚀生锈，经久耐用。</w:t>
      </w:r>
    </w:p>
    <w:p>
      <w:pPr>
        <w:autoSpaceDE w:val="0"/>
        <w:autoSpaceDN w:val="0"/>
        <w:spacing w:line="360" w:lineRule="auto"/>
        <w:ind w:firstLine="480" w:firstLineChars="200"/>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val="0"/>
          <w:bCs w:val="0"/>
          <w:color w:val="auto"/>
          <w:sz w:val="24"/>
          <w:szCs w:val="24"/>
          <w:highlight w:val="none"/>
          <w:lang w:val="zh-CN"/>
        </w:rPr>
        <w:t>供应商</w:t>
      </w:r>
      <w:r>
        <w:rPr>
          <w:rFonts w:hint="eastAsia" w:ascii="宋体" w:hAnsi="宋体" w:eastAsia="宋体" w:cs="宋体"/>
          <w:b w:val="0"/>
          <w:bCs w:val="0"/>
          <w:color w:val="auto"/>
          <w:sz w:val="24"/>
          <w:szCs w:val="24"/>
          <w:highlight w:val="none"/>
        </w:rPr>
        <w:t>提供第三方检测机构（检测报告需带</w:t>
      </w:r>
      <w:r>
        <w:rPr>
          <w:rFonts w:hint="eastAsia" w:ascii="宋体" w:hAnsi="宋体" w:eastAsia="宋体" w:cs="宋体"/>
          <w:b w:val="0"/>
          <w:bCs w:val="0"/>
          <w:color w:val="auto"/>
          <w:sz w:val="24"/>
          <w:szCs w:val="24"/>
          <w:highlight w:val="none"/>
          <w:lang w:val="en-US" w:eastAsia="zh-CN"/>
        </w:rPr>
        <w:t>CMA标识</w:t>
      </w:r>
      <w:r>
        <w:rPr>
          <w:rFonts w:hint="eastAsia" w:ascii="宋体" w:hAnsi="宋体" w:eastAsia="宋体" w:cs="宋体"/>
          <w:b w:val="0"/>
          <w:bCs w:val="0"/>
          <w:color w:val="auto"/>
          <w:sz w:val="24"/>
          <w:szCs w:val="24"/>
          <w:highlight w:val="none"/>
        </w:rPr>
        <w:t>）出具的《V形加强筋防护搁板》检测报告；</w:t>
      </w:r>
      <w:r>
        <w:rPr>
          <w:rFonts w:hint="eastAsia" w:ascii="宋体" w:hAnsi="宋体" w:eastAsia="宋体" w:cs="宋体"/>
          <w:b w:val="0"/>
          <w:bCs w:val="0"/>
          <w:color w:val="auto"/>
          <w:sz w:val="24"/>
          <w:szCs w:val="24"/>
          <w:highlight w:val="none"/>
          <w:lang w:val="zh-CN"/>
        </w:rPr>
        <w:t>符合检测依据GB/T 31838.3-2019、GB/T3325-2017、HJ2547-2016、QB/T 1951.2-2013；检验项目符合以下要求：①金属件外观性能要求：（喷涂层：涂层应无漏喷、锈蚀和脱色、掉色现象，涂层应光滑均匀，色泽一致，应无流挂、疙瘩、皱皮、飞漆等缺陷）符合要求；②金属喷漆涂层理化性能：（硬度≥5H，冲击高度400mm，应无剥落、裂纹皱纹，耐腐蚀：100h内，观察在溶剂中样板上划道两侧 3mm 以外，应无鼓泡产生，100h后，检查划道两侧3mm以外，应无锈迹、剥落、起皱、变色和失光等现象，附着力不低于1级）；③产品表面涂层可迁移元素：铅Pb、镉Cd、铬Cr、汞Hg、锑Sb、钡Ba、硒Se、砷As均未检出；④表面电阻率≥5.4x10</w:t>
      </w:r>
      <w:r>
        <w:rPr>
          <w:rFonts w:hint="eastAsia" w:ascii="宋体" w:hAnsi="宋体" w:eastAsia="宋体" w:cs="宋体"/>
          <w:b w:val="0"/>
          <w:bCs w:val="0"/>
          <w:color w:val="auto"/>
          <w:sz w:val="24"/>
          <w:szCs w:val="24"/>
          <w:highlight w:val="none"/>
          <w:vertAlign w:val="superscript"/>
          <w:lang w:val="zh-CN"/>
        </w:rPr>
        <w:t>16</w:t>
      </w:r>
      <w:r>
        <w:rPr>
          <w:rFonts w:hint="eastAsia" w:ascii="宋体" w:hAnsi="宋体" w:eastAsia="宋体" w:cs="宋体"/>
          <w:b w:val="0"/>
          <w:bCs w:val="0"/>
          <w:color w:val="auto"/>
          <w:sz w:val="24"/>
          <w:szCs w:val="24"/>
          <w:highlight w:val="none"/>
          <w:lang w:val="zh-CN"/>
        </w:rPr>
        <w:t>Ω。</w:t>
      </w:r>
      <w:r>
        <w:rPr>
          <w:rFonts w:hint="eastAsia" w:ascii="宋体" w:hAnsi="宋体" w:eastAsia="宋体" w:cs="宋体"/>
          <w:b/>
          <w:color w:val="auto"/>
          <w:sz w:val="24"/>
          <w:szCs w:val="24"/>
          <w:highlight w:val="none"/>
          <w:lang w:val="en-US" w:eastAsia="zh-CN"/>
        </w:rPr>
        <w:t xml:space="preserve">    </w:t>
      </w:r>
    </w:p>
    <w:p>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7、挂板要求</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挂板：δ=1.0mm，采用冷轧钢板，模具一体冲压成型，两端共2排4挂钩结构设计，中间冲压腰形拉伸翻边成型2个台阶加强孔，孔上2公分位置设有一条通筋，上下端各有一条直角折弯边，上方冲有两个挂接挡板的矩形方槽，下方冲有四个隔板固定槽，组装后平整、牢固，承重性好，外观新颖，可防止搁板前后窜动，通用性互换性好。表面经过酸洗磷化后在进行喷塑处理，色泽靓丽，无颗粒，使基材不会腐蚀生锈，经久耐用。立柱与挂板采用4挂钩扣接式，相对于传统挂板，强度高，连接更牢固。</w:t>
      </w:r>
    </w:p>
    <w:p>
      <w:pPr>
        <w:autoSpaceDE w:val="0"/>
        <w:autoSpaceDN w:val="0"/>
        <w:spacing w:line="360" w:lineRule="auto"/>
        <w:ind w:firstLine="480" w:firstLineChars="200"/>
        <w:jc w:val="left"/>
        <w:rPr>
          <w:rFonts w:hint="eastAsia" w:ascii="宋体" w:hAnsi="宋体" w:eastAsia="宋体" w:cs="宋体"/>
          <w:b w:val="0"/>
          <w:bCs w:val="0"/>
          <w:color w:val="auto"/>
          <w:sz w:val="24"/>
          <w:szCs w:val="24"/>
          <w:highlight w:val="red"/>
          <w:lang w:val="zh-CN"/>
        </w:rPr>
      </w:pPr>
      <w:r>
        <w:rPr>
          <w:rFonts w:hint="eastAsia" w:ascii="宋体" w:hAnsi="宋体" w:eastAsia="宋体" w:cs="宋体"/>
          <w:b w:val="0"/>
          <w:bCs w:val="0"/>
          <w:color w:val="auto"/>
          <w:sz w:val="24"/>
          <w:szCs w:val="24"/>
          <w:highlight w:val="none"/>
          <w:lang w:val="zh-CN"/>
        </w:rPr>
        <w:t>供应商</w:t>
      </w:r>
      <w:r>
        <w:rPr>
          <w:rFonts w:hint="eastAsia" w:ascii="宋体" w:hAnsi="宋体" w:eastAsia="宋体" w:cs="宋体"/>
          <w:b w:val="0"/>
          <w:bCs w:val="0"/>
          <w:color w:val="auto"/>
          <w:sz w:val="24"/>
          <w:szCs w:val="24"/>
          <w:highlight w:val="none"/>
        </w:rPr>
        <w:t>提供第三方检测机构（</w:t>
      </w:r>
      <w:r>
        <w:rPr>
          <w:rFonts w:hint="eastAsia" w:ascii="宋体" w:hAnsi="宋体" w:eastAsia="宋体" w:cs="宋体"/>
          <w:b w:val="0"/>
          <w:bCs w:val="0"/>
          <w:color w:val="auto"/>
          <w:sz w:val="24"/>
          <w:szCs w:val="24"/>
          <w:highlight w:val="none"/>
          <w:lang w:val="en-US" w:eastAsia="zh-CN"/>
        </w:rPr>
        <w:t>检测报告需带CMA标识</w:t>
      </w:r>
      <w:r>
        <w:rPr>
          <w:rFonts w:hint="eastAsia" w:ascii="宋体" w:hAnsi="宋体" w:eastAsia="宋体" w:cs="宋体"/>
          <w:b w:val="0"/>
          <w:bCs w:val="0"/>
          <w:color w:val="auto"/>
          <w:sz w:val="24"/>
          <w:szCs w:val="24"/>
          <w:highlight w:val="none"/>
        </w:rPr>
        <w:t>）出具的《V形加强筋承重紧固挂板》</w:t>
      </w:r>
      <w:r>
        <w:rPr>
          <w:rFonts w:hint="eastAsia" w:ascii="宋体" w:hAnsi="宋体" w:eastAsia="宋体" w:cs="宋体"/>
          <w:b w:val="0"/>
          <w:bCs w:val="0"/>
          <w:color w:val="auto"/>
          <w:sz w:val="24"/>
          <w:szCs w:val="24"/>
          <w:highlight w:val="none"/>
          <w:lang w:val="zh-CN"/>
        </w:rPr>
        <w:t>检验报告，符合检测依据GB/T 3325-2017、GB/T 35690-2017、QB/T 4767-2014、QB/T 1951.2-2013；检验项目符合以下要求：①金属件外观性能要求：（冲压件：冲压件应无脱层、裂缝；喷涂层：涂层应无漏喷、锈蚀和脱色、掉色现象，涂层应光滑均匀，色泽一致，应无流挂、疙瘩、皱皮、飞漆等缺陷）均符合要求；②金属喷漆涂层理化性能：（硬度≥5H，冲击高度400mm，应无剥落、裂纹皱纹，耐腐蚀：100h内，观察在溶剂中样板上划道两侧 3mm 以外，应无鼓泡产生，100h后，检查划道两侧3mm以外，应无锈迹、剥落、起皱、变色和失光等现象）；③层板销（夹)抗压强度≥376N；④相对磁导率≥1.0000000。</w:t>
      </w:r>
    </w:p>
    <w:p>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8、挡棒</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挡棒：δ=</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mm，采用冷轧板一体成型，成型14×14mm，尺寸允许误差0.5mm，五面四折弯，插挂式挡棒，安放好后，两端可钩住挂板，不易脱离，挡棒三面有通筋设计（V型通筋），加筋尺寸5×1.2mm，外形美观，强度高，表面经过酸洗磷化后在进行喷塑处理，使基材不会腐蚀生锈，经久耐用。</w:t>
      </w:r>
    </w:p>
    <w:p>
      <w:pPr>
        <w:bidi w:val="0"/>
        <w:spacing w:line="360" w:lineRule="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供应商</w:t>
      </w:r>
      <w:r>
        <w:rPr>
          <w:rFonts w:hint="eastAsia" w:ascii="宋体" w:hAnsi="宋体" w:eastAsia="宋体" w:cs="宋体"/>
          <w:b w:val="0"/>
          <w:bCs w:val="0"/>
          <w:color w:val="auto"/>
          <w:sz w:val="24"/>
          <w:szCs w:val="24"/>
          <w:highlight w:val="none"/>
        </w:rPr>
        <w:t>提供第三方检测机构（</w:t>
      </w:r>
      <w:r>
        <w:rPr>
          <w:rFonts w:hint="eastAsia" w:ascii="宋体" w:hAnsi="宋体" w:eastAsia="宋体" w:cs="宋体"/>
          <w:b w:val="0"/>
          <w:bCs w:val="0"/>
          <w:color w:val="auto"/>
          <w:sz w:val="24"/>
          <w:szCs w:val="24"/>
          <w:highlight w:val="none"/>
          <w:lang w:val="en-US" w:eastAsia="zh-CN"/>
        </w:rPr>
        <w:t>检测报告需带CMA标识</w:t>
      </w:r>
      <w:r>
        <w:rPr>
          <w:rFonts w:hint="eastAsia" w:ascii="宋体" w:hAnsi="宋体" w:eastAsia="宋体" w:cs="宋体"/>
          <w:b w:val="0"/>
          <w:bCs w:val="0"/>
          <w:color w:val="auto"/>
          <w:sz w:val="24"/>
          <w:szCs w:val="24"/>
          <w:highlight w:val="none"/>
        </w:rPr>
        <w:t>）出具的《V形加强筋防倾倒档棒》</w:t>
      </w:r>
      <w:r>
        <w:rPr>
          <w:rFonts w:hint="eastAsia" w:ascii="宋体" w:hAnsi="宋体" w:eastAsia="宋体" w:cs="宋体"/>
          <w:b w:val="0"/>
          <w:bCs w:val="0"/>
          <w:color w:val="auto"/>
          <w:sz w:val="24"/>
          <w:szCs w:val="24"/>
          <w:highlight w:val="none"/>
          <w:lang w:val="zh-CN"/>
        </w:rPr>
        <w:t>检验报告，符合检测依据GB/T 3325-2017、QB/T 1951.2-2013、GB6675.4-2014、GB/T13448-2019、GB/T7314-2017；检验项目符合以下要求：①金属件外观性能要求：（喷涂层：涂层应无漏喷、锈蚀和脱色、掉色现象，涂层应光滑均匀，色泽一致，应无流挂、疙瘩、皱皮、飞漆等缺陷）符合要求；②金属喷漆涂层理化性能：（耐腐蚀：100h内，观察在溶剂中样板上划道两侧 3mm 以外，应无气泡产生，100h后，检查划道两侧3mm以外，应无锈迹、剥落、起皱、变色和失光等现象，附着力不低于1级）；③规定塑性压缩强度≥272MPa；④可迁移元素：铅Pb、镉Cd、铬Cr、汞Hg、锑Sb、钡Ba、硒Se、砷As均未检出；⑤耐划伤性：负荷重量10N，划针运行速度35mm/s,试验后涂层未划透。</w:t>
      </w:r>
    </w:p>
    <w:p>
      <w:pPr>
        <w:autoSpaceDE w:val="0"/>
        <w:autoSpaceDN w:val="0"/>
        <w:spacing w:line="360" w:lineRule="auto"/>
        <w:ind w:firstLine="480"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color w:val="auto"/>
          <w:kern w:val="0"/>
          <w:sz w:val="24"/>
          <w:szCs w:val="24"/>
          <w:highlight w:val="none"/>
        </w:rPr>
        <w:t>9、</w:t>
      </w:r>
      <w:r>
        <w:rPr>
          <w:rFonts w:hint="eastAsia" w:ascii="宋体" w:hAnsi="宋体" w:eastAsia="宋体" w:cs="宋体"/>
          <w:bCs/>
          <w:color w:val="auto"/>
          <w:sz w:val="24"/>
          <w:szCs w:val="24"/>
          <w:highlight w:val="none"/>
          <w:lang w:val="zh-CN"/>
        </w:rPr>
        <w:t>侧护板要求</w:t>
      </w:r>
    </w:p>
    <w:p>
      <w:pPr>
        <w:autoSpaceDE w:val="0"/>
        <w:autoSpaceDN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侧板</w:t>
      </w:r>
      <w:r>
        <w:rPr>
          <w:rFonts w:hint="eastAsia" w:ascii="宋体" w:hAnsi="宋体" w:eastAsia="宋体" w:cs="宋体"/>
          <w:bCs/>
          <w:color w:val="auto"/>
          <w:sz w:val="24"/>
          <w:szCs w:val="24"/>
          <w:highlight w:val="none"/>
          <w:lang w:val="en-US" w:eastAsia="zh-CN"/>
        </w:rPr>
        <w:t>采用</w:t>
      </w:r>
      <w:r>
        <w:rPr>
          <w:rFonts w:hint="eastAsia" w:ascii="宋体" w:hAnsi="宋体" w:eastAsia="宋体" w:cs="宋体"/>
          <w:bCs/>
          <w:color w:val="auto"/>
          <w:sz w:val="24"/>
          <w:szCs w:val="24"/>
          <w:highlight w:val="none"/>
        </w:rPr>
        <w:t>冷轧钢板，厚度为</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m，整体双色区分视觉效果更好。</w:t>
      </w:r>
    </w:p>
    <w:p>
      <w:pPr>
        <w:bidi w:val="0"/>
        <w:spacing w:line="360" w:lineRule="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en-US" w:eastAsia="zh-CN"/>
        </w:rPr>
        <w:t>供应商提供第三方检测机构（检测报告需带CMA标识）</w:t>
      </w:r>
      <w:r>
        <w:rPr>
          <w:rFonts w:hint="eastAsia" w:ascii="宋体" w:hAnsi="宋体" w:eastAsia="宋体" w:cs="宋体"/>
          <w:b w:val="0"/>
          <w:bCs w:val="0"/>
          <w:color w:val="auto"/>
          <w:sz w:val="24"/>
          <w:szCs w:val="24"/>
          <w:highlight w:val="none"/>
        </w:rPr>
        <w:t>出具的</w:t>
      </w:r>
      <w:r>
        <w:rPr>
          <w:rFonts w:hint="eastAsia" w:ascii="宋体" w:hAnsi="宋体" w:eastAsia="宋体" w:cs="宋体"/>
          <w:b w:val="0"/>
          <w:bCs w:val="0"/>
          <w:color w:val="auto"/>
          <w:sz w:val="24"/>
          <w:szCs w:val="24"/>
          <w:highlight w:val="none"/>
          <w:lang w:val="zh-CN"/>
        </w:rPr>
        <w:t>《侧板》检验报告，</w:t>
      </w:r>
      <w:r>
        <w:rPr>
          <w:rFonts w:hint="eastAsia" w:ascii="宋体" w:hAnsi="宋体" w:eastAsia="宋体" w:cs="宋体"/>
          <w:b w:val="0"/>
          <w:bCs w:val="0"/>
          <w:color w:val="auto"/>
          <w:sz w:val="24"/>
          <w:szCs w:val="24"/>
          <w:highlight w:val="none"/>
          <w:lang w:val="zh-CN" w:eastAsia="zh-CN"/>
        </w:rPr>
        <w:t>检验项目</w:t>
      </w:r>
      <w:r>
        <w:rPr>
          <w:rFonts w:hint="eastAsia" w:ascii="宋体" w:hAnsi="宋体" w:eastAsia="宋体" w:cs="宋体"/>
          <w:b w:val="0"/>
          <w:bCs w:val="0"/>
          <w:color w:val="auto"/>
          <w:sz w:val="24"/>
          <w:szCs w:val="24"/>
          <w:highlight w:val="none"/>
          <w:lang w:val="zh-CN"/>
        </w:rPr>
        <w:t>符合以下要求</w:t>
      </w: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lang w:val="zh-CN"/>
        </w:rPr>
        <w:t>①检测依据GB/T228.1-2021、GB/T4336-2016、JIS G1253:2002、GB/T231.1-2018、JB/T7901-1999、GB/T15248-2008、GB/T5028-2008、GB/T351-2019、QB/T4371-2012；检测内容包含：</w:t>
      </w:r>
      <w:r>
        <w:rPr>
          <w:rFonts w:hint="eastAsia" w:ascii="宋体" w:hAnsi="宋体" w:eastAsia="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lang w:val="zh-CN"/>
        </w:rPr>
        <w:t>力学性能：规定塑性延伸强度≥337MPa，抗拉强度≥411~430MPa，断后伸长率≥34%；拉伸应变硬化指数(n值)≥</w:t>
      </w:r>
      <w:r>
        <w:rPr>
          <w:rFonts w:hint="eastAsia" w:ascii="宋体" w:hAnsi="宋体" w:eastAsia="宋体" w:cs="宋体"/>
          <w:b w:val="0"/>
          <w:bCs w:val="0"/>
          <w:color w:val="auto"/>
          <w:sz w:val="24"/>
          <w:szCs w:val="24"/>
          <w:highlight w:val="none"/>
          <w:lang w:val="en-US" w:eastAsia="zh-CN"/>
        </w:rPr>
        <w:t>0.2</w:t>
      </w: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eastAsia="zh-CN"/>
        </w:rPr>
        <w:t>③</w:t>
      </w:r>
      <w:r>
        <w:rPr>
          <w:rFonts w:hint="eastAsia" w:ascii="宋体" w:hAnsi="宋体" w:eastAsia="宋体" w:cs="宋体"/>
          <w:b w:val="0"/>
          <w:bCs w:val="0"/>
          <w:color w:val="auto"/>
          <w:sz w:val="24"/>
          <w:szCs w:val="24"/>
          <w:highlight w:val="none"/>
          <w:lang w:val="zh-CN"/>
        </w:rPr>
        <w:t>化学成分：C≤0.08%、Si≤0.15%、Mn≤0.39%、P≤0.014%、S≤0.023%；</w:t>
      </w:r>
      <w:r>
        <w:rPr>
          <w:rFonts w:hint="eastAsia" w:ascii="宋体" w:hAnsi="宋体" w:eastAsia="宋体" w:cs="宋体"/>
          <w:b w:val="0"/>
          <w:bCs w:val="0"/>
          <w:color w:val="auto"/>
          <w:sz w:val="24"/>
          <w:szCs w:val="24"/>
          <w:highlight w:val="none"/>
          <w:lang w:val="en-US" w:eastAsia="zh-CN"/>
        </w:rPr>
        <w:t>④</w:t>
      </w:r>
      <w:r>
        <w:rPr>
          <w:rFonts w:hint="eastAsia" w:ascii="宋体" w:hAnsi="宋体" w:eastAsia="宋体" w:cs="宋体"/>
          <w:b w:val="0"/>
          <w:bCs w:val="0"/>
          <w:color w:val="auto"/>
          <w:sz w:val="24"/>
          <w:szCs w:val="24"/>
          <w:highlight w:val="none"/>
          <w:lang w:val="zh-CN"/>
        </w:rPr>
        <w:t>布氏硬度HBW≥120；</w:t>
      </w:r>
      <w:r>
        <w:rPr>
          <w:rFonts w:hint="eastAsia" w:ascii="宋体" w:hAnsi="宋体" w:eastAsia="宋体" w:cs="宋体"/>
          <w:b w:val="0"/>
          <w:bCs w:val="0"/>
          <w:color w:val="auto"/>
          <w:sz w:val="24"/>
          <w:szCs w:val="24"/>
          <w:highlight w:val="none"/>
          <w:lang w:val="en-US" w:eastAsia="zh-CN"/>
        </w:rPr>
        <w:t>⑤</w:t>
      </w:r>
      <w:r>
        <w:rPr>
          <w:rFonts w:hint="eastAsia" w:ascii="宋体" w:hAnsi="宋体" w:eastAsia="宋体" w:cs="宋体"/>
          <w:b w:val="0"/>
          <w:bCs w:val="0"/>
          <w:color w:val="auto"/>
          <w:sz w:val="24"/>
          <w:szCs w:val="24"/>
          <w:highlight w:val="none"/>
          <w:lang w:val="zh-CN"/>
        </w:rPr>
        <w:t>全浸腐蚀试验23℃（mm/a)≥0.14，⑤疲劳试验：经10万次疲劳试验后，部件未发生开裂；</w:t>
      </w:r>
      <w:r>
        <w:rPr>
          <w:rFonts w:hint="eastAsia" w:ascii="宋体" w:hAnsi="宋体" w:eastAsia="宋体" w:cs="宋体"/>
          <w:b w:val="0"/>
          <w:bCs w:val="0"/>
          <w:color w:val="auto"/>
          <w:sz w:val="24"/>
          <w:szCs w:val="24"/>
          <w:highlight w:val="none"/>
          <w:lang w:val="en-US" w:eastAsia="zh-CN"/>
        </w:rPr>
        <w:t>⑥</w:t>
      </w:r>
      <w:r>
        <w:rPr>
          <w:rFonts w:hint="eastAsia" w:ascii="宋体" w:hAnsi="宋体" w:eastAsia="宋体" w:cs="宋体"/>
          <w:b w:val="0"/>
          <w:bCs w:val="0"/>
          <w:color w:val="auto"/>
          <w:sz w:val="24"/>
          <w:szCs w:val="24"/>
          <w:highlight w:val="none"/>
          <w:lang w:val="zh-CN"/>
        </w:rPr>
        <w:t>电阻率试验；</w:t>
      </w:r>
      <w:r>
        <w:rPr>
          <w:rFonts w:hint="eastAsia" w:ascii="宋体" w:hAnsi="宋体" w:eastAsia="宋体" w:cs="宋体"/>
          <w:b w:val="0"/>
          <w:bCs w:val="0"/>
          <w:color w:val="auto"/>
          <w:sz w:val="24"/>
          <w:szCs w:val="24"/>
          <w:highlight w:val="none"/>
          <w:lang w:val="en-US" w:eastAsia="zh-CN"/>
        </w:rPr>
        <w:t>⑦</w:t>
      </w:r>
      <w:r>
        <w:rPr>
          <w:rFonts w:hint="eastAsia" w:ascii="宋体" w:hAnsi="宋体" w:eastAsia="宋体" w:cs="宋体"/>
          <w:b w:val="0"/>
          <w:bCs w:val="0"/>
          <w:color w:val="auto"/>
          <w:sz w:val="24"/>
          <w:szCs w:val="24"/>
          <w:highlight w:val="none"/>
          <w:lang w:val="zh-CN"/>
        </w:rPr>
        <w:t>抗菌性能：抑菌率≥99.99%；</w:t>
      </w:r>
    </w:p>
    <w:p>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10、门面</w:t>
      </w:r>
    </w:p>
    <w:p>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门框δ=1.0mm, 门板δ=1.0mm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采用</w:t>
      </w:r>
      <w:r>
        <w:rPr>
          <w:rFonts w:hint="eastAsia" w:ascii="宋体" w:hAnsi="宋体" w:eastAsia="宋体" w:cs="宋体"/>
          <w:color w:val="auto"/>
          <w:sz w:val="24"/>
          <w:szCs w:val="24"/>
          <w:highlight w:val="none"/>
        </w:rPr>
        <w:t>冷轧钢板； 门面平整，款式新颖，表面亚光喷塑。</w:t>
      </w:r>
    </w:p>
    <w:p>
      <w:pPr>
        <w:bidi w:val="0"/>
        <w:spacing w:line="360" w:lineRule="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供应商提供第三方检测机构（检测报告需带CMA标识）</w:t>
      </w:r>
      <w:r>
        <w:rPr>
          <w:rFonts w:hint="eastAsia" w:ascii="宋体" w:hAnsi="宋体" w:eastAsia="宋体" w:cs="宋体"/>
          <w:b w:val="0"/>
          <w:bCs w:val="0"/>
          <w:color w:val="auto"/>
          <w:sz w:val="24"/>
          <w:szCs w:val="24"/>
          <w:highlight w:val="none"/>
        </w:rPr>
        <w:t>出具的</w:t>
      </w: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zh-CN" w:eastAsia="zh-CN"/>
        </w:rPr>
        <w:t>门板</w:t>
      </w:r>
      <w:r>
        <w:rPr>
          <w:rFonts w:hint="eastAsia" w:ascii="宋体" w:hAnsi="宋体" w:eastAsia="宋体" w:cs="宋体"/>
          <w:b w:val="0"/>
          <w:bCs w:val="0"/>
          <w:color w:val="auto"/>
          <w:sz w:val="24"/>
          <w:szCs w:val="24"/>
          <w:highlight w:val="none"/>
          <w:lang w:val="zh-CN"/>
        </w:rPr>
        <w:t>》检验报告，</w:t>
      </w:r>
      <w:r>
        <w:rPr>
          <w:rFonts w:hint="eastAsia" w:ascii="宋体" w:hAnsi="宋体" w:eastAsia="宋体" w:cs="宋体"/>
          <w:b w:val="0"/>
          <w:bCs w:val="0"/>
          <w:color w:val="auto"/>
          <w:sz w:val="24"/>
          <w:szCs w:val="24"/>
          <w:highlight w:val="none"/>
          <w:lang w:val="zh-CN" w:eastAsia="zh-CN"/>
        </w:rPr>
        <w:t>检验项目</w:t>
      </w:r>
      <w:r>
        <w:rPr>
          <w:rFonts w:hint="eastAsia" w:ascii="宋体" w:hAnsi="宋体" w:eastAsia="宋体" w:cs="宋体"/>
          <w:b w:val="0"/>
          <w:bCs w:val="0"/>
          <w:color w:val="auto"/>
          <w:sz w:val="24"/>
          <w:szCs w:val="24"/>
          <w:highlight w:val="none"/>
          <w:lang w:val="zh-CN"/>
        </w:rPr>
        <w:t>符合以下要求</w:t>
      </w: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lang w:val="zh-CN"/>
        </w:rPr>
        <w:t>检测依据</w:t>
      </w:r>
      <w:r>
        <w:rPr>
          <w:rFonts w:hint="eastAsia" w:ascii="宋体" w:hAnsi="宋体" w:eastAsia="宋体" w:cs="宋体"/>
          <w:b w:val="0"/>
          <w:bCs w:val="0"/>
          <w:color w:val="auto"/>
          <w:sz w:val="24"/>
          <w:szCs w:val="24"/>
          <w:highlight w:val="none"/>
          <w:lang w:val="en-US" w:eastAsia="zh-CN"/>
        </w:rPr>
        <w:t>①</w:t>
      </w:r>
      <w:r>
        <w:rPr>
          <w:rFonts w:hint="eastAsia" w:ascii="宋体" w:hAnsi="宋体" w:eastAsia="宋体" w:cs="宋体"/>
          <w:b w:val="0"/>
          <w:bCs w:val="0"/>
          <w:color w:val="auto"/>
          <w:sz w:val="24"/>
          <w:szCs w:val="24"/>
          <w:highlight w:val="none"/>
          <w:lang w:val="zh-CN"/>
        </w:rPr>
        <w:t>GB/T4340.1-2009、GB/T15970.5-1998、GB/T3075-2021、GB/T15711-2018、GB/T22315-2008、GB/T35690-2017、QB/T4371-2012；检测内容包含：</w:t>
      </w:r>
      <w:r>
        <w:rPr>
          <w:rFonts w:hint="eastAsia" w:ascii="宋体" w:hAnsi="宋体" w:eastAsia="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lang w:val="zh-CN"/>
        </w:rPr>
        <w:t>维氏硬度HV10≥129；非金属夹杂物：（细系:A≤0.5，B≤0.5，C≤0.5，D≤0.5粗系:A≤0.5，B≤0.5，C≤0.50，D≤0.5,）,弹性模量 E(GPa)≥145，均符合；</w:t>
      </w:r>
      <w:r>
        <w:rPr>
          <w:rFonts w:hint="eastAsia" w:ascii="宋体" w:hAnsi="宋体" w:eastAsia="宋体" w:cs="宋体"/>
          <w:b w:val="0"/>
          <w:bCs w:val="0"/>
          <w:color w:val="auto"/>
          <w:sz w:val="24"/>
          <w:szCs w:val="24"/>
          <w:highlight w:val="none"/>
          <w:lang w:val="en-US" w:eastAsia="zh-CN"/>
        </w:rPr>
        <w:t>③</w:t>
      </w:r>
      <w:r>
        <w:rPr>
          <w:rFonts w:hint="eastAsia" w:ascii="宋体" w:hAnsi="宋体" w:eastAsia="宋体" w:cs="宋体"/>
          <w:b w:val="0"/>
          <w:bCs w:val="0"/>
          <w:color w:val="auto"/>
          <w:sz w:val="24"/>
          <w:szCs w:val="24"/>
          <w:highlight w:val="none"/>
          <w:lang w:val="zh-CN"/>
        </w:rPr>
        <w:t>疲劳试验经10万次疲劳试验后，部件未发生开裂；</w:t>
      </w:r>
      <w:r>
        <w:rPr>
          <w:rFonts w:hint="eastAsia" w:ascii="宋体" w:hAnsi="宋体" w:eastAsia="宋体" w:cs="宋体"/>
          <w:b w:val="0"/>
          <w:bCs w:val="0"/>
          <w:color w:val="auto"/>
          <w:sz w:val="24"/>
          <w:szCs w:val="24"/>
          <w:highlight w:val="none"/>
          <w:lang w:val="en-US" w:eastAsia="zh-CN"/>
        </w:rPr>
        <w:t>④</w:t>
      </w:r>
      <w:r>
        <w:rPr>
          <w:rFonts w:hint="eastAsia" w:ascii="宋体" w:hAnsi="宋体" w:eastAsia="宋体" w:cs="宋体"/>
          <w:b w:val="0"/>
          <w:bCs w:val="0"/>
          <w:color w:val="auto"/>
          <w:sz w:val="24"/>
          <w:szCs w:val="24"/>
          <w:highlight w:val="none"/>
          <w:lang w:val="zh-CN"/>
        </w:rPr>
        <w:t>应力腐蚀试验（经100h应力腐蚀试验，不断裂）恒定应力值:150MPa周期:100h没有断裂，符合；</w:t>
      </w:r>
      <w:r>
        <w:rPr>
          <w:rFonts w:hint="eastAsia" w:ascii="宋体" w:hAnsi="宋体" w:eastAsia="宋体" w:cs="宋体"/>
          <w:b w:val="0"/>
          <w:bCs w:val="0"/>
          <w:color w:val="auto"/>
          <w:sz w:val="24"/>
          <w:szCs w:val="24"/>
          <w:highlight w:val="none"/>
          <w:lang w:val="en-US" w:eastAsia="zh-CN"/>
        </w:rPr>
        <w:t>⑤</w:t>
      </w:r>
      <w:r>
        <w:rPr>
          <w:rFonts w:hint="eastAsia" w:ascii="宋体" w:hAnsi="宋体" w:eastAsia="宋体" w:cs="宋体"/>
          <w:b w:val="0"/>
          <w:bCs w:val="0"/>
          <w:color w:val="auto"/>
          <w:sz w:val="24"/>
          <w:szCs w:val="24"/>
          <w:highlight w:val="none"/>
          <w:lang w:val="zh-CN"/>
        </w:rPr>
        <w:t>磁导率试验≥1.0000000；</w:t>
      </w:r>
      <w:r>
        <w:rPr>
          <w:rFonts w:hint="eastAsia" w:ascii="宋体" w:hAnsi="宋体" w:eastAsia="宋体" w:cs="宋体"/>
          <w:b w:val="0"/>
          <w:bCs w:val="0"/>
          <w:color w:val="auto"/>
          <w:sz w:val="24"/>
          <w:szCs w:val="24"/>
          <w:highlight w:val="none"/>
          <w:lang w:val="en-US" w:eastAsia="zh-CN"/>
        </w:rPr>
        <w:t>⑥</w:t>
      </w:r>
      <w:r>
        <w:rPr>
          <w:rFonts w:hint="eastAsia" w:ascii="宋体" w:hAnsi="宋体" w:eastAsia="宋体" w:cs="宋体"/>
          <w:b w:val="0"/>
          <w:bCs w:val="0"/>
          <w:color w:val="auto"/>
          <w:sz w:val="24"/>
          <w:szCs w:val="24"/>
          <w:highlight w:val="none"/>
          <w:lang w:val="zh-CN"/>
        </w:rPr>
        <w:t>抗菌性能：抑菌率≥99.99%；</w:t>
      </w:r>
    </w:p>
    <w:p>
      <w:pPr>
        <w:autoSpaceDE w:val="0"/>
        <w:autoSpaceDN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11、顶板</w:t>
      </w:r>
    </w:p>
    <w:p>
      <w:pPr>
        <w:autoSpaceDE w:val="0"/>
        <w:autoSpaceDN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通过</w:t>
      </w:r>
      <w:r>
        <w:rPr>
          <w:rFonts w:hint="eastAsia" w:ascii="宋体" w:hAnsi="宋体" w:eastAsia="宋体" w:cs="宋体"/>
          <w:color w:val="auto"/>
          <w:kern w:val="0"/>
          <w:sz w:val="24"/>
          <w:szCs w:val="24"/>
          <w:highlight w:val="none"/>
        </w:rPr>
        <w:t>M6</w:t>
      </w:r>
      <w:r>
        <w:rPr>
          <w:rFonts w:hint="eastAsia" w:ascii="宋体" w:hAnsi="宋体" w:eastAsia="宋体" w:cs="宋体"/>
          <w:color w:val="auto"/>
          <w:kern w:val="0"/>
          <w:sz w:val="24"/>
          <w:szCs w:val="24"/>
          <w:highlight w:val="none"/>
          <w:lang w:val="zh-CN"/>
        </w:rPr>
        <w:t>螺栓紧固于立柱上端，经双面二次折弯，四角对焊，使其成框架结构。</w:t>
      </w:r>
    </w:p>
    <w:p>
      <w:pPr>
        <w:bidi w:val="0"/>
        <w:spacing w:line="360" w:lineRule="auto"/>
        <w:rPr>
          <w:rFonts w:hint="eastAsia" w:ascii="宋体" w:hAnsi="宋体" w:eastAsia="宋体" w:cs="宋体"/>
          <w:b w:val="0"/>
          <w:bCs w:val="0"/>
          <w:color w:val="auto"/>
          <w:kern w:val="0"/>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供应商提供第三方检测机构（检测报告需带CMA标识）</w:t>
      </w:r>
      <w:r>
        <w:rPr>
          <w:rFonts w:hint="eastAsia" w:ascii="宋体" w:hAnsi="宋体" w:eastAsia="宋体" w:cs="宋体"/>
          <w:b w:val="0"/>
          <w:bCs w:val="0"/>
          <w:color w:val="auto"/>
          <w:sz w:val="24"/>
          <w:szCs w:val="24"/>
          <w:highlight w:val="none"/>
        </w:rPr>
        <w:t>出具的</w:t>
      </w:r>
      <w:r>
        <w:rPr>
          <w:rFonts w:hint="eastAsia" w:ascii="宋体" w:hAnsi="宋体" w:eastAsia="宋体" w:cs="宋体"/>
          <w:b w:val="0"/>
          <w:bCs w:val="0"/>
          <w:color w:val="auto"/>
          <w:sz w:val="24"/>
          <w:szCs w:val="24"/>
          <w:highlight w:val="none"/>
          <w:lang w:val="zh-CN"/>
        </w:rPr>
        <w:t>《顶板》检验报告，</w:t>
      </w:r>
      <w:r>
        <w:rPr>
          <w:rFonts w:hint="eastAsia" w:ascii="宋体" w:hAnsi="宋体" w:eastAsia="宋体" w:cs="宋体"/>
          <w:b w:val="0"/>
          <w:bCs w:val="0"/>
          <w:color w:val="auto"/>
          <w:sz w:val="24"/>
          <w:szCs w:val="24"/>
          <w:highlight w:val="none"/>
          <w:lang w:val="zh-CN" w:eastAsia="zh-CN"/>
        </w:rPr>
        <w:t>检验项目</w:t>
      </w:r>
      <w:r>
        <w:rPr>
          <w:rFonts w:hint="eastAsia" w:ascii="宋体" w:hAnsi="宋体" w:eastAsia="宋体" w:cs="宋体"/>
          <w:b w:val="0"/>
          <w:bCs w:val="0"/>
          <w:color w:val="auto"/>
          <w:sz w:val="24"/>
          <w:szCs w:val="24"/>
          <w:highlight w:val="none"/>
          <w:lang w:val="zh-CN"/>
        </w:rPr>
        <w:t>符合以下要求</w:t>
      </w: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lang w:val="en-US" w:eastAsia="zh-CN"/>
        </w:rPr>
        <w:t>①</w:t>
      </w:r>
      <w:r>
        <w:rPr>
          <w:rFonts w:hint="eastAsia" w:ascii="宋体" w:hAnsi="宋体" w:eastAsia="宋体" w:cs="宋体"/>
          <w:b w:val="0"/>
          <w:bCs w:val="0"/>
          <w:color w:val="auto"/>
          <w:sz w:val="24"/>
          <w:szCs w:val="24"/>
          <w:highlight w:val="none"/>
          <w:lang w:val="zh-CN" w:eastAsia="zh-CN"/>
        </w:rPr>
        <w:t>检测依据</w:t>
      </w:r>
      <w:r>
        <w:rPr>
          <w:rFonts w:hint="eastAsia" w:ascii="宋体" w:hAnsi="宋体" w:eastAsia="宋体" w:cs="宋体"/>
          <w:b w:val="0"/>
          <w:bCs w:val="0"/>
          <w:color w:val="auto"/>
          <w:sz w:val="24"/>
          <w:szCs w:val="24"/>
          <w:highlight w:val="none"/>
          <w:lang w:val="zh-CN"/>
        </w:rPr>
        <w:t>GB/T230.1-2018、GB/T229-2020、GB/T 10561-2023、GB/T5027-2016、GB/T13012-2008、QB/T4371-2012、GB/T 1839-2008；</w:t>
      </w:r>
      <w:r>
        <w:rPr>
          <w:rFonts w:hint="eastAsia" w:ascii="宋体" w:hAnsi="宋体" w:eastAsia="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lang w:val="zh-CN"/>
        </w:rPr>
        <w:t>洛氏硬度HRBW≥70，冲击试验≥20，非金属夹杂物：（细系:A≤2.0，B≤2.0，C≤2.0，D≤2.0粗系:A≤2.0，B≤2.0，C≤2.0，D≤2.0），均符合；</w:t>
      </w:r>
      <w:r>
        <w:rPr>
          <w:rFonts w:hint="eastAsia" w:ascii="宋体" w:hAnsi="宋体" w:eastAsia="宋体" w:cs="宋体"/>
          <w:b w:val="0"/>
          <w:bCs w:val="0"/>
          <w:color w:val="auto"/>
          <w:sz w:val="24"/>
          <w:szCs w:val="24"/>
          <w:highlight w:val="none"/>
          <w:lang w:val="en-US" w:eastAsia="zh-CN"/>
        </w:rPr>
        <w:t>③</w:t>
      </w:r>
      <w:r>
        <w:rPr>
          <w:rFonts w:hint="eastAsia" w:ascii="宋体" w:hAnsi="宋体" w:eastAsia="宋体" w:cs="宋体"/>
          <w:b w:val="0"/>
          <w:bCs w:val="0"/>
          <w:color w:val="auto"/>
          <w:sz w:val="24"/>
          <w:szCs w:val="24"/>
          <w:highlight w:val="none"/>
          <w:lang w:val="zh-CN"/>
        </w:rPr>
        <w:t>塑性应变比(r值)≥1.8，锌层质量(g/㎡)≥36；</w:t>
      </w:r>
      <w:r>
        <w:rPr>
          <w:rFonts w:hint="eastAsia" w:ascii="宋体" w:hAnsi="宋体" w:eastAsia="宋体" w:cs="宋体"/>
          <w:b w:val="0"/>
          <w:bCs w:val="0"/>
          <w:color w:val="auto"/>
          <w:sz w:val="24"/>
          <w:szCs w:val="24"/>
          <w:highlight w:val="none"/>
          <w:lang w:val="en-US" w:eastAsia="zh-CN"/>
        </w:rPr>
        <w:t>④</w:t>
      </w:r>
      <w:r>
        <w:rPr>
          <w:rFonts w:hint="eastAsia" w:ascii="宋体" w:hAnsi="宋体" w:eastAsia="宋体" w:cs="宋体"/>
          <w:b w:val="0"/>
          <w:bCs w:val="0"/>
          <w:color w:val="auto"/>
          <w:sz w:val="24"/>
          <w:szCs w:val="24"/>
          <w:highlight w:val="none"/>
          <w:lang w:val="zh-CN"/>
        </w:rPr>
        <w:t>直流磁性能试验；</w:t>
      </w:r>
      <w:r>
        <w:rPr>
          <w:rFonts w:hint="eastAsia" w:ascii="宋体" w:hAnsi="宋体" w:eastAsia="宋体" w:cs="宋体"/>
          <w:b w:val="0"/>
          <w:bCs w:val="0"/>
          <w:color w:val="auto"/>
          <w:sz w:val="24"/>
          <w:szCs w:val="24"/>
          <w:highlight w:val="none"/>
          <w:lang w:val="en-US" w:eastAsia="zh-CN"/>
        </w:rPr>
        <w:t>⑤</w:t>
      </w:r>
      <w:r>
        <w:rPr>
          <w:rFonts w:hint="eastAsia" w:ascii="宋体" w:hAnsi="宋体" w:eastAsia="宋体" w:cs="宋体"/>
          <w:b w:val="0"/>
          <w:bCs w:val="0"/>
          <w:color w:val="auto"/>
          <w:sz w:val="24"/>
          <w:szCs w:val="24"/>
          <w:highlight w:val="none"/>
          <w:lang w:val="zh-CN"/>
        </w:rPr>
        <w:t>抗菌性能：抑菌率≥99.99%；</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12、</w:t>
      </w:r>
      <w:r>
        <w:rPr>
          <w:rFonts w:hint="eastAsia" w:ascii="宋体" w:hAnsi="宋体" w:eastAsia="宋体" w:cs="宋体"/>
          <w:color w:val="auto"/>
          <w:kern w:val="0"/>
          <w:sz w:val="24"/>
          <w:szCs w:val="24"/>
          <w:highlight w:val="none"/>
          <w:lang w:val="zh-CN"/>
        </w:rPr>
        <w:t>技术、安装标准及制造公差要求</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）每标准节组装后，外形尺寸的极限偏差为±</w:t>
      </w:r>
      <w:r>
        <w:rPr>
          <w:rFonts w:hint="eastAsia" w:ascii="宋体" w:hAnsi="宋体" w:eastAsia="宋体" w:cs="宋体"/>
          <w:color w:val="auto"/>
          <w:kern w:val="0"/>
          <w:sz w:val="24"/>
          <w:szCs w:val="24"/>
          <w:highlight w:val="none"/>
        </w:rPr>
        <w:t>2mm</w:t>
      </w:r>
      <w:r>
        <w:rPr>
          <w:rFonts w:hint="eastAsia" w:ascii="宋体" w:hAnsi="宋体" w:eastAsia="宋体" w:cs="宋体"/>
          <w:color w:val="auto"/>
          <w:kern w:val="0"/>
          <w:sz w:val="24"/>
          <w:szCs w:val="24"/>
          <w:highlight w:val="none"/>
          <w:lang w:val="zh-CN"/>
        </w:rPr>
        <w:t>，立柱与导轨的垂直度不大于</w:t>
      </w:r>
      <w:r>
        <w:rPr>
          <w:rFonts w:hint="eastAsia" w:ascii="宋体" w:hAnsi="宋体" w:eastAsia="宋体" w:cs="宋体"/>
          <w:color w:val="auto"/>
          <w:kern w:val="0"/>
          <w:sz w:val="24"/>
          <w:szCs w:val="24"/>
          <w:highlight w:val="none"/>
        </w:rPr>
        <w:t>2mm</w:t>
      </w:r>
      <w:r>
        <w:rPr>
          <w:rFonts w:hint="eastAsia" w:ascii="宋体" w:hAnsi="宋体" w:eastAsia="宋体" w:cs="宋体"/>
          <w:color w:val="auto"/>
          <w:kern w:val="0"/>
          <w:sz w:val="24"/>
          <w:szCs w:val="24"/>
          <w:highlight w:val="none"/>
          <w:lang w:val="zh-CN"/>
        </w:rPr>
        <w:t>。侧面板和中腰带的对缝处的间隙不大于</w:t>
      </w:r>
      <w:r>
        <w:rPr>
          <w:rFonts w:hint="eastAsia" w:ascii="宋体" w:hAnsi="宋体" w:eastAsia="宋体" w:cs="宋体"/>
          <w:color w:val="auto"/>
          <w:kern w:val="0"/>
          <w:sz w:val="24"/>
          <w:szCs w:val="24"/>
          <w:highlight w:val="none"/>
        </w:rPr>
        <w:t>2mm</w:t>
      </w:r>
      <w:r>
        <w:rPr>
          <w:rFonts w:hint="eastAsia" w:ascii="宋体" w:hAnsi="宋体" w:eastAsia="宋体" w:cs="宋体"/>
          <w:color w:val="auto"/>
          <w:kern w:val="0"/>
          <w:sz w:val="24"/>
          <w:szCs w:val="24"/>
          <w:highlight w:val="none"/>
          <w:lang w:val="zh-CN"/>
        </w:rPr>
        <w:t>，门缝间隙均匀并在</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2mm</w:t>
      </w:r>
      <w:r>
        <w:rPr>
          <w:rFonts w:hint="eastAsia" w:ascii="宋体" w:hAnsi="宋体" w:eastAsia="宋体" w:cs="宋体"/>
          <w:color w:val="auto"/>
          <w:kern w:val="0"/>
          <w:sz w:val="24"/>
          <w:szCs w:val="24"/>
          <w:highlight w:val="none"/>
          <w:lang w:val="zh-CN"/>
        </w:rPr>
        <w:t>之间。</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）传动机构应运行平稳、不会晃动、同步性强、两侧不会偏移。</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zh-CN"/>
        </w:rPr>
        <w:t>）导轨安装平行度偏差不大于</w:t>
      </w:r>
      <w:r>
        <w:rPr>
          <w:rFonts w:hint="eastAsia" w:ascii="宋体" w:hAnsi="宋体" w:eastAsia="宋体" w:cs="宋体"/>
          <w:color w:val="auto"/>
          <w:kern w:val="0"/>
          <w:sz w:val="24"/>
          <w:szCs w:val="24"/>
          <w:highlight w:val="none"/>
        </w:rPr>
        <w:t>1mm/m</w:t>
      </w:r>
      <w:r>
        <w:rPr>
          <w:rFonts w:hint="eastAsia" w:ascii="宋体" w:hAnsi="宋体" w:eastAsia="宋体" w:cs="宋体"/>
          <w:color w:val="auto"/>
          <w:kern w:val="0"/>
          <w:sz w:val="24"/>
          <w:szCs w:val="24"/>
          <w:highlight w:val="none"/>
          <w:lang w:val="zh-CN"/>
        </w:rPr>
        <w:t>，全长不大于</w:t>
      </w:r>
      <w:r>
        <w:rPr>
          <w:rFonts w:hint="eastAsia" w:ascii="宋体" w:hAnsi="宋体" w:eastAsia="宋体" w:cs="宋体"/>
          <w:color w:val="auto"/>
          <w:kern w:val="0"/>
          <w:sz w:val="24"/>
          <w:szCs w:val="24"/>
          <w:highlight w:val="none"/>
        </w:rPr>
        <w:t>2mm</w:t>
      </w:r>
      <w:r>
        <w:rPr>
          <w:rFonts w:hint="eastAsia" w:ascii="宋体" w:hAnsi="宋体" w:eastAsia="宋体" w:cs="宋体"/>
          <w:color w:val="auto"/>
          <w:kern w:val="0"/>
          <w:sz w:val="24"/>
          <w:szCs w:val="24"/>
          <w:highlight w:val="none"/>
          <w:lang w:val="zh-CN"/>
        </w:rPr>
        <w:t>，导轨对接处高低差不大于</w:t>
      </w:r>
      <w:r>
        <w:rPr>
          <w:rFonts w:hint="eastAsia" w:ascii="宋体" w:hAnsi="宋体" w:eastAsia="宋体" w:cs="宋体"/>
          <w:color w:val="auto"/>
          <w:kern w:val="0"/>
          <w:sz w:val="24"/>
          <w:szCs w:val="24"/>
          <w:highlight w:val="none"/>
        </w:rPr>
        <w:t>0.3mm</w:t>
      </w:r>
      <w:r>
        <w:rPr>
          <w:rFonts w:hint="eastAsia" w:ascii="宋体" w:hAnsi="宋体" w:eastAsia="宋体" w:cs="宋体"/>
          <w:color w:val="auto"/>
          <w:kern w:val="0"/>
          <w:sz w:val="24"/>
          <w:szCs w:val="24"/>
          <w:highlight w:val="none"/>
          <w:lang w:val="zh-CN"/>
        </w:rPr>
        <w:t>。</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zh-CN"/>
        </w:rPr>
        <w:t>）底梁必须平直，直线度不大于</w:t>
      </w:r>
      <w:r>
        <w:rPr>
          <w:rFonts w:hint="eastAsia" w:ascii="宋体" w:hAnsi="宋体" w:eastAsia="宋体" w:cs="宋体"/>
          <w:color w:val="auto"/>
          <w:kern w:val="0"/>
          <w:sz w:val="24"/>
          <w:szCs w:val="24"/>
          <w:highlight w:val="none"/>
        </w:rPr>
        <w:t>0.5mm/m</w:t>
      </w:r>
      <w:r>
        <w:rPr>
          <w:rFonts w:hint="eastAsia" w:ascii="宋体" w:hAnsi="宋体" w:eastAsia="宋体" w:cs="宋体"/>
          <w:color w:val="auto"/>
          <w:kern w:val="0"/>
          <w:sz w:val="24"/>
          <w:szCs w:val="24"/>
          <w:highlight w:val="none"/>
          <w:lang w:val="zh-CN"/>
        </w:rPr>
        <w:t>，全长不大于</w:t>
      </w:r>
      <w:r>
        <w:rPr>
          <w:rFonts w:hint="eastAsia" w:ascii="宋体" w:hAnsi="宋体" w:eastAsia="宋体" w:cs="宋体"/>
          <w:color w:val="auto"/>
          <w:kern w:val="0"/>
          <w:sz w:val="24"/>
          <w:szCs w:val="24"/>
          <w:highlight w:val="none"/>
        </w:rPr>
        <w:t>2mm</w:t>
      </w:r>
      <w:r>
        <w:rPr>
          <w:rFonts w:hint="eastAsia" w:ascii="宋体" w:hAnsi="宋体" w:eastAsia="宋体" w:cs="宋体"/>
          <w:color w:val="auto"/>
          <w:kern w:val="0"/>
          <w:sz w:val="24"/>
          <w:szCs w:val="24"/>
          <w:highlight w:val="none"/>
          <w:lang w:val="zh-CN"/>
        </w:rPr>
        <w:t>。</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zh-CN"/>
        </w:rPr>
        <w:t>）架体安装垂直度偏差小于</w:t>
      </w:r>
      <w:r>
        <w:rPr>
          <w:rFonts w:hint="eastAsia" w:ascii="宋体" w:hAnsi="宋体" w:eastAsia="宋体" w:cs="宋体"/>
          <w:color w:val="auto"/>
          <w:kern w:val="0"/>
          <w:sz w:val="24"/>
          <w:szCs w:val="24"/>
          <w:highlight w:val="none"/>
        </w:rPr>
        <w:t>2mm</w:t>
      </w:r>
      <w:r>
        <w:rPr>
          <w:rFonts w:hint="eastAsia" w:ascii="宋体" w:hAnsi="宋体" w:eastAsia="宋体" w:cs="宋体"/>
          <w:color w:val="auto"/>
          <w:kern w:val="0"/>
          <w:sz w:val="24"/>
          <w:szCs w:val="24"/>
          <w:highlight w:val="none"/>
          <w:lang w:val="zh-CN"/>
        </w:rPr>
        <w:t>，达到横平竖直。</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zh-CN"/>
        </w:rPr>
        <w:t>）各零件、组合件表面光滑、平整，不得有尖角、突起。</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val="zh-CN"/>
        </w:rPr>
        <w:t>所有焊接件焊接牢固</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焊痕打磨光滑平整。</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lang w:val="zh-CN"/>
        </w:rPr>
        <w:t>）喷塑表面色泽一致，塑面均匀光滑，无划伤。</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9</w:t>
      </w:r>
      <w:r>
        <w:rPr>
          <w:rFonts w:hint="eastAsia" w:ascii="宋体" w:hAnsi="宋体" w:eastAsia="宋体" w:cs="宋体"/>
          <w:color w:val="auto"/>
          <w:kern w:val="0"/>
          <w:sz w:val="24"/>
          <w:szCs w:val="24"/>
          <w:highlight w:val="none"/>
          <w:lang w:val="zh-CN"/>
        </w:rPr>
        <w:t>）产品各零件、组合件之间应能具有互换性。</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10</w:t>
      </w:r>
      <w:r>
        <w:rPr>
          <w:rFonts w:hint="eastAsia" w:ascii="宋体" w:hAnsi="宋体" w:eastAsia="宋体" w:cs="宋体"/>
          <w:color w:val="auto"/>
          <w:kern w:val="0"/>
          <w:sz w:val="24"/>
          <w:szCs w:val="24"/>
          <w:highlight w:val="none"/>
          <w:lang w:val="zh-CN"/>
        </w:rPr>
        <w:t>）搁板上均匀载重</w:t>
      </w:r>
      <w:r>
        <w:rPr>
          <w:rFonts w:hint="eastAsia" w:ascii="宋体" w:hAnsi="宋体" w:eastAsia="宋体" w:cs="宋体"/>
          <w:color w:val="auto"/>
          <w:kern w:val="0"/>
          <w:sz w:val="24"/>
          <w:szCs w:val="24"/>
          <w:highlight w:val="none"/>
        </w:rPr>
        <w:t>400N</w:t>
      </w:r>
      <w:r>
        <w:rPr>
          <w:rFonts w:hint="eastAsia" w:ascii="宋体" w:hAnsi="宋体" w:eastAsia="宋体" w:cs="宋体"/>
          <w:color w:val="auto"/>
          <w:kern w:val="0"/>
          <w:sz w:val="24"/>
          <w:szCs w:val="24"/>
          <w:highlight w:val="none"/>
          <w:lang w:val="zh-CN"/>
        </w:rPr>
        <w:t>，放置</w:t>
      </w:r>
      <w:r>
        <w:rPr>
          <w:rFonts w:hint="eastAsia" w:ascii="宋体" w:hAnsi="宋体" w:eastAsia="宋体" w:cs="宋体"/>
          <w:color w:val="auto"/>
          <w:kern w:val="0"/>
          <w:sz w:val="24"/>
          <w:szCs w:val="24"/>
          <w:highlight w:val="none"/>
        </w:rPr>
        <w:t>24h</w:t>
      </w:r>
      <w:r>
        <w:rPr>
          <w:rFonts w:hint="eastAsia" w:ascii="宋体" w:hAnsi="宋体" w:eastAsia="宋体" w:cs="宋体"/>
          <w:color w:val="auto"/>
          <w:kern w:val="0"/>
          <w:sz w:val="24"/>
          <w:szCs w:val="24"/>
          <w:highlight w:val="none"/>
          <w:lang w:val="zh-CN"/>
        </w:rPr>
        <w:t>最大挠度小于</w:t>
      </w:r>
      <w:r>
        <w:rPr>
          <w:rFonts w:hint="eastAsia" w:ascii="宋体" w:hAnsi="宋体" w:eastAsia="宋体" w:cs="宋体"/>
          <w:color w:val="auto"/>
          <w:kern w:val="0"/>
          <w:sz w:val="24"/>
          <w:szCs w:val="24"/>
          <w:highlight w:val="none"/>
        </w:rPr>
        <w:t>4mm</w:t>
      </w:r>
      <w:r>
        <w:rPr>
          <w:rFonts w:hint="eastAsia" w:ascii="宋体" w:hAnsi="宋体" w:eastAsia="宋体" w:cs="宋体"/>
          <w:color w:val="auto"/>
          <w:kern w:val="0"/>
          <w:sz w:val="24"/>
          <w:szCs w:val="24"/>
          <w:highlight w:val="none"/>
          <w:lang w:val="zh-CN"/>
        </w:rPr>
        <w:t>，卸载后</w:t>
      </w:r>
      <w:r>
        <w:rPr>
          <w:rFonts w:hint="eastAsia" w:ascii="宋体" w:hAnsi="宋体" w:eastAsia="宋体" w:cs="宋体"/>
          <w:color w:val="auto"/>
          <w:kern w:val="0"/>
          <w:sz w:val="24"/>
          <w:szCs w:val="24"/>
          <w:highlight w:val="none"/>
        </w:rPr>
        <w:t>2h</w:t>
      </w:r>
      <w:r>
        <w:rPr>
          <w:rFonts w:hint="eastAsia" w:ascii="宋体" w:hAnsi="宋体" w:eastAsia="宋体" w:cs="宋体"/>
          <w:color w:val="auto"/>
          <w:kern w:val="0"/>
          <w:sz w:val="24"/>
          <w:szCs w:val="24"/>
          <w:highlight w:val="none"/>
          <w:lang w:val="zh-CN"/>
        </w:rPr>
        <w:t>搁板不得有裂缝，残余变形量不大于</w:t>
      </w:r>
      <w:r>
        <w:rPr>
          <w:rFonts w:hint="eastAsia" w:ascii="宋体" w:hAnsi="宋体" w:eastAsia="宋体" w:cs="宋体"/>
          <w:color w:val="auto"/>
          <w:kern w:val="0"/>
          <w:sz w:val="24"/>
          <w:szCs w:val="24"/>
          <w:highlight w:val="none"/>
        </w:rPr>
        <w:t>0.3mm</w:t>
      </w:r>
      <w:r>
        <w:rPr>
          <w:rFonts w:hint="eastAsia" w:ascii="宋体" w:hAnsi="宋体" w:eastAsia="宋体" w:cs="宋体"/>
          <w:color w:val="auto"/>
          <w:kern w:val="0"/>
          <w:sz w:val="24"/>
          <w:szCs w:val="24"/>
          <w:highlight w:val="none"/>
          <w:lang w:val="zh-CN"/>
        </w:rPr>
        <w:t>。</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11</w:t>
      </w:r>
      <w:r>
        <w:rPr>
          <w:rFonts w:hint="eastAsia" w:ascii="宋体" w:hAnsi="宋体" w:eastAsia="宋体" w:cs="宋体"/>
          <w:color w:val="auto"/>
          <w:kern w:val="0"/>
          <w:sz w:val="24"/>
          <w:szCs w:val="24"/>
          <w:highlight w:val="none"/>
          <w:lang w:val="zh-CN"/>
        </w:rPr>
        <w:t>）每标准节在全负载的情况下，各结构件和架体没有明显变形，架体不应产生倾斜现象。</w:t>
      </w:r>
    </w:p>
    <w:p>
      <w:pPr>
        <w:autoSpaceDE w:val="0"/>
        <w:autoSpaceDN w:val="0"/>
        <w:adjustRightInd w:val="0"/>
        <w:spacing w:line="360" w:lineRule="auto"/>
        <w:ind w:firstLine="480" w:firstLineChars="200"/>
        <w:jc w:val="left"/>
        <w:rPr>
          <w:rFonts w:hint="eastAsia" w:ascii="宋体" w:hAnsi="宋体" w:eastAsia="宋体" w:cs="宋体"/>
          <w:color w:val="auto"/>
          <w:spacing w:val="-9"/>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12</w:t>
      </w:r>
      <w:r>
        <w:rPr>
          <w:rFonts w:hint="eastAsia" w:ascii="宋体" w:hAnsi="宋体" w:eastAsia="宋体" w:cs="宋体"/>
          <w:color w:val="auto"/>
          <w:kern w:val="0"/>
          <w:sz w:val="24"/>
          <w:szCs w:val="24"/>
          <w:highlight w:val="none"/>
          <w:lang w:val="zh-CN"/>
        </w:rPr>
        <w:t>）在全负载的情况下，各列密集架应运动自如，不得有阻滞现象，单列密集架运行，手柄摇力不大于</w:t>
      </w:r>
      <w:r>
        <w:rPr>
          <w:rFonts w:hint="eastAsia" w:ascii="宋体" w:hAnsi="宋体" w:eastAsia="宋体" w:cs="宋体"/>
          <w:color w:val="auto"/>
          <w:kern w:val="0"/>
          <w:sz w:val="24"/>
          <w:szCs w:val="24"/>
          <w:highlight w:val="none"/>
        </w:rPr>
        <w:t>11.8N</w:t>
      </w:r>
      <w:r>
        <w:rPr>
          <w:rFonts w:hint="eastAsia" w:ascii="宋体" w:hAnsi="宋体" w:eastAsia="宋体" w:cs="宋体"/>
          <w:color w:val="auto"/>
          <w:kern w:val="0"/>
          <w:sz w:val="24"/>
          <w:szCs w:val="24"/>
          <w:highlight w:val="none"/>
          <w:lang w:val="zh-CN"/>
        </w:rPr>
        <w:t>。</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13、</w:t>
      </w:r>
      <w:r>
        <w:rPr>
          <w:rFonts w:hint="eastAsia" w:ascii="宋体" w:hAnsi="宋体" w:eastAsia="宋体" w:cs="宋体"/>
          <w:color w:val="auto"/>
          <w:kern w:val="0"/>
          <w:sz w:val="24"/>
          <w:szCs w:val="24"/>
          <w:highlight w:val="none"/>
          <w:lang w:val="zh-CN"/>
        </w:rPr>
        <w:t>工艺要求</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）供应商应该制定严格的产品企业标准，并有完善的质量检验制度和控制手段。要有高精度的剪板机、折弯机、各种机械加工设备及全自动高压静电喷塑设备，工艺装备齐全</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）所有钣金件、机加工件加工后均打磨毛刺，无裂痕及伤痕</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zh-CN"/>
        </w:rPr>
        <w:t>所有焊接件均焊接牢固</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外表光滑平整</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zh-CN"/>
        </w:rPr>
        <w:t>）每标准节组装后，质量符合技术标准要求</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zh-CN"/>
        </w:rPr>
        <w:t>）产品的全部钣金件应经过严格的酸洗、除锈、磷化处理。颜色按用户要求，表面喷涂粉末材料采用具有环保性质的高强度树脂粉末。色泽应一致，喷涂无死角。漆面应均匀光滑、无划痕。</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zh-CN"/>
        </w:rPr>
        <w:t>）所有标准件及紧固件均经热浸处理。</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val="zh-CN"/>
        </w:rPr>
        <w:t>）密集架架体外观应精美、线条流畅、操作应轻便灵活、运行平稳，并应是组合装配，便于搬迁和拆卸。各零件、组合件表面应光滑平整，不得有尖角、凸起。</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14、</w:t>
      </w:r>
      <w:r>
        <w:rPr>
          <w:rFonts w:hint="eastAsia" w:ascii="宋体" w:hAnsi="宋体" w:eastAsia="宋体" w:cs="宋体"/>
          <w:color w:val="auto"/>
          <w:kern w:val="0"/>
          <w:sz w:val="24"/>
          <w:szCs w:val="24"/>
          <w:highlight w:val="none"/>
          <w:lang w:val="zh-CN"/>
        </w:rPr>
        <w:t>载重性能要求</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）每标准节（六层双面搁板）在全负载（每块单面搁板均布载重</w:t>
      </w:r>
      <w:r>
        <w:rPr>
          <w:rFonts w:hint="eastAsia" w:ascii="宋体" w:hAnsi="宋体" w:eastAsia="宋体" w:cs="宋体"/>
          <w:color w:val="auto"/>
          <w:kern w:val="0"/>
          <w:sz w:val="24"/>
          <w:szCs w:val="24"/>
          <w:highlight w:val="none"/>
        </w:rPr>
        <w:t>40kg</w:t>
      </w:r>
      <w:r>
        <w:rPr>
          <w:rFonts w:hint="eastAsia" w:ascii="宋体" w:hAnsi="宋体" w:eastAsia="宋体" w:cs="宋体"/>
          <w:color w:val="auto"/>
          <w:kern w:val="0"/>
          <w:sz w:val="24"/>
          <w:szCs w:val="24"/>
          <w:highlight w:val="none"/>
          <w:lang w:val="zh-CN"/>
        </w:rPr>
        <w:t>）的情况下，架体、立柱无明显变形，架体无倾斜现象。</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zh-CN"/>
        </w:rPr>
        <w:t>）在受全部载荷</w:t>
      </w:r>
      <w:r>
        <w:rPr>
          <w:rFonts w:hint="eastAsia" w:ascii="宋体" w:hAnsi="宋体" w:eastAsia="宋体" w:cs="宋体"/>
          <w:color w:val="auto"/>
          <w:kern w:val="0"/>
          <w:sz w:val="24"/>
          <w:szCs w:val="24"/>
          <w:highlight w:val="none"/>
        </w:rPr>
        <w:t>1/20</w:t>
      </w:r>
      <w:r>
        <w:rPr>
          <w:rFonts w:hint="eastAsia" w:ascii="宋体" w:hAnsi="宋体" w:eastAsia="宋体" w:cs="宋体"/>
          <w:color w:val="auto"/>
          <w:kern w:val="0"/>
          <w:sz w:val="24"/>
          <w:szCs w:val="24"/>
          <w:highlight w:val="none"/>
          <w:lang w:val="zh-CN"/>
        </w:rPr>
        <w:t>外力（沿</w:t>
      </w:r>
      <w:r>
        <w:rPr>
          <w:rFonts w:hint="eastAsia" w:ascii="宋体" w:hAnsi="宋体" w:eastAsia="宋体" w:cs="宋体"/>
          <w:color w:val="auto"/>
          <w:kern w:val="0"/>
          <w:sz w:val="24"/>
          <w:szCs w:val="24"/>
          <w:highlight w:val="none"/>
        </w:rPr>
        <w:t>X</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Y</w:t>
      </w:r>
      <w:r>
        <w:rPr>
          <w:rFonts w:hint="eastAsia" w:ascii="宋体" w:hAnsi="宋体" w:eastAsia="宋体" w:cs="宋体"/>
          <w:color w:val="auto"/>
          <w:kern w:val="0"/>
          <w:sz w:val="24"/>
          <w:szCs w:val="24"/>
          <w:highlight w:val="none"/>
          <w:lang w:val="zh-CN"/>
        </w:rPr>
        <w:t>轴两个方向的水平外力）的作用反复</w:t>
      </w:r>
      <w:r>
        <w:rPr>
          <w:rFonts w:hint="eastAsia" w:ascii="宋体" w:hAnsi="宋体" w:eastAsia="宋体" w:cs="宋体"/>
          <w:color w:val="auto"/>
          <w:kern w:val="0"/>
          <w:sz w:val="24"/>
          <w:szCs w:val="24"/>
          <w:highlight w:val="none"/>
        </w:rPr>
        <w:t>100</w:t>
      </w:r>
      <w:r>
        <w:rPr>
          <w:rFonts w:hint="eastAsia" w:ascii="宋体" w:hAnsi="宋体" w:eastAsia="宋体" w:cs="宋体"/>
          <w:color w:val="auto"/>
          <w:kern w:val="0"/>
          <w:sz w:val="24"/>
          <w:szCs w:val="24"/>
          <w:highlight w:val="none"/>
          <w:lang w:val="zh-CN"/>
        </w:rPr>
        <w:t>次后，取消外力，架体所产生的倾斜不大于总高的</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，支架、立柱无明显的变形。</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15、</w:t>
      </w:r>
      <w:r>
        <w:rPr>
          <w:rFonts w:hint="eastAsia" w:ascii="宋体" w:hAnsi="宋体" w:eastAsia="宋体" w:cs="宋体"/>
          <w:color w:val="auto"/>
          <w:kern w:val="0"/>
          <w:sz w:val="24"/>
          <w:szCs w:val="24"/>
          <w:highlight w:val="none"/>
          <w:lang w:val="zh-CN"/>
        </w:rPr>
        <w:t>外观质量要求</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）密集架架体外观应精美、线条流畅、操作应轻便灵活、运行平稳，并应是组合装配，便于搬迁和拆卸。各零件、组合件表面应光滑平整，不得有尖角、凸起。</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）颜色按用户要求，表面经静电喷粉，高温塑化处理，色泽应一致，喷涂无死角，漆面应均匀光滑、无划痕。</w:t>
      </w:r>
    </w:p>
    <w:p>
      <w:pPr>
        <w:autoSpaceDE w:val="0"/>
        <w:autoSpaceDN w:val="0"/>
        <w:ind w:firstLine="482" w:firstLineChars="200"/>
        <w:jc w:val="left"/>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以下材料中的冷轧钢板，均应选用冷轧钢板。</w:t>
      </w:r>
    </w:p>
    <w:tbl>
      <w:tblPr>
        <w:tblStyle w:val="23"/>
        <w:tblW w:w="9638" w:type="dxa"/>
        <w:jc w:val="center"/>
        <w:tblLayout w:type="autofit"/>
        <w:tblCellMar>
          <w:top w:w="0" w:type="dxa"/>
          <w:left w:w="108" w:type="dxa"/>
          <w:bottom w:w="0" w:type="dxa"/>
          <w:right w:w="108" w:type="dxa"/>
        </w:tblCellMar>
      </w:tblPr>
      <w:tblGrid>
        <w:gridCol w:w="1203"/>
        <w:gridCol w:w="644"/>
        <w:gridCol w:w="943"/>
        <w:gridCol w:w="1628"/>
        <w:gridCol w:w="1967"/>
        <w:gridCol w:w="3253"/>
      </w:tblGrid>
      <w:tr>
        <w:tblPrEx>
          <w:tblCellMar>
            <w:top w:w="0" w:type="dxa"/>
            <w:left w:w="108" w:type="dxa"/>
            <w:bottom w:w="0" w:type="dxa"/>
            <w:right w:w="108" w:type="dxa"/>
          </w:tblCellMar>
        </w:tblPrEx>
        <w:trPr>
          <w:trHeight w:val="90" w:hRule="atLeast"/>
          <w:jc w:val="center"/>
        </w:trPr>
        <w:tc>
          <w:tcPr>
            <w:tcW w:w="624"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设备名称</w:t>
            </w:r>
          </w:p>
        </w:tc>
        <w:tc>
          <w:tcPr>
            <w:tcW w:w="823" w:type="pct"/>
            <w:gridSpan w:val="2"/>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设备配置</w:t>
            </w:r>
          </w:p>
        </w:tc>
        <w:tc>
          <w:tcPr>
            <w:tcW w:w="844"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材料</w:t>
            </w:r>
          </w:p>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规格</w:t>
            </w:r>
          </w:p>
        </w:tc>
        <w:tc>
          <w:tcPr>
            <w:tcW w:w="1020"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技术参数</w:t>
            </w:r>
          </w:p>
        </w:tc>
        <w:tc>
          <w:tcPr>
            <w:tcW w:w="168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性能说明</w:t>
            </w:r>
          </w:p>
        </w:tc>
      </w:tr>
      <w:tr>
        <w:tblPrEx>
          <w:tblCellMar>
            <w:top w:w="0" w:type="dxa"/>
            <w:left w:w="108" w:type="dxa"/>
            <w:bottom w:w="0" w:type="dxa"/>
            <w:right w:w="108" w:type="dxa"/>
          </w:tblCellMar>
        </w:tblPrEx>
        <w:trPr>
          <w:trHeight w:val="90" w:hRule="atLeast"/>
          <w:jc w:val="center"/>
        </w:trPr>
        <w:tc>
          <w:tcPr>
            <w:tcW w:w="624"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轨道</w:t>
            </w:r>
          </w:p>
        </w:tc>
        <w:tc>
          <w:tcPr>
            <w:tcW w:w="823" w:type="pct"/>
            <w:gridSpan w:val="2"/>
            <w:tcBorders>
              <w:top w:val="single" w:color="000000" w:sz="4" w:space="0"/>
              <w:left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snapToGrid/>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齿条轨道</w:t>
            </w:r>
          </w:p>
        </w:tc>
        <w:tc>
          <w:tcPr>
            <w:tcW w:w="844" w:type="pct"/>
            <w:tcBorders>
              <w:top w:val="single" w:color="000000" w:sz="4" w:space="0"/>
              <w:left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snapToGrid/>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20*40MM</w:t>
            </w:r>
          </w:p>
        </w:tc>
        <w:tc>
          <w:tcPr>
            <w:tcW w:w="1020" w:type="pct"/>
            <w:tcBorders>
              <w:top w:val="single" w:color="000000" w:sz="4" w:space="0"/>
              <w:left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实心</w:t>
            </w:r>
          </w:p>
          <w:p>
            <w:pPr>
              <w:keepNext w:val="0"/>
              <w:keepLines w:val="0"/>
              <w:pageBreakBefore w:val="0"/>
              <w:widowControl w:val="0"/>
              <w:kinsoku/>
              <w:wordWrap w:val="0"/>
              <w:overflowPunct/>
              <w:topLinePunct/>
              <w:autoSpaceDE w:val="0"/>
              <w:autoSpaceDN w:val="0"/>
              <w:bidi w:val="0"/>
              <w:snapToGrid/>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方钢</w:t>
            </w:r>
          </w:p>
        </w:tc>
        <w:tc>
          <w:tcPr>
            <w:tcW w:w="168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autoSpaceDE w:val="0"/>
              <w:autoSpaceDN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稳定性强、承载力大</w:t>
            </w:r>
          </w:p>
          <w:p>
            <w:pPr>
              <w:keepNext w:val="0"/>
              <w:keepLines w:val="0"/>
              <w:pageBreakBefore w:val="0"/>
              <w:widowControl w:val="0"/>
              <w:kinsoku/>
              <w:wordWrap w:val="0"/>
              <w:overflowPunct/>
              <w:topLinePunct/>
              <w:autoSpaceDE w:val="0"/>
              <w:autoSpaceDN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轨道按技术要求精加工后表面经磷化处理</w:t>
            </w:r>
          </w:p>
        </w:tc>
      </w:tr>
      <w:tr>
        <w:tblPrEx>
          <w:tblCellMar>
            <w:top w:w="0" w:type="dxa"/>
            <w:left w:w="108" w:type="dxa"/>
            <w:bottom w:w="0" w:type="dxa"/>
            <w:right w:w="108" w:type="dxa"/>
          </w:tblCellMar>
        </w:tblPrEx>
        <w:trPr>
          <w:trHeight w:val="90" w:hRule="atLeast"/>
          <w:jc w:val="center"/>
        </w:trPr>
        <w:tc>
          <w:tcPr>
            <w:tcW w:w="624"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底盘</w:t>
            </w:r>
          </w:p>
        </w:tc>
        <w:tc>
          <w:tcPr>
            <w:tcW w:w="823" w:type="pct"/>
            <w:gridSpan w:val="2"/>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底梁、</w:t>
            </w:r>
          </w:p>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轴承档</w:t>
            </w:r>
          </w:p>
        </w:tc>
        <w:tc>
          <w:tcPr>
            <w:tcW w:w="844"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MM</w:t>
            </w:r>
          </w:p>
        </w:tc>
        <w:tc>
          <w:tcPr>
            <w:tcW w:w="1020"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冷轧钢板</w:t>
            </w:r>
          </w:p>
        </w:tc>
        <w:tc>
          <w:tcPr>
            <w:tcW w:w="168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底盘采用整体焊接，刚性足，不变形，表面喷塑，分段式结构。</w:t>
            </w:r>
          </w:p>
        </w:tc>
      </w:tr>
      <w:tr>
        <w:tblPrEx>
          <w:tblCellMar>
            <w:top w:w="0" w:type="dxa"/>
            <w:left w:w="108" w:type="dxa"/>
            <w:bottom w:w="0" w:type="dxa"/>
            <w:right w:w="108" w:type="dxa"/>
          </w:tblCellMar>
        </w:tblPrEx>
        <w:trPr>
          <w:trHeight w:val="671" w:hRule="atLeast"/>
          <w:jc w:val="center"/>
        </w:trPr>
        <w:tc>
          <w:tcPr>
            <w:tcW w:w="624" w:type="pct"/>
            <w:vMerge w:val="restar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架体</w:t>
            </w:r>
          </w:p>
        </w:tc>
        <w:tc>
          <w:tcPr>
            <w:tcW w:w="823" w:type="pct"/>
            <w:gridSpan w:val="2"/>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立柱</w:t>
            </w:r>
          </w:p>
        </w:tc>
        <w:tc>
          <w:tcPr>
            <w:tcW w:w="844"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MM</w:t>
            </w:r>
          </w:p>
        </w:tc>
        <w:tc>
          <w:tcPr>
            <w:tcW w:w="1020"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冷轧钢板</w:t>
            </w:r>
          </w:p>
        </w:tc>
        <w:tc>
          <w:tcPr>
            <w:tcW w:w="168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结构坚固合理、</w:t>
            </w:r>
          </w:p>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美观大方不变形。</w:t>
            </w:r>
          </w:p>
        </w:tc>
      </w:tr>
      <w:tr>
        <w:tblPrEx>
          <w:tblCellMar>
            <w:top w:w="0" w:type="dxa"/>
            <w:left w:w="108" w:type="dxa"/>
            <w:bottom w:w="0" w:type="dxa"/>
            <w:right w:w="108" w:type="dxa"/>
          </w:tblCellMar>
        </w:tblPrEx>
        <w:trPr>
          <w:trHeight w:val="57" w:hRule="atLeast"/>
          <w:jc w:val="center"/>
        </w:trPr>
        <w:tc>
          <w:tcPr>
            <w:tcW w:w="624" w:type="pct"/>
            <w:vMerge w:val="continue"/>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p>
        </w:tc>
        <w:tc>
          <w:tcPr>
            <w:tcW w:w="823" w:type="pct"/>
            <w:gridSpan w:val="2"/>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搁板</w:t>
            </w:r>
          </w:p>
        </w:tc>
        <w:tc>
          <w:tcPr>
            <w:tcW w:w="844"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MM</w:t>
            </w:r>
          </w:p>
        </w:tc>
        <w:tc>
          <w:tcPr>
            <w:tcW w:w="1020"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冷轧钢板</w:t>
            </w:r>
          </w:p>
        </w:tc>
        <w:tc>
          <w:tcPr>
            <w:tcW w:w="1687"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架体结实</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坚固</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设备新颖</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安装规范</w:t>
            </w:r>
            <w:r>
              <w:rPr>
                <w:rFonts w:hint="eastAsia" w:ascii="宋体" w:hAnsi="宋体" w:eastAsia="宋体" w:cs="宋体"/>
                <w:color w:val="auto"/>
                <w:kern w:val="0"/>
                <w:sz w:val="24"/>
                <w:szCs w:val="24"/>
                <w:highlight w:val="none"/>
              </w:rPr>
              <w:t>,</w:t>
            </w:r>
          </w:p>
        </w:tc>
      </w:tr>
      <w:tr>
        <w:tblPrEx>
          <w:tblCellMar>
            <w:top w:w="0" w:type="dxa"/>
            <w:left w:w="108" w:type="dxa"/>
            <w:bottom w:w="0" w:type="dxa"/>
            <w:right w:w="108" w:type="dxa"/>
          </w:tblCellMar>
        </w:tblPrEx>
        <w:trPr>
          <w:trHeight w:val="57" w:hRule="atLeast"/>
          <w:jc w:val="center"/>
        </w:trPr>
        <w:tc>
          <w:tcPr>
            <w:tcW w:w="624" w:type="pct"/>
            <w:vMerge w:val="continue"/>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p>
        </w:tc>
        <w:tc>
          <w:tcPr>
            <w:tcW w:w="823" w:type="pct"/>
            <w:gridSpan w:val="2"/>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挂板</w:t>
            </w:r>
          </w:p>
        </w:tc>
        <w:tc>
          <w:tcPr>
            <w:tcW w:w="844"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1.0MM</w:t>
            </w:r>
          </w:p>
        </w:tc>
        <w:tc>
          <w:tcPr>
            <w:tcW w:w="1020"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冷轧钢板</w:t>
            </w:r>
          </w:p>
        </w:tc>
        <w:tc>
          <w:tcPr>
            <w:tcW w:w="168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kern w:val="0"/>
                <w:sz w:val="24"/>
                <w:szCs w:val="24"/>
                <w:highlight w:val="none"/>
                <w:lang w:val="zh-CN"/>
              </w:rPr>
            </w:pPr>
          </w:p>
        </w:tc>
      </w:tr>
      <w:tr>
        <w:tblPrEx>
          <w:tblCellMar>
            <w:top w:w="0" w:type="dxa"/>
            <w:left w:w="108" w:type="dxa"/>
            <w:bottom w:w="0" w:type="dxa"/>
            <w:right w:w="108" w:type="dxa"/>
          </w:tblCellMar>
        </w:tblPrEx>
        <w:trPr>
          <w:trHeight w:val="533" w:hRule="atLeast"/>
          <w:jc w:val="center"/>
        </w:trPr>
        <w:tc>
          <w:tcPr>
            <w:tcW w:w="624" w:type="pct"/>
            <w:vMerge w:val="restar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门面</w:t>
            </w:r>
          </w:p>
        </w:tc>
        <w:tc>
          <w:tcPr>
            <w:tcW w:w="823" w:type="pct"/>
            <w:gridSpan w:val="2"/>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门板</w:t>
            </w:r>
          </w:p>
        </w:tc>
        <w:tc>
          <w:tcPr>
            <w:tcW w:w="844"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MM</w:t>
            </w:r>
          </w:p>
        </w:tc>
        <w:tc>
          <w:tcPr>
            <w:tcW w:w="1020"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冷轧钢板</w:t>
            </w:r>
          </w:p>
        </w:tc>
        <w:tc>
          <w:tcPr>
            <w:tcW w:w="1687"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门面</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款式新颖</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表面喷塑</w:t>
            </w:r>
          </w:p>
        </w:tc>
      </w:tr>
      <w:tr>
        <w:tblPrEx>
          <w:tblCellMar>
            <w:top w:w="0" w:type="dxa"/>
            <w:left w:w="108" w:type="dxa"/>
            <w:bottom w:w="0" w:type="dxa"/>
            <w:right w:w="108" w:type="dxa"/>
          </w:tblCellMar>
        </w:tblPrEx>
        <w:trPr>
          <w:trHeight w:val="57" w:hRule="atLeast"/>
          <w:jc w:val="center"/>
        </w:trPr>
        <w:tc>
          <w:tcPr>
            <w:tcW w:w="624" w:type="pct"/>
            <w:vMerge w:val="continue"/>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p>
        </w:tc>
        <w:tc>
          <w:tcPr>
            <w:tcW w:w="823" w:type="pct"/>
            <w:gridSpan w:val="2"/>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门框</w:t>
            </w:r>
          </w:p>
        </w:tc>
        <w:tc>
          <w:tcPr>
            <w:tcW w:w="844"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MM</w:t>
            </w:r>
          </w:p>
        </w:tc>
        <w:tc>
          <w:tcPr>
            <w:tcW w:w="1020"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冷轧钢板</w:t>
            </w:r>
          </w:p>
        </w:tc>
        <w:tc>
          <w:tcPr>
            <w:tcW w:w="168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kern w:val="0"/>
                <w:sz w:val="24"/>
                <w:szCs w:val="24"/>
                <w:highlight w:val="none"/>
                <w:lang w:val="zh-CN"/>
              </w:rPr>
            </w:pPr>
          </w:p>
        </w:tc>
      </w:tr>
      <w:tr>
        <w:tblPrEx>
          <w:tblCellMar>
            <w:top w:w="0" w:type="dxa"/>
            <w:left w:w="108" w:type="dxa"/>
            <w:bottom w:w="0" w:type="dxa"/>
            <w:right w:w="108" w:type="dxa"/>
          </w:tblCellMar>
        </w:tblPrEx>
        <w:trPr>
          <w:trHeight w:val="57" w:hRule="atLeast"/>
          <w:jc w:val="center"/>
        </w:trPr>
        <w:tc>
          <w:tcPr>
            <w:tcW w:w="624" w:type="pct"/>
            <w:tcBorders>
              <w:top w:val="single" w:color="000000" w:sz="4" w:space="0"/>
              <w:left w:val="single" w:color="000000" w:sz="4" w:space="0"/>
              <w:bottom w:val="single" w:color="auto"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侧护板</w:t>
            </w:r>
          </w:p>
        </w:tc>
        <w:tc>
          <w:tcPr>
            <w:tcW w:w="823" w:type="pct"/>
            <w:gridSpan w:val="2"/>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侧板</w:t>
            </w:r>
          </w:p>
        </w:tc>
        <w:tc>
          <w:tcPr>
            <w:tcW w:w="844"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MM</w:t>
            </w:r>
          </w:p>
        </w:tc>
        <w:tc>
          <w:tcPr>
            <w:tcW w:w="1020"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overflowPunct/>
              <w:autoSpaceDE w:val="0"/>
              <w:autoSpaceDN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Cs/>
                <w:color w:val="auto"/>
                <w:sz w:val="24"/>
                <w:szCs w:val="24"/>
                <w:highlight w:val="none"/>
              </w:rPr>
              <w:t>冷轧钢板</w:t>
            </w:r>
          </w:p>
        </w:tc>
        <w:tc>
          <w:tcPr>
            <w:tcW w:w="1687" w:type="pct"/>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overflowPunct/>
              <w:autoSpaceDE w:val="0"/>
              <w:autoSpaceDN w:val="0"/>
              <w:bidi w:val="0"/>
              <w:snapToGrid/>
              <w:spacing w:line="240" w:lineRule="auto"/>
              <w:ind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侧板为冷轧钢板，整体双色区分视觉效果更好。</w:t>
            </w:r>
          </w:p>
        </w:tc>
      </w:tr>
      <w:tr>
        <w:tblPrEx>
          <w:tblCellMar>
            <w:top w:w="0" w:type="dxa"/>
            <w:left w:w="108" w:type="dxa"/>
            <w:bottom w:w="0" w:type="dxa"/>
            <w:right w:w="108" w:type="dxa"/>
          </w:tblCellMar>
        </w:tblPrEx>
        <w:trPr>
          <w:trHeight w:val="57" w:hRule="atLeast"/>
          <w:jc w:val="center"/>
        </w:trPr>
        <w:tc>
          <w:tcPr>
            <w:tcW w:w="624" w:type="pct"/>
            <w:vMerge w:val="restar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传动机构</w:t>
            </w:r>
          </w:p>
        </w:tc>
        <w:tc>
          <w:tcPr>
            <w:tcW w:w="823" w:type="pct"/>
            <w:gridSpan w:val="2"/>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轴承</w:t>
            </w:r>
          </w:p>
        </w:tc>
        <w:tc>
          <w:tcPr>
            <w:tcW w:w="844"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P204</w:t>
            </w:r>
          </w:p>
        </w:tc>
        <w:tc>
          <w:tcPr>
            <w:tcW w:w="1020"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双排滚珠</w:t>
            </w:r>
          </w:p>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调心轴承</w:t>
            </w:r>
          </w:p>
        </w:tc>
        <w:tc>
          <w:tcPr>
            <w:tcW w:w="168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精密度高</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万向灵活</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材料质量好</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耐压与耐磨性能好</w:t>
            </w:r>
          </w:p>
        </w:tc>
      </w:tr>
      <w:tr>
        <w:tblPrEx>
          <w:tblCellMar>
            <w:top w:w="0" w:type="dxa"/>
            <w:left w:w="108" w:type="dxa"/>
            <w:bottom w:w="0" w:type="dxa"/>
            <w:right w:w="108" w:type="dxa"/>
          </w:tblCellMar>
        </w:tblPrEx>
        <w:trPr>
          <w:trHeight w:val="57" w:hRule="atLeast"/>
          <w:jc w:val="center"/>
        </w:trPr>
        <w:tc>
          <w:tcPr>
            <w:tcW w:w="624" w:type="pct"/>
            <w:vMerge w:val="continue"/>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p>
        </w:tc>
        <w:tc>
          <w:tcPr>
            <w:tcW w:w="823" w:type="pct"/>
            <w:gridSpan w:val="2"/>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传动轴</w:t>
            </w:r>
          </w:p>
        </w:tc>
        <w:tc>
          <w:tcPr>
            <w:tcW w:w="844"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Φ2</w:t>
            </w:r>
            <w:r>
              <w:rPr>
                <w:rFonts w:hint="eastAsia" w:ascii="宋体" w:hAnsi="宋体" w:eastAsia="宋体" w:cs="宋体"/>
                <w:color w:val="auto"/>
                <w:kern w:val="0"/>
                <w:sz w:val="24"/>
                <w:szCs w:val="24"/>
                <w:highlight w:val="none"/>
              </w:rPr>
              <w:t>0</w:t>
            </w:r>
          </w:p>
        </w:tc>
        <w:tc>
          <w:tcPr>
            <w:tcW w:w="1020"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45#</w:t>
            </w:r>
            <w:r>
              <w:rPr>
                <w:rFonts w:hint="eastAsia" w:ascii="宋体" w:hAnsi="宋体" w:eastAsia="宋体" w:cs="宋体"/>
                <w:color w:val="auto"/>
                <w:kern w:val="0"/>
                <w:sz w:val="24"/>
                <w:szCs w:val="24"/>
                <w:highlight w:val="none"/>
                <w:lang w:val="zh-CN"/>
              </w:rPr>
              <w:t>精钢</w:t>
            </w:r>
          </w:p>
        </w:tc>
        <w:tc>
          <w:tcPr>
            <w:tcW w:w="1687" w:type="pct"/>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传动机构配合精密度高</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定位可靠</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传动轻便灵活</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摇手轻</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运行平稳性能达到和超过国家标准</w:t>
            </w:r>
          </w:p>
        </w:tc>
      </w:tr>
      <w:tr>
        <w:tblPrEx>
          <w:tblCellMar>
            <w:top w:w="0" w:type="dxa"/>
            <w:left w:w="108" w:type="dxa"/>
            <w:bottom w:w="0" w:type="dxa"/>
            <w:right w:w="108" w:type="dxa"/>
          </w:tblCellMar>
        </w:tblPrEx>
        <w:trPr>
          <w:trHeight w:val="57" w:hRule="atLeast"/>
          <w:jc w:val="center"/>
        </w:trPr>
        <w:tc>
          <w:tcPr>
            <w:tcW w:w="624" w:type="pct"/>
            <w:vMerge w:val="continue"/>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p>
        </w:tc>
        <w:tc>
          <w:tcPr>
            <w:tcW w:w="823" w:type="pct"/>
            <w:gridSpan w:val="2"/>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连接钢管</w:t>
            </w:r>
          </w:p>
        </w:tc>
        <w:tc>
          <w:tcPr>
            <w:tcW w:w="844"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Φ25*</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5</w:t>
            </w:r>
          </w:p>
        </w:tc>
        <w:tc>
          <w:tcPr>
            <w:tcW w:w="1020"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连接钢管</w:t>
            </w:r>
          </w:p>
        </w:tc>
        <w:tc>
          <w:tcPr>
            <w:tcW w:w="1687" w:type="pct"/>
            <w:vMerge w:val="continue"/>
            <w:tcBorders>
              <w:left w:val="single" w:color="000000" w:sz="4" w:space="0"/>
              <w:right w:val="single" w:color="000000" w:sz="4"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kern w:val="0"/>
                <w:sz w:val="24"/>
                <w:szCs w:val="24"/>
                <w:highlight w:val="none"/>
                <w:lang w:val="zh-CN"/>
              </w:rPr>
            </w:pPr>
          </w:p>
        </w:tc>
      </w:tr>
      <w:tr>
        <w:trPr>
          <w:trHeight w:val="57" w:hRule="atLeast"/>
          <w:jc w:val="center"/>
        </w:trPr>
        <w:tc>
          <w:tcPr>
            <w:tcW w:w="624" w:type="pct"/>
            <w:vMerge w:val="continue"/>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p>
        </w:tc>
        <w:tc>
          <w:tcPr>
            <w:tcW w:w="823" w:type="pct"/>
            <w:gridSpan w:val="2"/>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铁滚轮</w:t>
            </w:r>
          </w:p>
        </w:tc>
        <w:tc>
          <w:tcPr>
            <w:tcW w:w="844"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HT200</w:t>
            </w:r>
            <w:r>
              <w:rPr>
                <w:rFonts w:hint="eastAsia" w:ascii="宋体" w:hAnsi="宋体" w:eastAsia="宋体" w:cs="宋体"/>
                <w:color w:val="auto"/>
                <w:kern w:val="0"/>
                <w:sz w:val="24"/>
                <w:szCs w:val="24"/>
                <w:highlight w:val="none"/>
                <w:lang w:val="zh-CN"/>
              </w:rPr>
              <w:t>铸铁</w:t>
            </w:r>
          </w:p>
        </w:tc>
        <w:tc>
          <w:tcPr>
            <w:tcW w:w="1020"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p>
        </w:tc>
        <w:tc>
          <w:tcPr>
            <w:tcW w:w="1687" w:type="pct"/>
            <w:vMerge w:val="continue"/>
            <w:tcBorders>
              <w:left w:val="single" w:color="000000" w:sz="4" w:space="0"/>
              <w:right w:val="single" w:color="000000" w:sz="4"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kern w:val="0"/>
                <w:sz w:val="24"/>
                <w:szCs w:val="24"/>
                <w:highlight w:val="none"/>
                <w:lang w:val="zh-CN"/>
              </w:rPr>
            </w:pPr>
          </w:p>
        </w:tc>
      </w:tr>
      <w:tr>
        <w:tblPrEx>
          <w:tblCellMar>
            <w:top w:w="0" w:type="dxa"/>
            <w:left w:w="108" w:type="dxa"/>
            <w:bottom w:w="0" w:type="dxa"/>
            <w:right w:w="108" w:type="dxa"/>
          </w:tblCellMar>
        </w:tblPrEx>
        <w:trPr>
          <w:trHeight w:val="442" w:hRule="atLeast"/>
          <w:jc w:val="center"/>
        </w:trPr>
        <w:tc>
          <w:tcPr>
            <w:tcW w:w="624" w:type="pct"/>
            <w:vMerge w:val="continue"/>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p>
        </w:tc>
        <w:tc>
          <w:tcPr>
            <w:tcW w:w="823" w:type="pct"/>
            <w:gridSpan w:val="2"/>
            <w:tcBorders>
              <w:top w:val="single" w:color="000000" w:sz="4" w:space="0"/>
              <w:left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凸台</w:t>
            </w:r>
          </w:p>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传动齿轮</w:t>
            </w:r>
          </w:p>
        </w:tc>
        <w:tc>
          <w:tcPr>
            <w:tcW w:w="844" w:type="pct"/>
            <w:tcBorders>
              <w:top w:val="single" w:color="000000" w:sz="4" w:space="0"/>
              <w:left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Φ</w:t>
            </w:r>
            <w:r>
              <w:rPr>
                <w:rFonts w:hint="eastAsia" w:ascii="宋体" w:hAnsi="宋体" w:eastAsia="宋体" w:cs="宋体"/>
                <w:color w:val="auto"/>
                <w:kern w:val="0"/>
                <w:sz w:val="24"/>
                <w:szCs w:val="24"/>
                <w:highlight w:val="none"/>
              </w:rPr>
              <w:t>132</w:t>
            </w:r>
          </w:p>
        </w:tc>
        <w:tc>
          <w:tcPr>
            <w:tcW w:w="1020" w:type="pct"/>
            <w:tcBorders>
              <w:top w:val="single" w:color="000000" w:sz="4" w:space="0"/>
              <w:left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冷轧钢板</w:t>
            </w:r>
          </w:p>
        </w:tc>
        <w:tc>
          <w:tcPr>
            <w:tcW w:w="1687" w:type="pct"/>
            <w:vMerge w:val="continue"/>
            <w:tcBorders>
              <w:left w:val="single" w:color="000000" w:sz="4" w:space="0"/>
              <w:right w:val="single" w:color="000000" w:sz="4"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kern w:val="0"/>
                <w:sz w:val="24"/>
                <w:szCs w:val="24"/>
                <w:highlight w:val="none"/>
                <w:lang w:val="zh-CN"/>
              </w:rPr>
            </w:pPr>
          </w:p>
        </w:tc>
      </w:tr>
      <w:tr>
        <w:tblPrEx>
          <w:tblCellMar>
            <w:top w:w="0" w:type="dxa"/>
            <w:left w:w="108" w:type="dxa"/>
            <w:bottom w:w="0" w:type="dxa"/>
            <w:right w:w="108" w:type="dxa"/>
          </w:tblCellMar>
        </w:tblPrEx>
        <w:trPr>
          <w:trHeight w:val="57" w:hRule="atLeast"/>
          <w:jc w:val="center"/>
        </w:trPr>
        <w:tc>
          <w:tcPr>
            <w:tcW w:w="624" w:type="pct"/>
            <w:vMerge w:val="continue"/>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p>
        </w:tc>
        <w:tc>
          <w:tcPr>
            <w:tcW w:w="334" w:type="pct"/>
            <w:vMerge w:val="restar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摇手体总成</w:t>
            </w:r>
          </w:p>
        </w:tc>
        <w:tc>
          <w:tcPr>
            <w:tcW w:w="489"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摇手体</w:t>
            </w:r>
          </w:p>
        </w:tc>
        <w:tc>
          <w:tcPr>
            <w:tcW w:w="844"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ZG45</w:t>
            </w:r>
          </w:p>
        </w:tc>
        <w:tc>
          <w:tcPr>
            <w:tcW w:w="1020" w:type="pct"/>
            <w:vMerge w:val="restar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双向超越离合器结构</w:t>
            </w:r>
          </w:p>
        </w:tc>
        <w:tc>
          <w:tcPr>
            <w:tcW w:w="1687"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造型美观大方</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手感舒适</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把手为折叠式</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可避免通道障碍</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摇动任意一列不会带动其它把手</w:t>
            </w:r>
          </w:p>
        </w:tc>
      </w:tr>
      <w:tr>
        <w:tblPrEx>
          <w:tblCellMar>
            <w:top w:w="0" w:type="dxa"/>
            <w:left w:w="108" w:type="dxa"/>
            <w:bottom w:w="0" w:type="dxa"/>
            <w:right w:w="108" w:type="dxa"/>
          </w:tblCellMar>
        </w:tblPrEx>
        <w:trPr>
          <w:trHeight w:val="925" w:hRule="atLeast"/>
          <w:jc w:val="center"/>
        </w:trPr>
        <w:tc>
          <w:tcPr>
            <w:tcW w:w="624" w:type="pct"/>
            <w:vMerge w:val="continue"/>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p>
        </w:tc>
        <w:tc>
          <w:tcPr>
            <w:tcW w:w="334" w:type="pct"/>
            <w:vMerge w:val="continue"/>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p>
        </w:tc>
        <w:tc>
          <w:tcPr>
            <w:tcW w:w="489"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滚珠</w:t>
            </w:r>
          </w:p>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轴承</w:t>
            </w:r>
          </w:p>
        </w:tc>
        <w:tc>
          <w:tcPr>
            <w:tcW w:w="844"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p>
        </w:tc>
        <w:tc>
          <w:tcPr>
            <w:tcW w:w="1020" w:type="pct"/>
            <w:vMerge w:val="continue"/>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p>
        </w:tc>
        <w:tc>
          <w:tcPr>
            <w:tcW w:w="168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kern w:val="0"/>
                <w:sz w:val="24"/>
                <w:szCs w:val="24"/>
                <w:highlight w:val="none"/>
                <w:lang w:val="zh-CN"/>
              </w:rPr>
            </w:pPr>
          </w:p>
        </w:tc>
      </w:tr>
      <w:tr>
        <w:trPr>
          <w:trHeight w:val="57" w:hRule="atLeast"/>
          <w:jc w:val="center"/>
        </w:trPr>
        <w:tc>
          <w:tcPr>
            <w:tcW w:w="624" w:type="pct"/>
            <w:vMerge w:val="restar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制动装置</w:t>
            </w:r>
          </w:p>
        </w:tc>
        <w:tc>
          <w:tcPr>
            <w:tcW w:w="823" w:type="pct"/>
            <w:gridSpan w:val="2"/>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侧列</w:t>
            </w:r>
          </w:p>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锁定装置</w:t>
            </w:r>
          </w:p>
        </w:tc>
        <w:tc>
          <w:tcPr>
            <w:tcW w:w="844"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808</w:t>
            </w:r>
            <w:r>
              <w:rPr>
                <w:rFonts w:hint="eastAsia" w:ascii="宋体" w:hAnsi="宋体" w:eastAsia="宋体" w:cs="宋体"/>
                <w:color w:val="auto"/>
                <w:kern w:val="0"/>
                <w:sz w:val="24"/>
                <w:szCs w:val="24"/>
                <w:highlight w:val="none"/>
                <w:lang w:val="zh-CN"/>
              </w:rPr>
              <w:t>锁</w:t>
            </w:r>
          </w:p>
        </w:tc>
        <w:tc>
          <w:tcPr>
            <w:tcW w:w="1020"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p>
        </w:tc>
        <w:tc>
          <w:tcPr>
            <w:tcW w:w="1687"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每列均装有制动装置</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磁性密封条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操作方便</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制动可靠</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使用存取安全</w:t>
            </w:r>
          </w:p>
        </w:tc>
      </w:tr>
      <w:tr>
        <w:tblPrEx>
          <w:tblCellMar>
            <w:top w:w="0" w:type="dxa"/>
            <w:left w:w="108" w:type="dxa"/>
            <w:bottom w:w="0" w:type="dxa"/>
            <w:right w:w="108" w:type="dxa"/>
          </w:tblCellMar>
        </w:tblPrEx>
        <w:trPr>
          <w:trHeight w:val="907" w:hRule="atLeast"/>
          <w:jc w:val="center"/>
        </w:trPr>
        <w:tc>
          <w:tcPr>
            <w:tcW w:w="624" w:type="pct"/>
            <w:vMerge w:val="continue"/>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p>
        </w:tc>
        <w:tc>
          <w:tcPr>
            <w:tcW w:w="823" w:type="pct"/>
            <w:gridSpan w:val="2"/>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中列</w:t>
            </w:r>
          </w:p>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制动装置</w:t>
            </w:r>
          </w:p>
        </w:tc>
        <w:tc>
          <w:tcPr>
            <w:tcW w:w="844"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p>
        </w:tc>
        <w:tc>
          <w:tcPr>
            <w:tcW w:w="1020"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p>
        </w:tc>
        <w:tc>
          <w:tcPr>
            <w:tcW w:w="168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kern w:val="0"/>
                <w:sz w:val="24"/>
                <w:szCs w:val="24"/>
                <w:highlight w:val="none"/>
                <w:lang w:val="zh-CN"/>
              </w:rPr>
            </w:pPr>
          </w:p>
        </w:tc>
      </w:tr>
      <w:tr>
        <w:tblPrEx>
          <w:tblCellMar>
            <w:top w:w="0" w:type="dxa"/>
            <w:left w:w="108" w:type="dxa"/>
            <w:bottom w:w="0" w:type="dxa"/>
            <w:right w:w="108" w:type="dxa"/>
          </w:tblCellMar>
        </w:tblPrEx>
        <w:trPr>
          <w:trHeight w:val="57" w:hRule="atLeast"/>
          <w:jc w:val="center"/>
        </w:trPr>
        <w:tc>
          <w:tcPr>
            <w:tcW w:w="624" w:type="pct"/>
            <w:vMerge w:val="restar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防护装置</w:t>
            </w:r>
          </w:p>
        </w:tc>
        <w:tc>
          <w:tcPr>
            <w:tcW w:w="823" w:type="pct"/>
            <w:gridSpan w:val="2"/>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防震</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防尘装置</w:t>
            </w:r>
          </w:p>
        </w:tc>
        <w:tc>
          <w:tcPr>
            <w:tcW w:w="844"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20MM</w:t>
            </w:r>
          </w:p>
        </w:tc>
        <w:tc>
          <w:tcPr>
            <w:tcW w:w="1020"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磁性冰箱门吸条</w:t>
            </w:r>
          </w:p>
        </w:tc>
        <w:tc>
          <w:tcPr>
            <w:tcW w:w="1687"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每列的接触面均有缓冲及密封装置</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具有良好的防震</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防尘</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防鼠</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防光</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防潮</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防火功能</w:t>
            </w:r>
          </w:p>
        </w:tc>
      </w:tr>
      <w:tr>
        <w:tblPrEx>
          <w:tblCellMar>
            <w:top w:w="0" w:type="dxa"/>
            <w:left w:w="108" w:type="dxa"/>
            <w:bottom w:w="0" w:type="dxa"/>
            <w:right w:w="108" w:type="dxa"/>
          </w:tblCellMar>
        </w:tblPrEx>
        <w:trPr>
          <w:trHeight w:val="57" w:hRule="atLeast"/>
          <w:jc w:val="center"/>
        </w:trPr>
        <w:tc>
          <w:tcPr>
            <w:tcW w:w="624" w:type="pct"/>
            <w:vMerge w:val="continue"/>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p>
        </w:tc>
        <w:tc>
          <w:tcPr>
            <w:tcW w:w="823" w:type="pct"/>
            <w:gridSpan w:val="2"/>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顶板</w:t>
            </w:r>
          </w:p>
        </w:tc>
        <w:tc>
          <w:tcPr>
            <w:tcW w:w="844"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MM</w:t>
            </w:r>
          </w:p>
        </w:tc>
        <w:tc>
          <w:tcPr>
            <w:tcW w:w="1020"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冷轧钢板</w:t>
            </w:r>
          </w:p>
        </w:tc>
        <w:tc>
          <w:tcPr>
            <w:tcW w:w="168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kern w:val="0"/>
                <w:sz w:val="24"/>
                <w:szCs w:val="24"/>
                <w:highlight w:val="none"/>
                <w:lang w:val="zh-CN"/>
              </w:rPr>
            </w:pPr>
          </w:p>
        </w:tc>
      </w:tr>
      <w:tr>
        <w:trPr>
          <w:trHeight w:val="57" w:hRule="atLeast"/>
          <w:jc w:val="center"/>
        </w:trPr>
        <w:tc>
          <w:tcPr>
            <w:tcW w:w="624" w:type="pct"/>
            <w:vMerge w:val="continue"/>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p>
        </w:tc>
        <w:tc>
          <w:tcPr>
            <w:tcW w:w="823" w:type="pct"/>
            <w:gridSpan w:val="2"/>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防尘板、</w:t>
            </w:r>
          </w:p>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防鼠板</w:t>
            </w:r>
          </w:p>
        </w:tc>
        <w:tc>
          <w:tcPr>
            <w:tcW w:w="844"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0.8MM</w:t>
            </w:r>
          </w:p>
        </w:tc>
        <w:tc>
          <w:tcPr>
            <w:tcW w:w="1020"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冷轧钢板</w:t>
            </w:r>
          </w:p>
        </w:tc>
        <w:tc>
          <w:tcPr>
            <w:tcW w:w="168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kern w:val="0"/>
                <w:sz w:val="24"/>
                <w:szCs w:val="24"/>
                <w:highlight w:val="none"/>
                <w:lang w:val="zh-CN"/>
              </w:rPr>
            </w:pPr>
          </w:p>
        </w:tc>
      </w:tr>
      <w:tr>
        <w:tblPrEx>
          <w:tblCellMar>
            <w:top w:w="0" w:type="dxa"/>
            <w:left w:w="108" w:type="dxa"/>
            <w:bottom w:w="0" w:type="dxa"/>
            <w:right w:w="108" w:type="dxa"/>
          </w:tblCellMar>
        </w:tblPrEx>
        <w:trPr>
          <w:trHeight w:val="90" w:hRule="atLeast"/>
          <w:jc w:val="center"/>
        </w:trPr>
        <w:tc>
          <w:tcPr>
            <w:tcW w:w="624" w:type="pct"/>
            <w:vMerge w:val="continue"/>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p>
        </w:tc>
        <w:tc>
          <w:tcPr>
            <w:tcW w:w="823" w:type="pct"/>
            <w:gridSpan w:val="2"/>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防倾倒装置</w:t>
            </w:r>
          </w:p>
        </w:tc>
        <w:tc>
          <w:tcPr>
            <w:tcW w:w="844"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MM</w:t>
            </w:r>
          </w:p>
        </w:tc>
        <w:tc>
          <w:tcPr>
            <w:tcW w:w="1020"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冷轧钢板</w:t>
            </w:r>
          </w:p>
        </w:tc>
        <w:tc>
          <w:tcPr>
            <w:tcW w:w="168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kern w:val="0"/>
                <w:sz w:val="24"/>
                <w:szCs w:val="24"/>
                <w:highlight w:val="none"/>
                <w:lang w:val="zh-CN"/>
              </w:rPr>
            </w:pPr>
          </w:p>
        </w:tc>
      </w:tr>
      <w:tr>
        <w:tblPrEx>
          <w:tblCellMar>
            <w:top w:w="0" w:type="dxa"/>
            <w:left w:w="108" w:type="dxa"/>
            <w:bottom w:w="0" w:type="dxa"/>
            <w:right w:w="108" w:type="dxa"/>
          </w:tblCellMar>
        </w:tblPrEx>
        <w:trPr>
          <w:trHeight w:val="812" w:hRule="atLeast"/>
          <w:jc w:val="center"/>
        </w:trPr>
        <w:tc>
          <w:tcPr>
            <w:tcW w:w="624"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表面处理</w:t>
            </w:r>
          </w:p>
        </w:tc>
        <w:tc>
          <w:tcPr>
            <w:tcW w:w="823" w:type="pct"/>
            <w:gridSpan w:val="2"/>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前处理</w:t>
            </w:r>
          </w:p>
        </w:tc>
        <w:tc>
          <w:tcPr>
            <w:tcW w:w="844"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p>
        </w:tc>
        <w:tc>
          <w:tcPr>
            <w:tcW w:w="1020" w:type="pct"/>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center"/>
              <w:textAlignment w:val="auto"/>
              <w:rPr>
                <w:rFonts w:hint="eastAsia" w:ascii="宋体" w:hAnsi="宋体" w:eastAsia="宋体" w:cs="宋体"/>
                <w:color w:val="auto"/>
                <w:kern w:val="0"/>
                <w:sz w:val="24"/>
                <w:szCs w:val="24"/>
                <w:highlight w:val="none"/>
                <w:lang w:val="zh-CN"/>
              </w:rPr>
            </w:pPr>
          </w:p>
        </w:tc>
        <w:tc>
          <w:tcPr>
            <w:tcW w:w="168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采用塑粉进行喷塑，表面光整，美观大方。</w:t>
            </w:r>
          </w:p>
        </w:tc>
      </w:tr>
    </w:tbl>
    <w:p>
      <w:pPr>
        <w:bidi w:val="0"/>
        <w:outlineLvl w:val="9"/>
        <w:rPr>
          <w:rFonts w:hint="eastAsia" w:ascii="宋体" w:hAnsi="宋体" w:eastAsia="宋体" w:cs="宋体"/>
          <w:sz w:val="24"/>
          <w:szCs w:val="24"/>
        </w:rPr>
      </w:pPr>
      <w:bookmarkStart w:id="203" w:name="_Toc1976"/>
      <w:r>
        <w:rPr>
          <w:rFonts w:hint="eastAsia" w:ascii="宋体" w:hAnsi="宋体" w:eastAsia="宋体" w:cs="宋体"/>
          <w:sz w:val="24"/>
          <w:szCs w:val="24"/>
          <w:lang w:val="en-US" w:eastAsia="zh-CN"/>
        </w:rPr>
        <w:t>1.</w:t>
      </w:r>
      <w:r>
        <w:rPr>
          <w:rFonts w:hint="eastAsia" w:ascii="宋体" w:hAnsi="宋体" w:eastAsia="宋体" w:cs="宋体"/>
          <w:sz w:val="24"/>
          <w:szCs w:val="24"/>
        </w:rPr>
        <w:t>智能密集架系统技术及功能要求</w:t>
      </w:r>
      <w:bookmarkEnd w:id="203"/>
    </w:p>
    <w:tbl>
      <w:tblPr>
        <w:tblStyle w:val="2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798"/>
        <w:gridCol w:w="1678"/>
        <w:gridCol w:w="6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功能</w:t>
            </w:r>
          </w:p>
        </w:tc>
        <w:tc>
          <w:tcPr>
            <w:tcW w:w="7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基本</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功能</w:t>
            </w: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1</w:t>
            </w:r>
          </w:p>
        </w:tc>
        <w:tc>
          <w:tcPr>
            <w:tcW w:w="1678"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身份信息验证功能</w:t>
            </w:r>
          </w:p>
        </w:tc>
        <w:tc>
          <w:tcPr>
            <w:tcW w:w="6374"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可在固定列上输入用户名和密码、绘制图案密码、指纹识别、人脸识别方式进行身份信息验证；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2</w:t>
            </w:r>
          </w:p>
        </w:tc>
        <w:tc>
          <w:tcPr>
            <w:tcW w:w="1678"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自检功能</w:t>
            </w:r>
          </w:p>
        </w:tc>
        <w:tc>
          <w:tcPr>
            <w:tcW w:w="6374"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固定列和活动列具有通电自检功能；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3</w:t>
            </w:r>
          </w:p>
        </w:tc>
        <w:tc>
          <w:tcPr>
            <w:tcW w:w="1678"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信息显示功能</w:t>
            </w:r>
          </w:p>
        </w:tc>
        <w:tc>
          <w:tcPr>
            <w:tcW w:w="6374"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可在固定列触摸屏上显示时间、区号、列号、温湿度曲线、档案在库数量、借出数量、侧边红外对射传感器是否被触发、活动列在线状态、左/右侧档案类型等信息;</w:t>
            </w:r>
          </w:p>
          <w:p>
            <w:pPr>
              <w:pStyle w:val="8"/>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可在活动列触摸屏上显示温湿度、区号、列号、档案标签、左/右侧档案类型、左/右各层、节的档案数、档案在库数量、借出数量、固定列在线状态、进入通道内人员数量、侧边红外对射传感器是否被触发；</w:t>
            </w:r>
          </w:p>
          <w:p>
            <w:pPr>
              <w:pStyle w:val="8"/>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可在管理平台上显示温湿度曲线、固定列、活动列在线状态；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4</w:t>
            </w:r>
          </w:p>
        </w:tc>
        <w:tc>
          <w:tcPr>
            <w:tcW w:w="1678"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人机交互</w:t>
            </w:r>
          </w:p>
        </w:tc>
        <w:tc>
          <w:tcPr>
            <w:tcW w:w="6374"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固定列人机界面：固定列采用12寸工控触摸一体机，所有模块采取前置式安装方式；安装固定后与钣金侧面板紧密贴合；</w:t>
            </w:r>
          </w:p>
          <w:p>
            <w:pPr>
              <w:pStyle w:val="8"/>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活动列人机界面：移动列选用8寸嵌入式设计的彩色液晶触摸屏；触摸屏安装固定后与钣金侧面板紧密贴合；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5</w:t>
            </w:r>
          </w:p>
        </w:tc>
        <w:tc>
          <w:tcPr>
            <w:tcW w:w="1678"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架内人数统计</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显示进出架体的人员数量，当架内有人时，控制架体禁止运行，且有语音提示；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6</w:t>
            </w:r>
          </w:p>
        </w:tc>
        <w:tc>
          <w:tcPr>
            <w:tcW w:w="1678"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档案查询3D可视化定位指引功能</w:t>
            </w:r>
          </w:p>
        </w:tc>
        <w:tc>
          <w:tcPr>
            <w:tcW w:w="6374" w:type="dxa"/>
            <w:noWrap w:val="0"/>
            <w:vAlign w:val="center"/>
          </w:tcPr>
          <w:p>
            <w:pPr>
              <w:keepNext w:val="0"/>
              <w:keepLines w:val="0"/>
              <w:pageBreakBefore w:val="0"/>
              <w:widowControl w:val="0"/>
              <w:kinsoku/>
              <w:wordWrap/>
              <w:overflowPunct/>
              <w:topLinePunct w:val="0"/>
              <w:autoSpaceDE/>
              <w:autoSpaceDN/>
              <w:bidi w:val="0"/>
              <w:spacing w:line="240" w:lineRule="auto"/>
              <w:ind w:left="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支持模糊查询和精确查询两种模式，通过主界面的查询按钮进入查询界面，输入名称或编号信息，系统会检索并显示所有信息相关的资料，选中所要查看的资料，点击“打开”按钮，系统会3D动态显示资料所在层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7</w:t>
            </w:r>
          </w:p>
        </w:tc>
        <w:tc>
          <w:tcPr>
            <w:tcW w:w="1678"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档案取出任务指引功能</w:t>
            </w:r>
          </w:p>
        </w:tc>
        <w:tc>
          <w:tcPr>
            <w:tcW w:w="6374" w:type="dxa"/>
            <w:noWrap w:val="0"/>
            <w:vAlign w:val="center"/>
          </w:tcPr>
          <w:p>
            <w:pPr>
              <w:keepNext w:val="0"/>
              <w:keepLines w:val="0"/>
              <w:pageBreakBefore w:val="0"/>
              <w:widowControl w:val="0"/>
              <w:kinsoku/>
              <w:wordWrap/>
              <w:overflowPunct/>
              <w:topLinePunct w:val="0"/>
              <w:autoSpaceDE/>
              <w:autoSpaceDN/>
              <w:bidi w:val="0"/>
              <w:spacing w:line="240" w:lineRule="auto"/>
              <w:ind w:left="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当收到服务器发起的下架任务，显示屏自动跳转到3D下架指引界面；显示下架档案信息名称、编号、位置信息，完成下架后点击下架完成，结束下架指引。</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8</w:t>
            </w:r>
          </w:p>
        </w:tc>
        <w:tc>
          <w:tcPr>
            <w:tcW w:w="1678"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可视化视图</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选择任一列密集架左面或右面标签，显示该面各节、各层存放的资料数，并有档案在库总数以及档案借出总数统计；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9</w:t>
            </w:r>
          </w:p>
        </w:tc>
        <w:tc>
          <w:tcPr>
            <w:tcW w:w="1678"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多通道打开</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当固定列在中间时，可实现打开左面某一列的同时，操作固定列右面的某一列，也可执行打开动作，两边的动作同时进行；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10</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电机驱动功能</w:t>
            </w:r>
          </w:p>
        </w:tc>
        <w:tc>
          <w:tcPr>
            <w:tcW w:w="6374"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可通过活动列内置DC24V直流电机驱动活动列在滑轨上左/右移动；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11</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档案查询功能</w:t>
            </w:r>
          </w:p>
        </w:tc>
        <w:tc>
          <w:tcPr>
            <w:tcW w:w="6374"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可通过管理平台、固定列、活动列触摸屏上按档案名称及编号查询和显示档案所在的区、列、节、层的位置信息及是否在库；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12</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档案标签设置功能</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可通过管理平台设置档案标签进行下发；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13</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活动列控制功能</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可在活动列触摸屏上对活动列进行左/右移动、锁定和解锁控制;</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可在固定列触摸屏上进行开架、闭架、通风及停止控制;</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可在管理平台对活动列进行左/右移动、开架、闭架、通风及停止控制;</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可通过滑动屏幕方式对活动列进行左/右移动、通风、闭架和停止控制，并可在固定列触摸屏上开启或关闭滑动屏幕功能;</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可通过手动摇把对活动列进行左/右移动控制；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14</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LED数码显示管显示功能</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可在活动列、固定列上LED数码显示管上显示区号/列号，活动列LED上数码显示管上给出移动方向指示，并可在活动列触摸屏上设置列号；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15</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移动速度自动调节功能</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活动列在滑轨上由启动至停止的过程中，可自动调节移动速度，合拢时应自动减速，不应出现架体碰撞等现象。活动列移动开启1个80cm宽的通道的时间应不大于10s；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16</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照明控制功能</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可通过活动列触摸屏开启LED 照明灯，当检测到有人员进入活动列移动形成的通道后，LED照明灯应自动开启。当活动列闭架后，LED照明灯由开启状态转为关闭状态；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17</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公告信息显示功能</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可在固定列触摸屏上开启或关闭显示公告信息显示功能；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18</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活动列自动开架功能</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在固定列、活动列触摸屏上查询到档案后，档案所在的固定列或活动列触摸屏上以图形形式显示档案所在层、节位置，同时自动开架，并给出档案存放位置的语音提示；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19</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档案下架设置功能</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通过管理平台设置下架任务后，可在档案所在的固定列或活动列触摸屏上显示待下架的档案名称、 编号及以图形方式显示档案所在的位置信息；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20</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待机功能</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固定列、活动列具有无人操作自动待机功能，并可在固定列触摸展上设置无人操作待机时间；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21</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语音设置功能</w:t>
            </w:r>
          </w:p>
        </w:tc>
        <w:tc>
          <w:tcPr>
            <w:tcW w:w="6374"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固定列内置扬声器可给出活动列移动、停止、锁定的语音提示，并可在固定列触摸屏上设置输出语音音量大小和切换男音/女音模式； </w:t>
            </w:r>
          </w:p>
          <w:p>
            <w:pPr>
              <w:pStyle w:val="8"/>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可在固定列上通过语音识别方式控制开架、闭架、通风、停止、锁定，解锁、待机及唤醒;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22</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自动闭架功能</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可按设定的无人操作闭架时间自动闭架，并可在固定列触摸屏上设置无人操作自动闭架时间；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23</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自动通风功能</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可按设定的湿度阈值和时长自动开架通风；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24</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日志记录功能</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可在固定列上记录和显示操作日志；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25</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参数设置功能</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可在固定列触摸屏上设置日期、时间、温湿度上/下限值、电机转速以及固定列、管理平台的IP地址等参数可在管理平台上对温湿度上/下限值、库号、区号、列号进行设置；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26</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固定列用户管理功能</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可添加、删除登录固定列的用户；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27</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固件升级功能</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可通过固定列上外接USB存储设备或管理平台对固定列、活动列进行固件升级；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28</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电机行程初始化设置功能</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固定列和活动列初始上电后，可按实际移动距离对电机行程进行初始化设置；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档案</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管理</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功能</w:t>
            </w: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29</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用户管理功能</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在管理平台上具有超级管理员、管理员、操作员三种用户类别，并可设置相应的用户登录密码；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30</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分区管理功能</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可在管理平台上将固定列、活动列按区进行划分；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31</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档案管理功能</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可通过管理平台录入档案名称、编号;可在管理平台上对指定的档案进行入库、上架、借阅、归还，删除并下发;可通过管理平台导入或导出档案记录;可通过管理平台添加档案类别；可通过管理平台按列显示档案在库和出库数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32</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电子档案管理功能</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可在管理平台上添加、删除和修改电子档案，并可显示电子档案内容；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33</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统计数据显示功能</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可在管理平台上显示档案列数、档案总数、在库数、出库数、密集架利用率、在库率、出库率、新录入、待下架、已下架、未上架，已上架和已借出档案数量等统计数据；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34</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定位开架及取档功能</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通过查找档案功能找到档案执行下架，系统自动下发要下架的档案资料信息，资料所在列以3D形式展示档案所在位置，用户根据提示取档；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35</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系统具备统计功能</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可针对环境、档案、借阅记录、归还记录、报警信息、操作日志进行统计并且可对统计数据、图表数据进行导出；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36</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实时监测功能；</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管理软件具有库房一体化功能，拥有库房环境监测、智能密集架控制、档案管理各功能模块；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安全防护功能</w:t>
            </w: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37</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人员计数功能</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当有人员进入活动列形成的通道触发人员出入检测红外传感器后，活动列自动进入锁定状态，在活动列触摸屏上显示进入人员数量，并通过LED数码显示管闪烁形式给出相应指示，同时给出相应的语音提示，当人员退出活动列形成的通道后，活动列应自动解除锁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38</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侧边红外传感功能</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当活动列侧边红外对射传感器被触发后，活动列由解锁状态自动进入锁定状态；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39</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到位检测功能</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闭架时可通过非接触传感器检测活动列之间或活动列、固定列之间的移动到位状态；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40</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外力迫停</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活动列在闭架过程中受到一定大小与移动方向相反的作用力后，应能停止移动；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41</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智能安全的</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一体化设计</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智能控制部分充分考虑用电安全，智能控制板、开关电源安装在标准化设计的控制盒中，供电电源采用防水电源卡侬插头；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42</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安全可靠</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的供电连接</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智能控制器供电插头，采用标准卡侬防水插头，触点采用尽快铍铜并镀银，增加电流稳定性及有效的温升控制。卡扣锁死式设计，有效防止震动造成的接触问题。同时触点都在插头内侧，杜绝了人体触碰到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43</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绝缘电阻</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安全防范报警设备的电源插头或电源引入端与外壳裸露金属部件之间的绝缘电阻，经相对湿热度为91%~95%、温度为40℃、48h的受潮预处理后，加强绝缘的设备不小于5MΩ，基本绝缘的设备不小于2MΩ，Ⅲ 类设备不小于1MΩ。</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工作电压超过500V的设备，上述绝缘电阻的阻值数应来以一个系数，该系数等于工作电压除以500V；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en-US" w:eastAsia="zh-CN" w:bidi="ar-SA"/>
              </w:rPr>
              <w:t>44</w:t>
            </w: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抗电强度</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安全防范报警设备的电源插头或电源引入端与外壳裸露金属部件之间，应能承受CB16796-2009中表1规定的45Hz - 65Hz交流电压的抗电强度试验，历时lmin应无击穿和飞弧现象；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8"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p>
        </w:tc>
        <w:tc>
          <w:tcPr>
            <w:tcW w:w="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center"/>
              <w:textAlignment w:val="auto"/>
              <w:rPr>
                <w:rFonts w:hint="eastAsia" w:ascii="宋体" w:hAnsi="宋体" w:eastAsia="宋体" w:cs="宋体"/>
                <w:bCs/>
                <w:color w:val="auto"/>
                <w:sz w:val="24"/>
                <w:szCs w:val="24"/>
                <w:highlight w:val="none"/>
              </w:rPr>
            </w:pP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泄漏电流</w:t>
            </w:r>
          </w:p>
        </w:tc>
        <w:tc>
          <w:tcPr>
            <w:tcW w:w="6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I 、Ⅱ类设备工作时的泄漏电流应符合CB16796-2009中表2的规定，Ⅲ类设备不做泄漏电流检验； </w:t>
            </w:r>
          </w:p>
        </w:tc>
      </w:tr>
    </w:tbl>
    <w:p>
      <w:pPr>
        <w:ind w:left="0" w:leftChars="0" w:firstLine="0" w:firstLineChars="0"/>
        <w:rPr>
          <w:rFonts w:hint="eastAsia" w:ascii="宋体" w:hAnsi="宋体" w:eastAsia="宋体" w:cs="宋体"/>
          <w:b/>
          <w:bCs/>
          <w:sz w:val="24"/>
          <w:szCs w:val="24"/>
        </w:rPr>
      </w:pPr>
      <w:bookmarkStart w:id="204" w:name="_Toc7084"/>
      <w:bookmarkStart w:id="205" w:name="_Toc13620"/>
      <w:r>
        <w:rPr>
          <w:rFonts w:hint="eastAsia" w:ascii="宋体" w:hAnsi="宋体" w:eastAsia="宋体" w:cs="宋体"/>
          <w:b/>
          <w:bCs/>
          <w:sz w:val="24"/>
          <w:szCs w:val="24"/>
          <w:lang w:val="en-US" w:eastAsia="zh-CN"/>
        </w:rPr>
        <w:t>2.</w:t>
      </w:r>
      <w:r>
        <w:rPr>
          <w:rFonts w:hint="eastAsia" w:ascii="宋体" w:hAnsi="宋体" w:eastAsia="宋体" w:cs="宋体"/>
          <w:b/>
          <w:bCs/>
          <w:sz w:val="24"/>
          <w:szCs w:val="24"/>
        </w:rPr>
        <w:t>主要电气配件</w:t>
      </w:r>
      <w:bookmarkEnd w:id="204"/>
      <w:bookmarkEnd w:id="205"/>
    </w:p>
    <w:tbl>
      <w:tblPr>
        <w:tblStyle w:val="2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9"/>
        <w:gridCol w:w="5952"/>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部件名称</w:t>
            </w:r>
          </w:p>
        </w:tc>
        <w:tc>
          <w:tcPr>
            <w:tcW w:w="5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部件描述</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直流无刷电机</w:t>
            </w:r>
          </w:p>
        </w:tc>
        <w:tc>
          <w:tcPr>
            <w:tcW w:w="5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24VDC,120W</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1台/列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智能密集架控制器</w:t>
            </w:r>
          </w:p>
        </w:tc>
        <w:tc>
          <w:tcPr>
            <w:tcW w:w="5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智能控制板、开关电源安装在标准化设计的控制盒中，供电电源采用防水电源卡侬插头，保证安全； </w:t>
            </w:r>
          </w:p>
          <w:p>
            <w:pPr>
              <w:pStyle w:val="9"/>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highlight w:val="none"/>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1套/列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开关电源</w:t>
            </w:r>
          </w:p>
        </w:tc>
        <w:tc>
          <w:tcPr>
            <w:tcW w:w="5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24V</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1套/列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接近开关</w:t>
            </w:r>
          </w:p>
        </w:tc>
        <w:tc>
          <w:tcPr>
            <w:tcW w:w="5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电感式</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1套/列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配套线缆</w:t>
            </w:r>
          </w:p>
        </w:tc>
        <w:tc>
          <w:tcPr>
            <w:tcW w:w="5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国标</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1套/列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固定列触摸屏一体机</w:t>
            </w:r>
          </w:p>
        </w:tc>
        <w:tc>
          <w:tcPr>
            <w:tcW w:w="5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12寸电容触摸显示屏，分辨率1024*768dpi</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移动列液晶屏</w:t>
            </w:r>
          </w:p>
        </w:tc>
        <w:tc>
          <w:tcPr>
            <w:tcW w:w="5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8寸彩色触摸屏，分辨率800×600dpi </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1套/列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列显</w:t>
            </w:r>
          </w:p>
        </w:tc>
        <w:tc>
          <w:tcPr>
            <w:tcW w:w="5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1.8寸； 2位</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1套/列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漏电保护器</w:t>
            </w:r>
          </w:p>
        </w:tc>
        <w:tc>
          <w:tcPr>
            <w:tcW w:w="5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32A</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电源开关</w:t>
            </w:r>
          </w:p>
        </w:tc>
        <w:tc>
          <w:tcPr>
            <w:tcW w:w="5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双常开触点</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温湿度变送器</w:t>
            </w:r>
          </w:p>
        </w:tc>
        <w:tc>
          <w:tcPr>
            <w:tcW w:w="5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温度：±0.4℃，湿度：±3%</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红外安全保护装置</w:t>
            </w:r>
          </w:p>
        </w:tc>
        <w:tc>
          <w:tcPr>
            <w:tcW w:w="5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保护人员安全</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1对/列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人员计数模块</w:t>
            </w:r>
          </w:p>
        </w:tc>
        <w:tc>
          <w:tcPr>
            <w:tcW w:w="5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检测架内人员</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1套/列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供电插头</w:t>
            </w:r>
          </w:p>
        </w:tc>
        <w:tc>
          <w:tcPr>
            <w:tcW w:w="5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触点采用外表铍铜并镀银，增加电流稳定性及有效的温升控制。卡扣锁死式设计，有效防止震动造成的接触问题。</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1套/列</w:t>
            </w:r>
          </w:p>
        </w:tc>
      </w:tr>
    </w:tbl>
    <w:p>
      <w:pPr>
        <w:rPr>
          <w:rFonts w:hint="eastAsia" w:ascii="宋体" w:hAnsi="宋体" w:eastAsia="宋体" w:cs="宋体"/>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numPr>
          <w:ilvl w:val="1"/>
          <w:numId w:val="0"/>
        </w:numPr>
        <w:bidi w:val="0"/>
        <w:ind w:left="0" w:leftChars="0" w:firstLine="482" w:firstLineChars="200"/>
        <w:jc w:val="center"/>
        <w:rPr>
          <w:rFonts w:hint="eastAsia" w:ascii="宋体" w:hAnsi="宋体" w:eastAsia="宋体" w:cs="宋体"/>
          <w:sz w:val="24"/>
          <w:szCs w:val="24"/>
          <w:lang w:val="en-US" w:eastAsia="zh-CN"/>
        </w:rPr>
      </w:pPr>
      <w:r>
        <w:rPr>
          <w:rFonts w:hint="eastAsia" w:ascii="宋体" w:hAnsi="宋体" w:eastAsia="宋体" w:cs="宋体"/>
          <w:b/>
          <w:sz w:val="24"/>
          <w:szCs w:val="24"/>
          <w:lang w:val="en-US" w:eastAsia="zh-CN" w:bidi="ar-SA"/>
        </w:rPr>
        <w:t>（二）</w:t>
      </w:r>
      <w:r>
        <w:rPr>
          <w:rFonts w:hint="eastAsia" w:ascii="宋体" w:hAnsi="宋体" w:eastAsia="宋体" w:cs="宋体"/>
          <w:sz w:val="24"/>
          <w:szCs w:val="24"/>
          <w:lang w:val="en-US" w:eastAsia="zh-CN"/>
        </w:rPr>
        <w:t>办公桌</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1、材质：E0实木多层板，甲醛含量低，耐磨性高；</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2、五金配件：铝合金拉手、静音导轨、锁具；</w:t>
      </w:r>
    </w:p>
    <w:p>
      <w:pPr>
        <w:spacing w:line="360" w:lineRule="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供应商提供第三方检测机构（检测报告需带CMA标识）</w:t>
      </w:r>
      <w:r>
        <w:rPr>
          <w:rFonts w:hint="eastAsia" w:ascii="宋体" w:hAnsi="宋体" w:eastAsia="宋体" w:cs="宋体"/>
          <w:b w:val="0"/>
          <w:bCs w:val="0"/>
          <w:color w:val="auto"/>
          <w:sz w:val="24"/>
          <w:szCs w:val="24"/>
          <w:highlight w:val="none"/>
        </w:rPr>
        <w:t>出具的</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sz w:val="24"/>
          <w:szCs w:val="24"/>
          <w:lang w:val="en-US" w:eastAsia="zh-CN"/>
        </w:rPr>
        <w:t>实木多层板</w:t>
      </w:r>
      <w:r>
        <w:rPr>
          <w:rFonts w:hint="eastAsia" w:ascii="宋体" w:hAnsi="宋体" w:eastAsia="宋体" w:cs="宋体"/>
          <w:b w:val="0"/>
          <w:bCs w:val="0"/>
          <w:color w:val="auto"/>
          <w:sz w:val="24"/>
          <w:szCs w:val="24"/>
          <w:highlight w:val="none"/>
        </w:rPr>
        <w:t>》检测报告，</w:t>
      </w:r>
      <w:r>
        <w:rPr>
          <w:rFonts w:hint="eastAsia" w:ascii="宋体" w:hAnsi="宋体" w:eastAsia="宋体" w:cs="宋体"/>
          <w:b w:val="0"/>
          <w:bCs w:val="0"/>
          <w:color w:val="auto"/>
          <w:sz w:val="24"/>
          <w:szCs w:val="24"/>
          <w:highlight w:val="none"/>
          <w:lang w:val="zh-CN" w:eastAsia="zh-CN"/>
        </w:rPr>
        <w:t>符合检测依据GB 18580-2017《室内装饰装修材料 人造板及其制品中甲醛释放限量》、GB/T 17657-2013《人造板及饰面人造板理化性能试验方法》、GB/T 9846-2015《普通胶合板》、HJ571-2010《环境标志产品技术要求 人造板及其制品》、LY/T 3236-2020《人造板及其制品气味分级及其评价方法》、GB/T29899-2013《人造板及其制品中挥发性有机化合物释放量试验方法小型释放舱法》、LY/T 1926-2020《人造板与木(竹)制品抗菌性能检测与分级》、QB/T 2761-2006《室内空气净化产品净化效果测定方法》、GB/T 18204.2-2014《公共场所卫生检验方法 第2部分:化学污染物》；检测内容包括：①阔叶树材胶合板外质量：（针节、活节、半活节、死节、夹皮、半活节、死节、夹皮、木材异常结构、裂缝、虫孔、排钉孔、孔洞、变色、腐朽、树胶道、表板拼接离缝、表板叠层、芯板叠离、长中板叠离、鼓泡、分层、凹陷、压痕、鼓包、毛刺沟痕、表板砂透、透胶及其他人为污染、补片、补条、内含铝质书钉、板边缺损）均符合要求；②理化性能：（含水率平均值:8%~16%、合格试件数等于或大于有效试件总数的100%，胶合强度≥0.70Mpa、合格试件数等于或大于有效试件总数的100%，浸渍剥离试件均符合要求、合格试件数等于或大于有效试件总数的100%，静曲强度：顺纹≥27、合格试件数等于或大于有效试件总数的100%、横纹≥22、合格试件数等于或大于有效试件总数的100%，弹性模量：顺纹≥6000、合格试件数等于或大于有效试件总数的100%、横纹≥5130、合格试件数等于或大于有效试件总数的100%）均合格；③甲醛释放量≤0.053mg/m³，气味等级1级；总挥发性有机化合物 (TVOC)释放量（72h）≤0.1mg/㎡·h；④萘释放浓度≤2.5ug/m³；⑤抗菌性能：抗菌率≥99.99%；⑥去除率(甲醛)≥61.3%；</w:t>
      </w:r>
    </w:p>
    <w:p>
      <w:pPr>
        <w:spacing w:line="360" w:lineRule="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供应商提供第三方检测机构（检测报告需带CMA标识）</w:t>
      </w:r>
      <w:r>
        <w:rPr>
          <w:rFonts w:hint="eastAsia" w:ascii="宋体" w:hAnsi="宋体" w:eastAsia="宋体" w:cs="宋体"/>
          <w:b w:val="0"/>
          <w:bCs w:val="0"/>
          <w:color w:val="auto"/>
          <w:sz w:val="24"/>
          <w:szCs w:val="24"/>
          <w:highlight w:val="none"/>
        </w:rPr>
        <w:t>出具的</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sz w:val="24"/>
          <w:szCs w:val="24"/>
          <w:lang w:val="en-US" w:eastAsia="zh-CN"/>
        </w:rPr>
        <w:t>拉手</w:t>
      </w:r>
      <w:r>
        <w:rPr>
          <w:rFonts w:hint="eastAsia" w:ascii="宋体" w:hAnsi="宋体" w:eastAsia="宋体" w:cs="宋体"/>
          <w:b w:val="0"/>
          <w:bCs w:val="0"/>
          <w:color w:val="auto"/>
          <w:sz w:val="24"/>
          <w:szCs w:val="24"/>
          <w:highlight w:val="none"/>
        </w:rPr>
        <w:t>》检测报告，</w:t>
      </w:r>
      <w:r>
        <w:rPr>
          <w:rFonts w:hint="eastAsia" w:ascii="宋体" w:hAnsi="宋体" w:eastAsia="宋体" w:cs="宋体"/>
          <w:b w:val="0"/>
          <w:bCs w:val="0"/>
          <w:color w:val="auto"/>
          <w:sz w:val="24"/>
          <w:szCs w:val="24"/>
          <w:highlight w:val="none"/>
          <w:lang w:val="zh-CN" w:eastAsia="zh-CN"/>
        </w:rPr>
        <w:t>符合检测依据GB/T 3325-2017《金属家具通用技术条件》、GB/T 700-2006《碳素结构钢》、GB/T 35607-2017《绿色产品评价 家具》、GB/T 4336-2016《碳素钢和中低合金钢 多元素含量的测定 火花放电原子发射光谱法（常规法）》、GB/T 228.1-2021《金属材料拉伸试验第1部分：室温试验方法》；检测内容包括：①金属喷漆(塑)涂层理化性能：附着力不低于0级；耐腐蚀100h内，观察在溶液中样板上划道两侧3mm以外,应无鼓泡产生，100h后，检查划道两侧3mm外，应无锈迹、剥落、起皱、变色和失光等现象，符合要求；②家具涂层可迁移元素（铅、镉、铬、汞、锑、砷、钡、硒）均未检出；③化学成分：C≤0.02%、Si≤0.01%、Mn≤0.13%、P≤0.016%、S≤0.008%；④屈服强度≥260N/mm²、抗拉强度≥405~430N/mm²、断后伸长率≥46%；</w:t>
      </w:r>
    </w:p>
    <w:p>
      <w:pPr>
        <w:spacing w:line="360" w:lineRule="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供应商提供第三方检测机构（检测报告需带CMA标识）</w:t>
      </w:r>
      <w:r>
        <w:rPr>
          <w:rFonts w:hint="eastAsia" w:ascii="宋体" w:hAnsi="宋体" w:eastAsia="宋体" w:cs="宋体"/>
          <w:b w:val="0"/>
          <w:bCs w:val="0"/>
          <w:color w:val="auto"/>
          <w:sz w:val="24"/>
          <w:szCs w:val="24"/>
          <w:highlight w:val="none"/>
        </w:rPr>
        <w:t>出具的</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sz w:val="24"/>
          <w:szCs w:val="24"/>
          <w:lang w:val="en-US" w:eastAsia="zh-CN"/>
        </w:rPr>
        <w:t>导轨</w:t>
      </w:r>
      <w:r>
        <w:rPr>
          <w:rFonts w:hint="eastAsia" w:ascii="宋体" w:hAnsi="宋体" w:eastAsia="宋体" w:cs="宋体"/>
          <w:b w:val="0"/>
          <w:bCs w:val="0"/>
          <w:color w:val="auto"/>
          <w:sz w:val="24"/>
          <w:szCs w:val="24"/>
          <w:highlight w:val="none"/>
        </w:rPr>
        <w:t>》检测报告，</w:t>
      </w:r>
      <w:r>
        <w:rPr>
          <w:rFonts w:hint="eastAsia" w:ascii="宋体" w:hAnsi="宋体" w:eastAsia="宋体" w:cs="宋体"/>
          <w:b w:val="0"/>
          <w:bCs w:val="0"/>
          <w:color w:val="auto"/>
          <w:sz w:val="24"/>
          <w:szCs w:val="24"/>
          <w:highlight w:val="none"/>
          <w:lang w:val="zh-CN" w:eastAsia="zh-CN"/>
        </w:rPr>
        <w:t>符合检测依据GB/T 700-2006《碳素结构钢》、GB/T 4336-2016《碳素钢和中低合金钢 多元素含量的测定 火花放电原子发射光谱法(常规法)》、GB/T 35607-2017《绿色产品评价 家具》、QB/T 2454-2013《家具五金抽屉导轨》、GB/T 10125-2021《人造气氛腐蚀试验盐雾试验》、GB/T 6461-2002《金属基体上金属和其他无机覆盖层 经腐蚀试验后的试样和试件的评级》、QB/T 3826-1999《轻工产品金属镀层和化学处理层的耐腐蚀试验方法 中性盐雾试验(NSS)法》、QB/T 3832-1999《轻工产品金属镀层腐蚀试验结果的评价》、QB/T 4371-2012《家具抗菌性能的评价》；检测内容包含：①功能（垂直向下静载荷：200N，10次。无缺陷；水平侧向静载荷：100N、各5次。无缺陷；拉出安全性：循环加载10次，无缺陷；猛关或猛开，10次，无缺陷）均符合要求；②家具涂层可迁移元素（铅、镉、铬、汞、锑、砷、钡、硒）均未检出，均合格；③化学成分：C≤0.02%、Si≤0.01%、Mn≤0.13%、P≤0.016%、S≤0.008%，均合格；④铜加速乙酸盐雾（CASS）试验≥40小时后，外观评级10级，保护评级10级；中性盐雾试验≥40小时后，涂层本身耐腐蚀等级10级，涂层对基体保护等级10级；⑤抗菌性能：抑菌率≥99.93%。</w:t>
      </w:r>
    </w:p>
    <w:p>
      <w:pPr>
        <w:spacing w:line="360" w:lineRule="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供应商提供第三方检测机构（检测报告需带CMA标识）</w:t>
      </w:r>
      <w:r>
        <w:rPr>
          <w:rFonts w:hint="eastAsia" w:ascii="宋体" w:hAnsi="宋体" w:eastAsia="宋体" w:cs="宋体"/>
          <w:b w:val="0"/>
          <w:bCs w:val="0"/>
          <w:color w:val="auto"/>
          <w:sz w:val="24"/>
          <w:szCs w:val="24"/>
          <w:highlight w:val="none"/>
        </w:rPr>
        <w:t>出具的</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sz w:val="24"/>
          <w:szCs w:val="24"/>
          <w:lang w:val="en-US" w:eastAsia="zh-CN"/>
        </w:rPr>
        <w:t>锁具</w:t>
      </w:r>
      <w:r>
        <w:rPr>
          <w:rFonts w:hint="eastAsia" w:ascii="宋体" w:hAnsi="宋体" w:eastAsia="宋体" w:cs="宋体"/>
          <w:b w:val="0"/>
          <w:bCs w:val="0"/>
          <w:color w:val="auto"/>
          <w:sz w:val="24"/>
          <w:szCs w:val="24"/>
          <w:highlight w:val="none"/>
        </w:rPr>
        <w:t>》检测报告，</w:t>
      </w:r>
      <w:r>
        <w:rPr>
          <w:rFonts w:hint="eastAsia" w:ascii="宋体" w:hAnsi="宋体" w:eastAsia="宋体" w:cs="宋体"/>
          <w:b w:val="0"/>
          <w:bCs w:val="0"/>
          <w:color w:val="auto"/>
          <w:sz w:val="24"/>
          <w:szCs w:val="24"/>
          <w:highlight w:val="none"/>
          <w:lang w:val="zh-CN" w:eastAsia="zh-CN"/>
        </w:rPr>
        <w:t>符合检测依据GB 21556-2008《锁具安全通用技术条件》、QB/T 1621-2015《家具锁》；检测内容包括：①保密度：锁舌仲出长度≥10mm；②牢固度（锁头固定连接静拉力：锁头直径不小于20mm的，在承受200N静拉力后，应无松动；锁舌侧向静载荷：锁舌在承受200N侧向静载荷后，应能正常使用；弹子锁、叶片锁使用寿命：锁头直径不小于20mm的弹子锁,叶片锁，使用寿命不应少于20000次）均合格；③灵活度（钥匙插拔、旋转：钥匙插拔应灵活，无卡滞现象;钥匙插入锁芯旋转灵活，锁开、关无卡阻现象；钥匙拔出静拉力：弹子锁不应大于6N，叶片锁不应大于9N；钥匙开启扭矩≤0.38N/m）均合格；④外观质量（锁头、钥匙：锁头、钥匙表面应平整光洁，商标字迹应清晰、端正）符合要求；⑤（锁头结构：锁头结构应具有不少于1项的防拨安全装置；锁舌伸出长度：锁舌仲出长度不少于8mm；锁头固定连接静拉力：锁头直径不大于20mm，承受140N后，无松动；锁头固定连接扭矩：锁头直径不大于20mm，承受1.80N.m后，无松动；锁芯拔动件承受扭矩：锁芯拔动件在承受0.70N·m扭矩后，仍能正常使用；锁舌侧向静载荷试验：锁舌在承受200N侧向静载荷后，仍能正常使用；铆接件：各铆接件在承受200N静拉力后，仍能正常使用；使用寿命：锁头直径不大于20 mm，不少于5000次）均合格；</w:t>
      </w:r>
    </w:p>
    <w:p>
      <w:pPr>
        <w:pStyle w:val="3"/>
        <w:numPr>
          <w:ilvl w:val="1"/>
          <w:numId w:val="0"/>
        </w:numPr>
        <w:bidi w:val="0"/>
        <w:ind w:left="0" w:leftChars="0" w:firstLine="482" w:firstLineChars="200"/>
        <w:jc w:val="center"/>
        <w:rPr>
          <w:rFonts w:hint="eastAsia" w:ascii="宋体" w:hAnsi="宋体" w:eastAsia="宋体" w:cs="宋体"/>
          <w:sz w:val="24"/>
          <w:szCs w:val="24"/>
          <w:lang w:val="en-US" w:eastAsia="zh-CN"/>
        </w:rPr>
      </w:pPr>
      <w:r>
        <w:rPr>
          <w:rFonts w:hint="eastAsia" w:ascii="宋体" w:hAnsi="宋体" w:eastAsia="宋体" w:cs="宋体"/>
          <w:b/>
          <w:sz w:val="24"/>
          <w:szCs w:val="24"/>
          <w:lang w:val="en-US" w:eastAsia="zh-CN" w:bidi="ar-SA"/>
        </w:rPr>
        <w:t>（三）</w:t>
      </w:r>
      <w:r>
        <w:rPr>
          <w:rFonts w:hint="eastAsia" w:ascii="宋体" w:hAnsi="宋体" w:eastAsia="宋体" w:cs="宋体"/>
          <w:sz w:val="24"/>
          <w:szCs w:val="24"/>
          <w:lang w:val="en-US" w:eastAsia="zh-CN"/>
        </w:rPr>
        <w:t>办公椅</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（1）面料：面料选用西皮饰面，防潮、防污易清洁等，皮面更加柔软舒适，光泽持久性好，手感柔软，纹理细腻，富有弹性。</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（2）辅料：采用PU阻燃成型高密度泡绵，用抽纱或丝绒覆面，表面有防腐化和防变型保护膜，高强度蛇型拉力筋结构，能均匀承托负重，在常期负重状态下性能保持良好，耐久不变形，高回弹，耐冲击。</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（3）橡木实木脚架，采用五金配件，内架：实木框架，承托力不小于250KG。</w:t>
      </w:r>
    </w:p>
    <w:p>
      <w:pPr>
        <w:spacing w:line="360" w:lineRule="auto"/>
        <w:rPr>
          <w:rFonts w:hint="eastAsia" w:ascii="宋体" w:hAnsi="宋体" w:eastAsia="宋体" w:cs="宋体"/>
          <w:b/>
          <w:bCs/>
          <w:color w:val="auto"/>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供应商提供第三方检测机构（检测报告需带CMA标识）</w:t>
      </w:r>
      <w:r>
        <w:rPr>
          <w:rFonts w:hint="eastAsia" w:ascii="宋体" w:hAnsi="宋体" w:eastAsia="宋体" w:cs="宋体"/>
          <w:b w:val="0"/>
          <w:bCs w:val="0"/>
          <w:color w:val="auto"/>
          <w:sz w:val="24"/>
          <w:szCs w:val="24"/>
          <w:highlight w:val="none"/>
        </w:rPr>
        <w:t>出具的</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sz w:val="24"/>
          <w:szCs w:val="24"/>
          <w:lang w:val="en-US" w:eastAsia="zh-CN"/>
        </w:rPr>
        <w:t>海绵</w:t>
      </w:r>
      <w:r>
        <w:rPr>
          <w:rFonts w:hint="eastAsia" w:ascii="宋体" w:hAnsi="宋体" w:eastAsia="宋体" w:cs="宋体"/>
          <w:b w:val="0"/>
          <w:bCs w:val="0"/>
          <w:color w:val="auto"/>
          <w:sz w:val="24"/>
          <w:szCs w:val="24"/>
          <w:highlight w:val="none"/>
        </w:rPr>
        <w:t>》检测报告，</w:t>
      </w:r>
      <w:r>
        <w:rPr>
          <w:rFonts w:hint="eastAsia" w:ascii="宋体" w:hAnsi="宋体" w:eastAsia="宋体" w:cs="宋体"/>
          <w:b w:val="0"/>
          <w:bCs w:val="0"/>
          <w:color w:val="auto"/>
          <w:sz w:val="24"/>
          <w:szCs w:val="24"/>
          <w:highlight w:val="none"/>
          <w:lang w:val="zh-CN" w:eastAsia="zh-CN"/>
        </w:rPr>
        <w:t>符合检测依据GB 17927.1-2011.GB/T 10802-2023.GB/T 10807-2006，检测内容包括：①40%压陷硬度偏差≤+18,65%/25%压陷比的测定≥2.5,75%压缩永久变形%≤6,回弹率%≥43,拉伸强度kPa≥157，断裂伸长率%≥163,撕裂强度N/cm≥3.0,燃烧性能的测定：阻燃I级，通过香烟抗引燃特性试验,甲醛散发mg/kg≤3,表观密度偏差kg/m³≤0.1，均符合。②外观（色泽：颜色基本均匀，可有轻微杂色、黄芯；气孔：不应有尺寸大于6mm 的对穿孔和尺寸大于 10mm 的气孔；裂缝：每平方米内弥合裂缝总长不应小于100mm，最大裂缝长度应小于30mm，不应有不弥合裂缝；污渍：不应有严重污渍）均符合要求；③长度、宽度、厚度偏差的测定均符合；</w:t>
      </w:r>
    </w:p>
    <w:p>
      <w:pPr>
        <w:pStyle w:val="3"/>
        <w:numPr>
          <w:ilvl w:val="1"/>
          <w:numId w:val="0"/>
        </w:numPr>
        <w:bidi w:val="0"/>
        <w:ind w:left="0" w:leftChars="0" w:firstLine="482" w:firstLineChars="200"/>
        <w:jc w:val="center"/>
        <w:rPr>
          <w:rFonts w:hint="eastAsia" w:ascii="宋体" w:hAnsi="宋体" w:eastAsia="宋体" w:cs="宋体"/>
          <w:sz w:val="24"/>
          <w:szCs w:val="24"/>
          <w:lang w:val="en-US" w:eastAsia="zh-CN"/>
        </w:rPr>
      </w:pPr>
      <w:r>
        <w:rPr>
          <w:rFonts w:hint="eastAsia" w:ascii="宋体" w:hAnsi="宋体" w:eastAsia="宋体" w:cs="宋体"/>
          <w:b/>
          <w:sz w:val="24"/>
          <w:szCs w:val="24"/>
          <w:lang w:val="en-US" w:eastAsia="zh-CN" w:bidi="ar-SA"/>
        </w:rPr>
        <w:t>（四）</w:t>
      </w:r>
      <w:r>
        <w:rPr>
          <w:rFonts w:hint="eastAsia" w:ascii="宋体" w:hAnsi="宋体" w:eastAsia="宋体" w:cs="宋体"/>
          <w:sz w:val="24"/>
          <w:szCs w:val="24"/>
          <w:lang w:val="en-US" w:eastAsia="zh-CN"/>
        </w:rPr>
        <w:t>保密柜</w:t>
      </w:r>
    </w:p>
    <w:p>
      <w:pPr>
        <w:numPr>
          <w:ilvl w:val="0"/>
          <w:numId w:val="11"/>
        </w:numPr>
        <w:spacing w:line="360" w:lineRule="auto"/>
        <w:jc w:val="left"/>
        <w:rPr>
          <w:rFonts w:hint="eastAsia" w:ascii="宋体" w:hAnsi="宋体" w:eastAsia="宋体" w:cs="宋体"/>
          <w:sz w:val="24"/>
          <w:szCs w:val="24"/>
        </w:rPr>
      </w:pPr>
      <w:r>
        <w:rPr>
          <w:rFonts w:hint="eastAsia" w:ascii="宋体" w:hAnsi="宋体" w:eastAsia="宋体" w:cs="宋体"/>
          <w:sz w:val="24"/>
          <w:szCs w:val="24"/>
        </w:rPr>
        <w:t>材质：全</w:t>
      </w:r>
      <w:r>
        <w:rPr>
          <w:rFonts w:hint="eastAsia" w:ascii="宋体" w:hAnsi="宋体" w:eastAsia="宋体" w:cs="宋体"/>
          <w:sz w:val="24"/>
          <w:szCs w:val="24"/>
          <w:lang w:eastAsia="zh-CN"/>
        </w:rPr>
        <w:t>不锈钢</w:t>
      </w:r>
      <w:r>
        <w:rPr>
          <w:rFonts w:hint="eastAsia" w:ascii="宋体" w:hAnsi="宋体" w:eastAsia="宋体" w:cs="宋体"/>
          <w:sz w:val="24"/>
          <w:szCs w:val="24"/>
        </w:rPr>
        <w:t>制作，厚度 1.2mm。采用绿色健康环保涂料，通过国家环保认证。经过喷涂防锈处理，表面光洁亮丽，不脱落，不生锈。金属表面处理采用电泳底漆 加静电双重涂层技术，在金属管材经过酸洗防锈处理后，在管材内、外壁电泳上一层环 氧树脂保护膜，之后再进行外表静电粉末喷涂，以真正达到内外防锈</w:t>
      </w:r>
      <w:r>
        <w:rPr>
          <w:rFonts w:hint="eastAsia" w:ascii="宋体" w:hAnsi="宋体" w:eastAsia="宋体" w:cs="宋体"/>
          <w:sz w:val="24"/>
          <w:szCs w:val="24"/>
          <w:lang w:eastAsia="zh-CN"/>
        </w:rPr>
        <w:t>；</w:t>
      </w:r>
    </w:p>
    <w:p>
      <w:pPr>
        <w:numPr>
          <w:ilvl w:val="0"/>
          <w:numId w:val="11"/>
        </w:num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结构：由顶板、背板、侧板、门板、托板等组成</w:t>
      </w:r>
      <w:r>
        <w:rPr>
          <w:rFonts w:hint="eastAsia" w:ascii="宋体" w:hAnsi="宋体" w:eastAsia="宋体" w:cs="宋体"/>
          <w:sz w:val="24"/>
          <w:szCs w:val="24"/>
          <w:lang w:eastAsia="zh-CN"/>
        </w:rPr>
        <w:t>；</w:t>
      </w:r>
    </w:p>
    <w:p>
      <w:pPr>
        <w:numPr>
          <w:ilvl w:val="0"/>
          <w:numId w:val="11"/>
        </w:num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内托板：采用</w:t>
      </w:r>
      <w:r>
        <w:rPr>
          <w:rFonts w:hint="eastAsia" w:ascii="宋体" w:hAnsi="宋体" w:eastAsia="宋体" w:cs="宋体"/>
          <w:sz w:val="24"/>
          <w:szCs w:val="24"/>
          <w:lang w:eastAsia="zh-CN"/>
        </w:rPr>
        <w:t>不锈钢</w:t>
      </w:r>
      <w:r>
        <w:rPr>
          <w:rFonts w:hint="eastAsia" w:ascii="宋体" w:hAnsi="宋体" w:eastAsia="宋体" w:cs="宋体"/>
          <w:sz w:val="24"/>
          <w:szCs w:val="24"/>
        </w:rPr>
        <w:t>，厚度 1.0mm，底部加强筋，增强承重能力</w:t>
      </w:r>
      <w:r>
        <w:rPr>
          <w:rFonts w:hint="eastAsia" w:ascii="宋体" w:hAnsi="宋体" w:eastAsia="宋体" w:cs="宋体"/>
          <w:sz w:val="24"/>
          <w:szCs w:val="24"/>
          <w:lang w:eastAsia="zh-CN"/>
        </w:rPr>
        <w:t>；</w:t>
      </w:r>
    </w:p>
    <w:p>
      <w:pPr>
        <w:numPr>
          <w:ilvl w:val="0"/>
          <w:numId w:val="11"/>
        </w:numPr>
        <w:spacing w:line="360" w:lineRule="auto"/>
        <w:jc w:val="left"/>
        <w:rPr>
          <w:rFonts w:hint="eastAsia" w:ascii="宋体" w:hAnsi="宋体" w:eastAsia="宋体" w:cs="宋体"/>
          <w:sz w:val="24"/>
          <w:szCs w:val="24"/>
        </w:rPr>
      </w:pPr>
      <w:r>
        <w:rPr>
          <w:rFonts w:hint="eastAsia" w:ascii="宋体" w:hAnsi="宋体" w:eastAsia="宋体" w:cs="宋体"/>
          <w:sz w:val="24"/>
          <w:szCs w:val="24"/>
        </w:rPr>
        <w:t>门面：采用</w:t>
      </w:r>
      <w:r>
        <w:rPr>
          <w:rFonts w:hint="eastAsia" w:ascii="宋体" w:hAnsi="宋体" w:eastAsia="宋体" w:cs="宋体"/>
          <w:sz w:val="24"/>
          <w:szCs w:val="24"/>
          <w:lang w:eastAsia="zh-CN"/>
        </w:rPr>
        <w:t>不锈钢</w:t>
      </w:r>
      <w:r>
        <w:rPr>
          <w:rFonts w:hint="eastAsia" w:ascii="宋体" w:hAnsi="宋体" w:eastAsia="宋体" w:cs="宋体"/>
          <w:sz w:val="24"/>
          <w:szCs w:val="24"/>
        </w:rPr>
        <w:t>，门板内加强筋，门板带一把智能指纹密码锁，具有指纹开启、 密码开启、应急钥匙等多种开启方式</w:t>
      </w:r>
      <w:r>
        <w:rPr>
          <w:rFonts w:hint="eastAsia" w:ascii="宋体" w:hAnsi="宋体" w:eastAsia="宋体" w:cs="宋体"/>
          <w:sz w:val="24"/>
          <w:szCs w:val="24"/>
          <w:lang w:eastAsia="zh-CN"/>
        </w:rPr>
        <w:t>；</w:t>
      </w:r>
    </w:p>
    <w:p>
      <w:pPr>
        <w:numPr>
          <w:ilvl w:val="0"/>
          <w:numId w:val="11"/>
        </w:num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 xml:space="preserve"> 底座：底高 10cm，防止柜子移动时磨损，防潮防虫害</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供应商提供第三方检测机构（检测报告需带CMA标识）</w:t>
      </w:r>
      <w:r>
        <w:rPr>
          <w:rFonts w:hint="eastAsia" w:ascii="宋体" w:hAnsi="宋体" w:eastAsia="宋体" w:cs="宋体"/>
          <w:b w:val="0"/>
          <w:bCs w:val="0"/>
          <w:color w:val="auto"/>
          <w:sz w:val="24"/>
          <w:szCs w:val="24"/>
          <w:highlight w:val="none"/>
        </w:rPr>
        <w:t>出具的</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sz w:val="24"/>
          <w:szCs w:val="24"/>
          <w:lang w:val="en-US" w:eastAsia="zh-CN"/>
        </w:rPr>
        <w:t>保密柜</w:t>
      </w:r>
      <w:r>
        <w:rPr>
          <w:rFonts w:hint="eastAsia" w:ascii="宋体" w:hAnsi="宋体" w:eastAsia="宋体" w:cs="宋体"/>
          <w:b w:val="0"/>
          <w:bCs w:val="0"/>
          <w:color w:val="auto"/>
          <w:sz w:val="24"/>
          <w:szCs w:val="24"/>
          <w:highlight w:val="none"/>
        </w:rPr>
        <w:t>》检测报告，</w:t>
      </w:r>
      <w:r>
        <w:rPr>
          <w:rFonts w:hint="eastAsia" w:ascii="宋体" w:hAnsi="宋体" w:eastAsia="宋体" w:cs="宋体"/>
          <w:b w:val="0"/>
          <w:bCs w:val="0"/>
          <w:color w:val="auto"/>
          <w:sz w:val="24"/>
          <w:szCs w:val="24"/>
          <w:highlight w:val="none"/>
          <w:lang w:val="zh-CN" w:eastAsia="zh-CN"/>
        </w:rPr>
        <w:t>检验项目</w:t>
      </w:r>
      <w:r>
        <w:rPr>
          <w:rFonts w:hint="eastAsia" w:ascii="宋体" w:hAnsi="宋体" w:eastAsia="宋体" w:cs="宋体"/>
          <w:b w:val="0"/>
          <w:bCs w:val="0"/>
          <w:color w:val="auto"/>
          <w:sz w:val="24"/>
          <w:szCs w:val="24"/>
          <w:highlight w:val="none"/>
          <w:lang w:val="zh-CN"/>
        </w:rPr>
        <w:t>符合以下要求</w:t>
      </w: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lang w:val="en-US" w:eastAsia="zh-CN"/>
        </w:rPr>
        <w:t>检测依据GB/T 13668-2015《钢制书柜、资料柜通用技术条件》；检测内容包括：①外观要求：焊接处、喷涂层、电镀层均符合要求；②金属喷漆(塑)涂层：（硬度≥2H，冲击强度40cm：应无剥落、裂纹、皱纹，耐腐蚀：200h内，观察在溶剂中样板上划道两侧 3mm 以外，应无气泡产生，200h后，检查划道两侧3mm以外，应无锈迹、剥落、起皱、变色和失光等现象，附着力≥1级）均符合要求；③柜类强度：顶板和底板静载荷试验，结构和底架强度试验，均符合要求；④稳定性：搁板水平加载稳定性，搁板垂直加载稳定性，活动部件打开时的空载稳定定性，均符合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供应商提供第三方检测机构（检测报告需带CMA标识）</w:t>
      </w:r>
      <w:r>
        <w:rPr>
          <w:rFonts w:hint="eastAsia" w:ascii="宋体" w:hAnsi="宋体" w:eastAsia="宋体" w:cs="宋体"/>
          <w:b w:val="0"/>
          <w:bCs w:val="0"/>
          <w:color w:val="auto"/>
          <w:sz w:val="24"/>
          <w:szCs w:val="24"/>
          <w:highlight w:val="none"/>
        </w:rPr>
        <w:t>出具的</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sz w:val="24"/>
          <w:szCs w:val="24"/>
          <w:lang w:eastAsia="zh-CN"/>
        </w:rPr>
        <w:t>不锈钢</w:t>
      </w:r>
      <w:r>
        <w:rPr>
          <w:rFonts w:hint="eastAsia" w:ascii="宋体" w:hAnsi="宋体" w:eastAsia="宋体" w:cs="宋体"/>
          <w:b w:val="0"/>
          <w:bCs w:val="0"/>
          <w:color w:val="auto"/>
          <w:sz w:val="24"/>
          <w:szCs w:val="24"/>
          <w:highlight w:val="none"/>
        </w:rPr>
        <w:t>》检测报告，</w:t>
      </w:r>
      <w:r>
        <w:rPr>
          <w:rFonts w:hint="eastAsia" w:ascii="宋体" w:hAnsi="宋体" w:eastAsia="宋体" w:cs="宋体"/>
          <w:b w:val="0"/>
          <w:bCs w:val="0"/>
          <w:color w:val="auto"/>
          <w:sz w:val="24"/>
          <w:szCs w:val="24"/>
          <w:highlight w:val="none"/>
          <w:lang w:val="zh-CN" w:eastAsia="zh-CN"/>
        </w:rPr>
        <w:t>符合检测依据GB/T 3325-2017《金属家具通用技术条件》、GB/T 10125-2021《人造气氛腐蚀试验盐雾试验》、GB/T 6461-2002《金属基体上金属和其他无机覆盖层 经腐蚀试验后的试样和试件的评级》、YB∕T4171-2020 《含铜抗菌不锈钢》、GB/T 3280-2015《不锈钢冷轧钢板和钢带》、GB/T 4340.1-2009《金属材料 维氏硬度试验 第1部分：试验方法》、QB/T 4371-2012《家具抗菌性能的评价》；检测内容包括：①抗盐雾：经盐雾试验18h,直径1.5mm以下的锈点2点/dm²,其中直径1.0mm以上的锈点0点，合格；②铜加速乙酸盐雾（CASS）试验≥40小时后，外观评级10级，保护评级10级；③抗菌性能：抑菌率≥99.96%；④化学成分 ：C≤0.04%、Si≤0.38%、Mn≤0.89%、P≤ 0.028%、S≤0.006%、Cr：18~19.5%，Ni≤8.0~10.5%，合格；⑤力学性能：（规定塑性延伸强度≥305 MPa；抗拉强度≥780 MPa；断后伸长率≥57%，维氏硬度≤92</w:t>
      </w:r>
      <w:r>
        <w:rPr>
          <w:rFonts w:hint="eastAsia" w:ascii="宋体" w:hAnsi="宋体" w:eastAsia="宋体" w:cs="宋体"/>
          <w:b w:val="0"/>
          <w:bCs w:val="0"/>
          <w:color w:val="auto"/>
          <w:sz w:val="24"/>
          <w:szCs w:val="24"/>
          <w:highlight w:val="none"/>
          <w:lang w:val="en-US" w:eastAsia="zh-CN"/>
        </w:rPr>
        <w:t>HV</w:t>
      </w:r>
      <w:r>
        <w:rPr>
          <w:rFonts w:hint="eastAsia" w:ascii="宋体" w:hAnsi="宋体" w:eastAsia="宋体" w:cs="宋体"/>
          <w:b w:val="0"/>
          <w:bCs w:val="0"/>
          <w:color w:val="auto"/>
          <w:sz w:val="24"/>
          <w:szCs w:val="24"/>
          <w:highlight w:val="none"/>
          <w:lang w:val="zh-CN" w:eastAsia="zh-CN"/>
        </w:rPr>
        <w:t>）。</w:t>
      </w:r>
    </w:p>
    <w:p>
      <w:pPr>
        <w:pStyle w:val="3"/>
        <w:numPr>
          <w:ilvl w:val="1"/>
          <w:numId w:val="0"/>
        </w:numPr>
        <w:bidi w:val="0"/>
        <w:ind w:left="0" w:leftChars="0" w:firstLine="482" w:firstLineChars="200"/>
        <w:jc w:val="center"/>
        <w:rPr>
          <w:rFonts w:hint="eastAsia" w:ascii="宋体" w:hAnsi="宋体" w:eastAsia="宋体" w:cs="宋体"/>
          <w:sz w:val="24"/>
          <w:szCs w:val="24"/>
          <w:lang w:val="zh-CN" w:eastAsia="zh-CN"/>
        </w:rPr>
      </w:pPr>
      <w:r>
        <w:rPr>
          <w:rFonts w:hint="eastAsia" w:ascii="宋体" w:hAnsi="宋体" w:eastAsia="宋体" w:cs="宋体"/>
          <w:b/>
          <w:sz w:val="24"/>
          <w:szCs w:val="24"/>
          <w:lang w:val="zh-CN" w:eastAsia="zh-CN" w:bidi="ar-SA"/>
        </w:rPr>
        <w:t>（五）</w:t>
      </w:r>
      <w:r>
        <w:rPr>
          <w:rFonts w:hint="eastAsia" w:ascii="宋体" w:hAnsi="宋体" w:eastAsia="宋体" w:cs="宋体"/>
          <w:sz w:val="24"/>
          <w:szCs w:val="24"/>
          <w:lang w:val="en-US" w:eastAsia="zh-CN"/>
        </w:rPr>
        <w:t>档案库房灭火系统</w:t>
      </w:r>
    </w:p>
    <w:tbl>
      <w:tblPr>
        <w:tblStyle w:val="23"/>
        <w:tblpPr w:leftFromText="180" w:rightFromText="180" w:vertAnchor="text" w:horzAnchor="page" w:tblpXSpec="center" w:tblpY="72"/>
        <w:tblOverlap w:val="never"/>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9"/>
        <w:gridCol w:w="1650"/>
        <w:gridCol w:w="5711"/>
        <w:gridCol w:w="739"/>
        <w:gridCol w:w="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65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设备名称及型号</w:t>
            </w:r>
          </w:p>
        </w:tc>
        <w:tc>
          <w:tcPr>
            <w:tcW w:w="571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参数要求</w:t>
            </w:r>
          </w:p>
        </w:tc>
        <w:tc>
          <w:tcPr>
            <w:tcW w:w="73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5" w:hRule="atLeast"/>
          <w:jc w:val="center"/>
        </w:trPr>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12"/>
              </w:numPr>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ascii="宋体" w:hAnsi="宋体" w:eastAsia="宋体" w:cs="宋体"/>
                <w:color w:val="000000"/>
                <w:sz w:val="24"/>
                <w:szCs w:val="24"/>
              </w:rPr>
            </w:pPr>
          </w:p>
        </w:tc>
        <w:tc>
          <w:tcPr>
            <w:tcW w:w="165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气体灭火控制器</w:t>
            </w:r>
          </w:p>
        </w:tc>
        <w:tc>
          <w:tcPr>
            <w:tcW w:w="571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1.工作电压：AC220V±25%,50Hz</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2.最大工作电流2.5A，正常工作电流＜200mA</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3.直流备电：DC24V，2.3AH,全封闭免维护蓄电池</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4.外形尺寸：360×120×450mm；壳体材料：A3钢</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5.接线方式：无极性二线制</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6.输出电流5A,其它品牌仅3A。此点我们有做设备测试</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7.1个报警回路，1个联动回路。回路采用异步串行数字通信，可现场跟踪回路设备的状态。                   </w:t>
            </w:r>
          </w:p>
        </w:tc>
        <w:tc>
          <w:tcPr>
            <w:tcW w:w="73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12"/>
              </w:numPr>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ascii="宋体" w:hAnsi="宋体" w:eastAsia="宋体" w:cs="宋体"/>
                <w:color w:val="000000"/>
                <w:sz w:val="24"/>
                <w:szCs w:val="24"/>
              </w:rPr>
            </w:pPr>
          </w:p>
        </w:tc>
        <w:tc>
          <w:tcPr>
            <w:tcW w:w="165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150L 柜式七氟丙烷气体灭火装置</w:t>
            </w:r>
          </w:p>
        </w:tc>
        <w:tc>
          <w:tcPr>
            <w:tcW w:w="571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含柜体、高压钢瓶、容器阀、启动电磁阀、反馈装置、高压软管、喷嘴、检测压力表、虹吸管、七氟丙烷                                              1.公称工作压力:4.2MPa</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2.公称容积(L):150</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3.贮存压力:2.5MPa</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4.最大充装密度:1.0kg/L</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5.灭火剂喷放时间≤10s，七氟丙烷药剂纯度 ≥99.6%，酸度 ≤1ppm，水含量 ≤10ppm，不挥残留物 ≤0.01%，悬浮或沉淀物不可见，含七氟丙烷药剂568Kg</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6.外型尺寸（mm）：550×500×1900</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7.容器安全泄放装置的动作压力：5.9MPa±0.295MPa</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8.信号反馈装置的动作压力：0.8MPa±0.08MPa                       </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9.电磁驱动装置的工作电压DC24V,工作电流≤1.6A,驱动力90N  </w:t>
            </w:r>
          </w:p>
        </w:tc>
        <w:tc>
          <w:tcPr>
            <w:tcW w:w="73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12"/>
              </w:numPr>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ascii="宋体" w:hAnsi="宋体" w:eastAsia="宋体" w:cs="宋体"/>
                <w:color w:val="000000"/>
                <w:sz w:val="24"/>
                <w:szCs w:val="24"/>
              </w:rPr>
            </w:pPr>
          </w:p>
        </w:tc>
        <w:tc>
          <w:tcPr>
            <w:tcW w:w="165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0.25泄压装置</w:t>
            </w:r>
          </w:p>
        </w:tc>
        <w:tc>
          <w:tcPr>
            <w:tcW w:w="571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1.开洞尺寸：800*400mm</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2.泄压面积：0～0.25㎡</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3.开启压力：1100Pa±50Pa                                         </w:t>
            </w:r>
          </w:p>
        </w:tc>
        <w:tc>
          <w:tcPr>
            <w:tcW w:w="73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12"/>
              </w:numPr>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ascii="宋体" w:hAnsi="宋体" w:eastAsia="宋体" w:cs="宋体"/>
                <w:color w:val="000000"/>
                <w:sz w:val="24"/>
                <w:szCs w:val="24"/>
              </w:rPr>
            </w:pPr>
          </w:p>
        </w:tc>
        <w:tc>
          <w:tcPr>
            <w:tcW w:w="165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点型感温火灾探则器</w:t>
            </w:r>
          </w:p>
        </w:tc>
        <w:tc>
          <w:tcPr>
            <w:tcW w:w="571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1.工作指示：状态指示灯：巡检时闪烁，报警时常亮</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2.壳体材料：ABS,白色                                             </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3.外形尺寸：φ100×55mm（带有底座）</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4.编码方式：通过编码器可进行电编码，地址编码1-99任选</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5.接线方式：二线制/信号线                                       </w:t>
            </w:r>
          </w:p>
        </w:tc>
        <w:tc>
          <w:tcPr>
            <w:tcW w:w="73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只</w:t>
            </w:r>
          </w:p>
        </w:tc>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12"/>
              </w:numPr>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ascii="宋体" w:hAnsi="宋体" w:eastAsia="宋体" w:cs="宋体"/>
                <w:color w:val="000000"/>
                <w:sz w:val="24"/>
                <w:szCs w:val="24"/>
              </w:rPr>
            </w:pPr>
          </w:p>
        </w:tc>
        <w:tc>
          <w:tcPr>
            <w:tcW w:w="165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点型光电感烟火灾</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探则器</w:t>
            </w:r>
          </w:p>
        </w:tc>
        <w:tc>
          <w:tcPr>
            <w:tcW w:w="571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1.工作指示：状态指示灯：巡检时闪烁，报警时常亮</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2.壳体材料：ABS,白色                                             </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3.外形尺寸：φ100×52mm（带有底座）</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4.编码方式：通过编码器可进行电编码，地址编码1-99任选</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5.接线方式：二线制/信号线                                       </w:t>
            </w:r>
          </w:p>
        </w:tc>
        <w:tc>
          <w:tcPr>
            <w:tcW w:w="73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只</w:t>
            </w:r>
          </w:p>
        </w:tc>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12"/>
              </w:numPr>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ascii="宋体" w:hAnsi="宋体" w:eastAsia="宋体" w:cs="宋体"/>
                <w:color w:val="000000"/>
                <w:sz w:val="24"/>
                <w:szCs w:val="24"/>
              </w:rPr>
            </w:pPr>
          </w:p>
        </w:tc>
        <w:tc>
          <w:tcPr>
            <w:tcW w:w="165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火灾声光报警器</w:t>
            </w:r>
          </w:p>
        </w:tc>
        <w:tc>
          <w:tcPr>
            <w:tcW w:w="571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bidi="ar-SA"/>
              </w:rPr>
              <w:t>1.</w:t>
            </w:r>
            <w:r>
              <w:rPr>
                <w:rFonts w:hint="eastAsia" w:ascii="宋体" w:hAnsi="宋体" w:eastAsia="宋体" w:cs="宋体"/>
                <w:color w:val="000000"/>
                <w:sz w:val="24"/>
                <w:szCs w:val="24"/>
              </w:rPr>
              <w:t xml:space="preserve">额定工作电压：DC24V; 声压级：80dB～90dB;  变调周期3s～5s;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bidi="ar-SA"/>
              </w:rPr>
              <w:t>2.</w:t>
            </w:r>
            <w:r>
              <w:rPr>
                <w:rFonts w:hint="eastAsia" w:ascii="宋体" w:hAnsi="宋体" w:eastAsia="宋体" w:cs="宋体"/>
                <w:color w:val="000000"/>
                <w:sz w:val="24"/>
                <w:szCs w:val="24"/>
              </w:rPr>
              <w:t xml:space="preserve">闪光频率：1.0Hz～1.5Hz                                                            </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 xml:space="preserve">.壳体材料：ABS,红色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 xml:space="preserve">外形尺寸：85×86×50.5mm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 xml:space="preserve">.编码方式：通过编码器可进行电编码，地址编码1-99任选   </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.接线方式：四线制/信号线+电源线</w:t>
            </w:r>
          </w:p>
        </w:tc>
        <w:tc>
          <w:tcPr>
            <w:tcW w:w="73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只</w:t>
            </w:r>
          </w:p>
        </w:tc>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12"/>
              </w:numPr>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ascii="宋体" w:hAnsi="宋体" w:eastAsia="宋体" w:cs="宋体"/>
                <w:color w:val="000000"/>
                <w:sz w:val="24"/>
                <w:szCs w:val="24"/>
              </w:rPr>
            </w:pPr>
          </w:p>
        </w:tc>
        <w:tc>
          <w:tcPr>
            <w:tcW w:w="165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紧急启停按钮</w:t>
            </w:r>
          </w:p>
        </w:tc>
        <w:tc>
          <w:tcPr>
            <w:tcW w:w="571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13"/>
              </w:numPr>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工作电压：24V（脉冲调制）                                     </w:t>
            </w:r>
          </w:p>
          <w:p>
            <w:pPr>
              <w:keepNext w:val="0"/>
              <w:keepLines w:val="0"/>
              <w:pageBreakBefore w:val="0"/>
              <w:widowControl w:val="0"/>
              <w:numPr>
                <w:ilvl w:val="0"/>
                <w:numId w:val="13"/>
              </w:numPr>
              <w:kinsoku/>
              <w:wordWrap/>
              <w:overflowPunct/>
              <w:topLinePunct w:val="0"/>
              <w:autoSpaceDE/>
              <w:autoSpaceDN/>
              <w:bidi w:val="0"/>
              <w:adjustRightInd/>
              <w:snapToGrid/>
              <w:spacing w:beforeLines="0" w:afterLines="0" w:line="240" w:lineRule="auto"/>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壳体材料：ABS,红色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3.外形尺寸：85×45×85mm </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4.编码方式：通过编码器可进行电编码，地址编码1-99任选            </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5.接线方式：二线制/信号线  </w:t>
            </w:r>
          </w:p>
        </w:tc>
        <w:tc>
          <w:tcPr>
            <w:tcW w:w="73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只</w:t>
            </w:r>
          </w:p>
        </w:tc>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12"/>
              </w:numPr>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ascii="宋体" w:hAnsi="宋体" w:eastAsia="宋体" w:cs="宋体"/>
                <w:color w:val="000000"/>
                <w:sz w:val="24"/>
                <w:szCs w:val="24"/>
              </w:rPr>
            </w:pPr>
          </w:p>
        </w:tc>
        <w:tc>
          <w:tcPr>
            <w:tcW w:w="165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气体释放报警器</w:t>
            </w:r>
          </w:p>
        </w:tc>
        <w:tc>
          <w:tcPr>
            <w:tcW w:w="571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1.工作电压：24V（脉冲调制）</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2.壳体材料：ABS 白色</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3.编码方式：通过编码器可进行电编码，地址编码1-99任选</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4.接线方式：二线制/信号线                                          </w:t>
            </w:r>
          </w:p>
        </w:tc>
        <w:tc>
          <w:tcPr>
            <w:tcW w:w="73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只</w:t>
            </w:r>
          </w:p>
        </w:tc>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12"/>
              </w:numPr>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ascii="宋体" w:hAnsi="宋体" w:eastAsia="宋体" w:cs="宋体"/>
                <w:color w:val="000000"/>
                <w:sz w:val="24"/>
                <w:szCs w:val="24"/>
              </w:rPr>
            </w:pPr>
          </w:p>
        </w:tc>
        <w:tc>
          <w:tcPr>
            <w:tcW w:w="165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启动信号接口</w:t>
            </w:r>
          </w:p>
        </w:tc>
        <w:tc>
          <w:tcPr>
            <w:tcW w:w="571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1.工作电压:DC24v± 20%</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2.工作指示:红色启动指示灯（巡检时闪亮，动作时常亮）</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3.编码方式:通过编码器进行电编码，地址编码1-99任选                  </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4.接线方式:四线制/信号线+电源线                                  5.输出方式；有源（DC24V-1A）                                    </w:t>
            </w:r>
          </w:p>
        </w:tc>
        <w:tc>
          <w:tcPr>
            <w:tcW w:w="73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只</w:t>
            </w:r>
          </w:p>
        </w:tc>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12"/>
              </w:numPr>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ascii="宋体" w:hAnsi="宋体" w:eastAsia="宋体" w:cs="宋体"/>
                <w:color w:val="000000"/>
                <w:sz w:val="24"/>
                <w:szCs w:val="24"/>
              </w:rPr>
            </w:pPr>
          </w:p>
        </w:tc>
        <w:tc>
          <w:tcPr>
            <w:tcW w:w="165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反馈信号接口</w:t>
            </w:r>
          </w:p>
        </w:tc>
        <w:tc>
          <w:tcPr>
            <w:tcW w:w="571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1.工作电压:DC24v± 20%</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2.工作指示:红色启动指示灯（巡检时闪亮，动作时常亮）</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3.编码方式:通过编码器进行电编码，地址编码97-99                      4.接线方式：四线制/信号线+电源线                                 5.输出方式：三组无源干接点                                      </w:t>
            </w:r>
          </w:p>
        </w:tc>
        <w:tc>
          <w:tcPr>
            <w:tcW w:w="73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只</w:t>
            </w:r>
          </w:p>
        </w:tc>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12"/>
              </w:numPr>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ascii="宋体" w:hAnsi="宋体" w:eastAsia="宋体" w:cs="宋体"/>
                <w:color w:val="000000"/>
                <w:sz w:val="24"/>
                <w:szCs w:val="24"/>
              </w:rPr>
            </w:pPr>
          </w:p>
        </w:tc>
        <w:tc>
          <w:tcPr>
            <w:tcW w:w="165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10A壁挂式箱体电源</w:t>
            </w:r>
          </w:p>
        </w:tc>
        <w:tc>
          <w:tcPr>
            <w:tcW w:w="571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1.输入电压:AC220V/50HZ</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2.输出电压:DC27V/10A                                            3.配置两节12V7AH电池                                        </w:t>
            </w:r>
          </w:p>
        </w:tc>
        <w:tc>
          <w:tcPr>
            <w:tcW w:w="73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12"/>
              </w:numPr>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ascii="宋体" w:hAnsi="宋体" w:eastAsia="宋体" w:cs="宋体"/>
                <w:color w:val="000000"/>
                <w:sz w:val="24"/>
                <w:szCs w:val="24"/>
              </w:rPr>
            </w:pPr>
          </w:p>
        </w:tc>
        <w:tc>
          <w:tcPr>
            <w:tcW w:w="165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泄压口开孔</w:t>
            </w:r>
          </w:p>
        </w:tc>
        <w:tc>
          <w:tcPr>
            <w:tcW w:w="571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c>
          <w:tcPr>
            <w:tcW w:w="73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12"/>
              </w:numPr>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ascii="宋体" w:hAnsi="宋体" w:eastAsia="宋体" w:cs="宋体"/>
                <w:color w:val="000000"/>
                <w:sz w:val="24"/>
                <w:szCs w:val="24"/>
              </w:rPr>
            </w:pPr>
          </w:p>
        </w:tc>
        <w:tc>
          <w:tcPr>
            <w:tcW w:w="165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安装辅材费</w:t>
            </w:r>
          </w:p>
        </w:tc>
        <w:tc>
          <w:tcPr>
            <w:tcW w:w="571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需要铺暗管</w:t>
            </w:r>
          </w:p>
        </w:tc>
        <w:tc>
          <w:tcPr>
            <w:tcW w:w="73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12"/>
              </w:numPr>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ascii="宋体" w:hAnsi="宋体" w:eastAsia="宋体" w:cs="宋体"/>
                <w:color w:val="000000"/>
                <w:sz w:val="24"/>
                <w:szCs w:val="24"/>
              </w:rPr>
            </w:pPr>
          </w:p>
        </w:tc>
        <w:tc>
          <w:tcPr>
            <w:tcW w:w="165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安装调试</w:t>
            </w:r>
          </w:p>
        </w:tc>
        <w:tc>
          <w:tcPr>
            <w:tcW w:w="571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73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7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r>
    </w:tbl>
    <w:p>
      <w:pPr>
        <w:rPr>
          <w:rFonts w:hint="eastAsia" w:ascii="宋体" w:hAnsi="宋体" w:eastAsia="宋体" w:cs="宋体"/>
          <w:szCs w:val="24"/>
        </w:rPr>
      </w:pPr>
    </w:p>
    <w:p>
      <w:pPr>
        <w:rPr>
          <w:rFonts w:hint="eastAsia" w:ascii="宋体" w:hAnsi="宋体" w:eastAsia="宋体" w:cs="宋体"/>
          <w:szCs w:val="24"/>
        </w:rPr>
      </w:pPr>
    </w:p>
    <w:p>
      <w:pPr>
        <w:rPr>
          <w:rFonts w:hint="eastAsia" w:ascii="宋体" w:hAnsi="宋体" w:eastAsia="宋体" w:cs="宋体"/>
          <w:szCs w:val="24"/>
          <w:lang w:eastAsia="zh-CN"/>
        </w:rPr>
      </w:pPr>
    </w:p>
    <w:p>
      <w:pPr>
        <w:rPr>
          <w:rFonts w:hint="default"/>
          <w:lang w:val="en-US" w:eastAsia="zh-CN"/>
        </w:rPr>
      </w:pPr>
    </w:p>
    <w:p>
      <w:pPr>
        <w:rPr>
          <w:rFonts w:hint="default"/>
          <w:lang w:val="en-US" w:eastAsia="zh-CN"/>
        </w:rPr>
      </w:pPr>
    </w:p>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53</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0" w:firstLineChars="0"/>
      <w:jc w:val="right"/>
      <w:rPr>
        <w:rFonts w:hint="eastAsia" w:eastAsia="宋体"/>
        <w:lang w:eastAsia="zh-CN"/>
      </w:rPr>
    </w:pPr>
    <w:r>
      <w:drawing>
        <wp:anchor distT="0" distB="0" distL="114300" distR="114300" simplePos="0" relativeHeight="251660288" behindDoc="0" locked="0" layoutInCell="1" allowOverlap="1">
          <wp:simplePos x="0" y="0"/>
          <wp:positionH relativeFrom="column">
            <wp:posOffset>102235</wp:posOffset>
          </wp:positionH>
          <wp:positionV relativeFrom="paragraph">
            <wp:posOffset>-6985</wp:posOffset>
          </wp:positionV>
          <wp:extent cx="939800" cy="301625"/>
          <wp:effectExtent l="0" t="0" r="12700" b="317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939800" cy="301625"/>
                  </a:xfrm>
                  <a:prstGeom prst="rect">
                    <a:avLst/>
                  </a:prstGeom>
                  <a:noFill/>
                  <a:ln>
                    <a:noFill/>
                  </a:ln>
                </pic:spPr>
              </pic:pic>
            </a:graphicData>
          </a:graphic>
        </wp:anchor>
      </w:drawing>
    </w:r>
    <w:r>
      <w:rPr>
        <w:rFonts w:hint="eastAsia" w:ascii="宋体" w:hAnsi="宋体" w:eastAsia="宋体" w:cs="宋体"/>
        <w:b/>
        <w:bCs/>
        <w:sz w:val="21"/>
        <w:szCs w:val="21"/>
        <w:u w:val="single"/>
      </w:rPr>
      <w:t xml:space="preserve">青海品冠招标代理有限公司磋商文件   </w:t>
    </w:r>
    <w:r>
      <w:rPr>
        <w:rFonts w:hint="eastAsia" w:ascii="宋体" w:hAnsi="宋体" w:eastAsia="宋体" w:cs="宋体"/>
        <w:b/>
        <w:bCs/>
        <w:sz w:val="21"/>
        <w:szCs w:val="21"/>
        <w:u w:val="single"/>
        <w:lang w:eastAsia="zh-CN"/>
      </w:rPr>
      <w:t>青海品冠竞磋（货物）2025-010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AFD1B"/>
    <w:multiLevelType w:val="multilevel"/>
    <w:tmpl w:val="8A0AFD1B"/>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5046C4F"/>
    <w:multiLevelType w:val="singleLevel"/>
    <w:tmpl w:val="95046C4F"/>
    <w:lvl w:ilvl="0" w:tentative="0">
      <w:start w:val="5"/>
      <w:numFmt w:val="decimal"/>
      <w:lvlText w:val="%1."/>
      <w:lvlJc w:val="left"/>
      <w:pPr>
        <w:tabs>
          <w:tab w:val="left" w:pos="312"/>
        </w:tabs>
      </w:pPr>
    </w:lvl>
  </w:abstractNum>
  <w:abstractNum w:abstractNumId="2">
    <w:nsid w:val="C3B2FD3D"/>
    <w:multiLevelType w:val="singleLevel"/>
    <w:tmpl w:val="C3B2FD3D"/>
    <w:lvl w:ilvl="0" w:tentative="0">
      <w:start w:val="1"/>
      <w:numFmt w:val="decimal"/>
      <w:lvlText w:val="%1."/>
      <w:lvlJc w:val="left"/>
      <w:pPr>
        <w:tabs>
          <w:tab w:val="left" w:pos="312"/>
        </w:tabs>
      </w:pPr>
    </w:lvl>
  </w:abstractNum>
  <w:abstractNum w:abstractNumId="3">
    <w:nsid w:val="CC327A50"/>
    <w:multiLevelType w:val="singleLevel"/>
    <w:tmpl w:val="CC327A50"/>
    <w:lvl w:ilvl="0" w:tentative="0">
      <w:start w:val="1"/>
      <w:numFmt w:val="decimal"/>
      <w:suff w:val="nothing"/>
      <w:lvlText w:val="%1、"/>
      <w:lvlJc w:val="left"/>
    </w:lvl>
  </w:abstractNum>
  <w:abstractNum w:abstractNumId="4">
    <w:nsid w:val="0E45D0E4"/>
    <w:multiLevelType w:val="singleLevel"/>
    <w:tmpl w:val="0E45D0E4"/>
    <w:lvl w:ilvl="0" w:tentative="0">
      <w:start w:val="1"/>
      <w:numFmt w:val="decimal"/>
      <w:suff w:val="nothing"/>
      <w:lvlText w:val="%1、"/>
      <w:lvlJc w:val="left"/>
    </w:lvl>
  </w:abstractNum>
  <w:abstractNum w:abstractNumId="5">
    <w:nsid w:val="3310E176"/>
    <w:multiLevelType w:val="singleLevel"/>
    <w:tmpl w:val="3310E176"/>
    <w:lvl w:ilvl="0" w:tentative="0">
      <w:start w:val="1"/>
      <w:numFmt w:val="decimal"/>
      <w:suff w:val="nothing"/>
      <w:lvlText w:val="%1、"/>
      <w:lvlJc w:val="left"/>
    </w:lvl>
  </w:abstractNum>
  <w:abstractNum w:abstractNumId="6">
    <w:nsid w:val="45F61E2C"/>
    <w:multiLevelType w:val="singleLevel"/>
    <w:tmpl w:val="45F61E2C"/>
    <w:lvl w:ilvl="0" w:tentative="0">
      <w:start w:val="1"/>
      <w:numFmt w:val="decimal"/>
      <w:suff w:val="nothing"/>
      <w:lvlText w:val="（%1）"/>
      <w:lvlJc w:val="left"/>
    </w:lvl>
  </w:abstractNum>
  <w:abstractNum w:abstractNumId="7">
    <w:nsid w:val="471B8FA0"/>
    <w:multiLevelType w:val="singleLevel"/>
    <w:tmpl w:val="471B8FA0"/>
    <w:lvl w:ilvl="0" w:tentative="0">
      <w:start w:val="1"/>
      <w:numFmt w:val="decimal"/>
      <w:lvlText w:val="%1"/>
      <w:lvlJc w:val="left"/>
      <w:pPr>
        <w:tabs>
          <w:tab w:val="left" w:pos="420"/>
        </w:tabs>
        <w:ind w:left="425" w:leftChars="0" w:hanging="425" w:firstLineChars="0"/>
      </w:pPr>
      <w:rPr>
        <w:rFonts w:hint="default"/>
      </w:rPr>
    </w:lvl>
  </w:abstractNum>
  <w:abstractNum w:abstractNumId="8">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9">
    <w:nsid w:val="59B11739"/>
    <w:multiLevelType w:val="singleLevel"/>
    <w:tmpl w:val="59B11739"/>
    <w:lvl w:ilvl="0" w:tentative="0">
      <w:start w:val="1"/>
      <w:numFmt w:val="decimal"/>
      <w:suff w:val="nothing"/>
      <w:lvlText w:val="（%1）"/>
      <w:lvlJc w:val="left"/>
    </w:lvl>
  </w:abstractNum>
  <w:abstractNum w:abstractNumId="10">
    <w:nsid w:val="5FA28A5C"/>
    <w:multiLevelType w:val="singleLevel"/>
    <w:tmpl w:val="5FA28A5C"/>
    <w:lvl w:ilvl="0" w:tentative="0">
      <w:start w:val="1"/>
      <w:numFmt w:val="decimal"/>
      <w:lvlText w:val="%1"/>
      <w:lvlJc w:val="left"/>
      <w:pPr>
        <w:tabs>
          <w:tab w:val="left" w:pos="420"/>
        </w:tabs>
        <w:ind w:left="425" w:leftChars="0" w:hanging="425" w:firstLineChars="0"/>
      </w:pPr>
      <w:rPr>
        <w:rFonts w:hint="default"/>
      </w:rPr>
    </w:lvl>
  </w:abstractNum>
  <w:abstractNum w:abstractNumId="11">
    <w:nsid w:val="62D79C5E"/>
    <w:multiLevelType w:val="singleLevel"/>
    <w:tmpl w:val="62D79C5E"/>
    <w:lvl w:ilvl="0" w:tentative="0">
      <w:start w:val="5"/>
      <w:numFmt w:val="decimal"/>
      <w:suff w:val="nothing"/>
      <w:lvlText w:val="%1、"/>
      <w:lvlJc w:val="left"/>
    </w:lvl>
  </w:abstractNum>
  <w:abstractNum w:abstractNumId="12">
    <w:nsid w:val="74AE1111"/>
    <w:multiLevelType w:val="singleLevel"/>
    <w:tmpl w:val="74AE1111"/>
    <w:lvl w:ilvl="0" w:tentative="0">
      <w:start w:val="6"/>
      <w:numFmt w:val="chineseCounting"/>
      <w:suff w:val="space"/>
      <w:lvlText w:val="第%1部分"/>
      <w:lvlJc w:val="left"/>
      <w:rPr>
        <w:rFonts w:hint="eastAsia"/>
      </w:rPr>
    </w:lvl>
  </w:abstractNum>
  <w:num w:numId="1">
    <w:abstractNumId w:val="0"/>
  </w:num>
  <w:num w:numId="2">
    <w:abstractNumId w:val="3"/>
  </w:num>
  <w:num w:numId="3">
    <w:abstractNumId w:val="8"/>
  </w:num>
  <w:num w:numId="4">
    <w:abstractNumId w:val="9"/>
  </w:num>
  <w:num w:numId="5">
    <w:abstractNumId w:val="12"/>
  </w:num>
  <w:num w:numId="6">
    <w:abstractNumId w:val="1"/>
  </w:num>
  <w:num w:numId="7">
    <w:abstractNumId w:val="10"/>
  </w:num>
  <w:num w:numId="8">
    <w:abstractNumId w:val="4"/>
  </w:num>
  <w:num w:numId="9">
    <w:abstractNumId w:val="6"/>
  </w:num>
  <w:num w:numId="10">
    <w:abstractNumId w:val="11"/>
  </w:num>
  <w:num w:numId="11">
    <w:abstractNumId w:val="5"/>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ODI4MzQyM2NkMTRhY2ZkOTk1NDZkZDI5ZjE3MzUifQ=="/>
    <w:docVar w:name="KSO_WPS_MARK_KEY" w:val="b2645d92-43a7-431b-b34c-3d41b8d5d230"/>
  </w:docVars>
  <w:rsids>
    <w:rsidRoot w:val="6F3A01D0"/>
    <w:rsid w:val="0011729F"/>
    <w:rsid w:val="00196FFB"/>
    <w:rsid w:val="001D31EC"/>
    <w:rsid w:val="00213F24"/>
    <w:rsid w:val="002C5D0F"/>
    <w:rsid w:val="00417413"/>
    <w:rsid w:val="00476E38"/>
    <w:rsid w:val="006C3879"/>
    <w:rsid w:val="009A149D"/>
    <w:rsid w:val="00A22D1A"/>
    <w:rsid w:val="00AE5A2B"/>
    <w:rsid w:val="00BB15F6"/>
    <w:rsid w:val="00D44E68"/>
    <w:rsid w:val="00D53305"/>
    <w:rsid w:val="00E22C49"/>
    <w:rsid w:val="00E24720"/>
    <w:rsid w:val="00EB0426"/>
    <w:rsid w:val="015E0632"/>
    <w:rsid w:val="01BA3151"/>
    <w:rsid w:val="02492A53"/>
    <w:rsid w:val="027666A8"/>
    <w:rsid w:val="02E848E3"/>
    <w:rsid w:val="037641DC"/>
    <w:rsid w:val="03F54F40"/>
    <w:rsid w:val="04001ACF"/>
    <w:rsid w:val="040911B4"/>
    <w:rsid w:val="041D2837"/>
    <w:rsid w:val="042A1978"/>
    <w:rsid w:val="04694072"/>
    <w:rsid w:val="04794825"/>
    <w:rsid w:val="04821FE4"/>
    <w:rsid w:val="053F79EE"/>
    <w:rsid w:val="05AE26B6"/>
    <w:rsid w:val="05C41944"/>
    <w:rsid w:val="05F44D89"/>
    <w:rsid w:val="05F9122C"/>
    <w:rsid w:val="0671751B"/>
    <w:rsid w:val="06786DC4"/>
    <w:rsid w:val="069F1C8C"/>
    <w:rsid w:val="06BB4415"/>
    <w:rsid w:val="06C0104C"/>
    <w:rsid w:val="06ED2F57"/>
    <w:rsid w:val="06FA0514"/>
    <w:rsid w:val="06FA3E18"/>
    <w:rsid w:val="07547914"/>
    <w:rsid w:val="07E7495A"/>
    <w:rsid w:val="07EA3008"/>
    <w:rsid w:val="080C0E4D"/>
    <w:rsid w:val="08192FB1"/>
    <w:rsid w:val="08C635A7"/>
    <w:rsid w:val="08D60010"/>
    <w:rsid w:val="08E019CC"/>
    <w:rsid w:val="0965564B"/>
    <w:rsid w:val="09954AFB"/>
    <w:rsid w:val="0AB310D5"/>
    <w:rsid w:val="0AB50A1F"/>
    <w:rsid w:val="0AD4632C"/>
    <w:rsid w:val="0AF357C2"/>
    <w:rsid w:val="0B033A47"/>
    <w:rsid w:val="0B7D1993"/>
    <w:rsid w:val="0B8F10CC"/>
    <w:rsid w:val="0B9C7EAF"/>
    <w:rsid w:val="0C2B426F"/>
    <w:rsid w:val="0C320B89"/>
    <w:rsid w:val="0C462335"/>
    <w:rsid w:val="0D5450A8"/>
    <w:rsid w:val="0D596022"/>
    <w:rsid w:val="0D5A6110"/>
    <w:rsid w:val="0DC94BAF"/>
    <w:rsid w:val="0DCB49FB"/>
    <w:rsid w:val="0DF75C5B"/>
    <w:rsid w:val="0E3B4B14"/>
    <w:rsid w:val="0E837BAD"/>
    <w:rsid w:val="0E901D0F"/>
    <w:rsid w:val="0ECE0E1F"/>
    <w:rsid w:val="0EEB493F"/>
    <w:rsid w:val="0F2B7F1E"/>
    <w:rsid w:val="0F871748"/>
    <w:rsid w:val="0FB200DF"/>
    <w:rsid w:val="0FB238DA"/>
    <w:rsid w:val="0FC05474"/>
    <w:rsid w:val="0FCD4D03"/>
    <w:rsid w:val="0FE7431B"/>
    <w:rsid w:val="0FEE74CA"/>
    <w:rsid w:val="0FF8234C"/>
    <w:rsid w:val="104D01F0"/>
    <w:rsid w:val="1060113D"/>
    <w:rsid w:val="1081061C"/>
    <w:rsid w:val="10A71125"/>
    <w:rsid w:val="10E102A4"/>
    <w:rsid w:val="11103C66"/>
    <w:rsid w:val="1129001A"/>
    <w:rsid w:val="11F7309C"/>
    <w:rsid w:val="12011130"/>
    <w:rsid w:val="12303F43"/>
    <w:rsid w:val="123E0181"/>
    <w:rsid w:val="12872CD1"/>
    <w:rsid w:val="130F0854"/>
    <w:rsid w:val="13241D90"/>
    <w:rsid w:val="1328219C"/>
    <w:rsid w:val="137D7853"/>
    <w:rsid w:val="13A5587F"/>
    <w:rsid w:val="13D16A27"/>
    <w:rsid w:val="145C6C53"/>
    <w:rsid w:val="14816D8E"/>
    <w:rsid w:val="14A31369"/>
    <w:rsid w:val="14C93268"/>
    <w:rsid w:val="15A14738"/>
    <w:rsid w:val="160A7B9A"/>
    <w:rsid w:val="163C358F"/>
    <w:rsid w:val="165E5AD6"/>
    <w:rsid w:val="166E2811"/>
    <w:rsid w:val="16737E53"/>
    <w:rsid w:val="16842EAE"/>
    <w:rsid w:val="1696609B"/>
    <w:rsid w:val="17236BA8"/>
    <w:rsid w:val="177069AF"/>
    <w:rsid w:val="17D45DEF"/>
    <w:rsid w:val="17E47BA2"/>
    <w:rsid w:val="17F732B1"/>
    <w:rsid w:val="184A6504"/>
    <w:rsid w:val="187D6A28"/>
    <w:rsid w:val="189C10AD"/>
    <w:rsid w:val="18CC33C6"/>
    <w:rsid w:val="18E67433"/>
    <w:rsid w:val="191B0B35"/>
    <w:rsid w:val="193001A1"/>
    <w:rsid w:val="1A50441E"/>
    <w:rsid w:val="1A903438"/>
    <w:rsid w:val="1AA060A4"/>
    <w:rsid w:val="1BAF484F"/>
    <w:rsid w:val="1BCB40AD"/>
    <w:rsid w:val="1BDA3FC9"/>
    <w:rsid w:val="1BF90126"/>
    <w:rsid w:val="1C4B1AC5"/>
    <w:rsid w:val="1C7129F4"/>
    <w:rsid w:val="1DE64446"/>
    <w:rsid w:val="1DF83F3A"/>
    <w:rsid w:val="1E5B441F"/>
    <w:rsid w:val="1E6E6726"/>
    <w:rsid w:val="1ECA4852"/>
    <w:rsid w:val="1EDC4228"/>
    <w:rsid w:val="1EE11192"/>
    <w:rsid w:val="1F216C62"/>
    <w:rsid w:val="1F4C78D0"/>
    <w:rsid w:val="1F5313B6"/>
    <w:rsid w:val="1F7B3FA1"/>
    <w:rsid w:val="202F6980"/>
    <w:rsid w:val="2090754A"/>
    <w:rsid w:val="20BC1612"/>
    <w:rsid w:val="20EC3CD7"/>
    <w:rsid w:val="20F70553"/>
    <w:rsid w:val="20FA2C20"/>
    <w:rsid w:val="212E23EC"/>
    <w:rsid w:val="218B0F6E"/>
    <w:rsid w:val="21E9685F"/>
    <w:rsid w:val="223D1BAC"/>
    <w:rsid w:val="22470866"/>
    <w:rsid w:val="225B2C40"/>
    <w:rsid w:val="225D4B32"/>
    <w:rsid w:val="231A506E"/>
    <w:rsid w:val="234C07DB"/>
    <w:rsid w:val="23B54071"/>
    <w:rsid w:val="23D15319"/>
    <w:rsid w:val="241B632B"/>
    <w:rsid w:val="24334A21"/>
    <w:rsid w:val="249043C8"/>
    <w:rsid w:val="2506013B"/>
    <w:rsid w:val="25563C94"/>
    <w:rsid w:val="25675001"/>
    <w:rsid w:val="257D511F"/>
    <w:rsid w:val="25826736"/>
    <w:rsid w:val="25C6189B"/>
    <w:rsid w:val="263C54BE"/>
    <w:rsid w:val="26A16E16"/>
    <w:rsid w:val="270F023A"/>
    <w:rsid w:val="271C1B22"/>
    <w:rsid w:val="271C60D7"/>
    <w:rsid w:val="275C4CD4"/>
    <w:rsid w:val="276811FF"/>
    <w:rsid w:val="27B22F31"/>
    <w:rsid w:val="27FF372E"/>
    <w:rsid w:val="28002211"/>
    <w:rsid w:val="2806560C"/>
    <w:rsid w:val="28691D33"/>
    <w:rsid w:val="291D2347"/>
    <w:rsid w:val="29891842"/>
    <w:rsid w:val="29DC28E5"/>
    <w:rsid w:val="29FD4568"/>
    <w:rsid w:val="2A5E32AB"/>
    <w:rsid w:val="2A9622A4"/>
    <w:rsid w:val="2ABF45E3"/>
    <w:rsid w:val="2B0B470A"/>
    <w:rsid w:val="2BD21033"/>
    <w:rsid w:val="2C0D3E59"/>
    <w:rsid w:val="2CA0770D"/>
    <w:rsid w:val="2D4443FA"/>
    <w:rsid w:val="2D712DC0"/>
    <w:rsid w:val="2D7E6361"/>
    <w:rsid w:val="2DB6365C"/>
    <w:rsid w:val="2E3E4E47"/>
    <w:rsid w:val="2E921751"/>
    <w:rsid w:val="2EA45660"/>
    <w:rsid w:val="2EA95537"/>
    <w:rsid w:val="2EC606D3"/>
    <w:rsid w:val="2F425D48"/>
    <w:rsid w:val="2F7231EE"/>
    <w:rsid w:val="2F790251"/>
    <w:rsid w:val="2FBB051F"/>
    <w:rsid w:val="2FF921DC"/>
    <w:rsid w:val="308B45D3"/>
    <w:rsid w:val="309D5958"/>
    <w:rsid w:val="30A130CA"/>
    <w:rsid w:val="30C419B0"/>
    <w:rsid w:val="30FC4AF3"/>
    <w:rsid w:val="312B3A11"/>
    <w:rsid w:val="31301E9D"/>
    <w:rsid w:val="313D275C"/>
    <w:rsid w:val="3157664C"/>
    <w:rsid w:val="31F713E0"/>
    <w:rsid w:val="31FC48FE"/>
    <w:rsid w:val="32312E2D"/>
    <w:rsid w:val="324E0D5F"/>
    <w:rsid w:val="32F75C8B"/>
    <w:rsid w:val="33B83934"/>
    <w:rsid w:val="33CB26A9"/>
    <w:rsid w:val="33E76902"/>
    <w:rsid w:val="33F5549E"/>
    <w:rsid w:val="34011445"/>
    <w:rsid w:val="34110883"/>
    <w:rsid w:val="348D660A"/>
    <w:rsid w:val="34DE0735"/>
    <w:rsid w:val="3541245E"/>
    <w:rsid w:val="35980BD9"/>
    <w:rsid w:val="35CD36FC"/>
    <w:rsid w:val="360E3434"/>
    <w:rsid w:val="36792E4B"/>
    <w:rsid w:val="36C214DE"/>
    <w:rsid w:val="37135859"/>
    <w:rsid w:val="37381C2F"/>
    <w:rsid w:val="37C239D4"/>
    <w:rsid w:val="37C519CA"/>
    <w:rsid w:val="383512DF"/>
    <w:rsid w:val="3838582F"/>
    <w:rsid w:val="385E7878"/>
    <w:rsid w:val="3875364E"/>
    <w:rsid w:val="38824DC9"/>
    <w:rsid w:val="38885686"/>
    <w:rsid w:val="39523B05"/>
    <w:rsid w:val="395C71E5"/>
    <w:rsid w:val="398F7BA5"/>
    <w:rsid w:val="3A1A7FD9"/>
    <w:rsid w:val="3A7B6527"/>
    <w:rsid w:val="3A814D7D"/>
    <w:rsid w:val="3AB42FBD"/>
    <w:rsid w:val="3ABF3EC3"/>
    <w:rsid w:val="3AF464B3"/>
    <w:rsid w:val="3B592DBE"/>
    <w:rsid w:val="3BA405B2"/>
    <w:rsid w:val="3BBC4ABE"/>
    <w:rsid w:val="3BD43F8D"/>
    <w:rsid w:val="3BF97C17"/>
    <w:rsid w:val="3C092E30"/>
    <w:rsid w:val="3C99411D"/>
    <w:rsid w:val="3D575531"/>
    <w:rsid w:val="3D606F05"/>
    <w:rsid w:val="3DAB301A"/>
    <w:rsid w:val="3E351995"/>
    <w:rsid w:val="3EEF6A87"/>
    <w:rsid w:val="3F082449"/>
    <w:rsid w:val="3F4871AE"/>
    <w:rsid w:val="3F710E0E"/>
    <w:rsid w:val="3F9B6B83"/>
    <w:rsid w:val="3FA22C37"/>
    <w:rsid w:val="3FAF408D"/>
    <w:rsid w:val="3FD622A8"/>
    <w:rsid w:val="408126C2"/>
    <w:rsid w:val="408D38FB"/>
    <w:rsid w:val="40DF747E"/>
    <w:rsid w:val="40EC6DDC"/>
    <w:rsid w:val="41576C4E"/>
    <w:rsid w:val="421151B4"/>
    <w:rsid w:val="42354231"/>
    <w:rsid w:val="4285692D"/>
    <w:rsid w:val="431C6294"/>
    <w:rsid w:val="442270F5"/>
    <w:rsid w:val="443F17B1"/>
    <w:rsid w:val="44641089"/>
    <w:rsid w:val="4465398D"/>
    <w:rsid w:val="44B27F70"/>
    <w:rsid w:val="44EB6603"/>
    <w:rsid w:val="450F1291"/>
    <w:rsid w:val="45912734"/>
    <w:rsid w:val="45984FD7"/>
    <w:rsid w:val="462C6948"/>
    <w:rsid w:val="463F1DAD"/>
    <w:rsid w:val="464613F0"/>
    <w:rsid w:val="46E71F5E"/>
    <w:rsid w:val="46EC679C"/>
    <w:rsid w:val="47500410"/>
    <w:rsid w:val="48AA09AB"/>
    <w:rsid w:val="48CC544E"/>
    <w:rsid w:val="48F1403F"/>
    <w:rsid w:val="492D3331"/>
    <w:rsid w:val="49F25BD7"/>
    <w:rsid w:val="4A611B25"/>
    <w:rsid w:val="4B2F68B4"/>
    <w:rsid w:val="4B4A280B"/>
    <w:rsid w:val="4B58615A"/>
    <w:rsid w:val="4B7A1206"/>
    <w:rsid w:val="4BF168BF"/>
    <w:rsid w:val="4C6F0BB7"/>
    <w:rsid w:val="4C741392"/>
    <w:rsid w:val="4D2F3ED8"/>
    <w:rsid w:val="4D9120CD"/>
    <w:rsid w:val="4DF752CE"/>
    <w:rsid w:val="4E376E73"/>
    <w:rsid w:val="4E534981"/>
    <w:rsid w:val="4E6D1482"/>
    <w:rsid w:val="4E993C45"/>
    <w:rsid w:val="4EA73161"/>
    <w:rsid w:val="4F166781"/>
    <w:rsid w:val="4FA610FA"/>
    <w:rsid w:val="4FE535DF"/>
    <w:rsid w:val="4FFB5A67"/>
    <w:rsid w:val="500F1C29"/>
    <w:rsid w:val="5024289C"/>
    <w:rsid w:val="504B341D"/>
    <w:rsid w:val="504F3433"/>
    <w:rsid w:val="50870F93"/>
    <w:rsid w:val="51281E2E"/>
    <w:rsid w:val="516A0579"/>
    <w:rsid w:val="51824063"/>
    <w:rsid w:val="51C37D5E"/>
    <w:rsid w:val="51EE600B"/>
    <w:rsid w:val="52A47CA2"/>
    <w:rsid w:val="52B971AF"/>
    <w:rsid w:val="52E912B7"/>
    <w:rsid w:val="53604987"/>
    <w:rsid w:val="53ED1502"/>
    <w:rsid w:val="54AC3A23"/>
    <w:rsid w:val="54AE6895"/>
    <w:rsid w:val="54AF5B64"/>
    <w:rsid w:val="55541C08"/>
    <w:rsid w:val="5596342B"/>
    <w:rsid w:val="561C690D"/>
    <w:rsid w:val="565457F8"/>
    <w:rsid w:val="57174680"/>
    <w:rsid w:val="57643900"/>
    <w:rsid w:val="57681CB0"/>
    <w:rsid w:val="57B059C1"/>
    <w:rsid w:val="57B50973"/>
    <w:rsid w:val="57C03F71"/>
    <w:rsid w:val="5832130F"/>
    <w:rsid w:val="58773629"/>
    <w:rsid w:val="58D610F8"/>
    <w:rsid w:val="58ED322C"/>
    <w:rsid w:val="58F7526E"/>
    <w:rsid w:val="591B394B"/>
    <w:rsid w:val="594E76CC"/>
    <w:rsid w:val="5967076A"/>
    <w:rsid w:val="59D800F7"/>
    <w:rsid w:val="5A8C7845"/>
    <w:rsid w:val="5A8F6729"/>
    <w:rsid w:val="5A9A1A1D"/>
    <w:rsid w:val="5BDB5AEC"/>
    <w:rsid w:val="5BE331E1"/>
    <w:rsid w:val="5C5F130E"/>
    <w:rsid w:val="5CB138CA"/>
    <w:rsid w:val="5D03002A"/>
    <w:rsid w:val="5D17675D"/>
    <w:rsid w:val="5D9556E0"/>
    <w:rsid w:val="5DE07A34"/>
    <w:rsid w:val="5E5D6367"/>
    <w:rsid w:val="5E7A07A0"/>
    <w:rsid w:val="5E7C62B1"/>
    <w:rsid w:val="5EA236E3"/>
    <w:rsid w:val="5EA47AE8"/>
    <w:rsid w:val="5F8B73D7"/>
    <w:rsid w:val="5FE815BA"/>
    <w:rsid w:val="5FFC6D6C"/>
    <w:rsid w:val="5FFD4299"/>
    <w:rsid w:val="600B1CD7"/>
    <w:rsid w:val="609E2C02"/>
    <w:rsid w:val="60B8658C"/>
    <w:rsid w:val="610768FB"/>
    <w:rsid w:val="6125574B"/>
    <w:rsid w:val="613F577F"/>
    <w:rsid w:val="61C10ECF"/>
    <w:rsid w:val="61F91231"/>
    <w:rsid w:val="620670ED"/>
    <w:rsid w:val="625776FB"/>
    <w:rsid w:val="626172F3"/>
    <w:rsid w:val="62B15EBA"/>
    <w:rsid w:val="62C46031"/>
    <w:rsid w:val="62D35C02"/>
    <w:rsid w:val="62F23FCE"/>
    <w:rsid w:val="62FF4221"/>
    <w:rsid w:val="63450C95"/>
    <w:rsid w:val="645E0813"/>
    <w:rsid w:val="64617543"/>
    <w:rsid w:val="64916895"/>
    <w:rsid w:val="6496032F"/>
    <w:rsid w:val="64B0685D"/>
    <w:rsid w:val="65004B79"/>
    <w:rsid w:val="651573A9"/>
    <w:rsid w:val="65212235"/>
    <w:rsid w:val="653020ED"/>
    <w:rsid w:val="659B634C"/>
    <w:rsid w:val="65AF7A8C"/>
    <w:rsid w:val="65C5731B"/>
    <w:rsid w:val="65CD57CC"/>
    <w:rsid w:val="65D00903"/>
    <w:rsid w:val="65E11FBA"/>
    <w:rsid w:val="66067608"/>
    <w:rsid w:val="663976C6"/>
    <w:rsid w:val="668627F3"/>
    <w:rsid w:val="66E30AB4"/>
    <w:rsid w:val="670F5438"/>
    <w:rsid w:val="67720C0D"/>
    <w:rsid w:val="67853BBB"/>
    <w:rsid w:val="681F30F4"/>
    <w:rsid w:val="687734C6"/>
    <w:rsid w:val="68CD48F6"/>
    <w:rsid w:val="68DF7DD7"/>
    <w:rsid w:val="695218D5"/>
    <w:rsid w:val="695A48D3"/>
    <w:rsid w:val="696D4097"/>
    <w:rsid w:val="69714D9A"/>
    <w:rsid w:val="699B4C5A"/>
    <w:rsid w:val="69D308B3"/>
    <w:rsid w:val="69FF5932"/>
    <w:rsid w:val="6A033EE8"/>
    <w:rsid w:val="6A1C1AC4"/>
    <w:rsid w:val="6A4B791D"/>
    <w:rsid w:val="6A857EDE"/>
    <w:rsid w:val="6AB01A30"/>
    <w:rsid w:val="6B295089"/>
    <w:rsid w:val="6BBB17D9"/>
    <w:rsid w:val="6BD85E01"/>
    <w:rsid w:val="6BF733B0"/>
    <w:rsid w:val="6C6C0F3A"/>
    <w:rsid w:val="6CA2575A"/>
    <w:rsid w:val="6D0169A7"/>
    <w:rsid w:val="6DD81E53"/>
    <w:rsid w:val="6DEA5BBB"/>
    <w:rsid w:val="6E172460"/>
    <w:rsid w:val="6F3A01D0"/>
    <w:rsid w:val="6F3F3235"/>
    <w:rsid w:val="6F5C0A2B"/>
    <w:rsid w:val="6FBB0B5F"/>
    <w:rsid w:val="70B601E7"/>
    <w:rsid w:val="71037E1E"/>
    <w:rsid w:val="71771B4C"/>
    <w:rsid w:val="71A55768"/>
    <w:rsid w:val="71CD4358"/>
    <w:rsid w:val="72A07F28"/>
    <w:rsid w:val="7347500C"/>
    <w:rsid w:val="73594776"/>
    <w:rsid w:val="737919F5"/>
    <w:rsid w:val="73836355"/>
    <w:rsid w:val="73CC4C4A"/>
    <w:rsid w:val="73DD428C"/>
    <w:rsid w:val="7400051E"/>
    <w:rsid w:val="748A1510"/>
    <w:rsid w:val="7505136E"/>
    <w:rsid w:val="75154017"/>
    <w:rsid w:val="754E00E9"/>
    <w:rsid w:val="75566EB5"/>
    <w:rsid w:val="75E53145"/>
    <w:rsid w:val="76335669"/>
    <w:rsid w:val="766250B5"/>
    <w:rsid w:val="76B50EBE"/>
    <w:rsid w:val="77260216"/>
    <w:rsid w:val="77F81369"/>
    <w:rsid w:val="78133782"/>
    <w:rsid w:val="78CD5227"/>
    <w:rsid w:val="78FD6DDA"/>
    <w:rsid w:val="79136231"/>
    <w:rsid w:val="7A57199D"/>
    <w:rsid w:val="7AB23425"/>
    <w:rsid w:val="7ACC5CEF"/>
    <w:rsid w:val="7B433221"/>
    <w:rsid w:val="7B545882"/>
    <w:rsid w:val="7B7F5769"/>
    <w:rsid w:val="7B85531C"/>
    <w:rsid w:val="7B9B7DEE"/>
    <w:rsid w:val="7BA10BAD"/>
    <w:rsid w:val="7C0641F8"/>
    <w:rsid w:val="7C494E9D"/>
    <w:rsid w:val="7D060E59"/>
    <w:rsid w:val="7D20329B"/>
    <w:rsid w:val="7D406F8C"/>
    <w:rsid w:val="7D890306"/>
    <w:rsid w:val="7DEB7D2E"/>
    <w:rsid w:val="7E1631C7"/>
    <w:rsid w:val="7E532992"/>
    <w:rsid w:val="7E683A96"/>
    <w:rsid w:val="7E7D77AD"/>
    <w:rsid w:val="7E9F58CF"/>
    <w:rsid w:val="7EC15CA3"/>
    <w:rsid w:val="7ED41833"/>
    <w:rsid w:val="7F0251AA"/>
    <w:rsid w:val="7F2C12D8"/>
    <w:rsid w:val="7FFF0537"/>
    <w:rsid w:val="FFEA9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spacing w:before="100" w:beforeAutospacing="1" w:after="100" w:afterAutospacing="1"/>
      <w:jc w:val="left"/>
      <w:outlineLvl w:val="2"/>
    </w:pPr>
    <w:rPr>
      <w:rFonts w:ascii="宋体" w:hAnsi="宋体" w:cs="宋体"/>
      <w:b/>
      <w:sz w:val="27"/>
      <w:szCs w:val="27"/>
    </w:rPr>
  </w:style>
  <w:style w:type="paragraph" w:styleId="5">
    <w:name w:val="heading 4"/>
    <w:basedOn w:val="1"/>
    <w:next w:val="1"/>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toa heading"/>
    <w:basedOn w:val="1"/>
    <w:next w:val="1"/>
    <w:unhideWhenUsed/>
    <w:qFormat/>
    <w:uiPriority w:val="99"/>
    <w:pPr>
      <w:spacing w:before="120"/>
    </w:pPr>
    <w:rPr>
      <w:rFonts w:ascii="Cambria" w:hAnsi="Cambria" w:eastAsia="宋体" w:cs="Times New Roman"/>
      <w:sz w:val="24"/>
      <w:szCs w:val="24"/>
    </w:rPr>
  </w:style>
  <w:style w:type="paragraph" w:styleId="8">
    <w:name w:val="annotation text"/>
    <w:basedOn w:val="1"/>
    <w:qFormat/>
    <w:uiPriority w:val="0"/>
    <w:pPr>
      <w:jc w:val="left"/>
    </w:pPr>
  </w:style>
  <w:style w:type="paragraph" w:styleId="9">
    <w:name w:val="Body Text"/>
    <w:basedOn w:val="1"/>
    <w:next w:val="1"/>
    <w:qFormat/>
    <w:uiPriority w:val="0"/>
    <w:pPr>
      <w:spacing w:line="360" w:lineRule="exact"/>
    </w:pPr>
    <w:rPr>
      <w:sz w:val="24"/>
    </w:rPr>
  </w:style>
  <w:style w:type="paragraph" w:styleId="10">
    <w:name w:val="Body Text Indent"/>
    <w:basedOn w:val="1"/>
    <w:next w:val="1"/>
    <w:qFormat/>
    <w:uiPriority w:val="0"/>
    <w:pPr>
      <w:spacing w:after="120"/>
      <w:ind w:left="420" w:leftChars="200"/>
    </w:pPr>
  </w:style>
  <w:style w:type="paragraph" w:styleId="11">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qFormat/>
    <w:uiPriority w:val="0"/>
    <w:rPr>
      <w:rFonts w:ascii="宋体" w:hAnsi="Courier New"/>
      <w:szCs w:val="20"/>
    </w:rPr>
  </w:style>
  <w:style w:type="paragraph" w:styleId="13">
    <w:name w:val="Balloon Text"/>
    <w:basedOn w:val="1"/>
    <w:link w:val="36"/>
    <w:qFormat/>
    <w:uiPriority w:val="0"/>
    <w:pPr>
      <w:spacing w:line="240" w:lineRule="auto"/>
    </w:pPr>
    <w:rPr>
      <w:sz w:val="18"/>
      <w:szCs w:val="18"/>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before="120" w:after="120"/>
      <w:jc w:val="left"/>
    </w:pPr>
    <w:rPr>
      <w:rFonts w:ascii="Calibri" w:hAnsi="Calibri"/>
      <w:b/>
      <w:bCs/>
      <w:caps/>
      <w:sz w:val="20"/>
      <w:szCs w:val="20"/>
    </w:rPr>
  </w:style>
  <w:style w:type="paragraph" w:styleId="17">
    <w:name w:val="toc 2"/>
    <w:basedOn w:val="1"/>
    <w:next w:val="1"/>
    <w:qFormat/>
    <w:uiPriority w:val="0"/>
    <w:pPr>
      <w:ind w:left="210"/>
      <w:jc w:val="left"/>
    </w:pPr>
    <w:rPr>
      <w:rFonts w:ascii="Calibri" w:hAnsi="Calibri" w:cs="Calibri"/>
      <w:smallCaps/>
      <w:sz w:val="24"/>
      <w:szCs w:val="20"/>
    </w:rPr>
  </w:style>
  <w:style w:type="paragraph" w:styleId="1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9">
    <w:name w:val="Normal (Web)"/>
    <w:basedOn w:val="1"/>
    <w:qFormat/>
    <w:uiPriority w:val="0"/>
    <w:pPr>
      <w:widowControl/>
      <w:spacing w:before="100" w:beforeAutospacing="1" w:after="119"/>
      <w:jc w:val="left"/>
    </w:pPr>
    <w:rPr>
      <w:rFonts w:ascii="宋体" w:hAnsi="宋体" w:cs="宋体"/>
      <w:sz w:val="24"/>
    </w:rPr>
  </w:style>
  <w:style w:type="paragraph" w:styleId="20">
    <w:name w:val="Title"/>
    <w:basedOn w:val="1"/>
    <w:next w:val="1"/>
    <w:qFormat/>
    <w:uiPriority w:val="0"/>
    <w:pPr>
      <w:spacing w:before="240" w:after="60"/>
      <w:jc w:val="center"/>
      <w:outlineLvl w:val="0"/>
    </w:pPr>
    <w:rPr>
      <w:rFonts w:ascii="Cambria" w:hAnsi="Cambria"/>
      <w:b/>
      <w:bCs/>
      <w:sz w:val="36"/>
      <w:szCs w:val="32"/>
    </w:rPr>
  </w:style>
  <w:style w:type="paragraph" w:styleId="21">
    <w:name w:val="Body Text First Indent"/>
    <w:basedOn w:val="1"/>
    <w:unhideWhenUsed/>
    <w:qFormat/>
    <w:uiPriority w:val="99"/>
    <w:pPr>
      <w:ind w:firstLine="420" w:firstLineChars="100"/>
    </w:pPr>
  </w:style>
  <w:style w:type="paragraph" w:styleId="22">
    <w:name w:val="Body Text First Indent 2"/>
    <w:basedOn w:val="10"/>
    <w:qFormat/>
    <w:uiPriority w:val="0"/>
    <w:pPr>
      <w:ind w:firstLine="42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qFormat/>
    <w:uiPriority w:val="0"/>
    <w:rPr>
      <w:color w:val="000099"/>
      <w:u w:val="none"/>
    </w:rPr>
  </w:style>
  <w:style w:type="character" w:styleId="29">
    <w:name w:val="annotation reference"/>
    <w:basedOn w:val="25"/>
    <w:qFormat/>
    <w:uiPriority w:val="0"/>
    <w:rPr>
      <w:sz w:val="21"/>
      <w:szCs w:val="21"/>
    </w:rPr>
  </w:style>
  <w:style w:type="paragraph" w:customStyle="1" w:styleId="30">
    <w:name w:val="正文文本 21"/>
    <w:qFormat/>
    <w:uiPriority w:val="0"/>
    <w:pPr>
      <w:widowControl w:val="0"/>
      <w:spacing w:after="120" w:line="480" w:lineRule="auto"/>
      <w:ind w:firstLine="420" w:firstLineChars="200"/>
      <w:jc w:val="both"/>
    </w:pPr>
    <w:rPr>
      <w:rFonts w:ascii="Calibri" w:hAnsi="Calibri" w:eastAsia="仿宋" w:cs="Times New Roman"/>
      <w:color w:val="000000"/>
      <w:kern w:val="2"/>
      <w:sz w:val="21"/>
      <w:szCs w:val="30"/>
      <w:lang w:val="en-US" w:eastAsia="zh-CN" w:bidi="ar-SA"/>
    </w:rPr>
  </w:style>
  <w:style w:type="paragraph" w:customStyle="1" w:styleId="31">
    <w:name w:val="一级条标题"/>
    <w:basedOn w:val="32"/>
    <w:next w:val="33"/>
    <w:qFormat/>
    <w:uiPriority w:val="0"/>
    <w:pPr>
      <w:spacing w:line="240" w:lineRule="auto"/>
      <w:ind w:left="420"/>
      <w:outlineLvl w:val="2"/>
    </w:pPr>
  </w:style>
  <w:style w:type="paragraph" w:customStyle="1" w:styleId="32">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3">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4">
    <w:name w:val="样式 标题 3 + 首行缩进:  2 字符"/>
    <w:basedOn w:val="4"/>
    <w:qFormat/>
    <w:uiPriority w:val="0"/>
    <w:pPr>
      <w:spacing w:before="0" w:after="0" w:line="480" w:lineRule="exact"/>
    </w:pPr>
    <w:rPr>
      <w:rFonts w:eastAsia="宋体"/>
      <w:sz w:val="28"/>
      <w:szCs w:val="28"/>
      <w:lang w:bidi="ar-DZ"/>
    </w:rPr>
  </w:style>
  <w:style w:type="paragraph" w:customStyle="1" w:styleId="35">
    <w:name w:val="列出段落1"/>
    <w:basedOn w:val="1"/>
    <w:qFormat/>
    <w:uiPriority w:val="34"/>
    <w:pPr>
      <w:ind w:firstLine="420"/>
    </w:pPr>
    <w:rPr>
      <w:rFonts w:ascii="Calibri" w:hAnsi="Calibri"/>
    </w:rPr>
  </w:style>
  <w:style w:type="character" w:customStyle="1" w:styleId="36">
    <w:name w:val="批注框文本 字符"/>
    <w:basedOn w:val="25"/>
    <w:link w:val="13"/>
    <w:qFormat/>
    <w:uiPriority w:val="0"/>
    <w:rPr>
      <w:sz w:val="18"/>
      <w:szCs w:val="18"/>
    </w:rPr>
  </w:style>
  <w:style w:type="character" w:customStyle="1" w:styleId="37">
    <w:name w:val="font41"/>
    <w:basedOn w:val="25"/>
    <w:qFormat/>
    <w:uiPriority w:val="0"/>
    <w:rPr>
      <w:rFonts w:hint="default" w:ascii="Tahoma" w:hAnsi="Tahoma" w:eastAsia="Tahoma" w:cs="Tahoma"/>
      <w:color w:val="000000"/>
      <w:sz w:val="18"/>
      <w:szCs w:val="18"/>
      <w:u w:val="none"/>
    </w:rPr>
  </w:style>
  <w:style w:type="character" w:customStyle="1" w:styleId="38">
    <w:name w:val="font11"/>
    <w:basedOn w:val="25"/>
    <w:qFormat/>
    <w:uiPriority w:val="0"/>
    <w:rPr>
      <w:rFonts w:hint="eastAsia" w:ascii="宋体" w:hAnsi="宋体" w:eastAsia="宋体" w:cs="宋体"/>
      <w:color w:val="000000"/>
      <w:sz w:val="24"/>
      <w:szCs w:val="24"/>
      <w:u w:val="none"/>
      <w:vertAlign w:val="subscript"/>
    </w:rPr>
  </w:style>
  <w:style w:type="character" w:customStyle="1" w:styleId="39">
    <w:name w:val="int_huang_12_b1"/>
    <w:qFormat/>
    <w:uiPriority w:val="0"/>
    <w:rPr>
      <w:rFonts w:hint="default" w:ascii="Verdana" w:hAnsi="Verdana"/>
      <w:b/>
      <w:bCs/>
      <w:color w:val="EECC77"/>
      <w:sz w:val="18"/>
      <w:szCs w:val="18"/>
    </w:rPr>
  </w:style>
  <w:style w:type="paragraph" w:customStyle="1" w:styleId="40">
    <w:name w:val="p0"/>
    <w:basedOn w:val="1"/>
    <w:unhideWhenUsed/>
    <w:qFormat/>
    <w:uiPriority w:val="99"/>
    <w:pPr>
      <w:widowControl/>
    </w:pPr>
    <w:rPr>
      <w:rFonts w:hint="eastAsia" w:ascii="宋体" w:hAnsi="宋体"/>
    </w:rPr>
  </w:style>
  <w:style w:type="paragraph" w:styleId="41">
    <w:name w:val="List Paragraph"/>
    <w:basedOn w:val="1"/>
    <w:qFormat/>
    <w:uiPriority w:val="34"/>
    <w:pPr>
      <w:ind w:firstLine="420"/>
    </w:pPr>
  </w:style>
  <w:style w:type="character" w:customStyle="1" w:styleId="42">
    <w:name w:val="font51"/>
    <w:basedOn w:val="25"/>
    <w:qFormat/>
    <w:uiPriority w:val="0"/>
    <w:rPr>
      <w:rFonts w:hint="eastAsia" w:ascii="宋体" w:hAnsi="宋体" w:eastAsia="宋体" w:cs="宋体"/>
      <w:color w:val="000000"/>
      <w:sz w:val="24"/>
      <w:szCs w:val="24"/>
      <w:u w:val="none"/>
    </w:rPr>
  </w:style>
  <w:style w:type="paragraph" w:customStyle="1" w:styleId="43">
    <w:name w:val="页脚1"/>
    <w:basedOn w:val="1"/>
    <w:qFormat/>
    <w:uiPriority w:val="0"/>
    <w:pPr>
      <w:tabs>
        <w:tab w:val="center" w:pos="4153"/>
        <w:tab w:val="right" w:pos="8306"/>
      </w:tabs>
      <w:snapToGrid w:val="0"/>
      <w:jc w:val="left"/>
    </w:pPr>
    <w:rPr>
      <w:sz w:val="18"/>
      <w:szCs w:val="18"/>
    </w:rPr>
  </w:style>
  <w:style w:type="paragraph" w:customStyle="1" w:styleId="44">
    <w:name w:val="Default"/>
    <w:next w:val="4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6">
    <w:name w:val="_正文"/>
    <w:basedOn w:val="1"/>
    <w:qFormat/>
    <w:uiPriority w:val="99"/>
    <w:rPr>
      <w:szCs w:val="20"/>
    </w:rPr>
  </w:style>
  <w:style w:type="table" w:customStyle="1" w:styleId="47">
    <w:name w:val="Table Normal"/>
    <w:unhideWhenUsed/>
    <w:qFormat/>
    <w:uiPriority w:val="0"/>
    <w:tblPr>
      <w:tblCellMar>
        <w:top w:w="0" w:type="dxa"/>
        <w:left w:w="0" w:type="dxa"/>
        <w:bottom w:w="0" w:type="dxa"/>
        <w:right w:w="0" w:type="dxa"/>
      </w:tblCellMar>
    </w:tblPr>
  </w:style>
  <w:style w:type="character" w:customStyle="1" w:styleId="48">
    <w:name w:val="font61"/>
    <w:basedOn w:val="25"/>
    <w:qFormat/>
    <w:uiPriority w:val="0"/>
    <w:rPr>
      <w:rFonts w:hint="eastAsia" w:ascii="宋体" w:hAnsi="宋体" w:eastAsia="宋体" w:cs="宋体"/>
      <w:color w:val="000000"/>
      <w:sz w:val="24"/>
      <w:szCs w:val="24"/>
      <w:u w:val="none"/>
    </w:rPr>
  </w:style>
  <w:style w:type="character" w:customStyle="1" w:styleId="49">
    <w:name w:val="font81"/>
    <w:basedOn w:val="25"/>
    <w:qFormat/>
    <w:uiPriority w:val="0"/>
    <w:rPr>
      <w:rFonts w:hint="eastAsia" w:ascii="宋体" w:hAnsi="宋体" w:eastAsia="宋体" w:cs="宋体"/>
      <w:b/>
      <w:bCs/>
      <w:color w:val="000000"/>
      <w:sz w:val="24"/>
      <w:szCs w:val="24"/>
      <w:u w:val="none"/>
    </w:rPr>
  </w:style>
  <w:style w:type="character" w:customStyle="1" w:styleId="50">
    <w:name w:val="font71"/>
    <w:basedOn w:val="25"/>
    <w:qFormat/>
    <w:uiPriority w:val="0"/>
    <w:rPr>
      <w:rFonts w:hint="eastAsia" w:ascii="宋体" w:hAnsi="宋体" w:eastAsia="宋体" w:cs="宋体"/>
      <w:color w:val="000000"/>
      <w:sz w:val="24"/>
      <w:szCs w:val="24"/>
      <w:u w:val="none"/>
    </w:rPr>
  </w:style>
  <w:style w:type="character" w:customStyle="1" w:styleId="51">
    <w:name w:val="font91"/>
    <w:basedOn w:val="25"/>
    <w:qFormat/>
    <w:uiPriority w:val="0"/>
    <w:rPr>
      <w:rFonts w:hint="eastAsia" w:ascii="宋体" w:hAnsi="宋体" w:eastAsia="宋体" w:cs="宋体"/>
      <w:b/>
      <w:bCs/>
      <w:color w:val="000000"/>
      <w:sz w:val="24"/>
      <w:szCs w:val="24"/>
      <w:u w:val="none"/>
    </w:rPr>
  </w:style>
  <w:style w:type="character" w:customStyle="1" w:styleId="52">
    <w:name w:val="font31"/>
    <w:basedOn w:val="25"/>
    <w:qFormat/>
    <w:uiPriority w:val="0"/>
    <w:rPr>
      <w:rFonts w:ascii="Tahoma" w:hAnsi="Tahoma" w:eastAsia="Tahoma" w:cs="Tahoma"/>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75</Pages>
  <Words>37678</Words>
  <Characters>42169</Characters>
  <Lines>1</Lines>
  <Paragraphs>1</Paragraphs>
  <TotalTime>27</TotalTime>
  <ScaleCrop>false</ScaleCrop>
  <LinksUpToDate>false</LinksUpToDate>
  <CharactersWithSpaces>44596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2016-02-18T11:12:00Z</dcterms:created>
  <dc:creator>Administrator</dc:creator>
  <cp:lastModifiedBy>Administrator</cp:lastModifiedBy>
  <cp:lastPrinted>2019-04-28T17:48:00Z</cp:lastPrinted>
  <dcterms:modified xsi:type="dcterms:W3CDTF">2014-12-31T19:49:12Z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F77283B552184F57808CAD6E43AFE6D5</vt:lpwstr>
  </property>
  <property fmtid="{D5CDD505-2E9C-101B-9397-08002B2CF9AE}" pid="4" name="KSOTemplateDocerSaveRecord">
    <vt:lpwstr>eyJoZGlkIjoiNzc5MzNmMDk1ZjU3MmJhNzEyYWM0MjliZGIwMDgwMTQiLCJ1c2VySWQiOiIzNDMyNjkzMTkifQ==</vt:lpwstr>
  </property>
</Properties>
</file>